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9A2CC">
      <w:pPr>
        <w:spacing w:line="360" w:lineRule="auto"/>
        <w:jc w:val="center"/>
        <w:rPr>
          <w:rFonts w:cs="仿宋_GB2312" w:asciiTheme="majorEastAsia" w:hAnsiTheme="majorEastAsia" w:eastAsiaTheme="majorEastAsia"/>
          <w:sz w:val="48"/>
          <w:szCs w:val="48"/>
        </w:rPr>
      </w:pPr>
      <w:r>
        <w:rPr>
          <w:rFonts w:hint="eastAsia" w:cs="仿宋_GB2312" w:asciiTheme="majorEastAsia" w:hAnsiTheme="majorEastAsia" w:eastAsiaTheme="majorEastAsia"/>
          <w:sz w:val="48"/>
          <w:szCs w:val="48"/>
        </w:rPr>
        <w:t xml:space="preserve"> </w:t>
      </w:r>
    </w:p>
    <w:p w14:paraId="1311AF08">
      <w:pPr>
        <w:spacing w:line="360" w:lineRule="auto"/>
        <w:jc w:val="center"/>
        <w:rPr>
          <w:rFonts w:cs="仿宋_GB2312" w:asciiTheme="majorEastAsia" w:hAnsiTheme="majorEastAsia" w:eastAsiaTheme="majorEastAsia"/>
          <w:sz w:val="48"/>
          <w:szCs w:val="48"/>
        </w:rPr>
      </w:pPr>
    </w:p>
    <w:p w14:paraId="51D2C774">
      <w:pPr>
        <w:spacing w:line="360" w:lineRule="auto"/>
        <w:jc w:val="center"/>
        <w:rPr>
          <w:rFonts w:cs="仿宋_GB2312" w:asciiTheme="majorEastAsia" w:hAnsiTheme="majorEastAsia" w:eastAsiaTheme="majorEastAsia"/>
          <w:sz w:val="48"/>
          <w:szCs w:val="48"/>
        </w:rPr>
      </w:pPr>
      <w:r>
        <w:rPr>
          <w:rFonts w:hint="eastAsia" w:cs="仿宋_GB2312" w:asciiTheme="majorEastAsia" w:hAnsiTheme="majorEastAsia" w:eastAsiaTheme="majorEastAsia"/>
          <w:sz w:val="48"/>
          <w:szCs w:val="48"/>
        </w:rPr>
        <w:t>奉化区水蜜桃文化博览园运营服务项目</w:t>
      </w:r>
    </w:p>
    <w:p w14:paraId="74C4BCAF">
      <w:pPr>
        <w:spacing w:line="360" w:lineRule="auto"/>
        <w:jc w:val="center"/>
        <w:rPr>
          <w:rFonts w:cs="仿宋_GB2312" w:asciiTheme="majorEastAsia" w:hAnsiTheme="majorEastAsia" w:eastAsiaTheme="majorEastAsia"/>
          <w:sz w:val="48"/>
          <w:szCs w:val="48"/>
        </w:rPr>
      </w:pPr>
      <w:r>
        <w:rPr>
          <w:rFonts w:hint="eastAsia" w:cs="仿宋_GB2312" w:asciiTheme="majorEastAsia" w:hAnsiTheme="majorEastAsia" w:eastAsiaTheme="majorEastAsia"/>
          <w:sz w:val="48"/>
          <w:szCs w:val="48"/>
        </w:rPr>
        <w:t>公开招标采购文件</w:t>
      </w:r>
    </w:p>
    <w:p w14:paraId="64B4D273">
      <w:pPr>
        <w:spacing w:line="360" w:lineRule="auto"/>
        <w:jc w:val="center"/>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 xml:space="preserve"> （电子招投标）</w:t>
      </w:r>
    </w:p>
    <w:p w14:paraId="67AD011C">
      <w:pPr>
        <w:snapToGrid w:val="0"/>
        <w:spacing w:line="360" w:lineRule="auto"/>
        <w:jc w:val="center"/>
        <w:rPr>
          <w:rFonts w:cs="仿宋_GB2312" w:asciiTheme="majorEastAsia" w:hAnsiTheme="majorEastAsia" w:eastAsiaTheme="majorEastAsia"/>
          <w:sz w:val="30"/>
          <w:szCs w:val="30"/>
        </w:rPr>
      </w:pPr>
      <w:r>
        <w:rPr>
          <w:rFonts w:hint="eastAsia" w:cs="仿宋_GB2312" w:asciiTheme="majorEastAsia" w:hAnsiTheme="majorEastAsia" w:eastAsiaTheme="majorEastAsia"/>
          <w:sz w:val="30"/>
          <w:szCs w:val="30"/>
        </w:rPr>
        <w:t>项目编号</w:t>
      </w:r>
      <w:r>
        <w:rPr>
          <w:rFonts w:cs="仿宋_GB2312" w:asciiTheme="majorEastAsia" w:hAnsiTheme="majorEastAsia" w:eastAsiaTheme="majorEastAsia"/>
          <w:sz w:val="30"/>
          <w:szCs w:val="30"/>
        </w:rPr>
        <w:t>:FHGQZB(202</w:t>
      </w:r>
      <w:r>
        <w:rPr>
          <w:rFonts w:hint="eastAsia" w:cs="仿宋_GB2312" w:asciiTheme="majorEastAsia" w:hAnsiTheme="majorEastAsia" w:eastAsiaTheme="majorEastAsia"/>
          <w:sz w:val="30"/>
          <w:szCs w:val="30"/>
        </w:rPr>
        <w:t>5</w:t>
      </w:r>
      <w:r>
        <w:rPr>
          <w:rFonts w:cs="仿宋_GB2312" w:asciiTheme="majorEastAsia" w:hAnsiTheme="majorEastAsia" w:eastAsiaTheme="majorEastAsia"/>
          <w:sz w:val="30"/>
          <w:szCs w:val="30"/>
        </w:rPr>
        <w:t>)</w:t>
      </w:r>
      <w:r>
        <w:rPr>
          <w:rFonts w:hint="eastAsia" w:cs="仿宋_GB2312" w:asciiTheme="majorEastAsia" w:hAnsiTheme="majorEastAsia" w:eastAsiaTheme="majorEastAsia"/>
          <w:sz w:val="30"/>
          <w:szCs w:val="30"/>
          <w:lang w:val="en-US" w:eastAsia="zh-CN"/>
        </w:rPr>
        <w:t>190</w:t>
      </w:r>
      <w:r>
        <w:rPr>
          <w:rFonts w:cs="仿宋_GB2312" w:asciiTheme="majorEastAsia" w:hAnsiTheme="majorEastAsia" w:eastAsiaTheme="majorEastAsia"/>
          <w:sz w:val="30"/>
          <w:szCs w:val="30"/>
        </w:rPr>
        <w:t>D</w:t>
      </w:r>
    </w:p>
    <w:p w14:paraId="72A79421">
      <w:pPr>
        <w:spacing w:line="360" w:lineRule="auto"/>
        <w:rPr>
          <w:rFonts w:cs="仿宋_GB2312" w:asciiTheme="majorEastAsia" w:hAnsiTheme="majorEastAsia" w:eastAsiaTheme="majorEastAsia"/>
          <w:sz w:val="28"/>
          <w:szCs w:val="20"/>
        </w:rPr>
      </w:pPr>
    </w:p>
    <w:p w14:paraId="14CF75BD">
      <w:pPr>
        <w:spacing w:line="360" w:lineRule="auto"/>
        <w:jc w:val="center"/>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 xml:space="preserve"> </w:t>
      </w:r>
    </w:p>
    <w:p w14:paraId="35BE5BD3">
      <w:pPr>
        <w:spacing w:line="360" w:lineRule="auto"/>
        <w:jc w:val="center"/>
        <w:rPr>
          <w:rFonts w:cs="仿宋_GB2312" w:asciiTheme="majorEastAsia" w:hAnsiTheme="majorEastAsia" w:eastAsiaTheme="majorEastAsia"/>
          <w:b/>
          <w:sz w:val="44"/>
          <w:szCs w:val="44"/>
        </w:rPr>
      </w:pPr>
    </w:p>
    <w:p w14:paraId="3F2A5200">
      <w:pPr>
        <w:pStyle w:val="30"/>
        <w:ind w:firstLine="560"/>
      </w:pPr>
    </w:p>
    <w:p w14:paraId="7C4ECD05">
      <w:pPr>
        <w:pStyle w:val="30"/>
        <w:ind w:firstLine="560"/>
      </w:pPr>
    </w:p>
    <w:p w14:paraId="63A4ECFE">
      <w:pPr>
        <w:pStyle w:val="30"/>
        <w:ind w:firstLine="560"/>
      </w:pPr>
    </w:p>
    <w:p w14:paraId="2F250B4B">
      <w:pPr>
        <w:pStyle w:val="30"/>
        <w:ind w:firstLine="560"/>
      </w:pPr>
    </w:p>
    <w:p w14:paraId="48D79A7E">
      <w:pPr>
        <w:spacing w:line="360" w:lineRule="auto"/>
        <w:jc w:val="center"/>
        <w:rPr>
          <w:rFonts w:cs="仿宋_GB2312" w:asciiTheme="majorEastAsia" w:hAnsiTheme="majorEastAsia" w:eastAsiaTheme="majorEastAsia"/>
          <w:sz w:val="24"/>
        </w:rPr>
      </w:pPr>
    </w:p>
    <w:p w14:paraId="2FD0B898">
      <w:pPr>
        <w:spacing w:line="360" w:lineRule="auto"/>
        <w:jc w:val="center"/>
        <w:rPr>
          <w:rFonts w:cs="仿宋_GB2312" w:asciiTheme="majorEastAsia" w:hAnsiTheme="majorEastAsia" w:eastAsiaTheme="majorEastAsia"/>
          <w:sz w:val="24"/>
        </w:rPr>
      </w:pPr>
    </w:p>
    <w:p w14:paraId="6D97B626">
      <w:pPr>
        <w:spacing w:line="360" w:lineRule="auto"/>
        <w:rPr>
          <w:rFonts w:cs="仿宋_GB2312" w:asciiTheme="majorEastAsia" w:hAnsiTheme="majorEastAsia" w:eastAsiaTheme="majorEastAsia"/>
          <w:sz w:val="32"/>
          <w:szCs w:val="32"/>
        </w:rPr>
      </w:pPr>
    </w:p>
    <w:p w14:paraId="0C6D639F">
      <w:pPr>
        <w:snapToGrid w:val="0"/>
        <w:spacing w:line="360" w:lineRule="auto"/>
        <w:jc w:val="center"/>
        <w:rPr>
          <w:rFonts w:cs="仿宋_GB2312" w:asciiTheme="majorEastAsia" w:hAnsiTheme="majorEastAsia" w:eastAsiaTheme="majorEastAsia"/>
          <w:sz w:val="32"/>
          <w:szCs w:val="32"/>
        </w:rPr>
      </w:pPr>
      <w:r>
        <w:rPr>
          <w:rFonts w:hint="eastAsia" w:cs="仿宋_GB2312" w:asciiTheme="majorEastAsia" w:hAnsiTheme="majorEastAsia" w:eastAsiaTheme="majorEastAsia"/>
          <w:sz w:val="32"/>
          <w:szCs w:val="32"/>
        </w:rPr>
        <w:t>采购人：宁波市奉化区泓盛农业发展有限公司</w:t>
      </w:r>
    </w:p>
    <w:p w14:paraId="1BCFA7A5">
      <w:pPr>
        <w:spacing w:line="360" w:lineRule="auto"/>
        <w:jc w:val="center"/>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采购代理机构：宁波敬信项目管理咨询有限公司</w:t>
      </w:r>
    </w:p>
    <w:p w14:paraId="7FD30A2D">
      <w:pPr>
        <w:snapToGrid w:val="0"/>
        <w:spacing w:line="360" w:lineRule="auto"/>
        <w:jc w:val="center"/>
        <w:rPr>
          <w:rFonts w:cs="仿宋_GB2312" w:asciiTheme="majorEastAsia" w:hAnsiTheme="majorEastAsia" w:eastAsiaTheme="majorEastAsia"/>
          <w:bCs/>
          <w:sz w:val="32"/>
          <w:szCs w:val="32"/>
        </w:rPr>
      </w:pPr>
    </w:p>
    <w:p w14:paraId="79AC243E">
      <w:pPr>
        <w:snapToGrid w:val="0"/>
        <w:spacing w:line="360" w:lineRule="auto"/>
        <w:jc w:val="center"/>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二零二五年</w:t>
      </w:r>
    </w:p>
    <w:p w14:paraId="4C40F65A">
      <w:pPr>
        <w:spacing w:line="360" w:lineRule="auto"/>
        <w:jc w:val="center"/>
        <w:rPr>
          <w:rFonts w:cs="仿宋_GB2312" w:asciiTheme="majorEastAsia" w:hAnsiTheme="majorEastAsia" w:eastAsiaTheme="majorEastAsia"/>
          <w:b/>
          <w:sz w:val="48"/>
          <w:szCs w:val="48"/>
        </w:rPr>
      </w:pPr>
      <w:r>
        <w:rPr>
          <w:rFonts w:cs="仿宋_GB2312" w:asciiTheme="majorEastAsia" w:hAnsiTheme="majorEastAsia" w:eastAsiaTheme="majorEastAsia"/>
          <w:sz w:val="24"/>
        </w:rPr>
        <w:br w:type="page"/>
      </w:r>
      <w:bookmarkStart w:id="0" w:name="_Hlt67893495"/>
      <w:bookmarkEnd w:id="0"/>
      <w:r>
        <w:rPr>
          <w:rFonts w:hint="eastAsia" w:cs="仿宋_GB2312" w:asciiTheme="majorEastAsia" w:hAnsiTheme="majorEastAsia" w:eastAsiaTheme="majorEastAsia"/>
          <w:b/>
          <w:sz w:val="48"/>
          <w:szCs w:val="48"/>
        </w:rPr>
        <w:t>目</w:t>
      </w:r>
      <w:r>
        <w:rPr>
          <w:rFonts w:cs="仿宋_GB2312" w:asciiTheme="majorEastAsia" w:hAnsiTheme="majorEastAsia" w:eastAsiaTheme="majorEastAsia"/>
          <w:b/>
          <w:sz w:val="48"/>
          <w:szCs w:val="48"/>
        </w:rPr>
        <w:t xml:space="preserve">  </w:t>
      </w:r>
      <w:r>
        <w:rPr>
          <w:rFonts w:hint="eastAsia" w:cs="仿宋_GB2312" w:asciiTheme="majorEastAsia" w:hAnsiTheme="majorEastAsia" w:eastAsiaTheme="majorEastAsia"/>
          <w:b/>
          <w:sz w:val="48"/>
          <w:szCs w:val="48"/>
        </w:rPr>
        <w:t>录</w:t>
      </w:r>
    </w:p>
    <w:p w14:paraId="58195B9D">
      <w:pPr>
        <w:spacing w:line="360" w:lineRule="auto"/>
        <w:rPr>
          <w:rFonts w:cs="仿宋_GB2312" w:asciiTheme="majorEastAsia" w:hAnsiTheme="majorEastAsia" w:eastAsiaTheme="majorEastAsia"/>
          <w:sz w:val="32"/>
          <w:szCs w:val="32"/>
        </w:rPr>
      </w:pPr>
    </w:p>
    <w:p w14:paraId="45366B9F">
      <w:pPr>
        <w:spacing w:line="360" w:lineRule="auto"/>
        <w:rPr>
          <w:rFonts w:cs="仿宋_GB2312" w:asciiTheme="majorEastAsia" w:hAnsiTheme="majorEastAsia" w:eastAsiaTheme="majorEastAsia"/>
          <w:sz w:val="32"/>
          <w:szCs w:val="32"/>
        </w:rPr>
      </w:pPr>
    </w:p>
    <w:p w14:paraId="02A0A639">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第一部分      招标公告</w:t>
      </w:r>
    </w:p>
    <w:p w14:paraId="07E1C54D">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第二部分      投标须知</w:t>
      </w:r>
    </w:p>
    <w:p w14:paraId="3115DEB9">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第三部分      采购需求</w:t>
      </w:r>
    </w:p>
    <w:p w14:paraId="531F0111">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第四部分      评标办法</w:t>
      </w:r>
    </w:p>
    <w:p w14:paraId="11648F9C">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第五部分      拟签订的合同文本</w:t>
      </w:r>
    </w:p>
    <w:p w14:paraId="78CB0420">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第六部分      应提交的有关格式范例</w:t>
      </w:r>
    </w:p>
    <w:p w14:paraId="545ED2FA">
      <w:pPr>
        <w:spacing w:line="360" w:lineRule="auto"/>
        <w:ind w:firstLine="549" w:firstLineChars="229"/>
        <w:rPr>
          <w:rFonts w:cs="仿宋" w:asciiTheme="majorEastAsia" w:hAnsiTheme="majorEastAsia" w:eastAsiaTheme="majorEastAsia"/>
          <w:sz w:val="24"/>
        </w:rPr>
      </w:pPr>
      <w:bookmarkStart w:id="1" w:name="_Hlt91233176"/>
      <w:bookmarkEnd w:id="1"/>
      <w:bookmarkStart w:id="2" w:name="_Toc91899869"/>
    </w:p>
    <w:p w14:paraId="64F0C3EF">
      <w:pPr>
        <w:spacing w:line="360" w:lineRule="auto"/>
        <w:ind w:firstLine="549" w:firstLineChars="229"/>
        <w:rPr>
          <w:rFonts w:cs="仿宋" w:asciiTheme="majorEastAsia" w:hAnsiTheme="majorEastAsia" w:eastAsiaTheme="majorEastAsia"/>
          <w:sz w:val="24"/>
        </w:rPr>
      </w:pPr>
    </w:p>
    <w:p w14:paraId="355BE381">
      <w:pPr>
        <w:spacing w:line="360" w:lineRule="auto"/>
        <w:ind w:firstLine="549" w:firstLineChars="229"/>
        <w:rPr>
          <w:rFonts w:cs="仿宋" w:asciiTheme="majorEastAsia" w:hAnsiTheme="majorEastAsia" w:eastAsiaTheme="majorEastAsia"/>
          <w:sz w:val="24"/>
        </w:rPr>
      </w:pPr>
    </w:p>
    <w:p w14:paraId="33D87EAF">
      <w:pPr>
        <w:spacing w:line="360" w:lineRule="auto"/>
        <w:ind w:firstLine="549" w:firstLineChars="229"/>
        <w:rPr>
          <w:rFonts w:cs="仿宋" w:asciiTheme="majorEastAsia" w:hAnsiTheme="majorEastAsia" w:eastAsiaTheme="majorEastAsia"/>
          <w:sz w:val="24"/>
        </w:rPr>
      </w:pPr>
    </w:p>
    <w:p w14:paraId="5A37423A">
      <w:pPr>
        <w:spacing w:line="360" w:lineRule="auto"/>
        <w:ind w:firstLine="549" w:firstLineChars="229"/>
        <w:rPr>
          <w:rFonts w:cs="仿宋" w:asciiTheme="majorEastAsia" w:hAnsiTheme="majorEastAsia" w:eastAsiaTheme="majorEastAsia"/>
          <w:sz w:val="24"/>
        </w:rPr>
      </w:pPr>
    </w:p>
    <w:p w14:paraId="003380D8">
      <w:pPr>
        <w:spacing w:line="360" w:lineRule="auto"/>
        <w:ind w:firstLine="549" w:firstLineChars="229"/>
        <w:rPr>
          <w:rFonts w:cs="仿宋" w:asciiTheme="majorEastAsia" w:hAnsiTheme="majorEastAsia" w:eastAsiaTheme="majorEastAsia"/>
          <w:sz w:val="24"/>
        </w:rPr>
      </w:pPr>
    </w:p>
    <w:p w14:paraId="59733A39">
      <w:pPr>
        <w:spacing w:line="360" w:lineRule="auto"/>
        <w:ind w:firstLine="549" w:firstLineChars="229"/>
        <w:rPr>
          <w:rFonts w:cs="仿宋" w:asciiTheme="majorEastAsia" w:hAnsiTheme="majorEastAsia" w:eastAsiaTheme="majorEastAsia"/>
          <w:sz w:val="24"/>
        </w:rPr>
      </w:pPr>
    </w:p>
    <w:p w14:paraId="6A9A8250">
      <w:pPr>
        <w:spacing w:line="360" w:lineRule="auto"/>
        <w:ind w:firstLine="549" w:firstLineChars="229"/>
        <w:rPr>
          <w:rFonts w:cs="仿宋" w:asciiTheme="majorEastAsia" w:hAnsiTheme="majorEastAsia" w:eastAsiaTheme="majorEastAsia"/>
          <w:sz w:val="24"/>
        </w:rPr>
      </w:pPr>
    </w:p>
    <w:p w14:paraId="51D33DE7">
      <w:pPr>
        <w:spacing w:line="360" w:lineRule="auto"/>
        <w:ind w:firstLine="549" w:firstLineChars="229"/>
        <w:rPr>
          <w:rFonts w:cs="仿宋" w:asciiTheme="majorEastAsia" w:hAnsiTheme="majorEastAsia" w:eastAsiaTheme="majorEastAsia"/>
          <w:sz w:val="24"/>
        </w:rPr>
      </w:pPr>
    </w:p>
    <w:p w14:paraId="5C4FC4D7">
      <w:pPr>
        <w:spacing w:line="360" w:lineRule="auto"/>
        <w:ind w:firstLine="549" w:firstLineChars="229"/>
        <w:rPr>
          <w:rFonts w:cs="仿宋" w:asciiTheme="majorEastAsia" w:hAnsiTheme="majorEastAsia" w:eastAsiaTheme="majorEastAsia"/>
          <w:sz w:val="24"/>
        </w:rPr>
      </w:pPr>
    </w:p>
    <w:p w14:paraId="3A7130B4">
      <w:pPr>
        <w:spacing w:line="360" w:lineRule="auto"/>
        <w:ind w:firstLine="549" w:firstLineChars="229"/>
        <w:rPr>
          <w:rFonts w:cs="仿宋" w:asciiTheme="majorEastAsia" w:hAnsiTheme="majorEastAsia" w:eastAsiaTheme="majorEastAsia"/>
          <w:sz w:val="24"/>
        </w:rPr>
      </w:pPr>
    </w:p>
    <w:p w14:paraId="47B95C75">
      <w:pPr>
        <w:spacing w:line="360" w:lineRule="auto"/>
        <w:ind w:firstLine="549" w:firstLineChars="229"/>
        <w:rPr>
          <w:rFonts w:cs="仿宋" w:asciiTheme="majorEastAsia" w:hAnsiTheme="majorEastAsia" w:eastAsiaTheme="majorEastAsia"/>
          <w:sz w:val="24"/>
        </w:rPr>
      </w:pPr>
    </w:p>
    <w:p w14:paraId="0DA2815D">
      <w:pPr>
        <w:spacing w:line="360" w:lineRule="auto"/>
        <w:ind w:firstLine="549" w:firstLineChars="229"/>
        <w:rPr>
          <w:rFonts w:cs="仿宋" w:asciiTheme="majorEastAsia" w:hAnsiTheme="majorEastAsia" w:eastAsiaTheme="majorEastAsia"/>
          <w:sz w:val="24"/>
        </w:rPr>
      </w:pPr>
    </w:p>
    <w:p w14:paraId="43854CBA">
      <w:pPr>
        <w:spacing w:line="360" w:lineRule="auto"/>
        <w:rPr>
          <w:rFonts w:cs="仿宋" w:asciiTheme="majorEastAsia" w:hAnsiTheme="majorEastAsia" w:eastAsiaTheme="majorEastAsia"/>
          <w:sz w:val="24"/>
        </w:rPr>
      </w:pPr>
    </w:p>
    <w:p w14:paraId="06E3B1D4">
      <w:pPr>
        <w:spacing w:line="360" w:lineRule="auto"/>
        <w:jc w:val="center"/>
        <w:outlineLvl w:val="0"/>
        <w:rPr>
          <w:rFonts w:cs="仿宋" w:asciiTheme="majorEastAsia" w:hAnsiTheme="majorEastAsia" w:eastAsiaTheme="majorEastAsia"/>
          <w:b/>
          <w:sz w:val="36"/>
          <w:szCs w:val="20"/>
        </w:rPr>
      </w:pPr>
      <w:bookmarkStart w:id="3" w:name="第一部分"/>
      <w:r>
        <w:rPr>
          <w:rFonts w:hint="eastAsia" w:cs="仿宋" w:asciiTheme="majorEastAsia" w:hAnsiTheme="majorEastAsia" w:eastAsiaTheme="majorEastAsia"/>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cs="仿宋" w:asciiTheme="majorEastAsia" w:hAnsiTheme="majorEastAsia" w:eastAsiaTheme="majorEastAsia"/>
          <w:b/>
          <w:sz w:val="36"/>
          <w:szCs w:val="20"/>
        </w:rPr>
        <w:t>第一部分 招标公告</w:t>
      </w:r>
    </w:p>
    <w:p w14:paraId="5EF61EB6">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项目概况</w:t>
      </w:r>
    </w:p>
    <w:p w14:paraId="5C395B64">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u w:val="single"/>
        </w:rPr>
        <w:t>奉化区水蜜桃文化博览园运营服务项目</w:t>
      </w:r>
      <w:r>
        <w:rPr>
          <w:rFonts w:hint="eastAsia" w:cs="仿宋" w:asciiTheme="majorEastAsia" w:hAnsiTheme="majorEastAsia" w:eastAsiaTheme="majorEastAsia"/>
          <w:sz w:val="24"/>
        </w:rPr>
        <w:t>的潜在供应商应在乐采云平台（</w:t>
      </w:r>
      <w:r>
        <w:fldChar w:fldCharType="begin"/>
      </w:r>
      <w:r>
        <w:instrText xml:space="preserve"> HYPERLINK "https://www.zcygov.cn/）获取（下载）招标文件，并于2024年00月00日00点00分00秒" </w:instrText>
      </w:r>
      <w:r>
        <w:fldChar w:fldCharType="separate"/>
      </w:r>
      <w:r>
        <w:rPr>
          <w:rStyle w:val="29"/>
          <w:rFonts w:hint="eastAsia" w:cs="仿宋" w:asciiTheme="majorEastAsia" w:hAnsiTheme="majorEastAsia" w:eastAsiaTheme="majorEastAsia"/>
          <w:color w:val="auto"/>
          <w:sz w:val="24"/>
          <w:szCs w:val="24"/>
        </w:rPr>
        <w:t>https://www.lecaiyun.com/）获取（下载）招标文件，并于</w:t>
      </w:r>
      <w:r>
        <w:rPr>
          <w:rStyle w:val="29"/>
          <w:rFonts w:hint="eastAsia" w:cs="仿宋" w:asciiTheme="majorEastAsia" w:hAnsiTheme="majorEastAsia" w:eastAsiaTheme="majorEastAsia"/>
          <w:snapToGrid/>
          <w:color w:val="auto"/>
          <w:kern w:val="2"/>
          <w:sz w:val="24"/>
          <w:szCs w:val="24"/>
        </w:rPr>
        <w:t>2025年</w:t>
      </w:r>
      <w:r>
        <w:rPr>
          <w:rStyle w:val="29"/>
          <w:rFonts w:hint="eastAsia" w:cs="仿宋" w:asciiTheme="majorEastAsia" w:hAnsiTheme="majorEastAsia" w:eastAsiaTheme="majorEastAsia"/>
          <w:snapToGrid/>
          <w:color w:val="auto"/>
          <w:kern w:val="2"/>
          <w:sz w:val="24"/>
          <w:szCs w:val="24"/>
          <w:lang w:val="en-US" w:eastAsia="zh-CN"/>
        </w:rPr>
        <w:t>06</w:t>
      </w:r>
      <w:r>
        <w:rPr>
          <w:rStyle w:val="29"/>
          <w:rFonts w:hint="eastAsia" w:cs="仿宋" w:asciiTheme="majorEastAsia" w:hAnsiTheme="majorEastAsia" w:eastAsiaTheme="majorEastAsia"/>
          <w:snapToGrid/>
          <w:color w:val="auto"/>
          <w:kern w:val="2"/>
          <w:sz w:val="24"/>
          <w:szCs w:val="24"/>
        </w:rPr>
        <w:t>月</w:t>
      </w:r>
      <w:r>
        <w:rPr>
          <w:rStyle w:val="29"/>
          <w:rFonts w:hint="eastAsia" w:cs="仿宋" w:asciiTheme="majorEastAsia" w:hAnsiTheme="majorEastAsia" w:eastAsiaTheme="majorEastAsia"/>
          <w:snapToGrid/>
          <w:color w:val="auto"/>
          <w:kern w:val="2"/>
          <w:sz w:val="24"/>
          <w:szCs w:val="24"/>
          <w:lang w:val="en-US" w:eastAsia="zh-CN"/>
        </w:rPr>
        <w:t>30</w:t>
      </w:r>
      <w:r>
        <w:rPr>
          <w:rStyle w:val="29"/>
          <w:rFonts w:hint="eastAsia" w:cs="仿宋" w:asciiTheme="majorEastAsia" w:hAnsiTheme="majorEastAsia" w:eastAsiaTheme="majorEastAsia"/>
          <w:snapToGrid/>
          <w:color w:val="auto"/>
          <w:kern w:val="2"/>
          <w:sz w:val="24"/>
          <w:szCs w:val="24"/>
        </w:rPr>
        <w:t>日</w:t>
      </w:r>
      <w:r>
        <w:rPr>
          <w:rStyle w:val="29"/>
          <w:rFonts w:hint="eastAsia" w:cs="仿宋" w:asciiTheme="majorEastAsia" w:hAnsiTheme="majorEastAsia" w:eastAsiaTheme="majorEastAsia"/>
          <w:snapToGrid/>
          <w:color w:val="auto"/>
          <w:kern w:val="2"/>
          <w:sz w:val="24"/>
          <w:szCs w:val="24"/>
          <w:lang w:val="en-US" w:eastAsia="zh-CN"/>
        </w:rPr>
        <w:t>09</w:t>
      </w:r>
      <w:r>
        <w:rPr>
          <w:rStyle w:val="29"/>
          <w:rFonts w:hint="eastAsia" w:cs="仿宋" w:asciiTheme="majorEastAsia" w:hAnsiTheme="majorEastAsia" w:eastAsiaTheme="majorEastAsia"/>
          <w:snapToGrid/>
          <w:color w:val="auto"/>
          <w:kern w:val="2"/>
          <w:sz w:val="24"/>
          <w:szCs w:val="24"/>
        </w:rPr>
        <w:t>点00分</w:t>
      </w:r>
      <w:r>
        <w:rPr>
          <w:rStyle w:val="29"/>
          <w:rFonts w:hint="eastAsia" w:cs="仿宋" w:asciiTheme="majorEastAsia" w:hAnsiTheme="majorEastAsia" w:eastAsiaTheme="majorEastAsia"/>
          <w:bCs/>
          <w:snapToGrid/>
          <w:color w:val="auto"/>
          <w:kern w:val="2"/>
          <w:sz w:val="24"/>
          <w:szCs w:val="24"/>
        </w:rPr>
        <w:t>00秒</w:t>
      </w:r>
      <w:r>
        <w:rPr>
          <w:rStyle w:val="29"/>
          <w:rFonts w:hint="eastAsia" w:cs="仿宋" w:asciiTheme="majorEastAsia" w:hAnsiTheme="majorEastAsia" w:eastAsiaTheme="majorEastAsia"/>
          <w:bCs/>
          <w:snapToGrid/>
          <w:color w:val="auto"/>
          <w:kern w:val="2"/>
          <w:sz w:val="24"/>
          <w:szCs w:val="24"/>
        </w:rPr>
        <w:fldChar w:fldCharType="end"/>
      </w:r>
      <w:r>
        <w:rPr>
          <w:rFonts w:hint="eastAsia" w:cs="仿宋" w:asciiTheme="majorEastAsia" w:hAnsiTheme="majorEastAsia" w:eastAsiaTheme="majorEastAsia"/>
          <w:bCs/>
          <w:sz w:val="24"/>
        </w:rPr>
        <w:t>（北京时间）前</w:t>
      </w:r>
      <w:r>
        <w:rPr>
          <w:rFonts w:hint="eastAsia" w:cs="仿宋" w:asciiTheme="majorEastAsia" w:hAnsiTheme="majorEastAsia" w:eastAsiaTheme="majorEastAsia"/>
          <w:sz w:val="24"/>
        </w:rPr>
        <w:t>递交（上传）投标文件。</w:t>
      </w:r>
    </w:p>
    <w:p w14:paraId="7F8CB512">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一、项目基本情况                                            </w:t>
      </w:r>
    </w:p>
    <w:p w14:paraId="14E8E83E">
      <w:pPr>
        <w:spacing w:line="360" w:lineRule="auto"/>
        <w:rPr>
          <w:rFonts w:cs="仿宋" w:asciiTheme="majorEastAsia" w:hAnsiTheme="majorEastAsia"/>
          <w:sz w:val="24"/>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b/>
          <w:sz w:val="24"/>
        </w:rPr>
        <w:t>项目编号：</w:t>
      </w:r>
      <w:r>
        <w:rPr>
          <w:rFonts w:cs="仿宋" w:asciiTheme="majorEastAsia" w:hAnsiTheme="majorEastAsia" w:eastAsiaTheme="majorEastAsia"/>
          <w:sz w:val="24"/>
        </w:rPr>
        <w:t>FHGQZB(202</w:t>
      </w:r>
      <w:r>
        <w:rPr>
          <w:rFonts w:hint="eastAsia" w:cs="仿宋" w:asciiTheme="majorEastAsia" w:hAnsiTheme="majorEastAsia" w:eastAsiaTheme="majorEastAsia"/>
          <w:sz w:val="24"/>
        </w:rPr>
        <w:t>5</w:t>
      </w:r>
      <w:r>
        <w:rPr>
          <w:rFonts w:cs="仿宋" w:asciiTheme="majorEastAsia" w:hAnsiTheme="majorEastAsia" w:eastAsiaTheme="majorEastAsia"/>
          <w:sz w:val="24"/>
        </w:rPr>
        <w:t>)</w:t>
      </w:r>
      <w:r>
        <w:rPr>
          <w:rFonts w:hint="eastAsia" w:cs="仿宋" w:asciiTheme="majorEastAsia" w:hAnsiTheme="majorEastAsia" w:eastAsiaTheme="majorEastAsia"/>
          <w:sz w:val="24"/>
          <w:lang w:val="en-US" w:eastAsia="zh-CN"/>
        </w:rPr>
        <w:t>190</w:t>
      </w:r>
      <w:r>
        <w:rPr>
          <w:rFonts w:cs="仿宋" w:asciiTheme="majorEastAsia" w:hAnsiTheme="majorEastAsia" w:eastAsiaTheme="majorEastAsia"/>
          <w:sz w:val="24"/>
        </w:rPr>
        <w:t>D</w:t>
      </w:r>
      <w:r>
        <w:rPr>
          <w:rFonts w:hint="eastAsia" w:cs="仿宋" w:asciiTheme="majorEastAsia" w:hAnsiTheme="majorEastAsia" w:eastAsiaTheme="majorEastAsia"/>
          <w:sz w:val="24"/>
        </w:rPr>
        <w:t xml:space="preserve">              档案编号：</w:t>
      </w:r>
      <w:r>
        <w:rPr>
          <w:rFonts w:hint="eastAsia" w:ascii="宋体" w:hAnsi="宋体" w:cs="宋体"/>
          <w:sz w:val="24"/>
        </w:rPr>
        <w:t>JX-25108</w:t>
      </w:r>
    </w:p>
    <w:p w14:paraId="3017E2C4">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b/>
          <w:sz w:val="24"/>
        </w:rPr>
        <w:t xml:space="preserve"> 项目名称：</w:t>
      </w:r>
      <w:r>
        <w:rPr>
          <w:rFonts w:hint="eastAsia" w:cs="仿宋" w:asciiTheme="majorEastAsia" w:hAnsiTheme="majorEastAsia" w:eastAsiaTheme="majorEastAsia"/>
          <w:sz w:val="24"/>
        </w:rPr>
        <w:t>奉化区水蜜桃文化博览园运营服务项目</w:t>
      </w:r>
    </w:p>
    <w:p w14:paraId="41C9516E">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b/>
          <w:sz w:val="24"/>
        </w:rPr>
        <w:t xml:space="preserve"> 预算金额（元）：</w:t>
      </w:r>
      <w:r>
        <w:rPr>
          <w:rFonts w:hint="eastAsia" w:cs="仿宋" w:asciiTheme="majorEastAsia" w:hAnsiTheme="majorEastAsia" w:eastAsiaTheme="majorEastAsia"/>
          <w:bCs/>
          <w:sz w:val="24"/>
        </w:rPr>
        <w:t>1833560元/年</w:t>
      </w:r>
    </w:p>
    <w:p w14:paraId="335431CB">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b/>
          <w:sz w:val="24"/>
        </w:rPr>
        <w:t>最高限价（元）：</w:t>
      </w:r>
      <w:r>
        <w:rPr>
          <w:rFonts w:hint="eastAsia" w:cs="仿宋" w:asciiTheme="majorEastAsia" w:hAnsiTheme="majorEastAsia" w:eastAsiaTheme="majorEastAsia"/>
          <w:bCs/>
          <w:sz w:val="24"/>
        </w:rPr>
        <w:t>1833560元/年；</w:t>
      </w:r>
      <w:r>
        <w:rPr>
          <w:rFonts w:hint="eastAsia" w:ascii="宋体" w:hAnsi="宋体" w:cs="仿宋"/>
          <w:bCs/>
          <w:sz w:val="24"/>
        </w:rPr>
        <w:t>（其中</w:t>
      </w:r>
      <w:bookmarkStart w:id="11" w:name="OLE_LINK2"/>
      <w:r>
        <w:rPr>
          <w:rFonts w:hint="eastAsia" w:ascii="宋体" w:hAnsi="宋体" w:cs="仿宋"/>
          <w:bCs/>
          <w:sz w:val="24"/>
        </w:rPr>
        <w:t>招商运营服务</w:t>
      </w:r>
      <w:bookmarkEnd w:id="11"/>
      <w:r>
        <w:rPr>
          <w:rFonts w:hint="eastAsia" w:ascii="宋体" w:hAnsi="宋体" w:cs="仿宋"/>
          <w:bCs/>
          <w:sz w:val="24"/>
        </w:rPr>
        <w:t>最高限价：400000元/年；园区物业化管理服务最高限价：1433560元/年）</w:t>
      </w:r>
    </w:p>
    <w:p w14:paraId="6BDFAF78">
      <w:pPr>
        <w:pStyle w:val="6"/>
        <w:spacing w:line="360" w:lineRule="auto"/>
        <w:ind w:firstLine="480"/>
        <w:rPr>
          <w:rFonts w:cs="仿宋" w:asciiTheme="majorEastAsia" w:hAnsiTheme="majorEastAsia" w:eastAsiaTheme="majorEastAsia"/>
          <w:bCs/>
          <w:snapToGrid/>
          <w:color w:val="auto"/>
          <w:kern w:val="2"/>
          <w:sz w:val="24"/>
          <w:szCs w:val="24"/>
        </w:rPr>
      </w:pPr>
      <w:r>
        <w:rPr>
          <w:rFonts w:hint="eastAsia" w:cs="仿宋" w:asciiTheme="majorEastAsia" w:hAnsiTheme="majorEastAsia" w:eastAsiaTheme="majorEastAsia"/>
          <w:b/>
          <w:color w:val="auto"/>
          <w:sz w:val="24"/>
        </w:rPr>
        <w:t>采购需求：</w:t>
      </w:r>
      <w:r>
        <w:rPr>
          <w:rFonts w:hint="eastAsia" w:cs="仿宋" w:asciiTheme="majorEastAsia" w:hAnsiTheme="majorEastAsia" w:eastAsiaTheme="majorEastAsia"/>
          <w:color w:val="auto"/>
          <w:sz w:val="24"/>
        </w:rPr>
        <w:t>奉化区水蜜桃文化博览园运营服务</w:t>
      </w:r>
      <w:r>
        <w:rPr>
          <w:rFonts w:hint="eastAsia" w:cs="仿宋" w:asciiTheme="majorEastAsia" w:hAnsiTheme="majorEastAsia" w:eastAsiaTheme="majorEastAsia"/>
          <w:bCs/>
          <w:snapToGrid/>
          <w:color w:val="auto"/>
          <w:kern w:val="2"/>
          <w:sz w:val="24"/>
          <w:szCs w:val="24"/>
        </w:rPr>
        <w:t>。详见招标文件第三部分采购需求。</w:t>
      </w:r>
    </w:p>
    <w:p w14:paraId="0560266E">
      <w:pPr>
        <w:spacing w:line="360" w:lineRule="auto"/>
        <w:ind w:firstLine="480"/>
        <w:rPr>
          <w:rFonts w:cs="仿宋" w:asciiTheme="majorEastAsia" w:hAnsiTheme="majorEastAsia" w:eastAsiaTheme="majorEastAsia"/>
          <w:bCs/>
          <w:sz w:val="24"/>
        </w:rPr>
      </w:pPr>
      <w:r>
        <w:rPr>
          <w:rFonts w:hint="eastAsia" w:cs="仿宋" w:asciiTheme="majorEastAsia" w:hAnsiTheme="majorEastAsia" w:eastAsiaTheme="majorEastAsia"/>
          <w:b/>
          <w:sz w:val="24"/>
        </w:rPr>
        <w:t>合同履约期限：</w:t>
      </w:r>
      <w:r>
        <w:rPr>
          <w:rFonts w:hint="eastAsia" w:hAnsi="宋体"/>
          <w:sz w:val="24"/>
        </w:rPr>
        <w:t>合同签订之日起三年，合同一年一签，具体</w:t>
      </w:r>
      <w:r>
        <w:rPr>
          <w:rFonts w:hint="eastAsia" w:cs="仿宋" w:asciiTheme="majorEastAsia" w:hAnsiTheme="majorEastAsia" w:eastAsiaTheme="majorEastAsia"/>
          <w:bCs/>
          <w:sz w:val="24"/>
        </w:rPr>
        <w:t>详见招标文件第三部分采购需求。</w:t>
      </w:r>
    </w:p>
    <w:p w14:paraId="72A539B1">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二、申请人的资格要求：</w:t>
      </w:r>
    </w:p>
    <w:p w14:paraId="467FF1F3">
      <w:pPr>
        <w:spacing w:line="360" w:lineRule="auto"/>
        <w:ind w:firstLine="480"/>
        <w:rPr>
          <w:rFonts w:cs="仿宋" w:asciiTheme="majorEastAsia" w:hAnsiTheme="majorEastAsia" w:eastAsiaTheme="majorEastAsia"/>
          <w:snapToGrid w:val="0"/>
          <w:kern w:val="28"/>
          <w:sz w:val="24"/>
          <w:szCs w:val="20"/>
        </w:rPr>
      </w:pPr>
      <w:r>
        <w:rPr>
          <w:rFonts w:hint="eastAsia" w:cs="仿宋" w:asciiTheme="majorEastAsia" w:hAnsiTheme="majorEastAsia" w:eastAsiaTheme="majorEastAsia"/>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60D245CB">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napToGrid w:val="0"/>
          <w:kern w:val="28"/>
          <w:sz w:val="24"/>
          <w:szCs w:val="20"/>
        </w:rPr>
        <w:t xml:space="preserve">    2.落实政府采购政策需满足的资格要求：</w:t>
      </w:r>
      <w:r>
        <w:rPr>
          <w:rFonts w:hint="eastAsia" w:cs="仿宋" w:asciiTheme="majorEastAsia" w:hAnsiTheme="majorEastAsia" w:eastAsiaTheme="majorEastAsia"/>
          <w:kern w:val="0"/>
          <w:sz w:val="24"/>
        </w:rPr>
        <w:t xml:space="preserve"> </w:t>
      </w:r>
      <w:r>
        <w:rPr>
          <w:rFonts w:hint="eastAsia" w:cs="仿宋" w:asciiTheme="majorEastAsia" w:hAnsiTheme="majorEastAsia" w:eastAsiaTheme="majorEastAsia"/>
          <w:kern w:val="0"/>
          <w:sz w:val="24"/>
        </w:rPr>
        <w:sym w:font="Wingdings" w:char="F0FE"/>
      </w:r>
      <w:r>
        <w:rPr>
          <w:rFonts w:hint="eastAsia" w:cs="仿宋" w:asciiTheme="majorEastAsia" w:hAnsiTheme="majorEastAsia" w:eastAsiaTheme="majorEastAsia"/>
          <w:sz w:val="24"/>
        </w:rPr>
        <w:t>无；</w:t>
      </w:r>
    </w:p>
    <w:p w14:paraId="44AE2401">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3.本项目的特定资格要求：</w:t>
      </w:r>
      <w:r>
        <w:rPr>
          <w:rFonts w:hint="eastAsia" w:ascii="宋体" w:hAnsi="宋体" w:cs="仿宋" w:eastAsiaTheme="majorEastAsia"/>
          <w:sz w:val="24"/>
        </w:rPr>
        <w:t>/</w:t>
      </w:r>
      <w:r>
        <w:rPr>
          <w:rFonts w:hint="eastAsia" w:cs="仿宋" w:asciiTheme="majorEastAsia" w:hAnsiTheme="majorEastAsia" w:eastAsiaTheme="majorEastAsia"/>
          <w:sz w:val="24"/>
        </w:rPr>
        <w:t>。</w:t>
      </w:r>
    </w:p>
    <w:p w14:paraId="2D9521C4">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79BA2D3">
      <w:pPr>
        <w:pStyle w:val="30"/>
        <w:spacing w:line="360" w:lineRule="auto"/>
        <w:ind w:firstLine="480"/>
      </w:pPr>
      <w:r>
        <w:rPr>
          <w:rFonts w:hint="eastAsia" w:cs="仿宋" w:asciiTheme="majorEastAsia" w:hAnsiTheme="majorEastAsia" w:eastAsiaTheme="majorEastAsia"/>
          <w:sz w:val="24"/>
        </w:rPr>
        <w:t>5.本项目接受联合体投标：</w:t>
      </w:r>
      <w:r>
        <w:rPr>
          <w:rFonts w:hint="eastAsia" w:ascii="MS Gothic" w:hAnsi="MS Gothic" w:eastAsia="MS Gothic" w:cs="MS Gothic"/>
          <w:kern w:val="0"/>
          <w:sz w:val="24"/>
        </w:rPr>
        <w:t>☐</w:t>
      </w:r>
      <w:r>
        <w:rPr>
          <w:rFonts w:hint="eastAsia" w:cs="仿宋" w:asciiTheme="majorEastAsia" w:hAnsiTheme="majorEastAsia" w:eastAsiaTheme="majorEastAsia"/>
          <w:sz w:val="24"/>
        </w:rPr>
        <w:t>是，</w:t>
      </w:r>
      <w:r>
        <w:rPr>
          <w:rFonts w:hint="eastAsia" w:cs="仿宋" w:asciiTheme="majorEastAsia" w:hAnsiTheme="majorEastAsia" w:eastAsiaTheme="majorEastAsia"/>
          <w:kern w:val="0"/>
          <w:sz w:val="24"/>
        </w:rPr>
        <w:t xml:space="preserve"> </w:t>
      </w:r>
      <w:r>
        <w:rPr>
          <w:rFonts w:hint="eastAsia" w:cs="仿宋" w:asciiTheme="majorEastAsia" w:hAnsiTheme="majorEastAsia" w:eastAsiaTheme="majorEastAsia"/>
          <w:kern w:val="0"/>
          <w:sz w:val="24"/>
        </w:rPr>
        <w:sym w:font="Wingdings" w:char="F0FE"/>
      </w:r>
      <w:r>
        <w:rPr>
          <w:rFonts w:hint="eastAsia" w:cs="仿宋" w:asciiTheme="majorEastAsia" w:hAnsiTheme="majorEastAsia" w:eastAsiaTheme="majorEastAsia"/>
          <w:sz w:val="24"/>
        </w:rPr>
        <w:t>否</w:t>
      </w:r>
      <w:r>
        <w:rPr>
          <w:rFonts w:hint="eastAsia" w:cs="仿宋" w:asciiTheme="majorEastAsia" w:hAnsiTheme="majorEastAsia" w:eastAsiaTheme="majorEastAsia"/>
          <w:kern w:val="0"/>
          <w:sz w:val="24"/>
        </w:rPr>
        <w:t>。</w:t>
      </w:r>
    </w:p>
    <w:p w14:paraId="0276F166">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三、获取招标文件 </w:t>
      </w:r>
    </w:p>
    <w:p w14:paraId="388148E8">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时间：</w:t>
      </w:r>
      <w:r>
        <w:rPr>
          <w:rFonts w:hint="eastAsia" w:cs="仿宋" w:asciiTheme="majorEastAsia" w:hAnsiTheme="majorEastAsia" w:eastAsiaTheme="majorEastAsia"/>
          <w:sz w:val="24"/>
          <w:u w:val="single"/>
        </w:rPr>
        <w:t>2025年</w:t>
      </w:r>
      <w:r>
        <w:rPr>
          <w:rFonts w:hint="eastAsia" w:cs="仿宋" w:asciiTheme="majorEastAsia" w:hAnsiTheme="majorEastAsia" w:eastAsiaTheme="majorEastAsia"/>
          <w:sz w:val="24"/>
          <w:u w:val="single"/>
          <w:lang w:val="en-US" w:eastAsia="zh-CN"/>
        </w:rPr>
        <w:t>06</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06</w:t>
      </w:r>
      <w:r>
        <w:rPr>
          <w:rFonts w:hint="eastAsia" w:cs="仿宋" w:asciiTheme="majorEastAsia" w:hAnsiTheme="majorEastAsia" w:eastAsiaTheme="majorEastAsia"/>
          <w:sz w:val="24"/>
          <w:u w:val="single"/>
        </w:rPr>
        <w:t>日</w:t>
      </w:r>
      <w:r>
        <w:rPr>
          <w:rFonts w:hint="eastAsia" w:cs="仿宋" w:asciiTheme="majorEastAsia" w:hAnsiTheme="majorEastAsia" w:eastAsiaTheme="majorEastAsia"/>
          <w:sz w:val="24"/>
        </w:rPr>
        <w:t>至</w:t>
      </w:r>
      <w:r>
        <w:rPr>
          <w:rFonts w:hint="eastAsia" w:cs="仿宋" w:asciiTheme="majorEastAsia" w:hAnsiTheme="majorEastAsia" w:eastAsiaTheme="majorEastAsia"/>
          <w:sz w:val="24"/>
          <w:u w:val="single"/>
        </w:rPr>
        <w:t>2025年</w:t>
      </w:r>
      <w:r>
        <w:rPr>
          <w:rFonts w:hint="eastAsia" w:cs="仿宋" w:asciiTheme="majorEastAsia" w:hAnsiTheme="majorEastAsia" w:eastAsiaTheme="majorEastAsia"/>
          <w:sz w:val="24"/>
          <w:u w:val="single"/>
          <w:lang w:val="en-US" w:eastAsia="zh-CN"/>
        </w:rPr>
        <w:t>06</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13</w:t>
      </w:r>
      <w:r>
        <w:rPr>
          <w:rFonts w:hint="eastAsia" w:cs="仿宋" w:asciiTheme="majorEastAsia" w:hAnsiTheme="majorEastAsia" w:eastAsiaTheme="majorEastAsia"/>
          <w:sz w:val="24"/>
          <w:u w:val="single"/>
        </w:rPr>
        <w:t>日</w:t>
      </w:r>
      <w:r>
        <w:rPr>
          <w:rFonts w:hint="eastAsia" w:cs="仿宋" w:asciiTheme="majorEastAsia" w:hAnsiTheme="majorEastAsia" w:eastAsiaTheme="majorEastAsia"/>
          <w:sz w:val="24"/>
        </w:rPr>
        <w:t>，每天上午00:00至12:00 ，下午12:00至23:59（北京时间）。</w:t>
      </w:r>
    </w:p>
    <w:p w14:paraId="2C731904">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地点（网址）：</w:t>
      </w:r>
      <w:r>
        <w:rPr>
          <w:rFonts w:hint="eastAsia" w:cs="仿宋" w:asciiTheme="majorEastAsia" w:hAnsiTheme="majorEastAsia" w:eastAsiaTheme="majorEastAsia"/>
          <w:sz w:val="24"/>
        </w:rPr>
        <w:t>乐采云平台（https://</w:t>
      </w:r>
      <w:r>
        <w:rPr>
          <w:rStyle w:val="29"/>
          <w:rFonts w:hint="eastAsia" w:cs="仿宋" w:asciiTheme="majorEastAsia" w:hAnsiTheme="majorEastAsia" w:eastAsiaTheme="majorEastAsia"/>
          <w:color w:val="auto"/>
          <w:sz w:val="24"/>
          <w:szCs w:val="24"/>
        </w:rPr>
        <w:t>www.lecaiyun.com/</w:t>
      </w:r>
      <w:r>
        <w:rPr>
          <w:rFonts w:hint="eastAsia" w:cs="仿宋" w:asciiTheme="majorEastAsia" w:hAnsiTheme="majorEastAsia" w:eastAsiaTheme="majorEastAsia"/>
          <w:sz w:val="24"/>
        </w:rPr>
        <w:t>）。</w:t>
      </w:r>
    </w:p>
    <w:p w14:paraId="7222EF26">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方式：</w:t>
      </w:r>
      <w:r>
        <w:rPr>
          <w:rFonts w:hint="eastAsia" w:cs="仿宋" w:asciiTheme="majorEastAsia" w:hAnsiTheme="majorEastAsia" w:eastAsiaTheme="majorEastAsia"/>
          <w:sz w:val="24"/>
        </w:rPr>
        <w:t>供应商登录乐采云平台https://</w:t>
      </w:r>
      <w:r>
        <w:rPr>
          <w:rStyle w:val="29"/>
          <w:rFonts w:hint="eastAsia" w:cs="仿宋" w:asciiTheme="majorEastAsia" w:hAnsiTheme="majorEastAsia" w:eastAsiaTheme="majorEastAsia"/>
          <w:color w:val="auto"/>
          <w:sz w:val="24"/>
          <w:szCs w:val="24"/>
        </w:rPr>
        <w:t>www.lecaiyun.com/</w:t>
      </w:r>
      <w:r>
        <w:rPr>
          <w:rFonts w:hint="eastAsia" w:cs="仿宋" w:asciiTheme="majorEastAsia" w:hAnsiTheme="majorEastAsia" w:eastAsiaTheme="majorEastAsia"/>
          <w:sz w:val="24"/>
        </w:rPr>
        <w:t xml:space="preserve">在线申请获取招标文件（进入“项目采购”应用，在获取采购文件菜单中选择项目，申请获取招标文件）。 </w:t>
      </w:r>
    </w:p>
    <w:p w14:paraId="575CF550">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售价（元）：</w:t>
      </w:r>
      <w:r>
        <w:rPr>
          <w:rFonts w:hint="eastAsia" w:cs="仿宋" w:asciiTheme="majorEastAsia" w:hAnsiTheme="majorEastAsia" w:eastAsiaTheme="majorEastAsia"/>
          <w:sz w:val="24"/>
        </w:rPr>
        <w:t xml:space="preserve">0 </w:t>
      </w:r>
      <w:r>
        <w:rPr>
          <w:rFonts w:hint="eastAsia" w:cs="仿宋" w:asciiTheme="majorEastAsia" w:hAnsiTheme="majorEastAsia" w:eastAsiaTheme="majorEastAsia"/>
          <w:sz w:val="24"/>
        </w:rPr>
        <w:tab/>
      </w:r>
    </w:p>
    <w:p w14:paraId="6BF6D12F">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四、提交投标文件截止时间、开标时间和地点</w:t>
      </w:r>
    </w:p>
    <w:p w14:paraId="66B75BF8">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提交投标文件截止时间：</w:t>
      </w:r>
      <w:r>
        <w:rPr>
          <w:rFonts w:hint="eastAsia" w:cs="仿宋" w:asciiTheme="majorEastAsia" w:hAnsiTheme="majorEastAsia" w:eastAsiaTheme="majorEastAsia"/>
          <w:sz w:val="24"/>
          <w:u w:val="single"/>
        </w:rPr>
        <w:t xml:space="preserve"> 2025年0</w:t>
      </w:r>
      <w:r>
        <w:rPr>
          <w:rFonts w:hint="eastAsia" w:cs="仿宋" w:asciiTheme="majorEastAsia" w:hAnsiTheme="majorEastAsia" w:eastAsiaTheme="majorEastAsia"/>
          <w:sz w:val="24"/>
          <w:u w:val="single"/>
          <w:lang w:val="en-US" w:eastAsia="zh-CN"/>
        </w:rPr>
        <w:t>6</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30</w:t>
      </w:r>
      <w:r>
        <w:rPr>
          <w:rFonts w:hint="eastAsia" w:cs="仿宋" w:asciiTheme="majorEastAsia" w:hAnsiTheme="majorEastAsia" w:eastAsiaTheme="majorEastAsia"/>
          <w:sz w:val="24"/>
          <w:u w:val="single"/>
        </w:rPr>
        <w:tab/>
      </w:r>
      <w:r>
        <w:rPr>
          <w:rFonts w:hint="eastAsia" w:cs="仿宋" w:asciiTheme="majorEastAsia" w:hAnsiTheme="majorEastAsia" w:eastAsiaTheme="majorEastAsia"/>
          <w:sz w:val="24"/>
          <w:u w:val="single"/>
        </w:rPr>
        <w:t>日</w:t>
      </w:r>
      <w:r>
        <w:rPr>
          <w:rFonts w:hint="eastAsia" w:cs="仿宋" w:asciiTheme="majorEastAsia" w:hAnsiTheme="majorEastAsia" w:eastAsiaTheme="majorEastAsia"/>
          <w:sz w:val="24"/>
          <w:u w:val="single"/>
          <w:lang w:val="en-US" w:eastAsia="zh-CN"/>
        </w:rPr>
        <w:t>09</w:t>
      </w:r>
      <w:r>
        <w:rPr>
          <w:rFonts w:hint="eastAsia" w:cs="仿宋" w:asciiTheme="majorEastAsia" w:hAnsiTheme="majorEastAsia" w:eastAsiaTheme="majorEastAsia"/>
          <w:sz w:val="24"/>
          <w:u w:val="single"/>
        </w:rPr>
        <w:t>点00分</w:t>
      </w:r>
      <w:r>
        <w:rPr>
          <w:rFonts w:hint="eastAsia" w:cs="仿宋" w:asciiTheme="majorEastAsia" w:hAnsiTheme="majorEastAsia" w:eastAsiaTheme="majorEastAsia"/>
          <w:bCs/>
          <w:sz w:val="24"/>
          <w:u w:val="single"/>
        </w:rPr>
        <w:t xml:space="preserve"> </w:t>
      </w:r>
      <w:r>
        <w:rPr>
          <w:rFonts w:hint="eastAsia" w:cs="仿宋" w:asciiTheme="majorEastAsia" w:hAnsiTheme="majorEastAsia" w:eastAsiaTheme="majorEastAsia"/>
          <w:sz w:val="24"/>
        </w:rPr>
        <w:t>（北京时间）。</w:t>
      </w:r>
    </w:p>
    <w:p w14:paraId="383FDF23">
      <w:pPr>
        <w:spacing w:line="360" w:lineRule="auto"/>
        <w:ind w:firstLine="482"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投标地点（网址）：</w:t>
      </w:r>
      <w:r>
        <w:rPr>
          <w:rFonts w:hint="eastAsia" w:cs="仿宋" w:asciiTheme="majorEastAsia" w:hAnsiTheme="majorEastAsia" w:eastAsiaTheme="majorEastAsia"/>
          <w:sz w:val="24"/>
        </w:rPr>
        <w:t>乐采云平台（https://</w:t>
      </w:r>
      <w:r>
        <w:rPr>
          <w:rStyle w:val="29"/>
          <w:rFonts w:hint="eastAsia" w:cs="仿宋" w:asciiTheme="majorEastAsia" w:hAnsiTheme="majorEastAsia" w:eastAsiaTheme="majorEastAsia"/>
          <w:color w:val="auto"/>
          <w:sz w:val="24"/>
          <w:szCs w:val="24"/>
        </w:rPr>
        <w:t>www.lecaiyun.com/</w:t>
      </w:r>
      <w:r>
        <w:rPr>
          <w:rFonts w:hint="eastAsia" w:cs="仿宋" w:asciiTheme="majorEastAsia" w:hAnsiTheme="majorEastAsia" w:eastAsiaTheme="majorEastAsia"/>
          <w:sz w:val="24"/>
        </w:rPr>
        <w:t>）。</w:t>
      </w:r>
    </w:p>
    <w:p w14:paraId="2A4A9E07">
      <w:pPr>
        <w:spacing w:line="360" w:lineRule="auto"/>
        <w:ind w:firstLine="482" w:firstLineChars="200"/>
        <w:rPr>
          <w:rFonts w:cs="仿宋" w:asciiTheme="majorEastAsia" w:hAnsiTheme="majorEastAsia" w:eastAsiaTheme="majorEastAsia"/>
          <w:bCs/>
          <w:sz w:val="24"/>
          <w:u w:val="single"/>
        </w:rPr>
      </w:pPr>
      <w:r>
        <w:rPr>
          <w:rFonts w:hint="eastAsia" w:cs="仿宋" w:asciiTheme="majorEastAsia" w:hAnsiTheme="majorEastAsia" w:eastAsiaTheme="majorEastAsia"/>
          <w:b/>
          <w:sz w:val="24"/>
        </w:rPr>
        <w:t>开标时间：</w:t>
      </w:r>
      <w:r>
        <w:rPr>
          <w:rFonts w:hint="eastAsia" w:cs="仿宋" w:asciiTheme="majorEastAsia" w:hAnsiTheme="majorEastAsia" w:eastAsiaTheme="majorEastAsia"/>
          <w:sz w:val="24"/>
          <w:u w:val="single"/>
        </w:rPr>
        <w:t>2025年0</w:t>
      </w:r>
      <w:r>
        <w:rPr>
          <w:rFonts w:hint="eastAsia" w:cs="仿宋" w:asciiTheme="majorEastAsia" w:hAnsiTheme="majorEastAsia" w:eastAsiaTheme="majorEastAsia"/>
          <w:sz w:val="24"/>
          <w:u w:val="single"/>
          <w:lang w:val="en-US" w:eastAsia="zh-CN"/>
        </w:rPr>
        <w:t>6</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30</w:t>
      </w:r>
      <w:r>
        <w:rPr>
          <w:rFonts w:hint="eastAsia" w:cs="仿宋" w:asciiTheme="majorEastAsia" w:hAnsiTheme="majorEastAsia" w:eastAsiaTheme="majorEastAsia"/>
          <w:sz w:val="24"/>
          <w:u w:val="single"/>
        </w:rPr>
        <w:t>日</w:t>
      </w:r>
      <w:r>
        <w:rPr>
          <w:rFonts w:hint="eastAsia" w:cs="仿宋" w:asciiTheme="majorEastAsia" w:hAnsiTheme="majorEastAsia" w:eastAsiaTheme="majorEastAsia"/>
          <w:sz w:val="24"/>
          <w:u w:val="single"/>
          <w:lang w:val="en-US" w:eastAsia="zh-CN"/>
        </w:rPr>
        <w:t>09</w:t>
      </w:r>
      <w:r>
        <w:rPr>
          <w:rFonts w:hint="eastAsia" w:cs="仿宋" w:asciiTheme="majorEastAsia" w:hAnsiTheme="majorEastAsia" w:eastAsiaTheme="majorEastAsia"/>
          <w:sz w:val="24"/>
          <w:u w:val="single"/>
        </w:rPr>
        <w:t>点00分</w:t>
      </w:r>
      <w:r>
        <w:rPr>
          <w:rFonts w:hint="eastAsia" w:cs="仿宋" w:asciiTheme="majorEastAsia" w:hAnsiTheme="majorEastAsia" w:eastAsiaTheme="majorEastAsia"/>
          <w:bCs/>
          <w:sz w:val="24"/>
        </w:rPr>
        <w:t>。</w:t>
      </w:r>
    </w:p>
    <w:p w14:paraId="36EA8BC6">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开标地点（网址）：</w:t>
      </w:r>
      <w:r>
        <w:rPr>
          <w:rFonts w:hint="eastAsia" w:cs="仿宋" w:asciiTheme="majorEastAsia" w:hAnsiTheme="majorEastAsia" w:eastAsiaTheme="majorEastAsia"/>
          <w:sz w:val="24"/>
        </w:rPr>
        <w:t>乐采云平台（https://</w:t>
      </w:r>
      <w:r>
        <w:rPr>
          <w:rStyle w:val="29"/>
          <w:rFonts w:hint="eastAsia" w:cs="仿宋" w:asciiTheme="majorEastAsia" w:hAnsiTheme="majorEastAsia" w:eastAsiaTheme="majorEastAsia"/>
          <w:color w:val="auto"/>
          <w:sz w:val="24"/>
          <w:szCs w:val="24"/>
        </w:rPr>
        <w:t>www.lecaiyun.com/</w:t>
      </w:r>
      <w:r>
        <w:rPr>
          <w:rFonts w:hint="eastAsia" w:cs="仿宋" w:asciiTheme="majorEastAsia" w:hAnsiTheme="majorEastAsia" w:eastAsiaTheme="majorEastAsia"/>
          <w:sz w:val="24"/>
        </w:rPr>
        <w:t>）。</w:t>
      </w:r>
    </w:p>
    <w:p w14:paraId="1A269CF4">
      <w:pPr>
        <w:spacing w:line="360" w:lineRule="auto"/>
        <w:ind w:firstLine="482"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开标地点（线下）：</w:t>
      </w:r>
      <w:r>
        <w:rPr>
          <w:rFonts w:hint="eastAsia" w:cs="仿宋" w:asciiTheme="majorEastAsia" w:hAnsiTheme="majorEastAsia" w:eastAsiaTheme="majorEastAsia"/>
          <w:bCs/>
          <w:sz w:val="24"/>
        </w:rPr>
        <w:t>宁波市奉化区公共资源交易中心开标厅</w:t>
      </w:r>
      <w:r>
        <w:rPr>
          <w:rFonts w:hint="eastAsia" w:cs="仿宋" w:asciiTheme="majorEastAsia" w:hAnsiTheme="majorEastAsia" w:eastAsiaTheme="majorEastAsia"/>
          <w:bCs/>
          <w:sz w:val="24"/>
          <w:lang w:val="en-US" w:eastAsia="zh-CN"/>
        </w:rPr>
        <w:t>一</w:t>
      </w:r>
      <w:r>
        <w:rPr>
          <w:rFonts w:hint="eastAsia" w:cs="仿宋" w:asciiTheme="majorEastAsia" w:hAnsiTheme="majorEastAsia" w:eastAsiaTheme="majorEastAsia"/>
          <w:bCs/>
          <w:sz w:val="24"/>
        </w:rPr>
        <w:t>（宁波市奉化区大成东路277号4楼）</w:t>
      </w:r>
    </w:p>
    <w:p w14:paraId="4BBBE398">
      <w:pPr>
        <w:spacing w:line="360" w:lineRule="auto"/>
        <w:rPr>
          <w:rFonts w:cs="仿宋" w:asciiTheme="majorEastAsia" w:hAnsiTheme="majorEastAsia" w:eastAsiaTheme="majorEastAsia"/>
          <w:sz w:val="24"/>
        </w:rPr>
      </w:pPr>
      <w:r>
        <w:rPr>
          <w:rFonts w:hint="eastAsia" w:cs="仿宋" w:asciiTheme="majorEastAsia" w:hAnsiTheme="majorEastAsia" w:eastAsiaTheme="majorEastAsia"/>
          <w:b/>
          <w:sz w:val="24"/>
        </w:rPr>
        <w:t xml:space="preserve">五、公告期限 </w:t>
      </w:r>
    </w:p>
    <w:p w14:paraId="22A78462">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自本公告发布之日起5个工作日。</w:t>
      </w:r>
    </w:p>
    <w:p w14:paraId="56941E49">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六、其他补充事宜</w:t>
      </w:r>
    </w:p>
    <w:p w14:paraId="1408C9D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5C14517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其他事项：（1）需要落实的政府采购政策：包括节约资源、保护环境、支持创新、促进中小企业发展等。详见招标文件的第二部分总则。（2）电子招投标的说明：①电子招投标：本项目以数据电文形式，依托“政府采购云平台（</w:t>
      </w:r>
      <w:r>
        <w:rPr>
          <w:rStyle w:val="29"/>
          <w:rFonts w:hint="eastAsia" w:cs="仿宋" w:asciiTheme="majorEastAsia" w:hAnsiTheme="majorEastAsia" w:eastAsiaTheme="majorEastAsia"/>
          <w:color w:val="auto"/>
          <w:sz w:val="24"/>
          <w:szCs w:val="24"/>
        </w:rPr>
        <w:t>www.lecaiyun.com</w:t>
      </w:r>
      <w:r>
        <w:rPr>
          <w:rFonts w:hint="eastAsia" w:cs="仿宋" w:asciiTheme="majorEastAsia" w:hAnsiTheme="majorEastAsia" w:eastAsiaTheme="majorEastAsia"/>
          <w:sz w:val="24"/>
        </w:rPr>
        <w:t>）”进行招投标活动，不接受纸质投标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https://b.zhengcaiyun.cn/luban/category?parentId=550045&amp;childrenCode=qicaiCategory17&amp;utm=luban.luban-PC-39026.959-pc-websitegroup-navBar-front.8.ebdec73052c711ef9ade896d008b9248）”进行下载并安装；</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合理预估时间，及时办理。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按照平台提示和招标文件的规定在半小时内完成在线解密。⑨具体操作指南：详见乐采云平台“服务中心-帮助文档-项目采购-操作流程-电子招投标-政府采购项目电子交易管理操作指南-供应商”。</w:t>
      </w:r>
    </w:p>
    <w:p w14:paraId="156BA692">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七、对本次采购提出询问、质疑、投诉，请按以下方式联系</w:t>
      </w:r>
    </w:p>
    <w:p w14:paraId="3A41E0B8">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1.采购人信息</w:t>
      </w:r>
    </w:p>
    <w:p w14:paraId="3E2A452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名 称：宁波市奉化区泓盛农业发展有限公司 </w:t>
      </w:r>
    </w:p>
    <w:p w14:paraId="20A4A61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联系地址：宁波市奉化区岳林街道斗门北路298</w:t>
      </w:r>
    </w:p>
    <w:p w14:paraId="16743F04">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 xml:space="preserve">项目联系人：陈工  </w:t>
      </w:r>
    </w:p>
    <w:p w14:paraId="7A3F91B1">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项目联系方式：18352903383</w:t>
      </w:r>
    </w:p>
    <w:p w14:paraId="05CC63B3">
      <w:pPr>
        <w:spacing w:line="360" w:lineRule="auto"/>
        <w:ind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rPr>
        <w:t>2.采购代理机构信息</w:t>
      </w:r>
    </w:p>
    <w:p w14:paraId="720E3D4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名 称：宁波敬信项目管理咨询有限公司</w:t>
      </w:r>
    </w:p>
    <w:p w14:paraId="151AFAC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地　址：宁波市奉化区岳林东路商业二16幢502室（惠政丽都北门）　　</w:t>
      </w:r>
    </w:p>
    <w:p w14:paraId="77554CE0">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执行联系人：丁先生                  联系方式：0574-88986381</w:t>
      </w:r>
    </w:p>
    <w:p w14:paraId="23F5A4B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质疑答复联系人：卓先生         　　 联系方式：0574-88986375</w:t>
      </w:r>
    </w:p>
    <w:p w14:paraId="6D32B64C">
      <w:pPr>
        <w:spacing w:line="360" w:lineRule="auto"/>
        <w:ind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rPr>
        <w:t>3.监督管理部门</w:t>
      </w:r>
    </w:p>
    <w:p w14:paraId="161FEDA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名称：宁波市奉化区农商控股集团有限公司纪检监察（审计）部</w:t>
      </w:r>
    </w:p>
    <w:p w14:paraId="74A502C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地址：宁波市奉化区岳林街道斗门北路298号</w:t>
      </w:r>
    </w:p>
    <w:p w14:paraId="4A3BA161">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联系人 ：黄女士 </w:t>
      </w:r>
    </w:p>
    <w:p w14:paraId="390D958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监督投诉电话：13515884851        </w:t>
      </w:r>
    </w:p>
    <w:p w14:paraId="73C1F340">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若对项目采购电子交易系统操作有疑问，可登录乐采云（https://www.lecaiyun.com/），点击右侧咨询小采，获取采小蜜智能服务管家帮助，或拨打乐采云服务热线95763获取热线服务帮助。</w:t>
      </w:r>
    </w:p>
    <w:p w14:paraId="7E2BAD82">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CA问题联系电话（人工）：汇信CA 400-888-4636；天谷CA 400-087-8198。</w:t>
      </w:r>
    </w:p>
    <w:p w14:paraId="238065B1">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rPr>
        <w:t xml:space="preserve">                              </w:t>
      </w:r>
    </w:p>
    <w:p w14:paraId="52BB8CAB">
      <w:pPr>
        <w:spacing w:line="360" w:lineRule="auto"/>
        <w:jc w:val="center"/>
        <w:outlineLvl w:val="0"/>
        <w:rPr>
          <w:rFonts w:cs="仿宋" w:asciiTheme="majorEastAsia" w:hAnsiTheme="majorEastAsia" w:eastAsiaTheme="majorEastAsia"/>
          <w:b/>
          <w:sz w:val="36"/>
          <w:szCs w:val="20"/>
        </w:rPr>
      </w:pPr>
      <w:r>
        <w:rPr>
          <w:rFonts w:hint="eastAsia" w:cs="仿宋" w:asciiTheme="majorEastAsia" w:hAnsiTheme="majorEastAsia" w:eastAsiaTheme="majorEastAsia"/>
          <w:b/>
          <w:sz w:val="36"/>
          <w:szCs w:val="20"/>
        </w:rPr>
        <w:br w:type="page"/>
      </w:r>
      <w:r>
        <w:rPr>
          <w:rFonts w:hint="eastAsia" w:cs="仿宋" w:asciiTheme="majorEastAsia" w:hAnsiTheme="majorEastAsia" w:eastAsiaTheme="majorEastAsia"/>
          <w:b/>
          <w:sz w:val="36"/>
          <w:szCs w:val="20"/>
        </w:rPr>
        <w:t>第二部分</w:t>
      </w:r>
      <w:bookmarkEnd w:id="8"/>
      <w:r>
        <w:rPr>
          <w:rFonts w:hint="eastAsia" w:cs="仿宋" w:asciiTheme="majorEastAsia" w:hAnsiTheme="majorEastAsia" w:eastAsiaTheme="majorEastAsia"/>
          <w:b/>
          <w:sz w:val="36"/>
          <w:szCs w:val="20"/>
        </w:rPr>
        <w:t xml:space="preserve"> 投标须知</w:t>
      </w:r>
      <w:bookmarkEnd w:id="9"/>
    </w:p>
    <w:p w14:paraId="3A7F57AB">
      <w:pPr>
        <w:snapToGrid w:val="0"/>
        <w:spacing w:line="360" w:lineRule="auto"/>
        <w:jc w:val="center"/>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前附表</w:t>
      </w:r>
    </w:p>
    <w:tbl>
      <w:tblPr>
        <w:tblStyle w:val="23"/>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27826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A7318A8">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9B0A65A">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301E5D1B">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本项目的特别规定</w:t>
            </w:r>
          </w:p>
        </w:tc>
      </w:tr>
      <w:tr w14:paraId="5C62C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14658DF8">
            <w:pPr>
              <w:snapToGrid w:val="0"/>
              <w:spacing w:line="360" w:lineRule="auto"/>
              <w:jc w:val="center"/>
              <w:rPr>
                <w:rFonts w:cs="仿宋" w:asciiTheme="majorEastAsia" w:hAnsiTheme="majorEastAsia" w:eastAsiaTheme="majorEastAsia"/>
                <w:sz w:val="24"/>
              </w:rPr>
            </w:pPr>
          </w:p>
          <w:p w14:paraId="67FB78E2">
            <w:pPr>
              <w:snapToGrid w:val="0"/>
              <w:spacing w:line="360" w:lineRule="auto"/>
              <w:jc w:val="center"/>
              <w:rPr>
                <w:rFonts w:cs="仿宋" w:asciiTheme="majorEastAsia" w:hAnsiTheme="majorEastAsia" w:eastAsiaTheme="majorEastAsia"/>
                <w:sz w:val="24"/>
              </w:rPr>
            </w:pPr>
          </w:p>
          <w:p w14:paraId="737FB83E">
            <w:pPr>
              <w:snapToGrid w:val="0"/>
              <w:spacing w:line="360" w:lineRule="auto"/>
              <w:jc w:val="center"/>
              <w:rPr>
                <w:rFonts w:cs="仿宋" w:asciiTheme="majorEastAsia" w:hAnsiTheme="majorEastAsia" w:eastAsiaTheme="majorEastAsia"/>
                <w:sz w:val="24"/>
              </w:rPr>
            </w:pPr>
          </w:p>
          <w:p w14:paraId="10116916">
            <w:pPr>
              <w:snapToGrid w:val="0"/>
              <w:spacing w:line="360" w:lineRule="auto"/>
              <w:jc w:val="center"/>
              <w:rPr>
                <w:rFonts w:cs="仿宋" w:asciiTheme="majorEastAsia" w:hAnsiTheme="majorEastAsia" w:eastAsiaTheme="majorEastAsia"/>
                <w:sz w:val="24"/>
              </w:rPr>
            </w:pPr>
          </w:p>
          <w:p w14:paraId="28AD54A6">
            <w:pPr>
              <w:snapToGrid w:val="0"/>
              <w:spacing w:line="360" w:lineRule="auto"/>
              <w:jc w:val="center"/>
              <w:rPr>
                <w:rFonts w:cs="仿宋" w:asciiTheme="majorEastAsia" w:hAnsiTheme="majorEastAsia" w:eastAsiaTheme="majorEastAsia"/>
                <w:sz w:val="24"/>
              </w:rPr>
            </w:pPr>
          </w:p>
          <w:p w14:paraId="38AD7E2A">
            <w:pPr>
              <w:snapToGrid w:val="0"/>
              <w:spacing w:line="360" w:lineRule="auto"/>
              <w:jc w:val="center"/>
              <w:rPr>
                <w:rFonts w:cs="仿宋" w:asciiTheme="majorEastAsia" w:hAnsiTheme="majorEastAsia" w:eastAsiaTheme="majorEastAsia"/>
                <w:sz w:val="24"/>
              </w:rPr>
            </w:pPr>
          </w:p>
          <w:p w14:paraId="6DFB0166">
            <w:pPr>
              <w:snapToGrid w:val="0"/>
              <w:spacing w:line="360" w:lineRule="auto"/>
              <w:jc w:val="center"/>
              <w:rPr>
                <w:rFonts w:cs="仿宋" w:asciiTheme="majorEastAsia" w:hAnsiTheme="majorEastAsia" w:eastAsiaTheme="majorEastAsia"/>
                <w:sz w:val="24"/>
              </w:rPr>
            </w:pPr>
          </w:p>
          <w:p w14:paraId="174066B8">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295102">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24CF9F67">
            <w:pPr>
              <w:snapToGrid w:val="0"/>
              <w:spacing w:line="360" w:lineRule="auto"/>
              <w:jc w:val="left"/>
              <w:rPr>
                <w:rFonts w:cs="仿宋" w:asciiTheme="majorEastAsia" w:hAnsiTheme="majorEastAsia" w:eastAsiaTheme="majorEastAsia"/>
                <w:b/>
                <w:kern w:val="0"/>
                <w:sz w:val="24"/>
                <w:lang w:val="zh-CN"/>
              </w:rPr>
            </w:pPr>
            <w:r>
              <w:rPr>
                <w:rFonts w:hint="eastAsia" w:cs="仿宋" w:asciiTheme="majorEastAsia" w:hAnsiTheme="majorEastAsia" w:eastAsiaTheme="majorEastAsia"/>
                <w:kern w:val="0"/>
                <w:sz w:val="24"/>
                <w:lang w:val="zh-CN"/>
              </w:rPr>
              <w:t>有关本项目实施所需的所有费用（含税费）均计入报价。</w:t>
            </w:r>
            <w:r>
              <w:rPr>
                <w:rFonts w:hint="eastAsia" w:cs="仿宋" w:asciiTheme="majorEastAsia" w:hAnsiTheme="majorEastAsia" w:eastAsiaTheme="majorEastAsia"/>
                <w:sz w:val="24"/>
              </w:rPr>
              <w:t>开标一览表是报价的唯一载体</w:t>
            </w:r>
            <w:r>
              <w:rPr>
                <w:rFonts w:hint="eastAsia" w:cs="仿宋" w:asciiTheme="majorEastAsia" w:hAnsiTheme="majorEastAsia" w:eastAsiaTheme="majorEastAsia"/>
                <w:kern w:val="0"/>
                <w:sz w:val="24"/>
                <w:lang w:val="zh-CN"/>
              </w:rPr>
              <w:t>。投标文件中价格全部采用人民币报价。招标文件未列明，而供应商认为必需的费用也需列入报价。</w:t>
            </w:r>
          </w:p>
          <w:p w14:paraId="2E3CA91D">
            <w:pPr>
              <w:snapToGrid w:val="0"/>
              <w:spacing w:line="360" w:lineRule="auto"/>
              <w:jc w:val="left"/>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投标报价出现下列情形的，投标无效：</w:t>
            </w:r>
          </w:p>
          <w:p w14:paraId="2F6421D4">
            <w:pPr>
              <w:snapToGrid w:val="0"/>
              <w:spacing w:line="360" w:lineRule="auto"/>
              <w:ind w:firstLine="241" w:firstLineChars="100"/>
              <w:jc w:val="left"/>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投标文件出现不是唯一的、有选择性投标报价的；</w:t>
            </w:r>
          </w:p>
          <w:p w14:paraId="2AB30A3E">
            <w:pPr>
              <w:snapToGrid w:val="0"/>
              <w:spacing w:line="360" w:lineRule="auto"/>
              <w:ind w:firstLine="241" w:firstLineChars="1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b/>
                <w:kern w:val="0"/>
                <w:sz w:val="24"/>
                <w:lang w:val="zh-CN"/>
              </w:rPr>
              <w:t>投标报价超过招标文件中规定的预算金额或者最高限价的;</w:t>
            </w:r>
          </w:p>
          <w:p w14:paraId="4B7F9901">
            <w:pPr>
              <w:spacing w:line="360" w:lineRule="auto"/>
              <w:ind w:firstLine="241" w:firstLineChars="100"/>
              <w:rPr>
                <w:rFonts w:cs="仿宋" w:asciiTheme="majorEastAsia" w:hAnsiTheme="majorEastAsia" w:eastAsiaTheme="majorEastAsia"/>
                <w:b/>
                <w:sz w:val="24"/>
              </w:rPr>
            </w:pPr>
            <w:r>
              <w:rPr>
                <w:rFonts w:hint="eastAsia" w:cs="仿宋" w:asciiTheme="majorEastAsia" w:hAnsiTheme="majorEastAsia" w:eastAsiaTheme="majorEastAsia"/>
                <w:b/>
                <w:kern w:val="0"/>
                <w:sz w:val="24"/>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sz w:val="24"/>
                <w:szCs w:val="21"/>
              </w:rPr>
              <w:t>;</w:t>
            </w:r>
          </w:p>
          <w:p w14:paraId="191791FA">
            <w:pPr>
              <w:spacing w:line="360" w:lineRule="auto"/>
              <w:ind w:firstLine="241" w:firstLineChars="100"/>
              <w:rPr>
                <w:rFonts w:cs="仿宋" w:asciiTheme="majorEastAsia" w:hAnsiTheme="majorEastAsia" w:eastAsiaTheme="majorEastAsia"/>
                <w:sz w:val="24"/>
              </w:rPr>
            </w:pPr>
            <w:r>
              <w:rPr>
                <w:rFonts w:hint="eastAsia" w:cs="仿宋" w:asciiTheme="majorEastAsia" w:hAnsiTheme="majorEastAsia" w:eastAsiaTheme="majorEastAsia"/>
                <w:b/>
                <w:kern w:val="0"/>
                <w:sz w:val="24"/>
              </w:rPr>
              <w:t>供应商对根据修正原则修正后的报价不确认的</w:t>
            </w:r>
            <w:r>
              <w:rPr>
                <w:rFonts w:hint="eastAsia" w:cs="仿宋" w:asciiTheme="majorEastAsia" w:hAnsiTheme="majorEastAsia" w:eastAsiaTheme="majorEastAsia"/>
                <w:b/>
                <w:sz w:val="24"/>
              </w:rPr>
              <w:t>。</w:t>
            </w:r>
          </w:p>
        </w:tc>
      </w:tr>
      <w:tr w14:paraId="071EC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76F371">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C993E30">
            <w:pPr>
              <w:pStyle w:val="12"/>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kern w:val="28"/>
                <w:sz w:val="24"/>
                <w:szCs w:val="24"/>
              </w:rPr>
              <w:t>投标保证金</w:t>
            </w:r>
          </w:p>
        </w:tc>
        <w:tc>
          <w:tcPr>
            <w:tcW w:w="6662" w:type="dxa"/>
            <w:tcBorders>
              <w:top w:val="single" w:color="000000" w:sz="8" w:space="0"/>
              <w:left w:val="single" w:color="000000" w:sz="2" w:space="0"/>
              <w:bottom w:val="single" w:color="000000" w:sz="8" w:space="0"/>
              <w:right w:val="single" w:color="000000" w:sz="8" w:space="0"/>
            </w:tcBorders>
            <w:vAlign w:val="center"/>
          </w:tcPr>
          <w:p w14:paraId="2008516F">
            <w:pPr>
              <w:pStyle w:val="6"/>
              <w:spacing w:line="360" w:lineRule="auto"/>
              <w:ind w:firstLine="0"/>
              <w:jc w:val="left"/>
              <w:rPr>
                <w:rFonts w:cs="仿宋" w:asciiTheme="majorEastAsia" w:hAnsiTheme="majorEastAsia"/>
                <w:b/>
                <w:color w:val="auto"/>
                <w:kern w:val="0"/>
                <w:sz w:val="24"/>
              </w:rPr>
            </w:pPr>
            <w:r>
              <w:rPr>
                <w:rFonts w:hint="eastAsia" w:hAnsi="宋体" w:cs="宋体"/>
                <w:color w:val="auto"/>
                <w:sz w:val="24"/>
              </w:rPr>
              <w:t>不适用。</w:t>
            </w:r>
          </w:p>
        </w:tc>
      </w:tr>
      <w:tr w14:paraId="20FD9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338A03">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51503E4">
            <w:pPr>
              <w:snapToGrid w:val="0"/>
              <w:spacing w:line="360" w:lineRule="auto"/>
              <w:ind w:firstLine="482" w:firstLineChars="200"/>
              <w:jc w:val="left"/>
              <w:rPr>
                <w:rFonts w:cs="仿宋" w:asciiTheme="majorEastAsia" w:hAnsiTheme="majorEastAsia" w:eastAsiaTheme="majorEastAsia"/>
                <w:b/>
                <w:sz w:val="24"/>
              </w:rPr>
            </w:pPr>
            <w:r>
              <w:rPr>
                <w:rFonts w:hint="eastAsia" w:cs="仿宋" w:asciiTheme="majorEastAsia" w:hAnsiTheme="majorEastAsia" w:eastAsiaTheme="majorEastAsia"/>
                <w:b/>
                <w:sz w:val="24"/>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14A185B9">
            <w:pPr>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不同意分包。</w:t>
            </w:r>
          </w:p>
        </w:tc>
      </w:tr>
      <w:tr w14:paraId="62C2D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99E1B8">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FE218C">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3375ABEA">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资格证明文件：见招标文件第二部分9.1。</w:t>
            </w:r>
          </w:p>
          <w:p w14:paraId="47B173C0">
            <w:pPr>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sz w:val="24"/>
              </w:rPr>
              <w:t>资格证明文件不全的或者不符合招标文件标明的资格要求的</w:t>
            </w:r>
            <w:r>
              <w:rPr>
                <w:rFonts w:hint="eastAsia" w:cs="仿宋" w:asciiTheme="majorEastAsia" w:hAnsiTheme="majorEastAsia" w:eastAsiaTheme="majorEastAsia"/>
                <w:sz w:val="24"/>
                <w:lang w:val="zh-CN"/>
              </w:rPr>
              <w:t>，视为供应商不具备招标文件中规定的资格要求，投标无效。</w:t>
            </w:r>
          </w:p>
        </w:tc>
      </w:tr>
      <w:tr w14:paraId="36419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1523F1">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CE6212D">
            <w:pPr>
              <w:snapToGrid w:val="0"/>
              <w:spacing w:line="360" w:lineRule="auto"/>
              <w:jc w:val="center"/>
              <w:rPr>
                <w:rFonts w:cs="仿宋" w:asciiTheme="majorEastAsia" w:hAnsiTheme="majorEastAsia" w:eastAsiaTheme="majorEastAsia"/>
                <w:b/>
                <w:sz w:val="24"/>
              </w:rPr>
            </w:pPr>
            <w:r>
              <w:rPr>
                <w:rFonts w:hint="eastAsia" w:ascii="宋体" w:hAnsi="宋体" w:cs="仿宋" w:eastAsiaTheme="majorEastAsia"/>
                <w:b/>
                <w:sz w:val="24"/>
              </w:rPr>
              <w:t>现场踏勘</w:t>
            </w:r>
          </w:p>
        </w:tc>
        <w:tc>
          <w:tcPr>
            <w:tcW w:w="6662" w:type="dxa"/>
            <w:tcBorders>
              <w:top w:val="single" w:color="000000" w:sz="8" w:space="0"/>
              <w:left w:val="single" w:color="000000" w:sz="2" w:space="0"/>
              <w:bottom w:val="single" w:color="000000" w:sz="8" w:space="0"/>
              <w:right w:val="single" w:color="000000" w:sz="8" w:space="0"/>
            </w:tcBorders>
            <w:vAlign w:val="center"/>
          </w:tcPr>
          <w:p w14:paraId="567F011E">
            <w:pPr>
              <w:spacing w:line="360" w:lineRule="auto"/>
              <w:rPr>
                <w:rFonts w:cs="仿宋" w:asciiTheme="majorEastAsia" w:hAnsiTheme="majorEastAsia" w:eastAsiaTheme="majorEastAsia"/>
                <w:sz w:val="24"/>
                <w:szCs w:val="20"/>
              </w:rPr>
            </w:pPr>
            <w:r>
              <w:rPr>
                <w:rFonts w:hint="eastAsia" w:ascii="宋体" w:hAnsi="宋体" w:cs="宋体"/>
                <w:kern w:val="0"/>
                <w:sz w:val="24"/>
              </w:rPr>
              <w:t>不</w:t>
            </w:r>
            <w:r>
              <w:rPr>
                <w:rFonts w:hint="eastAsia" w:ascii="宋体" w:hAnsi="宋体" w:cs="宋体"/>
                <w:sz w:val="24"/>
              </w:rPr>
              <w:t>组织。</w:t>
            </w:r>
          </w:p>
        </w:tc>
      </w:tr>
      <w:tr w14:paraId="3EDBF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6D6FBF">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5252956">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5ED3D490">
            <w:pPr>
              <w:spacing w:line="360" w:lineRule="auto"/>
              <w:rPr>
                <w:rFonts w:cs="仿宋" w:asciiTheme="majorEastAsia" w:hAnsiTheme="majorEastAsia" w:eastAsiaTheme="minorEastAsia"/>
                <w:sz w:val="24"/>
              </w:rPr>
            </w:pPr>
            <w:r>
              <w:rPr>
                <w:rFonts w:hint="eastAsia" w:cs="仿宋" w:asciiTheme="majorEastAsia" w:hAnsiTheme="majorEastAsia" w:eastAsiaTheme="majorEastAsia"/>
                <w:kern w:val="0"/>
                <w:sz w:val="24"/>
              </w:rPr>
              <w:t>不</w:t>
            </w:r>
            <w:r>
              <w:rPr>
                <w:rFonts w:hint="eastAsia" w:cs="仿宋" w:asciiTheme="minorEastAsia" w:hAnsiTheme="minorEastAsia" w:eastAsiaTheme="minorEastAsia"/>
                <w:kern w:val="0"/>
                <w:sz w:val="24"/>
              </w:rPr>
              <w:t>要求提供。</w:t>
            </w:r>
          </w:p>
        </w:tc>
      </w:tr>
      <w:tr w14:paraId="24F5D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1EEEA9">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69556CF3">
            <w:pPr>
              <w:snapToGrid w:val="0"/>
              <w:spacing w:line="360" w:lineRule="auto"/>
              <w:jc w:val="center"/>
              <w:rPr>
                <w:rFonts w:cs="仿宋" w:asciiTheme="majorEastAsia" w:hAnsiTheme="majorEastAsia" w:eastAsiaTheme="majorEastAsia"/>
                <w:bCs/>
                <w:sz w:val="24"/>
              </w:rPr>
            </w:pPr>
            <w:r>
              <w:rPr>
                <w:rFonts w:hint="eastAsia" w:cs="仿宋" w:asciiTheme="majorEastAsia" w:hAnsiTheme="majorEastAsia" w:eastAsiaTheme="majorEastAsia"/>
                <w:b/>
                <w:sz w:val="24"/>
              </w:rPr>
              <w:t>产品功能演示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150D4867">
            <w:pPr>
              <w:spacing w:line="360" w:lineRule="auto"/>
              <w:rPr>
                <w:rFonts w:cs="仿宋" w:asciiTheme="majorEastAsia" w:hAnsiTheme="majorEastAsia" w:eastAsiaTheme="majorEastAsia"/>
                <w:sz w:val="24"/>
              </w:rPr>
            </w:pPr>
            <w:r>
              <w:rPr>
                <w:rFonts w:hint="eastAsia" w:cs="仿宋" w:asciiTheme="minorEastAsia" w:hAnsiTheme="minorEastAsia" w:eastAsiaTheme="minorEastAsia"/>
                <w:kern w:val="0"/>
                <w:sz w:val="24"/>
              </w:rPr>
              <w:t>不组织。</w:t>
            </w:r>
          </w:p>
        </w:tc>
      </w:tr>
      <w:tr w14:paraId="5A8CC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549B37">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AFC6FD8">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4FB803EC">
            <w:pPr>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本项目不允许采购进口产品。</w:t>
            </w:r>
          </w:p>
        </w:tc>
      </w:tr>
      <w:tr w14:paraId="74A57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E70A2B4">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9C22186">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17D8EF01">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服务类。</w:t>
            </w:r>
          </w:p>
        </w:tc>
      </w:tr>
      <w:tr w14:paraId="45F26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AA8905">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70B32E4">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5D8D5338">
            <w:pPr>
              <w:pStyle w:val="30"/>
              <w:ind w:firstLine="0" w:firstLineChars="0"/>
            </w:pPr>
            <w:r>
              <w:rPr>
                <w:rFonts w:hint="eastAsia" w:cs="仿宋" w:asciiTheme="majorEastAsia" w:hAnsiTheme="majorEastAsia" w:eastAsiaTheme="majorEastAsia"/>
                <w:kern w:val="0"/>
                <w:sz w:val="24"/>
              </w:rPr>
              <w:t>标的：</w:t>
            </w:r>
            <w:r>
              <w:rPr>
                <w:rFonts w:hint="eastAsia" w:cs="仿宋" w:asciiTheme="majorEastAsia" w:hAnsiTheme="majorEastAsia" w:eastAsiaTheme="majorEastAsia"/>
                <w:sz w:val="24"/>
                <w:u w:val="single"/>
              </w:rPr>
              <w:t>奉化区水蜜桃文化博览园运营服务</w:t>
            </w:r>
            <w:r>
              <w:rPr>
                <w:rFonts w:hint="eastAsia" w:cs="仿宋" w:asciiTheme="majorEastAsia" w:hAnsiTheme="majorEastAsia" w:eastAsiaTheme="majorEastAsia"/>
                <w:kern w:val="0"/>
                <w:sz w:val="24"/>
              </w:rPr>
              <w:t>，属于</w:t>
            </w:r>
            <w:r>
              <w:rPr>
                <w:rFonts w:hint="eastAsia" w:cs="仿宋" w:asciiTheme="majorEastAsia" w:hAnsiTheme="majorEastAsia" w:eastAsiaTheme="majorEastAsia"/>
                <w:kern w:val="0"/>
                <w:sz w:val="24"/>
                <w:u w:val="single"/>
              </w:rPr>
              <w:t>租赁和商务服务业</w:t>
            </w:r>
            <w:r>
              <w:rPr>
                <w:rFonts w:hint="eastAsia" w:cs="仿宋" w:asciiTheme="majorEastAsia" w:hAnsiTheme="majorEastAsia" w:eastAsiaTheme="majorEastAsia"/>
                <w:kern w:val="0"/>
                <w:sz w:val="24"/>
              </w:rPr>
              <w:t>；</w:t>
            </w:r>
          </w:p>
        </w:tc>
      </w:tr>
      <w:tr w14:paraId="57B3E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3EFE8933">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11</w:t>
            </w:r>
          </w:p>
        </w:tc>
        <w:tc>
          <w:tcPr>
            <w:tcW w:w="1843" w:type="dxa"/>
            <w:tcBorders>
              <w:top w:val="single" w:color="000000" w:sz="8" w:space="0"/>
              <w:left w:val="single" w:color="000000" w:sz="2" w:space="0"/>
              <w:right w:val="single" w:color="000000" w:sz="8" w:space="0"/>
            </w:tcBorders>
            <w:vAlign w:val="center"/>
          </w:tcPr>
          <w:p w14:paraId="60373160">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A4BC628">
            <w:pPr>
              <w:spacing w:line="360" w:lineRule="auto"/>
              <w:rPr>
                <w:rFonts w:cs="仿宋" w:asciiTheme="majorEastAsia" w:hAnsiTheme="majorEastAsia" w:eastAsiaTheme="majorEastAsia"/>
                <w:snapToGrid w:val="0"/>
                <w:kern w:val="28"/>
                <w:sz w:val="24"/>
              </w:rPr>
            </w:pPr>
            <w:r>
              <w:rPr>
                <w:rFonts w:hint="eastAsia" w:ascii="宋体" w:hAnsi="宋体" w:cs="宋体"/>
                <w:sz w:val="24"/>
              </w:rPr>
              <w:t>本项目服务期限三年，最终以供应商三年服务期限的中标总价作为代理服务费计算基准价计算服务费后×0.8收取实际服务费。（代理服务费计算参照国家发改委发改办价格[2003]857号通知和原国家计委计[2002]1980号文件。）本项目中标服务费，由中标人支付。</w:t>
            </w:r>
          </w:p>
        </w:tc>
      </w:tr>
      <w:bookmarkEnd w:id="10"/>
    </w:tbl>
    <w:p w14:paraId="27A3AA38">
      <w:pPr>
        <w:spacing w:line="360" w:lineRule="auto"/>
        <w:outlineLvl w:val="0"/>
        <w:rPr>
          <w:rFonts w:cs="仿宋" w:asciiTheme="majorEastAsia" w:hAnsiTheme="majorEastAsia" w:eastAsiaTheme="majorEastAsia"/>
          <w:b/>
          <w:sz w:val="32"/>
          <w:szCs w:val="20"/>
        </w:rPr>
      </w:pPr>
      <w:bookmarkStart w:id="12" w:name="第三部分"/>
      <w:bookmarkStart w:id="13" w:name="_Toc164416483"/>
      <w:r>
        <w:rPr>
          <w:rFonts w:cs="仿宋" w:asciiTheme="majorEastAsia" w:hAnsiTheme="majorEastAsia" w:eastAsiaTheme="majorEastAsia"/>
          <w:b/>
          <w:sz w:val="32"/>
          <w:szCs w:val="20"/>
        </w:rPr>
        <w:br w:type="page"/>
      </w:r>
    </w:p>
    <w:p w14:paraId="46EFD10E">
      <w:pPr>
        <w:spacing w:line="360" w:lineRule="auto"/>
        <w:ind w:firstLine="3845" w:firstLineChars="1197"/>
        <w:outlineLvl w:val="0"/>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一、总则</w:t>
      </w:r>
    </w:p>
    <w:p w14:paraId="20A04EAA">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适用范围</w:t>
      </w:r>
    </w:p>
    <w:p w14:paraId="2C26E9F8">
      <w:pPr>
        <w:snapToGrid w:val="0"/>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本招标文件适用于该项目的招标、投标、开标、资格审查及信用信息查询、评标、定标、合同、验收等行为（法律、法规另有规定的，从其规定）。</w:t>
      </w:r>
    </w:p>
    <w:p w14:paraId="0BDE00FC">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定义</w:t>
      </w:r>
    </w:p>
    <w:p w14:paraId="347F2D0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 “采购人”系指招标公告中载明的本项目的采购人。</w:t>
      </w:r>
    </w:p>
    <w:p w14:paraId="2367AD3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 “采购代理机构”系指招标公告中载明的本项目的采购代理机构。</w:t>
      </w:r>
    </w:p>
    <w:p w14:paraId="2B5B431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2.3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”系指是指响应招标、参加投标竞争的法人、其他组织或者自然人。</w:t>
      </w:r>
    </w:p>
    <w:p w14:paraId="709F35B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2.4 “负责人”系指法人企业的法定负责人，或其他组织为法律、行政法规规定代表单位行使职权的主要负责人，或自然人本人。</w:t>
      </w:r>
    </w:p>
    <w:p w14:paraId="5E601D21">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2.5“电子签名”系指数据电文中以电子形式所含、所附用于识别签名人身份并表明签名人认可其中内容的数据；“公章”系指单位法定名称章。</w:t>
      </w:r>
    </w:p>
    <w:p w14:paraId="7B9F531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2.6“电子交易平台”是指本项目采购活动所依托的采购云平台（https://www.lecaiyun.com/）。</w:t>
      </w:r>
    </w:p>
    <w:p w14:paraId="33B9710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2.7 “▲” 系指实质性要求条款，“</w:t>
      </w:r>
      <w:r>
        <w:rPr>
          <w:rFonts w:ascii="Wingdings" w:hAnsi="Wingdings" w:eastAsia="仿宋" w:cs="仿宋"/>
          <w:kern w:val="0"/>
          <w:sz w:val="24"/>
        </w:rPr>
        <w:t></w:t>
      </w:r>
      <w:r>
        <w:rPr>
          <w:rFonts w:hint="eastAsia" w:cs="仿宋" w:asciiTheme="majorEastAsia" w:hAnsiTheme="majorEastAsia" w:eastAsiaTheme="majorEastAsia"/>
          <w:sz w:val="24"/>
        </w:rPr>
        <w:t>” 系指适用本项目的要求，“</w:t>
      </w:r>
      <w:r>
        <w:rPr>
          <w:rFonts w:hint="eastAsia" w:ascii="MS Gothic" w:hAnsi="MS Gothic" w:eastAsia="MS Gothic" w:cs="MS Gothic"/>
          <w:kern w:val="0"/>
          <w:sz w:val="24"/>
        </w:rPr>
        <w:t>☐</w:t>
      </w:r>
      <w:r>
        <w:rPr>
          <w:rFonts w:hint="eastAsia" w:cs="仿宋" w:asciiTheme="majorEastAsia" w:hAnsiTheme="majorEastAsia" w:eastAsiaTheme="majorEastAsia"/>
          <w:sz w:val="24"/>
        </w:rPr>
        <w:t>” 系指不适用本项目的要求。</w:t>
      </w:r>
    </w:p>
    <w:p w14:paraId="157FF08F">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采购项目需要落实的政府采购政策</w:t>
      </w:r>
    </w:p>
    <w:p w14:paraId="221BBE2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AF56BD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3.2 支持节能产品</w:t>
      </w:r>
    </w:p>
    <w:p w14:paraId="664B6671">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3.3支持中小企业发展</w:t>
      </w:r>
    </w:p>
    <w:p w14:paraId="489CCFE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3504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符合中小企业划分标准的个体工商户，在政府采购活动中视同中小企业。</w:t>
      </w:r>
    </w:p>
    <w:p w14:paraId="609E8202">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bCs/>
          <w:sz w:val="24"/>
        </w:rPr>
        <w:t>3.3.2</w:t>
      </w:r>
      <w:r>
        <w:rPr>
          <w:rFonts w:hint="eastAsia" w:cs="仿宋" w:asciiTheme="majorEastAsia" w:hAnsiTheme="majorEastAsia" w:eastAsiaTheme="majorEastAsia"/>
          <w:kern w:val="0"/>
          <w:sz w:val="24"/>
        </w:rPr>
        <w:t>在政府采购活动中，</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提供的货物、工程或者服务符合下列情形的，享受中小企业扶持政策：</w:t>
      </w:r>
    </w:p>
    <w:p w14:paraId="23522B97">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3.3.2.1在货物采购项目中，货物由中小企业制造，即货物由中小企业生产且使用该中小企业商号或者注册商标；</w:t>
      </w:r>
    </w:p>
    <w:p w14:paraId="0BF2C3CD">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3.3.2.2在工程采购项目中，工程由中小企业承建，即工程施工单位为中小企业；</w:t>
      </w:r>
    </w:p>
    <w:p w14:paraId="17A5C84A">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3.3.2.3在服务采购项目中，服务由中小企业承接，即提供服务的人员为中小企业依照《中华人民共和国劳动合同法》订立劳动合同的从业人员。</w:t>
      </w:r>
    </w:p>
    <w:p w14:paraId="2F7B7682">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在货物采购项目中，</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提供的货物既有中小企业制造货物，也有大型企业制造货物的，不享受中小企业扶持政策。</w:t>
      </w:r>
    </w:p>
    <w:p w14:paraId="2C3DA0A0">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以联合体形式参加政府采购活动，联合体各方均为中小企业的，联合体视同中小企业。其中，联合体各方均为小微企业的，联合体视同小微企业。</w:t>
      </w:r>
    </w:p>
    <w:p w14:paraId="5749F0E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7FE6C9C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3.3.4符合《关于促进残疾人就业政府采购政策的通知》（财库〔2017〕141号）规定的条件并提供《残疾人福利性单位声明函》的残疾人福利性单位视同小型、微型企业；</w:t>
      </w:r>
    </w:p>
    <w:p w14:paraId="09EF2D4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91DE72">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3.3.6可享受中小企业扶持政策的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应按照招标文件格式要求提供《中小企业声明函》，</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提供的《中小企业声明函》与实际情况不符的，不享受中小企业扶持政策。声明内容不实的，属于提供虚假材料谋取中标、成交的，依法承担法律责任。</w:t>
      </w:r>
    </w:p>
    <w:p w14:paraId="6F66F82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3.3.7中小企业享受扶持政策获得政府采购合同的，小微企业不得将合同分包给大中型企业，中型企业不得将合同分包给大型企业。</w:t>
      </w:r>
    </w:p>
    <w:p w14:paraId="31A6BC53">
      <w:pPr>
        <w:spacing w:line="360" w:lineRule="auto"/>
        <w:ind w:firstLine="480" w:firstLineChars="200"/>
        <w:rPr>
          <w:rFonts w:cs="仿宋" w:asciiTheme="majorEastAsia" w:hAnsiTheme="majorEastAsia" w:eastAsiaTheme="majorEastAsia"/>
          <w:sz w:val="24"/>
        </w:rPr>
      </w:pPr>
    </w:p>
    <w:p w14:paraId="2CA5408D">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特别说明</w:t>
      </w:r>
    </w:p>
    <w:p w14:paraId="3F8D6245">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4.1关于分公司投标</w:t>
      </w:r>
    </w:p>
    <w:p w14:paraId="0C9B972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除银行、保险、石油石化、电力、电信等特殊行业外。法人的分支机构由于不能独立承担民事责任，不能以分支机构的身份参加政府采购，只能以法人身份参加。 </w:t>
      </w:r>
    </w:p>
    <w:p w14:paraId="2BB1A8C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4.2关于知识产权</w:t>
      </w:r>
    </w:p>
    <w:p w14:paraId="15113AC5">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4.2.1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w:t>
      </w:r>
    </w:p>
    <w:p w14:paraId="1CFBBB1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4.2.2 投标报价应包含所有应向所有权人支付的专利权、商标权或其它知识产权的一切相关费用。</w:t>
      </w:r>
    </w:p>
    <w:p w14:paraId="7C729DF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承担所有责任及费用。</w:t>
      </w:r>
    </w:p>
    <w:p w14:paraId="2921F5D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4.3</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的风险</w:t>
      </w:r>
    </w:p>
    <w:p w14:paraId="5FC7BCB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4.3.1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承担,并对所提供的全部资料的真实性承担法律责任。</w:t>
      </w:r>
    </w:p>
    <w:p w14:paraId="113E039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4.3.2 无论因何种原因导致本次采购活动终止致</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损失的，相关责任人均不承担任何责任。</w:t>
      </w:r>
    </w:p>
    <w:p w14:paraId="5A6B2CFA">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询问、质疑、投诉</w:t>
      </w:r>
    </w:p>
    <w:p w14:paraId="1CCB0402">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.1供应商询问</w:t>
      </w:r>
    </w:p>
    <w:p w14:paraId="4BADFE92">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3D2A24">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.2供应商质疑</w:t>
      </w:r>
    </w:p>
    <w:p w14:paraId="660D314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.1提出质疑的供应商应当是参与所质疑项目采购活动的供应商。潜在供应商已依法获取其可质疑的招标文件的，可以对该文件提出质疑。</w:t>
      </w:r>
    </w:p>
    <w:p w14:paraId="378833D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AFCDD01">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5.2.2.1对招标文件提出质疑的，质疑期限为供应商获得招标文件之日或者招标文件公告期限届满之日起计算。</w:t>
      </w:r>
    </w:p>
    <w:p w14:paraId="561D541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5.2.2.2对采购过程提出质疑的，质疑期限为各采购程序环节结束之日起计算。</w:t>
      </w:r>
    </w:p>
    <w:p w14:paraId="4DC9C3C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5.2.2.3对采购结果提出质疑的，质疑期限自采购结果公告期限届满之日起计算。</w:t>
      </w:r>
    </w:p>
    <w:p w14:paraId="0A676122">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5.2.2.4对同一采购程序环节的质疑，供应商须一次性提出。</w:t>
      </w:r>
    </w:p>
    <w:p w14:paraId="6226B0F2">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w:t>
      </w:r>
      <w:r>
        <w:rPr>
          <w:rFonts w:hint="eastAsia" w:cs="仿宋" w:asciiTheme="majorEastAsia" w:hAnsiTheme="majorEastAsia" w:eastAsiaTheme="majorEastAsia"/>
          <w:sz w:val="24"/>
        </w:rPr>
        <w:t>供应商提出质疑应当提交质疑函和必要的证明材料。质疑函应当包括下列内容：</w:t>
      </w:r>
    </w:p>
    <w:p w14:paraId="0458F21D">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.2.3.1供应商的姓名或者名称、地址、邮编、联系人及联系电话；</w:t>
      </w:r>
    </w:p>
    <w:p w14:paraId="0E4F3114">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.2.3.2质疑项目的名称、编号；</w:t>
      </w:r>
    </w:p>
    <w:p w14:paraId="62746F63">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.2.3.3具体、明确的质疑事项和与质疑事项相关的请求；</w:t>
      </w:r>
    </w:p>
    <w:p w14:paraId="589B41DC">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.2.3.4事实依据；</w:t>
      </w:r>
    </w:p>
    <w:p w14:paraId="208FF147">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.2.3.5必要的法律依据；</w:t>
      </w:r>
    </w:p>
    <w:p w14:paraId="4583BC89">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.2.3.6提出质疑的日期。</w:t>
      </w:r>
    </w:p>
    <w:p w14:paraId="5FE61990">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5.2.3.7对招标文件提出质疑的需要提供在乐采云平台获取招标文件的截图。</w:t>
      </w:r>
    </w:p>
    <w:p w14:paraId="4D61103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供应商提交的质疑函需一式三份。供应商为自然人的，应当由本人签字；供应商为法人或者其他组织的，应当由法定代表人、主要负责人，或者其授权代表签字或者盖章，并加盖公章。</w:t>
      </w:r>
    </w:p>
    <w:p w14:paraId="4C68662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质疑函范本请到浙江企业采购信息服务网下载专区下载。</w:t>
      </w:r>
    </w:p>
    <w:p w14:paraId="0C9F83D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2063FC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.5询问或者质疑事项可能影响采购结果的，采购人应当暂停签订合同，已经签订合同的，应当中止履行合同。</w:t>
      </w:r>
    </w:p>
    <w:p w14:paraId="4A760F33">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.3供应商投诉</w:t>
      </w:r>
    </w:p>
    <w:p w14:paraId="317C459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7D6374E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供应商投诉的事项不得超出已质疑事项的范围，基于质疑答复内容提出的投诉事项除外。</w:t>
      </w:r>
    </w:p>
    <w:p w14:paraId="0D4A551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5.3.3供应商投诉应当有明确的请求和必要的证明材料。</w:t>
      </w:r>
    </w:p>
    <w:p w14:paraId="6C70950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5.3.4 以联合体形式参加政府采购活动的，其投诉应当由组成联合体的所有供应商共同提出。</w:t>
      </w:r>
    </w:p>
    <w:p w14:paraId="3988139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2D05C8E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投诉书范本请到浙江企业采购信息服务网下载专区下载。</w:t>
      </w:r>
    </w:p>
    <w:p w14:paraId="59E2162D">
      <w:pPr>
        <w:spacing w:line="360" w:lineRule="auto"/>
        <w:jc w:val="center"/>
        <w:outlineLvl w:val="0"/>
        <w:rPr>
          <w:rFonts w:cs="仿宋" w:asciiTheme="majorEastAsia" w:hAnsiTheme="majorEastAsia" w:eastAsiaTheme="majorEastAsia"/>
          <w:b/>
          <w:sz w:val="32"/>
          <w:szCs w:val="20"/>
        </w:rPr>
      </w:pPr>
    </w:p>
    <w:p w14:paraId="290E2296">
      <w:pPr>
        <w:spacing w:line="360" w:lineRule="auto"/>
        <w:jc w:val="center"/>
        <w:outlineLvl w:val="0"/>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二、招标文件的构成、澄清、修改</w:t>
      </w:r>
    </w:p>
    <w:p w14:paraId="76B51726">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招标文件的构成</w:t>
      </w:r>
    </w:p>
    <w:p w14:paraId="12261AC8">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 招标文件包括下列文件及附件：</w:t>
      </w:r>
    </w:p>
    <w:p w14:paraId="79AC6AF6">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6.1.1 招标公告；</w:t>
      </w:r>
    </w:p>
    <w:p w14:paraId="5BE92AFC">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6.1.2 </w:t>
      </w:r>
      <w:r>
        <w:rPr>
          <w:rFonts w:hint="eastAsia" w:cs="仿宋" w:asciiTheme="majorEastAsia" w:hAnsiTheme="majorEastAsia" w:eastAsiaTheme="majorEastAsia"/>
          <w:sz w:val="24"/>
          <w:szCs w:val="24"/>
          <w:lang w:val="zh-CN"/>
        </w:rPr>
        <w:t>投标</w:t>
      </w:r>
      <w:r>
        <w:rPr>
          <w:rFonts w:hint="eastAsia" w:cs="仿宋" w:asciiTheme="majorEastAsia" w:hAnsiTheme="majorEastAsia" w:eastAsiaTheme="majorEastAsia"/>
          <w:sz w:val="24"/>
          <w:szCs w:val="24"/>
        </w:rPr>
        <w:t>须知；</w:t>
      </w:r>
    </w:p>
    <w:p w14:paraId="6B7839F7">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6.1.3 采购需求；</w:t>
      </w:r>
    </w:p>
    <w:p w14:paraId="597681EC">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6.1.4 评标办法；</w:t>
      </w:r>
    </w:p>
    <w:p w14:paraId="725CE663">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6.1.5 拟签订的合同文本；</w:t>
      </w:r>
    </w:p>
    <w:p w14:paraId="088E5137">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6.1.6 应提交的有关格式范例。</w:t>
      </w:r>
    </w:p>
    <w:p w14:paraId="7FD4977D">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6.1.7 附件（如有）</w:t>
      </w:r>
    </w:p>
    <w:p w14:paraId="75A557F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6.2与本项目有关的</w:t>
      </w:r>
      <w:r>
        <w:rPr>
          <w:rFonts w:hint="eastAsia" w:cs="仿宋" w:asciiTheme="majorEastAsia" w:hAnsiTheme="majorEastAsia" w:eastAsiaTheme="majorEastAsia"/>
          <w:bCs/>
          <w:sz w:val="24"/>
        </w:rPr>
        <w:t>澄清或者修改的内容为招标文件的组成部分</w:t>
      </w:r>
      <w:r>
        <w:rPr>
          <w:rFonts w:hint="eastAsia" w:cs="仿宋" w:asciiTheme="majorEastAsia" w:hAnsiTheme="majorEastAsia" w:eastAsiaTheme="majorEastAsia"/>
          <w:sz w:val="24"/>
        </w:rPr>
        <w:t>。</w:t>
      </w:r>
    </w:p>
    <w:p w14:paraId="2CE2120F">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招标文件的澄清、修改</w:t>
      </w:r>
    </w:p>
    <w:p w14:paraId="0B827C3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168597D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701D106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7.3 如更正公告有重新发布电子招标文件的，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应下载最新发布的电子招标文件制作投标文件。</w:t>
      </w:r>
    </w:p>
    <w:p w14:paraId="4E7C5796">
      <w:pPr>
        <w:spacing w:line="360" w:lineRule="auto"/>
        <w:ind w:firstLine="480" w:firstLineChars="200"/>
        <w:rPr>
          <w:rFonts w:cs="仿宋" w:asciiTheme="majorEastAsia" w:hAnsiTheme="majorEastAsia" w:eastAsiaTheme="majorEastAsia"/>
          <w:b/>
          <w:sz w:val="28"/>
          <w:szCs w:val="20"/>
        </w:rPr>
      </w:pPr>
      <w:r>
        <w:rPr>
          <w:rFonts w:hint="eastAsia" w:cs="仿宋" w:asciiTheme="majorEastAsia" w:hAnsiTheme="majorEastAsia" w:eastAsiaTheme="majorEastAsia"/>
          <w:sz w:val="24"/>
        </w:rPr>
        <w:t>7.4 已获取招标文件的潜在</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，若有问题需要澄清，应于投标截止时间前，以书面形式向采购代理机构提出。</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w:t>
      </w:r>
    </w:p>
    <w:p w14:paraId="3B82B0AD">
      <w:pPr>
        <w:spacing w:line="360" w:lineRule="auto"/>
        <w:jc w:val="center"/>
        <w:outlineLvl w:val="0"/>
        <w:rPr>
          <w:rFonts w:cs="仿宋" w:asciiTheme="majorEastAsia" w:hAnsiTheme="majorEastAsia" w:eastAsiaTheme="majorEastAsia"/>
          <w:b/>
          <w:sz w:val="28"/>
          <w:szCs w:val="20"/>
        </w:rPr>
      </w:pPr>
      <w:r>
        <w:rPr>
          <w:rFonts w:hint="eastAsia" w:cs="仿宋" w:asciiTheme="majorEastAsia" w:hAnsiTheme="majorEastAsia" w:eastAsiaTheme="majorEastAsia"/>
          <w:b/>
          <w:sz w:val="28"/>
          <w:szCs w:val="20"/>
        </w:rPr>
        <w:t>三、投标</w:t>
      </w:r>
    </w:p>
    <w:p w14:paraId="48A57340">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投标文件的语言</w:t>
      </w:r>
    </w:p>
    <w:p w14:paraId="0ECEFC90">
      <w:pPr>
        <w:autoSpaceDE w:val="0"/>
        <w:autoSpaceDN w:val="0"/>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投标文件及</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与采购有关的来往通知、函件和文件均应使用中文。</w:t>
      </w:r>
    </w:p>
    <w:p w14:paraId="21743434">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投标文件的组成</w:t>
      </w:r>
    </w:p>
    <w:p w14:paraId="7E89EDC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9.1 </w:t>
      </w:r>
      <w:r>
        <w:rPr>
          <w:rFonts w:hint="eastAsia" w:cs="仿宋" w:asciiTheme="majorEastAsia" w:hAnsiTheme="majorEastAsia" w:eastAsiaTheme="majorEastAsia"/>
          <w:b/>
          <w:sz w:val="24"/>
        </w:rPr>
        <w:t>资格文件</w:t>
      </w:r>
      <w:r>
        <w:rPr>
          <w:rFonts w:hint="eastAsia" w:cs="仿宋" w:asciiTheme="majorEastAsia" w:hAnsiTheme="majorEastAsia" w:eastAsiaTheme="majorEastAsia"/>
          <w:sz w:val="24"/>
        </w:rPr>
        <w:t>：</w:t>
      </w:r>
    </w:p>
    <w:p w14:paraId="4ED78E47">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9.1.1有效的企业法人营业执照（或事业法人登记证）、其他组织（个体工商户）的营业执照或者民办非企业单位登记证书；</w:t>
      </w:r>
    </w:p>
    <w:p w14:paraId="3BA2861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9.1.2符合参加政府采购活动应当具备的一般条件的承诺函(格式见第六部分)；</w:t>
      </w:r>
    </w:p>
    <w:p w14:paraId="00520C9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9.1.3落实政府采购政策需满足的资格要求（如适用）；</w:t>
      </w:r>
    </w:p>
    <w:p w14:paraId="138D88DA">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9.1.4本项目的特定资格要求（如有）。</w:t>
      </w:r>
    </w:p>
    <w:p w14:paraId="3069CE57">
      <w:pPr>
        <w:snapToGrid w:val="0"/>
        <w:spacing w:line="360" w:lineRule="auto"/>
        <w:ind w:firstLine="480" w:firstLineChars="200"/>
        <w:rPr>
          <w:rFonts w:cs="仿宋" w:asciiTheme="majorEastAsia" w:hAnsiTheme="majorEastAsia" w:eastAsiaTheme="majorEastAsia"/>
          <w:b/>
          <w:bCs/>
          <w:sz w:val="24"/>
          <w:lang w:val="zh-CN"/>
        </w:rPr>
      </w:pPr>
      <w:r>
        <w:rPr>
          <w:rFonts w:hint="eastAsia" w:cs="仿宋" w:asciiTheme="majorEastAsia" w:hAnsiTheme="majorEastAsia" w:eastAsiaTheme="majorEastAsia"/>
          <w:sz w:val="24"/>
        </w:rPr>
        <w:t>9</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 xml:space="preserve"> </w:t>
      </w:r>
      <w:r>
        <w:rPr>
          <w:rFonts w:hint="eastAsia" w:cs="仿宋" w:asciiTheme="majorEastAsia" w:hAnsiTheme="majorEastAsia" w:eastAsiaTheme="majorEastAsia"/>
          <w:b/>
          <w:bCs/>
          <w:sz w:val="24"/>
        </w:rPr>
        <w:t>商务技术</w:t>
      </w:r>
      <w:r>
        <w:rPr>
          <w:rFonts w:hint="eastAsia" w:cs="仿宋" w:asciiTheme="majorEastAsia" w:hAnsiTheme="majorEastAsia" w:eastAsiaTheme="majorEastAsia"/>
          <w:b/>
          <w:bCs/>
          <w:sz w:val="24"/>
          <w:lang w:val="zh-CN"/>
        </w:rPr>
        <w:t>文件：</w:t>
      </w:r>
    </w:p>
    <w:p w14:paraId="760F063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 评分索引表</w:t>
      </w:r>
    </w:p>
    <w:p w14:paraId="0A5DEBA1">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9.2.2 符合性自查表；</w:t>
      </w:r>
    </w:p>
    <w:p w14:paraId="72DA4B17">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9.2.3 投标函；</w:t>
      </w:r>
      <w:r>
        <w:rPr>
          <w:rFonts w:hint="eastAsia" w:cs="仿宋" w:asciiTheme="majorEastAsia" w:hAnsiTheme="majorEastAsia" w:eastAsiaTheme="majorEastAsia"/>
          <w:sz w:val="24"/>
          <w:lang w:val="zh-CN"/>
        </w:rPr>
        <w:t xml:space="preserve"> </w:t>
      </w:r>
    </w:p>
    <w:p w14:paraId="572E0ED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9.2.4 授权委托书或法定代表人（单位负责人、自然人本人）身份证明；</w:t>
      </w:r>
    </w:p>
    <w:p w14:paraId="363B29EA">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9.2.5 投标人基本情况表；</w:t>
      </w:r>
    </w:p>
    <w:p w14:paraId="433775F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9.2.6 距采购人最近或者能为本项目提供最优服务的网点情况表；</w:t>
      </w:r>
    </w:p>
    <w:p w14:paraId="102992B1">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7 评标标准相应的商务技术资料；</w:t>
      </w:r>
    </w:p>
    <w:p w14:paraId="512C80CF">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9.2.8 商务响应表；</w:t>
      </w:r>
    </w:p>
    <w:p w14:paraId="35FDBFF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9.2.9 服务响应表；</w:t>
      </w:r>
    </w:p>
    <w:p w14:paraId="37710F1F">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9.2.10项目实施人员一览表；</w:t>
      </w:r>
    </w:p>
    <w:p w14:paraId="6ED1DDBA">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9.2.11同类业绩情况一览表；</w:t>
      </w:r>
    </w:p>
    <w:p w14:paraId="2990EF55">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9.2.12</w:t>
      </w:r>
      <w:r>
        <w:rPr>
          <w:rFonts w:hint="eastAsia" w:cs="仿宋" w:asciiTheme="majorEastAsia" w:hAnsiTheme="majorEastAsia" w:eastAsiaTheme="majorEastAsia"/>
          <w:sz w:val="24"/>
          <w:lang w:val="zh-CN"/>
        </w:rPr>
        <w:t>政府采购供应商廉洁自律承诺书；</w:t>
      </w:r>
    </w:p>
    <w:p w14:paraId="1F0E03D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9.2.13其他资料（如有）。</w:t>
      </w:r>
    </w:p>
    <w:p w14:paraId="1A6122A1">
      <w:pPr>
        <w:snapToGrid w:val="0"/>
        <w:spacing w:line="360" w:lineRule="auto"/>
        <w:ind w:firstLine="480" w:firstLineChars="200"/>
        <w:rPr>
          <w:rFonts w:cs="仿宋" w:asciiTheme="majorEastAsia" w:hAnsiTheme="majorEastAsia" w:eastAsiaTheme="majorEastAsia"/>
          <w:sz w:val="24"/>
          <w:u w:val="single"/>
          <w:lang w:val="zh-CN"/>
        </w:rPr>
      </w:pPr>
      <w:r>
        <w:rPr>
          <w:rFonts w:hint="eastAsia" w:cs="仿宋" w:asciiTheme="majorEastAsia" w:hAnsiTheme="majorEastAsia" w:eastAsiaTheme="majorEastAsia"/>
          <w:kern w:val="0"/>
          <w:sz w:val="24"/>
        </w:rPr>
        <w:t>9</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kern w:val="0"/>
          <w:sz w:val="24"/>
        </w:rPr>
        <w:t xml:space="preserve">3 </w:t>
      </w:r>
      <w:r>
        <w:rPr>
          <w:rFonts w:hint="eastAsia" w:cs="仿宋" w:asciiTheme="majorEastAsia" w:hAnsiTheme="majorEastAsia" w:eastAsiaTheme="majorEastAsia"/>
          <w:b/>
          <w:sz w:val="24"/>
        </w:rPr>
        <w:t>报价文件：</w:t>
      </w:r>
      <w:r>
        <w:rPr>
          <w:rFonts w:hint="eastAsia" w:cs="仿宋" w:asciiTheme="majorEastAsia" w:hAnsiTheme="majorEastAsia" w:eastAsiaTheme="majorEastAsia"/>
          <w:sz w:val="24"/>
        </w:rPr>
        <w:t xml:space="preserve"> </w:t>
      </w:r>
    </w:p>
    <w:p w14:paraId="7FB9E82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9.3.1 开标一览表；</w:t>
      </w:r>
    </w:p>
    <w:p w14:paraId="2ACE964C">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9.3.2 投标报价明细表；</w:t>
      </w:r>
    </w:p>
    <w:p w14:paraId="519A91E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9.3.3 中小企业声明函（如有）；</w:t>
      </w:r>
    </w:p>
    <w:p w14:paraId="0F961184">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9.3.4 残疾人福利性单位声明函（如有）；</w:t>
      </w:r>
    </w:p>
    <w:p w14:paraId="21391244">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9.3.5 监狱企业的证明文件（如有）；</w:t>
      </w:r>
    </w:p>
    <w:p w14:paraId="3FAD5D2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9.3.6 政府采购统计基础信息表；</w:t>
      </w:r>
    </w:p>
    <w:p w14:paraId="26AA6411">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9.3.7其他资料（如有）。</w:t>
      </w:r>
    </w:p>
    <w:p w14:paraId="0175C1A3">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投标文件的编制</w:t>
      </w:r>
    </w:p>
    <w:p w14:paraId="4DE2CA5D">
      <w:pPr>
        <w:spacing w:line="360" w:lineRule="auto"/>
        <w:ind w:firstLine="480" w:firstLineChars="200"/>
        <w:rPr>
          <w:rFonts w:cs="仿宋" w:asciiTheme="majorEastAsia" w:hAnsiTheme="majorEastAsia" w:eastAsiaTheme="majorEastAsia"/>
          <w:b/>
          <w:sz w:val="24"/>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kern w:val="0"/>
          <w:sz w:val="24"/>
        </w:rPr>
        <w:t>未有规定格式的资料，</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应自行编制，但至少须包含9.投标文件组成中的内容。</w:t>
      </w:r>
      <w:r>
        <w:rPr>
          <w:rFonts w:hint="eastAsia" w:cs="仿宋" w:asciiTheme="majorEastAsia" w:hAnsiTheme="majorEastAsia" w:eastAsiaTheme="majorEastAsia"/>
          <w:kern w:val="0"/>
          <w:sz w:val="24"/>
          <w:lang w:val="zh-CN"/>
        </w:rPr>
        <w:t>混乱的编排导致投标文件被误读或评标委员会查找不到有效文件是供应商的风险。</w:t>
      </w:r>
    </w:p>
    <w:p w14:paraId="7AFF1668">
      <w:pPr>
        <w:spacing w:line="360" w:lineRule="auto"/>
        <w:ind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rPr>
        <w:t>10.2</w:t>
      </w:r>
      <w:r>
        <w:rPr>
          <w:rFonts w:hint="eastAsia" w:cs="仿宋" w:asciiTheme="majorEastAsia" w:hAnsiTheme="majorEastAsia" w:eastAsiaTheme="majorEastAsia"/>
          <w:kern w:val="0"/>
          <w:sz w:val="24"/>
          <w:lang w:val="zh-CN"/>
        </w:rPr>
        <w:t>供应商进行电子投标应安装客户端软件</w:t>
      </w:r>
      <w:r>
        <w:rPr>
          <w:rFonts w:hint="eastAsia" w:cs="仿宋" w:asciiTheme="majorEastAsia" w:hAnsiTheme="majorEastAsia" w:eastAsiaTheme="majorEastAsia"/>
          <w:kern w:val="0"/>
          <w:sz w:val="24"/>
        </w:rPr>
        <w:t>—“</w:t>
      </w:r>
      <w:r>
        <w:rPr>
          <w:rFonts w:hint="eastAsia" w:cs="仿宋" w:asciiTheme="majorEastAsia" w:hAnsiTheme="majorEastAsia" w:eastAsiaTheme="majorEastAsia"/>
          <w:kern w:val="0"/>
          <w:sz w:val="24"/>
          <w:lang w:val="zh-CN"/>
        </w:rPr>
        <w:t>乐采云电子交易客户端</w:t>
      </w:r>
      <w:r>
        <w:rPr>
          <w:rFonts w:hint="eastAsia" w:cs="仿宋" w:asciiTheme="majorEastAsia" w:hAnsiTheme="majorEastAsia" w:eastAsiaTheme="majorEastAsia"/>
          <w:kern w:val="0"/>
          <w:sz w:val="24"/>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kern w:val="0"/>
          <w:sz w:val="24"/>
          <w:lang w:val="zh-CN"/>
        </w:rPr>
        <w:t>并按照招标文件和电子交易平台的要求编制并加密投标文件。供应商未按规定加密的投标文件，电子交易平台将拒收并提示。</w:t>
      </w:r>
    </w:p>
    <w:p w14:paraId="5B8F0319">
      <w:pPr>
        <w:spacing w:line="360" w:lineRule="auto"/>
        <w:ind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.3使用“乐采云电子交易客户端”需要提前申领CA数字证书，申领流程请自行前往“浙江企业采购信息服务网-下载专区-电子交易客户端-CA驱动和申领流程”进行查阅。</w:t>
      </w:r>
    </w:p>
    <w:p w14:paraId="1AA093B9">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投标文件的签署、盖章</w:t>
      </w:r>
    </w:p>
    <w:p w14:paraId="0A12D95B">
      <w:pPr>
        <w:pStyle w:val="46"/>
        <w:snapToGrid w:val="0"/>
        <w:spacing w:before="0"/>
        <w:ind w:firstLine="480"/>
        <w:rPr>
          <w:rFonts w:cs="仿宋" w:asciiTheme="majorEastAsia" w:hAnsiTheme="majorEastAsia" w:eastAsiaTheme="majorEastAsia"/>
          <w:b/>
        </w:rPr>
      </w:pPr>
      <w:r>
        <w:rPr>
          <w:rFonts w:hint="eastAsia" w:cs="仿宋" w:asciiTheme="majorEastAsia" w:hAnsiTheme="majorEastAsia" w:eastAsiaTheme="majorEastAsia"/>
          <w:szCs w:val="24"/>
        </w:rPr>
        <w:t>11.1投标文件按照招标文件第六部分格式要</w:t>
      </w:r>
      <w:r>
        <w:rPr>
          <w:rFonts w:hint="eastAsia" w:cs="仿宋" w:asciiTheme="majorEastAsia" w:hAnsiTheme="majorEastAsia" w:eastAsiaTheme="majorEastAsia"/>
        </w:rPr>
        <w:t>求进行签署、盖章。</w:t>
      </w:r>
      <w:r>
        <w:rPr>
          <w:rFonts w:hint="eastAsia" w:cs="仿宋" w:asciiTheme="majorEastAsia" w:hAnsiTheme="majorEastAsia" w:eastAsiaTheme="majorEastAsia"/>
          <w:b/>
        </w:rPr>
        <w:t>▲供应商的投标文件未按照招标文件要求签署、盖章的，其投标无效</w:t>
      </w:r>
      <w:r>
        <w:rPr>
          <w:rFonts w:hint="eastAsia" w:cs="仿宋" w:asciiTheme="majorEastAsia" w:hAnsiTheme="majorEastAsia" w:eastAsiaTheme="majorEastAsia"/>
          <w:szCs w:val="24"/>
        </w:rPr>
        <w:t>。</w:t>
      </w:r>
    </w:p>
    <w:p w14:paraId="550047F2">
      <w:pPr>
        <w:pStyle w:val="46"/>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11.2为确保网上操作合法、有效和安全，</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应当在投标截止时间前完成在“政府采购云平台”的身份认证，确保在电子投标过程中能够对相关数据电文进行加密和使用电子签名。</w:t>
      </w:r>
    </w:p>
    <w:p w14:paraId="7D611B6B">
      <w:pPr>
        <w:pStyle w:val="46"/>
        <w:snapToGrid w:val="0"/>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rPr>
        <w:t>11.3招标文件对投标文件签署、盖章的要求适用于电子签名。</w:t>
      </w:r>
    </w:p>
    <w:p w14:paraId="461B0F30">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投标文件的提交、补充、修改、撤回</w:t>
      </w:r>
    </w:p>
    <w:p w14:paraId="3E2525C1">
      <w:pPr>
        <w:pStyle w:val="46"/>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897FF7">
      <w:pPr>
        <w:pStyle w:val="46"/>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12.2电子交易平台收到投标文件，将妥善保存并即时向供应商发出确认回执通知。在投标截止时间前，除供应商补充、修改或者撤回投标文件外，任何单位和个人不得解密或提取投标文件。</w:t>
      </w:r>
    </w:p>
    <w:p w14:paraId="64A336EA">
      <w:pPr>
        <w:pStyle w:val="46"/>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12.3采购人、采购代理机构可以视情况延长投标文件提交的截止时间。在上述情况下，采购代理机构与</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szCs w:val="24"/>
        </w:rPr>
        <w:t>以前在投标截止期方面的全部权利、责任和义务，将适用于延长至新的投标截止期。</w:t>
      </w:r>
    </w:p>
    <w:p w14:paraId="0D1547A8">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投标有效期</w:t>
      </w:r>
    </w:p>
    <w:p w14:paraId="14DB7E57">
      <w:pPr>
        <w:spacing w:line="360" w:lineRule="auto"/>
        <w:ind w:firstLine="480" w:firstLineChars="200"/>
        <w:rPr>
          <w:rFonts w:cs="仿宋" w:asciiTheme="majorEastAsia" w:hAnsiTheme="majorEastAsia" w:eastAsiaTheme="majorEastAsia"/>
          <w:b/>
          <w:sz w:val="24"/>
          <w:szCs w:val="21"/>
        </w:rPr>
      </w:pPr>
      <w:r>
        <w:rPr>
          <w:rFonts w:hint="eastAsia" w:cs="仿宋" w:asciiTheme="majorEastAsia" w:hAnsiTheme="majorEastAsia" w:eastAsiaTheme="majorEastAsia"/>
          <w:sz w:val="24"/>
          <w:szCs w:val="20"/>
        </w:rPr>
        <w:t>投标有效期为从提交投标文件的截止之日起90天。▲</w:t>
      </w:r>
      <w:r>
        <w:rPr>
          <w:rFonts w:hint="eastAsia" w:cs="仿宋" w:asciiTheme="majorEastAsia" w:hAnsiTheme="majorEastAsia" w:eastAsiaTheme="majorEastAsia"/>
          <w:b/>
          <w:sz w:val="24"/>
          <w:szCs w:val="20"/>
        </w:rPr>
        <w:t>供应商的投标文件中承</w:t>
      </w:r>
      <w:r>
        <w:rPr>
          <w:rFonts w:hint="eastAsia" w:cs="仿宋" w:asciiTheme="majorEastAsia" w:hAnsiTheme="majorEastAsia" w:eastAsiaTheme="majorEastAsia"/>
          <w:b/>
          <w:sz w:val="24"/>
          <w:szCs w:val="21"/>
        </w:rPr>
        <w:t>诺的投标有效期少于招标文件中载明的投标有效期的，投标无效。</w:t>
      </w:r>
    </w:p>
    <w:p w14:paraId="0A57B5CF">
      <w:pPr>
        <w:pStyle w:val="46"/>
        <w:spacing w:before="0"/>
        <w:ind w:firstLine="643"/>
        <w:rPr>
          <w:rFonts w:cs="仿宋" w:asciiTheme="majorEastAsia" w:hAnsiTheme="majorEastAsia" w:eastAsiaTheme="majorEastAsia"/>
          <w:b/>
          <w:sz w:val="32"/>
        </w:rPr>
      </w:pPr>
    </w:p>
    <w:p w14:paraId="487D3C6A">
      <w:pPr>
        <w:pStyle w:val="46"/>
        <w:spacing w:before="0"/>
        <w:ind w:firstLine="1928" w:firstLineChars="600"/>
        <w:rPr>
          <w:rFonts w:cs="仿宋" w:asciiTheme="majorEastAsia" w:hAnsiTheme="majorEastAsia" w:eastAsiaTheme="majorEastAsia"/>
          <w:b/>
          <w:sz w:val="32"/>
        </w:rPr>
      </w:pPr>
      <w:r>
        <w:rPr>
          <w:rFonts w:hint="eastAsia" w:cs="仿宋" w:asciiTheme="majorEastAsia" w:hAnsiTheme="majorEastAsia" w:eastAsiaTheme="majorEastAsia"/>
          <w:b/>
          <w:sz w:val="32"/>
        </w:rPr>
        <w:t>四、开标、资格审查与信用信息查询</w:t>
      </w:r>
    </w:p>
    <w:p w14:paraId="0E15B847">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开标 </w:t>
      </w:r>
    </w:p>
    <w:p w14:paraId="5249AD5F">
      <w:pPr>
        <w:pStyle w:val="41"/>
        <w:spacing w:before="0" w:line="360" w:lineRule="auto"/>
        <w:ind w:left="0" w:firstLine="480" w:firstLineChars="200"/>
        <w:contextualSpacing/>
        <w:rPr>
          <w:rFonts w:cs="仿宋" w:asciiTheme="majorEastAsia" w:hAnsiTheme="majorEastAsia" w:eastAsiaTheme="majorEastAsia"/>
          <w:sz w:val="24"/>
        </w:rPr>
      </w:pPr>
      <w:r>
        <w:rPr>
          <w:rFonts w:hint="eastAsia" w:cs="仿宋" w:asciiTheme="majorEastAsia" w:hAnsiTheme="majorEastAsia" w:eastAsiaTheme="majorEastAsia"/>
          <w:sz w:val="24"/>
        </w:rPr>
        <w:t>14.1采购代理机构按照招标文件规定的时间通过电子交易平台组织开标，所有</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均应当准时在线参加。</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不足3家的，不得开标。</w:t>
      </w:r>
    </w:p>
    <w:p w14:paraId="29A582D4">
      <w:pPr>
        <w:pStyle w:val="41"/>
        <w:spacing w:before="0" w:line="360" w:lineRule="auto"/>
        <w:ind w:left="0" w:firstLine="240" w:firstLineChars="100"/>
        <w:contextualSpacing/>
        <w:rPr>
          <w:rFonts w:cs="仿宋" w:asciiTheme="majorEastAsia" w:hAnsiTheme="majorEastAsia" w:eastAsiaTheme="majorEastAsia"/>
          <w:sz w:val="24"/>
        </w:rPr>
      </w:pPr>
      <w:r>
        <w:rPr>
          <w:rFonts w:hint="eastAsia" w:cs="仿宋" w:asciiTheme="majorEastAsia" w:hAnsiTheme="majorEastAsia" w:eastAsiaTheme="majorEastAsia"/>
          <w:sz w:val="24"/>
        </w:rPr>
        <w:t>　14.2开标时，电子交易平台按开标时间自动提取所有投标文件。采购代理机构依托电子交易平台发起开始解密指令，</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按照平台提示和招标文件的规定在半小时内完成在线解密。</w:t>
      </w:r>
    </w:p>
    <w:p w14:paraId="29F5182A">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资格审查</w:t>
      </w:r>
    </w:p>
    <w:p w14:paraId="31AD1984">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15.1开标后，采购人或采购代理机构依据法律法规和招标文件的规定，对供应商的资格条件进行审查。</w:t>
      </w:r>
    </w:p>
    <w:p w14:paraId="31B107B3">
      <w:pPr>
        <w:pStyle w:val="46"/>
        <w:spacing w:before="0"/>
        <w:ind w:firstLine="480"/>
        <w:rPr>
          <w:rFonts w:cs="仿宋" w:asciiTheme="majorEastAsia" w:hAnsiTheme="majorEastAsia" w:eastAsiaTheme="majorEastAsia"/>
        </w:rPr>
      </w:pPr>
      <w:r>
        <w:rPr>
          <w:rFonts w:hint="eastAsia" w:cs="仿宋" w:asciiTheme="majorEastAsia" w:hAnsiTheme="majorEastAsia" w:eastAsiaTheme="majorEastAsia"/>
          <w:kern w:val="0"/>
          <w:szCs w:val="24"/>
        </w:rPr>
        <w:t>15.</w:t>
      </w:r>
      <w:r>
        <w:rPr>
          <w:rFonts w:hint="eastAsia" w:cs="仿宋" w:asciiTheme="majorEastAsia" w:hAnsiTheme="majorEastAsia" w:eastAsiaTheme="majorEastAsia"/>
        </w:rPr>
        <w:t>2对未通过资格审查的供应商，采购人或采购代理机构告知其未通过的原因。</w:t>
      </w:r>
    </w:p>
    <w:p w14:paraId="0E8458E2">
      <w:pPr>
        <w:pStyle w:val="46"/>
        <w:spacing w:before="0"/>
        <w:ind w:firstLine="480"/>
        <w:rPr>
          <w:rFonts w:cs="仿宋" w:asciiTheme="majorEastAsia" w:hAnsiTheme="majorEastAsia" w:eastAsiaTheme="majorEastAsia"/>
        </w:rPr>
      </w:pPr>
      <w:r>
        <w:rPr>
          <w:rFonts w:hint="eastAsia" w:cs="仿宋" w:asciiTheme="majorEastAsia" w:hAnsiTheme="majorEastAsia" w:eastAsiaTheme="majorEastAsia"/>
          <w:kern w:val="0"/>
          <w:szCs w:val="24"/>
        </w:rPr>
        <w:t>15.</w:t>
      </w:r>
      <w:r>
        <w:rPr>
          <w:rFonts w:hint="eastAsia" w:cs="仿宋" w:asciiTheme="majorEastAsia" w:hAnsiTheme="majorEastAsia" w:eastAsiaTheme="majorEastAsia"/>
        </w:rPr>
        <w:t>3合格供应商不足3家的，不再评标。</w:t>
      </w:r>
    </w:p>
    <w:p w14:paraId="5C897CE1">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信用信息查询</w:t>
      </w:r>
    </w:p>
    <w:p w14:paraId="485911F3">
      <w:pPr>
        <w:pStyle w:val="46"/>
        <w:spacing w:before="0"/>
        <w:ind w:firstLine="495" w:firstLineChars="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16.1信用信息查询渠道及截止时间：采购代理机构将通过“信用中国”网站(www.creditchina.gov.cn)、中国政府采购网(www.ccgp.gov.cn)渠道查询供应商投标截止时间当天的信用记录。</w:t>
      </w:r>
    </w:p>
    <w:p w14:paraId="4EB00898">
      <w:pPr>
        <w:pStyle w:val="46"/>
        <w:spacing w:before="0"/>
        <w:ind w:firstLine="495" w:firstLineChars="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16.2信用信息的使用规则：经查询列入失信被执行人名单、重大税收违法失信主体、政府采购严重违法失信行为记录名单的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将被拒绝参与政府采购活动。</w:t>
      </w:r>
    </w:p>
    <w:p w14:paraId="7D4012DF">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rPr>
        <w:t>。</w:t>
      </w:r>
    </w:p>
    <w:p w14:paraId="2B72201D">
      <w:pPr>
        <w:snapToGrid w:val="0"/>
        <w:spacing w:line="360" w:lineRule="auto"/>
        <w:jc w:val="center"/>
        <w:outlineLvl w:val="0"/>
        <w:rPr>
          <w:rFonts w:cs="仿宋" w:asciiTheme="majorEastAsia" w:hAnsiTheme="majorEastAsia" w:eastAsiaTheme="majorEastAsia"/>
          <w:b/>
          <w:sz w:val="36"/>
          <w:szCs w:val="36"/>
        </w:rPr>
      </w:pPr>
    </w:p>
    <w:p w14:paraId="231901D9">
      <w:pPr>
        <w:snapToGrid w:val="0"/>
        <w:spacing w:line="360" w:lineRule="auto"/>
        <w:jc w:val="center"/>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五、评标</w:t>
      </w:r>
    </w:p>
    <w:p w14:paraId="1FBC3FCD">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bookmarkStart w:id="14" w:name="_Toc91899903"/>
      <w:r>
        <w:rPr>
          <w:rFonts w:hint="eastAsia" w:cs="仿宋" w:asciiTheme="majorEastAsia" w:hAnsiTheme="majorEastAsia" w:eastAsiaTheme="majorEastAsia"/>
          <w:b/>
          <w:sz w:val="24"/>
        </w:rPr>
        <w:t>评标委员会</w:t>
      </w:r>
    </w:p>
    <w:p w14:paraId="5A7C4B73">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17.1 本次招标依法组建评标委员会。评标委员会由采购人代表和评审专家组成，评审专家从专家库随机抽取。</w:t>
      </w:r>
    </w:p>
    <w:p w14:paraId="0C6D4BCC">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68BDDD58">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 评审专家有下列情形之一的，受到邀请应主动提出回避，采购当事人也可以要求该评审专家回避：</w:t>
      </w:r>
    </w:p>
    <w:p w14:paraId="16A1AFB1">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17.3.1 参加采购活动前3年内与供应商存在劳动关系；</w:t>
      </w:r>
    </w:p>
    <w:p w14:paraId="5058B5DA">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17.3.2 参加采购活动前3年内担任供应商的董事、监事；</w:t>
      </w:r>
    </w:p>
    <w:p w14:paraId="1CC62A11">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17.3.3 参加采购活动前3年内是供应商的控股股东或实际控制人；</w:t>
      </w:r>
    </w:p>
    <w:p w14:paraId="3BB95B23">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17.3.4 与供应商的法定代表人或者负责人有夫妻、直系血亲、三代以内旁系血亲或者近姻亲关系；</w:t>
      </w:r>
    </w:p>
    <w:p w14:paraId="1FB22FD3">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17.3.5 与供应商有其他可能影响政府采购活动公平、公正进行的关系。</w:t>
      </w:r>
    </w:p>
    <w:p w14:paraId="7CF2CA7A">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17.3.6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A17D512">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17.4 评标委员会判断投标文件的有效性、合格性和响应情况，仅依据投标人所递交一切文件的真实表述，不受与本项目无直接关联的外部信息、传言而影响自身的专业判断。</w:t>
      </w:r>
    </w:p>
    <w:p w14:paraId="24B82106">
      <w:pPr>
        <w:pStyle w:val="46"/>
        <w:spacing w:before="0"/>
        <w:ind w:firstLine="480"/>
        <w:rPr>
          <w:rFonts w:asciiTheme="majorEastAsia" w:hAnsiTheme="majorEastAsia" w:eastAsiaTheme="majorEastAsia"/>
        </w:rPr>
      </w:pPr>
      <w:r>
        <w:rPr>
          <w:rFonts w:hint="eastAsia" w:cs="仿宋" w:asciiTheme="majorEastAsia" w:hAnsiTheme="majorEastAsia" w:eastAsiaTheme="majorEastAsia"/>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15B3258E">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评标</w:t>
      </w:r>
    </w:p>
    <w:p w14:paraId="6D06306E">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评标委员会将根据招标文件和有关规定，履行评标工作职责，并按照评标方法及评分标准，全面衡量各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对招标文件的响应情况。对实质上响应招标文件的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，按照评审因素的量化指标推荐综合得分排名第一的为中标候选人。</w:t>
      </w:r>
    </w:p>
    <w:p w14:paraId="1967F37E">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为排名第一的中标候选人。</w:t>
      </w:r>
    </w:p>
    <w:p w14:paraId="1525DA0A">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详见招标文件第四部分评标办法。</w:t>
      </w:r>
    </w:p>
    <w:p w14:paraId="136D41DE">
      <w:pPr>
        <w:spacing w:line="360" w:lineRule="auto"/>
        <w:rPr>
          <w:rFonts w:cs="仿宋" w:asciiTheme="majorEastAsia" w:hAnsiTheme="majorEastAsia" w:eastAsiaTheme="majorEastAsia"/>
          <w:b/>
          <w:sz w:val="24"/>
        </w:rPr>
      </w:pPr>
    </w:p>
    <w:p w14:paraId="37429DBE">
      <w:pPr>
        <w:snapToGrid w:val="0"/>
        <w:spacing w:line="360" w:lineRule="auto"/>
        <w:jc w:val="center"/>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六、定 标</w:t>
      </w:r>
    </w:p>
    <w:p w14:paraId="28F9DC1A">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确定中标供应商</w:t>
      </w:r>
    </w:p>
    <w:p w14:paraId="1E6A8761">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本项目由评标委员会推荐一个中标候选人，采购人不得在评标委员会推荐的中标候选人以外确定中标人。</w:t>
      </w:r>
    </w:p>
    <w:p w14:paraId="737A7524">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中标通知与中标结果公告</w:t>
      </w:r>
    </w:p>
    <w:p w14:paraId="1445CEAE">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20.1自中标人确定之日起2个工作日内，采购代理机构通过电子交易平台向中标人发出中标通知书，同时编制发布采购结果公告。采购代理机构也可以以纸质形式进行中标通知。</w:t>
      </w:r>
    </w:p>
    <w:p w14:paraId="3220ECD8">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6C873BB">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20.3公告期限为1个工作日。</w:t>
      </w:r>
    </w:p>
    <w:p w14:paraId="50EEB744">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七、合同授予</w:t>
      </w:r>
    </w:p>
    <w:p w14:paraId="4003B6A2">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合同授予</w:t>
      </w:r>
    </w:p>
    <w:p w14:paraId="4409AC7E">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合同主要条款详见第五部分拟签订的合同文本。</w:t>
      </w:r>
    </w:p>
    <w:p w14:paraId="4013A708">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合同的签订</w:t>
      </w:r>
    </w:p>
    <w:p w14:paraId="24896C5F">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22.1 采购人与中标供应商应当通过电子交易平台在中标通知书发出之日起三十日内，按照招标文件及中标供应商的投标文件确定的事项签订采购合同，并在合同签订之日起2个工作日内依法发布合同公告。</w:t>
      </w:r>
    </w:p>
    <w:p w14:paraId="6B597AB6">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lang w:val="zh-CN"/>
        </w:rPr>
        <w:t>2</w:t>
      </w:r>
      <w:r>
        <w:rPr>
          <w:rFonts w:hint="eastAsia" w:cs="仿宋" w:asciiTheme="majorEastAsia" w:hAnsiTheme="majorEastAsia" w:eastAsiaTheme="majorEastAsia"/>
          <w:kern w:val="0"/>
          <w:szCs w:val="24"/>
        </w:rPr>
        <w:t>2</w:t>
      </w:r>
      <w:r>
        <w:rPr>
          <w:rFonts w:hint="eastAsia" w:cs="仿宋" w:asciiTheme="majorEastAsia" w:hAnsiTheme="majorEastAsia" w:eastAsiaTheme="majorEastAsia"/>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3173F8E7">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22.3如签订合同并生效后，供应商无故拒绝或延期，除按照合同条款处理外，列入不良行为记录名单，并给予通报。</w:t>
      </w:r>
    </w:p>
    <w:p w14:paraId="2BC30E87">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22.4中标供应商拒绝与采购人签订合同的，列入不良行为记录名单，采购人、采购代理机构重新开展采购活动。</w:t>
      </w:r>
    </w:p>
    <w:p w14:paraId="32EC8C2F">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履约保证金</w:t>
      </w:r>
    </w:p>
    <w:p w14:paraId="322C7419">
      <w:pPr>
        <w:pStyle w:val="46"/>
        <w:spacing w:before="0"/>
        <w:ind w:firstLine="480"/>
        <w:rPr>
          <w:rFonts w:cs="仿宋" w:asciiTheme="majorEastAsia" w:hAnsiTheme="majorEastAsia" w:eastAsiaTheme="majorEastAsia"/>
          <w:b/>
        </w:rPr>
      </w:pPr>
      <w:r>
        <w:rPr>
          <w:rFonts w:hint="eastAsia" w:cs="仿宋" w:asciiTheme="majorEastAsia" w:hAnsiTheme="majorEastAsia" w:eastAsiaTheme="majorEastAsia"/>
          <w:kern w:val="0"/>
        </w:rPr>
        <w:t>拟签订的合同文本要求中标</w:t>
      </w:r>
      <w:r>
        <w:rPr>
          <w:rFonts w:hint="eastAsia" w:cs="仿宋" w:asciiTheme="majorEastAsia" w:hAnsiTheme="majorEastAsia" w:eastAsiaTheme="majorEastAsia"/>
          <w:kern w:val="0"/>
          <w:szCs w:val="24"/>
        </w:rPr>
        <w:t>供应</w:t>
      </w:r>
      <w:r>
        <w:rPr>
          <w:rFonts w:hint="eastAsia" w:cs="仿宋" w:asciiTheme="majorEastAsia" w:hAnsiTheme="majorEastAsia" w:eastAsiaTheme="majorEastAsia"/>
          <w:kern w:val="0"/>
        </w:rPr>
        <w:t>商提交履约保证金的，供应商应当以支票、汇票、本票或者银行、保险公司出具的保函等非现金形式提交</w:t>
      </w:r>
      <w:r>
        <w:rPr>
          <w:rFonts w:hint="eastAsia" w:cs="仿宋" w:asciiTheme="majorEastAsia" w:hAnsiTheme="majorEastAsia" w:eastAsiaTheme="majorEastAsia"/>
        </w:rPr>
        <w:t>。鼓励和支持供应商以银行、保险公司出具的保函形式提供履约保证金。</w:t>
      </w:r>
      <w:r>
        <w:rPr>
          <w:rFonts w:hint="eastAsia" w:cs="仿宋" w:asciiTheme="majorEastAsia" w:hAnsiTheme="majorEastAsia" w:eastAsiaTheme="majorEastAsia"/>
          <w:b/>
        </w:rPr>
        <w:t>采购人不得拒收履约保函。</w:t>
      </w:r>
    </w:p>
    <w:p w14:paraId="14EE742D">
      <w:pPr>
        <w:snapToGrid w:val="0"/>
        <w:spacing w:line="360" w:lineRule="auto"/>
        <w:ind w:firstLine="3357" w:firstLineChars="1045"/>
        <w:rPr>
          <w:rFonts w:cs="仿宋" w:asciiTheme="majorEastAsia" w:hAnsiTheme="majorEastAsia" w:eastAsiaTheme="majorEastAsia"/>
          <w:b/>
          <w:sz w:val="32"/>
        </w:rPr>
      </w:pPr>
    </w:p>
    <w:p w14:paraId="47B2F470">
      <w:pPr>
        <w:snapToGrid w:val="0"/>
        <w:spacing w:line="360" w:lineRule="auto"/>
        <w:ind w:firstLine="3357" w:firstLineChars="1045"/>
        <w:rPr>
          <w:rFonts w:cs="仿宋" w:asciiTheme="majorEastAsia" w:hAnsiTheme="majorEastAsia" w:eastAsiaTheme="majorEastAsia"/>
          <w:b/>
          <w:sz w:val="24"/>
        </w:rPr>
      </w:pPr>
      <w:r>
        <w:rPr>
          <w:rFonts w:hint="eastAsia" w:cs="仿宋" w:asciiTheme="majorEastAsia" w:hAnsiTheme="majorEastAsia" w:eastAsiaTheme="majorEastAsia"/>
          <w:b/>
          <w:sz w:val="32"/>
        </w:rPr>
        <w:t>八、电子交易活动的中止</w:t>
      </w:r>
    </w:p>
    <w:p w14:paraId="1B644D64">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电子交易活动的中止</w:t>
      </w:r>
    </w:p>
    <w:p w14:paraId="7A7A4F2D">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采购过程中出现以下情形，导致电子交易平台无法正常运行，或者无法保证电子交易的公平、公正和安全时，采购代理机构可中止电子交易活动：</w:t>
      </w:r>
    </w:p>
    <w:p w14:paraId="1F3B096A">
      <w:pPr>
        <w:pStyle w:val="46"/>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 xml:space="preserve">24.1电子交易平台发生故障而无法登录访问的； </w:t>
      </w:r>
    </w:p>
    <w:p w14:paraId="59938464">
      <w:pPr>
        <w:pStyle w:val="46"/>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24.2电子交易平台应用或数据库出现错误，不能进行正常操作的；</w:t>
      </w:r>
    </w:p>
    <w:p w14:paraId="3A48BBC7">
      <w:pPr>
        <w:pStyle w:val="46"/>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24.3电子交易平台发现严重安全漏洞，有潜在泄密危险的；</w:t>
      </w:r>
    </w:p>
    <w:p w14:paraId="376CE385">
      <w:pPr>
        <w:pStyle w:val="46"/>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 xml:space="preserve">24.4病毒发作导致不能进行正常操作的； </w:t>
      </w:r>
    </w:p>
    <w:p w14:paraId="37CFE1AE">
      <w:pPr>
        <w:pStyle w:val="46"/>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24.5其他无法保证电子交易的公平、公正和安全的情况。</w:t>
      </w:r>
    </w:p>
    <w:p w14:paraId="2D80A376">
      <w:pPr>
        <w:tabs>
          <w:tab w:val="left" w:pos="0"/>
        </w:tabs>
        <w:spacing w:line="360" w:lineRule="auto"/>
        <w:ind w:firstLine="480"/>
        <w:rPr>
          <w:rFonts w:cs="仿宋" w:asciiTheme="majorEastAsia" w:hAnsiTheme="majorEastAsia" w:eastAsiaTheme="majorEastAsia"/>
          <w:sz w:val="24"/>
        </w:rPr>
      </w:pPr>
    </w:p>
    <w:p w14:paraId="51D77E6E">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九、验收</w:t>
      </w:r>
    </w:p>
    <w:p w14:paraId="10280A85">
      <w:pPr>
        <w:numPr>
          <w:ilvl w:val="0"/>
          <w:numId w:val="1"/>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验收</w:t>
      </w:r>
    </w:p>
    <w:p w14:paraId="0B5146F4">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25.1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92A25C">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25.2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8CC5CC">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2"/>
      <w:bookmarkEnd w:id="13"/>
      <w:bookmarkEnd w:id="14"/>
      <w:bookmarkStart w:id="15" w:name="_Hlt74714665"/>
      <w:bookmarkEnd w:id="15"/>
      <w:bookmarkStart w:id="16" w:name="_Hlt74707468"/>
      <w:bookmarkEnd w:id="16"/>
      <w:bookmarkStart w:id="17" w:name="_Hlt68403820"/>
      <w:bookmarkEnd w:id="17"/>
      <w:bookmarkStart w:id="18" w:name="_Hlt75236101"/>
      <w:bookmarkEnd w:id="18"/>
      <w:bookmarkStart w:id="19" w:name="_Hlt75236290"/>
      <w:bookmarkEnd w:id="19"/>
      <w:bookmarkStart w:id="20" w:name="_Hlt68072998"/>
      <w:bookmarkEnd w:id="20"/>
      <w:bookmarkStart w:id="21" w:name="_Hlt74729768"/>
      <w:bookmarkEnd w:id="21"/>
      <w:bookmarkStart w:id="22" w:name="_Hlt68072990"/>
      <w:bookmarkEnd w:id="22"/>
      <w:bookmarkStart w:id="23" w:name="_Hlt68073093"/>
      <w:bookmarkEnd w:id="23"/>
      <w:bookmarkStart w:id="24" w:name="_Hlt75236011"/>
      <w:bookmarkEnd w:id="24"/>
      <w:bookmarkStart w:id="25" w:name="_Hlt74730295"/>
      <w:bookmarkEnd w:id="25"/>
      <w:bookmarkStart w:id="26" w:name="_Hlt68057669"/>
      <w:bookmarkEnd w:id="26"/>
      <w:bookmarkStart w:id="27" w:name="第四部分"/>
    </w:p>
    <w:p w14:paraId="39623B1F">
      <w:pPr>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br w:type="page"/>
      </w:r>
    </w:p>
    <w:p w14:paraId="0DEC57F0">
      <w:pPr>
        <w:tabs>
          <w:tab w:val="left" w:pos="0"/>
        </w:tabs>
        <w:spacing w:line="360" w:lineRule="auto"/>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第三部分   采购需求</w:t>
      </w:r>
    </w:p>
    <w:p w14:paraId="581635EC">
      <w:pPr>
        <w:pStyle w:val="17"/>
        <w:spacing w:before="0" w:after="0" w:line="360" w:lineRule="auto"/>
        <w:ind w:firstLine="562" w:firstLineChars="200"/>
        <w:jc w:val="left"/>
        <w:outlineLvl w:val="9"/>
        <w:rPr>
          <w:rFonts w:ascii="宋体" w:hAnsi="宋体" w:cs="宋体"/>
          <w:sz w:val="24"/>
        </w:rPr>
      </w:pPr>
      <w:r>
        <w:rPr>
          <w:rFonts w:hint="eastAsia" w:ascii="宋体" w:hAnsi="宋体" w:cs="宋体"/>
          <w:sz w:val="28"/>
          <w:szCs w:val="28"/>
        </w:rPr>
        <w:t>一、项目背景</w:t>
      </w:r>
    </w:p>
    <w:p w14:paraId="4453FAB8">
      <w:pPr>
        <w:spacing w:line="360" w:lineRule="auto"/>
        <w:ind w:firstLine="480" w:firstLineChars="200"/>
        <w:rPr>
          <w:rFonts w:ascii="宋体" w:hAnsi="宋体" w:cs="宋体"/>
          <w:sz w:val="24"/>
        </w:rPr>
      </w:pPr>
      <w:r>
        <w:rPr>
          <w:rFonts w:hint="eastAsia" w:ascii="宋体" w:hAnsi="宋体" w:cs="宋体"/>
          <w:sz w:val="24"/>
        </w:rPr>
        <w:t>奉化区水蜜桃文化博览园依托奉化区 “中国水蜜桃之乡”的标志性水蜜桃特色农业品牌，充分挖掘奉化区水蜜桃文化底蕴和农文旅特色资源，聚焦“桃”IP品牌塑造和农文旅文化体验，构建集展示展销、特色美食、品牌培育塑造、休闲农文旅体验、电商直播等多种功能于一体的综合性农商旅平台。现就奉化区水蜜桃文化博览园运营服务项目进行采购，选择专业第三方对奉化区水蜜桃文化博览园进行运营管理，进而加快奉化区水蜜桃文化博览园快速发展，合理有效提高运营管理和服务水平，进一步提升“农商集团”的品牌价值，打造浙东水蜜桃产业的全域整合营销中心、品牌孵化推广中心、行业交流展示中心，成为重要的“桃”文化创新体验平台和“桃”品牌宣传推广平台。</w:t>
      </w:r>
    </w:p>
    <w:p w14:paraId="352FA627">
      <w:pPr>
        <w:pStyle w:val="17"/>
        <w:spacing w:before="0" w:after="0" w:line="360" w:lineRule="auto"/>
        <w:ind w:firstLine="562" w:firstLineChars="200"/>
        <w:jc w:val="left"/>
        <w:outlineLvl w:val="9"/>
        <w:rPr>
          <w:rFonts w:ascii="宋体" w:hAnsi="宋体" w:cs="宋体"/>
          <w:sz w:val="24"/>
        </w:rPr>
      </w:pPr>
      <w:r>
        <w:rPr>
          <w:rFonts w:hint="eastAsia" w:ascii="宋体" w:hAnsi="宋体" w:cs="宋体"/>
          <w:sz w:val="28"/>
          <w:szCs w:val="28"/>
        </w:rPr>
        <w:t>二、项目概况及定位</w:t>
      </w:r>
    </w:p>
    <w:p w14:paraId="72359F0E">
      <w:pPr>
        <w:spacing w:line="360" w:lineRule="auto"/>
        <w:ind w:firstLine="480" w:firstLineChars="200"/>
        <w:rPr>
          <w:rFonts w:ascii="宋体" w:hAnsi="宋体" w:cs="宋体"/>
          <w:sz w:val="24"/>
        </w:rPr>
      </w:pPr>
      <w:r>
        <w:rPr>
          <w:rFonts w:hint="eastAsia" w:ascii="宋体" w:hAnsi="宋体" w:cs="宋体"/>
          <w:sz w:val="24"/>
        </w:rPr>
        <w:t>（一）项目地点项目位于奉化区萧王庙街道萧云路与云集路交叉口。项目总面积约27064平方米。其中分拣中心5364平方米；水蜜桃展销中心21700平方米，地上约14500平方米，地下停车场约7200平方米，项目总共四层，每层约3500平方米；招商运营服务范围:一至三楼；园区物业化管理服务范围：整个园区全范围覆盖。</w:t>
      </w:r>
    </w:p>
    <w:p w14:paraId="729FFB4B">
      <w:pPr>
        <w:spacing w:line="360" w:lineRule="auto"/>
        <w:ind w:firstLine="480" w:firstLineChars="200"/>
        <w:rPr>
          <w:rFonts w:ascii="宋体" w:hAnsi="宋体" w:cs="宋体"/>
          <w:sz w:val="24"/>
        </w:rPr>
      </w:pPr>
      <w:r>
        <w:rPr>
          <w:rFonts w:hint="eastAsia" w:ascii="宋体" w:hAnsi="宋体" w:cs="宋体"/>
          <w:sz w:val="24"/>
        </w:rPr>
        <w:t>（二）项目基本定位</w:t>
      </w:r>
    </w:p>
    <w:p w14:paraId="6E03EB2A">
      <w:pPr>
        <w:spacing w:line="360" w:lineRule="auto"/>
        <w:ind w:firstLine="480" w:firstLineChars="200"/>
        <w:rPr>
          <w:rFonts w:ascii="宋体" w:hAnsi="宋体" w:cs="宋体"/>
          <w:sz w:val="24"/>
        </w:rPr>
      </w:pPr>
      <w:r>
        <w:rPr>
          <w:rFonts w:hint="eastAsia" w:ascii="宋体" w:hAnsi="宋体" w:cs="宋体"/>
          <w:sz w:val="24"/>
        </w:rPr>
        <w:t>通过不同业态的入驻，打造以奉化特色农产品、知名农业龙头企业为重心的展示展销中心、健康运动中心、水蜜桃文化博物馆及电商直播产业园为一体的农文旅综合体，开业前完成商户签约入驻并满足试运行要求，具体业态要求如下：</w:t>
      </w:r>
    </w:p>
    <w:p w14:paraId="4578E7BD">
      <w:pPr>
        <w:spacing w:line="360" w:lineRule="auto"/>
        <w:ind w:firstLine="480" w:firstLineChars="200"/>
        <w:rPr>
          <w:rFonts w:ascii="宋体" w:hAnsi="宋体" w:cs="宋体"/>
          <w:sz w:val="24"/>
        </w:rPr>
      </w:pPr>
      <w:r>
        <w:rPr>
          <w:rFonts w:hint="eastAsia" w:ascii="宋体" w:hAnsi="宋体" w:cs="宋体"/>
          <w:sz w:val="24"/>
        </w:rPr>
        <w:t>1、一层展示展销中心规划奉化特色农产品、农业知名品牌及相关配套商业，符合以下定位：</w:t>
      </w:r>
    </w:p>
    <w:p w14:paraId="7E7332B3">
      <w:pPr>
        <w:spacing w:line="360" w:lineRule="auto"/>
        <w:ind w:firstLine="480" w:firstLineChars="200"/>
        <w:rPr>
          <w:rFonts w:ascii="宋体" w:hAnsi="宋体" w:cs="宋体"/>
          <w:sz w:val="24"/>
        </w:rPr>
      </w:pPr>
      <w:r>
        <w:rPr>
          <w:rFonts w:hint="eastAsia" w:ascii="宋体" w:hAnsi="宋体" w:cs="宋体"/>
          <w:sz w:val="24"/>
        </w:rPr>
        <w:t>1）、引进咖啡店，要求团队比较成熟，有成熟门店运营经验；</w:t>
      </w:r>
    </w:p>
    <w:p w14:paraId="79A31687">
      <w:pPr>
        <w:spacing w:line="360" w:lineRule="auto"/>
        <w:ind w:firstLine="480" w:firstLineChars="200"/>
        <w:rPr>
          <w:rFonts w:ascii="宋体" w:hAnsi="宋体" w:cs="宋体"/>
          <w:sz w:val="24"/>
        </w:rPr>
      </w:pPr>
      <w:r>
        <w:rPr>
          <w:rFonts w:hint="eastAsia" w:ascii="宋体" w:hAnsi="宋体" w:cs="宋体"/>
          <w:sz w:val="24"/>
        </w:rPr>
        <w:t>2）、引进相配套的主题餐饮及便利店，方便项目及周边居民的消费生活；</w:t>
      </w:r>
    </w:p>
    <w:p w14:paraId="17FFAB56">
      <w:pPr>
        <w:spacing w:line="360" w:lineRule="auto"/>
        <w:ind w:firstLine="480" w:firstLineChars="200"/>
        <w:rPr>
          <w:rFonts w:ascii="宋体" w:hAnsi="宋体" w:cs="宋体"/>
          <w:sz w:val="24"/>
        </w:rPr>
      </w:pPr>
      <w:r>
        <w:rPr>
          <w:rFonts w:hint="eastAsia" w:ascii="宋体" w:hAnsi="宋体" w:cs="宋体"/>
          <w:sz w:val="24"/>
        </w:rPr>
        <w:t>3）、引进非遗展示及体验业态，不定期邀请专业技艺老师进行实地指导，深入展示非遗文化；</w:t>
      </w:r>
    </w:p>
    <w:p w14:paraId="2A066C44">
      <w:pPr>
        <w:spacing w:line="360" w:lineRule="auto"/>
        <w:ind w:firstLine="480" w:firstLineChars="200"/>
        <w:rPr>
          <w:rFonts w:ascii="宋体" w:hAnsi="宋体" w:cs="宋体"/>
          <w:sz w:val="24"/>
        </w:rPr>
      </w:pPr>
      <w:r>
        <w:rPr>
          <w:rFonts w:hint="eastAsia" w:ascii="宋体" w:hAnsi="宋体" w:cs="宋体"/>
          <w:sz w:val="24"/>
        </w:rPr>
        <w:t>4）、引进奉化或宁波当地知名农业相关龙头企业或品牌，同时满足各企业或品牌的产品线不重叠，充分突出奉化农特产的品牌优势；</w:t>
      </w:r>
    </w:p>
    <w:p w14:paraId="0554D492">
      <w:pPr>
        <w:spacing w:line="360" w:lineRule="auto"/>
        <w:ind w:firstLine="480" w:firstLineChars="200"/>
        <w:rPr>
          <w:rFonts w:ascii="宋体" w:hAnsi="宋体" w:cs="宋体"/>
          <w:sz w:val="24"/>
        </w:rPr>
      </w:pPr>
      <w:r>
        <w:rPr>
          <w:rFonts w:hint="eastAsia" w:ascii="宋体" w:hAnsi="宋体" w:cs="宋体"/>
          <w:sz w:val="24"/>
        </w:rPr>
        <w:t>2、二层规划奉化水蜜桃文化博物馆，展示水蜜桃的历史渊源、文化艺术及产业发展历程；</w:t>
      </w:r>
    </w:p>
    <w:p w14:paraId="0557FD87">
      <w:pPr>
        <w:spacing w:line="360" w:lineRule="auto"/>
        <w:ind w:firstLine="480" w:firstLineChars="200"/>
        <w:rPr>
          <w:rFonts w:ascii="宋体" w:hAnsi="宋体" w:cs="宋体"/>
          <w:sz w:val="24"/>
        </w:rPr>
      </w:pPr>
      <w:r>
        <w:rPr>
          <w:rFonts w:hint="eastAsia" w:ascii="宋体" w:hAnsi="宋体" w:cs="宋体"/>
          <w:sz w:val="24"/>
        </w:rPr>
        <w:t>3、三层规划以运动健身（暂定匹克球）为一体的相关品牌，打造按奉化首店为目标的适合各年龄段层次人群的运动品牌系列；</w:t>
      </w:r>
    </w:p>
    <w:p w14:paraId="328B3C52">
      <w:pPr>
        <w:spacing w:line="360" w:lineRule="auto"/>
        <w:jc w:val="center"/>
        <w:rPr>
          <w:rFonts w:ascii="宋体" w:hAnsi="宋体" w:cs="宋体"/>
          <w:sz w:val="24"/>
        </w:rPr>
      </w:pPr>
      <w:r>
        <w:drawing>
          <wp:inline distT="0" distB="0" distL="114300" distR="114300">
            <wp:extent cx="4023995" cy="3320415"/>
            <wp:effectExtent l="0" t="0" r="1460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023995" cy="3320415"/>
                    </a:xfrm>
                    <a:prstGeom prst="rect">
                      <a:avLst/>
                    </a:prstGeom>
                    <a:noFill/>
                    <a:ln>
                      <a:noFill/>
                    </a:ln>
                  </pic:spPr>
                </pic:pic>
              </a:graphicData>
            </a:graphic>
          </wp:inline>
        </w:drawing>
      </w:r>
    </w:p>
    <w:p w14:paraId="74E051FD">
      <w:pPr>
        <w:pStyle w:val="17"/>
        <w:spacing w:before="0" w:after="0" w:line="360" w:lineRule="auto"/>
        <w:ind w:firstLine="562" w:firstLineChars="200"/>
        <w:jc w:val="left"/>
        <w:outlineLvl w:val="9"/>
        <w:rPr>
          <w:rFonts w:ascii="宋体" w:hAnsi="宋体" w:cs="宋体"/>
          <w:sz w:val="24"/>
        </w:rPr>
      </w:pPr>
      <w:r>
        <w:rPr>
          <w:rFonts w:hint="eastAsia" w:ascii="宋体" w:hAnsi="宋体" w:cs="宋体"/>
          <w:sz w:val="28"/>
          <w:szCs w:val="28"/>
        </w:rPr>
        <w:t>三、项目运营目标与成果要求</w:t>
      </w:r>
    </w:p>
    <w:p w14:paraId="0008A3BE">
      <w:pPr>
        <w:spacing w:line="360" w:lineRule="auto"/>
        <w:ind w:firstLine="480" w:firstLineChars="200"/>
        <w:rPr>
          <w:rFonts w:ascii="宋体" w:hAnsi="宋体" w:cs="宋体"/>
          <w:sz w:val="24"/>
        </w:rPr>
      </w:pPr>
      <w:r>
        <w:rPr>
          <w:rFonts w:hint="eastAsia" w:ascii="宋体" w:hAnsi="宋体" w:cs="宋体"/>
          <w:sz w:val="24"/>
        </w:rPr>
        <w:t>（一）运营管理目标</w:t>
      </w:r>
    </w:p>
    <w:p w14:paraId="3BDAE938">
      <w:pPr>
        <w:spacing w:line="360" w:lineRule="auto"/>
        <w:ind w:firstLine="480" w:firstLineChars="200"/>
        <w:rPr>
          <w:rFonts w:ascii="宋体" w:hAnsi="宋体" w:cs="宋体"/>
          <w:sz w:val="24"/>
        </w:rPr>
      </w:pPr>
      <w:r>
        <w:rPr>
          <w:rFonts w:hint="eastAsia" w:ascii="宋体" w:hAnsi="宋体" w:cs="宋体"/>
          <w:sz w:val="24"/>
        </w:rPr>
        <w:t>1、优化设施环境，打造舒适、美观、便捷以及有奉化特色的农文旅商业体验环境，以提升顾客体验感、提高日常客流并促进日常销售；</w:t>
      </w:r>
    </w:p>
    <w:p w14:paraId="5A5BF2FE">
      <w:pPr>
        <w:spacing w:line="360" w:lineRule="auto"/>
        <w:ind w:firstLine="480" w:firstLineChars="200"/>
        <w:rPr>
          <w:rFonts w:ascii="宋体" w:hAnsi="宋体" w:cs="宋体"/>
          <w:sz w:val="24"/>
        </w:rPr>
      </w:pPr>
      <w:r>
        <w:rPr>
          <w:rFonts w:hint="eastAsia" w:ascii="宋体" w:hAnsi="宋体" w:cs="宋体"/>
          <w:sz w:val="24"/>
        </w:rPr>
        <w:t>2、制定完善的运营管理制度和绩效考核制度，优化服务水平管理体系，激发农文旅项目高质量发展活力；</w:t>
      </w:r>
    </w:p>
    <w:p w14:paraId="0B78BBE8">
      <w:pPr>
        <w:spacing w:line="360" w:lineRule="auto"/>
        <w:ind w:firstLine="480" w:firstLineChars="200"/>
        <w:rPr>
          <w:rFonts w:ascii="宋体" w:hAnsi="宋体" w:cs="宋体"/>
          <w:sz w:val="24"/>
        </w:rPr>
      </w:pPr>
      <w:r>
        <w:rPr>
          <w:rFonts w:hint="eastAsia" w:ascii="宋体" w:hAnsi="宋体" w:cs="宋体"/>
          <w:sz w:val="24"/>
        </w:rPr>
        <w:t>3、建立专业高效的管理团队，制定日常运营策略、年度市场营销计划、多经计划、详细的成本预算，以更好地应对市场挑战，推动项目健康可持续发展；</w:t>
      </w:r>
    </w:p>
    <w:p w14:paraId="09B25D3F">
      <w:pPr>
        <w:spacing w:line="360" w:lineRule="auto"/>
        <w:ind w:firstLine="480" w:firstLineChars="200"/>
        <w:rPr>
          <w:rFonts w:ascii="宋体" w:hAnsi="宋体" w:cs="宋体"/>
          <w:sz w:val="24"/>
        </w:rPr>
      </w:pPr>
      <w:r>
        <w:rPr>
          <w:rFonts w:hint="eastAsia" w:ascii="宋体" w:hAnsi="宋体" w:cs="宋体"/>
          <w:sz w:val="24"/>
        </w:rPr>
        <w:t>4、通过官媒、社媒、自媒体等多渠道进行宣传推广，整合相关资源，助力园区客流导入及品牌推广，树立并提升品牌及市场知名度、美誉度。</w:t>
      </w:r>
    </w:p>
    <w:p w14:paraId="11F52D50">
      <w:pPr>
        <w:spacing w:line="360" w:lineRule="auto"/>
        <w:ind w:firstLine="480" w:firstLineChars="200"/>
        <w:rPr>
          <w:rFonts w:ascii="宋体" w:hAnsi="宋体" w:cs="宋体"/>
          <w:sz w:val="24"/>
        </w:rPr>
      </w:pPr>
      <w:r>
        <w:rPr>
          <w:rFonts w:hint="eastAsia" w:ascii="宋体" w:hAnsi="宋体" w:cs="宋体"/>
          <w:sz w:val="24"/>
        </w:rPr>
        <w:t>（二）运营成果要求</w:t>
      </w:r>
    </w:p>
    <w:p w14:paraId="353B8782">
      <w:pPr>
        <w:spacing w:line="360" w:lineRule="auto"/>
        <w:ind w:firstLine="480" w:firstLineChars="200"/>
        <w:rPr>
          <w:rFonts w:ascii="宋体" w:hAnsi="宋体" w:cs="宋体"/>
          <w:sz w:val="24"/>
        </w:rPr>
      </w:pPr>
      <w:r>
        <w:rPr>
          <w:rFonts w:hint="eastAsia" w:ascii="宋体" w:hAnsi="宋体" w:cs="宋体"/>
          <w:sz w:val="24"/>
        </w:rPr>
        <w:t>1、园区入驻企业首年营收达到265万元，第二年营收达到292万元，第三年营收达到320万元；</w:t>
      </w:r>
    </w:p>
    <w:p w14:paraId="341FA43E">
      <w:pPr>
        <w:spacing w:line="360" w:lineRule="auto"/>
        <w:ind w:firstLine="480" w:firstLineChars="200"/>
        <w:rPr>
          <w:rFonts w:ascii="宋体" w:hAnsi="宋体" w:cs="宋体"/>
          <w:sz w:val="24"/>
        </w:rPr>
      </w:pPr>
      <w:r>
        <w:rPr>
          <w:rFonts w:hint="eastAsia" w:ascii="宋体" w:hAnsi="宋体" w:cs="宋体"/>
          <w:sz w:val="24"/>
        </w:rPr>
        <w:t>注：①采购人自营业务部分，不计入考核范围；②以上营收考核范围及目标仅针对水蜜桃展销中心一楼营业收入，如后续采购人扩大或缩小营收考核范围，采购人有权对营收目标作出调整，中标人需无条件服从。</w:t>
      </w:r>
    </w:p>
    <w:p w14:paraId="32F0F06C">
      <w:pPr>
        <w:spacing w:line="360" w:lineRule="auto"/>
        <w:ind w:firstLine="480" w:firstLineChars="200"/>
        <w:rPr>
          <w:rFonts w:ascii="宋体" w:hAnsi="宋体" w:cs="宋体"/>
          <w:sz w:val="24"/>
        </w:rPr>
      </w:pPr>
      <w:r>
        <w:rPr>
          <w:rFonts w:hint="eastAsia" w:ascii="宋体" w:hAnsi="宋体" w:cs="宋体"/>
          <w:sz w:val="24"/>
        </w:rPr>
        <w:t>2、园区一楼入驻商户维持稳定指标不低于90%；</w:t>
      </w:r>
    </w:p>
    <w:p w14:paraId="5E78DD9A">
      <w:pPr>
        <w:spacing w:line="360" w:lineRule="auto"/>
        <w:ind w:firstLine="480" w:firstLineChars="200"/>
        <w:rPr>
          <w:rFonts w:ascii="宋体" w:hAnsi="宋体" w:cs="宋体"/>
          <w:sz w:val="24"/>
        </w:rPr>
      </w:pPr>
      <w:r>
        <w:rPr>
          <w:rFonts w:hint="eastAsia" w:ascii="宋体" w:hAnsi="宋体" w:cs="宋体"/>
          <w:sz w:val="24"/>
        </w:rPr>
        <w:t>3、争取获得市级或区级荣誉；</w:t>
      </w:r>
    </w:p>
    <w:p w14:paraId="751524A1">
      <w:pPr>
        <w:spacing w:line="360" w:lineRule="auto"/>
        <w:ind w:firstLine="480" w:firstLineChars="200"/>
        <w:rPr>
          <w:rFonts w:ascii="宋体" w:hAnsi="宋体" w:cs="宋体"/>
          <w:sz w:val="24"/>
        </w:rPr>
      </w:pPr>
      <w:r>
        <w:rPr>
          <w:rFonts w:hint="eastAsia" w:ascii="宋体" w:hAnsi="宋体" w:cs="宋体"/>
          <w:sz w:val="24"/>
        </w:rPr>
        <w:t>4、各宣传平台年度浏览量达到1000万次；</w:t>
      </w:r>
    </w:p>
    <w:p w14:paraId="1670536B">
      <w:pPr>
        <w:spacing w:line="360" w:lineRule="auto"/>
        <w:ind w:firstLine="480" w:firstLineChars="200"/>
        <w:rPr>
          <w:rFonts w:ascii="宋体" w:hAnsi="宋体" w:cs="宋体"/>
          <w:sz w:val="24"/>
        </w:rPr>
      </w:pPr>
      <w:r>
        <w:rPr>
          <w:rFonts w:hint="eastAsia" w:ascii="宋体" w:hAnsi="宋体" w:cs="宋体"/>
          <w:sz w:val="24"/>
        </w:rPr>
        <w:t>5、园区一楼业主和商家满意度达到80分。</w:t>
      </w:r>
    </w:p>
    <w:p w14:paraId="29C9D1BA">
      <w:pPr>
        <w:pStyle w:val="17"/>
        <w:spacing w:before="0" w:after="0" w:line="360" w:lineRule="auto"/>
        <w:ind w:firstLine="562" w:firstLineChars="200"/>
        <w:jc w:val="left"/>
        <w:outlineLvl w:val="9"/>
        <w:rPr>
          <w:rFonts w:ascii="宋体" w:hAnsi="宋体" w:cs="宋体"/>
          <w:sz w:val="28"/>
          <w:szCs w:val="28"/>
        </w:rPr>
      </w:pPr>
      <w:r>
        <w:rPr>
          <w:rFonts w:hint="eastAsia" w:ascii="宋体" w:hAnsi="宋体" w:cs="宋体"/>
          <w:sz w:val="28"/>
          <w:szCs w:val="28"/>
        </w:rPr>
        <w:t>四、项目运营要求</w:t>
      </w:r>
    </w:p>
    <w:p w14:paraId="5CDAE3D1">
      <w:pPr>
        <w:spacing w:line="360" w:lineRule="auto"/>
        <w:ind w:firstLine="480" w:firstLineChars="200"/>
        <w:rPr>
          <w:rFonts w:ascii="宋体" w:hAnsi="宋体" w:cs="宋体"/>
          <w:sz w:val="24"/>
        </w:rPr>
      </w:pPr>
      <w:r>
        <w:rPr>
          <w:rFonts w:hint="eastAsia" w:ascii="宋体" w:hAnsi="宋体" w:cs="宋体"/>
          <w:sz w:val="24"/>
        </w:rPr>
        <w:t>（一）项目运营策略</w:t>
      </w:r>
    </w:p>
    <w:p w14:paraId="6BD62D1C">
      <w:pPr>
        <w:spacing w:line="360" w:lineRule="auto"/>
        <w:ind w:firstLine="480" w:firstLineChars="200"/>
        <w:rPr>
          <w:rFonts w:ascii="宋体" w:hAnsi="宋体" w:cs="宋体"/>
          <w:sz w:val="24"/>
        </w:rPr>
      </w:pPr>
      <w:r>
        <w:rPr>
          <w:rFonts w:hint="eastAsia" w:ascii="宋体" w:hAnsi="宋体" w:cs="宋体"/>
          <w:sz w:val="24"/>
        </w:rPr>
        <w:t>1、对项目进行解读分析，包括区域解读、产业基础与政策、本体分析、swot分析等；</w:t>
      </w:r>
    </w:p>
    <w:p w14:paraId="670E624C">
      <w:pPr>
        <w:spacing w:line="360" w:lineRule="auto"/>
        <w:ind w:firstLine="480" w:firstLineChars="200"/>
        <w:rPr>
          <w:rFonts w:ascii="宋体" w:hAnsi="宋体" w:cs="宋体"/>
          <w:sz w:val="24"/>
        </w:rPr>
      </w:pPr>
      <w:r>
        <w:rPr>
          <w:rFonts w:hint="eastAsia" w:ascii="宋体" w:hAnsi="宋体" w:cs="宋体"/>
          <w:sz w:val="24"/>
        </w:rPr>
        <w:t>2、根据项目发展目标和需求，提出整体定位和目标客群定位；</w:t>
      </w:r>
    </w:p>
    <w:p w14:paraId="3599547F">
      <w:pPr>
        <w:spacing w:line="360" w:lineRule="auto"/>
        <w:ind w:firstLine="480" w:firstLineChars="200"/>
        <w:rPr>
          <w:rFonts w:ascii="宋体" w:hAnsi="宋体" w:cs="宋体"/>
          <w:sz w:val="24"/>
        </w:rPr>
      </w:pPr>
      <w:r>
        <w:rPr>
          <w:rFonts w:hint="eastAsia" w:ascii="宋体" w:hAnsi="宋体" w:cs="宋体"/>
          <w:sz w:val="24"/>
        </w:rPr>
        <w:t>3、提出适配项目业态策略和租户结构建议。</w:t>
      </w:r>
    </w:p>
    <w:p w14:paraId="641393A1">
      <w:pPr>
        <w:spacing w:line="360" w:lineRule="auto"/>
        <w:ind w:firstLine="480" w:firstLineChars="200"/>
        <w:rPr>
          <w:rFonts w:ascii="宋体" w:hAnsi="宋体" w:cs="宋体"/>
          <w:sz w:val="24"/>
        </w:rPr>
      </w:pPr>
      <w:r>
        <w:rPr>
          <w:rFonts w:hint="eastAsia" w:ascii="宋体" w:hAnsi="宋体" w:cs="宋体"/>
          <w:sz w:val="24"/>
        </w:rPr>
        <w:t>（二）运营管理体系建立及实施</w:t>
      </w:r>
    </w:p>
    <w:p w14:paraId="158F91F6">
      <w:pPr>
        <w:spacing w:line="360" w:lineRule="auto"/>
        <w:ind w:firstLine="480" w:firstLineChars="200"/>
        <w:rPr>
          <w:rFonts w:ascii="宋体" w:hAnsi="宋体" w:cs="宋体"/>
          <w:sz w:val="24"/>
        </w:rPr>
      </w:pPr>
      <w:r>
        <w:rPr>
          <w:rFonts w:hint="eastAsia" w:ascii="宋体" w:hAnsi="宋体" w:cs="宋体"/>
          <w:sz w:val="24"/>
        </w:rPr>
        <w:t>1、建立与维护运营体系和标准化管理制度；</w:t>
      </w:r>
    </w:p>
    <w:p w14:paraId="63D7B90B">
      <w:pPr>
        <w:spacing w:line="360" w:lineRule="auto"/>
        <w:ind w:firstLine="480" w:firstLineChars="200"/>
        <w:rPr>
          <w:rFonts w:ascii="宋体" w:hAnsi="宋体" w:cs="宋体"/>
          <w:sz w:val="24"/>
        </w:rPr>
      </w:pPr>
      <w:r>
        <w:rPr>
          <w:rFonts w:hint="eastAsia" w:ascii="宋体" w:hAnsi="宋体" w:cs="宋体"/>
          <w:sz w:val="24"/>
        </w:rPr>
        <w:t>2、建立与维护物业服务体系与管理制度；</w:t>
      </w:r>
    </w:p>
    <w:p w14:paraId="44F7F8BE">
      <w:pPr>
        <w:spacing w:line="360" w:lineRule="auto"/>
        <w:ind w:firstLine="480" w:firstLineChars="200"/>
        <w:rPr>
          <w:rFonts w:ascii="宋体" w:hAnsi="宋体" w:cs="宋体"/>
          <w:sz w:val="24"/>
        </w:rPr>
      </w:pPr>
      <w:r>
        <w:rPr>
          <w:rFonts w:hint="eastAsia" w:ascii="宋体" w:hAnsi="宋体" w:cs="宋体"/>
          <w:sz w:val="24"/>
        </w:rPr>
        <w:t>3、建立与完善应急消防安全管理体系。</w:t>
      </w:r>
    </w:p>
    <w:p w14:paraId="19800EAC">
      <w:pPr>
        <w:spacing w:line="360" w:lineRule="auto"/>
        <w:ind w:firstLine="480" w:firstLineChars="200"/>
        <w:rPr>
          <w:rFonts w:ascii="宋体" w:hAnsi="宋体" w:cs="宋体"/>
          <w:sz w:val="24"/>
        </w:rPr>
      </w:pPr>
      <w:r>
        <w:rPr>
          <w:rFonts w:hint="eastAsia" w:ascii="宋体" w:hAnsi="宋体" w:cs="宋体"/>
          <w:sz w:val="24"/>
        </w:rPr>
        <w:t>（三）专业团队及组织架构搭建</w:t>
      </w:r>
    </w:p>
    <w:p w14:paraId="25D43AA4">
      <w:pPr>
        <w:spacing w:line="360" w:lineRule="auto"/>
        <w:ind w:firstLine="480" w:firstLineChars="200"/>
        <w:rPr>
          <w:rFonts w:ascii="宋体" w:hAnsi="宋体" w:cs="宋体"/>
          <w:sz w:val="24"/>
        </w:rPr>
      </w:pPr>
      <w:r>
        <w:rPr>
          <w:rFonts w:hint="eastAsia" w:ascii="宋体" w:hAnsi="宋体" w:cs="宋体"/>
          <w:sz w:val="24"/>
        </w:rPr>
        <w:t>1、搭建团队体系，编制人员架构，制定岗位职责；</w:t>
      </w:r>
    </w:p>
    <w:p w14:paraId="5F060310">
      <w:pPr>
        <w:spacing w:line="360" w:lineRule="auto"/>
        <w:ind w:firstLine="480" w:firstLineChars="200"/>
        <w:rPr>
          <w:rFonts w:ascii="宋体" w:hAnsi="宋体" w:cs="宋体"/>
          <w:sz w:val="24"/>
        </w:rPr>
      </w:pPr>
      <w:r>
        <w:rPr>
          <w:rFonts w:hint="eastAsia" w:ascii="宋体" w:hAnsi="宋体" w:cs="宋体"/>
          <w:sz w:val="24"/>
        </w:rPr>
        <w:t>2、建立人员奖惩考核和激励机制，实行绩效评估并制定员工发展计划；</w:t>
      </w:r>
    </w:p>
    <w:p w14:paraId="38706D4D">
      <w:pPr>
        <w:spacing w:line="360" w:lineRule="auto"/>
        <w:ind w:firstLine="480" w:firstLineChars="200"/>
        <w:rPr>
          <w:rFonts w:ascii="宋体" w:hAnsi="宋体" w:cs="宋体"/>
          <w:sz w:val="24"/>
        </w:rPr>
      </w:pPr>
      <w:r>
        <w:rPr>
          <w:rFonts w:hint="eastAsia" w:ascii="宋体" w:hAnsi="宋体" w:cs="宋体"/>
          <w:sz w:val="24"/>
        </w:rPr>
        <w:t>3、制定并实施员工岗前、在岗相关专业培训计划。</w:t>
      </w:r>
    </w:p>
    <w:p w14:paraId="0CD5B68B">
      <w:pPr>
        <w:spacing w:line="360" w:lineRule="auto"/>
        <w:ind w:firstLine="480" w:firstLineChars="200"/>
        <w:rPr>
          <w:rFonts w:ascii="宋体" w:hAnsi="宋体" w:cs="宋体"/>
          <w:sz w:val="24"/>
        </w:rPr>
      </w:pPr>
      <w:r>
        <w:rPr>
          <w:rFonts w:hint="eastAsia" w:ascii="宋体" w:hAnsi="宋体" w:cs="宋体"/>
          <w:sz w:val="24"/>
        </w:rPr>
        <w:t xml:space="preserve">（四）营销体系及活动策划  </w:t>
      </w:r>
    </w:p>
    <w:p w14:paraId="65EDB10D">
      <w:pPr>
        <w:spacing w:line="360" w:lineRule="auto"/>
        <w:ind w:firstLine="480" w:firstLineChars="200"/>
        <w:rPr>
          <w:rFonts w:ascii="宋体" w:hAnsi="宋体" w:cs="宋体"/>
          <w:sz w:val="24"/>
        </w:rPr>
      </w:pPr>
      <w:r>
        <w:rPr>
          <w:rFonts w:hint="eastAsia" w:ascii="宋体" w:hAnsi="宋体" w:cs="宋体"/>
          <w:sz w:val="24"/>
        </w:rPr>
        <w:t>1、根据项目定位和需求，搭建线上线下宣传渠道矩阵，制定宣传推广思路；</w:t>
      </w:r>
    </w:p>
    <w:p w14:paraId="637F14E9">
      <w:pPr>
        <w:spacing w:line="360" w:lineRule="auto"/>
        <w:ind w:firstLine="480" w:firstLineChars="200"/>
        <w:rPr>
          <w:rFonts w:ascii="宋体" w:hAnsi="宋体" w:cs="宋体"/>
          <w:sz w:val="24"/>
        </w:rPr>
      </w:pPr>
      <w:r>
        <w:rPr>
          <w:rFonts w:hint="eastAsia" w:ascii="宋体" w:hAnsi="宋体" w:cs="宋体"/>
          <w:sz w:val="24"/>
        </w:rPr>
        <w:t>2、年度活动总结计划编制，内容包含大型IP活动和日常活动等；</w:t>
      </w:r>
    </w:p>
    <w:p w14:paraId="097113C4">
      <w:pPr>
        <w:spacing w:line="360" w:lineRule="auto"/>
        <w:ind w:firstLine="480" w:firstLineChars="200"/>
        <w:rPr>
          <w:rFonts w:ascii="宋体" w:hAnsi="宋体" w:cs="宋体"/>
          <w:sz w:val="24"/>
        </w:rPr>
      </w:pPr>
      <w:r>
        <w:rPr>
          <w:rFonts w:hint="eastAsia" w:ascii="宋体" w:hAnsi="宋体" w:cs="宋体"/>
          <w:sz w:val="24"/>
        </w:rPr>
        <w:t>3、制定开业相关活动策划方案。</w:t>
      </w:r>
    </w:p>
    <w:p w14:paraId="770DAC3F">
      <w:pPr>
        <w:pStyle w:val="17"/>
        <w:spacing w:before="0" w:after="0" w:line="360" w:lineRule="auto"/>
        <w:ind w:firstLine="562" w:firstLineChars="200"/>
        <w:jc w:val="left"/>
        <w:outlineLvl w:val="9"/>
        <w:rPr>
          <w:rFonts w:ascii="宋体" w:hAnsi="宋体" w:cs="宋体"/>
          <w:sz w:val="24"/>
          <w:szCs w:val="24"/>
        </w:rPr>
      </w:pPr>
      <w:r>
        <w:rPr>
          <w:rFonts w:hint="eastAsia" w:ascii="宋体" w:hAnsi="宋体" w:cs="宋体"/>
          <w:sz w:val="28"/>
          <w:szCs w:val="28"/>
        </w:rPr>
        <w:t>五、工作内容</w:t>
      </w:r>
    </w:p>
    <w:p w14:paraId="4074584F">
      <w:pPr>
        <w:spacing w:line="360" w:lineRule="auto"/>
        <w:ind w:firstLine="480" w:firstLineChars="200"/>
        <w:rPr>
          <w:rFonts w:ascii="宋体" w:hAnsi="宋体" w:cs="宋体"/>
          <w:sz w:val="24"/>
        </w:rPr>
      </w:pPr>
      <w:r>
        <w:rPr>
          <w:rFonts w:hint="eastAsia" w:ascii="宋体" w:hAnsi="宋体" w:cs="宋体"/>
          <w:sz w:val="24"/>
        </w:rPr>
        <w:t xml:space="preserve">（一）招商运营 </w:t>
      </w:r>
    </w:p>
    <w:p w14:paraId="328086E0">
      <w:pPr>
        <w:spacing w:line="360" w:lineRule="auto"/>
        <w:ind w:firstLine="480" w:firstLineChars="200"/>
        <w:rPr>
          <w:rFonts w:ascii="宋体" w:hAnsi="宋体" w:cs="宋体"/>
          <w:sz w:val="24"/>
        </w:rPr>
      </w:pPr>
      <w:r>
        <w:rPr>
          <w:rFonts w:hint="eastAsia" w:ascii="宋体" w:hAnsi="宋体" w:cs="宋体"/>
          <w:sz w:val="24"/>
        </w:rPr>
        <w:t>1、完成本项目可招租面积（园区一楼）的招商工作，并做好入驻企业的进场工作；</w:t>
      </w:r>
      <w:bookmarkStart w:id="28" w:name="OLE_LINK1"/>
      <w:r>
        <w:rPr>
          <w:rFonts w:hint="eastAsia" w:ascii="宋体" w:hAnsi="宋体" w:cs="宋体"/>
          <w:sz w:val="24"/>
        </w:rPr>
        <w:t>投标文件中提供投标人拟定招商方案。</w:t>
      </w:r>
      <w:bookmarkEnd w:id="28"/>
      <w:r>
        <w:rPr>
          <w:rFonts w:hint="eastAsia" w:ascii="宋体" w:hAnsi="宋体" w:cs="宋体"/>
          <w:sz w:val="24"/>
        </w:rPr>
        <w:t xml:space="preserve"> </w:t>
      </w:r>
    </w:p>
    <w:p w14:paraId="5C75F3C8">
      <w:pPr>
        <w:spacing w:line="360" w:lineRule="auto"/>
        <w:ind w:firstLine="480" w:firstLineChars="200"/>
        <w:rPr>
          <w:rFonts w:ascii="宋体" w:hAnsi="宋体" w:cs="宋体"/>
          <w:sz w:val="24"/>
        </w:rPr>
      </w:pPr>
      <w:r>
        <w:rPr>
          <w:rFonts w:hint="eastAsia" w:ascii="宋体" w:hAnsi="宋体" w:cs="宋体"/>
          <w:sz w:val="24"/>
        </w:rPr>
        <w:t>2、严格控制入驻企业产业属性；</w:t>
      </w:r>
    </w:p>
    <w:p w14:paraId="32C82E6D">
      <w:pPr>
        <w:spacing w:line="360" w:lineRule="auto"/>
        <w:ind w:firstLine="480" w:firstLineChars="200"/>
        <w:rPr>
          <w:rFonts w:ascii="宋体" w:hAnsi="宋体" w:cs="宋体"/>
          <w:sz w:val="24"/>
        </w:rPr>
      </w:pPr>
      <w:r>
        <w:rPr>
          <w:rFonts w:hint="eastAsia" w:ascii="宋体" w:hAnsi="宋体" w:cs="宋体"/>
          <w:sz w:val="24"/>
        </w:rPr>
        <w:t xml:space="preserve">3、严格控制入驻企业发展质量。 </w:t>
      </w:r>
    </w:p>
    <w:p w14:paraId="6BEF1031">
      <w:pPr>
        <w:spacing w:line="360" w:lineRule="auto"/>
        <w:ind w:firstLine="480" w:firstLineChars="200"/>
        <w:rPr>
          <w:rFonts w:ascii="宋体" w:hAnsi="宋体" w:cs="宋体"/>
          <w:sz w:val="24"/>
        </w:rPr>
      </w:pPr>
      <w:r>
        <w:rPr>
          <w:rFonts w:hint="eastAsia" w:ascii="宋体" w:hAnsi="宋体" w:cs="宋体"/>
          <w:sz w:val="24"/>
        </w:rPr>
        <w:t xml:space="preserve">（二）招商推广服务 </w:t>
      </w:r>
    </w:p>
    <w:p w14:paraId="65061997">
      <w:pPr>
        <w:spacing w:line="360" w:lineRule="auto"/>
        <w:ind w:firstLine="480" w:firstLineChars="200"/>
        <w:rPr>
          <w:rFonts w:ascii="宋体" w:hAnsi="宋体" w:cs="宋体"/>
          <w:sz w:val="24"/>
        </w:rPr>
      </w:pPr>
      <w:r>
        <w:rPr>
          <w:rFonts w:hint="eastAsia" w:ascii="宋体" w:hAnsi="宋体" w:cs="宋体"/>
          <w:sz w:val="24"/>
        </w:rPr>
        <w:t xml:space="preserve">1、为招标人招商引资提供定制化的招商推广和宣传方案； </w:t>
      </w:r>
    </w:p>
    <w:p w14:paraId="7AFFD27F">
      <w:pPr>
        <w:spacing w:line="360" w:lineRule="auto"/>
        <w:ind w:firstLine="480" w:firstLineChars="200"/>
        <w:rPr>
          <w:rFonts w:ascii="宋体" w:hAnsi="宋体" w:cs="宋体"/>
          <w:sz w:val="24"/>
        </w:rPr>
      </w:pPr>
      <w:r>
        <w:rPr>
          <w:rFonts w:hint="eastAsia" w:ascii="宋体" w:hAnsi="宋体" w:cs="宋体"/>
          <w:sz w:val="24"/>
        </w:rPr>
        <w:t xml:space="preserve">2、完成本项目的营销活动方案等工作，并承担客户接待等工作，提供招商接待现场物料、餐食、水果等； </w:t>
      </w:r>
    </w:p>
    <w:p w14:paraId="7854F1B7">
      <w:pPr>
        <w:spacing w:line="360" w:lineRule="auto"/>
        <w:ind w:firstLine="480" w:firstLineChars="200"/>
        <w:rPr>
          <w:rFonts w:ascii="宋体" w:hAnsi="宋体" w:cs="宋体"/>
          <w:sz w:val="24"/>
        </w:rPr>
      </w:pPr>
      <w:r>
        <w:rPr>
          <w:rFonts w:hint="eastAsia" w:ascii="宋体" w:hAnsi="宋体" w:cs="宋体"/>
          <w:sz w:val="24"/>
        </w:rPr>
        <w:t xml:space="preserve">3、提供大数据服务、短信平台投放、网站投放等多渠道方式进行推广； </w:t>
      </w:r>
    </w:p>
    <w:p w14:paraId="414026EA">
      <w:pPr>
        <w:spacing w:line="360" w:lineRule="auto"/>
        <w:ind w:firstLine="480" w:firstLineChars="200"/>
        <w:rPr>
          <w:rFonts w:ascii="宋体" w:hAnsi="宋体" w:cs="宋体"/>
          <w:sz w:val="24"/>
        </w:rPr>
      </w:pPr>
      <w:r>
        <w:rPr>
          <w:rFonts w:hint="eastAsia" w:ascii="宋体" w:hAnsi="宋体" w:cs="宋体"/>
          <w:sz w:val="24"/>
        </w:rPr>
        <w:t xml:space="preserve">4、完成招标人要求的与本项目营销策划有关的其他合理工作； </w:t>
      </w:r>
    </w:p>
    <w:p w14:paraId="2BF6B59F">
      <w:pPr>
        <w:spacing w:line="360" w:lineRule="auto"/>
        <w:ind w:firstLine="480" w:firstLineChars="200"/>
        <w:rPr>
          <w:rFonts w:ascii="宋体" w:hAnsi="宋体" w:cs="宋体"/>
          <w:sz w:val="24"/>
        </w:rPr>
      </w:pPr>
      <w:r>
        <w:rPr>
          <w:rFonts w:hint="eastAsia" w:ascii="宋体" w:hAnsi="宋体" w:cs="宋体"/>
          <w:sz w:val="24"/>
        </w:rPr>
        <w:t xml:space="preserve">5、积极配合招标人做好重大项目招引谈判的跟踪协助工作及后续的落地签约对接； </w:t>
      </w:r>
    </w:p>
    <w:p w14:paraId="21FEE48D">
      <w:pPr>
        <w:spacing w:line="360" w:lineRule="auto"/>
        <w:ind w:firstLine="480" w:firstLineChars="200"/>
        <w:rPr>
          <w:rFonts w:ascii="宋体" w:hAnsi="宋体" w:cs="宋体"/>
          <w:sz w:val="24"/>
        </w:rPr>
      </w:pPr>
      <w:r>
        <w:rPr>
          <w:rFonts w:hint="eastAsia" w:ascii="宋体" w:hAnsi="宋体" w:cs="宋体"/>
          <w:sz w:val="24"/>
        </w:rPr>
        <w:t xml:space="preserve">6、协助招标人做好展厅、接待厅的硬装设计、软装布陈等涉及的一切配合工作； </w:t>
      </w:r>
    </w:p>
    <w:p w14:paraId="702AAE3F">
      <w:pPr>
        <w:spacing w:line="360" w:lineRule="auto"/>
        <w:ind w:firstLine="480" w:firstLineChars="200"/>
        <w:rPr>
          <w:rFonts w:ascii="宋体" w:hAnsi="宋体" w:cs="宋体"/>
          <w:sz w:val="24"/>
        </w:rPr>
      </w:pPr>
      <w:r>
        <w:rPr>
          <w:rFonts w:hint="eastAsia" w:ascii="宋体" w:hAnsi="宋体" w:cs="宋体"/>
          <w:sz w:val="24"/>
        </w:rPr>
        <w:t xml:space="preserve">7、组建团队负责日常的招商管理工作，主要包括： </w:t>
      </w:r>
    </w:p>
    <w:p w14:paraId="02F59EC9">
      <w:pPr>
        <w:spacing w:line="360" w:lineRule="auto"/>
        <w:ind w:firstLine="480" w:firstLineChars="200"/>
        <w:rPr>
          <w:rFonts w:ascii="宋体" w:hAnsi="宋体" w:cs="宋体"/>
          <w:sz w:val="24"/>
        </w:rPr>
      </w:pPr>
      <w:r>
        <w:rPr>
          <w:rFonts w:hint="eastAsia" w:ascii="宋体" w:hAnsi="宋体" w:cs="宋体"/>
          <w:sz w:val="24"/>
        </w:rPr>
        <w:t xml:space="preserve">（1）组建招商团队做好日常接待，制定工作流程并组织实施； </w:t>
      </w:r>
    </w:p>
    <w:p w14:paraId="06EFA1DA">
      <w:pPr>
        <w:spacing w:line="360" w:lineRule="auto"/>
        <w:ind w:firstLine="480" w:firstLineChars="200"/>
        <w:rPr>
          <w:rFonts w:ascii="宋体" w:hAnsi="宋体" w:cs="宋体"/>
          <w:sz w:val="24"/>
        </w:rPr>
      </w:pPr>
      <w:r>
        <w:rPr>
          <w:rFonts w:hint="eastAsia" w:ascii="宋体" w:hAnsi="宋体" w:cs="宋体"/>
          <w:sz w:val="24"/>
        </w:rPr>
        <w:t>（2）负责洽谈意向或框架合同，协助招标人完成谈意向或框架合同的签署。</w:t>
      </w:r>
    </w:p>
    <w:p w14:paraId="5C410257">
      <w:pPr>
        <w:spacing w:line="360" w:lineRule="auto"/>
        <w:ind w:firstLine="480" w:firstLineChars="200"/>
        <w:rPr>
          <w:rFonts w:ascii="宋体" w:hAnsi="宋体" w:cs="宋体"/>
          <w:sz w:val="24"/>
        </w:rPr>
      </w:pPr>
      <w:r>
        <w:rPr>
          <w:rFonts w:hint="eastAsia" w:ascii="宋体" w:hAnsi="宋体" w:cs="宋体"/>
          <w:sz w:val="24"/>
        </w:rPr>
        <w:t xml:space="preserve">（三）运营管理服务 </w:t>
      </w:r>
    </w:p>
    <w:p w14:paraId="7323F007">
      <w:pPr>
        <w:spacing w:line="360" w:lineRule="auto"/>
        <w:ind w:firstLine="480" w:firstLineChars="200"/>
        <w:rPr>
          <w:rFonts w:ascii="宋体" w:hAnsi="宋体" w:cs="宋体"/>
          <w:sz w:val="24"/>
        </w:rPr>
      </w:pPr>
      <w:r>
        <w:rPr>
          <w:rFonts w:hint="eastAsia" w:ascii="宋体" w:hAnsi="宋体" w:cs="宋体"/>
          <w:sz w:val="24"/>
        </w:rPr>
        <w:t xml:space="preserve">1、投标人须不定期提供政策交底、开展各类企业辅导服务（包含但不限于政策辅导、政务代办、创业辅导、安全生产管理服务辅导、人力资源辅导等）； </w:t>
      </w:r>
    </w:p>
    <w:p w14:paraId="7E39300D">
      <w:pPr>
        <w:spacing w:line="360" w:lineRule="auto"/>
        <w:ind w:firstLine="480" w:firstLineChars="200"/>
        <w:rPr>
          <w:rFonts w:ascii="宋体" w:hAnsi="宋体" w:cs="宋体"/>
          <w:sz w:val="24"/>
        </w:rPr>
      </w:pPr>
      <w:r>
        <w:rPr>
          <w:rFonts w:hint="eastAsia" w:ascii="宋体" w:hAnsi="宋体" w:cs="宋体"/>
          <w:sz w:val="24"/>
        </w:rPr>
        <w:t>2、做好园区项目入驻企业统计与管理工作，配合招标人进行企业有关登记、数据统计、企业管理工作，做好企业资料归档管理；</w:t>
      </w:r>
    </w:p>
    <w:p w14:paraId="5DEED7CD">
      <w:pPr>
        <w:spacing w:line="360" w:lineRule="auto"/>
        <w:ind w:firstLine="480" w:firstLineChars="200"/>
        <w:rPr>
          <w:rFonts w:ascii="宋体" w:hAnsi="宋体" w:cs="宋体"/>
          <w:sz w:val="24"/>
        </w:rPr>
      </w:pPr>
      <w:r>
        <w:rPr>
          <w:rFonts w:hint="eastAsia" w:ascii="宋体" w:hAnsi="宋体" w:cs="宋体"/>
          <w:sz w:val="24"/>
        </w:rPr>
        <w:t xml:space="preserve">3、协助招标人建立线上、线下服务平台； </w:t>
      </w:r>
    </w:p>
    <w:p w14:paraId="75420AE2">
      <w:pPr>
        <w:spacing w:line="360" w:lineRule="auto"/>
        <w:ind w:firstLine="480" w:firstLineChars="200"/>
        <w:rPr>
          <w:rFonts w:ascii="宋体" w:hAnsi="宋体" w:cs="宋体"/>
          <w:sz w:val="24"/>
        </w:rPr>
      </w:pPr>
      <w:r>
        <w:rPr>
          <w:rFonts w:hint="eastAsia" w:ascii="宋体" w:hAnsi="宋体" w:cs="宋体"/>
          <w:sz w:val="24"/>
        </w:rPr>
        <w:t>4、投标人负责做好园区日常参观、接待工作，会务人员保障工作、配备园区及展厅讲解人员并做好展厅、接待厅的日常维护工作；</w:t>
      </w:r>
    </w:p>
    <w:p w14:paraId="67885C02">
      <w:pPr>
        <w:spacing w:line="360" w:lineRule="auto"/>
        <w:ind w:firstLine="480" w:firstLineChars="200"/>
        <w:rPr>
          <w:rFonts w:ascii="宋体" w:hAnsi="宋体" w:cs="宋体"/>
          <w:sz w:val="24"/>
        </w:rPr>
      </w:pPr>
      <w:r>
        <w:rPr>
          <w:rFonts w:hint="eastAsia" w:ascii="宋体" w:hAnsi="宋体" w:cs="宋体"/>
          <w:sz w:val="24"/>
        </w:rPr>
        <w:t xml:space="preserve">5、协助招标人在规定时间（暂定2025年07月05日）内完成制定企业准入、退出的管理制度； </w:t>
      </w:r>
    </w:p>
    <w:p w14:paraId="4810AAB0">
      <w:pPr>
        <w:spacing w:line="360" w:lineRule="auto"/>
        <w:ind w:firstLine="480" w:firstLineChars="200"/>
        <w:rPr>
          <w:rFonts w:ascii="宋体" w:hAnsi="宋体" w:cs="宋体"/>
          <w:sz w:val="24"/>
        </w:rPr>
      </w:pPr>
      <w:r>
        <w:rPr>
          <w:rFonts w:hint="eastAsia" w:ascii="宋体" w:hAnsi="宋体" w:cs="宋体"/>
          <w:sz w:val="24"/>
        </w:rPr>
        <w:t xml:space="preserve">6、引入先进的质量管理体系、健全管理制度、企业服务流程，并不定期的为招标人开展招商、运营管理方面的培训； </w:t>
      </w:r>
    </w:p>
    <w:p w14:paraId="434DAB7B">
      <w:pPr>
        <w:spacing w:line="360" w:lineRule="auto"/>
        <w:ind w:firstLine="480" w:firstLineChars="200"/>
        <w:rPr>
          <w:rFonts w:ascii="宋体" w:hAnsi="宋体" w:cs="宋体"/>
          <w:sz w:val="24"/>
        </w:rPr>
      </w:pPr>
      <w:r>
        <w:rPr>
          <w:rFonts w:hint="eastAsia" w:ascii="宋体" w:hAnsi="宋体" w:cs="宋体"/>
          <w:sz w:val="24"/>
        </w:rPr>
        <w:t xml:space="preserve">7、保障展厅、接待厅的设备操作及维护； </w:t>
      </w:r>
    </w:p>
    <w:p w14:paraId="24302B25">
      <w:pPr>
        <w:spacing w:line="360" w:lineRule="auto"/>
        <w:ind w:firstLine="480" w:firstLineChars="200"/>
        <w:rPr>
          <w:rFonts w:ascii="宋体" w:hAnsi="宋体" w:cs="宋体"/>
          <w:sz w:val="24"/>
        </w:rPr>
      </w:pPr>
      <w:r>
        <w:rPr>
          <w:rFonts w:hint="eastAsia" w:ascii="宋体" w:hAnsi="宋体" w:cs="宋体"/>
          <w:sz w:val="24"/>
        </w:rPr>
        <w:t xml:space="preserve">8、投标人负责园区企业的日常联络，在服务期间必须遵纪守法，承担服务期间对商户的治安管理、安全生产管理，房屋防火、防盗及门前三包、房屋保险等责任，服从当地有关部门的规定，并承担全部责任和服从招标人监督检查，不得进行违法违规活动，若发生违法违规事件由投标人承担后果与招标人无关； </w:t>
      </w:r>
    </w:p>
    <w:p w14:paraId="636DE75D">
      <w:pPr>
        <w:spacing w:line="360" w:lineRule="auto"/>
        <w:ind w:firstLine="480" w:firstLineChars="200"/>
        <w:rPr>
          <w:rFonts w:ascii="宋体" w:hAnsi="宋体" w:cs="宋体"/>
          <w:sz w:val="24"/>
        </w:rPr>
      </w:pPr>
      <w:r>
        <w:rPr>
          <w:rFonts w:hint="eastAsia" w:ascii="宋体" w:hAnsi="宋体" w:cs="宋体"/>
          <w:sz w:val="24"/>
        </w:rPr>
        <w:t xml:space="preserve">9、投标人不得招入给对城市管理、安全生产、居民生活带来影响或隐患的单位或个人。出现跨门经营、占道经营以及乱堆放、乱吊挂等各类问题，投标人负连带责任，必须及时配合社区、城管、公安等部门督促承租人完成整改； </w:t>
      </w:r>
    </w:p>
    <w:p w14:paraId="44AF7561">
      <w:pPr>
        <w:spacing w:line="360" w:lineRule="auto"/>
        <w:ind w:firstLine="480" w:firstLineChars="200"/>
        <w:rPr>
          <w:rFonts w:ascii="宋体" w:hAnsi="宋体" w:cs="宋体"/>
          <w:sz w:val="24"/>
        </w:rPr>
      </w:pPr>
      <w:r>
        <w:rPr>
          <w:rFonts w:hint="eastAsia" w:ascii="宋体" w:hAnsi="宋体" w:cs="宋体"/>
          <w:sz w:val="24"/>
        </w:rPr>
        <w:t xml:space="preserve">10、园区的载体建设工作； </w:t>
      </w:r>
    </w:p>
    <w:p w14:paraId="42317E22">
      <w:pPr>
        <w:spacing w:line="360" w:lineRule="auto"/>
        <w:ind w:firstLine="480" w:firstLineChars="200"/>
        <w:rPr>
          <w:rFonts w:ascii="宋体" w:hAnsi="宋体" w:cs="宋体"/>
          <w:sz w:val="24"/>
        </w:rPr>
      </w:pPr>
      <w:r>
        <w:rPr>
          <w:rFonts w:hint="eastAsia" w:ascii="宋体" w:hAnsi="宋体" w:cs="宋体"/>
          <w:sz w:val="24"/>
        </w:rPr>
        <w:t xml:space="preserve">11、每年度政策规定的各类申领补贴等，投标人须无条件配合招标人办理申领手续； </w:t>
      </w:r>
    </w:p>
    <w:p w14:paraId="336C3515">
      <w:pPr>
        <w:spacing w:line="360" w:lineRule="auto"/>
        <w:ind w:firstLine="480" w:firstLineChars="200"/>
        <w:rPr>
          <w:rFonts w:ascii="宋体" w:hAnsi="宋体" w:cs="宋体"/>
          <w:sz w:val="24"/>
        </w:rPr>
      </w:pPr>
      <w:r>
        <w:rPr>
          <w:rFonts w:hint="eastAsia" w:ascii="宋体" w:hAnsi="宋体" w:cs="宋体"/>
          <w:sz w:val="24"/>
        </w:rPr>
        <w:t>12、投标人须制定年度活动策划方案及活动费用测算，经招标人审核后，由招标人负责实施，方案策划费用包含在投标报价中。投标文件中提供投标人拟定活动方案。</w:t>
      </w:r>
    </w:p>
    <w:p w14:paraId="3E1C734D">
      <w:pPr>
        <w:spacing w:line="360" w:lineRule="auto"/>
        <w:ind w:firstLine="480" w:firstLineChars="200"/>
        <w:rPr>
          <w:rFonts w:ascii="宋体" w:hAnsi="宋体" w:cs="宋体"/>
          <w:sz w:val="24"/>
        </w:rPr>
      </w:pPr>
      <w:r>
        <w:rPr>
          <w:rFonts w:hint="eastAsia" w:ascii="宋体" w:hAnsi="宋体" w:cs="宋体"/>
          <w:sz w:val="24"/>
        </w:rPr>
        <w:t xml:space="preserve">13、其他日常园区运营管理工作； </w:t>
      </w:r>
    </w:p>
    <w:p w14:paraId="7F3FD8A8">
      <w:pPr>
        <w:spacing w:line="360" w:lineRule="auto"/>
        <w:ind w:firstLine="480" w:firstLineChars="200"/>
        <w:rPr>
          <w:rFonts w:ascii="宋体" w:hAnsi="宋体" w:cs="宋体"/>
          <w:sz w:val="24"/>
        </w:rPr>
      </w:pPr>
      <w:r>
        <w:rPr>
          <w:rFonts w:hint="eastAsia" w:ascii="宋体" w:hAnsi="宋体" w:cs="宋体"/>
          <w:sz w:val="24"/>
        </w:rPr>
        <w:t xml:space="preserve">14、配合协助招标人完成综合验收与工程交接工作； </w:t>
      </w:r>
    </w:p>
    <w:p w14:paraId="44B25FAA">
      <w:pPr>
        <w:spacing w:line="360" w:lineRule="auto"/>
        <w:ind w:firstLine="480" w:firstLineChars="200"/>
        <w:rPr>
          <w:rFonts w:ascii="宋体" w:hAnsi="宋体" w:cs="宋体"/>
          <w:sz w:val="24"/>
        </w:rPr>
      </w:pPr>
      <w:r>
        <w:rPr>
          <w:rFonts w:hint="eastAsia" w:ascii="宋体" w:hAnsi="宋体" w:cs="宋体"/>
          <w:sz w:val="24"/>
        </w:rPr>
        <w:t>15、投标人在园区内开展的一切活动，需无条件满足招标人的要求及相关规定。</w:t>
      </w:r>
    </w:p>
    <w:p w14:paraId="209B3023">
      <w:pPr>
        <w:pStyle w:val="17"/>
        <w:spacing w:before="0" w:after="0" w:line="360" w:lineRule="auto"/>
        <w:ind w:firstLine="562" w:firstLineChars="200"/>
        <w:jc w:val="left"/>
        <w:outlineLvl w:val="9"/>
        <w:rPr>
          <w:rFonts w:ascii="宋体" w:hAnsi="宋体" w:cs="宋体"/>
          <w:sz w:val="28"/>
          <w:szCs w:val="28"/>
        </w:rPr>
      </w:pPr>
      <w:r>
        <w:rPr>
          <w:rFonts w:hint="eastAsia" w:ascii="宋体" w:hAnsi="宋体" w:cs="宋体"/>
          <w:sz w:val="28"/>
          <w:szCs w:val="28"/>
        </w:rPr>
        <w:t>六、其他要求</w:t>
      </w:r>
    </w:p>
    <w:p w14:paraId="041E96F4">
      <w:pPr>
        <w:spacing w:line="360" w:lineRule="auto"/>
        <w:ind w:firstLine="480" w:firstLineChars="200"/>
        <w:rPr>
          <w:rFonts w:ascii="宋体" w:hAnsi="宋体" w:cs="宋体"/>
          <w:sz w:val="24"/>
        </w:rPr>
      </w:pPr>
      <w:r>
        <w:rPr>
          <w:rFonts w:hint="eastAsia" w:ascii="宋体" w:hAnsi="宋体" w:cs="宋体"/>
          <w:sz w:val="24"/>
        </w:rPr>
        <w:t>1、未经招标人同意，不向任何第三方透露与本项目有关的信息资料。</w:t>
      </w:r>
    </w:p>
    <w:p w14:paraId="5FBA04CA">
      <w:pPr>
        <w:spacing w:line="360" w:lineRule="auto"/>
        <w:ind w:firstLine="480" w:firstLineChars="200"/>
        <w:rPr>
          <w:rFonts w:ascii="宋体" w:hAnsi="宋体" w:cs="宋体"/>
          <w:sz w:val="24"/>
        </w:rPr>
      </w:pPr>
      <w:r>
        <w:rPr>
          <w:rFonts w:hint="eastAsia" w:ascii="宋体" w:hAnsi="宋体" w:cs="宋体"/>
          <w:sz w:val="24"/>
        </w:rPr>
        <w:t>2、不得引进违法违禁、有严重噪音污染、环境污染的项目；投标人应做好承租户的经营动态管理，园区的各承租户不得有违法违禁、严重噪音污染、环境污染的项目。</w:t>
      </w:r>
    </w:p>
    <w:p w14:paraId="2A663247">
      <w:pPr>
        <w:spacing w:line="360" w:lineRule="auto"/>
        <w:ind w:firstLine="480" w:firstLineChars="200"/>
        <w:rPr>
          <w:rFonts w:ascii="宋体" w:hAnsi="宋体" w:cs="宋体"/>
          <w:sz w:val="24"/>
        </w:rPr>
      </w:pPr>
      <w:r>
        <w:rPr>
          <w:rFonts w:hint="eastAsia" w:ascii="宋体" w:hAnsi="宋体" w:cs="宋体"/>
          <w:sz w:val="24"/>
        </w:rPr>
        <w:t>3、承担双方确认的运营管理活动中投标人应当承担的各项费用、税款（专票）等。</w:t>
      </w:r>
    </w:p>
    <w:p w14:paraId="2E918582">
      <w:pPr>
        <w:spacing w:line="360" w:lineRule="auto"/>
        <w:ind w:firstLine="480" w:firstLineChars="200"/>
        <w:rPr>
          <w:rFonts w:ascii="宋体" w:hAnsi="宋体" w:cs="宋体"/>
          <w:sz w:val="24"/>
        </w:rPr>
      </w:pPr>
      <w:r>
        <w:rPr>
          <w:rFonts w:hint="eastAsia" w:ascii="宋体" w:hAnsi="宋体" w:cs="宋体"/>
          <w:sz w:val="24"/>
        </w:rPr>
        <w:t>4、接受招标人的监督管理，招标人有权随时对投标人的工作进行调查，如发现承租户有不正当经营行为，或者提供虚假经营报告、财务报表等的，招标人有权要求投标人在一定限期内进行整改，逾期未整改完成的，招标人有权解除合同。</w:t>
      </w:r>
    </w:p>
    <w:p w14:paraId="10BA376F">
      <w:pPr>
        <w:spacing w:line="360" w:lineRule="auto"/>
        <w:ind w:firstLine="480" w:firstLineChars="200"/>
        <w:rPr>
          <w:rFonts w:ascii="宋体" w:hAnsi="宋体" w:cs="宋体"/>
          <w:sz w:val="24"/>
        </w:rPr>
      </w:pPr>
      <w:r>
        <w:rPr>
          <w:rFonts w:hint="eastAsia" w:ascii="宋体" w:hAnsi="宋体" w:cs="宋体"/>
          <w:sz w:val="24"/>
        </w:rPr>
        <w:t>5、未经招标人许可不得随意给客户额外承诺，竭力维护招标人的良好形象和信誉。</w:t>
      </w:r>
    </w:p>
    <w:p w14:paraId="6497BD82">
      <w:pPr>
        <w:spacing w:line="360" w:lineRule="auto"/>
        <w:ind w:firstLine="480" w:firstLineChars="200"/>
        <w:rPr>
          <w:rFonts w:ascii="宋体" w:hAnsi="宋体" w:cs="宋体"/>
          <w:sz w:val="24"/>
        </w:rPr>
      </w:pPr>
      <w:r>
        <w:rPr>
          <w:rFonts w:hint="eastAsia" w:ascii="宋体" w:hAnsi="宋体" w:cs="宋体"/>
          <w:sz w:val="24"/>
        </w:rPr>
        <w:t>6、不得侵害招标人、使用人及他人的合法权益。</w:t>
      </w:r>
    </w:p>
    <w:p w14:paraId="153EED30">
      <w:pPr>
        <w:spacing w:line="360" w:lineRule="auto"/>
        <w:ind w:firstLine="480" w:firstLineChars="200"/>
        <w:rPr>
          <w:rFonts w:ascii="宋体" w:hAnsi="宋体" w:cs="宋体"/>
          <w:sz w:val="24"/>
        </w:rPr>
      </w:pPr>
      <w:r>
        <w:rPr>
          <w:rFonts w:hint="eastAsia" w:ascii="宋体" w:hAnsi="宋体" w:cs="宋体"/>
          <w:sz w:val="24"/>
        </w:rPr>
        <w:t>7、由招标人原因引起的企业要求赔偿、退租等情况，投标人应尽力协助招标人处理相关事宜。</w:t>
      </w:r>
    </w:p>
    <w:p w14:paraId="78241C48">
      <w:pPr>
        <w:spacing w:line="360" w:lineRule="auto"/>
        <w:ind w:firstLine="480" w:firstLineChars="200"/>
        <w:rPr>
          <w:rFonts w:ascii="宋体" w:hAnsi="宋体" w:cs="宋体"/>
          <w:sz w:val="24"/>
        </w:rPr>
      </w:pPr>
      <w:r>
        <w:rPr>
          <w:rFonts w:hint="eastAsia" w:ascii="宋体" w:hAnsi="宋体" w:cs="宋体"/>
          <w:sz w:val="24"/>
        </w:rPr>
        <w:t>8、项目物业公共设施设备的维修维护由中标人承担，所产生的材料费由招标人承担。电梯检验维保、消防系统年检和其他设备日常维护，垃圾清运等相关工作内容及费用由中标人承担。</w:t>
      </w:r>
    </w:p>
    <w:p w14:paraId="104A450E">
      <w:pPr>
        <w:spacing w:line="360" w:lineRule="auto"/>
        <w:ind w:firstLine="480" w:firstLineChars="200"/>
        <w:rPr>
          <w:rFonts w:ascii="宋体" w:hAnsi="宋体" w:cs="宋体"/>
          <w:sz w:val="24"/>
        </w:rPr>
      </w:pPr>
      <w:r>
        <w:rPr>
          <w:rFonts w:hint="eastAsia" w:ascii="宋体" w:hAnsi="宋体" w:cs="宋体"/>
          <w:sz w:val="24"/>
        </w:rPr>
        <w:t>9、本项目合同期间，中标人单方面承担对园区内人员、食品等安全问题，涉及的相关保险（人身意外保险、雇主责任险、公众责任险、食品安全责任险）费用包含在本项目服务范围内。</w:t>
      </w:r>
    </w:p>
    <w:p w14:paraId="19E84C81">
      <w:pPr>
        <w:spacing w:line="360" w:lineRule="auto"/>
        <w:ind w:firstLine="480" w:firstLineChars="200"/>
        <w:rPr>
          <w:rFonts w:ascii="宋体" w:hAnsi="宋体" w:cs="宋体"/>
          <w:sz w:val="24"/>
        </w:rPr>
      </w:pPr>
      <w:r>
        <w:rPr>
          <w:rFonts w:hint="eastAsia" w:ascii="宋体" w:hAnsi="宋体" w:cs="宋体"/>
          <w:sz w:val="24"/>
        </w:rPr>
        <w:t>10、本项目管理用房由采购人提供，办公设备设施及服务所需耗材由中标人承担。</w:t>
      </w:r>
    </w:p>
    <w:p w14:paraId="58AF57E8">
      <w:pPr>
        <w:spacing w:line="360" w:lineRule="auto"/>
        <w:ind w:firstLine="480" w:firstLineChars="200"/>
        <w:rPr>
          <w:rFonts w:ascii="宋体" w:hAnsi="宋体" w:cs="宋体"/>
          <w:sz w:val="24"/>
        </w:rPr>
      </w:pPr>
      <w:r>
        <w:rPr>
          <w:rFonts w:hint="eastAsia" w:ascii="宋体" w:hAnsi="宋体" w:cs="宋体"/>
          <w:sz w:val="24"/>
        </w:rPr>
        <w:t>11、做好采购人要求的其他运营管理及物业化管理的相关事项。</w:t>
      </w:r>
    </w:p>
    <w:p w14:paraId="041FAF87">
      <w:pPr>
        <w:pStyle w:val="17"/>
        <w:spacing w:before="0" w:after="0" w:line="360" w:lineRule="auto"/>
        <w:ind w:firstLine="562" w:firstLineChars="200"/>
        <w:jc w:val="left"/>
        <w:outlineLvl w:val="9"/>
        <w:rPr>
          <w:rFonts w:ascii="宋体" w:hAnsi="宋体" w:cs="宋体"/>
          <w:sz w:val="28"/>
          <w:szCs w:val="28"/>
        </w:rPr>
      </w:pPr>
      <w:r>
        <w:rPr>
          <w:rFonts w:hint="eastAsia" w:ascii="宋体" w:hAnsi="宋体" w:cs="宋体"/>
          <w:sz w:val="28"/>
          <w:szCs w:val="28"/>
        </w:rPr>
        <w:t>七、人员配备及服务基本要求</w:t>
      </w:r>
    </w:p>
    <w:tbl>
      <w:tblPr>
        <w:tblStyle w:val="24"/>
        <w:tblW w:w="10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825"/>
        <w:gridCol w:w="1825"/>
        <w:gridCol w:w="5767"/>
      </w:tblGrid>
      <w:tr w14:paraId="0F60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0E1446C8">
            <w:pPr>
              <w:spacing w:line="360" w:lineRule="auto"/>
              <w:jc w:val="center"/>
              <w:rPr>
                <w:rFonts w:ascii="宋体" w:hAnsi="宋体" w:cs="宋体"/>
                <w:sz w:val="24"/>
              </w:rPr>
            </w:pPr>
            <w:r>
              <w:rPr>
                <w:rFonts w:hint="eastAsia" w:ascii="宋体" w:hAnsi="宋体" w:cs="宋体"/>
                <w:sz w:val="24"/>
                <w:lang w:eastAsia="en-US"/>
              </w:rPr>
              <w:t>序号</w:t>
            </w:r>
          </w:p>
        </w:tc>
        <w:tc>
          <w:tcPr>
            <w:tcW w:w="1825" w:type="dxa"/>
            <w:vAlign w:val="center"/>
          </w:tcPr>
          <w:p w14:paraId="684255C7">
            <w:pPr>
              <w:spacing w:line="360" w:lineRule="auto"/>
              <w:jc w:val="center"/>
              <w:rPr>
                <w:rFonts w:ascii="宋体" w:hAnsi="宋体" w:cs="宋体"/>
                <w:sz w:val="24"/>
                <w:lang w:eastAsia="en-US"/>
              </w:rPr>
            </w:pPr>
            <w:r>
              <w:rPr>
                <w:rFonts w:hint="eastAsia" w:ascii="宋体" w:hAnsi="宋体" w:cs="宋体"/>
                <w:sz w:val="24"/>
                <w:lang w:eastAsia="en-US"/>
              </w:rPr>
              <w:t>工作岗位</w:t>
            </w:r>
          </w:p>
        </w:tc>
        <w:tc>
          <w:tcPr>
            <w:tcW w:w="1825" w:type="dxa"/>
            <w:vAlign w:val="center"/>
          </w:tcPr>
          <w:p w14:paraId="204D17C7">
            <w:pPr>
              <w:spacing w:line="360" w:lineRule="auto"/>
              <w:jc w:val="center"/>
              <w:rPr>
                <w:rFonts w:ascii="宋体" w:hAnsi="宋体" w:cs="宋体"/>
                <w:sz w:val="24"/>
              </w:rPr>
            </w:pPr>
            <w:r>
              <w:rPr>
                <w:rFonts w:hint="eastAsia" w:ascii="宋体" w:hAnsi="宋体" w:cs="宋体"/>
                <w:sz w:val="24"/>
              </w:rPr>
              <w:t>最低人数配置</w:t>
            </w:r>
          </w:p>
        </w:tc>
        <w:tc>
          <w:tcPr>
            <w:tcW w:w="5767" w:type="dxa"/>
          </w:tcPr>
          <w:p w14:paraId="52CD736E">
            <w:pPr>
              <w:spacing w:line="360" w:lineRule="auto"/>
              <w:jc w:val="center"/>
              <w:rPr>
                <w:rFonts w:ascii="宋体" w:hAnsi="宋体" w:cs="宋体"/>
                <w:sz w:val="24"/>
              </w:rPr>
            </w:pPr>
            <w:r>
              <w:rPr>
                <w:rFonts w:hint="eastAsia" w:ascii="宋体" w:hAnsi="宋体" w:cs="宋体"/>
                <w:sz w:val="24"/>
              </w:rPr>
              <w:t>工作</w:t>
            </w:r>
            <w:r>
              <w:rPr>
                <w:rFonts w:hint="eastAsia" w:ascii="宋体" w:hAnsi="宋体" w:cs="宋体"/>
                <w:sz w:val="24"/>
                <w:lang w:eastAsia="en-US"/>
              </w:rPr>
              <w:t>内容</w:t>
            </w:r>
          </w:p>
        </w:tc>
      </w:tr>
      <w:tr w14:paraId="5D37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6B951CB8">
            <w:pPr>
              <w:spacing w:line="360" w:lineRule="auto"/>
              <w:jc w:val="center"/>
              <w:rPr>
                <w:rFonts w:ascii="宋体" w:hAnsi="宋体" w:cs="宋体"/>
                <w:sz w:val="24"/>
              </w:rPr>
            </w:pPr>
            <w:r>
              <w:rPr>
                <w:rFonts w:hint="eastAsia" w:ascii="宋体" w:hAnsi="宋体" w:cs="宋体"/>
                <w:sz w:val="24"/>
              </w:rPr>
              <w:t>1</w:t>
            </w:r>
          </w:p>
        </w:tc>
        <w:tc>
          <w:tcPr>
            <w:tcW w:w="1825" w:type="dxa"/>
            <w:vAlign w:val="center"/>
          </w:tcPr>
          <w:p w14:paraId="7DF9E059">
            <w:pPr>
              <w:spacing w:line="360" w:lineRule="auto"/>
              <w:jc w:val="center"/>
              <w:rPr>
                <w:rFonts w:ascii="宋体" w:hAnsi="宋体" w:cs="宋体"/>
                <w:sz w:val="24"/>
              </w:rPr>
            </w:pPr>
            <w:r>
              <w:rPr>
                <w:rFonts w:hint="eastAsia" w:ascii="宋体" w:hAnsi="宋体" w:cs="宋体"/>
                <w:sz w:val="24"/>
              </w:rPr>
              <w:t>项目总负责人</w:t>
            </w:r>
          </w:p>
        </w:tc>
        <w:tc>
          <w:tcPr>
            <w:tcW w:w="1825" w:type="dxa"/>
            <w:vAlign w:val="center"/>
          </w:tcPr>
          <w:p w14:paraId="182CE2F3">
            <w:pPr>
              <w:spacing w:line="360" w:lineRule="auto"/>
              <w:jc w:val="center"/>
              <w:rPr>
                <w:rFonts w:ascii="宋体" w:hAnsi="宋体" w:cs="宋体"/>
                <w:sz w:val="24"/>
              </w:rPr>
            </w:pPr>
            <w:r>
              <w:rPr>
                <w:rFonts w:hint="eastAsia" w:ascii="宋体" w:hAnsi="宋体" w:cs="宋体"/>
                <w:sz w:val="24"/>
                <w:lang w:eastAsia="en-US"/>
              </w:rPr>
              <w:t>1人</w:t>
            </w:r>
          </w:p>
        </w:tc>
        <w:tc>
          <w:tcPr>
            <w:tcW w:w="5767" w:type="dxa"/>
          </w:tcPr>
          <w:p w14:paraId="5ACA2FC8">
            <w:pPr>
              <w:spacing w:line="360" w:lineRule="auto"/>
              <w:rPr>
                <w:rFonts w:ascii="宋体" w:hAnsi="宋体" w:cs="宋体"/>
                <w:sz w:val="24"/>
              </w:rPr>
            </w:pPr>
            <w:r>
              <w:rPr>
                <w:rFonts w:hint="eastAsia" w:ascii="宋体" w:hAnsi="宋体" w:cs="宋体"/>
                <w:sz w:val="24"/>
              </w:rPr>
              <w:t>项目总负责，并负责运营工作计划制定和执行；负责沟通和协调甲方和公司资源，确保运营落地；负责项目经营状况的分析，制定改善和提升计划；对经营不理想的商铺、品牌的调整和升级，负责新租户合同的签署和租赁保证金的缴纳；负责租户市场活动的配合等，同时负责物业管理工作，包括客服收银、保安、保洁、工程维修等岗位的工作安排及监督管理，对日常消防安全进行管理，把控项目品质等工作内容。</w:t>
            </w:r>
          </w:p>
        </w:tc>
      </w:tr>
      <w:tr w14:paraId="62BE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vAlign w:val="center"/>
          </w:tcPr>
          <w:p w14:paraId="76C0F37A">
            <w:pPr>
              <w:spacing w:line="360" w:lineRule="auto"/>
              <w:jc w:val="center"/>
              <w:rPr>
                <w:rFonts w:ascii="宋体" w:hAnsi="宋体" w:cs="宋体"/>
                <w:sz w:val="24"/>
              </w:rPr>
            </w:pPr>
            <w:r>
              <w:rPr>
                <w:rFonts w:hint="eastAsia" w:ascii="宋体" w:hAnsi="宋体" w:cs="宋体"/>
                <w:sz w:val="24"/>
              </w:rPr>
              <w:t>2</w:t>
            </w:r>
          </w:p>
        </w:tc>
        <w:tc>
          <w:tcPr>
            <w:tcW w:w="1825" w:type="dxa"/>
            <w:vAlign w:val="center"/>
          </w:tcPr>
          <w:p w14:paraId="597A41BE">
            <w:pPr>
              <w:spacing w:line="360" w:lineRule="auto"/>
              <w:jc w:val="center"/>
              <w:rPr>
                <w:rFonts w:ascii="宋体" w:hAnsi="宋体" w:cs="宋体"/>
                <w:sz w:val="24"/>
              </w:rPr>
            </w:pPr>
            <w:r>
              <w:rPr>
                <w:rFonts w:hint="eastAsia" w:ascii="宋体" w:hAnsi="宋体" w:cs="宋体"/>
                <w:sz w:val="24"/>
              </w:rPr>
              <w:t>企划经理</w:t>
            </w:r>
          </w:p>
        </w:tc>
        <w:tc>
          <w:tcPr>
            <w:tcW w:w="1825" w:type="dxa"/>
            <w:vAlign w:val="center"/>
          </w:tcPr>
          <w:p w14:paraId="1F86AE6D">
            <w:pPr>
              <w:spacing w:line="360" w:lineRule="auto"/>
              <w:jc w:val="center"/>
              <w:rPr>
                <w:rFonts w:ascii="宋体" w:hAnsi="宋体" w:cs="宋体"/>
                <w:sz w:val="24"/>
                <w:lang w:eastAsia="en-US"/>
              </w:rPr>
            </w:pPr>
            <w:r>
              <w:rPr>
                <w:rFonts w:hint="eastAsia" w:ascii="宋体" w:hAnsi="宋体" w:cs="宋体"/>
                <w:sz w:val="24"/>
                <w:lang w:eastAsia="en-US"/>
              </w:rPr>
              <w:t>1人</w:t>
            </w:r>
          </w:p>
        </w:tc>
        <w:tc>
          <w:tcPr>
            <w:tcW w:w="5767" w:type="dxa"/>
          </w:tcPr>
          <w:p w14:paraId="6FE2E38C">
            <w:pPr>
              <w:spacing w:line="360" w:lineRule="auto"/>
              <w:rPr>
                <w:rFonts w:ascii="宋体" w:hAnsi="宋体" w:cs="宋体"/>
                <w:sz w:val="24"/>
              </w:rPr>
            </w:pPr>
            <w:r>
              <w:rPr>
                <w:rFonts w:hint="eastAsia" w:ascii="宋体" w:hAnsi="宋体" w:cs="宋体"/>
                <w:sz w:val="24"/>
              </w:rPr>
              <w:t>负责项目整体活动策划及方案编制，公众号维护、推广；负责项目动态信息协作发布、创意策划；</w:t>
            </w:r>
            <w:r>
              <w:rPr>
                <w:rFonts w:hint="eastAsia" w:ascii="宋体" w:hAnsi="宋体" w:cs="宋体"/>
                <w:kern w:val="0"/>
                <w:sz w:val="24"/>
              </w:rPr>
              <w:t>负责线上宣传推广工作，包括线上渠道开拓、引流、维护，内容创作和把控，数据分析等，负责各个平台的文案撰写及发布，维护账号的流量同时需要对文章下的留言进行筛选和回复。</w:t>
            </w:r>
            <w:r>
              <w:rPr>
                <w:rFonts w:hint="eastAsia" w:ascii="宋体" w:hAnsi="宋体" w:cs="宋体"/>
                <w:sz w:val="24"/>
              </w:rPr>
              <w:t>负责</w:t>
            </w:r>
            <w:r>
              <w:rPr>
                <w:rFonts w:hint="eastAsia" w:ascii="宋体" w:hAnsi="宋体" w:cs="宋体"/>
                <w:kern w:val="0"/>
                <w:sz w:val="24"/>
              </w:rPr>
              <w:t>为宣传提供各类素材，同时需要通过照片或视频记录项目各类大小活动产品等</w:t>
            </w:r>
            <w:r>
              <w:rPr>
                <w:rFonts w:hint="eastAsia" w:ascii="宋体" w:hAnsi="宋体" w:cs="宋体"/>
                <w:sz w:val="24"/>
              </w:rPr>
              <w:t>工作内容</w:t>
            </w:r>
            <w:r>
              <w:rPr>
                <w:rFonts w:hint="eastAsia" w:ascii="宋体" w:hAnsi="宋体" w:cs="宋体"/>
                <w:kern w:val="0"/>
                <w:sz w:val="24"/>
              </w:rPr>
              <w:t>。</w:t>
            </w:r>
          </w:p>
        </w:tc>
      </w:tr>
      <w:tr w14:paraId="57CB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1E972FB7">
            <w:pPr>
              <w:spacing w:line="360" w:lineRule="auto"/>
              <w:jc w:val="center"/>
              <w:rPr>
                <w:rFonts w:ascii="宋体" w:hAnsi="宋体" w:cs="宋体"/>
                <w:sz w:val="24"/>
              </w:rPr>
            </w:pPr>
            <w:r>
              <w:rPr>
                <w:rFonts w:hint="eastAsia" w:ascii="宋体" w:hAnsi="宋体" w:cs="宋体"/>
                <w:sz w:val="24"/>
              </w:rPr>
              <w:t>3</w:t>
            </w:r>
          </w:p>
        </w:tc>
        <w:tc>
          <w:tcPr>
            <w:tcW w:w="1825" w:type="dxa"/>
            <w:vAlign w:val="center"/>
          </w:tcPr>
          <w:p w14:paraId="7E7525A2">
            <w:pPr>
              <w:spacing w:line="360" w:lineRule="auto"/>
              <w:jc w:val="center"/>
              <w:rPr>
                <w:rFonts w:ascii="宋体" w:hAnsi="宋体" w:cs="宋体"/>
                <w:sz w:val="24"/>
              </w:rPr>
            </w:pPr>
            <w:r>
              <w:rPr>
                <w:rFonts w:hint="eastAsia" w:ascii="宋体" w:hAnsi="宋体" w:cs="宋体"/>
                <w:sz w:val="24"/>
              </w:rPr>
              <w:t>接待讲解</w:t>
            </w:r>
          </w:p>
        </w:tc>
        <w:tc>
          <w:tcPr>
            <w:tcW w:w="1825" w:type="dxa"/>
            <w:vAlign w:val="center"/>
          </w:tcPr>
          <w:p w14:paraId="7D2D761F">
            <w:pPr>
              <w:spacing w:line="360" w:lineRule="auto"/>
              <w:jc w:val="center"/>
              <w:rPr>
                <w:rFonts w:ascii="宋体" w:hAnsi="宋体" w:cs="宋体"/>
                <w:sz w:val="24"/>
              </w:rPr>
            </w:pPr>
            <w:r>
              <w:rPr>
                <w:rFonts w:hint="eastAsia" w:ascii="宋体" w:hAnsi="宋体" w:cs="宋体"/>
                <w:sz w:val="24"/>
                <w:lang w:eastAsia="en-US"/>
              </w:rPr>
              <w:t>1人</w:t>
            </w:r>
          </w:p>
        </w:tc>
        <w:tc>
          <w:tcPr>
            <w:tcW w:w="5767" w:type="dxa"/>
          </w:tcPr>
          <w:p w14:paraId="182171A2">
            <w:pPr>
              <w:spacing w:line="360" w:lineRule="auto"/>
              <w:rPr>
                <w:rFonts w:ascii="宋体" w:hAnsi="宋体" w:cs="宋体"/>
                <w:sz w:val="24"/>
              </w:rPr>
            </w:pPr>
            <w:r>
              <w:rPr>
                <w:rFonts w:ascii="宋体" w:hAnsi="宋体" w:cs="宋体"/>
                <w:sz w:val="24"/>
              </w:rPr>
              <w:t>负责</w:t>
            </w:r>
            <w:r>
              <w:rPr>
                <w:rFonts w:hint="eastAsia" w:ascii="宋体" w:hAnsi="宋体" w:cs="宋体"/>
                <w:sz w:val="24"/>
              </w:rPr>
              <w:t>日常</w:t>
            </w:r>
            <w:r>
              <w:rPr>
                <w:rFonts w:ascii="宋体" w:hAnsi="宋体" w:cs="宋体"/>
                <w:sz w:val="24"/>
              </w:rPr>
              <w:t>讲解和会议的主持工作</w:t>
            </w:r>
            <w:r>
              <w:rPr>
                <w:rFonts w:hint="eastAsia" w:ascii="宋体" w:hAnsi="宋体" w:cs="宋体"/>
                <w:sz w:val="24"/>
              </w:rPr>
              <w:t>；</w:t>
            </w:r>
            <w:r>
              <w:rPr>
                <w:rFonts w:ascii="宋体" w:hAnsi="宋体" w:cs="宋体"/>
                <w:sz w:val="24"/>
              </w:rPr>
              <w:t>接待参观展厅的客户，进行项目展厅的讲解</w:t>
            </w:r>
            <w:r>
              <w:rPr>
                <w:rFonts w:hint="eastAsia" w:ascii="宋体" w:hAnsi="宋体" w:cs="宋体"/>
                <w:sz w:val="24"/>
              </w:rPr>
              <w:t>；</w:t>
            </w:r>
            <w:r>
              <w:rPr>
                <w:rFonts w:ascii="宋体" w:hAnsi="宋体" w:cs="宋体"/>
                <w:sz w:val="24"/>
              </w:rPr>
              <w:t>收集内外部建议和意见并反馈给上级领导</w:t>
            </w:r>
            <w:r>
              <w:rPr>
                <w:rFonts w:hint="eastAsia" w:ascii="宋体" w:hAnsi="宋体" w:cs="宋体"/>
                <w:kern w:val="0"/>
                <w:sz w:val="24"/>
              </w:rPr>
              <w:t>等</w:t>
            </w:r>
            <w:r>
              <w:rPr>
                <w:rFonts w:hint="eastAsia" w:ascii="宋体" w:hAnsi="宋体" w:cs="宋体"/>
                <w:sz w:val="24"/>
              </w:rPr>
              <w:t>工作内容</w:t>
            </w:r>
            <w:r>
              <w:rPr>
                <w:rFonts w:hint="eastAsia" w:ascii="宋体" w:hAnsi="宋体" w:cs="宋体"/>
                <w:kern w:val="0"/>
                <w:sz w:val="24"/>
              </w:rPr>
              <w:t>。</w:t>
            </w:r>
          </w:p>
        </w:tc>
      </w:tr>
      <w:tr w14:paraId="58C8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6F814B7D">
            <w:pPr>
              <w:spacing w:line="360" w:lineRule="auto"/>
              <w:jc w:val="center"/>
              <w:rPr>
                <w:rFonts w:ascii="宋体" w:hAnsi="宋体" w:cs="宋体"/>
                <w:sz w:val="24"/>
              </w:rPr>
            </w:pPr>
            <w:r>
              <w:rPr>
                <w:rFonts w:hint="eastAsia" w:ascii="宋体" w:hAnsi="宋体" w:cs="宋体"/>
                <w:sz w:val="24"/>
              </w:rPr>
              <w:t>4</w:t>
            </w:r>
          </w:p>
        </w:tc>
        <w:tc>
          <w:tcPr>
            <w:tcW w:w="1825" w:type="dxa"/>
            <w:vAlign w:val="center"/>
          </w:tcPr>
          <w:p w14:paraId="45CAA244">
            <w:pPr>
              <w:spacing w:line="360" w:lineRule="auto"/>
              <w:jc w:val="center"/>
              <w:rPr>
                <w:rFonts w:ascii="宋体" w:hAnsi="宋体" w:cs="宋体"/>
                <w:sz w:val="24"/>
              </w:rPr>
            </w:pPr>
            <w:r>
              <w:rPr>
                <w:rFonts w:hint="eastAsia" w:ascii="宋体" w:hAnsi="宋体" w:cs="宋体"/>
                <w:sz w:val="24"/>
              </w:rPr>
              <w:t>客服收银</w:t>
            </w:r>
          </w:p>
        </w:tc>
        <w:tc>
          <w:tcPr>
            <w:tcW w:w="1825" w:type="dxa"/>
            <w:vAlign w:val="center"/>
          </w:tcPr>
          <w:p w14:paraId="17DCFBA0">
            <w:pPr>
              <w:spacing w:line="360" w:lineRule="auto"/>
              <w:jc w:val="center"/>
              <w:rPr>
                <w:rFonts w:ascii="宋体" w:hAnsi="宋体" w:cs="宋体"/>
                <w:sz w:val="24"/>
              </w:rPr>
            </w:pPr>
            <w:r>
              <w:rPr>
                <w:rFonts w:hint="eastAsia" w:ascii="宋体" w:hAnsi="宋体" w:cs="宋体"/>
                <w:sz w:val="24"/>
              </w:rPr>
              <w:t>2人</w:t>
            </w:r>
          </w:p>
        </w:tc>
        <w:tc>
          <w:tcPr>
            <w:tcW w:w="5767" w:type="dxa"/>
          </w:tcPr>
          <w:p w14:paraId="18051B2F">
            <w:pPr>
              <w:spacing w:line="360" w:lineRule="auto"/>
              <w:rPr>
                <w:rFonts w:ascii="宋体" w:hAnsi="宋体" w:cs="宋体"/>
                <w:sz w:val="24"/>
              </w:rPr>
            </w:pPr>
            <w:r>
              <w:rPr>
                <w:rFonts w:hint="eastAsia" w:ascii="宋体" w:hAnsi="宋体" w:cs="宋体"/>
                <w:sz w:val="24"/>
              </w:rPr>
              <w:t>负责收取及审阅园区的巡楼报告及每天的投诉记录并对重点内容进行归纳；负责装修档案，客户档案的管理；负责定期对服务质量进行统计、分析、并提出整改方案；负责项目展销中心收银相关工作；负责日常不定时收集有价值的信息，为推动公司客户服务工作的发展出谋划策</w:t>
            </w:r>
            <w:r>
              <w:rPr>
                <w:rFonts w:hint="eastAsia" w:ascii="宋体" w:hAnsi="宋体" w:cs="宋体"/>
                <w:kern w:val="0"/>
                <w:sz w:val="24"/>
              </w:rPr>
              <w:t>等</w:t>
            </w:r>
            <w:r>
              <w:rPr>
                <w:rFonts w:hint="eastAsia" w:ascii="宋体" w:hAnsi="宋体" w:cs="宋体"/>
                <w:sz w:val="24"/>
              </w:rPr>
              <w:t>工作内容</w:t>
            </w:r>
            <w:r>
              <w:rPr>
                <w:rFonts w:hint="eastAsia" w:ascii="宋体" w:hAnsi="宋体" w:cs="宋体"/>
                <w:kern w:val="0"/>
                <w:sz w:val="24"/>
              </w:rPr>
              <w:t>。</w:t>
            </w:r>
          </w:p>
        </w:tc>
      </w:tr>
      <w:tr w14:paraId="692A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1F13E40E">
            <w:pPr>
              <w:spacing w:line="360" w:lineRule="auto"/>
              <w:jc w:val="center"/>
              <w:rPr>
                <w:rFonts w:ascii="宋体" w:hAnsi="宋体" w:cs="宋体"/>
                <w:sz w:val="24"/>
              </w:rPr>
            </w:pPr>
            <w:r>
              <w:rPr>
                <w:rFonts w:hint="eastAsia" w:ascii="宋体" w:hAnsi="宋体" w:cs="宋体"/>
                <w:sz w:val="24"/>
              </w:rPr>
              <w:t>5</w:t>
            </w:r>
          </w:p>
        </w:tc>
        <w:tc>
          <w:tcPr>
            <w:tcW w:w="1825" w:type="dxa"/>
            <w:vAlign w:val="center"/>
          </w:tcPr>
          <w:p w14:paraId="71BC7D43">
            <w:pPr>
              <w:spacing w:line="360" w:lineRule="auto"/>
              <w:jc w:val="center"/>
              <w:rPr>
                <w:rFonts w:ascii="宋体" w:hAnsi="宋体" w:cs="宋体"/>
                <w:sz w:val="24"/>
              </w:rPr>
            </w:pPr>
            <w:r>
              <w:rPr>
                <w:rFonts w:hint="eastAsia" w:ascii="宋体" w:hAnsi="宋体" w:cs="宋体"/>
                <w:sz w:val="24"/>
              </w:rPr>
              <w:t>保洁</w:t>
            </w:r>
          </w:p>
        </w:tc>
        <w:tc>
          <w:tcPr>
            <w:tcW w:w="1825" w:type="dxa"/>
            <w:vAlign w:val="center"/>
          </w:tcPr>
          <w:p w14:paraId="49968278">
            <w:pPr>
              <w:spacing w:line="360" w:lineRule="auto"/>
              <w:jc w:val="center"/>
              <w:rPr>
                <w:rFonts w:ascii="宋体" w:hAnsi="宋体" w:cs="宋体"/>
                <w:sz w:val="24"/>
                <w:lang w:eastAsia="en-US"/>
              </w:rPr>
            </w:pPr>
            <w:r>
              <w:rPr>
                <w:rFonts w:hint="eastAsia" w:ascii="宋体" w:hAnsi="宋体" w:cs="宋体"/>
                <w:sz w:val="24"/>
              </w:rPr>
              <w:t>6人</w:t>
            </w:r>
          </w:p>
        </w:tc>
        <w:tc>
          <w:tcPr>
            <w:tcW w:w="5767" w:type="dxa"/>
          </w:tcPr>
          <w:p w14:paraId="620A7B54">
            <w:pPr>
              <w:spacing w:line="360" w:lineRule="auto"/>
              <w:rPr>
                <w:rFonts w:ascii="宋体" w:hAnsi="宋体" w:cs="宋体"/>
                <w:sz w:val="24"/>
              </w:rPr>
            </w:pPr>
            <w:r>
              <w:rPr>
                <w:rFonts w:hint="eastAsia" w:ascii="宋体" w:hAnsi="宋体" w:cs="宋体"/>
                <w:sz w:val="24"/>
              </w:rPr>
              <w:t>负责展销中心与分拣中心环境卫生整洁干净；区域内路面无烟蒂纸屑、果壳、塑料袋等生活垃圾和枯枝落叶；厕所内无异味，卫生洁具无污渍异物；定期定点清理垃圾，做好垃圾分类工作；完成甲方要求的临时性保洁工作</w:t>
            </w:r>
            <w:r>
              <w:rPr>
                <w:rFonts w:hint="eastAsia" w:ascii="宋体" w:hAnsi="宋体" w:cs="宋体"/>
                <w:kern w:val="0"/>
                <w:sz w:val="24"/>
              </w:rPr>
              <w:t>等</w:t>
            </w:r>
            <w:r>
              <w:rPr>
                <w:rFonts w:hint="eastAsia" w:ascii="宋体" w:hAnsi="宋体" w:cs="宋体"/>
                <w:sz w:val="24"/>
              </w:rPr>
              <w:t>工作内容</w:t>
            </w:r>
            <w:r>
              <w:rPr>
                <w:rFonts w:hint="eastAsia" w:ascii="宋体" w:hAnsi="宋体" w:cs="宋体"/>
                <w:kern w:val="0"/>
                <w:sz w:val="24"/>
              </w:rPr>
              <w:t>。</w:t>
            </w:r>
          </w:p>
        </w:tc>
      </w:tr>
      <w:tr w14:paraId="162C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7427D76C">
            <w:pPr>
              <w:spacing w:line="360" w:lineRule="auto"/>
              <w:jc w:val="center"/>
              <w:rPr>
                <w:rFonts w:ascii="宋体" w:hAnsi="宋体" w:cs="宋体"/>
                <w:sz w:val="24"/>
              </w:rPr>
            </w:pPr>
            <w:r>
              <w:rPr>
                <w:rFonts w:hint="eastAsia" w:ascii="宋体" w:hAnsi="宋体" w:cs="宋体"/>
                <w:sz w:val="24"/>
              </w:rPr>
              <w:t>6</w:t>
            </w:r>
          </w:p>
        </w:tc>
        <w:tc>
          <w:tcPr>
            <w:tcW w:w="1825" w:type="dxa"/>
            <w:vAlign w:val="center"/>
          </w:tcPr>
          <w:p w14:paraId="463B434E">
            <w:pPr>
              <w:spacing w:line="360" w:lineRule="auto"/>
              <w:jc w:val="center"/>
              <w:rPr>
                <w:rFonts w:ascii="宋体" w:hAnsi="宋体" w:cs="宋体"/>
                <w:sz w:val="24"/>
              </w:rPr>
            </w:pPr>
            <w:r>
              <w:rPr>
                <w:rFonts w:hint="eastAsia" w:ascii="宋体" w:hAnsi="宋体" w:cs="宋体"/>
                <w:sz w:val="24"/>
              </w:rPr>
              <w:t>安保</w:t>
            </w:r>
          </w:p>
        </w:tc>
        <w:tc>
          <w:tcPr>
            <w:tcW w:w="1825" w:type="dxa"/>
            <w:vAlign w:val="center"/>
          </w:tcPr>
          <w:p w14:paraId="44699452">
            <w:pPr>
              <w:spacing w:line="360" w:lineRule="auto"/>
              <w:jc w:val="center"/>
              <w:rPr>
                <w:rFonts w:ascii="宋体" w:hAnsi="宋体" w:cs="宋体"/>
                <w:sz w:val="24"/>
              </w:rPr>
            </w:pPr>
            <w:r>
              <w:rPr>
                <w:rFonts w:hint="eastAsia" w:ascii="宋体" w:hAnsi="宋体" w:cs="宋体"/>
                <w:sz w:val="24"/>
              </w:rPr>
              <w:t>7人</w:t>
            </w:r>
          </w:p>
        </w:tc>
        <w:tc>
          <w:tcPr>
            <w:tcW w:w="5767" w:type="dxa"/>
          </w:tcPr>
          <w:p w14:paraId="06D55E3E">
            <w:pPr>
              <w:spacing w:line="360" w:lineRule="auto"/>
              <w:rPr>
                <w:rFonts w:ascii="宋体" w:hAnsi="宋体" w:cs="宋体"/>
                <w:sz w:val="24"/>
              </w:rPr>
            </w:pPr>
            <w:r>
              <w:rPr>
                <w:rFonts w:hint="eastAsia" w:ascii="宋体" w:hAnsi="宋体" w:cs="宋体"/>
                <w:sz w:val="24"/>
              </w:rPr>
              <w:t>负责维护园区治安秩序，确保商户及顾客的人身和财产安全；负责园区范围内的安全巡查，发现安全隐患及时报告并协助处理；负责监督园区各项安全制度的执行，对违反规定的行为进行劝阻和制止；配合公安机关开展治安、消防、交通等方面的工作；参与园区应急预案的制定和实施，提高应对突发事件的能力；负责园区重要部位如停车场等的安全保卫工作及其他相关工作。</w:t>
            </w:r>
          </w:p>
        </w:tc>
      </w:tr>
      <w:tr w14:paraId="2F31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37B52F64">
            <w:pPr>
              <w:spacing w:line="360" w:lineRule="auto"/>
              <w:jc w:val="center"/>
              <w:rPr>
                <w:rFonts w:ascii="宋体" w:hAnsi="宋体" w:cs="宋体"/>
                <w:sz w:val="24"/>
              </w:rPr>
            </w:pPr>
            <w:r>
              <w:rPr>
                <w:rFonts w:hint="eastAsia" w:ascii="宋体" w:hAnsi="宋体" w:cs="宋体"/>
                <w:sz w:val="24"/>
              </w:rPr>
              <w:t>7</w:t>
            </w:r>
          </w:p>
        </w:tc>
        <w:tc>
          <w:tcPr>
            <w:tcW w:w="1825" w:type="dxa"/>
            <w:vAlign w:val="center"/>
          </w:tcPr>
          <w:p w14:paraId="6DA236CC">
            <w:pPr>
              <w:spacing w:line="360" w:lineRule="auto"/>
              <w:jc w:val="center"/>
              <w:rPr>
                <w:rFonts w:ascii="宋体" w:hAnsi="宋体" w:cs="宋体"/>
                <w:sz w:val="24"/>
              </w:rPr>
            </w:pPr>
            <w:r>
              <w:rPr>
                <w:rFonts w:hint="eastAsia" w:ascii="宋体" w:hAnsi="宋体" w:cs="宋体"/>
                <w:sz w:val="24"/>
              </w:rPr>
              <w:t>消控监控</w:t>
            </w:r>
          </w:p>
        </w:tc>
        <w:tc>
          <w:tcPr>
            <w:tcW w:w="1825" w:type="dxa"/>
            <w:vAlign w:val="center"/>
          </w:tcPr>
          <w:p w14:paraId="11C6F7A5">
            <w:pPr>
              <w:spacing w:line="360" w:lineRule="auto"/>
              <w:jc w:val="center"/>
              <w:rPr>
                <w:rFonts w:ascii="宋体" w:hAnsi="宋体" w:cs="宋体"/>
                <w:sz w:val="24"/>
              </w:rPr>
            </w:pPr>
            <w:r>
              <w:rPr>
                <w:rFonts w:hint="eastAsia" w:ascii="宋体" w:hAnsi="宋体" w:cs="宋体"/>
                <w:sz w:val="24"/>
              </w:rPr>
              <w:t>2</w:t>
            </w:r>
            <w:r>
              <w:rPr>
                <w:rFonts w:hint="eastAsia" w:ascii="宋体" w:hAnsi="宋体" w:cs="宋体"/>
                <w:sz w:val="24"/>
                <w:lang w:eastAsia="en-US"/>
              </w:rPr>
              <w:t>人</w:t>
            </w:r>
          </w:p>
        </w:tc>
        <w:tc>
          <w:tcPr>
            <w:tcW w:w="5767" w:type="dxa"/>
          </w:tcPr>
          <w:p w14:paraId="00C1C50B">
            <w:pPr>
              <w:spacing w:line="360" w:lineRule="auto"/>
              <w:rPr>
                <w:rFonts w:ascii="宋体" w:hAnsi="宋体" w:cs="宋体"/>
                <w:sz w:val="24"/>
              </w:rPr>
            </w:pPr>
            <w:r>
              <w:rPr>
                <w:rFonts w:hint="eastAsia" w:ascii="宋体" w:hAnsi="宋体" w:cs="宋体"/>
                <w:sz w:val="24"/>
              </w:rPr>
              <w:t>负责管理水蜜桃展销中心区域内的消防中控设备，安防监控设备的值机工作；负责及时发现，妥善处理消防安全隐患；负责日常消防设备设施器材的巡检工作，做好相关设备的运行记录；定期对消防监控操作设备进行保养与检查，确保设备正常运行；及其他相关工作。</w:t>
            </w:r>
          </w:p>
          <w:p w14:paraId="11BFF00C">
            <w:pPr>
              <w:spacing w:line="360" w:lineRule="auto"/>
              <w:rPr>
                <w:rFonts w:ascii="宋体" w:hAnsi="宋体" w:cs="宋体"/>
                <w:sz w:val="24"/>
              </w:rPr>
            </w:pPr>
            <w:r>
              <w:rPr>
                <w:rFonts w:hint="eastAsia" w:ascii="宋体" w:hAnsi="宋体" w:cs="宋体"/>
                <w:sz w:val="24"/>
              </w:rPr>
              <w:t>注：拟配备人员须具备消防设施操作员证书，在投标文件中提供相关证书复印件。</w:t>
            </w:r>
          </w:p>
        </w:tc>
      </w:tr>
      <w:tr w14:paraId="253D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4F87044C">
            <w:pPr>
              <w:spacing w:line="360" w:lineRule="auto"/>
              <w:jc w:val="center"/>
              <w:rPr>
                <w:rFonts w:ascii="宋体" w:hAnsi="宋体" w:cs="宋体"/>
                <w:sz w:val="24"/>
              </w:rPr>
            </w:pPr>
            <w:r>
              <w:rPr>
                <w:rFonts w:hint="eastAsia" w:ascii="宋体" w:hAnsi="宋体" w:cs="宋体"/>
                <w:sz w:val="24"/>
              </w:rPr>
              <w:t>8</w:t>
            </w:r>
          </w:p>
        </w:tc>
        <w:tc>
          <w:tcPr>
            <w:tcW w:w="1825" w:type="dxa"/>
            <w:vAlign w:val="center"/>
          </w:tcPr>
          <w:p w14:paraId="30BFE51F">
            <w:pPr>
              <w:spacing w:line="360" w:lineRule="auto"/>
              <w:jc w:val="center"/>
              <w:rPr>
                <w:rFonts w:ascii="宋体" w:hAnsi="宋体" w:cs="宋体"/>
                <w:sz w:val="24"/>
              </w:rPr>
            </w:pPr>
            <w:r>
              <w:rPr>
                <w:rFonts w:hint="eastAsia" w:ascii="宋体" w:hAnsi="宋体" w:cs="宋体"/>
                <w:sz w:val="24"/>
              </w:rPr>
              <w:t>工程维修</w:t>
            </w:r>
          </w:p>
        </w:tc>
        <w:tc>
          <w:tcPr>
            <w:tcW w:w="1825" w:type="dxa"/>
            <w:vAlign w:val="center"/>
          </w:tcPr>
          <w:p w14:paraId="3A894010">
            <w:pPr>
              <w:spacing w:line="360" w:lineRule="auto"/>
              <w:jc w:val="center"/>
              <w:rPr>
                <w:rFonts w:ascii="宋体" w:hAnsi="宋体" w:cs="宋体"/>
                <w:sz w:val="24"/>
              </w:rPr>
            </w:pPr>
            <w:r>
              <w:rPr>
                <w:rFonts w:hint="eastAsia" w:ascii="宋体" w:hAnsi="宋体" w:cs="宋体"/>
                <w:sz w:val="24"/>
                <w:lang w:eastAsia="en-US"/>
              </w:rPr>
              <w:t>1人</w:t>
            </w:r>
          </w:p>
        </w:tc>
        <w:tc>
          <w:tcPr>
            <w:tcW w:w="5767" w:type="dxa"/>
          </w:tcPr>
          <w:p w14:paraId="40B71A63">
            <w:pPr>
              <w:spacing w:line="360" w:lineRule="auto"/>
              <w:rPr>
                <w:rFonts w:ascii="宋体" w:hAnsi="宋体" w:cs="宋体"/>
                <w:sz w:val="24"/>
              </w:rPr>
            </w:pPr>
            <w:r>
              <w:rPr>
                <w:rFonts w:hint="eastAsia" w:ascii="宋体" w:hAnsi="宋体" w:cs="宋体"/>
                <w:sz w:val="24"/>
              </w:rPr>
              <w:t>负责项目的承接查验工作实施，做好工程资料、图纸的接收及保管工作；设施设备数据收集整理，编制设施设备清单、台账及持续的更新维护；日常设施设备维护、维修，合理控制水、电等能源的消耗，保证设施设备处于节能状态下运行；及其他相关工作。</w:t>
            </w:r>
          </w:p>
        </w:tc>
      </w:tr>
      <w:tr w14:paraId="576E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gridSpan w:val="2"/>
            <w:vAlign w:val="center"/>
          </w:tcPr>
          <w:p w14:paraId="6876915E">
            <w:pPr>
              <w:spacing w:line="360" w:lineRule="auto"/>
              <w:jc w:val="center"/>
              <w:rPr>
                <w:rFonts w:ascii="宋体" w:hAnsi="宋体" w:cs="宋体"/>
                <w:sz w:val="24"/>
              </w:rPr>
            </w:pPr>
            <w:r>
              <w:rPr>
                <w:rFonts w:hint="eastAsia" w:ascii="宋体" w:hAnsi="宋体" w:cs="宋体"/>
                <w:sz w:val="24"/>
              </w:rPr>
              <w:t>合计</w:t>
            </w:r>
          </w:p>
        </w:tc>
        <w:tc>
          <w:tcPr>
            <w:tcW w:w="1825" w:type="dxa"/>
            <w:vAlign w:val="center"/>
          </w:tcPr>
          <w:p w14:paraId="71A53F6D">
            <w:pPr>
              <w:spacing w:line="360" w:lineRule="auto"/>
              <w:jc w:val="center"/>
              <w:rPr>
                <w:rFonts w:ascii="宋体" w:hAnsi="宋体" w:cs="宋体"/>
                <w:sz w:val="24"/>
              </w:rPr>
            </w:pPr>
            <w:r>
              <w:rPr>
                <w:rFonts w:hint="eastAsia" w:ascii="宋体" w:hAnsi="宋体" w:cs="宋体"/>
                <w:sz w:val="24"/>
              </w:rPr>
              <w:t>21人</w:t>
            </w:r>
          </w:p>
        </w:tc>
        <w:tc>
          <w:tcPr>
            <w:tcW w:w="5767" w:type="dxa"/>
          </w:tcPr>
          <w:p w14:paraId="370EA95D">
            <w:pPr>
              <w:spacing w:line="360" w:lineRule="auto"/>
              <w:rPr>
                <w:rFonts w:ascii="宋体" w:hAnsi="宋体" w:cs="宋体"/>
                <w:sz w:val="24"/>
              </w:rPr>
            </w:pPr>
          </w:p>
        </w:tc>
      </w:tr>
      <w:tr w14:paraId="0B29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7" w:type="dxa"/>
            <w:gridSpan w:val="4"/>
          </w:tcPr>
          <w:p w14:paraId="12718265">
            <w:pPr>
              <w:spacing w:line="360" w:lineRule="auto"/>
              <w:rPr>
                <w:rFonts w:ascii="宋体" w:hAnsi="宋体" w:cs="宋体"/>
                <w:sz w:val="24"/>
              </w:rPr>
            </w:pPr>
            <w:r>
              <w:rPr>
                <w:rFonts w:hint="eastAsia" w:ascii="宋体" w:hAnsi="宋体" w:cs="宋体"/>
                <w:sz w:val="24"/>
              </w:rPr>
              <w:t>注：1、本次项目实行统一管理，综合服务，中标人不得将项目分包或整体转包给任何单位和个人，否则采购人有权即刻终止合同，并要求中标人按中标金额的10%赔偿损失。</w:t>
            </w:r>
          </w:p>
          <w:p w14:paraId="7E55980D">
            <w:pPr>
              <w:spacing w:line="360" w:lineRule="auto"/>
              <w:ind w:firstLine="480" w:firstLineChars="200"/>
              <w:rPr>
                <w:rFonts w:ascii="宋体" w:hAnsi="宋体" w:cs="宋体"/>
                <w:sz w:val="24"/>
              </w:rPr>
            </w:pPr>
            <w:r>
              <w:rPr>
                <w:rFonts w:hint="eastAsia" w:ascii="宋体" w:hAnsi="宋体" w:cs="宋体"/>
                <w:sz w:val="24"/>
              </w:rPr>
              <w:t>2、合同签订一周内，中标单位所配备全体人员必须到位，并完成岗前培训等工作。如招标人要求对项目人员进行增加或减少，实际发生数量按约定成本进行核算。</w:t>
            </w:r>
          </w:p>
          <w:p w14:paraId="5CF201C6">
            <w:pPr>
              <w:spacing w:line="360" w:lineRule="auto"/>
              <w:ind w:firstLine="403"/>
              <w:rPr>
                <w:rFonts w:ascii="宋体" w:hAnsi="宋体" w:cs="宋体"/>
                <w:sz w:val="24"/>
              </w:rPr>
            </w:pPr>
            <w:r>
              <w:rPr>
                <w:rFonts w:hint="eastAsia" w:ascii="宋体" w:hAnsi="宋体" w:cs="宋体"/>
                <w:sz w:val="24"/>
              </w:rPr>
              <w:t>3、以上表格所列服务人员职位（岗位）及数量为本项目所需最低人员要求，投标人可在此基础上合理增加职位（岗位）及人员数量，但项目运营服务人员不得少于以上职位（岗位）及对应所需人员数量，且上述人员均需身体健康，责任心强，符合相关岗位职责要求。且所有人员均需全职投入本项目工作活动，</w:t>
            </w:r>
            <w:r>
              <w:rPr>
                <w:rFonts w:hint="eastAsia" w:ascii="宋体" w:hAnsi="宋体"/>
                <w:sz w:val="24"/>
              </w:rPr>
              <w:t>工作期间不得从事其它活动。</w:t>
            </w:r>
          </w:p>
          <w:p w14:paraId="61C58C30">
            <w:pPr>
              <w:spacing w:line="360" w:lineRule="auto"/>
              <w:ind w:firstLine="403"/>
              <w:rPr>
                <w:rFonts w:ascii="宋体" w:hAnsi="宋体" w:cs="宋体"/>
                <w:sz w:val="24"/>
              </w:rPr>
            </w:pPr>
            <w:r>
              <w:rPr>
                <w:rFonts w:hint="eastAsia" w:ascii="宋体" w:hAnsi="宋体" w:cs="宋体"/>
                <w:sz w:val="24"/>
              </w:rPr>
              <w:t>4、在合同履行过程中，中标人所配备的相关人员无法胜任该项目或者采购人认为该人员的工作能力无法满足采购人要求的，采购人有权要求中标人无条件更换，若更换人员三次及以上仍然无法满足采购人要求的，采购人有权终止合同，中标人无权向采购人提出索赔，且采购人保留向中标人索赔相关损失的权利。</w:t>
            </w:r>
          </w:p>
          <w:p w14:paraId="64C9CC76">
            <w:pPr>
              <w:spacing w:line="360" w:lineRule="auto"/>
              <w:ind w:firstLine="403"/>
              <w:rPr>
                <w:rFonts w:ascii="宋体" w:hAnsi="宋体" w:cs="宋体"/>
                <w:sz w:val="24"/>
              </w:rPr>
            </w:pPr>
            <w:r>
              <w:rPr>
                <w:rFonts w:hint="eastAsia" w:ascii="宋体" w:hAnsi="宋体" w:cs="宋体"/>
                <w:sz w:val="24"/>
              </w:rPr>
              <w:t>5、在合同履行过程中，中标人在服务质量等各方面的履行情况被采购人提出书面整改意见三次及以上的，或对采购人提出的意见屡次不进行改正的，采购人有权终止合同，中标人无权向采购人提出索赔，且采购人保留向中标人索赔相关损失的权利。</w:t>
            </w:r>
          </w:p>
          <w:p w14:paraId="59A6DE19">
            <w:pPr>
              <w:spacing w:line="360" w:lineRule="auto"/>
              <w:ind w:firstLine="480" w:firstLineChars="200"/>
              <w:rPr>
                <w:rFonts w:ascii="宋体" w:hAnsi="宋体" w:cs="宋体"/>
                <w:sz w:val="24"/>
              </w:rPr>
            </w:pPr>
            <w:r>
              <w:rPr>
                <w:rFonts w:hint="eastAsia" w:ascii="宋体" w:hAnsi="宋体" w:cs="宋体"/>
                <w:sz w:val="24"/>
              </w:rPr>
              <w:t>6、招标人与派驻人员不发生任何劳动和雇佣关系，所有人员由中标人自行管理。中标人必须按照劳动法规定与员工签订劳动合同，为员工提供劳动、安全保障，依法办理各类社会保险，按时发放薪酬福利等。中标人的工作人员应做好自身防护工作，员工在工作期间发生的所有事故由投标人自行承担，投标人对其工作人员的安全等负全部责任，与招标人无关。</w:t>
            </w:r>
          </w:p>
          <w:p w14:paraId="2A076172">
            <w:pPr>
              <w:spacing w:line="360" w:lineRule="auto"/>
              <w:ind w:firstLine="480" w:firstLineChars="200"/>
              <w:rPr>
                <w:rFonts w:ascii="宋体" w:hAnsi="宋体" w:cs="宋体"/>
                <w:sz w:val="24"/>
              </w:rPr>
            </w:pPr>
            <w:r>
              <w:rPr>
                <w:rFonts w:hint="eastAsia" w:ascii="宋体" w:hAnsi="宋体" w:cs="宋体"/>
                <w:sz w:val="24"/>
              </w:rPr>
              <w:t>7、在处理特殊事件和紧急、突发事故，采购人对本项目所有人员有直接指挥权。</w:t>
            </w:r>
          </w:p>
          <w:p w14:paraId="58F81383">
            <w:pPr>
              <w:tabs>
                <w:tab w:val="left" w:pos="5040"/>
              </w:tabs>
              <w:spacing w:line="360" w:lineRule="auto"/>
              <w:ind w:firstLine="480" w:firstLineChars="200"/>
              <w:jc w:val="left"/>
              <w:rPr>
                <w:rFonts w:ascii="宋体" w:hAnsi="宋体"/>
                <w:sz w:val="24"/>
              </w:rPr>
            </w:pPr>
            <w:r>
              <w:rPr>
                <w:rFonts w:hint="eastAsia" w:ascii="宋体" w:hAnsi="宋体"/>
                <w:sz w:val="24"/>
              </w:rPr>
              <w:t>8、中标人</w:t>
            </w:r>
            <w:r>
              <w:rPr>
                <w:rFonts w:ascii="宋体" w:hAnsi="宋体"/>
                <w:sz w:val="24"/>
              </w:rPr>
              <w:t>在服务</w:t>
            </w:r>
            <w:bookmarkStart w:id="29" w:name="OLE_LINK4"/>
            <w:r>
              <w:rPr>
                <w:rFonts w:ascii="宋体" w:hAnsi="宋体"/>
                <w:sz w:val="24"/>
              </w:rPr>
              <w:t>期内</w:t>
            </w:r>
            <w:bookmarkStart w:id="30" w:name="OLE_LINK6"/>
            <w:bookmarkStart w:id="31" w:name="OLE_LINK5"/>
            <w:r>
              <w:rPr>
                <w:rFonts w:ascii="宋体" w:hAnsi="宋体"/>
                <w:sz w:val="24"/>
              </w:rPr>
              <w:t>应保证</w:t>
            </w:r>
            <w:r>
              <w:rPr>
                <w:rFonts w:hint="eastAsia" w:ascii="宋体" w:hAnsi="宋体"/>
                <w:sz w:val="24"/>
              </w:rPr>
              <w:t>工作人员</w:t>
            </w:r>
            <w:r>
              <w:rPr>
                <w:rFonts w:hAnsi="宋体"/>
                <w:sz w:val="24"/>
              </w:rPr>
              <w:t>基本工资不得低于宁波市劳动和社会保障局最新发布的宁波市</w:t>
            </w:r>
            <w:r>
              <w:rPr>
                <w:rFonts w:hint="eastAsia" w:hAnsi="宋体"/>
                <w:sz w:val="24"/>
              </w:rPr>
              <w:t>奉化区</w:t>
            </w:r>
            <w:r>
              <w:rPr>
                <w:rFonts w:hAnsi="宋体"/>
                <w:sz w:val="24"/>
              </w:rPr>
              <w:t>最低</w:t>
            </w:r>
            <w:bookmarkEnd w:id="29"/>
            <w:r>
              <w:rPr>
                <w:rFonts w:hint="eastAsia" w:hAnsi="宋体"/>
                <w:sz w:val="24"/>
              </w:rPr>
              <w:t>工</w:t>
            </w:r>
            <w:r>
              <w:rPr>
                <w:rFonts w:hAnsi="宋体"/>
                <w:sz w:val="24"/>
              </w:rPr>
              <w:t>资标准</w:t>
            </w:r>
            <w:bookmarkEnd w:id="30"/>
            <w:bookmarkEnd w:id="31"/>
            <w:r>
              <w:rPr>
                <w:rFonts w:hAnsi="宋体"/>
                <w:sz w:val="24"/>
              </w:rPr>
              <w:t>。</w:t>
            </w:r>
          </w:p>
          <w:p w14:paraId="66B1F0D9">
            <w:pPr>
              <w:spacing w:line="360" w:lineRule="auto"/>
              <w:ind w:firstLine="480" w:firstLineChars="200"/>
              <w:jc w:val="left"/>
              <w:rPr>
                <w:rFonts w:ascii="宋体" w:hAnsi="宋体" w:cs="宋体"/>
                <w:kern w:val="0"/>
                <w:sz w:val="24"/>
              </w:rPr>
            </w:pPr>
            <w:r>
              <w:rPr>
                <w:rFonts w:hint="eastAsia" w:ascii="宋体" w:hAnsi="宋体" w:cs="宋体"/>
                <w:sz w:val="24"/>
              </w:rPr>
              <w:t>9</w:t>
            </w:r>
            <w:r>
              <w:rPr>
                <w:rFonts w:hint="eastAsia" w:ascii="宋体" w:hAnsi="宋体"/>
                <w:sz w:val="24"/>
              </w:rPr>
              <w:t>、中标人须严格按照国家规定给工作人员缴纳各种社会保险、员工福利保障方案等，</w:t>
            </w:r>
            <w:r>
              <w:rPr>
                <w:rFonts w:ascii="宋体" w:hAnsi="宋体"/>
                <w:sz w:val="24"/>
              </w:rPr>
              <w:t>费用计入</w:t>
            </w:r>
            <w:r>
              <w:rPr>
                <w:rFonts w:hint="eastAsia" w:ascii="宋体" w:hAnsi="宋体"/>
                <w:sz w:val="24"/>
              </w:rPr>
              <w:t>投标报价。</w:t>
            </w:r>
            <w:r>
              <w:rPr>
                <w:rFonts w:hint="eastAsia" w:ascii="宋体" w:hAnsi="宋体" w:cs="宋体"/>
                <w:kern w:val="0"/>
                <w:sz w:val="24"/>
              </w:rPr>
              <w:t>如遇本地区政策性社保缴费调整，均由中标人自行承担。</w:t>
            </w:r>
          </w:p>
          <w:p w14:paraId="5C6D94EB">
            <w:pPr>
              <w:spacing w:line="360" w:lineRule="auto"/>
              <w:ind w:firstLine="480" w:firstLineChars="200"/>
              <w:jc w:val="left"/>
              <w:rPr>
                <w:rFonts w:ascii="宋体" w:hAnsi="宋体" w:cs="宋体"/>
                <w:kern w:val="0"/>
                <w:sz w:val="24"/>
              </w:rPr>
            </w:pPr>
            <w:r>
              <w:rPr>
                <w:rFonts w:hint="eastAsia" w:ascii="宋体" w:hAnsi="宋体" w:cs="宋体"/>
                <w:kern w:val="0"/>
                <w:sz w:val="24"/>
              </w:rPr>
              <w:t>11、物业办公室（办公地点）设置在</w:t>
            </w:r>
            <w:r>
              <w:rPr>
                <w:rFonts w:hint="eastAsia" w:ascii="宋体" w:hAnsi="宋体" w:cs="宋体"/>
                <w:sz w:val="24"/>
              </w:rPr>
              <w:t>水蜜桃展销中心一层。</w:t>
            </w:r>
          </w:p>
          <w:p w14:paraId="37A1D071">
            <w:pPr>
              <w:spacing w:line="360" w:lineRule="auto"/>
              <w:ind w:firstLine="480" w:firstLineChars="200"/>
              <w:jc w:val="left"/>
              <w:rPr>
                <w:rFonts w:ascii="宋体" w:hAnsi="宋体" w:cs="宋体"/>
                <w:sz w:val="24"/>
              </w:rPr>
            </w:pPr>
            <w:r>
              <w:rPr>
                <w:rFonts w:hint="eastAsia" w:ascii="宋体" w:hAnsi="宋体"/>
                <w:sz w:val="24"/>
              </w:rPr>
              <w:t>10、中标人的工作人</w:t>
            </w:r>
            <w:r>
              <w:rPr>
                <w:rFonts w:ascii="宋体" w:hAnsi="宋体"/>
                <w:sz w:val="24"/>
              </w:rPr>
              <w:t>员必须遵守</w:t>
            </w:r>
            <w:r>
              <w:rPr>
                <w:rFonts w:hint="eastAsia" w:ascii="宋体" w:hAnsi="宋体"/>
                <w:sz w:val="24"/>
              </w:rPr>
              <w:t>业主方</w:t>
            </w:r>
            <w:r>
              <w:rPr>
                <w:rFonts w:ascii="宋体" w:hAnsi="宋体"/>
                <w:sz w:val="24"/>
              </w:rPr>
              <w:t>的</w:t>
            </w:r>
            <w:r>
              <w:rPr>
                <w:rFonts w:hint="eastAsia" w:ascii="宋体" w:hAnsi="宋体"/>
                <w:sz w:val="24"/>
              </w:rPr>
              <w:t>工作</w:t>
            </w:r>
            <w:r>
              <w:rPr>
                <w:rFonts w:ascii="宋体" w:hAnsi="宋体"/>
                <w:sz w:val="24"/>
              </w:rPr>
              <w:t>制度</w:t>
            </w:r>
            <w:r>
              <w:rPr>
                <w:rFonts w:hint="eastAsia" w:ascii="宋体" w:hAnsi="宋体"/>
                <w:sz w:val="24"/>
              </w:rPr>
              <w:t>和相关法律法规</w:t>
            </w:r>
            <w:r>
              <w:rPr>
                <w:rFonts w:ascii="宋体" w:hAnsi="宋体"/>
                <w:sz w:val="24"/>
              </w:rPr>
              <w:t>规定。</w:t>
            </w:r>
          </w:p>
        </w:tc>
      </w:tr>
    </w:tbl>
    <w:p w14:paraId="0E17B5A6">
      <w:pPr>
        <w:pStyle w:val="17"/>
        <w:spacing w:before="0" w:after="0" w:line="360" w:lineRule="auto"/>
        <w:ind w:firstLine="562" w:firstLineChars="200"/>
        <w:jc w:val="left"/>
        <w:outlineLvl w:val="9"/>
        <w:rPr>
          <w:rFonts w:ascii="宋体" w:hAnsi="宋体" w:cs="宋体"/>
          <w:sz w:val="28"/>
          <w:szCs w:val="28"/>
        </w:rPr>
      </w:pPr>
      <w:r>
        <w:rPr>
          <w:rFonts w:hint="eastAsia" w:ascii="宋体" w:hAnsi="宋体" w:cs="宋体"/>
          <w:sz w:val="28"/>
          <w:szCs w:val="28"/>
        </w:rPr>
        <w:t>八、考核制度</w:t>
      </w:r>
    </w:p>
    <w:p w14:paraId="648E3D4F">
      <w:pPr>
        <w:spacing w:line="360" w:lineRule="auto"/>
        <w:ind w:firstLine="480" w:firstLineChars="200"/>
        <w:rPr>
          <w:rFonts w:ascii="宋体" w:hAnsi="宋体" w:cs="宋体"/>
          <w:sz w:val="24"/>
        </w:rPr>
      </w:pPr>
      <w:r>
        <w:rPr>
          <w:rFonts w:hint="eastAsia" w:ascii="宋体" w:hAnsi="宋体" w:cs="宋体"/>
          <w:sz w:val="24"/>
        </w:rPr>
        <w:t>本项目考核制度分招商运营考核和园区物业化管理考核，合同履行期间，采购人有权单方对考核标准进行调整，中标人必须按照新的考核标准执行，具体考核细则如下：</w:t>
      </w:r>
    </w:p>
    <w:p w14:paraId="0FE71885">
      <w:pPr>
        <w:spacing w:line="360" w:lineRule="auto"/>
        <w:ind w:firstLine="562" w:firstLineChars="200"/>
        <w:rPr>
          <w:rFonts w:ascii="宋体" w:hAnsi="宋体" w:cs="宋体"/>
          <w:b/>
          <w:bCs/>
          <w:sz w:val="28"/>
          <w:szCs w:val="28"/>
        </w:rPr>
      </w:pPr>
      <w:r>
        <w:rPr>
          <w:rFonts w:hint="eastAsia" w:ascii="宋体" w:hAnsi="宋体" w:cs="宋体"/>
          <w:b/>
          <w:bCs/>
          <w:sz w:val="28"/>
          <w:szCs w:val="28"/>
        </w:rPr>
        <w:t>1、</w:t>
      </w:r>
      <w:bookmarkStart w:id="32" w:name="OLE_LINK3"/>
      <w:r>
        <w:rPr>
          <w:rFonts w:hint="eastAsia" w:ascii="宋体" w:hAnsi="宋体" w:cs="宋体"/>
          <w:b/>
          <w:bCs/>
          <w:sz w:val="28"/>
          <w:szCs w:val="28"/>
        </w:rPr>
        <w:t>园区物业化管理月度考核要求</w:t>
      </w:r>
      <w:bookmarkEnd w:id="32"/>
    </w:p>
    <w:p w14:paraId="79CABA8C">
      <w:pPr>
        <w:spacing w:line="360" w:lineRule="auto"/>
        <w:ind w:firstLine="480" w:firstLineChars="200"/>
        <w:rPr>
          <w:rFonts w:ascii="宋体" w:hAnsi="宋体" w:cs="宋体"/>
          <w:sz w:val="24"/>
        </w:rPr>
      </w:pPr>
      <w:r>
        <w:rPr>
          <w:rFonts w:hint="eastAsia" w:ascii="宋体" w:hAnsi="宋体" w:cs="宋体"/>
          <w:sz w:val="24"/>
        </w:rPr>
        <w:t>月度考核在每个合同周期内按月度进行打分考核，以物业化管理合同金额作为月度考核经费，每月平均分配物业化管理合同金额考核经费，结合月度考核得分扣减对应金额后按实支付（月度考核费用=物业化管理合同金额/12-考核扣减金额），具体细则如下：</w:t>
      </w:r>
    </w:p>
    <w:p w14:paraId="6BD7E934">
      <w:pPr>
        <w:spacing w:line="360" w:lineRule="auto"/>
        <w:ind w:firstLine="480" w:firstLineChars="200"/>
        <w:rPr>
          <w:rFonts w:ascii="宋体" w:hAnsi="宋体" w:cs="宋体"/>
          <w:sz w:val="24"/>
        </w:rPr>
      </w:pPr>
      <w:r>
        <w:rPr>
          <w:rFonts w:hint="eastAsia" w:ascii="宋体" w:hAnsi="宋体" w:cs="宋体"/>
          <w:sz w:val="24"/>
        </w:rPr>
        <w:t>本考核细则按每月度进行打分考核，具体考核细则如下：</w:t>
      </w:r>
    </w:p>
    <w:p w14:paraId="2ECDAFFA">
      <w:pPr>
        <w:tabs>
          <w:tab w:val="left" w:pos="851"/>
        </w:tabs>
        <w:adjustRightInd w:val="0"/>
        <w:snapToGrid w:val="0"/>
        <w:spacing w:line="360" w:lineRule="auto"/>
        <w:ind w:firstLine="480" w:firstLineChars="200"/>
        <w:rPr>
          <w:rFonts w:ascii="宋体" w:hAnsi="宋体" w:cs="宋体"/>
          <w:sz w:val="24"/>
        </w:rPr>
      </w:pPr>
      <w:r>
        <w:rPr>
          <w:rFonts w:hint="eastAsia" w:ascii="宋体" w:hAnsi="宋体" w:cs="宋体"/>
          <w:sz w:val="24"/>
        </w:rPr>
        <w:t>考核总分在90分（含）以上，全额拨付服务费；</w:t>
      </w:r>
    </w:p>
    <w:p w14:paraId="7F0156E4">
      <w:pPr>
        <w:tabs>
          <w:tab w:val="left" w:pos="851"/>
        </w:tabs>
        <w:adjustRightInd w:val="0"/>
        <w:snapToGrid w:val="0"/>
        <w:spacing w:line="360" w:lineRule="auto"/>
        <w:ind w:firstLine="480" w:firstLineChars="200"/>
        <w:rPr>
          <w:rFonts w:ascii="宋体" w:hAnsi="宋体" w:cs="宋体"/>
          <w:sz w:val="24"/>
        </w:rPr>
      </w:pPr>
      <w:r>
        <w:rPr>
          <w:rFonts w:hint="eastAsia" w:ascii="宋体" w:hAnsi="宋体" w:cs="宋体"/>
          <w:sz w:val="24"/>
        </w:rPr>
        <w:t>考核总分在90分(不含)-80分（含）的，每下降1分，扣500元；</w:t>
      </w:r>
    </w:p>
    <w:p w14:paraId="4C989624">
      <w:pPr>
        <w:tabs>
          <w:tab w:val="left" w:pos="851"/>
        </w:tabs>
        <w:adjustRightInd w:val="0"/>
        <w:snapToGrid w:val="0"/>
        <w:spacing w:line="360" w:lineRule="auto"/>
        <w:ind w:firstLine="480" w:firstLineChars="200"/>
      </w:pPr>
      <w:r>
        <w:rPr>
          <w:rFonts w:hint="eastAsia" w:ascii="宋体" w:hAnsi="宋体" w:cs="宋体"/>
          <w:sz w:val="24"/>
        </w:rPr>
        <w:t>考核总分在80分(不含)-70分（含）的，每下降1分，扣1000元；</w:t>
      </w:r>
    </w:p>
    <w:p w14:paraId="6C1B7E88">
      <w:pPr>
        <w:tabs>
          <w:tab w:val="left" w:pos="851"/>
        </w:tabs>
        <w:adjustRightInd w:val="0"/>
        <w:snapToGrid w:val="0"/>
        <w:spacing w:line="360" w:lineRule="auto"/>
        <w:ind w:firstLine="480" w:firstLineChars="200"/>
        <w:rPr>
          <w:rFonts w:ascii="宋体" w:hAnsi="宋体" w:cs="宋体"/>
          <w:sz w:val="24"/>
        </w:rPr>
      </w:pPr>
      <w:r>
        <w:rPr>
          <w:rFonts w:hint="eastAsia" w:ascii="宋体" w:hAnsi="宋体" w:cs="宋体"/>
          <w:sz w:val="24"/>
        </w:rPr>
        <w:t>考核总分在70分(不含)以下的，每下降1分，扣2000元；</w:t>
      </w:r>
    </w:p>
    <w:p w14:paraId="5DAB7351">
      <w:pPr>
        <w:tabs>
          <w:tab w:val="left" w:pos="851"/>
        </w:tabs>
        <w:adjustRightInd w:val="0"/>
        <w:snapToGrid w:val="0"/>
        <w:spacing w:line="360" w:lineRule="auto"/>
        <w:ind w:firstLine="480" w:firstLineChars="200"/>
        <w:rPr>
          <w:rFonts w:ascii="宋体" w:hAnsi="宋体" w:cs="宋体"/>
          <w:sz w:val="24"/>
        </w:rPr>
      </w:pPr>
      <w:r>
        <w:rPr>
          <w:rFonts w:hint="eastAsia" w:ascii="宋体" w:hAnsi="宋体" w:cs="宋体"/>
          <w:sz w:val="24"/>
        </w:rPr>
        <w:t>连续两次考核总分在70(不含)以下的，采购人有权单方面解除合同，中标人承担由此产生的一切责任和后果。</w:t>
      </w:r>
    </w:p>
    <w:p w14:paraId="79A7FBC9">
      <w:pPr>
        <w:spacing w:line="360" w:lineRule="auto"/>
        <w:ind w:firstLine="480" w:firstLineChars="200"/>
        <w:rPr>
          <w:rFonts w:ascii="宋体" w:hAnsi="宋体" w:cs="宋体"/>
          <w:bCs/>
          <w:sz w:val="24"/>
        </w:rPr>
      </w:pPr>
      <w:r>
        <w:rPr>
          <w:rFonts w:hint="eastAsia" w:ascii="宋体" w:hAnsi="宋体" w:cs="宋体"/>
          <w:bCs/>
          <w:sz w:val="24"/>
        </w:rPr>
        <w:t>注：以上考核扣减金额累加计算。</w:t>
      </w:r>
    </w:p>
    <w:p w14:paraId="0A18639A">
      <w:pPr>
        <w:spacing w:line="360" w:lineRule="auto"/>
        <w:jc w:val="center"/>
        <w:rPr>
          <w:rFonts w:ascii="宋体" w:hAnsi="宋体" w:cs="宋体"/>
          <w:bCs/>
          <w:sz w:val="24"/>
        </w:rPr>
      </w:pPr>
      <w:r>
        <w:rPr>
          <w:rFonts w:hint="eastAsia" w:ascii="宋体" w:hAnsi="宋体" w:cs="宋体"/>
          <w:bCs/>
          <w:sz w:val="24"/>
        </w:rPr>
        <w:t>考核表</w:t>
      </w:r>
    </w:p>
    <w:tbl>
      <w:tblPr>
        <w:tblStyle w:val="2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122"/>
        <w:gridCol w:w="1469"/>
        <w:gridCol w:w="1469"/>
      </w:tblGrid>
      <w:tr w14:paraId="2D94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140C4D96">
            <w:pPr>
              <w:spacing w:line="360" w:lineRule="auto"/>
              <w:jc w:val="center"/>
              <w:rPr>
                <w:rFonts w:ascii="宋体" w:hAnsi="宋体" w:cs="宋体"/>
                <w:sz w:val="24"/>
                <w:lang w:eastAsia="en-US"/>
              </w:rPr>
            </w:pPr>
            <w:r>
              <w:rPr>
                <w:rFonts w:hint="eastAsia" w:ascii="宋体" w:hAnsi="宋体" w:cs="宋体"/>
                <w:sz w:val="24"/>
                <w:lang w:eastAsia="en-US"/>
              </w:rPr>
              <w:t>项 目</w:t>
            </w:r>
          </w:p>
        </w:tc>
        <w:tc>
          <w:tcPr>
            <w:tcW w:w="5122" w:type="dxa"/>
            <w:vAlign w:val="center"/>
          </w:tcPr>
          <w:p w14:paraId="7F2E5D2E">
            <w:pPr>
              <w:spacing w:line="360" w:lineRule="auto"/>
              <w:jc w:val="center"/>
              <w:rPr>
                <w:rFonts w:ascii="宋体" w:hAnsi="宋体" w:cs="宋体"/>
                <w:sz w:val="24"/>
                <w:lang w:eastAsia="en-US"/>
              </w:rPr>
            </w:pPr>
            <w:r>
              <w:rPr>
                <w:rFonts w:hint="eastAsia" w:ascii="宋体" w:hAnsi="宋体" w:cs="宋体"/>
                <w:sz w:val="24"/>
                <w:lang w:eastAsia="en-US"/>
              </w:rPr>
              <w:t>考核内容</w:t>
            </w:r>
          </w:p>
        </w:tc>
        <w:tc>
          <w:tcPr>
            <w:tcW w:w="1469" w:type="dxa"/>
            <w:vAlign w:val="center"/>
          </w:tcPr>
          <w:p w14:paraId="3BED0D52">
            <w:pPr>
              <w:spacing w:line="360" w:lineRule="auto"/>
              <w:jc w:val="center"/>
              <w:rPr>
                <w:rFonts w:ascii="宋体" w:hAnsi="宋体" w:cs="宋体"/>
                <w:sz w:val="24"/>
                <w:lang w:eastAsia="en-US"/>
              </w:rPr>
            </w:pPr>
            <w:r>
              <w:rPr>
                <w:rFonts w:hint="eastAsia" w:ascii="宋体" w:hAnsi="宋体" w:cs="宋体"/>
                <w:sz w:val="24"/>
                <w:lang w:eastAsia="en-US"/>
              </w:rPr>
              <w:t>评分细则</w:t>
            </w:r>
          </w:p>
        </w:tc>
        <w:tc>
          <w:tcPr>
            <w:tcW w:w="1469" w:type="dxa"/>
            <w:vAlign w:val="center"/>
          </w:tcPr>
          <w:p w14:paraId="196C6FA5">
            <w:pPr>
              <w:spacing w:line="360" w:lineRule="auto"/>
              <w:jc w:val="center"/>
              <w:rPr>
                <w:rFonts w:ascii="宋体" w:hAnsi="宋体" w:cs="宋体"/>
                <w:sz w:val="24"/>
              </w:rPr>
            </w:pPr>
            <w:r>
              <w:rPr>
                <w:rFonts w:hint="eastAsia" w:ascii="宋体" w:hAnsi="宋体" w:cs="宋体"/>
                <w:sz w:val="24"/>
              </w:rPr>
              <w:t>得分</w:t>
            </w:r>
          </w:p>
        </w:tc>
      </w:tr>
      <w:tr w14:paraId="1C24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4A1A3DBE">
            <w:pPr>
              <w:spacing w:line="360" w:lineRule="auto"/>
              <w:jc w:val="center"/>
              <w:rPr>
                <w:rFonts w:ascii="宋体" w:hAnsi="宋体" w:cs="宋体"/>
                <w:sz w:val="24"/>
              </w:rPr>
            </w:pPr>
            <w:r>
              <w:rPr>
                <w:rFonts w:hint="eastAsia" w:ascii="宋体" w:hAnsi="宋体" w:cs="宋体"/>
                <w:sz w:val="24"/>
              </w:rPr>
              <w:t>综合管理</w:t>
            </w:r>
          </w:p>
        </w:tc>
        <w:tc>
          <w:tcPr>
            <w:tcW w:w="5122" w:type="dxa"/>
          </w:tcPr>
          <w:p w14:paraId="015B94DA">
            <w:pPr>
              <w:rPr>
                <w:rFonts w:ascii="宋体" w:hAnsi="宋体" w:cs="宋体"/>
                <w:sz w:val="24"/>
              </w:rPr>
            </w:pPr>
            <w:r>
              <w:rPr>
                <w:rFonts w:hint="eastAsia" w:ascii="宋体" w:hAnsi="宋体" w:cs="宋体"/>
                <w:sz w:val="24"/>
              </w:rPr>
              <w:t>1、各岗位职责不明确，制度不上墙；没有定期检查记录；交接班、巡逻等记录不规范、齐全；</w:t>
            </w:r>
          </w:p>
          <w:p w14:paraId="202CC1A6">
            <w:pPr>
              <w:rPr>
                <w:rFonts w:ascii="宋体" w:hAnsi="宋体" w:cs="宋体"/>
                <w:sz w:val="24"/>
              </w:rPr>
            </w:pPr>
            <w:r>
              <w:rPr>
                <w:rFonts w:hint="eastAsia" w:ascii="宋体" w:hAnsi="宋体" w:cs="宋体"/>
                <w:sz w:val="24"/>
              </w:rPr>
              <w:t>迟到、早退、脱岗、睡岗、串岗，员工仪表不端正，上班时未按规定佩戴工号牌、穿工作服，衣着不整；</w:t>
            </w:r>
          </w:p>
          <w:p w14:paraId="693EE233">
            <w:pPr>
              <w:rPr>
                <w:rFonts w:ascii="宋体" w:hAnsi="宋体" w:cs="宋体"/>
                <w:sz w:val="24"/>
              </w:rPr>
            </w:pPr>
            <w:r>
              <w:rPr>
                <w:rFonts w:hint="eastAsia" w:ascii="宋体" w:hAnsi="宋体" w:cs="宋体"/>
                <w:sz w:val="24"/>
              </w:rPr>
              <w:t>2、在岗时吸烟、在禁止吸烟区域吸烟或使用明火；看报刊、杂志、戴耳机、玩手机、干私活、喝酒、打扑克、下棋、携带无关人员，及大声喧哗等影响日常办公的行为；</w:t>
            </w:r>
          </w:p>
          <w:p w14:paraId="51279AF5">
            <w:pPr>
              <w:rPr>
                <w:rFonts w:ascii="宋体" w:hAnsi="宋体" w:cs="宋体"/>
                <w:sz w:val="24"/>
              </w:rPr>
            </w:pPr>
            <w:r>
              <w:rPr>
                <w:rFonts w:hint="eastAsia" w:ascii="宋体" w:hAnsi="宋体" w:cs="宋体"/>
                <w:sz w:val="24"/>
              </w:rPr>
              <w:t>3、未定期对人员进行培训并形成相关记录；</w:t>
            </w:r>
          </w:p>
          <w:p w14:paraId="09F9A521">
            <w:pPr>
              <w:rPr>
                <w:rFonts w:ascii="宋体" w:hAnsi="宋体" w:cs="宋体"/>
                <w:sz w:val="24"/>
              </w:rPr>
            </w:pPr>
            <w:r>
              <w:rPr>
                <w:rFonts w:hint="eastAsia" w:ascii="宋体" w:hAnsi="宋体" w:cs="宋体"/>
                <w:sz w:val="24"/>
              </w:rPr>
              <w:t>4、服务态度差，员工语言不得体、举止态度不友善；故意消极怠工，屡教不改；造成游客或顾客投诉，经核实后，确为事实的；</w:t>
            </w:r>
          </w:p>
          <w:p w14:paraId="0A12DDC6">
            <w:pPr>
              <w:rPr>
                <w:rFonts w:ascii="宋体" w:hAnsi="宋体" w:cs="宋体"/>
                <w:sz w:val="24"/>
              </w:rPr>
            </w:pPr>
            <w:r>
              <w:rPr>
                <w:rFonts w:hint="eastAsia" w:ascii="宋体" w:hAnsi="宋体" w:cs="宋体"/>
                <w:sz w:val="24"/>
              </w:rPr>
              <w:t>5、对发现问题没有及时处理或没有及时上报情况；对交办的临时性任务，没及时完成；</w:t>
            </w:r>
          </w:p>
          <w:p w14:paraId="3DFD8175">
            <w:pPr>
              <w:rPr>
                <w:rFonts w:ascii="宋体" w:hAnsi="宋体" w:cs="宋体"/>
                <w:sz w:val="24"/>
              </w:rPr>
            </w:pPr>
            <w:r>
              <w:rPr>
                <w:rFonts w:hint="eastAsia" w:ascii="宋体" w:hAnsi="宋体" w:cs="宋体"/>
                <w:sz w:val="24"/>
              </w:rPr>
              <w:t>6、团队建设稳定性差，人员调动频繁，人员流动未向业主单位备案；</w:t>
            </w:r>
          </w:p>
        </w:tc>
        <w:tc>
          <w:tcPr>
            <w:tcW w:w="1469" w:type="dxa"/>
            <w:vAlign w:val="center"/>
          </w:tcPr>
          <w:p w14:paraId="35D438B4">
            <w:pPr>
              <w:spacing w:line="360" w:lineRule="auto"/>
              <w:jc w:val="center"/>
              <w:rPr>
                <w:rFonts w:ascii="宋体" w:hAnsi="宋体" w:cs="宋体"/>
                <w:sz w:val="24"/>
                <w:lang w:eastAsia="en-US"/>
              </w:rPr>
            </w:pPr>
            <w:r>
              <w:rPr>
                <w:rFonts w:hint="eastAsia" w:ascii="宋体" w:hAnsi="宋体" w:cs="宋体"/>
                <w:sz w:val="24"/>
              </w:rPr>
              <w:t>每发现一次扣0.5分</w:t>
            </w:r>
          </w:p>
        </w:tc>
        <w:tc>
          <w:tcPr>
            <w:tcW w:w="1469" w:type="dxa"/>
            <w:vAlign w:val="center"/>
          </w:tcPr>
          <w:p w14:paraId="57DF2B08">
            <w:pPr>
              <w:spacing w:line="360" w:lineRule="auto"/>
              <w:jc w:val="center"/>
              <w:rPr>
                <w:rFonts w:ascii="宋体" w:hAnsi="宋体" w:cs="宋体"/>
                <w:sz w:val="24"/>
              </w:rPr>
            </w:pPr>
          </w:p>
        </w:tc>
      </w:tr>
      <w:tr w14:paraId="3667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4509481E">
            <w:pPr>
              <w:spacing w:line="360" w:lineRule="auto"/>
              <w:jc w:val="center"/>
              <w:rPr>
                <w:rFonts w:ascii="宋体" w:hAnsi="宋体" w:cs="宋体"/>
                <w:sz w:val="24"/>
                <w:lang w:eastAsia="en-US"/>
              </w:rPr>
            </w:pPr>
            <w:r>
              <w:rPr>
                <w:rFonts w:hint="eastAsia" w:ascii="宋体" w:hAnsi="宋体" w:cs="宋体"/>
                <w:sz w:val="24"/>
              </w:rPr>
              <w:t>设备</w:t>
            </w:r>
            <w:r>
              <w:rPr>
                <w:rFonts w:hint="eastAsia" w:ascii="宋体" w:hAnsi="宋体" w:cs="宋体"/>
                <w:sz w:val="24"/>
                <w:lang w:eastAsia="en-US"/>
              </w:rPr>
              <w:t>设施管理</w:t>
            </w:r>
          </w:p>
        </w:tc>
        <w:tc>
          <w:tcPr>
            <w:tcW w:w="5122" w:type="dxa"/>
          </w:tcPr>
          <w:p w14:paraId="00EA0A5F">
            <w:pPr>
              <w:rPr>
                <w:rFonts w:ascii="宋体" w:hAnsi="宋体" w:cs="宋体"/>
                <w:sz w:val="24"/>
              </w:rPr>
            </w:pPr>
            <w:r>
              <w:rPr>
                <w:rFonts w:hint="eastAsia" w:ascii="宋体" w:hAnsi="宋体" w:cs="宋体"/>
                <w:sz w:val="24"/>
              </w:rPr>
              <w:t>1、未建立各种巡检、维修等工作记录台账，未详细记录设施设备现状、运行状态、维修情况；</w:t>
            </w:r>
          </w:p>
          <w:p w14:paraId="4CE2D174">
            <w:pPr>
              <w:rPr>
                <w:rFonts w:ascii="宋体" w:hAnsi="宋体" w:cs="宋体"/>
                <w:sz w:val="24"/>
              </w:rPr>
            </w:pPr>
            <w:r>
              <w:rPr>
                <w:rFonts w:hint="eastAsia" w:ascii="宋体" w:hAnsi="宋体" w:cs="宋体"/>
                <w:sz w:val="24"/>
              </w:rPr>
              <w:t>2、建筑物外观不整洁，停车场固定车位标志线不清晰；</w:t>
            </w:r>
          </w:p>
          <w:p w14:paraId="458B0A30">
            <w:pPr>
              <w:rPr>
                <w:rFonts w:ascii="宋体" w:hAnsi="宋体" w:cs="宋体"/>
                <w:sz w:val="24"/>
              </w:rPr>
            </w:pPr>
            <w:r>
              <w:rPr>
                <w:rFonts w:hint="eastAsia" w:ascii="宋体" w:hAnsi="宋体" w:cs="宋体"/>
                <w:sz w:val="24"/>
              </w:rPr>
              <w:t>3、供水系统未正常运行，供水管道存在安全、泄漏风险；配电箱等用电设备存在安全风险，接触不正常；</w:t>
            </w:r>
          </w:p>
          <w:p w14:paraId="4735244C">
            <w:pPr>
              <w:rPr>
                <w:rFonts w:ascii="宋体" w:hAnsi="宋体" w:cs="宋体"/>
                <w:sz w:val="24"/>
              </w:rPr>
            </w:pPr>
            <w:r>
              <w:rPr>
                <w:rFonts w:hint="eastAsia" w:ascii="宋体" w:hAnsi="宋体" w:cs="宋体"/>
                <w:sz w:val="24"/>
              </w:rPr>
              <w:t>4、空调系统未能正常使用，滤网未定期消毒清洗；照明不正常，灯泡不干净整洁，有松动；排水排污管道不畅通，存在泄漏；</w:t>
            </w:r>
          </w:p>
          <w:p w14:paraId="26F94FD7">
            <w:pPr>
              <w:rPr>
                <w:rFonts w:ascii="宋体" w:hAnsi="宋体" w:cs="宋体"/>
                <w:sz w:val="24"/>
              </w:rPr>
            </w:pPr>
            <w:r>
              <w:rPr>
                <w:rFonts w:hint="eastAsia" w:ascii="宋体" w:hAnsi="宋体" w:cs="宋体"/>
                <w:sz w:val="24"/>
              </w:rPr>
              <w:t>5、消防设备未定期检查，巡检记录缺失不完整；</w:t>
            </w:r>
          </w:p>
        </w:tc>
        <w:tc>
          <w:tcPr>
            <w:tcW w:w="1469" w:type="dxa"/>
            <w:vAlign w:val="center"/>
          </w:tcPr>
          <w:p w14:paraId="5E7C8C13">
            <w:pPr>
              <w:spacing w:line="360" w:lineRule="auto"/>
              <w:jc w:val="center"/>
              <w:rPr>
                <w:rFonts w:ascii="宋体" w:hAnsi="宋体" w:cs="宋体"/>
                <w:sz w:val="24"/>
                <w:lang w:eastAsia="en-US"/>
              </w:rPr>
            </w:pPr>
            <w:r>
              <w:rPr>
                <w:rFonts w:hint="eastAsia" w:ascii="宋体" w:hAnsi="宋体" w:cs="宋体"/>
                <w:sz w:val="24"/>
              </w:rPr>
              <w:t>每发现一次扣0.5分</w:t>
            </w:r>
          </w:p>
        </w:tc>
        <w:tc>
          <w:tcPr>
            <w:tcW w:w="1469" w:type="dxa"/>
            <w:vAlign w:val="center"/>
          </w:tcPr>
          <w:p w14:paraId="05A5BED3">
            <w:pPr>
              <w:spacing w:line="360" w:lineRule="auto"/>
              <w:jc w:val="center"/>
              <w:rPr>
                <w:rFonts w:ascii="宋体" w:hAnsi="宋体" w:cs="宋体"/>
                <w:sz w:val="24"/>
              </w:rPr>
            </w:pPr>
          </w:p>
        </w:tc>
      </w:tr>
      <w:tr w14:paraId="4699A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728" w:type="dxa"/>
            <w:vAlign w:val="center"/>
          </w:tcPr>
          <w:p w14:paraId="042176F1">
            <w:pPr>
              <w:spacing w:line="360" w:lineRule="auto"/>
              <w:jc w:val="center"/>
              <w:rPr>
                <w:rFonts w:ascii="宋体" w:hAnsi="宋体" w:cs="宋体"/>
                <w:sz w:val="24"/>
              </w:rPr>
            </w:pPr>
            <w:r>
              <w:rPr>
                <w:rFonts w:hint="eastAsia" w:ascii="宋体" w:hAnsi="宋体" w:cs="宋体"/>
                <w:sz w:val="24"/>
              </w:rPr>
              <w:t>环境卫生</w:t>
            </w:r>
          </w:p>
        </w:tc>
        <w:tc>
          <w:tcPr>
            <w:tcW w:w="5122" w:type="dxa"/>
          </w:tcPr>
          <w:p w14:paraId="6FAD552E">
            <w:pPr>
              <w:rPr>
                <w:rFonts w:ascii="宋体" w:hAnsi="宋体" w:cs="宋体"/>
                <w:sz w:val="24"/>
              </w:rPr>
            </w:pPr>
            <w:r>
              <w:rPr>
                <w:rFonts w:hint="eastAsia" w:ascii="宋体" w:hAnsi="宋体" w:cs="宋体"/>
                <w:sz w:val="24"/>
              </w:rPr>
              <w:t>1、地面/设备目视不干净，有烟蒂，纸屑、果皮等杂物；</w:t>
            </w:r>
          </w:p>
          <w:p w14:paraId="6854D316">
            <w:pPr>
              <w:rPr>
                <w:rFonts w:ascii="宋体" w:hAnsi="宋体" w:cs="宋体"/>
                <w:sz w:val="24"/>
              </w:rPr>
            </w:pPr>
            <w:r>
              <w:rPr>
                <w:rFonts w:hint="eastAsia" w:ascii="宋体" w:hAnsi="宋体" w:cs="宋体"/>
                <w:sz w:val="24"/>
              </w:rPr>
              <w:t>2、各类标识牌有灰尘，各类设施表面有明显灰尘；</w:t>
            </w:r>
          </w:p>
          <w:p w14:paraId="3F2B149D">
            <w:pPr>
              <w:rPr>
                <w:rFonts w:ascii="宋体" w:hAnsi="宋体" w:cs="宋体"/>
                <w:sz w:val="24"/>
              </w:rPr>
            </w:pPr>
            <w:r>
              <w:rPr>
                <w:rFonts w:hint="eastAsia" w:ascii="宋体" w:hAnsi="宋体" w:cs="宋体"/>
                <w:sz w:val="24"/>
              </w:rPr>
              <w:t>3、垃圾箱垃圾未及时清除、外表有污迹；</w:t>
            </w:r>
          </w:p>
          <w:p w14:paraId="32418CE2">
            <w:pPr>
              <w:rPr>
                <w:rFonts w:ascii="宋体" w:hAnsi="宋体" w:cs="宋体"/>
                <w:sz w:val="24"/>
              </w:rPr>
            </w:pPr>
            <w:r>
              <w:rPr>
                <w:rFonts w:hint="eastAsia" w:ascii="宋体" w:hAnsi="宋体" w:cs="宋体"/>
                <w:sz w:val="24"/>
              </w:rPr>
              <w:t>4、墙脚线、灯箱、灯具有灰尘、污迹的；</w:t>
            </w:r>
          </w:p>
          <w:p w14:paraId="07A47FB8">
            <w:pPr>
              <w:rPr>
                <w:rFonts w:ascii="宋体" w:hAnsi="宋体" w:cs="宋体"/>
                <w:sz w:val="24"/>
              </w:rPr>
            </w:pPr>
            <w:r>
              <w:rPr>
                <w:rFonts w:hint="eastAsia" w:ascii="宋体" w:hAnsi="宋体" w:cs="宋体"/>
                <w:sz w:val="24"/>
              </w:rPr>
              <w:t>5、天花、墙角、灯具目视有灰尘、蜘蛛网；</w:t>
            </w:r>
          </w:p>
          <w:p w14:paraId="3C944A1C">
            <w:pPr>
              <w:rPr>
                <w:rFonts w:ascii="宋体" w:hAnsi="宋体" w:cs="宋体"/>
                <w:sz w:val="24"/>
              </w:rPr>
            </w:pPr>
            <w:r>
              <w:rPr>
                <w:rFonts w:hint="eastAsia" w:ascii="宋体" w:hAnsi="宋体" w:cs="宋体"/>
                <w:sz w:val="24"/>
              </w:rPr>
              <w:t>6、水龙头、镜面、台面未抹净，有污迹；</w:t>
            </w:r>
          </w:p>
          <w:p w14:paraId="2208E3AF">
            <w:pPr>
              <w:rPr>
                <w:rFonts w:ascii="宋体" w:hAnsi="宋体" w:cs="宋体"/>
                <w:sz w:val="24"/>
              </w:rPr>
            </w:pPr>
            <w:r>
              <w:rPr>
                <w:rFonts w:hint="eastAsia" w:ascii="宋体" w:hAnsi="宋体" w:cs="宋体"/>
                <w:sz w:val="24"/>
              </w:rPr>
              <w:t>7、污水溢出地面；</w:t>
            </w:r>
          </w:p>
          <w:p w14:paraId="7688B26C">
            <w:pPr>
              <w:rPr>
                <w:rFonts w:ascii="宋体" w:hAnsi="宋体" w:cs="宋体"/>
                <w:sz w:val="24"/>
              </w:rPr>
            </w:pPr>
            <w:r>
              <w:rPr>
                <w:rFonts w:hint="eastAsia" w:ascii="宋体" w:hAnsi="宋体" w:cs="宋体"/>
                <w:sz w:val="24"/>
              </w:rPr>
              <w:t>8、地下雨、污水管井井底有沉淀物、水流不畅通；</w:t>
            </w:r>
          </w:p>
          <w:p w14:paraId="0334547E">
            <w:pPr>
              <w:rPr>
                <w:rFonts w:ascii="宋体" w:hAnsi="宋体" w:cs="宋体"/>
                <w:sz w:val="24"/>
              </w:rPr>
            </w:pPr>
            <w:r>
              <w:rPr>
                <w:rFonts w:hint="eastAsia" w:ascii="宋体" w:hAnsi="宋体" w:cs="宋体"/>
                <w:sz w:val="24"/>
              </w:rPr>
              <w:t>9、其他各项影响项目美观，未清洁到位的。</w:t>
            </w:r>
          </w:p>
        </w:tc>
        <w:tc>
          <w:tcPr>
            <w:tcW w:w="1469" w:type="dxa"/>
            <w:vAlign w:val="center"/>
          </w:tcPr>
          <w:p w14:paraId="0B2065CB">
            <w:pPr>
              <w:spacing w:line="360" w:lineRule="auto"/>
              <w:jc w:val="center"/>
              <w:rPr>
                <w:rFonts w:ascii="宋体" w:hAnsi="宋体" w:cs="宋体"/>
                <w:sz w:val="24"/>
                <w:lang w:eastAsia="en-US"/>
              </w:rPr>
            </w:pPr>
            <w:r>
              <w:rPr>
                <w:rFonts w:hint="eastAsia" w:ascii="宋体" w:hAnsi="宋体" w:cs="宋体"/>
                <w:sz w:val="24"/>
              </w:rPr>
              <w:t>每发现一次扣0.5分</w:t>
            </w:r>
          </w:p>
        </w:tc>
        <w:tc>
          <w:tcPr>
            <w:tcW w:w="1469" w:type="dxa"/>
            <w:vAlign w:val="center"/>
          </w:tcPr>
          <w:p w14:paraId="2B7E8E58">
            <w:pPr>
              <w:spacing w:line="360" w:lineRule="auto"/>
              <w:jc w:val="center"/>
              <w:rPr>
                <w:rFonts w:ascii="宋体" w:hAnsi="宋体" w:cs="宋体"/>
                <w:sz w:val="24"/>
              </w:rPr>
            </w:pPr>
          </w:p>
        </w:tc>
      </w:tr>
      <w:tr w14:paraId="4507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568E08D6">
            <w:pPr>
              <w:spacing w:line="360" w:lineRule="auto"/>
              <w:jc w:val="center"/>
              <w:rPr>
                <w:rFonts w:ascii="宋体" w:hAnsi="宋体" w:cs="宋体"/>
                <w:sz w:val="24"/>
              </w:rPr>
            </w:pPr>
            <w:r>
              <w:rPr>
                <w:rFonts w:hint="eastAsia" w:ascii="宋体" w:hAnsi="宋体" w:cs="宋体"/>
                <w:sz w:val="24"/>
              </w:rPr>
              <w:t>安保秩序</w:t>
            </w:r>
          </w:p>
        </w:tc>
        <w:tc>
          <w:tcPr>
            <w:tcW w:w="5122" w:type="dxa"/>
          </w:tcPr>
          <w:p w14:paraId="48AB0A5F">
            <w:pPr>
              <w:rPr>
                <w:rFonts w:ascii="宋体" w:hAnsi="宋体" w:cs="宋体"/>
                <w:sz w:val="24"/>
              </w:rPr>
            </w:pPr>
            <w:r>
              <w:rPr>
                <w:rFonts w:hint="eastAsia" w:ascii="宋体" w:hAnsi="宋体" w:cs="宋体"/>
                <w:sz w:val="24"/>
              </w:rPr>
              <w:t>1、大门进出口的交通秩序混乱，未能有效引导车辆行驶及行人过往，园区内车辆及行人安全保障不足；</w:t>
            </w:r>
          </w:p>
          <w:p w14:paraId="332F6FE9">
            <w:pPr>
              <w:rPr>
                <w:rFonts w:ascii="宋体" w:hAnsi="宋体" w:cs="宋体"/>
                <w:sz w:val="24"/>
              </w:rPr>
            </w:pPr>
            <w:r>
              <w:rPr>
                <w:rFonts w:hint="eastAsia" w:ascii="宋体" w:hAnsi="宋体" w:cs="宋体"/>
                <w:sz w:val="24"/>
              </w:rPr>
              <w:t>2、在所管辖范围内乱停车辆及堆放杂物；</w:t>
            </w:r>
          </w:p>
          <w:p w14:paraId="35209F26">
            <w:pPr>
              <w:rPr>
                <w:rFonts w:ascii="宋体" w:hAnsi="宋体" w:cs="宋体"/>
                <w:sz w:val="24"/>
              </w:rPr>
            </w:pPr>
            <w:r>
              <w:rPr>
                <w:rFonts w:hint="eastAsia" w:ascii="宋体" w:hAnsi="宋体" w:cs="宋体"/>
                <w:sz w:val="24"/>
              </w:rPr>
              <w:t>3、未及时注意所管辖范围内治安、消防情况，发现问题报告处理不及时；</w:t>
            </w:r>
          </w:p>
          <w:p w14:paraId="0D087121">
            <w:pPr>
              <w:rPr>
                <w:rFonts w:ascii="宋体" w:hAnsi="宋体" w:cs="宋体"/>
                <w:sz w:val="24"/>
              </w:rPr>
            </w:pPr>
            <w:r>
              <w:rPr>
                <w:rFonts w:hint="eastAsia" w:ascii="宋体" w:hAnsi="宋体" w:cs="宋体"/>
                <w:sz w:val="24"/>
              </w:rPr>
              <w:t>4、未定期开展安保人员培训；</w:t>
            </w:r>
          </w:p>
          <w:p w14:paraId="51BDF54B">
            <w:pPr>
              <w:rPr>
                <w:rFonts w:ascii="宋体" w:hAnsi="宋体" w:cs="宋体"/>
                <w:sz w:val="24"/>
              </w:rPr>
            </w:pPr>
            <w:r>
              <w:rPr>
                <w:rFonts w:hint="eastAsia" w:ascii="宋体" w:hAnsi="宋体" w:cs="宋体"/>
                <w:sz w:val="24"/>
              </w:rPr>
              <w:t>5、未对园区进行巡逻检查，发现可疑人员或问题未及时处理、报告；</w:t>
            </w:r>
          </w:p>
          <w:p w14:paraId="3610A463">
            <w:pPr>
              <w:rPr>
                <w:rFonts w:ascii="宋体" w:hAnsi="宋体" w:cs="宋体"/>
                <w:sz w:val="24"/>
              </w:rPr>
            </w:pPr>
            <w:r>
              <w:rPr>
                <w:rFonts w:hint="eastAsia" w:ascii="宋体" w:hAnsi="宋体" w:cs="宋体"/>
                <w:sz w:val="24"/>
              </w:rPr>
              <w:t>6、消控监控室24小时值守，人员岗脱岗；</w:t>
            </w:r>
          </w:p>
          <w:p w14:paraId="38F654C8">
            <w:pPr>
              <w:rPr>
                <w:rFonts w:ascii="宋体" w:hAnsi="宋体" w:cs="宋体"/>
                <w:sz w:val="24"/>
              </w:rPr>
            </w:pPr>
            <w:r>
              <w:rPr>
                <w:rFonts w:hint="eastAsia" w:ascii="宋体" w:hAnsi="宋体" w:cs="宋体"/>
                <w:sz w:val="24"/>
              </w:rPr>
              <w:t>7、服务态度不端，不文明执勤，不配合园区工作人员展开有关活动等；</w:t>
            </w:r>
          </w:p>
        </w:tc>
        <w:tc>
          <w:tcPr>
            <w:tcW w:w="1469" w:type="dxa"/>
            <w:vAlign w:val="center"/>
          </w:tcPr>
          <w:p w14:paraId="6AC42186">
            <w:pPr>
              <w:spacing w:line="360" w:lineRule="auto"/>
              <w:jc w:val="center"/>
              <w:rPr>
                <w:rFonts w:ascii="宋体" w:hAnsi="宋体" w:cs="宋体"/>
                <w:sz w:val="24"/>
                <w:lang w:eastAsia="en-US"/>
              </w:rPr>
            </w:pPr>
            <w:r>
              <w:rPr>
                <w:rFonts w:hint="eastAsia" w:ascii="宋体" w:hAnsi="宋体" w:cs="宋体"/>
                <w:sz w:val="24"/>
              </w:rPr>
              <w:t>每发现一次扣0.5分</w:t>
            </w:r>
          </w:p>
        </w:tc>
        <w:tc>
          <w:tcPr>
            <w:tcW w:w="1469" w:type="dxa"/>
            <w:vAlign w:val="center"/>
          </w:tcPr>
          <w:p w14:paraId="421599CA">
            <w:pPr>
              <w:spacing w:line="360" w:lineRule="auto"/>
              <w:jc w:val="center"/>
              <w:rPr>
                <w:rFonts w:ascii="宋体" w:hAnsi="宋体" w:cs="宋体"/>
                <w:sz w:val="24"/>
              </w:rPr>
            </w:pPr>
          </w:p>
        </w:tc>
      </w:tr>
      <w:tr w14:paraId="20F8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14:paraId="65DC82DA">
            <w:pPr>
              <w:spacing w:line="360" w:lineRule="auto"/>
              <w:jc w:val="center"/>
              <w:rPr>
                <w:rFonts w:ascii="宋体" w:hAnsi="宋体" w:cs="宋体"/>
                <w:sz w:val="24"/>
              </w:rPr>
            </w:pPr>
            <w:r>
              <w:rPr>
                <w:rFonts w:hint="eastAsia" w:ascii="宋体" w:hAnsi="宋体" w:cs="宋体"/>
                <w:sz w:val="24"/>
              </w:rPr>
              <w:t>客户满意度</w:t>
            </w:r>
          </w:p>
        </w:tc>
        <w:tc>
          <w:tcPr>
            <w:tcW w:w="5122" w:type="dxa"/>
            <w:vAlign w:val="center"/>
          </w:tcPr>
          <w:p w14:paraId="6D70CFC9">
            <w:pPr>
              <w:rPr>
                <w:rFonts w:ascii="宋体" w:hAnsi="宋体" w:cs="宋体"/>
                <w:sz w:val="24"/>
              </w:rPr>
            </w:pPr>
            <w:r>
              <w:rPr>
                <w:rFonts w:hint="eastAsia" w:ascii="宋体" w:hAnsi="宋体" w:cs="宋体"/>
                <w:sz w:val="24"/>
              </w:rPr>
              <w:t>商户满意度得分在80分以上的，每高一分，附加0.5分；最多附加10分。</w:t>
            </w:r>
          </w:p>
        </w:tc>
        <w:tc>
          <w:tcPr>
            <w:tcW w:w="1469" w:type="dxa"/>
          </w:tcPr>
          <w:p w14:paraId="1357AED8">
            <w:pPr>
              <w:spacing w:line="360" w:lineRule="auto"/>
              <w:rPr>
                <w:rFonts w:ascii="宋体" w:hAnsi="宋体" w:cs="宋体"/>
                <w:sz w:val="24"/>
              </w:rPr>
            </w:pPr>
            <w:r>
              <w:rPr>
                <w:rFonts w:hint="eastAsia" w:ascii="宋体" w:hAnsi="宋体" w:cs="宋体"/>
                <w:sz w:val="24"/>
              </w:rPr>
              <w:t>附加分0-10分</w:t>
            </w:r>
          </w:p>
        </w:tc>
        <w:tc>
          <w:tcPr>
            <w:tcW w:w="1469" w:type="dxa"/>
          </w:tcPr>
          <w:p w14:paraId="41610824">
            <w:pPr>
              <w:spacing w:line="360" w:lineRule="auto"/>
              <w:rPr>
                <w:rFonts w:ascii="宋体" w:hAnsi="宋体" w:cs="宋体"/>
                <w:sz w:val="24"/>
              </w:rPr>
            </w:pPr>
          </w:p>
        </w:tc>
      </w:tr>
      <w:tr w14:paraId="20F5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0" w:type="dxa"/>
            <w:gridSpan w:val="2"/>
            <w:vAlign w:val="center"/>
          </w:tcPr>
          <w:p w14:paraId="40A98EC4">
            <w:pPr>
              <w:spacing w:line="360" w:lineRule="auto"/>
              <w:jc w:val="center"/>
              <w:rPr>
                <w:rFonts w:ascii="宋体" w:hAnsi="宋体" w:cs="宋体"/>
                <w:sz w:val="24"/>
              </w:rPr>
            </w:pPr>
            <w:r>
              <w:rPr>
                <w:rFonts w:hint="eastAsia" w:ascii="宋体" w:hAnsi="宋体" w:cs="宋体"/>
                <w:sz w:val="24"/>
              </w:rPr>
              <w:t>总得分</w:t>
            </w:r>
          </w:p>
        </w:tc>
        <w:tc>
          <w:tcPr>
            <w:tcW w:w="1469" w:type="dxa"/>
          </w:tcPr>
          <w:p w14:paraId="0B821603">
            <w:pPr>
              <w:spacing w:line="360" w:lineRule="auto"/>
              <w:rPr>
                <w:rFonts w:ascii="宋体" w:hAnsi="宋体" w:cs="宋体"/>
                <w:sz w:val="24"/>
                <w:lang w:eastAsia="en-US"/>
              </w:rPr>
            </w:pPr>
          </w:p>
        </w:tc>
        <w:tc>
          <w:tcPr>
            <w:tcW w:w="1469" w:type="dxa"/>
          </w:tcPr>
          <w:p w14:paraId="4B8A329B">
            <w:pPr>
              <w:spacing w:line="360" w:lineRule="auto"/>
              <w:rPr>
                <w:rFonts w:ascii="宋体" w:hAnsi="宋体" w:cs="宋体"/>
                <w:sz w:val="24"/>
                <w:lang w:eastAsia="en-US"/>
              </w:rPr>
            </w:pPr>
          </w:p>
        </w:tc>
      </w:tr>
    </w:tbl>
    <w:p w14:paraId="70DB3D83">
      <w:pPr>
        <w:spacing w:line="360" w:lineRule="auto"/>
        <w:ind w:firstLine="420" w:firstLineChars="200"/>
        <w:rPr>
          <w:rFonts w:cs="宋体"/>
        </w:rPr>
      </w:pPr>
      <w:r>
        <w:rPr>
          <w:rFonts w:hint="eastAsia" w:cs="宋体"/>
        </w:rPr>
        <w:t>备注：①考核分数如有小数点的，四舍五入取整数作为考核拨款依据；</w:t>
      </w:r>
    </w:p>
    <w:p w14:paraId="57A82F1A">
      <w:pPr>
        <w:spacing w:line="360" w:lineRule="auto"/>
        <w:ind w:firstLine="420" w:firstLineChars="200"/>
        <w:rPr>
          <w:rFonts w:cs="宋体"/>
        </w:rPr>
      </w:pPr>
      <w:r>
        <w:rPr>
          <w:rFonts w:hint="eastAsia" w:cs="宋体"/>
        </w:rPr>
        <w:t>②合同履行期间，考核标准有新规定或更改的，中标人必须按照新的标准执行。</w:t>
      </w:r>
    </w:p>
    <w:p w14:paraId="6077DABA">
      <w:pPr>
        <w:spacing w:line="360" w:lineRule="auto"/>
        <w:ind w:firstLine="562" w:firstLineChars="200"/>
        <w:rPr>
          <w:rFonts w:ascii="宋体" w:hAnsi="宋体" w:cs="宋体"/>
          <w:b/>
          <w:bCs/>
          <w:sz w:val="28"/>
          <w:szCs w:val="28"/>
        </w:rPr>
      </w:pPr>
      <w:r>
        <w:rPr>
          <w:rFonts w:hint="eastAsia" w:ascii="宋体" w:hAnsi="宋体" w:cs="宋体"/>
          <w:b/>
          <w:bCs/>
          <w:sz w:val="28"/>
          <w:szCs w:val="28"/>
        </w:rPr>
        <w:t>2、招商运营管理年度考核要求</w:t>
      </w:r>
    </w:p>
    <w:p w14:paraId="5CCD46C4">
      <w:pPr>
        <w:spacing w:line="360" w:lineRule="auto"/>
        <w:ind w:firstLine="480" w:firstLineChars="200"/>
        <w:rPr>
          <w:rFonts w:ascii="宋体" w:hAnsi="宋体" w:cs="宋体"/>
          <w:sz w:val="24"/>
        </w:rPr>
      </w:pPr>
      <w:r>
        <w:rPr>
          <w:rFonts w:hint="eastAsia" w:ascii="宋体" w:hAnsi="宋体" w:cs="宋体"/>
          <w:sz w:val="24"/>
        </w:rPr>
        <w:t>招商运营管理考核每年度末考核一次，根据考核结果按实支付；具体细则如下：</w:t>
      </w:r>
    </w:p>
    <w:p w14:paraId="27290223">
      <w:pPr>
        <w:spacing w:line="360" w:lineRule="auto"/>
        <w:ind w:firstLine="480" w:firstLineChars="200"/>
        <w:rPr>
          <w:rFonts w:ascii="宋体" w:hAnsi="宋体" w:cs="宋体"/>
          <w:sz w:val="24"/>
        </w:rPr>
      </w:pPr>
      <w:r>
        <w:rPr>
          <w:rFonts w:hint="eastAsia" w:ascii="宋体" w:hAnsi="宋体" w:cs="宋体"/>
          <w:sz w:val="24"/>
        </w:rPr>
        <w:t>本考核细则按每年度进行打分考核，具体考核细则如下：</w:t>
      </w:r>
    </w:p>
    <w:p w14:paraId="656D3C3C">
      <w:pPr>
        <w:tabs>
          <w:tab w:val="left" w:pos="851"/>
        </w:tabs>
        <w:adjustRightInd w:val="0"/>
        <w:snapToGrid w:val="0"/>
        <w:spacing w:line="360" w:lineRule="auto"/>
        <w:ind w:firstLine="480" w:firstLineChars="200"/>
        <w:rPr>
          <w:rFonts w:ascii="宋体" w:hAnsi="宋体" w:cs="宋体"/>
          <w:sz w:val="24"/>
        </w:rPr>
      </w:pPr>
      <w:r>
        <w:rPr>
          <w:rFonts w:hint="eastAsia" w:ascii="宋体" w:hAnsi="宋体" w:cs="宋体"/>
          <w:sz w:val="24"/>
        </w:rPr>
        <w:t>考核总分在90分（含）以上，全额拨付服务费；</w:t>
      </w:r>
    </w:p>
    <w:p w14:paraId="5371C1C0">
      <w:pPr>
        <w:tabs>
          <w:tab w:val="left" w:pos="851"/>
        </w:tabs>
        <w:adjustRightInd w:val="0"/>
        <w:snapToGrid w:val="0"/>
        <w:spacing w:line="360" w:lineRule="auto"/>
        <w:ind w:firstLine="480" w:firstLineChars="200"/>
        <w:rPr>
          <w:rFonts w:ascii="宋体" w:hAnsi="宋体" w:cs="宋体"/>
          <w:sz w:val="24"/>
        </w:rPr>
      </w:pPr>
      <w:r>
        <w:rPr>
          <w:rFonts w:hint="eastAsia" w:ascii="宋体" w:hAnsi="宋体" w:cs="宋体"/>
          <w:sz w:val="24"/>
        </w:rPr>
        <w:t>考核总分在90分(不含)以下的，每下降1分，扣5000元；</w:t>
      </w:r>
    </w:p>
    <w:p w14:paraId="2D325B54">
      <w:pPr>
        <w:tabs>
          <w:tab w:val="left" w:pos="851"/>
        </w:tabs>
        <w:adjustRightInd w:val="0"/>
        <w:snapToGrid w:val="0"/>
        <w:spacing w:line="360" w:lineRule="auto"/>
        <w:ind w:firstLine="480" w:firstLineChars="200"/>
        <w:rPr>
          <w:rFonts w:ascii="宋体" w:hAnsi="宋体" w:cs="宋体"/>
          <w:sz w:val="24"/>
        </w:rPr>
      </w:pPr>
      <w:r>
        <w:rPr>
          <w:rFonts w:hint="eastAsia" w:ascii="宋体" w:hAnsi="宋体" w:cs="宋体"/>
          <w:sz w:val="24"/>
        </w:rPr>
        <w:t>考核总分在60分(不含)以下的，采购人有权单方面解除合同，中标人承担由此产生的一切责任和后果。</w:t>
      </w:r>
    </w:p>
    <w:p w14:paraId="52DEF8E3">
      <w:pPr>
        <w:spacing w:line="360" w:lineRule="auto"/>
        <w:jc w:val="center"/>
        <w:rPr>
          <w:rFonts w:ascii="宋体" w:hAnsi="宋体" w:cs="宋体"/>
          <w:bCs/>
          <w:sz w:val="24"/>
        </w:rPr>
      </w:pPr>
      <w:r>
        <w:rPr>
          <w:rFonts w:hint="eastAsia" w:ascii="宋体" w:hAnsi="宋体" w:cs="宋体"/>
          <w:bCs/>
          <w:sz w:val="24"/>
        </w:rPr>
        <w:t>考核表</w:t>
      </w:r>
    </w:p>
    <w:tbl>
      <w:tblPr>
        <w:tblStyle w:val="23"/>
        <w:tblW w:w="9584" w:type="dxa"/>
        <w:jc w:val="center"/>
        <w:tblLayout w:type="fixed"/>
        <w:tblCellMar>
          <w:top w:w="0" w:type="dxa"/>
          <w:left w:w="10" w:type="dxa"/>
          <w:bottom w:w="0" w:type="dxa"/>
          <w:right w:w="10" w:type="dxa"/>
        </w:tblCellMar>
      </w:tblPr>
      <w:tblGrid>
        <w:gridCol w:w="2005"/>
        <w:gridCol w:w="930"/>
        <w:gridCol w:w="5600"/>
        <w:gridCol w:w="1049"/>
      </w:tblGrid>
      <w:tr w14:paraId="26E46BFE">
        <w:tblPrEx>
          <w:tblCellMar>
            <w:top w:w="0" w:type="dxa"/>
            <w:left w:w="10" w:type="dxa"/>
            <w:bottom w:w="0" w:type="dxa"/>
            <w:right w:w="10" w:type="dxa"/>
          </w:tblCellMar>
        </w:tblPrEx>
        <w:trPr>
          <w:trHeight w:val="914"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FFFFFF"/>
            <w:vAlign w:val="center"/>
          </w:tcPr>
          <w:p w14:paraId="0B57607B">
            <w:pPr>
              <w:spacing w:line="360" w:lineRule="auto"/>
              <w:jc w:val="center"/>
              <w:rPr>
                <w:rFonts w:ascii="宋体" w:hAnsi="宋体" w:cs="宋体"/>
                <w:sz w:val="24"/>
              </w:rPr>
            </w:pPr>
            <w:r>
              <w:rPr>
                <w:rFonts w:hint="eastAsia" w:ascii="宋体" w:hAnsi="宋体" w:cs="宋体"/>
                <w:sz w:val="24"/>
              </w:rPr>
              <w:t>考核指标</w:t>
            </w:r>
          </w:p>
        </w:tc>
        <w:tc>
          <w:tcPr>
            <w:tcW w:w="930" w:type="dxa"/>
            <w:tcBorders>
              <w:top w:val="single" w:color="auto" w:sz="4" w:space="0"/>
              <w:left w:val="single" w:color="auto" w:sz="4" w:space="0"/>
              <w:bottom w:val="single" w:color="auto" w:sz="4" w:space="0"/>
              <w:right w:val="single" w:color="auto" w:sz="4" w:space="0"/>
            </w:tcBorders>
            <w:shd w:val="clear" w:color="auto" w:fill="FFFFFF"/>
            <w:vAlign w:val="center"/>
          </w:tcPr>
          <w:p w14:paraId="20AAE85A">
            <w:pPr>
              <w:spacing w:line="360" w:lineRule="auto"/>
              <w:jc w:val="center"/>
              <w:rPr>
                <w:rFonts w:ascii="宋体" w:hAnsi="宋体" w:cs="宋体"/>
                <w:sz w:val="24"/>
              </w:rPr>
            </w:pPr>
            <w:r>
              <w:rPr>
                <w:rFonts w:hint="eastAsia" w:ascii="宋体" w:hAnsi="宋体" w:cs="宋体"/>
                <w:sz w:val="24"/>
              </w:rPr>
              <w:t>权重</w:t>
            </w:r>
          </w:p>
        </w:tc>
        <w:tc>
          <w:tcPr>
            <w:tcW w:w="5600" w:type="dxa"/>
            <w:tcBorders>
              <w:top w:val="single" w:color="auto" w:sz="4" w:space="0"/>
              <w:left w:val="single" w:color="auto" w:sz="4" w:space="0"/>
              <w:bottom w:val="single" w:color="auto" w:sz="4" w:space="0"/>
              <w:right w:val="single" w:color="auto" w:sz="4" w:space="0"/>
            </w:tcBorders>
            <w:shd w:val="clear" w:color="auto" w:fill="FFFFFF"/>
            <w:vAlign w:val="center"/>
          </w:tcPr>
          <w:p w14:paraId="1F6A38D4">
            <w:pPr>
              <w:spacing w:line="360" w:lineRule="auto"/>
              <w:jc w:val="center"/>
              <w:rPr>
                <w:rFonts w:ascii="宋体" w:hAnsi="宋体" w:cs="宋体"/>
                <w:sz w:val="24"/>
              </w:rPr>
            </w:pPr>
            <w:r>
              <w:rPr>
                <w:rFonts w:hint="eastAsia" w:ascii="宋体" w:hAnsi="宋体" w:cs="宋体"/>
                <w:sz w:val="24"/>
              </w:rPr>
              <w:t>指标定义与考核标准</w:t>
            </w: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41060CAD">
            <w:pPr>
              <w:spacing w:line="360" w:lineRule="auto"/>
              <w:jc w:val="center"/>
              <w:rPr>
                <w:rFonts w:ascii="宋体" w:hAnsi="宋体" w:cs="宋体"/>
                <w:sz w:val="24"/>
              </w:rPr>
            </w:pPr>
            <w:r>
              <w:rPr>
                <w:rFonts w:hint="eastAsia" w:ascii="宋体" w:hAnsi="宋体" w:cs="宋体"/>
                <w:sz w:val="24"/>
              </w:rPr>
              <w:t>得分</w:t>
            </w:r>
          </w:p>
        </w:tc>
      </w:tr>
      <w:tr w14:paraId="142279DC">
        <w:tblPrEx>
          <w:tblCellMar>
            <w:top w:w="0" w:type="dxa"/>
            <w:left w:w="10" w:type="dxa"/>
            <w:bottom w:w="0" w:type="dxa"/>
            <w:right w:w="10" w:type="dxa"/>
          </w:tblCellMar>
        </w:tblPrEx>
        <w:trPr>
          <w:trHeight w:val="23"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FFFFFF"/>
            <w:vAlign w:val="center"/>
          </w:tcPr>
          <w:p w14:paraId="739D2140">
            <w:pPr>
              <w:spacing w:line="360" w:lineRule="auto"/>
              <w:jc w:val="center"/>
              <w:rPr>
                <w:rFonts w:ascii="宋体" w:hAnsi="宋体" w:cs="宋体"/>
                <w:sz w:val="24"/>
              </w:rPr>
            </w:pPr>
            <w:r>
              <w:rPr>
                <w:rFonts w:hint="eastAsia" w:ascii="宋体" w:hAnsi="宋体" w:cs="宋体"/>
                <w:sz w:val="24"/>
              </w:rPr>
              <w:t>商户入驻率</w:t>
            </w:r>
          </w:p>
        </w:tc>
        <w:tc>
          <w:tcPr>
            <w:tcW w:w="930" w:type="dxa"/>
            <w:tcBorders>
              <w:top w:val="single" w:color="auto" w:sz="4" w:space="0"/>
              <w:left w:val="single" w:color="auto" w:sz="4" w:space="0"/>
              <w:bottom w:val="single" w:color="auto" w:sz="4" w:space="0"/>
              <w:right w:val="single" w:color="auto" w:sz="4" w:space="0"/>
            </w:tcBorders>
            <w:shd w:val="clear" w:color="auto" w:fill="FFFFFF"/>
            <w:vAlign w:val="center"/>
          </w:tcPr>
          <w:p w14:paraId="4A44D092">
            <w:pPr>
              <w:spacing w:line="360" w:lineRule="auto"/>
              <w:jc w:val="center"/>
              <w:rPr>
                <w:rFonts w:ascii="宋体" w:hAnsi="宋体" w:cs="宋体"/>
                <w:sz w:val="24"/>
              </w:rPr>
            </w:pPr>
            <w:r>
              <w:rPr>
                <w:rFonts w:hint="eastAsia" w:ascii="宋体" w:hAnsi="宋体" w:cs="宋体"/>
                <w:sz w:val="24"/>
              </w:rPr>
              <w:t>15分</w:t>
            </w:r>
          </w:p>
        </w:tc>
        <w:tc>
          <w:tcPr>
            <w:tcW w:w="5600" w:type="dxa"/>
            <w:tcBorders>
              <w:top w:val="single" w:color="auto" w:sz="4" w:space="0"/>
              <w:left w:val="single" w:color="auto" w:sz="4" w:space="0"/>
              <w:bottom w:val="single" w:color="auto" w:sz="4" w:space="0"/>
              <w:right w:val="single" w:color="auto" w:sz="4" w:space="0"/>
            </w:tcBorders>
            <w:shd w:val="clear" w:color="auto" w:fill="FFFFFF"/>
            <w:vAlign w:val="center"/>
          </w:tcPr>
          <w:p w14:paraId="39A897DC">
            <w:pPr>
              <w:pStyle w:val="77"/>
              <w:jc w:val="left"/>
              <w:rPr>
                <w:color w:val="auto"/>
                <w:sz w:val="24"/>
                <w:szCs w:val="24"/>
                <w:lang w:val="en-US" w:eastAsia="zh-CN"/>
              </w:rPr>
            </w:pPr>
            <w:r>
              <w:rPr>
                <w:rFonts w:hint="eastAsia"/>
                <w:color w:val="auto"/>
                <w:sz w:val="24"/>
                <w:szCs w:val="24"/>
                <w:lang w:val="en-US" w:eastAsia="zh-CN"/>
              </w:rPr>
              <w:t>商户入驻率达90%及以上的得15分；商户入驻率每下降10%（含）扣3分，扣完为止。（入驻率取10%的整数倍）</w:t>
            </w: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2D35CCEE">
            <w:pPr>
              <w:pStyle w:val="77"/>
              <w:jc w:val="left"/>
              <w:rPr>
                <w:color w:val="auto"/>
                <w:sz w:val="24"/>
                <w:szCs w:val="24"/>
                <w:lang w:val="en-US" w:eastAsia="zh-CN"/>
              </w:rPr>
            </w:pPr>
          </w:p>
        </w:tc>
      </w:tr>
      <w:tr w14:paraId="3A61F255">
        <w:tblPrEx>
          <w:tblCellMar>
            <w:top w:w="0" w:type="dxa"/>
            <w:left w:w="10" w:type="dxa"/>
            <w:bottom w:w="0" w:type="dxa"/>
            <w:right w:w="10" w:type="dxa"/>
          </w:tblCellMar>
        </w:tblPrEx>
        <w:trPr>
          <w:trHeight w:val="23"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FFFFFF"/>
            <w:vAlign w:val="center"/>
          </w:tcPr>
          <w:p w14:paraId="67E52D1A">
            <w:pPr>
              <w:pStyle w:val="77"/>
              <w:jc w:val="center"/>
              <w:rPr>
                <w:color w:val="auto"/>
                <w:sz w:val="24"/>
                <w:szCs w:val="24"/>
                <w:lang w:val="zh-CN" w:eastAsia="zh-CN"/>
              </w:rPr>
            </w:pPr>
            <w:r>
              <w:rPr>
                <w:rFonts w:hint="eastAsia"/>
                <w:color w:val="auto"/>
                <w:sz w:val="24"/>
                <w:szCs w:val="24"/>
                <w:lang w:val="en-US" w:eastAsia="zh-CN"/>
              </w:rPr>
              <w:t>园区年度销售额</w:t>
            </w:r>
          </w:p>
        </w:tc>
        <w:tc>
          <w:tcPr>
            <w:tcW w:w="930" w:type="dxa"/>
            <w:tcBorders>
              <w:top w:val="single" w:color="auto" w:sz="4" w:space="0"/>
              <w:left w:val="single" w:color="auto" w:sz="4" w:space="0"/>
              <w:bottom w:val="single" w:color="auto" w:sz="4" w:space="0"/>
              <w:right w:val="single" w:color="auto" w:sz="4" w:space="0"/>
            </w:tcBorders>
            <w:shd w:val="clear" w:color="auto" w:fill="FFFFFF"/>
            <w:vAlign w:val="center"/>
          </w:tcPr>
          <w:p w14:paraId="4A97B32B">
            <w:pPr>
              <w:pStyle w:val="77"/>
              <w:ind w:firstLine="200"/>
              <w:rPr>
                <w:color w:val="auto"/>
                <w:sz w:val="24"/>
                <w:szCs w:val="24"/>
                <w:lang w:eastAsia="zh-CN"/>
              </w:rPr>
            </w:pPr>
            <w:r>
              <w:rPr>
                <w:rFonts w:hint="eastAsia"/>
                <w:color w:val="auto"/>
                <w:sz w:val="24"/>
                <w:szCs w:val="24"/>
                <w:lang w:val="en-US" w:eastAsia="zh-CN"/>
              </w:rPr>
              <w:t>60分</w:t>
            </w:r>
          </w:p>
        </w:tc>
        <w:tc>
          <w:tcPr>
            <w:tcW w:w="5600" w:type="dxa"/>
            <w:tcBorders>
              <w:top w:val="single" w:color="auto" w:sz="4" w:space="0"/>
              <w:left w:val="single" w:color="auto" w:sz="4" w:space="0"/>
              <w:bottom w:val="single" w:color="auto" w:sz="4" w:space="0"/>
              <w:right w:val="single" w:color="auto" w:sz="4" w:space="0"/>
            </w:tcBorders>
            <w:shd w:val="clear" w:color="auto" w:fill="FFFFFF"/>
          </w:tcPr>
          <w:p w14:paraId="65F0752F">
            <w:pPr>
              <w:pStyle w:val="77"/>
              <w:jc w:val="left"/>
              <w:rPr>
                <w:color w:val="auto"/>
                <w:sz w:val="24"/>
                <w:szCs w:val="24"/>
                <w:lang w:val="en-US" w:eastAsia="zh-CN"/>
              </w:rPr>
            </w:pPr>
            <w:r>
              <w:rPr>
                <w:rFonts w:hint="eastAsia"/>
                <w:color w:val="auto"/>
                <w:sz w:val="24"/>
                <w:szCs w:val="24"/>
              </w:rPr>
              <w:t>【主要</w:t>
            </w:r>
            <w:r>
              <w:rPr>
                <w:rFonts w:hint="eastAsia"/>
                <w:color w:val="auto"/>
                <w:sz w:val="24"/>
                <w:szCs w:val="24"/>
                <w:lang w:val="en-US" w:eastAsia="zh-CN"/>
              </w:rPr>
              <w:t>考核</w:t>
            </w:r>
            <w:r>
              <w:rPr>
                <w:rFonts w:hint="eastAsia"/>
                <w:color w:val="auto"/>
                <w:sz w:val="24"/>
                <w:szCs w:val="24"/>
              </w:rPr>
              <w:t>】</w:t>
            </w:r>
            <w:r>
              <w:rPr>
                <w:rFonts w:hint="eastAsia"/>
                <w:color w:val="auto"/>
                <w:sz w:val="24"/>
                <w:szCs w:val="24"/>
                <w:lang w:val="en-US" w:eastAsia="zh-CN"/>
              </w:rPr>
              <w:t>园区一楼入驻企业首年营收总额不低于265万；第二年营收不低于292万；第三年营收不低于320万；具体以甲方实际过账流水为准；</w:t>
            </w:r>
          </w:p>
          <w:p w14:paraId="3FBE8323">
            <w:pPr>
              <w:pStyle w:val="77"/>
              <w:jc w:val="left"/>
              <w:rPr>
                <w:color w:val="auto"/>
                <w:kern w:val="0"/>
                <w:sz w:val="24"/>
                <w:szCs w:val="24"/>
                <w:lang w:eastAsia="zh-CN"/>
              </w:rPr>
            </w:pPr>
            <w:r>
              <w:rPr>
                <w:rFonts w:hint="eastAsia"/>
                <w:color w:val="auto"/>
                <w:sz w:val="24"/>
                <w:szCs w:val="24"/>
              </w:rPr>
              <w:t>【统计口径】</w:t>
            </w:r>
            <w:r>
              <w:rPr>
                <w:rFonts w:hint="eastAsia"/>
                <w:color w:val="auto"/>
                <w:sz w:val="24"/>
                <w:szCs w:val="24"/>
                <w:lang w:val="en-US" w:eastAsia="zh-CN"/>
              </w:rPr>
              <w:t>年度销售额达成指标为满分；未达成</w:t>
            </w:r>
            <w:r>
              <w:rPr>
                <w:rFonts w:hint="eastAsia"/>
                <w:color w:val="auto"/>
                <w:kern w:val="0"/>
                <w:sz w:val="24"/>
                <w:szCs w:val="24"/>
              </w:rPr>
              <w:t>预期目标的，按照未完成的比例同等数额扣分</w:t>
            </w:r>
            <w:r>
              <w:rPr>
                <w:rFonts w:hint="eastAsia"/>
                <w:color w:val="auto"/>
                <w:kern w:val="0"/>
                <w:sz w:val="24"/>
                <w:szCs w:val="24"/>
                <w:lang w:eastAsia="zh-CN"/>
              </w:rPr>
              <w:t>；</w:t>
            </w:r>
          </w:p>
          <w:p w14:paraId="7675D56A">
            <w:pPr>
              <w:pStyle w:val="77"/>
              <w:jc w:val="left"/>
              <w:rPr>
                <w:color w:val="auto"/>
                <w:kern w:val="0"/>
                <w:sz w:val="24"/>
                <w:szCs w:val="24"/>
                <w:lang w:eastAsia="zh-CN"/>
              </w:rPr>
            </w:pPr>
            <w:r>
              <w:rPr>
                <w:rFonts w:hint="eastAsia"/>
                <w:color w:val="auto"/>
                <w:kern w:val="0"/>
                <w:sz w:val="24"/>
                <w:szCs w:val="24"/>
                <w:lang w:eastAsia="zh-CN"/>
              </w:rPr>
              <w:t>（</w:t>
            </w:r>
            <w:r>
              <w:rPr>
                <w:rFonts w:hint="eastAsia"/>
                <w:color w:val="auto"/>
                <w:sz w:val="24"/>
                <w:szCs w:val="24"/>
                <w:lang w:val="en-US" w:eastAsia="zh-CN"/>
              </w:rPr>
              <w:t>园区年度销售额考核得分=</w:t>
            </w:r>
            <w:r>
              <w:rPr>
                <w:rFonts w:hint="eastAsia"/>
                <w:color w:val="auto"/>
                <w:kern w:val="0"/>
                <w:sz w:val="24"/>
                <w:szCs w:val="24"/>
                <w:lang w:val="en-US" w:eastAsia="zh-CN"/>
              </w:rPr>
              <w:t>实际达成目标/预期目标*60</w:t>
            </w:r>
            <w:r>
              <w:rPr>
                <w:rFonts w:hint="eastAsia"/>
                <w:color w:val="auto"/>
                <w:kern w:val="0"/>
                <w:sz w:val="24"/>
                <w:szCs w:val="24"/>
                <w:lang w:eastAsia="zh-CN"/>
              </w:rPr>
              <w:t>）</w:t>
            </w:r>
          </w:p>
        </w:tc>
        <w:tc>
          <w:tcPr>
            <w:tcW w:w="1049" w:type="dxa"/>
            <w:tcBorders>
              <w:top w:val="single" w:color="auto" w:sz="4" w:space="0"/>
              <w:left w:val="single" w:color="auto" w:sz="4" w:space="0"/>
              <w:bottom w:val="single" w:color="auto" w:sz="4" w:space="0"/>
              <w:right w:val="single" w:color="auto" w:sz="4" w:space="0"/>
            </w:tcBorders>
            <w:shd w:val="clear" w:color="auto" w:fill="FFFFFF"/>
          </w:tcPr>
          <w:p w14:paraId="5B837DE4">
            <w:pPr>
              <w:pStyle w:val="77"/>
              <w:jc w:val="left"/>
              <w:rPr>
                <w:color w:val="auto"/>
                <w:kern w:val="0"/>
                <w:sz w:val="24"/>
                <w:szCs w:val="24"/>
                <w:lang w:eastAsia="zh-CN"/>
              </w:rPr>
            </w:pPr>
          </w:p>
        </w:tc>
      </w:tr>
      <w:tr w14:paraId="3F392DD1">
        <w:tblPrEx>
          <w:tblCellMar>
            <w:top w:w="0" w:type="dxa"/>
            <w:left w:w="10" w:type="dxa"/>
            <w:bottom w:w="0" w:type="dxa"/>
            <w:right w:w="10" w:type="dxa"/>
          </w:tblCellMar>
        </w:tblPrEx>
        <w:trPr>
          <w:trHeight w:val="23"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FFFFFF"/>
            <w:vAlign w:val="center"/>
          </w:tcPr>
          <w:p w14:paraId="329D84B9">
            <w:pPr>
              <w:pStyle w:val="77"/>
              <w:jc w:val="center"/>
              <w:rPr>
                <w:color w:val="auto"/>
                <w:sz w:val="24"/>
                <w:szCs w:val="24"/>
                <w:lang w:val="en-US" w:eastAsia="zh-CN"/>
              </w:rPr>
            </w:pPr>
            <w:r>
              <w:rPr>
                <w:rFonts w:hint="eastAsia"/>
                <w:color w:val="auto"/>
                <w:sz w:val="24"/>
                <w:szCs w:val="24"/>
                <w:lang w:val="en-US" w:eastAsia="zh-CN" w:bidi="zh-CN"/>
              </w:rPr>
              <w:t>宣传推广</w:t>
            </w:r>
          </w:p>
        </w:tc>
        <w:tc>
          <w:tcPr>
            <w:tcW w:w="930" w:type="dxa"/>
            <w:tcBorders>
              <w:top w:val="single" w:color="auto" w:sz="4" w:space="0"/>
              <w:left w:val="single" w:color="auto" w:sz="4" w:space="0"/>
              <w:bottom w:val="single" w:color="auto" w:sz="4" w:space="0"/>
              <w:right w:val="single" w:color="auto" w:sz="4" w:space="0"/>
            </w:tcBorders>
            <w:shd w:val="clear" w:color="auto" w:fill="FFFFFF"/>
            <w:vAlign w:val="center"/>
          </w:tcPr>
          <w:p w14:paraId="18857D41">
            <w:pPr>
              <w:pStyle w:val="77"/>
              <w:ind w:firstLine="200"/>
              <w:rPr>
                <w:color w:val="auto"/>
                <w:sz w:val="24"/>
                <w:szCs w:val="24"/>
                <w:lang w:eastAsia="zh-CN"/>
              </w:rPr>
            </w:pPr>
            <w:r>
              <w:rPr>
                <w:rFonts w:hint="eastAsia"/>
                <w:color w:val="auto"/>
                <w:sz w:val="24"/>
                <w:szCs w:val="24"/>
                <w:lang w:val="en-US" w:eastAsia="zh-CN"/>
              </w:rPr>
              <w:t>10分</w:t>
            </w:r>
          </w:p>
        </w:tc>
        <w:tc>
          <w:tcPr>
            <w:tcW w:w="5600" w:type="dxa"/>
            <w:tcBorders>
              <w:top w:val="single" w:color="auto" w:sz="4" w:space="0"/>
              <w:left w:val="single" w:color="auto" w:sz="4" w:space="0"/>
              <w:bottom w:val="single" w:color="auto" w:sz="4" w:space="0"/>
              <w:right w:val="single" w:color="auto" w:sz="4" w:space="0"/>
            </w:tcBorders>
            <w:shd w:val="clear" w:color="auto" w:fill="FFFFFF"/>
            <w:vAlign w:val="center"/>
          </w:tcPr>
          <w:p w14:paraId="6B3C7175">
            <w:pPr>
              <w:pStyle w:val="77"/>
              <w:jc w:val="left"/>
              <w:rPr>
                <w:color w:val="auto"/>
                <w:sz w:val="24"/>
                <w:szCs w:val="24"/>
              </w:rPr>
            </w:pPr>
            <w:r>
              <w:rPr>
                <w:rFonts w:hint="eastAsia"/>
                <w:color w:val="auto"/>
                <w:sz w:val="24"/>
                <w:szCs w:val="24"/>
              </w:rPr>
              <w:t>【主要考核】</w:t>
            </w:r>
            <w:r>
              <w:rPr>
                <w:rFonts w:hint="eastAsia"/>
                <w:color w:val="auto"/>
                <w:kern w:val="0"/>
                <w:sz w:val="24"/>
                <w:szCs w:val="24"/>
              </w:rPr>
              <w:t>各宣传平台（如小红书、抖音、微信视频号等）浏览量达1000万</w:t>
            </w:r>
          </w:p>
          <w:p w14:paraId="646CF173">
            <w:pPr>
              <w:pStyle w:val="77"/>
              <w:jc w:val="left"/>
              <w:rPr>
                <w:color w:val="auto"/>
                <w:sz w:val="24"/>
                <w:szCs w:val="24"/>
              </w:rPr>
            </w:pPr>
            <w:r>
              <w:rPr>
                <w:rFonts w:hint="eastAsia"/>
                <w:color w:val="auto"/>
                <w:sz w:val="24"/>
                <w:szCs w:val="24"/>
              </w:rPr>
              <w:t>【统计</w:t>
            </w:r>
            <w:r>
              <w:rPr>
                <w:rFonts w:hint="eastAsia"/>
                <w:color w:val="auto"/>
                <w:sz w:val="24"/>
                <w:szCs w:val="24"/>
                <w:lang w:eastAsia="zh-CN"/>
              </w:rPr>
              <w:t>项</w:t>
            </w:r>
            <w:r>
              <w:rPr>
                <w:rFonts w:hint="eastAsia"/>
                <w:color w:val="auto"/>
                <w:sz w:val="24"/>
                <w:szCs w:val="24"/>
              </w:rPr>
              <w:t>/口径】</w:t>
            </w:r>
            <w:r>
              <w:rPr>
                <w:rFonts w:hint="eastAsia"/>
                <w:color w:val="auto"/>
                <w:kern w:val="0"/>
                <w:sz w:val="24"/>
                <w:szCs w:val="24"/>
              </w:rPr>
              <w:t>达成指标（1000万浏览量）为满分</w:t>
            </w:r>
            <w:r>
              <w:rPr>
                <w:rFonts w:hint="eastAsia"/>
                <w:color w:val="auto"/>
                <w:kern w:val="0"/>
                <w:sz w:val="24"/>
                <w:szCs w:val="24"/>
                <w:lang w:eastAsia="zh-CN"/>
              </w:rPr>
              <w:t>；</w:t>
            </w:r>
            <w:r>
              <w:rPr>
                <w:rFonts w:hint="eastAsia"/>
                <w:color w:val="auto"/>
                <w:kern w:val="0"/>
                <w:sz w:val="24"/>
                <w:szCs w:val="24"/>
              </w:rPr>
              <w:t>未完成预期目标的，按照未完成的比例同等数额扣分（如浏览量900万，则扣</w:t>
            </w:r>
            <w:r>
              <w:rPr>
                <w:rFonts w:hint="eastAsia"/>
                <w:color w:val="auto"/>
                <w:kern w:val="0"/>
                <w:sz w:val="24"/>
                <w:szCs w:val="24"/>
                <w:lang w:val="en-US" w:eastAsia="zh-CN"/>
              </w:rPr>
              <w:t>1</w:t>
            </w:r>
            <w:r>
              <w:rPr>
                <w:rFonts w:hint="eastAsia"/>
                <w:color w:val="auto"/>
                <w:kern w:val="0"/>
                <w:sz w:val="24"/>
                <w:szCs w:val="24"/>
              </w:rPr>
              <w:t>分）</w:t>
            </w: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5DFE28D0">
            <w:pPr>
              <w:pStyle w:val="77"/>
              <w:jc w:val="left"/>
              <w:rPr>
                <w:color w:val="auto"/>
                <w:sz w:val="24"/>
                <w:szCs w:val="24"/>
              </w:rPr>
            </w:pPr>
          </w:p>
        </w:tc>
      </w:tr>
      <w:tr w14:paraId="4F3C3BB2">
        <w:tblPrEx>
          <w:tblCellMar>
            <w:top w:w="0" w:type="dxa"/>
            <w:left w:w="10" w:type="dxa"/>
            <w:bottom w:w="0" w:type="dxa"/>
            <w:right w:w="10" w:type="dxa"/>
          </w:tblCellMar>
        </w:tblPrEx>
        <w:trPr>
          <w:trHeight w:val="611"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FFFFFF"/>
            <w:vAlign w:val="center"/>
          </w:tcPr>
          <w:p w14:paraId="41093D25">
            <w:pPr>
              <w:spacing w:line="360" w:lineRule="auto"/>
              <w:jc w:val="center"/>
              <w:rPr>
                <w:rFonts w:ascii="宋体" w:hAnsi="宋体" w:cs="宋体"/>
                <w:sz w:val="24"/>
                <w:lang w:val="zh-TW" w:eastAsia="zh-TW"/>
              </w:rPr>
            </w:pPr>
            <w:r>
              <w:rPr>
                <w:rFonts w:hint="eastAsia" w:ascii="宋体" w:hAnsi="宋体" w:cs="宋体"/>
                <w:sz w:val="24"/>
              </w:rPr>
              <w:t>满意度调查</w:t>
            </w:r>
          </w:p>
        </w:tc>
        <w:tc>
          <w:tcPr>
            <w:tcW w:w="930" w:type="dxa"/>
            <w:tcBorders>
              <w:top w:val="single" w:color="auto" w:sz="4" w:space="0"/>
              <w:left w:val="single" w:color="auto" w:sz="4" w:space="0"/>
              <w:bottom w:val="single" w:color="auto" w:sz="4" w:space="0"/>
              <w:right w:val="single" w:color="auto" w:sz="4" w:space="0"/>
            </w:tcBorders>
            <w:shd w:val="clear" w:color="auto" w:fill="FFFFFF"/>
            <w:vAlign w:val="center"/>
          </w:tcPr>
          <w:p w14:paraId="5CD592BD">
            <w:pPr>
              <w:spacing w:line="360" w:lineRule="auto"/>
              <w:jc w:val="center"/>
              <w:rPr>
                <w:rFonts w:ascii="宋体" w:hAnsi="宋体" w:cs="宋体"/>
                <w:sz w:val="24"/>
                <w:lang w:val="zh-TW"/>
              </w:rPr>
            </w:pPr>
            <w:r>
              <w:rPr>
                <w:rFonts w:hint="eastAsia" w:ascii="宋体" w:hAnsi="宋体" w:cs="宋体"/>
                <w:sz w:val="24"/>
              </w:rPr>
              <w:t>5分</w:t>
            </w:r>
          </w:p>
        </w:tc>
        <w:tc>
          <w:tcPr>
            <w:tcW w:w="5600" w:type="dxa"/>
            <w:tcBorders>
              <w:top w:val="single" w:color="auto" w:sz="4" w:space="0"/>
              <w:left w:val="single" w:color="auto" w:sz="4" w:space="0"/>
              <w:bottom w:val="single" w:color="auto" w:sz="4" w:space="0"/>
              <w:right w:val="single" w:color="auto" w:sz="4" w:space="0"/>
            </w:tcBorders>
            <w:shd w:val="clear" w:color="auto" w:fill="FFFFFF"/>
            <w:vAlign w:val="center"/>
          </w:tcPr>
          <w:p w14:paraId="1AE55868">
            <w:pPr>
              <w:pStyle w:val="77"/>
              <w:jc w:val="left"/>
              <w:rPr>
                <w:color w:val="auto"/>
                <w:sz w:val="24"/>
                <w:szCs w:val="24"/>
              </w:rPr>
            </w:pPr>
            <w:r>
              <w:rPr>
                <w:rFonts w:hint="eastAsia"/>
                <w:color w:val="auto"/>
                <w:sz w:val="24"/>
                <w:szCs w:val="24"/>
              </w:rPr>
              <w:t>【主要考核】</w:t>
            </w:r>
            <w:r>
              <w:rPr>
                <w:rFonts w:hint="eastAsia"/>
                <w:color w:val="auto"/>
                <w:sz w:val="24"/>
                <w:szCs w:val="24"/>
                <w:lang w:val="en-US" w:eastAsia="zh-CN"/>
              </w:rPr>
              <w:t>业主和商家满意</w:t>
            </w:r>
            <w:r>
              <w:rPr>
                <w:rFonts w:hint="eastAsia"/>
                <w:color w:val="auto"/>
                <w:sz w:val="24"/>
                <w:szCs w:val="24"/>
                <w:lang w:eastAsia="zh-CN"/>
              </w:rPr>
              <w:t>度</w:t>
            </w:r>
            <w:r>
              <w:rPr>
                <w:rFonts w:hint="eastAsia"/>
                <w:color w:val="auto"/>
                <w:sz w:val="24"/>
                <w:szCs w:val="24"/>
              </w:rPr>
              <w:t>调查</w:t>
            </w:r>
          </w:p>
          <w:p w14:paraId="1752CA5B">
            <w:pPr>
              <w:pStyle w:val="77"/>
              <w:jc w:val="left"/>
              <w:rPr>
                <w:color w:val="auto"/>
                <w:kern w:val="0"/>
                <w:sz w:val="24"/>
                <w:szCs w:val="24"/>
              </w:rPr>
            </w:pPr>
            <w:r>
              <w:rPr>
                <w:rFonts w:hint="eastAsia"/>
                <w:color w:val="auto"/>
                <w:sz w:val="24"/>
                <w:szCs w:val="24"/>
              </w:rPr>
              <w:t>【统计项/口径】通</w:t>
            </w:r>
            <w:r>
              <w:rPr>
                <w:rFonts w:hint="eastAsia"/>
                <w:color w:val="auto"/>
                <w:sz w:val="24"/>
                <w:szCs w:val="24"/>
                <w:lang w:val="en-US" w:eastAsia="zh-CN"/>
              </w:rPr>
              <w:t>过</w:t>
            </w:r>
            <w:r>
              <w:rPr>
                <w:rFonts w:hint="eastAsia"/>
                <w:color w:val="auto"/>
                <w:sz w:val="24"/>
                <w:szCs w:val="24"/>
              </w:rPr>
              <w:t>公众号（小程</w:t>
            </w:r>
            <w:r>
              <w:rPr>
                <w:rFonts w:hint="eastAsia"/>
                <w:color w:val="auto"/>
                <w:sz w:val="24"/>
                <w:szCs w:val="24"/>
                <w:lang w:eastAsia="zh-CN"/>
              </w:rPr>
              <w:t>序</w:t>
            </w:r>
            <w:r>
              <w:rPr>
                <w:rFonts w:hint="eastAsia"/>
                <w:color w:val="auto"/>
                <w:sz w:val="24"/>
                <w:szCs w:val="24"/>
              </w:rPr>
              <w:t>）</w:t>
            </w:r>
            <w:r>
              <w:rPr>
                <w:rFonts w:hint="eastAsia"/>
                <w:color w:val="auto"/>
                <w:sz w:val="24"/>
                <w:szCs w:val="24"/>
                <w:lang w:val="en-US" w:eastAsia="zh-CN"/>
              </w:rPr>
              <w:t>对项目管理制度、运营效果等</w:t>
            </w:r>
            <w:r>
              <w:rPr>
                <w:rFonts w:hint="eastAsia"/>
                <w:color w:val="auto"/>
                <w:sz w:val="24"/>
                <w:szCs w:val="24"/>
              </w:rPr>
              <w:t>进行</w:t>
            </w:r>
            <w:r>
              <w:rPr>
                <w:rFonts w:hint="eastAsia"/>
                <w:color w:val="auto"/>
                <w:sz w:val="24"/>
                <w:szCs w:val="24"/>
                <w:lang w:eastAsia="zh-CN"/>
              </w:rPr>
              <w:t>满意度调查，</w:t>
            </w:r>
            <w:r>
              <w:rPr>
                <w:rFonts w:hint="eastAsia"/>
                <w:color w:val="auto"/>
                <w:sz w:val="24"/>
                <w:szCs w:val="24"/>
                <w:lang w:val="en-US" w:eastAsia="zh-CN"/>
              </w:rPr>
              <w:t>满分100分，</w:t>
            </w:r>
            <w:r>
              <w:rPr>
                <w:rFonts w:hint="eastAsia"/>
                <w:color w:val="auto"/>
                <w:sz w:val="24"/>
                <w:szCs w:val="24"/>
                <w:lang w:eastAsia="zh-CN"/>
              </w:rPr>
              <w:t>考核</w:t>
            </w:r>
            <w:r>
              <w:rPr>
                <w:rFonts w:hint="eastAsia"/>
                <w:color w:val="auto"/>
                <w:sz w:val="24"/>
                <w:szCs w:val="24"/>
              </w:rPr>
              <w:t>该问卷调查的平均分数</w:t>
            </w:r>
            <w:r>
              <w:rPr>
                <w:rFonts w:hint="eastAsia"/>
                <w:color w:val="auto"/>
                <w:sz w:val="24"/>
                <w:szCs w:val="24"/>
                <w:lang w:eastAsia="zh-CN"/>
              </w:rPr>
              <w:t>，</w:t>
            </w:r>
            <w:r>
              <w:rPr>
                <w:rFonts w:hint="eastAsia"/>
                <w:color w:val="auto"/>
                <w:sz w:val="24"/>
                <w:szCs w:val="24"/>
                <w:lang w:val="en-US" w:eastAsia="zh-CN"/>
              </w:rPr>
              <w:t>按百分比</w:t>
            </w:r>
            <w:r>
              <w:rPr>
                <w:rFonts w:hint="eastAsia"/>
                <w:color w:val="auto"/>
                <w:kern w:val="0"/>
                <w:sz w:val="24"/>
                <w:szCs w:val="24"/>
              </w:rPr>
              <w:t>同等数额扣分</w:t>
            </w:r>
          </w:p>
          <w:p w14:paraId="61EF7482">
            <w:pPr>
              <w:pStyle w:val="77"/>
              <w:jc w:val="left"/>
              <w:rPr>
                <w:color w:val="auto"/>
                <w:kern w:val="0"/>
                <w:sz w:val="24"/>
                <w:szCs w:val="24"/>
                <w:lang w:eastAsia="zh-CN"/>
              </w:rPr>
            </w:pPr>
            <w:r>
              <w:rPr>
                <w:rFonts w:hint="eastAsia"/>
                <w:color w:val="auto"/>
                <w:kern w:val="0"/>
                <w:sz w:val="24"/>
                <w:szCs w:val="24"/>
                <w:lang w:eastAsia="zh-CN"/>
              </w:rPr>
              <w:t>（</w:t>
            </w:r>
            <w:r>
              <w:rPr>
                <w:rFonts w:hint="eastAsia"/>
                <w:color w:val="auto"/>
                <w:kern w:val="0"/>
                <w:sz w:val="24"/>
                <w:szCs w:val="24"/>
                <w:lang w:val="en-US" w:eastAsia="zh-CN"/>
              </w:rPr>
              <w:t>如</w:t>
            </w:r>
            <w:r>
              <w:rPr>
                <w:rFonts w:hint="eastAsia"/>
                <w:color w:val="auto"/>
                <w:sz w:val="24"/>
                <w:szCs w:val="24"/>
              </w:rPr>
              <w:t>平均分数</w:t>
            </w:r>
            <w:r>
              <w:rPr>
                <w:rFonts w:hint="eastAsia"/>
                <w:color w:val="auto"/>
                <w:sz w:val="24"/>
                <w:szCs w:val="24"/>
                <w:lang w:val="en-US" w:eastAsia="zh-CN"/>
              </w:rPr>
              <w:t>为90分，则扣0.5分</w:t>
            </w:r>
            <w:r>
              <w:rPr>
                <w:rFonts w:hint="eastAsia"/>
                <w:color w:val="auto"/>
                <w:kern w:val="0"/>
                <w:sz w:val="24"/>
                <w:szCs w:val="24"/>
                <w:lang w:eastAsia="zh-CN"/>
              </w:rPr>
              <w:t>）</w:t>
            </w: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47CD6B21">
            <w:pPr>
              <w:pStyle w:val="77"/>
              <w:jc w:val="left"/>
              <w:rPr>
                <w:color w:val="auto"/>
                <w:kern w:val="0"/>
                <w:sz w:val="24"/>
                <w:szCs w:val="24"/>
                <w:lang w:eastAsia="zh-CN"/>
              </w:rPr>
            </w:pPr>
          </w:p>
        </w:tc>
      </w:tr>
      <w:tr w14:paraId="6D0A708C">
        <w:tblPrEx>
          <w:tblCellMar>
            <w:top w:w="0" w:type="dxa"/>
            <w:left w:w="10" w:type="dxa"/>
            <w:bottom w:w="0" w:type="dxa"/>
            <w:right w:w="10" w:type="dxa"/>
          </w:tblCellMar>
        </w:tblPrEx>
        <w:trPr>
          <w:trHeight w:val="23"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FFFFFF"/>
            <w:vAlign w:val="center"/>
          </w:tcPr>
          <w:p w14:paraId="709BEA62">
            <w:pPr>
              <w:spacing w:line="360" w:lineRule="auto"/>
              <w:jc w:val="center"/>
              <w:rPr>
                <w:rFonts w:ascii="宋体" w:hAnsi="宋体" w:cs="宋体"/>
                <w:sz w:val="24"/>
                <w:lang w:val="zh-TW" w:eastAsia="zh-TW"/>
              </w:rPr>
            </w:pPr>
            <w:r>
              <w:rPr>
                <w:rFonts w:hint="eastAsia" w:ascii="宋体" w:hAnsi="宋体" w:cs="宋体"/>
                <w:sz w:val="24"/>
              </w:rPr>
              <w:t>应收收缴率</w:t>
            </w:r>
          </w:p>
        </w:tc>
        <w:tc>
          <w:tcPr>
            <w:tcW w:w="930" w:type="dxa"/>
            <w:tcBorders>
              <w:top w:val="single" w:color="auto" w:sz="4" w:space="0"/>
              <w:left w:val="single" w:color="auto" w:sz="4" w:space="0"/>
              <w:bottom w:val="single" w:color="auto" w:sz="4" w:space="0"/>
              <w:right w:val="single" w:color="auto" w:sz="4" w:space="0"/>
            </w:tcBorders>
            <w:shd w:val="clear" w:color="auto" w:fill="FFFFFF"/>
            <w:vAlign w:val="center"/>
          </w:tcPr>
          <w:p w14:paraId="7AC14508">
            <w:pPr>
              <w:spacing w:line="360" w:lineRule="auto"/>
              <w:jc w:val="center"/>
              <w:rPr>
                <w:rFonts w:ascii="宋体" w:hAnsi="宋体" w:cs="宋体"/>
                <w:sz w:val="24"/>
                <w:lang w:val="zh-TW"/>
              </w:rPr>
            </w:pPr>
            <w:r>
              <w:rPr>
                <w:rFonts w:hint="eastAsia" w:ascii="宋体" w:hAnsi="宋体" w:cs="宋体"/>
                <w:sz w:val="24"/>
              </w:rPr>
              <w:t>10分</w:t>
            </w:r>
          </w:p>
        </w:tc>
        <w:tc>
          <w:tcPr>
            <w:tcW w:w="5600" w:type="dxa"/>
            <w:tcBorders>
              <w:top w:val="single" w:color="auto" w:sz="4" w:space="0"/>
              <w:left w:val="single" w:color="auto" w:sz="4" w:space="0"/>
              <w:bottom w:val="single" w:color="auto" w:sz="4" w:space="0"/>
              <w:right w:val="single" w:color="auto" w:sz="4" w:space="0"/>
            </w:tcBorders>
            <w:shd w:val="clear" w:color="auto" w:fill="FFFFFF"/>
            <w:vAlign w:val="center"/>
          </w:tcPr>
          <w:p w14:paraId="1BF3B80F">
            <w:pPr>
              <w:pStyle w:val="77"/>
              <w:jc w:val="left"/>
              <w:rPr>
                <w:color w:val="auto"/>
                <w:sz w:val="24"/>
                <w:szCs w:val="24"/>
              </w:rPr>
            </w:pPr>
            <w:r>
              <w:rPr>
                <w:rFonts w:hint="eastAsia"/>
                <w:color w:val="auto"/>
                <w:sz w:val="24"/>
                <w:szCs w:val="24"/>
              </w:rPr>
              <w:t>【主要考核】费月</w:t>
            </w:r>
            <w:r>
              <w:rPr>
                <w:rFonts w:hint="eastAsia"/>
                <w:color w:val="auto"/>
                <w:sz w:val="24"/>
                <w:szCs w:val="24"/>
                <w:lang w:eastAsia="zh-CN"/>
              </w:rPr>
              <w:t>收缴</w:t>
            </w:r>
            <w:r>
              <w:rPr>
                <w:rFonts w:hint="eastAsia"/>
                <w:color w:val="auto"/>
                <w:sz w:val="24"/>
                <w:szCs w:val="24"/>
              </w:rPr>
              <w:t>的及时性</w:t>
            </w:r>
          </w:p>
          <w:p w14:paraId="0C09BCFB">
            <w:pPr>
              <w:pStyle w:val="77"/>
              <w:jc w:val="left"/>
              <w:rPr>
                <w:color w:val="auto"/>
                <w:sz w:val="24"/>
                <w:szCs w:val="24"/>
              </w:rPr>
            </w:pPr>
            <w:r>
              <w:rPr>
                <w:rFonts w:hint="eastAsia"/>
                <w:color w:val="auto"/>
                <w:sz w:val="24"/>
                <w:szCs w:val="24"/>
              </w:rPr>
              <w:t>【统计项，口径】针对经营性</w:t>
            </w:r>
            <w:r>
              <w:rPr>
                <w:rFonts w:hint="eastAsia"/>
                <w:color w:val="auto"/>
                <w:sz w:val="24"/>
                <w:szCs w:val="24"/>
                <w:lang w:val="zh-CN" w:eastAsia="zh-CN" w:bidi="zh-CN"/>
              </w:rPr>
              <w:t>空间,</w:t>
            </w:r>
            <w:r>
              <w:rPr>
                <w:rFonts w:hint="eastAsia"/>
                <w:color w:val="auto"/>
                <w:sz w:val="24"/>
                <w:szCs w:val="24"/>
              </w:rPr>
              <w:t>考核综合</w:t>
            </w:r>
            <w:r>
              <w:rPr>
                <w:rFonts w:hint="eastAsia"/>
                <w:color w:val="auto"/>
                <w:sz w:val="24"/>
                <w:szCs w:val="24"/>
                <w:lang w:eastAsia="zh-CN"/>
              </w:rPr>
              <w:t>收缴率</w:t>
            </w:r>
            <w:r>
              <w:rPr>
                <w:rFonts w:hint="eastAsia"/>
                <w:color w:val="auto"/>
                <w:sz w:val="24"/>
                <w:szCs w:val="24"/>
              </w:rPr>
              <w:t>，即当</w:t>
            </w:r>
            <w:r>
              <w:rPr>
                <w:rFonts w:hint="eastAsia"/>
                <w:color w:val="auto"/>
                <w:sz w:val="24"/>
                <w:szCs w:val="24"/>
                <w:lang w:val="zh-CN" w:eastAsia="zh-CN" w:bidi="zh-CN"/>
              </w:rPr>
              <w:t>期已收</w:t>
            </w:r>
            <w:r>
              <w:rPr>
                <w:rFonts w:hint="eastAsia"/>
                <w:color w:val="auto"/>
                <w:sz w:val="24"/>
                <w:szCs w:val="24"/>
              </w:rPr>
              <w:t>账款/当期应收账款*100%</w:t>
            </w:r>
            <w:r>
              <w:rPr>
                <w:rFonts w:hint="eastAsia"/>
                <w:color w:val="auto"/>
                <w:sz w:val="24"/>
                <w:szCs w:val="24"/>
                <w:lang w:eastAsia="zh-CN"/>
              </w:rPr>
              <w:t>，</w:t>
            </w:r>
            <w:r>
              <w:rPr>
                <w:rFonts w:hint="eastAsia"/>
                <w:color w:val="auto"/>
                <w:sz w:val="24"/>
                <w:szCs w:val="24"/>
                <w:lang w:val="en-US" w:eastAsia="zh-CN"/>
              </w:rPr>
              <w:t>未完成按照比例同等数额扣分</w:t>
            </w: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50B1A1AD">
            <w:pPr>
              <w:pStyle w:val="77"/>
              <w:jc w:val="left"/>
              <w:rPr>
                <w:color w:val="auto"/>
                <w:sz w:val="24"/>
                <w:szCs w:val="24"/>
              </w:rPr>
            </w:pPr>
          </w:p>
        </w:tc>
      </w:tr>
      <w:tr w14:paraId="331E0838">
        <w:trPr>
          <w:trHeight w:val="23" w:hRule="atLeast"/>
          <w:jc w:val="center"/>
        </w:trPr>
        <w:tc>
          <w:tcPr>
            <w:tcW w:w="2005" w:type="dxa"/>
            <w:tcBorders>
              <w:top w:val="single" w:color="auto" w:sz="4" w:space="0"/>
              <w:left w:val="single" w:color="auto" w:sz="4" w:space="0"/>
              <w:bottom w:val="single" w:color="auto" w:sz="4" w:space="0"/>
              <w:right w:val="single" w:color="auto" w:sz="4" w:space="0"/>
            </w:tcBorders>
            <w:shd w:val="clear" w:color="auto" w:fill="FFFFFF"/>
            <w:vAlign w:val="center"/>
          </w:tcPr>
          <w:p w14:paraId="27C8D3F7">
            <w:pPr>
              <w:pStyle w:val="77"/>
              <w:jc w:val="center"/>
              <w:rPr>
                <w:color w:val="auto"/>
                <w:sz w:val="24"/>
              </w:rPr>
            </w:pPr>
            <w:r>
              <w:rPr>
                <w:rFonts w:hint="eastAsia"/>
                <w:color w:val="auto"/>
                <w:sz w:val="24"/>
                <w:lang w:val="en-US" w:eastAsia="zh-CN"/>
              </w:rPr>
              <w:t>附加分项：</w:t>
            </w:r>
            <w:r>
              <w:rPr>
                <w:rFonts w:hint="eastAsia"/>
                <w:color w:val="auto"/>
                <w:sz w:val="24"/>
              </w:rPr>
              <w:t>表彰</w:t>
            </w:r>
          </w:p>
        </w:tc>
        <w:tc>
          <w:tcPr>
            <w:tcW w:w="930" w:type="dxa"/>
            <w:tcBorders>
              <w:top w:val="single" w:color="auto" w:sz="4" w:space="0"/>
              <w:left w:val="single" w:color="auto" w:sz="4" w:space="0"/>
              <w:bottom w:val="single" w:color="auto" w:sz="4" w:space="0"/>
              <w:right w:val="single" w:color="auto" w:sz="4" w:space="0"/>
            </w:tcBorders>
            <w:shd w:val="clear" w:color="auto" w:fill="FFFFFF"/>
            <w:vAlign w:val="center"/>
          </w:tcPr>
          <w:p w14:paraId="4BCF77D8">
            <w:pPr>
              <w:pStyle w:val="77"/>
              <w:ind w:firstLine="200"/>
              <w:rPr>
                <w:color w:val="auto"/>
                <w:sz w:val="24"/>
                <w:szCs w:val="24"/>
                <w:lang w:val="en-US" w:eastAsia="zh-CN"/>
              </w:rPr>
            </w:pPr>
            <w:r>
              <w:rPr>
                <w:rFonts w:hint="eastAsia"/>
                <w:color w:val="auto"/>
                <w:sz w:val="24"/>
                <w:szCs w:val="24"/>
                <w:lang w:val="en-US" w:eastAsia="zh-CN"/>
              </w:rPr>
              <w:t>10分</w:t>
            </w:r>
          </w:p>
        </w:tc>
        <w:tc>
          <w:tcPr>
            <w:tcW w:w="5600" w:type="dxa"/>
            <w:tcBorders>
              <w:top w:val="single" w:color="auto" w:sz="4" w:space="0"/>
              <w:left w:val="single" w:color="auto" w:sz="4" w:space="0"/>
              <w:bottom w:val="single" w:color="auto" w:sz="4" w:space="0"/>
              <w:right w:val="single" w:color="auto" w:sz="4" w:space="0"/>
            </w:tcBorders>
            <w:shd w:val="clear" w:color="auto" w:fill="FFFFFF"/>
            <w:vAlign w:val="center"/>
          </w:tcPr>
          <w:p w14:paraId="6152245B">
            <w:pPr>
              <w:pStyle w:val="77"/>
              <w:jc w:val="left"/>
              <w:rPr>
                <w:color w:val="auto"/>
                <w:sz w:val="24"/>
                <w:szCs w:val="24"/>
              </w:rPr>
            </w:pPr>
            <w:r>
              <w:rPr>
                <w:rFonts w:hint="eastAsia"/>
                <w:color w:val="auto"/>
                <w:sz w:val="24"/>
                <w:szCs w:val="24"/>
              </w:rPr>
              <w:t>【主要考核】农文旅项目创建获得荣誉或奖项或挂牌</w:t>
            </w:r>
          </w:p>
          <w:p w14:paraId="64B190F3">
            <w:pPr>
              <w:pStyle w:val="77"/>
              <w:jc w:val="left"/>
              <w:rPr>
                <w:color w:val="auto"/>
                <w:sz w:val="24"/>
              </w:rPr>
            </w:pPr>
            <w:r>
              <w:rPr>
                <w:rFonts w:hint="eastAsia"/>
                <w:color w:val="auto"/>
                <w:sz w:val="24"/>
                <w:szCs w:val="24"/>
              </w:rPr>
              <w:t>【统计</w:t>
            </w:r>
            <w:r>
              <w:rPr>
                <w:rFonts w:hint="eastAsia"/>
                <w:color w:val="auto"/>
                <w:sz w:val="24"/>
                <w:szCs w:val="24"/>
                <w:lang w:eastAsia="zh-CN"/>
              </w:rPr>
              <w:t>项</w:t>
            </w:r>
            <w:r>
              <w:rPr>
                <w:rFonts w:hint="eastAsia"/>
                <w:color w:val="auto"/>
                <w:sz w:val="24"/>
                <w:szCs w:val="24"/>
              </w:rPr>
              <w:t>/口径】获得</w:t>
            </w:r>
            <w:r>
              <w:rPr>
                <w:rFonts w:hint="eastAsia"/>
                <w:color w:val="auto"/>
                <w:sz w:val="24"/>
                <w:szCs w:val="24"/>
                <w:lang w:val="en-US" w:eastAsia="zh-CN"/>
              </w:rPr>
              <w:t>市</w:t>
            </w:r>
            <w:r>
              <w:rPr>
                <w:rFonts w:hint="eastAsia"/>
                <w:color w:val="auto"/>
                <w:sz w:val="24"/>
                <w:szCs w:val="24"/>
              </w:rPr>
              <w:t>级及以上荣誉或奖项或挂牌1个得</w:t>
            </w:r>
            <w:r>
              <w:rPr>
                <w:rFonts w:hint="eastAsia"/>
                <w:color w:val="auto"/>
                <w:sz w:val="24"/>
                <w:szCs w:val="24"/>
                <w:lang w:val="en-US" w:eastAsia="zh-CN"/>
              </w:rPr>
              <w:t>10</w:t>
            </w:r>
            <w:r>
              <w:rPr>
                <w:rFonts w:hint="eastAsia"/>
                <w:color w:val="auto"/>
                <w:sz w:val="24"/>
                <w:szCs w:val="24"/>
              </w:rPr>
              <w:t>分</w:t>
            </w:r>
            <w:r>
              <w:rPr>
                <w:rFonts w:hint="eastAsia"/>
                <w:color w:val="auto"/>
                <w:sz w:val="24"/>
                <w:szCs w:val="24"/>
                <w:lang w:eastAsia="zh-CN"/>
              </w:rPr>
              <w:t>；</w:t>
            </w:r>
            <w:r>
              <w:rPr>
                <w:rFonts w:hint="eastAsia"/>
                <w:color w:val="auto"/>
                <w:sz w:val="24"/>
                <w:szCs w:val="24"/>
              </w:rPr>
              <w:t>获得区级及以上荣誉或奖项或挂牌1个得5分，未获得不得分</w:t>
            </w:r>
          </w:p>
        </w:tc>
        <w:tc>
          <w:tcPr>
            <w:tcW w:w="1049" w:type="dxa"/>
            <w:tcBorders>
              <w:top w:val="single" w:color="auto" w:sz="4" w:space="0"/>
              <w:left w:val="single" w:color="auto" w:sz="4" w:space="0"/>
              <w:bottom w:val="single" w:color="auto" w:sz="4" w:space="0"/>
              <w:right w:val="single" w:color="auto" w:sz="4" w:space="0"/>
            </w:tcBorders>
            <w:shd w:val="clear" w:color="auto" w:fill="FFFFFF"/>
            <w:vAlign w:val="center"/>
          </w:tcPr>
          <w:p w14:paraId="21982633">
            <w:pPr>
              <w:pStyle w:val="77"/>
              <w:jc w:val="left"/>
              <w:rPr>
                <w:color w:val="auto"/>
                <w:sz w:val="24"/>
                <w:szCs w:val="24"/>
              </w:rPr>
            </w:pPr>
          </w:p>
        </w:tc>
      </w:tr>
    </w:tbl>
    <w:p w14:paraId="3287A0FD">
      <w:pPr>
        <w:spacing w:line="360" w:lineRule="auto"/>
        <w:ind w:firstLine="420" w:firstLineChars="200"/>
        <w:rPr>
          <w:rFonts w:cs="宋体"/>
        </w:rPr>
      </w:pPr>
      <w:r>
        <w:rPr>
          <w:rFonts w:hint="eastAsia" w:cs="宋体"/>
        </w:rPr>
        <w:t>备注：</w:t>
      </w:r>
    </w:p>
    <w:p w14:paraId="516BB4BD">
      <w:pPr>
        <w:spacing w:line="360" w:lineRule="auto"/>
        <w:ind w:firstLine="420" w:firstLineChars="200"/>
        <w:rPr>
          <w:rFonts w:cs="宋体"/>
        </w:rPr>
      </w:pPr>
      <w:r>
        <w:rPr>
          <w:rFonts w:hint="eastAsia" w:cs="宋体"/>
        </w:rPr>
        <w:t>①考核验收分数如有小数点的，四舍五入取整数作为考核拨款依据；</w:t>
      </w:r>
    </w:p>
    <w:p w14:paraId="44145BD2">
      <w:pPr>
        <w:spacing w:line="360" w:lineRule="auto"/>
        <w:ind w:firstLine="420" w:firstLineChars="200"/>
        <w:rPr>
          <w:rFonts w:cs="宋体"/>
        </w:rPr>
      </w:pPr>
      <w:r>
        <w:rPr>
          <w:rFonts w:hint="eastAsia" w:cs="宋体"/>
        </w:rPr>
        <w:t>②采购人自营业务部分，不计入考核范围；</w:t>
      </w:r>
    </w:p>
    <w:p w14:paraId="154AB8EA">
      <w:pPr>
        <w:spacing w:line="360" w:lineRule="auto"/>
        <w:rPr>
          <w:rFonts w:ascii="宋体" w:hAnsi="宋体"/>
          <w:b/>
          <w:sz w:val="28"/>
          <w:szCs w:val="28"/>
        </w:rPr>
      </w:pPr>
      <w:r>
        <w:rPr>
          <w:rFonts w:hint="eastAsia" w:ascii="宋体" w:hAnsi="宋体"/>
          <w:b/>
          <w:sz w:val="28"/>
          <w:szCs w:val="28"/>
        </w:rPr>
        <w:t>▲九、特别说明</w:t>
      </w:r>
    </w:p>
    <w:p w14:paraId="1699E3A6">
      <w:pPr>
        <w:pStyle w:val="63"/>
        <w:spacing w:line="360" w:lineRule="auto"/>
        <w:ind w:firstLine="482" w:firstLineChars="200"/>
        <w:jc w:val="left"/>
        <w:rPr>
          <w:rFonts w:ascii="宋体" w:hAnsi="宋体" w:cs="宋体"/>
          <w:sz w:val="24"/>
        </w:rPr>
      </w:pPr>
      <w:r>
        <w:rPr>
          <w:rFonts w:hint="eastAsia" w:ascii="宋体" w:hAnsi="宋体" w:cs="宋体"/>
          <w:kern w:val="28"/>
          <w:sz w:val="24"/>
          <w:szCs w:val="24"/>
        </w:rPr>
        <w:t>投标人需对以上服务内容（一、项目背景，二、项目概况及定位</w:t>
      </w:r>
      <w:r>
        <w:rPr>
          <w:rFonts w:hint="eastAsia"/>
          <w:sz w:val="24"/>
        </w:rPr>
        <w:t>，三、项目运营目标与成果要求，四、项目运营要求，五、工作内容，六、其他要求，七、人员配备及服务基本要求，八、考核制度</w:t>
      </w:r>
      <w:r>
        <w:rPr>
          <w:rFonts w:hint="eastAsia" w:ascii="宋体" w:hAnsi="宋体" w:cs="宋体"/>
          <w:kern w:val="28"/>
          <w:sz w:val="24"/>
          <w:szCs w:val="24"/>
        </w:rPr>
        <w:t>）完全响应，不得有负偏离，否则作无效投标处理。</w:t>
      </w:r>
    </w:p>
    <w:p w14:paraId="7AB60AB5">
      <w:pPr>
        <w:spacing w:line="360" w:lineRule="auto"/>
        <w:rPr>
          <w:rFonts w:ascii="宋体" w:hAnsi="宋体"/>
          <w:b/>
          <w:sz w:val="28"/>
          <w:szCs w:val="28"/>
        </w:rPr>
      </w:pPr>
      <w:r>
        <w:rPr>
          <w:rFonts w:hint="eastAsia" w:ascii="宋体" w:hAnsi="宋体"/>
          <w:b/>
          <w:sz w:val="28"/>
          <w:szCs w:val="28"/>
        </w:rPr>
        <w:t>▲十、商务要求</w:t>
      </w:r>
    </w:p>
    <w:tbl>
      <w:tblPr>
        <w:tblStyle w:val="23"/>
        <w:tblW w:w="892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75"/>
      </w:tblGrid>
      <w:tr w14:paraId="2110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1" w:type="dxa"/>
            <w:tcBorders>
              <w:top w:val="single" w:color="auto" w:sz="4" w:space="0"/>
              <w:left w:val="single" w:color="auto" w:sz="4" w:space="0"/>
              <w:bottom w:val="single" w:color="auto" w:sz="4" w:space="0"/>
              <w:right w:val="single" w:color="auto" w:sz="4" w:space="0"/>
            </w:tcBorders>
            <w:vAlign w:val="center"/>
          </w:tcPr>
          <w:p w14:paraId="43C54F2A">
            <w:pPr>
              <w:pStyle w:val="30"/>
              <w:spacing w:line="360" w:lineRule="auto"/>
              <w:ind w:firstLine="0" w:firstLineChars="0"/>
              <w:jc w:val="center"/>
              <w:rPr>
                <w:rFonts w:ascii="宋体" w:hAnsi="宋体" w:eastAsia="宋体" w:cs="宋体"/>
                <w:sz w:val="24"/>
              </w:rPr>
            </w:pPr>
            <w:r>
              <w:rPr>
                <w:rFonts w:hint="eastAsia" w:ascii="宋体" w:hAnsi="宋体" w:eastAsia="宋体" w:cs="宋体"/>
                <w:sz w:val="24"/>
              </w:rPr>
              <w:t>项目</w:t>
            </w:r>
          </w:p>
        </w:tc>
        <w:tc>
          <w:tcPr>
            <w:tcW w:w="6975" w:type="dxa"/>
            <w:tcBorders>
              <w:top w:val="single" w:color="auto" w:sz="4" w:space="0"/>
              <w:left w:val="nil"/>
              <w:bottom w:val="single" w:color="auto" w:sz="4" w:space="0"/>
              <w:right w:val="single" w:color="auto" w:sz="4" w:space="0"/>
            </w:tcBorders>
            <w:vAlign w:val="center"/>
          </w:tcPr>
          <w:p w14:paraId="5547ACB0">
            <w:pPr>
              <w:pStyle w:val="30"/>
              <w:spacing w:line="360" w:lineRule="auto"/>
              <w:ind w:firstLine="0" w:firstLineChars="0"/>
              <w:jc w:val="center"/>
              <w:rPr>
                <w:rFonts w:ascii="宋体" w:hAnsi="宋体" w:eastAsia="宋体" w:cs="宋体"/>
                <w:sz w:val="24"/>
              </w:rPr>
            </w:pPr>
            <w:r>
              <w:rPr>
                <w:rFonts w:hint="eastAsia" w:ascii="宋体" w:hAnsi="宋体" w:eastAsia="宋体" w:cs="宋体"/>
                <w:sz w:val="24"/>
              </w:rPr>
              <w:t>内容</w:t>
            </w:r>
          </w:p>
        </w:tc>
      </w:tr>
      <w:tr w14:paraId="081F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951" w:type="dxa"/>
            <w:tcBorders>
              <w:top w:val="single" w:color="auto" w:sz="4" w:space="0"/>
              <w:left w:val="single" w:color="auto" w:sz="4" w:space="0"/>
              <w:bottom w:val="single" w:color="auto" w:sz="4" w:space="0"/>
              <w:right w:val="single" w:color="auto" w:sz="4" w:space="0"/>
            </w:tcBorders>
            <w:vAlign w:val="center"/>
          </w:tcPr>
          <w:p w14:paraId="56E0674C">
            <w:pPr>
              <w:jc w:val="center"/>
              <w:rPr>
                <w:rFonts w:ascii="宋体" w:hAnsi="宋体" w:cs="宋体"/>
                <w:sz w:val="24"/>
              </w:rPr>
            </w:pPr>
            <w:r>
              <w:rPr>
                <w:rFonts w:hint="eastAsia" w:ascii="宋体" w:hAnsi="宋体"/>
                <w:sz w:val="24"/>
              </w:rPr>
              <w:t>投标报价</w:t>
            </w:r>
          </w:p>
        </w:tc>
        <w:tc>
          <w:tcPr>
            <w:tcW w:w="6975" w:type="dxa"/>
            <w:tcBorders>
              <w:top w:val="single" w:color="auto" w:sz="4" w:space="0"/>
              <w:left w:val="nil"/>
              <w:bottom w:val="single" w:color="auto" w:sz="4" w:space="0"/>
              <w:right w:val="single" w:color="auto" w:sz="4" w:space="0"/>
            </w:tcBorders>
            <w:vAlign w:val="center"/>
          </w:tcPr>
          <w:p w14:paraId="02271EC6">
            <w:pPr>
              <w:tabs>
                <w:tab w:val="left" w:pos="0"/>
              </w:tabs>
              <w:adjustRightInd w:val="0"/>
              <w:snapToGrid w:val="0"/>
              <w:rPr>
                <w:rFonts w:ascii="宋体" w:hAnsi="宋体" w:cs="仿宋"/>
                <w:kern w:val="0"/>
                <w:sz w:val="24"/>
              </w:rPr>
            </w:pPr>
            <w:r>
              <w:rPr>
                <w:rFonts w:hint="eastAsia" w:ascii="宋体" w:hAnsi="宋体" w:cs="仿宋"/>
                <w:kern w:val="0"/>
                <w:sz w:val="24"/>
              </w:rPr>
              <w:t>1、投标报价是履行合同的最终价格，包含购买服务需交纳的所有税费及其他一切相关费用，投标人少报或漏报的工作量，采购人将视为已包含在投标总价中，并不予调整。</w:t>
            </w:r>
          </w:p>
          <w:p w14:paraId="02D468ED">
            <w:pPr>
              <w:tabs>
                <w:tab w:val="left" w:pos="0"/>
              </w:tabs>
              <w:adjustRightInd w:val="0"/>
              <w:snapToGrid w:val="0"/>
              <w:rPr>
                <w:rFonts w:ascii="宋体" w:hAnsi="宋体" w:cs="仿宋"/>
                <w:kern w:val="0"/>
                <w:sz w:val="24"/>
              </w:rPr>
            </w:pPr>
            <w:r>
              <w:rPr>
                <w:rFonts w:hint="eastAsia" w:ascii="宋体" w:hAnsi="宋体" w:cs="仿宋"/>
                <w:kern w:val="0"/>
                <w:sz w:val="24"/>
              </w:rPr>
              <w:t>2、投标文件只允许有一个报价，有选择的或有条件的报价将不予接受。</w:t>
            </w:r>
          </w:p>
          <w:p w14:paraId="3073FC9F">
            <w:pPr>
              <w:tabs>
                <w:tab w:val="left" w:pos="0"/>
              </w:tabs>
              <w:adjustRightInd w:val="0"/>
              <w:snapToGrid w:val="0"/>
              <w:rPr>
                <w:rFonts w:ascii="宋体" w:hAnsi="宋体" w:cs="宋体"/>
                <w:sz w:val="24"/>
              </w:rPr>
            </w:pPr>
            <w:r>
              <w:rPr>
                <w:rFonts w:hint="eastAsia" w:ascii="宋体" w:hAnsi="宋体" w:cs="仿宋"/>
                <w:kern w:val="0"/>
                <w:sz w:val="24"/>
              </w:rPr>
              <w:t>3、电子交易平台客户端里开标一览表录入的投标报价和优惠率与扫描上传的报价文件不一致的，以扫描上传的报价文件为准。</w:t>
            </w:r>
          </w:p>
        </w:tc>
      </w:tr>
      <w:tr w14:paraId="75C6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1" w:type="dxa"/>
            <w:tcBorders>
              <w:top w:val="single" w:color="auto" w:sz="4" w:space="0"/>
              <w:left w:val="single" w:color="auto" w:sz="4" w:space="0"/>
              <w:bottom w:val="single" w:color="auto" w:sz="4" w:space="0"/>
              <w:right w:val="single" w:color="auto" w:sz="4" w:space="0"/>
            </w:tcBorders>
            <w:vAlign w:val="center"/>
          </w:tcPr>
          <w:p w14:paraId="7002AE16">
            <w:pPr>
              <w:pStyle w:val="30"/>
              <w:spacing w:line="360" w:lineRule="auto"/>
              <w:ind w:firstLine="0" w:firstLineChars="0"/>
              <w:jc w:val="center"/>
              <w:rPr>
                <w:rFonts w:ascii="宋体" w:hAnsi="宋体" w:eastAsia="宋体" w:cs="宋体"/>
                <w:sz w:val="24"/>
              </w:rPr>
            </w:pPr>
            <w:r>
              <w:rPr>
                <w:rFonts w:hint="eastAsia" w:ascii="宋体" w:hAnsi="宋体" w:eastAsia="宋体" w:cs="宋体"/>
                <w:sz w:val="24"/>
              </w:rPr>
              <w:t>服务期限</w:t>
            </w:r>
          </w:p>
        </w:tc>
        <w:tc>
          <w:tcPr>
            <w:tcW w:w="6975" w:type="dxa"/>
            <w:tcBorders>
              <w:top w:val="single" w:color="auto" w:sz="4" w:space="0"/>
              <w:left w:val="nil"/>
              <w:bottom w:val="single" w:color="auto" w:sz="4" w:space="0"/>
              <w:right w:val="single" w:color="auto" w:sz="4" w:space="0"/>
            </w:tcBorders>
            <w:vAlign w:val="center"/>
          </w:tcPr>
          <w:p w14:paraId="630AEDA9">
            <w:pPr>
              <w:pStyle w:val="30"/>
              <w:ind w:firstLine="0" w:firstLineChars="0"/>
              <w:rPr>
                <w:rFonts w:ascii="宋体" w:hAnsi="宋体" w:eastAsia="宋体" w:cs="宋体"/>
                <w:sz w:val="24"/>
              </w:rPr>
            </w:pPr>
            <w:r>
              <w:rPr>
                <w:rFonts w:hint="eastAsia" w:ascii="宋体" w:hAnsi="宋体" w:eastAsia="宋体" w:cs="宋体"/>
                <w:sz w:val="24"/>
              </w:rPr>
              <w:t>合同签订之日起三年，合同为一年一签，采购人根据中标人上一年度的履约考核情况决定是否续签，如续签，最多可续签一年。</w:t>
            </w:r>
          </w:p>
        </w:tc>
      </w:tr>
      <w:tr w14:paraId="0243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951" w:type="dxa"/>
            <w:tcBorders>
              <w:top w:val="single" w:color="auto" w:sz="4" w:space="0"/>
              <w:left w:val="single" w:color="auto" w:sz="4" w:space="0"/>
              <w:bottom w:val="single" w:color="auto" w:sz="4" w:space="0"/>
              <w:right w:val="single" w:color="auto" w:sz="4" w:space="0"/>
            </w:tcBorders>
            <w:vAlign w:val="center"/>
          </w:tcPr>
          <w:p w14:paraId="7EC93259">
            <w:pPr>
              <w:pStyle w:val="30"/>
              <w:spacing w:line="360" w:lineRule="auto"/>
              <w:ind w:firstLine="0" w:firstLineChars="0"/>
              <w:jc w:val="center"/>
              <w:rPr>
                <w:rFonts w:ascii="宋体" w:hAnsi="宋体" w:eastAsia="宋体" w:cs="宋体"/>
                <w:sz w:val="24"/>
              </w:rPr>
            </w:pPr>
            <w:r>
              <w:rPr>
                <w:rFonts w:hint="eastAsia" w:ascii="宋体" w:hAnsi="宋体" w:eastAsia="宋体" w:cs="宋体"/>
                <w:sz w:val="24"/>
              </w:rPr>
              <w:t>付款条件</w:t>
            </w:r>
          </w:p>
        </w:tc>
        <w:tc>
          <w:tcPr>
            <w:tcW w:w="6975" w:type="dxa"/>
            <w:tcBorders>
              <w:top w:val="single" w:color="auto" w:sz="4" w:space="0"/>
              <w:left w:val="nil"/>
              <w:bottom w:val="single" w:color="auto" w:sz="4" w:space="0"/>
              <w:right w:val="single" w:color="auto" w:sz="4" w:space="0"/>
            </w:tcBorders>
            <w:vAlign w:val="center"/>
          </w:tcPr>
          <w:p w14:paraId="1F0EE6F3">
            <w:pPr>
              <w:pStyle w:val="30"/>
              <w:numPr>
                <w:ilvl w:val="0"/>
                <w:numId w:val="2"/>
              </w:numPr>
              <w:ind w:firstLine="0" w:firstLineChars="0"/>
              <w:rPr>
                <w:rFonts w:ascii="宋体" w:hAnsi="宋体" w:eastAsia="宋体" w:cs="宋体"/>
                <w:sz w:val="24"/>
              </w:rPr>
            </w:pPr>
            <w:r>
              <w:rPr>
                <w:rFonts w:hint="eastAsia" w:ascii="宋体" w:hAnsi="宋体" w:eastAsia="宋体" w:cs="宋体"/>
                <w:sz w:val="24"/>
              </w:rPr>
              <w:t>招商运营服务付款方式：合同签订生效后15日内支付招商运营服务合同金额的40%；单年度合同履行完毕后按实支付余款；</w:t>
            </w:r>
          </w:p>
          <w:p w14:paraId="64BB91AF">
            <w:pPr>
              <w:pStyle w:val="30"/>
              <w:numPr>
                <w:ilvl w:val="0"/>
                <w:numId w:val="2"/>
              </w:numPr>
              <w:ind w:firstLine="0" w:firstLineChars="0"/>
              <w:rPr>
                <w:rFonts w:ascii="宋体" w:hAnsi="宋体" w:eastAsia="宋体" w:cs="宋体"/>
                <w:sz w:val="24"/>
              </w:rPr>
            </w:pPr>
            <w:r>
              <w:rPr>
                <w:rFonts w:hint="eastAsia" w:ascii="宋体" w:hAnsi="宋体" w:eastAsia="宋体" w:cs="宋体"/>
                <w:sz w:val="24"/>
              </w:rPr>
              <w:t>园区物业化管理服务付款方式：每月按实支付；</w:t>
            </w:r>
          </w:p>
          <w:p w14:paraId="6CB2DB93">
            <w:pPr>
              <w:pStyle w:val="30"/>
              <w:ind w:firstLine="0" w:firstLineChars="0"/>
              <w:rPr>
                <w:rFonts w:ascii="宋体" w:hAnsi="宋体" w:eastAsia="宋体" w:cs="宋体"/>
                <w:sz w:val="24"/>
              </w:rPr>
            </w:pPr>
            <w:r>
              <w:rPr>
                <w:rFonts w:hint="eastAsia" w:ascii="宋体" w:hAnsi="宋体" w:eastAsia="宋体" w:cs="宋体"/>
                <w:sz w:val="22"/>
                <w:szCs w:val="22"/>
              </w:rPr>
              <w:t>（支付款项前，中标人需提供有效正规增值税专用发票，采购人在收到中标供应商提供的发票后在合同约定的时间支付相应款项，否则采购人有权延迟支付相应费用而不被视为违约，亦无须承担任何违约责任。）</w:t>
            </w:r>
          </w:p>
        </w:tc>
      </w:tr>
      <w:tr w14:paraId="7692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1" w:type="dxa"/>
            <w:tcBorders>
              <w:top w:val="single" w:color="auto" w:sz="4" w:space="0"/>
              <w:left w:val="single" w:color="auto" w:sz="4" w:space="0"/>
              <w:bottom w:val="single" w:color="auto" w:sz="4" w:space="0"/>
              <w:right w:val="single" w:color="auto" w:sz="4" w:space="0"/>
            </w:tcBorders>
            <w:vAlign w:val="center"/>
          </w:tcPr>
          <w:p w14:paraId="635E5EEA">
            <w:pPr>
              <w:pStyle w:val="30"/>
              <w:spacing w:line="360" w:lineRule="auto"/>
              <w:ind w:firstLine="0" w:firstLineChars="0"/>
              <w:jc w:val="center"/>
              <w:rPr>
                <w:rFonts w:ascii="宋体" w:hAnsi="宋体" w:eastAsia="宋体" w:cs="宋体"/>
                <w:sz w:val="24"/>
              </w:rPr>
            </w:pPr>
            <w:r>
              <w:rPr>
                <w:rFonts w:hint="eastAsia" w:ascii="宋体" w:hAnsi="宋体" w:eastAsia="宋体" w:cs="宋体"/>
                <w:sz w:val="24"/>
              </w:rPr>
              <w:t>合同终止</w:t>
            </w:r>
          </w:p>
        </w:tc>
        <w:tc>
          <w:tcPr>
            <w:tcW w:w="6975" w:type="dxa"/>
            <w:tcBorders>
              <w:top w:val="single" w:color="auto" w:sz="4" w:space="0"/>
              <w:left w:val="nil"/>
              <w:bottom w:val="single" w:color="auto" w:sz="4" w:space="0"/>
              <w:right w:val="single" w:color="auto" w:sz="4" w:space="0"/>
            </w:tcBorders>
            <w:vAlign w:val="center"/>
          </w:tcPr>
          <w:p w14:paraId="75EECF6A">
            <w:pPr>
              <w:pStyle w:val="30"/>
              <w:ind w:firstLine="0" w:firstLineChars="0"/>
              <w:rPr>
                <w:rFonts w:ascii="宋体" w:hAnsi="宋体" w:eastAsia="宋体" w:cs="宋体"/>
                <w:sz w:val="24"/>
              </w:rPr>
            </w:pPr>
            <w:r>
              <w:rPr>
                <w:rFonts w:hint="eastAsia" w:ascii="宋体" w:hAnsi="宋体" w:eastAsia="宋体" w:cs="宋体"/>
                <w:sz w:val="24"/>
              </w:rPr>
              <w:t>中标人在合同有效期内，不得以任何理由终止合同，确有特殊情况的，须提前2个月向采购人提出书面申请，经采购人同意后，方可终止合同。因中标人达不到采购人要求及投标时各项服务承诺，采购人有权要求其整改、扣款直至终止合同，中标人承担全部责任。</w:t>
            </w:r>
          </w:p>
        </w:tc>
      </w:tr>
      <w:tr w14:paraId="09B3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1" w:type="dxa"/>
            <w:tcBorders>
              <w:top w:val="single" w:color="auto" w:sz="4" w:space="0"/>
              <w:left w:val="single" w:color="auto" w:sz="4" w:space="0"/>
              <w:bottom w:val="single" w:color="auto" w:sz="4" w:space="0"/>
              <w:right w:val="single" w:color="auto" w:sz="4" w:space="0"/>
            </w:tcBorders>
            <w:vAlign w:val="center"/>
          </w:tcPr>
          <w:p w14:paraId="381C9BA0">
            <w:pPr>
              <w:widowControl/>
              <w:spacing w:line="0" w:lineRule="atLeast"/>
              <w:ind w:left="-108" w:right="-120"/>
              <w:jc w:val="center"/>
              <w:rPr>
                <w:rFonts w:ascii="宋体" w:hAnsi="宋体" w:cs="宋体"/>
                <w:sz w:val="24"/>
              </w:rPr>
            </w:pPr>
            <w:r>
              <w:rPr>
                <w:rFonts w:hint="eastAsia" w:ascii="宋体" w:hAnsi="宋体" w:cs="宋体"/>
                <w:sz w:val="24"/>
              </w:rPr>
              <w:t>履约保证金</w:t>
            </w:r>
          </w:p>
        </w:tc>
        <w:tc>
          <w:tcPr>
            <w:tcW w:w="6975" w:type="dxa"/>
            <w:tcBorders>
              <w:top w:val="single" w:color="auto" w:sz="4" w:space="0"/>
              <w:left w:val="nil"/>
              <w:bottom w:val="single" w:color="auto" w:sz="4" w:space="0"/>
              <w:right w:val="single" w:color="auto" w:sz="4" w:space="0"/>
            </w:tcBorders>
            <w:vAlign w:val="center"/>
          </w:tcPr>
          <w:p w14:paraId="2D9E2C5F">
            <w:pPr>
              <w:widowControl/>
              <w:spacing w:line="0" w:lineRule="atLeast"/>
              <w:ind w:left="-108" w:right="-120"/>
              <w:jc w:val="left"/>
              <w:rPr>
                <w:rFonts w:ascii="宋体" w:hAnsi="宋体" w:cs="宋体"/>
                <w:sz w:val="24"/>
              </w:rPr>
            </w:pPr>
            <w:r>
              <w:rPr>
                <w:rFonts w:hint="eastAsia" w:ascii="宋体" w:hAnsi="宋体" w:cs="宋体"/>
                <w:sz w:val="24"/>
              </w:rPr>
              <w:t>履约保证金</w:t>
            </w:r>
            <w:r>
              <w:rPr>
                <w:rFonts w:ascii="宋体" w:hAnsi="宋体" w:cs="宋体"/>
                <w:sz w:val="24"/>
              </w:rPr>
              <w:t>形式：</w:t>
            </w:r>
            <w:r>
              <w:rPr>
                <w:rFonts w:hint="eastAsia" w:ascii="宋体" w:hAnsi="宋体" w:cs="宋体"/>
                <w:sz w:val="24"/>
              </w:rPr>
              <w:t>电汇、银行保函、保险公司保函。</w:t>
            </w:r>
          </w:p>
          <w:p w14:paraId="06A33F20">
            <w:pPr>
              <w:widowControl/>
              <w:spacing w:line="0" w:lineRule="atLeast"/>
              <w:ind w:left="-108" w:right="-120"/>
              <w:jc w:val="left"/>
              <w:rPr>
                <w:rFonts w:ascii="宋体" w:hAnsi="宋体" w:cs="宋体"/>
                <w:sz w:val="24"/>
              </w:rPr>
            </w:pPr>
            <w:r>
              <w:rPr>
                <w:rFonts w:hint="eastAsia" w:ascii="宋体" w:hAnsi="宋体" w:cs="宋体"/>
                <w:sz w:val="24"/>
              </w:rPr>
              <w:t>履约保证金</w:t>
            </w:r>
            <w:r>
              <w:rPr>
                <w:rFonts w:ascii="宋体" w:hAnsi="宋体" w:cs="宋体"/>
                <w:sz w:val="24"/>
              </w:rPr>
              <w:t>的收取及退还：</w:t>
            </w:r>
            <w:r>
              <w:rPr>
                <w:rFonts w:hint="eastAsia" w:ascii="宋体" w:hAnsi="宋体" w:cs="宋体"/>
                <w:sz w:val="24"/>
              </w:rPr>
              <w:t>按合同总金额的1%计收。合同签订前，乙方向甲方支付本合同总价1％的履约保证金，待合同履约完毕后，甲方一次性退还给乙方（无息）。</w:t>
            </w:r>
          </w:p>
        </w:tc>
      </w:tr>
      <w:tr w14:paraId="0634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1" w:type="dxa"/>
            <w:tcBorders>
              <w:top w:val="single" w:color="auto" w:sz="4" w:space="0"/>
              <w:left w:val="single" w:color="auto" w:sz="4" w:space="0"/>
              <w:bottom w:val="single" w:color="auto" w:sz="4" w:space="0"/>
              <w:right w:val="single" w:color="auto" w:sz="4" w:space="0"/>
            </w:tcBorders>
            <w:vAlign w:val="center"/>
          </w:tcPr>
          <w:p w14:paraId="279DFA1F">
            <w:pPr>
              <w:pStyle w:val="30"/>
              <w:spacing w:line="360" w:lineRule="auto"/>
              <w:ind w:firstLine="0" w:firstLineChars="0"/>
              <w:jc w:val="center"/>
              <w:rPr>
                <w:rFonts w:ascii="宋体" w:hAnsi="宋体" w:eastAsia="宋体" w:cs="宋体"/>
                <w:sz w:val="24"/>
              </w:rPr>
            </w:pPr>
            <w:r>
              <w:rPr>
                <w:rFonts w:hint="eastAsia" w:ascii="宋体" w:hAnsi="宋体" w:eastAsia="宋体" w:cs="宋体"/>
                <w:sz w:val="24"/>
              </w:rPr>
              <w:t>培训计划</w:t>
            </w:r>
          </w:p>
        </w:tc>
        <w:tc>
          <w:tcPr>
            <w:tcW w:w="6975" w:type="dxa"/>
            <w:tcBorders>
              <w:top w:val="single" w:color="auto" w:sz="4" w:space="0"/>
              <w:left w:val="nil"/>
              <w:bottom w:val="single" w:color="auto" w:sz="4" w:space="0"/>
              <w:right w:val="single" w:color="auto" w:sz="4" w:space="0"/>
            </w:tcBorders>
            <w:vAlign w:val="center"/>
          </w:tcPr>
          <w:p w14:paraId="57595221">
            <w:pPr>
              <w:pStyle w:val="30"/>
              <w:ind w:firstLine="0" w:firstLineChars="0"/>
              <w:rPr>
                <w:rFonts w:ascii="宋体" w:hAnsi="宋体" w:eastAsia="宋体" w:cs="宋体"/>
                <w:sz w:val="24"/>
              </w:rPr>
            </w:pPr>
            <w:r>
              <w:rPr>
                <w:rFonts w:hint="eastAsia" w:ascii="宋体" w:hAnsi="宋体" w:eastAsia="宋体" w:cs="宋体"/>
                <w:sz w:val="24"/>
              </w:rPr>
              <w:t>中标人应制订详细的培训计划，对员工进行岗位培训、应急演练和文明服务培训，确保每个员工培训合格上岗。</w:t>
            </w:r>
          </w:p>
        </w:tc>
      </w:tr>
      <w:tr w14:paraId="7606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1" w:type="dxa"/>
            <w:vMerge w:val="restart"/>
            <w:tcBorders>
              <w:top w:val="single" w:color="auto" w:sz="4" w:space="0"/>
              <w:left w:val="single" w:color="auto" w:sz="4" w:space="0"/>
              <w:bottom w:val="single" w:color="auto" w:sz="4" w:space="0"/>
              <w:right w:val="single" w:color="auto" w:sz="4" w:space="0"/>
            </w:tcBorders>
            <w:vAlign w:val="center"/>
          </w:tcPr>
          <w:p w14:paraId="05A50DC6">
            <w:pPr>
              <w:pStyle w:val="30"/>
              <w:spacing w:line="360" w:lineRule="auto"/>
              <w:ind w:firstLine="0" w:firstLineChars="0"/>
              <w:jc w:val="center"/>
              <w:rPr>
                <w:rFonts w:ascii="宋体" w:hAnsi="宋体" w:eastAsia="宋体" w:cs="宋体"/>
                <w:sz w:val="24"/>
              </w:rPr>
            </w:pPr>
            <w:r>
              <w:rPr>
                <w:rFonts w:hint="eastAsia" w:ascii="宋体" w:hAnsi="宋体" w:eastAsia="宋体" w:cs="宋体"/>
                <w:sz w:val="24"/>
              </w:rPr>
              <w:t>其他要求</w:t>
            </w:r>
          </w:p>
        </w:tc>
        <w:tc>
          <w:tcPr>
            <w:tcW w:w="6975" w:type="dxa"/>
            <w:tcBorders>
              <w:top w:val="single" w:color="auto" w:sz="4" w:space="0"/>
              <w:left w:val="single" w:color="auto" w:sz="4" w:space="0"/>
              <w:bottom w:val="single" w:color="auto" w:sz="4" w:space="0"/>
              <w:right w:val="single" w:color="auto" w:sz="4" w:space="0"/>
            </w:tcBorders>
            <w:vAlign w:val="center"/>
          </w:tcPr>
          <w:p w14:paraId="151F6299">
            <w:pPr>
              <w:pStyle w:val="30"/>
              <w:ind w:firstLine="0" w:firstLineChars="0"/>
              <w:rPr>
                <w:rFonts w:ascii="宋体" w:hAnsi="宋体" w:eastAsia="宋体" w:cs="宋体"/>
                <w:sz w:val="24"/>
              </w:rPr>
            </w:pPr>
            <w:r>
              <w:rPr>
                <w:rFonts w:hint="eastAsia" w:ascii="宋体" w:hAnsi="宋体" w:eastAsia="宋体" w:cs="宋体"/>
                <w:sz w:val="24"/>
              </w:rPr>
              <w:t>投标人应制订具体的质量保证措施、质量保证及相关服务的承诺。如因质量未达到目标，中标人应因此承担责任和经济赔偿。</w:t>
            </w:r>
          </w:p>
        </w:tc>
      </w:tr>
      <w:tr w14:paraId="77D8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1" w:type="dxa"/>
            <w:vMerge w:val="continue"/>
            <w:tcBorders>
              <w:top w:val="single" w:color="auto" w:sz="4" w:space="0"/>
              <w:left w:val="single" w:color="auto" w:sz="4" w:space="0"/>
              <w:bottom w:val="single" w:color="auto" w:sz="4" w:space="0"/>
              <w:right w:val="single" w:color="auto" w:sz="4" w:space="0"/>
            </w:tcBorders>
            <w:vAlign w:val="center"/>
          </w:tcPr>
          <w:p w14:paraId="0FA61AAB">
            <w:pPr>
              <w:pStyle w:val="30"/>
              <w:spacing w:line="360" w:lineRule="auto"/>
              <w:ind w:firstLine="0" w:firstLineChars="0"/>
              <w:rPr>
                <w:rFonts w:ascii="宋体" w:hAnsi="宋体" w:eastAsia="宋体" w:cs="宋体"/>
                <w:sz w:val="24"/>
              </w:rPr>
            </w:pPr>
          </w:p>
        </w:tc>
        <w:tc>
          <w:tcPr>
            <w:tcW w:w="6975" w:type="dxa"/>
            <w:tcBorders>
              <w:top w:val="single" w:color="auto" w:sz="4" w:space="0"/>
              <w:left w:val="single" w:color="auto" w:sz="4" w:space="0"/>
              <w:bottom w:val="single" w:color="auto" w:sz="4" w:space="0"/>
              <w:right w:val="single" w:color="auto" w:sz="4" w:space="0"/>
            </w:tcBorders>
            <w:vAlign w:val="center"/>
          </w:tcPr>
          <w:p w14:paraId="78517E37">
            <w:pPr>
              <w:pStyle w:val="30"/>
              <w:ind w:firstLine="0" w:firstLineChars="0"/>
              <w:rPr>
                <w:rFonts w:ascii="宋体" w:hAnsi="宋体" w:eastAsia="宋体" w:cs="宋体"/>
                <w:sz w:val="24"/>
              </w:rPr>
            </w:pPr>
            <w:r>
              <w:rPr>
                <w:rFonts w:hint="eastAsia" w:ascii="宋体" w:hAnsi="宋体" w:eastAsia="宋体" w:cs="宋体"/>
                <w:sz w:val="24"/>
              </w:rPr>
              <w:t>中标人派驻的工作人员应做好自身防护工作，工作人员在工作期间发生的所有伤残亡事故由中标人自行承担，中标人对其工作人员的安全负全部责任。</w:t>
            </w:r>
          </w:p>
        </w:tc>
      </w:tr>
      <w:tr w14:paraId="01B8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1" w:type="dxa"/>
            <w:vMerge w:val="continue"/>
            <w:tcBorders>
              <w:top w:val="single" w:color="auto" w:sz="4" w:space="0"/>
              <w:left w:val="single" w:color="auto" w:sz="4" w:space="0"/>
              <w:bottom w:val="single" w:color="auto" w:sz="4" w:space="0"/>
              <w:right w:val="single" w:color="auto" w:sz="4" w:space="0"/>
            </w:tcBorders>
            <w:vAlign w:val="center"/>
          </w:tcPr>
          <w:p w14:paraId="2A9898F7">
            <w:pPr>
              <w:pStyle w:val="30"/>
              <w:spacing w:line="360" w:lineRule="auto"/>
              <w:ind w:firstLine="0" w:firstLineChars="0"/>
              <w:rPr>
                <w:rFonts w:ascii="宋体" w:hAnsi="宋体" w:eastAsia="宋体" w:cs="宋体"/>
                <w:sz w:val="24"/>
              </w:rPr>
            </w:pPr>
          </w:p>
        </w:tc>
        <w:tc>
          <w:tcPr>
            <w:tcW w:w="6975" w:type="dxa"/>
            <w:tcBorders>
              <w:top w:val="single" w:color="auto" w:sz="4" w:space="0"/>
              <w:left w:val="single" w:color="auto" w:sz="4" w:space="0"/>
              <w:bottom w:val="single" w:color="auto" w:sz="4" w:space="0"/>
              <w:right w:val="single" w:color="auto" w:sz="4" w:space="0"/>
            </w:tcBorders>
            <w:vAlign w:val="center"/>
          </w:tcPr>
          <w:p w14:paraId="7636BC7C">
            <w:pPr>
              <w:pStyle w:val="30"/>
              <w:ind w:firstLine="0" w:firstLineChars="0"/>
              <w:rPr>
                <w:rFonts w:ascii="宋体" w:hAnsi="宋体" w:eastAsia="宋体" w:cs="宋体"/>
                <w:sz w:val="24"/>
              </w:rPr>
            </w:pPr>
            <w:r>
              <w:rPr>
                <w:rFonts w:hint="eastAsia" w:ascii="宋体" w:hAnsi="宋体" w:eastAsia="宋体" w:cs="宋体"/>
                <w:sz w:val="24"/>
              </w:rPr>
              <w:t>中标人应充分认识到在合同期限内政府政策性调价，如最低保障工资、社会保险基数调整、增设缴费项目等情况，采购人不再追加费用。</w:t>
            </w:r>
          </w:p>
          <w:p w14:paraId="7519B13F">
            <w:pPr>
              <w:pStyle w:val="30"/>
              <w:ind w:firstLine="0" w:firstLineChars="0"/>
              <w:rPr>
                <w:rFonts w:ascii="宋体" w:hAnsi="宋体" w:eastAsia="宋体" w:cs="宋体"/>
                <w:sz w:val="24"/>
              </w:rPr>
            </w:pPr>
            <w:r>
              <w:rPr>
                <w:rFonts w:hint="eastAsia" w:ascii="宋体" w:hAnsi="宋体" w:eastAsia="宋体" w:cs="宋体"/>
                <w:sz w:val="24"/>
              </w:rPr>
              <w:t>在服务期限内，如遇采购人业务量增减、需要增减人员的按人员单价计算服务费用。</w:t>
            </w:r>
          </w:p>
        </w:tc>
      </w:tr>
      <w:tr w14:paraId="66FE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51" w:type="dxa"/>
            <w:vMerge w:val="continue"/>
            <w:tcBorders>
              <w:top w:val="single" w:color="auto" w:sz="4" w:space="0"/>
              <w:left w:val="single" w:color="auto" w:sz="4" w:space="0"/>
              <w:bottom w:val="single" w:color="auto" w:sz="4" w:space="0"/>
              <w:right w:val="single" w:color="auto" w:sz="4" w:space="0"/>
            </w:tcBorders>
            <w:vAlign w:val="center"/>
          </w:tcPr>
          <w:p w14:paraId="1791A890">
            <w:pPr>
              <w:pStyle w:val="30"/>
              <w:spacing w:line="360" w:lineRule="auto"/>
              <w:ind w:firstLine="0" w:firstLineChars="0"/>
              <w:rPr>
                <w:rFonts w:ascii="宋体" w:hAnsi="宋体" w:eastAsia="宋体" w:cs="宋体"/>
                <w:sz w:val="24"/>
              </w:rPr>
            </w:pPr>
          </w:p>
        </w:tc>
        <w:tc>
          <w:tcPr>
            <w:tcW w:w="6975" w:type="dxa"/>
            <w:tcBorders>
              <w:top w:val="single" w:color="auto" w:sz="4" w:space="0"/>
              <w:left w:val="single" w:color="auto" w:sz="4" w:space="0"/>
              <w:bottom w:val="single" w:color="auto" w:sz="4" w:space="0"/>
              <w:right w:val="single" w:color="auto" w:sz="4" w:space="0"/>
            </w:tcBorders>
            <w:vAlign w:val="center"/>
          </w:tcPr>
          <w:p w14:paraId="14873960">
            <w:pPr>
              <w:pStyle w:val="30"/>
              <w:ind w:firstLine="0" w:firstLineChars="0"/>
              <w:rPr>
                <w:rFonts w:ascii="宋体" w:hAnsi="宋体" w:eastAsia="宋体" w:cs="宋体"/>
                <w:sz w:val="24"/>
              </w:rPr>
            </w:pPr>
            <w:r>
              <w:rPr>
                <w:rFonts w:hint="eastAsia" w:ascii="宋体" w:hAnsi="宋体" w:eastAsia="宋体" w:cs="宋体"/>
                <w:sz w:val="24"/>
              </w:rPr>
              <w:t>采购人提供的各种设备、设施、工具，所有人员应安全、规范使用，除正常使用折旧外，中标人的工作人员应保证各设备、设施、工具的完好性，如有非正常损坏或遗失，中标人应照价赔偿。</w:t>
            </w:r>
          </w:p>
        </w:tc>
      </w:tr>
    </w:tbl>
    <w:p w14:paraId="5EEF8A23"/>
    <w:p w14:paraId="70BAA9C0">
      <w:pPr>
        <w:snapToGrid w:val="0"/>
        <w:spacing w:line="360" w:lineRule="auto"/>
        <w:jc w:val="center"/>
        <w:rPr>
          <w:rFonts w:ascii="宋体" w:hAnsi="宋体" w:cs="仿宋"/>
          <w:b/>
          <w:sz w:val="24"/>
        </w:rPr>
        <w:sectPr>
          <w:headerReference r:id="rId4" w:type="first"/>
          <w:footerReference r:id="rId6" w:type="first"/>
          <w:headerReference r:id="rId3" w:type="default"/>
          <w:footerReference r:id="rId5" w:type="default"/>
          <w:pgSz w:w="11906" w:h="16838"/>
          <w:pgMar w:top="1276" w:right="1274" w:bottom="1247" w:left="1418" w:header="851" w:footer="992" w:gutter="0"/>
          <w:cols w:space="720" w:num="1"/>
          <w:titlePg/>
          <w:docGrid w:linePitch="312" w:charSpace="0"/>
        </w:sectPr>
      </w:pPr>
    </w:p>
    <w:p w14:paraId="0CFD5C20">
      <w:pPr>
        <w:snapToGrid w:val="0"/>
        <w:spacing w:line="360" w:lineRule="auto"/>
        <w:jc w:val="center"/>
        <w:rPr>
          <w:rFonts w:ascii="宋体" w:hAnsi="宋体" w:cs="仿宋"/>
          <w:b/>
          <w:sz w:val="36"/>
          <w:szCs w:val="36"/>
        </w:rPr>
      </w:pPr>
      <w:r>
        <w:rPr>
          <w:rFonts w:hint="eastAsia" w:ascii="宋体" w:hAnsi="宋体" w:cs="仿宋"/>
          <w:b/>
          <w:sz w:val="24"/>
        </w:rPr>
        <w:t xml:space="preserve">                                                                                </w:t>
      </w:r>
      <w:r>
        <w:rPr>
          <w:rFonts w:hint="eastAsia" w:ascii="宋体" w:hAnsi="宋体" w:cs="仿宋"/>
          <w:b/>
          <w:sz w:val="36"/>
          <w:szCs w:val="36"/>
        </w:rPr>
        <w:t xml:space="preserve">第四部分   </w:t>
      </w:r>
      <w:bookmarkStart w:id="33" w:name="_Toc184310273"/>
      <w:bookmarkEnd w:id="33"/>
      <w:bookmarkStart w:id="34" w:name="_Toc184314422"/>
      <w:bookmarkEnd w:id="34"/>
      <w:bookmarkStart w:id="35" w:name="_Toc184312079"/>
      <w:bookmarkEnd w:id="35"/>
      <w:bookmarkStart w:id="36" w:name="_Toc184313255"/>
      <w:bookmarkEnd w:id="36"/>
      <w:bookmarkStart w:id="37" w:name="_Toc184312078"/>
      <w:bookmarkEnd w:id="37"/>
      <w:bookmarkStart w:id="38" w:name="_Toc184310344"/>
      <w:bookmarkEnd w:id="38"/>
      <w:bookmarkStart w:id="39" w:name="_Toc184312109"/>
      <w:bookmarkEnd w:id="39"/>
      <w:bookmarkStart w:id="40" w:name="_Toc184314446"/>
      <w:bookmarkEnd w:id="40"/>
      <w:bookmarkStart w:id="41" w:name="_Toc184310323"/>
      <w:bookmarkEnd w:id="41"/>
      <w:bookmarkStart w:id="42" w:name="_Toc184314478"/>
      <w:bookmarkEnd w:id="42"/>
      <w:bookmarkStart w:id="43" w:name="_Toc184312096"/>
      <w:bookmarkEnd w:id="43"/>
      <w:bookmarkStart w:id="44" w:name="_Toc184310340"/>
      <w:bookmarkEnd w:id="44"/>
      <w:bookmarkStart w:id="45" w:name="_Toc184308102"/>
      <w:bookmarkEnd w:id="45"/>
      <w:bookmarkStart w:id="46" w:name="_Toc184313276"/>
      <w:bookmarkEnd w:id="46"/>
      <w:bookmarkStart w:id="47" w:name="_Toc184312092"/>
      <w:bookmarkEnd w:id="47"/>
      <w:bookmarkStart w:id="48" w:name="_Toc184308081"/>
      <w:bookmarkEnd w:id="48"/>
      <w:bookmarkStart w:id="49" w:name="_Toc184308047"/>
      <w:bookmarkEnd w:id="49"/>
      <w:bookmarkStart w:id="50" w:name="_Toc184313249"/>
      <w:bookmarkEnd w:id="50"/>
      <w:bookmarkStart w:id="51" w:name="_Toc184308042"/>
      <w:bookmarkEnd w:id="51"/>
      <w:bookmarkStart w:id="52" w:name="_Toc184313241"/>
      <w:bookmarkEnd w:id="52"/>
      <w:bookmarkStart w:id="53" w:name="_Toc184308054"/>
      <w:bookmarkEnd w:id="53"/>
      <w:bookmarkStart w:id="54" w:name="_Toc184310284"/>
      <w:bookmarkEnd w:id="54"/>
      <w:bookmarkStart w:id="55" w:name="_Toc184310289"/>
      <w:bookmarkEnd w:id="55"/>
      <w:bookmarkStart w:id="56" w:name="_Toc184308056"/>
      <w:bookmarkEnd w:id="56"/>
      <w:bookmarkStart w:id="57" w:name="_Toc184308049"/>
      <w:bookmarkEnd w:id="57"/>
      <w:bookmarkStart w:id="58" w:name="_Toc184314472"/>
      <w:bookmarkEnd w:id="58"/>
      <w:bookmarkStart w:id="59" w:name="_Toc184312137"/>
      <w:bookmarkEnd w:id="59"/>
      <w:bookmarkStart w:id="60" w:name="_Toc184312139"/>
      <w:bookmarkEnd w:id="60"/>
      <w:bookmarkStart w:id="61" w:name="_Toc184310330"/>
      <w:bookmarkEnd w:id="61"/>
      <w:bookmarkStart w:id="62" w:name="_Toc184314455"/>
      <w:bookmarkEnd w:id="62"/>
      <w:bookmarkStart w:id="63" w:name="_Toc184314460"/>
      <w:bookmarkEnd w:id="63"/>
      <w:bookmarkStart w:id="64" w:name="_Toc184313243"/>
      <w:bookmarkEnd w:id="64"/>
      <w:bookmarkStart w:id="65" w:name="_Toc184310310"/>
      <w:bookmarkEnd w:id="65"/>
      <w:bookmarkStart w:id="66" w:name="_Toc184308045"/>
      <w:bookmarkEnd w:id="66"/>
      <w:bookmarkStart w:id="67" w:name="_Toc184310329"/>
      <w:bookmarkEnd w:id="67"/>
      <w:bookmarkStart w:id="68" w:name="_Toc184310282"/>
      <w:bookmarkEnd w:id="68"/>
      <w:bookmarkStart w:id="69" w:name="_Toc184313259"/>
      <w:bookmarkEnd w:id="69"/>
      <w:bookmarkStart w:id="70" w:name="_Toc184313302"/>
      <w:bookmarkEnd w:id="70"/>
      <w:bookmarkStart w:id="71" w:name="_Toc184313257"/>
      <w:bookmarkEnd w:id="71"/>
      <w:bookmarkStart w:id="72" w:name="_Toc184314465"/>
      <w:bookmarkEnd w:id="72"/>
      <w:bookmarkStart w:id="73" w:name="_Toc184312127"/>
      <w:bookmarkEnd w:id="73"/>
      <w:bookmarkStart w:id="74" w:name="_Toc184308091"/>
      <w:bookmarkEnd w:id="74"/>
      <w:bookmarkStart w:id="75" w:name="_Toc184310301"/>
      <w:bookmarkEnd w:id="75"/>
      <w:bookmarkStart w:id="76" w:name="_Toc184312128"/>
      <w:bookmarkEnd w:id="76"/>
      <w:bookmarkStart w:id="77" w:name="_Toc184314474"/>
      <w:bookmarkEnd w:id="77"/>
      <w:bookmarkStart w:id="78" w:name="_Toc184310312"/>
      <w:bookmarkEnd w:id="78"/>
      <w:bookmarkStart w:id="79" w:name="_Toc184313254"/>
      <w:bookmarkEnd w:id="79"/>
      <w:bookmarkStart w:id="80" w:name="_Toc184313240"/>
      <w:bookmarkEnd w:id="80"/>
      <w:bookmarkStart w:id="81" w:name="_Toc184314457"/>
      <w:bookmarkEnd w:id="81"/>
      <w:bookmarkStart w:id="82" w:name="_Toc184314424"/>
      <w:bookmarkEnd w:id="82"/>
      <w:bookmarkStart w:id="83" w:name="_Toc184313252"/>
      <w:bookmarkEnd w:id="83"/>
      <w:bookmarkStart w:id="84" w:name="_Toc184314469"/>
      <w:bookmarkEnd w:id="84"/>
      <w:bookmarkStart w:id="85" w:name="_Toc184314470"/>
      <w:bookmarkEnd w:id="85"/>
      <w:bookmarkStart w:id="86" w:name="_Toc184313298"/>
      <w:bookmarkEnd w:id="86"/>
      <w:bookmarkStart w:id="87" w:name="_Toc184310311"/>
      <w:bookmarkEnd w:id="87"/>
      <w:bookmarkStart w:id="88" w:name="_Toc184314413"/>
      <w:bookmarkEnd w:id="88"/>
      <w:bookmarkStart w:id="89" w:name="_Toc184310326"/>
      <w:bookmarkEnd w:id="89"/>
      <w:bookmarkStart w:id="90" w:name="_Toc184308063"/>
      <w:bookmarkEnd w:id="90"/>
      <w:bookmarkStart w:id="91" w:name="_Toc184313242"/>
      <w:bookmarkEnd w:id="91"/>
      <w:bookmarkStart w:id="92" w:name="_Toc184313271"/>
      <w:bookmarkEnd w:id="92"/>
      <w:bookmarkStart w:id="93" w:name="_Toc184308073"/>
      <w:bookmarkEnd w:id="93"/>
      <w:bookmarkStart w:id="94" w:name="_Toc184308082"/>
      <w:bookmarkEnd w:id="94"/>
      <w:bookmarkStart w:id="95" w:name="_Toc184310277"/>
      <w:bookmarkEnd w:id="95"/>
      <w:bookmarkStart w:id="96" w:name="_Toc184314459"/>
      <w:bookmarkEnd w:id="96"/>
      <w:bookmarkStart w:id="97" w:name="_Toc184308078"/>
      <w:bookmarkEnd w:id="97"/>
      <w:bookmarkStart w:id="98" w:name="_Toc184312073"/>
      <w:bookmarkEnd w:id="98"/>
      <w:bookmarkStart w:id="99" w:name="_Toc184310291"/>
      <w:bookmarkEnd w:id="99"/>
      <w:bookmarkStart w:id="100" w:name="_Toc184310338"/>
      <w:bookmarkEnd w:id="100"/>
      <w:bookmarkStart w:id="101" w:name="_Toc184312067"/>
      <w:bookmarkEnd w:id="101"/>
      <w:bookmarkStart w:id="102" w:name="_Toc184314458"/>
      <w:bookmarkEnd w:id="102"/>
      <w:bookmarkStart w:id="103" w:name="_Toc184310302"/>
      <w:bookmarkEnd w:id="103"/>
      <w:bookmarkStart w:id="104" w:name="_Toc184312133"/>
      <w:bookmarkEnd w:id="104"/>
      <w:bookmarkStart w:id="105" w:name="_Toc184308070"/>
      <w:bookmarkEnd w:id="105"/>
      <w:bookmarkStart w:id="106" w:name="_Toc184313291"/>
      <w:bookmarkEnd w:id="106"/>
      <w:bookmarkStart w:id="107" w:name="_Toc184312090"/>
      <w:bookmarkEnd w:id="107"/>
      <w:bookmarkStart w:id="108" w:name="_Toc184312081"/>
      <w:bookmarkEnd w:id="108"/>
      <w:bookmarkStart w:id="109" w:name="_Toc184314421"/>
      <w:bookmarkEnd w:id="109"/>
      <w:bookmarkStart w:id="110" w:name="_Toc184310281"/>
      <w:bookmarkEnd w:id="110"/>
      <w:bookmarkStart w:id="111" w:name="_Toc184313289"/>
      <w:bookmarkEnd w:id="111"/>
      <w:bookmarkStart w:id="112" w:name="_Toc184308096"/>
      <w:bookmarkEnd w:id="112"/>
      <w:bookmarkStart w:id="113" w:name="_Toc184308040"/>
      <w:bookmarkEnd w:id="113"/>
      <w:bookmarkStart w:id="114" w:name="_Toc184314432"/>
      <w:bookmarkEnd w:id="114"/>
      <w:bookmarkStart w:id="115" w:name="_Toc184310313"/>
      <w:bookmarkEnd w:id="115"/>
      <w:bookmarkStart w:id="116" w:name="_Toc184313274"/>
      <w:bookmarkEnd w:id="116"/>
      <w:bookmarkStart w:id="117" w:name="_Toc184310297"/>
      <w:bookmarkEnd w:id="117"/>
      <w:bookmarkStart w:id="118" w:name="_Toc184310318"/>
      <w:bookmarkEnd w:id="118"/>
      <w:bookmarkStart w:id="119" w:name="_Toc184312102"/>
      <w:bookmarkEnd w:id="119"/>
      <w:bookmarkStart w:id="120" w:name="_Toc184314439"/>
      <w:bookmarkEnd w:id="120"/>
      <w:bookmarkStart w:id="121" w:name="_Toc184312087"/>
      <w:bookmarkEnd w:id="121"/>
      <w:bookmarkStart w:id="122" w:name="_Toc184313277"/>
      <w:bookmarkEnd w:id="122"/>
      <w:bookmarkStart w:id="123" w:name="_Toc184308074"/>
      <w:bookmarkEnd w:id="123"/>
      <w:bookmarkStart w:id="124" w:name="_Toc184308075"/>
      <w:bookmarkEnd w:id="124"/>
      <w:bookmarkStart w:id="125" w:name="_Toc184312098"/>
      <w:bookmarkEnd w:id="125"/>
      <w:bookmarkStart w:id="126" w:name="_Toc184310333"/>
      <w:bookmarkEnd w:id="126"/>
      <w:bookmarkStart w:id="127" w:name="_Toc184314462"/>
      <w:bookmarkEnd w:id="127"/>
      <w:bookmarkStart w:id="128" w:name="_Toc184310331"/>
      <w:bookmarkEnd w:id="128"/>
      <w:bookmarkStart w:id="129" w:name="_Toc184314464"/>
      <w:bookmarkEnd w:id="129"/>
      <w:bookmarkStart w:id="130" w:name="_Toc184310343"/>
      <w:bookmarkEnd w:id="130"/>
      <w:bookmarkStart w:id="131" w:name="_Toc184308089"/>
      <w:bookmarkEnd w:id="131"/>
      <w:bookmarkStart w:id="132" w:name="_Toc184312132"/>
      <w:bookmarkEnd w:id="132"/>
      <w:bookmarkStart w:id="133" w:name="_Toc184308093"/>
      <w:bookmarkEnd w:id="133"/>
      <w:bookmarkStart w:id="134" w:name="_Toc184314429"/>
      <w:bookmarkEnd w:id="134"/>
      <w:bookmarkStart w:id="135" w:name="_Toc184314450"/>
      <w:bookmarkEnd w:id="135"/>
      <w:bookmarkStart w:id="136" w:name="_Toc184312088"/>
      <w:bookmarkEnd w:id="136"/>
      <w:bookmarkStart w:id="137" w:name="_Toc184310306"/>
      <w:bookmarkEnd w:id="137"/>
      <w:bookmarkStart w:id="138" w:name="_Toc184310317"/>
      <w:bookmarkEnd w:id="138"/>
      <w:bookmarkStart w:id="139" w:name="_Toc184312097"/>
      <w:bookmarkEnd w:id="139"/>
      <w:bookmarkStart w:id="140" w:name="_Toc184313262"/>
      <w:bookmarkEnd w:id="140"/>
      <w:bookmarkStart w:id="141" w:name="_Toc184312071"/>
      <w:bookmarkEnd w:id="141"/>
      <w:bookmarkStart w:id="142" w:name="_Toc184310288"/>
      <w:bookmarkEnd w:id="142"/>
      <w:bookmarkStart w:id="143" w:name="_Toc184313258"/>
      <w:bookmarkEnd w:id="143"/>
      <w:bookmarkStart w:id="144" w:name="_Toc184313256"/>
      <w:bookmarkEnd w:id="144"/>
      <w:bookmarkStart w:id="145" w:name="_Toc184312121"/>
      <w:bookmarkEnd w:id="145"/>
      <w:bookmarkStart w:id="146" w:name="_Toc184312113"/>
      <w:bookmarkEnd w:id="146"/>
      <w:bookmarkStart w:id="147" w:name="_Toc184308087"/>
      <w:bookmarkEnd w:id="147"/>
      <w:bookmarkStart w:id="148" w:name="_Toc184308071"/>
      <w:bookmarkEnd w:id="148"/>
      <w:bookmarkStart w:id="149" w:name="_Toc184313248"/>
      <w:bookmarkEnd w:id="149"/>
      <w:bookmarkStart w:id="150" w:name="_Toc184313266"/>
      <w:bookmarkEnd w:id="150"/>
      <w:bookmarkStart w:id="151" w:name="_Toc184308080"/>
      <w:bookmarkEnd w:id="151"/>
      <w:bookmarkStart w:id="152" w:name="_Toc184312107"/>
      <w:bookmarkEnd w:id="152"/>
      <w:bookmarkStart w:id="153" w:name="_Toc184312103"/>
      <w:bookmarkEnd w:id="153"/>
      <w:bookmarkStart w:id="154" w:name="_Toc184308036"/>
      <w:bookmarkEnd w:id="154"/>
      <w:bookmarkStart w:id="155" w:name="_Toc184312112"/>
      <w:bookmarkEnd w:id="155"/>
      <w:bookmarkStart w:id="156" w:name="_Toc184312131"/>
      <w:bookmarkEnd w:id="156"/>
      <w:bookmarkStart w:id="157" w:name="_Toc184308079"/>
      <w:bookmarkEnd w:id="157"/>
      <w:bookmarkStart w:id="158" w:name="_Toc184312083"/>
      <w:bookmarkEnd w:id="158"/>
      <w:bookmarkStart w:id="159" w:name="_Toc184308107"/>
      <w:bookmarkEnd w:id="159"/>
      <w:bookmarkStart w:id="160" w:name="_Toc184312114"/>
      <w:bookmarkEnd w:id="160"/>
      <w:bookmarkStart w:id="161" w:name="_Toc184313251"/>
      <w:bookmarkEnd w:id="161"/>
      <w:bookmarkStart w:id="162" w:name="_Toc184310315"/>
      <w:bookmarkEnd w:id="162"/>
      <w:bookmarkStart w:id="163" w:name="_Toc184312130"/>
      <w:bookmarkEnd w:id="163"/>
      <w:bookmarkStart w:id="164" w:name="_Toc184312123"/>
      <w:bookmarkEnd w:id="164"/>
      <w:bookmarkStart w:id="165" w:name="_Toc184314454"/>
      <w:bookmarkEnd w:id="165"/>
      <w:bookmarkStart w:id="166" w:name="_Toc184314444"/>
      <w:bookmarkEnd w:id="166"/>
      <w:bookmarkStart w:id="167" w:name="_Toc184314418"/>
      <w:bookmarkEnd w:id="167"/>
      <w:bookmarkStart w:id="168" w:name="_Toc184310304"/>
      <w:bookmarkEnd w:id="168"/>
      <w:bookmarkStart w:id="169" w:name="_Toc184314411"/>
      <w:bookmarkEnd w:id="169"/>
      <w:bookmarkStart w:id="170" w:name="_Toc184312125"/>
      <w:bookmarkEnd w:id="170"/>
      <w:bookmarkStart w:id="171" w:name="_Toc184313299"/>
      <w:bookmarkEnd w:id="171"/>
      <w:bookmarkStart w:id="172" w:name="_Toc184312104"/>
      <w:bookmarkEnd w:id="172"/>
      <w:bookmarkStart w:id="173" w:name="_Toc184308051"/>
      <w:bookmarkEnd w:id="173"/>
      <w:bookmarkStart w:id="174" w:name="_Toc184312120"/>
      <w:bookmarkEnd w:id="174"/>
      <w:bookmarkStart w:id="175" w:name="_Toc184312076"/>
      <w:bookmarkEnd w:id="175"/>
      <w:bookmarkStart w:id="176" w:name="_Toc184314410"/>
      <w:bookmarkEnd w:id="176"/>
      <w:bookmarkStart w:id="177" w:name="_Toc184314467"/>
      <w:bookmarkEnd w:id="177"/>
      <w:bookmarkStart w:id="178" w:name="_Toc184308097"/>
      <w:bookmarkEnd w:id="178"/>
      <w:bookmarkStart w:id="179" w:name="_Toc184313239"/>
      <w:bookmarkEnd w:id="179"/>
      <w:bookmarkStart w:id="180" w:name="_Toc184313305"/>
      <w:bookmarkEnd w:id="180"/>
      <w:bookmarkStart w:id="181" w:name="_Toc184310320"/>
      <w:bookmarkEnd w:id="181"/>
      <w:bookmarkStart w:id="182" w:name="_Toc184312095"/>
      <w:bookmarkEnd w:id="182"/>
      <w:bookmarkStart w:id="183" w:name="_Toc184314468"/>
      <w:bookmarkEnd w:id="183"/>
      <w:bookmarkStart w:id="184" w:name="_Toc184313304"/>
      <w:bookmarkEnd w:id="184"/>
      <w:bookmarkStart w:id="185" w:name="_Toc184312086"/>
      <w:bookmarkEnd w:id="185"/>
      <w:bookmarkStart w:id="186" w:name="_Toc184313264"/>
      <w:bookmarkEnd w:id="186"/>
      <w:bookmarkStart w:id="187" w:name="_Toc184314438"/>
      <w:bookmarkEnd w:id="187"/>
      <w:bookmarkStart w:id="188" w:name="_Toc184314427"/>
      <w:bookmarkEnd w:id="188"/>
      <w:bookmarkStart w:id="189" w:name="_Toc184308090"/>
      <w:bookmarkEnd w:id="189"/>
      <w:bookmarkStart w:id="190" w:name="_Toc184314471"/>
      <w:bookmarkEnd w:id="190"/>
      <w:bookmarkStart w:id="191" w:name="_Toc184308077"/>
      <w:bookmarkEnd w:id="191"/>
      <w:bookmarkStart w:id="192" w:name="_Toc184313282"/>
      <w:bookmarkEnd w:id="192"/>
      <w:bookmarkStart w:id="193" w:name="_Toc184312080"/>
      <w:bookmarkEnd w:id="193"/>
      <w:bookmarkStart w:id="194" w:name="_Toc184308061"/>
      <w:bookmarkEnd w:id="194"/>
      <w:bookmarkStart w:id="195" w:name="_Toc184308065"/>
      <w:bookmarkEnd w:id="195"/>
      <w:bookmarkStart w:id="196" w:name="_Toc184308039"/>
      <w:bookmarkEnd w:id="196"/>
      <w:bookmarkStart w:id="197" w:name="_Toc184313261"/>
      <w:bookmarkEnd w:id="197"/>
      <w:bookmarkStart w:id="198" w:name="_Toc184313293"/>
      <w:bookmarkEnd w:id="198"/>
      <w:bookmarkStart w:id="199" w:name="_Toc184314441"/>
      <w:bookmarkEnd w:id="199"/>
      <w:bookmarkStart w:id="200" w:name="_Toc184314479"/>
      <w:bookmarkEnd w:id="200"/>
      <w:bookmarkStart w:id="201" w:name="_Toc184314417"/>
      <w:bookmarkEnd w:id="201"/>
      <w:bookmarkStart w:id="202" w:name="_Toc184312119"/>
      <w:bookmarkEnd w:id="202"/>
      <w:bookmarkStart w:id="203" w:name="_Toc184313253"/>
      <w:bookmarkEnd w:id="203"/>
      <w:bookmarkStart w:id="204" w:name="_Toc184312075"/>
      <w:bookmarkEnd w:id="204"/>
      <w:bookmarkStart w:id="205" w:name="_Toc184308037"/>
      <w:bookmarkEnd w:id="205"/>
      <w:bookmarkStart w:id="206" w:name="_Toc184314425"/>
      <w:bookmarkEnd w:id="206"/>
      <w:bookmarkStart w:id="207" w:name="_Toc184312077"/>
      <w:bookmarkEnd w:id="207"/>
      <w:bookmarkStart w:id="208" w:name="_Toc184308041"/>
      <w:bookmarkEnd w:id="208"/>
      <w:bookmarkStart w:id="209" w:name="_Toc184314476"/>
      <w:bookmarkEnd w:id="209"/>
      <w:bookmarkStart w:id="210" w:name="_Toc184313260"/>
      <w:bookmarkEnd w:id="210"/>
      <w:bookmarkStart w:id="211" w:name="_Toc184310328"/>
      <w:bookmarkEnd w:id="211"/>
      <w:bookmarkStart w:id="212" w:name="_Toc184312069"/>
      <w:bookmarkEnd w:id="212"/>
      <w:bookmarkStart w:id="213" w:name="_Toc184308094"/>
      <w:bookmarkEnd w:id="213"/>
      <w:bookmarkStart w:id="214" w:name="_Toc184308048"/>
      <w:bookmarkEnd w:id="214"/>
      <w:bookmarkStart w:id="215" w:name="_Toc184308076"/>
      <w:bookmarkEnd w:id="215"/>
      <w:bookmarkStart w:id="216" w:name="_Toc184310290"/>
      <w:bookmarkEnd w:id="216"/>
      <w:bookmarkStart w:id="217" w:name="_Toc184313309"/>
      <w:bookmarkEnd w:id="217"/>
      <w:bookmarkStart w:id="218" w:name="_Toc184308069"/>
      <w:bookmarkEnd w:id="218"/>
      <w:bookmarkStart w:id="219" w:name="_Toc184310296"/>
      <w:bookmarkEnd w:id="219"/>
      <w:bookmarkStart w:id="220" w:name="_Toc184313295"/>
      <w:bookmarkEnd w:id="220"/>
      <w:bookmarkStart w:id="221" w:name="_Toc184308059"/>
      <w:bookmarkEnd w:id="221"/>
      <w:bookmarkStart w:id="222" w:name="_Toc184310285"/>
      <w:bookmarkEnd w:id="222"/>
      <w:bookmarkStart w:id="223" w:name="_Toc184310283"/>
      <w:bookmarkEnd w:id="223"/>
      <w:bookmarkStart w:id="224" w:name="_Toc184313278"/>
      <w:bookmarkEnd w:id="224"/>
      <w:bookmarkStart w:id="225" w:name="_Toc184314423"/>
      <w:bookmarkEnd w:id="225"/>
      <w:bookmarkStart w:id="226" w:name="_Toc184310272"/>
      <w:bookmarkEnd w:id="226"/>
      <w:bookmarkStart w:id="227" w:name="_Toc184310305"/>
      <w:bookmarkEnd w:id="227"/>
      <w:bookmarkStart w:id="228" w:name="_Toc184310342"/>
      <w:bookmarkEnd w:id="228"/>
      <w:bookmarkStart w:id="229" w:name="_Toc184314477"/>
      <w:bookmarkEnd w:id="229"/>
      <w:bookmarkStart w:id="230" w:name="_Toc184313284"/>
      <w:bookmarkEnd w:id="230"/>
      <w:bookmarkStart w:id="231" w:name="_Toc184310308"/>
      <w:bookmarkEnd w:id="231"/>
      <w:bookmarkStart w:id="232" w:name="_Toc184308086"/>
      <w:bookmarkEnd w:id="232"/>
      <w:bookmarkStart w:id="233" w:name="_Toc184310294"/>
      <w:bookmarkEnd w:id="233"/>
      <w:bookmarkStart w:id="234" w:name="_Toc184313288"/>
      <w:bookmarkEnd w:id="234"/>
      <w:bookmarkStart w:id="235" w:name="_Toc184310274"/>
      <w:bookmarkEnd w:id="235"/>
      <w:bookmarkStart w:id="236" w:name="_Toc184313297"/>
      <w:bookmarkEnd w:id="236"/>
      <w:bookmarkStart w:id="237" w:name="_Toc184310314"/>
      <w:bookmarkEnd w:id="237"/>
      <w:bookmarkStart w:id="238" w:name="_Toc184310319"/>
      <w:bookmarkEnd w:id="238"/>
      <w:bookmarkStart w:id="239" w:name="_Toc184314475"/>
      <w:bookmarkEnd w:id="239"/>
      <w:bookmarkStart w:id="240" w:name="_Toc184308052"/>
      <w:bookmarkEnd w:id="240"/>
      <w:bookmarkStart w:id="241" w:name="_Toc184314481"/>
      <w:bookmarkEnd w:id="241"/>
      <w:bookmarkStart w:id="242" w:name="_Toc184312115"/>
      <w:bookmarkEnd w:id="242"/>
      <w:bookmarkStart w:id="243" w:name="_Toc184314434"/>
      <w:bookmarkEnd w:id="243"/>
      <w:bookmarkStart w:id="244" w:name="_Toc184313307"/>
      <w:bookmarkEnd w:id="244"/>
      <w:bookmarkStart w:id="245" w:name="_Toc184310275"/>
      <w:bookmarkEnd w:id="245"/>
      <w:bookmarkStart w:id="246" w:name="_Toc184312122"/>
      <w:bookmarkEnd w:id="246"/>
      <w:bookmarkStart w:id="247" w:name="_Toc184312116"/>
      <w:bookmarkEnd w:id="247"/>
      <w:bookmarkStart w:id="248" w:name="_Toc184313275"/>
      <w:bookmarkEnd w:id="248"/>
      <w:bookmarkStart w:id="249" w:name="_Toc184314473"/>
      <w:bookmarkEnd w:id="249"/>
      <w:bookmarkStart w:id="250" w:name="_Toc184314419"/>
      <w:bookmarkEnd w:id="250"/>
      <w:bookmarkStart w:id="251" w:name="_Toc184310322"/>
      <w:bookmarkEnd w:id="251"/>
      <w:bookmarkStart w:id="252" w:name="_Toc184313306"/>
      <w:bookmarkEnd w:id="252"/>
      <w:bookmarkStart w:id="253" w:name="_Toc184312089"/>
      <w:bookmarkEnd w:id="253"/>
      <w:bookmarkStart w:id="254" w:name="_Toc184313280"/>
      <w:bookmarkEnd w:id="254"/>
      <w:bookmarkStart w:id="255" w:name="_Toc184313268"/>
      <w:bookmarkEnd w:id="255"/>
      <w:bookmarkStart w:id="256" w:name="_Toc184314442"/>
      <w:bookmarkEnd w:id="256"/>
      <w:bookmarkStart w:id="257" w:name="_Toc184313294"/>
      <w:bookmarkEnd w:id="257"/>
      <w:bookmarkStart w:id="258" w:name="_Toc184313265"/>
      <w:bookmarkEnd w:id="258"/>
      <w:bookmarkStart w:id="259" w:name="_Toc184312110"/>
      <w:bookmarkEnd w:id="259"/>
      <w:bookmarkStart w:id="260" w:name="_Toc184312094"/>
      <w:bookmarkEnd w:id="260"/>
      <w:bookmarkStart w:id="261" w:name="_Toc184308098"/>
      <w:bookmarkEnd w:id="261"/>
      <w:bookmarkStart w:id="262" w:name="_Toc184313303"/>
      <w:bookmarkEnd w:id="262"/>
      <w:bookmarkStart w:id="263" w:name="_Toc184310325"/>
      <w:bookmarkEnd w:id="263"/>
      <w:bookmarkStart w:id="264" w:name="_Toc184312101"/>
      <w:bookmarkEnd w:id="264"/>
      <w:bookmarkStart w:id="265" w:name="_Toc184313285"/>
      <w:bookmarkEnd w:id="265"/>
      <w:bookmarkStart w:id="266" w:name="_Toc184310334"/>
      <w:bookmarkEnd w:id="266"/>
      <w:bookmarkStart w:id="267" w:name="_Toc184313250"/>
      <w:bookmarkEnd w:id="267"/>
      <w:bookmarkStart w:id="268" w:name="_Toc184308105"/>
      <w:bookmarkEnd w:id="268"/>
      <w:bookmarkStart w:id="269" w:name="_Toc184310339"/>
      <w:bookmarkEnd w:id="269"/>
      <w:bookmarkStart w:id="270" w:name="_Toc184308072"/>
      <w:bookmarkEnd w:id="270"/>
      <w:bookmarkStart w:id="271" w:name="_Toc184313267"/>
      <w:bookmarkEnd w:id="271"/>
      <w:bookmarkStart w:id="272" w:name="_Toc184310335"/>
      <w:bookmarkEnd w:id="272"/>
      <w:bookmarkStart w:id="273" w:name="_Toc184310337"/>
      <w:bookmarkEnd w:id="273"/>
      <w:bookmarkStart w:id="274" w:name="_Toc184308106"/>
      <w:bookmarkEnd w:id="274"/>
      <w:bookmarkStart w:id="275" w:name="_Toc184310279"/>
      <w:bookmarkEnd w:id="275"/>
      <w:bookmarkStart w:id="276" w:name="_Toc184308066"/>
      <w:bookmarkEnd w:id="276"/>
      <w:bookmarkStart w:id="277" w:name="_Toc184312134"/>
      <w:bookmarkEnd w:id="277"/>
      <w:bookmarkStart w:id="278" w:name="_Toc184313300"/>
      <w:bookmarkEnd w:id="278"/>
      <w:bookmarkStart w:id="279" w:name="_Toc184312099"/>
      <w:bookmarkEnd w:id="279"/>
      <w:bookmarkStart w:id="280" w:name="_Toc184312084"/>
      <w:bookmarkEnd w:id="280"/>
      <w:bookmarkStart w:id="281" w:name="_Toc184313247"/>
      <w:bookmarkEnd w:id="281"/>
      <w:bookmarkStart w:id="282" w:name="_Toc184312118"/>
      <w:bookmarkEnd w:id="282"/>
      <w:bookmarkStart w:id="283" w:name="_Toc184312068"/>
      <w:bookmarkEnd w:id="283"/>
      <w:bookmarkStart w:id="284" w:name="_Toc184312082"/>
      <w:bookmarkEnd w:id="284"/>
      <w:bookmarkStart w:id="285" w:name="_Toc184308084"/>
      <w:bookmarkEnd w:id="285"/>
      <w:bookmarkStart w:id="286" w:name="_Toc184313290"/>
      <w:bookmarkEnd w:id="286"/>
      <w:bookmarkStart w:id="287" w:name="_Toc184314482"/>
      <w:bookmarkEnd w:id="287"/>
      <w:bookmarkStart w:id="288" w:name="_Toc184308038"/>
      <w:bookmarkEnd w:id="288"/>
      <w:bookmarkStart w:id="289" w:name="_Toc184308050"/>
      <w:bookmarkEnd w:id="289"/>
      <w:bookmarkStart w:id="290" w:name="_Toc184314416"/>
      <w:bookmarkEnd w:id="290"/>
      <w:bookmarkStart w:id="291" w:name="_Toc184310276"/>
      <w:bookmarkEnd w:id="291"/>
      <w:bookmarkStart w:id="292" w:name="_Toc184314480"/>
      <w:bookmarkEnd w:id="292"/>
      <w:bookmarkStart w:id="293" w:name="_Toc184312111"/>
      <w:bookmarkEnd w:id="293"/>
      <w:bookmarkStart w:id="294" w:name="_Toc184314412"/>
      <w:bookmarkEnd w:id="294"/>
      <w:bookmarkStart w:id="295" w:name="_Toc184308103"/>
      <w:bookmarkEnd w:id="295"/>
      <w:bookmarkStart w:id="296" w:name="_Toc184310286"/>
      <w:bookmarkEnd w:id="296"/>
      <w:bookmarkStart w:id="297" w:name="_Toc184313310"/>
      <w:bookmarkEnd w:id="297"/>
      <w:bookmarkStart w:id="298" w:name="_Toc184312074"/>
      <w:bookmarkEnd w:id="298"/>
      <w:bookmarkStart w:id="299" w:name="_Toc184308108"/>
      <w:bookmarkEnd w:id="299"/>
      <w:bookmarkStart w:id="300" w:name="_Toc184313296"/>
      <w:bookmarkEnd w:id="300"/>
      <w:bookmarkStart w:id="301" w:name="_Toc184308099"/>
      <w:bookmarkEnd w:id="301"/>
      <w:bookmarkStart w:id="302" w:name="_Toc184308044"/>
      <w:bookmarkEnd w:id="302"/>
      <w:bookmarkStart w:id="303" w:name="_Toc184313301"/>
      <w:bookmarkEnd w:id="303"/>
      <w:bookmarkStart w:id="304" w:name="_Toc184314431"/>
      <w:bookmarkEnd w:id="304"/>
      <w:bookmarkStart w:id="305" w:name="_Toc184314435"/>
      <w:bookmarkEnd w:id="305"/>
      <w:bookmarkStart w:id="306" w:name="_Toc184312138"/>
      <w:bookmarkEnd w:id="306"/>
      <w:bookmarkStart w:id="307" w:name="_Toc184310316"/>
      <w:bookmarkEnd w:id="307"/>
      <w:bookmarkStart w:id="308" w:name="_Toc184312085"/>
      <w:bookmarkEnd w:id="308"/>
      <w:bookmarkStart w:id="309" w:name="_Toc184310292"/>
      <w:bookmarkEnd w:id="309"/>
      <w:bookmarkStart w:id="310" w:name="_Toc184308104"/>
      <w:bookmarkEnd w:id="310"/>
      <w:bookmarkStart w:id="311" w:name="_Toc184314451"/>
      <w:bookmarkEnd w:id="311"/>
      <w:bookmarkStart w:id="312" w:name="_Toc184312091"/>
      <w:bookmarkEnd w:id="312"/>
      <w:bookmarkStart w:id="313" w:name="_Toc184308100"/>
      <w:bookmarkEnd w:id="313"/>
      <w:bookmarkStart w:id="314" w:name="_Toc184314449"/>
      <w:bookmarkEnd w:id="314"/>
      <w:bookmarkStart w:id="315" w:name="_Toc184313286"/>
      <w:bookmarkEnd w:id="315"/>
      <w:bookmarkStart w:id="316" w:name="_Toc184313245"/>
      <w:bookmarkEnd w:id="316"/>
      <w:bookmarkStart w:id="317" w:name="_Toc184310298"/>
      <w:bookmarkEnd w:id="317"/>
      <w:bookmarkStart w:id="318" w:name="_Toc184313270"/>
      <w:bookmarkEnd w:id="318"/>
      <w:bookmarkStart w:id="319" w:name="_Toc184314426"/>
      <w:bookmarkEnd w:id="319"/>
      <w:bookmarkStart w:id="320" w:name="_Toc184310341"/>
      <w:bookmarkEnd w:id="320"/>
      <w:bookmarkStart w:id="321" w:name="_Toc184310300"/>
      <w:bookmarkEnd w:id="321"/>
      <w:bookmarkStart w:id="322" w:name="_Toc184314428"/>
      <w:bookmarkEnd w:id="322"/>
      <w:bookmarkStart w:id="323" w:name="_Toc184314430"/>
      <w:bookmarkEnd w:id="323"/>
      <w:bookmarkStart w:id="324" w:name="_Toc184314452"/>
      <w:bookmarkEnd w:id="324"/>
      <w:bookmarkStart w:id="325" w:name="_Toc184314463"/>
      <w:bookmarkEnd w:id="325"/>
      <w:bookmarkStart w:id="326" w:name="_Toc184312124"/>
      <w:bookmarkEnd w:id="326"/>
      <w:bookmarkStart w:id="327" w:name="_Toc184314414"/>
      <w:bookmarkEnd w:id="327"/>
      <w:bookmarkStart w:id="328" w:name="_Toc184314420"/>
      <w:bookmarkEnd w:id="328"/>
      <w:bookmarkStart w:id="329" w:name="_Toc184310280"/>
      <w:bookmarkEnd w:id="329"/>
      <w:bookmarkStart w:id="330" w:name="_Toc184308046"/>
      <w:bookmarkEnd w:id="330"/>
      <w:bookmarkStart w:id="331" w:name="_Toc184313269"/>
      <w:bookmarkEnd w:id="331"/>
      <w:bookmarkStart w:id="332" w:name="_Toc184310324"/>
      <w:bookmarkEnd w:id="332"/>
      <w:bookmarkStart w:id="333" w:name="_Toc184312117"/>
      <w:bookmarkEnd w:id="333"/>
      <w:bookmarkStart w:id="334" w:name="_Toc184313244"/>
      <w:bookmarkEnd w:id="334"/>
      <w:bookmarkStart w:id="335" w:name="_Toc184310278"/>
      <w:bookmarkEnd w:id="335"/>
      <w:bookmarkStart w:id="336" w:name="_Toc184308085"/>
      <w:bookmarkEnd w:id="336"/>
      <w:bookmarkStart w:id="337" w:name="_Toc184310321"/>
      <w:bookmarkEnd w:id="337"/>
      <w:bookmarkStart w:id="338" w:name="_Toc184314448"/>
      <w:bookmarkEnd w:id="338"/>
      <w:bookmarkStart w:id="339" w:name="_Toc184312135"/>
      <w:bookmarkEnd w:id="339"/>
      <w:bookmarkStart w:id="340" w:name="_Toc184314456"/>
      <w:bookmarkEnd w:id="340"/>
      <w:bookmarkStart w:id="341" w:name="_Toc184310303"/>
      <w:bookmarkEnd w:id="341"/>
      <w:bookmarkStart w:id="342" w:name="_Toc184310293"/>
      <w:bookmarkEnd w:id="342"/>
      <w:bookmarkStart w:id="343" w:name="_Toc184314466"/>
      <w:bookmarkEnd w:id="343"/>
      <w:bookmarkStart w:id="344" w:name="_Toc184312072"/>
      <w:bookmarkEnd w:id="344"/>
      <w:bookmarkStart w:id="345" w:name="_Toc184308043"/>
      <w:bookmarkEnd w:id="345"/>
      <w:bookmarkStart w:id="346" w:name="_Toc184308067"/>
      <w:bookmarkEnd w:id="346"/>
      <w:bookmarkStart w:id="347" w:name="_Toc184308062"/>
      <w:bookmarkEnd w:id="347"/>
      <w:bookmarkStart w:id="348" w:name="_Toc184312136"/>
      <w:bookmarkEnd w:id="348"/>
      <w:bookmarkStart w:id="349" w:name="_Toc184312106"/>
      <w:bookmarkEnd w:id="349"/>
      <w:bookmarkStart w:id="350" w:name="_Toc184308058"/>
      <w:bookmarkEnd w:id="350"/>
      <w:bookmarkStart w:id="351" w:name="_Toc184310309"/>
      <w:bookmarkEnd w:id="351"/>
      <w:bookmarkStart w:id="352" w:name="_Toc184314453"/>
      <w:bookmarkEnd w:id="352"/>
      <w:bookmarkStart w:id="353" w:name="_Toc184313281"/>
      <w:bookmarkEnd w:id="353"/>
      <w:bookmarkStart w:id="354" w:name="_Toc184308092"/>
      <w:bookmarkEnd w:id="354"/>
      <w:bookmarkStart w:id="355" w:name="_Toc184310327"/>
      <w:bookmarkEnd w:id="355"/>
      <w:bookmarkStart w:id="356" w:name="_Toc184308055"/>
      <w:bookmarkEnd w:id="356"/>
      <w:bookmarkStart w:id="357" w:name="_Toc184313263"/>
      <w:bookmarkEnd w:id="357"/>
      <w:bookmarkStart w:id="358" w:name="_Toc184308101"/>
      <w:bookmarkEnd w:id="358"/>
      <w:bookmarkStart w:id="359" w:name="_Toc184313273"/>
      <w:bookmarkEnd w:id="359"/>
      <w:bookmarkStart w:id="360" w:name="_Toc184310307"/>
      <w:bookmarkEnd w:id="360"/>
      <w:bookmarkStart w:id="361" w:name="_Toc184308060"/>
      <w:bookmarkEnd w:id="361"/>
      <w:bookmarkStart w:id="362" w:name="_Toc184308095"/>
      <w:bookmarkEnd w:id="362"/>
      <w:bookmarkStart w:id="363" w:name="_Toc184314443"/>
      <w:bookmarkEnd w:id="363"/>
      <w:bookmarkStart w:id="364" w:name="_Toc184313308"/>
      <w:bookmarkEnd w:id="364"/>
      <w:bookmarkStart w:id="365" w:name="_Toc184314461"/>
      <w:bookmarkEnd w:id="365"/>
      <w:bookmarkStart w:id="366" w:name="_Toc184313246"/>
      <w:bookmarkEnd w:id="366"/>
      <w:bookmarkStart w:id="367" w:name="_Toc184314447"/>
      <w:bookmarkEnd w:id="367"/>
      <w:bookmarkStart w:id="368" w:name="_Toc184310295"/>
      <w:bookmarkEnd w:id="368"/>
      <w:bookmarkStart w:id="369" w:name="_Toc184312126"/>
      <w:bookmarkEnd w:id="369"/>
      <w:bookmarkStart w:id="370" w:name="_Toc184313287"/>
      <w:bookmarkEnd w:id="370"/>
      <w:bookmarkStart w:id="371" w:name="_Toc184308064"/>
      <w:bookmarkEnd w:id="371"/>
      <w:bookmarkStart w:id="372" w:name="_Toc184314433"/>
      <w:bookmarkEnd w:id="372"/>
      <w:bookmarkStart w:id="373" w:name="_Toc184314436"/>
      <w:bookmarkEnd w:id="373"/>
      <w:bookmarkStart w:id="374" w:name="_Toc184312105"/>
      <w:bookmarkEnd w:id="374"/>
      <w:bookmarkStart w:id="375" w:name="_Toc184313279"/>
      <w:bookmarkEnd w:id="375"/>
      <w:bookmarkStart w:id="376" w:name="_Toc184312070"/>
      <w:bookmarkEnd w:id="376"/>
      <w:bookmarkStart w:id="377" w:name="_Toc184308053"/>
      <w:bookmarkEnd w:id="377"/>
      <w:bookmarkStart w:id="378" w:name="_Toc184312108"/>
      <w:bookmarkEnd w:id="378"/>
      <w:bookmarkStart w:id="379" w:name="_Toc184313238"/>
      <w:bookmarkEnd w:id="379"/>
      <w:bookmarkStart w:id="380" w:name="_Toc184313272"/>
      <w:bookmarkEnd w:id="380"/>
      <w:bookmarkStart w:id="381" w:name="_Toc184312100"/>
      <w:bookmarkEnd w:id="381"/>
      <w:bookmarkStart w:id="382" w:name="_Toc184310287"/>
      <w:bookmarkEnd w:id="382"/>
      <w:bookmarkStart w:id="383" w:name="_Toc184312093"/>
      <w:bookmarkEnd w:id="383"/>
      <w:bookmarkStart w:id="384" w:name="_Toc184308068"/>
      <w:bookmarkEnd w:id="384"/>
      <w:bookmarkStart w:id="385" w:name="_Toc184310299"/>
      <w:bookmarkEnd w:id="385"/>
      <w:bookmarkStart w:id="386" w:name="_Toc184312129"/>
      <w:bookmarkEnd w:id="386"/>
      <w:bookmarkStart w:id="387" w:name="_Toc184313292"/>
      <w:bookmarkEnd w:id="387"/>
      <w:bookmarkStart w:id="388" w:name="_Toc184314437"/>
      <w:bookmarkEnd w:id="388"/>
      <w:bookmarkStart w:id="389" w:name="_Toc184308088"/>
      <w:bookmarkEnd w:id="389"/>
      <w:bookmarkStart w:id="390" w:name="_Toc184308057"/>
      <w:bookmarkEnd w:id="390"/>
      <w:bookmarkStart w:id="391" w:name="_Toc184308083"/>
      <w:bookmarkEnd w:id="391"/>
      <w:bookmarkStart w:id="392" w:name="_Toc184314445"/>
      <w:bookmarkEnd w:id="392"/>
      <w:bookmarkStart w:id="393" w:name="_Toc184310332"/>
      <w:bookmarkEnd w:id="393"/>
      <w:bookmarkStart w:id="394" w:name="_Toc184310336"/>
      <w:bookmarkEnd w:id="394"/>
      <w:bookmarkStart w:id="395" w:name="_Toc184314415"/>
      <w:bookmarkEnd w:id="395"/>
      <w:bookmarkStart w:id="396" w:name="_Toc184313283"/>
      <w:bookmarkEnd w:id="396"/>
      <w:bookmarkStart w:id="397" w:name="_Toc184314440"/>
      <w:bookmarkEnd w:id="397"/>
      <w:r>
        <w:rPr>
          <w:rFonts w:hint="eastAsia" w:ascii="宋体" w:hAnsi="宋体" w:cs="仿宋"/>
          <w:b/>
          <w:sz w:val="36"/>
          <w:szCs w:val="36"/>
        </w:rPr>
        <w:t>评标办法</w:t>
      </w:r>
    </w:p>
    <w:p w14:paraId="09BE8C88">
      <w:pPr>
        <w:snapToGrid w:val="0"/>
        <w:spacing w:line="360" w:lineRule="auto"/>
        <w:jc w:val="center"/>
        <w:rPr>
          <w:rFonts w:ascii="宋体" w:hAnsi="宋体" w:cs="仿宋"/>
          <w:b/>
          <w:sz w:val="36"/>
          <w:szCs w:val="36"/>
        </w:rPr>
      </w:pPr>
      <w:r>
        <w:rPr>
          <w:rFonts w:hint="eastAsia" w:ascii="宋体" w:hAnsi="宋体" w:cs="仿宋"/>
          <w:b/>
          <w:sz w:val="32"/>
          <w:szCs w:val="20"/>
        </w:rPr>
        <w:t>评标办法前附表</w:t>
      </w:r>
    </w:p>
    <w:tbl>
      <w:tblPr>
        <w:tblStyle w:val="23"/>
        <w:tblW w:w="9434" w:type="dxa"/>
        <w:jc w:val="center"/>
        <w:tblLayout w:type="fixed"/>
        <w:tblCellMar>
          <w:top w:w="0" w:type="dxa"/>
          <w:left w:w="108" w:type="dxa"/>
          <w:bottom w:w="0" w:type="dxa"/>
          <w:right w:w="108" w:type="dxa"/>
        </w:tblCellMar>
      </w:tblPr>
      <w:tblGrid>
        <w:gridCol w:w="792"/>
        <w:gridCol w:w="1293"/>
        <w:gridCol w:w="7349"/>
      </w:tblGrid>
      <w:tr w14:paraId="69802C11">
        <w:tblPrEx>
          <w:tblCellMar>
            <w:top w:w="0" w:type="dxa"/>
            <w:left w:w="108" w:type="dxa"/>
            <w:bottom w:w="0" w:type="dxa"/>
            <w:right w:w="108" w:type="dxa"/>
          </w:tblCellMar>
        </w:tblPrEx>
        <w:trPr>
          <w:trHeight w:val="20" w:hRule="atLeast"/>
          <w:jc w:val="center"/>
        </w:trPr>
        <w:tc>
          <w:tcPr>
            <w:tcW w:w="9434" w:type="dxa"/>
            <w:gridSpan w:val="3"/>
            <w:tcBorders>
              <w:top w:val="single" w:color="auto" w:sz="4" w:space="0"/>
              <w:left w:val="single" w:color="auto" w:sz="4" w:space="0"/>
              <w:bottom w:val="single" w:color="auto" w:sz="4" w:space="0"/>
              <w:right w:val="single" w:color="auto" w:sz="4" w:space="0"/>
            </w:tcBorders>
            <w:vAlign w:val="center"/>
          </w:tcPr>
          <w:p w14:paraId="08B9E8EE">
            <w:pPr>
              <w:spacing w:line="360" w:lineRule="auto"/>
              <w:rPr>
                <w:rFonts w:ascii="宋体" w:hAnsi="宋体" w:cs="仿宋"/>
                <w:szCs w:val="21"/>
              </w:rPr>
            </w:pPr>
            <w:r>
              <w:rPr>
                <w:rFonts w:hint="eastAsia" w:ascii="宋体" w:hAnsi="宋体" w:cs="仿宋"/>
                <w:szCs w:val="21"/>
              </w:rPr>
              <w:t>评分标准</w:t>
            </w:r>
          </w:p>
        </w:tc>
      </w:tr>
      <w:tr w14:paraId="7B6ACE7F">
        <w:tblPrEx>
          <w:tblCellMar>
            <w:top w:w="0" w:type="dxa"/>
            <w:left w:w="108" w:type="dxa"/>
            <w:bottom w:w="0" w:type="dxa"/>
            <w:right w:w="108" w:type="dxa"/>
          </w:tblCellMar>
        </w:tblPrEx>
        <w:trPr>
          <w:trHeight w:val="630" w:hRule="atLeast"/>
          <w:jc w:val="center"/>
        </w:trPr>
        <w:tc>
          <w:tcPr>
            <w:tcW w:w="792" w:type="dxa"/>
            <w:vMerge w:val="restart"/>
            <w:tcBorders>
              <w:left w:val="single" w:color="auto" w:sz="4" w:space="0"/>
              <w:right w:val="single" w:color="auto" w:sz="4" w:space="0"/>
            </w:tcBorders>
            <w:vAlign w:val="center"/>
          </w:tcPr>
          <w:p w14:paraId="0E0D622A">
            <w:pPr>
              <w:spacing w:line="360" w:lineRule="auto"/>
              <w:rPr>
                <w:rFonts w:ascii="宋体" w:hAnsi="宋体" w:cs="仿宋"/>
                <w:szCs w:val="21"/>
              </w:rPr>
            </w:pPr>
            <w:r>
              <w:rPr>
                <w:rFonts w:hint="eastAsia" w:ascii="宋体" w:hAnsi="宋体" w:cs="仿宋"/>
                <w:szCs w:val="21"/>
              </w:rPr>
              <w:t>商务技术80分</w:t>
            </w:r>
          </w:p>
        </w:tc>
        <w:tc>
          <w:tcPr>
            <w:tcW w:w="1293" w:type="dxa"/>
            <w:vMerge w:val="restart"/>
            <w:tcBorders>
              <w:top w:val="single" w:color="auto" w:sz="4" w:space="0"/>
              <w:left w:val="nil"/>
              <w:right w:val="single" w:color="auto" w:sz="4" w:space="0"/>
            </w:tcBorders>
            <w:vAlign w:val="center"/>
          </w:tcPr>
          <w:p w14:paraId="6F2678C7">
            <w:pPr>
              <w:spacing w:line="360" w:lineRule="auto"/>
              <w:rPr>
                <w:rFonts w:ascii="宋体" w:hAnsi="宋体" w:cs="仿宋"/>
                <w:szCs w:val="21"/>
              </w:rPr>
            </w:pPr>
            <w:r>
              <w:rPr>
                <w:rFonts w:hint="eastAsia" w:ascii="宋体" w:hAnsi="宋体" w:cs="仿宋"/>
                <w:szCs w:val="21"/>
              </w:rPr>
              <w:t>一、招商运营管理方案（22分）</w:t>
            </w:r>
          </w:p>
        </w:tc>
        <w:tc>
          <w:tcPr>
            <w:tcW w:w="7349" w:type="dxa"/>
            <w:tcBorders>
              <w:top w:val="single" w:color="auto" w:sz="4" w:space="0"/>
              <w:left w:val="nil"/>
              <w:right w:val="single" w:color="auto" w:sz="4" w:space="0"/>
            </w:tcBorders>
            <w:vAlign w:val="center"/>
          </w:tcPr>
          <w:p w14:paraId="00F930FC">
            <w:pPr>
              <w:pStyle w:val="22"/>
              <w:widowControl/>
              <w:jc w:val="left"/>
              <w:rPr>
                <w:rFonts w:ascii="宋体" w:hAnsi="宋体" w:cs="宋体"/>
                <w:sz w:val="21"/>
                <w:szCs w:val="21"/>
              </w:rPr>
            </w:pPr>
            <w:r>
              <w:rPr>
                <w:rFonts w:hint="eastAsia" w:ascii="宋体" w:hAnsi="宋体" w:cs="宋体"/>
                <w:sz w:val="21"/>
                <w:szCs w:val="21"/>
              </w:rPr>
              <w:t>1. 项目背景理解（2分）</w:t>
            </w:r>
          </w:p>
          <w:p w14:paraId="38687205">
            <w:pPr>
              <w:pStyle w:val="22"/>
              <w:widowControl/>
              <w:jc w:val="left"/>
              <w:rPr>
                <w:rFonts w:ascii="宋体" w:hAnsi="宋体" w:cs="宋体"/>
                <w:sz w:val="21"/>
                <w:szCs w:val="21"/>
              </w:rPr>
            </w:pPr>
            <w:r>
              <w:rPr>
                <w:rFonts w:hint="eastAsia" w:ascii="宋体" w:hAnsi="宋体" w:cs="宋体"/>
                <w:sz w:val="21"/>
                <w:szCs w:val="21"/>
              </w:rPr>
              <w:t>根据投标人对项目整体理解到位、相关背景调查清晰完善的得1分；对奉化区水蜜桃文化理解深刻、利于项目开展的得1分；以上内容有所欠缺的对应项得0.5分，未提供或不符合的对应项不得分，最多得2分。</w:t>
            </w:r>
          </w:p>
        </w:tc>
      </w:tr>
      <w:tr w14:paraId="4955A892">
        <w:tblPrEx>
          <w:tblCellMar>
            <w:top w:w="0" w:type="dxa"/>
            <w:left w:w="108" w:type="dxa"/>
            <w:bottom w:w="0" w:type="dxa"/>
            <w:right w:w="108" w:type="dxa"/>
          </w:tblCellMar>
        </w:tblPrEx>
        <w:trPr>
          <w:trHeight w:val="630" w:hRule="atLeast"/>
          <w:jc w:val="center"/>
        </w:trPr>
        <w:tc>
          <w:tcPr>
            <w:tcW w:w="792" w:type="dxa"/>
            <w:vMerge w:val="continue"/>
            <w:tcBorders>
              <w:left w:val="single" w:color="auto" w:sz="4" w:space="0"/>
              <w:right w:val="single" w:color="auto" w:sz="4" w:space="0"/>
            </w:tcBorders>
            <w:vAlign w:val="center"/>
          </w:tcPr>
          <w:p w14:paraId="54EDE17B">
            <w:pPr>
              <w:spacing w:line="360" w:lineRule="auto"/>
              <w:rPr>
                <w:rFonts w:ascii="宋体" w:hAnsi="宋体" w:cs="仿宋"/>
                <w:szCs w:val="21"/>
              </w:rPr>
            </w:pPr>
          </w:p>
        </w:tc>
        <w:tc>
          <w:tcPr>
            <w:tcW w:w="1293" w:type="dxa"/>
            <w:vMerge w:val="continue"/>
            <w:tcBorders>
              <w:left w:val="nil"/>
              <w:right w:val="single" w:color="auto" w:sz="4" w:space="0"/>
            </w:tcBorders>
            <w:vAlign w:val="center"/>
          </w:tcPr>
          <w:p w14:paraId="1D362F06">
            <w:pPr>
              <w:spacing w:line="360" w:lineRule="auto"/>
              <w:rPr>
                <w:rFonts w:ascii="宋体" w:hAnsi="宋体" w:cs="仿宋"/>
                <w:szCs w:val="21"/>
              </w:rPr>
            </w:pPr>
          </w:p>
        </w:tc>
        <w:tc>
          <w:tcPr>
            <w:tcW w:w="7349" w:type="dxa"/>
            <w:tcBorders>
              <w:top w:val="single" w:color="auto" w:sz="4" w:space="0"/>
              <w:left w:val="nil"/>
              <w:right w:val="single" w:color="auto" w:sz="4" w:space="0"/>
            </w:tcBorders>
            <w:vAlign w:val="center"/>
          </w:tcPr>
          <w:p w14:paraId="4C34A197">
            <w:pPr>
              <w:pStyle w:val="22"/>
              <w:widowControl/>
              <w:jc w:val="left"/>
              <w:rPr>
                <w:rFonts w:ascii="宋体" w:hAnsi="宋体" w:cs="宋体"/>
                <w:sz w:val="21"/>
                <w:szCs w:val="21"/>
              </w:rPr>
            </w:pPr>
            <w:r>
              <w:rPr>
                <w:rFonts w:hint="eastAsia" w:ascii="宋体" w:hAnsi="宋体" w:cs="宋体"/>
                <w:sz w:val="21"/>
                <w:szCs w:val="21"/>
              </w:rPr>
              <w:t>2.项目运营策略（4分）</w:t>
            </w:r>
          </w:p>
          <w:p w14:paraId="7BEEE36A">
            <w:pPr>
              <w:pStyle w:val="22"/>
              <w:widowControl/>
              <w:jc w:val="left"/>
              <w:rPr>
                <w:rFonts w:ascii="宋体" w:hAnsi="宋体" w:cs="宋体"/>
                <w:sz w:val="21"/>
                <w:szCs w:val="21"/>
              </w:rPr>
            </w:pPr>
            <w:r>
              <w:rPr>
                <w:rFonts w:hint="eastAsia" w:ascii="宋体" w:hAnsi="宋体" w:cs="宋体"/>
                <w:sz w:val="21"/>
                <w:szCs w:val="21"/>
              </w:rPr>
              <w:t>根据投标人对项目发展目标和需求，对项目进行解读分析，提出整体定位，以及业态策略和租户结构建议：</w:t>
            </w:r>
          </w:p>
          <w:p w14:paraId="2DE50901">
            <w:pPr>
              <w:pStyle w:val="22"/>
              <w:widowControl/>
              <w:jc w:val="left"/>
              <w:rPr>
                <w:rFonts w:ascii="宋体" w:hAnsi="宋体" w:cs="宋体"/>
                <w:sz w:val="21"/>
                <w:szCs w:val="21"/>
              </w:rPr>
            </w:pPr>
            <w:r>
              <w:rPr>
                <w:rFonts w:hint="eastAsia" w:ascii="宋体" w:hAnsi="宋体" w:cs="宋体"/>
                <w:sz w:val="21"/>
                <w:szCs w:val="21"/>
              </w:rPr>
              <w:t>对本项目定位与目标、区域情况、客群人居了解充分的得1分；整体定位清晰明确的得1分；策略建议匹配项目需求的得1分；整体方案及内容详细完善、思路清晰的得1分；以上内容有所欠缺的对应项得0.5分，未提供或不符合的对应项不得分，最多得4</w:t>
            </w:r>
            <w:r>
              <w:rPr>
                <w:rFonts w:hint="eastAsia" w:ascii="宋体" w:hAnsi="宋体" w:cs="宋体"/>
                <w:sz w:val="21"/>
                <w:szCs w:val="21"/>
                <w:lang w:val="en-US" w:eastAsia="zh-CN"/>
              </w:rPr>
              <w:t>分</w:t>
            </w:r>
            <w:r>
              <w:rPr>
                <w:rFonts w:hint="eastAsia" w:ascii="宋体" w:hAnsi="宋体" w:cs="宋体"/>
                <w:sz w:val="21"/>
                <w:szCs w:val="21"/>
              </w:rPr>
              <w:t>。</w:t>
            </w:r>
          </w:p>
        </w:tc>
      </w:tr>
      <w:tr w14:paraId="169749AC">
        <w:tblPrEx>
          <w:tblCellMar>
            <w:top w:w="0" w:type="dxa"/>
            <w:left w:w="108" w:type="dxa"/>
            <w:bottom w:w="0" w:type="dxa"/>
            <w:right w:w="108" w:type="dxa"/>
          </w:tblCellMar>
        </w:tblPrEx>
        <w:trPr>
          <w:trHeight w:val="630" w:hRule="atLeast"/>
          <w:jc w:val="center"/>
        </w:trPr>
        <w:tc>
          <w:tcPr>
            <w:tcW w:w="792" w:type="dxa"/>
            <w:vMerge w:val="continue"/>
            <w:tcBorders>
              <w:left w:val="single" w:color="auto" w:sz="4" w:space="0"/>
              <w:right w:val="single" w:color="auto" w:sz="4" w:space="0"/>
            </w:tcBorders>
            <w:vAlign w:val="center"/>
          </w:tcPr>
          <w:p w14:paraId="048BF30A">
            <w:pPr>
              <w:spacing w:line="360" w:lineRule="auto"/>
              <w:rPr>
                <w:rFonts w:ascii="宋体" w:hAnsi="宋体" w:cs="仿宋"/>
                <w:szCs w:val="21"/>
              </w:rPr>
            </w:pPr>
          </w:p>
        </w:tc>
        <w:tc>
          <w:tcPr>
            <w:tcW w:w="1293" w:type="dxa"/>
            <w:vMerge w:val="continue"/>
            <w:tcBorders>
              <w:left w:val="nil"/>
              <w:right w:val="single" w:color="auto" w:sz="4" w:space="0"/>
            </w:tcBorders>
            <w:vAlign w:val="center"/>
          </w:tcPr>
          <w:p w14:paraId="4ABA2173">
            <w:pPr>
              <w:spacing w:line="360" w:lineRule="auto"/>
              <w:rPr>
                <w:rFonts w:ascii="宋体" w:hAnsi="宋体" w:cs="仿宋"/>
                <w:szCs w:val="21"/>
              </w:rPr>
            </w:pPr>
          </w:p>
        </w:tc>
        <w:tc>
          <w:tcPr>
            <w:tcW w:w="7349" w:type="dxa"/>
            <w:tcBorders>
              <w:top w:val="single" w:color="auto" w:sz="4" w:space="0"/>
              <w:left w:val="nil"/>
              <w:right w:val="single" w:color="auto" w:sz="4" w:space="0"/>
            </w:tcBorders>
            <w:vAlign w:val="center"/>
          </w:tcPr>
          <w:p w14:paraId="60E20744">
            <w:pPr>
              <w:pStyle w:val="22"/>
              <w:widowControl/>
              <w:jc w:val="left"/>
              <w:rPr>
                <w:rFonts w:ascii="宋体" w:hAnsi="宋体" w:cs="宋体"/>
                <w:sz w:val="21"/>
                <w:szCs w:val="21"/>
              </w:rPr>
            </w:pPr>
            <w:r>
              <w:rPr>
                <w:rFonts w:hint="eastAsia" w:ascii="宋体" w:hAnsi="宋体" w:cs="宋体"/>
                <w:sz w:val="21"/>
                <w:szCs w:val="21"/>
              </w:rPr>
              <w:t>3.项目租赁管理（3分）</w:t>
            </w:r>
          </w:p>
          <w:p w14:paraId="017EB8CC">
            <w:pPr>
              <w:pStyle w:val="22"/>
              <w:widowControl/>
              <w:jc w:val="left"/>
              <w:rPr>
                <w:rFonts w:ascii="宋体" w:hAnsi="宋体" w:cs="宋体"/>
                <w:sz w:val="21"/>
                <w:szCs w:val="21"/>
              </w:rPr>
            </w:pPr>
            <w:r>
              <w:rPr>
                <w:rFonts w:hint="eastAsia" w:ascii="宋体" w:hAnsi="宋体" w:cs="宋体"/>
                <w:sz w:val="21"/>
                <w:szCs w:val="21"/>
              </w:rPr>
              <w:t>根据投标人对租赁管理核心环节理解准确、把握到位的得1分；租赁管理环节全流程覆盖、流程节点设置合理科学的得1分；租赁管理机制合理可行的得1分；以上内容有所欠缺的对应项得0.5分，未提供或不符合的对应项不得分，最多得3分。</w:t>
            </w:r>
          </w:p>
        </w:tc>
      </w:tr>
      <w:tr w14:paraId="4807EBF4">
        <w:tblPrEx>
          <w:tblCellMar>
            <w:top w:w="0" w:type="dxa"/>
            <w:left w:w="108" w:type="dxa"/>
            <w:bottom w:w="0" w:type="dxa"/>
            <w:right w:w="108" w:type="dxa"/>
          </w:tblCellMar>
        </w:tblPrEx>
        <w:trPr>
          <w:trHeight w:val="20" w:hRule="atLeast"/>
          <w:jc w:val="center"/>
        </w:trPr>
        <w:tc>
          <w:tcPr>
            <w:tcW w:w="792" w:type="dxa"/>
            <w:vMerge w:val="continue"/>
            <w:tcBorders>
              <w:left w:val="single" w:color="auto" w:sz="4" w:space="0"/>
              <w:right w:val="single" w:color="auto" w:sz="4" w:space="0"/>
            </w:tcBorders>
            <w:vAlign w:val="center"/>
          </w:tcPr>
          <w:p w14:paraId="203F884A">
            <w:pPr>
              <w:spacing w:line="360" w:lineRule="auto"/>
              <w:rPr>
                <w:rFonts w:ascii="宋体" w:hAnsi="宋体" w:cs="仿宋"/>
                <w:szCs w:val="21"/>
              </w:rPr>
            </w:pPr>
          </w:p>
        </w:tc>
        <w:tc>
          <w:tcPr>
            <w:tcW w:w="1293" w:type="dxa"/>
            <w:vMerge w:val="continue"/>
            <w:tcBorders>
              <w:left w:val="nil"/>
              <w:right w:val="single" w:color="auto" w:sz="4" w:space="0"/>
            </w:tcBorders>
            <w:vAlign w:val="center"/>
          </w:tcPr>
          <w:p w14:paraId="545B8723">
            <w:pPr>
              <w:spacing w:line="360" w:lineRule="auto"/>
              <w:rPr>
                <w:rFonts w:ascii="宋体" w:hAnsi="宋体" w:cs="仿宋"/>
                <w:szCs w:val="21"/>
              </w:rPr>
            </w:pPr>
          </w:p>
        </w:tc>
        <w:tc>
          <w:tcPr>
            <w:tcW w:w="7349" w:type="dxa"/>
            <w:tcBorders>
              <w:top w:val="single" w:color="auto" w:sz="4" w:space="0"/>
              <w:left w:val="nil"/>
              <w:bottom w:val="single" w:color="auto" w:sz="4" w:space="0"/>
              <w:right w:val="single" w:color="auto" w:sz="4" w:space="0"/>
            </w:tcBorders>
            <w:vAlign w:val="center"/>
          </w:tcPr>
          <w:p w14:paraId="4FF66F9C">
            <w:pPr>
              <w:pStyle w:val="22"/>
              <w:widowControl/>
              <w:jc w:val="left"/>
              <w:rPr>
                <w:rFonts w:ascii="宋体" w:hAnsi="宋体" w:cs="宋体"/>
                <w:sz w:val="21"/>
                <w:szCs w:val="21"/>
              </w:rPr>
            </w:pPr>
            <w:r>
              <w:rPr>
                <w:rFonts w:hint="eastAsia" w:ascii="宋体" w:hAnsi="宋体" w:cs="宋体"/>
                <w:sz w:val="21"/>
                <w:szCs w:val="21"/>
              </w:rPr>
              <w:t>4.运营管理统筹与组织架构（2分）</w:t>
            </w:r>
          </w:p>
          <w:p w14:paraId="1021060A">
            <w:pPr>
              <w:pStyle w:val="22"/>
              <w:widowControl/>
              <w:jc w:val="left"/>
              <w:rPr>
                <w:rFonts w:ascii="宋体" w:hAnsi="宋体" w:cs="宋体"/>
                <w:sz w:val="21"/>
                <w:szCs w:val="21"/>
              </w:rPr>
            </w:pPr>
            <w:r>
              <w:rPr>
                <w:rFonts w:hint="eastAsia" w:ascii="宋体" w:hAnsi="宋体" w:cs="宋体"/>
                <w:sz w:val="21"/>
                <w:szCs w:val="21"/>
              </w:rPr>
              <w:t>根据投标人对运营管理工作范围清晰、分析理解准确的得1分；组织架构清晰、组织分工明确的得1分；以上内容有所欠缺的对应项得0.5分，未提供或不符合的对应项不得分，最多得2分。</w:t>
            </w:r>
          </w:p>
        </w:tc>
      </w:tr>
      <w:tr w14:paraId="44048DF2">
        <w:tblPrEx>
          <w:tblCellMar>
            <w:top w:w="0" w:type="dxa"/>
            <w:left w:w="108" w:type="dxa"/>
            <w:bottom w:w="0" w:type="dxa"/>
            <w:right w:w="108" w:type="dxa"/>
          </w:tblCellMar>
        </w:tblPrEx>
        <w:trPr>
          <w:trHeight w:val="20" w:hRule="atLeast"/>
          <w:jc w:val="center"/>
        </w:trPr>
        <w:tc>
          <w:tcPr>
            <w:tcW w:w="792" w:type="dxa"/>
            <w:vMerge w:val="continue"/>
            <w:tcBorders>
              <w:left w:val="single" w:color="auto" w:sz="4" w:space="0"/>
              <w:right w:val="single" w:color="auto" w:sz="4" w:space="0"/>
            </w:tcBorders>
            <w:vAlign w:val="center"/>
          </w:tcPr>
          <w:p w14:paraId="2F30F5E0">
            <w:pPr>
              <w:spacing w:line="360" w:lineRule="auto"/>
              <w:rPr>
                <w:rFonts w:ascii="宋体" w:hAnsi="宋体" w:cs="仿宋"/>
                <w:szCs w:val="21"/>
              </w:rPr>
            </w:pPr>
          </w:p>
        </w:tc>
        <w:tc>
          <w:tcPr>
            <w:tcW w:w="1293" w:type="dxa"/>
            <w:vMerge w:val="continue"/>
            <w:tcBorders>
              <w:left w:val="nil"/>
              <w:right w:val="single" w:color="auto" w:sz="4" w:space="0"/>
            </w:tcBorders>
            <w:vAlign w:val="center"/>
          </w:tcPr>
          <w:p w14:paraId="5A564D86">
            <w:pPr>
              <w:spacing w:line="360" w:lineRule="auto"/>
              <w:rPr>
                <w:rFonts w:ascii="宋体" w:hAnsi="宋体" w:cs="仿宋"/>
                <w:szCs w:val="21"/>
              </w:rPr>
            </w:pPr>
          </w:p>
        </w:tc>
        <w:tc>
          <w:tcPr>
            <w:tcW w:w="7349" w:type="dxa"/>
            <w:tcBorders>
              <w:top w:val="single" w:color="auto" w:sz="4" w:space="0"/>
              <w:left w:val="nil"/>
              <w:bottom w:val="single" w:color="auto" w:sz="4" w:space="0"/>
              <w:right w:val="single" w:color="auto" w:sz="4" w:space="0"/>
            </w:tcBorders>
            <w:vAlign w:val="center"/>
          </w:tcPr>
          <w:p w14:paraId="2CC67254">
            <w:pPr>
              <w:pStyle w:val="22"/>
              <w:widowControl/>
              <w:jc w:val="left"/>
              <w:rPr>
                <w:rFonts w:ascii="宋体" w:hAnsi="宋体" w:cs="宋体"/>
                <w:sz w:val="21"/>
                <w:szCs w:val="21"/>
              </w:rPr>
            </w:pPr>
            <w:r>
              <w:rPr>
                <w:rFonts w:hint="eastAsia" w:ascii="宋体" w:hAnsi="宋体" w:cs="宋体"/>
                <w:sz w:val="21"/>
                <w:szCs w:val="21"/>
              </w:rPr>
              <w:t>5.精细化运营管理体系（4分）</w:t>
            </w:r>
          </w:p>
          <w:p w14:paraId="4F5E2177">
            <w:pPr>
              <w:pStyle w:val="22"/>
              <w:widowControl/>
              <w:jc w:val="left"/>
              <w:rPr>
                <w:rFonts w:ascii="宋体" w:hAnsi="宋体" w:cs="宋体"/>
                <w:sz w:val="21"/>
                <w:szCs w:val="21"/>
              </w:rPr>
            </w:pPr>
            <w:r>
              <w:rPr>
                <w:rFonts w:hint="eastAsia" w:ascii="宋体" w:hAnsi="宋体" w:cs="宋体"/>
                <w:sz w:val="21"/>
                <w:szCs w:val="21"/>
              </w:rPr>
              <w:t>根据投标人对日常运营管理体系精细化的得1分；项目运营管理制度指定合理、模版文件齐全的得1分；运营管理工作及各管理内容分解详细合理的得1分；运营流程顺畅、有序的得1分；以上内容有所欠缺的对应项得0.5分，未提供或不符合的对应项不得分，最多得4分。</w:t>
            </w:r>
          </w:p>
        </w:tc>
      </w:tr>
      <w:tr w14:paraId="39640B90">
        <w:tblPrEx>
          <w:tblCellMar>
            <w:top w:w="0" w:type="dxa"/>
            <w:left w:w="108" w:type="dxa"/>
            <w:bottom w:w="0" w:type="dxa"/>
            <w:right w:w="108" w:type="dxa"/>
          </w:tblCellMar>
        </w:tblPrEx>
        <w:trPr>
          <w:trHeight w:val="20" w:hRule="atLeast"/>
          <w:jc w:val="center"/>
        </w:trPr>
        <w:tc>
          <w:tcPr>
            <w:tcW w:w="792" w:type="dxa"/>
            <w:vMerge w:val="continue"/>
            <w:tcBorders>
              <w:left w:val="single" w:color="auto" w:sz="4" w:space="0"/>
              <w:right w:val="single" w:color="auto" w:sz="4" w:space="0"/>
            </w:tcBorders>
            <w:vAlign w:val="center"/>
          </w:tcPr>
          <w:p w14:paraId="511398B3">
            <w:pPr>
              <w:spacing w:line="360" w:lineRule="auto"/>
              <w:rPr>
                <w:rFonts w:ascii="宋体" w:hAnsi="宋体" w:cs="仿宋"/>
                <w:szCs w:val="21"/>
              </w:rPr>
            </w:pPr>
          </w:p>
        </w:tc>
        <w:tc>
          <w:tcPr>
            <w:tcW w:w="1293" w:type="dxa"/>
            <w:vMerge w:val="continue"/>
            <w:tcBorders>
              <w:left w:val="nil"/>
              <w:right w:val="single" w:color="auto" w:sz="4" w:space="0"/>
            </w:tcBorders>
            <w:vAlign w:val="center"/>
          </w:tcPr>
          <w:p w14:paraId="738EA2DD">
            <w:pPr>
              <w:spacing w:line="360" w:lineRule="auto"/>
              <w:rPr>
                <w:rFonts w:ascii="宋体" w:hAnsi="宋体" w:cs="仿宋"/>
                <w:szCs w:val="21"/>
              </w:rPr>
            </w:pPr>
          </w:p>
        </w:tc>
        <w:tc>
          <w:tcPr>
            <w:tcW w:w="7349" w:type="dxa"/>
            <w:tcBorders>
              <w:top w:val="single" w:color="auto" w:sz="4" w:space="0"/>
              <w:left w:val="nil"/>
              <w:bottom w:val="single" w:color="auto" w:sz="4" w:space="0"/>
              <w:right w:val="single" w:color="auto" w:sz="4" w:space="0"/>
            </w:tcBorders>
            <w:vAlign w:val="center"/>
          </w:tcPr>
          <w:p w14:paraId="4D736E4E">
            <w:pPr>
              <w:pStyle w:val="22"/>
              <w:widowControl/>
              <w:jc w:val="left"/>
              <w:rPr>
                <w:rFonts w:ascii="宋体" w:hAnsi="宋体" w:cs="宋体"/>
                <w:sz w:val="21"/>
                <w:szCs w:val="21"/>
              </w:rPr>
            </w:pPr>
            <w:r>
              <w:rPr>
                <w:rFonts w:hint="eastAsia" w:ascii="宋体" w:hAnsi="宋体" w:cs="宋体"/>
                <w:sz w:val="21"/>
                <w:szCs w:val="21"/>
              </w:rPr>
              <w:t>6.品牌宣传推广（4分）</w:t>
            </w:r>
          </w:p>
          <w:p w14:paraId="45F920FB">
            <w:pPr>
              <w:pStyle w:val="22"/>
              <w:widowControl/>
              <w:jc w:val="left"/>
              <w:rPr>
                <w:rFonts w:ascii="宋体" w:hAnsi="宋体" w:cs="宋体"/>
                <w:sz w:val="21"/>
                <w:szCs w:val="21"/>
              </w:rPr>
            </w:pPr>
            <w:r>
              <w:rPr>
                <w:rFonts w:hint="eastAsia" w:ascii="宋体" w:hAnsi="宋体" w:cs="宋体"/>
                <w:sz w:val="21"/>
                <w:szCs w:val="21"/>
              </w:rPr>
              <w:t>根据投标人对线上线下宣传渠道矩阵搭建完善的得1分；宣传推广思路制定清晰的得1分；宣传方向符合项目品牌定位和特性的得1分；宣传渠道及媒介多样的得1分；以上内容有所欠缺的对应项得0.5分，未提供或不符合的对应项不得分，最多得4分。</w:t>
            </w:r>
          </w:p>
        </w:tc>
      </w:tr>
      <w:tr w14:paraId="5C747B81">
        <w:tblPrEx>
          <w:tblCellMar>
            <w:top w:w="0" w:type="dxa"/>
            <w:left w:w="108" w:type="dxa"/>
            <w:bottom w:w="0" w:type="dxa"/>
            <w:right w:w="108" w:type="dxa"/>
          </w:tblCellMar>
        </w:tblPrEx>
        <w:trPr>
          <w:trHeight w:val="1153" w:hRule="atLeast"/>
          <w:jc w:val="center"/>
        </w:trPr>
        <w:tc>
          <w:tcPr>
            <w:tcW w:w="792" w:type="dxa"/>
            <w:vMerge w:val="continue"/>
            <w:tcBorders>
              <w:left w:val="single" w:color="auto" w:sz="4" w:space="0"/>
              <w:right w:val="single" w:color="auto" w:sz="4" w:space="0"/>
            </w:tcBorders>
            <w:vAlign w:val="center"/>
          </w:tcPr>
          <w:p w14:paraId="053812F3">
            <w:pPr>
              <w:spacing w:line="360" w:lineRule="auto"/>
              <w:rPr>
                <w:rFonts w:ascii="宋体" w:hAnsi="宋体" w:cs="仿宋"/>
                <w:szCs w:val="21"/>
              </w:rPr>
            </w:pPr>
          </w:p>
        </w:tc>
        <w:tc>
          <w:tcPr>
            <w:tcW w:w="1293" w:type="dxa"/>
            <w:vMerge w:val="continue"/>
            <w:tcBorders>
              <w:left w:val="nil"/>
              <w:right w:val="single" w:color="auto" w:sz="4" w:space="0"/>
            </w:tcBorders>
            <w:vAlign w:val="center"/>
          </w:tcPr>
          <w:p w14:paraId="7661058E">
            <w:pPr>
              <w:spacing w:line="360" w:lineRule="auto"/>
              <w:rPr>
                <w:rFonts w:ascii="宋体" w:hAnsi="宋体" w:cs="仿宋"/>
                <w:szCs w:val="21"/>
              </w:rPr>
            </w:pPr>
          </w:p>
        </w:tc>
        <w:tc>
          <w:tcPr>
            <w:tcW w:w="7349" w:type="dxa"/>
            <w:tcBorders>
              <w:top w:val="single" w:color="auto" w:sz="4" w:space="0"/>
              <w:left w:val="nil"/>
              <w:right w:val="single" w:color="auto" w:sz="4" w:space="0"/>
            </w:tcBorders>
            <w:vAlign w:val="center"/>
          </w:tcPr>
          <w:p w14:paraId="2E9E30F4">
            <w:pPr>
              <w:pStyle w:val="22"/>
              <w:widowControl/>
              <w:jc w:val="left"/>
              <w:rPr>
                <w:rFonts w:ascii="宋体" w:hAnsi="宋体" w:cs="宋体"/>
                <w:sz w:val="21"/>
                <w:szCs w:val="21"/>
              </w:rPr>
            </w:pPr>
            <w:r>
              <w:rPr>
                <w:rFonts w:hint="eastAsia" w:ascii="宋体" w:hAnsi="宋体" w:cs="宋体"/>
                <w:sz w:val="21"/>
                <w:szCs w:val="21"/>
              </w:rPr>
              <w:t>7.开业计划（3分）</w:t>
            </w:r>
          </w:p>
          <w:p w14:paraId="5F0C70A1">
            <w:pPr>
              <w:pStyle w:val="22"/>
              <w:widowControl/>
              <w:jc w:val="left"/>
              <w:rPr>
                <w:rFonts w:ascii="宋体" w:hAnsi="宋体" w:cs="宋体"/>
                <w:sz w:val="21"/>
                <w:szCs w:val="21"/>
              </w:rPr>
            </w:pPr>
            <w:r>
              <w:rPr>
                <w:rFonts w:hint="eastAsia" w:ascii="宋体" w:hAnsi="宋体" w:cs="宋体"/>
                <w:sz w:val="21"/>
                <w:szCs w:val="21"/>
              </w:rPr>
              <w:t>根据投标人对开业倒排计划完整清晰的得1分；策划方案新颖有创意的得1分；活动策划内容丰富的得1分；</w:t>
            </w:r>
            <w:bookmarkStart w:id="398" w:name="OLE_LINK10"/>
            <w:r>
              <w:rPr>
                <w:rFonts w:hint="eastAsia" w:ascii="宋体" w:hAnsi="宋体" w:cs="宋体"/>
                <w:sz w:val="21"/>
                <w:szCs w:val="21"/>
              </w:rPr>
              <w:t>以上内容有所欠缺的对应项得0.5分，未提供或不符合的对应项不得分，</w:t>
            </w:r>
            <w:bookmarkEnd w:id="398"/>
            <w:r>
              <w:rPr>
                <w:rFonts w:hint="eastAsia" w:ascii="宋体" w:hAnsi="宋体" w:cs="宋体"/>
                <w:sz w:val="21"/>
                <w:szCs w:val="21"/>
              </w:rPr>
              <w:t>最多得3分。</w:t>
            </w:r>
          </w:p>
        </w:tc>
      </w:tr>
      <w:tr w14:paraId="1F5C7581">
        <w:tblPrEx>
          <w:tblCellMar>
            <w:top w:w="0" w:type="dxa"/>
            <w:left w:w="108" w:type="dxa"/>
            <w:bottom w:w="0" w:type="dxa"/>
            <w:right w:w="108" w:type="dxa"/>
          </w:tblCellMar>
        </w:tblPrEx>
        <w:trPr>
          <w:trHeight w:val="20" w:hRule="atLeast"/>
          <w:jc w:val="center"/>
        </w:trPr>
        <w:tc>
          <w:tcPr>
            <w:tcW w:w="792" w:type="dxa"/>
            <w:vMerge w:val="continue"/>
            <w:tcBorders>
              <w:left w:val="single" w:color="auto" w:sz="4" w:space="0"/>
              <w:right w:val="single" w:color="auto" w:sz="4" w:space="0"/>
            </w:tcBorders>
            <w:vAlign w:val="center"/>
          </w:tcPr>
          <w:p w14:paraId="1A0C28D7">
            <w:pPr>
              <w:spacing w:line="360" w:lineRule="auto"/>
              <w:rPr>
                <w:rFonts w:ascii="宋体" w:hAnsi="宋体" w:cs="仿宋"/>
                <w:szCs w:val="21"/>
              </w:rPr>
            </w:pPr>
          </w:p>
        </w:tc>
        <w:tc>
          <w:tcPr>
            <w:tcW w:w="1293" w:type="dxa"/>
            <w:vMerge w:val="restart"/>
            <w:tcBorders>
              <w:top w:val="single" w:color="auto" w:sz="4" w:space="0"/>
              <w:left w:val="single" w:color="auto" w:sz="4" w:space="0"/>
              <w:right w:val="single" w:color="auto" w:sz="4" w:space="0"/>
            </w:tcBorders>
            <w:vAlign w:val="center"/>
          </w:tcPr>
          <w:p w14:paraId="22BDCCF6">
            <w:pPr>
              <w:spacing w:line="360" w:lineRule="auto"/>
              <w:rPr>
                <w:rFonts w:ascii="宋体" w:hAnsi="宋体" w:cs="仿宋"/>
                <w:szCs w:val="21"/>
              </w:rPr>
            </w:pPr>
            <w:r>
              <w:rPr>
                <w:rFonts w:hint="eastAsia" w:ascii="宋体" w:hAnsi="宋体" w:cs="仿宋"/>
                <w:szCs w:val="21"/>
              </w:rPr>
              <w:t>二、园区</w:t>
            </w:r>
            <w:bookmarkStart w:id="399" w:name="OLE_LINK8"/>
            <w:r>
              <w:rPr>
                <w:rFonts w:hint="eastAsia" w:ascii="宋体" w:hAnsi="宋体" w:cs="仿宋"/>
                <w:szCs w:val="21"/>
              </w:rPr>
              <w:t>物业化管理</w:t>
            </w:r>
            <w:bookmarkEnd w:id="399"/>
            <w:r>
              <w:rPr>
                <w:rFonts w:hint="eastAsia" w:ascii="宋体" w:hAnsi="宋体" w:cs="仿宋"/>
                <w:szCs w:val="21"/>
              </w:rPr>
              <w:t>方案（18分）</w:t>
            </w:r>
          </w:p>
        </w:tc>
        <w:tc>
          <w:tcPr>
            <w:tcW w:w="7349" w:type="dxa"/>
            <w:tcBorders>
              <w:top w:val="single" w:color="auto" w:sz="4" w:space="0"/>
              <w:left w:val="single" w:color="auto" w:sz="4" w:space="0"/>
              <w:bottom w:val="single" w:color="auto" w:sz="4" w:space="0"/>
              <w:right w:val="single" w:color="auto" w:sz="4" w:space="0"/>
            </w:tcBorders>
          </w:tcPr>
          <w:p w14:paraId="5EF84B8C">
            <w:pPr>
              <w:pStyle w:val="22"/>
              <w:widowControl/>
              <w:jc w:val="left"/>
              <w:rPr>
                <w:rFonts w:ascii="宋体" w:hAnsi="宋体" w:cs="宋体"/>
                <w:sz w:val="21"/>
                <w:szCs w:val="21"/>
              </w:rPr>
            </w:pPr>
            <w:r>
              <w:rPr>
                <w:rFonts w:hint="eastAsia" w:ascii="宋体" w:hAnsi="宋体" w:cs="宋体"/>
                <w:sz w:val="21"/>
                <w:szCs w:val="21"/>
              </w:rPr>
              <w:t>1.</w:t>
            </w:r>
            <w:bookmarkStart w:id="400" w:name="OLE_LINK7"/>
            <w:r>
              <w:rPr>
                <w:rFonts w:hint="eastAsia" w:ascii="宋体" w:hAnsi="宋体" w:cs="宋体"/>
                <w:sz w:val="21"/>
                <w:szCs w:val="21"/>
              </w:rPr>
              <w:t>园区物业化管理（3分）</w:t>
            </w:r>
          </w:p>
          <w:p w14:paraId="2724FBD8">
            <w:pPr>
              <w:pStyle w:val="22"/>
              <w:widowControl/>
              <w:jc w:val="left"/>
              <w:rPr>
                <w:rFonts w:ascii="宋体" w:hAnsi="宋体" w:cs="宋体"/>
                <w:sz w:val="21"/>
                <w:szCs w:val="21"/>
              </w:rPr>
            </w:pPr>
            <w:r>
              <w:rPr>
                <w:rFonts w:hint="eastAsia" w:ascii="宋体" w:hAnsi="宋体" w:cs="宋体"/>
                <w:sz w:val="21"/>
                <w:szCs w:val="21"/>
              </w:rPr>
              <w:t>根据投标人</w:t>
            </w:r>
            <w:bookmarkEnd w:id="400"/>
            <w:r>
              <w:rPr>
                <w:rFonts w:hint="eastAsia" w:ascii="宋体" w:hAnsi="宋体" w:cs="宋体"/>
                <w:sz w:val="21"/>
                <w:szCs w:val="21"/>
              </w:rPr>
              <w:t>提供的针对本项目园区物业化管理服务方案内容全面详细的得1分；方案制定合理的得1分；方案针对性强的得1分；</w:t>
            </w:r>
            <w:bookmarkStart w:id="401" w:name="OLE_LINK13"/>
            <w:r>
              <w:rPr>
                <w:rFonts w:hint="eastAsia" w:ascii="宋体" w:hAnsi="宋体" w:cs="宋体"/>
                <w:sz w:val="21"/>
                <w:szCs w:val="21"/>
              </w:rPr>
              <w:t>以上内容有所欠缺的对应项得0.5分，未提供或不符合的对应项不得分，</w:t>
            </w:r>
            <w:bookmarkEnd w:id="401"/>
            <w:r>
              <w:rPr>
                <w:rFonts w:hint="eastAsia" w:ascii="宋体" w:hAnsi="宋体" w:cs="宋体"/>
                <w:sz w:val="21"/>
                <w:szCs w:val="21"/>
              </w:rPr>
              <w:t>最多得3分。</w:t>
            </w:r>
          </w:p>
        </w:tc>
      </w:tr>
      <w:tr w14:paraId="6B1C2980">
        <w:tblPrEx>
          <w:tblCellMar>
            <w:top w:w="0" w:type="dxa"/>
            <w:left w:w="108" w:type="dxa"/>
            <w:bottom w:w="0" w:type="dxa"/>
            <w:right w:w="108" w:type="dxa"/>
          </w:tblCellMar>
        </w:tblPrEx>
        <w:trPr>
          <w:trHeight w:val="20" w:hRule="atLeast"/>
          <w:jc w:val="center"/>
        </w:trPr>
        <w:tc>
          <w:tcPr>
            <w:tcW w:w="792" w:type="dxa"/>
            <w:vMerge w:val="continue"/>
            <w:tcBorders>
              <w:left w:val="single" w:color="auto" w:sz="4" w:space="0"/>
              <w:right w:val="single" w:color="auto" w:sz="4" w:space="0"/>
            </w:tcBorders>
            <w:vAlign w:val="center"/>
          </w:tcPr>
          <w:p w14:paraId="4B4B656C">
            <w:pPr>
              <w:spacing w:line="360" w:lineRule="auto"/>
              <w:rPr>
                <w:rFonts w:ascii="宋体" w:hAnsi="宋体" w:cs="仿宋"/>
                <w:szCs w:val="21"/>
              </w:rPr>
            </w:pPr>
          </w:p>
        </w:tc>
        <w:tc>
          <w:tcPr>
            <w:tcW w:w="1293" w:type="dxa"/>
            <w:vMerge w:val="continue"/>
            <w:tcBorders>
              <w:left w:val="single" w:color="auto" w:sz="4" w:space="0"/>
              <w:right w:val="single" w:color="auto" w:sz="4" w:space="0"/>
            </w:tcBorders>
            <w:vAlign w:val="center"/>
          </w:tcPr>
          <w:p w14:paraId="4D960083">
            <w:pPr>
              <w:spacing w:line="360" w:lineRule="auto"/>
              <w:rPr>
                <w:rFonts w:ascii="宋体" w:hAnsi="宋体" w:cs="仿宋"/>
                <w:szCs w:val="21"/>
              </w:rPr>
            </w:pPr>
          </w:p>
        </w:tc>
        <w:tc>
          <w:tcPr>
            <w:tcW w:w="7349" w:type="dxa"/>
            <w:tcBorders>
              <w:top w:val="single" w:color="auto" w:sz="4" w:space="0"/>
              <w:left w:val="single" w:color="auto" w:sz="4" w:space="0"/>
              <w:bottom w:val="single" w:color="auto" w:sz="4" w:space="0"/>
              <w:right w:val="single" w:color="auto" w:sz="4" w:space="0"/>
            </w:tcBorders>
          </w:tcPr>
          <w:p w14:paraId="5224F7A9">
            <w:pPr>
              <w:pStyle w:val="22"/>
              <w:widowControl/>
              <w:jc w:val="left"/>
              <w:rPr>
                <w:rFonts w:ascii="宋体" w:hAnsi="宋体" w:cs="宋体"/>
                <w:sz w:val="21"/>
                <w:szCs w:val="21"/>
              </w:rPr>
            </w:pPr>
            <w:r>
              <w:rPr>
                <w:rFonts w:hint="eastAsia" w:ascii="宋体" w:hAnsi="宋体" w:cs="宋体"/>
                <w:sz w:val="21"/>
                <w:szCs w:val="21"/>
              </w:rPr>
              <w:t>2.保安服务（3分）</w:t>
            </w:r>
          </w:p>
          <w:p w14:paraId="164E15C1">
            <w:pPr>
              <w:pStyle w:val="22"/>
              <w:widowControl/>
              <w:jc w:val="left"/>
              <w:rPr>
                <w:rFonts w:ascii="宋体" w:hAnsi="宋体" w:cs="宋体"/>
                <w:sz w:val="21"/>
                <w:szCs w:val="21"/>
              </w:rPr>
            </w:pPr>
            <w:r>
              <w:rPr>
                <w:rFonts w:hint="eastAsia" w:ascii="宋体" w:hAnsi="宋体" w:cs="宋体"/>
                <w:sz w:val="21"/>
                <w:szCs w:val="21"/>
              </w:rPr>
              <w:t>根据投标人提供的针对本项目保安服务方案内容全面详细的得1分；方案制定合理的得1分；方案针对性强的得1分；以上内容有所欠缺的对应项得0.5分，未提供或不符合的对应项不得分，最多得3分。</w:t>
            </w:r>
          </w:p>
        </w:tc>
      </w:tr>
      <w:tr w14:paraId="6605D6E1">
        <w:tblPrEx>
          <w:tblCellMar>
            <w:top w:w="0" w:type="dxa"/>
            <w:left w:w="108" w:type="dxa"/>
            <w:bottom w:w="0" w:type="dxa"/>
            <w:right w:w="108" w:type="dxa"/>
          </w:tblCellMar>
        </w:tblPrEx>
        <w:trPr>
          <w:trHeight w:val="20" w:hRule="atLeast"/>
          <w:jc w:val="center"/>
        </w:trPr>
        <w:tc>
          <w:tcPr>
            <w:tcW w:w="792" w:type="dxa"/>
            <w:vMerge w:val="continue"/>
            <w:tcBorders>
              <w:left w:val="single" w:color="auto" w:sz="4" w:space="0"/>
              <w:right w:val="single" w:color="auto" w:sz="4" w:space="0"/>
            </w:tcBorders>
            <w:vAlign w:val="center"/>
          </w:tcPr>
          <w:p w14:paraId="6EBE2D5B">
            <w:pPr>
              <w:spacing w:line="360" w:lineRule="auto"/>
              <w:rPr>
                <w:rFonts w:ascii="宋体" w:hAnsi="宋体" w:cs="仿宋"/>
                <w:szCs w:val="21"/>
              </w:rPr>
            </w:pPr>
          </w:p>
        </w:tc>
        <w:tc>
          <w:tcPr>
            <w:tcW w:w="1293" w:type="dxa"/>
            <w:vMerge w:val="continue"/>
            <w:tcBorders>
              <w:left w:val="single" w:color="auto" w:sz="4" w:space="0"/>
              <w:right w:val="single" w:color="auto" w:sz="4" w:space="0"/>
            </w:tcBorders>
            <w:vAlign w:val="center"/>
          </w:tcPr>
          <w:p w14:paraId="6C085B6A">
            <w:pPr>
              <w:spacing w:line="360" w:lineRule="auto"/>
              <w:rPr>
                <w:rFonts w:ascii="宋体" w:hAnsi="宋体" w:cs="仿宋"/>
                <w:szCs w:val="21"/>
              </w:rPr>
            </w:pPr>
          </w:p>
        </w:tc>
        <w:tc>
          <w:tcPr>
            <w:tcW w:w="7349" w:type="dxa"/>
            <w:tcBorders>
              <w:top w:val="single" w:color="auto" w:sz="4" w:space="0"/>
              <w:left w:val="single" w:color="auto" w:sz="4" w:space="0"/>
              <w:bottom w:val="single" w:color="auto" w:sz="4" w:space="0"/>
              <w:right w:val="single" w:color="auto" w:sz="4" w:space="0"/>
            </w:tcBorders>
          </w:tcPr>
          <w:p w14:paraId="24CFA9B6">
            <w:pPr>
              <w:pStyle w:val="22"/>
              <w:widowControl/>
              <w:jc w:val="left"/>
              <w:rPr>
                <w:rFonts w:ascii="宋体" w:hAnsi="宋体" w:cs="宋体"/>
                <w:sz w:val="21"/>
                <w:szCs w:val="21"/>
              </w:rPr>
            </w:pPr>
            <w:r>
              <w:rPr>
                <w:rFonts w:hint="eastAsia" w:ascii="宋体" w:hAnsi="宋体" w:cs="宋体"/>
                <w:sz w:val="21"/>
                <w:szCs w:val="21"/>
              </w:rPr>
              <w:t>3.保洁服务（3分）</w:t>
            </w:r>
          </w:p>
          <w:p w14:paraId="7D70CB97">
            <w:pPr>
              <w:pStyle w:val="22"/>
              <w:widowControl/>
              <w:jc w:val="left"/>
              <w:rPr>
                <w:rFonts w:ascii="宋体" w:hAnsi="宋体" w:cs="宋体"/>
                <w:sz w:val="21"/>
                <w:szCs w:val="21"/>
              </w:rPr>
            </w:pPr>
            <w:r>
              <w:rPr>
                <w:rFonts w:hint="eastAsia" w:ascii="宋体" w:hAnsi="宋体" w:cs="宋体"/>
                <w:sz w:val="21"/>
                <w:szCs w:val="21"/>
              </w:rPr>
              <w:t>根据投标人提供的针对本项目的保洁卫生管理方案内容全面详细的得1分；方案制定合理的得1分；方案针对性强的得1分；以上内容有所欠缺的对应项得0.5分，未提供或不符合的对应项不得分，最多得3分。</w:t>
            </w:r>
          </w:p>
        </w:tc>
      </w:tr>
      <w:tr w14:paraId="78B316EF">
        <w:tblPrEx>
          <w:tblCellMar>
            <w:top w:w="0" w:type="dxa"/>
            <w:left w:w="108" w:type="dxa"/>
            <w:bottom w:w="0" w:type="dxa"/>
            <w:right w:w="108" w:type="dxa"/>
          </w:tblCellMar>
        </w:tblPrEx>
        <w:trPr>
          <w:trHeight w:val="20" w:hRule="atLeast"/>
          <w:jc w:val="center"/>
        </w:trPr>
        <w:tc>
          <w:tcPr>
            <w:tcW w:w="792" w:type="dxa"/>
            <w:vMerge w:val="continue"/>
            <w:tcBorders>
              <w:left w:val="single" w:color="auto" w:sz="4" w:space="0"/>
              <w:right w:val="single" w:color="auto" w:sz="4" w:space="0"/>
            </w:tcBorders>
            <w:vAlign w:val="center"/>
          </w:tcPr>
          <w:p w14:paraId="27BD986B">
            <w:pPr>
              <w:spacing w:line="360" w:lineRule="auto"/>
              <w:rPr>
                <w:rFonts w:ascii="宋体" w:hAnsi="宋体" w:cs="仿宋"/>
                <w:szCs w:val="21"/>
              </w:rPr>
            </w:pPr>
          </w:p>
        </w:tc>
        <w:tc>
          <w:tcPr>
            <w:tcW w:w="1293" w:type="dxa"/>
            <w:vMerge w:val="continue"/>
            <w:tcBorders>
              <w:left w:val="single" w:color="auto" w:sz="4" w:space="0"/>
              <w:right w:val="single" w:color="auto" w:sz="4" w:space="0"/>
            </w:tcBorders>
            <w:vAlign w:val="center"/>
          </w:tcPr>
          <w:p w14:paraId="1BC39433">
            <w:pPr>
              <w:spacing w:line="360" w:lineRule="auto"/>
              <w:rPr>
                <w:rFonts w:ascii="宋体" w:hAnsi="宋体" w:cs="仿宋"/>
                <w:szCs w:val="21"/>
              </w:rPr>
            </w:pPr>
          </w:p>
        </w:tc>
        <w:tc>
          <w:tcPr>
            <w:tcW w:w="7349" w:type="dxa"/>
            <w:tcBorders>
              <w:top w:val="single" w:color="auto" w:sz="4" w:space="0"/>
              <w:left w:val="single" w:color="auto" w:sz="4" w:space="0"/>
              <w:bottom w:val="single" w:color="auto" w:sz="4" w:space="0"/>
              <w:right w:val="single" w:color="auto" w:sz="4" w:space="0"/>
            </w:tcBorders>
          </w:tcPr>
          <w:p w14:paraId="06FE35FF">
            <w:pPr>
              <w:pStyle w:val="22"/>
              <w:widowControl/>
              <w:jc w:val="left"/>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val="en-US" w:eastAsia="zh-CN"/>
              </w:rPr>
              <w:t>车</w:t>
            </w:r>
            <w:r>
              <w:rPr>
                <w:rFonts w:hint="eastAsia" w:ascii="宋体" w:hAnsi="宋体" w:cs="宋体"/>
                <w:sz w:val="21"/>
                <w:szCs w:val="21"/>
              </w:rPr>
              <w:t>辆停放管理（3分）</w:t>
            </w:r>
          </w:p>
          <w:p w14:paraId="3B31E71D">
            <w:pPr>
              <w:pStyle w:val="22"/>
              <w:widowControl/>
              <w:jc w:val="left"/>
              <w:rPr>
                <w:rFonts w:ascii="宋体" w:hAnsi="宋体" w:cs="宋体"/>
                <w:sz w:val="21"/>
                <w:szCs w:val="21"/>
              </w:rPr>
            </w:pPr>
            <w:r>
              <w:rPr>
                <w:rFonts w:hint="eastAsia" w:ascii="宋体" w:hAnsi="宋体" w:cs="宋体"/>
                <w:sz w:val="21"/>
                <w:szCs w:val="21"/>
              </w:rPr>
              <w:t>根据投标人提供的针对本项目的车</w:t>
            </w:r>
            <w:bookmarkStart w:id="402" w:name="OLE_LINK14"/>
            <w:r>
              <w:rPr>
                <w:rFonts w:hint="eastAsia" w:ascii="宋体" w:hAnsi="宋体" w:cs="宋体"/>
                <w:sz w:val="21"/>
                <w:szCs w:val="21"/>
              </w:rPr>
              <w:t>辆停放管理方案</w:t>
            </w:r>
            <w:bookmarkEnd w:id="402"/>
            <w:r>
              <w:rPr>
                <w:rFonts w:hint="eastAsia" w:ascii="宋体" w:hAnsi="宋体" w:cs="宋体"/>
                <w:sz w:val="21"/>
                <w:szCs w:val="21"/>
              </w:rPr>
              <w:t>内容全面详细的得1分；方案制定合理的得1分；方案针对性强的得1分；以上内容有所欠缺的对应项得0.5分，未提供或不符合的对应项不得分，最多得3分。</w:t>
            </w:r>
          </w:p>
        </w:tc>
      </w:tr>
      <w:tr w14:paraId="4214A0EA">
        <w:tblPrEx>
          <w:tblCellMar>
            <w:top w:w="0" w:type="dxa"/>
            <w:left w:w="108" w:type="dxa"/>
            <w:bottom w:w="0" w:type="dxa"/>
            <w:right w:w="108" w:type="dxa"/>
          </w:tblCellMar>
        </w:tblPrEx>
        <w:trPr>
          <w:trHeight w:val="20" w:hRule="atLeast"/>
          <w:jc w:val="center"/>
        </w:trPr>
        <w:tc>
          <w:tcPr>
            <w:tcW w:w="792" w:type="dxa"/>
            <w:vMerge w:val="continue"/>
            <w:tcBorders>
              <w:left w:val="single" w:color="auto" w:sz="4" w:space="0"/>
              <w:right w:val="single" w:color="auto" w:sz="4" w:space="0"/>
            </w:tcBorders>
            <w:vAlign w:val="center"/>
          </w:tcPr>
          <w:p w14:paraId="5E79126E">
            <w:pPr>
              <w:spacing w:line="360" w:lineRule="auto"/>
              <w:rPr>
                <w:rFonts w:ascii="宋体" w:hAnsi="宋体" w:cs="仿宋"/>
                <w:szCs w:val="21"/>
              </w:rPr>
            </w:pPr>
          </w:p>
        </w:tc>
        <w:tc>
          <w:tcPr>
            <w:tcW w:w="1293" w:type="dxa"/>
            <w:vMerge w:val="continue"/>
            <w:tcBorders>
              <w:left w:val="single" w:color="auto" w:sz="4" w:space="0"/>
              <w:right w:val="single" w:color="auto" w:sz="4" w:space="0"/>
            </w:tcBorders>
            <w:vAlign w:val="center"/>
          </w:tcPr>
          <w:p w14:paraId="1CE1D2D7">
            <w:pPr>
              <w:spacing w:line="360" w:lineRule="auto"/>
              <w:rPr>
                <w:rFonts w:ascii="宋体" w:hAnsi="宋体" w:cs="仿宋"/>
                <w:szCs w:val="21"/>
              </w:rPr>
            </w:pPr>
          </w:p>
        </w:tc>
        <w:tc>
          <w:tcPr>
            <w:tcW w:w="7349" w:type="dxa"/>
            <w:tcBorders>
              <w:top w:val="single" w:color="auto" w:sz="4" w:space="0"/>
              <w:left w:val="single" w:color="auto" w:sz="4" w:space="0"/>
              <w:bottom w:val="single" w:color="auto" w:sz="4" w:space="0"/>
              <w:right w:val="single" w:color="auto" w:sz="4" w:space="0"/>
            </w:tcBorders>
          </w:tcPr>
          <w:p w14:paraId="1DEB050A">
            <w:pPr>
              <w:pStyle w:val="22"/>
              <w:widowControl/>
              <w:jc w:val="left"/>
              <w:rPr>
                <w:rFonts w:ascii="宋体" w:hAnsi="宋体" w:cs="宋体"/>
                <w:sz w:val="21"/>
                <w:szCs w:val="21"/>
              </w:rPr>
            </w:pPr>
            <w:r>
              <w:rPr>
                <w:rFonts w:hint="eastAsia" w:ascii="宋体" w:hAnsi="宋体" w:cs="宋体"/>
                <w:sz w:val="21"/>
                <w:szCs w:val="21"/>
              </w:rPr>
              <w:t>5.公共秩序维护、消防、安全防范（3分）</w:t>
            </w:r>
          </w:p>
          <w:p w14:paraId="6BA75799">
            <w:pPr>
              <w:pStyle w:val="22"/>
              <w:widowControl/>
              <w:jc w:val="left"/>
              <w:rPr>
                <w:rFonts w:ascii="宋体" w:hAnsi="宋体" w:cs="宋体"/>
                <w:sz w:val="21"/>
                <w:szCs w:val="21"/>
              </w:rPr>
            </w:pPr>
            <w:r>
              <w:rPr>
                <w:rFonts w:hint="eastAsia" w:ascii="宋体" w:hAnsi="宋体" w:cs="宋体"/>
                <w:sz w:val="21"/>
                <w:szCs w:val="21"/>
              </w:rPr>
              <w:t>根据投标人提供的针对本项目的</w:t>
            </w:r>
            <w:bookmarkStart w:id="403" w:name="OLE_LINK15"/>
            <w:r>
              <w:rPr>
                <w:rFonts w:hint="eastAsia" w:ascii="宋体" w:hAnsi="宋体" w:cs="宋体"/>
                <w:sz w:val="21"/>
                <w:szCs w:val="21"/>
              </w:rPr>
              <w:t>公共秩序维护、消防、安全防范</w:t>
            </w:r>
            <w:bookmarkEnd w:id="403"/>
            <w:r>
              <w:rPr>
                <w:rFonts w:hint="eastAsia" w:ascii="宋体" w:hAnsi="宋体" w:cs="宋体"/>
                <w:sz w:val="21"/>
                <w:szCs w:val="21"/>
              </w:rPr>
              <w:t>等事项的管理方案进行评议:内容全面详细的得1分；方案制定合理的得1分；方案针对性强的得1分；以上内容有所欠缺的对应项得0.5分，未提供或不符合的对应项不得分，最多得3分。</w:t>
            </w:r>
          </w:p>
        </w:tc>
      </w:tr>
      <w:tr w14:paraId="64558313">
        <w:tblPrEx>
          <w:tblCellMar>
            <w:top w:w="0" w:type="dxa"/>
            <w:left w:w="108" w:type="dxa"/>
            <w:bottom w:w="0" w:type="dxa"/>
            <w:right w:w="108" w:type="dxa"/>
          </w:tblCellMar>
        </w:tblPrEx>
        <w:trPr>
          <w:trHeight w:val="716" w:hRule="atLeast"/>
          <w:jc w:val="center"/>
        </w:trPr>
        <w:tc>
          <w:tcPr>
            <w:tcW w:w="792" w:type="dxa"/>
            <w:vMerge w:val="continue"/>
            <w:tcBorders>
              <w:left w:val="single" w:color="auto" w:sz="4" w:space="0"/>
              <w:right w:val="single" w:color="auto" w:sz="4" w:space="0"/>
            </w:tcBorders>
            <w:vAlign w:val="center"/>
          </w:tcPr>
          <w:p w14:paraId="528B51AE">
            <w:pPr>
              <w:spacing w:line="360" w:lineRule="auto"/>
              <w:rPr>
                <w:rFonts w:ascii="宋体" w:hAnsi="宋体" w:cs="仿宋"/>
                <w:szCs w:val="21"/>
              </w:rPr>
            </w:pPr>
          </w:p>
        </w:tc>
        <w:tc>
          <w:tcPr>
            <w:tcW w:w="1293" w:type="dxa"/>
            <w:vMerge w:val="continue"/>
            <w:tcBorders>
              <w:left w:val="single" w:color="auto" w:sz="4" w:space="0"/>
              <w:right w:val="single" w:color="auto" w:sz="4" w:space="0"/>
            </w:tcBorders>
            <w:vAlign w:val="center"/>
          </w:tcPr>
          <w:p w14:paraId="761B4AE6">
            <w:pPr>
              <w:spacing w:line="360" w:lineRule="auto"/>
              <w:rPr>
                <w:rFonts w:ascii="宋体" w:hAnsi="宋体" w:cs="仿宋"/>
                <w:szCs w:val="21"/>
              </w:rPr>
            </w:pPr>
          </w:p>
        </w:tc>
        <w:tc>
          <w:tcPr>
            <w:tcW w:w="7349" w:type="dxa"/>
            <w:tcBorders>
              <w:top w:val="single" w:color="auto" w:sz="4" w:space="0"/>
              <w:left w:val="single" w:color="auto" w:sz="4" w:space="0"/>
              <w:bottom w:val="single" w:color="auto" w:sz="4" w:space="0"/>
              <w:right w:val="single" w:color="auto" w:sz="4" w:space="0"/>
            </w:tcBorders>
          </w:tcPr>
          <w:p w14:paraId="7808144A">
            <w:pPr>
              <w:pStyle w:val="22"/>
              <w:widowControl/>
              <w:jc w:val="left"/>
              <w:rPr>
                <w:rFonts w:ascii="宋体" w:hAnsi="宋体" w:cs="宋体"/>
                <w:sz w:val="21"/>
                <w:szCs w:val="21"/>
              </w:rPr>
            </w:pPr>
            <w:r>
              <w:rPr>
                <w:rFonts w:hint="eastAsia" w:ascii="宋体" w:hAnsi="宋体" w:cs="宋体"/>
                <w:sz w:val="21"/>
                <w:szCs w:val="21"/>
              </w:rPr>
              <w:t>6.装修管理（3分）</w:t>
            </w:r>
          </w:p>
          <w:p w14:paraId="5992A9E6">
            <w:pPr>
              <w:pStyle w:val="22"/>
              <w:widowControl/>
              <w:jc w:val="left"/>
              <w:rPr>
                <w:rFonts w:ascii="宋体" w:hAnsi="宋体" w:cs="宋体"/>
                <w:sz w:val="21"/>
                <w:szCs w:val="21"/>
              </w:rPr>
            </w:pPr>
            <w:bookmarkStart w:id="404" w:name="OLE_LINK17"/>
            <w:r>
              <w:rPr>
                <w:rFonts w:hint="eastAsia" w:ascii="宋体" w:hAnsi="宋体" w:cs="宋体"/>
                <w:sz w:val="21"/>
                <w:szCs w:val="21"/>
              </w:rPr>
              <w:t>根据投标人提供的</w:t>
            </w:r>
            <w:bookmarkEnd w:id="404"/>
            <w:r>
              <w:rPr>
                <w:rFonts w:hint="eastAsia" w:ascii="宋体" w:hAnsi="宋体" w:cs="宋体"/>
                <w:sz w:val="21"/>
                <w:szCs w:val="21"/>
              </w:rPr>
              <w:t>针对本项目的</w:t>
            </w:r>
            <w:bookmarkStart w:id="405" w:name="OLE_LINK16"/>
            <w:r>
              <w:rPr>
                <w:rFonts w:hint="eastAsia" w:ascii="宋体" w:hAnsi="宋体" w:cs="宋体"/>
                <w:sz w:val="21"/>
                <w:szCs w:val="21"/>
              </w:rPr>
              <w:t>装修管理</w:t>
            </w:r>
            <w:bookmarkEnd w:id="405"/>
            <w:r>
              <w:rPr>
                <w:rFonts w:hint="eastAsia" w:ascii="宋体" w:hAnsi="宋体" w:cs="宋体"/>
                <w:sz w:val="21"/>
                <w:szCs w:val="21"/>
              </w:rPr>
              <w:t>服务方案内容全面详细的得1分；方案制定合理的得1分；方案针对性强的得1分；以上内容有所欠缺的对应项得0.5分，未提供或不符合的对应项不得分，最多得3分。</w:t>
            </w:r>
          </w:p>
        </w:tc>
      </w:tr>
      <w:tr w14:paraId="172B7AB3">
        <w:tblPrEx>
          <w:tblCellMar>
            <w:top w:w="0" w:type="dxa"/>
            <w:left w:w="108" w:type="dxa"/>
            <w:bottom w:w="0" w:type="dxa"/>
            <w:right w:w="108" w:type="dxa"/>
          </w:tblCellMar>
        </w:tblPrEx>
        <w:trPr>
          <w:trHeight w:val="20" w:hRule="atLeast"/>
          <w:jc w:val="center"/>
        </w:trPr>
        <w:tc>
          <w:tcPr>
            <w:tcW w:w="792" w:type="dxa"/>
            <w:vMerge w:val="continue"/>
            <w:tcBorders>
              <w:left w:val="single" w:color="auto" w:sz="4" w:space="0"/>
              <w:right w:val="single" w:color="auto" w:sz="4" w:space="0"/>
            </w:tcBorders>
            <w:vAlign w:val="center"/>
          </w:tcPr>
          <w:p w14:paraId="0FA5407F">
            <w:pPr>
              <w:spacing w:line="360" w:lineRule="auto"/>
              <w:rPr>
                <w:rFonts w:ascii="宋体" w:hAnsi="宋体" w:cs="仿宋"/>
                <w:szCs w:val="21"/>
              </w:rPr>
            </w:pPr>
          </w:p>
        </w:tc>
        <w:tc>
          <w:tcPr>
            <w:tcW w:w="1293" w:type="dxa"/>
            <w:tcBorders>
              <w:top w:val="single" w:color="auto" w:sz="4" w:space="0"/>
              <w:left w:val="single" w:color="auto" w:sz="4" w:space="0"/>
              <w:bottom w:val="single" w:color="auto" w:sz="4" w:space="0"/>
              <w:right w:val="single" w:color="auto" w:sz="4" w:space="0"/>
            </w:tcBorders>
            <w:vAlign w:val="center"/>
          </w:tcPr>
          <w:p w14:paraId="75C1AB83">
            <w:pPr>
              <w:spacing w:line="360" w:lineRule="auto"/>
              <w:rPr>
                <w:rFonts w:ascii="宋体" w:hAnsi="宋体" w:cs="仿宋"/>
                <w:szCs w:val="21"/>
              </w:rPr>
            </w:pPr>
            <w:r>
              <w:rPr>
                <w:rFonts w:hint="eastAsia" w:ascii="宋体" w:hAnsi="宋体" w:cs="仿宋"/>
                <w:szCs w:val="21"/>
              </w:rPr>
              <w:t>三、活动策划方案（8分）</w:t>
            </w:r>
          </w:p>
        </w:tc>
        <w:tc>
          <w:tcPr>
            <w:tcW w:w="7349" w:type="dxa"/>
            <w:tcBorders>
              <w:top w:val="single" w:color="auto" w:sz="4" w:space="0"/>
              <w:left w:val="single" w:color="auto" w:sz="4" w:space="0"/>
              <w:bottom w:val="single" w:color="auto" w:sz="4" w:space="0"/>
              <w:right w:val="single" w:color="auto" w:sz="4" w:space="0"/>
            </w:tcBorders>
            <w:vAlign w:val="center"/>
          </w:tcPr>
          <w:p w14:paraId="01FD8472">
            <w:pPr>
              <w:rPr>
                <w:rFonts w:ascii="宋体" w:hAnsi="宋体" w:cs="宋体"/>
                <w:szCs w:val="21"/>
              </w:rPr>
            </w:pPr>
            <w:r>
              <w:rPr>
                <w:rFonts w:hint="eastAsia" w:ascii="宋体" w:hAnsi="宋体" w:cs="宋体"/>
                <w:szCs w:val="21"/>
              </w:rPr>
              <w:t>根据投标人提供的</w:t>
            </w:r>
            <w:r>
              <w:rPr>
                <w:rFonts w:hint="eastAsia"/>
              </w:rPr>
              <w:t>活动策划方案活动主题新颖，切合当下热点的得2分；全年度活动节奏安排合理的得2分；充分发挥项目特色的得2分；充分调动商家资源，吸引消费者到访，促进项目产品销售的得2分；以上内容有所欠缺的对应项得1分，未提供或不符合的</w:t>
            </w:r>
            <w:r>
              <w:rPr>
                <w:rFonts w:hint="eastAsia" w:ascii="宋体" w:hAnsi="宋体" w:cs="宋体"/>
                <w:szCs w:val="21"/>
              </w:rPr>
              <w:t>对应项</w:t>
            </w:r>
            <w:r>
              <w:rPr>
                <w:rFonts w:hint="eastAsia"/>
              </w:rPr>
              <w:t>不得分，最多得8分。</w:t>
            </w:r>
          </w:p>
        </w:tc>
      </w:tr>
      <w:tr w14:paraId="6673004F">
        <w:tblPrEx>
          <w:tblCellMar>
            <w:top w:w="0" w:type="dxa"/>
            <w:left w:w="108" w:type="dxa"/>
            <w:bottom w:w="0" w:type="dxa"/>
            <w:right w:w="108" w:type="dxa"/>
          </w:tblCellMar>
        </w:tblPrEx>
        <w:trPr>
          <w:trHeight w:val="20" w:hRule="atLeast"/>
          <w:jc w:val="center"/>
        </w:trPr>
        <w:tc>
          <w:tcPr>
            <w:tcW w:w="792" w:type="dxa"/>
            <w:vMerge w:val="continue"/>
            <w:tcBorders>
              <w:left w:val="single" w:color="auto" w:sz="4" w:space="0"/>
              <w:right w:val="single" w:color="auto" w:sz="4" w:space="0"/>
            </w:tcBorders>
            <w:vAlign w:val="center"/>
          </w:tcPr>
          <w:p w14:paraId="12747228">
            <w:pPr>
              <w:spacing w:line="360" w:lineRule="auto"/>
              <w:rPr>
                <w:rFonts w:ascii="宋体" w:hAnsi="宋体" w:cs="仿宋"/>
                <w:szCs w:val="21"/>
              </w:rPr>
            </w:pPr>
          </w:p>
        </w:tc>
        <w:tc>
          <w:tcPr>
            <w:tcW w:w="1293" w:type="dxa"/>
            <w:tcBorders>
              <w:top w:val="single" w:color="auto" w:sz="4" w:space="0"/>
              <w:left w:val="single" w:color="auto" w:sz="4" w:space="0"/>
              <w:bottom w:val="single" w:color="auto" w:sz="4" w:space="0"/>
              <w:right w:val="single" w:color="auto" w:sz="4" w:space="0"/>
            </w:tcBorders>
            <w:vAlign w:val="center"/>
          </w:tcPr>
          <w:p w14:paraId="55DB4594">
            <w:pPr>
              <w:spacing w:line="360" w:lineRule="auto"/>
              <w:rPr>
                <w:rFonts w:ascii="宋体" w:hAnsi="宋体" w:cs="仿宋"/>
                <w:szCs w:val="21"/>
              </w:rPr>
            </w:pPr>
            <w:r>
              <w:rPr>
                <w:rFonts w:hint="eastAsia" w:ascii="宋体" w:hAnsi="宋体" w:cs="仿宋"/>
                <w:szCs w:val="21"/>
              </w:rPr>
              <w:t>四、应急保障和应急人员配备情况（5分）</w:t>
            </w:r>
          </w:p>
        </w:tc>
        <w:tc>
          <w:tcPr>
            <w:tcW w:w="7349" w:type="dxa"/>
            <w:tcBorders>
              <w:top w:val="single" w:color="auto" w:sz="4" w:space="0"/>
              <w:left w:val="single" w:color="auto" w:sz="4" w:space="0"/>
              <w:bottom w:val="single" w:color="auto" w:sz="4" w:space="0"/>
              <w:right w:val="single" w:color="auto" w:sz="4" w:space="0"/>
            </w:tcBorders>
            <w:vAlign w:val="center"/>
          </w:tcPr>
          <w:p w14:paraId="3818DF0D">
            <w:pPr>
              <w:pStyle w:val="22"/>
              <w:widowControl/>
              <w:jc w:val="left"/>
              <w:rPr>
                <w:rFonts w:ascii="宋体" w:hAnsi="宋体" w:cs="宋体"/>
                <w:sz w:val="21"/>
                <w:szCs w:val="21"/>
              </w:rPr>
            </w:pPr>
            <w:r>
              <w:rPr>
                <w:rFonts w:hint="eastAsia" w:ascii="宋体" w:hAnsi="宋体" w:cs="宋体"/>
                <w:sz w:val="21"/>
                <w:szCs w:val="21"/>
              </w:rPr>
              <w:t>1.根据投标人提供的应急服务响应方案应急响应方案符合采购人服务需求的得1分；特殊时期应急保障措施（包括遇突击检查、防台防汛期间等特殊时期的应急保障措施等）详细可行的得1分；以上内容有所欠缺的对应项得0.5分，未提供或不符合的对应项不得分，最多得2分。</w:t>
            </w:r>
          </w:p>
          <w:p w14:paraId="419C55E9">
            <w:pPr>
              <w:pStyle w:val="22"/>
              <w:widowControl/>
              <w:jc w:val="left"/>
              <w:rPr>
                <w:rFonts w:ascii="宋体" w:hAnsi="宋体" w:cs="宋体"/>
                <w:sz w:val="21"/>
                <w:szCs w:val="21"/>
              </w:rPr>
            </w:pPr>
            <w:r>
              <w:rPr>
                <w:rFonts w:hint="eastAsia" w:ascii="宋体" w:hAnsi="宋体" w:cs="宋体"/>
                <w:sz w:val="21"/>
                <w:szCs w:val="21"/>
              </w:rPr>
              <w:t>2.根据投标人提供的应急响应能力阐述详细的得1分；应急人员储备丰富的得1分；应急人员抽调措施详细可行的得1分，以上内容有所欠缺的对应项得0.5分，未提供或不符合的对应项不得分，最多得3分。</w:t>
            </w:r>
          </w:p>
        </w:tc>
      </w:tr>
      <w:tr w14:paraId="314FB5B3">
        <w:tblPrEx>
          <w:tblCellMar>
            <w:top w:w="0" w:type="dxa"/>
            <w:left w:w="108" w:type="dxa"/>
            <w:bottom w:w="0" w:type="dxa"/>
            <w:right w:w="108" w:type="dxa"/>
          </w:tblCellMar>
        </w:tblPrEx>
        <w:trPr>
          <w:trHeight w:val="20" w:hRule="atLeast"/>
          <w:jc w:val="center"/>
        </w:trPr>
        <w:tc>
          <w:tcPr>
            <w:tcW w:w="792" w:type="dxa"/>
            <w:vMerge w:val="continue"/>
            <w:tcBorders>
              <w:left w:val="single" w:color="auto" w:sz="4" w:space="0"/>
              <w:right w:val="single" w:color="auto" w:sz="4" w:space="0"/>
            </w:tcBorders>
            <w:vAlign w:val="center"/>
          </w:tcPr>
          <w:p w14:paraId="561D625D">
            <w:pPr>
              <w:spacing w:line="360" w:lineRule="auto"/>
              <w:rPr>
                <w:rFonts w:ascii="宋体" w:hAnsi="宋体" w:cs="仿宋"/>
                <w:szCs w:val="21"/>
              </w:rPr>
            </w:pPr>
          </w:p>
        </w:tc>
        <w:tc>
          <w:tcPr>
            <w:tcW w:w="1293" w:type="dxa"/>
            <w:vMerge w:val="restart"/>
            <w:tcBorders>
              <w:top w:val="single" w:color="auto" w:sz="4" w:space="0"/>
              <w:left w:val="nil"/>
              <w:right w:val="single" w:color="auto" w:sz="4" w:space="0"/>
            </w:tcBorders>
            <w:vAlign w:val="center"/>
          </w:tcPr>
          <w:p w14:paraId="683E70F8">
            <w:pPr>
              <w:spacing w:line="360" w:lineRule="auto"/>
              <w:rPr>
                <w:rFonts w:ascii="宋体" w:hAnsi="宋体" w:cs="仿宋"/>
                <w:szCs w:val="21"/>
              </w:rPr>
            </w:pPr>
            <w:r>
              <w:rPr>
                <w:rFonts w:hint="eastAsia" w:ascii="宋体" w:hAnsi="宋体" w:cs="仿宋"/>
                <w:szCs w:val="21"/>
              </w:rPr>
              <w:t>五、管理机构设备及管理制度（4分）</w:t>
            </w:r>
          </w:p>
        </w:tc>
        <w:tc>
          <w:tcPr>
            <w:tcW w:w="7349" w:type="dxa"/>
            <w:tcBorders>
              <w:top w:val="single" w:color="auto" w:sz="4" w:space="0"/>
              <w:left w:val="single" w:color="auto" w:sz="4" w:space="0"/>
              <w:bottom w:val="single" w:color="auto" w:sz="4" w:space="0"/>
              <w:right w:val="single" w:color="auto" w:sz="4" w:space="0"/>
            </w:tcBorders>
            <w:vAlign w:val="center"/>
          </w:tcPr>
          <w:p w14:paraId="2754B640">
            <w:r>
              <w:rPr>
                <w:rFonts w:hint="eastAsia"/>
              </w:rPr>
              <w:t>1.管理机构设置及管理机构各部门职责评议（2分）</w:t>
            </w:r>
          </w:p>
          <w:p w14:paraId="78E9581F">
            <w:r>
              <w:rPr>
                <w:rFonts w:hint="eastAsia"/>
              </w:rPr>
              <w:t>本项目的管理机构设置体现出指挥统一、专业分工、管理有效的1分；各部门职责分工明确、职责清晰、管理流程畅通的1分；以上内容有所欠缺的对应项得0.5分，未提供或不符合的</w:t>
            </w:r>
            <w:r>
              <w:rPr>
                <w:rFonts w:hint="eastAsia" w:ascii="宋体" w:hAnsi="宋体" w:cs="宋体"/>
                <w:szCs w:val="21"/>
              </w:rPr>
              <w:t>对应项</w:t>
            </w:r>
            <w:r>
              <w:rPr>
                <w:rFonts w:hint="eastAsia"/>
              </w:rPr>
              <w:t>不得分，最多得2分。</w:t>
            </w:r>
          </w:p>
        </w:tc>
      </w:tr>
      <w:tr w14:paraId="1BC8428E">
        <w:tblPrEx>
          <w:tblCellMar>
            <w:top w:w="0" w:type="dxa"/>
            <w:left w:w="108" w:type="dxa"/>
            <w:bottom w:w="0" w:type="dxa"/>
            <w:right w:w="108" w:type="dxa"/>
          </w:tblCellMar>
        </w:tblPrEx>
        <w:trPr>
          <w:trHeight w:val="623" w:hRule="atLeast"/>
          <w:jc w:val="center"/>
        </w:trPr>
        <w:tc>
          <w:tcPr>
            <w:tcW w:w="792" w:type="dxa"/>
            <w:vMerge w:val="continue"/>
            <w:tcBorders>
              <w:left w:val="single" w:color="auto" w:sz="4" w:space="0"/>
              <w:right w:val="single" w:color="auto" w:sz="4" w:space="0"/>
            </w:tcBorders>
            <w:vAlign w:val="center"/>
          </w:tcPr>
          <w:p w14:paraId="6202CE26">
            <w:pPr>
              <w:spacing w:line="360" w:lineRule="auto"/>
              <w:rPr>
                <w:rFonts w:ascii="宋体" w:hAnsi="宋体" w:cs="仿宋"/>
                <w:szCs w:val="21"/>
              </w:rPr>
            </w:pPr>
          </w:p>
        </w:tc>
        <w:tc>
          <w:tcPr>
            <w:tcW w:w="1293" w:type="dxa"/>
            <w:vMerge w:val="continue"/>
            <w:tcBorders>
              <w:left w:val="nil"/>
              <w:right w:val="single" w:color="auto" w:sz="4" w:space="0"/>
            </w:tcBorders>
            <w:vAlign w:val="center"/>
          </w:tcPr>
          <w:p w14:paraId="06CA6CB9">
            <w:pPr>
              <w:adjustRightInd w:val="0"/>
              <w:snapToGrid w:val="0"/>
              <w:spacing w:before="48" w:beforeLines="20" w:after="48" w:afterLines="20" w:line="360" w:lineRule="auto"/>
              <w:rPr>
                <w:rFonts w:ascii="宋体" w:hAnsi="宋体" w:cs="仿宋"/>
                <w:szCs w:val="21"/>
              </w:rPr>
            </w:pPr>
          </w:p>
        </w:tc>
        <w:tc>
          <w:tcPr>
            <w:tcW w:w="7349" w:type="dxa"/>
            <w:tcBorders>
              <w:top w:val="single" w:color="auto" w:sz="4" w:space="0"/>
              <w:left w:val="single" w:color="auto" w:sz="4" w:space="0"/>
              <w:right w:val="single" w:color="auto" w:sz="4" w:space="0"/>
            </w:tcBorders>
            <w:vAlign w:val="center"/>
          </w:tcPr>
          <w:p w14:paraId="16A40FB0">
            <w:r>
              <w:rPr>
                <w:rFonts w:hint="eastAsia"/>
              </w:rPr>
              <w:t>2.激励与监督机制评议（1分）</w:t>
            </w:r>
          </w:p>
          <w:p w14:paraId="2D4819E9">
            <w:r>
              <w:rPr>
                <w:rFonts w:hint="eastAsia"/>
              </w:rPr>
              <w:t>激励与监督机制激励理念先进、方法多样、机制合理的1分，以上内容有所欠缺的得0.5分，未提供或不符合的不得分，最多得1分。</w:t>
            </w:r>
          </w:p>
        </w:tc>
      </w:tr>
      <w:tr w14:paraId="5C248EC1">
        <w:tblPrEx>
          <w:tblCellMar>
            <w:top w:w="0" w:type="dxa"/>
            <w:left w:w="108" w:type="dxa"/>
            <w:bottom w:w="0" w:type="dxa"/>
            <w:right w:w="108" w:type="dxa"/>
          </w:tblCellMar>
        </w:tblPrEx>
        <w:trPr>
          <w:trHeight w:val="623" w:hRule="atLeast"/>
          <w:jc w:val="center"/>
        </w:trPr>
        <w:tc>
          <w:tcPr>
            <w:tcW w:w="792" w:type="dxa"/>
            <w:vMerge w:val="continue"/>
            <w:tcBorders>
              <w:left w:val="single" w:color="auto" w:sz="4" w:space="0"/>
              <w:right w:val="single" w:color="auto" w:sz="4" w:space="0"/>
            </w:tcBorders>
            <w:vAlign w:val="center"/>
          </w:tcPr>
          <w:p w14:paraId="513546E5">
            <w:pPr>
              <w:spacing w:line="360" w:lineRule="auto"/>
              <w:rPr>
                <w:rFonts w:ascii="宋体" w:hAnsi="宋体" w:cs="仿宋"/>
                <w:szCs w:val="21"/>
              </w:rPr>
            </w:pPr>
          </w:p>
        </w:tc>
        <w:tc>
          <w:tcPr>
            <w:tcW w:w="1293" w:type="dxa"/>
            <w:vMerge w:val="continue"/>
            <w:tcBorders>
              <w:left w:val="nil"/>
              <w:bottom w:val="single" w:color="auto" w:sz="4" w:space="0"/>
              <w:right w:val="single" w:color="auto" w:sz="4" w:space="0"/>
            </w:tcBorders>
            <w:vAlign w:val="center"/>
          </w:tcPr>
          <w:p w14:paraId="2981F91F">
            <w:pPr>
              <w:adjustRightInd w:val="0"/>
              <w:snapToGrid w:val="0"/>
              <w:spacing w:before="48" w:beforeLines="20" w:after="48" w:afterLines="20" w:line="360" w:lineRule="auto"/>
              <w:rPr>
                <w:rFonts w:ascii="宋体" w:hAnsi="宋体" w:cs="仿宋"/>
                <w:szCs w:val="21"/>
              </w:rPr>
            </w:pPr>
          </w:p>
        </w:tc>
        <w:tc>
          <w:tcPr>
            <w:tcW w:w="7349" w:type="dxa"/>
            <w:tcBorders>
              <w:top w:val="single" w:color="auto" w:sz="4" w:space="0"/>
              <w:left w:val="single" w:color="auto" w:sz="4" w:space="0"/>
              <w:right w:val="single" w:color="auto" w:sz="4" w:space="0"/>
            </w:tcBorders>
            <w:vAlign w:val="center"/>
          </w:tcPr>
          <w:p w14:paraId="397EF565">
            <w:pPr>
              <w:adjustRightInd w:val="0"/>
              <w:snapToGrid w:val="0"/>
              <w:spacing w:before="48" w:beforeLines="20" w:after="48" w:afterLines="20"/>
              <w:rPr>
                <w:rFonts w:ascii="宋体" w:hAnsi="宋体" w:cs="仿宋"/>
                <w:szCs w:val="21"/>
              </w:rPr>
            </w:pPr>
            <w:r>
              <w:rPr>
                <w:rFonts w:hint="eastAsia" w:ascii="宋体" w:hAnsi="宋体" w:cs="仿宋"/>
                <w:szCs w:val="21"/>
              </w:rPr>
              <w:t>3.内部日常考核方案评议（1分）</w:t>
            </w:r>
          </w:p>
          <w:p w14:paraId="0064EF5D">
            <w:r>
              <w:rPr>
                <w:rFonts w:hint="eastAsia" w:ascii="宋体" w:hAnsi="宋体" w:cs="仿宋"/>
                <w:szCs w:val="21"/>
              </w:rPr>
              <w:t>针对本项目的内部考核细则制度完善、职责明确、考核内容详细的得1分，以上内容有所欠缺的得0.5分，未提供</w:t>
            </w:r>
            <w:r>
              <w:rPr>
                <w:rFonts w:hint="eastAsia"/>
              </w:rPr>
              <w:t>或不符合的</w:t>
            </w:r>
            <w:r>
              <w:rPr>
                <w:rFonts w:hint="eastAsia" w:ascii="宋体" w:hAnsi="宋体" w:cs="仿宋"/>
                <w:szCs w:val="21"/>
              </w:rPr>
              <w:t>不得分，最多得1分。</w:t>
            </w:r>
          </w:p>
        </w:tc>
      </w:tr>
      <w:tr w14:paraId="46AD2EAE">
        <w:tblPrEx>
          <w:tblCellMar>
            <w:top w:w="0" w:type="dxa"/>
            <w:left w:w="108" w:type="dxa"/>
            <w:bottom w:w="0" w:type="dxa"/>
            <w:right w:w="108" w:type="dxa"/>
          </w:tblCellMar>
        </w:tblPrEx>
        <w:trPr>
          <w:trHeight w:val="93" w:hRule="atLeast"/>
          <w:jc w:val="center"/>
        </w:trPr>
        <w:tc>
          <w:tcPr>
            <w:tcW w:w="792" w:type="dxa"/>
            <w:vMerge w:val="continue"/>
            <w:tcBorders>
              <w:left w:val="single" w:color="auto" w:sz="4" w:space="0"/>
              <w:right w:val="single" w:color="auto" w:sz="4" w:space="0"/>
            </w:tcBorders>
            <w:vAlign w:val="center"/>
          </w:tcPr>
          <w:p w14:paraId="0331915B">
            <w:pPr>
              <w:spacing w:line="360" w:lineRule="auto"/>
              <w:rPr>
                <w:rFonts w:ascii="宋体" w:hAnsi="宋体" w:cs="仿宋"/>
                <w:szCs w:val="21"/>
              </w:rPr>
            </w:pPr>
          </w:p>
        </w:tc>
        <w:tc>
          <w:tcPr>
            <w:tcW w:w="1293" w:type="dxa"/>
            <w:vMerge w:val="restart"/>
            <w:tcBorders>
              <w:top w:val="nil"/>
              <w:left w:val="nil"/>
              <w:right w:val="single" w:color="auto" w:sz="4" w:space="0"/>
            </w:tcBorders>
            <w:vAlign w:val="center"/>
          </w:tcPr>
          <w:p w14:paraId="401E22DF">
            <w:pPr>
              <w:adjustRightInd w:val="0"/>
              <w:snapToGrid w:val="0"/>
              <w:spacing w:before="48" w:beforeLines="20" w:after="48" w:afterLines="20" w:line="360" w:lineRule="auto"/>
              <w:rPr>
                <w:rFonts w:ascii="宋体" w:hAnsi="宋体" w:cs="仿宋"/>
                <w:szCs w:val="21"/>
              </w:rPr>
            </w:pPr>
            <w:r>
              <w:rPr>
                <w:rFonts w:hint="eastAsia" w:ascii="宋体" w:hAnsi="宋体" w:cs="仿宋"/>
                <w:szCs w:val="21"/>
              </w:rPr>
              <w:t>六、人员配置及管理（16分）</w:t>
            </w:r>
          </w:p>
        </w:tc>
        <w:tc>
          <w:tcPr>
            <w:tcW w:w="7349" w:type="dxa"/>
            <w:tcBorders>
              <w:top w:val="single" w:color="auto" w:sz="4" w:space="0"/>
              <w:left w:val="nil"/>
              <w:bottom w:val="single" w:color="auto" w:sz="4" w:space="0"/>
              <w:right w:val="single" w:color="auto" w:sz="4" w:space="0"/>
            </w:tcBorders>
            <w:vAlign w:val="center"/>
          </w:tcPr>
          <w:p w14:paraId="65EF0ABC">
            <w:r>
              <w:rPr>
                <w:rFonts w:hint="eastAsia"/>
              </w:rPr>
              <w:t>1、项目总负责人（4分）</w:t>
            </w:r>
          </w:p>
          <w:p w14:paraId="2109BC32">
            <w:r>
              <w:rPr>
                <w:rFonts w:hint="eastAsia"/>
              </w:rPr>
              <w:t>（1）拟派项目总负责人具有本科及以上学历的得1分；</w:t>
            </w:r>
          </w:p>
          <w:p w14:paraId="5E01B97F">
            <w:r>
              <w:rPr>
                <w:rFonts w:hint="eastAsia"/>
              </w:rPr>
              <w:t>（2）拟派项目总负责人具有中级及以上职称的得1分；</w:t>
            </w:r>
          </w:p>
          <w:p w14:paraId="2EB77F3E">
            <w:r>
              <w:rPr>
                <w:rFonts w:hint="eastAsia"/>
              </w:rPr>
              <w:t>（</w:t>
            </w:r>
            <w:r>
              <w:rPr>
                <w:rFonts w:hint="eastAsia"/>
                <w:lang w:val="en-US" w:eastAsia="zh-CN"/>
              </w:rPr>
              <w:t>3</w:t>
            </w:r>
            <w:bookmarkStart w:id="419" w:name="_GoBack"/>
            <w:bookmarkEnd w:id="419"/>
            <w:r>
              <w:rPr>
                <w:rFonts w:hint="eastAsia"/>
              </w:rPr>
              <w:t>）拟派项目总负责人工作能力强的得1分；具有类似项目管理经验且经验丰富的得1分；以上内容有所欠缺的对应项得0.5分；</w:t>
            </w:r>
            <w:r>
              <w:rPr>
                <w:rFonts w:hint="eastAsia" w:ascii="宋体" w:hAnsi="宋体" w:cs="宋体"/>
                <w:szCs w:val="21"/>
              </w:rPr>
              <w:t>未提供或不符合的对应项不得分，</w:t>
            </w:r>
            <w:r>
              <w:rPr>
                <w:rFonts w:hint="eastAsia"/>
              </w:rPr>
              <w:t>最多得2分。</w:t>
            </w:r>
          </w:p>
          <w:p w14:paraId="32E955C3">
            <w:r>
              <w:rPr>
                <w:rFonts w:hint="eastAsia"/>
              </w:rPr>
              <w:t>注：投标文件中提供①学历证书证明材料；②职称证书证明材料，职称系列（专业）要求为：经济或物业等三个系列（或专业）中任意一个系列（或专业）；③开标截止时间前最近三个月社保缴纳证明材料；未提供或提供不全的此项不得分。</w:t>
            </w:r>
          </w:p>
        </w:tc>
      </w:tr>
      <w:tr w14:paraId="0469905E">
        <w:tblPrEx>
          <w:tblCellMar>
            <w:top w:w="0" w:type="dxa"/>
            <w:left w:w="108" w:type="dxa"/>
            <w:bottom w:w="0" w:type="dxa"/>
            <w:right w:w="108" w:type="dxa"/>
          </w:tblCellMar>
        </w:tblPrEx>
        <w:trPr>
          <w:trHeight w:val="1951" w:hRule="atLeast"/>
          <w:jc w:val="center"/>
        </w:trPr>
        <w:tc>
          <w:tcPr>
            <w:tcW w:w="792" w:type="dxa"/>
            <w:vMerge w:val="continue"/>
            <w:tcBorders>
              <w:left w:val="single" w:color="auto" w:sz="4" w:space="0"/>
              <w:right w:val="single" w:color="auto" w:sz="4" w:space="0"/>
            </w:tcBorders>
            <w:vAlign w:val="center"/>
          </w:tcPr>
          <w:p w14:paraId="3C2FE671">
            <w:pPr>
              <w:spacing w:line="360" w:lineRule="auto"/>
              <w:rPr>
                <w:rFonts w:ascii="宋体" w:hAnsi="宋体" w:cs="仿宋"/>
                <w:szCs w:val="21"/>
              </w:rPr>
            </w:pPr>
          </w:p>
        </w:tc>
        <w:tc>
          <w:tcPr>
            <w:tcW w:w="1293" w:type="dxa"/>
            <w:vMerge w:val="continue"/>
            <w:tcBorders>
              <w:left w:val="nil"/>
              <w:right w:val="single" w:color="auto" w:sz="4" w:space="0"/>
            </w:tcBorders>
            <w:vAlign w:val="center"/>
          </w:tcPr>
          <w:p w14:paraId="7C149627">
            <w:pPr>
              <w:adjustRightInd w:val="0"/>
              <w:snapToGrid w:val="0"/>
              <w:spacing w:before="48" w:beforeLines="20" w:after="48" w:afterLines="20" w:line="360" w:lineRule="auto"/>
              <w:rPr>
                <w:rFonts w:ascii="宋体" w:hAnsi="宋体" w:cs="仿宋"/>
                <w:szCs w:val="21"/>
              </w:rPr>
            </w:pPr>
          </w:p>
        </w:tc>
        <w:tc>
          <w:tcPr>
            <w:tcW w:w="7349" w:type="dxa"/>
            <w:tcBorders>
              <w:top w:val="single" w:color="auto" w:sz="4" w:space="0"/>
              <w:left w:val="nil"/>
              <w:bottom w:val="single" w:color="auto" w:sz="4" w:space="0"/>
              <w:right w:val="single" w:color="auto" w:sz="4" w:space="0"/>
            </w:tcBorders>
            <w:vAlign w:val="center"/>
          </w:tcPr>
          <w:p w14:paraId="3201292C">
            <w:r>
              <w:rPr>
                <w:rFonts w:hint="eastAsia"/>
              </w:rPr>
              <w:t>2、企划经理（2.5分）</w:t>
            </w:r>
          </w:p>
          <w:p w14:paraId="3461981C">
            <w:r>
              <w:rPr>
                <w:rFonts w:hint="eastAsia"/>
              </w:rPr>
              <w:t>（1）拟派企划经理具有大专及以上学历的得0.25分；具有</w:t>
            </w:r>
            <w:r>
              <w:rPr>
                <w:rFonts w:hint="eastAsia" w:ascii="宋体" w:hAnsi="宋体" w:cs="仿宋"/>
                <w:szCs w:val="21"/>
              </w:rPr>
              <w:t>规划、人力、财务、或物业管理等相关专业技术职</w:t>
            </w:r>
            <w:r>
              <w:rPr>
                <w:rFonts w:hint="eastAsia"/>
              </w:rPr>
              <w:t>称的得0.25分</w:t>
            </w:r>
            <w:r>
              <w:rPr>
                <w:rFonts w:hint="eastAsia" w:ascii="宋体" w:hAnsi="宋体" w:cs="仿宋"/>
                <w:szCs w:val="21"/>
              </w:rPr>
              <w:t>；</w:t>
            </w:r>
          </w:p>
          <w:p w14:paraId="16B89185">
            <w:r>
              <w:rPr>
                <w:rFonts w:hint="eastAsia"/>
              </w:rPr>
              <w:t>（2）拟派企划经理策划管理经验丰富的得1分，专业能力强的得1分，有所欠缺的对应项得0.5分，</w:t>
            </w:r>
            <w:r>
              <w:rPr>
                <w:rFonts w:hint="eastAsia" w:ascii="宋体" w:hAnsi="宋体" w:cs="仿宋"/>
                <w:szCs w:val="21"/>
              </w:rPr>
              <w:t>未提供</w:t>
            </w:r>
            <w:r>
              <w:rPr>
                <w:rFonts w:hint="eastAsia"/>
              </w:rPr>
              <w:t>或不符合的</w:t>
            </w:r>
            <w:r>
              <w:rPr>
                <w:rFonts w:hint="eastAsia" w:ascii="宋体" w:hAnsi="宋体" w:cs="仿宋"/>
                <w:szCs w:val="21"/>
              </w:rPr>
              <w:t>不得分，</w:t>
            </w:r>
            <w:r>
              <w:rPr>
                <w:rFonts w:hint="eastAsia"/>
              </w:rPr>
              <w:t>最多得2分。</w:t>
            </w:r>
          </w:p>
          <w:p w14:paraId="1E661177">
            <w:r>
              <w:rPr>
                <w:rFonts w:hint="eastAsia"/>
              </w:rPr>
              <w:t>注：投标文件中提供职称证书、学历证书等相关证明材料及开标截止时间前最近三个月社保缴纳证明材料；未提供或提供不全的此项不得分。</w:t>
            </w:r>
          </w:p>
        </w:tc>
      </w:tr>
      <w:tr w14:paraId="76DA89E1">
        <w:tblPrEx>
          <w:tblCellMar>
            <w:top w:w="0" w:type="dxa"/>
            <w:left w:w="108" w:type="dxa"/>
            <w:bottom w:w="0" w:type="dxa"/>
            <w:right w:w="108" w:type="dxa"/>
          </w:tblCellMar>
        </w:tblPrEx>
        <w:trPr>
          <w:trHeight w:val="1579" w:hRule="atLeast"/>
          <w:jc w:val="center"/>
        </w:trPr>
        <w:tc>
          <w:tcPr>
            <w:tcW w:w="792" w:type="dxa"/>
            <w:vMerge w:val="continue"/>
            <w:tcBorders>
              <w:left w:val="single" w:color="auto" w:sz="4" w:space="0"/>
              <w:right w:val="single" w:color="auto" w:sz="4" w:space="0"/>
            </w:tcBorders>
            <w:vAlign w:val="center"/>
          </w:tcPr>
          <w:p w14:paraId="5358F3C5">
            <w:pPr>
              <w:spacing w:line="360" w:lineRule="auto"/>
              <w:rPr>
                <w:rFonts w:ascii="宋体" w:hAnsi="宋体" w:cs="仿宋"/>
                <w:szCs w:val="21"/>
              </w:rPr>
            </w:pPr>
          </w:p>
        </w:tc>
        <w:tc>
          <w:tcPr>
            <w:tcW w:w="1293" w:type="dxa"/>
            <w:vMerge w:val="continue"/>
            <w:tcBorders>
              <w:left w:val="nil"/>
              <w:right w:val="single" w:color="auto" w:sz="4" w:space="0"/>
            </w:tcBorders>
            <w:vAlign w:val="center"/>
          </w:tcPr>
          <w:p w14:paraId="33F79E0A">
            <w:pPr>
              <w:adjustRightInd w:val="0"/>
              <w:snapToGrid w:val="0"/>
              <w:spacing w:before="48" w:beforeLines="20" w:after="48" w:afterLines="20" w:line="360" w:lineRule="auto"/>
              <w:rPr>
                <w:rFonts w:ascii="宋体" w:hAnsi="宋体" w:cs="仿宋"/>
                <w:szCs w:val="21"/>
              </w:rPr>
            </w:pPr>
          </w:p>
        </w:tc>
        <w:tc>
          <w:tcPr>
            <w:tcW w:w="7349" w:type="dxa"/>
            <w:tcBorders>
              <w:top w:val="single" w:color="auto" w:sz="4" w:space="0"/>
              <w:left w:val="nil"/>
              <w:bottom w:val="single" w:color="auto" w:sz="4" w:space="0"/>
              <w:right w:val="single" w:color="auto" w:sz="4" w:space="0"/>
            </w:tcBorders>
            <w:vAlign w:val="center"/>
          </w:tcPr>
          <w:p w14:paraId="7228956C">
            <w:r>
              <w:rPr>
                <w:rFonts w:hint="eastAsia"/>
              </w:rPr>
              <w:t>3、接待讲解员（2.5分）</w:t>
            </w:r>
          </w:p>
          <w:p w14:paraId="37E4A6DE">
            <w:r>
              <w:rPr>
                <w:rFonts w:hint="eastAsia"/>
              </w:rPr>
              <w:t>（1）拟派接待讲解员具有大专及以上学历的得0.5分；</w:t>
            </w:r>
          </w:p>
          <w:p w14:paraId="283C62CF">
            <w:r>
              <w:rPr>
                <w:rFonts w:hint="eastAsia"/>
              </w:rPr>
              <w:t>（2）拟派接待讲解员相关工作经验丰富的得1分，专业能力强的得1分，有所欠缺的对应项得0.5分，</w:t>
            </w:r>
            <w:r>
              <w:rPr>
                <w:rFonts w:hint="eastAsia" w:ascii="宋体" w:hAnsi="宋体" w:cs="仿宋"/>
                <w:szCs w:val="21"/>
              </w:rPr>
              <w:t>未提供</w:t>
            </w:r>
            <w:r>
              <w:rPr>
                <w:rFonts w:hint="eastAsia"/>
              </w:rPr>
              <w:t>或不符合的</w:t>
            </w:r>
            <w:r>
              <w:rPr>
                <w:rFonts w:hint="eastAsia" w:ascii="宋体" w:hAnsi="宋体" w:cs="仿宋"/>
                <w:szCs w:val="21"/>
              </w:rPr>
              <w:t>不得分，</w:t>
            </w:r>
            <w:r>
              <w:rPr>
                <w:rFonts w:hint="eastAsia"/>
              </w:rPr>
              <w:t>最多得2分。</w:t>
            </w:r>
          </w:p>
          <w:p w14:paraId="5287D892">
            <w:r>
              <w:rPr>
                <w:rFonts w:hint="eastAsia"/>
              </w:rPr>
              <w:t>注：投标文件中提供学历证书等相关证明材料及开标截止时间前最近三个月社保缴纳证明材料；未提供或提供不全的此项不得分。</w:t>
            </w:r>
          </w:p>
        </w:tc>
      </w:tr>
      <w:tr w14:paraId="7A759A22">
        <w:tblPrEx>
          <w:tblCellMar>
            <w:top w:w="0" w:type="dxa"/>
            <w:left w:w="108" w:type="dxa"/>
            <w:bottom w:w="0" w:type="dxa"/>
            <w:right w:w="108" w:type="dxa"/>
          </w:tblCellMar>
        </w:tblPrEx>
        <w:trPr>
          <w:trHeight w:val="1579" w:hRule="atLeast"/>
          <w:jc w:val="center"/>
        </w:trPr>
        <w:tc>
          <w:tcPr>
            <w:tcW w:w="792" w:type="dxa"/>
            <w:vMerge w:val="continue"/>
            <w:tcBorders>
              <w:left w:val="single" w:color="auto" w:sz="4" w:space="0"/>
              <w:right w:val="single" w:color="auto" w:sz="4" w:space="0"/>
            </w:tcBorders>
            <w:vAlign w:val="center"/>
          </w:tcPr>
          <w:p w14:paraId="61A2349B">
            <w:pPr>
              <w:spacing w:line="360" w:lineRule="auto"/>
              <w:rPr>
                <w:rFonts w:ascii="宋体" w:hAnsi="宋体" w:cs="仿宋"/>
                <w:szCs w:val="21"/>
              </w:rPr>
            </w:pPr>
          </w:p>
        </w:tc>
        <w:tc>
          <w:tcPr>
            <w:tcW w:w="1293" w:type="dxa"/>
            <w:vMerge w:val="continue"/>
            <w:tcBorders>
              <w:left w:val="nil"/>
              <w:right w:val="single" w:color="auto" w:sz="4" w:space="0"/>
            </w:tcBorders>
            <w:vAlign w:val="center"/>
          </w:tcPr>
          <w:p w14:paraId="31D740E6">
            <w:pPr>
              <w:adjustRightInd w:val="0"/>
              <w:snapToGrid w:val="0"/>
              <w:spacing w:before="48" w:beforeLines="20" w:after="48" w:afterLines="20" w:line="360" w:lineRule="auto"/>
              <w:rPr>
                <w:rFonts w:ascii="宋体" w:hAnsi="宋体" w:cs="仿宋"/>
                <w:szCs w:val="21"/>
              </w:rPr>
            </w:pPr>
          </w:p>
        </w:tc>
        <w:tc>
          <w:tcPr>
            <w:tcW w:w="7349" w:type="dxa"/>
            <w:tcBorders>
              <w:top w:val="single" w:color="auto" w:sz="4" w:space="0"/>
              <w:left w:val="nil"/>
              <w:bottom w:val="single" w:color="auto" w:sz="4" w:space="0"/>
              <w:right w:val="single" w:color="auto" w:sz="4" w:space="0"/>
            </w:tcBorders>
            <w:vAlign w:val="center"/>
          </w:tcPr>
          <w:p w14:paraId="7A3E9F79">
            <w:r>
              <w:rPr>
                <w:rFonts w:hint="eastAsia"/>
              </w:rPr>
              <w:t>4、其他人员（除项目总负责人、企划经理、接待讲解员）（4分）</w:t>
            </w:r>
          </w:p>
          <w:p w14:paraId="721DA9ED">
            <w:r>
              <w:rPr>
                <w:rFonts w:hint="eastAsia"/>
              </w:rPr>
              <w:t>（1）拟派其他人员具有大专及以上学历的每人次得0.25分，最多得1分；</w:t>
            </w:r>
          </w:p>
          <w:p w14:paraId="4249ED75">
            <w:pPr>
              <w:rPr>
                <w:rFonts w:ascii="宋体" w:hAnsi="宋体"/>
                <w:kern w:val="0"/>
                <w:szCs w:val="21"/>
              </w:rPr>
            </w:pPr>
            <w:r>
              <w:rPr>
                <w:rFonts w:hint="eastAsia"/>
              </w:rPr>
              <w:t>（2）</w:t>
            </w:r>
            <w:r>
              <w:rPr>
                <w:rFonts w:hint="eastAsia" w:ascii="宋体" w:hAnsi="宋体" w:cs="宋体"/>
                <w:szCs w:val="21"/>
              </w:rPr>
              <w:t>拟派</w:t>
            </w:r>
            <w:r>
              <w:rPr>
                <w:rFonts w:hint="eastAsia"/>
              </w:rPr>
              <w:t>其他人员</w:t>
            </w:r>
            <w:r>
              <w:rPr>
                <w:rFonts w:hint="eastAsia" w:ascii="宋体" w:hAnsi="宋体" w:cs="宋体"/>
                <w:szCs w:val="21"/>
              </w:rPr>
              <w:t>配备齐整、</w:t>
            </w:r>
            <w:r>
              <w:rPr>
                <w:rFonts w:hint="eastAsia" w:ascii="宋体" w:hAnsi="宋体" w:cs="仿宋"/>
                <w:szCs w:val="21"/>
              </w:rPr>
              <w:t>岗位职责分工明确合理的得1分，</w:t>
            </w:r>
            <w:r>
              <w:rPr>
                <w:rFonts w:hint="eastAsia" w:ascii="宋体" w:hAnsi="宋体" w:cs="宋体"/>
                <w:szCs w:val="21"/>
              </w:rPr>
              <w:t>技能水平高</w:t>
            </w:r>
            <w:r>
              <w:rPr>
                <w:rFonts w:hint="eastAsia" w:ascii="宋体" w:hAnsi="宋体" w:cs="仿宋"/>
                <w:szCs w:val="21"/>
              </w:rPr>
              <w:t>的得1分，工作能力强的得1分，</w:t>
            </w:r>
            <w:r>
              <w:rPr>
                <w:rFonts w:hint="eastAsia"/>
              </w:rPr>
              <w:t>有所欠缺的对应项得0.5分，</w:t>
            </w:r>
            <w:r>
              <w:rPr>
                <w:rFonts w:hint="eastAsia" w:ascii="宋体" w:hAnsi="宋体" w:cs="仿宋"/>
                <w:szCs w:val="21"/>
              </w:rPr>
              <w:t>未提供</w:t>
            </w:r>
            <w:r>
              <w:rPr>
                <w:rFonts w:hint="eastAsia"/>
              </w:rPr>
              <w:t>或不符合的</w:t>
            </w:r>
            <w:r>
              <w:rPr>
                <w:rFonts w:hint="eastAsia" w:ascii="宋体" w:hAnsi="宋体" w:cs="仿宋"/>
                <w:szCs w:val="21"/>
              </w:rPr>
              <w:t>不得分，</w:t>
            </w:r>
            <w:r>
              <w:rPr>
                <w:rFonts w:hint="eastAsia" w:ascii="宋体" w:hAnsi="宋体"/>
                <w:kern w:val="0"/>
                <w:szCs w:val="21"/>
              </w:rPr>
              <w:t>最多得3分。</w:t>
            </w:r>
          </w:p>
          <w:p w14:paraId="4E59E406">
            <w:pPr>
              <w:rPr>
                <w:rFonts w:ascii="宋体" w:hAnsi="宋体"/>
                <w:kern w:val="0"/>
                <w:szCs w:val="21"/>
              </w:rPr>
            </w:pPr>
            <w:r>
              <w:rPr>
                <w:rFonts w:hint="eastAsia"/>
              </w:rPr>
              <w:t>注：投标文件中提供学历证书等相关证明材料及开标截止时间前最近三个月社保缴纳证明材料；未提供或提供不全的此项不得分。</w:t>
            </w:r>
          </w:p>
        </w:tc>
      </w:tr>
      <w:tr w14:paraId="27DAB0B0">
        <w:tblPrEx>
          <w:tblCellMar>
            <w:top w:w="0" w:type="dxa"/>
            <w:left w:w="108" w:type="dxa"/>
            <w:bottom w:w="0" w:type="dxa"/>
            <w:right w:w="108" w:type="dxa"/>
          </w:tblCellMar>
        </w:tblPrEx>
        <w:trPr>
          <w:trHeight w:val="363" w:hRule="atLeast"/>
          <w:jc w:val="center"/>
        </w:trPr>
        <w:tc>
          <w:tcPr>
            <w:tcW w:w="792" w:type="dxa"/>
            <w:vMerge w:val="continue"/>
            <w:tcBorders>
              <w:left w:val="single" w:color="auto" w:sz="4" w:space="0"/>
              <w:right w:val="single" w:color="auto" w:sz="4" w:space="0"/>
            </w:tcBorders>
            <w:vAlign w:val="center"/>
          </w:tcPr>
          <w:p w14:paraId="75B6F4DF">
            <w:pPr>
              <w:spacing w:line="360" w:lineRule="auto"/>
              <w:rPr>
                <w:rFonts w:ascii="宋体" w:hAnsi="宋体" w:cs="仿宋"/>
                <w:szCs w:val="21"/>
              </w:rPr>
            </w:pPr>
          </w:p>
        </w:tc>
        <w:tc>
          <w:tcPr>
            <w:tcW w:w="1293" w:type="dxa"/>
            <w:vMerge w:val="continue"/>
            <w:tcBorders>
              <w:top w:val="nil"/>
              <w:left w:val="nil"/>
              <w:bottom w:val="single" w:color="auto" w:sz="4" w:space="0"/>
              <w:right w:val="single" w:color="auto" w:sz="4" w:space="0"/>
            </w:tcBorders>
            <w:vAlign w:val="center"/>
          </w:tcPr>
          <w:p w14:paraId="22A903F0">
            <w:pPr>
              <w:adjustRightInd w:val="0"/>
              <w:snapToGrid w:val="0"/>
              <w:spacing w:before="48" w:beforeLines="20" w:after="48" w:afterLines="20" w:line="360" w:lineRule="auto"/>
              <w:rPr>
                <w:rFonts w:ascii="宋体" w:hAnsi="宋体" w:cs="仿宋"/>
                <w:szCs w:val="21"/>
              </w:rPr>
            </w:pPr>
          </w:p>
        </w:tc>
        <w:tc>
          <w:tcPr>
            <w:tcW w:w="7349" w:type="dxa"/>
            <w:tcBorders>
              <w:top w:val="single" w:color="auto" w:sz="4" w:space="0"/>
              <w:left w:val="nil"/>
              <w:bottom w:val="single" w:color="000000" w:sz="4" w:space="0"/>
              <w:right w:val="single" w:color="auto" w:sz="4" w:space="0"/>
            </w:tcBorders>
            <w:vAlign w:val="center"/>
          </w:tcPr>
          <w:p w14:paraId="6B8EFBB6">
            <w:r>
              <w:rPr>
                <w:rFonts w:hint="eastAsia"/>
                <w:lang w:val="en-US" w:eastAsia="zh-CN"/>
              </w:rPr>
              <w:t>5</w:t>
            </w:r>
            <w:r>
              <w:rPr>
                <w:rFonts w:hint="eastAsia"/>
              </w:rPr>
              <w:t>、人员安全保障措施（3分）</w:t>
            </w:r>
          </w:p>
          <w:p w14:paraId="0BEA5D34">
            <w:r>
              <w:rPr>
                <w:rFonts w:hint="eastAsia"/>
              </w:rPr>
              <w:t>根据投标人针对本项目人员安全保障措施可靠有保障的得1分；安全管理制度针对性强的得1分；安全责任分配明确的得1分，以上内容有所欠缺的对应项得0.5分，未提供或不符合的对应项不得分，最多得3分。</w:t>
            </w:r>
          </w:p>
        </w:tc>
      </w:tr>
      <w:tr w14:paraId="6817F808">
        <w:tblPrEx>
          <w:tblCellMar>
            <w:top w:w="0" w:type="dxa"/>
            <w:left w:w="108" w:type="dxa"/>
            <w:bottom w:w="0" w:type="dxa"/>
            <w:right w:w="108" w:type="dxa"/>
          </w:tblCellMar>
        </w:tblPrEx>
        <w:trPr>
          <w:trHeight w:val="226" w:hRule="atLeast"/>
          <w:jc w:val="center"/>
        </w:trPr>
        <w:tc>
          <w:tcPr>
            <w:tcW w:w="792" w:type="dxa"/>
            <w:vMerge w:val="continue"/>
            <w:tcBorders>
              <w:left w:val="single" w:color="auto" w:sz="4" w:space="0"/>
              <w:right w:val="single" w:color="auto" w:sz="4" w:space="0"/>
            </w:tcBorders>
            <w:vAlign w:val="center"/>
          </w:tcPr>
          <w:p w14:paraId="4EACF094">
            <w:pPr>
              <w:spacing w:line="360" w:lineRule="auto"/>
              <w:rPr>
                <w:rFonts w:ascii="宋体" w:hAnsi="宋体" w:cs="仿宋"/>
                <w:szCs w:val="21"/>
              </w:rPr>
            </w:pPr>
          </w:p>
        </w:tc>
        <w:tc>
          <w:tcPr>
            <w:tcW w:w="1293" w:type="dxa"/>
            <w:tcBorders>
              <w:top w:val="single" w:color="auto" w:sz="4" w:space="0"/>
              <w:left w:val="nil"/>
              <w:bottom w:val="single" w:color="000000" w:sz="4" w:space="0"/>
              <w:right w:val="single" w:color="auto" w:sz="4" w:space="0"/>
            </w:tcBorders>
            <w:vAlign w:val="center"/>
          </w:tcPr>
          <w:p w14:paraId="0C6FA832">
            <w:pPr>
              <w:rPr>
                <w:rFonts w:ascii="宋体" w:hAnsi="宋体" w:cs="仿宋"/>
                <w:szCs w:val="21"/>
              </w:rPr>
            </w:pPr>
            <w:r>
              <w:rPr>
                <w:rFonts w:hint="eastAsia" w:ascii="宋体" w:hAnsi="宋体" w:cs="仿宋"/>
                <w:szCs w:val="21"/>
              </w:rPr>
              <w:t>七、人员培训（3分）</w:t>
            </w:r>
          </w:p>
        </w:tc>
        <w:tc>
          <w:tcPr>
            <w:tcW w:w="7349" w:type="dxa"/>
            <w:tcBorders>
              <w:top w:val="single" w:color="auto" w:sz="4" w:space="0"/>
              <w:left w:val="nil"/>
              <w:bottom w:val="single" w:color="000000" w:sz="4" w:space="0"/>
              <w:right w:val="single" w:color="auto" w:sz="4" w:space="0"/>
            </w:tcBorders>
            <w:vAlign w:val="center"/>
          </w:tcPr>
          <w:p w14:paraId="208578AA">
            <w:pPr>
              <w:snapToGrid w:val="0"/>
            </w:pPr>
            <w:bookmarkStart w:id="406" w:name="OLE_LINK18"/>
            <w:r>
              <w:rPr>
                <w:rFonts w:hint="eastAsia" w:ascii="宋体" w:hAnsi="宋体" w:cs="仿宋"/>
                <w:szCs w:val="21"/>
              </w:rPr>
              <w:t>根据</w:t>
            </w:r>
            <w:bookmarkEnd w:id="406"/>
            <w:r>
              <w:rPr>
                <w:rFonts w:hint="eastAsia" w:ascii="宋体" w:hAnsi="宋体" w:cs="仿宋"/>
                <w:szCs w:val="21"/>
              </w:rPr>
              <w:t>投标人提供的人员培训方案具体详细的得1分；合理科学且多样化的得1分；培训内容针对性强的得1分；以上内容有所欠缺的每项得0.5分，</w:t>
            </w:r>
            <w:r>
              <w:rPr>
                <w:rFonts w:hint="eastAsia"/>
              </w:rPr>
              <w:t>未提供或不符合的对应项不得分，</w:t>
            </w:r>
            <w:r>
              <w:rPr>
                <w:rFonts w:hint="eastAsia" w:ascii="宋体" w:hAnsi="宋体" w:cs="仿宋"/>
                <w:szCs w:val="21"/>
              </w:rPr>
              <w:t>最多得3分。</w:t>
            </w:r>
          </w:p>
        </w:tc>
      </w:tr>
      <w:tr w14:paraId="7D02A294">
        <w:tblPrEx>
          <w:tblCellMar>
            <w:top w:w="0" w:type="dxa"/>
            <w:left w:w="108" w:type="dxa"/>
            <w:bottom w:w="0" w:type="dxa"/>
            <w:right w:w="108" w:type="dxa"/>
          </w:tblCellMar>
        </w:tblPrEx>
        <w:trPr>
          <w:trHeight w:val="103" w:hRule="atLeast"/>
          <w:jc w:val="center"/>
        </w:trPr>
        <w:tc>
          <w:tcPr>
            <w:tcW w:w="792" w:type="dxa"/>
            <w:vMerge w:val="continue"/>
            <w:tcBorders>
              <w:left w:val="single" w:color="auto" w:sz="4" w:space="0"/>
              <w:right w:val="single" w:color="auto" w:sz="4" w:space="0"/>
            </w:tcBorders>
            <w:vAlign w:val="center"/>
          </w:tcPr>
          <w:p w14:paraId="309354F7">
            <w:pPr>
              <w:spacing w:line="360" w:lineRule="auto"/>
              <w:rPr>
                <w:rFonts w:ascii="宋体" w:hAnsi="宋体" w:cs="仿宋"/>
                <w:szCs w:val="21"/>
              </w:rPr>
            </w:pPr>
          </w:p>
        </w:tc>
        <w:tc>
          <w:tcPr>
            <w:tcW w:w="1293" w:type="dxa"/>
            <w:tcBorders>
              <w:top w:val="single" w:color="auto" w:sz="4" w:space="0"/>
              <w:left w:val="nil"/>
              <w:right w:val="single" w:color="auto" w:sz="4" w:space="0"/>
            </w:tcBorders>
            <w:vAlign w:val="center"/>
          </w:tcPr>
          <w:p w14:paraId="0128E374">
            <w:pPr>
              <w:spacing w:line="360" w:lineRule="auto"/>
              <w:rPr>
                <w:rFonts w:ascii="宋体" w:hAnsi="宋体" w:cs="仿宋"/>
                <w:szCs w:val="21"/>
              </w:rPr>
            </w:pPr>
            <w:r>
              <w:rPr>
                <w:rFonts w:hint="eastAsia" w:ascii="宋体" w:hAnsi="宋体" w:cs="仿宋"/>
                <w:szCs w:val="21"/>
              </w:rPr>
              <w:t>八、认证证书（1分）</w:t>
            </w:r>
          </w:p>
        </w:tc>
        <w:tc>
          <w:tcPr>
            <w:tcW w:w="7349" w:type="dxa"/>
            <w:tcBorders>
              <w:top w:val="single" w:color="auto" w:sz="4" w:space="0"/>
              <w:left w:val="nil"/>
              <w:right w:val="single" w:color="auto" w:sz="4" w:space="0"/>
            </w:tcBorders>
            <w:vAlign w:val="center"/>
          </w:tcPr>
          <w:p w14:paraId="051DFD57">
            <w:r>
              <w:rPr>
                <w:rFonts w:hint="eastAsia"/>
              </w:rPr>
              <w:t>投标人同时具有有效质量管理体系认证、环境管理体系认证、职业健康安全管理体系认证证书、能源管理体系认证、食品安全管理体系认证的得1分。</w:t>
            </w:r>
          </w:p>
          <w:p w14:paraId="7BDC1C66">
            <w:r>
              <w:rPr>
                <w:rFonts w:hint="eastAsia"/>
              </w:rPr>
              <w:t>注：投标文件中提供证书复印件，未提供或提供不全的不得分。</w:t>
            </w:r>
          </w:p>
        </w:tc>
      </w:tr>
      <w:tr w14:paraId="03E5393F">
        <w:tblPrEx>
          <w:tblCellMar>
            <w:top w:w="0" w:type="dxa"/>
            <w:left w:w="108" w:type="dxa"/>
            <w:bottom w:w="0" w:type="dxa"/>
            <w:right w:w="108" w:type="dxa"/>
          </w:tblCellMar>
        </w:tblPrEx>
        <w:trPr>
          <w:trHeight w:val="20" w:hRule="atLeast"/>
          <w:jc w:val="center"/>
        </w:trPr>
        <w:tc>
          <w:tcPr>
            <w:tcW w:w="792" w:type="dxa"/>
            <w:vMerge w:val="continue"/>
            <w:tcBorders>
              <w:left w:val="single" w:color="auto" w:sz="4" w:space="0"/>
              <w:right w:val="single" w:color="auto" w:sz="4" w:space="0"/>
            </w:tcBorders>
            <w:vAlign w:val="center"/>
          </w:tcPr>
          <w:p w14:paraId="509FF691">
            <w:pPr>
              <w:spacing w:line="360" w:lineRule="auto"/>
              <w:rPr>
                <w:rFonts w:ascii="宋体" w:hAnsi="宋体" w:cs="仿宋"/>
                <w:szCs w:val="21"/>
              </w:rPr>
            </w:pPr>
          </w:p>
        </w:tc>
        <w:tc>
          <w:tcPr>
            <w:tcW w:w="1293" w:type="dxa"/>
            <w:tcBorders>
              <w:top w:val="single" w:color="auto" w:sz="4" w:space="0"/>
              <w:left w:val="nil"/>
              <w:bottom w:val="single" w:color="auto" w:sz="4" w:space="0"/>
              <w:right w:val="single" w:color="auto" w:sz="4" w:space="0"/>
            </w:tcBorders>
            <w:vAlign w:val="center"/>
          </w:tcPr>
          <w:p w14:paraId="570A3AF0">
            <w:pPr>
              <w:spacing w:line="360" w:lineRule="auto"/>
              <w:rPr>
                <w:rFonts w:ascii="宋体" w:hAnsi="宋体" w:cs="仿宋"/>
                <w:szCs w:val="21"/>
              </w:rPr>
            </w:pPr>
            <w:r>
              <w:rPr>
                <w:rFonts w:hint="eastAsia" w:ascii="宋体" w:hAnsi="宋体" w:cs="仿宋"/>
                <w:szCs w:val="21"/>
              </w:rPr>
              <w:t>九、业绩（2分）</w:t>
            </w:r>
          </w:p>
        </w:tc>
        <w:tc>
          <w:tcPr>
            <w:tcW w:w="7349" w:type="dxa"/>
            <w:tcBorders>
              <w:top w:val="single" w:color="auto" w:sz="4" w:space="0"/>
              <w:left w:val="nil"/>
              <w:bottom w:val="single" w:color="auto" w:sz="4" w:space="0"/>
              <w:right w:val="single" w:color="auto" w:sz="4" w:space="0"/>
            </w:tcBorders>
            <w:vAlign w:val="center"/>
          </w:tcPr>
          <w:p w14:paraId="39C3D44E">
            <w:r>
              <w:rPr>
                <w:rFonts w:hint="eastAsia" w:ascii="宋体" w:hAnsi="宋体" w:cs="仿宋"/>
                <w:szCs w:val="21"/>
              </w:rPr>
              <w:t>根据</w:t>
            </w:r>
            <w:r>
              <w:rPr>
                <w:rFonts w:hint="eastAsia"/>
              </w:rPr>
              <w:t>投标人自2021年1月1日（以合同签订时间为准）以来承担过类似项目业绩，每提供1个得分，最多得2分；</w:t>
            </w:r>
          </w:p>
          <w:p w14:paraId="2D242D1E">
            <w:r>
              <w:rPr>
                <w:rFonts w:hint="eastAsia"/>
              </w:rPr>
              <w:t>注：投标文件中需提供中标通知书、合同及往来发票复印件，未提供或提供不全的对应合同不得分。</w:t>
            </w:r>
          </w:p>
        </w:tc>
      </w:tr>
      <w:tr w14:paraId="4F132D89">
        <w:tblPrEx>
          <w:tblCellMar>
            <w:top w:w="0" w:type="dxa"/>
            <w:left w:w="108" w:type="dxa"/>
            <w:bottom w:w="0" w:type="dxa"/>
            <w:right w:w="108" w:type="dxa"/>
          </w:tblCellMar>
        </w:tblPrEx>
        <w:trPr>
          <w:trHeight w:val="20" w:hRule="atLeast"/>
          <w:jc w:val="center"/>
        </w:trPr>
        <w:tc>
          <w:tcPr>
            <w:tcW w:w="792" w:type="dxa"/>
            <w:tcBorders>
              <w:left w:val="single" w:color="auto" w:sz="4" w:space="0"/>
              <w:right w:val="single" w:color="auto" w:sz="4" w:space="0"/>
            </w:tcBorders>
            <w:vAlign w:val="center"/>
          </w:tcPr>
          <w:p w14:paraId="786030FE">
            <w:pPr>
              <w:spacing w:line="360" w:lineRule="auto"/>
              <w:rPr>
                <w:rFonts w:ascii="宋体" w:hAnsi="宋体" w:cs="仿宋"/>
                <w:szCs w:val="21"/>
              </w:rPr>
            </w:pPr>
          </w:p>
        </w:tc>
        <w:tc>
          <w:tcPr>
            <w:tcW w:w="1293" w:type="dxa"/>
            <w:tcBorders>
              <w:top w:val="single" w:color="auto" w:sz="4" w:space="0"/>
              <w:left w:val="nil"/>
              <w:bottom w:val="single" w:color="auto" w:sz="4" w:space="0"/>
              <w:right w:val="single" w:color="auto" w:sz="4" w:space="0"/>
            </w:tcBorders>
            <w:vAlign w:val="center"/>
          </w:tcPr>
          <w:p w14:paraId="4D8AE89C">
            <w:pPr>
              <w:rPr>
                <w:rFonts w:ascii="宋体" w:hAnsi="宋体" w:cs="仿宋"/>
                <w:szCs w:val="21"/>
              </w:rPr>
            </w:pPr>
            <w:r>
              <w:rPr>
                <w:rFonts w:hint="eastAsia" w:ascii="宋体" w:hAnsi="宋体" w:cs="仿宋"/>
                <w:szCs w:val="21"/>
              </w:rPr>
              <w:t>十、政策加分（1分）</w:t>
            </w:r>
          </w:p>
        </w:tc>
        <w:tc>
          <w:tcPr>
            <w:tcW w:w="7349" w:type="dxa"/>
            <w:tcBorders>
              <w:top w:val="single" w:color="auto" w:sz="4" w:space="0"/>
              <w:left w:val="nil"/>
              <w:bottom w:val="single" w:color="auto" w:sz="4" w:space="0"/>
              <w:right w:val="single" w:color="auto" w:sz="4" w:space="0"/>
            </w:tcBorders>
            <w:vAlign w:val="center"/>
          </w:tcPr>
          <w:p w14:paraId="680012B1">
            <w:r>
              <w:rPr>
                <w:rFonts w:hint="eastAsia"/>
              </w:rPr>
              <w:t>投标人是国家认定的少数民族地区企业的加1分。</w:t>
            </w:r>
          </w:p>
        </w:tc>
      </w:tr>
      <w:tr w14:paraId="223587A3">
        <w:tblPrEx>
          <w:tblCellMar>
            <w:top w:w="0" w:type="dxa"/>
            <w:left w:w="108" w:type="dxa"/>
            <w:bottom w:w="0" w:type="dxa"/>
            <w:right w:w="108" w:type="dxa"/>
          </w:tblCellMar>
        </w:tblPrEx>
        <w:trPr>
          <w:trHeight w:val="20"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2424547A">
            <w:pPr>
              <w:rPr>
                <w:rFonts w:ascii="宋体" w:hAnsi="宋体" w:cs="仿宋"/>
                <w:szCs w:val="21"/>
              </w:rPr>
            </w:pPr>
            <w:r>
              <w:rPr>
                <w:rFonts w:hint="eastAsia" w:ascii="宋体" w:hAnsi="宋体" w:cs="仿宋"/>
                <w:szCs w:val="21"/>
              </w:rPr>
              <w:t>报价20分</w:t>
            </w:r>
          </w:p>
        </w:tc>
        <w:tc>
          <w:tcPr>
            <w:tcW w:w="8642" w:type="dxa"/>
            <w:gridSpan w:val="2"/>
            <w:tcBorders>
              <w:top w:val="single" w:color="auto" w:sz="4" w:space="0"/>
              <w:left w:val="nil"/>
              <w:bottom w:val="single" w:color="auto" w:sz="4" w:space="0"/>
              <w:right w:val="single" w:color="auto" w:sz="4" w:space="0"/>
            </w:tcBorders>
            <w:vAlign w:val="center"/>
          </w:tcPr>
          <w:p w14:paraId="2110D812">
            <w:pPr>
              <w:rPr>
                <w:rFonts w:ascii="宋体" w:hAnsi="宋体"/>
                <w:szCs w:val="21"/>
              </w:rPr>
            </w:pPr>
            <w:r>
              <w:rPr>
                <w:rFonts w:hint="eastAsia" w:ascii="宋体" w:hAnsi="宋体"/>
                <w:szCs w:val="21"/>
              </w:rPr>
              <w:t>满足采购文件要求且参与评审价格最低为评标基准价，其价格分为满分，其余投标人的价格分以下列公式计算：</w:t>
            </w:r>
          </w:p>
          <w:p w14:paraId="5095221D">
            <w:pPr>
              <w:rPr>
                <w:rFonts w:ascii="宋体" w:hAnsi="宋体"/>
                <w:szCs w:val="21"/>
              </w:rPr>
            </w:pPr>
            <w:r>
              <w:rPr>
                <w:rFonts w:hint="eastAsia" w:ascii="宋体" w:hAnsi="宋体"/>
                <w:szCs w:val="21"/>
              </w:rPr>
              <w:t>投标报价得分=（评标基准价/参与评审的价格）×价格权值×100</w:t>
            </w:r>
          </w:p>
          <w:p w14:paraId="6E050146">
            <w:pPr>
              <w:snapToGrid w:val="0"/>
              <w:spacing w:line="360" w:lineRule="auto"/>
              <w:rPr>
                <w:rFonts w:ascii="宋体" w:hAnsi="宋体" w:cs="仿宋"/>
                <w:szCs w:val="21"/>
              </w:rPr>
            </w:pPr>
            <w:r>
              <w:rPr>
                <w:rFonts w:ascii="宋体" w:hAnsi="宋体"/>
                <w:szCs w:val="21"/>
              </w:rPr>
              <w:t>参与评审价格=投标价格×（1-</w:t>
            </w:r>
            <w:r>
              <w:rPr>
                <w:rFonts w:hint="eastAsia" w:ascii="宋体" w:hAnsi="宋体"/>
                <w:szCs w:val="21"/>
              </w:rPr>
              <w:t>小微企业价格扣除优惠值10%</w:t>
            </w:r>
            <w:r>
              <w:rPr>
                <w:rFonts w:ascii="宋体" w:hAnsi="宋体"/>
                <w:szCs w:val="21"/>
              </w:rPr>
              <w:t>）</w:t>
            </w:r>
          </w:p>
        </w:tc>
      </w:tr>
    </w:tbl>
    <w:p w14:paraId="0C8F0507">
      <w:pPr>
        <w:snapToGrid w:val="0"/>
        <w:spacing w:line="360" w:lineRule="auto"/>
      </w:pPr>
      <w:r>
        <w:rPr>
          <w:rFonts w:hint="eastAsia" w:ascii="宋体" w:hAnsi="宋体" w:cs="仿宋"/>
          <w:b/>
          <w:sz w:val="24"/>
        </w:rPr>
        <w:t>备注：</w:t>
      </w:r>
      <w:r>
        <w:rPr>
          <w:rFonts w:hint="eastAsia" w:ascii="宋体" w:hAnsi="宋体" w:cs="仿宋"/>
          <w:kern w:val="0"/>
          <w:sz w:val="24"/>
          <w:lang w:val="zh-CN"/>
        </w:rPr>
        <w:t>供应商</w:t>
      </w:r>
      <w:r>
        <w:rPr>
          <w:rFonts w:hint="eastAsia" w:ascii="宋体" w:hAnsi="宋体" w:cs="仿宋"/>
          <w:sz w:val="24"/>
        </w:rPr>
        <w:t>编制投标文件（商务技术文件部分）时，建议按此目录（序号和内容）提供评标标准相应的商务技术资料。 </w:t>
      </w:r>
    </w:p>
    <w:p w14:paraId="5105EA42">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一、评标方法</w:t>
      </w:r>
    </w:p>
    <w:p w14:paraId="661D9B57">
      <w:pPr>
        <w:spacing w:line="360" w:lineRule="auto"/>
        <w:ind w:firstLine="472" w:firstLineChars="196"/>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1.本项目采用综合评分法。</w:t>
      </w:r>
      <w:r>
        <w:rPr>
          <w:rFonts w:hint="eastAsia" w:cs="仿宋" w:asciiTheme="majorEastAsia" w:hAnsiTheme="majorEastAsia" w:eastAsiaTheme="majorEastAsia"/>
          <w:kern w:val="0"/>
          <w:sz w:val="24"/>
        </w:rPr>
        <w:t>综合评分法，是指投标文件满足招标文件全部实质性要求，且按照评审因素的量化指标评审得分最高的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为中标候选人的评标方法。</w:t>
      </w:r>
    </w:p>
    <w:p w14:paraId="67F5FD1D">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二、评标标准</w:t>
      </w:r>
    </w:p>
    <w:p w14:paraId="03EC7B7F">
      <w:pPr>
        <w:spacing w:line="360" w:lineRule="auto"/>
        <w:ind w:firstLine="472" w:firstLineChars="196"/>
        <w:rPr>
          <w:rFonts w:cs="仿宋" w:asciiTheme="majorEastAsia" w:hAnsiTheme="majorEastAsia" w:eastAsiaTheme="majorEastAsia"/>
          <w:b/>
          <w:sz w:val="24"/>
        </w:rPr>
      </w:pPr>
      <w:r>
        <w:rPr>
          <w:rFonts w:hint="eastAsia" w:cs="仿宋" w:asciiTheme="majorEastAsia" w:hAnsiTheme="majorEastAsia" w:eastAsiaTheme="majorEastAsia"/>
          <w:b/>
          <w:sz w:val="24"/>
        </w:rPr>
        <w:t>2.</w:t>
      </w:r>
      <w:r>
        <w:rPr>
          <w:rFonts w:hint="eastAsia" w:cs="仿宋" w:asciiTheme="majorEastAsia" w:hAnsiTheme="majorEastAsia" w:eastAsiaTheme="majorEastAsia"/>
        </w:rPr>
        <w:t xml:space="preserve"> </w:t>
      </w:r>
      <w:r>
        <w:rPr>
          <w:rFonts w:hint="eastAsia" w:cs="仿宋" w:asciiTheme="majorEastAsia" w:hAnsiTheme="majorEastAsia" w:eastAsiaTheme="majorEastAsia"/>
          <w:b/>
          <w:sz w:val="24"/>
        </w:rPr>
        <w:t>评标标准：</w:t>
      </w:r>
      <w:r>
        <w:rPr>
          <w:rFonts w:hint="eastAsia" w:cs="仿宋" w:asciiTheme="majorEastAsia" w:hAnsiTheme="majorEastAsia" w:eastAsiaTheme="majorEastAsia"/>
          <w:kern w:val="0"/>
          <w:sz w:val="24"/>
        </w:rPr>
        <w:t>见评标办法前附表。</w:t>
      </w:r>
    </w:p>
    <w:p w14:paraId="231CCA03">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三、评标程序</w:t>
      </w:r>
    </w:p>
    <w:p w14:paraId="02B51B46">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3.1 符合性审查。</w:t>
      </w:r>
      <w:r>
        <w:rPr>
          <w:rFonts w:hint="eastAsia" w:cs="仿宋" w:asciiTheme="majorEastAsia" w:hAnsiTheme="majorEastAsia" w:eastAsiaTheme="majorEastAsia"/>
          <w:kern w:val="0"/>
          <w:sz w:val="24"/>
        </w:rPr>
        <w:t>评标委员会应当对符合资格的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的投标文件进行符合性审查，以确定其是否满足招标文件的实质性要求。不满足招标文件的实质性要求的，投标无效。</w:t>
      </w:r>
    </w:p>
    <w:p w14:paraId="493FFA3A">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3.2 商务技术评审。</w:t>
      </w:r>
      <w:r>
        <w:rPr>
          <w:rFonts w:hint="eastAsia" w:cs="仿宋" w:asciiTheme="majorEastAsia" w:hAnsiTheme="majorEastAsia" w:eastAsiaTheme="majorEastAsia"/>
          <w:kern w:val="0"/>
          <w:sz w:val="24"/>
        </w:rPr>
        <w:t>评标委员会应当按照招标文件中规定的评标方法和标准，对符合性审查合格的投标文件进行商务和技术评估。</w:t>
      </w:r>
    </w:p>
    <w:p w14:paraId="68F7C5AE">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3.3 汇总商务技术得分。</w:t>
      </w:r>
      <w:r>
        <w:rPr>
          <w:rFonts w:hint="eastAsia" w:cs="仿宋" w:asciiTheme="majorEastAsia" w:hAnsiTheme="majorEastAsia" w:eastAsiaTheme="majorEastAsia"/>
          <w:kern w:val="0"/>
          <w:sz w:val="24"/>
        </w:rPr>
        <w:t>评标委员会各成员应当独立对每个</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的商务和技术文件进行评价，并汇总商务技术得分情况。</w:t>
      </w:r>
    </w:p>
    <w:p w14:paraId="70BE37BE">
      <w:pPr>
        <w:spacing w:line="360" w:lineRule="auto"/>
        <w:ind w:firstLine="482" w:firstLineChars="200"/>
        <w:rPr>
          <w:rFonts w:cs="仿宋" w:asciiTheme="majorEastAsia" w:hAnsiTheme="majorEastAsia" w:eastAsiaTheme="majorEastAsia"/>
          <w:b/>
          <w:kern w:val="0"/>
          <w:sz w:val="24"/>
        </w:rPr>
      </w:pPr>
      <w:r>
        <w:rPr>
          <w:rFonts w:hint="eastAsia" w:cs="仿宋" w:asciiTheme="majorEastAsia" w:hAnsiTheme="majorEastAsia" w:eastAsiaTheme="majorEastAsia"/>
          <w:b/>
          <w:kern w:val="0"/>
          <w:sz w:val="24"/>
        </w:rPr>
        <w:t>3.4 报价评审。</w:t>
      </w:r>
    </w:p>
    <w:p w14:paraId="69866047">
      <w:pPr>
        <w:pStyle w:val="46"/>
        <w:spacing w:before="0"/>
        <w:ind w:firstLine="480"/>
        <w:rPr>
          <w:rFonts w:cs="仿宋" w:asciiTheme="majorEastAsia" w:hAnsiTheme="majorEastAsia" w:eastAsiaTheme="majorEastAsia"/>
          <w:kern w:val="0"/>
        </w:rPr>
      </w:pPr>
      <w:r>
        <w:rPr>
          <w:rFonts w:hint="eastAsia" w:cs="仿宋" w:asciiTheme="majorEastAsia" w:hAnsiTheme="majorEastAsia" w:eastAsiaTheme="majorEastAsia"/>
          <w:kern w:val="0"/>
        </w:rPr>
        <w:t>3.4.1投标文件报价出现前后不一致的，按照下列规定修正：</w:t>
      </w:r>
    </w:p>
    <w:p w14:paraId="6D942D95">
      <w:pPr>
        <w:pStyle w:val="46"/>
        <w:spacing w:before="0"/>
        <w:ind w:firstLine="480"/>
        <w:rPr>
          <w:rFonts w:cs="仿宋" w:asciiTheme="majorEastAsia" w:hAnsiTheme="majorEastAsia" w:eastAsiaTheme="majorEastAsia"/>
          <w:kern w:val="0"/>
        </w:rPr>
      </w:pPr>
      <w:r>
        <w:rPr>
          <w:rFonts w:hint="eastAsia" w:cs="仿宋" w:asciiTheme="majorEastAsia" w:hAnsiTheme="majorEastAsia" w:eastAsiaTheme="majorEastAsia"/>
          <w:kern w:val="0"/>
        </w:rPr>
        <w:t>3.4.1.1电子交易平台生成的开标记录表(报价表)内容与投标文件中开标一览表(报价表)不一致的，以投标文件中开标一览表(报价表)为准；</w:t>
      </w:r>
    </w:p>
    <w:p w14:paraId="2F207A89">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3.4.1.2</w:t>
      </w:r>
      <w:r>
        <w:rPr>
          <w:rFonts w:hint="eastAsia" w:cs="仿宋" w:asciiTheme="majorEastAsia" w:hAnsiTheme="majorEastAsia" w:eastAsiaTheme="majorEastAsia"/>
          <w:kern w:val="0"/>
        </w:rPr>
        <w:t>投标文件中开标一览表(报价表)内容与投标文件中相应内容不一致的，以开标一览表(报价表)为准；</w:t>
      </w:r>
    </w:p>
    <w:p w14:paraId="18AA4E9B">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3.4.1.3 大写金额和小写金额不一致的，以大写金额为准;</w:t>
      </w:r>
    </w:p>
    <w:p w14:paraId="05EE9B7B">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3.4.1.4 单价金额小数点或者百分比有明显错位的，以开标一览表的总价为准，并修改单价;</w:t>
      </w:r>
    </w:p>
    <w:p w14:paraId="416DCB09">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3.4.1.5 总价金额与按单价汇总金额不一致的，以单价金额计算结果为准；</w:t>
      </w:r>
    </w:p>
    <w:p w14:paraId="193827C0">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确认后产生约束力。</w:t>
      </w:r>
    </w:p>
    <w:p w14:paraId="7B6618C5">
      <w:pPr>
        <w:snapToGrid w:val="0"/>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3.4.2投标文件出现不是唯一的、有选择性投标报价的，投标无效。</w:t>
      </w:r>
    </w:p>
    <w:p w14:paraId="4DDE8395">
      <w:pPr>
        <w:snapToGrid w:val="0"/>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3.4.3投标报价超过招标文件中规定的预算金额或者最高限价的，投标无效。</w:t>
      </w:r>
    </w:p>
    <w:p w14:paraId="074C1042">
      <w:pPr>
        <w:pStyle w:val="46"/>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3.4.4评标委员会认为</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的报价明显低于其他通过符合性审查</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的报价，有可能影响产品质量或者不能诚信履约的，应当要求其在30分钟内提供书面说明，必要时提交相关证明材料;</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不能证明其报价合理性的，评标委员会应当将其作为无效投标处理。</w:t>
      </w:r>
    </w:p>
    <w:p w14:paraId="4B585546">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3.5编写评标报告。</w:t>
      </w:r>
      <w:r>
        <w:rPr>
          <w:rFonts w:hint="eastAsia" w:cs="仿宋" w:asciiTheme="majorEastAsia" w:hAnsiTheme="majorEastAsia" w:eastAsiaTheme="maj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55D5AF0">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四、评标中的其他事项</w:t>
      </w:r>
    </w:p>
    <w:p w14:paraId="4952B221">
      <w:pPr>
        <w:pStyle w:val="46"/>
        <w:spacing w:before="0"/>
        <w:ind w:firstLine="482"/>
        <w:rPr>
          <w:rFonts w:cs="仿宋" w:asciiTheme="majorEastAsia" w:hAnsiTheme="majorEastAsia" w:eastAsiaTheme="majorEastAsia"/>
          <w:kern w:val="0"/>
          <w:szCs w:val="24"/>
        </w:rPr>
      </w:pPr>
      <w:r>
        <w:rPr>
          <w:rFonts w:hint="eastAsia" w:cs="仿宋" w:asciiTheme="majorEastAsia" w:hAnsiTheme="majorEastAsia" w:eastAsiaTheme="majorEastAsia"/>
          <w:b/>
          <w:kern w:val="0"/>
          <w:szCs w:val="24"/>
        </w:rPr>
        <w:t>4.1投标澄清、说明或者补正。</w:t>
      </w:r>
      <w:r>
        <w:rPr>
          <w:rFonts w:hint="eastAsia" w:cs="仿宋" w:asciiTheme="majorEastAsia" w:hAnsiTheme="majorEastAsia" w:eastAsiaTheme="majorEastAsia"/>
          <w:kern w:val="0"/>
          <w:szCs w:val="24"/>
        </w:rPr>
        <w:t>对于投标文件中含义不明确、同类问题表述不一致或者有明显文字和计算错误的内容需要</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作出必要的澄清、说明或者补正的，评标委员会和</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通过电子交易平台交换数据电文，</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提交使用电子签名的相关数据电文或通过平台上传加盖公章的扫描件。给予</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提交澄清、说明或补正的时间不得少于半小时，</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已经明确表示澄清说明或补正完毕的除外。</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的澄清、说明或者补正不得超出投标文件的范围或者改变投标文件的实质性内容。</w:t>
      </w:r>
    </w:p>
    <w:p w14:paraId="1F84F6D9">
      <w:pPr>
        <w:pStyle w:val="9"/>
        <w:spacing w:line="360" w:lineRule="auto"/>
        <w:ind w:firstLine="482"/>
        <w:rPr>
          <w:rFonts w:cs="仿宋" w:asciiTheme="majorEastAsia" w:hAnsiTheme="majorEastAsia" w:eastAsiaTheme="majorEastAsia"/>
          <w:szCs w:val="21"/>
        </w:rPr>
      </w:pPr>
      <w:r>
        <w:rPr>
          <w:rFonts w:hint="eastAsia" w:cs="仿宋" w:asciiTheme="majorEastAsia" w:hAnsiTheme="majorEastAsia" w:eastAsiaTheme="majorEastAsia"/>
          <w:b/>
          <w:kern w:val="0"/>
        </w:rPr>
        <w:t>4.2投标无效的情形。</w:t>
      </w:r>
    </w:p>
    <w:p w14:paraId="44266F44">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4.2.1 没有响应招标文件实质性要求的投标将被视为无效投标。</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不得通过修正或撤消不合要求的偏离或保留从而使其投标成为实质上响应的投标，但经评标委员会认定属于</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修改、补正投标文件后，不影响评标委员会对其投标文件所作的评价和评分结果。</w:t>
      </w:r>
    </w:p>
    <w:p w14:paraId="4979DF2E">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 在电子开评标时，如发现下列情形之一的，将被视为无效投标文件：</w:t>
      </w:r>
    </w:p>
    <w:p w14:paraId="3EA44D7B">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4.2.2.1电子投标文件解密失败的；</w:t>
      </w:r>
    </w:p>
    <w:p w14:paraId="6C89E4A7">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4.2.2.2投标文件未按招标文件要求加密、签字、盖章的；（投标文件中加盖</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公章部分均须CA签章。）</w:t>
      </w:r>
    </w:p>
    <w:p w14:paraId="333E1AA2">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 在资格审查、符合性审查和商务评审时，如发现下列情形之一的，将被视为无效投标文件：</w:t>
      </w:r>
    </w:p>
    <w:p w14:paraId="04F5EDFD">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4.2.3.1 资格证明文件不全的或者不符合招标文件标明的资格要求的；</w:t>
      </w:r>
    </w:p>
    <w:p w14:paraId="3FC35E47">
      <w:pPr>
        <w:spacing w:line="360" w:lineRule="auto"/>
        <w:ind w:firstLine="480" w:firstLineChars="200"/>
        <w:rPr>
          <w:rFonts w:cs="仿宋" w:asciiTheme="majorEastAsia" w:hAnsiTheme="majorEastAsia" w:eastAsiaTheme="majorEastAsia"/>
          <w:kern w:val="0"/>
          <w:sz w:val="24"/>
        </w:rPr>
      </w:pPr>
      <w:r>
        <w:rPr>
          <w:rFonts w:cs="仿宋" w:asciiTheme="majorEastAsia" w:hAnsiTheme="majorEastAsia" w:eastAsiaTheme="majorEastAsia"/>
          <w:kern w:val="0"/>
          <w:sz w:val="24"/>
        </w:rPr>
        <w:t>4.2.3.</w:t>
      </w:r>
      <w:r>
        <w:rPr>
          <w:rFonts w:hint="eastAsia" w:cs="仿宋" w:asciiTheme="majorEastAsia" w:hAnsiTheme="majorEastAsia" w:eastAsiaTheme="majorEastAsia"/>
          <w:kern w:val="0"/>
          <w:sz w:val="24"/>
        </w:rPr>
        <w:t>2 允许联合体的项目联合体参加未提供联合协议；</w:t>
      </w:r>
    </w:p>
    <w:p w14:paraId="20D34795">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4.2.3.3 投标文件未按招标文件要求签署、盖章的；</w:t>
      </w:r>
    </w:p>
    <w:p w14:paraId="59C4C22A">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4.2.3.4投标代表人未能出具身份证明或与法定代表人授权委托人身份不符的；</w:t>
      </w:r>
    </w:p>
    <w:p w14:paraId="03F7E759">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4.2.3.5 投标文件格式不规范、项目不齐全或者内容虚假的；</w:t>
      </w:r>
    </w:p>
    <w:p w14:paraId="64818AF1">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4.2.3.6投标文件的实质性内容未使用中文表述、意思表述不明确、前后矛盾或者使用计量单位不符合招标文件要求的（经评标委员会认定并允许其当场更正的笔误除外）；</w:t>
      </w:r>
    </w:p>
    <w:p w14:paraId="58925E35">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4.2.3.7 投标有效期、交货时间、质保期等商务条款不能满足招标文件要求的；</w:t>
      </w:r>
    </w:p>
    <w:p w14:paraId="57FA1C16">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4.2.3.8 带“▲”的条款不能满足招标文件要求、未实质性响应招标文件要求或者投标文件有采购人不能接受的附加条件的；</w:t>
      </w:r>
    </w:p>
    <w:p w14:paraId="490F633C">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4.2.3.9单位负责人为同一人或者存在直接控股、管理关系的不同供应商参加同一合同项下的政府采购活动的；</w:t>
      </w:r>
    </w:p>
    <w:p w14:paraId="7F8FB161">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4.2.3.10 为采购项目提供整体设计、规范编制或者项目管理、监理、检测等服务的供应商参加该采购项目的其他采购活动的；</w:t>
      </w:r>
    </w:p>
    <w:p w14:paraId="65D266A9">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4.2.3.11报价文件以外的投标文件中出现本项目投标报价或单价的。</w:t>
      </w:r>
    </w:p>
    <w:p w14:paraId="1F6986C8">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4.3.在技术评审时，如发现下列情形之一的，将被视为无效投标文件：</w:t>
      </w:r>
    </w:p>
    <w:p w14:paraId="01779A8D">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4.3.1未提供或未如实提供投标货物的技术参数，或者投标文件标明的响应或偏离与事实不符或虚假投标的；</w:t>
      </w:r>
    </w:p>
    <w:p w14:paraId="6AEEE78F">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4.3.2 明显不符合招标文件要求的规格型号、质量标准，或者与招标文件中标“▲”的技术指标、主要功能项目发生实质性偏离的；</w:t>
      </w:r>
    </w:p>
    <w:p w14:paraId="2FE8193F">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4.3.3 允许偏离的技术、性能指标或辅助功能项</w:t>
      </w:r>
      <w:bookmarkStart w:id="407" w:name="OLE_LINK12"/>
      <w:bookmarkStart w:id="408" w:name="OLE_LINK11"/>
      <w:r>
        <w:rPr>
          <w:rFonts w:hint="eastAsia" w:cs="仿宋" w:asciiTheme="majorEastAsia" w:hAnsiTheme="majorEastAsia" w:eastAsiaTheme="majorEastAsia"/>
          <w:kern w:val="0"/>
          <w:sz w:val="24"/>
        </w:rPr>
        <w:t>目发生负偏离达</w:t>
      </w:r>
      <w:r>
        <w:rPr>
          <w:rFonts w:hint="eastAsia" w:cs="仿宋" w:asciiTheme="majorEastAsia" w:hAnsiTheme="majorEastAsia" w:eastAsiaTheme="majorEastAsia"/>
          <w:kern w:val="0"/>
          <w:sz w:val="24"/>
          <w:u w:val="single"/>
        </w:rPr>
        <w:t xml:space="preserve"> / </w:t>
      </w:r>
      <w:r>
        <w:rPr>
          <w:rFonts w:hint="eastAsia" w:cs="仿宋" w:asciiTheme="majorEastAsia" w:hAnsiTheme="majorEastAsia" w:eastAsiaTheme="majorEastAsia"/>
          <w:kern w:val="0"/>
          <w:sz w:val="24"/>
        </w:rPr>
        <w:t>项（含）以上的；</w:t>
      </w:r>
    </w:p>
    <w:bookmarkEnd w:id="407"/>
    <w:bookmarkEnd w:id="408"/>
    <w:p w14:paraId="20CC1ED2">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4.3.4 投标技术方案不明确，存在一个或一个以上备选（替代）投标方案的；</w:t>
      </w:r>
    </w:p>
    <w:p w14:paraId="54E991E7">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4.3.5 与其他参加本次投标</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的投标文件（技术文件）的文字表述内容差错相同2处以上的；</w:t>
      </w:r>
    </w:p>
    <w:p w14:paraId="4E352E44">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 在报价评审时，如发现下列情形之一的，投标文件将被视为无效：</w:t>
      </w:r>
    </w:p>
    <w:p w14:paraId="77EA1AEA">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4.4.1 未采用人民币报价或者未按照招标文件标明的币种报价的；</w:t>
      </w:r>
    </w:p>
    <w:p w14:paraId="690178C9">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4.4.2 报价超出最高限价，或者超出采购预算金额的；</w:t>
      </w:r>
    </w:p>
    <w:p w14:paraId="3E03835A">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4.4.3 投标报价具有选择性的；</w:t>
      </w:r>
    </w:p>
    <w:p w14:paraId="4A3B3B74">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4.4.4 投标报价中出现缺项、漏项或被评标委员会认定为有可能影响产品质量或者不能诚信履约的且不能在合理的时间内证明其报价合理性的；</w:t>
      </w:r>
    </w:p>
    <w:p w14:paraId="7A9AE549">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4.4.5供应商对根据修正原则修正后的报价不确认的。</w:t>
      </w:r>
    </w:p>
    <w:p w14:paraId="6985292B">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4.5其他无效情形：</w:t>
      </w:r>
    </w:p>
    <w:p w14:paraId="5589CC90">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4.5.1 不同</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的投标文件出自同一终端设备或在相同Internet主机分配地址（相同IP地址）进行网上报名、投标的；</w:t>
      </w:r>
    </w:p>
    <w:p w14:paraId="551570FA">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4.5.2 法律、法规、规章（适用本市的）及省级以上规范性文件（适用本市的）规定的其他无效情形。</w:t>
      </w:r>
    </w:p>
    <w:p w14:paraId="093DF05C">
      <w:pPr>
        <w:pStyle w:val="9"/>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rPr>
        <w:t>5.废标。</w:t>
      </w:r>
      <w:r>
        <w:rPr>
          <w:rFonts w:hint="eastAsia" w:cs="仿宋" w:asciiTheme="majorEastAsia" w:hAnsiTheme="majorEastAsia" w:eastAsiaTheme="majorEastAsia"/>
        </w:rPr>
        <w:t>根据《中华人民共和国政府采购法》第三十六条之规定，在采购中，出现下列情形之一的，应予废标：</w:t>
      </w:r>
    </w:p>
    <w:p w14:paraId="42164BDB">
      <w:pPr>
        <w:pStyle w:val="9"/>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5.1符合专业条件的供应商或者对招标文件作实质响应的供应商不足3家的；</w:t>
      </w:r>
    </w:p>
    <w:p w14:paraId="5217128C">
      <w:pPr>
        <w:pStyle w:val="9"/>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5.2出现影响采购公正的违法、违规行为的；</w:t>
      </w:r>
    </w:p>
    <w:p w14:paraId="4E1DCB93">
      <w:pPr>
        <w:pStyle w:val="9"/>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5.3</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的报价均超过了采购预算，采购人不能支付的；</w:t>
      </w:r>
    </w:p>
    <w:p w14:paraId="4BF93BE9">
      <w:pPr>
        <w:pStyle w:val="9"/>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5.4因重大变故，采购任务取消的。</w:t>
      </w:r>
    </w:p>
    <w:p w14:paraId="0C53A791">
      <w:pPr>
        <w:pStyle w:val="9"/>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废标后，采购代理机构应当将废标理由通知所有</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w:t>
      </w:r>
    </w:p>
    <w:p w14:paraId="4FD7AF8F">
      <w:pPr>
        <w:pStyle w:val="9"/>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rPr>
        <w:t>6.修改招标文件，重新组织采购活动。</w:t>
      </w:r>
      <w:r>
        <w:rPr>
          <w:rFonts w:hint="eastAsia" w:cs="仿宋" w:asciiTheme="majorEastAsia" w:hAnsiTheme="majorEastAsia" w:eastAsiaTheme="maj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D8D5ACA">
      <w:pPr>
        <w:pStyle w:val="9"/>
        <w:adjustRightInd w:val="0"/>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kern w:val="0"/>
        </w:rPr>
        <w:t>7.重新开展采购。</w:t>
      </w:r>
      <w:r>
        <w:rPr>
          <w:rFonts w:hint="eastAsia" w:cs="仿宋" w:asciiTheme="majorEastAsia" w:hAnsiTheme="majorEastAsia" w:eastAsiaTheme="majorEastAsia"/>
        </w:rPr>
        <w:t>有政府采购法第七十一条、第七十二条规定的违法行为之一，影响或者可能影响中标、成交结果的，依照下列规定处理：</w:t>
      </w:r>
    </w:p>
    <w:p w14:paraId="3CF98F10">
      <w:pPr>
        <w:pStyle w:val="9"/>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7.1未确定中标或者中标人的，终止本次政府采购活动，重新开展政府采购活动。</w:t>
      </w:r>
    </w:p>
    <w:p w14:paraId="10EE6FB1">
      <w:pPr>
        <w:pStyle w:val="9"/>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7.2已确定中标或者中标人但尚未签订政府采购合同的，中标或者成交结果无效，重新开展政府采购活动。</w:t>
      </w:r>
    </w:p>
    <w:p w14:paraId="0CFC2C4B">
      <w:pPr>
        <w:pStyle w:val="9"/>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7.3政府采购合同已签订但尚未履行的，撤销合同，重新开展政府采购活动。</w:t>
      </w:r>
    </w:p>
    <w:p w14:paraId="3D1108A2">
      <w:pPr>
        <w:pStyle w:val="9"/>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7.4政府采购合同已经履行，给采购人、供应商造成损失的，由责任人承担赔偿责任。</w:t>
      </w:r>
    </w:p>
    <w:p w14:paraId="719EBE70">
      <w:pPr>
        <w:pStyle w:val="9"/>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7.5政府采购当事人有其他违反政府采购法</w:t>
      </w:r>
      <w:r>
        <w:rPr>
          <w:rFonts w:hint="eastAsia" w:cs="仿宋" w:asciiTheme="majorEastAsia" w:hAnsiTheme="majorEastAsia" w:eastAsiaTheme="majorEastAsia"/>
          <w:kern w:val="0"/>
        </w:rPr>
        <w:t>或者政府采购法实施条例等法律法规规定</w:t>
      </w:r>
      <w:r>
        <w:rPr>
          <w:rFonts w:hint="eastAsia" w:cs="仿宋" w:asciiTheme="majorEastAsia" w:hAnsiTheme="majorEastAsia" w:eastAsiaTheme="majorEastAsia"/>
        </w:rPr>
        <w:t>的行为，经改正后仍然影响或者可能影响中标、成交结果或者依法被认定为中标、成交无效的，依照7.1-7.4规定处理。</w:t>
      </w:r>
      <w:bookmarkEnd w:id="27"/>
      <w:bookmarkStart w:id="409" w:name="第五部分"/>
      <w:bookmarkStart w:id="410" w:name="_Toc86217003"/>
    </w:p>
    <w:p w14:paraId="5AF71109">
      <w:pPr>
        <w:pStyle w:val="9"/>
        <w:numPr>
          <w:ilvl w:val="0"/>
          <w:numId w:val="3"/>
        </w:numPr>
        <w:adjustRightInd w:val="0"/>
        <w:snapToGrid w:val="0"/>
        <w:spacing w:line="360" w:lineRule="auto"/>
        <w:ind w:firstLine="0" w:firstLineChars="0"/>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br w:type="page"/>
      </w:r>
      <w:r>
        <w:rPr>
          <w:rFonts w:hint="eastAsia" w:cs="仿宋" w:asciiTheme="majorEastAsia" w:hAnsiTheme="majorEastAsia" w:eastAsiaTheme="majorEastAsia"/>
          <w:b/>
          <w:sz w:val="36"/>
          <w:szCs w:val="36"/>
        </w:rPr>
        <w:t>拟签订的合同文本</w:t>
      </w:r>
    </w:p>
    <w:p w14:paraId="12320480">
      <w:pPr>
        <w:spacing w:line="360" w:lineRule="auto"/>
        <w:rPr>
          <w:rFonts w:cs="仿宋" w:asciiTheme="majorEastAsia" w:hAnsiTheme="majorEastAsia" w:eastAsiaTheme="majorEastAsia"/>
          <w:sz w:val="24"/>
        </w:rPr>
      </w:pPr>
    </w:p>
    <w:p w14:paraId="1FF60C9D">
      <w:pPr>
        <w:pStyle w:val="9"/>
        <w:adjustRightInd w:val="0"/>
        <w:snapToGrid w:val="0"/>
        <w:spacing w:line="360" w:lineRule="auto"/>
        <w:ind w:firstLine="0" w:firstLineChars="0"/>
        <w:rPr>
          <w:rFonts w:cs="仿宋" w:asciiTheme="majorEastAsia" w:hAnsiTheme="majorEastAsia" w:eastAsiaTheme="majorEastAsia"/>
          <w:b/>
          <w:sz w:val="36"/>
          <w:szCs w:val="36"/>
        </w:rPr>
      </w:pPr>
    </w:p>
    <w:p w14:paraId="1BC12389">
      <w:pPr>
        <w:spacing w:line="360" w:lineRule="auto"/>
        <w:jc w:val="center"/>
        <w:rPr>
          <w:rFonts w:ascii="仿宋" w:hAnsi="仿宋" w:eastAsia="仿宋" w:cs="仿宋"/>
          <w:b/>
          <w:sz w:val="36"/>
          <w:szCs w:val="36"/>
        </w:rPr>
      </w:pPr>
      <w:r>
        <w:rPr>
          <w:rFonts w:hint="eastAsia" w:ascii="仿宋" w:hAnsi="仿宋" w:eastAsia="仿宋" w:cs="仿宋"/>
          <w:b/>
          <w:sz w:val="36"/>
          <w:szCs w:val="36"/>
        </w:rPr>
        <w:t>（服务类）</w:t>
      </w:r>
    </w:p>
    <w:p w14:paraId="69BA5090">
      <w:pPr>
        <w:pStyle w:val="47"/>
        <w:ind w:left="0" w:leftChars="0" w:firstLine="0" w:firstLineChars="0"/>
        <w:rPr>
          <w:rFonts w:ascii="仿宋" w:hAnsi="仿宋" w:eastAsia="仿宋" w:cs="仿宋"/>
          <w:szCs w:val="24"/>
        </w:rPr>
      </w:pPr>
    </w:p>
    <w:p w14:paraId="59AE8581">
      <w:pPr>
        <w:pStyle w:val="47"/>
        <w:rPr>
          <w:rFonts w:ascii="仿宋" w:hAnsi="仿宋" w:eastAsia="仿宋" w:cs="仿宋"/>
          <w:szCs w:val="24"/>
        </w:rPr>
      </w:pPr>
    </w:p>
    <w:p w14:paraId="20E0DF16">
      <w:pPr>
        <w:pStyle w:val="47"/>
        <w:ind w:left="0" w:leftChars="0" w:firstLine="0" w:firstLineChars="0"/>
        <w:rPr>
          <w:rFonts w:ascii="仿宋" w:hAnsi="仿宋" w:eastAsia="仿宋" w:cs="仿宋"/>
          <w:szCs w:val="24"/>
        </w:rPr>
      </w:pPr>
    </w:p>
    <w:p w14:paraId="5C1E2AEB">
      <w:pPr>
        <w:spacing w:before="120" w:line="360" w:lineRule="auto"/>
        <w:rPr>
          <w:rFonts w:ascii="仿宋" w:hAnsi="仿宋" w:eastAsia="仿宋" w:cs="仿宋"/>
          <w:sz w:val="24"/>
        </w:rPr>
      </w:pPr>
    </w:p>
    <w:p w14:paraId="59253A2F">
      <w:pPr>
        <w:spacing w:before="120" w:line="360" w:lineRule="auto"/>
        <w:ind w:left="960" w:firstLine="720" w:firstLineChars="300"/>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2BE5C61">
      <w:pPr>
        <w:pStyle w:val="39"/>
        <w:spacing w:before="120"/>
        <w:rPr>
          <w:rFonts w:ascii="仿宋" w:hAnsi="仿宋" w:eastAsia="仿宋" w:cs="仿宋"/>
          <w:szCs w:val="24"/>
        </w:rPr>
      </w:pPr>
    </w:p>
    <w:p w14:paraId="02334F49">
      <w:pPr>
        <w:pStyle w:val="39"/>
        <w:spacing w:before="120"/>
        <w:rPr>
          <w:rFonts w:ascii="仿宋" w:hAnsi="仿宋" w:eastAsia="仿宋" w:cs="仿宋"/>
          <w:szCs w:val="24"/>
        </w:rPr>
      </w:pPr>
    </w:p>
    <w:p w14:paraId="11D243BE">
      <w:pPr>
        <w:spacing w:line="360" w:lineRule="auto"/>
        <w:rPr>
          <w:rFonts w:ascii="仿宋" w:hAnsi="仿宋" w:eastAsia="仿宋" w:cs="仿宋"/>
          <w:sz w:val="24"/>
        </w:rPr>
      </w:pPr>
    </w:p>
    <w:p w14:paraId="2A2CC7B3">
      <w:pPr>
        <w:spacing w:before="120" w:line="600" w:lineRule="auto"/>
        <w:ind w:left="960" w:firstLine="720" w:firstLineChars="300"/>
        <w:rPr>
          <w:rFonts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                                       </w:t>
      </w:r>
    </w:p>
    <w:p w14:paraId="4E53BA26">
      <w:pPr>
        <w:spacing w:before="120" w:line="600" w:lineRule="auto"/>
        <w:ind w:left="960" w:firstLine="720" w:firstLineChars="300"/>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xml:space="preserve">                                       </w:t>
      </w:r>
    </w:p>
    <w:p w14:paraId="6FA6150F">
      <w:pPr>
        <w:spacing w:before="120" w:line="600" w:lineRule="auto"/>
        <w:ind w:firstLine="1680" w:firstLineChars="700"/>
        <w:rPr>
          <w:rFonts w:ascii="仿宋" w:hAnsi="仿宋" w:eastAsia="仿宋" w:cs="仿宋"/>
          <w:sz w:val="24"/>
        </w:rPr>
      </w:pPr>
      <w:r>
        <w:rPr>
          <w:rFonts w:hint="eastAsia" w:ascii="仿宋" w:hAnsi="仿宋" w:eastAsia="仿宋" w:cs="仿宋"/>
          <w:sz w:val="24"/>
        </w:rPr>
        <w:t>签订地：</w:t>
      </w:r>
      <w:r>
        <w:rPr>
          <w:rFonts w:hint="eastAsia" w:ascii="仿宋" w:hAnsi="仿宋" w:eastAsia="仿宋" w:cs="仿宋"/>
          <w:sz w:val="24"/>
          <w:u w:val="single"/>
        </w:rPr>
        <w:t xml:space="preserve">                                     </w:t>
      </w:r>
    </w:p>
    <w:p w14:paraId="05E5C9C6">
      <w:pPr>
        <w:spacing w:before="120" w:line="600" w:lineRule="auto"/>
        <w:ind w:firstLine="1680" w:firstLineChars="700"/>
        <w:rPr>
          <w:rFonts w:ascii="仿宋" w:hAnsi="仿宋" w:eastAsia="仿宋" w:cs="仿宋"/>
          <w:sz w:val="24"/>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2914043">
      <w:pPr>
        <w:spacing w:line="360" w:lineRule="auto"/>
        <w:ind w:firstLine="480" w:firstLineChars="200"/>
        <w:rPr>
          <w:rFonts w:ascii="仿宋" w:hAnsi="仿宋" w:eastAsia="仿宋" w:cs="仿宋"/>
          <w:sz w:val="24"/>
          <w:lang w:val="zh-CN"/>
        </w:rPr>
      </w:pPr>
      <w:r>
        <w:rPr>
          <w:rFonts w:hint="eastAsia" w:ascii="仿宋" w:hAnsi="仿宋" w:eastAsia="仿宋" w:cs="仿宋"/>
          <w:sz w:val="24"/>
          <w:u w:val="single"/>
          <w:lang w:val="zh-CN"/>
        </w:rPr>
        <w:br w:type="page"/>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u w:val="single"/>
          <w:lang w:val="zh-CN"/>
        </w:rPr>
        <w:t xml:space="preserve">   （采购人）   </w:t>
      </w:r>
      <w:r>
        <w:rPr>
          <w:rFonts w:hint="eastAsia" w:ascii="仿宋" w:hAnsi="仿宋" w:eastAsia="仿宋" w:cs="仿宋"/>
          <w:sz w:val="24"/>
          <w:lang w:val="zh-CN"/>
        </w:rPr>
        <w:t>以</w:t>
      </w:r>
      <w:r>
        <w:rPr>
          <w:rFonts w:hint="eastAsia" w:ascii="仿宋" w:hAnsi="仿宋" w:eastAsia="仿宋" w:cs="仿宋"/>
          <w:sz w:val="24"/>
          <w:u w:val="single"/>
          <w:lang w:val="zh-CN"/>
        </w:rPr>
        <w:t xml:space="preserve">   （政府采购方式）  </w:t>
      </w:r>
      <w:r>
        <w:rPr>
          <w:rFonts w:hint="eastAsia" w:ascii="仿宋" w:hAnsi="仿宋" w:eastAsia="仿宋" w:cs="仿宋"/>
          <w:sz w:val="24"/>
          <w:lang w:val="zh-CN"/>
        </w:rPr>
        <w:t>对</w:t>
      </w:r>
      <w:r>
        <w:rPr>
          <w:rFonts w:hint="eastAsia" w:ascii="仿宋" w:hAnsi="仿宋" w:eastAsia="仿宋" w:cs="仿宋"/>
          <w:sz w:val="24"/>
          <w:u w:val="single"/>
          <w:lang w:val="zh-CN"/>
        </w:rPr>
        <w:t xml:space="preserve">   （同前页项目名称）   </w:t>
      </w:r>
      <w:r>
        <w:rPr>
          <w:rFonts w:hint="eastAsia" w:ascii="仿宋" w:hAnsi="仿宋" w:eastAsia="仿宋" w:cs="仿宋"/>
          <w:sz w:val="24"/>
          <w:lang w:val="zh-CN"/>
        </w:rPr>
        <w:t>项目进行了采购。经</w:t>
      </w:r>
      <w:r>
        <w:rPr>
          <w:rFonts w:hint="eastAsia" w:ascii="仿宋" w:hAnsi="仿宋" w:eastAsia="仿宋" w:cs="仿宋"/>
          <w:sz w:val="24"/>
          <w:u w:val="single"/>
          <w:lang w:val="zh-CN"/>
        </w:rPr>
        <w:t xml:space="preserve">   （相关评定主体名称）   </w:t>
      </w:r>
      <w:r>
        <w:rPr>
          <w:rFonts w:hint="eastAsia" w:ascii="仿宋" w:hAnsi="仿宋" w:eastAsia="仿宋" w:cs="仿宋"/>
          <w:sz w:val="24"/>
          <w:lang w:val="zh-CN"/>
        </w:rPr>
        <w:t>评定，</w:t>
      </w:r>
      <w:r>
        <w:rPr>
          <w:rFonts w:hint="eastAsia" w:ascii="仿宋" w:hAnsi="仿宋" w:eastAsia="仿宋" w:cs="仿宋"/>
          <w:sz w:val="24"/>
          <w:u w:val="single"/>
          <w:lang w:val="zh-CN"/>
        </w:rPr>
        <w:t xml:space="preserve">   （中标供应商名称）</w:t>
      </w:r>
      <w:r>
        <w:rPr>
          <w:rFonts w:hint="eastAsia" w:ascii="仿宋" w:hAnsi="仿宋" w:eastAsia="仿宋" w:cs="仿宋"/>
          <w:sz w:val="24"/>
          <w:lang w:val="zh-CN"/>
        </w:rPr>
        <w:t>为该项目中标供应商。现于中标通知书发出之日起三十日内，按照采购文件确定的事项签订本合同。</w:t>
      </w:r>
    </w:p>
    <w:p w14:paraId="6968F0CB">
      <w:pPr>
        <w:spacing w:line="360" w:lineRule="auto"/>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10B9B92D">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 定义</w:t>
      </w:r>
    </w:p>
    <w:p w14:paraId="2CD049F9">
      <w:pPr>
        <w:spacing w:line="360" w:lineRule="auto"/>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14:paraId="01F0235C">
      <w:pPr>
        <w:spacing w:line="360" w:lineRule="auto"/>
        <w:ind w:firstLine="480" w:firstLineChars="200"/>
        <w:rPr>
          <w:rFonts w:ascii="仿宋" w:hAnsi="仿宋" w:eastAsia="仿宋" w:cs="仿宋"/>
          <w:sz w:val="24"/>
        </w:rPr>
      </w:pPr>
      <w:r>
        <w:rPr>
          <w:rFonts w:hint="eastAsia" w:ascii="仿宋" w:hAnsi="仿宋" w:eastAsia="仿宋" w:cs="仿宋"/>
          <w:sz w:val="24"/>
        </w:rPr>
        <w:t>1.1 “合同”系指采购人和中标供应商签订的载明双方当事人所达成的协议，并包括所有的附件、附录和构成合同的其他文件。</w:t>
      </w:r>
    </w:p>
    <w:p w14:paraId="43D8CD92">
      <w:pPr>
        <w:spacing w:line="360" w:lineRule="auto"/>
        <w:ind w:firstLine="480" w:firstLineChars="200"/>
        <w:rPr>
          <w:rFonts w:ascii="仿宋" w:hAnsi="仿宋" w:eastAsia="仿宋" w:cs="仿宋"/>
          <w:sz w:val="24"/>
        </w:rPr>
      </w:pPr>
      <w:r>
        <w:rPr>
          <w:rFonts w:hint="eastAsia" w:ascii="仿宋" w:hAnsi="仿宋" w:eastAsia="仿宋" w:cs="仿宋"/>
          <w:sz w:val="24"/>
        </w:rPr>
        <w:t>1.2 “合同价”系指根据合同约定，中标供应商在完全履行合同义务后，采购人应支付给中标供应商的价格。</w:t>
      </w:r>
    </w:p>
    <w:p w14:paraId="2DD7FB92">
      <w:pPr>
        <w:spacing w:line="360" w:lineRule="auto"/>
        <w:ind w:firstLine="480" w:firstLineChars="200"/>
        <w:rPr>
          <w:rFonts w:ascii="仿宋" w:hAnsi="仿宋" w:eastAsia="仿宋" w:cs="仿宋"/>
          <w:sz w:val="24"/>
        </w:rPr>
      </w:pPr>
      <w:r>
        <w:rPr>
          <w:rFonts w:hint="eastAsia" w:ascii="仿宋" w:hAnsi="仿宋" w:eastAsia="仿宋" w:cs="仿宋"/>
          <w:sz w:val="24"/>
        </w:rPr>
        <w:t>1.3 “服务”系指中标供应商根据合同约定应为采购人提供的一切服务。</w:t>
      </w:r>
    </w:p>
    <w:p w14:paraId="23AE6A6B">
      <w:pPr>
        <w:spacing w:line="360" w:lineRule="auto"/>
        <w:ind w:firstLine="480" w:firstLineChars="200"/>
        <w:rPr>
          <w:rFonts w:ascii="仿宋" w:hAnsi="仿宋" w:eastAsia="仿宋" w:cs="仿宋"/>
          <w:sz w:val="24"/>
        </w:rPr>
      </w:pPr>
      <w:r>
        <w:rPr>
          <w:rFonts w:hint="eastAsia" w:ascii="仿宋" w:hAnsi="仿宋" w:eastAsia="仿宋" w:cs="仿宋"/>
          <w:sz w:val="24"/>
        </w:rPr>
        <w:t>1.4 “甲方”系指与中标供应商签署合同的采购人；采购人委托采购代理机构代表其与乙方签订合同的，采购人的授权委托书作为合同附件。</w:t>
      </w:r>
    </w:p>
    <w:p w14:paraId="6EAFE935">
      <w:pPr>
        <w:spacing w:line="360" w:lineRule="auto"/>
        <w:ind w:firstLine="480" w:firstLineChars="200"/>
        <w:rPr>
          <w:rFonts w:ascii="仿宋" w:hAnsi="仿宋" w:eastAsia="仿宋" w:cs="仿宋"/>
          <w:sz w:val="24"/>
        </w:rPr>
      </w:pPr>
      <w:r>
        <w:rPr>
          <w:rFonts w:hint="eastAsia" w:ascii="仿宋" w:hAnsi="仿宋" w:eastAsia="仿宋" w:cs="仿宋"/>
          <w:sz w:val="24"/>
        </w:rPr>
        <w:t>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A469DD2">
      <w:pPr>
        <w:spacing w:line="360" w:lineRule="auto"/>
        <w:ind w:firstLine="480" w:firstLineChars="200"/>
        <w:rPr>
          <w:rFonts w:ascii="仿宋" w:hAnsi="仿宋" w:eastAsia="仿宋" w:cs="仿宋"/>
          <w:b/>
          <w:sz w:val="24"/>
        </w:rPr>
      </w:pPr>
      <w:r>
        <w:rPr>
          <w:rFonts w:hint="eastAsia" w:ascii="仿宋" w:hAnsi="仿宋" w:eastAsia="仿宋" w:cs="仿宋"/>
          <w:sz w:val="24"/>
        </w:rPr>
        <w:t>1.6 “现场”系指合同约定中标供应商为采购人提供服务的地点。</w:t>
      </w:r>
    </w:p>
    <w:p w14:paraId="36951CFB">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 合同组成部分</w:t>
      </w:r>
    </w:p>
    <w:p w14:paraId="22677D1E">
      <w:pPr>
        <w:spacing w:line="360" w:lineRule="auto"/>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98B70DC">
      <w:pPr>
        <w:spacing w:line="360" w:lineRule="auto"/>
        <w:ind w:firstLine="480" w:firstLineChars="200"/>
        <w:rPr>
          <w:rFonts w:ascii="仿宋" w:hAnsi="仿宋" w:eastAsia="仿宋" w:cs="仿宋"/>
          <w:sz w:val="24"/>
        </w:rPr>
      </w:pPr>
      <w:r>
        <w:rPr>
          <w:rFonts w:hint="eastAsia" w:ascii="仿宋" w:hAnsi="仿宋" w:eastAsia="仿宋" w:cs="仿宋"/>
          <w:sz w:val="24"/>
        </w:rPr>
        <w:t>2.1 本合同及其附件、补充合同、变更协议；</w:t>
      </w:r>
    </w:p>
    <w:p w14:paraId="06B708E2">
      <w:pPr>
        <w:spacing w:line="360" w:lineRule="auto"/>
        <w:ind w:firstLine="480" w:firstLineChars="200"/>
        <w:rPr>
          <w:rFonts w:ascii="仿宋" w:hAnsi="仿宋" w:eastAsia="仿宋" w:cs="仿宋"/>
          <w:sz w:val="24"/>
        </w:rPr>
      </w:pPr>
      <w:r>
        <w:rPr>
          <w:rFonts w:hint="eastAsia" w:ascii="仿宋" w:hAnsi="仿宋" w:eastAsia="仿宋" w:cs="仿宋"/>
          <w:sz w:val="24"/>
        </w:rPr>
        <w:t>2.2 中标通知书；</w:t>
      </w:r>
    </w:p>
    <w:p w14:paraId="50ACAE3A">
      <w:pPr>
        <w:spacing w:line="360" w:lineRule="auto"/>
        <w:ind w:firstLine="480" w:firstLineChars="200"/>
        <w:rPr>
          <w:rFonts w:ascii="仿宋" w:hAnsi="仿宋" w:eastAsia="仿宋" w:cs="仿宋"/>
          <w:sz w:val="24"/>
        </w:rPr>
      </w:pPr>
      <w:r>
        <w:rPr>
          <w:rFonts w:hint="eastAsia" w:ascii="仿宋" w:hAnsi="仿宋" w:eastAsia="仿宋" w:cs="仿宋"/>
          <w:sz w:val="24"/>
        </w:rPr>
        <w:t>2.3 投标文件（含澄清或者说明文件）；</w:t>
      </w:r>
    </w:p>
    <w:p w14:paraId="7CC6D977">
      <w:pPr>
        <w:spacing w:line="360" w:lineRule="auto"/>
        <w:ind w:firstLine="480" w:firstLineChars="200"/>
        <w:rPr>
          <w:rFonts w:ascii="仿宋" w:hAnsi="仿宋" w:eastAsia="仿宋" w:cs="仿宋"/>
          <w:sz w:val="24"/>
        </w:rPr>
      </w:pPr>
      <w:r>
        <w:rPr>
          <w:rFonts w:hint="eastAsia" w:ascii="仿宋" w:hAnsi="仿宋" w:eastAsia="仿宋" w:cs="仿宋"/>
          <w:sz w:val="24"/>
        </w:rPr>
        <w:t>2.4 招标文件（含澄清或者修改文件）；</w:t>
      </w:r>
    </w:p>
    <w:p w14:paraId="59C61D5E">
      <w:pPr>
        <w:spacing w:line="360" w:lineRule="auto"/>
        <w:ind w:firstLine="480" w:firstLineChars="200"/>
        <w:rPr>
          <w:rFonts w:ascii="仿宋" w:hAnsi="仿宋" w:eastAsia="仿宋" w:cs="仿宋"/>
          <w:sz w:val="24"/>
        </w:rPr>
      </w:pPr>
      <w:r>
        <w:rPr>
          <w:rFonts w:hint="eastAsia" w:ascii="仿宋" w:hAnsi="仿宋" w:eastAsia="仿宋" w:cs="仿宋"/>
          <w:sz w:val="24"/>
        </w:rPr>
        <w:t>2.5 其他相关采购文件。</w:t>
      </w:r>
    </w:p>
    <w:p w14:paraId="3D287090">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3 服务内容（与招标文件一致）</w:t>
      </w:r>
    </w:p>
    <w:p w14:paraId="44A6105E">
      <w:pPr>
        <w:spacing w:line="360" w:lineRule="auto"/>
        <w:ind w:firstLine="480" w:firstLineChars="200"/>
        <w:rPr>
          <w:rFonts w:ascii="仿宋" w:hAnsi="仿宋" w:eastAsia="仿宋" w:cs="仿宋"/>
          <w:sz w:val="24"/>
          <w:u w:val="single"/>
        </w:rPr>
      </w:pPr>
      <w:r>
        <w:rPr>
          <w:rFonts w:hint="eastAsia" w:ascii="仿宋" w:hAnsi="仿宋" w:eastAsia="仿宋" w:cs="仿宋"/>
          <w:sz w:val="24"/>
        </w:rPr>
        <w:t>3.1 服务内容：</w:t>
      </w:r>
      <w:r>
        <w:rPr>
          <w:rFonts w:hint="eastAsia" w:ascii="仿宋" w:hAnsi="仿宋" w:eastAsia="仿宋" w:cs="仿宋"/>
          <w:sz w:val="24"/>
          <w:u w:val="single"/>
        </w:rPr>
        <w:t xml:space="preserve">                                                </w:t>
      </w:r>
      <w:r>
        <w:rPr>
          <w:rFonts w:hint="eastAsia" w:ascii="仿宋" w:hAnsi="仿宋" w:eastAsia="仿宋" w:cs="仿宋"/>
          <w:sz w:val="24"/>
        </w:rPr>
        <w:t>；</w:t>
      </w:r>
    </w:p>
    <w:p w14:paraId="7C28CEF3">
      <w:pPr>
        <w:spacing w:line="360" w:lineRule="auto"/>
        <w:ind w:firstLine="480" w:firstLineChars="200"/>
        <w:rPr>
          <w:rFonts w:ascii="仿宋" w:hAnsi="仿宋" w:eastAsia="仿宋" w:cs="仿宋"/>
          <w:sz w:val="24"/>
          <w:u w:val="single"/>
        </w:rPr>
      </w:pPr>
      <w:r>
        <w:rPr>
          <w:rFonts w:hint="eastAsia" w:ascii="仿宋" w:hAnsi="仿宋" w:eastAsia="仿宋" w:cs="仿宋"/>
          <w:sz w:val="24"/>
        </w:rPr>
        <w:t>3.2 服务要求与标准：</w:t>
      </w:r>
      <w:r>
        <w:rPr>
          <w:rFonts w:hint="eastAsia" w:ascii="仿宋" w:hAnsi="仿宋" w:eastAsia="仿宋" w:cs="仿宋"/>
          <w:sz w:val="24"/>
          <w:u w:val="single"/>
        </w:rPr>
        <w:t xml:space="preserve">                                          </w:t>
      </w:r>
      <w:r>
        <w:rPr>
          <w:rFonts w:hint="eastAsia" w:ascii="仿宋" w:hAnsi="仿宋" w:eastAsia="仿宋" w:cs="仿宋"/>
          <w:sz w:val="24"/>
        </w:rPr>
        <w:t>；</w:t>
      </w:r>
    </w:p>
    <w:p w14:paraId="7667DE70">
      <w:pPr>
        <w:spacing w:line="360" w:lineRule="auto"/>
        <w:ind w:firstLine="480" w:firstLineChars="200"/>
        <w:rPr>
          <w:rFonts w:ascii="仿宋" w:hAnsi="仿宋" w:eastAsia="仿宋" w:cs="仿宋"/>
          <w:sz w:val="24"/>
        </w:rPr>
      </w:pPr>
      <w:r>
        <w:rPr>
          <w:rFonts w:hint="eastAsia" w:ascii="仿宋" w:hAnsi="仿宋" w:eastAsia="仿宋" w:cs="仿宋"/>
          <w:sz w:val="24"/>
        </w:rPr>
        <w:t>3.3 服务成果：</w:t>
      </w:r>
      <w:r>
        <w:rPr>
          <w:rFonts w:hint="eastAsia" w:ascii="仿宋" w:hAnsi="仿宋" w:eastAsia="仿宋" w:cs="仿宋"/>
          <w:sz w:val="24"/>
          <w:u w:val="single"/>
        </w:rPr>
        <w:t xml:space="preserve">                                                </w:t>
      </w:r>
      <w:r>
        <w:rPr>
          <w:rFonts w:hint="eastAsia" w:ascii="仿宋" w:hAnsi="仿宋" w:eastAsia="仿宋" w:cs="仿宋"/>
          <w:sz w:val="24"/>
        </w:rPr>
        <w:t>。</w:t>
      </w:r>
    </w:p>
    <w:p w14:paraId="35B9DA50">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4 价款</w:t>
      </w:r>
    </w:p>
    <w:p w14:paraId="01371A25">
      <w:pPr>
        <w:spacing w:line="360" w:lineRule="auto"/>
        <w:ind w:firstLine="480" w:firstLineChars="200"/>
        <w:rPr>
          <w:rFonts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7909A8C2">
      <w:pPr>
        <w:spacing w:line="360" w:lineRule="auto"/>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2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F81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8F5304F">
            <w:pPr>
              <w:pStyle w:val="43"/>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D66465F">
            <w:pPr>
              <w:pStyle w:val="43"/>
              <w:spacing w:line="360" w:lineRule="auto"/>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726A0C0">
            <w:pPr>
              <w:pStyle w:val="43"/>
              <w:spacing w:line="360" w:lineRule="auto"/>
              <w:jc w:val="center"/>
              <w:rPr>
                <w:rFonts w:ascii="仿宋" w:hAnsi="仿宋" w:eastAsia="仿宋" w:cs="仿宋"/>
                <w:sz w:val="24"/>
                <w:szCs w:val="24"/>
              </w:rPr>
            </w:pPr>
            <w:r>
              <w:rPr>
                <w:rFonts w:hint="eastAsia" w:ascii="仿宋" w:hAnsi="仿宋" w:eastAsia="仿宋" w:cs="仿宋"/>
                <w:sz w:val="24"/>
                <w:szCs w:val="24"/>
              </w:rPr>
              <w:t>分项价格</w:t>
            </w:r>
          </w:p>
        </w:tc>
      </w:tr>
      <w:tr w14:paraId="5C2D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9A73504">
            <w:pPr>
              <w:pStyle w:val="43"/>
              <w:spacing w:line="360" w:lineRule="auto"/>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987F97E">
            <w:pPr>
              <w:pStyle w:val="43"/>
              <w:spacing w:line="360" w:lineRule="auto"/>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CAFB84E">
            <w:pPr>
              <w:pStyle w:val="43"/>
              <w:spacing w:line="360" w:lineRule="auto"/>
              <w:ind w:firstLine="200"/>
              <w:jc w:val="center"/>
              <w:rPr>
                <w:rFonts w:ascii="仿宋" w:hAnsi="仿宋" w:eastAsia="仿宋" w:cs="仿宋"/>
                <w:sz w:val="24"/>
                <w:szCs w:val="24"/>
              </w:rPr>
            </w:pPr>
          </w:p>
        </w:tc>
      </w:tr>
      <w:tr w14:paraId="421E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C3A037">
            <w:pPr>
              <w:pStyle w:val="43"/>
              <w:spacing w:line="360" w:lineRule="auto"/>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586C2DC">
            <w:pPr>
              <w:pStyle w:val="43"/>
              <w:spacing w:line="360" w:lineRule="auto"/>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73804FF">
            <w:pPr>
              <w:pStyle w:val="43"/>
              <w:spacing w:line="360" w:lineRule="auto"/>
              <w:ind w:firstLine="200"/>
              <w:jc w:val="center"/>
              <w:rPr>
                <w:rFonts w:ascii="仿宋" w:hAnsi="仿宋" w:eastAsia="仿宋" w:cs="仿宋"/>
                <w:sz w:val="24"/>
                <w:szCs w:val="24"/>
              </w:rPr>
            </w:pPr>
          </w:p>
        </w:tc>
      </w:tr>
      <w:tr w14:paraId="104A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42710AE">
            <w:pPr>
              <w:pStyle w:val="43"/>
              <w:spacing w:line="360" w:lineRule="auto"/>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993C209">
            <w:pPr>
              <w:pStyle w:val="43"/>
              <w:spacing w:line="360" w:lineRule="auto"/>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0BF89EB">
            <w:pPr>
              <w:pStyle w:val="43"/>
              <w:spacing w:line="360" w:lineRule="auto"/>
              <w:ind w:firstLine="200"/>
              <w:jc w:val="center"/>
              <w:rPr>
                <w:rFonts w:ascii="仿宋" w:hAnsi="仿宋" w:eastAsia="仿宋" w:cs="仿宋"/>
                <w:sz w:val="24"/>
                <w:szCs w:val="24"/>
              </w:rPr>
            </w:pPr>
          </w:p>
        </w:tc>
      </w:tr>
      <w:tr w14:paraId="1B7F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16D1B31">
            <w:pPr>
              <w:pStyle w:val="43"/>
              <w:spacing w:line="360" w:lineRule="auto"/>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3AD3D54">
            <w:pPr>
              <w:pStyle w:val="43"/>
              <w:spacing w:line="360" w:lineRule="auto"/>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1F8E213">
            <w:pPr>
              <w:pStyle w:val="43"/>
              <w:spacing w:line="360" w:lineRule="auto"/>
              <w:ind w:firstLine="200"/>
              <w:jc w:val="center"/>
              <w:rPr>
                <w:rFonts w:ascii="仿宋" w:hAnsi="仿宋" w:eastAsia="仿宋" w:cs="仿宋"/>
                <w:sz w:val="24"/>
                <w:szCs w:val="24"/>
              </w:rPr>
            </w:pPr>
          </w:p>
        </w:tc>
      </w:tr>
      <w:tr w14:paraId="5B8E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A2E81E1">
            <w:pPr>
              <w:pStyle w:val="43"/>
              <w:spacing w:line="360" w:lineRule="auto"/>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ED6013D">
            <w:pPr>
              <w:pStyle w:val="43"/>
              <w:spacing w:line="360" w:lineRule="auto"/>
              <w:ind w:firstLine="200"/>
              <w:jc w:val="center"/>
              <w:rPr>
                <w:rFonts w:ascii="仿宋" w:hAnsi="仿宋" w:eastAsia="仿宋" w:cs="仿宋"/>
                <w:sz w:val="24"/>
                <w:szCs w:val="24"/>
              </w:rPr>
            </w:pPr>
          </w:p>
        </w:tc>
      </w:tr>
    </w:tbl>
    <w:p w14:paraId="7180F50A">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5 付款方式、时间和条件</w:t>
      </w:r>
    </w:p>
    <w:p w14:paraId="5EBA919A">
      <w:pPr>
        <w:pStyle w:val="42"/>
        <w:spacing w:before="0" w:beforeAutospacing="0" w:after="0" w:afterAutospacing="0" w:line="360" w:lineRule="auto"/>
        <w:ind w:firstLine="480"/>
        <w:rPr>
          <w:rFonts w:ascii="仿宋" w:hAnsi="仿宋" w:eastAsia="仿宋" w:cs="仿宋"/>
          <w:b/>
          <w:bCs/>
          <w:i/>
          <w:iCs/>
          <w:kern w:val="2"/>
          <w:u w:val="single"/>
        </w:rPr>
      </w:pPr>
      <w:r>
        <w:rPr>
          <w:rFonts w:hint="eastAsia" w:ascii="仿宋" w:hAnsi="仿宋" w:eastAsia="仿宋" w:cs="仿宋"/>
          <w:kern w:val="2"/>
        </w:rPr>
        <w:t>5.1 资金支付的方式、时间和条件：</w:t>
      </w:r>
      <w:r>
        <w:rPr>
          <w:rFonts w:hint="eastAsia" w:ascii="仿宋" w:hAnsi="仿宋" w:eastAsia="仿宋" w:cs="仿宋"/>
          <w:b/>
          <w:bCs/>
          <w:i/>
          <w:iCs/>
          <w:kern w:val="2"/>
          <w:u w:val="single"/>
        </w:rPr>
        <w:t xml:space="preserve">                       </w:t>
      </w:r>
    </w:p>
    <w:p w14:paraId="72D13736">
      <w:pPr>
        <w:pStyle w:val="42"/>
        <w:spacing w:before="0" w:beforeAutospacing="0" w:after="0" w:afterAutospacing="0" w:line="360" w:lineRule="auto"/>
        <w:ind w:firstLine="480"/>
        <w:rPr>
          <w:rFonts w:ascii="仿宋" w:hAnsi="仿宋" w:eastAsia="仿宋" w:cs="仿宋"/>
          <w:kern w:val="2"/>
        </w:rPr>
      </w:pPr>
      <w:r>
        <w:rPr>
          <w:rFonts w:hint="eastAsia" w:ascii="仿宋" w:hAnsi="仿宋" w:eastAsia="仿宋" w:cs="仿宋"/>
          <w:kern w:val="2"/>
        </w:rPr>
        <w:t>5.2 乙方收款账户：</w:t>
      </w:r>
    </w:p>
    <w:p w14:paraId="5BEC6840">
      <w:pPr>
        <w:autoSpaceDE w:val="0"/>
        <w:autoSpaceDN w:val="0"/>
        <w:spacing w:line="360" w:lineRule="auto"/>
        <w:ind w:left="1470" w:leftChars="700"/>
        <w:rPr>
          <w:rFonts w:ascii="仿宋" w:hAnsi="仿宋" w:eastAsia="仿宋" w:cs="仿宋"/>
          <w:sz w:val="24"/>
        </w:rPr>
      </w:pPr>
      <w:r>
        <w:rPr>
          <w:rFonts w:hint="eastAsia" w:ascii="仿宋" w:hAnsi="仿宋" w:eastAsia="仿宋" w:cs="仿宋"/>
          <w:sz w:val="24"/>
        </w:rPr>
        <w:t>开户银行：</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71375356">
      <w:pPr>
        <w:autoSpaceDE w:val="0"/>
        <w:autoSpaceDN w:val="0"/>
        <w:spacing w:line="360" w:lineRule="auto"/>
        <w:ind w:left="1470" w:leftChars="700"/>
        <w:rPr>
          <w:rFonts w:ascii="仿宋" w:hAnsi="仿宋" w:eastAsia="仿宋" w:cs="仿宋"/>
          <w:sz w:val="24"/>
        </w:rPr>
      </w:pPr>
      <w:r>
        <w:rPr>
          <w:rFonts w:hint="eastAsia" w:ascii="仿宋" w:hAnsi="仿宋" w:eastAsia="仿宋" w:cs="仿宋"/>
          <w:sz w:val="24"/>
        </w:rPr>
        <w:t>开户名称：</w:t>
      </w:r>
      <w:r>
        <w:rPr>
          <w:rFonts w:hint="eastAsia" w:ascii="仿宋" w:hAnsi="仿宋" w:eastAsia="仿宋" w:cs="仿宋"/>
          <w:b/>
          <w:bCs/>
          <w:i/>
          <w:iCs/>
          <w:sz w:val="24"/>
          <w:u w:val="single"/>
        </w:rPr>
        <w:t xml:space="preserve">                          </w:t>
      </w:r>
      <w:r>
        <w:rPr>
          <w:rFonts w:hint="eastAsia" w:ascii="仿宋" w:hAnsi="仿宋" w:eastAsia="仿宋" w:cs="仿宋"/>
          <w:sz w:val="24"/>
        </w:rPr>
        <w:t xml:space="preserve">                             </w:t>
      </w:r>
    </w:p>
    <w:p w14:paraId="2D583D48">
      <w:pPr>
        <w:autoSpaceDE w:val="0"/>
        <w:autoSpaceDN w:val="0"/>
        <w:spacing w:line="360" w:lineRule="auto"/>
        <w:ind w:left="1470" w:leftChars="700"/>
        <w:rPr>
          <w:rFonts w:ascii="仿宋" w:hAnsi="仿宋" w:eastAsia="仿宋" w:cs="仿宋"/>
          <w:sz w:val="24"/>
        </w:rPr>
      </w:pPr>
      <w:r>
        <w:rPr>
          <w:rFonts w:hint="eastAsia" w:ascii="仿宋" w:hAnsi="仿宋" w:eastAsia="仿宋" w:cs="仿宋"/>
          <w:sz w:val="24"/>
        </w:rPr>
        <w:t>开户账号：</w:t>
      </w:r>
      <w:r>
        <w:rPr>
          <w:rFonts w:hint="eastAsia" w:ascii="仿宋" w:hAnsi="仿宋" w:eastAsia="仿宋" w:cs="仿宋"/>
          <w:b/>
          <w:bCs/>
          <w:i/>
          <w:iCs/>
          <w:sz w:val="24"/>
          <w:u w:val="single"/>
        </w:rPr>
        <w:t xml:space="preserve">                          </w:t>
      </w:r>
      <w:r>
        <w:rPr>
          <w:rFonts w:hint="eastAsia" w:ascii="仿宋" w:hAnsi="仿宋" w:eastAsia="仿宋" w:cs="仿宋"/>
          <w:sz w:val="24"/>
          <w:lang w:val="zh-CN"/>
        </w:rPr>
        <w:t xml:space="preserve">                             </w:t>
      </w:r>
    </w:p>
    <w:p w14:paraId="125BCE8A">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6 服务期限、地点和服务人员要求</w:t>
      </w:r>
    </w:p>
    <w:p w14:paraId="1ECA2CCA">
      <w:pPr>
        <w:adjustRightInd w:val="0"/>
        <w:spacing w:line="360" w:lineRule="auto"/>
        <w:ind w:firstLine="480" w:firstLineChars="200"/>
        <w:rPr>
          <w:rFonts w:ascii="仿宋" w:hAnsi="仿宋" w:eastAsia="仿宋" w:cs="仿宋"/>
          <w:sz w:val="24"/>
          <w:u w:val="single"/>
        </w:rPr>
      </w:pPr>
      <w:r>
        <w:rPr>
          <w:rFonts w:hint="eastAsia" w:ascii="仿宋" w:hAnsi="仿宋" w:eastAsia="仿宋" w:cs="仿宋"/>
          <w:sz w:val="24"/>
        </w:rPr>
        <w:t>6.1 服务期限：</w:t>
      </w:r>
      <w:r>
        <w:rPr>
          <w:rFonts w:hint="eastAsia" w:ascii="仿宋" w:hAnsi="仿宋" w:eastAsia="仿宋" w:cs="仿宋"/>
          <w:b/>
          <w:i/>
          <w:u w:val="single"/>
        </w:rPr>
        <w:t xml:space="preserve">                   </w:t>
      </w:r>
    </w:p>
    <w:p w14:paraId="185179D8">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6.2 服务地点：</w:t>
      </w:r>
      <w:r>
        <w:rPr>
          <w:rFonts w:hint="eastAsia" w:ascii="仿宋" w:hAnsi="仿宋" w:eastAsia="仿宋" w:cs="仿宋"/>
          <w:b/>
          <w:i/>
          <w:u w:val="single"/>
        </w:rPr>
        <w:t xml:space="preserve">                   </w:t>
      </w:r>
    </w:p>
    <w:p w14:paraId="707EF07D">
      <w:pPr>
        <w:adjustRightInd w:val="0"/>
        <w:spacing w:line="360" w:lineRule="auto"/>
        <w:ind w:firstLine="480" w:firstLineChars="200"/>
        <w:rPr>
          <w:rFonts w:ascii="仿宋" w:hAnsi="仿宋" w:eastAsia="仿宋" w:cs="仿宋"/>
        </w:rPr>
      </w:pPr>
      <w:r>
        <w:rPr>
          <w:rFonts w:hint="eastAsia" w:ascii="仿宋" w:hAnsi="仿宋" w:eastAsia="仿宋" w:cs="仿宋"/>
          <w:sz w:val="24"/>
        </w:rPr>
        <w:t>6.3 服务人员：</w:t>
      </w:r>
      <w:r>
        <w:rPr>
          <w:rFonts w:hint="eastAsia" w:ascii="仿宋" w:hAnsi="仿宋" w:eastAsia="仿宋" w:cs="仿宋"/>
          <w:b/>
          <w:i/>
          <w:u w:val="single"/>
        </w:rPr>
        <w:t xml:space="preserve">                   </w:t>
      </w:r>
    </w:p>
    <w:p w14:paraId="15706E08">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7 技术规范</w:t>
      </w:r>
    </w:p>
    <w:p w14:paraId="33428589">
      <w:pPr>
        <w:spacing w:line="360" w:lineRule="auto"/>
        <w:ind w:firstLine="480" w:firstLineChars="200"/>
        <w:rPr>
          <w:rFonts w:ascii="仿宋" w:hAnsi="仿宋" w:eastAsia="仿宋" w:cs="仿宋"/>
          <w:sz w:val="24"/>
        </w:rPr>
      </w:pPr>
      <w:r>
        <w:rPr>
          <w:rFonts w:hint="eastAsia" w:ascii="仿宋" w:hAnsi="仿宋" w:eastAsia="仿宋" w:cs="仿宋"/>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137CC004">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8 知识产权</w:t>
      </w:r>
    </w:p>
    <w:p w14:paraId="1AF62185">
      <w:pPr>
        <w:spacing w:line="360" w:lineRule="auto"/>
        <w:ind w:firstLine="480" w:firstLineChars="200"/>
        <w:rPr>
          <w:rFonts w:ascii="仿宋" w:hAnsi="仿宋" w:eastAsia="仿宋" w:cs="仿宋"/>
          <w:sz w:val="24"/>
        </w:rPr>
      </w:pPr>
      <w:r>
        <w:rPr>
          <w:rFonts w:hint="eastAsia" w:ascii="仿宋" w:hAnsi="仿宋" w:eastAsia="仿宋" w:cs="仿宋"/>
          <w:sz w:val="24"/>
        </w:rPr>
        <w:t>8.1 乙方应保证甲方在使用服务成果或其任何一部分时不受任何第三方提出的侵犯其著作权、商标权、专利权等知识产权方面的起诉；如果任何第三方提出侵权指控，那么乙方须与该第三方交涉并承担由此发生的一切责任、费用和赔偿；</w:t>
      </w:r>
    </w:p>
    <w:p w14:paraId="31EE7260">
      <w:pPr>
        <w:spacing w:line="360" w:lineRule="auto"/>
        <w:ind w:firstLine="480" w:firstLineChars="200"/>
        <w:rPr>
          <w:rFonts w:ascii="仿宋" w:hAnsi="仿宋" w:eastAsia="仿宋" w:cs="仿宋"/>
          <w:sz w:val="24"/>
        </w:rPr>
      </w:pPr>
      <w:r>
        <w:rPr>
          <w:rFonts w:hint="eastAsia" w:ascii="仿宋" w:hAnsi="仿宋" w:eastAsia="仿宋" w:cs="仿宋"/>
          <w:sz w:val="24"/>
        </w:rPr>
        <w:t>8.2具有知识产权的计算机软件等服务的知识产权归属，除合同另有规定外，归甲方所有。</w:t>
      </w:r>
    </w:p>
    <w:p w14:paraId="1102970C">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9 包装和装运（如适用）</w:t>
      </w:r>
    </w:p>
    <w:p w14:paraId="3A704426">
      <w:pPr>
        <w:spacing w:line="360" w:lineRule="auto"/>
        <w:ind w:firstLine="480" w:firstLineChars="200"/>
        <w:rPr>
          <w:rFonts w:ascii="仿宋" w:hAnsi="仿宋" w:eastAsia="仿宋" w:cs="仿宋"/>
          <w:sz w:val="24"/>
        </w:rPr>
      </w:pPr>
      <w:r>
        <w:rPr>
          <w:rFonts w:hint="eastAsia" w:ascii="仿宋" w:hAnsi="仿宋" w:eastAsia="仿宋" w:cs="仿宋"/>
          <w:sz w:val="24"/>
        </w:rPr>
        <w:t>9.1乙方为履行服务合同提供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259C66D">
      <w:pPr>
        <w:spacing w:line="360" w:lineRule="auto"/>
        <w:ind w:firstLine="480" w:firstLineChars="200"/>
        <w:rPr>
          <w:rFonts w:ascii="仿宋" w:hAnsi="仿宋" w:eastAsia="仿宋" w:cs="仿宋"/>
        </w:rPr>
      </w:pPr>
      <w:r>
        <w:rPr>
          <w:rFonts w:hint="eastAsia" w:ascii="仿宋" w:hAnsi="仿宋" w:eastAsia="仿宋" w:cs="仿宋"/>
          <w:sz w:val="24"/>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4F55A39A">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10 履约保证金</w:t>
      </w:r>
    </w:p>
    <w:p w14:paraId="0948C022">
      <w:pPr>
        <w:spacing w:line="360" w:lineRule="auto"/>
        <w:ind w:firstLine="480" w:firstLineChars="200"/>
        <w:rPr>
          <w:rFonts w:ascii="仿宋" w:hAnsi="仿宋" w:eastAsia="仿宋" w:cs="仿宋"/>
          <w:sz w:val="24"/>
        </w:rPr>
      </w:pPr>
      <w:r>
        <w:rPr>
          <w:rFonts w:hint="eastAsia" w:ascii="仿宋" w:hAnsi="仿宋" w:eastAsia="仿宋" w:cs="仿宋"/>
          <w:sz w:val="24"/>
        </w:rPr>
        <w:t>10.1 招标文件要求乙方提交履约保证金的，乙方应按</w:t>
      </w:r>
      <w:r>
        <w:rPr>
          <w:rFonts w:hint="eastAsia" w:ascii="仿宋" w:hAnsi="仿宋" w:eastAsia="仿宋" w:cs="仿宋"/>
          <w:sz w:val="24"/>
          <w:u w:val="single"/>
        </w:rPr>
        <w:t xml:space="preserve">         </w:t>
      </w:r>
      <w:r>
        <w:rPr>
          <w:rFonts w:hint="eastAsia" w:ascii="仿宋" w:hAnsi="仿宋" w:eastAsia="仿宋" w:cs="仿宋"/>
          <w:sz w:val="24"/>
        </w:rPr>
        <w:t>方式（可以支票、汇票、本票或者银行保函等非现金形式），在合同签订并生效后</w:t>
      </w:r>
      <w:r>
        <w:rPr>
          <w:rFonts w:hint="eastAsia" w:ascii="仿宋" w:hAnsi="仿宋" w:eastAsia="仿宋" w:cs="仿宋"/>
          <w:sz w:val="24"/>
          <w:u w:val="single"/>
        </w:rPr>
        <w:t xml:space="preserve">         </w:t>
      </w:r>
      <w:r>
        <w:rPr>
          <w:rFonts w:hint="eastAsia" w:ascii="仿宋" w:hAnsi="仿宋" w:eastAsia="仿宋" w:cs="仿宋"/>
          <w:sz w:val="24"/>
        </w:rPr>
        <w:t>日内提交合同金额1%的履约保证金，即</w:t>
      </w:r>
      <w:r>
        <w:rPr>
          <w:rFonts w:hint="eastAsia" w:ascii="仿宋" w:hAnsi="仿宋" w:eastAsia="仿宋" w:cs="仿宋"/>
          <w:sz w:val="24"/>
          <w:u w:val="single"/>
        </w:rPr>
        <w:t xml:space="preserve">      </w:t>
      </w:r>
      <w:r>
        <w:rPr>
          <w:rFonts w:hint="eastAsia" w:ascii="仿宋" w:hAnsi="仿宋" w:eastAsia="仿宋" w:cs="仿宋"/>
          <w:sz w:val="24"/>
        </w:rPr>
        <w:t>元。</w:t>
      </w:r>
    </w:p>
    <w:p w14:paraId="117976D6">
      <w:pPr>
        <w:spacing w:line="360" w:lineRule="auto"/>
        <w:ind w:firstLine="480" w:firstLineChars="200"/>
        <w:rPr>
          <w:rFonts w:ascii="仿宋" w:hAnsi="仿宋" w:eastAsia="仿宋" w:cs="仿宋"/>
          <w:sz w:val="24"/>
        </w:rPr>
      </w:pPr>
      <w:r>
        <w:rPr>
          <w:rFonts w:hint="eastAsia" w:ascii="仿宋" w:hAnsi="仿宋" w:eastAsia="仿宋" w:cs="仿宋"/>
          <w:sz w:val="24"/>
        </w:rPr>
        <w:t>10.2  履约保证金在</w:t>
      </w:r>
      <w:r>
        <w:rPr>
          <w:rFonts w:hint="eastAsia" w:ascii="仿宋" w:hAnsi="仿宋" w:eastAsia="仿宋" w:cs="仿宋"/>
          <w:b/>
          <w:i/>
          <w:u w:val="single"/>
        </w:rPr>
        <w:t xml:space="preserve">              </w:t>
      </w:r>
      <w:r>
        <w:rPr>
          <w:rFonts w:hint="eastAsia" w:ascii="仿宋" w:hAnsi="仿宋" w:eastAsia="仿宋" w:cs="仿宋"/>
          <w:sz w:val="24"/>
        </w:rPr>
        <w:t>（合同规定的履约时间）内不予退还。乙方在前述约定期间届满前能履行完合同约定义务事项的，甲方在前述约定期间届满之日起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个工作日内，将履约保证金无息退还乙方。</w:t>
      </w:r>
    </w:p>
    <w:p w14:paraId="0C938EF3">
      <w:pPr>
        <w:spacing w:line="360" w:lineRule="auto"/>
        <w:ind w:firstLine="480" w:firstLineChars="200"/>
        <w:rPr>
          <w:rFonts w:ascii="仿宋" w:hAnsi="仿宋" w:eastAsia="仿宋" w:cs="仿宋"/>
          <w:sz w:val="24"/>
        </w:rPr>
      </w:pPr>
      <w:r>
        <w:rPr>
          <w:rFonts w:hint="eastAsia" w:ascii="仿宋" w:hAnsi="仿宋" w:eastAsia="仿宋" w:cs="仿宋"/>
          <w:sz w:val="24"/>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42BA36C">
      <w:pPr>
        <w:adjustRightInd w:val="0"/>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11 定期考核和问题反馈</w:t>
      </w:r>
    </w:p>
    <w:p w14:paraId="05053156">
      <w:pPr>
        <w:spacing w:line="360" w:lineRule="auto"/>
        <w:ind w:firstLine="480" w:firstLineChars="200"/>
        <w:rPr>
          <w:rFonts w:ascii="仿宋" w:hAnsi="仿宋" w:eastAsia="仿宋" w:cs="仿宋"/>
          <w:sz w:val="24"/>
        </w:rPr>
      </w:pPr>
      <w:r>
        <w:rPr>
          <w:rFonts w:hint="eastAsia" w:ascii="仿宋" w:hAnsi="仿宋" w:eastAsia="仿宋" w:cs="仿宋"/>
          <w:sz w:val="24"/>
        </w:rPr>
        <w:t>11.1甲方有权定期对乙方提供的服务履约情况进行检查与考核（考核标准见附件），以确保乙方所提供的服务能够依约满足甲方之项目需求，但不得因履约检查妨碍乙方的正常工作，乙方应予积极配合；</w:t>
      </w:r>
    </w:p>
    <w:p w14:paraId="613EDFF0">
      <w:pPr>
        <w:spacing w:line="360" w:lineRule="auto"/>
        <w:ind w:firstLine="480" w:firstLineChars="200"/>
        <w:rPr>
          <w:rFonts w:ascii="仿宋" w:hAnsi="仿宋" w:eastAsia="仿宋" w:cs="仿宋"/>
          <w:sz w:val="24"/>
        </w:rPr>
      </w:pPr>
      <w:r>
        <w:rPr>
          <w:rFonts w:hint="eastAsia" w:ascii="仿宋" w:hAnsi="仿宋" w:eastAsia="仿宋" w:cs="仿宋"/>
          <w:sz w:val="24"/>
        </w:rPr>
        <w:t>11.2 合同履行期间，甲方有权将履行过程中出现的问题反馈给乙方，双方当事人应以书面形式约定需要完善和改进的内容。</w:t>
      </w:r>
    </w:p>
    <w:p w14:paraId="642D65AC">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12 项目验收</w:t>
      </w:r>
    </w:p>
    <w:p w14:paraId="406BB5EC">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12.1合同期满或者履行完毕后，甲方应当组织（包括依法邀请国家认可的质量检测机构参加）对乙方履约的验收，即：按照合同约定的技术、服务、安全标准，组织对每一项技术、服务、安全标准的履约情况的验收，并出具验收书。</w:t>
      </w:r>
    </w:p>
    <w:p w14:paraId="128BA323">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13 技术资料和保密义务</w:t>
      </w:r>
    </w:p>
    <w:p w14:paraId="59DF3047">
      <w:pPr>
        <w:spacing w:line="360" w:lineRule="auto"/>
        <w:ind w:firstLine="480" w:firstLineChars="200"/>
        <w:rPr>
          <w:rFonts w:ascii="仿宋" w:hAnsi="仿宋" w:eastAsia="仿宋" w:cs="仿宋"/>
          <w:sz w:val="24"/>
        </w:rPr>
      </w:pPr>
      <w:r>
        <w:rPr>
          <w:rFonts w:hint="eastAsia" w:ascii="仿宋" w:hAnsi="仿宋" w:eastAsia="仿宋" w:cs="仿宋"/>
          <w:sz w:val="24"/>
        </w:rPr>
        <w:t>13.1 乙方有权依据合同约定和项目需要，向甲方了解有关情况，调阅有关资料等，甲方应予积极配合；</w:t>
      </w:r>
    </w:p>
    <w:p w14:paraId="56FD6E59">
      <w:pPr>
        <w:spacing w:line="360" w:lineRule="auto"/>
        <w:ind w:firstLine="480" w:firstLineChars="200"/>
        <w:rPr>
          <w:rFonts w:ascii="仿宋" w:hAnsi="仿宋" w:eastAsia="仿宋" w:cs="仿宋"/>
          <w:sz w:val="24"/>
        </w:rPr>
      </w:pPr>
      <w:r>
        <w:rPr>
          <w:rFonts w:hint="eastAsia" w:ascii="仿宋" w:hAnsi="仿宋" w:eastAsia="仿宋" w:cs="仿宋"/>
          <w:sz w:val="24"/>
        </w:rPr>
        <w:t>13.2 乙方有义务妥善保管和保护由甲方提供的前款信息和资料等；</w:t>
      </w:r>
    </w:p>
    <w:p w14:paraId="2F8C5007">
      <w:pPr>
        <w:spacing w:line="360" w:lineRule="auto"/>
        <w:ind w:firstLine="480" w:firstLineChars="200"/>
        <w:rPr>
          <w:rFonts w:ascii="仿宋" w:hAnsi="仿宋" w:eastAsia="仿宋" w:cs="仿宋"/>
          <w:sz w:val="24"/>
        </w:rPr>
      </w:pPr>
      <w:r>
        <w:rPr>
          <w:rFonts w:hint="eastAsia" w:ascii="仿宋" w:hAnsi="仿宋" w:eastAsia="仿宋" w:cs="仿宋"/>
          <w:sz w:val="24"/>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B7A2E8A">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14 质量保证</w:t>
      </w:r>
    </w:p>
    <w:p w14:paraId="4BBE4091">
      <w:pPr>
        <w:spacing w:line="360" w:lineRule="auto"/>
        <w:ind w:firstLine="480" w:firstLineChars="200"/>
        <w:rPr>
          <w:rFonts w:ascii="仿宋" w:hAnsi="仿宋" w:eastAsia="仿宋" w:cs="仿宋"/>
          <w:sz w:val="24"/>
        </w:rPr>
      </w:pPr>
      <w:r>
        <w:rPr>
          <w:rFonts w:hint="eastAsia" w:ascii="仿宋" w:hAnsi="仿宋" w:eastAsia="仿宋" w:cs="仿宋"/>
          <w:sz w:val="24"/>
        </w:rPr>
        <w:t>14.1 乙方应建立和完善履行合同的内部质量保证体系，并提供相关内部规章制度给甲方，以便甲方进行监督检查；</w:t>
      </w:r>
    </w:p>
    <w:p w14:paraId="4C21662F">
      <w:pPr>
        <w:spacing w:line="360" w:lineRule="auto"/>
        <w:ind w:firstLine="480" w:firstLineChars="200"/>
        <w:rPr>
          <w:rFonts w:ascii="仿宋" w:hAnsi="仿宋" w:eastAsia="仿宋" w:cs="仿宋"/>
          <w:sz w:val="24"/>
        </w:rPr>
      </w:pPr>
      <w:r>
        <w:rPr>
          <w:rFonts w:hint="eastAsia" w:ascii="仿宋" w:hAnsi="仿宋" w:eastAsia="仿宋" w:cs="仿宋"/>
          <w:sz w:val="24"/>
        </w:rPr>
        <w:t>14.2 乙方应保证履行合同的人员数量和素质、软件和硬件设备的配置、场地、环境和设施等满足全面履行合同的要求，并应接受甲方的监督检查。</w:t>
      </w:r>
    </w:p>
    <w:p w14:paraId="350EF2C1">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15 履约的风险负担</w:t>
      </w:r>
    </w:p>
    <w:p w14:paraId="66D7ECE6">
      <w:pPr>
        <w:spacing w:line="360" w:lineRule="auto"/>
        <w:ind w:firstLine="480" w:firstLineChars="200"/>
        <w:rPr>
          <w:rFonts w:ascii="仿宋" w:hAnsi="仿宋" w:eastAsia="仿宋" w:cs="仿宋"/>
          <w:b/>
          <w:sz w:val="24"/>
        </w:rPr>
      </w:pPr>
      <w:r>
        <w:rPr>
          <w:rFonts w:hint="eastAsia" w:ascii="仿宋" w:hAnsi="仿宋" w:eastAsia="仿宋" w:cs="仿宋"/>
          <w:sz w:val="24"/>
        </w:rPr>
        <w:t>在履行合同时，乙方服务人员及设备的相关风险均由乙方自行承担。</w:t>
      </w:r>
    </w:p>
    <w:p w14:paraId="0E28F37E">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16 延迟交货</w:t>
      </w:r>
    </w:p>
    <w:p w14:paraId="4CC5B25F">
      <w:pPr>
        <w:spacing w:line="360" w:lineRule="auto"/>
        <w:ind w:firstLine="480" w:firstLineChars="200"/>
        <w:rPr>
          <w:rFonts w:ascii="仿宋" w:hAnsi="仿宋" w:eastAsia="仿宋" w:cs="仿宋"/>
          <w:sz w:val="24"/>
        </w:rPr>
      </w:pPr>
      <w:r>
        <w:rPr>
          <w:rFonts w:hint="eastAsia" w:ascii="仿宋" w:hAnsi="仿宋" w:eastAsia="仿宋" w:cs="仿宋"/>
          <w:sz w:val="24"/>
        </w:rPr>
        <w:t>在合同履行过程中，如果乙方遇到不能按时完成服务的情况，应及时以书面形式将不能按时完成的理由、预期延误时间通知甲方；甲方收到乙方通知后，认为其理由正当的，可以书面形式酌情同意乙方可以延长交货的具体时间。</w:t>
      </w:r>
    </w:p>
    <w:p w14:paraId="13868091">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17 合同变更</w:t>
      </w:r>
    </w:p>
    <w:p w14:paraId="44A56929">
      <w:pPr>
        <w:spacing w:line="360" w:lineRule="auto"/>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00987426">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18 合同转让和分包</w:t>
      </w:r>
    </w:p>
    <w:p w14:paraId="43C02443">
      <w:pPr>
        <w:spacing w:line="360" w:lineRule="auto"/>
        <w:ind w:firstLine="480" w:firstLineChars="200"/>
        <w:rPr>
          <w:rFonts w:ascii="仿宋" w:hAnsi="仿宋" w:eastAsia="仿宋" w:cs="仿宋"/>
          <w:sz w:val="24"/>
        </w:rPr>
      </w:pPr>
      <w:r>
        <w:rPr>
          <w:rFonts w:hint="eastAsia" w:ascii="仿宋" w:hAnsi="仿宋" w:eastAsia="仿宋" w:cs="仿宋"/>
          <w:sz w:val="24"/>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FE2A8F2">
      <w:pPr>
        <w:spacing w:line="360" w:lineRule="auto"/>
        <w:ind w:firstLine="480" w:firstLineChars="200"/>
        <w:rPr>
          <w:rFonts w:ascii="仿宋" w:hAnsi="仿宋" w:eastAsia="仿宋" w:cs="仿宋"/>
          <w:sz w:val="24"/>
        </w:rPr>
      </w:pPr>
      <w:r>
        <w:rPr>
          <w:rFonts w:hint="eastAsia" w:ascii="仿宋" w:hAnsi="仿宋" w:eastAsia="仿宋" w:cs="仿宋"/>
          <w:sz w:val="24"/>
        </w:rPr>
        <w:t>18.2乙方采取分包方式履行合同的，由乙方向分包供应商支付款项，但不得因分包影响履行合同义务。</w:t>
      </w:r>
    </w:p>
    <w:p w14:paraId="43353153">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19 违约责任</w:t>
      </w:r>
    </w:p>
    <w:p w14:paraId="544FBEFE">
      <w:pPr>
        <w:spacing w:line="360" w:lineRule="auto"/>
        <w:ind w:firstLine="480" w:firstLineChars="200"/>
        <w:rPr>
          <w:rFonts w:ascii="仿宋" w:hAnsi="仿宋" w:eastAsia="仿宋" w:cs="仿宋"/>
          <w:sz w:val="24"/>
        </w:rPr>
      </w:pPr>
      <w:r>
        <w:rPr>
          <w:rFonts w:hint="eastAsia" w:ascii="仿宋" w:hAnsi="仿宋" w:eastAsia="仿宋" w:cs="仿宋"/>
          <w:sz w:val="24"/>
        </w:rPr>
        <w:t>19.1 除不可抗力外，如果乙方拒绝履行合同，或没有按照本合同约定的期限、标准和成果展现方式完成服务，那么甲方可要求乙方支付违约金，违约金按每日计合同总价的</w:t>
      </w:r>
      <w:r>
        <w:rPr>
          <w:rFonts w:hint="eastAsia" w:ascii="仿宋" w:hAnsi="仿宋" w:eastAsia="仿宋" w:cs="仿宋"/>
          <w:sz w:val="24"/>
          <w:u w:val="single"/>
        </w:rPr>
        <w:t xml:space="preserve">  0.05  </w:t>
      </w:r>
      <w:r>
        <w:rPr>
          <w:rFonts w:hint="eastAsia" w:ascii="仿宋" w:hAnsi="仿宋" w:eastAsia="仿宋" w:cs="仿宋"/>
          <w:sz w:val="24"/>
        </w:rPr>
        <w:t>%，最高限额为本合同总价的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%；迟延完成服务的违约金计算数额达到前述最高限额之日起，甲方有权在要求乙方支付违约金的同时，书面通知乙方并解除本合同；</w:t>
      </w:r>
    </w:p>
    <w:p w14:paraId="383F22E6">
      <w:pPr>
        <w:spacing w:line="360" w:lineRule="auto"/>
        <w:ind w:firstLine="480" w:firstLineChars="200"/>
        <w:rPr>
          <w:rFonts w:ascii="仿宋" w:hAnsi="仿宋" w:eastAsia="仿宋" w:cs="仿宋"/>
          <w:sz w:val="24"/>
        </w:rPr>
      </w:pPr>
      <w:r>
        <w:rPr>
          <w:rFonts w:hint="eastAsia" w:ascii="仿宋" w:hAnsi="仿宋" w:eastAsia="仿宋" w:cs="仿宋"/>
          <w:sz w:val="24"/>
        </w:rPr>
        <w:t>19.2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10   </w:t>
      </w:r>
      <w:r>
        <w:rPr>
          <w:rFonts w:hint="eastAsia" w:ascii="仿宋" w:hAnsi="仿宋" w:eastAsia="仿宋" w:cs="仿宋"/>
          <w:sz w:val="24"/>
        </w:rPr>
        <w:t>%；迟延付款的违约金计算数额达到前述最高限额之日起，乙方有权在要求甲方支付违约金的同时，书面通知甲方并解除本合同；</w:t>
      </w:r>
    </w:p>
    <w:p w14:paraId="1FB80F69">
      <w:pPr>
        <w:spacing w:line="360" w:lineRule="auto"/>
        <w:ind w:firstLine="480" w:firstLineChars="200"/>
        <w:rPr>
          <w:rFonts w:ascii="仿宋" w:hAnsi="仿宋" w:eastAsia="仿宋" w:cs="仿宋"/>
          <w:sz w:val="24"/>
        </w:rPr>
      </w:pPr>
      <w:r>
        <w:rPr>
          <w:rFonts w:hint="eastAsia" w:ascii="仿宋" w:hAnsi="仿宋" w:eastAsia="仿宋" w:cs="仿宋"/>
          <w:sz w:val="24"/>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并解除本合同；</w:t>
      </w:r>
    </w:p>
    <w:p w14:paraId="65A3CE10">
      <w:pPr>
        <w:spacing w:line="360" w:lineRule="auto"/>
        <w:ind w:firstLine="480" w:firstLineChars="200"/>
        <w:rPr>
          <w:rFonts w:ascii="仿宋" w:hAnsi="仿宋" w:eastAsia="仿宋" w:cs="仿宋"/>
          <w:sz w:val="24"/>
        </w:rPr>
      </w:pPr>
      <w:r>
        <w:rPr>
          <w:rFonts w:hint="eastAsia" w:ascii="仿宋" w:hAnsi="仿宋" w:eastAsia="仿宋" w:cs="仿宋"/>
          <w:sz w:val="24"/>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005D7CB">
      <w:pPr>
        <w:spacing w:line="360" w:lineRule="auto"/>
        <w:ind w:firstLine="480" w:firstLineChars="200"/>
        <w:rPr>
          <w:rFonts w:ascii="仿宋" w:hAnsi="仿宋" w:eastAsia="仿宋" w:cs="仿宋"/>
          <w:sz w:val="24"/>
        </w:rPr>
      </w:pPr>
      <w:r>
        <w:rPr>
          <w:rFonts w:hint="eastAsia" w:ascii="仿宋" w:hAnsi="仿宋" w:eastAsia="仿宋" w:cs="仿宋"/>
          <w:sz w:val="24"/>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B8E630B">
      <w:pPr>
        <w:spacing w:line="360" w:lineRule="auto"/>
        <w:ind w:firstLine="480" w:firstLineChars="200"/>
        <w:rPr>
          <w:rFonts w:ascii="仿宋" w:hAnsi="仿宋" w:eastAsia="仿宋" w:cs="仿宋"/>
          <w:sz w:val="24"/>
        </w:rPr>
      </w:pPr>
      <w:r>
        <w:rPr>
          <w:rFonts w:hint="eastAsia" w:ascii="仿宋" w:hAnsi="仿宋" w:eastAsia="仿宋" w:cs="仿宋"/>
          <w:sz w:val="24"/>
        </w:rPr>
        <w:t>19.6 如果出现政府采购监督管理部门在处理投诉事项期间，书面通知甲方暂停采购活动的情形，或者询问或质疑事项可能影响中标结果的，导致甲方中止履行合同的情形，均不视为甲方违约。</w:t>
      </w:r>
    </w:p>
    <w:p w14:paraId="3E047BBE">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20 不可抗力</w:t>
      </w:r>
    </w:p>
    <w:p w14:paraId="4CF6C51F">
      <w:pPr>
        <w:spacing w:line="360" w:lineRule="auto"/>
        <w:ind w:firstLine="480" w:firstLineChars="200"/>
        <w:rPr>
          <w:rFonts w:ascii="仿宋" w:hAnsi="仿宋" w:eastAsia="仿宋" w:cs="仿宋"/>
          <w:sz w:val="24"/>
        </w:rPr>
      </w:pPr>
      <w:r>
        <w:rPr>
          <w:rFonts w:hint="eastAsia" w:ascii="仿宋" w:hAnsi="仿宋" w:eastAsia="仿宋" w:cs="仿宋"/>
          <w:sz w:val="24"/>
        </w:rPr>
        <w:t>20.1如果任何一方遭遇法律规定的不可抗力，致使合同履行受阻时，履行合同的期限应予延长，延长的期限应相当于不可抗力所影响的时间；</w:t>
      </w:r>
    </w:p>
    <w:p w14:paraId="77654097">
      <w:pPr>
        <w:spacing w:line="360" w:lineRule="auto"/>
        <w:ind w:firstLine="480" w:firstLineChars="200"/>
        <w:rPr>
          <w:rFonts w:ascii="仿宋" w:hAnsi="仿宋" w:eastAsia="仿宋" w:cs="仿宋"/>
          <w:sz w:val="24"/>
        </w:rPr>
      </w:pPr>
      <w:r>
        <w:rPr>
          <w:rFonts w:hint="eastAsia" w:ascii="仿宋" w:hAnsi="仿宋" w:eastAsia="仿宋" w:cs="仿宋"/>
          <w:sz w:val="24"/>
        </w:rPr>
        <w:t>20.2 因不可抗力致使不能实现合同目的的，当事人可以解除合同；</w:t>
      </w:r>
    </w:p>
    <w:p w14:paraId="545B1675">
      <w:pPr>
        <w:spacing w:line="360" w:lineRule="auto"/>
        <w:ind w:firstLine="480" w:firstLineChars="200"/>
        <w:rPr>
          <w:rFonts w:ascii="仿宋" w:hAnsi="仿宋" w:eastAsia="仿宋" w:cs="仿宋"/>
          <w:sz w:val="24"/>
        </w:rPr>
      </w:pPr>
      <w:r>
        <w:rPr>
          <w:rFonts w:hint="eastAsia" w:ascii="仿宋" w:hAnsi="仿宋" w:eastAsia="仿宋" w:cs="仿宋"/>
          <w:sz w:val="24"/>
        </w:rPr>
        <w:t>20.3 因不可抗力致使合同有变更必要的，双方当事人应在不可抗力发生后</w:t>
      </w:r>
      <w:r>
        <w:rPr>
          <w:rFonts w:hint="eastAsia" w:ascii="仿宋" w:hAnsi="仿宋" w:eastAsia="仿宋" w:cs="仿宋"/>
          <w:sz w:val="24"/>
          <w:u w:val="single"/>
        </w:rPr>
        <w:t xml:space="preserve"> 10 </w:t>
      </w:r>
      <w:r>
        <w:rPr>
          <w:rFonts w:hint="eastAsia" w:ascii="仿宋" w:hAnsi="仿宋" w:eastAsia="仿宋" w:cs="仿宋"/>
          <w:sz w:val="24"/>
        </w:rPr>
        <w:t>日内以书面形式变更合同；</w:t>
      </w:r>
    </w:p>
    <w:p w14:paraId="311AADC0">
      <w:pPr>
        <w:spacing w:line="360" w:lineRule="auto"/>
        <w:ind w:firstLine="480" w:firstLineChars="200"/>
        <w:rPr>
          <w:rFonts w:ascii="仿宋" w:hAnsi="仿宋" w:eastAsia="仿宋" w:cs="仿宋"/>
          <w:sz w:val="24"/>
        </w:rPr>
      </w:pPr>
      <w:r>
        <w:rPr>
          <w:rFonts w:hint="eastAsia" w:ascii="仿宋" w:hAnsi="仿宋" w:eastAsia="仿宋" w:cs="仿宋"/>
          <w:sz w:val="24"/>
        </w:rPr>
        <w:t>20.4受不可抗力影响的一方在不可抗力发生后，应在</w:t>
      </w:r>
      <w:r>
        <w:rPr>
          <w:rFonts w:hint="eastAsia" w:ascii="仿宋" w:hAnsi="仿宋" w:eastAsia="仿宋" w:cs="仿宋"/>
          <w:sz w:val="24"/>
          <w:u w:val="single"/>
        </w:rPr>
        <w:t xml:space="preserve">  5  </w:t>
      </w:r>
      <w:r>
        <w:rPr>
          <w:rFonts w:hint="eastAsia" w:ascii="仿宋" w:hAnsi="仿宋" w:eastAsia="仿宋" w:cs="仿宋"/>
          <w:sz w:val="24"/>
        </w:rPr>
        <w:t>日内以书面形式通知对方当事人，并在</w:t>
      </w:r>
      <w:r>
        <w:rPr>
          <w:rFonts w:hint="eastAsia" w:ascii="仿宋" w:hAnsi="仿宋" w:eastAsia="仿宋" w:cs="仿宋"/>
          <w:sz w:val="24"/>
          <w:u w:val="single"/>
        </w:rPr>
        <w:t xml:space="preserve">  15  </w:t>
      </w:r>
      <w:r>
        <w:rPr>
          <w:rFonts w:hint="eastAsia" w:ascii="仿宋" w:hAnsi="仿宋" w:eastAsia="仿宋" w:cs="仿宋"/>
          <w:sz w:val="24"/>
        </w:rPr>
        <w:t>日内，将有关部门出具的证明文件送达对方当事人。</w:t>
      </w:r>
    </w:p>
    <w:p w14:paraId="4C57E13B">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21 税费</w:t>
      </w:r>
    </w:p>
    <w:p w14:paraId="758EC86C">
      <w:pPr>
        <w:spacing w:line="360" w:lineRule="auto"/>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14:paraId="77BB9E5C">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22 乙方破产</w:t>
      </w:r>
    </w:p>
    <w:p w14:paraId="7488FF66">
      <w:pPr>
        <w:spacing w:line="360" w:lineRule="auto"/>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2EF728B">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23 合同争议的解决</w:t>
      </w:r>
    </w:p>
    <w:p w14:paraId="3FA36050">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本合同履行过程中发生的任何争议，双方当事人均可通过和解或者调解解决；不愿和解、调解或者和解、调解不成的，可以向宁波市奉化区人民法院提起诉讼。</w:t>
      </w:r>
    </w:p>
    <w:p w14:paraId="48ED0881">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24 合同中止、终止</w:t>
      </w:r>
    </w:p>
    <w:p w14:paraId="56B02774">
      <w:pPr>
        <w:spacing w:line="360" w:lineRule="auto"/>
        <w:ind w:firstLine="480" w:firstLineChars="200"/>
        <w:rPr>
          <w:rFonts w:ascii="仿宋" w:hAnsi="仿宋" w:eastAsia="仿宋" w:cs="仿宋"/>
          <w:sz w:val="24"/>
        </w:rPr>
      </w:pPr>
      <w:r>
        <w:rPr>
          <w:rFonts w:hint="eastAsia" w:ascii="仿宋" w:hAnsi="仿宋" w:eastAsia="仿宋" w:cs="仿宋"/>
          <w:sz w:val="24"/>
        </w:rPr>
        <w:t>24.1 双方当事人不得擅自中止或者终止合同；</w:t>
      </w:r>
    </w:p>
    <w:p w14:paraId="3A1DD2CC">
      <w:pPr>
        <w:spacing w:line="360" w:lineRule="auto"/>
        <w:ind w:firstLine="480" w:firstLineChars="200"/>
        <w:rPr>
          <w:rFonts w:ascii="仿宋" w:hAnsi="仿宋" w:eastAsia="仿宋" w:cs="仿宋"/>
          <w:sz w:val="24"/>
        </w:rPr>
      </w:pPr>
      <w:r>
        <w:rPr>
          <w:rFonts w:hint="eastAsia" w:ascii="仿宋" w:hAnsi="仿宋" w:eastAsia="仿宋" w:cs="仿宋"/>
          <w:sz w:val="24"/>
        </w:rPr>
        <w:t>24.2合同继续履行将损害国家利益和社会公共利益的，双方当事人应当中止或者终止合同。有过错的一方应当承担赔偿责任，双方当事人都有过错的，各自承担相应的责任。</w:t>
      </w:r>
    </w:p>
    <w:p w14:paraId="2DC567A4">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25 通知和送达</w:t>
      </w:r>
    </w:p>
    <w:p w14:paraId="7C4A7B6B">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25.1任何一方因履行合同而以合同第一部分尾部所列明的传真或电子邮件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092C7323">
      <w:pPr>
        <w:spacing w:line="360" w:lineRule="auto"/>
        <w:ind w:firstLine="480" w:firstLineChars="200"/>
        <w:rPr>
          <w:rFonts w:ascii="仿宋" w:hAnsi="仿宋" w:eastAsia="仿宋" w:cs="仿宋"/>
          <w:sz w:val="24"/>
        </w:rPr>
      </w:pPr>
      <w:r>
        <w:rPr>
          <w:rFonts w:hint="eastAsia" w:ascii="仿宋" w:hAnsi="仿宋" w:eastAsia="仿宋" w:cs="仿宋"/>
          <w:sz w:val="24"/>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568486D6">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26 计量单位</w:t>
      </w:r>
    </w:p>
    <w:p w14:paraId="6C437F7F">
      <w:pPr>
        <w:spacing w:line="360" w:lineRule="auto"/>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69F45570">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27合同使用的文字和适用的法律</w:t>
      </w:r>
    </w:p>
    <w:p w14:paraId="128EB207">
      <w:pPr>
        <w:spacing w:line="360" w:lineRule="auto"/>
        <w:ind w:firstLine="480" w:firstLineChars="200"/>
        <w:rPr>
          <w:rFonts w:ascii="仿宋" w:hAnsi="仿宋" w:eastAsia="仿宋" w:cs="仿宋"/>
          <w:sz w:val="24"/>
        </w:rPr>
      </w:pPr>
      <w:r>
        <w:rPr>
          <w:rFonts w:hint="eastAsia" w:ascii="仿宋" w:hAnsi="仿宋" w:eastAsia="仿宋" w:cs="仿宋"/>
          <w:sz w:val="24"/>
        </w:rPr>
        <w:t>27.1 合同使用汉语书就、变更和解释；</w:t>
      </w:r>
    </w:p>
    <w:p w14:paraId="692FC67D">
      <w:pPr>
        <w:spacing w:line="360" w:lineRule="auto"/>
        <w:ind w:firstLine="480" w:firstLineChars="200"/>
        <w:rPr>
          <w:rFonts w:ascii="仿宋" w:hAnsi="仿宋" w:eastAsia="仿宋" w:cs="仿宋"/>
          <w:sz w:val="24"/>
        </w:rPr>
      </w:pPr>
      <w:r>
        <w:rPr>
          <w:rFonts w:hint="eastAsia" w:ascii="仿宋" w:hAnsi="仿宋" w:eastAsia="仿宋" w:cs="仿宋"/>
          <w:sz w:val="24"/>
        </w:rPr>
        <w:t>27.2 合同适用中华人民共和国法律。</w:t>
      </w:r>
    </w:p>
    <w:p w14:paraId="4F81A7A5">
      <w:pPr>
        <w:spacing w:line="360" w:lineRule="auto"/>
        <w:ind w:firstLine="482" w:firstLineChars="200"/>
        <w:outlineLvl w:val="0"/>
        <w:rPr>
          <w:rFonts w:ascii="仿宋" w:hAnsi="仿宋" w:eastAsia="仿宋" w:cs="仿宋"/>
          <w:b/>
          <w:sz w:val="24"/>
        </w:rPr>
      </w:pPr>
      <w:r>
        <w:rPr>
          <w:rFonts w:hint="eastAsia" w:ascii="仿宋" w:hAnsi="仿宋" w:eastAsia="仿宋" w:cs="仿宋"/>
          <w:b/>
          <w:sz w:val="24"/>
        </w:rPr>
        <w:t>28合同效力</w:t>
      </w:r>
    </w:p>
    <w:p w14:paraId="00121D8C">
      <w:pPr>
        <w:spacing w:line="360" w:lineRule="auto"/>
        <w:ind w:firstLine="480" w:firstLineChars="200"/>
        <w:rPr>
          <w:rFonts w:ascii="仿宋" w:hAnsi="仿宋" w:eastAsia="仿宋" w:cs="仿宋"/>
          <w:sz w:val="24"/>
        </w:rPr>
      </w:pPr>
      <w:r>
        <w:rPr>
          <w:rFonts w:hint="eastAsia" w:ascii="仿宋" w:hAnsi="仿宋" w:eastAsia="仿宋" w:cs="仿宋"/>
          <w:sz w:val="24"/>
        </w:rPr>
        <w:t>本合同一式四份，甲乙双方各两份，每份均具有同等法律效力。本合同自双方当事人盖章或者签字时生效。</w:t>
      </w:r>
    </w:p>
    <w:p w14:paraId="6D6024E2">
      <w:pPr>
        <w:autoSpaceDE w:val="0"/>
        <w:autoSpaceDN w:val="0"/>
        <w:spacing w:line="360" w:lineRule="auto"/>
        <w:rPr>
          <w:rFonts w:ascii="仿宋" w:hAnsi="仿宋" w:eastAsia="仿宋" w:cs="仿宋"/>
          <w:sz w:val="24"/>
          <w:lang w:val="zh-CN"/>
        </w:rPr>
      </w:pPr>
    </w:p>
    <w:p w14:paraId="0AF5227A">
      <w:pPr>
        <w:autoSpaceDE w:val="0"/>
        <w:autoSpaceDN w:val="0"/>
        <w:spacing w:line="360" w:lineRule="auto"/>
        <w:rPr>
          <w:rFonts w:ascii="仿宋" w:hAnsi="仿宋" w:eastAsia="仿宋" w:cs="仿宋"/>
          <w:b/>
          <w:sz w:val="24"/>
          <w:lang w:val="zh-CN"/>
        </w:rPr>
      </w:pPr>
    </w:p>
    <w:p w14:paraId="647F350C">
      <w:pPr>
        <w:autoSpaceDE w:val="0"/>
        <w:autoSpaceDN w:val="0"/>
        <w:spacing w:line="360" w:lineRule="auto"/>
        <w:rPr>
          <w:rFonts w:ascii="仿宋" w:hAnsi="仿宋" w:eastAsia="仿宋" w:cs="仿宋"/>
          <w:sz w:val="24"/>
          <w:lang w:val="zh-CN"/>
        </w:rPr>
      </w:pPr>
      <w:r>
        <w:rPr>
          <w:rFonts w:hint="eastAsia" w:ascii="仿宋" w:hAnsi="仿宋" w:eastAsia="仿宋" w:cs="仿宋"/>
          <w:b/>
          <w:sz w:val="24"/>
          <w:lang w:val="zh-CN"/>
        </w:rPr>
        <w:t>甲方名称（公章）</w:t>
      </w:r>
      <w:r>
        <w:rPr>
          <w:rFonts w:hint="eastAsia" w:ascii="仿宋" w:hAnsi="仿宋" w:eastAsia="仿宋" w:cs="仿宋"/>
          <w:sz w:val="24"/>
          <w:lang w:val="zh-CN"/>
        </w:rPr>
        <w:t xml:space="preserve">：                       </w:t>
      </w:r>
      <w:r>
        <w:rPr>
          <w:rFonts w:hint="eastAsia" w:ascii="仿宋" w:hAnsi="仿宋" w:eastAsia="仿宋" w:cs="仿宋"/>
          <w:b/>
          <w:sz w:val="24"/>
          <w:lang w:val="zh-CN"/>
        </w:rPr>
        <w:t>乙方名称（公章）</w:t>
      </w:r>
      <w:r>
        <w:rPr>
          <w:rFonts w:hint="eastAsia" w:ascii="仿宋" w:hAnsi="仿宋" w:eastAsia="仿宋" w:cs="仿宋"/>
          <w:sz w:val="24"/>
          <w:lang w:val="zh-CN"/>
        </w:rPr>
        <w:t>：</w:t>
      </w:r>
    </w:p>
    <w:p w14:paraId="55D56D96">
      <w:pPr>
        <w:autoSpaceDE w:val="0"/>
        <w:autoSpaceDN w:val="0"/>
        <w:spacing w:line="360" w:lineRule="auto"/>
        <w:rPr>
          <w:rFonts w:ascii="仿宋" w:hAnsi="仿宋" w:eastAsia="仿宋" w:cs="仿宋"/>
          <w:sz w:val="24"/>
          <w:lang w:val="zh-CN"/>
        </w:rPr>
      </w:pPr>
    </w:p>
    <w:p w14:paraId="19C651B4">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60719482">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住所：                                   住所：</w:t>
      </w:r>
    </w:p>
    <w:p w14:paraId="48A0635E">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r>
        <w:rPr>
          <w:rFonts w:hint="eastAsia" w:ascii="仿宋" w:hAnsi="仿宋" w:eastAsia="仿宋" w:cs="仿宋"/>
          <w:sz w:val="24"/>
          <w:lang w:val="zh-CN"/>
        </w:rPr>
        <w:t xml:space="preserve"> 法定代表人或授权代表（签字）: </w:t>
      </w:r>
    </w:p>
    <w:p w14:paraId="376446A6">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联系人：                                 联系人：</w:t>
      </w:r>
    </w:p>
    <w:p w14:paraId="6110FE90">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约定送达地址：                           约定送达地址：</w:t>
      </w:r>
    </w:p>
    <w:p w14:paraId="0D56B33E">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邮政编码：                               邮政编码：</w:t>
      </w:r>
    </w:p>
    <w:p w14:paraId="7DBC1BB7">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电话:                                    电话: </w:t>
      </w:r>
    </w:p>
    <w:p w14:paraId="6513A1B5">
      <w:pPr>
        <w:autoSpaceDE w:val="0"/>
        <w:autoSpaceDN w:val="0"/>
        <w:spacing w:line="360" w:lineRule="auto"/>
        <w:rPr>
          <w:rFonts w:ascii="仿宋" w:hAnsi="仿宋" w:eastAsia="仿宋" w:cs="仿宋"/>
          <w:sz w:val="24"/>
        </w:rPr>
      </w:pPr>
      <w:r>
        <w:rPr>
          <w:rFonts w:hint="eastAsia" w:ascii="仿宋" w:hAnsi="仿宋" w:eastAsia="仿宋" w:cs="仿宋"/>
          <w:sz w:val="24"/>
          <w:lang w:val="zh-CN"/>
        </w:rPr>
        <w:t>传真:                                    传真:</w:t>
      </w:r>
    </w:p>
    <w:p w14:paraId="2DEF0E04">
      <w:pPr>
        <w:pStyle w:val="30"/>
        <w:spacing w:line="360" w:lineRule="auto"/>
        <w:ind w:firstLine="480"/>
        <w:rPr>
          <w:rFonts w:ascii="仿宋" w:hAnsi="仿宋" w:eastAsia="仿宋" w:cs="仿宋"/>
          <w:sz w:val="24"/>
        </w:rPr>
      </w:pPr>
    </w:p>
    <w:p w14:paraId="7E389CE9">
      <w:pPr>
        <w:pStyle w:val="30"/>
        <w:spacing w:line="360" w:lineRule="auto"/>
        <w:ind w:firstLine="0" w:firstLineChars="0"/>
        <w:rPr>
          <w:rFonts w:ascii="仿宋" w:hAnsi="仿宋" w:eastAsia="仿宋" w:cs="仿宋"/>
          <w:b/>
          <w:bCs/>
          <w:sz w:val="24"/>
          <w:lang w:val="zh-CN"/>
        </w:rPr>
      </w:pPr>
      <w:r>
        <w:rPr>
          <w:rFonts w:hint="eastAsia" w:ascii="仿宋" w:hAnsi="仿宋" w:eastAsia="仿宋" w:cs="仿宋"/>
          <w:b/>
          <w:bCs/>
          <w:sz w:val="24"/>
        </w:rPr>
        <w:t>见证人：采购代理机构名称</w:t>
      </w:r>
    </w:p>
    <w:p w14:paraId="0BC46880">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住所：                             </w:t>
      </w:r>
    </w:p>
    <w:p w14:paraId="3B67948F">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rPr>
        <w:t xml:space="preserve"> </w:t>
      </w:r>
    </w:p>
    <w:p w14:paraId="0418B633">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联系人：                                                                    </w:t>
      </w:r>
    </w:p>
    <w:p w14:paraId="6B3375AC">
      <w:pPr>
        <w:autoSpaceDE w:val="0"/>
        <w:autoSpaceDN w:val="0"/>
        <w:spacing w:line="360" w:lineRule="auto"/>
        <w:rPr>
          <w:rFonts w:cs="仿宋" w:asciiTheme="minorEastAsia" w:hAnsiTheme="minorEastAsia" w:eastAsiaTheme="minorEastAsia"/>
          <w:sz w:val="24"/>
          <w:lang w:val="zh-CN"/>
        </w:rPr>
      </w:pPr>
      <w:r>
        <w:rPr>
          <w:rFonts w:hint="eastAsia" w:ascii="仿宋" w:hAnsi="仿宋" w:eastAsia="仿宋" w:cs="仿宋"/>
          <w:sz w:val="24"/>
          <w:lang w:val="zh-CN"/>
        </w:rPr>
        <w:t>电话:</w:t>
      </w:r>
      <w:r>
        <w:rPr>
          <w:rFonts w:hint="eastAsia" w:cs="仿宋" w:asciiTheme="minorEastAsia" w:hAnsiTheme="minorEastAsia" w:eastAsiaTheme="minorEastAsia"/>
          <w:sz w:val="24"/>
          <w:lang w:val="zh-CN"/>
        </w:rPr>
        <w:t xml:space="preserve"> </w:t>
      </w:r>
    </w:p>
    <w:p w14:paraId="3352EAC5">
      <w:pPr>
        <w:autoSpaceDE w:val="0"/>
        <w:autoSpaceDN w:val="0"/>
        <w:spacing w:line="360" w:lineRule="auto"/>
        <w:rPr>
          <w:rFonts w:cs="仿宋" w:asciiTheme="minorEastAsia" w:hAnsiTheme="minorEastAsia" w:eastAsiaTheme="minorEastAsia"/>
          <w:sz w:val="24"/>
          <w:lang w:val="zh-CN"/>
        </w:rPr>
      </w:pPr>
    </w:p>
    <w:p w14:paraId="65B3EF64">
      <w:pPr>
        <w:autoSpaceDE w:val="0"/>
        <w:autoSpaceDN w:val="0"/>
        <w:spacing w:line="360" w:lineRule="auto"/>
        <w:rPr>
          <w:rFonts w:asciiTheme="minorEastAsia" w:hAnsiTheme="minorEastAsia" w:eastAsiaTheme="minorEastAsia"/>
        </w:rPr>
      </w:pPr>
    </w:p>
    <w:p w14:paraId="42AF3D1E">
      <w:pPr>
        <w:widowControl/>
        <w:jc w:val="left"/>
        <w:rPr>
          <w:rFonts w:cs="仿宋" w:asciiTheme="minorEastAsia" w:hAnsiTheme="minorEastAsia" w:eastAsiaTheme="minorEastAsia"/>
          <w:b/>
          <w:sz w:val="24"/>
        </w:rPr>
      </w:pPr>
      <w:r>
        <w:rPr>
          <w:rFonts w:cs="仿宋" w:asciiTheme="minorEastAsia" w:hAnsiTheme="minorEastAsia" w:eastAsiaTheme="minorEastAsia"/>
          <w:b/>
          <w:sz w:val="24"/>
        </w:rPr>
        <w:br w:type="page"/>
      </w:r>
    </w:p>
    <w:p w14:paraId="68A80BCC">
      <w:pPr>
        <w:spacing w:line="360" w:lineRule="auto"/>
        <w:jc w:val="center"/>
        <w:rPr>
          <w:rFonts w:cs="仿宋" w:asciiTheme="majorEastAsia" w:hAnsiTheme="majorEastAsia" w:eastAsiaTheme="majorEastAsia"/>
          <w:b/>
          <w:sz w:val="24"/>
        </w:rPr>
      </w:pPr>
    </w:p>
    <w:p w14:paraId="5E034A89">
      <w:pPr>
        <w:spacing w:line="360" w:lineRule="auto"/>
        <w:ind w:left="720" w:firstLine="723" w:firstLineChars="200"/>
        <w:outlineLvl w:val="0"/>
        <w:rPr>
          <w:rFonts w:cs="仿宋" w:asciiTheme="majorEastAsia" w:hAnsiTheme="majorEastAsia" w:eastAsiaTheme="majorEastAsia"/>
          <w:b/>
          <w:sz w:val="36"/>
          <w:szCs w:val="20"/>
        </w:rPr>
      </w:pPr>
      <w:r>
        <w:rPr>
          <w:rFonts w:hint="eastAsia" w:cs="仿宋" w:asciiTheme="majorEastAsia" w:hAnsiTheme="majorEastAsia" w:eastAsiaTheme="majorEastAsia"/>
          <w:b/>
          <w:sz w:val="36"/>
          <w:szCs w:val="20"/>
        </w:rPr>
        <w:t>第六部分</w:t>
      </w:r>
      <w:bookmarkEnd w:id="409"/>
      <w:r>
        <w:rPr>
          <w:rFonts w:hint="eastAsia" w:cs="仿宋" w:asciiTheme="majorEastAsia" w:hAnsiTheme="majorEastAsia" w:eastAsiaTheme="majorEastAsia"/>
          <w:b/>
          <w:sz w:val="36"/>
          <w:szCs w:val="20"/>
        </w:rPr>
        <w:t xml:space="preserve"> </w:t>
      </w:r>
      <w:bookmarkEnd w:id="410"/>
      <w:r>
        <w:rPr>
          <w:rFonts w:hint="eastAsia" w:cs="仿宋" w:asciiTheme="majorEastAsia" w:hAnsiTheme="majorEastAsia" w:eastAsiaTheme="majorEastAsia"/>
          <w:b/>
          <w:sz w:val="36"/>
          <w:szCs w:val="20"/>
        </w:rPr>
        <w:t>应提交的有关格式范例</w:t>
      </w:r>
    </w:p>
    <w:p w14:paraId="1F54EAD2">
      <w:pPr>
        <w:spacing w:line="360" w:lineRule="auto"/>
        <w:jc w:val="center"/>
        <w:outlineLvl w:val="0"/>
        <w:rPr>
          <w:rFonts w:cs="仿宋" w:asciiTheme="majorEastAsia" w:hAnsiTheme="majorEastAsia" w:eastAsiaTheme="majorEastAsia"/>
          <w:b/>
          <w:kern w:val="0"/>
          <w:sz w:val="36"/>
          <w:szCs w:val="36"/>
        </w:rPr>
      </w:pPr>
    </w:p>
    <w:p w14:paraId="0D6138EC">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资格文件部分</w:t>
      </w:r>
    </w:p>
    <w:p w14:paraId="57CFA878">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目录</w:t>
      </w:r>
    </w:p>
    <w:p w14:paraId="47943138">
      <w:pPr>
        <w:spacing w:line="360" w:lineRule="auto"/>
        <w:jc w:val="center"/>
        <w:outlineLvl w:val="0"/>
        <w:rPr>
          <w:rFonts w:cs="仿宋" w:asciiTheme="majorEastAsia" w:hAnsiTheme="majorEastAsia" w:eastAsiaTheme="majorEastAsia"/>
          <w:b/>
          <w:kern w:val="0"/>
          <w:sz w:val="36"/>
          <w:szCs w:val="36"/>
        </w:rPr>
      </w:pPr>
    </w:p>
    <w:p w14:paraId="34B0A60E">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有效的企业法人营业执照（或事业法人登记证）、其他组织（个体工商户）的营业执照或者民办非企业单位登记证书；</w:t>
      </w:r>
    </w:p>
    <w:p w14:paraId="70F02967">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符合参加政府采购活动应当具备的一般条件的承诺函；</w:t>
      </w:r>
    </w:p>
    <w:p w14:paraId="22CE54B5">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落实政府采购政策需满足的资格要求；</w:t>
      </w:r>
    </w:p>
    <w:p w14:paraId="74977B75">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本项目的特定资格要求。</w:t>
      </w:r>
    </w:p>
    <w:p w14:paraId="2435F887">
      <w:pPr>
        <w:pStyle w:val="30"/>
        <w:spacing w:line="360" w:lineRule="auto"/>
        <w:ind w:firstLine="480"/>
        <w:rPr>
          <w:rFonts w:cs="仿宋" w:asciiTheme="majorEastAsia" w:hAnsiTheme="majorEastAsia" w:eastAsiaTheme="majorEastAsia"/>
          <w:sz w:val="24"/>
        </w:rPr>
      </w:pPr>
    </w:p>
    <w:p w14:paraId="67C66B7E">
      <w:pPr>
        <w:spacing w:line="360" w:lineRule="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br w:type="page"/>
      </w:r>
    </w:p>
    <w:p w14:paraId="76342F11">
      <w:pPr>
        <w:snapToGrid w:val="0"/>
        <w:spacing w:line="360" w:lineRule="auto"/>
        <w:ind w:right="480"/>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一、 符合参加政府采购活动应当具备的一般条件的承诺函</w:t>
      </w:r>
    </w:p>
    <w:p w14:paraId="4E654F03">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（采购人）、（采购代理机构）：</w:t>
      </w:r>
    </w:p>
    <w:p w14:paraId="042E8325">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我方参与（项目名称）【项目编号：        】政府采购活动，郑重承诺：</w:t>
      </w:r>
    </w:p>
    <w:p w14:paraId="5E148A41">
      <w:pPr>
        <w:snapToGrid w:val="0"/>
        <w:spacing w:line="360" w:lineRule="auto"/>
        <w:ind w:firstLine="360" w:firstLineChars="150"/>
        <w:rPr>
          <w:rFonts w:cs="仿宋" w:asciiTheme="majorEastAsia" w:hAnsiTheme="majorEastAsia" w:eastAsiaTheme="majorEastAsia"/>
          <w:sz w:val="24"/>
        </w:rPr>
      </w:pPr>
      <w:r>
        <w:rPr>
          <w:rFonts w:hint="eastAsia" w:cs="仿宋" w:asciiTheme="majorEastAsia" w:hAnsiTheme="majorEastAsia" w:eastAsiaTheme="majorEastAsia"/>
          <w:sz w:val="24"/>
        </w:rPr>
        <w:t>（一）具备《中华人民共和国政府采购法》第二十二条第一款规定的条件：</w:t>
      </w:r>
    </w:p>
    <w:p w14:paraId="7B87E74C">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14:paraId="6842DB49">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2、具有良好的商业信誉和健全的财务会计制度； </w:t>
      </w:r>
    </w:p>
    <w:p w14:paraId="4DA4BC5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3、具有履行合同所必需的设备和专业技术能力；</w:t>
      </w:r>
    </w:p>
    <w:p w14:paraId="6657E3B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4、有依法缴纳税收和社会保障资金的良好记录；</w:t>
      </w:r>
    </w:p>
    <w:p w14:paraId="2D46F50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5、参加政府采购活动前三年内，在经营活动中没有重大违法记录；</w:t>
      </w:r>
    </w:p>
    <w:p w14:paraId="595C031C">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6、具有法律、行政法规规定的其他条件。</w:t>
      </w:r>
    </w:p>
    <w:p w14:paraId="1F1BD43F">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（二）未被信用中国（www.creditchina.gov.cn)、中国政府采购网（www.ccgp.gov.cn）列入失信被执行人、重大税收违法失信主体、政府采购严重违法失信行为记录名单。</w:t>
      </w:r>
    </w:p>
    <w:p w14:paraId="50EC989C">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（三）不存在以下情况：</w:t>
      </w:r>
    </w:p>
    <w:p w14:paraId="0D989195">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1、单位负责人为同一人或者存在直接控股、管理关系的不同供应商参加同一合同项下的政府采购活动的；</w:t>
      </w:r>
    </w:p>
    <w:p w14:paraId="643CB5AD">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2、为采购项目提供整体设计、规范编制或者项目管理、监理、检测等服务后再参加该采购项目的其他采购活动的。</w:t>
      </w:r>
    </w:p>
    <w:p w14:paraId="70C49E1C">
      <w:pPr>
        <w:snapToGrid w:val="0"/>
        <w:spacing w:line="360" w:lineRule="auto"/>
        <w:ind w:firstLine="5520" w:firstLineChars="2300"/>
        <w:rPr>
          <w:rFonts w:cs="仿宋" w:asciiTheme="majorEastAsia" w:hAnsiTheme="majorEastAsia" w:eastAsiaTheme="majorEastAsia"/>
          <w:kern w:val="0"/>
          <w:sz w:val="24"/>
          <w:lang w:val="zh-CN"/>
        </w:rPr>
      </w:pPr>
    </w:p>
    <w:p w14:paraId="6C5A3344">
      <w:pPr>
        <w:snapToGrid w:val="0"/>
        <w:spacing w:line="360" w:lineRule="auto"/>
        <w:ind w:firstLine="5520" w:firstLineChars="2300"/>
        <w:rPr>
          <w:rFonts w:cs="仿宋" w:asciiTheme="majorEastAsia" w:hAnsiTheme="majorEastAsia" w:eastAsiaTheme="majorEastAsia"/>
          <w:kern w:val="0"/>
          <w:sz w:val="24"/>
          <w:lang w:val="zh-CN"/>
        </w:rPr>
      </w:pPr>
    </w:p>
    <w:p w14:paraId="58F94BBB">
      <w:pPr>
        <w:spacing w:line="360" w:lineRule="auto"/>
        <w:ind w:right="420" w:firstLine="5250" w:firstLineChars="2500"/>
        <w:rPr>
          <w:rFonts w:ascii="宋体" w:hAnsi="宋体" w:cs="宋体"/>
        </w:rPr>
      </w:pPr>
      <w:r>
        <w:rPr>
          <w:rFonts w:hint="eastAsia" w:ascii="宋体" w:hAnsi="宋体" w:cs="宋体"/>
        </w:rPr>
        <w:t xml:space="preserve">法定代表人（签名或印章）：     </w:t>
      </w:r>
    </w:p>
    <w:p w14:paraId="0DB44985">
      <w:pPr>
        <w:spacing w:line="360" w:lineRule="auto"/>
        <w:ind w:right="420" w:firstLine="5460" w:firstLineChars="2600"/>
        <w:rPr>
          <w:rFonts w:ascii="宋体" w:hAnsi="宋体" w:cs="宋体"/>
        </w:rPr>
      </w:pPr>
      <w:r>
        <w:rPr>
          <w:rFonts w:hint="eastAsia" w:ascii="宋体" w:hAnsi="宋体" w:cs="宋体"/>
        </w:rPr>
        <w:t xml:space="preserve">投标人（盖章）：   </w:t>
      </w:r>
    </w:p>
    <w:p w14:paraId="4625F93B">
      <w:pPr>
        <w:spacing w:line="360" w:lineRule="auto"/>
        <w:ind w:right="420" w:firstLine="5355" w:firstLineChars="2550"/>
        <w:rPr>
          <w:rFonts w:ascii="宋体" w:hAnsi="宋体" w:cs="宋体"/>
        </w:rPr>
      </w:pPr>
      <w:r>
        <w:rPr>
          <w:rFonts w:hint="eastAsia" w:ascii="宋体" w:hAnsi="宋体" w:cs="宋体"/>
        </w:rPr>
        <w:t xml:space="preserve"> 年    月    日</w:t>
      </w:r>
    </w:p>
    <w:p w14:paraId="0C84571F">
      <w:pPr>
        <w:snapToGrid w:val="0"/>
        <w:spacing w:line="360" w:lineRule="auto"/>
        <w:ind w:right="480"/>
        <w:jc w:val="center"/>
        <w:rPr>
          <w:rFonts w:cs="仿宋" w:asciiTheme="majorEastAsia" w:hAnsiTheme="majorEastAsia" w:eastAsiaTheme="majorEastAsia"/>
          <w:b/>
          <w:kern w:val="0"/>
          <w:sz w:val="32"/>
          <w:szCs w:val="32"/>
        </w:rPr>
      </w:pPr>
    </w:p>
    <w:p w14:paraId="7F0FFC5D">
      <w:pPr>
        <w:spacing w:line="360" w:lineRule="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br w:type="page"/>
      </w:r>
    </w:p>
    <w:p w14:paraId="7FCC5D6C">
      <w:pPr>
        <w:snapToGrid w:val="0"/>
        <w:spacing w:line="360" w:lineRule="auto"/>
        <w:ind w:right="480"/>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二、落实政府采购政策需满足的资格要求</w:t>
      </w:r>
    </w:p>
    <w:p w14:paraId="39A461A6">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（根据招标公告落实政府采购政策需满足的资格要求选择提供相应的材料；未要求的，无需提供）</w:t>
      </w:r>
    </w:p>
    <w:p w14:paraId="27805CA0">
      <w:pPr>
        <w:snapToGrid w:val="0"/>
        <w:spacing w:before="50" w:after="50" w:line="360" w:lineRule="auto"/>
        <w:ind w:firstLine="472" w:firstLineChars="196"/>
        <w:jc w:val="left"/>
        <w:rPr>
          <w:rFonts w:cs="仿宋" w:asciiTheme="majorEastAsia" w:hAnsiTheme="majorEastAsia" w:eastAsiaTheme="majorEastAsia"/>
          <w:sz w:val="24"/>
        </w:rPr>
      </w:pPr>
      <w:r>
        <w:rPr>
          <w:rFonts w:hint="eastAsia" w:cs="仿宋" w:asciiTheme="majorEastAsia" w:hAnsiTheme="majorEastAsia" w:eastAsiaTheme="majorEastAsia"/>
          <w:b/>
          <w:sz w:val="24"/>
        </w:rPr>
        <w:t>A</w:t>
      </w:r>
      <w:r>
        <w:rPr>
          <w:rFonts w:hint="eastAsia" w:cs="仿宋" w:asciiTheme="majorEastAsia" w:hAnsiTheme="majorEastAsia" w:eastAsiaTheme="majorEastAsia"/>
          <w:sz w:val="24"/>
        </w:rPr>
        <w:t xml:space="preserve">.专门面向中小企业，货物全部由符合政策要求的中小企业（或小微企业）制造或者服务全部由符合政策要求的中小企业（或小微企业）承接的，提供相应的中小企业声明函。 </w:t>
      </w:r>
    </w:p>
    <w:p w14:paraId="594715D7">
      <w:pPr>
        <w:widowControl/>
        <w:spacing w:line="360" w:lineRule="auto"/>
        <w:ind w:firstLine="480"/>
        <w:jc w:val="left"/>
        <w:rPr>
          <w:rFonts w:cs="仿宋" w:asciiTheme="majorEastAsia" w:hAnsiTheme="majorEastAsia" w:eastAsiaTheme="majorEastAsia"/>
          <w:sz w:val="24"/>
        </w:rPr>
      </w:pPr>
    </w:p>
    <w:p w14:paraId="7FE692DD">
      <w:pPr>
        <w:widowControl/>
        <w:spacing w:line="360" w:lineRule="auto"/>
        <w:ind w:firstLine="472" w:firstLineChars="196"/>
        <w:jc w:val="left"/>
        <w:rPr>
          <w:rFonts w:cs="仿宋" w:asciiTheme="majorEastAsia" w:hAnsiTheme="majorEastAsia" w:eastAsiaTheme="majorEastAsia"/>
          <w:sz w:val="24"/>
        </w:rPr>
      </w:pPr>
      <w:r>
        <w:rPr>
          <w:rFonts w:hint="eastAsia" w:cs="仿宋" w:asciiTheme="majorEastAsia" w:hAnsiTheme="majorEastAsia" w:eastAsiaTheme="majorEastAsia"/>
          <w:b/>
          <w:sz w:val="24"/>
        </w:rPr>
        <w:t>B.</w:t>
      </w:r>
      <w:r>
        <w:rPr>
          <w:rFonts w:hint="eastAsia" w:cs="仿宋" w:asciiTheme="majorEastAsia" w:hAnsiTheme="majorEastAsia" w:eastAsiaTheme="majorEastAsia"/>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6A7200A">
      <w:pPr>
        <w:pStyle w:val="30"/>
        <w:ind w:firstLine="560"/>
      </w:pPr>
      <w:r>
        <w:br w:type="page"/>
      </w:r>
    </w:p>
    <w:p w14:paraId="17FDEAE4">
      <w:pPr>
        <w:spacing w:line="360" w:lineRule="auto"/>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三、本项目的特定资格要求</w:t>
      </w:r>
    </w:p>
    <w:p w14:paraId="674E4F1F">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（根据招标公告本项目的特定资格要求提供相应的材料；未要求的，无需提供）</w:t>
      </w:r>
    </w:p>
    <w:p w14:paraId="7FC9CE0B">
      <w:pPr>
        <w:spacing w:line="360" w:lineRule="auto"/>
        <w:rPr>
          <w:rFonts w:cs="仿宋" w:asciiTheme="majorEastAsia" w:hAnsiTheme="majorEastAsia" w:eastAsiaTheme="majorEastAsia"/>
        </w:rPr>
      </w:pPr>
    </w:p>
    <w:p w14:paraId="1075A3E4">
      <w:pPr>
        <w:snapToGrid w:val="0"/>
        <w:spacing w:line="360" w:lineRule="auto"/>
        <w:ind w:right="480"/>
        <w:jc w:val="center"/>
        <w:rPr>
          <w:rFonts w:cs="仿宋" w:asciiTheme="majorEastAsia" w:hAnsiTheme="majorEastAsia" w:eastAsiaTheme="majorEastAsia"/>
          <w:b/>
          <w:kern w:val="0"/>
          <w:sz w:val="32"/>
          <w:szCs w:val="32"/>
        </w:rPr>
      </w:pPr>
    </w:p>
    <w:p w14:paraId="3080CEAA">
      <w:pPr>
        <w:snapToGrid w:val="0"/>
        <w:spacing w:line="360" w:lineRule="auto"/>
        <w:ind w:right="480"/>
        <w:jc w:val="center"/>
        <w:rPr>
          <w:rFonts w:cs="仿宋" w:asciiTheme="majorEastAsia" w:hAnsiTheme="majorEastAsia" w:eastAsiaTheme="majorEastAsia"/>
          <w:b/>
          <w:kern w:val="0"/>
          <w:sz w:val="32"/>
          <w:szCs w:val="32"/>
        </w:rPr>
      </w:pPr>
    </w:p>
    <w:p w14:paraId="72A758A8">
      <w:pPr>
        <w:snapToGrid w:val="0"/>
        <w:spacing w:line="360" w:lineRule="auto"/>
        <w:ind w:right="480"/>
        <w:jc w:val="center"/>
        <w:rPr>
          <w:rFonts w:cs="仿宋" w:asciiTheme="majorEastAsia" w:hAnsiTheme="majorEastAsia" w:eastAsiaTheme="majorEastAsia"/>
          <w:b/>
          <w:kern w:val="0"/>
          <w:sz w:val="32"/>
          <w:szCs w:val="32"/>
        </w:rPr>
      </w:pPr>
    </w:p>
    <w:p w14:paraId="578A3196">
      <w:pPr>
        <w:snapToGrid w:val="0"/>
        <w:spacing w:line="360" w:lineRule="auto"/>
        <w:ind w:right="480"/>
        <w:jc w:val="center"/>
        <w:rPr>
          <w:rFonts w:cs="仿宋" w:asciiTheme="majorEastAsia" w:hAnsiTheme="majorEastAsia" w:eastAsiaTheme="majorEastAsia"/>
          <w:b/>
          <w:kern w:val="0"/>
          <w:sz w:val="32"/>
          <w:szCs w:val="32"/>
        </w:rPr>
      </w:pPr>
    </w:p>
    <w:p w14:paraId="241037D8">
      <w:pPr>
        <w:snapToGrid w:val="0"/>
        <w:spacing w:line="360" w:lineRule="auto"/>
        <w:ind w:right="480"/>
        <w:jc w:val="center"/>
        <w:rPr>
          <w:rFonts w:cs="仿宋" w:asciiTheme="majorEastAsia" w:hAnsiTheme="majorEastAsia" w:eastAsiaTheme="majorEastAsia"/>
          <w:b/>
          <w:kern w:val="0"/>
          <w:sz w:val="32"/>
          <w:szCs w:val="32"/>
        </w:rPr>
      </w:pPr>
    </w:p>
    <w:p w14:paraId="569DD7BA">
      <w:pPr>
        <w:snapToGrid w:val="0"/>
        <w:spacing w:line="360" w:lineRule="auto"/>
        <w:ind w:right="480"/>
        <w:jc w:val="center"/>
        <w:rPr>
          <w:rFonts w:cs="仿宋" w:asciiTheme="majorEastAsia" w:hAnsiTheme="majorEastAsia" w:eastAsiaTheme="majorEastAsia"/>
          <w:b/>
          <w:kern w:val="0"/>
          <w:sz w:val="32"/>
          <w:szCs w:val="32"/>
        </w:rPr>
      </w:pPr>
    </w:p>
    <w:p w14:paraId="4139E81D">
      <w:pPr>
        <w:spacing w:line="360" w:lineRule="auto"/>
        <w:jc w:val="center"/>
        <w:outlineLvl w:val="0"/>
        <w:rPr>
          <w:rFonts w:cs="仿宋" w:asciiTheme="majorEastAsia" w:hAnsiTheme="majorEastAsia" w:eastAsiaTheme="majorEastAsia"/>
          <w:b/>
          <w:kern w:val="0"/>
          <w:sz w:val="36"/>
          <w:szCs w:val="36"/>
        </w:rPr>
      </w:pPr>
    </w:p>
    <w:p w14:paraId="07EFB480">
      <w:pPr>
        <w:snapToGrid w:val="0"/>
        <w:spacing w:line="360" w:lineRule="auto"/>
        <w:ind w:right="480"/>
        <w:jc w:val="center"/>
        <w:rPr>
          <w:rFonts w:cs="仿宋" w:asciiTheme="majorEastAsia" w:hAnsiTheme="majorEastAsia" w:eastAsiaTheme="majorEastAsia"/>
          <w:b/>
          <w:kern w:val="0"/>
          <w:sz w:val="32"/>
          <w:szCs w:val="32"/>
        </w:rPr>
      </w:pPr>
    </w:p>
    <w:p w14:paraId="68E2BA18">
      <w:pPr>
        <w:spacing w:line="360" w:lineRule="auto"/>
        <w:jc w:val="center"/>
        <w:outlineLvl w:val="0"/>
        <w:rPr>
          <w:rFonts w:cs="仿宋" w:asciiTheme="majorEastAsia" w:hAnsiTheme="majorEastAsia" w:eastAsiaTheme="majorEastAsia"/>
          <w:b/>
          <w:kern w:val="0"/>
          <w:sz w:val="36"/>
          <w:szCs w:val="36"/>
        </w:rPr>
      </w:pPr>
    </w:p>
    <w:p w14:paraId="1CDC5813">
      <w:pPr>
        <w:snapToGrid w:val="0"/>
        <w:spacing w:line="360" w:lineRule="auto"/>
        <w:ind w:right="480"/>
        <w:jc w:val="center"/>
        <w:rPr>
          <w:rFonts w:cs="仿宋" w:asciiTheme="majorEastAsia" w:hAnsiTheme="majorEastAsia" w:eastAsiaTheme="majorEastAsia"/>
          <w:b/>
          <w:kern w:val="0"/>
          <w:sz w:val="32"/>
          <w:szCs w:val="32"/>
        </w:rPr>
      </w:pPr>
    </w:p>
    <w:p w14:paraId="539A1DB8">
      <w:pPr>
        <w:spacing w:line="360" w:lineRule="auto"/>
        <w:jc w:val="center"/>
        <w:outlineLvl w:val="0"/>
        <w:rPr>
          <w:rFonts w:cs="仿宋" w:asciiTheme="majorEastAsia" w:hAnsiTheme="majorEastAsia" w:eastAsiaTheme="majorEastAsia"/>
          <w:b/>
          <w:kern w:val="0"/>
          <w:sz w:val="36"/>
          <w:szCs w:val="36"/>
        </w:rPr>
      </w:pPr>
    </w:p>
    <w:p w14:paraId="0E21F052">
      <w:pPr>
        <w:spacing w:line="360" w:lineRule="auto"/>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br w:type="page"/>
      </w:r>
    </w:p>
    <w:p w14:paraId="2593C499">
      <w:pPr>
        <w:spacing w:line="360" w:lineRule="auto"/>
        <w:ind w:right="420"/>
        <w:jc w:val="center"/>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商务技术文件部分</w:t>
      </w:r>
    </w:p>
    <w:p w14:paraId="7C594CB9">
      <w:pPr>
        <w:spacing w:line="360" w:lineRule="auto"/>
        <w:jc w:val="center"/>
        <w:outlineLvl w:val="0"/>
        <w:rPr>
          <w:rFonts w:cs="仿宋" w:asciiTheme="majorEastAsia" w:hAnsiTheme="majorEastAsia" w:eastAsiaTheme="majorEastAsia"/>
          <w:b/>
          <w:kern w:val="0"/>
          <w:sz w:val="24"/>
        </w:rPr>
      </w:pPr>
    </w:p>
    <w:p w14:paraId="2586C823">
      <w:pPr>
        <w:spacing w:line="360" w:lineRule="auto"/>
        <w:ind w:left="3990" w:leftChars="1900"/>
        <w:outlineLvl w:val="0"/>
        <w:rPr>
          <w:rFonts w:cs="仿宋" w:asciiTheme="majorEastAsia" w:hAnsiTheme="majorEastAsia" w:eastAsiaTheme="majorEastAsia"/>
          <w:b/>
          <w:kern w:val="0"/>
          <w:sz w:val="28"/>
          <w:szCs w:val="28"/>
        </w:rPr>
      </w:pPr>
      <w:r>
        <w:rPr>
          <w:rFonts w:hint="eastAsia" w:cs="仿宋" w:asciiTheme="majorEastAsia" w:hAnsiTheme="majorEastAsia" w:eastAsiaTheme="majorEastAsia"/>
          <w:b/>
          <w:kern w:val="0"/>
          <w:sz w:val="28"/>
          <w:szCs w:val="28"/>
        </w:rPr>
        <w:t>目 录</w:t>
      </w:r>
    </w:p>
    <w:p w14:paraId="62364207">
      <w:pPr>
        <w:snapToGrid w:val="0"/>
        <w:spacing w:line="360" w:lineRule="auto"/>
        <w:ind w:firstLine="960" w:firstLineChars="400"/>
        <w:rPr>
          <w:rFonts w:cs="仿宋" w:asciiTheme="majorEastAsia" w:hAnsiTheme="majorEastAsia" w:eastAsiaTheme="majorEastAsia"/>
          <w:sz w:val="24"/>
        </w:rPr>
      </w:pPr>
    </w:p>
    <w:p w14:paraId="64067046">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评分索引表</w:t>
      </w:r>
    </w:p>
    <w:p w14:paraId="23839821">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符合性自查表；</w:t>
      </w:r>
    </w:p>
    <w:p w14:paraId="18B455A5">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投标函；</w:t>
      </w:r>
      <w:r>
        <w:rPr>
          <w:rFonts w:hint="eastAsia" w:cs="仿宋" w:asciiTheme="majorEastAsia" w:hAnsiTheme="majorEastAsia" w:eastAsiaTheme="majorEastAsia"/>
          <w:sz w:val="28"/>
          <w:szCs w:val="28"/>
          <w:lang w:val="zh-CN"/>
        </w:rPr>
        <w:t xml:space="preserve"> </w:t>
      </w:r>
    </w:p>
    <w:p w14:paraId="3DD69D0E">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授权委托书或法定代表人（单位负责人、自然人本人）身份证明；</w:t>
      </w:r>
    </w:p>
    <w:p w14:paraId="5290BF54">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 投标人基本情况表；</w:t>
      </w:r>
    </w:p>
    <w:p w14:paraId="493C640F">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 距采购人最近或者能为本项目提供最优服务的网点情况表；</w:t>
      </w:r>
    </w:p>
    <w:p w14:paraId="16462968">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7 评标标准相应的商务技术资料；</w:t>
      </w:r>
    </w:p>
    <w:p w14:paraId="5898F460">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8 商务响应表；</w:t>
      </w:r>
    </w:p>
    <w:p w14:paraId="6A8441BF">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9 服务响应表；</w:t>
      </w:r>
    </w:p>
    <w:p w14:paraId="075BDDDB">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10 项目实施人员一览表；</w:t>
      </w:r>
    </w:p>
    <w:p w14:paraId="7EB16B49">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11 同类业绩情况一览表；</w:t>
      </w:r>
    </w:p>
    <w:p w14:paraId="4BC9D08B">
      <w:pPr>
        <w:adjustRightInd w:val="0"/>
        <w:snapToGrid w:val="0"/>
        <w:spacing w:line="360" w:lineRule="auto"/>
        <w:ind w:firstLine="840" w:firstLineChars="300"/>
        <w:rPr>
          <w:rFonts w:cs="仿宋" w:asciiTheme="majorEastAsia" w:hAnsiTheme="majorEastAsia" w:eastAsiaTheme="majorEastAsia"/>
          <w:sz w:val="28"/>
          <w:szCs w:val="28"/>
          <w:lang w:val="zh-CN"/>
        </w:rPr>
      </w:pPr>
      <w:r>
        <w:rPr>
          <w:rFonts w:hint="eastAsia" w:cs="仿宋" w:asciiTheme="majorEastAsia" w:hAnsiTheme="majorEastAsia" w:eastAsiaTheme="majorEastAsia"/>
          <w:sz w:val="28"/>
          <w:szCs w:val="28"/>
        </w:rPr>
        <w:t xml:space="preserve">12 </w:t>
      </w:r>
      <w:r>
        <w:rPr>
          <w:rFonts w:hint="eastAsia" w:cs="仿宋" w:asciiTheme="majorEastAsia" w:hAnsiTheme="majorEastAsia" w:eastAsiaTheme="majorEastAsia"/>
          <w:sz w:val="28"/>
          <w:szCs w:val="28"/>
          <w:lang w:val="zh-CN"/>
        </w:rPr>
        <w:t>政府采购供应商廉洁自律承诺书；</w:t>
      </w:r>
    </w:p>
    <w:p w14:paraId="5745FD8D">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13 其他资料。</w:t>
      </w:r>
    </w:p>
    <w:p w14:paraId="41B20202">
      <w:pPr>
        <w:snapToGrid w:val="0"/>
        <w:spacing w:line="360" w:lineRule="auto"/>
        <w:jc w:val="center"/>
        <w:outlineLvl w:val="0"/>
        <w:rPr>
          <w:rFonts w:cs="仿宋" w:asciiTheme="majorEastAsia" w:hAnsiTheme="majorEastAsia" w:eastAsiaTheme="majorEastAsia"/>
          <w:b/>
          <w:kern w:val="0"/>
          <w:sz w:val="32"/>
          <w:szCs w:val="32"/>
        </w:rPr>
      </w:pPr>
      <w:r>
        <w:rPr>
          <w:rFonts w:hint="eastAsia" w:cs="仿宋" w:asciiTheme="majorEastAsia" w:hAnsiTheme="majorEastAsia" w:eastAsiaTheme="majorEastAsia"/>
          <w:kern w:val="0"/>
          <w:sz w:val="24"/>
        </w:rPr>
        <w:br w:type="page"/>
      </w:r>
      <w:r>
        <w:rPr>
          <w:rFonts w:hint="eastAsia" w:cs="仿宋" w:asciiTheme="majorEastAsia" w:hAnsiTheme="majorEastAsia" w:eastAsiaTheme="majorEastAsia"/>
          <w:b/>
          <w:kern w:val="0"/>
          <w:sz w:val="32"/>
          <w:szCs w:val="32"/>
        </w:rPr>
        <w:t>一、评分索引表</w:t>
      </w:r>
    </w:p>
    <w:p w14:paraId="777B978A">
      <w:pPr>
        <w:snapToGrid w:val="0"/>
        <w:spacing w:before="50" w:after="50"/>
        <w:rPr>
          <w:rFonts w:ascii="宋体" w:hAnsi="宋体"/>
          <w:b/>
          <w:sz w:val="24"/>
        </w:rPr>
      </w:pPr>
    </w:p>
    <w:p w14:paraId="44EBB852">
      <w:pPr>
        <w:snapToGrid w:val="0"/>
        <w:spacing w:before="50" w:after="50" w:line="360" w:lineRule="auto"/>
        <w:rPr>
          <w:rFonts w:ascii="宋体" w:hAnsi="宋体"/>
          <w:b/>
          <w:sz w:val="24"/>
          <w:u w:val="single"/>
        </w:rPr>
      </w:pPr>
      <w:r>
        <w:rPr>
          <w:rFonts w:hint="eastAsia" w:ascii="宋体" w:hAnsi="宋体"/>
          <w:b/>
          <w:sz w:val="24"/>
        </w:rPr>
        <w:t>投标单位名称：</w:t>
      </w:r>
    </w:p>
    <w:tbl>
      <w:tblPr>
        <w:tblStyle w:val="23"/>
        <w:tblW w:w="87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2A7F9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1FD9FA2">
            <w:pPr>
              <w:pStyle w:val="20"/>
              <w:spacing w:after="0"/>
              <w:ind w:left="0" w:leftChars="0" w:firstLine="482"/>
              <w:jc w:val="center"/>
              <w:rPr>
                <w:rFonts w:ascii="宋体"/>
                <w:b/>
                <w:bCs/>
                <w:sz w:val="24"/>
                <w:szCs w:val="24"/>
              </w:rPr>
            </w:pPr>
            <w:r>
              <w:rPr>
                <w:rFonts w:hint="eastAsia" w:ascii="宋体"/>
                <w:b/>
                <w:bCs/>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4FDDB108">
            <w:pPr>
              <w:pStyle w:val="20"/>
              <w:spacing w:after="0"/>
              <w:ind w:left="0" w:leftChars="0" w:firstLine="482"/>
              <w:jc w:val="center"/>
              <w:rPr>
                <w:rFonts w:ascii="宋体"/>
                <w:b/>
                <w:bCs/>
                <w:sz w:val="24"/>
                <w:szCs w:val="24"/>
              </w:rPr>
            </w:pPr>
            <w:r>
              <w:rPr>
                <w:rFonts w:hint="eastAsia" w:ascii="宋体"/>
                <w:b/>
                <w:bCs/>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3755C57D">
            <w:pPr>
              <w:pStyle w:val="20"/>
              <w:spacing w:after="0"/>
              <w:ind w:left="0" w:leftChars="0" w:firstLine="482"/>
              <w:jc w:val="center"/>
              <w:rPr>
                <w:rFonts w:ascii="宋体"/>
                <w:b/>
                <w:bCs/>
                <w:sz w:val="24"/>
                <w:szCs w:val="24"/>
              </w:rPr>
            </w:pPr>
            <w:r>
              <w:rPr>
                <w:rFonts w:hint="eastAsia" w:ascii="宋体"/>
                <w:b/>
                <w:bCs/>
                <w:sz w:val="24"/>
                <w:szCs w:val="24"/>
              </w:rPr>
              <w:t>页码</w:t>
            </w:r>
          </w:p>
        </w:tc>
      </w:tr>
      <w:tr w14:paraId="72F51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034EE09">
            <w:pPr>
              <w:widowControl/>
              <w:jc w:val="center"/>
              <w:rPr>
                <w:rFonts w:ascii="宋体" w:hAnsi="宋体"/>
                <w:sz w:val="24"/>
              </w:rPr>
            </w:pPr>
            <w:r>
              <w:rPr>
                <w:rFonts w:hint="eastAsia" w:ascii="宋体" w:hAnsi="宋体"/>
                <w:sz w:val="24"/>
              </w:rPr>
              <w:t>1</w:t>
            </w:r>
          </w:p>
        </w:tc>
        <w:tc>
          <w:tcPr>
            <w:tcW w:w="5819" w:type="dxa"/>
            <w:tcBorders>
              <w:top w:val="single" w:color="auto" w:sz="4" w:space="0"/>
              <w:left w:val="single" w:color="auto" w:sz="4" w:space="0"/>
              <w:right w:val="single" w:color="auto" w:sz="4" w:space="0"/>
            </w:tcBorders>
            <w:vAlign w:val="center"/>
          </w:tcPr>
          <w:p w14:paraId="06852155">
            <w:pPr>
              <w:jc w:val="center"/>
              <w:rPr>
                <w:rFonts w:ascii="宋体" w:hAnsi="宋体"/>
                <w:sz w:val="24"/>
              </w:rPr>
            </w:pPr>
            <w:r>
              <w:rPr>
                <w:rFonts w:hint="eastAsia" w:ascii="宋体" w:hAnsi="宋体"/>
                <w:sz w:val="24"/>
              </w:rPr>
              <w:t>（报价除外）</w:t>
            </w:r>
          </w:p>
        </w:tc>
        <w:tc>
          <w:tcPr>
            <w:tcW w:w="1627" w:type="dxa"/>
            <w:tcBorders>
              <w:top w:val="single" w:color="auto" w:sz="4" w:space="0"/>
              <w:left w:val="single" w:color="auto" w:sz="4" w:space="0"/>
              <w:right w:val="single" w:color="auto" w:sz="4" w:space="0"/>
            </w:tcBorders>
            <w:vAlign w:val="center"/>
          </w:tcPr>
          <w:p w14:paraId="65CD558E">
            <w:pPr>
              <w:jc w:val="center"/>
              <w:rPr>
                <w:rFonts w:ascii="宋体" w:hAnsi="宋体"/>
                <w:bCs/>
                <w:sz w:val="24"/>
              </w:rPr>
            </w:pPr>
          </w:p>
        </w:tc>
      </w:tr>
      <w:tr w14:paraId="1B8D2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45F2C17">
            <w:pPr>
              <w:widowControl/>
              <w:jc w:val="center"/>
              <w:rPr>
                <w:rFonts w:ascii="宋体" w:hAnsi="宋体"/>
                <w:sz w:val="24"/>
              </w:rPr>
            </w:pPr>
            <w:r>
              <w:rPr>
                <w:rFonts w:hint="eastAsia" w:ascii="宋体" w:hAnsi="宋体"/>
                <w:sz w:val="24"/>
              </w:rPr>
              <w:t>2</w:t>
            </w:r>
          </w:p>
        </w:tc>
        <w:tc>
          <w:tcPr>
            <w:tcW w:w="5819" w:type="dxa"/>
            <w:tcBorders>
              <w:top w:val="single" w:color="auto" w:sz="4" w:space="0"/>
              <w:left w:val="single" w:color="auto" w:sz="4" w:space="0"/>
              <w:right w:val="single" w:color="auto" w:sz="4" w:space="0"/>
            </w:tcBorders>
            <w:vAlign w:val="center"/>
          </w:tcPr>
          <w:p w14:paraId="0BED6474">
            <w:pPr>
              <w:widowControl/>
              <w:jc w:val="center"/>
              <w:rPr>
                <w:rFonts w:ascii="宋体" w:hAnsi="宋体" w:cs="宋体"/>
                <w:kern w:val="0"/>
                <w:sz w:val="24"/>
              </w:rPr>
            </w:pPr>
          </w:p>
        </w:tc>
        <w:tc>
          <w:tcPr>
            <w:tcW w:w="1627" w:type="dxa"/>
            <w:tcBorders>
              <w:top w:val="single" w:color="auto" w:sz="4" w:space="0"/>
              <w:left w:val="single" w:color="auto" w:sz="4" w:space="0"/>
              <w:right w:val="single" w:color="auto" w:sz="4" w:space="0"/>
            </w:tcBorders>
            <w:vAlign w:val="center"/>
          </w:tcPr>
          <w:p w14:paraId="2AB719C7">
            <w:pPr>
              <w:jc w:val="center"/>
              <w:rPr>
                <w:rFonts w:ascii="宋体" w:hAnsi="宋体"/>
                <w:bCs/>
                <w:sz w:val="24"/>
              </w:rPr>
            </w:pPr>
          </w:p>
        </w:tc>
      </w:tr>
      <w:tr w14:paraId="33AB6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39A7F85A">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6D209457">
            <w:pPr>
              <w:ind w:left="55" w:leftChars="26"/>
              <w:rPr>
                <w:rFonts w:ascii="宋体" w:hAnsi="宋体" w:cs="宋体"/>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4FFA46E0">
            <w:pPr>
              <w:jc w:val="center"/>
              <w:rPr>
                <w:rFonts w:ascii="宋体" w:hAnsi="宋体"/>
                <w:bCs/>
                <w:sz w:val="24"/>
              </w:rPr>
            </w:pPr>
          </w:p>
        </w:tc>
      </w:tr>
      <w:tr w14:paraId="7AC71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38D5568">
            <w:pPr>
              <w:widowControl/>
              <w:rPr>
                <w:rFonts w:ascii="宋体" w:hAnsi="宋体"/>
                <w:b/>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85C5FCC">
            <w:pPr>
              <w:pStyle w:val="20"/>
              <w:ind w:firstLine="422"/>
              <w:rPr>
                <w:rFonts w:ascii="宋体"/>
                <w:b/>
              </w:rPr>
            </w:pPr>
          </w:p>
        </w:tc>
        <w:tc>
          <w:tcPr>
            <w:tcW w:w="1627" w:type="dxa"/>
            <w:tcBorders>
              <w:top w:val="single" w:color="auto" w:sz="4" w:space="0"/>
              <w:left w:val="single" w:color="auto" w:sz="4" w:space="0"/>
              <w:bottom w:val="single" w:color="auto" w:sz="4" w:space="0"/>
              <w:right w:val="single" w:color="auto" w:sz="4" w:space="0"/>
            </w:tcBorders>
            <w:vAlign w:val="center"/>
          </w:tcPr>
          <w:p w14:paraId="71A06578">
            <w:pPr>
              <w:pStyle w:val="20"/>
              <w:ind w:firstLine="422"/>
              <w:jc w:val="center"/>
              <w:rPr>
                <w:rFonts w:ascii="宋体"/>
                <w:b/>
              </w:rPr>
            </w:pPr>
          </w:p>
        </w:tc>
      </w:tr>
      <w:tr w14:paraId="682E0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C2A0429">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1F08DD6C">
            <w:pPr>
              <w:spacing w:line="320" w:lineRule="exact"/>
              <w:rPr>
                <w:rFonts w:ascii="宋体" w:hAnsi="宋体"/>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70B05A01">
            <w:pPr>
              <w:jc w:val="center"/>
              <w:rPr>
                <w:rFonts w:ascii="宋体" w:hAnsi="宋体"/>
                <w:bCs/>
                <w:sz w:val="24"/>
              </w:rPr>
            </w:pPr>
          </w:p>
        </w:tc>
      </w:tr>
      <w:tr w14:paraId="47008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44D4AED">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FA2CAF6">
            <w:pPr>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24E8FC80">
            <w:pPr>
              <w:pStyle w:val="20"/>
              <w:ind w:firstLine="420"/>
              <w:jc w:val="center"/>
              <w:rPr>
                <w:rFonts w:ascii="宋体"/>
              </w:rPr>
            </w:pPr>
          </w:p>
        </w:tc>
      </w:tr>
      <w:tr w14:paraId="21424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A17EC1A">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213408C">
            <w:pPr>
              <w:rPr>
                <w:rFonts w:ascii="宋体" w:hAnsi="宋体"/>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3206B94A">
            <w:pPr>
              <w:pStyle w:val="20"/>
              <w:ind w:firstLine="420"/>
              <w:jc w:val="center"/>
              <w:rPr>
                <w:rFonts w:ascii="宋体"/>
              </w:rPr>
            </w:pPr>
          </w:p>
        </w:tc>
      </w:tr>
      <w:tr w14:paraId="6249E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2D5717C0">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7A1C203">
            <w:pPr>
              <w:pStyle w:val="20"/>
              <w:ind w:firstLine="420"/>
              <w:rPr>
                <w:rFonts w:ascii="宋体"/>
              </w:rPr>
            </w:pPr>
          </w:p>
        </w:tc>
        <w:tc>
          <w:tcPr>
            <w:tcW w:w="1627" w:type="dxa"/>
            <w:tcBorders>
              <w:top w:val="single" w:color="auto" w:sz="4" w:space="0"/>
              <w:left w:val="single" w:color="auto" w:sz="4" w:space="0"/>
              <w:bottom w:val="single" w:color="auto" w:sz="4" w:space="0"/>
              <w:right w:val="single" w:color="auto" w:sz="4" w:space="0"/>
            </w:tcBorders>
            <w:vAlign w:val="center"/>
          </w:tcPr>
          <w:p w14:paraId="5D96B7AD">
            <w:pPr>
              <w:widowControl/>
              <w:jc w:val="center"/>
              <w:rPr>
                <w:rFonts w:ascii="宋体" w:hAnsi="宋体"/>
                <w:b/>
                <w:sz w:val="24"/>
              </w:rPr>
            </w:pPr>
          </w:p>
        </w:tc>
      </w:tr>
      <w:tr w14:paraId="7B98FC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44E8EB20">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6FFBA3AF">
            <w:pPr>
              <w:rPr>
                <w:rFonts w:ascii="宋体" w:hAnsi="宋体"/>
                <w:bCs/>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6173A48F">
            <w:pPr>
              <w:jc w:val="center"/>
              <w:rPr>
                <w:rFonts w:ascii="宋体" w:hAnsi="宋体"/>
                <w:bCs/>
                <w:sz w:val="24"/>
              </w:rPr>
            </w:pPr>
          </w:p>
        </w:tc>
      </w:tr>
      <w:tr w14:paraId="02CEE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0F314B9">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B7F7078">
            <w:pPr>
              <w:rPr>
                <w:rFonts w:ascii="宋体" w:hAnsi="宋体"/>
                <w:bCs/>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113EFEC7">
            <w:pPr>
              <w:jc w:val="center"/>
              <w:rPr>
                <w:rFonts w:ascii="宋体" w:hAnsi="宋体"/>
                <w:bCs/>
                <w:sz w:val="24"/>
              </w:rPr>
            </w:pPr>
          </w:p>
        </w:tc>
      </w:tr>
      <w:tr w14:paraId="2B2B8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59159BE">
            <w:pPr>
              <w:widowControl/>
              <w:rPr>
                <w:rFonts w:ascii="宋体" w:hAnsi="宋体"/>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7EF8CDCE">
            <w:pPr>
              <w:rPr>
                <w:rFonts w:ascii="宋体" w:hAnsi="宋体"/>
                <w:bCs/>
                <w:sz w:val="24"/>
              </w:rPr>
            </w:pPr>
          </w:p>
        </w:tc>
        <w:tc>
          <w:tcPr>
            <w:tcW w:w="1627" w:type="dxa"/>
            <w:tcBorders>
              <w:top w:val="single" w:color="auto" w:sz="4" w:space="0"/>
              <w:left w:val="single" w:color="auto" w:sz="4" w:space="0"/>
              <w:right w:val="single" w:color="auto" w:sz="4" w:space="0"/>
            </w:tcBorders>
            <w:vAlign w:val="center"/>
          </w:tcPr>
          <w:p w14:paraId="06F8A3A4">
            <w:pPr>
              <w:jc w:val="center"/>
              <w:rPr>
                <w:rFonts w:ascii="宋体" w:hAnsi="宋体"/>
                <w:bCs/>
                <w:sz w:val="24"/>
              </w:rPr>
            </w:pPr>
          </w:p>
        </w:tc>
      </w:tr>
    </w:tbl>
    <w:p w14:paraId="5EDC5822">
      <w:pPr>
        <w:snapToGrid w:val="0"/>
        <w:spacing w:line="360" w:lineRule="auto"/>
        <w:outlineLvl w:val="0"/>
        <w:rPr>
          <w:rFonts w:cs="仿宋" w:asciiTheme="majorEastAsia" w:hAnsiTheme="majorEastAsia" w:eastAsiaTheme="majorEastAsia"/>
          <w:b/>
          <w:kern w:val="0"/>
          <w:sz w:val="32"/>
          <w:szCs w:val="32"/>
        </w:rPr>
      </w:pPr>
      <w:r>
        <w:rPr>
          <w:rFonts w:cs="仿宋" w:asciiTheme="majorEastAsia" w:hAnsiTheme="majorEastAsia" w:eastAsiaTheme="majorEastAsia"/>
          <w:b/>
          <w:kern w:val="0"/>
          <w:sz w:val="32"/>
          <w:szCs w:val="32"/>
        </w:rPr>
        <w:br w:type="page"/>
      </w:r>
    </w:p>
    <w:p w14:paraId="5CB91341">
      <w:pPr>
        <w:snapToGrid w:val="0"/>
        <w:spacing w:line="360" w:lineRule="auto"/>
        <w:jc w:val="center"/>
        <w:outlineLvl w:val="0"/>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二、符合性自查表</w:t>
      </w:r>
    </w:p>
    <w:tbl>
      <w:tblPr>
        <w:tblStyle w:val="23"/>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3C77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7A2A5554">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序号</w:t>
            </w:r>
          </w:p>
        </w:tc>
        <w:tc>
          <w:tcPr>
            <w:tcW w:w="4103" w:type="dxa"/>
            <w:vAlign w:val="center"/>
          </w:tcPr>
          <w:p w14:paraId="6CF4E2F0">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实质性要求</w:t>
            </w:r>
          </w:p>
        </w:tc>
        <w:tc>
          <w:tcPr>
            <w:tcW w:w="2518" w:type="dxa"/>
            <w:vAlign w:val="center"/>
          </w:tcPr>
          <w:p w14:paraId="656153E5">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需要提供的符合性审查资料</w:t>
            </w:r>
          </w:p>
        </w:tc>
        <w:tc>
          <w:tcPr>
            <w:tcW w:w="1185" w:type="dxa"/>
            <w:vAlign w:val="center"/>
          </w:tcPr>
          <w:p w14:paraId="70ED8206">
            <w:pPr>
              <w:spacing w:line="360" w:lineRule="auto"/>
              <w:rPr>
                <w:rFonts w:cs="仿宋" w:asciiTheme="majorEastAsia" w:hAnsiTheme="majorEastAsia" w:eastAsiaTheme="majorEastAsia"/>
                <w:sz w:val="24"/>
              </w:rPr>
            </w:pPr>
            <w:r>
              <w:rPr>
                <w:rFonts w:hint="eastAsia" w:cs="仿宋" w:asciiTheme="majorEastAsia" w:hAnsiTheme="majorEastAsia" w:eastAsiaTheme="majorEastAsia"/>
                <w:b/>
                <w:sz w:val="24"/>
              </w:rPr>
              <w:t>自查结论</w:t>
            </w:r>
          </w:p>
        </w:tc>
        <w:tc>
          <w:tcPr>
            <w:tcW w:w="1785" w:type="dxa"/>
            <w:vAlign w:val="center"/>
          </w:tcPr>
          <w:p w14:paraId="044CD558">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投标文件中的</w:t>
            </w:r>
          </w:p>
          <w:p w14:paraId="3C70D315">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页码位置</w:t>
            </w:r>
          </w:p>
        </w:tc>
      </w:tr>
      <w:tr w14:paraId="7695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07600CB4">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4103" w:type="dxa"/>
            <w:vAlign w:val="center"/>
          </w:tcPr>
          <w:p w14:paraId="71085F69">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投标文件按照招标文件要求签署、盖章。</w:t>
            </w:r>
          </w:p>
        </w:tc>
        <w:tc>
          <w:tcPr>
            <w:tcW w:w="2518" w:type="dxa"/>
            <w:vAlign w:val="center"/>
          </w:tcPr>
          <w:p w14:paraId="7AA1A9D2">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需要使用电子签名或者签字盖章的投标文件的组成部分</w:t>
            </w:r>
          </w:p>
        </w:tc>
        <w:tc>
          <w:tcPr>
            <w:tcW w:w="1185" w:type="dxa"/>
            <w:vAlign w:val="center"/>
          </w:tcPr>
          <w:p w14:paraId="2662124F">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42E84958">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6E5CC29B">
            <w:pPr>
              <w:spacing w:line="360" w:lineRule="auto"/>
              <w:rPr>
                <w:rFonts w:cs="仿宋" w:asciiTheme="majorEastAsia" w:hAnsiTheme="majorEastAsia" w:eastAsiaTheme="majorEastAsia"/>
                <w:sz w:val="24"/>
              </w:rPr>
            </w:pPr>
          </w:p>
          <w:p w14:paraId="58B712D9">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w:t>
            </w:r>
          </w:p>
          <w:p w14:paraId="46CAB30C">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44C7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1727EB8F">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4103" w:type="dxa"/>
            <w:vAlign w:val="center"/>
          </w:tcPr>
          <w:p w14:paraId="0EFAB39C">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投标文件中承诺的投标有效期不少于招标文件中载明的投标有效期。</w:t>
            </w:r>
          </w:p>
        </w:tc>
        <w:tc>
          <w:tcPr>
            <w:tcW w:w="2518" w:type="dxa"/>
            <w:vAlign w:val="center"/>
          </w:tcPr>
          <w:p w14:paraId="29280F2A">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投标函</w:t>
            </w:r>
          </w:p>
        </w:tc>
        <w:tc>
          <w:tcPr>
            <w:tcW w:w="1185" w:type="dxa"/>
            <w:vAlign w:val="center"/>
          </w:tcPr>
          <w:p w14:paraId="1730F2F4">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721BC11A">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7AA6F8F7">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13CF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02FAA1F1">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4103" w:type="dxa"/>
            <w:vAlign w:val="center"/>
          </w:tcPr>
          <w:p w14:paraId="4804C588">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投标文件满足招标文件的其它实质性要求。</w:t>
            </w:r>
          </w:p>
        </w:tc>
        <w:tc>
          <w:tcPr>
            <w:tcW w:w="2518" w:type="dxa"/>
            <w:vAlign w:val="center"/>
          </w:tcPr>
          <w:p w14:paraId="5B7870BD">
            <w:pPr>
              <w:spacing w:line="360" w:lineRule="auto"/>
              <w:rPr>
                <w:rFonts w:cs="仿宋" w:asciiTheme="majorEastAsia" w:hAnsiTheme="majorEastAsia" w:eastAsiaTheme="majorEastAsia"/>
                <w:sz w:val="24"/>
              </w:rPr>
            </w:pPr>
            <w:r>
              <w:rPr>
                <w:rFonts w:hint="eastAsia" w:cs="仿宋" w:asciiTheme="majorEastAsia" w:hAnsiTheme="majorEastAsia" w:eastAsiaTheme="majorEastAsia"/>
                <w:kern w:val="0"/>
                <w:sz w:val="24"/>
              </w:rPr>
              <w:t>招标文件其它实质性要求相应的材料（“▲” 系指实质性要求条款，招标文件无其它实质性要求的，无需提供）</w:t>
            </w:r>
          </w:p>
        </w:tc>
        <w:tc>
          <w:tcPr>
            <w:tcW w:w="1185" w:type="dxa"/>
            <w:vAlign w:val="center"/>
          </w:tcPr>
          <w:p w14:paraId="487DB2FA">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42104647">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1EC57A27">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52BD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21F8EDF1">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4103" w:type="dxa"/>
            <w:vAlign w:val="center"/>
          </w:tcPr>
          <w:p w14:paraId="507829C9">
            <w:pPr>
              <w:snapToGrid w:val="0"/>
              <w:spacing w:line="360" w:lineRule="auto"/>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投标文件没有招标文件中规定的其它无效投标条款的。</w:t>
            </w:r>
          </w:p>
        </w:tc>
        <w:tc>
          <w:tcPr>
            <w:tcW w:w="2518" w:type="dxa"/>
            <w:vAlign w:val="center"/>
          </w:tcPr>
          <w:p w14:paraId="17F52FC5">
            <w:pPr>
              <w:spacing w:line="360" w:lineRule="auto"/>
              <w:rPr>
                <w:rFonts w:cs="仿宋" w:asciiTheme="majorEastAsia" w:hAnsiTheme="majorEastAsia" w:eastAsiaTheme="majorEastAsia"/>
                <w:kern w:val="0"/>
                <w:sz w:val="24"/>
              </w:rPr>
            </w:pPr>
          </w:p>
        </w:tc>
        <w:tc>
          <w:tcPr>
            <w:tcW w:w="1185" w:type="dxa"/>
            <w:vAlign w:val="center"/>
          </w:tcPr>
          <w:p w14:paraId="6D045AC7">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59BA54F8">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35A0DFB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44F1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01C0C8E3">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4103" w:type="dxa"/>
            <w:vAlign w:val="center"/>
          </w:tcPr>
          <w:p w14:paraId="2EDA6D0D">
            <w:pPr>
              <w:snapToGrid w:val="0"/>
              <w:spacing w:line="360" w:lineRule="auto"/>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按有关法律、法规、规章不属于投标无效的。</w:t>
            </w:r>
          </w:p>
        </w:tc>
        <w:tc>
          <w:tcPr>
            <w:tcW w:w="2518" w:type="dxa"/>
            <w:vAlign w:val="center"/>
          </w:tcPr>
          <w:p w14:paraId="5391EE14">
            <w:pPr>
              <w:spacing w:line="360" w:lineRule="auto"/>
              <w:rPr>
                <w:rFonts w:cs="仿宋" w:asciiTheme="majorEastAsia" w:hAnsiTheme="majorEastAsia" w:eastAsiaTheme="majorEastAsia"/>
                <w:kern w:val="0"/>
                <w:sz w:val="24"/>
              </w:rPr>
            </w:pPr>
          </w:p>
        </w:tc>
        <w:tc>
          <w:tcPr>
            <w:tcW w:w="1185" w:type="dxa"/>
            <w:vAlign w:val="center"/>
          </w:tcPr>
          <w:p w14:paraId="2D8C837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5F680F51">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105855B2">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1EA2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4A5E6EAA">
            <w:pPr>
              <w:spacing w:line="360" w:lineRule="auto"/>
              <w:jc w:val="center"/>
              <w:rPr>
                <w:rFonts w:cs="仿宋" w:asciiTheme="majorEastAsia" w:hAnsiTheme="majorEastAsia" w:eastAsiaTheme="majorEastAsia"/>
                <w:sz w:val="24"/>
              </w:rPr>
            </w:pPr>
          </w:p>
        </w:tc>
        <w:tc>
          <w:tcPr>
            <w:tcW w:w="4103" w:type="dxa"/>
            <w:vAlign w:val="center"/>
          </w:tcPr>
          <w:p w14:paraId="517E3A49">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w:t>
            </w:r>
          </w:p>
        </w:tc>
        <w:tc>
          <w:tcPr>
            <w:tcW w:w="2518" w:type="dxa"/>
            <w:vAlign w:val="center"/>
          </w:tcPr>
          <w:p w14:paraId="5805A8EB">
            <w:pPr>
              <w:spacing w:line="360" w:lineRule="auto"/>
              <w:rPr>
                <w:rFonts w:cs="仿宋" w:asciiTheme="majorEastAsia" w:hAnsiTheme="majorEastAsia" w:eastAsiaTheme="majorEastAsia"/>
                <w:kern w:val="0"/>
                <w:sz w:val="24"/>
              </w:rPr>
            </w:pPr>
          </w:p>
        </w:tc>
        <w:tc>
          <w:tcPr>
            <w:tcW w:w="1185" w:type="dxa"/>
          </w:tcPr>
          <w:p w14:paraId="77297BFF">
            <w:pPr>
              <w:spacing w:line="360" w:lineRule="auto"/>
              <w:rPr>
                <w:rFonts w:cs="仿宋" w:asciiTheme="majorEastAsia" w:hAnsiTheme="majorEastAsia" w:eastAsiaTheme="majorEastAsia"/>
                <w:sz w:val="24"/>
              </w:rPr>
            </w:pPr>
          </w:p>
        </w:tc>
        <w:tc>
          <w:tcPr>
            <w:tcW w:w="1785" w:type="dxa"/>
            <w:vAlign w:val="center"/>
          </w:tcPr>
          <w:p w14:paraId="30AEA3C7">
            <w:pPr>
              <w:spacing w:line="360" w:lineRule="auto"/>
              <w:rPr>
                <w:rFonts w:cs="仿宋" w:asciiTheme="majorEastAsia" w:hAnsiTheme="majorEastAsia" w:eastAsiaTheme="majorEastAsia"/>
                <w:sz w:val="24"/>
              </w:rPr>
            </w:pPr>
          </w:p>
        </w:tc>
      </w:tr>
    </w:tbl>
    <w:p w14:paraId="2BDB9EF7">
      <w:pPr>
        <w:snapToGrid w:val="0"/>
        <w:spacing w:line="360" w:lineRule="auto"/>
        <w:jc w:val="left"/>
        <w:rPr>
          <w:rFonts w:cs="仿宋" w:asciiTheme="majorEastAsia" w:hAnsiTheme="majorEastAsia" w:eastAsiaTheme="majorEastAsia"/>
          <w:b/>
          <w:sz w:val="32"/>
          <w:szCs w:val="32"/>
        </w:rPr>
      </w:pPr>
      <w:r>
        <w:rPr>
          <w:rFonts w:hint="eastAsia" w:cs="仿宋" w:asciiTheme="majorEastAsia" w:hAnsiTheme="majorEastAsia" w:eastAsiaTheme="majorEastAsia"/>
          <w:b/>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5A5D83D3">
      <w:pPr>
        <w:snapToGrid w:val="0"/>
        <w:spacing w:line="360" w:lineRule="auto"/>
        <w:jc w:val="center"/>
        <w:outlineLvl w:val="0"/>
        <w:rPr>
          <w:rFonts w:cs="仿宋" w:asciiTheme="majorEastAsia" w:hAnsiTheme="majorEastAsia" w:eastAsiaTheme="majorEastAsia"/>
          <w:b/>
          <w:sz w:val="32"/>
          <w:szCs w:val="32"/>
        </w:rPr>
      </w:pPr>
      <w:r>
        <w:rPr>
          <w:rFonts w:hint="eastAsia" w:cs="仿宋" w:asciiTheme="majorEastAsia" w:hAnsiTheme="majorEastAsia" w:eastAsiaTheme="majorEastAsia"/>
          <w:b/>
          <w:kern w:val="0"/>
          <w:sz w:val="32"/>
          <w:szCs w:val="32"/>
        </w:rPr>
        <w:br w:type="page"/>
      </w:r>
      <w:r>
        <w:rPr>
          <w:rFonts w:hint="eastAsia" w:cs="仿宋" w:asciiTheme="majorEastAsia" w:hAnsiTheme="majorEastAsia" w:eastAsiaTheme="majorEastAsia"/>
          <w:b/>
          <w:kern w:val="0"/>
          <w:sz w:val="32"/>
          <w:szCs w:val="32"/>
        </w:rPr>
        <w:t>三、投标</w:t>
      </w:r>
      <w:r>
        <w:rPr>
          <w:rFonts w:hint="eastAsia" w:cs="仿宋" w:asciiTheme="majorEastAsia" w:hAnsiTheme="majorEastAsia" w:eastAsiaTheme="majorEastAsia"/>
          <w:b/>
          <w:sz w:val="32"/>
          <w:szCs w:val="32"/>
        </w:rPr>
        <w:t>函</w:t>
      </w:r>
    </w:p>
    <w:p w14:paraId="520DE446">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（采购人）、（采购代理机构）：</w:t>
      </w:r>
    </w:p>
    <w:p w14:paraId="21AAEF0D">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我方参加你方组织的（项目名称）【项目编号：        】招标的有关活动，并对此项目进行投标。为此：</w:t>
      </w:r>
    </w:p>
    <w:p w14:paraId="6ED3D7CF">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1、我方承诺投标有效期从提交投标文件的截止之日起</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天（不少于90天）</w:t>
      </w:r>
      <w:r>
        <w:rPr>
          <w:rFonts w:hint="eastAsia" w:cs="仿宋" w:asciiTheme="majorEastAsia" w:hAnsiTheme="majorEastAsia" w:eastAsiaTheme="majorEastAsia"/>
        </w:rPr>
        <w:t>，</w:t>
      </w:r>
      <w:r>
        <w:rPr>
          <w:rFonts w:hint="eastAsia" w:cs="仿宋" w:asciiTheme="majorEastAsia" w:hAnsiTheme="majorEastAsia" w:eastAsiaTheme="majorEastAsia"/>
          <w:sz w:val="24"/>
        </w:rPr>
        <w:t>本投标文件在投标有效期满之前均具有约束力。</w:t>
      </w:r>
    </w:p>
    <w:p w14:paraId="30D3BF7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2、我方的投标文件包括以下内容：</w:t>
      </w:r>
    </w:p>
    <w:p w14:paraId="13518D27">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2.1资格文件：</w:t>
      </w:r>
    </w:p>
    <w:p w14:paraId="726813FE">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2.1.1有效的企业法人营业执照（或事业法人登记证）、其他组织（个体工商户）的营业执照或者民办非企业单位登记证书；</w:t>
      </w:r>
    </w:p>
    <w:p w14:paraId="6DAB6ED8">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2.1.2符合参加政府采购活动应当具备的一般条件的承诺函；</w:t>
      </w:r>
    </w:p>
    <w:p w14:paraId="2D02BC84">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2.1.3落实政府采购政策需满足的资格要求（如果有）；</w:t>
      </w:r>
    </w:p>
    <w:p w14:paraId="53DC4C99">
      <w:pPr>
        <w:snapToGrid w:val="0"/>
        <w:spacing w:line="360" w:lineRule="auto"/>
        <w:ind w:firstLine="960" w:firstLineChars="400"/>
        <w:rPr>
          <w:rFonts w:cs="仿宋" w:asciiTheme="majorEastAsia" w:hAnsiTheme="majorEastAsia" w:eastAsiaTheme="majorEastAsia"/>
        </w:rPr>
      </w:pPr>
      <w:r>
        <w:rPr>
          <w:rFonts w:hint="eastAsia" w:cs="仿宋" w:asciiTheme="majorEastAsia" w:hAnsiTheme="majorEastAsia" w:eastAsiaTheme="majorEastAsia"/>
          <w:sz w:val="24"/>
        </w:rPr>
        <w:t>2.1.4本项目的特定资格要求（如果有）。</w:t>
      </w:r>
    </w:p>
    <w:p w14:paraId="37AEB465">
      <w:pPr>
        <w:snapToGrid w:val="0"/>
        <w:spacing w:line="360" w:lineRule="auto"/>
        <w:ind w:left="210" w:leftChars="100"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 xml:space="preserve"> </w:t>
      </w:r>
      <w:r>
        <w:rPr>
          <w:rFonts w:hint="eastAsia" w:cs="仿宋" w:asciiTheme="majorEastAsia" w:hAnsiTheme="majorEastAsia" w:eastAsiaTheme="majorEastAsia"/>
          <w:sz w:val="24"/>
        </w:rPr>
        <w:t>商务技术</w:t>
      </w:r>
      <w:r>
        <w:rPr>
          <w:rFonts w:hint="eastAsia" w:cs="仿宋" w:asciiTheme="majorEastAsia" w:hAnsiTheme="majorEastAsia" w:eastAsiaTheme="majorEastAsia"/>
          <w:sz w:val="24"/>
          <w:lang w:val="zh-CN"/>
        </w:rPr>
        <w:t>文件：</w:t>
      </w:r>
    </w:p>
    <w:p w14:paraId="2BAF84ED">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2.2.1评分索引表</w:t>
      </w:r>
    </w:p>
    <w:p w14:paraId="08319878">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2.2.2 符合性自查表；</w:t>
      </w:r>
    </w:p>
    <w:p w14:paraId="47EB5BEF">
      <w:pPr>
        <w:snapToGrid w:val="0"/>
        <w:spacing w:line="360" w:lineRule="auto"/>
        <w:ind w:left="420" w:leftChars="200" w:firstLine="480" w:firstLineChars="200"/>
        <w:rPr>
          <w:rFonts w:cs="仿宋" w:asciiTheme="majorEastAsia" w:hAnsiTheme="majorEastAsia" w:eastAsiaTheme="majorEastAsia"/>
          <w:lang w:val="zh-CN"/>
        </w:rPr>
      </w:pPr>
      <w:r>
        <w:rPr>
          <w:rFonts w:hint="eastAsia" w:cs="仿宋" w:asciiTheme="majorEastAsia" w:hAnsiTheme="majorEastAsia" w:eastAsiaTheme="majorEastAsia"/>
          <w:sz w:val="24"/>
        </w:rPr>
        <w:t>2.2.3 投标函；</w:t>
      </w:r>
      <w:r>
        <w:rPr>
          <w:rFonts w:hint="eastAsia" w:cs="仿宋" w:asciiTheme="majorEastAsia" w:hAnsiTheme="majorEastAsia" w:eastAsiaTheme="majorEastAsia"/>
          <w:sz w:val="24"/>
          <w:lang w:val="zh-CN"/>
        </w:rPr>
        <w:t xml:space="preserve"> </w:t>
      </w:r>
    </w:p>
    <w:p w14:paraId="2428EE02">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2.2.4 授权委托书或法定代表人（单位负责人、自然人本人）身份证明；</w:t>
      </w:r>
    </w:p>
    <w:p w14:paraId="0671FE2A">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2.2.5 投标人基本情况表；</w:t>
      </w:r>
    </w:p>
    <w:p w14:paraId="31A34521">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2.2.6 距采购人最近或者能为本项目提供最优服务的网点情况表；</w:t>
      </w:r>
    </w:p>
    <w:p w14:paraId="3B11F8D4">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2.2.7 评标标准相应的商务技术资料；</w:t>
      </w:r>
    </w:p>
    <w:p w14:paraId="73E40CC8">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8 商务响应表；</w:t>
      </w:r>
    </w:p>
    <w:p w14:paraId="2D7A06B8">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9 服务响应表；</w:t>
      </w:r>
    </w:p>
    <w:p w14:paraId="6119917E">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2.2.10项目实施人员一览表；</w:t>
      </w:r>
    </w:p>
    <w:p w14:paraId="6BEA84CD">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11 同类业绩情况一览表；</w:t>
      </w:r>
    </w:p>
    <w:p w14:paraId="416AE6A4">
      <w:pPr>
        <w:snapToGrid w:val="0"/>
        <w:spacing w:line="360" w:lineRule="auto"/>
        <w:ind w:left="420" w:leftChars="200"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 xml:space="preserve">2.2.12 </w:t>
      </w:r>
      <w:r>
        <w:rPr>
          <w:rFonts w:hint="eastAsia" w:cs="仿宋" w:asciiTheme="majorEastAsia" w:hAnsiTheme="majorEastAsia" w:eastAsiaTheme="majorEastAsia"/>
          <w:sz w:val="24"/>
          <w:lang w:val="zh-CN"/>
        </w:rPr>
        <w:t>政府采购供应商廉洁自律承诺书；</w:t>
      </w:r>
    </w:p>
    <w:p w14:paraId="48F841F7">
      <w:pPr>
        <w:snapToGrid w:val="0"/>
        <w:spacing w:line="360" w:lineRule="auto"/>
        <w:ind w:left="420" w:leftChars="200" w:firstLine="480" w:firstLineChars="200"/>
        <w:rPr>
          <w:rFonts w:cs="仿宋" w:asciiTheme="majorEastAsia" w:hAnsiTheme="majorEastAsia" w:eastAsiaTheme="majorEastAsia"/>
        </w:rPr>
      </w:pPr>
      <w:r>
        <w:rPr>
          <w:rFonts w:hint="eastAsia" w:cs="仿宋" w:asciiTheme="majorEastAsia" w:hAnsiTheme="majorEastAsia" w:eastAsiaTheme="majorEastAsia"/>
          <w:sz w:val="24"/>
        </w:rPr>
        <w:t>2.2.13 其他资料。</w:t>
      </w:r>
    </w:p>
    <w:p w14:paraId="293F0E82">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3报价文件</w:t>
      </w:r>
    </w:p>
    <w:p w14:paraId="378FB3D1">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2.3.1 开标一览表；</w:t>
      </w:r>
    </w:p>
    <w:p w14:paraId="44E5F732">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2.3.2投标报价明细表；</w:t>
      </w:r>
    </w:p>
    <w:p w14:paraId="3D7AAC9A">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2.3.3 中小企业声明函（如有）；</w:t>
      </w:r>
    </w:p>
    <w:p w14:paraId="7DBBE05D">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2.3.4 残疾人福利性单位声明函（如有）；</w:t>
      </w:r>
    </w:p>
    <w:p w14:paraId="52569F25">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2.3.5 监狱企业的证明文件（如有）；</w:t>
      </w:r>
    </w:p>
    <w:p w14:paraId="436847A4">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2.3.6 政府采购统计基础信息表。</w:t>
      </w:r>
    </w:p>
    <w:p w14:paraId="729885D4">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3、我方承诺除商务响应表列出的偏离外，我方响应招标文件的全部要求。</w:t>
      </w:r>
    </w:p>
    <w:p w14:paraId="0FE4A17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4、如我方中标，我方承诺：</w:t>
      </w:r>
    </w:p>
    <w:p w14:paraId="039ACBA9">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4.1在收到中标通知书后，在中标通知书规定的期限内与你方签订合同； </w:t>
      </w:r>
    </w:p>
    <w:p w14:paraId="053C5F68">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4.2在签订合同时不向你方提出附加条件； </w:t>
      </w:r>
    </w:p>
    <w:p w14:paraId="3AD0FA0A">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4.3按照招标文件要求提交履约保证金； </w:t>
      </w:r>
    </w:p>
    <w:p w14:paraId="27385BCA">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4.4在合同约定的期限内完成合同规定的全部义务。 </w:t>
      </w:r>
    </w:p>
    <w:p w14:paraId="2E16A32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5、其他补充说明: </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 xml:space="preserve"> 。</w:t>
      </w:r>
    </w:p>
    <w:p w14:paraId="7398195D">
      <w:pPr>
        <w:spacing w:line="360" w:lineRule="auto"/>
        <w:ind w:firstLine="3600" w:firstLineChars="1500"/>
        <w:rPr>
          <w:rFonts w:cs="仿宋" w:asciiTheme="majorEastAsia" w:hAnsiTheme="majorEastAsia" w:eastAsiaTheme="majorEastAsia"/>
          <w:sz w:val="24"/>
        </w:rPr>
      </w:pPr>
    </w:p>
    <w:p w14:paraId="22CAFB62">
      <w:pPr>
        <w:spacing w:line="360" w:lineRule="auto"/>
        <w:ind w:firstLine="3600" w:firstLineChars="1500"/>
        <w:rPr>
          <w:rFonts w:cs="仿宋" w:asciiTheme="majorEastAsia" w:hAnsiTheme="majorEastAsia" w:eastAsiaTheme="majorEastAsia"/>
          <w:sz w:val="24"/>
        </w:rPr>
      </w:pPr>
    </w:p>
    <w:p w14:paraId="6267A8D8">
      <w:pPr>
        <w:spacing w:line="360" w:lineRule="auto"/>
        <w:ind w:right="420" w:firstLine="5250" w:firstLineChars="2500"/>
        <w:rPr>
          <w:rFonts w:ascii="宋体" w:hAnsi="宋体" w:cs="宋体"/>
        </w:rPr>
      </w:pPr>
      <w:r>
        <w:rPr>
          <w:rFonts w:hint="eastAsia" w:ascii="宋体" w:hAnsi="宋体" w:cs="宋体"/>
        </w:rPr>
        <w:t xml:space="preserve">法定代表人（签名或印章）：     </w:t>
      </w:r>
    </w:p>
    <w:p w14:paraId="70B65D5A">
      <w:pPr>
        <w:spacing w:line="360" w:lineRule="auto"/>
        <w:ind w:right="420" w:firstLine="5460" w:firstLineChars="2600"/>
        <w:rPr>
          <w:rFonts w:ascii="宋体" w:hAnsi="宋体" w:cs="宋体"/>
        </w:rPr>
      </w:pPr>
      <w:r>
        <w:rPr>
          <w:rFonts w:hint="eastAsia" w:ascii="宋体" w:hAnsi="宋体" w:cs="宋体"/>
        </w:rPr>
        <w:t xml:space="preserve">投标人（盖章）：   </w:t>
      </w:r>
    </w:p>
    <w:p w14:paraId="064A083B">
      <w:pPr>
        <w:spacing w:line="360" w:lineRule="auto"/>
        <w:ind w:right="420" w:firstLine="5355" w:firstLineChars="2550"/>
        <w:rPr>
          <w:rFonts w:ascii="宋体" w:hAnsi="宋体" w:cs="宋体"/>
        </w:rPr>
      </w:pPr>
      <w:r>
        <w:rPr>
          <w:rFonts w:hint="eastAsia" w:ascii="宋体" w:hAnsi="宋体" w:cs="宋体"/>
        </w:rPr>
        <w:t xml:space="preserve"> 年    月    日</w:t>
      </w:r>
    </w:p>
    <w:p w14:paraId="331C1DC0">
      <w:pPr>
        <w:spacing w:line="360" w:lineRule="auto"/>
        <w:jc w:val="center"/>
        <w:rPr>
          <w:rFonts w:cs="仿宋" w:asciiTheme="majorEastAsia" w:hAnsiTheme="majorEastAsia" w:eastAsiaTheme="majorEastAsia"/>
          <w:b/>
          <w:kern w:val="0"/>
          <w:sz w:val="32"/>
          <w:szCs w:val="32"/>
        </w:rPr>
      </w:pPr>
    </w:p>
    <w:p w14:paraId="45590BCD">
      <w:pPr>
        <w:spacing w:line="360" w:lineRule="auto"/>
        <w:jc w:val="center"/>
        <w:rPr>
          <w:rFonts w:cs="仿宋" w:asciiTheme="majorEastAsia" w:hAnsiTheme="majorEastAsia" w:eastAsiaTheme="majorEastAsia"/>
          <w:b/>
          <w:kern w:val="0"/>
          <w:sz w:val="32"/>
          <w:szCs w:val="32"/>
          <w:lang w:val="zh-CN"/>
        </w:rPr>
      </w:pPr>
    </w:p>
    <w:p w14:paraId="1878A3D2">
      <w:pPr>
        <w:spacing w:line="360" w:lineRule="auto"/>
        <w:rPr>
          <w:rFonts w:cs="仿宋" w:asciiTheme="majorEastAsia" w:hAnsiTheme="majorEastAsia" w:eastAsiaTheme="majorEastAsia"/>
          <w:b/>
          <w:sz w:val="32"/>
          <w:szCs w:val="32"/>
        </w:rPr>
      </w:pPr>
      <w:bookmarkStart w:id="411" w:name="_Toc110393361"/>
      <w:bookmarkStart w:id="412" w:name="_Toc483379796"/>
      <w:bookmarkStart w:id="413" w:name="_Toc14746861"/>
      <w:bookmarkStart w:id="414" w:name="_Toc479927873"/>
      <w:bookmarkStart w:id="415" w:name="_Toc488936100"/>
      <w:bookmarkStart w:id="416" w:name="_Toc225223761"/>
    </w:p>
    <w:p w14:paraId="1C260FA7">
      <w:pPr>
        <w:snapToGrid w:val="0"/>
        <w:spacing w:line="360" w:lineRule="auto"/>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四、授权委托书或法定代表人（单位负责人、自然人本人）身份证明</w:t>
      </w:r>
    </w:p>
    <w:p w14:paraId="75827CEC">
      <w:pPr>
        <w:jc w:val="left"/>
        <w:rPr>
          <w:rFonts w:ascii="宋体" w:hAnsi="宋体" w:cs="宋体"/>
          <w:b/>
          <w:sz w:val="32"/>
          <w:szCs w:val="32"/>
        </w:rPr>
      </w:pPr>
      <w:r>
        <w:rPr>
          <w:rFonts w:hint="eastAsia" w:cs="仿宋" w:asciiTheme="majorEastAsia" w:hAnsiTheme="majorEastAsia" w:eastAsiaTheme="majorEastAsia"/>
          <w:sz w:val="24"/>
        </w:rPr>
        <w:t xml:space="preserve">                           </w:t>
      </w:r>
    </w:p>
    <w:p w14:paraId="7268A83A">
      <w:pPr>
        <w:jc w:val="center"/>
        <w:rPr>
          <w:rFonts w:ascii="宋体" w:hAnsi="宋体" w:cs="宋体"/>
          <w:b/>
          <w:sz w:val="32"/>
          <w:szCs w:val="32"/>
        </w:rPr>
      </w:pPr>
      <w:r>
        <w:rPr>
          <w:rFonts w:hint="eastAsia" w:ascii="宋体" w:hAnsi="宋体" w:cs="宋体"/>
          <w:b/>
          <w:sz w:val="32"/>
          <w:szCs w:val="32"/>
        </w:rPr>
        <w:t>法定代表人身份证明</w:t>
      </w:r>
    </w:p>
    <w:p w14:paraId="791EB5D7">
      <w:pPr>
        <w:spacing w:line="480" w:lineRule="auto"/>
        <w:jc w:val="center"/>
        <w:rPr>
          <w:rFonts w:ascii="宋体" w:hAnsi="宋体" w:cs="宋体"/>
          <w:b/>
          <w:sz w:val="24"/>
        </w:rPr>
      </w:pPr>
      <w:r>
        <w:rPr>
          <w:rFonts w:hint="eastAsia" w:ascii="宋体" w:hAnsi="宋体" w:cs="宋体"/>
          <w:bCs/>
          <w:sz w:val="24"/>
        </w:rPr>
        <w:t>（法定代表人不来投标的，此表不用）</w:t>
      </w:r>
    </w:p>
    <w:p w14:paraId="2CF0FBF6">
      <w:pPr>
        <w:spacing w:line="480" w:lineRule="auto"/>
        <w:ind w:firstLine="420" w:firstLineChars="200"/>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14:paraId="0381D340">
      <w:pPr>
        <w:spacing w:line="480" w:lineRule="auto"/>
        <w:ind w:firstLine="420" w:firstLineChars="200"/>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14:paraId="1BA43A90">
      <w:pPr>
        <w:spacing w:line="480" w:lineRule="auto"/>
        <w:ind w:firstLine="420" w:firstLineChars="20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405D6721">
      <w:pPr>
        <w:spacing w:line="480" w:lineRule="auto"/>
        <w:ind w:firstLine="420" w:firstLineChars="200"/>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DAEDB19">
      <w:pPr>
        <w:spacing w:line="480" w:lineRule="auto"/>
        <w:ind w:firstLine="420" w:firstLineChars="200"/>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r>
        <w:rPr>
          <w:rFonts w:hint="eastAsia" w:ascii="宋体" w:hAnsi="宋体" w:cs="宋体"/>
          <w:szCs w:val="21"/>
        </w:rPr>
        <w:t xml:space="preserve"> </w:t>
      </w:r>
    </w:p>
    <w:p w14:paraId="785580FF">
      <w:pPr>
        <w:spacing w:line="480" w:lineRule="auto"/>
        <w:ind w:firstLine="420" w:firstLineChars="200"/>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周岁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_</w:t>
      </w:r>
    </w:p>
    <w:p w14:paraId="5323C9D0">
      <w:pPr>
        <w:spacing w:line="480" w:lineRule="auto"/>
        <w:ind w:firstLine="420" w:firstLineChars="200"/>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14:paraId="2620611F">
      <w:pPr>
        <w:spacing w:line="480" w:lineRule="auto"/>
        <w:ind w:firstLine="420" w:firstLineChars="200"/>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14:paraId="0DDCE280">
      <w:pPr>
        <w:spacing w:line="480" w:lineRule="auto"/>
        <w:ind w:firstLine="840" w:firstLineChars="400"/>
        <w:rPr>
          <w:rFonts w:ascii="宋体" w:hAnsi="宋体" w:cs="宋体"/>
          <w:szCs w:val="21"/>
        </w:rPr>
      </w:pPr>
      <w:r>
        <w:rPr>
          <w:rFonts w:hint="eastAsia" w:ascii="宋体" w:hAnsi="宋体" w:cs="宋体"/>
          <w:szCs w:val="21"/>
        </w:rPr>
        <w:t>特此证明。</w:t>
      </w:r>
    </w:p>
    <w:p w14:paraId="5F298D91">
      <w:pPr>
        <w:spacing w:line="360" w:lineRule="auto"/>
        <w:ind w:firstLine="420" w:firstLineChars="200"/>
        <w:rPr>
          <w:rFonts w:ascii="宋体" w:hAnsi="宋体" w:cs="宋体"/>
          <w:szCs w:val="21"/>
        </w:rPr>
      </w:pPr>
    </w:p>
    <w:p w14:paraId="12ACA9C7">
      <w:pPr>
        <w:spacing w:line="360" w:lineRule="auto"/>
        <w:ind w:firstLine="420" w:firstLineChars="200"/>
        <w:rPr>
          <w:rFonts w:ascii="宋体" w:hAnsi="宋体" w:cs="宋体"/>
          <w:szCs w:val="21"/>
        </w:rPr>
      </w:pPr>
    </w:p>
    <w:p w14:paraId="4A3E5A86">
      <w:pPr>
        <w:wordWrap w:val="0"/>
        <w:spacing w:line="360" w:lineRule="auto"/>
        <w:jc w:val="right"/>
        <w:rPr>
          <w:rFonts w:ascii="宋体" w:hAnsi="宋体" w:cs="宋体"/>
          <w:szCs w:val="21"/>
        </w:rPr>
      </w:pPr>
      <w:r>
        <w:rPr>
          <w:rFonts w:hint="eastAsia" w:ascii="宋体" w:hAnsi="宋体" w:cs="宋体"/>
          <w:szCs w:val="21"/>
        </w:rPr>
        <w:t>投标人：</w:t>
      </w:r>
      <w:r>
        <w:rPr>
          <w:rFonts w:hint="eastAsia" w:ascii="宋体" w:hAnsi="宋体" w:cs="宋体"/>
          <w:szCs w:val="21"/>
          <w:u w:val="single"/>
        </w:rPr>
        <w:t xml:space="preserve">                                </w:t>
      </w:r>
      <w:r>
        <w:rPr>
          <w:rFonts w:hint="eastAsia" w:ascii="宋体" w:hAnsi="宋体" w:cs="宋体"/>
          <w:szCs w:val="21"/>
        </w:rPr>
        <w:t>（盖单位公章）</w:t>
      </w:r>
    </w:p>
    <w:p w14:paraId="2976EA24">
      <w:pPr>
        <w:spacing w:line="360" w:lineRule="auto"/>
        <w:ind w:firstLine="4515" w:firstLineChars="2150"/>
        <w:rPr>
          <w:rFonts w:ascii="宋体" w:hAnsi="宋体" w:cs="宋体"/>
          <w:szCs w:val="21"/>
          <w:u w:val="single"/>
        </w:rPr>
      </w:pPr>
    </w:p>
    <w:p w14:paraId="4115EFB8">
      <w:pPr>
        <w:spacing w:line="360" w:lineRule="auto"/>
        <w:ind w:firstLine="3675" w:firstLineChars="175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E85F3EE">
      <w:pPr>
        <w:spacing w:line="360" w:lineRule="auto"/>
        <w:rPr>
          <w:rFonts w:ascii="宋体" w:hAnsi="宋体" w:cs="宋体"/>
          <w:sz w:val="24"/>
        </w:rPr>
      </w:pPr>
    </w:p>
    <w:p w14:paraId="660301A3">
      <w:pPr>
        <w:spacing w:line="360" w:lineRule="auto"/>
        <w:rPr>
          <w:rFonts w:ascii="宋体" w:hAnsi="宋体" w:cs="宋体"/>
          <w:b/>
          <w:szCs w:val="21"/>
        </w:rPr>
      </w:pPr>
    </w:p>
    <w:p w14:paraId="68CF65D7">
      <w:pPr>
        <w:spacing w:line="360" w:lineRule="auto"/>
        <w:rPr>
          <w:rFonts w:ascii="宋体" w:hAnsi="宋体" w:cs="宋体"/>
          <w:b/>
          <w:szCs w:val="21"/>
        </w:rPr>
      </w:pPr>
    </w:p>
    <w:p w14:paraId="618350DF">
      <w:pPr>
        <w:spacing w:line="360" w:lineRule="auto"/>
        <w:rPr>
          <w:rFonts w:ascii="宋体" w:hAnsi="宋体" w:cs="宋体"/>
          <w:b/>
          <w:szCs w:val="21"/>
        </w:rPr>
      </w:pPr>
      <w:r>
        <w:rPr>
          <w:rFonts w:hint="eastAsia" w:ascii="宋体" w:hAnsi="宋体" w:cs="宋体"/>
          <w:b/>
          <w:szCs w:val="21"/>
        </w:rPr>
        <w:t>附法定代表人身份证复印件（正反面）：</w:t>
      </w:r>
    </w:p>
    <w:p w14:paraId="4BEC98D3">
      <w:pPr>
        <w:rPr>
          <w:rFonts w:ascii="宋体" w:hAnsi="宋体" w:cs="宋体"/>
          <w:b/>
        </w:rPr>
      </w:pPr>
      <w:r>
        <w:rPr>
          <w:rFonts w:ascii="宋体" w:hAnsi="宋体" w:cs="宋体"/>
          <w:b/>
        </w:rPr>
        <w:br w:type="page"/>
      </w:r>
    </w:p>
    <w:p w14:paraId="74FCF1F0">
      <w:pPr>
        <w:rPr>
          <w:rFonts w:ascii="宋体" w:hAnsi="宋体" w:cs="宋体"/>
          <w:b/>
          <w:bCs/>
          <w:sz w:val="28"/>
          <w:szCs w:val="28"/>
        </w:rPr>
      </w:pPr>
    </w:p>
    <w:p w14:paraId="0133B031">
      <w:pPr>
        <w:jc w:val="center"/>
        <w:rPr>
          <w:rFonts w:ascii="宋体" w:hAnsi="宋体" w:cs="宋体"/>
          <w:b/>
          <w:sz w:val="32"/>
          <w:szCs w:val="32"/>
        </w:rPr>
      </w:pPr>
      <w:r>
        <w:rPr>
          <w:rFonts w:hint="eastAsia" w:ascii="宋体" w:hAnsi="宋体" w:cs="宋体"/>
          <w:b/>
          <w:sz w:val="32"/>
          <w:szCs w:val="32"/>
        </w:rPr>
        <w:t>法定代表人授权委托书</w:t>
      </w:r>
    </w:p>
    <w:p w14:paraId="6BDC12E7">
      <w:pPr>
        <w:jc w:val="center"/>
        <w:rPr>
          <w:rFonts w:ascii="宋体" w:hAnsi="宋体" w:cs="宋体"/>
          <w:b/>
          <w:sz w:val="32"/>
          <w:szCs w:val="32"/>
        </w:rPr>
      </w:pPr>
      <w:r>
        <w:rPr>
          <w:rFonts w:hint="eastAsia" w:ascii="宋体" w:hAnsi="宋体" w:cs="宋体"/>
          <w:bCs/>
          <w:sz w:val="24"/>
        </w:rPr>
        <w:t>（法定代表人来投标的，此表不用）</w:t>
      </w:r>
    </w:p>
    <w:p w14:paraId="7F71D53D">
      <w:pPr>
        <w:snapToGrid w:val="0"/>
        <w:spacing w:line="360" w:lineRule="auto"/>
        <w:rPr>
          <w:rFonts w:ascii="宋体" w:hAnsi="宋体" w:cs="宋体"/>
          <w:bCs/>
          <w:sz w:val="24"/>
        </w:rPr>
      </w:pPr>
    </w:p>
    <w:p w14:paraId="7030C970">
      <w:pPr>
        <w:snapToGrid w:val="0"/>
        <w:spacing w:line="360" w:lineRule="auto"/>
        <w:rPr>
          <w:rFonts w:ascii="宋体" w:hAnsi="宋体" w:cs="宋体"/>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（采购单位名称）</w:t>
      </w:r>
      <w:r>
        <w:rPr>
          <w:rFonts w:hint="eastAsia" w:ascii="宋体" w:hAnsi="宋体" w:cs="宋体"/>
          <w:b/>
          <w:bCs/>
          <w:szCs w:val="21"/>
        </w:rPr>
        <w:t xml:space="preserve"> </w:t>
      </w:r>
      <w:r>
        <w:rPr>
          <w:rFonts w:hint="eastAsia" w:ascii="宋体" w:hAnsi="宋体" w:cs="宋体"/>
          <w:szCs w:val="21"/>
        </w:rPr>
        <w:t>：</w:t>
      </w:r>
    </w:p>
    <w:p w14:paraId="47025B27">
      <w:pPr>
        <w:snapToGrid w:val="0"/>
        <w:spacing w:line="360" w:lineRule="auto"/>
        <w:ind w:firstLine="420" w:firstLineChars="200"/>
        <w:rPr>
          <w:rFonts w:ascii="宋体" w:hAnsi="宋体" w:cs="宋体"/>
          <w:szCs w:val="21"/>
          <w:u w:val="single"/>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w:t>
      </w:r>
      <w:r>
        <w:rPr>
          <w:rFonts w:hint="eastAsia" w:ascii="宋体" w:hAnsi="宋体" w:cs="宋体"/>
          <w:szCs w:val="21"/>
        </w:rPr>
        <w:t>项目的投标活动，并代表我方全权办理针对上述项目的投标、开标、评标、签约等具体事务和签署相关文件。</w:t>
      </w:r>
    </w:p>
    <w:p w14:paraId="334B7A35">
      <w:pPr>
        <w:snapToGrid w:val="0"/>
        <w:spacing w:line="360" w:lineRule="auto"/>
        <w:ind w:firstLine="420" w:firstLineChars="200"/>
        <w:rPr>
          <w:rFonts w:ascii="宋体" w:hAnsi="宋体" w:cs="宋体"/>
          <w:szCs w:val="21"/>
          <w:u w:val="single"/>
        </w:rPr>
      </w:pPr>
      <w:r>
        <w:rPr>
          <w:rFonts w:hint="eastAsia" w:ascii="宋体" w:hAnsi="宋体" w:cs="宋体"/>
          <w:szCs w:val="21"/>
        </w:rPr>
        <w:t>我方对被授权人的签名事项负全部责任。</w:t>
      </w:r>
    </w:p>
    <w:p w14:paraId="4B15FD07">
      <w:pPr>
        <w:snapToGrid w:val="0"/>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3C1880E0">
      <w:pPr>
        <w:snapToGrid w:val="0"/>
        <w:spacing w:line="360" w:lineRule="auto"/>
        <w:ind w:firstLine="480"/>
        <w:rPr>
          <w:rFonts w:ascii="宋体" w:hAnsi="宋体" w:cs="宋体"/>
          <w:szCs w:val="21"/>
        </w:rPr>
      </w:pPr>
      <w:r>
        <w:rPr>
          <w:rFonts w:hint="eastAsia" w:ascii="宋体" w:hAnsi="宋体" w:cs="宋体"/>
          <w:szCs w:val="21"/>
        </w:rPr>
        <w:t>被授权人无转委托权，特此委托。</w:t>
      </w:r>
    </w:p>
    <w:p w14:paraId="0821F733">
      <w:pPr>
        <w:snapToGrid w:val="0"/>
        <w:spacing w:line="360" w:lineRule="auto"/>
        <w:rPr>
          <w:rFonts w:ascii="宋体" w:hAnsi="宋体" w:cs="宋体"/>
          <w:szCs w:val="21"/>
        </w:rPr>
      </w:pPr>
    </w:p>
    <w:p w14:paraId="7873F7A7">
      <w:pPr>
        <w:snapToGrid w:val="0"/>
        <w:spacing w:line="360" w:lineRule="auto"/>
        <w:rPr>
          <w:rFonts w:ascii="宋体" w:hAnsi="宋体" w:cs="宋体"/>
          <w:szCs w:val="21"/>
        </w:rPr>
      </w:pPr>
    </w:p>
    <w:p w14:paraId="41591BC7">
      <w:pPr>
        <w:snapToGrid w:val="0"/>
        <w:spacing w:line="360" w:lineRule="auto"/>
        <w:rPr>
          <w:rFonts w:ascii="宋体" w:hAnsi="宋体" w:cs="宋体"/>
          <w:szCs w:val="21"/>
          <w:u w:val="single"/>
        </w:rPr>
      </w:pPr>
      <w:r>
        <w:rPr>
          <w:rFonts w:hint="eastAsia" w:ascii="宋体" w:hAnsi="宋体" w:cs="宋体"/>
          <w:szCs w:val="21"/>
        </w:rPr>
        <w:t>被授权人签名：</w:t>
      </w:r>
      <w:r>
        <w:rPr>
          <w:rFonts w:hint="eastAsia" w:ascii="宋体" w:hAnsi="宋体" w:cs="宋体"/>
          <w:szCs w:val="21"/>
          <w:u w:val="single"/>
        </w:rPr>
        <w:t xml:space="preserve">          </w:t>
      </w:r>
      <w:r>
        <w:rPr>
          <w:rFonts w:hint="eastAsia" w:ascii="宋体" w:hAnsi="宋体" w:cs="宋体"/>
          <w:szCs w:val="21"/>
        </w:rPr>
        <w:t xml:space="preserve">                 法定代表人签名：</w:t>
      </w:r>
      <w:r>
        <w:rPr>
          <w:rFonts w:hint="eastAsia" w:ascii="宋体" w:hAnsi="宋体" w:cs="宋体"/>
          <w:szCs w:val="21"/>
          <w:u w:val="single"/>
        </w:rPr>
        <w:t xml:space="preserve">          </w:t>
      </w:r>
    </w:p>
    <w:p w14:paraId="56F818F0">
      <w:pPr>
        <w:snapToGrid w:val="0"/>
        <w:spacing w:line="360" w:lineRule="auto"/>
        <w:ind w:firstLine="840" w:firstLineChars="400"/>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055BFCA0">
      <w:pPr>
        <w:snapToGrid w:val="0"/>
        <w:spacing w:line="360" w:lineRule="auto"/>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14:paraId="666C6A5B">
      <w:pPr>
        <w:snapToGrid w:val="0"/>
        <w:spacing w:line="360" w:lineRule="auto"/>
        <w:rPr>
          <w:rFonts w:ascii="宋体" w:hAnsi="宋体" w:cs="宋体"/>
          <w:szCs w:val="21"/>
        </w:rPr>
      </w:pPr>
      <w:r>
        <w:rPr>
          <w:rFonts w:hint="eastAsia" w:ascii="宋体" w:hAnsi="宋体" w:cs="宋体"/>
          <w:szCs w:val="21"/>
        </w:rPr>
        <w:t xml:space="preserve">                                    </w:t>
      </w:r>
    </w:p>
    <w:p w14:paraId="38CA859E">
      <w:pPr>
        <w:snapToGrid w:val="0"/>
        <w:spacing w:line="360" w:lineRule="auto"/>
        <w:rPr>
          <w:rFonts w:ascii="宋体" w:hAnsi="宋体" w:cs="宋体"/>
          <w:szCs w:val="21"/>
        </w:rPr>
      </w:pPr>
    </w:p>
    <w:p w14:paraId="251317B9">
      <w:pPr>
        <w:spacing w:line="360" w:lineRule="auto"/>
        <w:ind w:firstLine="4830" w:firstLineChars="2300"/>
        <w:rPr>
          <w:rFonts w:ascii="宋体" w:hAnsi="宋体" w:cs="宋体"/>
        </w:rPr>
      </w:pPr>
      <w:r>
        <w:rPr>
          <w:rFonts w:hint="eastAsia" w:ascii="宋体" w:hAnsi="宋体" w:cs="宋体"/>
        </w:rPr>
        <w:t>投标人（盖章）：</w:t>
      </w:r>
    </w:p>
    <w:p w14:paraId="65548238">
      <w:pPr>
        <w:spacing w:line="360" w:lineRule="auto"/>
        <w:ind w:firstLine="1260" w:firstLineChars="600"/>
        <w:rPr>
          <w:rFonts w:ascii="宋体" w:hAnsi="宋体" w:cs="宋体"/>
        </w:rPr>
      </w:pPr>
      <w:r>
        <w:rPr>
          <w:rFonts w:hint="eastAsia" w:ascii="宋体" w:hAnsi="宋体" w:cs="宋体"/>
        </w:rPr>
        <w:t xml:space="preserve">                                  日期：</w:t>
      </w:r>
    </w:p>
    <w:p w14:paraId="378267B5">
      <w:pPr>
        <w:spacing w:line="360" w:lineRule="auto"/>
        <w:rPr>
          <w:rFonts w:ascii="宋体" w:hAnsi="宋体" w:cs="宋体"/>
          <w:b/>
          <w:szCs w:val="21"/>
        </w:rPr>
      </w:pPr>
    </w:p>
    <w:p w14:paraId="6CBE3449">
      <w:pPr>
        <w:spacing w:line="360" w:lineRule="auto"/>
        <w:rPr>
          <w:rFonts w:ascii="宋体" w:hAnsi="宋体" w:cs="宋体"/>
          <w:b/>
          <w:szCs w:val="21"/>
        </w:rPr>
      </w:pPr>
    </w:p>
    <w:p w14:paraId="03057E2E">
      <w:pPr>
        <w:widowControl/>
        <w:jc w:val="left"/>
        <w:rPr>
          <w:rFonts w:eastAsia="仿宋_GB2312"/>
          <w:sz w:val="28"/>
          <w:lang w:val="zh-CN"/>
        </w:rPr>
      </w:pPr>
      <w:r>
        <w:rPr>
          <w:rFonts w:hint="eastAsia" w:ascii="宋体" w:hAnsi="宋体" w:cs="宋体"/>
          <w:b/>
          <w:szCs w:val="21"/>
        </w:rPr>
        <w:t>附：法定代表人身份证复印件（正反面）、授权代表身份证复印件（正反面）：</w:t>
      </w:r>
      <w:r>
        <w:rPr>
          <w:lang w:val="zh-CN"/>
        </w:rPr>
        <w:br w:type="page"/>
      </w:r>
    </w:p>
    <w:p w14:paraId="08EC80A5">
      <w:pPr>
        <w:pStyle w:val="30"/>
        <w:ind w:firstLine="560"/>
        <w:rPr>
          <w:lang w:val="zh-CN"/>
        </w:rPr>
      </w:pPr>
    </w:p>
    <w:p w14:paraId="68B70CE2">
      <w:p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五、投标人基本情况</w:t>
      </w:r>
      <w:bookmarkEnd w:id="411"/>
      <w:bookmarkEnd w:id="412"/>
      <w:bookmarkEnd w:id="413"/>
      <w:bookmarkEnd w:id="414"/>
      <w:bookmarkEnd w:id="415"/>
      <w:bookmarkEnd w:id="416"/>
      <w:r>
        <w:rPr>
          <w:rFonts w:hint="eastAsia" w:cs="仿宋" w:asciiTheme="majorEastAsia" w:hAnsiTheme="majorEastAsia" w:eastAsiaTheme="majorEastAsia"/>
          <w:b/>
          <w:kern w:val="0"/>
          <w:sz w:val="32"/>
          <w:szCs w:val="32"/>
          <w:lang w:val="zh-CN"/>
        </w:rPr>
        <w:t>表</w:t>
      </w:r>
    </w:p>
    <w:tbl>
      <w:tblPr>
        <w:tblStyle w:val="23"/>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066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E41CC28">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投标人名称</w:t>
            </w:r>
          </w:p>
        </w:tc>
        <w:tc>
          <w:tcPr>
            <w:tcW w:w="7647" w:type="dxa"/>
            <w:gridSpan w:val="5"/>
            <w:vAlign w:val="center"/>
          </w:tcPr>
          <w:p w14:paraId="3BC2EA18">
            <w:pPr>
              <w:adjustRightInd w:val="0"/>
              <w:snapToGrid w:val="0"/>
              <w:spacing w:line="360" w:lineRule="auto"/>
              <w:rPr>
                <w:rFonts w:cs="仿宋" w:asciiTheme="majorEastAsia" w:hAnsiTheme="majorEastAsia" w:eastAsiaTheme="majorEastAsia"/>
                <w:kern w:val="0"/>
                <w:sz w:val="24"/>
                <w:lang w:val="zh-CN"/>
              </w:rPr>
            </w:pPr>
          </w:p>
        </w:tc>
      </w:tr>
      <w:tr w14:paraId="1019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11358D2">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注册地址</w:t>
            </w:r>
          </w:p>
        </w:tc>
        <w:tc>
          <w:tcPr>
            <w:tcW w:w="2809" w:type="dxa"/>
            <w:gridSpan w:val="2"/>
            <w:vAlign w:val="center"/>
          </w:tcPr>
          <w:p w14:paraId="27289A25">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36738891">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成立时间</w:t>
            </w:r>
          </w:p>
        </w:tc>
        <w:tc>
          <w:tcPr>
            <w:tcW w:w="3052" w:type="dxa"/>
            <w:gridSpan w:val="2"/>
            <w:vAlign w:val="center"/>
          </w:tcPr>
          <w:p w14:paraId="365F7787">
            <w:pPr>
              <w:adjustRightInd w:val="0"/>
              <w:snapToGrid w:val="0"/>
              <w:spacing w:line="360" w:lineRule="auto"/>
              <w:rPr>
                <w:rFonts w:cs="仿宋" w:asciiTheme="majorEastAsia" w:hAnsiTheme="majorEastAsia" w:eastAsiaTheme="majorEastAsia"/>
                <w:kern w:val="0"/>
                <w:sz w:val="24"/>
                <w:lang w:val="zh-CN"/>
              </w:rPr>
            </w:pPr>
          </w:p>
        </w:tc>
      </w:tr>
      <w:tr w14:paraId="65F0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C084A2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统一信用代码</w:t>
            </w:r>
          </w:p>
        </w:tc>
        <w:tc>
          <w:tcPr>
            <w:tcW w:w="2809" w:type="dxa"/>
            <w:gridSpan w:val="2"/>
            <w:vAlign w:val="center"/>
          </w:tcPr>
          <w:p w14:paraId="5102FBF0">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1AC25834">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注册资金</w:t>
            </w:r>
          </w:p>
        </w:tc>
        <w:tc>
          <w:tcPr>
            <w:tcW w:w="3052" w:type="dxa"/>
            <w:gridSpan w:val="2"/>
            <w:vAlign w:val="center"/>
          </w:tcPr>
          <w:p w14:paraId="4890B3D4">
            <w:pPr>
              <w:adjustRightInd w:val="0"/>
              <w:snapToGrid w:val="0"/>
              <w:spacing w:line="360" w:lineRule="auto"/>
              <w:rPr>
                <w:rFonts w:cs="仿宋" w:asciiTheme="majorEastAsia" w:hAnsiTheme="majorEastAsia" w:eastAsiaTheme="majorEastAsia"/>
                <w:kern w:val="0"/>
                <w:sz w:val="24"/>
                <w:lang w:val="zh-CN"/>
              </w:rPr>
            </w:pPr>
          </w:p>
        </w:tc>
      </w:tr>
      <w:tr w14:paraId="786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6004600">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投标联系人姓名</w:t>
            </w:r>
          </w:p>
        </w:tc>
        <w:tc>
          <w:tcPr>
            <w:tcW w:w="1936" w:type="dxa"/>
            <w:vAlign w:val="center"/>
          </w:tcPr>
          <w:p w14:paraId="3230E5D6">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14:paraId="51D51035">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0B6E1E60">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14:paraId="43BF9527">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1852" w:type="dxa"/>
            <w:vAlign w:val="center"/>
          </w:tcPr>
          <w:p w14:paraId="7FB2663A">
            <w:pPr>
              <w:adjustRightInd w:val="0"/>
              <w:snapToGrid w:val="0"/>
              <w:spacing w:line="360" w:lineRule="auto"/>
              <w:rPr>
                <w:rFonts w:cs="仿宋" w:asciiTheme="majorEastAsia" w:hAnsiTheme="majorEastAsia" w:eastAsiaTheme="majorEastAsia"/>
                <w:kern w:val="0"/>
                <w:sz w:val="24"/>
                <w:lang w:val="zh-CN"/>
              </w:rPr>
            </w:pPr>
          </w:p>
        </w:tc>
      </w:tr>
      <w:tr w14:paraId="70D1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111837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法定代表人姓名</w:t>
            </w:r>
          </w:p>
        </w:tc>
        <w:tc>
          <w:tcPr>
            <w:tcW w:w="1936" w:type="dxa"/>
            <w:vAlign w:val="center"/>
          </w:tcPr>
          <w:p w14:paraId="429F12AC">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14:paraId="286B143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517126E4">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14:paraId="7280987F">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1852" w:type="dxa"/>
            <w:vAlign w:val="center"/>
          </w:tcPr>
          <w:p w14:paraId="3E47E662">
            <w:pPr>
              <w:adjustRightInd w:val="0"/>
              <w:snapToGrid w:val="0"/>
              <w:spacing w:line="360" w:lineRule="auto"/>
              <w:rPr>
                <w:rFonts w:cs="仿宋" w:asciiTheme="majorEastAsia" w:hAnsiTheme="majorEastAsia" w:eastAsiaTheme="majorEastAsia"/>
                <w:kern w:val="0"/>
                <w:sz w:val="24"/>
                <w:lang w:val="zh-CN"/>
              </w:rPr>
            </w:pPr>
          </w:p>
        </w:tc>
      </w:tr>
      <w:tr w14:paraId="6296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0DFB704">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项目总负责人姓名</w:t>
            </w:r>
          </w:p>
        </w:tc>
        <w:tc>
          <w:tcPr>
            <w:tcW w:w="1936" w:type="dxa"/>
            <w:vAlign w:val="center"/>
          </w:tcPr>
          <w:p w14:paraId="0497B047">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14:paraId="60A9C7C5">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774CC4C1">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14:paraId="40E6E9F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技术职称</w:t>
            </w:r>
          </w:p>
        </w:tc>
        <w:tc>
          <w:tcPr>
            <w:tcW w:w="1852" w:type="dxa"/>
            <w:vAlign w:val="center"/>
          </w:tcPr>
          <w:p w14:paraId="3B08C6C5">
            <w:pPr>
              <w:adjustRightInd w:val="0"/>
              <w:snapToGrid w:val="0"/>
              <w:spacing w:line="360" w:lineRule="auto"/>
              <w:rPr>
                <w:rFonts w:cs="仿宋" w:asciiTheme="majorEastAsia" w:hAnsiTheme="majorEastAsia" w:eastAsiaTheme="majorEastAsia"/>
                <w:kern w:val="0"/>
                <w:sz w:val="24"/>
                <w:lang w:val="zh-CN"/>
              </w:rPr>
            </w:pPr>
          </w:p>
        </w:tc>
      </w:tr>
      <w:tr w14:paraId="4B0D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1EFCDDB0">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1936" w:type="dxa"/>
            <w:vMerge w:val="restart"/>
            <w:vAlign w:val="center"/>
          </w:tcPr>
          <w:p w14:paraId="67FE8652">
            <w:pPr>
              <w:adjustRightInd w:val="0"/>
              <w:snapToGrid w:val="0"/>
              <w:spacing w:line="360" w:lineRule="auto"/>
              <w:rPr>
                <w:rFonts w:cs="仿宋" w:asciiTheme="majorEastAsia" w:hAnsiTheme="majorEastAsia" w:eastAsiaTheme="majorEastAsia"/>
                <w:kern w:val="0"/>
                <w:sz w:val="24"/>
                <w:lang w:val="zh-CN"/>
              </w:rPr>
            </w:pPr>
          </w:p>
        </w:tc>
        <w:tc>
          <w:tcPr>
            <w:tcW w:w="873" w:type="dxa"/>
            <w:vMerge w:val="restart"/>
            <w:vAlign w:val="center"/>
          </w:tcPr>
          <w:p w14:paraId="4041F47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w:t>
            </w:r>
          </w:p>
        </w:tc>
        <w:tc>
          <w:tcPr>
            <w:tcW w:w="1786" w:type="dxa"/>
            <w:vAlign w:val="center"/>
          </w:tcPr>
          <w:p w14:paraId="5A068EEE">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高级职称</w:t>
            </w:r>
          </w:p>
        </w:tc>
        <w:tc>
          <w:tcPr>
            <w:tcW w:w="3052" w:type="dxa"/>
            <w:gridSpan w:val="2"/>
            <w:vAlign w:val="center"/>
          </w:tcPr>
          <w:p w14:paraId="060B4735">
            <w:pPr>
              <w:adjustRightInd w:val="0"/>
              <w:snapToGrid w:val="0"/>
              <w:spacing w:line="360" w:lineRule="auto"/>
              <w:rPr>
                <w:rFonts w:cs="仿宋" w:asciiTheme="majorEastAsia" w:hAnsiTheme="majorEastAsia" w:eastAsiaTheme="majorEastAsia"/>
                <w:kern w:val="0"/>
                <w:sz w:val="24"/>
                <w:lang w:val="zh-CN"/>
              </w:rPr>
            </w:pPr>
          </w:p>
        </w:tc>
      </w:tr>
      <w:tr w14:paraId="5070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7B34B3B">
            <w:pPr>
              <w:adjustRightInd w:val="0"/>
              <w:snapToGrid w:val="0"/>
              <w:spacing w:line="360" w:lineRule="auto"/>
              <w:rPr>
                <w:rFonts w:cs="仿宋" w:asciiTheme="majorEastAsia" w:hAnsiTheme="majorEastAsia" w:eastAsiaTheme="majorEastAsia"/>
                <w:kern w:val="0"/>
                <w:sz w:val="24"/>
                <w:lang w:val="zh-CN"/>
              </w:rPr>
            </w:pPr>
          </w:p>
        </w:tc>
        <w:tc>
          <w:tcPr>
            <w:tcW w:w="1936" w:type="dxa"/>
            <w:vMerge w:val="continue"/>
            <w:vAlign w:val="center"/>
          </w:tcPr>
          <w:p w14:paraId="71404C2E">
            <w:pPr>
              <w:adjustRightInd w:val="0"/>
              <w:snapToGrid w:val="0"/>
              <w:spacing w:line="360" w:lineRule="auto"/>
              <w:rPr>
                <w:rFonts w:cs="仿宋" w:asciiTheme="majorEastAsia" w:hAnsiTheme="majorEastAsia" w:eastAsiaTheme="majorEastAsia"/>
                <w:kern w:val="0"/>
                <w:sz w:val="24"/>
                <w:lang w:val="zh-CN"/>
              </w:rPr>
            </w:pPr>
          </w:p>
        </w:tc>
        <w:tc>
          <w:tcPr>
            <w:tcW w:w="873" w:type="dxa"/>
            <w:vMerge w:val="continue"/>
            <w:vAlign w:val="center"/>
          </w:tcPr>
          <w:p w14:paraId="16268D54">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69CA83A0">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中级职称</w:t>
            </w:r>
          </w:p>
        </w:tc>
        <w:tc>
          <w:tcPr>
            <w:tcW w:w="3052" w:type="dxa"/>
            <w:gridSpan w:val="2"/>
            <w:vAlign w:val="center"/>
          </w:tcPr>
          <w:p w14:paraId="1D0FDBCF">
            <w:pPr>
              <w:adjustRightInd w:val="0"/>
              <w:snapToGrid w:val="0"/>
              <w:spacing w:line="360" w:lineRule="auto"/>
              <w:rPr>
                <w:rFonts w:cs="仿宋" w:asciiTheme="majorEastAsia" w:hAnsiTheme="majorEastAsia" w:eastAsiaTheme="majorEastAsia"/>
                <w:kern w:val="0"/>
                <w:sz w:val="24"/>
                <w:lang w:val="zh-CN"/>
              </w:rPr>
            </w:pPr>
          </w:p>
        </w:tc>
      </w:tr>
      <w:tr w14:paraId="1308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13F4676">
            <w:pPr>
              <w:adjustRightInd w:val="0"/>
              <w:snapToGrid w:val="0"/>
              <w:spacing w:line="360" w:lineRule="auto"/>
              <w:rPr>
                <w:rFonts w:cs="仿宋" w:asciiTheme="majorEastAsia" w:hAnsiTheme="majorEastAsia" w:eastAsiaTheme="majorEastAsia"/>
                <w:kern w:val="0"/>
                <w:sz w:val="24"/>
                <w:lang w:val="zh-CN"/>
              </w:rPr>
            </w:pPr>
          </w:p>
        </w:tc>
        <w:tc>
          <w:tcPr>
            <w:tcW w:w="1936" w:type="dxa"/>
            <w:vMerge w:val="continue"/>
            <w:vAlign w:val="center"/>
          </w:tcPr>
          <w:p w14:paraId="456F787B">
            <w:pPr>
              <w:adjustRightInd w:val="0"/>
              <w:snapToGrid w:val="0"/>
              <w:spacing w:line="360" w:lineRule="auto"/>
              <w:rPr>
                <w:rFonts w:cs="仿宋" w:asciiTheme="majorEastAsia" w:hAnsiTheme="majorEastAsia" w:eastAsiaTheme="majorEastAsia"/>
                <w:kern w:val="0"/>
                <w:sz w:val="24"/>
                <w:lang w:val="zh-CN"/>
              </w:rPr>
            </w:pPr>
          </w:p>
        </w:tc>
        <w:tc>
          <w:tcPr>
            <w:tcW w:w="873" w:type="dxa"/>
            <w:vMerge w:val="continue"/>
            <w:vAlign w:val="center"/>
          </w:tcPr>
          <w:p w14:paraId="03A12871">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0996F3AD">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各类注册人员</w:t>
            </w:r>
          </w:p>
        </w:tc>
        <w:tc>
          <w:tcPr>
            <w:tcW w:w="3052" w:type="dxa"/>
            <w:gridSpan w:val="2"/>
            <w:vAlign w:val="center"/>
          </w:tcPr>
          <w:p w14:paraId="09C8CA82">
            <w:pPr>
              <w:adjustRightInd w:val="0"/>
              <w:snapToGrid w:val="0"/>
              <w:spacing w:line="360" w:lineRule="auto"/>
              <w:rPr>
                <w:rFonts w:cs="仿宋" w:asciiTheme="majorEastAsia" w:hAnsiTheme="majorEastAsia" w:eastAsiaTheme="majorEastAsia"/>
                <w:kern w:val="0"/>
                <w:sz w:val="24"/>
                <w:lang w:val="zh-CN"/>
              </w:rPr>
            </w:pPr>
          </w:p>
        </w:tc>
      </w:tr>
      <w:tr w14:paraId="5D1B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A29162D">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基本账户开户银行</w:t>
            </w:r>
          </w:p>
        </w:tc>
        <w:tc>
          <w:tcPr>
            <w:tcW w:w="7647" w:type="dxa"/>
            <w:gridSpan w:val="5"/>
            <w:vAlign w:val="center"/>
          </w:tcPr>
          <w:p w14:paraId="0B4B4DD7">
            <w:pPr>
              <w:adjustRightInd w:val="0"/>
              <w:snapToGrid w:val="0"/>
              <w:spacing w:line="360" w:lineRule="auto"/>
              <w:rPr>
                <w:rFonts w:cs="仿宋" w:asciiTheme="majorEastAsia" w:hAnsiTheme="majorEastAsia" w:eastAsiaTheme="majorEastAsia"/>
                <w:kern w:val="0"/>
                <w:sz w:val="24"/>
                <w:lang w:val="zh-CN"/>
              </w:rPr>
            </w:pPr>
          </w:p>
        </w:tc>
      </w:tr>
      <w:tr w14:paraId="176C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CD9F5C0">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基本账户账号</w:t>
            </w:r>
          </w:p>
        </w:tc>
        <w:tc>
          <w:tcPr>
            <w:tcW w:w="7647" w:type="dxa"/>
            <w:gridSpan w:val="5"/>
            <w:vAlign w:val="center"/>
          </w:tcPr>
          <w:p w14:paraId="2C95F7DE">
            <w:pPr>
              <w:adjustRightInd w:val="0"/>
              <w:snapToGrid w:val="0"/>
              <w:spacing w:line="360" w:lineRule="auto"/>
              <w:rPr>
                <w:rFonts w:cs="仿宋" w:asciiTheme="majorEastAsia" w:hAnsiTheme="majorEastAsia" w:eastAsiaTheme="majorEastAsia"/>
                <w:kern w:val="0"/>
                <w:sz w:val="24"/>
                <w:lang w:val="zh-CN"/>
              </w:rPr>
            </w:pPr>
          </w:p>
        </w:tc>
      </w:tr>
      <w:tr w14:paraId="71A5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53AE3DA9">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经营范围</w:t>
            </w:r>
          </w:p>
        </w:tc>
        <w:tc>
          <w:tcPr>
            <w:tcW w:w="7647" w:type="dxa"/>
            <w:gridSpan w:val="5"/>
            <w:vAlign w:val="center"/>
          </w:tcPr>
          <w:p w14:paraId="228ADEF8">
            <w:pPr>
              <w:adjustRightInd w:val="0"/>
              <w:snapToGrid w:val="0"/>
              <w:spacing w:line="360" w:lineRule="auto"/>
              <w:rPr>
                <w:rFonts w:cs="仿宋" w:asciiTheme="majorEastAsia" w:hAnsiTheme="majorEastAsia" w:eastAsiaTheme="majorEastAsia"/>
                <w:kern w:val="0"/>
                <w:sz w:val="24"/>
                <w:lang w:val="zh-CN"/>
              </w:rPr>
            </w:pPr>
          </w:p>
        </w:tc>
      </w:tr>
      <w:tr w14:paraId="1170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071776B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备注</w:t>
            </w:r>
          </w:p>
        </w:tc>
        <w:tc>
          <w:tcPr>
            <w:tcW w:w="7647" w:type="dxa"/>
            <w:gridSpan w:val="5"/>
            <w:vAlign w:val="center"/>
          </w:tcPr>
          <w:p w14:paraId="6686D0DB">
            <w:pPr>
              <w:adjustRightInd w:val="0"/>
              <w:snapToGrid w:val="0"/>
              <w:spacing w:line="360" w:lineRule="auto"/>
              <w:rPr>
                <w:rFonts w:cs="仿宋" w:asciiTheme="majorEastAsia" w:hAnsiTheme="majorEastAsia" w:eastAsiaTheme="majorEastAsia"/>
                <w:kern w:val="0"/>
                <w:sz w:val="24"/>
                <w:lang w:val="zh-CN"/>
              </w:rPr>
            </w:pPr>
          </w:p>
        </w:tc>
      </w:tr>
    </w:tbl>
    <w:p w14:paraId="02A59E65">
      <w:pPr>
        <w:adjustRightInd w:val="0"/>
        <w:snapToGrid w:val="0"/>
        <w:spacing w:line="360" w:lineRule="auto"/>
        <w:ind w:firstLine="482" w:firstLineChars="200"/>
        <w:rPr>
          <w:rFonts w:cs="仿宋" w:asciiTheme="majorEastAsia" w:hAnsiTheme="majorEastAsia" w:eastAsiaTheme="majorEastAsia"/>
          <w:b/>
          <w:bCs/>
          <w:kern w:val="0"/>
          <w:sz w:val="24"/>
          <w:lang w:val="zh-CN"/>
        </w:rPr>
      </w:pPr>
      <w:r>
        <w:rPr>
          <w:rFonts w:hint="eastAsia" w:cs="仿宋" w:asciiTheme="majorEastAsia" w:hAnsiTheme="majorEastAsia" w:eastAsiaTheme="majorEastAsia"/>
          <w:b/>
          <w:bCs/>
          <w:kern w:val="0"/>
          <w:sz w:val="24"/>
          <w:lang w:val="zh-CN"/>
        </w:rPr>
        <w:t>兹证明上述声明是真实、正确的，并提供了全部能提供的资料和数据，我们同意遵照贵方要求出示有关证明文件。</w:t>
      </w:r>
    </w:p>
    <w:p w14:paraId="6D5EE3CC">
      <w:pPr>
        <w:adjustRightInd w:val="0"/>
        <w:snapToGrid w:val="0"/>
        <w:spacing w:line="360" w:lineRule="auto"/>
        <w:rPr>
          <w:rFonts w:cs="仿宋" w:asciiTheme="majorEastAsia" w:hAnsiTheme="majorEastAsia" w:eastAsiaTheme="majorEastAsia"/>
          <w:kern w:val="0"/>
          <w:sz w:val="24"/>
          <w:lang w:val="zh-CN"/>
        </w:rPr>
      </w:pPr>
    </w:p>
    <w:p w14:paraId="2672F46B">
      <w:pPr>
        <w:pStyle w:val="30"/>
        <w:spacing w:line="360" w:lineRule="auto"/>
        <w:ind w:firstLine="560"/>
        <w:rPr>
          <w:rFonts w:cs="仿宋" w:asciiTheme="majorEastAsia" w:hAnsiTheme="majorEastAsia" w:eastAsiaTheme="majorEastAsia"/>
          <w:lang w:val="zh-CN"/>
        </w:rPr>
      </w:pPr>
    </w:p>
    <w:p w14:paraId="5AFF03C8">
      <w:pPr>
        <w:adjustRightInd w:val="0"/>
        <w:snapToGrid w:val="0"/>
        <w:spacing w:line="360" w:lineRule="auto"/>
        <w:ind w:firstLine="4080" w:firstLineChars="17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0DDFE4B6">
      <w:pPr>
        <w:adjustRightInd w:val="0"/>
        <w:snapToGrid w:val="0"/>
        <w:spacing w:line="360" w:lineRule="auto"/>
        <w:ind w:firstLine="4080" w:firstLineChars="17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5A1CD238">
      <w:pPr>
        <w:adjustRightInd w:val="0"/>
        <w:snapToGrid w:val="0"/>
        <w:spacing w:line="360" w:lineRule="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p>
    <w:p w14:paraId="2EFE4EB6">
      <w:pPr>
        <w:widowControl/>
        <w:jc w:val="left"/>
        <w:rPr>
          <w:rFonts w:cs="仿宋" w:asciiTheme="majorEastAsia" w:hAnsiTheme="majorEastAsia" w:eastAsiaTheme="majorEastAsia"/>
          <w:b/>
          <w:kern w:val="0"/>
          <w:sz w:val="32"/>
          <w:szCs w:val="32"/>
          <w:lang w:val="zh-CN"/>
        </w:rPr>
      </w:pPr>
      <w:r>
        <w:rPr>
          <w:rFonts w:cs="仿宋" w:asciiTheme="majorEastAsia" w:hAnsiTheme="majorEastAsia" w:eastAsiaTheme="majorEastAsia"/>
          <w:b/>
          <w:kern w:val="0"/>
          <w:sz w:val="32"/>
          <w:szCs w:val="32"/>
          <w:lang w:val="zh-CN"/>
        </w:rPr>
        <w:br w:type="page"/>
      </w:r>
    </w:p>
    <w:p w14:paraId="137FFF9D">
      <w:pPr>
        <w:snapToGrid w:val="0"/>
        <w:spacing w:line="360" w:lineRule="auto"/>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六、距采购人最近或者能为本项目提供最优服务的网点情况表</w:t>
      </w:r>
    </w:p>
    <w:p w14:paraId="3A6D812F">
      <w:pPr>
        <w:spacing w:line="360" w:lineRule="auto"/>
        <w:rPr>
          <w:rFonts w:cs="仿宋" w:asciiTheme="majorEastAsia" w:hAnsiTheme="majorEastAsia" w:eastAsiaTheme="majorEastAsia"/>
        </w:rPr>
      </w:pPr>
    </w:p>
    <w:tbl>
      <w:tblPr>
        <w:tblStyle w:val="23"/>
        <w:tblW w:w="84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31E2E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1526A5E">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E5B7E74">
            <w:pPr>
              <w:adjustRightInd w:val="0"/>
              <w:snapToGrid w:val="0"/>
              <w:spacing w:line="360" w:lineRule="auto"/>
              <w:rPr>
                <w:rFonts w:cs="仿宋" w:asciiTheme="majorEastAsia" w:hAnsiTheme="majorEastAsia" w:eastAsiaTheme="majorEastAsia"/>
                <w:kern w:val="0"/>
                <w:sz w:val="24"/>
                <w:lang w:val="zh-CN"/>
              </w:rPr>
            </w:pPr>
          </w:p>
        </w:tc>
      </w:tr>
      <w:tr w14:paraId="7C7D5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CE7A5BE">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55C80A1">
            <w:pPr>
              <w:adjustRightInd w:val="0"/>
              <w:snapToGrid w:val="0"/>
              <w:spacing w:line="360" w:lineRule="auto"/>
              <w:rPr>
                <w:rFonts w:cs="仿宋" w:asciiTheme="majorEastAsia" w:hAnsiTheme="majorEastAsia" w:eastAsiaTheme="majorEastAsia"/>
                <w:kern w:val="0"/>
                <w:sz w:val="24"/>
                <w:lang w:val="zh-CN"/>
              </w:rPr>
            </w:pPr>
          </w:p>
        </w:tc>
      </w:tr>
      <w:tr w14:paraId="42EF1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549D78D">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426282EB">
            <w:pPr>
              <w:adjustRightInd w:val="0"/>
              <w:snapToGrid w:val="0"/>
              <w:spacing w:line="360" w:lineRule="auto"/>
              <w:rPr>
                <w:rFonts w:cs="仿宋" w:asciiTheme="majorEastAsia" w:hAnsiTheme="majorEastAsia" w:eastAsiaTheme="majorEastAsia"/>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6B52906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264834C7">
            <w:pPr>
              <w:adjustRightInd w:val="0"/>
              <w:snapToGrid w:val="0"/>
              <w:spacing w:line="360" w:lineRule="auto"/>
              <w:rPr>
                <w:rFonts w:cs="仿宋" w:asciiTheme="majorEastAsia" w:hAnsiTheme="majorEastAsia" w:eastAsiaTheme="majorEastAsia"/>
                <w:kern w:val="0"/>
                <w:sz w:val="24"/>
                <w:lang w:val="zh-CN"/>
              </w:rPr>
            </w:pPr>
          </w:p>
        </w:tc>
      </w:tr>
      <w:tr w14:paraId="52418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266C87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20B02F4D">
            <w:pPr>
              <w:adjustRightInd w:val="0"/>
              <w:snapToGrid w:val="0"/>
              <w:spacing w:line="360" w:lineRule="auto"/>
              <w:rPr>
                <w:rFonts w:cs="仿宋" w:asciiTheme="majorEastAsia" w:hAnsiTheme="majorEastAsia" w:eastAsiaTheme="majorEastAsia"/>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10F0F305">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1B2F38D2">
            <w:pPr>
              <w:adjustRightInd w:val="0"/>
              <w:snapToGrid w:val="0"/>
              <w:spacing w:line="360" w:lineRule="auto"/>
              <w:rPr>
                <w:rFonts w:cs="仿宋" w:asciiTheme="majorEastAsia" w:hAnsiTheme="majorEastAsia" w:eastAsiaTheme="majorEastAsia"/>
                <w:kern w:val="0"/>
                <w:sz w:val="24"/>
                <w:lang w:val="zh-CN"/>
              </w:rPr>
            </w:pPr>
          </w:p>
        </w:tc>
      </w:tr>
      <w:tr w14:paraId="31331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A4A741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C3F26F8">
            <w:pPr>
              <w:adjustRightInd w:val="0"/>
              <w:snapToGrid w:val="0"/>
              <w:spacing w:line="360" w:lineRule="auto"/>
              <w:rPr>
                <w:rFonts w:cs="仿宋" w:asciiTheme="majorEastAsia" w:hAnsiTheme="majorEastAsia" w:eastAsiaTheme="majorEastAsia"/>
                <w:kern w:val="0"/>
                <w:sz w:val="24"/>
                <w:lang w:val="zh-CN"/>
              </w:rPr>
            </w:pPr>
          </w:p>
        </w:tc>
      </w:tr>
      <w:tr w14:paraId="1D281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5FB0AF5">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C5BE14B">
            <w:pPr>
              <w:adjustRightInd w:val="0"/>
              <w:snapToGrid w:val="0"/>
              <w:spacing w:line="360" w:lineRule="auto"/>
              <w:rPr>
                <w:rFonts w:cs="仿宋" w:asciiTheme="majorEastAsia" w:hAnsiTheme="majorEastAsia" w:eastAsiaTheme="majorEastAsia"/>
                <w:kern w:val="0"/>
                <w:sz w:val="24"/>
                <w:lang w:val="zh-CN"/>
              </w:rPr>
            </w:pPr>
          </w:p>
        </w:tc>
      </w:tr>
      <w:tr w14:paraId="3EB5B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CEC0F51">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572CF16">
            <w:pPr>
              <w:adjustRightInd w:val="0"/>
              <w:snapToGrid w:val="0"/>
              <w:spacing w:line="360" w:lineRule="auto"/>
              <w:rPr>
                <w:rFonts w:cs="仿宋" w:asciiTheme="majorEastAsia" w:hAnsiTheme="majorEastAsia" w:eastAsiaTheme="majorEastAsia"/>
                <w:kern w:val="0"/>
                <w:sz w:val="24"/>
                <w:lang w:val="zh-CN"/>
              </w:rPr>
            </w:pPr>
          </w:p>
        </w:tc>
      </w:tr>
      <w:tr w14:paraId="078C8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1184D0F">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616B355">
            <w:pPr>
              <w:adjustRightInd w:val="0"/>
              <w:snapToGrid w:val="0"/>
              <w:spacing w:line="360" w:lineRule="auto"/>
              <w:rPr>
                <w:rFonts w:cs="仿宋" w:asciiTheme="majorEastAsia" w:hAnsiTheme="majorEastAsia" w:eastAsiaTheme="majorEastAsia"/>
                <w:kern w:val="0"/>
                <w:sz w:val="24"/>
                <w:lang w:val="zh-CN"/>
              </w:rPr>
            </w:pPr>
          </w:p>
        </w:tc>
      </w:tr>
      <w:tr w14:paraId="6F76D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82E9F6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558F44F">
            <w:pPr>
              <w:adjustRightInd w:val="0"/>
              <w:snapToGrid w:val="0"/>
              <w:spacing w:line="360" w:lineRule="auto"/>
              <w:rPr>
                <w:rFonts w:cs="仿宋" w:asciiTheme="majorEastAsia" w:hAnsiTheme="majorEastAsia" w:eastAsiaTheme="majorEastAsia"/>
                <w:kern w:val="0"/>
                <w:sz w:val="24"/>
                <w:lang w:val="zh-CN"/>
              </w:rPr>
            </w:pPr>
          </w:p>
        </w:tc>
      </w:tr>
      <w:tr w14:paraId="29078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2FA6DB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7B2A316B">
            <w:pPr>
              <w:adjustRightInd w:val="0"/>
              <w:snapToGrid w:val="0"/>
              <w:spacing w:line="360" w:lineRule="auto"/>
              <w:rPr>
                <w:rFonts w:cs="仿宋" w:asciiTheme="majorEastAsia" w:hAnsiTheme="majorEastAsia" w:eastAsiaTheme="majorEastAsia"/>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73DCA38D">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4C691A96">
            <w:pPr>
              <w:adjustRightInd w:val="0"/>
              <w:snapToGrid w:val="0"/>
              <w:spacing w:line="360" w:lineRule="auto"/>
              <w:rPr>
                <w:rFonts w:cs="仿宋" w:asciiTheme="majorEastAsia" w:hAnsiTheme="majorEastAsia" w:eastAsiaTheme="majorEastAsia"/>
                <w:kern w:val="0"/>
                <w:sz w:val="24"/>
                <w:lang w:val="zh-CN"/>
              </w:rPr>
            </w:pPr>
          </w:p>
        </w:tc>
      </w:tr>
      <w:tr w14:paraId="5AD44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40C58202">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03CABE74">
            <w:pPr>
              <w:adjustRightInd w:val="0"/>
              <w:snapToGrid w:val="0"/>
              <w:spacing w:line="360" w:lineRule="auto"/>
              <w:rPr>
                <w:rFonts w:cs="仿宋" w:asciiTheme="majorEastAsia" w:hAnsiTheme="majorEastAsia" w:eastAsiaTheme="majorEastAsia"/>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65CD6339">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79A8155E">
            <w:pPr>
              <w:adjustRightInd w:val="0"/>
              <w:snapToGrid w:val="0"/>
              <w:spacing w:line="360" w:lineRule="auto"/>
              <w:rPr>
                <w:rFonts w:cs="仿宋" w:asciiTheme="majorEastAsia" w:hAnsiTheme="majorEastAsia" w:eastAsiaTheme="majorEastAsia"/>
                <w:kern w:val="0"/>
                <w:sz w:val="24"/>
                <w:lang w:val="zh-CN"/>
              </w:rPr>
            </w:pPr>
          </w:p>
        </w:tc>
      </w:tr>
    </w:tbl>
    <w:p w14:paraId="7322139F">
      <w:pPr>
        <w:spacing w:line="360" w:lineRule="auto"/>
        <w:rPr>
          <w:rFonts w:cs="仿宋" w:asciiTheme="majorEastAsia" w:hAnsiTheme="majorEastAsia" w:eastAsiaTheme="majorEastAsia"/>
        </w:rPr>
      </w:pPr>
    </w:p>
    <w:p w14:paraId="7D2FD4B1">
      <w:pPr>
        <w:spacing w:line="360" w:lineRule="auto"/>
        <w:rPr>
          <w:rFonts w:cs="仿宋" w:asciiTheme="majorEastAsia" w:hAnsiTheme="majorEastAsia" w:eastAsiaTheme="majorEastAsia"/>
        </w:rPr>
      </w:pPr>
    </w:p>
    <w:p w14:paraId="16F76485">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rPr>
        <w:t xml:space="preserve">       </w:t>
      </w:r>
    </w:p>
    <w:p w14:paraId="0FF4EE98">
      <w:pPr>
        <w:adjustRightInd w:val="0"/>
        <w:snapToGrid w:val="0"/>
        <w:spacing w:line="360" w:lineRule="auto"/>
        <w:ind w:left="3990" w:leftChars="19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501280C0">
      <w:pPr>
        <w:adjustRightInd w:val="0"/>
        <w:snapToGrid w:val="0"/>
        <w:spacing w:line="360" w:lineRule="auto"/>
        <w:ind w:left="3990" w:leftChars="19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0D8DE3E4">
      <w:pPr>
        <w:adjustRightInd w:val="0"/>
        <w:snapToGrid w:val="0"/>
        <w:spacing w:line="360" w:lineRule="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2011158A">
      <w:p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七、评标标准相应的商务技术资料</w:t>
      </w:r>
    </w:p>
    <w:p w14:paraId="0311AE96">
      <w:pPr>
        <w:snapToGrid w:val="0"/>
        <w:spacing w:line="360" w:lineRule="auto"/>
        <w:jc w:val="left"/>
        <w:rPr>
          <w:rFonts w:cs="仿宋" w:asciiTheme="majorEastAsia" w:hAnsiTheme="majorEastAsia" w:eastAsiaTheme="majorEastAsia"/>
          <w:b/>
          <w:sz w:val="24"/>
        </w:rPr>
      </w:pPr>
      <w:r>
        <w:rPr>
          <w:rFonts w:hint="eastAsia" w:cs="仿宋" w:asciiTheme="majorEastAsia" w:hAnsiTheme="majorEastAsia" w:eastAsiaTheme="majorEastAsia"/>
          <w:b/>
          <w:sz w:val="24"/>
        </w:rPr>
        <w:t>（按招标文件第四部分评标办法前附表中“投标文件中评标标准相应的商务技术资料目录”提供资料）</w:t>
      </w:r>
    </w:p>
    <w:p w14:paraId="63F13C8C">
      <w:pPr>
        <w:pStyle w:val="30"/>
        <w:ind w:firstLine="560"/>
        <w:rPr>
          <w:rFonts w:asciiTheme="majorEastAsia" w:hAnsiTheme="majorEastAsia" w:eastAsiaTheme="majorEastAsia"/>
          <w:lang w:val="zh-CN"/>
        </w:rPr>
      </w:pPr>
    </w:p>
    <w:p w14:paraId="61FE7366">
      <w:p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八、商务响应表</w:t>
      </w:r>
    </w:p>
    <w:tbl>
      <w:tblPr>
        <w:tblStyle w:val="23"/>
        <w:tblW w:w="971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6297"/>
        <w:gridCol w:w="799"/>
        <w:gridCol w:w="1258"/>
      </w:tblGrid>
      <w:tr w14:paraId="2B6E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54182C87">
            <w:pPr>
              <w:pStyle w:val="30"/>
              <w:spacing w:line="360" w:lineRule="auto"/>
              <w:ind w:firstLine="0" w:firstLineChars="0"/>
              <w:jc w:val="center"/>
              <w:rPr>
                <w:rFonts w:ascii="宋体" w:hAnsi="宋体" w:eastAsia="宋体"/>
                <w:sz w:val="24"/>
              </w:rPr>
            </w:pPr>
            <w:r>
              <w:rPr>
                <w:rFonts w:hint="eastAsia" w:ascii="宋体" w:hAnsi="宋体" w:eastAsia="宋体"/>
                <w:sz w:val="24"/>
              </w:rPr>
              <w:t>项目</w:t>
            </w:r>
          </w:p>
        </w:tc>
        <w:tc>
          <w:tcPr>
            <w:tcW w:w="6297" w:type="dxa"/>
            <w:tcBorders>
              <w:top w:val="single" w:color="auto" w:sz="4" w:space="0"/>
              <w:left w:val="nil"/>
              <w:bottom w:val="single" w:color="auto" w:sz="4" w:space="0"/>
              <w:right w:val="single" w:color="auto" w:sz="4" w:space="0"/>
            </w:tcBorders>
            <w:shd w:val="clear" w:color="auto" w:fill="auto"/>
            <w:vAlign w:val="center"/>
          </w:tcPr>
          <w:p w14:paraId="2ED49274">
            <w:pPr>
              <w:pStyle w:val="30"/>
              <w:spacing w:line="360" w:lineRule="auto"/>
              <w:ind w:firstLine="0" w:firstLineChars="0"/>
              <w:jc w:val="center"/>
              <w:rPr>
                <w:rFonts w:ascii="宋体" w:hAnsi="宋体" w:eastAsia="宋体"/>
                <w:sz w:val="24"/>
              </w:rPr>
            </w:pPr>
            <w:r>
              <w:rPr>
                <w:rFonts w:hint="eastAsia" w:ascii="宋体" w:hAnsi="宋体" w:eastAsia="宋体"/>
                <w:sz w:val="24"/>
              </w:rPr>
              <w:t xml:space="preserve">要 求 </w:t>
            </w:r>
          </w:p>
        </w:tc>
        <w:tc>
          <w:tcPr>
            <w:tcW w:w="799" w:type="dxa"/>
            <w:tcBorders>
              <w:top w:val="single" w:color="auto" w:sz="4" w:space="0"/>
              <w:left w:val="nil"/>
              <w:bottom w:val="single" w:color="auto" w:sz="4" w:space="0"/>
              <w:right w:val="single" w:color="auto" w:sz="4" w:space="0"/>
            </w:tcBorders>
            <w:shd w:val="clear" w:color="auto" w:fill="auto"/>
            <w:vAlign w:val="center"/>
          </w:tcPr>
          <w:p w14:paraId="293AEC1E">
            <w:pPr>
              <w:jc w:val="center"/>
              <w:rPr>
                <w:rFonts w:ascii="宋体" w:hAnsi="宋体"/>
                <w:sz w:val="24"/>
              </w:rPr>
            </w:pPr>
            <w:r>
              <w:rPr>
                <w:rFonts w:hint="eastAsia" w:ascii="宋体" w:hAnsi="宋体"/>
                <w:sz w:val="24"/>
              </w:rPr>
              <w:t>响应情况</w:t>
            </w:r>
          </w:p>
        </w:tc>
        <w:tc>
          <w:tcPr>
            <w:tcW w:w="1258" w:type="dxa"/>
            <w:tcBorders>
              <w:top w:val="single" w:color="auto" w:sz="4" w:space="0"/>
              <w:left w:val="nil"/>
              <w:bottom w:val="single" w:color="auto" w:sz="4" w:space="0"/>
              <w:right w:val="single" w:color="auto" w:sz="4" w:space="0"/>
            </w:tcBorders>
            <w:shd w:val="clear" w:color="auto" w:fill="auto"/>
            <w:vAlign w:val="center"/>
          </w:tcPr>
          <w:p w14:paraId="3F70EA48">
            <w:pPr>
              <w:jc w:val="center"/>
              <w:rPr>
                <w:rFonts w:ascii="宋体" w:hAnsi="宋体"/>
                <w:sz w:val="24"/>
              </w:rPr>
            </w:pPr>
            <w:r>
              <w:rPr>
                <w:rFonts w:hint="eastAsia" w:ascii="宋体" w:hAnsi="宋体"/>
                <w:sz w:val="24"/>
              </w:rPr>
              <w:t>投标人承诺或说明</w:t>
            </w:r>
          </w:p>
        </w:tc>
      </w:tr>
      <w:tr w14:paraId="142A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5C63670C">
            <w:pPr>
              <w:pStyle w:val="30"/>
              <w:spacing w:line="360" w:lineRule="auto"/>
              <w:ind w:firstLine="0" w:firstLineChars="0"/>
              <w:jc w:val="center"/>
              <w:rPr>
                <w:rFonts w:asciiTheme="minorEastAsia" w:hAnsiTheme="minorEastAsia" w:eastAsiaTheme="minorEastAsia" w:cstheme="minorEastAsia"/>
                <w:sz w:val="24"/>
              </w:rPr>
            </w:pPr>
          </w:p>
        </w:tc>
        <w:tc>
          <w:tcPr>
            <w:tcW w:w="6297" w:type="dxa"/>
            <w:tcBorders>
              <w:top w:val="single" w:color="auto" w:sz="4" w:space="0"/>
              <w:left w:val="nil"/>
              <w:bottom w:val="single" w:color="auto" w:sz="4" w:space="0"/>
              <w:right w:val="single" w:color="auto" w:sz="4" w:space="0"/>
            </w:tcBorders>
            <w:shd w:val="clear" w:color="auto" w:fill="auto"/>
            <w:vAlign w:val="center"/>
          </w:tcPr>
          <w:p w14:paraId="7DFE21DA">
            <w:pPr>
              <w:pStyle w:val="30"/>
              <w:ind w:firstLine="0" w:firstLineChars="0"/>
              <w:rPr>
                <w:rFonts w:asciiTheme="minorEastAsia" w:hAnsiTheme="minorEastAsia" w:eastAsiaTheme="minorEastAsia" w:cstheme="minorEastAsia"/>
                <w:sz w:val="24"/>
              </w:rPr>
            </w:pPr>
          </w:p>
        </w:tc>
        <w:tc>
          <w:tcPr>
            <w:tcW w:w="799" w:type="dxa"/>
            <w:tcBorders>
              <w:top w:val="single" w:color="auto" w:sz="4" w:space="0"/>
              <w:left w:val="nil"/>
              <w:bottom w:val="single" w:color="auto" w:sz="4" w:space="0"/>
              <w:right w:val="single" w:color="auto" w:sz="4" w:space="0"/>
            </w:tcBorders>
            <w:shd w:val="clear" w:color="auto" w:fill="auto"/>
            <w:vAlign w:val="center"/>
          </w:tcPr>
          <w:p w14:paraId="718CC66E">
            <w:pPr>
              <w:pStyle w:val="30"/>
              <w:ind w:firstLine="0" w:firstLineChars="0"/>
              <w:rPr>
                <w:rFonts w:asciiTheme="minorEastAsia" w:hAnsiTheme="minorEastAsia" w:eastAsiaTheme="minorEastAsia" w:cstheme="minorEastAsia"/>
                <w:sz w:val="24"/>
              </w:rPr>
            </w:pPr>
          </w:p>
        </w:tc>
        <w:tc>
          <w:tcPr>
            <w:tcW w:w="1258" w:type="dxa"/>
            <w:tcBorders>
              <w:top w:val="single" w:color="auto" w:sz="4" w:space="0"/>
              <w:left w:val="nil"/>
              <w:bottom w:val="single" w:color="auto" w:sz="4" w:space="0"/>
              <w:right w:val="single" w:color="auto" w:sz="4" w:space="0"/>
            </w:tcBorders>
            <w:shd w:val="clear" w:color="auto" w:fill="auto"/>
            <w:vAlign w:val="center"/>
          </w:tcPr>
          <w:p w14:paraId="5437B184">
            <w:pPr>
              <w:pStyle w:val="30"/>
              <w:ind w:firstLine="0" w:firstLineChars="0"/>
              <w:rPr>
                <w:rFonts w:asciiTheme="minorEastAsia" w:hAnsiTheme="minorEastAsia" w:eastAsiaTheme="minorEastAsia" w:cstheme="minorEastAsia"/>
                <w:sz w:val="24"/>
              </w:rPr>
            </w:pPr>
          </w:p>
        </w:tc>
      </w:tr>
      <w:tr w14:paraId="3806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2F19D165">
            <w:pPr>
              <w:pStyle w:val="30"/>
              <w:spacing w:line="360" w:lineRule="auto"/>
              <w:ind w:firstLine="0" w:firstLineChars="0"/>
              <w:jc w:val="center"/>
              <w:rPr>
                <w:rFonts w:asciiTheme="minorEastAsia" w:hAnsiTheme="minorEastAsia" w:eastAsiaTheme="minorEastAsia" w:cstheme="minorEastAsia"/>
                <w:sz w:val="24"/>
              </w:rPr>
            </w:pPr>
          </w:p>
        </w:tc>
        <w:tc>
          <w:tcPr>
            <w:tcW w:w="6297" w:type="dxa"/>
            <w:tcBorders>
              <w:top w:val="single" w:color="auto" w:sz="4" w:space="0"/>
              <w:left w:val="nil"/>
              <w:bottom w:val="single" w:color="auto" w:sz="4" w:space="0"/>
              <w:right w:val="single" w:color="auto" w:sz="4" w:space="0"/>
            </w:tcBorders>
            <w:shd w:val="clear" w:color="auto" w:fill="auto"/>
            <w:vAlign w:val="center"/>
          </w:tcPr>
          <w:p w14:paraId="08D274DB">
            <w:pPr>
              <w:pStyle w:val="30"/>
              <w:ind w:firstLine="0" w:firstLineChars="0"/>
              <w:rPr>
                <w:rFonts w:asciiTheme="minorEastAsia" w:hAnsiTheme="minorEastAsia" w:eastAsiaTheme="minorEastAsia" w:cstheme="minorEastAsia"/>
                <w:sz w:val="24"/>
              </w:rPr>
            </w:pPr>
          </w:p>
        </w:tc>
        <w:tc>
          <w:tcPr>
            <w:tcW w:w="799" w:type="dxa"/>
            <w:tcBorders>
              <w:top w:val="single" w:color="auto" w:sz="4" w:space="0"/>
              <w:left w:val="nil"/>
              <w:bottom w:val="single" w:color="auto" w:sz="4" w:space="0"/>
              <w:right w:val="single" w:color="auto" w:sz="4" w:space="0"/>
            </w:tcBorders>
            <w:shd w:val="clear" w:color="auto" w:fill="auto"/>
            <w:vAlign w:val="center"/>
          </w:tcPr>
          <w:p w14:paraId="7D31C92D">
            <w:pPr>
              <w:pStyle w:val="30"/>
              <w:ind w:firstLine="0" w:firstLineChars="0"/>
              <w:rPr>
                <w:rFonts w:asciiTheme="minorEastAsia" w:hAnsiTheme="minorEastAsia" w:eastAsiaTheme="minorEastAsia" w:cstheme="minorEastAsia"/>
                <w:sz w:val="24"/>
              </w:rPr>
            </w:pPr>
          </w:p>
        </w:tc>
        <w:tc>
          <w:tcPr>
            <w:tcW w:w="1258" w:type="dxa"/>
            <w:tcBorders>
              <w:top w:val="single" w:color="auto" w:sz="4" w:space="0"/>
              <w:left w:val="nil"/>
              <w:bottom w:val="single" w:color="auto" w:sz="4" w:space="0"/>
              <w:right w:val="single" w:color="auto" w:sz="4" w:space="0"/>
            </w:tcBorders>
            <w:shd w:val="clear" w:color="auto" w:fill="auto"/>
            <w:vAlign w:val="center"/>
          </w:tcPr>
          <w:p w14:paraId="78A13DE0">
            <w:pPr>
              <w:pStyle w:val="30"/>
              <w:ind w:firstLine="0" w:firstLineChars="0"/>
              <w:rPr>
                <w:rFonts w:asciiTheme="minorEastAsia" w:hAnsiTheme="minorEastAsia" w:eastAsiaTheme="minorEastAsia" w:cstheme="minorEastAsia"/>
                <w:sz w:val="24"/>
              </w:rPr>
            </w:pPr>
          </w:p>
        </w:tc>
      </w:tr>
      <w:tr w14:paraId="1A4A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143A16D5">
            <w:pPr>
              <w:pStyle w:val="30"/>
              <w:spacing w:line="360" w:lineRule="auto"/>
              <w:ind w:firstLine="0" w:firstLineChars="0"/>
              <w:jc w:val="center"/>
              <w:rPr>
                <w:rFonts w:asciiTheme="minorEastAsia" w:hAnsiTheme="minorEastAsia" w:eastAsiaTheme="minorEastAsia" w:cstheme="minorEastAsia"/>
                <w:sz w:val="24"/>
              </w:rPr>
            </w:pPr>
          </w:p>
        </w:tc>
        <w:tc>
          <w:tcPr>
            <w:tcW w:w="6297" w:type="dxa"/>
            <w:tcBorders>
              <w:top w:val="single" w:color="auto" w:sz="4" w:space="0"/>
              <w:left w:val="nil"/>
              <w:bottom w:val="single" w:color="auto" w:sz="4" w:space="0"/>
              <w:right w:val="single" w:color="auto" w:sz="4" w:space="0"/>
            </w:tcBorders>
            <w:shd w:val="clear" w:color="auto" w:fill="auto"/>
            <w:vAlign w:val="center"/>
          </w:tcPr>
          <w:p w14:paraId="27EAFFB9">
            <w:pPr>
              <w:pStyle w:val="30"/>
              <w:ind w:firstLine="0" w:firstLineChars="0"/>
              <w:rPr>
                <w:rFonts w:asciiTheme="minorEastAsia" w:hAnsiTheme="minorEastAsia" w:eastAsiaTheme="minorEastAsia" w:cstheme="minorEastAsia"/>
                <w:sz w:val="24"/>
              </w:rPr>
            </w:pPr>
          </w:p>
        </w:tc>
        <w:tc>
          <w:tcPr>
            <w:tcW w:w="799" w:type="dxa"/>
            <w:tcBorders>
              <w:top w:val="single" w:color="auto" w:sz="4" w:space="0"/>
              <w:left w:val="nil"/>
              <w:bottom w:val="single" w:color="auto" w:sz="4" w:space="0"/>
              <w:right w:val="single" w:color="auto" w:sz="4" w:space="0"/>
            </w:tcBorders>
            <w:shd w:val="clear" w:color="auto" w:fill="auto"/>
            <w:vAlign w:val="center"/>
          </w:tcPr>
          <w:p w14:paraId="2BCFDD1B">
            <w:pPr>
              <w:pStyle w:val="30"/>
              <w:ind w:firstLine="0" w:firstLineChars="0"/>
              <w:rPr>
                <w:rFonts w:asciiTheme="minorEastAsia" w:hAnsiTheme="minorEastAsia" w:eastAsiaTheme="minorEastAsia" w:cstheme="minorEastAsia"/>
                <w:sz w:val="24"/>
              </w:rPr>
            </w:pPr>
          </w:p>
        </w:tc>
        <w:tc>
          <w:tcPr>
            <w:tcW w:w="1258" w:type="dxa"/>
            <w:tcBorders>
              <w:top w:val="single" w:color="auto" w:sz="4" w:space="0"/>
              <w:left w:val="nil"/>
              <w:bottom w:val="single" w:color="auto" w:sz="4" w:space="0"/>
              <w:right w:val="single" w:color="auto" w:sz="4" w:space="0"/>
            </w:tcBorders>
            <w:shd w:val="clear" w:color="auto" w:fill="auto"/>
            <w:vAlign w:val="center"/>
          </w:tcPr>
          <w:p w14:paraId="55E91E8E">
            <w:pPr>
              <w:pStyle w:val="30"/>
              <w:ind w:firstLine="0" w:firstLineChars="0"/>
              <w:rPr>
                <w:rFonts w:asciiTheme="minorEastAsia" w:hAnsiTheme="minorEastAsia" w:eastAsiaTheme="minorEastAsia" w:cstheme="minorEastAsia"/>
                <w:sz w:val="24"/>
              </w:rPr>
            </w:pPr>
          </w:p>
        </w:tc>
      </w:tr>
      <w:tr w14:paraId="768C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4EAB04D5">
            <w:pPr>
              <w:pStyle w:val="30"/>
              <w:spacing w:line="360" w:lineRule="auto"/>
              <w:ind w:firstLine="0" w:firstLineChars="0"/>
              <w:jc w:val="center"/>
              <w:rPr>
                <w:rFonts w:asciiTheme="minorEastAsia" w:hAnsiTheme="minorEastAsia" w:eastAsiaTheme="minorEastAsia" w:cstheme="minorEastAsia"/>
                <w:sz w:val="24"/>
              </w:rPr>
            </w:pPr>
          </w:p>
        </w:tc>
        <w:tc>
          <w:tcPr>
            <w:tcW w:w="6297" w:type="dxa"/>
            <w:tcBorders>
              <w:top w:val="single" w:color="auto" w:sz="4" w:space="0"/>
              <w:left w:val="nil"/>
              <w:bottom w:val="single" w:color="auto" w:sz="4" w:space="0"/>
              <w:right w:val="single" w:color="auto" w:sz="4" w:space="0"/>
            </w:tcBorders>
            <w:shd w:val="clear" w:color="auto" w:fill="auto"/>
            <w:vAlign w:val="center"/>
          </w:tcPr>
          <w:p w14:paraId="1A57E57B">
            <w:pPr>
              <w:pStyle w:val="30"/>
              <w:ind w:firstLine="0" w:firstLineChars="0"/>
              <w:rPr>
                <w:rFonts w:asciiTheme="minorEastAsia" w:hAnsiTheme="minorEastAsia" w:eastAsiaTheme="minorEastAsia" w:cstheme="minorEastAsia"/>
                <w:sz w:val="24"/>
              </w:rPr>
            </w:pPr>
          </w:p>
        </w:tc>
        <w:tc>
          <w:tcPr>
            <w:tcW w:w="799" w:type="dxa"/>
            <w:tcBorders>
              <w:top w:val="single" w:color="auto" w:sz="4" w:space="0"/>
              <w:left w:val="nil"/>
              <w:bottom w:val="single" w:color="auto" w:sz="4" w:space="0"/>
              <w:right w:val="single" w:color="auto" w:sz="4" w:space="0"/>
            </w:tcBorders>
            <w:shd w:val="clear" w:color="auto" w:fill="auto"/>
            <w:vAlign w:val="center"/>
          </w:tcPr>
          <w:p w14:paraId="78E5D829">
            <w:pPr>
              <w:pStyle w:val="30"/>
              <w:ind w:firstLine="0" w:firstLineChars="0"/>
              <w:rPr>
                <w:rFonts w:asciiTheme="minorEastAsia" w:hAnsiTheme="minorEastAsia" w:eastAsiaTheme="minorEastAsia" w:cstheme="minorEastAsia"/>
                <w:sz w:val="24"/>
              </w:rPr>
            </w:pPr>
          </w:p>
        </w:tc>
        <w:tc>
          <w:tcPr>
            <w:tcW w:w="1258" w:type="dxa"/>
            <w:tcBorders>
              <w:top w:val="single" w:color="auto" w:sz="4" w:space="0"/>
              <w:left w:val="nil"/>
              <w:bottom w:val="single" w:color="auto" w:sz="4" w:space="0"/>
              <w:right w:val="single" w:color="auto" w:sz="4" w:space="0"/>
            </w:tcBorders>
            <w:shd w:val="clear" w:color="auto" w:fill="auto"/>
            <w:vAlign w:val="center"/>
          </w:tcPr>
          <w:p w14:paraId="095A45BB">
            <w:pPr>
              <w:pStyle w:val="30"/>
              <w:ind w:firstLine="0" w:firstLineChars="0"/>
              <w:rPr>
                <w:rFonts w:asciiTheme="minorEastAsia" w:hAnsiTheme="minorEastAsia" w:eastAsiaTheme="minorEastAsia" w:cstheme="minorEastAsia"/>
                <w:sz w:val="24"/>
              </w:rPr>
            </w:pPr>
          </w:p>
        </w:tc>
      </w:tr>
      <w:tr w14:paraId="7415B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14:paraId="7B27A6F4">
            <w:pPr>
              <w:pStyle w:val="30"/>
              <w:spacing w:line="360" w:lineRule="auto"/>
              <w:ind w:firstLine="0" w:firstLineChars="0"/>
              <w:jc w:val="center"/>
              <w:rPr>
                <w:rFonts w:asciiTheme="minorEastAsia" w:hAnsiTheme="minorEastAsia" w:eastAsiaTheme="minorEastAsia" w:cstheme="minorEastAsia"/>
                <w:sz w:val="24"/>
              </w:rPr>
            </w:pPr>
          </w:p>
        </w:tc>
        <w:tc>
          <w:tcPr>
            <w:tcW w:w="6297" w:type="dxa"/>
            <w:tcBorders>
              <w:top w:val="single" w:color="auto" w:sz="4" w:space="0"/>
              <w:left w:val="nil"/>
              <w:bottom w:val="single" w:color="auto" w:sz="4" w:space="0"/>
              <w:right w:val="single" w:color="auto" w:sz="4" w:space="0"/>
            </w:tcBorders>
            <w:shd w:val="clear" w:color="auto" w:fill="auto"/>
            <w:vAlign w:val="center"/>
          </w:tcPr>
          <w:p w14:paraId="742E5FEB">
            <w:pPr>
              <w:pStyle w:val="30"/>
              <w:ind w:firstLine="0" w:firstLineChars="0"/>
              <w:rPr>
                <w:rFonts w:asciiTheme="minorEastAsia" w:hAnsiTheme="minorEastAsia" w:eastAsiaTheme="minorEastAsia" w:cstheme="minorEastAsia"/>
                <w:sz w:val="24"/>
              </w:rPr>
            </w:pPr>
          </w:p>
        </w:tc>
        <w:tc>
          <w:tcPr>
            <w:tcW w:w="799" w:type="dxa"/>
            <w:tcBorders>
              <w:top w:val="single" w:color="auto" w:sz="4" w:space="0"/>
              <w:left w:val="nil"/>
              <w:bottom w:val="single" w:color="auto" w:sz="4" w:space="0"/>
              <w:right w:val="single" w:color="auto" w:sz="4" w:space="0"/>
            </w:tcBorders>
            <w:shd w:val="clear" w:color="auto" w:fill="auto"/>
            <w:vAlign w:val="center"/>
          </w:tcPr>
          <w:p w14:paraId="2C727970">
            <w:pPr>
              <w:pStyle w:val="30"/>
              <w:ind w:firstLine="0" w:firstLineChars="0"/>
              <w:rPr>
                <w:rFonts w:asciiTheme="minorEastAsia" w:hAnsiTheme="minorEastAsia" w:eastAsiaTheme="minorEastAsia" w:cstheme="minorEastAsia"/>
                <w:sz w:val="24"/>
              </w:rPr>
            </w:pPr>
          </w:p>
        </w:tc>
        <w:tc>
          <w:tcPr>
            <w:tcW w:w="1258" w:type="dxa"/>
            <w:tcBorders>
              <w:top w:val="single" w:color="auto" w:sz="4" w:space="0"/>
              <w:left w:val="nil"/>
              <w:bottom w:val="single" w:color="auto" w:sz="4" w:space="0"/>
              <w:right w:val="single" w:color="auto" w:sz="4" w:space="0"/>
            </w:tcBorders>
            <w:shd w:val="clear" w:color="auto" w:fill="auto"/>
            <w:vAlign w:val="center"/>
          </w:tcPr>
          <w:p w14:paraId="41CCB5C3">
            <w:pPr>
              <w:pStyle w:val="30"/>
              <w:ind w:firstLine="0" w:firstLineChars="0"/>
              <w:rPr>
                <w:rFonts w:asciiTheme="minorEastAsia" w:hAnsiTheme="minorEastAsia" w:eastAsiaTheme="minorEastAsia" w:cstheme="minorEastAsia"/>
                <w:sz w:val="24"/>
              </w:rPr>
            </w:pPr>
          </w:p>
        </w:tc>
      </w:tr>
    </w:tbl>
    <w:p w14:paraId="1466798E">
      <w:pPr>
        <w:adjustRightInd w:val="0"/>
        <w:snapToGrid w:val="0"/>
        <w:spacing w:line="360" w:lineRule="auto"/>
        <w:jc w:val="right"/>
        <w:rPr>
          <w:rFonts w:cs="仿宋" w:asciiTheme="majorEastAsia" w:hAnsiTheme="majorEastAsia" w:eastAsiaTheme="majorEastAsia"/>
          <w:kern w:val="0"/>
          <w:sz w:val="24"/>
          <w:lang w:val="zh-CN"/>
        </w:rPr>
      </w:pPr>
    </w:p>
    <w:p w14:paraId="4819258D">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0A733091">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7AA76056">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58B3401D">
      <w:pPr>
        <w:widowControl/>
        <w:jc w:val="left"/>
        <w:rPr>
          <w:rFonts w:asciiTheme="majorEastAsia" w:hAnsiTheme="majorEastAsia" w:eastAsiaTheme="majorEastAsia"/>
          <w:sz w:val="28"/>
          <w:lang w:val="zh-CN"/>
        </w:rPr>
      </w:pPr>
    </w:p>
    <w:p w14:paraId="62A5FC27">
      <w:pPr>
        <w:pStyle w:val="30"/>
        <w:ind w:firstLine="560"/>
        <w:rPr>
          <w:rFonts w:asciiTheme="majorEastAsia" w:hAnsiTheme="majorEastAsia" w:eastAsiaTheme="majorEastAsia"/>
          <w:lang w:val="zh-CN"/>
        </w:rPr>
      </w:pPr>
    </w:p>
    <w:p w14:paraId="41A89D49">
      <w:pPr>
        <w:widowControl/>
        <w:jc w:val="left"/>
        <w:rPr>
          <w:rFonts w:asciiTheme="majorEastAsia" w:hAnsiTheme="majorEastAsia" w:eastAsiaTheme="majorEastAsia"/>
          <w:sz w:val="28"/>
          <w:lang w:val="zh-CN"/>
        </w:rPr>
      </w:pPr>
      <w:r>
        <w:rPr>
          <w:rFonts w:asciiTheme="majorEastAsia" w:hAnsiTheme="majorEastAsia" w:eastAsiaTheme="majorEastAsia"/>
          <w:lang w:val="zh-CN"/>
        </w:rPr>
        <w:br w:type="page"/>
      </w:r>
    </w:p>
    <w:p w14:paraId="14287BF0">
      <w:pPr>
        <w:pStyle w:val="30"/>
        <w:ind w:firstLine="560"/>
        <w:rPr>
          <w:rFonts w:asciiTheme="majorEastAsia" w:hAnsiTheme="majorEastAsia" w:eastAsiaTheme="majorEastAsia"/>
          <w:lang w:val="zh-CN"/>
        </w:rPr>
      </w:pPr>
    </w:p>
    <w:p w14:paraId="4B3A00ED">
      <w:p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九、服务响应表</w:t>
      </w:r>
    </w:p>
    <w:p w14:paraId="7F7CF8B1">
      <w:pPr>
        <w:ind w:firstLine="210" w:firstLineChars="100"/>
        <w:rPr>
          <w:rFonts w:ascii="宋体" w:hAnsi="宋体" w:cs="宋体"/>
        </w:rPr>
      </w:pPr>
      <w:r>
        <w:rPr>
          <w:rFonts w:hint="eastAsia" w:ascii="宋体" w:hAnsi="宋体" w:cs="宋体"/>
        </w:rPr>
        <w:t>项目名称：</w:t>
      </w:r>
      <w:r>
        <w:rPr>
          <w:rFonts w:hint="eastAsia" w:ascii="宋体" w:hAnsi="宋体" w:cs="宋体"/>
          <w:u w:val="single"/>
        </w:rPr>
        <w:t xml:space="preserve">                      </w:t>
      </w:r>
    </w:p>
    <w:p w14:paraId="44CC72DB">
      <w:pPr>
        <w:ind w:firstLine="210" w:firstLineChars="100"/>
        <w:rPr>
          <w:rFonts w:ascii="宋体" w:hAnsi="宋体" w:cs="宋体"/>
        </w:rPr>
      </w:pPr>
    </w:p>
    <w:tbl>
      <w:tblPr>
        <w:tblStyle w:val="23"/>
        <w:tblW w:w="95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44"/>
        <w:gridCol w:w="2985"/>
        <w:gridCol w:w="2925"/>
      </w:tblGrid>
      <w:tr w14:paraId="651B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09" w:type="dxa"/>
            <w:vAlign w:val="center"/>
          </w:tcPr>
          <w:p w14:paraId="55E913FC">
            <w:pPr>
              <w:jc w:val="center"/>
              <w:rPr>
                <w:rFonts w:ascii="宋体" w:hAnsi="宋体" w:cs="宋体"/>
                <w:szCs w:val="21"/>
              </w:rPr>
            </w:pPr>
            <w:r>
              <w:rPr>
                <w:rFonts w:hint="eastAsia" w:ascii="宋体" w:hAnsi="宋体" w:cs="宋体"/>
                <w:szCs w:val="21"/>
              </w:rPr>
              <w:t>序号</w:t>
            </w:r>
          </w:p>
        </w:tc>
        <w:tc>
          <w:tcPr>
            <w:tcW w:w="2944" w:type="dxa"/>
            <w:vAlign w:val="center"/>
          </w:tcPr>
          <w:p w14:paraId="52E4F4E0">
            <w:pPr>
              <w:ind w:firstLine="210" w:firstLineChars="100"/>
              <w:rPr>
                <w:rFonts w:ascii="宋体" w:hAnsi="宋体" w:cs="宋体"/>
              </w:rPr>
            </w:pPr>
            <w:r>
              <w:rPr>
                <w:rFonts w:hint="eastAsia" w:ascii="宋体" w:hAnsi="宋体" w:cs="宋体"/>
              </w:rPr>
              <w:t>采购文件条款描述</w:t>
            </w:r>
          </w:p>
        </w:tc>
        <w:tc>
          <w:tcPr>
            <w:tcW w:w="2985" w:type="dxa"/>
            <w:vAlign w:val="center"/>
          </w:tcPr>
          <w:p w14:paraId="1D7B2701">
            <w:pPr>
              <w:ind w:left="-78" w:leftChars="-37" w:right="-80" w:rightChars="-38"/>
              <w:jc w:val="center"/>
              <w:rPr>
                <w:rFonts w:ascii="宋体" w:hAnsi="宋体" w:cs="宋体"/>
              </w:rPr>
            </w:pPr>
            <w:r>
              <w:rPr>
                <w:rFonts w:hint="eastAsia" w:ascii="宋体" w:hAnsi="宋体" w:cs="宋体"/>
              </w:rPr>
              <w:t>投标人响应描述</w:t>
            </w:r>
          </w:p>
        </w:tc>
        <w:tc>
          <w:tcPr>
            <w:tcW w:w="2925" w:type="dxa"/>
            <w:vAlign w:val="center"/>
          </w:tcPr>
          <w:p w14:paraId="60552A59">
            <w:pPr>
              <w:ind w:left="-78" w:leftChars="-37" w:right="-80" w:rightChars="-38"/>
              <w:jc w:val="center"/>
              <w:rPr>
                <w:rFonts w:ascii="宋体" w:hAnsi="宋体" w:cs="宋体"/>
              </w:rPr>
            </w:pPr>
            <w:r>
              <w:rPr>
                <w:rFonts w:hint="eastAsia" w:ascii="宋体" w:hAnsi="宋体" w:cs="宋体"/>
              </w:rPr>
              <w:t>差异</w:t>
            </w:r>
          </w:p>
        </w:tc>
      </w:tr>
      <w:tr w14:paraId="509D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709" w:type="dxa"/>
            <w:vAlign w:val="center"/>
          </w:tcPr>
          <w:p w14:paraId="2A9A9E98">
            <w:pPr>
              <w:jc w:val="center"/>
              <w:rPr>
                <w:rFonts w:ascii="宋体" w:hAnsi="宋体" w:cs="宋体"/>
                <w:sz w:val="28"/>
                <w:szCs w:val="36"/>
              </w:rPr>
            </w:pPr>
            <w:r>
              <w:rPr>
                <w:rFonts w:hint="eastAsia" w:ascii="宋体" w:hAnsi="宋体" w:cs="宋体"/>
                <w:sz w:val="28"/>
                <w:szCs w:val="36"/>
              </w:rPr>
              <w:t>1</w:t>
            </w:r>
          </w:p>
        </w:tc>
        <w:tc>
          <w:tcPr>
            <w:tcW w:w="2944" w:type="dxa"/>
            <w:vAlign w:val="center"/>
          </w:tcPr>
          <w:p w14:paraId="7906C198">
            <w:pPr>
              <w:jc w:val="center"/>
              <w:rPr>
                <w:rFonts w:ascii="宋体" w:hAnsi="宋体" w:cs="宋体"/>
                <w:sz w:val="28"/>
                <w:szCs w:val="36"/>
              </w:rPr>
            </w:pPr>
            <w:r>
              <w:rPr>
                <w:rFonts w:hint="eastAsia" w:ascii="宋体" w:hAnsi="宋体" w:cs="宋体"/>
                <w:sz w:val="28"/>
                <w:szCs w:val="36"/>
              </w:rPr>
              <w:t>第三部分 采购需求所有条款</w:t>
            </w:r>
          </w:p>
        </w:tc>
        <w:tc>
          <w:tcPr>
            <w:tcW w:w="2985" w:type="dxa"/>
            <w:vAlign w:val="center"/>
          </w:tcPr>
          <w:p w14:paraId="1E19B2C4">
            <w:pPr>
              <w:jc w:val="center"/>
              <w:rPr>
                <w:rFonts w:ascii="宋体" w:hAnsi="宋体" w:cs="宋体"/>
                <w:sz w:val="28"/>
                <w:szCs w:val="36"/>
              </w:rPr>
            </w:pPr>
          </w:p>
        </w:tc>
        <w:tc>
          <w:tcPr>
            <w:tcW w:w="2925" w:type="dxa"/>
          </w:tcPr>
          <w:p w14:paraId="5D527903">
            <w:pPr>
              <w:rPr>
                <w:rFonts w:ascii="宋体" w:hAnsi="宋体" w:cs="宋体"/>
              </w:rPr>
            </w:pPr>
          </w:p>
        </w:tc>
      </w:tr>
    </w:tbl>
    <w:p w14:paraId="193CD2C7">
      <w:pPr>
        <w:spacing w:line="360" w:lineRule="auto"/>
        <w:ind w:firstLine="210" w:firstLineChars="100"/>
        <w:rPr>
          <w:rFonts w:ascii="宋体" w:hAnsi="宋体" w:cs="宋体"/>
        </w:rPr>
      </w:pPr>
      <w:r>
        <w:rPr>
          <w:rFonts w:hint="eastAsia" w:ascii="宋体" w:hAnsi="宋体" w:cs="宋体"/>
        </w:rPr>
        <w:t>注：1、投标人完全满足招标文件全部要求的应在“投标人响应描述”中填写“完全响应”。</w:t>
      </w:r>
      <w:r>
        <w:rPr>
          <w:rFonts w:hint="eastAsia" w:ascii="宋体" w:hAnsi="宋体" w:cs="宋体"/>
          <w:b/>
          <w:bCs/>
        </w:rPr>
        <w:t>采购需求中如要求提供相关证明资料的，投标人需根据要求提供相关证明材料，未提供或提供不满足的视为负偏离。</w:t>
      </w:r>
    </w:p>
    <w:p w14:paraId="47A3AA97">
      <w:pPr>
        <w:spacing w:line="360" w:lineRule="auto"/>
        <w:ind w:firstLine="210" w:firstLineChars="100"/>
        <w:rPr>
          <w:rFonts w:ascii="宋体" w:hAnsi="宋体" w:cs="宋体"/>
        </w:rPr>
      </w:pPr>
      <w:r>
        <w:rPr>
          <w:rFonts w:hint="eastAsia" w:ascii="宋体" w:hAnsi="宋体" w:cs="宋体"/>
        </w:rPr>
        <w:t>2、投标文件响应内容对招标文件要求如有任何偏离（包括正偏离及负偏离）均应汇总并逐条填写在此表“差异”中，未填写部分视作完全响应招标文件要求。</w:t>
      </w:r>
    </w:p>
    <w:p w14:paraId="71053DA1">
      <w:pPr>
        <w:spacing w:line="360" w:lineRule="auto"/>
        <w:ind w:firstLine="3360" w:firstLineChars="1600"/>
        <w:rPr>
          <w:rFonts w:ascii="宋体" w:hAnsi="宋体" w:cs="宋体"/>
        </w:rPr>
      </w:pPr>
    </w:p>
    <w:p w14:paraId="7A9BC129">
      <w:pPr>
        <w:spacing w:line="360" w:lineRule="auto"/>
        <w:ind w:firstLine="3360" w:firstLineChars="1600"/>
        <w:rPr>
          <w:rFonts w:ascii="宋体" w:hAnsi="宋体" w:cs="宋体"/>
        </w:rPr>
      </w:pPr>
    </w:p>
    <w:p w14:paraId="233745AB">
      <w:pPr>
        <w:spacing w:line="360" w:lineRule="auto"/>
        <w:ind w:firstLine="3360" w:firstLineChars="1600"/>
        <w:rPr>
          <w:rFonts w:ascii="宋体" w:hAnsi="宋体" w:cs="宋体"/>
        </w:rPr>
      </w:pPr>
    </w:p>
    <w:p w14:paraId="76A13478">
      <w:pPr>
        <w:spacing w:line="360" w:lineRule="auto"/>
        <w:ind w:firstLine="3360" w:firstLineChars="1600"/>
        <w:rPr>
          <w:rFonts w:ascii="宋体" w:hAnsi="宋体" w:cs="宋体"/>
        </w:rPr>
      </w:pPr>
    </w:p>
    <w:p w14:paraId="5D95930B">
      <w:pPr>
        <w:spacing w:line="360" w:lineRule="auto"/>
        <w:ind w:firstLine="3360" w:firstLineChars="1600"/>
        <w:rPr>
          <w:rFonts w:ascii="宋体" w:hAnsi="宋体" w:cs="宋体"/>
        </w:rPr>
      </w:pPr>
      <w:r>
        <w:rPr>
          <w:rFonts w:hint="eastAsia" w:ascii="宋体" w:hAnsi="宋体" w:cs="宋体"/>
        </w:rPr>
        <w:t>法定代表人或其授权委托人（签名或印章）：</w:t>
      </w:r>
    </w:p>
    <w:p w14:paraId="4CB0458C">
      <w:pPr>
        <w:spacing w:line="360" w:lineRule="auto"/>
        <w:ind w:firstLine="4830" w:firstLineChars="2300"/>
        <w:rPr>
          <w:rFonts w:ascii="宋体" w:hAnsi="宋体" w:cs="宋体"/>
        </w:rPr>
      </w:pPr>
      <w:r>
        <w:rPr>
          <w:rFonts w:hint="eastAsia" w:ascii="宋体" w:hAnsi="宋体" w:cs="宋体"/>
        </w:rPr>
        <w:t>投标人（盖章）：</w:t>
      </w:r>
    </w:p>
    <w:p w14:paraId="55062F59">
      <w:pPr>
        <w:pStyle w:val="30"/>
      </w:pPr>
      <w:r>
        <w:rPr>
          <w:rFonts w:hint="eastAsia" w:ascii="宋体" w:hAnsi="宋体" w:eastAsia="宋体" w:cs="宋体"/>
          <w:sz w:val="21"/>
        </w:rPr>
        <w:t xml:space="preserve">                                                 日期：</w:t>
      </w:r>
    </w:p>
    <w:p w14:paraId="2325D241">
      <w:p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rPr>
        <w:br w:type="page"/>
      </w:r>
      <w:r>
        <w:rPr>
          <w:rFonts w:hint="eastAsia" w:cs="仿宋" w:asciiTheme="majorEastAsia" w:hAnsiTheme="majorEastAsia" w:eastAsiaTheme="majorEastAsia"/>
          <w:b/>
          <w:kern w:val="0"/>
          <w:sz w:val="32"/>
          <w:szCs w:val="32"/>
        </w:rPr>
        <w:t>十、同类业绩情况一览表</w:t>
      </w:r>
    </w:p>
    <w:p w14:paraId="22DF363E">
      <w:pPr>
        <w:spacing w:line="360" w:lineRule="auto"/>
        <w:jc w:val="center"/>
        <w:rPr>
          <w:rFonts w:cs="仿宋" w:asciiTheme="majorEastAsia" w:hAnsiTheme="majorEastAsia" w:eastAsiaTheme="majorEastAsia"/>
        </w:rPr>
      </w:pPr>
    </w:p>
    <w:tbl>
      <w:tblPr>
        <w:tblStyle w:val="23"/>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32C5D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1CB3167E">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0713553">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采购单位名称</w:t>
            </w:r>
          </w:p>
        </w:tc>
        <w:tc>
          <w:tcPr>
            <w:tcW w:w="1732" w:type="dxa"/>
            <w:tcBorders>
              <w:top w:val="single" w:color="auto" w:sz="4" w:space="0"/>
              <w:left w:val="single" w:color="auto" w:sz="4" w:space="0"/>
              <w:right w:val="single" w:color="auto" w:sz="4" w:space="0"/>
            </w:tcBorders>
            <w:vAlign w:val="center"/>
          </w:tcPr>
          <w:p w14:paraId="6F0236D5">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0375878F">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合同金额</w:t>
            </w:r>
          </w:p>
          <w:p w14:paraId="15955161">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141C5A2D">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1EEA3B82">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合同签订时间</w:t>
            </w:r>
          </w:p>
        </w:tc>
      </w:tr>
      <w:tr w14:paraId="09C7E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042A687">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14:paraId="18DA70CC">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20A5907B">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67B62689">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CDB80CD">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5920C532">
            <w:pPr>
              <w:spacing w:line="360" w:lineRule="auto"/>
              <w:jc w:val="left"/>
              <w:rPr>
                <w:rFonts w:cs="仿宋" w:asciiTheme="majorEastAsia" w:hAnsiTheme="majorEastAsia" w:eastAsiaTheme="majorEastAsia"/>
                <w:kern w:val="0"/>
                <w:sz w:val="24"/>
              </w:rPr>
            </w:pPr>
          </w:p>
        </w:tc>
      </w:tr>
      <w:tr w14:paraId="1801C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43F7779">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14:paraId="62C201D9">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2422219F">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74026D63">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0D772BB">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7E41E86">
            <w:pPr>
              <w:spacing w:line="360" w:lineRule="auto"/>
              <w:jc w:val="left"/>
              <w:rPr>
                <w:rFonts w:cs="仿宋" w:asciiTheme="majorEastAsia" w:hAnsiTheme="majorEastAsia" w:eastAsiaTheme="majorEastAsia"/>
                <w:kern w:val="0"/>
                <w:sz w:val="24"/>
              </w:rPr>
            </w:pPr>
          </w:p>
        </w:tc>
      </w:tr>
      <w:tr w14:paraId="2D553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07DDF85">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14:paraId="310D2D6B">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6EB33B67">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4B114964">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15BEFC4">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EF3BE5F">
            <w:pPr>
              <w:spacing w:line="360" w:lineRule="auto"/>
              <w:jc w:val="left"/>
              <w:rPr>
                <w:rFonts w:cs="仿宋" w:asciiTheme="majorEastAsia" w:hAnsiTheme="majorEastAsia" w:eastAsiaTheme="majorEastAsia"/>
                <w:kern w:val="0"/>
                <w:sz w:val="24"/>
              </w:rPr>
            </w:pPr>
          </w:p>
        </w:tc>
      </w:tr>
      <w:tr w14:paraId="09C08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C7C9D66">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14:paraId="15EEAFAC">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36A7FBCE">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11D66DFE">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6EFE726">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6B0231FA">
            <w:pPr>
              <w:spacing w:line="360" w:lineRule="auto"/>
              <w:jc w:val="left"/>
              <w:rPr>
                <w:rFonts w:cs="仿宋" w:asciiTheme="majorEastAsia" w:hAnsiTheme="majorEastAsia" w:eastAsiaTheme="majorEastAsia"/>
                <w:kern w:val="0"/>
                <w:sz w:val="24"/>
              </w:rPr>
            </w:pPr>
          </w:p>
        </w:tc>
      </w:tr>
      <w:tr w14:paraId="5BC58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2FE37B94">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14:paraId="639FF06F">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3F2F8B24">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4A13A09D">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49A55C9">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B0FBEAF">
            <w:pPr>
              <w:spacing w:line="360" w:lineRule="auto"/>
              <w:jc w:val="left"/>
              <w:rPr>
                <w:rFonts w:cs="仿宋" w:asciiTheme="majorEastAsia" w:hAnsiTheme="majorEastAsia" w:eastAsiaTheme="majorEastAsia"/>
                <w:kern w:val="0"/>
                <w:sz w:val="24"/>
              </w:rPr>
            </w:pPr>
          </w:p>
        </w:tc>
      </w:tr>
    </w:tbl>
    <w:p w14:paraId="2A60ACEB">
      <w:pPr>
        <w:spacing w:line="360" w:lineRule="auto"/>
        <w:jc w:val="left"/>
        <w:rPr>
          <w:rFonts w:cs="仿宋" w:asciiTheme="majorEastAsia" w:hAnsiTheme="majorEastAsia" w:eastAsiaTheme="majorEastAsia"/>
          <w:kern w:val="0"/>
          <w:sz w:val="24"/>
        </w:rPr>
      </w:pPr>
    </w:p>
    <w:p w14:paraId="7EF34568">
      <w:pPr>
        <w:spacing w:line="360" w:lineRule="auto"/>
        <w:jc w:val="left"/>
        <w:rPr>
          <w:rFonts w:cs="仿宋" w:asciiTheme="majorEastAsia" w:hAnsiTheme="majorEastAsia" w:eastAsiaTheme="majorEastAsia"/>
          <w:kern w:val="0"/>
          <w:sz w:val="24"/>
        </w:rPr>
      </w:pPr>
    </w:p>
    <w:p w14:paraId="4E5ECC28">
      <w:pPr>
        <w:spacing w:line="360" w:lineRule="auto"/>
        <w:jc w:val="left"/>
        <w:rPr>
          <w:rFonts w:cs="仿宋" w:asciiTheme="majorEastAsia" w:hAnsiTheme="majorEastAsia" w:eastAsiaTheme="majorEastAsia"/>
          <w:kern w:val="0"/>
          <w:sz w:val="24"/>
        </w:rPr>
      </w:pPr>
    </w:p>
    <w:p w14:paraId="4EF7132C">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4CB49E51">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4DC1F6B7">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5B9A057D">
      <w:pPr>
        <w:spacing w:line="360" w:lineRule="auto"/>
        <w:ind w:left="4620" w:leftChars="2200"/>
        <w:jc w:val="left"/>
        <w:rPr>
          <w:rFonts w:cs="仿宋" w:asciiTheme="majorEastAsia" w:hAnsiTheme="majorEastAsia" w:eastAsiaTheme="majorEastAsia"/>
          <w:b/>
          <w:kern w:val="0"/>
          <w:sz w:val="32"/>
          <w:szCs w:val="32"/>
          <w:lang w:val="zh-CN"/>
        </w:rPr>
      </w:pPr>
      <w:r>
        <w:rPr>
          <w:rFonts w:cs="仿宋" w:asciiTheme="majorEastAsia" w:hAnsiTheme="majorEastAsia" w:eastAsiaTheme="majorEastAsia"/>
          <w:b/>
          <w:kern w:val="0"/>
          <w:sz w:val="32"/>
          <w:szCs w:val="32"/>
          <w:lang w:val="zh-CN"/>
        </w:rPr>
        <w:br w:type="page"/>
      </w:r>
    </w:p>
    <w:p w14:paraId="67195734">
      <w:p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十一、项目实施人员一览表</w:t>
      </w:r>
    </w:p>
    <w:p w14:paraId="53507211">
      <w:pPr>
        <w:pStyle w:val="12"/>
        <w:ind w:left="632" w:hanging="632" w:hangingChars="300"/>
        <w:rPr>
          <w:rFonts w:hAnsi="宋体"/>
          <w:b/>
        </w:rPr>
      </w:pPr>
      <w:r>
        <w:rPr>
          <w:rFonts w:hint="eastAsia" w:hAnsi="宋体"/>
          <w:b/>
        </w:rPr>
        <w:t>项目名称：                                            项目编号：</w:t>
      </w:r>
    </w:p>
    <w:p w14:paraId="0B2F77B1">
      <w:pPr>
        <w:jc w:val="left"/>
        <w:rPr>
          <w:rFonts w:ascii="仿宋_GB2312" w:hAnsi="仿宋" w:eastAsia="仿宋_GB2312" w:cs="仿宋"/>
          <w:b/>
          <w:sz w:val="24"/>
        </w:rPr>
      </w:pPr>
    </w:p>
    <w:p w14:paraId="44A838B7">
      <w:pPr>
        <w:jc w:val="left"/>
        <w:rPr>
          <w:rFonts w:hAnsi="宋体"/>
          <w:b/>
          <w:szCs w:val="21"/>
        </w:rPr>
      </w:pPr>
      <w:r>
        <w:rPr>
          <w:rFonts w:hint="eastAsia" w:ascii="仿宋_GB2312" w:hAnsi="仿宋" w:eastAsia="仿宋_GB2312" w:cs="仿宋"/>
          <w:b/>
          <w:sz w:val="24"/>
        </w:rPr>
        <w:t>附表A:本项目的项目总负责人情况表</w:t>
      </w:r>
    </w:p>
    <w:tbl>
      <w:tblPr>
        <w:tblStyle w:val="23"/>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4716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3CC593E2">
            <w:pPr>
              <w:pStyle w:val="12"/>
              <w:ind w:left="630" w:hanging="630" w:hangingChars="300"/>
              <w:jc w:val="center"/>
              <w:rPr>
                <w:rFonts w:hAnsi="宋体"/>
              </w:rPr>
            </w:pPr>
            <w:r>
              <w:rPr>
                <w:rFonts w:hint="eastAsia" w:hAnsi="宋体"/>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06B30725">
            <w:pPr>
              <w:pStyle w:val="12"/>
              <w:ind w:left="630" w:hanging="630" w:hangingChars="300"/>
              <w:jc w:val="center"/>
              <w:rPr>
                <w:rFonts w:hAnsi="宋体"/>
              </w:rPr>
            </w:pPr>
          </w:p>
        </w:tc>
        <w:tc>
          <w:tcPr>
            <w:tcW w:w="1648" w:type="dxa"/>
            <w:tcBorders>
              <w:top w:val="single" w:color="auto" w:sz="12" w:space="0"/>
              <w:left w:val="single" w:color="auto" w:sz="6" w:space="0"/>
              <w:bottom w:val="single" w:color="auto" w:sz="6" w:space="0"/>
              <w:right w:val="single" w:color="auto" w:sz="6" w:space="0"/>
            </w:tcBorders>
            <w:vAlign w:val="center"/>
          </w:tcPr>
          <w:p w14:paraId="216FC450">
            <w:pPr>
              <w:pStyle w:val="12"/>
              <w:ind w:left="630" w:hanging="630" w:hangingChars="300"/>
              <w:jc w:val="center"/>
              <w:rPr>
                <w:rFonts w:hAnsi="宋体"/>
              </w:rPr>
            </w:pPr>
            <w:r>
              <w:rPr>
                <w:rFonts w:hint="eastAsia" w:hAnsi="宋体"/>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71932B5E">
            <w:pPr>
              <w:pStyle w:val="12"/>
              <w:ind w:left="630" w:hanging="630" w:hangingChars="300"/>
              <w:jc w:val="center"/>
              <w:rPr>
                <w:rFonts w:hAnsi="宋体"/>
              </w:rPr>
            </w:pPr>
          </w:p>
        </w:tc>
        <w:tc>
          <w:tcPr>
            <w:tcW w:w="1576" w:type="dxa"/>
            <w:tcBorders>
              <w:top w:val="single" w:color="auto" w:sz="12" w:space="0"/>
              <w:left w:val="single" w:color="auto" w:sz="6" w:space="0"/>
              <w:bottom w:val="single" w:color="auto" w:sz="6" w:space="0"/>
              <w:right w:val="single" w:color="auto" w:sz="6" w:space="0"/>
            </w:tcBorders>
            <w:vAlign w:val="center"/>
          </w:tcPr>
          <w:p w14:paraId="3886A9F9">
            <w:pPr>
              <w:pStyle w:val="12"/>
              <w:ind w:left="630" w:hanging="630" w:hangingChars="300"/>
              <w:jc w:val="center"/>
              <w:rPr>
                <w:rFonts w:hAnsi="宋体"/>
              </w:rPr>
            </w:pPr>
            <w:r>
              <w:rPr>
                <w:rFonts w:hint="eastAsia" w:hAnsi="宋体"/>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2BE6023F">
            <w:pPr>
              <w:pStyle w:val="12"/>
              <w:ind w:left="630" w:hanging="630" w:hangingChars="300"/>
              <w:jc w:val="center"/>
              <w:rPr>
                <w:rFonts w:hAnsi="宋体"/>
              </w:rPr>
            </w:pPr>
          </w:p>
        </w:tc>
      </w:tr>
      <w:tr w14:paraId="10C3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7EB4100C">
            <w:pPr>
              <w:pStyle w:val="12"/>
              <w:ind w:left="630" w:hanging="630" w:hangingChars="300"/>
              <w:jc w:val="center"/>
              <w:rPr>
                <w:rFonts w:hAnsi="宋体"/>
              </w:rPr>
            </w:pPr>
            <w:r>
              <w:rPr>
                <w:rFonts w:hint="eastAsia" w:hAnsi="宋体"/>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1F706C07">
            <w:pPr>
              <w:pStyle w:val="12"/>
              <w:ind w:left="630" w:hanging="630" w:hangingChars="300"/>
              <w:jc w:val="center"/>
              <w:rPr>
                <w:rFonts w:hAnsi="宋体"/>
              </w:rPr>
            </w:pPr>
          </w:p>
        </w:tc>
        <w:tc>
          <w:tcPr>
            <w:tcW w:w="1648" w:type="dxa"/>
            <w:tcBorders>
              <w:top w:val="single" w:color="auto" w:sz="6" w:space="0"/>
              <w:left w:val="single" w:color="auto" w:sz="6" w:space="0"/>
              <w:bottom w:val="single" w:color="auto" w:sz="6" w:space="0"/>
              <w:right w:val="single" w:color="auto" w:sz="6" w:space="0"/>
            </w:tcBorders>
            <w:vAlign w:val="center"/>
          </w:tcPr>
          <w:p w14:paraId="74DAB543">
            <w:pPr>
              <w:pStyle w:val="12"/>
              <w:ind w:left="630" w:hanging="630" w:hangingChars="300"/>
              <w:jc w:val="center"/>
              <w:rPr>
                <w:rFonts w:hAnsi="宋体"/>
              </w:rPr>
            </w:pPr>
            <w:r>
              <w:rPr>
                <w:rFonts w:hint="eastAsia" w:hAnsi="宋体"/>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6EAFB364">
            <w:pPr>
              <w:pStyle w:val="12"/>
              <w:ind w:left="630" w:hanging="630" w:hangingChars="300"/>
              <w:jc w:val="center"/>
              <w:rPr>
                <w:rFonts w:hAnsi="宋体"/>
              </w:rPr>
            </w:pPr>
          </w:p>
        </w:tc>
        <w:tc>
          <w:tcPr>
            <w:tcW w:w="1576" w:type="dxa"/>
            <w:tcBorders>
              <w:top w:val="single" w:color="auto" w:sz="6" w:space="0"/>
              <w:left w:val="single" w:color="auto" w:sz="6" w:space="0"/>
              <w:bottom w:val="single" w:color="auto" w:sz="6" w:space="0"/>
              <w:right w:val="single" w:color="auto" w:sz="6" w:space="0"/>
            </w:tcBorders>
            <w:vAlign w:val="center"/>
          </w:tcPr>
          <w:p w14:paraId="4F8D2FC2">
            <w:pPr>
              <w:pStyle w:val="12"/>
              <w:ind w:left="630" w:hanging="630" w:hangingChars="300"/>
              <w:jc w:val="center"/>
              <w:rPr>
                <w:rFonts w:hAnsi="宋体"/>
              </w:rPr>
            </w:pPr>
            <w:r>
              <w:rPr>
                <w:rFonts w:hint="eastAsia" w:hAnsi="宋体"/>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280EF5B5">
            <w:pPr>
              <w:pStyle w:val="12"/>
              <w:ind w:left="630" w:hanging="630" w:hangingChars="300"/>
              <w:jc w:val="center"/>
              <w:rPr>
                <w:rFonts w:hAnsi="宋体"/>
              </w:rPr>
            </w:pPr>
          </w:p>
        </w:tc>
      </w:tr>
      <w:tr w14:paraId="3C286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32890AA7">
            <w:pPr>
              <w:pStyle w:val="12"/>
              <w:ind w:left="630" w:hanging="630" w:hangingChars="300"/>
              <w:jc w:val="center"/>
              <w:rPr>
                <w:rFonts w:hAnsi="宋体"/>
              </w:rPr>
            </w:pPr>
            <w:r>
              <w:rPr>
                <w:rFonts w:hint="eastAsia" w:hAnsi="宋体"/>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7B712B89">
            <w:pPr>
              <w:pStyle w:val="12"/>
              <w:ind w:left="630" w:hanging="630" w:hangingChars="300"/>
              <w:jc w:val="center"/>
              <w:rPr>
                <w:rFonts w:hAnsi="宋体"/>
              </w:rPr>
            </w:pPr>
          </w:p>
        </w:tc>
        <w:tc>
          <w:tcPr>
            <w:tcW w:w="1761" w:type="dxa"/>
            <w:tcBorders>
              <w:top w:val="single" w:color="auto" w:sz="6" w:space="0"/>
              <w:left w:val="single" w:color="auto" w:sz="6" w:space="0"/>
              <w:bottom w:val="single" w:color="auto" w:sz="6" w:space="0"/>
              <w:right w:val="single" w:color="auto" w:sz="6" w:space="0"/>
            </w:tcBorders>
            <w:vAlign w:val="center"/>
          </w:tcPr>
          <w:p w14:paraId="7B46C9DE">
            <w:pPr>
              <w:pStyle w:val="12"/>
              <w:ind w:left="630" w:hanging="630" w:hangingChars="300"/>
              <w:jc w:val="center"/>
              <w:rPr>
                <w:rFonts w:hAnsi="宋体"/>
              </w:rPr>
            </w:pPr>
            <w:r>
              <w:rPr>
                <w:rFonts w:hint="eastAsia" w:hAnsi="宋体"/>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3183D173">
            <w:pPr>
              <w:pStyle w:val="12"/>
              <w:ind w:left="630" w:hanging="630" w:hangingChars="300"/>
              <w:jc w:val="center"/>
              <w:rPr>
                <w:rFonts w:hAnsi="宋体"/>
              </w:rPr>
            </w:pPr>
          </w:p>
        </w:tc>
      </w:tr>
      <w:tr w14:paraId="1ADE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14:paraId="1256AC68">
            <w:pPr>
              <w:pStyle w:val="12"/>
              <w:spacing w:before="120" w:after="120"/>
              <w:ind w:left="630" w:hanging="630" w:hangingChars="300"/>
              <w:rPr>
                <w:rFonts w:asciiTheme="majorEastAsia" w:hAnsiTheme="majorEastAsia" w:eastAsiaTheme="majorEastAsia"/>
              </w:rPr>
            </w:pPr>
            <w:r>
              <w:rPr>
                <w:rFonts w:hint="eastAsia" w:cs="仿宋" w:asciiTheme="majorEastAsia" w:hAnsiTheme="majorEastAsia" w:eastAsiaTheme="majorEastAsia"/>
              </w:rPr>
              <w:t>投标截止时间前三年业绩及承担的主要工作情况，曾担任项目总负责人的项目应列明细</w:t>
            </w:r>
          </w:p>
        </w:tc>
      </w:tr>
    </w:tbl>
    <w:p w14:paraId="624706F3">
      <w:pPr>
        <w:pStyle w:val="12"/>
        <w:spacing w:line="320" w:lineRule="exact"/>
        <w:ind w:left="630" w:hanging="630" w:hangingChars="300"/>
        <w:rPr>
          <w:rFonts w:hAnsi="宋体"/>
        </w:rPr>
      </w:pPr>
      <w:r>
        <w:rPr>
          <w:rFonts w:hint="eastAsia" w:hAnsi="宋体"/>
        </w:rPr>
        <w:t>注:1、与评分有关的证明材料附后。</w:t>
      </w:r>
    </w:p>
    <w:p w14:paraId="4F9CC34B">
      <w:pPr>
        <w:pStyle w:val="12"/>
        <w:spacing w:line="320" w:lineRule="exact"/>
        <w:ind w:left="630" w:hanging="630" w:hangingChars="300"/>
        <w:rPr>
          <w:rFonts w:hAnsi="宋体"/>
        </w:rPr>
      </w:pPr>
      <w:r>
        <w:rPr>
          <w:rFonts w:hint="eastAsia" w:hAnsi="宋体"/>
        </w:rPr>
        <w:t>2、不得随意更换项目总负责人，如不经采购人同意擅自更换，则采购人有权解除合同</w:t>
      </w:r>
      <w:r>
        <w:rPr>
          <w:rFonts w:hint="eastAsia" w:ascii="仿宋_GB2312" w:hAnsi="仿宋" w:eastAsia="仿宋_GB2312" w:cs="仿宋"/>
          <w:b/>
        </w:rPr>
        <w:t xml:space="preserve">。 </w:t>
      </w:r>
      <w:r>
        <w:rPr>
          <w:rFonts w:hint="eastAsia" w:hAnsi="宋体" w:cs="新宋体"/>
          <w:b/>
          <w:bCs/>
        </w:rPr>
        <w:t xml:space="preserve"> </w:t>
      </w:r>
      <w:r>
        <w:rPr>
          <w:rFonts w:hint="eastAsia" w:hAnsi="宋体"/>
        </w:rPr>
        <w:t xml:space="preserve">      </w:t>
      </w:r>
      <w:bookmarkStart w:id="417" w:name="OLE_LINK9"/>
    </w:p>
    <w:p w14:paraId="7776037C">
      <w:pPr>
        <w:pStyle w:val="12"/>
        <w:spacing w:line="340" w:lineRule="exact"/>
        <w:jc w:val="left"/>
        <w:rPr>
          <w:rFonts w:ascii="仿宋_GB2312" w:hAnsi="仿宋" w:eastAsia="仿宋_GB2312" w:cs="仿宋"/>
          <w:b/>
        </w:rPr>
      </w:pPr>
    </w:p>
    <w:p w14:paraId="7AD96404">
      <w:pPr>
        <w:pStyle w:val="12"/>
        <w:spacing w:line="340" w:lineRule="exact"/>
        <w:jc w:val="left"/>
        <w:rPr>
          <w:rFonts w:ascii="仿宋_GB2312" w:hAnsi="仿宋" w:eastAsia="仿宋_GB2312" w:cs="仿宋"/>
          <w:b/>
        </w:rPr>
      </w:pPr>
    </w:p>
    <w:p w14:paraId="602FB04F">
      <w:pPr>
        <w:pStyle w:val="12"/>
        <w:spacing w:line="340" w:lineRule="exact"/>
        <w:jc w:val="left"/>
        <w:rPr>
          <w:rFonts w:hAnsi="宋体"/>
          <w:b/>
        </w:rPr>
      </w:pPr>
      <w:r>
        <w:rPr>
          <w:rFonts w:hint="eastAsia" w:ascii="仿宋_GB2312" w:hAnsi="仿宋" w:eastAsia="仿宋_GB2312" w:cs="仿宋"/>
          <w:b/>
        </w:rPr>
        <w:t>附表B:拟投入的项目实施人员名单</w:t>
      </w:r>
      <w:bookmarkEnd w:id="417"/>
    </w:p>
    <w:tbl>
      <w:tblPr>
        <w:tblStyle w:val="23"/>
        <w:tblW w:w="87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1297"/>
        <w:gridCol w:w="1284"/>
        <w:gridCol w:w="1766"/>
        <w:gridCol w:w="1112"/>
      </w:tblGrid>
      <w:tr w14:paraId="1B859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14:paraId="2E74A5E1">
            <w:pPr>
              <w:spacing w:line="360" w:lineRule="auto"/>
              <w:jc w:val="center"/>
              <w:rPr>
                <w:rFonts w:ascii="宋体" w:hAnsi="宋体"/>
                <w:szCs w:val="21"/>
              </w:rPr>
            </w:pPr>
            <w:r>
              <w:rPr>
                <w:rFonts w:hint="eastAsia" w:ascii="宋体" w:hAnsi="宋体"/>
                <w:szCs w:val="21"/>
              </w:rPr>
              <w:t>序号</w:t>
            </w:r>
          </w:p>
        </w:tc>
        <w:tc>
          <w:tcPr>
            <w:tcW w:w="927" w:type="dxa"/>
            <w:vAlign w:val="center"/>
          </w:tcPr>
          <w:p w14:paraId="54A40025">
            <w:pPr>
              <w:spacing w:line="360" w:lineRule="auto"/>
              <w:jc w:val="center"/>
              <w:rPr>
                <w:rFonts w:ascii="宋体" w:hAnsi="宋体"/>
                <w:szCs w:val="21"/>
              </w:rPr>
            </w:pPr>
            <w:r>
              <w:rPr>
                <w:rFonts w:hint="eastAsia" w:ascii="宋体" w:hAnsi="宋体"/>
                <w:szCs w:val="21"/>
              </w:rPr>
              <w:t>姓名</w:t>
            </w:r>
          </w:p>
        </w:tc>
        <w:tc>
          <w:tcPr>
            <w:tcW w:w="927" w:type="dxa"/>
            <w:vAlign w:val="center"/>
          </w:tcPr>
          <w:p w14:paraId="7B78D671">
            <w:pPr>
              <w:spacing w:line="360" w:lineRule="auto"/>
              <w:jc w:val="center"/>
              <w:rPr>
                <w:rFonts w:ascii="宋体" w:hAnsi="宋体"/>
                <w:szCs w:val="21"/>
              </w:rPr>
            </w:pPr>
            <w:r>
              <w:rPr>
                <w:rFonts w:hint="eastAsia" w:ascii="宋体" w:hAnsi="宋体"/>
                <w:szCs w:val="21"/>
              </w:rPr>
              <w:t>性别</w:t>
            </w:r>
          </w:p>
        </w:tc>
        <w:tc>
          <w:tcPr>
            <w:tcW w:w="742" w:type="dxa"/>
            <w:vAlign w:val="center"/>
          </w:tcPr>
          <w:p w14:paraId="29F0074A">
            <w:pPr>
              <w:spacing w:line="360" w:lineRule="auto"/>
              <w:jc w:val="center"/>
              <w:rPr>
                <w:rFonts w:ascii="宋体" w:hAnsi="宋体"/>
                <w:szCs w:val="21"/>
              </w:rPr>
            </w:pPr>
            <w:r>
              <w:rPr>
                <w:rFonts w:hint="eastAsia" w:ascii="宋体" w:hAnsi="宋体"/>
                <w:szCs w:val="21"/>
              </w:rPr>
              <w:t>年龄</w:t>
            </w:r>
          </w:p>
        </w:tc>
        <w:tc>
          <w:tcPr>
            <w:tcW w:w="1297" w:type="dxa"/>
            <w:vAlign w:val="center"/>
          </w:tcPr>
          <w:p w14:paraId="6ECA4CE8">
            <w:pPr>
              <w:spacing w:line="280" w:lineRule="exact"/>
              <w:jc w:val="center"/>
              <w:rPr>
                <w:rFonts w:ascii="宋体" w:hAnsi="宋体"/>
                <w:szCs w:val="21"/>
              </w:rPr>
            </w:pPr>
            <w:r>
              <w:rPr>
                <w:rFonts w:hint="eastAsia" w:ascii="宋体" w:hAnsi="宋体"/>
                <w:szCs w:val="21"/>
              </w:rPr>
              <w:t>职称/职务</w:t>
            </w:r>
          </w:p>
        </w:tc>
        <w:tc>
          <w:tcPr>
            <w:tcW w:w="1284" w:type="dxa"/>
            <w:vAlign w:val="center"/>
          </w:tcPr>
          <w:p w14:paraId="62749FE2">
            <w:pPr>
              <w:spacing w:line="280" w:lineRule="exact"/>
              <w:jc w:val="center"/>
              <w:rPr>
                <w:rFonts w:ascii="宋体" w:hAnsi="宋体"/>
                <w:szCs w:val="21"/>
              </w:rPr>
            </w:pPr>
            <w:r>
              <w:rPr>
                <w:rFonts w:hint="eastAsia" w:ascii="宋体" w:hAnsi="宋体"/>
                <w:szCs w:val="21"/>
              </w:rPr>
              <w:t>本项目中的岗位</w:t>
            </w:r>
          </w:p>
        </w:tc>
        <w:tc>
          <w:tcPr>
            <w:tcW w:w="1766" w:type="dxa"/>
            <w:vAlign w:val="center"/>
          </w:tcPr>
          <w:p w14:paraId="70B26C8E">
            <w:pPr>
              <w:spacing w:line="360" w:lineRule="auto"/>
              <w:jc w:val="center"/>
              <w:rPr>
                <w:rFonts w:ascii="宋体" w:hAnsi="宋体"/>
                <w:szCs w:val="21"/>
              </w:rPr>
            </w:pPr>
            <w:r>
              <w:rPr>
                <w:rFonts w:hint="eastAsia" w:ascii="宋体" w:hAnsi="宋体"/>
                <w:szCs w:val="21"/>
              </w:rPr>
              <w:t>从事专业年限</w:t>
            </w:r>
          </w:p>
        </w:tc>
        <w:tc>
          <w:tcPr>
            <w:tcW w:w="1112" w:type="dxa"/>
            <w:vAlign w:val="center"/>
          </w:tcPr>
          <w:p w14:paraId="754AB3EB">
            <w:pPr>
              <w:spacing w:line="360" w:lineRule="auto"/>
              <w:jc w:val="center"/>
              <w:rPr>
                <w:rFonts w:ascii="宋体" w:hAnsi="宋体"/>
                <w:szCs w:val="21"/>
              </w:rPr>
            </w:pPr>
            <w:r>
              <w:rPr>
                <w:rFonts w:hint="eastAsia" w:ascii="宋体" w:hAnsi="宋体"/>
                <w:szCs w:val="21"/>
              </w:rPr>
              <w:t>备注</w:t>
            </w:r>
          </w:p>
        </w:tc>
      </w:tr>
      <w:tr w14:paraId="37CBA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547BAA0D">
            <w:pPr>
              <w:spacing w:line="360" w:lineRule="auto"/>
              <w:jc w:val="center"/>
              <w:rPr>
                <w:rFonts w:ascii="宋体" w:hAnsi="宋体"/>
                <w:szCs w:val="21"/>
              </w:rPr>
            </w:pPr>
          </w:p>
        </w:tc>
        <w:tc>
          <w:tcPr>
            <w:tcW w:w="927" w:type="dxa"/>
            <w:vAlign w:val="center"/>
          </w:tcPr>
          <w:p w14:paraId="5C1C9C5B">
            <w:pPr>
              <w:spacing w:line="360" w:lineRule="auto"/>
              <w:jc w:val="center"/>
              <w:rPr>
                <w:rFonts w:ascii="宋体" w:hAnsi="宋体"/>
                <w:szCs w:val="21"/>
              </w:rPr>
            </w:pPr>
          </w:p>
        </w:tc>
        <w:tc>
          <w:tcPr>
            <w:tcW w:w="927" w:type="dxa"/>
            <w:vAlign w:val="center"/>
          </w:tcPr>
          <w:p w14:paraId="51088CF4">
            <w:pPr>
              <w:spacing w:line="360" w:lineRule="auto"/>
              <w:jc w:val="center"/>
              <w:rPr>
                <w:rFonts w:ascii="宋体" w:hAnsi="宋体"/>
                <w:szCs w:val="21"/>
              </w:rPr>
            </w:pPr>
          </w:p>
        </w:tc>
        <w:tc>
          <w:tcPr>
            <w:tcW w:w="742" w:type="dxa"/>
            <w:vAlign w:val="center"/>
          </w:tcPr>
          <w:p w14:paraId="5E703C96">
            <w:pPr>
              <w:spacing w:line="360" w:lineRule="auto"/>
              <w:jc w:val="center"/>
              <w:rPr>
                <w:rFonts w:ascii="宋体" w:hAnsi="宋体"/>
                <w:szCs w:val="21"/>
              </w:rPr>
            </w:pPr>
          </w:p>
        </w:tc>
        <w:tc>
          <w:tcPr>
            <w:tcW w:w="1297" w:type="dxa"/>
            <w:vAlign w:val="center"/>
          </w:tcPr>
          <w:p w14:paraId="1ECE6C7C">
            <w:pPr>
              <w:spacing w:line="360" w:lineRule="auto"/>
              <w:jc w:val="center"/>
              <w:rPr>
                <w:rFonts w:ascii="宋体" w:hAnsi="宋体"/>
                <w:szCs w:val="21"/>
              </w:rPr>
            </w:pPr>
          </w:p>
        </w:tc>
        <w:tc>
          <w:tcPr>
            <w:tcW w:w="1284" w:type="dxa"/>
            <w:vAlign w:val="center"/>
          </w:tcPr>
          <w:p w14:paraId="2076D3FE">
            <w:pPr>
              <w:spacing w:line="360" w:lineRule="auto"/>
              <w:jc w:val="center"/>
              <w:rPr>
                <w:rFonts w:ascii="宋体" w:hAnsi="宋体"/>
                <w:szCs w:val="21"/>
              </w:rPr>
            </w:pPr>
          </w:p>
        </w:tc>
        <w:tc>
          <w:tcPr>
            <w:tcW w:w="1766" w:type="dxa"/>
          </w:tcPr>
          <w:p w14:paraId="4F64333C">
            <w:pPr>
              <w:spacing w:line="360" w:lineRule="auto"/>
              <w:jc w:val="center"/>
              <w:rPr>
                <w:rFonts w:ascii="宋体" w:hAnsi="宋体"/>
                <w:szCs w:val="21"/>
              </w:rPr>
            </w:pPr>
          </w:p>
        </w:tc>
        <w:tc>
          <w:tcPr>
            <w:tcW w:w="1112" w:type="dxa"/>
            <w:vAlign w:val="center"/>
          </w:tcPr>
          <w:p w14:paraId="40B54DD9">
            <w:pPr>
              <w:spacing w:line="360" w:lineRule="auto"/>
              <w:jc w:val="center"/>
              <w:rPr>
                <w:rFonts w:ascii="宋体" w:hAnsi="宋体"/>
                <w:szCs w:val="21"/>
              </w:rPr>
            </w:pPr>
          </w:p>
        </w:tc>
      </w:tr>
      <w:tr w14:paraId="50869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1A070F78">
            <w:pPr>
              <w:spacing w:line="360" w:lineRule="auto"/>
              <w:jc w:val="center"/>
              <w:rPr>
                <w:rFonts w:ascii="宋体" w:hAnsi="宋体"/>
                <w:szCs w:val="21"/>
              </w:rPr>
            </w:pPr>
          </w:p>
        </w:tc>
        <w:tc>
          <w:tcPr>
            <w:tcW w:w="927" w:type="dxa"/>
            <w:vAlign w:val="center"/>
          </w:tcPr>
          <w:p w14:paraId="0690659F">
            <w:pPr>
              <w:spacing w:line="360" w:lineRule="auto"/>
              <w:jc w:val="center"/>
              <w:rPr>
                <w:rFonts w:ascii="宋体" w:hAnsi="宋体"/>
                <w:szCs w:val="21"/>
              </w:rPr>
            </w:pPr>
          </w:p>
        </w:tc>
        <w:tc>
          <w:tcPr>
            <w:tcW w:w="927" w:type="dxa"/>
            <w:vAlign w:val="center"/>
          </w:tcPr>
          <w:p w14:paraId="6FD243D3">
            <w:pPr>
              <w:spacing w:line="360" w:lineRule="auto"/>
              <w:jc w:val="center"/>
              <w:rPr>
                <w:rFonts w:ascii="宋体" w:hAnsi="宋体"/>
                <w:szCs w:val="21"/>
              </w:rPr>
            </w:pPr>
          </w:p>
        </w:tc>
        <w:tc>
          <w:tcPr>
            <w:tcW w:w="742" w:type="dxa"/>
            <w:vAlign w:val="center"/>
          </w:tcPr>
          <w:p w14:paraId="2F68FA30">
            <w:pPr>
              <w:spacing w:line="360" w:lineRule="auto"/>
              <w:jc w:val="center"/>
              <w:rPr>
                <w:rFonts w:ascii="宋体" w:hAnsi="宋体"/>
                <w:szCs w:val="21"/>
              </w:rPr>
            </w:pPr>
          </w:p>
        </w:tc>
        <w:tc>
          <w:tcPr>
            <w:tcW w:w="1297" w:type="dxa"/>
            <w:vAlign w:val="center"/>
          </w:tcPr>
          <w:p w14:paraId="7B907F32">
            <w:pPr>
              <w:spacing w:line="360" w:lineRule="auto"/>
              <w:jc w:val="center"/>
              <w:rPr>
                <w:rFonts w:ascii="宋体" w:hAnsi="宋体"/>
                <w:szCs w:val="21"/>
              </w:rPr>
            </w:pPr>
          </w:p>
        </w:tc>
        <w:tc>
          <w:tcPr>
            <w:tcW w:w="1284" w:type="dxa"/>
            <w:vAlign w:val="center"/>
          </w:tcPr>
          <w:p w14:paraId="73F81714">
            <w:pPr>
              <w:spacing w:line="360" w:lineRule="auto"/>
              <w:jc w:val="center"/>
              <w:rPr>
                <w:rFonts w:ascii="宋体" w:hAnsi="宋体"/>
                <w:szCs w:val="21"/>
              </w:rPr>
            </w:pPr>
          </w:p>
        </w:tc>
        <w:tc>
          <w:tcPr>
            <w:tcW w:w="1766" w:type="dxa"/>
          </w:tcPr>
          <w:p w14:paraId="7DBB85BE">
            <w:pPr>
              <w:spacing w:line="360" w:lineRule="auto"/>
              <w:jc w:val="center"/>
              <w:rPr>
                <w:rFonts w:ascii="宋体" w:hAnsi="宋体"/>
                <w:szCs w:val="21"/>
              </w:rPr>
            </w:pPr>
          </w:p>
        </w:tc>
        <w:tc>
          <w:tcPr>
            <w:tcW w:w="1112" w:type="dxa"/>
            <w:vAlign w:val="center"/>
          </w:tcPr>
          <w:p w14:paraId="44AC0513">
            <w:pPr>
              <w:spacing w:line="360" w:lineRule="auto"/>
              <w:jc w:val="center"/>
              <w:rPr>
                <w:rFonts w:ascii="宋体" w:hAnsi="宋体"/>
                <w:szCs w:val="21"/>
              </w:rPr>
            </w:pPr>
          </w:p>
        </w:tc>
      </w:tr>
      <w:tr w14:paraId="13F49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6591DD92">
            <w:pPr>
              <w:spacing w:line="360" w:lineRule="auto"/>
              <w:jc w:val="center"/>
              <w:rPr>
                <w:rFonts w:ascii="宋体" w:hAnsi="宋体"/>
                <w:szCs w:val="21"/>
              </w:rPr>
            </w:pPr>
          </w:p>
        </w:tc>
        <w:tc>
          <w:tcPr>
            <w:tcW w:w="927" w:type="dxa"/>
            <w:vAlign w:val="center"/>
          </w:tcPr>
          <w:p w14:paraId="2F08B873">
            <w:pPr>
              <w:spacing w:line="360" w:lineRule="auto"/>
              <w:jc w:val="center"/>
              <w:rPr>
                <w:rFonts w:ascii="宋体" w:hAnsi="宋体"/>
                <w:szCs w:val="21"/>
              </w:rPr>
            </w:pPr>
          </w:p>
        </w:tc>
        <w:tc>
          <w:tcPr>
            <w:tcW w:w="927" w:type="dxa"/>
            <w:vAlign w:val="center"/>
          </w:tcPr>
          <w:p w14:paraId="00FD4E6C">
            <w:pPr>
              <w:spacing w:line="360" w:lineRule="auto"/>
              <w:jc w:val="center"/>
              <w:rPr>
                <w:rFonts w:ascii="宋体" w:hAnsi="宋体"/>
                <w:szCs w:val="21"/>
              </w:rPr>
            </w:pPr>
          </w:p>
        </w:tc>
        <w:tc>
          <w:tcPr>
            <w:tcW w:w="742" w:type="dxa"/>
            <w:vAlign w:val="center"/>
          </w:tcPr>
          <w:p w14:paraId="0AB4649E">
            <w:pPr>
              <w:spacing w:line="360" w:lineRule="auto"/>
              <w:jc w:val="center"/>
              <w:rPr>
                <w:rFonts w:ascii="宋体" w:hAnsi="宋体"/>
                <w:szCs w:val="21"/>
              </w:rPr>
            </w:pPr>
          </w:p>
        </w:tc>
        <w:tc>
          <w:tcPr>
            <w:tcW w:w="1297" w:type="dxa"/>
            <w:vAlign w:val="center"/>
          </w:tcPr>
          <w:p w14:paraId="11A6DA92">
            <w:pPr>
              <w:spacing w:line="360" w:lineRule="auto"/>
              <w:jc w:val="center"/>
              <w:rPr>
                <w:rFonts w:ascii="宋体" w:hAnsi="宋体"/>
                <w:szCs w:val="21"/>
              </w:rPr>
            </w:pPr>
          </w:p>
        </w:tc>
        <w:tc>
          <w:tcPr>
            <w:tcW w:w="1284" w:type="dxa"/>
            <w:vAlign w:val="center"/>
          </w:tcPr>
          <w:p w14:paraId="57D5ED49">
            <w:pPr>
              <w:spacing w:line="360" w:lineRule="auto"/>
              <w:jc w:val="center"/>
              <w:rPr>
                <w:rFonts w:ascii="宋体" w:hAnsi="宋体"/>
                <w:szCs w:val="21"/>
              </w:rPr>
            </w:pPr>
          </w:p>
        </w:tc>
        <w:tc>
          <w:tcPr>
            <w:tcW w:w="1766" w:type="dxa"/>
          </w:tcPr>
          <w:p w14:paraId="35E7F31A">
            <w:pPr>
              <w:spacing w:line="360" w:lineRule="auto"/>
              <w:jc w:val="center"/>
              <w:rPr>
                <w:rFonts w:ascii="宋体" w:hAnsi="宋体"/>
                <w:szCs w:val="21"/>
              </w:rPr>
            </w:pPr>
          </w:p>
        </w:tc>
        <w:tc>
          <w:tcPr>
            <w:tcW w:w="1112" w:type="dxa"/>
            <w:vAlign w:val="center"/>
          </w:tcPr>
          <w:p w14:paraId="3EA0B8DC">
            <w:pPr>
              <w:spacing w:line="360" w:lineRule="auto"/>
              <w:jc w:val="center"/>
              <w:rPr>
                <w:rFonts w:ascii="宋体" w:hAnsi="宋体"/>
                <w:szCs w:val="21"/>
              </w:rPr>
            </w:pPr>
          </w:p>
        </w:tc>
      </w:tr>
      <w:tr w14:paraId="1A8FBC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7888A382">
            <w:pPr>
              <w:spacing w:line="360" w:lineRule="auto"/>
              <w:jc w:val="center"/>
              <w:rPr>
                <w:rFonts w:ascii="宋体" w:hAnsi="宋体"/>
                <w:szCs w:val="21"/>
              </w:rPr>
            </w:pPr>
          </w:p>
        </w:tc>
        <w:tc>
          <w:tcPr>
            <w:tcW w:w="927" w:type="dxa"/>
            <w:vAlign w:val="center"/>
          </w:tcPr>
          <w:p w14:paraId="19C4656D">
            <w:pPr>
              <w:spacing w:line="360" w:lineRule="auto"/>
              <w:jc w:val="center"/>
              <w:rPr>
                <w:rFonts w:ascii="宋体" w:hAnsi="宋体"/>
                <w:szCs w:val="21"/>
              </w:rPr>
            </w:pPr>
          </w:p>
        </w:tc>
        <w:tc>
          <w:tcPr>
            <w:tcW w:w="927" w:type="dxa"/>
            <w:vAlign w:val="center"/>
          </w:tcPr>
          <w:p w14:paraId="3AB11F9C">
            <w:pPr>
              <w:spacing w:line="360" w:lineRule="auto"/>
              <w:jc w:val="center"/>
              <w:rPr>
                <w:rFonts w:ascii="宋体" w:hAnsi="宋体"/>
                <w:szCs w:val="21"/>
              </w:rPr>
            </w:pPr>
          </w:p>
        </w:tc>
        <w:tc>
          <w:tcPr>
            <w:tcW w:w="742" w:type="dxa"/>
            <w:vAlign w:val="center"/>
          </w:tcPr>
          <w:p w14:paraId="09F22FE8">
            <w:pPr>
              <w:spacing w:line="360" w:lineRule="auto"/>
              <w:jc w:val="center"/>
              <w:rPr>
                <w:rFonts w:ascii="宋体" w:hAnsi="宋体"/>
                <w:szCs w:val="21"/>
              </w:rPr>
            </w:pPr>
          </w:p>
        </w:tc>
        <w:tc>
          <w:tcPr>
            <w:tcW w:w="1297" w:type="dxa"/>
            <w:vAlign w:val="center"/>
          </w:tcPr>
          <w:p w14:paraId="432D88CA">
            <w:pPr>
              <w:spacing w:line="360" w:lineRule="auto"/>
              <w:jc w:val="center"/>
              <w:rPr>
                <w:rFonts w:ascii="宋体" w:hAnsi="宋体"/>
                <w:szCs w:val="21"/>
              </w:rPr>
            </w:pPr>
          </w:p>
        </w:tc>
        <w:tc>
          <w:tcPr>
            <w:tcW w:w="1284" w:type="dxa"/>
            <w:vAlign w:val="center"/>
          </w:tcPr>
          <w:p w14:paraId="4C40F450">
            <w:pPr>
              <w:spacing w:line="360" w:lineRule="auto"/>
              <w:jc w:val="center"/>
              <w:rPr>
                <w:rFonts w:ascii="宋体" w:hAnsi="宋体"/>
                <w:szCs w:val="21"/>
              </w:rPr>
            </w:pPr>
          </w:p>
        </w:tc>
        <w:tc>
          <w:tcPr>
            <w:tcW w:w="1766" w:type="dxa"/>
          </w:tcPr>
          <w:p w14:paraId="18DE8834">
            <w:pPr>
              <w:spacing w:line="360" w:lineRule="auto"/>
              <w:jc w:val="center"/>
              <w:rPr>
                <w:rFonts w:ascii="宋体" w:hAnsi="宋体"/>
                <w:szCs w:val="21"/>
              </w:rPr>
            </w:pPr>
          </w:p>
        </w:tc>
        <w:tc>
          <w:tcPr>
            <w:tcW w:w="1112" w:type="dxa"/>
            <w:vAlign w:val="center"/>
          </w:tcPr>
          <w:p w14:paraId="3A04B256">
            <w:pPr>
              <w:spacing w:line="360" w:lineRule="auto"/>
              <w:jc w:val="center"/>
              <w:rPr>
                <w:rFonts w:ascii="宋体" w:hAnsi="宋体"/>
                <w:szCs w:val="21"/>
              </w:rPr>
            </w:pPr>
          </w:p>
        </w:tc>
      </w:tr>
      <w:tr w14:paraId="560D6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570522B0">
            <w:pPr>
              <w:spacing w:line="360" w:lineRule="auto"/>
              <w:jc w:val="center"/>
              <w:rPr>
                <w:rFonts w:ascii="宋体" w:hAnsi="宋体"/>
                <w:szCs w:val="21"/>
              </w:rPr>
            </w:pPr>
          </w:p>
        </w:tc>
        <w:tc>
          <w:tcPr>
            <w:tcW w:w="927" w:type="dxa"/>
            <w:vAlign w:val="center"/>
          </w:tcPr>
          <w:p w14:paraId="28084C26">
            <w:pPr>
              <w:spacing w:line="360" w:lineRule="auto"/>
              <w:jc w:val="center"/>
              <w:rPr>
                <w:rFonts w:ascii="宋体" w:hAnsi="宋体"/>
                <w:szCs w:val="21"/>
              </w:rPr>
            </w:pPr>
          </w:p>
        </w:tc>
        <w:tc>
          <w:tcPr>
            <w:tcW w:w="927" w:type="dxa"/>
            <w:vAlign w:val="center"/>
          </w:tcPr>
          <w:p w14:paraId="561D5B27">
            <w:pPr>
              <w:spacing w:line="360" w:lineRule="auto"/>
              <w:jc w:val="center"/>
              <w:rPr>
                <w:rFonts w:ascii="宋体" w:hAnsi="宋体"/>
                <w:szCs w:val="21"/>
              </w:rPr>
            </w:pPr>
          </w:p>
        </w:tc>
        <w:tc>
          <w:tcPr>
            <w:tcW w:w="742" w:type="dxa"/>
            <w:vAlign w:val="center"/>
          </w:tcPr>
          <w:p w14:paraId="178DA37D">
            <w:pPr>
              <w:spacing w:line="360" w:lineRule="auto"/>
              <w:jc w:val="center"/>
              <w:rPr>
                <w:rFonts w:ascii="宋体" w:hAnsi="宋体"/>
                <w:szCs w:val="21"/>
              </w:rPr>
            </w:pPr>
          </w:p>
        </w:tc>
        <w:tc>
          <w:tcPr>
            <w:tcW w:w="1297" w:type="dxa"/>
            <w:vAlign w:val="center"/>
          </w:tcPr>
          <w:p w14:paraId="629DEEE0">
            <w:pPr>
              <w:spacing w:line="360" w:lineRule="auto"/>
              <w:jc w:val="center"/>
              <w:rPr>
                <w:rFonts w:ascii="宋体" w:hAnsi="宋体"/>
                <w:szCs w:val="21"/>
              </w:rPr>
            </w:pPr>
          </w:p>
        </w:tc>
        <w:tc>
          <w:tcPr>
            <w:tcW w:w="1284" w:type="dxa"/>
            <w:vAlign w:val="center"/>
          </w:tcPr>
          <w:p w14:paraId="535F8D41">
            <w:pPr>
              <w:spacing w:line="360" w:lineRule="auto"/>
              <w:jc w:val="center"/>
              <w:rPr>
                <w:rFonts w:ascii="宋体" w:hAnsi="宋体"/>
                <w:szCs w:val="21"/>
              </w:rPr>
            </w:pPr>
          </w:p>
        </w:tc>
        <w:tc>
          <w:tcPr>
            <w:tcW w:w="1766" w:type="dxa"/>
          </w:tcPr>
          <w:p w14:paraId="323AF2EA">
            <w:pPr>
              <w:spacing w:line="360" w:lineRule="auto"/>
              <w:jc w:val="center"/>
              <w:rPr>
                <w:rFonts w:ascii="宋体" w:hAnsi="宋体"/>
                <w:szCs w:val="21"/>
              </w:rPr>
            </w:pPr>
          </w:p>
        </w:tc>
        <w:tc>
          <w:tcPr>
            <w:tcW w:w="1112" w:type="dxa"/>
            <w:vAlign w:val="center"/>
          </w:tcPr>
          <w:p w14:paraId="5C7A2FF9">
            <w:pPr>
              <w:spacing w:line="360" w:lineRule="auto"/>
              <w:jc w:val="center"/>
              <w:rPr>
                <w:rFonts w:ascii="宋体" w:hAnsi="宋体"/>
                <w:szCs w:val="21"/>
              </w:rPr>
            </w:pPr>
          </w:p>
        </w:tc>
      </w:tr>
    </w:tbl>
    <w:p w14:paraId="12294D83">
      <w:pPr>
        <w:pStyle w:val="12"/>
        <w:spacing w:before="120" w:after="120"/>
        <w:ind w:left="630" w:hanging="630" w:hangingChars="300"/>
        <w:rPr>
          <w:rFonts w:hAnsi="宋体"/>
        </w:rPr>
      </w:pPr>
      <w:r>
        <w:rPr>
          <w:rFonts w:hint="eastAsia" w:hAnsi="宋体"/>
        </w:rPr>
        <w:t>注：与评分有关的证明材料附后。</w:t>
      </w:r>
    </w:p>
    <w:p w14:paraId="6B9D5F0D">
      <w:pPr>
        <w:spacing w:line="400" w:lineRule="exact"/>
        <w:ind w:firstLine="3360" w:firstLineChars="1400"/>
        <w:rPr>
          <w:rFonts w:ascii="宋体" w:hAnsi="宋体"/>
          <w:sz w:val="24"/>
        </w:rPr>
      </w:pPr>
    </w:p>
    <w:p w14:paraId="5679347F">
      <w:pPr>
        <w:spacing w:line="400" w:lineRule="exact"/>
        <w:ind w:firstLine="3360" w:firstLineChars="1400"/>
        <w:rPr>
          <w:rFonts w:ascii="宋体" w:hAnsi="宋体"/>
          <w:sz w:val="24"/>
        </w:rPr>
      </w:pPr>
      <w:r>
        <w:rPr>
          <w:rFonts w:hint="eastAsia" w:ascii="宋体" w:hAnsi="宋体"/>
          <w:sz w:val="24"/>
        </w:rPr>
        <w:t>法定代表人或其授权委托人（签名或印章）：</w:t>
      </w:r>
    </w:p>
    <w:p w14:paraId="63514C8F">
      <w:pPr>
        <w:spacing w:line="400" w:lineRule="exact"/>
        <w:ind w:firstLine="3360" w:firstLineChars="1400"/>
        <w:rPr>
          <w:rFonts w:ascii="宋体" w:hAnsi="宋体"/>
          <w:sz w:val="24"/>
        </w:rPr>
      </w:pPr>
      <w:r>
        <w:rPr>
          <w:rFonts w:hint="eastAsia" w:ascii="宋体" w:hAnsi="宋体"/>
          <w:sz w:val="24"/>
        </w:rPr>
        <w:t>投标人（盖章）：</w:t>
      </w:r>
    </w:p>
    <w:p w14:paraId="2EC1CE3A">
      <w:r>
        <w:rPr>
          <w:rFonts w:hint="eastAsia" w:ascii="宋体" w:hAnsi="宋体"/>
          <w:sz w:val="24"/>
        </w:rPr>
        <w:t xml:space="preserve">                            日期：</w:t>
      </w:r>
    </w:p>
    <w:p w14:paraId="29A06D31">
      <w:p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十二、政府采购供应商廉洁自律承诺书</w:t>
      </w:r>
    </w:p>
    <w:p w14:paraId="60384F76">
      <w:pPr>
        <w:snapToGrid w:val="0"/>
        <w:spacing w:line="360" w:lineRule="auto"/>
        <w:rPr>
          <w:rFonts w:cs="仿宋" w:asciiTheme="majorEastAsia" w:hAnsiTheme="majorEastAsia" w:eastAsiaTheme="majorEastAsia"/>
          <w:sz w:val="24"/>
        </w:rPr>
      </w:pPr>
    </w:p>
    <w:p w14:paraId="0CDFF94A">
      <w:pPr>
        <w:snapToGrid w:val="0"/>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sz w:val="24"/>
        </w:rPr>
        <w:t>（采购人）、（采购代理机构）</w:t>
      </w:r>
      <w:r>
        <w:rPr>
          <w:rFonts w:hint="eastAsia" w:cs="仿宋" w:asciiTheme="majorEastAsia" w:hAnsiTheme="majorEastAsia" w:eastAsiaTheme="majorEastAsia"/>
          <w:kern w:val="0"/>
          <w:sz w:val="24"/>
          <w:lang w:val="zh-CN"/>
        </w:rPr>
        <w:t>：</w:t>
      </w:r>
    </w:p>
    <w:p w14:paraId="33871585">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我单位响应你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项目招标要求参加投标。在这次投标过程中和中标后，我们将严格遵守国家法律法规要求，并郑重承诺：</w:t>
      </w:r>
    </w:p>
    <w:p w14:paraId="497D423D">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一、不向项目有关人员及部门赠送礼金礼物、有价证券、回扣以及中介费、介绍费、咨询费等好处费； </w:t>
      </w:r>
    </w:p>
    <w:p w14:paraId="4DE2610A">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二、不为项目有关人员及部门报销应由你方单位或个人支付的费用； </w:t>
      </w:r>
    </w:p>
    <w:p w14:paraId="498185AC">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三、不向项目有关人员及部门提供有可能影响公正的宴请和健身娱乐等活动； </w:t>
      </w:r>
    </w:p>
    <w:p w14:paraId="6E0D48BB">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四、不为项目有关人员及部门出国（境）、旅游等提供方便；</w:t>
      </w:r>
    </w:p>
    <w:p w14:paraId="2DB89008">
      <w:pPr>
        <w:autoSpaceDE w:val="0"/>
        <w:autoSpaceDN w:val="0"/>
        <w:spacing w:line="360" w:lineRule="auto"/>
        <w:ind w:left="481" w:leftChars="229"/>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五、不为项目有关人员个人装修住房、婚丧嫁娶、配偶子女工作安排等提供</w:t>
      </w:r>
    </w:p>
    <w:p w14:paraId="405475F1">
      <w:pPr>
        <w:autoSpaceDE w:val="0"/>
        <w:autoSpaceDN w:val="0"/>
        <w:spacing w:line="360" w:lineRule="auto"/>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好处；</w:t>
      </w:r>
    </w:p>
    <w:p w14:paraId="065DD66A">
      <w:pPr>
        <w:autoSpaceDE w:val="0"/>
        <w:autoSpaceDN w:val="0"/>
        <w:spacing w:line="360" w:lineRule="auto"/>
        <w:ind w:left="481" w:leftChars="229"/>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六、严格遵守《</w:t>
      </w:r>
      <w:r>
        <w:rPr>
          <w:rFonts w:hint="eastAsia" w:cs="仿宋" w:asciiTheme="majorEastAsia" w:hAnsiTheme="majorEastAsia" w:eastAsiaTheme="majorEastAsia"/>
          <w:sz w:val="24"/>
          <w:lang w:val="zh-CN"/>
        </w:rPr>
        <w:t>中华人民共和国</w:t>
      </w:r>
      <w:r>
        <w:rPr>
          <w:rFonts w:hint="eastAsia" w:cs="仿宋" w:asciiTheme="majorEastAsia" w:hAnsiTheme="majorEastAsia" w:eastAsiaTheme="majorEastAsia"/>
          <w:kern w:val="0"/>
          <w:sz w:val="24"/>
          <w:lang w:val="zh-CN"/>
        </w:rPr>
        <w:t>政府采购法》《</w:t>
      </w:r>
      <w:r>
        <w:rPr>
          <w:rFonts w:hint="eastAsia" w:cs="仿宋" w:asciiTheme="majorEastAsia" w:hAnsiTheme="majorEastAsia" w:eastAsiaTheme="majorEastAsia"/>
          <w:sz w:val="24"/>
          <w:lang w:val="zh-CN"/>
        </w:rPr>
        <w:t>中华人民共和国</w:t>
      </w:r>
      <w:r>
        <w:rPr>
          <w:rFonts w:hint="eastAsia" w:cs="仿宋" w:asciiTheme="majorEastAsia" w:hAnsiTheme="majorEastAsia" w:eastAsiaTheme="majorEastAsia"/>
          <w:kern w:val="0"/>
          <w:sz w:val="24"/>
          <w:lang w:val="zh-CN"/>
        </w:rPr>
        <w:t>招标投标</w:t>
      </w:r>
    </w:p>
    <w:p w14:paraId="34BB2D4B">
      <w:pPr>
        <w:autoSpaceDE w:val="0"/>
        <w:autoSpaceDN w:val="0"/>
        <w:spacing w:line="360" w:lineRule="auto"/>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w:t>
      </w:r>
      <w:r>
        <w:rPr>
          <w:rFonts w:hint="eastAsia" w:cs="仿宋" w:asciiTheme="majorEastAsia" w:hAnsiTheme="majorEastAsia" w:eastAsiaTheme="majorEastAsia"/>
          <w:sz w:val="24"/>
          <w:lang w:val="zh-CN"/>
        </w:rPr>
        <w:t>《中华人民共和国民法典》</w:t>
      </w:r>
      <w:r>
        <w:rPr>
          <w:rFonts w:hint="eastAsia" w:cs="仿宋" w:asciiTheme="majorEastAsia" w:hAnsiTheme="majorEastAsia" w:eastAsiaTheme="majorEastAsia"/>
          <w:kern w:val="0"/>
          <w:sz w:val="24"/>
          <w:lang w:val="zh-CN"/>
        </w:rPr>
        <w:t xml:space="preserve">等法律法规，诚实守信，合法经营，坚决抵制各种违法违纪行为。 </w:t>
      </w:r>
    </w:p>
    <w:p w14:paraId="550B4558">
      <w:pPr>
        <w:autoSpaceDE w:val="0"/>
        <w:autoSpaceDN w:val="0"/>
        <w:spacing w:line="360" w:lineRule="auto"/>
        <w:ind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如违反上述承诺，你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有权立即取消我单位投标、中标或在建项目的建设资格，有权拒绝我单位在一定时期内进入你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进行项目建设或其他经营活动，并通报监管部门。由此引起的相应损失均由我单位承担。</w:t>
      </w:r>
    </w:p>
    <w:p w14:paraId="6F33D912">
      <w:pPr>
        <w:autoSpaceDE w:val="0"/>
        <w:autoSpaceDN w:val="0"/>
        <w:spacing w:line="360" w:lineRule="auto"/>
        <w:ind w:left="2"/>
        <w:jc w:val="left"/>
        <w:rPr>
          <w:rFonts w:cs="仿宋" w:asciiTheme="majorEastAsia" w:hAnsiTheme="majorEastAsia" w:eastAsiaTheme="majorEastAsia"/>
          <w:kern w:val="0"/>
          <w:sz w:val="24"/>
          <w:lang w:val="zh-CN"/>
        </w:rPr>
      </w:pPr>
    </w:p>
    <w:p w14:paraId="1325E947">
      <w:pPr>
        <w:autoSpaceDE w:val="0"/>
        <w:autoSpaceDN w:val="0"/>
        <w:spacing w:line="360" w:lineRule="auto"/>
        <w:ind w:left="2"/>
        <w:jc w:val="left"/>
        <w:rPr>
          <w:rFonts w:cs="仿宋" w:asciiTheme="majorEastAsia" w:hAnsiTheme="majorEastAsia" w:eastAsiaTheme="majorEastAsia"/>
          <w:kern w:val="0"/>
          <w:sz w:val="24"/>
          <w:lang w:val="zh-CN"/>
        </w:rPr>
      </w:pPr>
    </w:p>
    <w:p w14:paraId="20D34021">
      <w:pPr>
        <w:autoSpaceDE w:val="0"/>
        <w:autoSpaceDN w:val="0"/>
        <w:spacing w:line="360" w:lineRule="auto"/>
        <w:ind w:left="2"/>
        <w:jc w:val="left"/>
        <w:rPr>
          <w:rFonts w:cs="仿宋" w:asciiTheme="majorEastAsia" w:hAnsiTheme="majorEastAsia" w:eastAsiaTheme="majorEastAsia"/>
          <w:kern w:val="0"/>
          <w:sz w:val="24"/>
          <w:lang w:val="zh-CN"/>
        </w:rPr>
      </w:pPr>
    </w:p>
    <w:p w14:paraId="4F53E71B">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50E31FD6">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5CF3D06D">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0E1F0C32">
      <w:pPr>
        <w:spacing w:line="360" w:lineRule="auto"/>
        <w:ind w:left="4620" w:leftChars="2200"/>
        <w:rPr>
          <w:rFonts w:cs="仿宋" w:asciiTheme="majorEastAsia" w:hAnsiTheme="majorEastAsia" w:eastAsiaTheme="majorEastAsia"/>
          <w:sz w:val="24"/>
        </w:rPr>
      </w:pPr>
    </w:p>
    <w:p w14:paraId="0159960A">
      <w:pPr>
        <w:spacing w:line="360" w:lineRule="auto"/>
        <w:jc w:val="center"/>
        <w:rPr>
          <w:rFonts w:cs="仿宋" w:asciiTheme="majorEastAsia" w:hAnsiTheme="majorEastAsia" w:eastAsiaTheme="majorEastAsia"/>
          <w:b/>
          <w:bCs/>
          <w:sz w:val="24"/>
        </w:rPr>
      </w:pPr>
    </w:p>
    <w:p w14:paraId="43A3DB2C">
      <w:pPr>
        <w:spacing w:line="360" w:lineRule="auto"/>
        <w:jc w:val="center"/>
        <w:rPr>
          <w:rFonts w:cs="仿宋" w:asciiTheme="majorEastAsia" w:hAnsiTheme="majorEastAsia" w:eastAsiaTheme="majorEastAsia"/>
          <w:b/>
          <w:bCs/>
          <w:sz w:val="24"/>
        </w:rPr>
        <w:sectPr>
          <w:headerReference r:id="rId8" w:type="first"/>
          <w:footerReference r:id="rId10" w:type="first"/>
          <w:headerReference r:id="rId7" w:type="default"/>
          <w:footerReference r:id="rId9" w:type="default"/>
          <w:pgSz w:w="11906" w:h="16838"/>
          <w:pgMar w:top="1276" w:right="1274" w:bottom="1247" w:left="1418" w:header="851" w:footer="992" w:gutter="0"/>
          <w:cols w:space="720" w:num="1"/>
          <w:titlePg/>
          <w:docGrid w:linePitch="312" w:charSpace="0"/>
        </w:sectPr>
      </w:pPr>
    </w:p>
    <w:p w14:paraId="382E3312">
      <w:pPr>
        <w:spacing w:line="360" w:lineRule="auto"/>
        <w:jc w:val="center"/>
        <w:outlineLvl w:val="0"/>
        <w:rPr>
          <w:rFonts w:cs="仿宋" w:asciiTheme="majorEastAsia" w:hAnsiTheme="majorEastAsia" w:eastAsiaTheme="majorEastAsia"/>
          <w:b/>
          <w:kern w:val="0"/>
          <w:sz w:val="36"/>
          <w:szCs w:val="36"/>
        </w:rPr>
      </w:pPr>
    </w:p>
    <w:p w14:paraId="46437931">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报价文件部分</w:t>
      </w:r>
    </w:p>
    <w:p w14:paraId="1AB2442E">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目录</w:t>
      </w:r>
    </w:p>
    <w:p w14:paraId="08F60ABA">
      <w:pPr>
        <w:snapToGrid w:val="0"/>
        <w:spacing w:line="360" w:lineRule="auto"/>
        <w:ind w:firstLine="480" w:firstLineChars="200"/>
        <w:rPr>
          <w:rFonts w:cs="仿宋" w:asciiTheme="majorEastAsia" w:hAnsiTheme="majorEastAsia" w:eastAsiaTheme="majorEastAsia"/>
          <w:sz w:val="24"/>
          <w:u w:val="single"/>
          <w:lang w:val="zh-CN"/>
        </w:rPr>
      </w:pPr>
      <w:r>
        <w:rPr>
          <w:rFonts w:hint="eastAsia" w:cs="仿宋" w:asciiTheme="majorEastAsia" w:hAnsiTheme="majorEastAsia" w:eastAsiaTheme="majorEastAsia"/>
          <w:sz w:val="24"/>
        </w:rPr>
        <w:t xml:space="preserve"> </w:t>
      </w:r>
    </w:p>
    <w:p w14:paraId="384326EF">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开标一览表；</w:t>
      </w:r>
    </w:p>
    <w:p w14:paraId="780D83BB">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投标报价明细表；</w:t>
      </w:r>
    </w:p>
    <w:p w14:paraId="14A1ADB2">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中小企业声明函（如有）；</w:t>
      </w:r>
    </w:p>
    <w:p w14:paraId="00AF3921">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残疾人福利性单位声明函（如有）；</w:t>
      </w:r>
    </w:p>
    <w:p w14:paraId="49DE99A4">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 监狱企业的证明文件（如有）；</w:t>
      </w:r>
    </w:p>
    <w:p w14:paraId="51572975">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 政府采购统计基础信息表；</w:t>
      </w:r>
    </w:p>
    <w:p w14:paraId="0FE8F048">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7 其他资料（如有）。</w:t>
      </w:r>
    </w:p>
    <w:p w14:paraId="3ADE605C">
      <w:pPr>
        <w:snapToGrid w:val="0"/>
        <w:spacing w:line="360" w:lineRule="auto"/>
        <w:ind w:right="480"/>
        <w:rPr>
          <w:rFonts w:cs="仿宋" w:asciiTheme="majorEastAsia" w:hAnsiTheme="majorEastAsia" w:eastAsiaTheme="majorEastAsia"/>
          <w:b/>
          <w:kern w:val="0"/>
          <w:sz w:val="32"/>
          <w:szCs w:val="32"/>
        </w:rPr>
      </w:pPr>
    </w:p>
    <w:p w14:paraId="4143F158">
      <w:pPr>
        <w:pStyle w:val="40"/>
        <w:keepNext w:val="0"/>
        <w:pageBreakBefore w:val="0"/>
        <w:tabs>
          <w:tab w:val="clear" w:pos="720"/>
        </w:tabs>
        <w:snapToGrid w:val="0"/>
        <w:spacing w:before="120" w:after="120"/>
        <w:ind w:firstLine="643"/>
        <w:outlineLvl w:val="9"/>
        <w:rPr>
          <w:rFonts w:cs="仿宋" w:asciiTheme="majorEastAsia" w:hAnsiTheme="majorEastAsia" w:eastAsiaTheme="majorEastAsia"/>
          <w:kern w:val="2"/>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478A3338">
      <w:pPr>
        <w:pStyle w:val="40"/>
        <w:keepNext w:val="0"/>
        <w:pageBreakBefore w:val="0"/>
        <w:tabs>
          <w:tab w:val="clear" w:pos="720"/>
        </w:tabs>
        <w:snapToGrid w:val="0"/>
        <w:spacing w:before="120" w:after="120"/>
        <w:ind w:firstLine="643"/>
        <w:outlineLvl w:val="9"/>
        <w:rPr>
          <w:rFonts w:cs="仿宋" w:asciiTheme="majorEastAsia" w:hAnsiTheme="majorEastAsia" w:eastAsiaTheme="majorEastAsia"/>
          <w:kern w:val="2"/>
          <w:sz w:val="32"/>
          <w:szCs w:val="32"/>
        </w:rPr>
      </w:pPr>
      <w:r>
        <w:rPr>
          <w:rFonts w:hint="eastAsia" w:cs="仿宋" w:asciiTheme="majorEastAsia" w:hAnsiTheme="majorEastAsia" w:eastAsiaTheme="majorEastAsia"/>
          <w:kern w:val="2"/>
          <w:sz w:val="32"/>
          <w:szCs w:val="32"/>
        </w:rPr>
        <w:t>一、开标一览表（报价表）</w:t>
      </w:r>
    </w:p>
    <w:p w14:paraId="57182C09">
      <w:pPr>
        <w:snapToGrid w:val="0"/>
        <w:spacing w:line="360" w:lineRule="auto"/>
        <w:rPr>
          <w:rFonts w:cs="仿宋" w:asciiTheme="majorEastAsia" w:hAnsiTheme="majorEastAsia" w:eastAsiaTheme="majorEastAsia"/>
          <w:kern w:val="0"/>
          <w:sz w:val="24"/>
          <w:u w:val="single"/>
        </w:rPr>
      </w:pPr>
      <w:r>
        <w:rPr>
          <w:rFonts w:hint="eastAsia" w:cs="仿宋" w:asciiTheme="majorEastAsia" w:hAnsiTheme="majorEastAsia" w:eastAsiaTheme="majorEastAsia"/>
          <w:sz w:val="24"/>
        </w:rPr>
        <w:t>（采购人）、（采购代理机构）</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kern w:val="0"/>
          <w:sz w:val="24"/>
          <w:u w:val="single"/>
        </w:rPr>
        <w:t xml:space="preserve">                                     </w:t>
      </w:r>
    </w:p>
    <w:p w14:paraId="7D67E6DB">
      <w:pPr>
        <w:snapToGrid w:val="0"/>
        <w:spacing w:line="360" w:lineRule="auto"/>
        <w:ind w:firstLine="482"/>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按你方招标文件要求，我们，本投标文件签字方，谨此向你方发出要约如下：如你方接受本投标，我方承诺按照如下开标一览表（报价表）的价格完成</w:t>
      </w:r>
      <w:r>
        <w:rPr>
          <w:rFonts w:hint="eastAsia" w:cs="仿宋" w:asciiTheme="majorEastAsia" w:hAnsiTheme="majorEastAsia" w:eastAsiaTheme="majorEastAsia"/>
          <w:sz w:val="24"/>
        </w:rPr>
        <w:t>（项目名称）</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sz w:val="24"/>
        </w:rPr>
        <w:t>项目编号：        】的实施</w:t>
      </w:r>
      <w:r>
        <w:rPr>
          <w:rFonts w:hint="eastAsia" w:cs="仿宋" w:asciiTheme="majorEastAsia" w:hAnsiTheme="majorEastAsia" w:eastAsiaTheme="majorEastAsia"/>
          <w:kern w:val="0"/>
          <w:sz w:val="24"/>
          <w:lang w:val="zh-CN"/>
        </w:rPr>
        <w:t>。</w:t>
      </w:r>
    </w:p>
    <w:p w14:paraId="759325FA">
      <w:pPr>
        <w:spacing w:line="360" w:lineRule="auto"/>
        <w:jc w:val="center"/>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开标一览表（报价表）</w:t>
      </w:r>
    </w:p>
    <w:tbl>
      <w:tblPr>
        <w:tblStyle w:val="23"/>
        <w:tblpPr w:leftFromText="180" w:rightFromText="180" w:vertAnchor="text" w:tblpX="500" w:tblpY="1"/>
        <w:tblOverlap w:val="never"/>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3"/>
        <w:gridCol w:w="5050"/>
        <w:gridCol w:w="5047"/>
      </w:tblGrid>
      <w:tr w14:paraId="0906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903" w:type="dxa"/>
            <w:vAlign w:val="center"/>
          </w:tcPr>
          <w:p w14:paraId="51B2497A">
            <w:pPr>
              <w:pStyle w:val="72"/>
              <w:widowControl w:val="0"/>
              <w:tabs>
                <w:tab w:val="left" w:pos="1200"/>
              </w:tabs>
              <w:spacing w:after="120" w:line="400" w:lineRule="exact"/>
              <w:ind w:left="400" w:firstLine="0"/>
              <w:jc w:val="center"/>
              <w:rPr>
                <w:rFonts w:ascii="宋体" w:hAnsi="宋体"/>
                <w:sz w:val="21"/>
                <w:szCs w:val="21"/>
              </w:rPr>
            </w:pPr>
            <w:r>
              <w:rPr>
                <w:rFonts w:hint="eastAsia" w:ascii="宋体" w:hAnsi="宋体"/>
                <w:sz w:val="21"/>
                <w:szCs w:val="21"/>
              </w:rPr>
              <w:t>项目名称</w:t>
            </w:r>
          </w:p>
        </w:tc>
        <w:tc>
          <w:tcPr>
            <w:tcW w:w="5050" w:type="dxa"/>
            <w:vAlign w:val="center"/>
          </w:tcPr>
          <w:p w14:paraId="294B6B04">
            <w:pPr>
              <w:spacing w:line="360" w:lineRule="auto"/>
              <w:jc w:val="center"/>
              <w:rPr>
                <w:rFonts w:ascii="宋体" w:hAnsi="宋体"/>
                <w:kern w:val="0"/>
                <w:szCs w:val="21"/>
              </w:rPr>
            </w:pPr>
            <w:r>
              <w:rPr>
                <w:rFonts w:hint="eastAsia" w:ascii="宋体" w:hAnsi="宋体"/>
                <w:szCs w:val="21"/>
              </w:rPr>
              <w:t>服务内容</w:t>
            </w:r>
          </w:p>
        </w:tc>
        <w:tc>
          <w:tcPr>
            <w:tcW w:w="5047" w:type="dxa"/>
            <w:vAlign w:val="center"/>
          </w:tcPr>
          <w:p w14:paraId="26BF77BB">
            <w:pPr>
              <w:spacing w:line="360" w:lineRule="auto"/>
              <w:jc w:val="center"/>
              <w:rPr>
                <w:rFonts w:ascii="宋体" w:hAnsi="宋体"/>
                <w:szCs w:val="21"/>
              </w:rPr>
            </w:pPr>
            <w:r>
              <w:rPr>
                <w:rFonts w:hint="eastAsia" w:ascii="宋体" w:hAnsi="宋体"/>
                <w:szCs w:val="21"/>
              </w:rPr>
              <w:t>投标报价（</w:t>
            </w:r>
            <w:bookmarkStart w:id="418" w:name="OLE_LINK19"/>
            <w:r>
              <w:rPr>
                <w:rFonts w:hint="eastAsia" w:ascii="宋体" w:hAnsi="宋体"/>
                <w:szCs w:val="21"/>
              </w:rPr>
              <w:t>元/年</w:t>
            </w:r>
            <w:bookmarkEnd w:id="418"/>
            <w:r>
              <w:rPr>
                <w:rFonts w:hint="eastAsia" w:ascii="宋体" w:hAnsi="宋体"/>
                <w:szCs w:val="21"/>
              </w:rPr>
              <w:t>）</w:t>
            </w:r>
          </w:p>
        </w:tc>
      </w:tr>
      <w:tr w14:paraId="6D6F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903" w:type="dxa"/>
            <w:vMerge w:val="restart"/>
            <w:vAlign w:val="center"/>
          </w:tcPr>
          <w:p w14:paraId="0EA8BEB8">
            <w:pPr>
              <w:pStyle w:val="72"/>
              <w:widowControl w:val="0"/>
              <w:tabs>
                <w:tab w:val="left" w:pos="1200"/>
              </w:tabs>
              <w:spacing w:after="120" w:line="400" w:lineRule="exact"/>
              <w:ind w:firstLine="0"/>
              <w:jc w:val="left"/>
              <w:rPr>
                <w:rFonts w:ascii="宋体" w:hAnsi="宋体"/>
                <w:sz w:val="21"/>
                <w:szCs w:val="21"/>
              </w:rPr>
            </w:pPr>
            <w:r>
              <w:rPr>
                <w:rFonts w:hint="eastAsia" w:ascii="宋体" w:hAnsi="宋体"/>
                <w:sz w:val="21"/>
                <w:szCs w:val="21"/>
              </w:rPr>
              <w:t>奉化区水蜜桃文化博览园运营服务项目</w:t>
            </w:r>
          </w:p>
        </w:tc>
        <w:tc>
          <w:tcPr>
            <w:tcW w:w="5050" w:type="dxa"/>
            <w:vAlign w:val="center"/>
          </w:tcPr>
          <w:p w14:paraId="148F77F2">
            <w:pPr>
              <w:jc w:val="center"/>
            </w:pPr>
            <w:r>
              <w:rPr>
                <w:rFonts w:hint="eastAsia" w:ascii="宋体" w:hAnsi="宋体"/>
                <w:szCs w:val="21"/>
              </w:rPr>
              <w:t>招商运营管理服务</w:t>
            </w:r>
          </w:p>
        </w:tc>
        <w:tc>
          <w:tcPr>
            <w:tcW w:w="5047" w:type="dxa"/>
            <w:vAlign w:val="center"/>
          </w:tcPr>
          <w:p w14:paraId="6A628A5E">
            <w:pPr>
              <w:jc w:val="center"/>
              <w:rPr>
                <w:rFonts w:ascii="宋体" w:hAnsi="宋体"/>
                <w:szCs w:val="21"/>
              </w:rPr>
            </w:pPr>
          </w:p>
        </w:tc>
      </w:tr>
      <w:tr w14:paraId="131E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903" w:type="dxa"/>
            <w:vMerge w:val="continue"/>
            <w:vAlign w:val="center"/>
          </w:tcPr>
          <w:p w14:paraId="1D2472B4">
            <w:pPr>
              <w:pStyle w:val="72"/>
              <w:widowControl w:val="0"/>
              <w:tabs>
                <w:tab w:val="left" w:pos="1200"/>
              </w:tabs>
              <w:spacing w:after="120" w:line="400" w:lineRule="exact"/>
              <w:ind w:firstLine="0"/>
              <w:jc w:val="left"/>
              <w:rPr>
                <w:rFonts w:ascii="宋体" w:hAnsi="宋体"/>
                <w:sz w:val="21"/>
                <w:szCs w:val="21"/>
              </w:rPr>
            </w:pPr>
          </w:p>
        </w:tc>
        <w:tc>
          <w:tcPr>
            <w:tcW w:w="5050" w:type="dxa"/>
            <w:vAlign w:val="center"/>
          </w:tcPr>
          <w:p w14:paraId="100FE3A2">
            <w:pPr>
              <w:jc w:val="center"/>
              <w:rPr>
                <w:rFonts w:ascii="宋体" w:hAnsi="宋体"/>
                <w:szCs w:val="21"/>
              </w:rPr>
            </w:pPr>
            <w:r>
              <w:rPr>
                <w:rFonts w:hint="eastAsia" w:ascii="宋体" w:hAnsi="宋体"/>
                <w:szCs w:val="21"/>
              </w:rPr>
              <w:t>园区物业化管理服务</w:t>
            </w:r>
          </w:p>
        </w:tc>
        <w:tc>
          <w:tcPr>
            <w:tcW w:w="5047" w:type="dxa"/>
            <w:vAlign w:val="center"/>
          </w:tcPr>
          <w:p w14:paraId="0D0A62F9">
            <w:pPr>
              <w:jc w:val="center"/>
              <w:rPr>
                <w:rFonts w:ascii="宋体" w:hAnsi="宋体"/>
                <w:szCs w:val="21"/>
              </w:rPr>
            </w:pPr>
          </w:p>
        </w:tc>
      </w:tr>
      <w:tr w14:paraId="0B40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903" w:type="dxa"/>
            <w:vMerge w:val="continue"/>
            <w:vAlign w:val="center"/>
          </w:tcPr>
          <w:p w14:paraId="45B11442">
            <w:pPr>
              <w:pStyle w:val="72"/>
              <w:widowControl w:val="0"/>
              <w:tabs>
                <w:tab w:val="left" w:pos="1200"/>
              </w:tabs>
              <w:spacing w:after="120" w:line="400" w:lineRule="exact"/>
              <w:ind w:firstLine="0"/>
              <w:jc w:val="left"/>
              <w:rPr>
                <w:rFonts w:ascii="宋体" w:hAnsi="宋体"/>
                <w:sz w:val="21"/>
                <w:szCs w:val="21"/>
              </w:rPr>
            </w:pPr>
          </w:p>
        </w:tc>
        <w:tc>
          <w:tcPr>
            <w:tcW w:w="5050" w:type="dxa"/>
            <w:vAlign w:val="center"/>
          </w:tcPr>
          <w:p w14:paraId="6F625180">
            <w:pPr>
              <w:jc w:val="center"/>
              <w:rPr>
                <w:rFonts w:ascii="宋体" w:hAnsi="宋体"/>
                <w:szCs w:val="21"/>
              </w:rPr>
            </w:pPr>
            <w:r>
              <w:rPr>
                <w:rFonts w:hint="eastAsia" w:ascii="宋体" w:hAnsi="宋体"/>
                <w:szCs w:val="21"/>
              </w:rPr>
              <w:t>合计</w:t>
            </w:r>
          </w:p>
        </w:tc>
        <w:tc>
          <w:tcPr>
            <w:tcW w:w="5047" w:type="dxa"/>
            <w:vAlign w:val="center"/>
          </w:tcPr>
          <w:p w14:paraId="590AD2D5">
            <w:pPr>
              <w:jc w:val="center"/>
              <w:rPr>
                <w:rFonts w:ascii="宋体" w:hAnsi="宋体"/>
                <w:szCs w:val="21"/>
              </w:rPr>
            </w:pPr>
          </w:p>
        </w:tc>
      </w:tr>
      <w:tr w14:paraId="08CA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999" w:type="dxa"/>
            <w:gridSpan w:val="3"/>
          </w:tcPr>
          <w:p w14:paraId="1FB7E6AC">
            <w:pPr>
              <w:rPr>
                <w:rFonts w:ascii="宋体" w:hAnsi="宋体" w:cs="仿宋"/>
                <w:b/>
                <w:bCs/>
                <w:sz w:val="24"/>
              </w:rPr>
            </w:pPr>
            <w:r>
              <w:rPr>
                <w:rFonts w:hint="eastAsia" w:ascii="宋体" w:hAnsi="宋体" w:cs="仿宋"/>
                <w:b/>
                <w:sz w:val="24"/>
              </w:rPr>
              <w:t xml:space="preserve">投标报价（小写）：                     </w:t>
            </w:r>
            <w:r>
              <w:rPr>
                <w:rFonts w:hint="eastAsia" w:ascii="宋体" w:hAnsi="宋体"/>
                <w:szCs w:val="21"/>
              </w:rPr>
              <w:t>元/年</w:t>
            </w:r>
          </w:p>
        </w:tc>
      </w:tr>
      <w:tr w14:paraId="026D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999" w:type="dxa"/>
            <w:gridSpan w:val="3"/>
          </w:tcPr>
          <w:p w14:paraId="705D043A">
            <w:pPr>
              <w:rPr>
                <w:rFonts w:ascii="宋体" w:hAnsi="宋体" w:cs="仿宋"/>
                <w:b/>
                <w:sz w:val="24"/>
              </w:rPr>
            </w:pPr>
            <w:r>
              <w:rPr>
                <w:rFonts w:hint="eastAsia" w:ascii="宋体" w:hAnsi="宋体" w:cs="仿宋"/>
                <w:b/>
                <w:sz w:val="24"/>
              </w:rPr>
              <w:t xml:space="preserve">投标报价（大写）：                     </w:t>
            </w:r>
            <w:r>
              <w:rPr>
                <w:rFonts w:hint="eastAsia" w:ascii="宋体" w:hAnsi="宋体"/>
                <w:szCs w:val="21"/>
              </w:rPr>
              <w:t>元/年</w:t>
            </w:r>
          </w:p>
        </w:tc>
      </w:tr>
    </w:tbl>
    <w:p w14:paraId="423EA037">
      <w:pPr>
        <w:snapToGrid w:val="0"/>
        <w:spacing w:line="360" w:lineRule="auto"/>
        <w:ind w:left="480"/>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注：</w:t>
      </w:r>
    </w:p>
    <w:p w14:paraId="20A69285">
      <w:pPr>
        <w:spacing w:line="360" w:lineRule="auto"/>
        <w:ind w:left="-2" w:leftChars="-1"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rPr>
        <w:t>1</w:t>
      </w:r>
      <w:r>
        <w:rPr>
          <w:rFonts w:hint="eastAsia" w:cs="仿宋" w:asciiTheme="majorEastAsia" w:hAnsiTheme="majorEastAsia" w:eastAsiaTheme="majorEastAsia"/>
          <w:kern w:val="0"/>
          <w:sz w:val="24"/>
          <w:lang w:val="zh-CN"/>
        </w:rPr>
        <w:t>、投标人需按本表格式填写，不得自行更改。</w:t>
      </w:r>
    </w:p>
    <w:p w14:paraId="44A07A14">
      <w:pPr>
        <w:spacing w:line="360" w:lineRule="auto"/>
        <w:ind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rPr>
        <w:t>2</w:t>
      </w:r>
      <w:r>
        <w:rPr>
          <w:rFonts w:hint="eastAsia" w:cs="仿宋" w:asciiTheme="majorEastAsia" w:hAnsiTheme="majorEastAsia" w:eastAsiaTheme="majorEastAsia"/>
          <w:kern w:val="0"/>
          <w:sz w:val="24"/>
          <w:lang w:val="zh-CN"/>
        </w:rPr>
        <w:t>、有关本项目实施所涉及的一切费用均计入报价。</w:t>
      </w:r>
      <w:r>
        <w:rPr>
          <w:rFonts w:hint="eastAsia" w:cs="仿宋" w:asciiTheme="majorEastAsia" w:hAnsiTheme="majorEastAsia" w:eastAsiaTheme="majorEastAsia"/>
          <w:b/>
          <w:kern w:val="0"/>
          <w:sz w:val="24"/>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b/>
          <w:kern w:val="0"/>
          <w:sz w:val="24"/>
          <w:lang w:val="zh-CN"/>
        </w:rPr>
        <w:t>不得出现“0元”“免费赠送”等形式的无偿报价，</w:t>
      </w:r>
      <w:r>
        <w:rPr>
          <w:rFonts w:hint="eastAsia" w:cs="仿宋" w:asciiTheme="majorEastAsia" w:hAnsiTheme="majorEastAsia" w:eastAsiaTheme="majorEastAsia"/>
          <w:b/>
          <w:kern w:val="0"/>
          <w:sz w:val="24"/>
        </w:rPr>
        <w:t>否则视为</w:t>
      </w:r>
      <w:r>
        <w:rPr>
          <w:rFonts w:hint="eastAsia" w:cs="仿宋" w:asciiTheme="majorEastAsia" w:hAnsiTheme="majorEastAsia" w:eastAsiaTheme="majorEastAsia"/>
          <w:b/>
          <w:sz w:val="24"/>
        </w:rPr>
        <w:t>投标文件含有采购人不能接受的附加条件的，投标无效</w:t>
      </w:r>
      <w:r>
        <w:rPr>
          <w:rFonts w:hint="eastAsia" w:cs="仿宋" w:asciiTheme="majorEastAsia" w:hAnsiTheme="majorEastAsia" w:eastAsiaTheme="majorEastAsia"/>
          <w:b/>
          <w:kern w:val="0"/>
          <w:sz w:val="24"/>
          <w:lang w:val="zh-CN"/>
        </w:rPr>
        <w:t>。</w:t>
      </w:r>
    </w:p>
    <w:p w14:paraId="3C23226D">
      <w:pPr>
        <w:spacing w:line="360" w:lineRule="auto"/>
        <w:ind w:left="7560" w:leftChars="36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4B23CF84">
      <w:pPr>
        <w:spacing w:line="360" w:lineRule="auto"/>
        <w:ind w:left="7560" w:leftChars="36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01947383">
      <w:pPr>
        <w:spacing w:line="360" w:lineRule="auto"/>
        <w:ind w:left="7560" w:leftChars="3600"/>
        <w:rPr>
          <w:rFonts w:cs="仿宋" w:asciiTheme="majorEastAsia" w:hAnsiTheme="majorEastAsia" w:eastAsiaTheme="majorEastAsia"/>
          <w:sz w:val="24"/>
        </w:rPr>
      </w:pPr>
      <w:r>
        <w:rPr>
          <w:rFonts w:hint="eastAsia" w:cs="仿宋" w:asciiTheme="majorEastAsia" w:hAnsiTheme="majorEastAsia" w:eastAsiaTheme="majorEastAsia"/>
          <w:sz w:val="24"/>
        </w:rPr>
        <w:t>日  期：</w:t>
      </w:r>
    </w:p>
    <w:p w14:paraId="2984F1DD">
      <w:pPr>
        <w:spacing w:line="360" w:lineRule="auto"/>
        <w:ind w:left="7560" w:leftChars="3600"/>
        <w:rPr>
          <w:rFonts w:asciiTheme="majorEastAsia" w:hAnsiTheme="majorEastAsia" w:eastAsiaTheme="majorEastAsia"/>
        </w:rPr>
        <w:sectPr>
          <w:pgSz w:w="16838" w:h="11906" w:orient="landscape"/>
          <w:pgMar w:top="1418" w:right="1247" w:bottom="1418" w:left="1276" w:header="851" w:footer="992" w:gutter="0"/>
          <w:cols w:space="720" w:num="1"/>
          <w:titlePg/>
          <w:docGrid w:linePitch="312" w:charSpace="0"/>
        </w:sectPr>
      </w:pPr>
    </w:p>
    <w:p w14:paraId="7BAFE1F5">
      <w:pPr>
        <w:pStyle w:val="40"/>
        <w:keepNext w:val="0"/>
        <w:pageBreakBefore w:val="0"/>
        <w:tabs>
          <w:tab w:val="clear" w:pos="720"/>
        </w:tabs>
        <w:snapToGrid w:val="0"/>
        <w:spacing w:before="120" w:after="120"/>
        <w:ind w:firstLine="643"/>
        <w:outlineLvl w:val="9"/>
        <w:rPr>
          <w:rFonts w:cs="仿宋" w:asciiTheme="majorEastAsia" w:hAnsiTheme="majorEastAsia" w:eastAsiaTheme="majorEastAsia"/>
          <w:kern w:val="2"/>
          <w:sz w:val="32"/>
          <w:szCs w:val="32"/>
        </w:rPr>
      </w:pPr>
      <w:r>
        <w:rPr>
          <w:rFonts w:hint="eastAsia" w:cs="仿宋" w:asciiTheme="majorEastAsia" w:hAnsiTheme="majorEastAsia" w:eastAsiaTheme="majorEastAsia"/>
          <w:kern w:val="2"/>
          <w:sz w:val="32"/>
          <w:szCs w:val="32"/>
        </w:rPr>
        <w:t>二、投标报价明细表</w:t>
      </w:r>
    </w:p>
    <w:p w14:paraId="5C2CE87E">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hint="eastAsia" w:cs="仿宋" w:asciiTheme="majorEastAsia" w:hAnsiTheme="majorEastAsia" w:eastAsiaTheme="majorEastAsia"/>
          <w:kern w:val="0"/>
          <w:sz w:val="24"/>
          <w:u w:val="single"/>
        </w:rPr>
        <w:t xml:space="preserve">                            </w:t>
      </w:r>
    </w:p>
    <w:p w14:paraId="657CB52C">
      <w:pPr>
        <w:snapToGri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 xml:space="preserve">项目编号： </w:t>
      </w:r>
      <w:r>
        <w:rPr>
          <w:rFonts w:hint="eastAsia" w:cs="仿宋" w:asciiTheme="majorEastAsia" w:hAnsiTheme="majorEastAsia" w:eastAsiaTheme="majorEastAsia"/>
          <w:kern w:val="0"/>
          <w:sz w:val="24"/>
          <w:u w:val="single"/>
        </w:rPr>
        <w:t xml:space="preserve">                             </w:t>
      </w:r>
      <w:r>
        <w:rPr>
          <w:rFonts w:hint="eastAsia" w:cs="仿宋" w:asciiTheme="majorEastAsia" w:hAnsiTheme="majorEastAsia" w:eastAsiaTheme="majorEastAsia"/>
          <w:sz w:val="24"/>
        </w:rPr>
        <w:t xml:space="preserve">           </w:t>
      </w:r>
    </w:p>
    <w:tbl>
      <w:tblPr>
        <w:tblStyle w:val="23"/>
        <w:tblW w:w="95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
        <w:gridCol w:w="2693"/>
        <w:gridCol w:w="1590"/>
        <w:gridCol w:w="1954"/>
        <w:gridCol w:w="2410"/>
      </w:tblGrid>
      <w:tr w14:paraId="7AC89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vAlign w:val="center"/>
          </w:tcPr>
          <w:p w14:paraId="4FB2A328">
            <w:pPr>
              <w:rPr>
                <w:rFonts w:ascii="宋体" w:hAnsi="宋体"/>
              </w:rPr>
            </w:pPr>
            <w:r>
              <w:rPr>
                <w:rFonts w:hint="eastAsia" w:ascii="宋体" w:hAnsi="宋体"/>
              </w:rPr>
              <w:t>序号</w:t>
            </w:r>
          </w:p>
        </w:tc>
        <w:tc>
          <w:tcPr>
            <w:tcW w:w="2693" w:type="dxa"/>
            <w:tcBorders>
              <w:top w:val="single" w:color="auto" w:sz="4" w:space="0"/>
              <w:left w:val="single" w:color="auto" w:sz="4" w:space="0"/>
              <w:bottom w:val="single" w:color="auto" w:sz="4" w:space="0"/>
              <w:right w:val="single" w:color="auto" w:sz="4" w:space="0"/>
            </w:tcBorders>
            <w:vAlign w:val="center"/>
          </w:tcPr>
          <w:p w14:paraId="134E3C9E">
            <w:pPr>
              <w:jc w:val="center"/>
              <w:rPr>
                <w:rFonts w:ascii="宋体" w:hAnsi="宋体"/>
              </w:rPr>
            </w:pPr>
            <w:r>
              <w:rPr>
                <w:rFonts w:hint="eastAsia" w:ascii="宋体" w:hAnsi="宋体"/>
              </w:rPr>
              <w:t>细则</w:t>
            </w:r>
          </w:p>
        </w:tc>
        <w:tc>
          <w:tcPr>
            <w:tcW w:w="1590" w:type="dxa"/>
            <w:tcBorders>
              <w:top w:val="single" w:color="auto" w:sz="4" w:space="0"/>
              <w:left w:val="single" w:color="auto" w:sz="4" w:space="0"/>
              <w:bottom w:val="single" w:color="auto" w:sz="4" w:space="0"/>
              <w:right w:val="single" w:color="auto" w:sz="4" w:space="0"/>
            </w:tcBorders>
            <w:vAlign w:val="center"/>
          </w:tcPr>
          <w:p w14:paraId="6D65FE83">
            <w:pPr>
              <w:jc w:val="center"/>
              <w:rPr>
                <w:rFonts w:ascii="宋体" w:hAnsi="宋体"/>
              </w:rPr>
            </w:pPr>
            <w:r>
              <w:rPr>
                <w:rFonts w:hint="eastAsia" w:ascii="宋体" w:hAnsi="宋体"/>
              </w:rPr>
              <w:t>数量</w:t>
            </w:r>
          </w:p>
        </w:tc>
        <w:tc>
          <w:tcPr>
            <w:tcW w:w="1954" w:type="dxa"/>
            <w:tcBorders>
              <w:top w:val="single" w:color="auto" w:sz="4" w:space="0"/>
              <w:left w:val="single" w:color="auto" w:sz="4" w:space="0"/>
              <w:bottom w:val="single" w:color="auto" w:sz="4" w:space="0"/>
              <w:right w:val="single" w:color="auto" w:sz="4" w:space="0"/>
            </w:tcBorders>
            <w:vAlign w:val="center"/>
          </w:tcPr>
          <w:p w14:paraId="41D76994">
            <w:pPr>
              <w:jc w:val="center"/>
              <w:rPr>
                <w:rFonts w:ascii="宋体" w:hAnsi="宋体"/>
              </w:rPr>
            </w:pPr>
            <w:r>
              <w:rPr>
                <w:rFonts w:hint="eastAsia" w:ascii="宋体" w:hAnsi="宋体"/>
              </w:rPr>
              <w:t>单价（元）</w:t>
            </w:r>
          </w:p>
        </w:tc>
        <w:tc>
          <w:tcPr>
            <w:tcW w:w="2410" w:type="dxa"/>
            <w:tcBorders>
              <w:top w:val="single" w:color="auto" w:sz="4" w:space="0"/>
              <w:left w:val="single" w:color="auto" w:sz="4" w:space="0"/>
              <w:bottom w:val="single" w:color="auto" w:sz="4" w:space="0"/>
              <w:right w:val="single" w:color="auto" w:sz="4" w:space="0"/>
            </w:tcBorders>
            <w:vAlign w:val="center"/>
          </w:tcPr>
          <w:p w14:paraId="6E18B3EC">
            <w:pPr>
              <w:jc w:val="center"/>
              <w:rPr>
                <w:rFonts w:ascii="宋体" w:hAnsi="宋体"/>
              </w:rPr>
            </w:pPr>
            <w:r>
              <w:rPr>
                <w:rFonts w:hint="eastAsia" w:ascii="宋体" w:hAnsi="宋体"/>
              </w:rPr>
              <w:t>金额</w:t>
            </w:r>
          </w:p>
        </w:tc>
      </w:tr>
      <w:tr w14:paraId="4B352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3CDFFD91">
            <w:pPr>
              <w:jc w:val="center"/>
              <w:rPr>
                <w:rFonts w:ascii="宋体" w:hAnsi="宋体"/>
                <w:b/>
                <w:bCs/>
              </w:rPr>
            </w:pPr>
            <w:r>
              <w:rPr>
                <w:rFonts w:hint="eastAsia" w:ascii="宋体" w:hAnsi="宋体"/>
                <w:b/>
                <w:bCs/>
              </w:rPr>
              <w:t>一</w:t>
            </w:r>
          </w:p>
        </w:tc>
        <w:tc>
          <w:tcPr>
            <w:tcW w:w="2693" w:type="dxa"/>
            <w:tcBorders>
              <w:top w:val="single" w:color="auto" w:sz="4" w:space="0"/>
              <w:left w:val="single" w:color="auto" w:sz="4" w:space="0"/>
              <w:bottom w:val="single" w:color="auto" w:sz="4" w:space="0"/>
              <w:right w:val="single" w:color="auto" w:sz="4" w:space="0"/>
            </w:tcBorders>
            <w:vAlign w:val="center"/>
          </w:tcPr>
          <w:p w14:paraId="5460B627">
            <w:pPr>
              <w:adjustRightInd w:val="0"/>
              <w:snapToGrid w:val="0"/>
              <w:rPr>
                <w:rFonts w:ascii="宋体" w:hAnsi="宋体"/>
                <w:b/>
                <w:bCs/>
                <w:szCs w:val="21"/>
              </w:rPr>
            </w:pPr>
            <w:r>
              <w:rPr>
                <w:rFonts w:hint="eastAsia" w:ascii="宋体" w:hAnsi="宋体"/>
                <w:b/>
                <w:bCs/>
                <w:szCs w:val="21"/>
              </w:rPr>
              <w:t>招商运营管理服务</w:t>
            </w:r>
          </w:p>
        </w:tc>
        <w:tc>
          <w:tcPr>
            <w:tcW w:w="1590" w:type="dxa"/>
            <w:tcBorders>
              <w:top w:val="single" w:color="auto" w:sz="4" w:space="0"/>
              <w:left w:val="single" w:color="auto" w:sz="4" w:space="0"/>
              <w:bottom w:val="single" w:color="auto" w:sz="4" w:space="0"/>
              <w:right w:val="single" w:color="auto" w:sz="4" w:space="0"/>
            </w:tcBorders>
          </w:tcPr>
          <w:p w14:paraId="32BCB063">
            <w:pPr>
              <w:rPr>
                <w:rFonts w:ascii="宋体" w:hAnsi="宋体"/>
              </w:rPr>
            </w:pPr>
          </w:p>
        </w:tc>
        <w:tc>
          <w:tcPr>
            <w:tcW w:w="1954" w:type="dxa"/>
            <w:tcBorders>
              <w:top w:val="single" w:color="auto" w:sz="4" w:space="0"/>
              <w:left w:val="single" w:color="auto" w:sz="4" w:space="0"/>
              <w:bottom w:val="single" w:color="auto" w:sz="4" w:space="0"/>
              <w:right w:val="single" w:color="auto" w:sz="4" w:space="0"/>
            </w:tcBorders>
          </w:tcPr>
          <w:p w14:paraId="411137F9">
            <w:pPr>
              <w:rPr>
                <w:rFonts w:ascii="宋体" w:hAnsi="宋体"/>
              </w:rPr>
            </w:pPr>
          </w:p>
        </w:tc>
        <w:tc>
          <w:tcPr>
            <w:tcW w:w="2410" w:type="dxa"/>
            <w:tcBorders>
              <w:top w:val="single" w:color="auto" w:sz="4" w:space="0"/>
              <w:left w:val="single" w:color="auto" w:sz="4" w:space="0"/>
              <w:bottom w:val="single" w:color="auto" w:sz="4" w:space="0"/>
              <w:right w:val="single" w:color="auto" w:sz="4" w:space="0"/>
            </w:tcBorders>
          </w:tcPr>
          <w:p w14:paraId="182A983F">
            <w:pPr>
              <w:rPr>
                <w:rFonts w:ascii="宋体" w:hAnsi="宋体"/>
              </w:rPr>
            </w:pPr>
          </w:p>
        </w:tc>
      </w:tr>
      <w:tr w14:paraId="4777D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0EE92EDD">
            <w:pPr>
              <w:jc w:val="center"/>
              <w:rPr>
                <w:rFonts w:ascii="宋体" w:hAnsi="宋体"/>
              </w:rPr>
            </w:pPr>
            <w:r>
              <w:rPr>
                <w:rFonts w:hint="eastAsia" w:ascii="宋体" w:hAnsi="宋体"/>
              </w:rPr>
              <w:t>1</w:t>
            </w:r>
          </w:p>
        </w:tc>
        <w:tc>
          <w:tcPr>
            <w:tcW w:w="2693" w:type="dxa"/>
            <w:tcBorders>
              <w:top w:val="single" w:color="auto" w:sz="4" w:space="0"/>
              <w:left w:val="single" w:color="auto" w:sz="4" w:space="0"/>
              <w:bottom w:val="single" w:color="auto" w:sz="4" w:space="0"/>
              <w:right w:val="single" w:color="auto" w:sz="4" w:space="0"/>
            </w:tcBorders>
            <w:vAlign w:val="center"/>
          </w:tcPr>
          <w:p w14:paraId="105519D9">
            <w:pPr>
              <w:adjustRightInd w:val="0"/>
              <w:snapToGrid w:val="0"/>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tcPr>
          <w:p w14:paraId="40A89916">
            <w:pPr>
              <w:rPr>
                <w:rFonts w:ascii="宋体" w:hAnsi="宋体"/>
              </w:rPr>
            </w:pPr>
          </w:p>
        </w:tc>
        <w:tc>
          <w:tcPr>
            <w:tcW w:w="1954" w:type="dxa"/>
            <w:tcBorders>
              <w:top w:val="single" w:color="auto" w:sz="4" w:space="0"/>
              <w:left w:val="single" w:color="auto" w:sz="4" w:space="0"/>
              <w:bottom w:val="single" w:color="auto" w:sz="4" w:space="0"/>
              <w:right w:val="single" w:color="auto" w:sz="4" w:space="0"/>
            </w:tcBorders>
          </w:tcPr>
          <w:p w14:paraId="37B07F3A">
            <w:pPr>
              <w:rPr>
                <w:rFonts w:ascii="宋体" w:hAnsi="宋体"/>
              </w:rPr>
            </w:pPr>
          </w:p>
        </w:tc>
        <w:tc>
          <w:tcPr>
            <w:tcW w:w="2410" w:type="dxa"/>
            <w:tcBorders>
              <w:top w:val="single" w:color="auto" w:sz="4" w:space="0"/>
              <w:left w:val="single" w:color="auto" w:sz="4" w:space="0"/>
              <w:bottom w:val="single" w:color="auto" w:sz="4" w:space="0"/>
              <w:right w:val="single" w:color="auto" w:sz="4" w:space="0"/>
            </w:tcBorders>
          </w:tcPr>
          <w:p w14:paraId="7B0F6B5D">
            <w:pPr>
              <w:rPr>
                <w:rFonts w:ascii="宋体" w:hAnsi="宋体"/>
              </w:rPr>
            </w:pPr>
          </w:p>
        </w:tc>
      </w:tr>
      <w:tr w14:paraId="0DC9F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67BC9FA3">
            <w:pPr>
              <w:jc w:val="center"/>
              <w:rPr>
                <w:rFonts w:ascii="宋体" w:hAnsi="宋体"/>
              </w:rPr>
            </w:pPr>
            <w:r>
              <w:rPr>
                <w:rFonts w:hint="eastAsia" w:ascii="宋体" w:hAnsi="宋体"/>
              </w:rPr>
              <w:t>2</w:t>
            </w:r>
          </w:p>
        </w:tc>
        <w:tc>
          <w:tcPr>
            <w:tcW w:w="2693" w:type="dxa"/>
            <w:tcBorders>
              <w:top w:val="single" w:color="auto" w:sz="4" w:space="0"/>
              <w:left w:val="single" w:color="auto" w:sz="4" w:space="0"/>
              <w:bottom w:val="single" w:color="auto" w:sz="4" w:space="0"/>
              <w:right w:val="single" w:color="auto" w:sz="4" w:space="0"/>
            </w:tcBorders>
            <w:vAlign w:val="center"/>
          </w:tcPr>
          <w:p w14:paraId="7F34DDFD">
            <w:pPr>
              <w:adjustRightInd w:val="0"/>
              <w:snapToGrid w:val="0"/>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tcPr>
          <w:p w14:paraId="17517002">
            <w:pPr>
              <w:rPr>
                <w:rFonts w:ascii="宋体" w:hAnsi="宋体"/>
              </w:rPr>
            </w:pPr>
          </w:p>
        </w:tc>
        <w:tc>
          <w:tcPr>
            <w:tcW w:w="1954" w:type="dxa"/>
            <w:tcBorders>
              <w:top w:val="single" w:color="auto" w:sz="4" w:space="0"/>
              <w:left w:val="single" w:color="auto" w:sz="4" w:space="0"/>
              <w:bottom w:val="single" w:color="auto" w:sz="4" w:space="0"/>
              <w:right w:val="single" w:color="auto" w:sz="4" w:space="0"/>
            </w:tcBorders>
          </w:tcPr>
          <w:p w14:paraId="5AA28F9E">
            <w:pPr>
              <w:rPr>
                <w:rFonts w:ascii="宋体" w:hAnsi="宋体"/>
              </w:rPr>
            </w:pPr>
          </w:p>
        </w:tc>
        <w:tc>
          <w:tcPr>
            <w:tcW w:w="2410" w:type="dxa"/>
            <w:tcBorders>
              <w:top w:val="single" w:color="auto" w:sz="4" w:space="0"/>
              <w:left w:val="single" w:color="auto" w:sz="4" w:space="0"/>
              <w:bottom w:val="single" w:color="auto" w:sz="4" w:space="0"/>
              <w:right w:val="single" w:color="auto" w:sz="4" w:space="0"/>
            </w:tcBorders>
          </w:tcPr>
          <w:p w14:paraId="616F39A2">
            <w:pPr>
              <w:rPr>
                <w:rFonts w:ascii="宋体" w:hAnsi="宋体"/>
              </w:rPr>
            </w:pPr>
          </w:p>
        </w:tc>
      </w:tr>
      <w:tr w14:paraId="2CCC9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045FEE95">
            <w:pPr>
              <w:jc w:val="center"/>
              <w:rPr>
                <w:rFonts w:ascii="宋体" w:hAnsi="宋体"/>
              </w:rPr>
            </w:pPr>
            <w:r>
              <w:rPr>
                <w:rFonts w:hint="eastAsia" w:ascii="宋体" w:hAnsi="宋体"/>
              </w:rPr>
              <w:t>3</w:t>
            </w:r>
          </w:p>
        </w:tc>
        <w:tc>
          <w:tcPr>
            <w:tcW w:w="2693" w:type="dxa"/>
            <w:tcBorders>
              <w:top w:val="single" w:color="auto" w:sz="4" w:space="0"/>
              <w:left w:val="single" w:color="auto" w:sz="4" w:space="0"/>
              <w:bottom w:val="single" w:color="auto" w:sz="4" w:space="0"/>
              <w:right w:val="single" w:color="auto" w:sz="4" w:space="0"/>
            </w:tcBorders>
            <w:vAlign w:val="center"/>
          </w:tcPr>
          <w:p w14:paraId="0E674A9C">
            <w:pPr>
              <w:adjustRightInd w:val="0"/>
              <w:snapToGrid w:val="0"/>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tcPr>
          <w:p w14:paraId="153C9E37">
            <w:pPr>
              <w:rPr>
                <w:rFonts w:ascii="宋体" w:hAnsi="宋体"/>
              </w:rPr>
            </w:pPr>
          </w:p>
        </w:tc>
        <w:tc>
          <w:tcPr>
            <w:tcW w:w="1954" w:type="dxa"/>
            <w:tcBorders>
              <w:top w:val="single" w:color="auto" w:sz="4" w:space="0"/>
              <w:left w:val="single" w:color="auto" w:sz="4" w:space="0"/>
              <w:bottom w:val="single" w:color="auto" w:sz="4" w:space="0"/>
              <w:right w:val="single" w:color="auto" w:sz="4" w:space="0"/>
            </w:tcBorders>
          </w:tcPr>
          <w:p w14:paraId="216D0529">
            <w:pPr>
              <w:rPr>
                <w:rFonts w:ascii="宋体" w:hAnsi="宋体"/>
              </w:rPr>
            </w:pPr>
          </w:p>
        </w:tc>
        <w:tc>
          <w:tcPr>
            <w:tcW w:w="2410" w:type="dxa"/>
            <w:tcBorders>
              <w:top w:val="single" w:color="auto" w:sz="4" w:space="0"/>
              <w:left w:val="single" w:color="auto" w:sz="4" w:space="0"/>
              <w:bottom w:val="single" w:color="auto" w:sz="4" w:space="0"/>
              <w:right w:val="single" w:color="auto" w:sz="4" w:space="0"/>
            </w:tcBorders>
          </w:tcPr>
          <w:p w14:paraId="79045A3B">
            <w:pPr>
              <w:rPr>
                <w:rFonts w:ascii="宋体" w:hAnsi="宋体"/>
              </w:rPr>
            </w:pPr>
          </w:p>
        </w:tc>
      </w:tr>
      <w:tr w14:paraId="06A8B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2A88E9C0">
            <w:pPr>
              <w:jc w:val="center"/>
              <w:rPr>
                <w:rFonts w:ascii="宋体" w:hAnsi="宋体"/>
              </w:rPr>
            </w:pPr>
            <w:r>
              <w:rPr>
                <w:rFonts w:hint="eastAsia" w:ascii="宋体" w:hAnsi="宋体"/>
              </w:rPr>
              <w:t>4</w:t>
            </w:r>
          </w:p>
        </w:tc>
        <w:tc>
          <w:tcPr>
            <w:tcW w:w="2693" w:type="dxa"/>
            <w:tcBorders>
              <w:top w:val="single" w:color="auto" w:sz="4" w:space="0"/>
              <w:left w:val="single" w:color="auto" w:sz="4" w:space="0"/>
              <w:bottom w:val="single" w:color="auto" w:sz="4" w:space="0"/>
              <w:right w:val="single" w:color="auto" w:sz="4" w:space="0"/>
            </w:tcBorders>
            <w:vAlign w:val="center"/>
          </w:tcPr>
          <w:p w14:paraId="1079345D">
            <w:pPr>
              <w:adjustRightInd w:val="0"/>
              <w:snapToGrid w:val="0"/>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tcPr>
          <w:p w14:paraId="46F82B41">
            <w:pPr>
              <w:rPr>
                <w:rFonts w:ascii="宋体" w:hAnsi="宋体"/>
              </w:rPr>
            </w:pPr>
          </w:p>
        </w:tc>
        <w:tc>
          <w:tcPr>
            <w:tcW w:w="1954" w:type="dxa"/>
            <w:tcBorders>
              <w:top w:val="single" w:color="auto" w:sz="4" w:space="0"/>
              <w:left w:val="single" w:color="auto" w:sz="4" w:space="0"/>
              <w:bottom w:val="single" w:color="auto" w:sz="4" w:space="0"/>
              <w:right w:val="single" w:color="auto" w:sz="4" w:space="0"/>
            </w:tcBorders>
          </w:tcPr>
          <w:p w14:paraId="11F3B75D">
            <w:pPr>
              <w:rPr>
                <w:rFonts w:ascii="宋体" w:hAnsi="宋体"/>
              </w:rPr>
            </w:pPr>
          </w:p>
        </w:tc>
        <w:tc>
          <w:tcPr>
            <w:tcW w:w="2410" w:type="dxa"/>
            <w:tcBorders>
              <w:top w:val="single" w:color="auto" w:sz="4" w:space="0"/>
              <w:left w:val="single" w:color="auto" w:sz="4" w:space="0"/>
              <w:bottom w:val="single" w:color="auto" w:sz="4" w:space="0"/>
              <w:right w:val="single" w:color="auto" w:sz="4" w:space="0"/>
            </w:tcBorders>
          </w:tcPr>
          <w:p w14:paraId="6F7A303C">
            <w:pPr>
              <w:rPr>
                <w:rFonts w:ascii="宋体" w:hAnsi="宋体"/>
              </w:rPr>
            </w:pPr>
          </w:p>
        </w:tc>
      </w:tr>
      <w:tr w14:paraId="5BABD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758FABD1">
            <w:pPr>
              <w:jc w:val="center"/>
              <w:rPr>
                <w:rFonts w:ascii="宋体" w:hAnsi="宋体"/>
              </w:rPr>
            </w:pPr>
            <w:r>
              <w:rPr>
                <w:rFonts w:hint="eastAsia" w:ascii="宋体" w:hAnsi="宋体"/>
                <w:szCs w:val="21"/>
              </w:rPr>
              <w:t>……</w:t>
            </w:r>
          </w:p>
        </w:tc>
        <w:tc>
          <w:tcPr>
            <w:tcW w:w="2693" w:type="dxa"/>
            <w:tcBorders>
              <w:top w:val="single" w:color="auto" w:sz="4" w:space="0"/>
              <w:left w:val="single" w:color="auto" w:sz="4" w:space="0"/>
              <w:bottom w:val="single" w:color="auto" w:sz="4" w:space="0"/>
              <w:right w:val="single" w:color="auto" w:sz="4" w:space="0"/>
            </w:tcBorders>
            <w:vAlign w:val="center"/>
          </w:tcPr>
          <w:p w14:paraId="12B6083D">
            <w:pPr>
              <w:adjustRightInd w:val="0"/>
              <w:snapToGrid w:val="0"/>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tcPr>
          <w:p w14:paraId="4BABDA0D">
            <w:pPr>
              <w:rPr>
                <w:rFonts w:ascii="宋体" w:hAnsi="宋体"/>
              </w:rPr>
            </w:pPr>
          </w:p>
        </w:tc>
        <w:tc>
          <w:tcPr>
            <w:tcW w:w="1954" w:type="dxa"/>
            <w:tcBorders>
              <w:top w:val="single" w:color="auto" w:sz="4" w:space="0"/>
              <w:left w:val="single" w:color="auto" w:sz="4" w:space="0"/>
              <w:bottom w:val="single" w:color="auto" w:sz="4" w:space="0"/>
              <w:right w:val="single" w:color="auto" w:sz="4" w:space="0"/>
            </w:tcBorders>
          </w:tcPr>
          <w:p w14:paraId="30B21BFF">
            <w:pPr>
              <w:rPr>
                <w:rFonts w:ascii="宋体" w:hAnsi="宋体"/>
              </w:rPr>
            </w:pPr>
          </w:p>
        </w:tc>
        <w:tc>
          <w:tcPr>
            <w:tcW w:w="2410" w:type="dxa"/>
            <w:tcBorders>
              <w:top w:val="single" w:color="auto" w:sz="4" w:space="0"/>
              <w:left w:val="single" w:color="auto" w:sz="4" w:space="0"/>
              <w:bottom w:val="single" w:color="auto" w:sz="4" w:space="0"/>
              <w:right w:val="single" w:color="auto" w:sz="4" w:space="0"/>
            </w:tcBorders>
          </w:tcPr>
          <w:p w14:paraId="246AC462">
            <w:pPr>
              <w:rPr>
                <w:rFonts w:ascii="宋体" w:hAnsi="宋体"/>
              </w:rPr>
            </w:pPr>
          </w:p>
        </w:tc>
      </w:tr>
      <w:tr w14:paraId="0D536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151" w:type="dxa"/>
            <w:gridSpan w:val="4"/>
            <w:tcBorders>
              <w:top w:val="single" w:color="auto" w:sz="4" w:space="0"/>
              <w:left w:val="single" w:color="auto" w:sz="4" w:space="0"/>
              <w:bottom w:val="single" w:color="auto" w:sz="4" w:space="0"/>
              <w:right w:val="single" w:color="auto" w:sz="4" w:space="0"/>
            </w:tcBorders>
          </w:tcPr>
          <w:p w14:paraId="3BD1988A">
            <w:pPr>
              <w:jc w:val="left"/>
              <w:rPr>
                <w:rFonts w:ascii="宋体" w:hAnsi="宋体"/>
              </w:rPr>
            </w:pPr>
            <w:r>
              <w:rPr>
                <w:rFonts w:hint="eastAsia" w:ascii="宋体" w:hAnsi="宋体"/>
                <w:b/>
                <w:bCs/>
                <w:szCs w:val="21"/>
              </w:rPr>
              <w:t>招商运营管理服务投标报价（合计）</w:t>
            </w:r>
          </w:p>
        </w:tc>
        <w:tc>
          <w:tcPr>
            <w:tcW w:w="2410" w:type="dxa"/>
            <w:tcBorders>
              <w:top w:val="single" w:color="auto" w:sz="4" w:space="0"/>
              <w:left w:val="single" w:color="auto" w:sz="4" w:space="0"/>
              <w:bottom w:val="single" w:color="auto" w:sz="4" w:space="0"/>
              <w:right w:val="single" w:color="auto" w:sz="4" w:space="0"/>
            </w:tcBorders>
          </w:tcPr>
          <w:p w14:paraId="64736247">
            <w:pPr>
              <w:rPr>
                <w:rFonts w:ascii="宋体" w:hAnsi="宋体"/>
              </w:rPr>
            </w:pPr>
          </w:p>
        </w:tc>
      </w:tr>
      <w:tr w14:paraId="0FB6B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3A8AB751">
            <w:pPr>
              <w:jc w:val="center"/>
              <w:rPr>
                <w:rFonts w:ascii="宋体" w:hAnsi="宋体"/>
                <w:b/>
                <w:bCs/>
              </w:rPr>
            </w:pPr>
            <w:r>
              <w:rPr>
                <w:rFonts w:hint="eastAsia" w:ascii="宋体" w:hAnsi="宋体"/>
                <w:b/>
                <w:bCs/>
              </w:rPr>
              <w:t>二</w:t>
            </w:r>
          </w:p>
        </w:tc>
        <w:tc>
          <w:tcPr>
            <w:tcW w:w="2693" w:type="dxa"/>
            <w:tcBorders>
              <w:top w:val="single" w:color="auto" w:sz="4" w:space="0"/>
              <w:left w:val="single" w:color="auto" w:sz="4" w:space="0"/>
              <w:bottom w:val="single" w:color="auto" w:sz="4" w:space="0"/>
              <w:right w:val="single" w:color="auto" w:sz="4" w:space="0"/>
            </w:tcBorders>
            <w:vAlign w:val="center"/>
          </w:tcPr>
          <w:p w14:paraId="4FBCF4BA">
            <w:pPr>
              <w:adjustRightInd w:val="0"/>
              <w:snapToGrid w:val="0"/>
              <w:rPr>
                <w:rFonts w:ascii="宋体" w:hAnsi="宋体"/>
                <w:b/>
                <w:bCs/>
                <w:szCs w:val="21"/>
              </w:rPr>
            </w:pPr>
            <w:r>
              <w:rPr>
                <w:rFonts w:hint="eastAsia" w:ascii="宋体" w:hAnsi="宋体"/>
                <w:b/>
                <w:bCs/>
                <w:szCs w:val="21"/>
              </w:rPr>
              <w:t>园区物业化管理服务</w:t>
            </w:r>
          </w:p>
        </w:tc>
        <w:tc>
          <w:tcPr>
            <w:tcW w:w="1590" w:type="dxa"/>
            <w:tcBorders>
              <w:top w:val="single" w:color="auto" w:sz="4" w:space="0"/>
              <w:left w:val="single" w:color="auto" w:sz="4" w:space="0"/>
              <w:bottom w:val="single" w:color="auto" w:sz="4" w:space="0"/>
              <w:right w:val="single" w:color="auto" w:sz="4" w:space="0"/>
            </w:tcBorders>
          </w:tcPr>
          <w:p w14:paraId="688B133C">
            <w:pPr>
              <w:rPr>
                <w:rFonts w:ascii="宋体" w:hAnsi="宋体"/>
              </w:rPr>
            </w:pPr>
          </w:p>
        </w:tc>
        <w:tc>
          <w:tcPr>
            <w:tcW w:w="1954" w:type="dxa"/>
            <w:tcBorders>
              <w:top w:val="single" w:color="auto" w:sz="4" w:space="0"/>
              <w:left w:val="single" w:color="auto" w:sz="4" w:space="0"/>
              <w:bottom w:val="single" w:color="auto" w:sz="4" w:space="0"/>
              <w:right w:val="single" w:color="auto" w:sz="4" w:space="0"/>
            </w:tcBorders>
          </w:tcPr>
          <w:p w14:paraId="43C8ECB3">
            <w:pPr>
              <w:rPr>
                <w:rFonts w:ascii="宋体" w:hAnsi="宋体"/>
              </w:rPr>
            </w:pPr>
          </w:p>
        </w:tc>
        <w:tc>
          <w:tcPr>
            <w:tcW w:w="2410" w:type="dxa"/>
            <w:tcBorders>
              <w:top w:val="single" w:color="auto" w:sz="4" w:space="0"/>
              <w:left w:val="single" w:color="auto" w:sz="4" w:space="0"/>
              <w:bottom w:val="single" w:color="auto" w:sz="4" w:space="0"/>
              <w:right w:val="single" w:color="auto" w:sz="4" w:space="0"/>
            </w:tcBorders>
          </w:tcPr>
          <w:p w14:paraId="340CAA30">
            <w:pPr>
              <w:rPr>
                <w:rFonts w:ascii="宋体" w:hAnsi="宋体"/>
              </w:rPr>
            </w:pPr>
          </w:p>
        </w:tc>
      </w:tr>
      <w:tr w14:paraId="325661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4" w:type="dxa"/>
            <w:tcBorders>
              <w:top w:val="single" w:color="auto" w:sz="4" w:space="0"/>
              <w:left w:val="single" w:color="auto" w:sz="4" w:space="0"/>
              <w:bottom w:val="single" w:color="auto" w:sz="4" w:space="0"/>
              <w:right w:val="single" w:color="auto" w:sz="4" w:space="0"/>
            </w:tcBorders>
          </w:tcPr>
          <w:p w14:paraId="6FD049CB">
            <w:pPr>
              <w:jc w:val="center"/>
              <w:rPr>
                <w:rFonts w:ascii="宋体" w:hAnsi="宋体"/>
              </w:rPr>
            </w:pPr>
            <w:r>
              <w:rPr>
                <w:rFonts w:hint="eastAsia" w:ascii="宋体" w:hAnsi="宋体"/>
              </w:rPr>
              <w:t>1</w:t>
            </w:r>
          </w:p>
        </w:tc>
        <w:tc>
          <w:tcPr>
            <w:tcW w:w="2693" w:type="dxa"/>
            <w:tcBorders>
              <w:top w:val="single" w:color="auto" w:sz="4" w:space="0"/>
              <w:left w:val="single" w:color="auto" w:sz="4" w:space="0"/>
              <w:bottom w:val="single" w:color="auto" w:sz="4" w:space="0"/>
              <w:right w:val="single" w:color="auto" w:sz="4" w:space="0"/>
            </w:tcBorders>
            <w:vAlign w:val="center"/>
          </w:tcPr>
          <w:p w14:paraId="04712EA7">
            <w:pPr>
              <w:adjustRightInd w:val="0"/>
              <w:snapToGrid w:val="0"/>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tcPr>
          <w:p w14:paraId="3FBC39B9">
            <w:pPr>
              <w:rPr>
                <w:rFonts w:ascii="宋体" w:hAnsi="宋体"/>
              </w:rPr>
            </w:pPr>
          </w:p>
        </w:tc>
        <w:tc>
          <w:tcPr>
            <w:tcW w:w="1954" w:type="dxa"/>
            <w:tcBorders>
              <w:top w:val="single" w:color="auto" w:sz="4" w:space="0"/>
              <w:left w:val="single" w:color="auto" w:sz="4" w:space="0"/>
              <w:bottom w:val="single" w:color="auto" w:sz="4" w:space="0"/>
              <w:right w:val="single" w:color="auto" w:sz="4" w:space="0"/>
            </w:tcBorders>
          </w:tcPr>
          <w:p w14:paraId="16BD8DE2">
            <w:pPr>
              <w:rPr>
                <w:rFonts w:ascii="宋体" w:hAnsi="宋体"/>
              </w:rPr>
            </w:pPr>
          </w:p>
        </w:tc>
        <w:tc>
          <w:tcPr>
            <w:tcW w:w="2410" w:type="dxa"/>
            <w:tcBorders>
              <w:top w:val="single" w:color="auto" w:sz="4" w:space="0"/>
              <w:left w:val="single" w:color="auto" w:sz="4" w:space="0"/>
              <w:bottom w:val="single" w:color="auto" w:sz="4" w:space="0"/>
              <w:right w:val="single" w:color="auto" w:sz="4" w:space="0"/>
            </w:tcBorders>
          </w:tcPr>
          <w:p w14:paraId="252C8A82">
            <w:pPr>
              <w:rPr>
                <w:rFonts w:ascii="宋体" w:hAnsi="宋体"/>
              </w:rPr>
            </w:pPr>
          </w:p>
        </w:tc>
      </w:tr>
      <w:tr w14:paraId="6E876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tcPr>
          <w:p w14:paraId="365B6237">
            <w:pPr>
              <w:jc w:val="center"/>
              <w:rPr>
                <w:rFonts w:ascii="宋体" w:hAnsi="宋体"/>
              </w:rPr>
            </w:pPr>
            <w:r>
              <w:rPr>
                <w:rFonts w:hint="eastAsia" w:ascii="宋体" w:hAnsi="宋体"/>
              </w:rPr>
              <w:t>2</w:t>
            </w:r>
          </w:p>
        </w:tc>
        <w:tc>
          <w:tcPr>
            <w:tcW w:w="2693" w:type="dxa"/>
            <w:tcBorders>
              <w:top w:val="single" w:color="auto" w:sz="4" w:space="0"/>
              <w:left w:val="single" w:color="auto" w:sz="4" w:space="0"/>
              <w:bottom w:val="single" w:color="auto" w:sz="4" w:space="0"/>
              <w:right w:val="single" w:color="auto" w:sz="4" w:space="0"/>
            </w:tcBorders>
            <w:vAlign w:val="center"/>
          </w:tcPr>
          <w:p w14:paraId="2F9F6524">
            <w:pPr>
              <w:adjustRightInd w:val="0"/>
              <w:snapToGrid w:val="0"/>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tcPr>
          <w:p w14:paraId="640F8D28">
            <w:pPr>
              <w:rPr>
                <w:rFonts w:ascii="宋体" w:hAnsi="宋体"/>
              </w:rPr>
            </w:pPr>
          </w:p>
        </w:tc>
        <w:tc>
          <w:tcPr>
            <w:tcW w:w="1954" w:type="dxa"/>
            <w:tcBorders>
              <w:top w:val="single" w:color="auto" w:sz="4" w:space="0"/>
              <w:left w:val="single" w:color="auto" w:sz="4" w:space="0"/>
              <w:bottom w:val="single" w:color="auto" w:sz="4" w:space="0"/>
              <w:right w:val="single" w:color="auto" w:sz="4" w:space="0"/>
            </w:tcBorders>
          </w:tcPr>
          <w:p w14:paraId="147A95F9">
            <w:pPr>
              <w:rPr>
                <w:rFonts w:ascii="宋体" w:hAnsi="宋体"/>
              </w:rPr>
            </w:pPr>
          </w:p>
        </w:tc>
        <w:tc>
          <w:tcPr>
            <w:tcW w:w="2410" w:type="dxa"/>
            <w:tcBorders>
              <w:top w:val="single" w:color="auto" w:sz="4" w:space="0"/>
              <w:left w:val="single" w:color="auto" w:sz="4" w:space="0"/>
              <w:bottom w:val="single" w:color="auto" w:sz="4" w:space="0"/>
              <w:right w:val="single" w:color="auto" w:sz="4" w:space="0"/>
            </w:tcBorders>
          </w:tcPr>
          <w:p w14:paraId="4179DC48">
            <w:pPr>
              <w:rPr>
                <w:rFonts w:ascii="宋体" w:hAnsi="宋体"/>
              </w:rPr>
            </w:pPr>
          </w:p>
        </w:tc>
      </w:tr>
      <w:tr w14:paraId="0AE2B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tcPr>
          <w:p w14:paraId="707FF6DD">
            <w:pPr>
              <w:jc w:val="center"/>
              <w:rPr>
                <w:rFonts w:ascii="宋体" w:hAnsi="宋体"/>
              </w:rPr>
            </w:pPr>
            <w:r>
              <w:rPr>
                <w:rFonts w:hint="eastAsia" w:ascii="宋体" w:hAnsi="宋体"/>
              </w:rPr>
              <w:t>3</w:t>
            </w:r>
          </w:p>
        </w:tc>
        <w:tc>
          <w:tcPr>
            <w:tcW w:w="2693" w:type="dxa"/>
            <w:tcBorders>
              <w:top w:val="single" w:color="auto" w:sz="4" w:space="0"/>
              <w:left w:val="single" w:color="auto" w:sz="4" w:space="0"/>
              <w:bottom w:val="single" w:color="auto" w:sz="4" w:space="0"/>
              <w:right w:val="single" w:color="auto" w:sz="4" w:space="0"/>
            </w:tcBorders>
            <w:vAlign w:val="center"/>
          </w:tcPr>
          <w:p w14:paraId="4C5C2924">
            <w:pPr>
              <w:adjustRightInd w:val="0"/>
              <w:snapToGrid w:val="0"/>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tcPr>
          <w:p w14:paraId="18FDE8A3">
            <w:pPr>
              <w:rPr>
                <w:rFonts w:ascii="宋体" w:hAnsi="宋体"/>
              </w:rPr>
            </w:pPr>
          </w:p>
        </w:tc>
        <w:tc>
          <w:tcPr>
            <w:tcW w:w="1954" w:type="dxa"/>
            <w:tcBorders>
              <w:top w:val="single" w:color="auto" w:sz="4" w:space="0"/>
              <w:left w:val="single" w:color="auto" w:sz="4" w:space="0"/>
              <w:bottom w:val="single" w:color="auto" w:sz="4" w:space="0"/>
              <w:right w:val="single" w:color="auto" w:sz="4" w:space="0"/>
            </w:tcBorders>
          </w:tcPr>
          <w:p w14:paraId="5BC41C89">
            <w:pPr>
              <w:rPr>
                <w:rFonts w:ascii="宋体" w:hAnsi="宋体"/>
              </w:rPr>
            </w:pPr>
          </w:p>
        </w:tc>
        <w:tc>
          <w:tcPr>
            <w:tcW w:w="2410" w:type="dxa"/>
            <w:tcBorders>
              <w:top w:val="single" w:color="auto" w:sz="4" w:space="0"/>
              <w:left w:val="single" w:color="auto" w:sz="4" w:space="0"/>
              <w:bottom w:val="single" w:color="auto" w:sz="4" w:space="0"/>
              <w:right w:val="single" w:color="auto" w:sz="4" w:space="0"/>
            </w:tcBorders>
          </w:tcPr>
          <w:p w14:paraId="17CAF24E">
            <w:pPr>
              <w:rPr>
                <w:rFonts w:ascii="宋体" w:hAnsi="宋体"/>
              </w:rPr>
            </w:pPr>
          </w:p>
        </w:tc>
      </w:tr>
      <w:tr w14:paraId="2E62C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14" w:type="dxa"/>
            <w:tcBorders>
              <w:top w:val="single" w:color="auto" w:sz="4" w:space="0"/>
              <w:left w:val="single" w:color="auto" w:sz="4" w:space="0"/>
              <w:bottom w:val="single" w:color="auto" w:sz="4" w:space="0"/>
              <w:right w:val="single" w:color="auto" w:sz="4" w:space="0"/>
            </w:tcBorders>
          </w:tcPr>
          <w:p w14:paraId="5A15F8AD">
            <w:pPr>
              <w:jc w:val="center"/>
              <w:rPr>
                <w:rFonts w:ascii="宋体" w:hAnsi="宋体"/>
              </w:rPr>
            </w:pPr>
            <w:r>
              <w:rPr>
                <w:rFonts w:hint="eastAsia" w:ascii="宋体" w:hAnsi="宋体"/>
              </w:rPr>
              <w:t>4</w:t>
            </w:r>
          </w:p>
        </w:tc>
        <w:tc>
          <w:tcPr>
            <w:tcW w:w="2693" w:type="dxa"/>
            <w:tcBorders>
              <w:top w:val="single" w:color="auto" w:sz="4" w:space="0"/>
              <w:left w:val="single" w:color="auto" w:sz="4" w:space="0"/>
              <w:bottom w:val="single" w:color="auto" w:sz="4" w:space="0"/>
              <w:right w:val="single" w:color="auto" w:sz="4" w:space="0"/>
            </w:tcBorders>
            <w:vAlign w:val="center"/>
          </w:tcPr>
          <w:p w14:paraId="40325F28">
            <w:pPr>
              <w:adjustRightInd w:val="0"/>
              <w:snapToGrid w:val="0"/>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tcPr>
          <w:p w14:paraId="24C1B88D">
            <w:pPr>
              <w:rPr>
                <w:rFonts w:ascii="宋体" w:hAnsi="宋体"/>
              </w:rPr>
            </w:pPr>
          </w:p>
        </w:tc>
        <w:tc>
          <w:tcPr>
            <w:tcW w:w="1954" w:type="dxa"/>
            <w:tcBorders>
              <w:top w:val="single" w:color="auto" w:sz="4" w:space="0"/>
              <w:left w:val="single" w:color="auto" w:sz="4" w:space="0"/>
              <w:bottom w:val="single" w:color="auto" w:sz="4" w:space="0"/>
              <w:right w:val="single" w:color="auto" w:sz="4" w:space="0"/>
            </w:tcBorders>
          </w:tcPr>
          <w:p w14:paraId="06C98E85">
            <w:pPr>
              <w:rPr>
                <w:rFonts w:ascii="宋体" w:hAnsi="宋体"/>
              </w:rPr>
            </w:pPr>
          </w:p>
        </w:tc>
        <w:tc>
          <w:tcPr>
            <w:tcW w:w="2410" w:type="dxa"/>
            <w:tcBorders>
              <w:top w:val="single" w:color="auto" w:sz="4" w:space="0"/>
              <w:left w:val="single" w:color="auto" w:sz="4" w:space="0"/>
              <w:bottom w:val="single" w:color="auto" w:sz="4" w:space="0"/>
              <w:right w:val="single" w:color="auto" w:sz="4" w:space="0"/>
            </w:tcBorders>
          </w:tcPr>
          <w:p w14:paraId="256386CE">
            <w:pPr>
              <w:rPr>
                <w:rFonts w:ascii="宋体" w:hAnsi="宋体"/>
              </w:rPr>
            </w:pPr>
          </w:p>
        </w:tc>
      </w:tr>
      <w:tr w14:paraId="28F96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914" w:type="dxa"/>
            <w:tcBorders>
              <w:top w:val="single" w:color="auto" w:sz="4" w:space="0"/>
              <w:left w:val="single" w:color="auto" w:sz="4" w:space="0"/>
              <w:bottom w:val="single" w:color="auto" w:sz="4" w:space="0"/>
              <w:right w:val="single" w:color="auto" w:sz="4" w:space="0"/>
            </w:tcBorders>
          </w:tcPr>
          <w:p w14:paraId="00EA9B36">
            <w:pPr>
              <w:jc w:val="center"/>
              <w:rPr>
                <w:rFonts w:ascii="宋体" w:hAnsi="宋体"/>
              </w:rPr>
            </w:pPr>
            <w:r>
              <w:rPr>
                <w:rFonts w:hint="eastAsia" w:ascii="宋体" w:hAnsi="宋体"/>
                <w:szCs w:val="21"/>
              </w:rPr>
              <w:t>……</w:t>
            </w:r>
          </w:p>
        </w:tc>
        <w:tc>
          <w:tcPr>
            <w:tcW w:w="2693" w:type="dxa"/>
            <w:tcBorders>
              <w:top w:val="single" w:color="auto" w:sz="4" w:space="0"/>
              <w:left w:val="single" w:color="auto" w:sz="4" w:space="0"/>
              <w:bottom w:val="single" w:color="auto" w:sz="4" w:space="0"/>
              <w:right w:val="single" w:color="auto" w:sz="4" w:space="0"/>
            </w:tcBorders>
            <w:vAlign w:val="center"/>
          </w:tcPr>
          <w:p w14:paraId="5B3D6F00">
            <w:pPr>
              <w:adjustRightInd w:val="0"/>
              <w:snapToGrid w:val="0"/>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tcPr>
          <w:p w14:paraId="2CB0E6AF">
            <w:pPr>
              <w:rPr>
                <w:rFonts w:ascii="宋体" w:hAnsi="宋体"/>
              </w:rPr>
            </w:pPr>
          </w:p>
        </w:tc>
        <w:tc>
          <w:tcPr>
            <w:tcW w:w="1954" w:type="dxa"/>
            <w:tcBorders>
              <w:top w:val="single" w:color="auto" w:sz="4" w:space="0"/>
              <w:left w:val="single" w:color="auto" w:sz="4" w:space="0"/>
              <w:bottom w:val="single" w:color="auto" w:sz="4" w:space="0"/>
              <w:right w:val="single" w:color="auto" w:sz="4" w:space="0"/>
            </w:tcBorders>
          </w:tcPr>
          <w:p w14:paraId="4CCFFBD4">
            <w:pPr>
              <w:rPr>
                <w:rFonts w:ascii="宋体" w:hAnsi="宋体"/>
              </w:rPr>
            </w:pPr>
          </w:p>
        </w:tc>
        <w:tc>
          <w:tcPr>
            <w:tcW w:w="2410" w:type="dxa"/>
            <w:tcBorders>
              <w:top w:val="single" w:color="auto" w:sz="4" w:space="0"/>
              <w:left w:val="single" w:color="auto" w:sz="4" w:space="0"/>
              <w:bottom w:val="single" w:color="auto" w:sz="4" w:space="0"/>
              <w:right w:val="single" w:color="auto" w:sz="4" w:space="0"/>
            </w:tcBorders>
          </w:tcPr>
          <w:p w14:paraId="2F3CAEC4">
            <w:pPr>
              <w:rPr>
                <w:rFonts w:ascii="宋体" w:hAnsi="宋体"/>
              </w:rPr>
            </w:pPr>
          </w:p>
        </w:tc>
      </w:tr>
      <w:tr w14:paraId="07235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151" w:type="dxa"/>
            <w:gridSpan w:val="4"/>
            <w:tcBorders>
              <w:top w:val="single" w:color="auto" w:sz="4" w:space="0"/>
              <w:left w:val="single" w:color="auto" w:sz="4" w:space="0"/>
              <w:bottom w:val="single" w:color="auto" w:sz="4" w:space="0"/>
              <w:right w:val="single" w:color="auto" w:sz="4" w:space="0"/>
            </w:tcBorders>
          </w:tcPr>
          <w:p w14:paraId="76E26A87">
            <w:pPr>
              <w:rPr>
                <w:rFonts w:ascii="宋体" w:hAnsi="宋体"/>
              </w:rPr>
            </w:pPr>
            <w:r>
              <w:rPr>
                <w:rFonts w:hint="eastAsia" w:ascii="宋体" w:hAnsi="宋体"/>
                <w:b/>
                <w:bCs/>
                <w:szCs w:val="21"/>
              </w:rPr>
              <w:t>园区物业化管理服务投标报价（合计）</w:t>
            </w:r>
          </w:p>
        </w:tc>
        <w:tc>
          <w:tcPr>
            <w:tcW w:w="2410" w:type="dxa"/>
            <w:tcBorders>
              <w:top w:val="single" w:color="auto" w:sz="4" w:space="0"/>
              <w:left w:val="single" w:color="auto" w:sz="4" w:space="0"/>
              <w:bottom w:val="single" w:color="auto" w:sz="4" w:space="0"/>
              <w:right w:val="single" w:color="auto" w:sz="4" w:space="0"/>
            </w:tcBorders>
          </w:tcPr>
          <w:p w14:paraId="21B36A9F">
            <w:pPr>
              <w:rPr>
                <w:rFonts w:ascii="宋体" w:hAnsi="宋体"/>
              </w:rPr>
            </w:pPr>
          </w:p>
        </w:tc>
      </w:tr>
      <w:tr w14:paraId="09B39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61" w:type="dxa"/>
            <w:gridSpan w:val="5"/>
            <w:tcBorders>
              <w:top w:val="single" w:color="auto" w:sz="4" w:space="0"/>
              <w:left w:val="single" w:color="auto" w:sz="4" w:space="0"/>
              <w:bottom w:val="single" w:color="auto" w:sz="4" w:space="0"/>
              <w:right w:val="single" w:color="auto" w:sz="4" w:space="0"/>
            </w:tcBorders>
          </w:tcPr>
          <w:p w14:paraId="0471AA7A">
            <w:pPr>
              <w:rPr>
                <w:rFonts w:ascii="宋体" w:hAnsi="宋体"/>
              </w:rPr>
            </w:pPr>
            <w:r>
              <w:rPr>
                <w:rFonts w:hint="eastAsia" w:ascii="宋体" w:hAnsi="宋体"/>
              </w:rPr>
              <w:t>投 标 总  价：                       元/年</w:t>
            </w:r>
          </w:p>
        </w:tc>
      </w:tr>
    </w:tbl>
    <w:p w14:paraId="05F9FFC6">
      <w:pPr>
        <w:pStyle w:val="9"/>
        <w:spacing w:line="360" w:lineRule="auto"/>
        <w:ind w:left="-178" w:leftChars="-85" w:firstLine="0" w:firstLineChars="0"/>
        <w:rPr>
          <w:rFonts w:cs="仿宋" w:asciiTheme="majorEastAsia" w:hAnsiTheme="majorEastAsia" w:eastAsiaTheme="majorEastAsia"/>
        </w:rPr>
      </w:pPr>
    </w:p>
    <w:p w14:paraId="73C6B694">
      <w:pPr>
        <w:pStyle w:val="9"/>
        <w:spacing w:line="360" w:lineRule="auto"/>
        <w:ind w:left="-178" w:leftChars="-85" w:firstLine="0" w:firstLineChars="0"/>
        <w:rPr>
          <w:rFonts w:cs="仿宋" w:asciiTheme="majorEastAsia" w:hAnsiTheme="majorEastAsia" w:eastAsiaTheme="majorEastAsia"/>
        </w:rPr>
      </w:pPr>
      <w:r>
        <w:rPr>
          <w:rFonts w:hint="eastAsia" w:cs="仿宋" w:asciiTheme="majorEastAsia" w:hAnsiTheme="majorEastAsia" w:eastAsiaTheme="majorEastAsia"/>
        </w:rPr>
        <w:t>注：</w:t>
      </w:r>
    </w:p>
    <w:p w14:paraId="4B67F1AA">
      <w:pPr>
        <w:pStyle w:val="9"/>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1.本表格仅供参考，投标人可根据项目实际情况扩展表格。</w:t>
      </w:r>
    </w:p>
    <w:p w14:paraId="446AD058">
      <w:pPr>
        <w:pStyle w:val="9"/>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2.招商运营管理服务投标报价、园区物业化管理服务投标报价、投标总价应与开标一览表的对应投标报价一致。</w:t>
      </w:r>
    </w:p>
    <w:p w14:paraId="09F77907">
      <w:pPr>
        <w:spacing w:line="360" w:lineRule="auto"/>
        <w:rPr>
          <w:rFonts w:cs="仿宋" w:asciiTheme="majorEastAsia" w:hAnsiTheme="majorEastAsia" w:eastAsiaTheme="majorEastAsia"/>
          <w:sz w:val="24"/>
        </w:rPr>
      </w:pPr>
    </w:p>
    <w:p w14:paraId="5FD99946">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1D994324">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25B6E052">
      <w:pPr>
        <w:pStyle w:val="40"/>
        <w:keepNext w:val="0"/>
        <w:pageBreakBefore w:val="0"/>
        <w:tabs>
          <w:tab w:val="clear" w:pos="720"/>
        </w:tabs>
        <w:snapToGrid w:val="0"/>
        <w:spacing w:before="120" w:after="120"/>
        <w:ind w:left="3780" w:leftChars="1800"/>
        <w:jc w:val="both"/>
        <w:outlineLvl w:val="9"/>
        <w:rPr>
          <w:rFonts w:cs="仿宋" w:asciiTheme="majorEastAsia" w:hAnsiTheme="majorEastAsia" w:eastAsiaTheme="majorEastAsia"/>
          <w:b w:val="0"/>
          <w:kern w:val="2"/>
          <w:sz w:val="24"/>
          <w:szCs w:val="24"/>
        </w:rPr>
      </w:pPr>
      <w:r>
        <w:rPr>
          <w:rFonts w:hint="eastAsia" w:cs="仿宋" w:asciiTheme="majorEastAsia" w:hAnsiTheme="majorEastAsia" w:eastAsiaTheme="majorEastAsia"/>
          <w:b w:val="0"/>
          <w:kern w:val="2"/>
          <w:sz w:val="24"/>
          <w:szCs w:val="24"/>
        </w:rPr>
        <w:t xml:space="preserve">日  期：  </w:t>
      </w:r>
    </w:p>
    <w:p w14:paraId="4D2F9AAC">
      <w:pPr>
        <w:pStyle w:val="40"/>
        <w:keepNext w:val="0"/>
        <w:pageBreakBefore w:val="0"/>
        <w:tabs>
          <w:tab w:val="clear" w:pos="720"/>
        </w:tabs>
        <w:snapToGrid w:val="0"/>
        <w:spacing w:before="120" w:after="120"/>
        <w:outlineLvl w:val="9"/>
        <w:rPr>
          <w:rFonts w:cs="仿宋" w:asciiTheme="majorEastAsia" w:hAnsiTheme="majorEastAsia" w:eastAsiaTheme="majorEastAsia"/>
          <w:sz w:val="32"/>
          <w:szCs w:val="32"/>
        </w:rPr>
      </w:pPr>
      <w:r>
        <w:rPr>
          <w:rFonts w:hint="eastAsia" w:cs="仿宋" w:asciiTheme="majorEastAsia" w:hAnsiTheme="majorEastAsia" w:eastAsiaTheme="majorEastAsia"/>
          <w:b w:val="0"/>
          <w:kern w:val="2"/>
          <w:sz w:val="24"/>
          <w:szCs w:val="24"/>
        </w:rPr>
        <w:br w:type="page"/>
      </w:r>
      <w:r>
        <w:rPr>
          <w:rFonts w:hint="eastAsia" w:cs="仿宋" w:asciiTheme="majorEastAsia" w:hAnsiTheme="majorEastAsia" w:eastAsiaTheme="majorEastAsia"/>
          <w:kern w:val="2"/>
          <w:sz w:val="32"/>
          <w:szCs w:val="32"/>
        </w:rPr>
        <w:t>三、</w:t>
      </w:r>
      <w:r>
        <w:rPr>
          <w:rFonts w:hint="eastAsia" w:cs="仿宋" w:asciiTheme="majorEastAsia" w:hAnsiTheme="majorEastAsia" w:eastAsiaTheme="majorEastAsia"/>
          <w:sz w:val="32"/>
          <w:szCs w:val="32"/>
        </w:rPr>
        <w:t>中小企业声明函</w:t>
      </w:r>
    </w:p>
    <w:p w14:paraId="1860B26C">
      <w:pPr>
        <w:widowControl/>
        <w:spacing w:line="360" w:lineRule="auto"/>
        <w:ind w:firstLine="120" w:firstLineChars="50"/>
        <w:jc w:val="left"/>
        <w:rPr>
          <w:rFonts w:cs="仿宋" w:asciiTheme="majorEastAsia" w:hAnsiTheme="majorEastAsia" w:eastAsiaTheme="majorEastAsia"/>
          <w:b/>
          <w:sz w:val="24"/>
        </w:rPr>
      </w:pPr>
      <w:r>
        <w:rPr>
          <w:rFonts w:hint="eastAsia" w:cs="仿宋" w:asciiTheme="majorEastAsia" w:hAnsiTheme="majorEastAsia" w:eastAsiaTheme="maj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08C73FD8">
      <w:pPr>
        <w:spacing w:line="360" w:lineRule="auto"/>
        <w:jc w:val="center"/>
        <w:rPr>
          <w:rFonts w:cs="仿宋" w:asciiTheme="majorEastAsia" w:hAnsiTheme="majorEastAsia" w:eastAsiaTheme="majorEastAsia"/>
          <w:b/>
          <w:sz w:val="32"/>
          <w:szCs w:val="32"/>
        </w:rPr>
      </w:pPr>
      <w:r>
        <w:rPr>
          <w:rFonts w:hint="eastAsia" w:cs="仿宋" w:asciiTheme="majorEastAsia" w:hAnsiTheme="majorEastAsia" w:eastAsiaTheme="majorEastAsia"/>
          <w:b/>
          <w:sz w:val="32"/>
          <w:szCs w:val="32"/>
        </w:rPr>
        <w:t>中小企业声明函（服务）</w:t>
      </w:r>
    </w:p>
    <w:p w14:paraId="66F61EAB">
      <w:pPr>
        <w:snapToGrid w:val="0"/>
        <w:spacing w:line="400" w:lineRule="exact"/>
        <w:ind w:firstLine="480" w:firstLineChars="200"/>
        <w:rPr>
          <w:rFonts w:ascii="宋体" w:hAnsi="宋体"/>
          <w:sz w:val="24"/>
        </w:rPr>
      </w:pPr>
      <w:r>
        <w:rPr>
          <w:rFonts w:hint="eastAsia" w:ascii="宋体" w:hAnsi="宋体" w:cs="仿宋"/>
          <w:kern w:val="0"/>
          <w:sz w:val="24"/>
        </w:rPr>
        <w:t>本公司郑重声明，根据《政府采购促进中小企业发展管理办法》（财库</w:t>
      </w:r>
      <w:r>
        <w:rPr>
          <w:rFonts w:hint="eastAsia" w:ascii="宋体" w:hAnsi="宋体" w:cs="宋体"/>
          <w:kern w:val="0"/>
          <w:sz w:val="24"/>
        </w:rPr>
        <w:t>﹝</w:t>
      </w:r>
      <w:r>
        <w:rPr>
          <w:rFonts w:ascii="宋体" w:hAnsi="宋体" w:cs="仿宋"/>
          <w:kern w:val="0"/>
          <w:sz w:val="24"/>
        </w:rPr>
        <w:t>2020</w:t>
      </w:r>
      <w:r>
        <w:rPr>
          <w:rFonts w:hint="eastAsia" w:ascii="宋体" w:hAnsi="宋体" w:cs="宋体"/>
          <w:kern w:val="0"/>
          <w:sz w:val="24"/>
        </w:rPr>
        <w:t>﹞</w:t>
      </w:r>
      <w:r>
        <w:rPr>
          <w:rFonts w:ascii="宋体" w:hAnsi="宋体" w:cs="仿宋"/>
          <w:kern w:val="0"/>
          <w:sz w:val="24"/>
        </w:rPr>
        <w:t xml:space="preserve">46 </w:t>
      </w:r>
      <w:r>
        <w:rPr>
          <w:rFonts w:hint="eastAsia" w:ascii="宋体" w:hAnsi="宋体" w:cs="仿宋"/>
          <w:kern w:val="0"/>
          <w:sz w:val="24"/>
        </w:rPr>
        <w:t>号）的规定，本公司参加</w:t>
      </w:r>
      <w:r>
        <w:rPr>
          <w:rFonts w:hint="eastAsia" w:ascii="宋体" w:hAnsi="宋体" w:cs="仿宋"/>
          <w:kern w:val="0"/>
          <w:sz w:val="24"/>
          <w:u w:val="single"/>
        </w:rPr>
        <w:t>（单位名称）</w:t>
      </w:r>
      <w:r>
        <w:rPr>
          <w:rFonts w:hint="eastAsia" w:ascii="宋体" w:hAnsi="宋体" w:cs="仿宋"/>
          <w:kern w:val="0"/>
          <w:sz w:val="24"/>
        </w:rPr>
        <w:t>的</w:t>
      </w:r>
      <w:r>
        <w:rPr>
          <w:rFonts w:hint="eastAsia" w:ascii="宋体" w:hAnsi="宋体" w:cs="仿宋"/>
          <w:kern w:val="0"/>
          <w:sz w:val="24"/>
          <w:u w:val="single"/>
        </w:rPr>
        <w:t>（项目名称）</w:t>
      </w:r>
      <w:r>
        <w:rPr>
          <w:rFonts w:hint="eastAsia" w:ascii="宋体" w:hAnsi="宋体" w:cs="仿宋"/>
          <w:kern w:val="0"/>
          <w:sz w:val="24"/>
        </w:rPr>
        <w:t>采购活动，服务全部由符合政策要求的中小企业承接。相关企业的具体情况如下：</w:t>
      </w:r>
      <w:r>
        <w:rPr>
          <w:rFonts w:ascii="宋体" w:hAnsi="宋体"/>
          <w:sz w:val="24"/>
        </w:rPr>
        <w:t xml:space="preserve"> </w:t>
      </w:r>
    </w:p>
    <w:p w14:paraId="16517C32">
      <w:pPr>
        <w:autoSpaceDE w:val="0"/>
        <w:autoSpaceDN w:val="0"/>
        <w:adjustRightInd w:val="0"/>
        <w:spacing w:line="360" w:lineRule="auto"/>
        <w:ind w:firstLine="640"/>
        <w:jc w:val="left"/>
        <w:rPr>
          <w:rFonts w:ascii="宋体" w:hAnsi="宋体" w:cs="仿宋"/>
          <w:kern w:val="0"/>
          <w:sz w:val="24"/>
        </w:rPr>
      </w:pPr>
      <w:r>
        <w:rPr>
          <w:rFonts w:hint="eastAsia" w:cs="仿宋" w:asciiTheme="majorEastAsia" w:hAnsiTheme="majorEastAsia" w:eastAsiaTheme="majorEastAsia"/>
          <w:sz w:val="24"/>
          <w:u w:val="single"/>
        </w:rPr>
        <w:t>奉化区水蜜桃文化博览园运营服务</w:t>
      </w:r>
      <w:r>
        <w:rPr>
          <w:rFonts w:hint="eastAsia" w:ascii="宋体" w:hAnsi="宋体" w:cs="仿宋"/>
          <w:kern w:val="0"/>
          <w:sz w:val="24"/>
        </w:rPr>
        <w:t>，属于</w:t>
      </w:r>
      <w:r>
        <w:rPr>
          <w:rFonts w:hint="eastAsia" w:ascii="宋体" w:hAnsi="宋体" w:cs="仿宋"/>
          <w:sz w:val="24"/>
          <w:u w:val="single"/>
        </w:rPr>
        <w:t>租赁和商务服务业</w:t>
      </w:r>
      <w:r>
        <w:rPr>
          <w:rFonts w:hint="eastAsia" w:ascii="宋体" w:hAnsi="宋体" w:cs="仿宋"/>
          <w:kern w:val="0"/>
          <w:sz w:val="24"/>
        </w:rPr>
        <w:t>；承接企业为</w:t>
      </w:r>
      <w:r>
        <w:rPr>
          <w:rFonts w:hint="eastAsia" w:ascii="宋体" w:hAnsi="宋体" w:cs="仿宋"/>
          <w:kern w:val="0"/>
          <w:sz w:val="24"/>
          <w:u w:val="single"/>
        </w:rPr>
        <w:t xml:space="preserve">（企业名称）  </w:t>
      </w:r>
      <w:r>
        <w:rPr>
          <w:rFonts w:hint="eastAsia" w:ascii="宋体" w:hAnsi="宋体" w:cs="仿宋"/>
          <w:kern w:val="0"/>
          <w:sz w:val="24"/>
        </w:rPr>
        <w:t>，从业人员</w:t>
      </w:r>
      <w:r>
        <w:rPr>
          <w:rFonts w:hint="eastAsia" w:ascii="宋体" w:hAnsi="宋体" w:cs="仿宋"/>
          <w:kern w:val="0"/>
          <w:sz w:val="24"/>
          <w:u w:val="single"/>
        </w:rPr>
        <w:t xml:space="preserve">  </w:t>
      </w:r>
      <w:r>
        <w:rPr>
          <w:rFonts w:ascii="宋体" w:hAnsi="宋体" w:cs="仿宋"/>
          <w:kern w:val="0"/>
          <w:sz w:val="24"/>
          <w:u w:val="single"/>
        </w:rPr>
        <w:t xml:space="preserve">   </w:t>
      </w:r>
      <w:r>
        <w:rPr>
          <w:rFonts w:hint="eastAsia" w:ascii="宋体" w:hAnsi="宋体" w:cs="仿宋"/>
          <w:kern w:val="0"/>
          <w:sz w:val="24"/>
        </w:rPr>
        <w:t>人，营业收入为</w:t>
      </w:r>
      <w:r>
        <w:rPr>
          <w:rFonts w:hint="eastAsia" w:ascii="宋体" w:hAnsi="宋体" w:cs="仿宋"/>
          <w:kern w:val="0"/>
          <w:sz w:val="24"/>
          <w:u w:val="single"/>
        </w:rPr>
        <w:t xml:space="preserve"> </w:t>
      </w:r>
      <w:r>
        <w:rPr>
          <w:rFonts w:ascii="宋体" w:hAnsi="宋体" w:cs="仿宋"/>
          <w:kern w:val="0"/>
          <w:sz w:val="24"/>
          <w:u w:val="single"/>
        </w:rPr>
        <w:t xml:space="preserve">   </w:t>
      </w:r>
      <w:r>
        <w:rPr>
          <w:rFonts w:hint="eastAsia" w:ascii="宋体" w:hAnsi="宋体" w:cs="仿宋"/>
          <w:kern w:val="0"/>
          <w:sz w:val="24"/>
        </w:rPr>
        <w:t>万元，资产总额为</w:t>
      </w:r>
      <w:r>
        <w:rPr>
          <w:rFonts w:hint="eastAsia" w:ascii="宋体" w:hAnsi="宋体" w:cs="仿宋"/>
          <w:kern w:val="0"/>
          <w:sz w:val="24"/>
          <w:u w:val="single"/>
        </w:rPr>
        <w:t xml:space="preserve"> </w:t>
      </w:r>
      <w:r>
        <w:rPr>
          <w:rFonts w:ascii="宋体" w:hAnsi="宋体" w:cs="仿宋"/>
          <w:kern w:val="0"/>
          <w:sz w:val="24"/>
          <w:u w:val="single"/>
        </w:rPr>
        <w:t xml:space="preserve">   </w:t>
      </w:r>
      <w:r>
        <w:rPr>
          <w:rFonts w:hint="eastAsia" w:ascii="宋体" w:hAnsi="宋体" w:cs="仿宋"/>
          <w:kern w:val="0"/>
          <w:sz w:val="24"/>
        </w:rPr>
        <w:t>万元</w:t>
      </w:r>
      <w:r>
        <w:rPr>
          <w:rFonts w:hint="eastAsia" w:ascii="宋体" w:hAnsi="宋体" w:cs="仿宋"/>
          <w:kern w:val="0"/>
          <w:sz w:val="24"/>
          <w:vertAlign w:val="superscript"/>
        </w:rPr>
        <w:t>1</w:t>
      </w:r>
      <w:r>
        <w:rPr>
          <w:rFonts w:hint="eastAsia" w:ascii="宋体" w:hAnsi="宋体" w:cs="仿宋"/>
          <w:kern w:val="0"/>
          <w:sz w:val="24"/>
        </w:rPr>
        <w:t>，属于</w:t>
      </w:r>
      <w:r>
        <w:rPr>
          <w:rFonts w:hint="eastAsia" w:ascii="宋体" w:hAnsi="宋体" w:cs="仿宋"/>
          <w:kern w:val="0"/>
          <w:sz w:val="24"/>
          <w:u w:val="single"/>
        </w:rPr>
        <w:t>（中型企业、小型企业、微型企业）</w:t>
      </w:r>
      <w:r>
        <w:rPr>
          <w:rFonts w:hint="eastAsia" w:ascii="宋体" w:hAnsi="宋体" w:cs="仿宋"/>
          <w:kern w:val="0"/>
          <w:sz w:val="24"/>
        </w:rPr>
        <w:t>；</w:t>
      </w:r>
    </w:p>
    <w:p w14:paraId="6BC520E1">
      <w:pPr>
        <w:snapToGrid w:val="0"/>
        <w:spacing w:line="360" w:lineRule="auto"/>
        <w:ind w:firstLine="600" w:firstLineChars="250"/>
        <w:rPr>
          <w:rFonts w:ascii="宋体" w:hAnsi="宋体" w:cs="仿宋"/>
          <w:kern w:val="0"/>
          <w:sz w:val="24"/>
        </w:rPr>
      </w:pPr>
      <w:r>
        <w:rPr>
          <w:rFonts w:hint="eastAsia" w:ascii="宋体" w:hAnsi="宋体" w:cs="仿宋"/>
          <w:kern w:val="0"/>
          <w:sz w:val="24"/>
        </w:rPr>
        <w:t>以上企业，不属于大企业的分支机构，不存在控股股东为大企业的情形，也不存在与大企业的负责人为同一人的情形。</w:t>
      </w:r>
    </w:p>
    <w:p w14:paraId="5C93362B">
      <w:pPr>
        <w:snapToGrid w:val="0"/>
        <w:spacing w:line="360" w:lineRule="auto"/>
        <w:ind w:firstLine="600" w:firstLineChars="250"/>
        <w:rPr>
          <w:rFonts w:ascii="宋体" w:hAnsi="宋体"/>
          <w:sz w:val="24"/>
        </w:rPr>
      </w:pPr>
      <w:r>
        <w:rPr>
          <w:rFonts w:hint="eastAsia" w:ascii="宋体" w:hAnsi="宋体" w:cs="仿宋"/>
          <w:kern w:val="0"/>
          <w:sz w:val="24"/>
        </w:rPr>
        <w:t>本企业对上述声明内容的真实性负责。如有虚假，将依法承担相应责任。</w:t>
      </w:r>
    </w:p>
    <w:p w14:paraId="7B09CF82">
      <w:pPr>
        <w:snapToGrid w:val="0"/>
        <w:spacing w:line="312" w:lineRule="auto"/>
        <w:ind w:firstLine="600" w:firstLineChars="250"/>
        <w:rPr>
          <w:rFonts w:ascii="宋体" w:hAnsi="宋体"/>
          <w:sz w:val="24"/>
        </w:rPr>
      </w:pPr>
    </w:p>
    <w:p w14:paraId="0DD47095">
      <w:pPr>
        <w:snapToGrid w:val="0"/>
        <w:spacing w:line="312" w:lineRule="auto"/>
        <w:ind w:firstLine="3960" w:firstLineChars="1650"/>
        <w:rPr>
          <w:rFonts w:ascii="宋体" w:hAnsi="宋体"/>
          <w:sz w:val="24"/>
        </w:rPr>
      </w:pPr>
      <w:r>
        <w:rPr>
          <w:rFonts w:hint="eastAsia" w:ascii="宋体" w:hAnsi="宋体"/>
          <w:sz w:val="24"/>
        </w:rPr>
        <w:t>投标人</w:t>
      </w:r>
      <w:r>
        <w:rPr>
          <w:rFonts w:ascii="宋体" w:hAnsi="宋体"/>
          <w:sz w:val="24"/>
        </w:rPr>
        <w:t xml:space="preserve">名称（盖章）： </w:t>
      </w:r>
    </w:p>
    <w:p w14:paraId="142CF3BC">
      <w:pPr>
        <w:snapToGrid w:val="0"/>
        <w:spacing w:line="312" w:lineRule="auto"/>
        <w:ind w:firstLine="3960" w:firstLineChars="1650"/>
        <w:rPr>
          <w:rFonts w:ascii="宋体" w:hAnsi="宋体"/>
          <w:sz w:val="24"/>
        </w:rPr>
      </w:pPr>
      <w:r>
        <w:rPr>
          <w:rFonts w:ascii="宋体" w:hAnsi="宋体"/>
          <w:sz w:val="24"/>
        </w:rPr>
        <w:t>日 期：</w:t>
      </w:r>
    </w:p>
    <w:p w14:paraId="03A18C8D">
      <w:pPr>
        <w:spacing w:line="360" w:lineRule="auto"/>
        <w:ind w:firstLine="310" w:firstLineChars="147"/>
        <w:jc w:val="left"/>
        <w:rPr>
          <w:rFonts w:cs="仿宋" w:asciiTheme="minorEastAsia" w:hAnsiTheme="minorEastAsia" w:eastAsiaTheme="minorEastAsia"/>
          <w:sz w:val="24"/>
        </w:rPr>
      </w:pPr>
      <w:r>
        <w:rPr>
          <w:rFonts w:hint="eastAsia" w:cs="仿宋" w:asciiTheme="minorEastAsia" w:hAnsiTheme="minorEastAsia" w:eastAsiaTheme="minorEastAsia"/>
          <w:b/>
          <w:szCs w:val="21"/>
        </w:rPr>
        <w:t>从业人员、营业收入、资产总额填报上一年度数据，无上一年度数据的新成立企业可不填报。</w:t>
      </w:r>
    </w:p>
    <w:p w14:paraId="531D04E9">
      <w:pPr>
        <w:spacing w:line="360" w:lineRule="auto"/>
        <w:jc w:val="center"/>
        <w:rPr>
          <w:rFonts w:cs="仿宋" w:asciiTheme="minorEastAsia" w:hAnsiTheme="minorEastAsia" w:eastAsiaTheme="minorEastAsia"/>
          <w:b/>
          <w:bCs/>
          <w:sz w:val="32"/>
          <w:szCs w:val="32"/>
        </w:rPr>
      </w:pPr>
      <w:r>
        <w:rPr>
          <w:rFonts w:hint="eastAsia" w:cs="仿宋" w:asciiTheme="minorEastAsia" w:hAnsiTheme="minorEastAsia" w:eastAsiaTheme="minorEastAsia"/>
          <w:sz w:val="24"/>
        </w:rPr>
        <w:t xml:space="preserve">   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cs="仿宋" w:asciiTheme="minorEastAsia" w:hAnsiTheme="minorEastAsia" w:eastAsiaTheme="minorEastAsia"/>
          <w:b/>
          <w:sz w:val="32"/>
          <w:szCs w:val="32"/>
        </w:rPr>
        <w:br w:type="page"/>
      </w:r>
    </w:p>
    <w:p w14:paraId="5DA2BB93">
      <w:pPr>
        <w:spacing w:line="360" w:lineRule="auto"/>
        <w:jc w:val="center"/>
        <w:rPr>
          <w:rFonts w:cs="仿宋" w:asciiTheme="majorEastAsia" w:hAnsiTheme="majorEastAsia" w:eastAsiaTheme="majorEastAsia"/>
          <w:sz w:val="32"/>
          <w:szCs w:val="32"/>
        </w:rPr>
      </w:pPr>
      <w:r>
        <w:rPr>
          <w:rFonts w:hint="eastAsia" w:cs="仿宋" w:asciiTheme="majorEastAsia" w:hAnsiTheme="majorEastAsia" w:eastAsiaTheme="majorEastAsia"/>
          <w:b/>
          <w:bCs/>
          <w:sz w:val="32"/>
          <w:szCs w:val="32"/>
        </w:rPr>
        <w:t>四、残疾人福利性单位声明函</w:t>
      </w:r>
    </w:p>
    <w:p w14:paraId="749B9B6C">
      <w:pPr>
        <w:spacing w:line="360" w:lineRule="auto"/>
        <w:rPr>
          <w:rFonts w:cs="仿宋" w:asciiTheme="majorEastAsia" w:hAnsiTheme="majorEastAsia" w:eastAsiaTheme="majorEastAsia"/>
          <w:b/>
          <w:spacing w:val="6"/>
          <w:sz w:val="28"/>
          <w:szCs w:val="30"/>
        </w:rPr>
      </w:pPr>
    </w:p>
    <w:p w14:paraId="2E199577">
      <w:pPr>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86D115B">
      <w:pPr>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本单位对上述声明的真实性负责。如有虚假，将依法承担相应责任。</w:t>
      </w:r>
    </w:p>
    <w:p w14:paraId="1B43F03E">
      <w:pPr>
        <w:spacing w:line="360" w:lineRule="auto"/>
        <w:ind w:firstLine="480" w:firstLineChars="200"/>
        <w:jc w:val="left"/>
        <w:rPr>
          <w:rFonts w:cs="仿宋" w:asciiTheme="majorEastAsia" w:hAnsiTheme="majorEastAsia" w:eastAsiaTheme="majorEastAsia"/>
          <w:sz w:val="24"/>
        </w:rPr>
      </w:pPr>
    </w:p>
    <w:p w14:paraId="23D740DA">
      <w:pPr>
        <w:spacing w:line="360" w:lineRule="auto"/>
        <w:ind w:firstLine="480" w:firstLineChars="200"/>
        <w:jc w:val="left"/>
        <w:rPr>
          <w:rFonts w:cs="仿宋" w:asciiTheme="majorEastAsia" w:hAnsiTheme="majorEastAsia" w:eastAsiaTheme="majorEastAsia"/>
          <w:sz w:val="24"/>
        </w:rPr>
      </w:pPr>
    </w:p>
    <w:p w14:paraId="282A7A5B">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 xml:space="preserve">            法定代表人或其授权委托人（签名或印章）：</w:t>
      </w:r>
    </w:p>
    <w:p w14:paraId="1228163B">
      <w:pPr>
        <w:adjustRightInd w:val="0"/>
        <w:spacing w:line="360" w:lineRule="auto"/>
        <w:ind w:firstLine="3840" w:firstLineChars="1600"/>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14:paraId="380B7DB2">
      <w:pPr>
        <w:rPr>
          <w:rFonts w:asciiTheme="majorEastAsia" w:hAnsiTheme="majorEastAsia" w:eastAsiaTheme="majorEastAsia"/>
        </w:rPr>
      </w:pPr>
      <w:r>
        <w:rPr>
          <w:rFonts w:hint="eastAsia" w:cs="仿宋" w:asciiTheme="majorEastAsia" w:hAnsiTheme="majorEastAsia" w:eastAsiaTheme="majorEastAsia"/>
          <w:sz w:val="24"/>
        </w:rPr>
        <w:t xml:space="preserve">                                日期：</w:t>
      </w:r>
    </w:p>
    <w:p w14:paraId="5CD219CF">
      <w:pPr>
        <w:spacing w:line="360" w:lineRule="auto"/>
        <w:ind w:firstLine="643" w:firstLineChars="200"/>
        <w:jc w:val="left"/>
        <w:rPr>
          <w:rFonts w:cs="仿宋" w:asciiTheme="majorEastAsia" w:hAnsiTheme="majorEastAsia" w:eastAsiaTheme="majorEastAsia"/>
          <w:b/>
          <w:sz w:val="32"/>
          <w:szCs w:val="32"/>
        </w:rPr>
      </w:pPr>
    </w:p>
    <w:p w14:paraId="76607D1D">
      <w:pPr>
        <w:spacing w:line="360" w:lineRule="auto"/>
        <w:rPr>
          <w:rFonts w:cs="仿宋" w:asciiTheme="majorEastAsia" w:hAnsiTheme="majorEastAsia" w:eastAsiaTheme="majorEastAsia"/>
          <w:b/>
          <w:sz w:val="32"/>
          <w:szCs w:val="32"/>
        </w:rPr>
      </w:pPr>
    </w:p>
    <w:p w14:paraId="4A97C9DB">
      <w:pPr>
        <w:numPr>
          <w:ilvl w:val="0"/>
          <w:numId w:val="4"/>
        </w:numPr>
        <w:spacing w:line="360" w:lineRule="auto"/>
        <w:jc w:val="center"/>
        <w:rPr>
          <w:rFonts w:cs="仿宋" w:asciiTheme="majorEastAsia" w:hAnsiTheme="majorEastAsia" w:eastAsiaTheme="majorEastAsia"/>
          <w:b/>
          <w:spacing w:val="6"/>
          <w:sz w:val="32"/>
          <w:szCs w:val="32"/>
        </w:rPr>
      </w:pPr>
      <w:r>
        <w:rPr>
          <w:rFonts w:hint="eastAsia" w:cs="仿宋" w:asciiTheme="majorEastAsia" w:hAnsiTheme="majorEastAsia" w:eastAsiaTheme="majorEastAsia"/>
          <w:b/>
          <w:spacing w:val="6"/>
          <w:sz w:val="32"/>
          <w:szCs w:val="32"/>
        </w:rPr>
        <w:br w:type="page"/>
      </w:r>
      <w:r>
        <w:rPr>
          <w:rFonts w:hint="eastAsia" w:cs="仿宋" w:asciiTheme="majorEastAsia" w:hAnsiTheme="majorEastAsia" w:eastAsiaTheme="majorEastAsia"/>
          <w:b/>
          <w:spacing w:val="6"/>
          <w:sz w:val="32"/>
          <w:szCs w:val="32"/>
        </w:rPr>
        <w:t>政府采购统计基础信息表</w:t>
      </w:r>
    </w:p>
    <w:p w14:paraId="5CA9917F">
      <w:pPr>
        <w:pStyle w:val="30"/>
        <w:spacing w:line="360" w:lineRule="auto"/>
        <w:ind w:firstLine="0" w:firstLineChars="0"/>
        <w:rPr>
          <w:rFonts w:cs="仿宋" w:asciiTheme="majorEastAsia" w:hAnsiTheme="majorEastAsia" w:eastAsiaTheme="majorEastAsia"/>
        </w:rPr>
      </w:pPr>
    </w:p>
    <w:tbl>
      <w:tblPr>
        <w:tblStyle w:val="23"/>
        <w:tblW w:w="8537" w:type="dxa"/>
        <w:jc w:val="center"/>
        <w:tblLayout w:type="fixed"/>
        <w:tblCellMar>
          <w:top w:w="0" w:type="dxa"/>
          <w:left w:w="108" w:type="dxa"/>
          <w:bottom w:w="0" w:type="dxa"/>
          <w:right w:w="108" w:type="dxa"/>
        </w:tblCellMar>
      </w:tblPr>
      <w:tblGrid>
        <w:gridCol w:w="4998"/>
        <w:gridCol w:w="3539"/>
      </w:tblGrid>
      <w:tr w14:paraId="328960F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9887FF4">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采购人及采购项目名称</w:t>
            </w:r>
          </w:p>
        </w:tc>
        <w:tc>
          <w:tcPr>
            <w:tcW w:w="3539" w:type="dxa"/>
            <w:tcBorders>
              <w:top w:val="single" w:color="000000" w:sz="4" w:space="0"/>
              <w:left w:val="nil"/>
              <w:bottom w:val="single" w:color="000000" w:sz="4" w:space="0"/>
              <w:right w:val="single" w:color="000000" w:sz="4" w:space="0"/>
            </w:tcBorders>
          </w:tcPr>
          <w:p w14:paraId="35F6A25D">
            <w:pPr>
              <w:spacing w:line="360" w:lineRule="auto"/>
              <w:rPr>
                <w:rFonts w:cs="仿宋" w:asciiTheme="majorEastAsia" w:hAnsiTheme="majorEastAsia" w:eastAsiaTheme="majorEastAsia"/>
              </w:rPr>
            </w:pPr>
          </w:p>
        </w:tc>
      </w:tr>
      <w:tr w14:paraId="49C557D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EA8F9B9">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投标单位名称</w:t>
            </w:r>
          </w:p>
        </w:tc>
        <w:tc>
          <w:tcPr>
            <w:tcW w:w="3539" w:type="dxa"/>
            <w:tcBorders>
              <w:top w:val="single" w:color="000000" w:sz="4" w:space="0"/>
              <w:left w:val="nil"/>
              <w:bottom w:val="single" w:color="000000" w:sz="4" w:space="0"/>
              <w:right w:val="single" w:color="000000" w:sz="4" w:space="0"/>
            </w:tcBorders>
          </w:tcPr>
          <w:p w14:paraId="1D36BAF9">
            <w:pPr>
              <w:spacing w:line="360" w:lineRule="auto"/>
              <w:rPr>
                <w:rFonts w:cs="仿宋" w:asciiTheme="majorEastAsia" w:hAnsiTheme="majorEastAsia" w:eastAsiaTheme="majorEastAsia"/>
              </w:rPr>
            </w:pPr>
          </w:p>
        </w:tc>
      </w:tr>
      <w:tr w14:paraId="2F045C2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AD64AC5">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投标单位是否为外商投资企业</w:t>
            </w:r>
          </w:p>
        </w:tc>
        <w:tc>
          <w:tcPr>
            <w:tcW w:w="3539" w:type="dxa"/>
            <w:tcBorders>
              <w:top w:val="single" w:color="000000" w:sz="4" w:space="0"/>
              <w:left w:val="nil"/>
              <w:bottom w:val="single" w:color="000000" w:sz="4" w:space="0"/>
              <w:right w:val="single" w:color="000000" w:sz="4" w:space="0"/>
            </w:tcBorders>
          </w:tcPr>
          <w:p w14:paraId="6EEE6CAD">
            <w:pPr>
              <w:spacing w:line="360" w:lineRule="auto"/>
              <w:rPr>
                <w:rFonts w:cs="仿宋" w:asciiTheme="majorEastAsia" w:hAnsiTheme="majorEastAsia" w:eastAsiaTheme="majorEastAsia"/>
              </w:rPr>
            </w:pPr>
          </w:p>
        </w:tc>
      </w:tr>
      <w:tr w14:paraId="78289CC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0C474F0">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投标单位是否为宁波企业</w:t>
            </w:r>
          </w:p>
        </w:tc>
        <w:tc>
          <w:tcPr>
            <w:tcW w:w="3539" w:type="dxa"/>
            <w:tcBorders>
              <w:top w:val="single" w:color="000000" w:sz="4" w:space="0"/>
              <w:left w:val="nil"/>
              <w:bottom w:val="single" w:color="000000" w:sz="4" w:space="0"/>
              <w:right w:val="single" w:color="000000" w:sz="4" w:space="0"/>
            </w:tcBorders>
          </w:tcPr>
          <w:p w14:paraId="7D747FD9">
            <w:pPr>
              <w:spacing w:line="360" w:lineRule="auto"/>
              <w:rPr>
                <w:rFonts w:cs="仿宋" w:asciiTheme="majorEastAsia" w:hAnsiTheme="majorEastAsia" w:eastAsiaTheme="majorEastAsia"/>
              </w:rPr>
            </w:pPr>
          </w:p>
        </w:tc>
      </w:tr>
      <w:tr w14:paraId="132FCF8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C418C37">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7DDA35DC">
            <w:pPr>
              <w:spacing w:line="360" w:lineRule="auto"/>
              <w:rPr>
                <w:rFonts w:cs="仿宋" w:asciiTheme="majorEastAsia" w:hAnsiTheme="majorEastAsia" w:eastAsiaTheme="majorEastAsia"/>
              </w:rPr>
            </w:pPr>
          </w:p>
        </w:tc>
      </w:tr>
      <w:tr w14:paraId="28D0F90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B056DC2">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7122075E">
            <w:pPr>
              <w:spacing w:line="360" w:lineRule="auto"/>
              <w:rPr>
                <w:rFonts w:cs="仿宋" w:asciiTheme="majorEastAsia" w:hAnsiTheme="majorEastAsia" w:eastAsiaTheme="majorEastAsia"/>
              </w:rPr>
            </w:pPr>
          </w:p>
        </w:tc>
      </w:tr>
      <w:tr w14:paraId="2B0C1F2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7F42DA1">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货物原产地国别</w:t>
            </w:r>
          </w:p>
        </w:tc>
        <w:tc>
          <w:tcPr>
            <w:tcW w:w="3539" w:type="dxa"/>
            <w:tcBorders>
              <w:top w:val="single" w:color="000000" w:sz="4" w:space="0"/>
              <w:left w:val="nil"/>
              <w:bottom w:val="single" w:color="000000" w:sz="4" w:space="0"/>
              <w:right w:val="single" w:color="000000" w:sz="4" w:space="0"/>
            </w:tcBorders>
          </w:tcPr>
          <w:p w14:paraId="502F13C5">
            <w:pPr>
              <w:spacing w:line="360" w:lineRule="auto"/>
              <w:rPr>
                <w:rFonts w:cs="仿宋" w:asciiTheme="majorEastAsia" w:hAnsiTheme="majorEastAsia" w:eastAsiaTheme="majorEastAsia"/>
              </w:rPr>
            </w:pPr>
          </w:p>
        </w:tc>
      </w:tr>
      <w:tr w14:paraId="08FE05D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05147DA">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73D421A6">
            <w:pPr>
              <w:spacing w:line="360" w:lineRule="auto"/>
              <w:rPr>
                <w:rFonts w:cs="仿宋" w:asciiTheme="majorEastAsia" w:hAnsiTheme="majorEastAsia" w:eastAsiaTheme="majorEastAsia"/>
              </w:rPr>
            </w:pPr>
          </w:p>
        </w:tc>
      </w:tr>
      <w:tr w14:paraId="154C365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28C9297">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3ED9E1F5">
            <w:pPr>
              <w:spacing w:line="360" w:lineRule="auto"/>
              <w:rPr>
                <w:rFonts w:cs="仿宋" w:asciiTheme="majorEastAsia" w:hAnsiTheme="majorEastAsia" w:eastAsiaTheme="majorEastAsia"/>
              </w:rPr>
            </w:pPr>
          </w:p>
        </w:tc>
      </w:tr>
      <w:tr w14:paraId="7C61E55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8D17AF5">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35F5BD0E">
            <w:pPr>
              <w:spacing w:line="360" w:lineRule="auto"/>
              <w:rPr>
                <w:rFonts w:cs="仿宋" w:asciiTheme="majorEastAsia" w:hAnsiTheme="majorEastAsia" w:eastAsiaTheme="majorEastAsia"/>
              </w:rPr>
            </w:pPr>
          </w:p>
        </w:tc>
      </w:tr>
    </w:tbl>
    <w:p w14:paraId="7FE48C7B">
      <w:pPr>
        <w:adjustRightInd w:val="0"/>
        <w:spacing w:line="360" w:lineRule="auto"/>
        <w:jc w:val="left"/>
        <w:rPr>
          <w:rFonts w:cs="仿宋" w:asciiTheme="majorEastAsia" w:hAnsiTheme="majorEastAsia" w:eastAsiaTheme="majorEastAsia"/>
          <w:sz w:val="24"/>
        </w:rPr>
      </w:pPr>
    </w:p>
    <w:p w14:paraId="1338D8FF">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备注：请各投标人务必填写此表作为投标文件的组成部分。</w:t>
      </w:r>
    </w:p>
    <w:p w14:paraId="2AD6B75D">
      <w:pPr>
        <w:adjustRightInd w:val="0"/>
        <w:spacing w:line="360" w:lineRule="auto"/>
        <w:jc w:val="left"/>
        <w:rPr>
          <w:rFonts w:cs="仿宋" w:asciiTheme="majorEastAsia" w:hAnsiTheme="majorEastAsia" w:eastAsiaTheme="majorEastAsia"/>
          <w:sz w:val="24"/>
        </w:rPr>
      </w:pPr>
    </w:p>
    <w:p w14:paraId="264B2B7A">
      <w:pPr>
        <w:adjustRightInd w:val="0"/>
        <w:spacing w:line="360" w:lineRule="auto"/>
        <w:jc w:val="left"/>
        <w:rPr>
          <w:rFonts w:cs="仿宋" w:asciiTheme="majorEastAsia" w:hAnsiTheme="majorEastAsia" w:eastAsiaTheme="majorEastAsia"/>
          <w:sz w:val="24"/>
        </w:rPr>
      </w:pPr>
    </w:p>
    <w:p w14:paraId="188E30A8">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法定代表人或其授权委托人（签名或印章）：</w:t>
      </w:r>
    </w:p>
    <w:p w14:paraId="7917FAE1">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14:paraId="415EAD1E">
      <w:pPr>
        <w:spacing w:line="360" w:lineRule="auto"/>
        <w:rPr>
          <w:rFonts w:asciiTheme="majorEastAsia" w:hAnsiTheme="majorEastAsia" w:eastAsiaTheme="majorEastAsia"/>
        </w:rPr>
      </w:pPr>
      <w:r>
        <w:rPr>
          <w:rFonts w:hint="eastAsia" w:cs="仿宋" w:asciiTheme="majorEastAsia" w:hAnsiTheme="majorEastAsia" w:eastAsiaTheme="majorEastAsia"/>
          <w:sz w:val="24"/>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宋体..鍼笁鍼.">
    <w:altName w:val="宋体"/>
    <w:panose1 w:val="00000000000000000000"/>
    <w:charset w:val="86"/>
    <w:family w:val="roma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BFCE4">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D5EF11">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1C927">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D3528B0">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3C556">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4F9A06B">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E0A6A">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357675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A170A">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76E76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455BB">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2D8F0C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8F0E0">
    <w:pPr>
      <w:pStyle w:val="16"/>
      <w:pBdr>
        <w:bottom w:val="none" w:color="auto" w:sz="0" w:space="0"/>
      </w:pBdr>
      <w:jc w:val="right"/>
      <w:rPr>
        <w:rFonts w:ascii="仿宋_GB2312" w:eastAsia="仿宋_GB2312"/>
        <w:b/>
        <w:i/>
        <w:u w:val="single"/>
      </w:rP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A8035">
    <w:pPr>
      <w:pStyle w:val="16"/>
      <w:pBdr>
        <w:bottom w:val="none" w:color="auto" w:sz="0" w:space="0"/>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64C2D">
    <w:pPr>
      <w:pStyle w:val="16"/>
      <w:pBdr>
        <w:bottom w:val="none" w:color="auto" w:sz="0" w:space="0"/>
      </w:pBdr>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929D2">
    <w:pPr>
      <w:pStyle w:val="16"/>
      <w:pBdr>
        <w:bottom w:val="none" w:color="auto" w:sz="0" w:space="0"/>
      </w:pBdr>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B3AD3">
    <w:pPr>
      <w:pStyle w:val="16"/>
      <w:pBdr>
        <w:bottom w:val="none" w:color="auto" w:sz="0" w:space="0"/>
      </w:pBdr>
      <w:jc w:val="right"/>
      <w:rPr>
        <w:rFonts w:ascii="仿宋_GB2312" w:eastAsia="仿宋_GB2312"/>
        <w:b/>
        <w:i/>
        <w:u w:val="single"/>
      </w:rPr>
    </w:pPr>
    <w:r>
      <w:rPr>
        <w:rFonts w:hint="eastAsia"/>
      </w:rPr>
      <w:t xml:space="preserve">                                 </w:t>
    </w:r>
  </w:p>
  <w:p w14:paraId="6D28247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1A6EA">
    <w:pPr>
      <w:pStyle w:val="16"/>
      <w:pBdr>
        <w:bottom w:val="none" w:color="auto" w:sz="0" w:space="0"/>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632AB"/>
    <w:multiLevelType w:val="singleLevel"/>
    <w:tmpl w:val="80C632AB"/>
    <w:lvl w:ilvl="0" w:tentative="0">
      <w:start w:val="1"/>
      <w:numFmt w:val="decimal"/>
      <w:suff w:val="nothing"/>
      <w:lvlText w:val="%1、"/>
      <w:lvlJc w:val="left"/>
    </w:lvl>
  </w:abstractNum>
  <w:abstractNum w:abstractNumId="1">
    <w:nsid w:val="9D225D33"/>
    <w:multiLevelType w:val="singleLevel"/>
    <w:tmpl w:val="9D225D33"/>
    <w:lvl w:ilvl="0" w:tentative="0">
      <w:start w:val="5"/>
      <w:numFmt w:val="chineseCounting"/>
      <w:suff w:val="nothing"/>
      <w:lvlText w:val="%1、"/>
      <w:lvlJc w:val="left"/>
      <w:rPr>
        <w:rFonts w:hint="eastAsia"/>
      </w:rPr>
    </w:lvl>
  </w:abstractNum>
  <w:abstractNum w:abstractNumId="2">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MwODAzNDczODVkMWIxYjBiYmVjNjYzMjhkNjY1MTUifQ=="/>
  </w:docVars>
  <w:rsids>
    <w:rsidRoot w:val="00982EB4"/>
    <w:rsid w:val="000011ED"/>
    <w:rsid w:val="000046B5"/>
    <w:rsid w:val="000144B5"/>
    <w:rsid w:val="0001472B"/>
    <w:rsid w:val="00014D9D"/>
    <w:rsid w:val="00014F03"/>
    <w:rsid w:val="000150EC"/>
    <w:rsid w:val="000154BE"/>
    <w:rsid w:val="00015BE4"/>
    <w:rsid w:val="00016457"/>
    <w:rsid w:val="00016734"/>
    <w:rsid w:val="000204A3"/>
    <w:rsid w:val="00020909"/>
    <w:rsid w:val="00021C41"/>
    <w:rsid w:val="00022FC4"/>
    <w:rsid w:val="00023528"/>
    <w:rsid w:val="00023916"/>
    <w:rsid w:val="00023D09"/>
    <w:rsid w:val="00025E9B"/>
    <w:rsid w:val="00027ECE"/>
    <w:rsid w:val="0003356F"/>
    <w:rsid w:val="00033F77"/>
    <w:rsid w:val="000358F6"/>
    <w:rsid w:val="000366D5"/>
    <w:rsid w:val="00037CE2"/>
    <w:rsid w:val="00041DC5"/>
    <w:rsid w:val="000421D7"/>
    <w:rsid w:val="00042466"/>
    <w:rsid w:val="00046CAD"/>
    <w:rsid w:val="00047851"/>
    <w:rsid w:val="0004797E"/>
    <w:rsid w:val="000505A0"/>
    <w:rsid w:val="00052F8F"/>
    <w:rsid w:val="00053BDC"/>
    <w:rsid w:val="000543F0"/>
    <w:rsid w:val="00054F94"/>
    <w:rsid w:val="00055F5F"/>
    <w:rsid w:val="00060644"/>
    <w:rsid w:val="00060A91"/>
    <w:rsid w:val="000615E7"/>
    <w:rsid w:val="00062BC2"/>
    <w:rsid w:val="00064291"/>
    <w:rsid w:val="000662E9"/>
    <w:rsid w:val="00066719"/>
    <w:rsid w:val="000730A5"/>
    <w:rsid w:val="00073B9D"/>
    <w:rsid w:val="0007494D"/>
    <w:rsid w:val="0007527E"/>
    <w:rsid w:val="000764DA"/>
    <w:rsid w:val="0007678D"/>
    <w:rsid w:val="00076A37"/>
    <w:rsid w:val="000815E8"/>
    <w:rsid w:val="00083D26"/>
    <w:rsid w:val="00083EF5"/>
    <w:rsid w:val="00084523"/>
    <w:rsid w:val="00086C83"/>
    <w:rsid w:val="00087589"/>
    <w:rsid w:val="00087622"/>
    <w:rsid w:val="00090D70"/>
    <w:rsid w:val="00090E72"/>
    <w:rsid w:val="00092EAF"/>
    <w:rsid w:val="00093D04"/>
    <w:rsid w:val="00094D20"/>
    <w:rsid w:val="00094D89"/>
    <w:rsid w:val="00095D46"/>
    <w:rsid w:val="00095F04"/>
    <w:rsid w:val="00097FC4"/>
    <w:rsid w:val="000A186C"/>
    <w:rsid w:val="000A2043"/>
    <w:rsid w:val="000A27C5"/>
    <w:rsid w:val="000A45BD"/>
    <w:rsid w:val="000A5057"/>
    <w:rsid w:val="000A5320"/>
    <w:rsid w:val="000A601D"/>
    <w:rsid w:val="000A7FEF"/>
    <w:rsid w:val="000B193F"/>
    <w:rsid w:val="000B2165"/>
    <w:rsid w:val="000B2934"/>
    <w:rsid w:val="000B3C83"/>
    <w:rsid w:val="000B4527"/>
    <w:rsid w:val="000C0FD4"/>
    <w:rsid w:val="000C52D5"/>
    <w:rsid w:val="000C548A"/>
    <w:rsid w:val="000C6603"/>
    <w:rsid w:val="000D19A5"/>
    <w:rsid w:val="000D46B9"/>
    <w:rsid w:val="000D7CE4"/>
    <w:rsid w:val="000E067D"/>
    <w:rsid w:val="000E0F41"/>
    <w:rsid w:val="000E1A4E"/>
    <w:rsid w:val="000E30EB"/>
    <w:rsid w:val="000E448A"/>
    <w:rsid w:val="000E5235"/>
    <w:rsid w:val="000E56FF"/>
    <w:rsid w:val="000E6103"/>
    <w:rsid w:val="000E7729"/>
    <w:rsid w:val="000F14C4"/>
    <w:rsid w:val="000F2A44"/>
    <w:rsid w:val="000F55C9"/>
    <w:rsid w:val="00100B42"/>
    <w:rsid w:val="00103C3E"/>
    <w:rsid w:val="00104D81"/>
    <w:rsid w:val="00104D98"/>
    <w:rsid w:val="001078AD"/>
    <w:rsid w:val="001078BB"/>
    <w:rsid w:val="00112DCE"/>
    <w:rsid w:val="00115832"/>
    <w:rsid w:val="0011590F"/>
    <w:rsid w:val="00116B7A"/>
    <w:rsid w:val="001178F8"/>
    <w:rsid w:val="00120D94"/>
    <w:rsid w:val="00121C41"/>
    <w:rsid w:val="00121CF9"/>
    <w:rsid w:val="001255D8"/>
    <w:rsid w:val="0012746D"/>
    <w:rsid w:val="00130C36"/>
    <w:rsid w:val="0013188E"/>
    <w:rsid w:val="00131BC3"/>
    <w:rsid w:val="001369B4"/>
    <w:rsid w:val="00136A9C"/>
    <w:rsid w:val="001401C9"/>
    <w:rsid w:val="00141811"/>
    <w:rsid w:val="001428D4"/>
    <w:rsid w:val="001435DE"/>
    <w:rsid w:val="00143AD2"/>
    <w:rsid w:val="001440F6"/>
    <w:rsid w:val="001464D2"/>
    <w:rsid w:val="00146AA0"/>
    <w:rsid w:val="00147E47"/>
    <w:rsid w:val="00153E97"/>
    <w:rsid w:val="001553AB"/>
    <w:rsid w:val="00155FBB"/>
    <w:rsid w:val="00160E61"/>
    <w:rsid w:val="0016183A"/>
    <w:rsid w:val="00163B23"/>
    <w:rsid w:val="001673AD"/>
    <w:rsid w:val="00167C34"/>
    <w:rsid w:val="001716B0"/>
    <w:rsid w:val="00172F02"/>
    <w:rsid w:val="001758DF"/>
    <w:rsid w:val="0018155A"/>
    <w:rsid w:val="001863A2"/>
    <w:rsid w:val="0018796E"/>
    <w:rsid w:val="00191458"/>
    <w:rsid w:val="001925C6"/>
    <w:rsid w:val="00193804"/>
    <w:rsid w:val="00195E57"/>
    <w:rsid w:val="00197D87"/>
    <w:rsid w:val="001A0DB1"/>
    <w:rsid w:val="001A1C08"/>
    <w:rsid w:val="001A2E09"/>
    <w:rsid w:val="001A44C9"/>
    <w:rsid w:val="001A4C25"/>
    <w:rsid w:val="001A4F22"/>
    <w:rsid w:val="001A540E"/>
    <w:rsid w:val="001B0FCD"/>
    <w:rsid w:val="001B1710"/>
    <w:rsid w:val="001B2FBB"/>
    <w:rsid w:val="001B3F36"/>
    <w:rsid w:val="001C099B"/>
    <w:rsid w:val="001C1283"/>
    <w:rsid w:val="001C2776"/>
    <w:rsid w:val="001C6485"/>
    <w:rsid w:val="001D4D8B"/>
    <w:rsid w:val="001D5532"/>
    <w:rsid w:val="001D5A71"/>
    <w:rsid w:val="001D5B74"/>
    <w:rsid w:val="001D711D"/>
    <w:rsid w:val="001D7220"/>
    <w:rsid w:val="001D7782"/>
    <w:rsid w:val="001E0F49"/>
    <w:rsid w:val="001E10FC"/>
    <w:rsid w:val="001E1527"/>
    <w:rsid w:val="001E47B3"/>
    <w:rsid w:val="001E50C6"/>
    <w:rsid w:val="001E6407"/>
    <w:rsid w:val="001E7FAD"/>
    <w:rsid w:val="001F3EFC"/>
    <w:rsid w:val="001F402A"/>
    <w:rsid w:val="00202528"/>
    <w:rsid w:val="00205130"/>
    <w:rsid w:val="0020676C"/>
    <w:rsid w:val="00210774"/>
    <w:rsid w:val="002120B2"/>
    <w:rsid w:val="00212673"/>
    <w:rsid w:val="00215736"/>
    <w:rsid w:val="0021616E"/>
    <w:rsid w:val="0021637F"/>
    <w:rsid w:val="00216A68"/>
    <w:rsid w:val="00217AE1"/>
    <w:rsid w:val="00220845"/>
    <w:rsid w:val="00221431"/>
    <w:rsid w:val="00223803"/>
    <w:rsid w:val="002245AE"/>
    <w:rsid w:val="002260F7"/>
    <w:rsid w:val="00226ED1"/>
    <w:rsid w:val="00231F0D"/>
    <w:rsid w:val="0023288D"/>
    <w:rsid w:val="0023451A"/>
    <w:rsid w:val="00236877"/>
    <w:rsid w:val="00236B13"/>
    <w:rsid w:val="00240211"/>
    <w:rsid w:val="0024092E"/>
    <w:rsid w:val="00240D1B"/>
    <w:rsid w:val="002435CF"/>
    <w:rsid w:val="00243E11"/>
    <w:rsid w:val="002452BE"/>
    <w:rsid w:val="00245FC6"/>
    <w:rsid w:val="00251F45"/>
    <w:rsid w:val="00256625"/>
    <w:rsid w:val="0025781D"/>
    <w:rsid w:val="00257FDF"/>
    <w:rsid w:val="00262BF2"/>
    <w:rsid w:val="00262F04"/>
    <w:rsid w:val="002663C6"/>
    <w:rsid w:val="0027141A"/>
    <w:rsid w:val="00272D28"/>
    <w:rsid w:val="00275F3F"/>
    <w:rsid w:val="00280BA4"/>
    <w:rsid w:val="00282754"/>
    <w:rsid w:val="002861D7"/>
    <w:rsid w:val="00286DF5"/>
    <w:rsid w:val="0028702B"/>
    <w:rsid w:val="00290B8D"/>
    <w:rsid w:val="00291EE2"/>
    <w:rsid w:val="00292B0C"/>
    <w:rsid w:val="00295368"/>
    <w:rsid w:val="00297C92"/>
    <w:rsid w:val="002A0793"/>
    <w:rsid w:val="002A457C"/>
    <w:rsid w:val="002B287B"/>
    <w:rsid w:val="002B7339"/>
    <w:rsid w:val="002C2431"/>
    <w:rsid w:val="002C24E7"/>
    <w:rsid w:val="002C5A5E"/>
    <w:rsid w:val="002C6827"/>
    <w:rsid w:val="002C7D5B"/>
    <w:rsid w:val="002D03A0"/>
    <w:rsid w:val="002D064E"/>
    <w:rsid w:val="002D146F"/>
    <w:rsid w:val="002D2354"/>
    <w:rsid w:val="002D366B"/>
    <w:rsid w:val="002E0B2F"/>
    <w:rsid w:val="002E181C"/>
    <w:rsid w:val="002E30A6"/>
    <w:rsid w:val="002E47C6"/>
    <w:rsid w:val="002E7FF8"/>
    <w:rsid w:val="002F0CBD"/>
    <w:rsid w:val="002F313C"/>
    <w:rsid w:val="002F4F00"/>
    <w:rsid w:val="002F5C5B"/>
    <w:rsid w:val="002F5D99"/>
    <w:rsid w:val="002F7A41"/>
    <w:rsid w:val="002F7D2B"/>
    <w:rsid w:val="003009F4"/>
    <w:rsid w:val="00300F06"/>
    <w:rsid w:val="00301564"/>
    <w:rsid w:val="00304AB9"/>
    <w:rsid w:val="0030528E"/>
    <w:rsid w:val="003058C4"/>
    <w:rsid w:val="00305B75"/>
    <w:rsid w:val="003133F1"/>
    <w:rsid w:val="00314521"/>
    <w:rsid w:val="003146F6"/>
    <w:rsid w:val="00314897"/>
    <w:rsid w:val="00314FA4"/>
    <w:rsid w:val="00316342"/>
    <w:rsid w:val="003216B0"/>
    <w:rsid w:val="00323BB1"/>
    <w:rsid w:val="00324984"/>
    <w:rsid w:val="003257F8"/>
    <w:rsid w:val="00331A77"/>
    <w:rsid w:val="0033341C"/>
    <w:rsid w:val="003339FD"/>
    <w:rsid w:val="0033776F"/>
    <w:rsid w:val="0034110F"/>
    <w:rsid w:val="003422B6"/>
    <w:rsid w:val="003437A4"/>
    <w:rsid w:val="00343C3F"/>
    <w:rsid w:val="00343E6F"/>
    <w:rsid w:val="003440E1"/>
    <w:rsid w:val="00344FB6"/>
    <w:rsid w:val="00346755"/>
    <w:rsid w:val="0034703A"/>
    <w:rsid w:val="00350BEC"/>
    <w:rsid w:val="00351F0C"/>
    <w:rsid w:val="003549BF"/>
    <w:rsid w:val="00360D8F"/>
    <w:rsid w:val="00361CE7"/>
    <w:rsid w:val="00364B5E"/>
    <w:rsid w:val="00364CAB"/>
    <w:rsid w:val="00367520"/>
    <w:rsid w:val="00372D42"/>
    <w:rsid w:val="00376391"/>
    <w:rsid w:val="003773A8"/>
    <w:rsid w:val="0037760F"/>
    <w:rsid w:val="00381FDF"/>
    <w:rsid w:val="00383A29"/>
    <w:rsid w:val="00393738"/>
    <w:rsid w:val="00394254"/>
    <w:rsid w:val="003954E9"/>
    <w:rsid w:val="0039596A"/>
    <w:rsid w:val="003963DE"/>
    <w:rsid w:val="00397055"/>
    <w:rsid w:val="00397322"/>
    <w:rsid w:val="003A0205"/>
    <w:rsid w:val="003A4A64"/>
    <w:rsid w:val="003A5059"/>
    <w:rsid w:val="003A51B4"/>
    <w:rsid w:val="003B08E1"/>
    <w:rsid w:val="003B161B"/>
    <w:rsid w:val="003B27A3"/>
    <w:rsid w:val="003B455D"/>
    <w:rsid w:val="003B4C59"/>
    <w:rsid w:val="003B71D0"/>
    <w:rsid w:val="003C3185"/>
    <w:rsid w:val="003C3485"/>
    <w:rsid w:val="003C65C7"/>
    <w:rsid w:val="003C7C5E"/>
    <w:rsid w:val="003C7FC6"/>
    <w:rsid w:val="003D03D0"/>
    <w:rsid w:val="003D63E2"/>
    <w:rsid w:val="003D6D44"/>
    <w:rsid w:val="003E0550"/>
    <w:rsid w:val="003E0920"/>
    <w:rsid w:val="003E4CF0"/>
    <w:rsid w:val="003E4E12"/>
    <w:rsid w:val="003F0F37"/>
    <w:rsid w:val="003F47A1"/>
    <w:rsid w:val="003F6862"/>
    <w:rsid w:val="00400CA7"/>
    <w:rsid w:val="00400E16"/>
    <w:rsid w:val="004011A8"/>
    <w:rsid w:val="004025D4"/>
    <w:rsid w:val="00410F05"/>
    <w:rsid w:val="00410F89"/>
    <w:rsid w:val="00410FF5"/>
    <w:rsid w:val="00412A6C"/>
    <w:rsid w:val="00414840"/>
    <w:rsid w:val="00415E07"/>
    <w:rsid w:val="0042068D"/>
    <w:rsid w:val="00423A7A"/>
    <w:rsid w:val="00424FA8"/>
    <w:rsid w:val="0043035E"/>
    <w:rsid w:val="00431CCC"/>
    <w:rsid w:val="0043204C"/>
    <w:rsid w:val="004329E2"/>
    <w:rsid w:val="00434975"/>
    <w:rsid w:val="00435258"/>
    <w:rsid w:val="00435595"/>
    <w:rsid w:val="00440FC8"/>
    <w:rsid w:val="00441AC4"/>
    <w:rsid w:val="00444534"/>
    <w:rsid w:val="00444ACF"/>
    <w:rsid w:val="004454DA"/>
    <w:rsid w:val="00445B7C"/>
    <w:rsid w:val="00445FAC"/>
    <w:rsid w:val="00446974"/>
    <w:rsid w:val="00446AFD"/>
    <w:rsid w:val="0044702C"/>
    <w:rsid w:val="00450690"/>
    <w:rsid w:val="00452882"/>
    <w:rsid w:val="0045620E"/>
    <w:rsid w:val="00456929"/>
    <w:rsid w:val="00457152"/>
    <w:rsid w:val="004572C7"/>
    <w:rsid w:val="00460BD6"/>
    <w:rsid w:val="00461269"/>
    <w:rsid w:val="004625BC"/>
    <w:rsid w:val="004625F6"/>
    <w:rsid w:val="00462A44"/>
    <w:rsid w:val="00463C90"/>
    <w:rsid w:val="00465485"/>
    <w:rsid w:val="004673EF"/>
    <w:rsid w:val="00467FB8"/>
    <w:rsid w:val="00470313"/>
    <w:rsid w:val="00472AF2"/>
    <w:rsid w:val="00475DC4"/>
    <w:rsid w:val="0047696E"/>
    <w:rsid w:val="00480329"/>
    <w:rsid w:val="004809C8"/>
    <w:rsid w:val="00482EBD"/>
    <w:rsid w:val="004834C1"/>
    <w:rsid w:val="00483F96"/>
    <w:rsid w:val="004930B2"/>
    <w:rsid w:val="0049467F"/>
    <w:rsid w:val="004954C1"/>
    <w:rsid w:val="00496907"/>
    <w:rsid w:val="00497A1D"/>
    <w:rsid w:val="004A02D5"/>
    <w:rsid w:val="004A0BD3"/>
    <w:rsid w:val="004A2B10"/>
    <w:rsid w:val="004A3ECA"/>
    <w:rsid w:val="004A5502"/>
    <w:rsid w:val="004A7B34"/>
    <w:rsid w:val="004B17EA"/>
    <w:rsid w:val="004B29B5"/>
    <w:rsid w:val="004B474D"/>
    <w:rsid w:val="004B4AEE"/>
    <w:rsid w:val="004B5A96"/>
    <w:rsid w:val="004B69B8"/>
    <w:rsid w:val="004B6F44"/>
    <w:rsid w:val="004B6F99"/>
    <w:rsid w:val="004B79BD"/>
    <w:rsid w:val="004C59E7"/>
    <w:rsid w:val="004C5FBD"/>
    <w:rsid w:val="004C6A31"/>
    <w:rsid w:val="004C7903"/>
    <w:rsid w:val="004D0D8A"/>
    <w:rsid w:val="004E054E"/>
    <w:rsid w:val="004E0729"/>
    <w:rsid w:val="004E0C4D"/>
    <w:rsid w:val="004E11CE"/>
    <w:rsid w:val="004E23EB"/>
    <w:rsid w:val="004E3BEF"/>
    <w:rsid w:val="004E4757"/>
    <w:rsid w:val="004E4BC8"/>
    <w:rsid w:val="004E5283"/>
    <w:rsid w:val="004E7910"/>
    <w:rsid w:val="004F087F"/>
    <w:rsid w:val="004F1E9D"/>
    <w:rsid w:val="004F34F3"/>
    <w:rsid w:val="004F6E1E"/>
    <w:rsid w:val="004F7996"/>
    <w:rsid w:val="005047BD"/>
    <w:rsid w:val="0050526E"/>
    <w:rsid w:val="00506277"/>
    <w:rsid w:val="00507B69"/>
    <w:rsid w:val="00513D4C"/>
    <w:rsid w:val="00514863"/>
    <w:rsid w:val="00515950"/>
    <w:rsid w:val="005220A1"/>
    <w:rsid w:val="0052733C"/>
    <w:rsid w:val="00533590"/>
    <w:rsid w:val="005369E7"/>
    <w:rsid w:val="00537E78"/>
    <w:rsid w:val="00541D3F"/>
    <w:rsid w:val="00542029"/>
    <w:rsid w:val="005431DD"/>
    <w:rsid w:val="00543EDC"/>
    <w:rsid w:val="005443FD"/>
    <w:rsid w:val="00544682"/>
    <w:rsid w:val="005446A5"/>
    <w:rsid w:val="00544748"/>
    <w:rsid w:val="00545385"/>
    <w:rsid w:val="00545EB5"/>
    <w:rsid w:val="00550EE6"/>
    <w:rsid w:val="005537BE"/>
    <w:rsid w:val="005541B3"/>
    <w:rsid w:val="00555D80"/>
    <w:rsid w:val="00556D68"/>
    <w:rsid w:val="00557E5F"/>
    <w:rsid w:val="00560D13"/>
    <w:rsid w:val="005635D3"/>
    <w:rsid w:val="00564CAE"/>
    <w:rsid w:val="00565FE9"/>
    <w:rsid w:val="005706BD"/>
    <w:rsid w:val="00570812"/>
    <w:rsid w:val="00570869"/>
    <w:rsid w:val="0057454A"/>
    <w:rsid w:val="00574688"/>
    <w:rsid w:val="00574D46"/>
    <w:rsid w:val="00575B98"/>
    <w:rsid w:val="00575EE5"/>
    <w:rsid w:val="00580464"/>
    <w:rsid w:val="00580564"/>
    <w:rsid w:val="00583E31"/>
    <w:rsid w:val="0058462D"/>
    <w:rsid w:val="00586185"/>
    <w:rsid w:val="00586285"/>
    <w:rsid w:val="0059027A"/>
    <w:rsid w:val="0059234E"/>
    <w:rsid w:val="00592796"/>
    <w:rsid w:val="0059679F"/>
    <w:rsid w:val="00596D1F"/>
    <w:rsid w:val="0059710A"/>
    <w:rsid w:val="005A0CED"/>
    <w:rsid w:val="005A1D68"/>
    <w:rsid w:val="005A26DF"/>
    <w:rsid w:val="005A26EB"/>
    <w:rsid w:val="005A2829"/>
    <w:rsid w:val="005A3627"/>
    <w:rsid w:val="005A3E88"/>
    <w:rsid w:val="005B0674"/>
    <w:rsid w:val="005B08DE"/>
    <w:rsid w:val="005B09B1"/>
    <w:rsid w:val="005B22AE"/>
    <w:rsid w:val="005B23B3"/>
    <w:rsid w:val="005B5C67"/>
    <w:rsid w:val="005B7719"/>
    <w:rsid w:val="005C02F0"/>
    <w:rsid w:val="005C0BCE"/>
    <w:rsid w:val="005C2E9B"/>
    <w:rsid w:val="005C3300"/>
    <w:rsid w:val="005C424D"/>
    <w:rsid w:val="005C5BA0"/>
    <w:rsid w:val="005D1053"/>
    <w:rsid w:val="005D37FA"/>
    <w:rsid w:val="005D4BC8"/>
    <w:rsid w:val="005D7531"/>
    <w:rsid w:val="005E0FA8"/>
    <w:rsid w:val="005E2947"/>
    <w:rsid w:val="005E3CC0"/>
    <w:rsid w:val="005E660E"/>
    <w:rsid w:val="005F177A"/>
    <w:rsid w:val="005F1CF8"/>
    <w:rsid w:val="0060018C"/>
    <w:rsid w:val="00601264"/>
    <w:rsid w:val="00601F5A"/>
    <w:rsid w:val="00602A12"/>
    <w:rsid w:val="00603FB2"/>
    <w:rsid w:val="006055B8"/>
    <w:rsid w:val="00606364"/>
    <w:rsid w:val="0061022C"/>
    <w:rsid w:val="00610780"/>
    <w:rsid w:val="00611470"/>
    <w:rsid w:val="00611A7F"/>
    <w:rsid w:val="006140F3"/>
    <w:rsid w:val="0061552D"/>
    <w:rsid w:val="00616488"/>
    <w:rsid w:val="00616533"/>
    <w:rsid w:val="00617486"/>
    <w:rsid w:val="0062223F"/>
    <w:rsid w:val="006225F8"/>
    <w:rsid w:val="00624722"/>
    <w:rsid w:val="00624FCC"/>
    <w:rsid w:val="006253D8"/>
    <w:rsid w:val="006255E6"/>
    <w:rsid w:val="00630BCF"/>
    <w:rsid w:val="00630C20"/>
    <w:rsid w:val="00632A6C"/>
    <w:rsid w:val="00633F41"/>
    <w:rsid w:val="006344A5"/>
    <w:rsid w:val="00635F6C"/>
    <w:rsid w:val="006367B8"/>
    <w:rsid w:val="006418C1"/>
    <w:rsid w:val="00652AB5"/>
    <w:rsid w:val="0065305C"/>
    <w:rsid w:val="00654A7E"/>
    <w:rsid w:val="0065579D"/>
    <w:rsid w:val="00656082"/>
    <w:rsid w:val="0066203B"/>
    <w:rsid w:val="006620CA"/>
    <w:rsid w:val="00662AC8"/>
    <w:rsid w:val="006641F5"/>
    <w:rsid w:val="00665470"/>
    <w:rsid w:val="006660A3"/>
    <w:rsid w:val="006661D1"/>
    <w:rsid w:val="00666E4C"/>
    <w:rsid w:val="006678C4"/>
    <w:rsid w:val="00671383"/>
    <w:rsid w:val="00673A8F"/>
    <w:rsid w:val="00673D9C"/>
    <w:rsid w:val="006760F1"/>
    <w:rsid w:val="00681105"/>
    <w:rsid w:val="00682C81"/>
    <w:rsid w:val="00684FDB"/>
    <w:rsid w:val="006851D7"/>
    <w:rsid w:val="0068569C"/>
    <w:rsid w:val="0068590B"/>
    <w:rsid w:val="00686437"/>
    <w:rsid w:val="006912D6"/>
    <w:rsid w:val="00693022"/>
    <w:rsid w:val="00693366"/>
    <w:rsid w:val="00696B63"/>
    <w:rsid w:val="006A2512"/>
    <w:rsid w:val="006A35F8"/>
    <w:rsid w:val="006A4BCC"/>
    <w:rsid w:val="006B3C28"/>
    <w:rsid w:val="006B593D"/>
    <w:rsid w:val="006B6888"/>
    <w:rsid w:val="006C040E"/>
    <w:rsid w:val="006C15CA"/>
    <w:rsid w:val="006C245C"/>
    <w:rsid w:val="006C4943"/>
    <w:rsid w:val="006C4F92"/>
    <w:rsid w:val="006C59BC"/>
    <w:rsid w:val="006C7215"/>
    <w:rsid w:val="006D1912"/>
    <w:rsid w:val="006D43F3"/>
    <w:rsid w:val="006D4B6D"/>
    <w:rsid w:val="006D63C7"/>
    <w:rsid w:val="006E0F18"/>
    <w:rsid w:val="006E6940"/>
    <w:rsid w:val="006F00BA"/>
    <w:rsid w:val="006F0CE9"/>
    <w:rsid w:val="006F395B"/>
    <w:rsid w:val="006F531A"/>
    <w:rsid w:val="006F5524"/>
    <w:rsid w:val="006F71FA"/>
    <w:rsid w:val="0070418C"/>
    <w:rsid w:val="007050CF"/>
    <w:rsid w:val="00706C27"/>
    <w:rsid w:val="00711367"/>
    <w:rsid w:val="0071227C"/>
    <w:rsid w:val="00712BFE"/>
    <w:rsid w:val="00715BE4"/>
    <w:rsid w:val="00716A98"/>
    <w:rsid w:val="00720675"/>
    <w:rsid w:val="00720CA6"/>
    <w:rsid w:val="00723483"/>
    <w:rsid w:val="007253F9"/>
    <w:rsid w:val="00725F88"/>
    <w:rsid w:val="00726349"/>
    <w:rsid w:val="00730AAA"/>
    <w:rsid w:val="007310F6"/>
    <w:rsid w:val="00733994"/>
    <w:rsid w:val="0073414E"/>
    <w:rsid w:val="007342D3"/>
    <w:rsid w:val="00734528"/>
    <w:rsid w:val="007365B4"/>
    <w:rsid w:val="00736F35"/>
    <w:rsid w:val="00737407"/>
    <w:rsid w:val="00740762"/>
    <w:rsid w:val="007410C3"/>
    <w:rsid w:val="0074116A"/>
    <w:rsid w:val="0074259E"/>
    <w:rsid w:val="00744A48"/>
    <w:rsid w:val="00746408"/>
    <w:rsid w:val="00746E8A"/>
    <w:rsid w:val="00747384"/>
    <w:rsid w:val="0075065E"/>
    <w:rsid w:val="00751058"/>
    <w:rsid w:val="007531E4"/>
    <w:rsid w:val="00753F9F"/>
    <w:rsid w:val="00754BBB"/>
    <w:rsid w:val="00755C74"/>
    <w:rsid w:val="007562D7"/>
    <w:rsid w:val="00756F7D"/>
    <w:rsid w:val="00762BDE"/>
    <w:rsid w:val="00763EC2"/>
    <w:rsid w:val="007649C2"/>
    <w:rsid w:val="00764A69"/>
    <w:rsid w:val="00770339"/>
    <w:rsid w:val="00771835"/>
    <w:rsid w:val="00773362"/>
    <w:rsid w:val="0077439A"/>
    <w:rsid w:val="00774D6B"/>
    <w:rsid w:val="00774F61"/>
    <w:rsid w:val="00777931"/>
    <w:rsid w:val="00780FC3"/>
    <w:rsid w:val="00781561"/>
    <w:rsid w:val="00782793"/>
    <w:rsid w:val="00783CCA"/>
    <w:rsid w:val="00784AC6"/>
    <w:rsid w:val="00784E33"/>
    <w:rsid w:val="00785270"/>
    <w:rsid w:val="00785611"/>
    <w:rsid w:val="0078598C"/>
    <w:rsid w:val="00785DD2"/>
    <w:rsid w:val="00785E30"/>
    <w:rsid w:val="0078781F"/>
    <w:rsid w:val="0079093C"/>
    <w:rsid w:val="00790C91"/>
    <w:rsid w:val="00794FE8"/>
    <w:rsid w:val="0079615B"/>
    <w:rsid w:val="00797798"/>
    <w:rsid w:val="00797985"/>
    <w:rsid w:val="007A0810"/>
    <w:rsid w:val="007A127C"/>
    <w:rsid w:val="007A1EE7"/>
    <w:rsid w:val="007A2595"/>
    <w:rsid w:val="007A2869"/>
    <w:rsid w:val="007A3B05"/>
    <w:rsid w:val="007A5490"/>
    <w:rsid w:val="007A670F"/>
    <w:rsid w:val="007B0322"/>
    <w:rsid w:val="007B68D4"/>
    <w:rsid w:val="007C004B"/>
    <w:rsid w:val="007C03BD"/>
    <w:rsid w:val="007C1F94"/>
    <w:rsid w:val="007C2CDB"/>
    <w:rsid w:val="007C2E2D"/>
    <w:rsid w:val="007C2EBD"/>
    <w:rsid w:val="007C377D"/>
    <w:rsid w:val="007C460B"/>
    <w:rsid w:val="007C4AE2"/>
    <w:rsid w:val="007C552A"/>
    <w:rsid w:val="007C5DE1"/>
    <w:rsid w:val="007C62FF"/>
    <w:rsid w:val="007D03E8"/>
    <w:rsid w:val="007D1086"/>
    <w:rsid w:val="007D294D"/>
    <w:rsid w:val="007D3BC9"/>
    <w:rsid w:val="007D52EB"/>
    <w:rsid w:val="007D7D83"/>
    <w:rsid w:val="007E1A9B"/>
    <w:rsid w:val="007E33EC"/>
    <w:rsid w:val="007E4043"/>
    <w:rsid w:val="007E4855"/>
    <w:rsid w:val="007E5A2D"/>
    <w:rsid w:val="007F298B"/>
    <w:rsid w:val="007F496E"/>
    <w:rsid w:val="007F6636"/>
    <w:rsid w:val="007F791E"/>
    <w:rsid w:val="007F7998"/>
    <w:rsid w:val="008002F7"/>
    <w:rsid w:val="008004B9"/>
    <w:rsid w:val="00802FB3"/>
    <w:rsid w:val="00803119"/>
    <w:rsid w:val="00803A0E"/>
    <w:rsid w:val="008059DE"/>
    <w:rsid w:val="00805BBD"/>
    <w:rsid w:val="008074F0"/>
    <w:rsid w:val="0081062E"/>
    <w:rsid w:val="008113EC"/>
    <w:rsid w:val="00811547"/>
    <w:rsid w:val="00813169"/>
    <w:rsid w:val="0081439D"/>
    <w:rsid w:val="00816994"/>
    <w:rsid w:val="008207E5"/>
    <w:rsid w:val="008218B5"/>
    <w:rsid w:val="0082243C"/>
    <w:rsid w:val="00823A8D"/>
    <w:rsid w:val="008244F0"/>
    <w:rsid w:val="00824EC3"/>
    <w:rsid w:val="008279DD"/>
    <w:rsid w:val="00827ECD"/>
    <w:rsid w:val="00830884"/>
    <w:rsid w:val="008325E3"/>
    <w:rsid w:val="00834124"/>
    <w:rsid w:val="0083502E"/>
    <w:rsid w:val="008355B9"/>
    <w:rsid w:val="00835E9C"/>
    <w:rsid w:val="00837008"/>
    <w:rsid w:val="00841C93"/>
    <w:rsid w:val="00843C61"/>
    <w:rsid w:val="00846F52"/>
    <w:rsid w:val="00847575"/>
    <w:rsid w:val="0085034E"/>
    <w:rsid w:val="00850A81"/>
    <w:rsid w:val="00850B5D"/>
    <w:rsid w:val="00850D15"/>
    <w:rsid w:val="008510F0"/>
    <w:rsid w:val="008572D4"/>
    <w:rsid w:val="00860DAF"/>
    <w:rsid w:val="0086247D"/>
    <w:rsid w:val="008639F5"/>
    <w:rsid w:val="0086557A"/>
    <w:rsid w:val="008671E1"/>
    <w:rsid w:val="00867DAE"/>
    <w:rsid w:val="00871E21"/>
    <w:rsid w:val="008720E1"/>
    <w:rsid w:val="008749CE"/>
    <w:rsid w:val="00874D20"/>
    <w:rsid w:val="008815BB"/>
    <w:rsid w:val="008840A9"/>
    <w:rsid w:val="008859E4"/>
    <w:rsid w:val="00885BE4"/>
    <w:rsid w:val="00886BF0"/>
    <w:rsid w:val="008878F0"/>
    <w:rsid w:val="008905AD"/>
    <w:rsid w:val="00890CA6"/>
    <w:rsid w:val="00892419"/>
    <w:rsid w:val="00892F4F"/>
    <w:rsid w:val="00893B31"/>
    <w:rsid w:val="00893D1C"/>
    <w:rsid w:val="00894729"/>
    <w:rsid w:val="0089560C"/>
    <w:rsid w:val="008A1082"/>
    <w:rsid w:val="008A1566"/>
    <w:rsid w:val="008A4300"/>
    <w:rsid w:val="008A5EE5"/>
    <w:rsid w:val="008A6CFD"/>
    <w:rsid w:val="008A74E4"/>
    <w:rsid w:val="008B0156"/>
    <w:rsid w:val="008B0252"/>
    <w:rsid w:val="008B1D69"/>
    <w:rsid w:val="008B3A8B"/>
    <w:rsid w:val="008B483C"/>
    <w:rsid w:val="008B496C"/>
    <w:rsid w:val="008B4E59"/>
    <w:rsid w:val="008B6056"/>
    <w:rsid w:val="008B6C06"/>
    <w:rsid w:val="008C02A5"/>
    <w:rsid w:val="008C0466"/>
    <w:rsid w:val="008C24B9"/>
    <w:rsid w:val="008C3E90"/>
    <w:rsid w:val="008C40C2"/>
    <w:rsid w:val="008C51CA"/>
    <w:rsid w:val="008C7259"/>
    <w:rsid w:val="008D0B9F"/>
    <w:rsid w:val="008D1410"/>
    <w:rsid w:val="008D2C3A"/>
    <w:rsid w:val="008D4A88"/>
    <w:rsid w:val="008E07C6"/>
    <w:rsid w:val="008E2249"/>
    <w:rsid w:val="008E3062"/>
    <w:rsid w:val="008E3CAA"/>
    <w:rsid w:val="008E6241"/>
    <w:rsid w:val="008E62C8"/>
    <w:rsid w:val="008F005A"/>
    <w:rsid w:val="008F0AEA"/>
    <w:rsid w:val="008F0B84"/>
    <w:rsid w:val="008F2FC4"/>
    <w:rsid w:val="008F3DB5"/>
    <w:rsid w:val="008F4D46"/>
    <w:rsid w:val="008F739E"/>
    <w:rsid w:val="00901575"/>
    <w:rsid w:val="009024C2"/>
    <w:rsid w:val="00906AF8"/>
    <w:rsid w:val="00907489"/>
    <w:rsid w:val="00914D88"/>
    <w:rsid w:val="00914FE4"/>
    <w:rsid w:val="00916743"/>
    <w:rsid w:val="00917A7F"/>
    <w:rsid w:val="009210D6"/>
    <w:rsid w:val="00921EF2"/>
    <w:rsid w:val="009221E7"/>
    <w:rsid w:val="009237A8"/>
    <w:rsid w:val="00923F1F"/>
    <w:rsid w:val="00926B13"/>
    <w:rsid w:val="0093284A"/>
    <w:rsid w:val="00933DCF"/>
    <w:rsid w:val="0093466D"/>
    <w:rsid w:val="00935A1D"/>
    <w:rsid w:val="00937272"/>
    <w:rsid w:val="009372A4"/>
    <w:rsid w:val="00942A71"/>
    <w:rsid w:val="00943644"/>
    <w:rsid w:val="00946125"/>
    <w:rsid w:val="00946737"/>
    <w:rsid w:val="00946850"/>
    <w:rsid w:val="00947E31"/>
    <w:rsid w:val="009522DD"/>
    <w:rsid w:val="00952749"/>
    <w:rsid w:val="00955025"/>
    <w:rsid w:val="00960128"/>
    <w:rsid w:val="009650F5"/>
    <w:rsid w:val="009677CD"/>
    <w:rsid w:val="009702C9"/>
    <w:rsid w:val="0097255E"/>
    <w:rsid w:val="00972EE7"/>
    <w:rsid w:val="00973AC5"/>
    <w:rsid w:val="009749CE"/>
    <w:rsid w:val="0097530F"/>
    <w:rsid w:val="00976455"/>
    <w:rsid w:val="00976C57"/>
    <w:rsid w:val="009811E5"/>
    <w:rsid w:val="00982EB4"/>
    <w:rsid w:val="00983F42"/>
    <w:rsid w:val="00985B25"/>
    <w:rsid w:val="00987955"/>
    <w:rsid w:val="0099041F"/>
    <w:rsid w:val="00993F98"/>
    <w:rsid w:val="00995301"/>
    <w:rsid w:val="00995CEA"/>
    <w:rsid w:val="00997117"/>
    <w:rsid w:val="009A18E2"/>
    <w:rsid w:val="009A1948"/>
    <w:rsid w:val="009A2354"/>
    <w:rsid w:val="009A2C19"/>
    <w:rsid w:val="009A50B9"/>
    <w:rsid w:val="009B0114"/>
    <w:rsid w:val="009B0D0C"/>
    <w:rsid w:val="009B1A5F"/>
    <w:rsid w:val="009B43E8"/>
    <w:rsid w:val="009B48A9"/>
    <w:rsid w:val="009B720F"/>
    <w:rsid w:val="009B7226"/>
    <w:rsid w:val="009B73C3"/>
    <w:rsid w:val="009C2190"/>
    <w:rsid w:val="009C4647"/>
    <w:rsid w:val="009C4D30"/>
    <w:rsid w:val="009C5231"/>
    <w:rsid w:val="009C63DB"/>
    <w:rsid w:val="009D2E89"/>
    <w:rsid w:val="009D3FDF"/>
    <w:rsid w:val="009D4DDE"/>
    <w:rsid w:val="009D6515"/>
    <w:rsid w:val="009E005F"/>
    <w:rsid w:val="009E1B5A"/>
    <w:rsid w:val="009F0DBE"/>
    <w:rsid w:val="009F238E"/>
    <w:rsid w:val="009F4A3D"/>
    <w:rsid w:val="009F5B94"/>
    <w:rsid w:val="009F5C0E"/>
    <w:rsid w:val="009F6271"/>
    <w:rsid w:val="009F7159"/>
    <w:rsid w:val="00A0095E"/>
    <w:rsid w:val="00A02793"/>
    <w:rsid w:val="00A03BA1"/>
    <w:rsid w:val="00A04E8F"/>
    <w:rsid w:val="00A058E4"/>
    <w:rsid w:val="00A0747C"/>
    <w:rsid w:val="00A07928"/>
    <w:rsid w:val="00A112CA"/>
    <w:rsid w:val="00A112D6"/>
    <w:rsid w:val="00A12992"/>
    <w:rsid w:val="00A13336"/>
    <w:rsid w:val="00A133FD"/>
    <w:rsid w:val="00A13CFB"/>
    <w:rsid w:val="00A158F9"/>
    <w:rsid w:val="00A15C2A"/>
    <w:rsid w:val="00A213F0"/>
    <w:rsid w:val="00A23418"/>
    <w:rsid w:val="00A23DA0"/>
    <w:rsid w:val="00A25D9B"/>
    <w:rsid w:val="00A265EB"/>
    <w:rsid w:val="00A279F0"/>
    <w:rsid w:val="00A27ED1"/>
    <w:rsid w:val="00A306BC"/>
    <w:rsid w:val="00A33543"/>
    <w:rsid w:val="00A3437A"/>
    <w:rsid w:val="00A34C57"/>
    <w:rsid w:val="00A35F42"/>
    <w:rsid w:val="00A367FF"/>
    <w:rsid w:val="00A370A7"/>
    <w:rsid w:val="00A4186A"/>
    <w:rsid w:val="00A41E00"/>
    <w:rsid w:val="00A47F81"/>
    <w:rsid w:val="00A51190"/>
    <w:rsid w:val="00A52831"/>
    <w:rsid w:val="00A53D1C"/>
    <w:rsid w:val="00A54E54"/>
    <w:rsid w:val="00A56144"/>
    <w:rsid w:val="00A56508"/>
    <w:rsid w:val="00A62B52"/>
    <w:rsid w:val="00A66355"/>
    <w:rsid w:val="00A70A55"/>
    <w:rsid w:val="00A71669"/>
    <w:rsid w:val="00A72A86"/>
    <w:rsid w:val="00A72AF1"/>
    <w:rsid w:val="00A74B9F"/>
    <w:rsid w:val="00A758A5"/>
    <w:rsid w:val="00A83143"/>
    <w:rsid w:val="00A83E65"/>
    <w:rsid w:val="00A84F6E"/>
    <w:rsid w:val="00AA0906"/>
    <w:rsid w:val="00AA0BD5"/>
    <w:rsid w:val="00AA10EB"/>
    <w:rsid w:val="00AA19E9"/>
    <w:rsid w:val="00AA1C1C"/>
    <w:rsid w:val="00AA2369"/>
    <w:rsid w:val="00AA279A"/>
    <w:rsid w:val="00AA3B57"/>
    <w:rsid w:val="00AA45D3"/>
    <w:rsid w:val="00AA4F88"/>
    <w:rsid w:val="00AA6AD3"/>
    <w:rsid w:val="00AA73BE"/>
    <w:rsid w:val="00AB06C3"/>
    <w:rsid w:val="00AB0742"/>
    <w:rsid w:val="00AB22BB"/>
    <w:rsid w:val="00AB5787"/>
    <w:rsid w:val="00AC2090"/>
    <w:rsid w:val="00AC387D"/>
    <w:rsid w:val="00AD2436"/>
    <w:rsid w:val="00AD3B18"/>
    <w:rsid w:val="00AD54A8"/>
    <w:rsid w:val="00AD5DC8"/>
    <w:rsid w:val="00AE043C"/>
    <w:rsid w:val="00AE66B2"/>
    <w:rsid w:val="00AE6C3A"/>
    <w:rsid w:val="00AF377A"/>
    <w:rsid w:val="00AF59E6"/>
    <w:rsid w:val="00B0523E"/>
    <w:rsid w:val="00B0542A"/>
    <w:rsid w:val="00B0548E"/>
    <w:rsid w:val="00B05CA2"/>
    <w:rsid w:val="00B06A23"/>
    <w:rsid w:val="00B07C82"/>
    <w:rsid w:val="00B11E7A"/>
    <w:rsid w:val="00B204BD"/>
    <w:rsid w:val="00B2153A"/>
    <w:rsid w:val="00B2185F"/>
    <w:rsid w:val="00B26578"/>
    <w:rsid w:val="00B31C64"/>
    <w:rsid w:val="00B3263F"/>
    <w:rsid w:val="00B338A2"/>
    <w:rsid w:val="00B3449C"/>
    <w:rsid w:val="00B357F0"/>
    <w:rsid w:val="00B3783F"/>
    <w:rsid w:val="00B400E7"/>
    <w:rsid w:val="00B408F1"/>
    <w:rsid w:val="00B40BAB"/>
    <w:rsid w:val="00B424F6"/>
    <w:rsid w:val="00B50D57"/>
    <w:rsid w:val="00B520DE"/>
    <w:rsid w:val="00B52526"/>
    <w:rsid w:val="00B54269"/>
    <w:rsid w:val="00B56A07"/>
    <w:rsid w:val="00B601E5"/>
    <w:rsid w:val="00B61BDD"/>
    <w:rsid w:val="00B638F0"/>
    <w:rsid w:val="00B65494"/>
    <w:rsid w:val="00B66961"/>
    <w:rsid w:val="00B66D3A"/>
    <w:rsid w:val="00B6708C"/>
    <w:rsid w:val="00B67C8E"/>
    <w:rsid w:val="00B7229A"/>
    <w:rsid w:val="00B72424"/>
    <w:rsid w:val="00B73711"/>
    <w:rsid w:val="00B73B4A"/>
    <w:rsid w:val="00B73E44"/>
    <w:rsid w:val="00B76487"/>
    <w:rsid w:val="00B7663E"/>
    <w:rsid w:val="00B777A2"/>
    <w:rsid w:val="00B8009F"/>
    <w:rsid w:val="00B80194"/>
    <w:rsid w:val="00B81579"/>
    <w:rsid w:val="00B81ACD"/>
    <w:rsid w:val="00B8221A"/>
    <w:rsid w:val="00B86608"/>
    <w:rsid w:val="00B901BE"/>
    <w:rsid w:val="00B924A6"/>
    <w:rsid w:val="00B92FFF"/>
    <w:rsid w:val="00B9380D"/>
    <w:rsid w:val="00B93A7D"/>
    <w:rsid w:val="00B93C08"/>
    <w:rsid w:val="00B951E7"/>
    <w:rsid w:val="00B95BE5"/>
    <w:rsid w:val="00BA7716"/>
    <w:rsid w:val="00BA7F9C"/>
    <w:rsid w:val="00BB1AA3"/>
    <w:rsid w:val="00BB36C4"/>
    <w:rsid w:val="00BB61FB"/>
    <w:rsid w:val="00BB6C1C"/>
    <w:rsid w:val="00BC0D6E"/>
    <w:rsid w:val="00BC1B52"/>
    <w:rsid w:val="00BC5060"/>
    <w:rsid w:val="00BC61BA"/>
    <w:rsid w:val="00BC6942"/>
    <w:rsid w:val="00BC7ED7"/>
    <w:rsid w:val="00BD1D55"/>
    <w:rsid w:val="00BD3929"/>
    <w:rsid w:val="00BD5039"/>
    <w:rsid w:val="00BD55DF"/>
    <w:rsid w:val="00BD5E02"/>
    <w:rsid w:val="00BD65C0"/>
    <w:rsid w:val="00BD7905"/>
    <w:rsid w:val="00BD7947"/>
    <w:rsid w:val="00BE16E7"/>
    <w:rsid w:val="00BE2B85"/>
    <w:rsid w:val="00BE34AA"/>
    <w:rsid w:val="00BE54DE"/>
    <w:rsid w:val="00BF51AE"/>
    <w:rsid w:val="00BF59AF"/>
    <w:rsid w:val="00BF5AED"/>
    <w:rsid w:val="00BF605B"/>
    <w:rsid w:val="00BF61E2"/>
    <w:rsid w:val="00C01D11"/>
    <w:rsid w:val="00C04CF6"/>
    <w:rsid w:val="00C07A10"/>
    <w:rsid w:val="00C07D5F"/>
    <w:rsid w:val="00C11693"/>
    <w:rsid w:val="00C13AC7"/>
    <w:rsid w:val="00C16AD0"/>
    <w:rsid w:val="00C20233"/>
    <w:rsid w:val="00C2092F"/>
    <w:rsid w:val="00C232A8"/>
    <w:rsid w:val="00C24435"/>
    <w:rsid w:val="00C31593"/>
    <w:rsid w:val="00C3211E"/>
    <w:rsid w:val="00C3488E"/>
    <w:rsid w:val="00C3500D"/>
    <w:rsid w:val="00C35B44"/>
    <w:rsid w:val="00C35E77"/>
    <w:rsid w:val="00C37E44"/>
    <w:rsid w:val="00C40CB2"/>
    <w:rsid w:val="00C41A86"/>
    <w:rsid w:val="00C43471"/>
    <w:rsid w:val="00C43865"/>
    <w:rsid w:val="00C460EC"/>
    <w:rsid w:val="00C50435"/>
    <w:rsid w:val="00C50871"/>
    <w:rsid w:val="00C5399F"/>
    <w:rsid w:val="00C54B97"/>
    <w:rsid w:val="00C56A2B"/>
    <w:rsid w:val="00C60F50"/>
    <w:rsid w:val="00C61B33"/>
    <w:rsid w:val="00C627D6"/>
    <w:rsid w:val="00C633F5"/>
    <w:rsid w:val="00C64052"/>
    <w:rsid w:val="00C64CA7"/>
    <w:rsid w:val="00C658D7"/>
    <w:rsid w:val="00C659A1"/>
    <w:rsid w:val="00C66242"/>
    <w:rsid w:val="00C66AEF"/>
    <w:rsid w:val="00C66C58"/>
    <w:rsid w:val="00C67456"/>
    <w:rsid w:val="00C67650"/>
    <w:rsid w:val="00C6770F"/>
    <w:rsid w:val="00C70F66"/>
    <w:rsid w:val="00C72131"/>
    <w:rsid w:val="00C721AB"/>
    <w:rsid w:val="00C73083"/>
    <w:rsid w:val="00C76AA7"/>
    <w:rsid w:val="00C8035C"/>
    <w:rsid w:val="00C80D8E"/>
    <w:rsid w:val="00C82E86"/>
    <w:rsid w:val="00C85F78"/>
    <w:rsid w:val="00C860CA"/>
    <w:rsid w:val="00C87C3F"/>
    <w:rsid w:val="00C901CE"/>
    <w:rsid w:val="00C91FCF"/>
    <w:rsid w:val="00C93756"/>
    <w:rsid w:val="00C94815"/>
    <w:rsid w:val="00CA1326"/>
    <w:rsid w:val="00CA35DC"/>
    <w:rsid w:val="00CA4102"/>
    <w:rsid w:val="00CB17EC"/>
    <w:rsid w:val="00CB1A95"/>
    <w:rsid w:val="00CB2491"/>
    <w:rsid w:val="00CB676C"/>
    <w:rsid w:val="00CB6A4F"/>
    <w:rsid w:val="00CC5721"/>
    <w:rsid w:val="00CC673C"/>
    <w:rsid w:val="00CC7089"/>
    <w:rsid w:val="00CC79B9"/>
    <w:rsid w:val="00CD0170"/>
    <w:rsid w:val="00CD2828"/>
    <w:rsid w:val="00CD4F0C"/>
    <w:rsid w:val="00CD56FB"/>
    <w:rsid w:val="00CD58EA"/>
    <w:rsid w:val="00CD593D"/>
    <w:rsid w:val="00CD703C"/>
    <w:rsid w:val="00CE0B05"/>
    <w:rsid w:val="00CE4039"/>
    <w:rsid w:val="00CE45DE"/>
    <w:rsid w:val="00CE4DEA"/>
    <w:rsid w:val="00CE600B"/>
    <w:rsid w:val="00CE6B66"/>
    <w:rsid w:val="00CF14CD"/>
    <w:rsid w:val="00CF2471"/>
    <w:rsid w:val="00CF37C0"/>
    <w:rsid w:val="00CF4ADA"/>
    <w:rsid w:val="00D04E03"/>
    <w:rsid w:val="00D0598F"/>
    <w:rsid w:val="00D1079A"/>
    <w:rsid w:val="00D1440E"/>
    <w:rsid w:val="00D14851"/>
    <w:rsid w:val="00D1508F"/>
    <w:rsid w:val="00D153F0"/>
    <w:rsid w:val="00D17D3D"/>
    <w:rsid w:val="00D227BE"/>
    <w:rsid w:val="00D22DC0"/>
    <w:rsid w:val="00D249BB"/>
    <w:rsid w:val="00D2688B"/>
    <w:rsid w:val="00D27C3C"/>
    <w:rsid w:val="00D307B7"/>
    <w:rsid w:val="00D316B7"/>
    <w:rsid w:val="00D31FA8"/>
    <w:rsid w:val="00D32545"/>
    <w:rsid w:val="00D32C13"/>
    <w:rsid w:val="00D32F26"/>
    <w:rsid w:val="00D32F29"/>
    <w:rsid w:val="00D33BC7"/>
    <w:rsid w:val="00D36A5D"/>
    <w:rsid w:val="00D41927"/>
    <w:rsid w:val="00D4276C"/>
    <w:rsid w:val="00D4349A"/>
    <w:rsid w:val="00D437E3"/>
    <w:rsid w:val="00D4652C"/>
    <w:rsid w:val="00D46650"/>
    <w:rsid w:val="00D46749"/>
    <w:rsid w:val="00D46E86"/>
    <w:rsid w:val="00D470A1"/>
    <w:rsid w:val="00D5063D"/>
    <w:rsid w:val="00D50B0B"/>
    <w:rsid w:val="00D51520"/>
    <w:rsid w:val="00D51826"/>
    <w:rsid w:val="00D51A8E"/>
    <w:rsid w:val="00D53316"/>
    <w:rsid w:val="00D5331A"/>
    <w:rsid w:val="00D5720C"/>
    <w:rsid w:val="00D57F86"/>
    <w:rsid w:val="00D61644"/>
    <w:rsid w:val="00D617E5"/>
    <w:rsid w:val="00D61DF3"/>
    <w:rsid w:val="00D62310"/>
    <w:rsid w:val="00D63890"/>
    <w:rsid w:val="00D64438"/>
    <w:rsid w:val="00D64663"/>
    <w:rsid w:val="00D64D66"/>
    <w:rsid w:val="00D72607"/>
    <w:rsid w:val="00D72681"/>
    <w:rsid w:val="00D72972"/>
    <w:rsid w:val="00D75034"/>
    <w:rsid w:val="00D75BB4"/>
    <w:rsid w:val="00D80926"/>
    <w:rsid w:val="00D823D9"/>
    <w:rsid w:val="00D82BD8"/>
    <w:rsid w:val="00D82D6C"/>
    <w:rsid w:val="00D852B1"/>
    <w:rsid w:val="00D86B58"/>
    <w:rsid w:val="00D87798"/>
    <w:rsid w:val="00D87C56"/>
    <w:rsid w:val="00D901AF"/>
    <w:rsid w:val="00D931E5"/>
    <w:rsid w:val="00D932BB"/>
    <w:rsid w:val="00DA050A"/>
    <w:rsid w:val="00DA356F"/>
    <w:rsid w:val="00DA373C"/>
    <w:rsid w:val="00DA640C"/>
    <w:rsid w:val="00DA67C4"/>
    <w:rsid w:val="00DA74B3"/>
    <w:rsid w:val="00DB091B"/>
    <w:rsid w:val="00DB2829"/>
    <w:rsid w:val="00DB3710"/>
    <w:rsid w:val="00DB4C1B"/>
    <w:rsid w:val="00DB5A28"/>
    <w:rsid w:val="00DB6BBF"/>
    <w:rsid w:val="00DB6ED1"/>
    <w:rsid w:val="00DB7BF5"/>
    <w:rsid w:val="00DC0798"/>
    <w:rsid w:val="00DC4A7E"/>
    <w:rsid w:val="00DC5862"/>
    <w:rsid w:val="00DC596C"/>
    <w:rsid w:val="00DC5B41"/>
    <w:rsid w:val="00DC73EA"/>
    <w:rsid w:val="00DD282A"/>
    <w:rsid w:val="00DE0CDD"/>
    <w:rsid w:val="00DE2AC6"/>
    <w:rsid w:val="00DE306E"/>
    <w:rsid w:val="00DE58FB"/>
    <w:rsid w:val="00DE7356"/>
    <w:rsid w:val="00DE7D6A"/>
    <w:rsid w:val="00DF089A"/>
    <w:rsid w:val="00DF0E54"/>
    <w:rsid w:val="00DF19CE"/>
    <w:rsid w:val="00DF3CE6"/>
    <w:rsid w:val="00DF70DC"/>
    <w:rsid w:val="00DF7BC5"/>
    <w:rsid w:val="00E001CD"/>
    <w:rsid w:val="00E02F48"/>
    <w:rsid w:val="00E07CC5"/>
    <w:rsid w:val="00E105D7"/>
    <w:rsid w:val="00E111BB"/>
    <w:rsid w:val="00E1331F"/>
    <w:rsid w:val="00E13DA0"/>
    <w:rsid w:val="00E14FB6"/>
    <w:rsid w:val="00E1799B"/>
    <w:rsid w:val="00E208EB"/>
    <w:rsid w:val="00E23AD0"/>
    <w:rsid w:val="00E25150"/>
    <w:rsid w:val="00E2687C"/>
    <w:rsid w:val="00E26B10"/>
    <w:rsid w:val="00E30379"/>
    <w:rsid w:val="00E31EC6"/>
    <w:rsid w:val="00E330A6"/>
    <w:rsid w:val="00E34205"/>
    <w:rsid w:val="00E34210"/>
    <w:rsid w:val="00E406E0"/>
    <w:rsid w:val="00E43225"/>
    <w:rsid w:val="00E448EB"/>
    <w:rsid w:val="00E45C68"/>
    <w:rsid w:val="00E50840"/>
    <w:rsid w:val="00E614D5"/>
    <w:rsid w:val="00E62DCE"/>
    <w:rsid w:val="00E630D7"/>
    <w:rsid w:val="00E65E39"/>
    <w:rsid w:val="00E667C7"/>
    <w:rsid w:val="00E66AB1"/>
    <w:rsid w:val="00E71598"/>
    <w:rsid w:val="00E7312D"/>
    <w:rsid w:val="00E73AFB"/>
    <w:rsid w:val="00E7476D"/>
    <w:rsid w:val="00E758EF"/>
    <w:rsid w:val="00E75BEE"/>
    <w:rsid w:val="00E76258"/>
    <w:rsid w:val="00E767E6"/>
    <w:rsid w:val="00E80B1D"/>
    <w:rsid w:val="00E81192"/>
    <w:rsid w:val="00E811E9"/>
    <w:rsid w:val="00E82EE1"/>
    <w:rsid w:val="00E8462C"/>
    <w:rsid w:val="00E84CAA"/>
    <w:rsid w:val="00E92358"/>
    <w:rsid w:val="00E92FE0"/>
    <w:rsid w:val="00E94CC5"/>
    <w:rsid w:val="00E96290"/>
    <w:rsid w:val="00E9708E"/>
    <w:rsid w:val="00EA4A8F"/>
    <w:rsid w:val="00EB2459"/>
    <w:rsid w:val="00EB25A8"/>
    <w:rsid w:val="00EB771E"/>
    <w:rsid w:val="00EC0820"/>
    <w:rsid w:val="00EC0C3D"/>
    <w:rsid w:val="00EC2A50"/>
    <w:rsid w:val="00EC3260"/>
    <w:rsid w:val="00EC3572"/>
    <w:rsid w:val="00EC468D"/>
    <w:rsid w:val="00EC5ADC"/>
    <w:rsid w:val="00ED08D3"/>
    <w:rsid w:val="00ED1DA0"/>
    <w:rsid w:val="00ED30EB"/>
    <w:rsid w:val="00ED5B26"/>
    <w:rsid w:val="00ED5F39"/>
    <w:rsid w:val="00ED669C"/>
    <w:rsid w:val="00ED6A1C"/>
    <w:rsid w:val="00ED6C40"/>
    <w:rsid w:val="00EE031A"/>
    <w:rsid w:val="00EE22E0"/>
    <w:rsid w:val="00EE2BCF"/>
    <w:rsid w:val="00EE4446"/>
    <w:rsid w:val="00EE4468"/>
    <w:rsid w:val="00EE45B4"/>
    <w:rsid w:val="00EE5B08"/>
    <w:rsid w:val="00EE63FC"/>
    <w:rsid w:val="00EE7CFA"/>
    <w:rsid w:val="00EF0203"/>
    <w:rsid w:val="00EF0ECC"/>
    <w:rsid w:val="00EF536E"/>
    <w:rsid w:val="00EF5A56"/>
    <w:rsid w:val="00EF629C"/>
    <w:rsid w:val="00EF68FF"/>
    <w:rsid w:val="00EF7195"/>
    <w:rsid w:val="00F00530"/>
    <w:rsid w:val="00F014E6"/>
    <w:rsid w:val="00F0217B"/>
    <w:rsid w:val="00F02812"/>
    <w:rsid w:val="00F07773"/>
    <w:rsid w:val="00F07801"/>
    <w:rsid w:val="00F07EF5"/>
    <w:rsid w:val="00F10969"/>
    <w:rsid w:val="00F11015"/>
    <w:rsid w:val="00F12482"/>
    <w:rsid w:val="00F127BE"/>
    <w:rsid w:val="00F128C1"/>
    <w:rsid w:val="00F12D8A"/>
    <w:rsid w:val="00F134A9"/>
    <w:rsid w:val="00F156AB"/>
    <w:rsid w:val="00F1611E"/>
    <w:rsid w:val="00F27406"/>
    <w:rsid w:val="00F3011D"/>
    <w:rsid w:val="00F31936"/>
    <w:rsid w:val="00F321D7"/>
    <w:rsid w:val="00F32CBD"/>
    <w:rsid w:val="00F3552A"/>
    <w:rsid w:val="00F35BBA"/>
    <w:rsid w:val="00F35BC4"/>
    <w:rsid w:val="00F36291"/>
    <w:rsid w:val="00F36900"/>
    <w:rsid w:val="00F37464"/>
    <w:rsid w:val="00F377EE"/>
    <w:rsid w:val="00F37D84"/>
    <w:rsid w:val="00F40287"/>
    <w:rsid w:val="00F40E27"/>
    <w:rsid w:val="00F439AF"/>
    <w:rsid w:val="00F446D5"/>
    <w:rsid w:val="00F51917"/>
    <w:rsid w:val="00F521B7"/>
    <w:rsid w:val="00F55454"/>
    <w:rsid w:val="00F60919"/>
    <w:rsid w:val="00F62276"/>
    <w:rsid w:val="00F62977"/>
    <w:rsid w:val="00F65ABB"/>
    <w:rsid w:val="00F71132"/>
    <w:rsid w:val="00F73860"/>
    <w:rsid w:val="00F7635B"/>
    <w:rsid w:val="00F76661"/>
    <w:rsid w:val="00F814D9"/>
    <w:rsid w:val="00F81882"/>
    <w:rsid w:val="00F82205"/>
    <w:rsid w:val="00F85EC7"/>
    <w:rsid w:val="00F86593"/>
    <w:rsid w:val="00F86B70"/>
    <w:rsid w:val="00F86C61"/>
    <w:rsid w:val="00F87613"/>
    <w:rsid w:val="00F877D0"/>
    <w:rsid w:val="00F900F1"/>
    <w:rsid w:val="00F9089D"/>
    <w:rsid w:val="00F90F5C"/>
    <w:rsid w:val="00F9135E"/>
    <w:rsid w:val="00F91AD7"/>
    <w:rsid w:val="00F94E6B"/>
    <w:rsid w:val="00F96800"/>
    <w:rsid w:val="00FA0D8D"/>
    <w:rsid w:val="00FA2BED"/>
    <w:rsid w:val="00FA7439"/>
    <w:rsid w:val="00FA7B86"/>
    <w:rsid w:val="00FB0031"/>
    <w:rsid w:val="00FB2965"/>
    <w:rsid w:val="00FB2B54"/>
    <w:rsid w:val="00FB491F"/>
    <w:rsid w:val="00FB64B2"/>
    <w:rsid w:val="00FB6F26"/>
    <w:rsid w:val="00FB7063"/>
    <w:rsid w:val="00FB72BE"/>
    <w:rsid w:val="00FC03D5"/>
    <w:rsid w:val="00FC2042"/>
    <w:rsid w:val="00FC2DC7"/>
    <w:rsid w:val="00FC3027"/>
    <w:rsid w:val="00FC45CC"/>
    <w:rsid w:val="00FC4965"/>
    <w:rsid w:val="00FC6540"/>
    <w:rsid w:val="00FC750E"/>
    <w:rsid w:val="00FD11C8"/>
    <w:rsid w:val="00FD1D75"/>
    <w:rsid w:val="00FD3DFF"/>
    <w:rsid w:val="00FD3F44"/>
    <w:rsid w:val="00FD43B5"/>
    <w:rsid w:val="00FD4965"/>
    <w:rsid w:val="00FE1CA2"/>
    <w:rsid w:val="00FE3B15"/>
    <w:rsid w:val="00FE486A"/>
    <w:rsid w:val="00FE49C2"/>
    <w:rsid w:val="00FE5DE6"/>
    <w:rsid w:val="00FE75F4"/>
    <w:rsid w:val="00FE7B94"/>
    <w:rsid w:val="00FF00CB"/>
    <w:rsid w:val="00FF2980"/>
    <w:rsid w:val="00FF3F84"/>
    <w:rsid w:val="00FF410A"/>
    <w:rsid w:val="00FF50E7"/>
    <w:rsid w:val="00FF527D"/>
    <w:rsid w:val="00FF710F"/>
    <w:rsid w:val="00FF796A"/>
    <w:rsid w:val="00FF7CB2"/>
    <w:rsid w:val="013637D1"/>
    <w:rsid w:val="01437C9C"/>
    <w:rsid w:val="0145255A"/>
    <w:rsid w:val="0152227D"/>
    <w:rsid w:val="0159792A"/>
    <w:rsid w:val="016245C6"/>
    <w:rsid w:val="01730582"/>
    <w:rsid w:val="018C519F"/>
    <w:rsid w:val="019978BC"/>
    <w:rsid w:val="019E3125"/>
    <w:rsid w:val="01DF79C5"/>
    <w:rsid w:val="01FA7F3C"/>
    <w:rsid w:val="020C008E"/>
    <w:rsid w:val="02317AF5"/>
    <w:rsid w:val="025072D1"/>
    <w:rsid w:val="025F5514"/>
    <w:rsid w:val="027E7935"/>
    <w:rsid w:val="02B0310F"/>
    <w:rsid w:val="02B250DA"/>
    <w:rsid w:val="02D432A2"/>
    <w:rsid w:val="02D77DDC"/>
    <w:rsid w:val="02EB292B"/>
    <w:rsid w:val="02F456F2"/>
    <w:rsid w:val="02FA25DD"/>
    <w:rsid w:val="036B7036"/>
    <w:rsid w:val="037759DB"/>
    <w:rsid w:val="03864EFF"/>
    <w:rsid w:val="03887BE8"/>
    <w:rsid w:val="03A964DC"/>
    <w:rsid w:val="03C52BEB"/>
    <w:rsid w:val="03E2379C"/>
    <w:rsid w:val="04096F7B"/>
    <w:rsid w:val="041715A2"/>
    <w:rsid w:val="041E3605"/>
    <w:rsid w:val="042C4A18"/>
    <w:rsid w:val="04371D19"/>
    <w:rsid w:val="04446205"/>
    <w:rsid w:val="044B117C"/>
    <w:rsid w:val="04581CB1"/>
    <w:rsid w:val="045A6FA9"/>
    <w:rsid w:val="046D5A26"/>
    <w:rsid w:val="049820AD"/>
    <w:rsid w:val="04C91FF9"/>
    <w:rsid w:val="04CB4231"/>
    <w:rsid w:val="04D72D2F"/>
    <w:rsid w:val="04F574FF"/>
    <w:rsid w:val="050D2A9B"/>
    <w:rsid w:val="051E0804"/>
    <w:rsid w:val="05286DF6"/>
    <w:rsid w:val="053718C6"/>
    <w:rsid w:val="0539563E"/>
    <w:rsid w:val="053C6183"/>
    <w:rsid w:val="053D4B24"/>
    <w:rsid w:val="05597A8E"/>
    <w:rsid w:val="056106F1"/>
    <w:rsid w:val="05882D55"/>
    <w:rsid w:val="058F1340"/>
    <w:rsid w:val="05922FA0"/>
    <w:rsid w:val="05B945AD"/>
    <w:rsid w:val="05CD3E2B"/>
    <w:rsid w:val="05D834B2"/>
    <w:rsid w:val="05E11E3F"/>
    <w:rsid w:val="06425AFA"/>
    <w:rsid w:val="064C389E"/>
    <w:rsid w:val="06514C09"/>
    <w:rsid w:val="067526A6"/>
    <w:rsid w:val="067B5FB4"/>
    <w:rsid w:val="068F6DED"/>
    <w:rsid w:val="069A210C"/>
    <w:rsid w:val="070659F4"/>
    <w:rsid w:val="072E144C"/>
    <w:rsid w:val="074C6282"/>
    <w:rsid w:val="07660A33"/>
    <w:rsid w:val="076F5347"/>
    <w:rsid w:val="07944DAE"/>
    <w:rsid w:val="07950C44"/>
    <w:rsid w:val="07AF71E1"/>
    <w:rsid w:val="07B54D24"/>
    <w:rsid w:val="0808622A"/>
    <w:rsid w:val="08275449"/>
    <w:rsid w:val="083B16CD"/>
    <w:rsid w:val="085207C5"/>
    <w:rsid w:val="08844E22"/>
    <w:rsid w:val="08A01223"/>
    <w:rsid w:val="08A72892"/>
    <w:rsid w:val="08AB6853"/>
    <w:rsid w:val="08D12032"/>
    <w:rsid w:val="08D4741A"/>
    <w:rsid w:val="08E07DF1"/>
    <w:rsid w:val="08E104C7"/>
    <w:rsid w:val="090F16DB"/>
    <w:rsid w:val="091066B6"/>
    <w:rsid w:val="091B04C5"/>
    <w:rsid w:val="091F0FEF"/>
    <w:rsid w:val="09391BDB"/>
    <w:rsid w:val="09416C44"/>
    <w:rsid w:val="096227F5"/>
    <w:rsid w:val="0982545A"/>
    <w:rsid w:val="098B398D"/>
    <w:rsid w:val="098E7295"/>
    <w:rsid w:val="09A82D92"/>
    <w:rsid w:val="09B02E11"/>
    <w:rsid w:val="09C556F2"/>
    <w:rsid w:val="09E56AA1"/>
    <w:rsid w:val="0A026946"/>
    <w:rsid w:val="0A0D57B2"/>
    <w:rsid w:val="0A122902"/>
    <w:rsid w:val="0A222B45"/>
    <w:rsid w:val="0A283ED3"/>
    <w:rsid w:val="0A330730"/>
    <w:rsid w:val="0A570FFA"/>
    <w:rsid w:val="0A644B38"/>
    <w:rsid w:val="0AA10745"/>
    <w:rsid w:val="0AAE262A"/>
    <w:rsid w:val="0AB26C7B"/>
    <w:rsid w:val="0ABA2D7D"/>
    <w:rsid w:val="0AE72A50"/>
    <w:rsid w:val="0AF85654"/>
    <w:rsid w:val="0AFA5B66"/>
    <w:rsid w:val="0B1A5ED8"/>
    <w:rsid w:val="0B327DF6"/>
    <w:rsid w:val="0B444D3D"/>
    <w:rsid w:val="0B512FB6"/>
    <w:rsid w:val="0B662F05"/>
    <w:rsid w:val="0B7F5D75"/>
    <w:rsid w:val="0B8D2240"/>
    <w:rsid w:val="0BAB5F31"/>
    <w:rsid w:val="0BAF4476"/>
    <w:rsid w:val="0BBA30F8"/>
    <w:rsid w:val="0BF64289"/>
    <w:rsid w:val="0BF7590B"/>
    <w:rsid w:val="0C0D4E92"/>
    <w:rsid w:val="0C222CFD"/>
    <w:rsid w:val="0C8A49D1"/>
    <w:rsid w:val="0CA10BFE"/>
    <w:rsid w:val="0CB3217A"/>
    <w:rsid w:val="0CEB1914"/>
    <w:rsid w:val="0D1D3A97"/>
    <w:rsid w:val="0D4C7ED9"/>
    <w:rsid w:val="0D4D05F3"/>
    <w:rsid w:val="0D682DE6"/>
    <w:rsid w:val="0D7336B7"/>
    <w:rsid w:val="0D7731A8"/>
    <w:rsid w:val="0D8238FA"/>
    <w:rsid w:val="0D8502ED"/>
    <w:rsid w:val="0D871BED"/>
    <w:rsid w:val="0DAD63DF"/>
    <w:rsid w:val="0DAE62A1"/>
    <w:rsid w:val="0DCF4D92"/>
    <w:rsid w:val="0DE40111"/>
    <w:rsid w:val="0E1C78AB"/>
    <w:rsid w:val="0E1F17C1"/>
    <w:rsid w:val="0E44378C"/>
    <w:rsid w:val="0E4D3F08"/>
    <w:rsid w:val="0E4F1A2E"/>
    <w:rsid w:val="0E564460"/>
    <w:rsid w:val="0E75133D"/>
    <w:rsid w:val="0E8A0CB9"/>
    <w:rsid w:val="0E8F4521"/>
    <w:rsid w:val="0ECC307F"/>
    <w:rsid w:val="0EFC6C92"/>
    <w:rsid w:val="0F1D1B2D"/>
    <w:rsid w:val="0F68331B"/>
    <w:rsid w:val="0F7B6853"/>
    <w:rsid w:val="0F9D0EBF"/>
    <w:rsid w:val="0FA55392"/>
    <w:rsid w:val="0FA7589A"/>
    <w:rsid w:val="0FBA35C3"/>
    <w:rsid w:val="0FC202BE"/>
    <w:rsid w:val="0FC3236D"/>
    <w:rsid w:val="0FCB77DB"/>
    <w:rsid w:val="0FFD433B"/>
    <w:rsid w:val="10373F70"/>
    <w:rsid w:val="10374E70"/>
    <w:rsid w:val="10613C9B"/>
    <w:rsid w:val="10613D62"/>
    <w:rsid w:val="107F0312"/>
    <w:rsid w:val="108654B0"/>
    <w:rsid w:val="108F6A5A"/>
    <w:rsid w:val="10964FB1"/>
    <w:rsid w:val="10A122E9"/>
    <w:rsid w:val="10B72B5F"/>
    <w:rsid w:val="10C35108"/>
    <w:rsid w:val="10F5437A"/>
    <w:rsid w:val="1102076E"/>
    <w:rsid w:val="114415F3"/>
    <w:rsid w:val="1157698A"/>
    <w:rsid w:val="11712A15"/>
    <w:rsid w:val="119B76A9"/>
    <w:rsid w:val="11B24292"/>
    <w:rsid w:val="11B37903"/>
    <w:rsid w:val="11C264F4"/>
    <w:rsid w:val="11D07132"/>
    <w:rsid w:val="11D87F8D"/>
    <w:rsid w:val="11F957D3"/>
    <w:rsid w:val="12110198"/>
    <w:rsid w:val="12166FBF"/>
    <w:rsid w:val="12183B00"/>
    <w:rsid w:val="123F3A00"/>
    <w:rsid w:val="12565D9E"/>
    <w:rsid w:val="1272218F"/>
    <w:rsid w:val="12742CF3"/>
    <w:rsid w:val="128D521B"/>
    <w:rsid w:val="1290609D"/>
    <w:rsid w:val="12A6008B"/>
    <w:rsid w:val="12B47E12"/>
    <w:rsid w:val="12CA5B28"/>
    <w:rsid w:val="12F31522"/>
    <w:rsid w:val="12F342D6"/>
    <w:rsid w:val="1300779B"/>
    <w:rsid w:val="1323199E"/>
    <w:rsid w:val="133D279D"/>
    <w:rsid w:val="13547AE7"/>
    <w:rsid w:val="13620456"/>
    <w:rsid w:val="13693592"/>
    <w:rsid w:val="13873A19"/>
    <w:rsid w:val="13917C01"/>
    <w:rsid w:val="139D0151"/>
    <w:rsid w:val="13A06637"/>
    <w:rsid w:val="13BE5092"/>
    <w:rsid w:val="13F07810"/>
    <w:rsid w:val="13F21DD7"/>
    <w:rsid w:val="13F82B68"/>
    <w:rsid w:val="13F866C4"/>
    <w:rsid w:val="141F00F5"/>
    <w:rsid w:val="14213E6D"/>
    <w:rsid w:val="1427103E"/>
    <w:rsid w:val="142813DF"/>
    <w:rsid w:val="14320567"/>
    <w:rsid w:val="143611AC"/>
    <w:rsid w:val="143D4D2B"/>
    <w:rsid w:val="1444190A"/>
    <w:rsid w:val="144D547C"/>
    <w:rsid w:val="145558C5"/>
    <w:rsid w:val="14583914"/>
    <w:rsid w:val="14B963EB"/>
    <w:rsid w:val="14D709D0"/>
    <w:rsid w:val="14E1184E"/>
    <w:rsid w:val="14ED0FA3"/>
    <w:rsid w:val="15130B7D"/>
    <w:rsid w:val="15176FE3"/>
    <w:rsid w:val="1517701E"/>
    <w:rsid w:val="15396F94"/>
    <w:rsid w:val="15585955"/>
    <w:rsid w:val="1582093B"/>
    <w:rsid w:val="15E52C78"/>
    <w:rsid w:val="15F93977"/>
    <w:rsid w:val="1602382A"/>
    <w:rsid w:val="16125842"/>
    <w:rsid w:val="161812A0"/>
    <w:rsid w:val="164756E1"/>
    <w:rsid w:val="16557DFE"/>
    <w:rsid w:val="167D52E5"/>
    <w:rsid w:val="16924B89"/>
    <w:rsid w:val="16A843D2"/>
    <w:rsid w:val="16E573D4"/>
    <w:rsid w:val="16F5338F"/>
    <w:rsid w:val="170D7506"/>
    <w:rsid w:val="173043C7"/>
    <w:rsid w:val="17357156"/>
    <w:rsid w:val="17377504"/>
    <w:rsid w:val="17397720"/>
    <w:rsid w:val="174E2DCA"/>
    <w:rsid w:val="175B2533"/>
    <w:rsid w:val="178A7F7B"/>
    <w:rsid w:val="17AC1CA0"/>
    <w:rsid w:val="17E07B9B"/>
    <w:rsid w:val="1842557F"/>
    <w:rsid w:val="1844012A"/>
    <w:rsid w:val="184E2D57"/>
    <w:rsid w:val="1850112A"/>
    <w:rsid w:val="18561C0B"/>
    <w:rsid w:val="186C142F"/>
    <w:rsid w:val="186F1139"/>
    <w:rsid w:val="18842C1C"/>
    <w:rsid w:val="18AB1F57"/>
    <w:rsid w:val="18C9062F"/>
    <w:rsid w:val="18CE5C46"/>
    <w:rsid w:val="18D47700"/>
    <w:rsid w:val="18DF60A5"/>
    <w:rsid w:val="18F7519C"/>
    <w:rsid w:val="18FC27B3"/>
    <w:rsid w:val="19011E52"/>
    <w:rsid w:val="190B50EC"/>
    <w:rsid w:val="191C2E55"/>
    <w:rsid w:val="191F6812"/>
    <w:rsid w:val="195056CC"/>
    <w:rsid w:val="19526877"/>
    <w:rsid w:val="197917AB"/>
    <w:rsid w:val="19866520"/>
    <w:rsid w:val="198A5EC7"/>
    <w:rsid w:val="19A215AC"/>
    <w:rsid w:val="19A90B8D"/>
    <w:rsid w:val="19BF07AD"/>
    <w:rsid w:val="19C90394"/>
    <w:rsid w:val="19CC6629"/>
    <w:rsid w:val="19D87F95"/>
    <w:rsid w:val="1A0D279E"/>
    <w:rsid w:val="1A1A5C67"/>
    <w:rsid w:val="1A213024"/>
    <w:rsid w:val="1A69031C"/>
    <w:rsid w:val="1A6C5716"/>
    <w:rsid w:val="1A7308DE"/>
    <w:rsid w:val="1A7F18ED"/>
    <w:rsid w:val="1A8E1193"/>
    <w:rsid w:val="1A911621"/>
    <w:rsid w:val="1ABC0179"/>
    <w:rsid w:val="1ABC14DA"/>
    <w:rsid w:val="1ABF7F3C"/>
    <w:rsid w:val="1AE452E6"/>
    <w:rsid w:val="1B06091F"/>
    <w:rsid w:val="1B1F09DB"/>
    <w:rsid w:val="1B2B737F"/>
    <w:rsid w:val="1B6034CD"/>
    <w:rsid w:val="1BB50563"/>
    <w:rsid w:val="1BF41E67"/>
    <w:rsid w:val="1C127879"/>
    <w:rsid w:val="1C3731EA"/>
    <w:rsid w:val="1C380EEE"/>
    <w:rsid w:val="1C3B19B0"/>
    <w:rsid w:val="1C447E6E"/>
    <w:rsid w:val="1C512E16"/>
    <w:rsid w:val="1C5B3C94"/>
    <w:rsid w:val="1C693F2E"/>
    <w:rsid w:val="1C894A3D"/>
    <w:rsid w:val="1CAE73DF"/>
    <w:rsid w:val="1CB17D58"/>
    <w:rsid w:val="1CB468B9"/>
    <w:rsid w:val="1CE235F4"/>
    <w:rsid w:val="1CEB326A"/>
    <w:rsid w:val="1CF902CF"/>
    <w:rsid w:val="1D0A4E2D"/>
    <w:rsid w:val="1D0B56BA"/>
    <w:rsid w:val="1D6D3C7F"/>
    <w:rsid w:val="1D7243CD"/>
    <w:rsid w:val="1D8334A3"/>
    <w:rsid w:val="1D905BC0"/>
    <w:rsid w:val="1DAD6998"/>
    <w:rsid w:val="1DBC0763"/>
    <w:rsid w:val="1DEE3DF0"/>
    <w:rsid w:val="1E0F0C19"/>
    <w:rsid w:val="1E1D782B"/>
    <w:rsid w:val="1E2E78B2"/>
    <w:rsid w:val="1E326C77"/>
    <w:rsid w:val="1E396257"/>
    <w:rsid w:val="1E445BBA"/>
    <w:rsid w:val="1E4E1D03"/>
    <w:rsid w:val="1E982151"/>
    <w:rsid w:val="1F0E3240"/>
    <w:rsid w:val="1F1D7927"/>
    <w:rsid w:val="1F220A99"/>
    <w:rsid w:val="1F35399F"/>
    <w:rsid w:val="1F354C6B"/>
    <w:rsid w:val="1F3C7DAD"/>
    <w:rsid w:val="1F8F74CF"/>
    <w:rsid w:val="1F996FAD"/>
    <w:rsid w:val="1FB66D36"/>
    <w:rsid w:val="1FC06409"/>
    <w:rsid w:val="1FD61FB0"/>
    <w:rsid w:val="1FFB7C68"/>
    <w:rsid w:val="20311F06"/>
    <w:rsid w:val="203F0E15"/>
    <w:rsid w:val="20AE4A1B"/>
    <w:rsid w:val="20B00A53"/>
    <w:rsid w:val="20B120D5"/>
    <w:rsid w:val="20C77B4A"/>
    <w:rsid w:val="20E64474"/>
    <w:rsid w:val="20EC135F"/>
    <w:rsid w:val="213351E0"/>
    <w:rsid w:val="21354AB4"/>
    <w:rsid w:val="213B45E6"/>
    <w:rsid w:val="214D3F8A"/>
    <w:rsid w:val="21627873"/>
    <w:rsid w:val="21645399"/>
    <w:rsid w:val="21723F5A"/>
    <w:rsid w:val="21867A05"/>
    <w:rsid w:val="21923B8F"/>
    <w:rsid w:val="219915F7"/>
    <w:rsid w:val="219C4B33"/>
    <w:rsid w:val="21A41C3A"/>
    <w:rsid w:val="21C54D1A"/>
    <w:rsid w:val="220324D3"/>
    <w:rsid w:val="223F7389"/>
    <w:rsid w:val="22491B20"/>
    <w:rsid w:val="22625D7D"/>
    <w:rsid w:val="2278221C"/>
    <w:rsid w:val="229F74E7"/>
    <w:rsid w:val="22AD4B1E"/>
    <w:rsid w:val="22B1460E"/>
    <w:rsid w:val="22C42BB6"/>
    <w:rsid w:val="22D02505"/>
    <w:rsid w:val="22D24584"/>
    <w:rsid w:val="22E542B8"/>
    <w:rsid w:val="22E744D4"/>
    <w:rsid w:val="231B23CF"/>
    <w:rsid w:val="232E3EB1"/>
    <w:rsid w:val="232F19D7"/>
    <w:rsid w:val="23641B43"/>
    <w:rsid w:val="23B0586E"/>
    <w:rsid w:val="23B720F8"/>
    <w:rsid w:val="23C915DE"/>
    <w:rsid w:val="23F76998"/>
    <w:rsid w:val="2418246B"/>
    <w:rsid w:val="245A2A83"/>
    <w:rsid w:val="247D5068"/>
    <w:rsid w:val="24BB1774"/>
    <w:rsid w:val="24C66CC0"/>
    <w:rsid w:val="24CF3471"/>
    <w:rsid w:val="24E76A0D"/>
    <w:rsid w:val="24EC7B7F"/>
    <w:rsid w:val="24F1659B"/>
    <w:rsid w:val="250F1CF5"/>
    <w:rsid w:val="25137802"/>
    <w:rsid w:val="2530697A"/>
    <w:rsid w:val="255726A9"/>
    <w:rsid w:val="256B319A"/>
    <w:rsid w:val="257D2ECD"/>
    <w:rsid w:val="259721E1"/>
    <w:rsid w:val="25AA57FC"/>
    <w:rsid w:val="25AB545F"/>
    <w:rsid w:val="25C52E16"/>
    <w:rsid w:val="25E940BF"/>
    <w:rsid w:val="261E020C"/>
    <w:rsid w:val="26211AAB"/>
    <w:rsid w:val="264019D3"/>
    <w:rsid w:val="26442428"/>
    <w:rsid w:val="265359DC"/>
    <w:rsid w:val="26543C2E"/>
    <w:rsid w:val="266A16A4"/>
    <w:rsid w:val="26705B30"/>
    <w:rsid w:val="2670658E"/>
    <w:rsid w:val="26976211"/>
    <w:rsid w:val="26D22DA5"/>
    <w:rsid w:val="26E178EB"/>
    <w:rsid w:val="26FC6074"/>
    <w:rsid w:val="27121167"/>
    <w:rsid w:val="2713284B"/>
    <w:rsid w:val="272044C7"/>
    <w:rsid w:val="27240D17"/>
    <w:rsid w:val="27306174"/>
    <w:rsid w:val="27351CB2"/>
    <w:rsid w:val="274D41F8"/>
    <w:rsid w:val="275F0ADD"/>
    <w:rsid w:val="276E542A"/>
    <w:rsid w:val="27781B9E"/>
    <w:rsid w:val="27A01DF3"/>
    <w:rsid w:val="27A110F5"/>
    <w:rsid w:val="28164F13"/>
    <w:rsid w:val="284D6B87"/>
    <w:rsid w:val="285B23E9"/>
    <w:rsid w:val="286F11F3"/>
    <w:rsid w:val="289F315B"/>
    <w:rsid w:val="28AB7D51"/>
    <w:rsid w:val="28B81F9E"/>
    <w:rsid w:val="28D56B7C"/>
    <w:rsid w:val="28DF1AB3"/>
    <w:rsid w:val="29074A85"/>
    <w:rsid w:val="290C6A42"/>
    <w:rsid w:val="292022D0"/>
    <w:rsid w:val="29224760"/>
    <w:rsid w:val="29315699"/>
    <w:rsid w:val="29424212"/>
    <w:rsid w:val="2944442E"/>
    <w:rsid w:val="29451F54"/>
    <w:rsid w:val="29693E94"/>
    <w:rsid w:val="297C2079"/>
    <w:rsid w:val="297D7915"/>
    <w:rsid w:val="298962E5"/>
    <w:rsid w:val="299712FF"/>
    <w:rsid w:val="29BD1AEA"/>
    <w:rsid w:val="29CC7F7F"/>
    <w:rsid w:val="29D55086"/>
    <w:rsid w:val="29D56857"/>
    <w:rsid w:val="29E614B4"/>
    <w:rsid w:val="29E66F73"/>
    <w:rsid w:val="29EE439A"/>
    <w:rsid w:val="29F23E8A"/>
    <w:rsid w:val="29F95074"/>
    <w:rsid w:val="29F97883"/>
    <w:rsid w:val="29FB2C34"/>
    <w:rsid w:val="29FC7C78"/>
    <w:rsid w:val="2A315DF7"/>
    <w:rsid w:val="2A362A0A"/>
    <w:rsid w:val="2A467D32"/>
    <w:rsid w:val="2A4A0BE6"/>
    <w:rsid w:val="2A543E10"/>
    <w:rsid w:val="2A924D25"/>
    <w:rsid w:val="2AAA1B21"/>
    <w:rsid w:val="2ABC6246"/>
    <w:rsid w:val="2ACE2709"/>
    <w:rsid w:val="2AD0584D"/>
    <w:rsid w:val="2AD0687B"/>
    <w:rsid w:val="2AD64354"/>
    <w:rsid w:val="2AF45EAF"/>
    <w:rsid w:val="2B2D7144"/>
    <w:rsid w:val="2B471FB3"/>
    <w:rsid w:val="2B7406AA"/>
    <w:rsid w:val="2B863EAA"/>
    <w:rsid w:val="2B8E7BE2"/>
    <w:rsid w:val="2B9825C7"/>
    <w:rsid w:val="2BA72A52"/>
    <w:rsid w:val="2BB331A5"/>
    <w:rsid w:val="2BBC44AD"/>
    <w:rsid w:val="2BC453B2"/>
    <w:rsid w:val="2BD001FB"/>
    <w:rsid w:val="2BE617CC"/>
    <w:rsid w:val="2C0B1233"/>
    <w:rsid w:val="2C2440A3"/>
    <w:rsid w:val="2C362245"/>
    <w:rsid w:val="2C3825B1"/>
    <w:rsid w:val="2C3E5975"/>
    <w:rsid w:val="2C4D096C"/>
    <w:rsid w:val="2C647927"/>
    <w:rsid w:val="2C6A6403"/>
    <w:rsid w:val="2CA174A1"/>
    <w:rsid w:val="2CBE44F7"/>
    <w:rsid w:val="2CD2255C"/>
    <w:rsid w:val="2CD26976"/>
    <w:rsid w:val="2CE1615C"/>
    <w:rsid w:val="2D0D0FDB"/>
    <w:rsid w:val="2D17544E"/>
    <w:rsid w:val="2D1E4F96"/>
    <w:rsid w:val="2D3122ED"/>
    <w:rsid w:val="2D35408E"/>
    <w:rsid w:val="2D4367AA"/>
    <w:rsid w:val="2D482013"/>
    <w:rsid w:val="2D730153"/>
    <w:rsid w:val="2DA51213"/>
    <w:rsid w:val="2DBB4593"/>
    <w:rsid w:val="2DD63984"/>
    <w:rsid w:val="2DE644D2"/>
    <w:rsid w:val="2DF66D0F"/>
    <w:rsid w:val="2E0C2C5E"/>
    <w:rsid w:val="2E0E6DB8"/>
    <w:rsid w:val="2E3863C2"/>
    <w:rsid w:val="2E3B56D4"/>
    <w:rsid w:val="2E530431"/>
    <w:rsid w:val="2E5F7614"/>
    <w:rsid w:val="2E62055B"/>
    <w:rsid w:val="2E8F52E2"/>
    <w:rsid w:val="2E9C2616"/>
    <w:rsid w:val="2EC214A0"/>
    <w:rsid w:val="2EC43EFC"/>
    <w:rsid w:val="2EE43FBD"/>
    <w:rsid w:val="2F0B779C"/>
    <w:rsid w:val="2F0E364C"/>
    <w:rsid w:val="2F3565C7"/>
    <w:rsid w:val="2F5268FB"/>
    <w:rsid w:val="2F5B59C5"/>
    <w:rsid w:val="2F655992"/>
    <w:rsid w:val="2F880DEC"/>
    <w:rsid w:val="2FA379D4"/>
    <w:rsid w:val="2FAD0853"/>
    <w:rsid w:val="2FAF5D60"/>
    <w:rsid w:val="2FCE2CA3"/>
    <w:rsid w:val="2FE058E5"/>
    <w:rsid w:val="2FE87CD4"/>
    <w:rsid w:val="30016613"/>
    <w:rsid w:val="30064108"/>
    <w:rsid w:val="301D74C3"/>
    <w:rsid w:val="302C1F3D"/>
    <w:rsid w:val="302C3259"/>
    <w:rsid w:val="30717AD3"/>
    <w:rsid w:val="309A4933"/>
    <w:rsid w:val="30A12166"/>
    <w:rsid w:val="30B07949"/>
    <w:rsid w:val="30B96527"/>
    <w:rsid w:val="30D81900"/>
    <w:rsid w:val="30E65DCB"/>
    <w:rsid w:val="30F32296"/>
    <w:rsid w:val="30F46739"/>
    <w:rsid w:val="3140197F"/>
    <w:rsid w:val="314F1BC2"/>
    <w:rsid w:val="315C4AA4"/>
    <w:rsid w:val="31851764"/>
    <w:rsid w:val="318D5F0C"/>
    <w:rsid w:val="3199108F"/>
    <w:rsid w:val="31C81974"/>
    <w:rsid w:val="31CA2B27"/>
    <w:rsid w:val="320E7262"/>
    <w:rsid w:val="32584DB3"/>
    <w:rsid w:val="32650F71"/>
    <w:rsid w:val="32780881"/>
    <w:rsid w:val="32987598"/>
    <w:rsid w:val="329C6296"/>
    <w:rsid w:val="32A41A99"/>
    <w:rsid w:val="32C81EC0"/>
    <w:rsid w:val="32CC2D9E"/>
    <w:rsid w:val="32D63C1D"/>
    <w:rsid w:val="32D85BE7"/>
    <w:rsid w:val="32EB3B6C"/>
    <w:rsid w:val="32FB5DFD"/>
    <w:rsid w:val="33494A08"/>
    <w:rsid w:val="338D69D1"/>
    <w:rsid w:val="33995376"/>
    <w:rsid w:val="33A20A86"/>
    <w:rsid w:val="33B201E6"/>
    <w:rsid w:val="33B65F28"/>
    <w:rsid w:val="33C02440"/>
    <w:rsid w:val="33C543BD"/>
    <w:rsid w:val="33E12879"/>
    <w:rsid w:val="340A6274"/>
    <w:rsid w:val="340D0144"/>
    <w:rsid w:val="341C02B0"/>
    <w:rsid w:val="34311A53"/>
    <w:rsid w:val="34353EF5"/>
    <w:rsid w:val="348334AE"/>
    <w:rsid w:val="348D32E7"/>
    <w:rsid w:val="34C27A75"/>
    <w:rsid w:val="34D80120"/>
    <w:rsid w:val="34DF325D"/>
    <w:rsid w:val="351C625F"/>
    <w:rsid w:val="35301D0A"/>
    <w:rsid w:val="357F2D68"/>
    <w:rsid w:val="358132B9"/>
    <w:rsid w:val="35BB5C92"/>
    <w:rsid w:val="35CB558F"/>
    <w:rsid w:val="35D54F12"/>
    <w:rsid w:val="35D867C1"/>
    <w:rsid w:val="35EA69BF"/>
    <w:rsid w:val="36201D7F"/>
    <w:rsid w:val="36203B2D"/>
    <w:rsid w:val="36493363"/>
    <w:rsid w:val="366F23BE"/>
    <w:rsid w:val="36700DA4"/>
    <w:rsid w:val="367125DA"/>
    <w:rsid w:val="367D5540"/>
    <w:rsid w:val="368816D2"/>
    <w:rsid w:val="36A166DD"/>
    <w:rsid w:val="36A95D02"/>
    <w:rsid w:val="36C00E6C"/>
    <w:rsid w:val="36C56DDE"/>
    <w:rsid w:val="36E30FED"/>
    <w:rsid w:val="36E405EA"/>
    <w:rsid w:val="36EB0B45"/>
    <w:rsid w:val="36EE38B9"/>
    <w:rsid w:val="370945C1"/>
    <w:rsid w:val="37291728"/>
    <w:rsid w:val="37390EA2"/>
    <w:rsid w:val="373D24BC"/>
    <w:rsid w:val="375632A9"/>
    <w:rsid w:val="375D2B5F"/>
    <w:rsid w:val="377838EB"/>
    <w:rsid w:val="37A662B4"/>
    <w:rsid w:val="37D01825"/>
    <w:rsid w:val="37E62B54"/>
    <w:rsid w:val="37FA03AE"/>
    <w:rsid w:val="37FC7D5B"/>
    <w:rsid w:val="3807783E"/>
    <w:rsid w:val="384004B6"/>
    <w:rsid w:val="38592295"/>
    <w:rsid w:val="38670229"/>
    <w:rsid w:val="386877D3"/>
    <w:rsid w:val="386A72E1"/>
    <w:rsid w:val="387E6AA8"/>
    <w:rsid w:val="38A30A45"/>
    <w:rsid w:val="38B8629F"/>
    <w:rsid w:val="38C5276A"/>
    <w:rsid w:val="38EA6674"/>
    <w:rsid w:val="38EF191E"/>
    <w:rsid w:val="38FA68B7"/>
    <w:rsid w:val="391A0D07"/>
    <w:rsid w:val="39202096"/>
    <w:rsid w:val="392456E2"/>
    <w:rsid w:val="39376BB9"/>
    <w:rsid w:val="393B2A2C"/>
    <w:rsid w:val="39663EE5"/>
    <w:rsid w:val="397064DC"/>
    <w:rsid w:val="39777F08"/>
    <w:rsid w:val="397A3554"/>
    <w:rsid w:val="39AD1B7B"/>
    <w:rsid w:val="39B369AA"/>
    <w:rsid w:val="39C12F31"/>
    <w:rsid w:val="39C44666"/>
    <w:rsid w:val="39CD5D7A"/>
    <w:rsid w:val="39D23390"/>
    <w:rsid w:val="39DE5B1E"/>
    <w:rsid w:val="39F650A0"/>
    <w:rsid w:val="39FF1CAB"/>
    <w:rsid w:val="3A351B95"/>
    <w:rsid w:val="3A542405"/>
    <w:rsid w:val="3A684869"/>
    <w:rsid w:val="3A7A797D"/>
    <w:rsid w:val="3AA34D2C"/>
    <w:rsid w:val="3AB900AC"/>
    <w:rsid w:val="3AC23F19"/>
    <w:rsid w:val="3AC30F2B"/>
    <w:rsid w:val="3AD62A0C"/>
    <w:rsid w:val="3B0357CB"/>
    <w:rsid w:val="3B0E0335"/>
    <w:rsid w:val="3B0E72EA"/>
    <w:rsid w:val="3BB07701"/>
    <w:rsid w:val="3BCB453B"/>
    <w:rsid w:val="3BD553B9"/>
    <w:rsid w:val="3BE50622"/>
    <w:rsid w:val="3BF13876"/>
    <w:rsid w:val="3C022953"/>
    <w:rsid w:val="3C111633"/>
    <w:rsid w:val="3C130529"/>
    <w:rsid w:val="3C1C03AD"/>
    <w:rsid w:val="3C241E9D"/>
    <w:rsid w:val="3C414989"/>
    <w:rsid w:val="3C456863"/>
    <w:rsid w:val="3C926E07"/>
    <w:rsid w:val="3C991F43"/>
    <w:rsid w:val="3CA8662A"/>
    <w:rsid w:val="3CC00AAA"/>
    <w:rsid w:val="3CC1149A"/>
    <w:rsid w:val="3CCB40C7"/>
    <w:rsid w:val="3D6F433B"/>
    <w:rsid w:val="3D8351D6"/>
    <w:rsid w:val="3DD95A78"/>
    <w:rsid w:val="3DF17B5D"/>
    <w:rsid w:val="3E1A6B83"/>
    <w:rsid w:val="3E2F6B34"/>
    <w:rsid w:val="3E6276AE"/>
    <w:rsid w:val="3E6B3DB3"/>
    <w:rsid w:val="3EAD43CC"/>
    <w:rsid w:val="3EBE0387"/>
    <w:rsid w:val="3EC05EAD"/>
    <w:rsid w:val="3EC350B1"/>
    <w:rsid w:val="3EC6723B"/>
    <w:rsid w:val="3EDE5D10"/>
    <w:rsid w:val="3EE53AC0"/>
    <w:rsid w:val="3EF5367D"/>
    <w:rsid w:val="3EF94F1B"/>
    <w:rsid w:val="3F294D13"/>
    <w:rsid w:val="3F3019FD"/>
    <w:rsid w:val="3F6A7BC7"/>
    <w:rsid w:val="3F710F55"/>
    <w:rsid w:val="3F870779"/>
    <w:rsid w:val="3F8B2504"/>
    <w:rsid w:val="3FA22C79"/>
    <w:rsid w:val="3FA57E56"/>
    <w:rsid w:val="3FA806EF"/>
    <w:rsid w:val="3FDF5149"/>
    <w:rsid w:val="400066AA"/>
    <w:rsid w:val="40642868"/>
    <w:rsid w:val="406807E4"/>
    <w:rsid w:val="40835745"/>
    <w:rsid w:val="40842F0A"/>
    <w:rsid w:val="40907652"/>
    <w:rsid w:val="409A0980"/>
    <w:rsid w:val="40DB5220"/>
    <w:rsid w:val="40DE086C"/>
    <w:rsid w:val="40FF030E"/>
    <w:rsid w:val="41126768"/>
    <w:rsid w:val="413A6961"/>
    <w:rsid w:val="413D1A37"/>
    <w:rsid w:val="419D24D5"/>
    <w:rsid w:val="41D55520"/>
    <w:rsid w:val="41D81760"/>
    <w:rsid w:val="41DA7286"/>
    <w:rsid w:val="4209459A"/>
    <w:rsid w:val="42162288"/>
    <w:rsid w:val="423D627C"/>
    <w:rsid w:val="42440BA3"/>
    <w:rsid w:val="4246491B"/>
    <w:rsid w:val="424C6791"/>
    <w:rsid w:val="42884F34"/>
    <w:rsid w:val="429513FF"/>
    <w:rsid w:val="42A2120F"/>
    <w:rsid w:val="42AD6567"/>
    <w:rsid w:val="42B9333F"/>
    <w:rsid w:val="42BB243E"/>
    <w:rsid w:val="42D33CD5"/>
    <w:rsid w:val="42D62BD9"/>
    <w:rsid w:val="42DF1CEB"/>
    <w:rsid w:val="42ED123B"/>
    <w:rsid w:val="42F848B2"/>
    <w:rsid w:val="431A6F61"/>
    <w:rsid w:val="43291B47"/>
    <w:rsid w:val="432C1A93"/>
    <w:rsid w:val="43346E69"/>
    <w:rsid w:val="433B42E8"/>
    <w:rsid w:val="433C6895"/>
    <w:rsid w:val="434370AD"/>
    <w:rsid w:val="43923B90"/>
    <w:rsid w:val="43A4646B"/>
    <w:rsid w:val="43DF5027"/>
    <w:rsid w:val="43E712D9"/>
    <w:rsid w:val="44243AA4"/>
    <w:rsid w:val="442C4E49"/>
    <w:rsid w:val="442F0E27"/>
    <w:rsid w:val="44337121"/>
    <w:rsid w:val="443D5DCC"/>
    <w:rsid w:val="44526957"/>
    <w:rsid w:val="445A46AE"/>
    <w:rsid w:val="4488746D"/>
    <w:rsid w:val="44915BF6"/>
    <w:rsid w:val="44982247"/>
    <w:rsid w:val="449F127C"/>
    <w:rsid w:val="44AE67A8"/>
    <w:rsid w:val="44C164DB"/>
    <w:rsid w:val="44C47D79"/>
    <w:rsid w:val="44E328F5"/>
    <w:rsid w:val="44EB3E78"/>
    <w:rsid w:val="44F763A1"/>
    <w:rsid w:val="44F818D8"/>
    <w:rsid w:val="450F41FE"/>
    <w:rsid w:val="452A5A2F"/>
    <w:rsid w:val="455B6821"/>
    <w:rsid w:val="45774DEB"/>
    <w:rsid w:val="45815C6A"/>
    <w:rsid w:val="458D460F"/>
    <w:rsid w:val="45936891"/>
    <w:rsid w:val="45DB5C32"/>
    <w:rsid w:val="45E07589"/>
    <w:rsid w:val="460222FB"/>
    <w:rsid w:val="467B4A21"/>
    <w:rsid w:val="46843C64"/>
    <w:rsid w:val="468772B0"/>
    <w:rsid w:val="46AC1F3C"/>
    <w:rsid w:val="46B2680B"/>
    <w:rsid w:val="46E666CD"/>
    <w:rsid w:val="46F012F9"/>
    <w:rsid w:val="473016F6"/>
    <w:rsid w:val="47613FA5"/>
    <w:rsid w:val="478A7058"/>
    <w:rsid w:val="479C4FDD"/>
    <w:rsid w:val="47AF4671"/>
    <w:rsid w:val="47B916EB"/>
    <w:rsid w:val="47CA6EE1"/>
    <w:rsid w:val="47EB4EF0"/>
    <w:rsid w:val="48197BCA"/>
    <w:rsid w:val="48253159"/>
    <w:rsid w:val="482C0A84"/>
    <w:rsid w:val="482E1AC1"/>
    <w:rsid w:val="48302B5D"/>
    <w:rsid w:val="484863C2"/>
    <w:rsid w:val="485C7890"/>
    <w:rsid w:val="486A0C38"/>
    <w:rsid w:val="48767517"/>
    <w:rsid w:val="489E48D3"/>
    <w:rsid w:val="48AB723A"/>
    <w:rsid w:val="48CC544E"/>
    <w:rsid w:val="48D507A7"/>
    <w:rsid w:val="48EC3D42"/>
    <w:rsid w:val="48FA1FBB"/>
    <w:rsid w:val="490E0B4B"/>
    <w:rsid w:val="492257BF"/>
    <w:rsid w:val="49412BD2"/>
    <w:rsid w:val="494F67AB"/>
    <w:rsid w:val="496658A3"/>
    <w:rsid w:val="49677999"/>
    <w:rsid w:val="4995139B"/>
    <w:rsid w:val="49B26D3A"/>
    <w:rsid w:val="4A1452FF"/>
    <w:rsid w:val="4A266DE0"/>
    <w:rsid w:val="4A341BA7"/>
    <w:rsid w:val="4A5B2F2E"/>
    <w:rsid w:val="4A791606"/>
    <w:rsid w:val="4A7A7858"/>
    <w:rsid w:val="4A8A55C1"/>
    <w:rsid w:val="4A9A7DC0"/>
    <w:rsid w:val="4ABA40F8"/>
    <w:rsid w:val="4AC5484B"/>
    <w:rsid w:val="4AD7414E"/>
    <w:rsid w:val="4ADA3428"/>
    <w:rsid w:val="4AE57ECD"/>
    <w:rsid w:val="4AEE5B50"/>
    <w:rsid w:val="4B0435C5"/>
    <w:rsid w:val="4B110397"/>
    <w:rsid w:val="4B4A51F9"/>
    <w:rsid w:val="4B606B24"/>
    <w:rsid w:val="4B724EA6"/>
    <w:rsid w:val="4B7C065B"/>
    <w:rsid w:val="4B990304"/>
    <w:rsid w:val="4BAD77B9"/>
    <w:rsid w:val="4BE10644"/>
    <w:rsid w:val="4BF058F8"/>
    <w:rsid w:val="4BFF405D"/>
    <w:rsid w:val="4BFF5B3B"/>
    <w:rsid w:val="4C087687"/>
    <w:rsid w:val="4C132EE4"/>
    <w:rsid w:val="4C1E4213"/>
    <w:rsid w:val="4C52210E"/>
    <w:rsid w:val="4C602A7D"/>
    <w:rsid w:val="4C6467C1"/>
    <w:rsid w:val="4C687B84"/>
    <w:rsid w:val="4C87625C"/>
    <w:rsid w:val="4CC84DAC"/>
    <w:rsid w:val="4CCC185F"/>
    <w:rsid w:val="4CDA2830"/>
    <w:rsid w:val="4CDE27F3"/>
    <w:rsid w:val="4CEA151E"/>
    <w:rsid w:val="4CEA56D2"/>
    <w:rsid w:val="4CF77A09"/>
    <w:rsid w:val="4D072EF9"/>
    <w:rsid w:val="4D115B26"/>
    <w:rsid w:val="4D331F40"/>
    <w:rsid w:val="4D534745"/>
    <w:rsid w:val="4D7560B4"/>
    <w:rsid w:val="4DA53212"/>
    <w:rsid w:val="4DAA68A8"/>
    <w:rsid w:val="4DAD3AA0"/>
    <w:rsid w:val="4DC622A5"/>
    <w:rsid w:val="4DCB4939"/>
    <w:rsid w:val="4DE15BF9"/>
    <w:rsid w:val="4DE84AD8"/>
    <w:rsid w:val="4DF37745"/>
    <w:rsid w:val="4E096FF8"/>
    <w:rsid w:val="4E127DA7"/>
    <w:rsid w:val="4E1F0A77"/>
    <w:rsid w:val="4E6B62AA"/>
    <w:rsid w:val="4E6F0D56"/>
    <w:rsid w:val="4E710F32"/>
    <w:rsid w:val="4E892B11"/>
    <w:rsid w:val="4E8C5DAC"/>
    <w:rsid w:val="4EB250E6"/>
    <w:rsid w:val="4ECF77C8"/>
    <w:rsid w:val="4ED3235B"/>
    <w:rsid w:val="4EE77ADA"/>
    <w:rsid w:val="4EF946E2"/>
    <w:rsid w:val="4EFB083B"/>
    <w:rsid w:val="4F0A6CD0"/>
    <w:rsid w:val="4F2E4565"/>
    <w:rsid w:val="4F5F0DCA"/>
    <w:rsid w:val="4F7A397B"/>
    <w:rsid w:val="4F9D72A0"/>
    <w:rsid w:val="4FAF687C"/>
    <w:rsid w:val="4FB939C0"/>
    <w:rsid w:val="4FC7245F"/>
    <w:rsid w:val="4FE4025B"/>
    <w:rsid w:val="4FE451CE"/>
    <w:rsid w:val="4FF4200C"/>
    <w:rsid w:val="500B2D00"/>
    <w:rsid w:val="501F49FD"/>
    <w:rsid w:val="504D3319"/>
    <w:rsid w:val="505C355C"/>
    <w:rsid w:val="50615CE1"/>
    <w:rsid w:val="5066262C"/>
    <w:rsid w:val="509C7DFC"/>
    <w:rsid w:val="50A40F18"/>
    <w:rsid w:val="50BB4726"/>
    <w:rsid w:val="50CE3E56"/>
    <w:rsid w:val="50DA4498"/>
    <w:rsid w:val="50F11EF6"/>
    <w:rsid w:val="51085492"/>
    <w:rsid w:val="514C537E"/>
    <w:rsid w:val="51986815"/>
    <w:rsid w:val="519A6A34"/>
    <w:rsid w:val="51ED3749"/>
    <w:rsid w:val="521B01C1"/>
    <w:rsid w:val="52281131"/>
    <w:rsid w:val="52565EF7"/>
    <w:rsid w:val="528D5C4E"/>
    <w:rsid w:val="52CB6777"/>
    <w:rsid w:val="52CD0741"/>
    <w:rsid w:val="52D10231"/>
    <w:rsid w:val="52F57143"/>
    <w:rsid w:val="53204D14"/>
    <w:rsid w:val="53260AAE"/>
    <w:rsid w:val="53363A6E"/>
    <w:rsid w:val="534F55FA"/>
    <w:rsid w:val="535449BE"/>
    <w:rsid w:val="53586815"/>
    <w:rsid w:val="535B3F9E"/>
    <w:rsid w:val="535D1AC5"/>
    <w:rsid w:val="538A7261"/>
    <w:rsid w:val="53952BC8"/>
    <w:rsid w:val="539A4046"/>
    <w:rsid w:val="539A4AC7"/>
    <w:rsid w:val="53C40EAF"/>
    <w:rsid w:val="53CB162D"/>
    <w:rsid w:val="53DD2AFE"/>
    <w:rsid w:val="54134879"/>
    <w:rsid w:val="541F6D7A"/>
    <w:rsid w:val="54344E94"/>
    <w:rsid w:val="54545EBD"/>
    <w:rsid w:val="548337AD"/>
    <w:rsid w:val="54997AC1"/>
    <w:rsid w:val="549F5D04"/>
    <w:rsid w:val="54A87175"/>
    <w:rsid w:val="54BC281B"/>
    <w:rsid w:val="54DB78F7"/>
    <w:rsid w:val="54DC6984"/>
    <w:rsid w:val="54E51D72"/>
    <w:rsid w:val="54F1464A"/>
    <w:rsid w:val="54F40211"/>
    <w:rsid w:val="550911CA"/>
    <w:rsid w:val="55100FA0"/>
    <w:rsid w:val="551D713E"/>
    <w:rsid w:val="55431B98"/>
    <w:rsid w:val="55532E16"/>
    <w:rsid w:val="55811362"/>
    <w:rsid w:val="55992B5C"/>
    <w:rsid w:val="55A25EB5"/>
    <w:rsid w:val="55C84413"/>
    <w:rsid w:val="55D1011E"/>
    <w:rsid w:val="55EB7F77"/>
    <w:rsid w:val="565B7EBC"/>
    <w:rsid w:val="567333AD"/>
    <w:rsid w:val="56772E9D"/>
    <w:rsid w:val="567809C3"/>
    <w:rsid w:val="56813D1C"/>
    <w:rsid w:val="568B589F"/>
    <w:rsid w:val="568E5C3E"/>
    <w:rsid w:val="56A1616C"/>
    <w:rsid w:val="56A4716E"/>
    <w:rsid w:val="56AF4EF8"/>
    <w:rsid w:val="56B063AF"/>
    <w:rsid w:val="56D737F9"/>
    <w:rsid w:val="56E57FF1"/>
    <w:rsid w:val="56F50266"/>
    <w:rsid w:val="56FD1F3B"/>
    <w:rsid w:val="57233025"/>
    <w:rsid w:val="572823EA"/>
    <w:rsid w:val="57296AE0"/>
    <w:rsid w:val="575907F5"/>
    <w:rsid w:val="57794B1E"/>
    <w:rsid w:val="57805D82"/>
    <w:rsid w:val="578E252E"/>
    <w:rsid w:val="580F0297"/>
    <w:rsid w:val="584D1561"/>
    <w:rsid w:val="585A7E7E"/>
    <w:rsid w:val="58794897"/>
    <w:rsid w:val="5895176F"/>
    <w:rsid w:val="58AE691E"/>
    <w:rsid w:val="58B36D82"/>
    <w:rsid w:val="58B77EC9"/>
    <w:rsid w:val="58C726DF"/>
    <w:rsid w:val="58D63D1E"/>
    <w:rsid w:val="58F307D5"/>
    <w:rsid w:val="58F85DEC"/>
    <w:rsid w:val="59074EB2"/>
    <w:rsid w:val="590F1AB3"/>
    <w:rsid w:val="59266DFD"/>
    <w:rsid w:val="59301A29"/>
    <w:rsid w:val="594E7C18"/>
    <w:rsid w:val="59554FEC"/>
    <w:rsid w:val="595C5F53"/>
    <w:rsid w:val="596A4F3B"/>
    <w:rsid w:val="598558D1"/>
    <w:rsid w:val="59B1606A"/>
    <w:rsid w:val="59BD150F"/>
    <w:rsid w:val="59EA2C96"/>
    <w:rsid w:val="5A026F22"/>
    <w:rsid w:val="5A0F7891"/>
    <w:rsid w:val="5A1924BD"/>
    <w:rsid w:val="5A200F53"/>
    <w:rsid w:val="5A510344"/>
    <w:rsid w:val="5A6F2E19"/>
    <w:rsid w:val="5A84029C"/>
    <w:rsid w:val="5AA93FD1"/>
    <w:rsid w:val="5AC468CD"/>
    <w:rsid w:val="5ACC4545"/>
    <w:rsid w:val="5ADA39FB"/>
    <w:rsid w:val="5AEE75AA"/>
    <w:rsid w:val="5B2D290B"/>
    <w:rsid w:val="5B2D4C71"/>
    <w:rsid w:val="5B2E4B8A"/>
    <w:rsid w:val="5B3F7D02"/>
    <w:rsid w:val="5B5C4D58"/>
    <w:rsid w:val="5B841BB9"/>
    <w:rsid w:val="5B850E72"/>
    <w:rsid w:val="5B997EAA"/>
    <w:rsid w:val="5BA87F9D"/>
    <w:rsid w:val="5BAB20D1"/>
    <w:rsid w:val="5BAD6FD7"/>
    <w:rsid w:val="5BE508A9"/>
    <w:rsid w:val="5BEA58E3"/>
    <w:rsid w:val="5BF00249"/>
    <w:rsid w:val="5BF76EF1"/>
    <w:rsid w:val="5C050B30"/>
    <w:rsid w:val="5C0A1DD1"/>
    <w:rsid w:val="5C553C81"/>
    <w:rsid w:val="5C642116"/>
    <w:rsid w:val="5C7963A7"/>
    <w:rsid w:val="5C8002B9"/>
    <w:rsid w:val="5C89392A"/>
    <w:rsid w:val="5CDD77D2"/>
    <w:rsid w:val="5CFA4828"/>
    <w:rsid w:val="5D07484F"/>
    <w:rsid w:val="5D1458EA"/>
    <w:rsid w:val="5D165688"/>
    <w:rsid w:val="5D235C93"/>
    <w:rsid w:val="5D27552E"/>
    <w:rsid w:val="5D2D2F58"/>
    <w:rsid w:val="5D323FC2"/>
    <w:rsid w:val="5D4D7E34"/>
    <w:rsid w:val="5D6149CA"/>
    <w:rsid w:val="5D636794"/>
    <w:rsid w:val="5D7F6ADB"/>
    <w:rsid w:val="5D880074"/>
    <w:rsid w:val="5D977EC8"/>
    <w:rsid w:val="5DB20E44"/>
    <w:rsid w:val="5DBA499B"/>
    <w:rsid w:val="5DDE7158"/>
    <w:rsid w:val="5DE60319"/>
    <w:rsid w:val="5DF0125A"/>
    <w:rsid w:val="5DF43025"/>
    <w:rsid w:val="5E115985"/>
    <w:rsid w:val="5E176D14"/>
    <w:rsid w:val="5E282CCF"/>
    <w:rsid w:val="5E2A6A47"/>
    <w:rsid w:val="5E5F57D9"/>
    <w:rsid w:val="5E7A7F54"/>
    <w:rsid w:val="5E7F38D6"/>
    <w:rsid w:val="5E8B056A"/>
    <w:rsid w:val="5EC6113E"/>
    <w:rsid w:val="5EC7569F"/>
    <w:rsid w:val="5EDF5A84"/>
    <w:rsid w:val="5EF419E3"/>
    <w:rsid w:val="5F2B0755"/>
    <w:rsid w:val="5F3131CD"/>
    <w:rsid w:val="5F452EA7"/>
    <w:rsid w:val="5F5521EA"/>
    <w:rsid w:val="5F7061EF"/>
    <w:rsid w:val="5F7206A6"/>
    <w:rsid w:val="5F73441E"/>
    <w:rsid w:val="5F8108E9"/>
    <w:rsid w:val="5F8E3526"/>
    <w:rsid w:val="5FFE462F"/>
    <w:rsid w:val="60054BA2"/>
    <w:rsid w:val="60343BAD"/>
    <w:rsid w:val="603718EF"/>
    <w:rsid w:val="60442DEE"/>
    <w:rsid w:val="605B6755"/>
    <w:rsid w:val="60745DB1"/>
    <w:rsid w:val="60747737"/>
    <w:rsid w:val="608E7761"/>
    <w:rsid w:val="60A725D1"/>
    <w:rsid w:val="60D61108"/>
    <w:rsid w:val="60E23609"/>
    <w:rsid w:val="60E70C20"/>
    <w:rsid w:val="60F52D71"/>
    <w:rsid w:val="6118702B"/>
    <w:rsid w:val="613D173A"/>
    <w:rsid w:val="613D2F35"/>
    <w:rsid w:val="613F280A"/>
    <w:rsid w:val="61534507"/>
    <w:rsid w:val="61BE1D68"/>
    <w:rsid w:val="61D571F7"/>
    <w:rsid w:val="61E81904"/>
    <w:rsid w:val="62022F85"/>
    <w:rsid w:val="620338F6"/>
    <w:rsid w:val="621A512E"/>
    <w:rsid w:val="62546789"/>
    <w:rsid w:val="625B18C5"/>
    <w:rsid w:val="6275772C"/>
    <w:rsid w:val="62782477"/>
    <w:rsid w:val="6288402C"/>
    <w:rsid w:val="62A73C6D"/>
    <w:rsid w:val="62B27782"/>
    <w:rsid w:val="62D57424"/>
    <w:rsid w:val="632779F9"/>
    <w:rsid w:val="6345638C"/>
    <w:rsid w:val="634E4F86"/>
    <w:rsid w:val="63546B42"/>
    <w:rsid w:val="636C18B0"/>
    <w:rsid w:val="63950E07"/>
    <w:rsid w:val="639F1128"/>
    <w:rsid w:val="639F1C85"/>
    <w:rsid w:val="63BC0104"/>
    <w:rsid w:val="63C82F8A"/>
    <w:rsid w:val="63EE0517"/>
    <w:rsid w:val="64525489"/>
    <w:rsid w:val="64686E18"/>
    <w:rsid w:val="64874BF3"/>
    <w:rsid w:val="648C7798"/>
    <w:rsid w:val="64B25D57"/>
    <w:rsid w:val="64B83652"/>
    <w:rsid w:val="64BA118E"/>
    <w:rsid w:val="64C10E6B"/>
    <w:rsid w:val="64FD2F54"/>
    <w:rsid w:val="65050CB9"/>
    <w:rsid w:val="65670581"/>
    <w:rsid w:val="658B08FF"/>
    <w:rsid w:val="65A1330E"/>
    <w:rsid w:val="65B765B1"/>
    <w:rsid w:val="65CE6BDF"/>
    <w:rsid w:val="65D34D72"/>
    <w:rsid w:val="65D57BE0"/>
    <w:rsid w:val="66415054"/>
    <w:rsid w:val="664B6CF2"/>
    <w:rsid w:val="666A7FC1"/>
    <w:rsid w:val="668D4017"/>
    <w:rsid w:val="668F3FBD"/>
    <w:rsid w:val="66A9017B"/>
    <w:rsid w:val="66B43C9A"/>
    <w:rsid w:val="66C20165"/>
    <w:rsid w:val="66D330F5"/>
    <w:rsid w:val="66E83655"/>
    <w:rsid w:val="67082BCA"/>
    <w:rsid w:val="6714289E"/>
    <w:rsid w:val="673979C5"/>
    <w:rsid w:val="673D0859"/>
    <w:rsid w:val="673F5780"/>
    <w:rsid w:val="674C564B"/>
    <w:rsid w:val="678F7CFE"/>
    <w:rsid w:val="67902011"/>
    <w:rsid w:val="67AC3B3A"/>
    <w:rsid w:val="67B07AF8"/>
    <w:rsid w:val="67B13D35"/>
    <w:rsid w:val="67B657F0"/>
    <w:rsid w:val="67F15D4A"/>
    <w:rsid w:val="68260326"/>
    <w:rsid w:val="682E63BC"/>
    <w:rsid w:val="683C7AA3"/>
    <w:rsid w:val="68594AF9"/>
    <w:rsid w:val="68604D23"/>
    <w:rsid w:val="686626E7"/>
    <w:rsid w:val="686F2D59"/>
    <w:rsid w:val="68815DFE"/>
    <w:rsid w:val="68A452E5"/>
    <w:rsid w:val="68AF787D"/>
    <w:rsid w:val="68B74555"/>
    <w:rsid w:val="68D4417F"/>
    <w:rsid w:val="68EC117F"/>
    <w:rsid w:val="68EC18C7"/>
    <w:rsid w:val="68EC771B"/>
    <w:rsid w:val="69335730"/>
    <w:rsid w:val="69690D6B"/>
    <w:rsid w:val="69733998"/>
    <w:rsid w:val="69751960"/>
    <w:rsid w:val="6979532A"/>
    <w:rsid w:val="697D509B"/>
    <w:rsid w:val="698A2A90"/>
    <w:rsid w:val="69C064B2"/>
    <w:rsid w:val="69C75A92"/>
    <w:rsid w:val="69CF4947"/>
    <w:rsid w:val="69D32689"/>
    <w:rsid w:val="6A066A76"/>
    <w:rsid w:val="6A070584"/>
    <w:rsid w:val="6A621407"/>
    <w:rsid w:val="6A8574F3"/>
    <w:rsid w:val="6A8E65B0"/>
    <w:rsid w:val="6A947849"/>
    <w:rsid w:val="6AD678EF"/>
    <w:rsid w:val="6AF403FB"/>
    <w:rsid w:val="6AF64881"/>
    <w:rsid w:val="6B036D46"/>
    <w:rsid w:val="6B0D363F"/>
    <w:rsid w:val="6B0F76F1"/>
    <w:rsid w:val="6B1116BB"/>
    <w:rsid w:val="6B170353"/>
    <w:rsid w:val="6B482C03"/>
    <w:rsid w:val="6B4D6F5F"/>
    <w:rsid w:val="6B7A07DA"/>
    <w:rsid w:val="6B9B6D0A"/>
    <w:rsid w:val="6BB67058"/>
    <w:rsid w:val="6BCB4E14"/>
    <w:rsid w:val="6C315445"/>
    <w:rsid w:val="6C327B3B"/>
    <w:rsid w:val="6C3F3EF8"/>
    <w:rsid w:val="6C570976"/>
    <w:rsid w:val="6C6469C4"/>
    <w:rsid w:val="6C722402"/>
    <w:rsid w:val="6C8737E7"/>
    <w:rsid w:val="6C8B5FA7"/>
    <w:rsid w:val="6C9003BD"/>
    <w:rsid w:val="6D1014FE"/>
    <w:rsid w:val="6D1E093D"/>
    <w:rsid w:val="6D5D5725"/>
    <w:rsid w:val="6D5E495F"/>
    <w:rsid w:val="6D5F7BD0"/>
    <w:rsid w:val="6D721389"/>
    <w:rsid w:val="6DAD4F9F"/>
    <w:rsid w:val="6DB63E53"/>
    <w:rsid w:val="6DC112A8"/>
    <w:rsid w:val="6DC44492"/>
    <w:rsid w:val="6DF14F1A"/>
    <w:rsid w:val="6DF5610C"/>
    <w:rsid w:val="6E0274E9"/>
    <w:rsid w:val="6E041063"/>
    <w:rsid w:val="6E05302D"/>
    <w:rsid w:val="6E2C24ED"/>
    <w:rsid w:val="6E2C680B"/>
    <w:rsid w:val="6E2E629D"/>
    <w:rsid w:val="6E3A456E"/>
    <w:rsid w:val="6E75084A"/>
    <w:rsid w:val="6E855CE9"/>
    <w:rsid w:val="6EFC1D3A"/>
    <w:rsid w:val="6F0357BE"/>
    <w:rsid w:val="6F0B01CF"/>
    <w:rsid w:val="6F0C0D6C"/>
    <w:rsid w:val="6F0C4BCD"/>
    <w:rsid w:val="6F1A3BE3"/>
    <w:rsid w:val="6F304332"/>
    <w:rsid w:val="6F505485"/>
    <w:rsid w:val="6F6E34E9"/>
    <w:rsid w:val="6F8C7562"/>
    <w:rsid w:val="6FDE58E3"/>
    <w:rsid w:val="6FE13531"/>
    <w:rsid w:val="70281CF1"/>
    <w:rsid w:val="702C31FC"/>
    <w:rsid w:val="702E23C7"/>
    <w:rsid w:val="702F27B0"/>
    <w:rsid w:val="70657DB3"/>
    <w:rsid w:val="706F478E"/>
    <w:rsid w:val="708446DD"/>
    <w:rsid w:val="70B07280"/>
    <w:rsid w:val="70B57404"/>
    <w:rsid w:val="70C6412A"/>
    <w:rsid w:val="70DA669F"/>
    <w:rsid w:val="710C4806"/>
    <w:rsid w:val="7133290F"/>
    <w:rsid w:val="71341C5F"/>
    <w:rsid w:val="713954C7"/>
    <w:rsid w:val="71461992"/>
    <w:rsid w:val="717C53B4"/>
    <w:rsid w:val="71E10FD4"/>
    <w:rsid w:val="72167CF6"/>
    <w:rsid w:val="72285607"/>
    <w:rsid w:val="723914F7"/>
    <w:rsid w:val="7270702D"/>
    <w:rsid w:val="72785888"/>
    <w:rsid w:val="727A5D97"/>
    <w:rsid w:val="729F57FE"/>
    <w:rsid w:val="72AC740F"/>
    <w:rsid w:val="72B017B9"/>
    <w:rsid w:val="72E03A6A"/>
    <w:rsid w:val="73010267"/>
    <w:rsid w:val="73065405"/>
    <w:rsid w:val="730E4732"/>
    <w:rsid w:val="731D3C1A"/>
    <w:rsid w:val="739015EB"/>
    <w:rsid w:val="739F10CC"/>
    <w:rsid w:val="73DB0AB8"/>
    <w:rsid w:val="73ED1E08"/>
    <w:rsid w:val="741B5358"/>
    <w:rsid w:val="74275AAB"/>
    <w:rsid w:val="742C1313"/>
    <w:rsid w:val="742F2BB2"/>
    <w:rsid w:val="74387CB8"/>
    <w:rsid w:val="74441AE5"/>
    <w:rsid w:val="747D4A95"/>
    <w:rsid w:val="74B17A6A"/>
    <w:rsid w:val="74B45753"/>
    <w:rsid w:val="74DC333B"/>
    <w:rsid w:val="752323D0"/>
    <w:rsid w:val="752B4669"/>
    <w:rsid w:val="753C1470"/>
    <w:rsid w:val="75812F99"/>
    <w:rsid w:val="75823BEA"/>
    <w:rsid w:val="758459BD"/>
    <w:rsid w:val="758E734C"/>
    <w:rsid w:val="759E77F6"/>
    <w:rsid w:val="75C3053B"/>
    <w:rsid w:val="75D05CCE"/>
    <w:rsid w:val="75E55C1E"/>
    <w:rsid w:val="75E74C1C"/>
    <w:rsid w:val="75EF52C6"/>
    <w:rsid w:val="7601793B"/>
    <w:rsid w:val="7607416F"/>
    <w:rsid w:val="76403B69"/>
    <w:rsid w:val="764A5A81"/>
    <w:rsid w:val="765D3A06"/>
    <w:rsid w:val="76960CC6"/>
    <w:rsid w:val="769B4BEA"/>
    <w:rsid w:val="76A900F9"/>
    <w:rsid w:val="76C63351"/>
    <w:rsid w:val="76D54797"/>
    <w:rsid w:val="76E71522"/>
    <w:rsid w:val="76EB7E51"/>
    <w:rsid w:val="76EE62B6"/>
    <w:rsid w:val="76F50512"/>
    <w:rsid w:val="77073972"/>
    <w:rsid w:val="770C27E3"/>
    <w:rsid w:val="772A6B6C"/>
    <w:rsid w:val="7730111A"/>
    <w:rsid w:val="77502B36"/>
    <w:rsid w:val="775C313C"/>
    <w:rsid w:val="775F730A"/>
    <w:rsid w:val="77640DC4"/>
    <w:rsid w:val="77644920"/>
    <w:rsid w:val="777234E1"/>
    <w:rsid w:val="778356EE"/>
    <w:rsid w:val="77995C9A"/>
    <w:rsid w:val="77D35FAD"/>
    <w:rsid w:val="77E85551"/>
    <w:rsid w:val="78054D20"/>
    <w:rsid w:val="78063C29"/>
    <w:rsid w:val="78217095"/>
    <w:rsid w:val="782218D5"/>
    <w:rsid w:val="78360DC6"/>
    <w:rsid w:val="78434E7D"/>
    <w:rsid w:val="786F5C73"/>
    <w:rsid w:val="78793C48"/>
    <w:rsid w:val="78CD669E"/>
    <w:rsid w:val="78DF7A0B"/>
    <w:rsid w:val="78E977D3"/>
    <w:rsid w:val="78F91413"/>
    <w:rsid w:val="78F9553C"/>
    <w:rsid w:val="79390690"/>
    <w:rsid w:val="79390C5F"/>
    <w:rsid w:val="79433046"/>
    <w:rsid w:val="79442C5B"/>
    <w:rsid w:val="7945044D"/>
    <w:rsid w:val="794669D3"/>
    <w:rsid w:val="794B3FEA"/>
    <w:rsid w:val="794C1B10"/>
    <w:rsid w:val="79584FAA"/>
    <w:rsid w:val="795C6F1C"/>
    <w:rsid w:val="795E6702"/>
    <w:rsid w:val="796F62A7"/>
    <w:rsid w:val="79D57D57"/>
    <w:rsid w:val="79E82658"/>
    <w:rsid w:val="79EB757B"/>
    <w:rsid w:val="7A0575F1"/>
    <w:rsid w:val="7A253ECC"/>
    <w:rsid w:val="7A38338F"/>
    <w:rsid w:val="7A41363F"/>
    <w:rsid w:val="7A431F90"/>
    <w:rsid w:val="7A755DD7"/>
    <w:rsid w:val="7A8121B4"/>
    <w:rsid w:val="7AD27483"/>
    <w:rsid w:val="7AE822A8"/>
    <w:rsid w:val="7B1B5C3E"/>
    <w:rsid w:val="7B2F3497"/>
    <w:rsid w:val="7B450D8B"/>
    <w:rsid w:val="7B487E2F"/>
    <w:rsid w:val="7B6770D5"/>
    <w:rsid w:val="7B6F2D46"/>
    <w:rsid w:val="7B7B492E"/>
    <w:rsid w:val="7BAB3043"/>
    <w:rsid w:val="7BF10175"/>
    <w:rsid w:val="7C197107"/>
    <w:rsid w:val="7C38637B"/>
    <w:rsid w:val="7C4116D4"/>
    <w:rsid w:val="7C653096"/>
    <w:rsid w:val="7C7B2E38"/>
    <w:rsid w:val="7C95557C"/>
    <w:rsid w:val="7CA65B89"/>
    <w:rsid w:val="7CC778A3"/>
    <w:rsid w:val="7CF875F2"/>
    <w:rsid w:val="7D0C5A4B"/>
    <w:rsid w:val="7D40198C"/>
    <w:rsid w:val="7D614260"/>
    <w:rsid w:val="7D80622C"/>
    <w:rsid w:val="7D8F43DC"/>
    <w:rsid w:val="7D902913"/>
    <w:rsid w:val="7DC30A8A"/>
    <w:rsid w:val="7DC802F3"/>
    <w:rsid w:val="7DE71E07"/>
    <w:rsid w:val="7E244E09"/>
    <w:rsid w:val="7E332C6B"/>
    <w:rsid w:val="7E4B55D1"/>
    <w:rsid w:val="7E6478FC"/>
    <w:rsid w:val="7E8528F2"/>
    <w:rsid w:val="7E8B30DA"/>
    <w:rsid w:val="7E8E6727"/>
    <w:rsid w:val="7E9A331D"/>
    <w:rsid w:val="7EA03FAB"/>
    <w:rsid w:val="7EA6304A"/>
    <w:rsid w:val="7EB459DD"/>
    <w:rsid w:val="7ED71E7C"/>
    <w:rsid w:val="7EE30820"/>
    <w:rsid w:val="7EE34CC4"/>
    <w:rsid w:val="7EF50554"/>
    <w:rsid w:val="7EFB200E"/>
    <w:rsid w:val="7F0E3BA6"/>
    <w:rsid w:val="7F2344A4"/>
    <w:rsid w:val="7F2C21C7"/>
    <w:rsid w:val="7F3E1EFB"/>
    <w:rsid w:val="7F45164C"/>
    <w:rsid w:val="7F476E19"/>
    <w:rsid w:val="7F657745"/>
    <w:rsid w:val="7F78365F"/>
    <w:rsid w:val="7F871AF4"/>
    <w:rsid w:val="7FB36445"/>
    <w:rsid w:val="7FB87EFF"/>
    <w:rsid w:val="7FBF128D"/>
    <w:rsid w:val="7FD9789A"/>
    <w:rsid w:val="EC6F80E9"/>
    <w:rsid w:val="FEDFE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34"/>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link w:val="48"/>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4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65"/>
    <w:semiHidden/>
    <w:unhideWhenUsed/>
    <w:qFormat/>
    <w:uiPriority w:val="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58"/>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w:basedOn w:val="1"/>
    <w:next w:val="8"/>
    <w:link w:val="38"/>
    <w:qFormat/>
    <w:uiPriority w:val="0"/>
    <w:pPr>
      <w:autoSpaceDE w:val="0"/>
      <w:autoSpaceDN w:val="0"/>
      <w:spacing w:line="360" w:lineRule="auto"/>
    </w:pPr>
    <w:rPr>
      <w:rFonts w:ascii="宋体" w:hAnsi="Arial" w:cs="Arial"/>
      <w:snapToGrid w:val="0"/>
      <w:sz w:val="24"/>
      <w:szCs w:val="21"/>
      <w:lang w:val="zh-CN"/>
    </w:rPr>
  </w:style>
  <w:style w:type="paragraph" w:styleId="8">
    <w:name w:val="Body Text First Indent"/>
    <w:basedOn w:val="7"/>
    <w:next w:val="1"/>
    <w:qFormat/>
    <w:uiPriority w:val="0"/>
    <w:pPr>
      <w:ind w:firstLine="420" w:firstLineChars="100"/>
    </w:pPr>
  </w:style>
  <w:style w:type="paragraph" w:styleId="9">
    <w:name w:val="Body Text Indent"/>
    <w:basedOn w:val="1"/>
    <w:next w:val="10"/>
    <w:link w:val="35"/>
    <w:qFormat/>
    <w:uiPriority w:val="0"/>
    <w:pPr>
      <w:spacing w:line="480" w:lineRule="exact"/>
      <w:ind w:firstLine="480" w:firstLineChars="200"/>
    </w:pPr>
    <w:rPr>
      <w:rFonts w:ascii="宋体" w:hAnsi="宋体"/>
      <w:sz w:val="24"/>
    </w:rPr>
  </w:style>
  <w:style w:type="paragraph" w:styleId="10">
    <w:name w:val="Body Text First Indent 2"/>
    <w:basedOn w:val="9"/>
    <w:next w:val="1"/>
    <w:link w:val="60"/>
    <w:semiHidden/>
    <w:unhideWhenUsed/>
    <w:qFormat/>
    <w:uiPriority w:val="99"/>
    <w:pPr>
      <w:spacing w:after="120" w:line="240" w:lineRule="auto"/>
      <w:ind w:left="420" w:leftChars="200" w:firstLine="420"/>
    </w:pPr>
    <w:rPr>
      <w:rFonts w:ascii="Calibri" w:hAnsi="Calibri"/>
      <w:sz w:val="21"/>
    </w:rPr>
  </w:style>
  <w:style w:type="paragraph" w:styleId="11">
    <w:name w:val="toc 3"/>
    <w:basedOn w:val="1"/>
    <w:next w:val="1"/>
    <w:qFormat/>
    <w:uiPriority w:val="0"/>
    <w:pPr>
      <w:ind w:left="840" w:leftChars="400"/>
    </w:pPr>
    <w:rPr>
      <w:rFonts w:ascii="Times New Roman" w:hAnsi="Times New Roman"/>
    </w:rPr>
  </w:style>
  <w:style w:type="paragraph" w:styleId="12">
    <w:name w:val="Plain Text"/>
    <w:basedOn w:val="1"/>
    <w:link w:val="37"/>
    <w:qFormat/>
    <w:uiPriority w:val="0"/>
    <w:rPr>
      <w:rFonts w:ascii="宋体" w:hAnsi="Courier New" w:cs="Arial"/>
      <w:snapToGrid w:val="0"/>
      <w:szCs w:val="21"/>
    </w:rPr>
  </w:style>
  <w:style w:type="paragraph" w:styleId="13">
    <w:name w:val="Date"/>
    <w:basedOn w:val="1"/>
    <w:next w:val="1"/>
    <w:link w:val="36"/>
    <w:qFormat/>
    <w:uiPriority w:val="0"/>
    <w:pPr>
      <w:ind w:left="100" w:leftChars="2500"/>
    </w:pPr>
    <w:rPr>
      <w:rFonts w:ascii="宋体"/>
      <w:sz w:val="24"/>
      <w:szCs w:val="21"/>
      <w:lang w:val="zh-CN"/>
    </w:rPr>
  </w:style>
  <w:style w:type="paragraph" w:styleId="14">
    <w:name w:val="Balloon Text"/>
    <w:basedOn w:val="1"/>
    <w:link w:val="51"/>
    <w:semiHidden/>
    <w:unhideWhenUsed/>
    <w:qFormat/>
    <w:uiPriority w:val="99"/>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8">
    <w:name w:val="List"/>
    <w:basedOn w:val="1"/>
    <w:qFormat/>
    <w:uiPriority w:val="99"/>
    <w:pPr>
      <w:ind w:left="200" w:hanging="200" w:hangingChars="200"/>
    </w:pPr>
    <w:rPr>
      <w:rFonts w:ascii="Times New Roman" w:hAnsi="Times New Roman"/>
    </w:rPr>
  </w:style>
  <w:style w:type="paragraph" w:styleId="19">
    <w:name w:val="toc 6"/>
    <w:basedOn w:val="1"/>
    <w:next w:val="1"/>
    <w:qFormat/>
    <w:uiPriority w:val="0"/>
    <w:pPr>
      <w:ind w:left="1050"/>
      <w:jc w:val="left"/>
    </w:pPr>
    <w:rPr>
      <w:sz w:val="18"/>
      <w:szCs w:val="18"/>
    </w:rPr>
  </w:style>
  <w:style w:type="paragraph" w:styleId="20">
    <w:name w:val="Body Text Indent 3"/>
    <w:basedOn w:val="1"/>
    <w:link w:val="56"/>
    <w:qFormat/>
    <w:uiPriority w:val="0"/>
    <w:pPr>
      <w:spacing w:after="120"/>
      <w:ind w:left="420" w:leftChars="200"/>
    </w:pPr>
    <w:rPr>
      <w:rFonts w:ascii="Times New Roman" w:hAnsi="Times New Roman"/>
      <w:sz w:val="16"/>
      <w:szCs w:val="16"/>
    </w:rPr>
  </w:style>
  <w:style w:type="paragraph" w:styleId="21">
    <w:name w:val="toc 2"/>
    <w:basedOn w:val="1"/>
    <w:next w:val="1"/>
    <w:qFormat/>
    <w:uiPriority w:val="0"/>
    <w:pPr>
      <w:ind w:left="210"/>
      <w:jc w:val="left"/>
    </w:pPr>
    <w:rPr>
      <w:smallCaps/>
      <w:sz w:val="20"/>
    </w:rPr>
  </w:style>
  <w:style w:type="paragraph" w:styleId="22">
    <w:name w:val="Normal (Web)"/>
    <w:basedOn w:val="1"/>
    <w:qFormat/>
    <w:uiPriority w:val="0"/>
    <w:rPr>
      <w:sz w:val="24"/>
    </w:rPr>
  </w:style>
  <w:style w:type="table" w:styleId="24">
    <w:name w:val="Table Grid"/>
    <w:basedOn w:val="2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qFormat/>
    <w:uiPriority w:val="0"/>
    <w:rPr>
      <w:rFonts w:ascii="Arial" w:hAnsi="Arial" w:eastAsia="黑体" w:cs="Arial"/>
      <w:snapToGrid w:val="0"/>
      <w:kern w:val="0"/>
      <w:szCs w:val="21"/>
    </w:rPr>
  </w:style>
  <w:style w:type="character" w:styleId="28">
    <w:name w:val="FollowedHyperlink"/>
    <w:basedOn w:val="25"/>
    <w:semiHidden/>
    <w:unhideWhenUsed/>
    <w:qFormat/>
    <w:uiPriority w:val="99"/>
    <w:rPr>
      <w:color w:val="800080"/>
      <w:u w:val="none"/>
    </w:rPr>
  </w:style>
  <w:style w:type="character" w:styleId="29">
    <w:name w:val="Hyperlink"/>
    <w:qFormat/>
    <w:uiPriority w:val="99"/>
    <w:rPr>
      <w:rFonts w:ascii="Arial" w:hAnsi="Arial" w:eastAsia="黑体" w:cs="Arial"/>
      <w:snapToGrid w:val="0"/>
      <w:color w:val="000000"/>
      <w:kern w:val="0"/>
      <w:sz w:val="18"/>
      <w:szCs w:val="18"/>
      <w:u w:val="none"/>
    </w:rPr>
  </w:style>
  <w:style w:type="paragraph" w:customStyle="1" w:styleId="30">
    <w:name w:val="_Style 3"/>
    <w:basedOn w:val="1"/>
    <w:qFormat/>
    <w:uiPriority w:val="0"/>
    <w:pPr>
      <w:ind w:firstLine="420" w:firstLineChars="200"/>
    </w:pPr>
    <w:rPr>
      <w:rFonts w:eastAsia="仿宋_GB2312"/>
      <w:sz w:val="28"/>
    </w:rPr>
  </w:style>
  <w:style w:type="paragraph" w:styleId="31">
    <w:name w:val="List Paragraph"/>
    <w:basedOn w:val="1"/>
    <w:qFormat/>
    <w:uiPriority w:val="34"/>
    <w:pPr>
      <w:ind w:firstLine="420" w:firstLineChars="200"/>
    </w:pPr>
    <w:rPr>
      <w:szCs w:val="22"/>
    </w:rPr>
  </w:style>
  <w:style w:type="character" w:customStyle="1" w:styleId="32">
    <w:name w:val="页眉 Char"/>
    <w:basedOn w:val="25"/>
    <w:link w:val="16"/>
    <w:qFormat/>
    <w:uiPriority w:val="99"/>
    <w:rPr>
      <w:sz w:val="18"/>
      <w:szCs w:val="18"/>
    </w:rPr>
  </w:style>
  <w:style w:type="character" w:customStyle="1" w:styleId="33">
    <w:name w:val="页脚 Char"/>
    <w:basedOn w:val="25"/>
    <w:link w:val="15"/>
    <w:qFormat/>
    <w:uiPriority w:val="99"/>
    <w:rPr>
      <w:sz w:val="18"/>
      <w:szCs w:val="18"/>
    </w:rPr>
  </w:style>
  <w:style w:type="character" w:customStyle="1" w:styleId="34">
    <w:name w:val="标题 2 Char"/>
    <w:basedOn w:val="25"/>
    <w:link w:val="2"/>
    <w:qFormat/>
    <w:uiPriority w:val="0"/>
    <w:rPr>
      <w:rFonts w:ascii="仿宋_GB2312" w:hAnsi="仿宋" w:eastAsia="仿宋_GB2312" w:cs="Times New Roman"/>
      <w:b/>
      <w:bCs/>
      <w:sz w:val="32"/>
      <w:szCs w:val="32"/>
      <w:lang w:val="zh-CN"/>
    </w:rPr>
  </w:style>
  <w:style w:type="character" w:customStyle="1" w:styleId="35">
    <w:name w:val="正文文本缩进 Char"/>
    <w:basedOn w:val="25"/>
    <w:link w:val="9"/>
    <w:qFormat/>
    <w:uiPriority w:val="0"/>
    <w:rPr>
      <w:rFonts w:ascii="宋体" w:hAnsi="宋体" w:eastAsia="宋体" w:cs="Times New Roman"/>
      <w:sz w:val="24"/>
      <w:szCs w:val="24"/>
    </w:rPr>
  </w:style>
  <w:style w:type="character" w:customStyle="1" w:styleId="36">
    <w:name w:val="日期 Char"/>
    <w:basedOn w:val="25"/>
    <w:link w:val="13"/>
    <w:qFormat/>
    <w:uiPriority w:val="0"/>
    <w:rPr>
      <w:rFonts w:ascii="宋体" w:hAnsi="Calibri" w:eastAsia="宋体" w:cs="Times New Roman"/>
      <w:sz w:val="24"/>
      <w:szCs w:val="21"/>
      <w:lang w:val="zh-CN"/>
    </w:rPr>
  </w:style>
  <w:style w:type="character" w:customStyle="1" w:styleId="37">
    <w:name w:val="纯文本 Char"/>
    <w:basedOn w:val="25"/>
    <w:link w:val="12"/>
    <w:qFormat/>
    <w:uiPriority w:val="0"/>
    <w:rPr>
      <w:rFonts w:ascii="宋体" w:hAnsi="Courier New" w:eastAsia="宋体" w:cs="Arial"/>
      <w:snapToGrid w:val="0"/>
      <w:szCs w:val="21"/>
    </w:rPr>
  </w:style>
  <w:style w:type="character" w:customStyle="1" w:styleId="38">
    <w:name w:val="正文文本 Char"/>
    <w:basedOn w:val="25"/>
    <w:link w:val="7"/>
    <w:qFormat/>
    <w:uiPriority w:val="0"/>
    <w:rPr>
      <w:rFonts w:ascii="宋体" w:hAnsi="Arial" w:eastAsia="宋体" w:cs="Arial"/>
      <w:snapToGrid w:val="0"/>
      <w:sz w:val="24"/>
      <w:szCs w:val="21"/>
      <w:lang w:val="zh-CN"/>
    </w:rPr>
  </w:style>
  <w:style w:type="paragraph" w:customStyle="1" w:styleId="39">
    <w:name w:val="索引 11"/>
    <w:basedOn w:val="1"/>
    <w:next w:val="1"/>
    <w:qFormat/>
    <w:uiPriority w:val="99"/>
    <w:pPr>
      <w:spacing w:line="360" w:lineRule="auto"/>
    </w:pPr>
    <w:rPr>
      <w:rFonts w:ascii="仿宋_GB2312" w:eastAsia="仿宋_GB2312"/>
      <w:sz w:val="24"/>
      <w:szCs w:val="20"/>
    </w:rPr>
  </w:style>
  <w:style w:type="paragraph" w:customStyle="1" w:styleId="4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2">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3">
    <w:name w:val="纯文本1"/>
    <w:basedOn w:val="1"/>
    <w:qFormat/>
    <w:uiPriority w:val="0"/>
    <w:rPr>
      <w:rFonts w:ascii="宋体" w:hAnsi="Courier New"/>
      <w:kern w:val="0"/>
      <w:sz w:val="20"/>
      <w:szCs w:val="20"/>
    </w:rPr>
  </w:style>
  <w:style w:type="paragraph" w:customStyle="1" w:styleId="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纯文本_0_0"/>
    <w:basedOn w:val="44"/>
    <w:qFormat/>
    <w:uiPriority w:val="0"/>
    <w:rPr>
      <w:rFonts w:ascii="宋体" w:hAnsi="Courier New"/>
      <w:szCs w:val="21"/>
    </w:rPr>
  </w:style>
  <w:style w:type="paragraph" w:customStyle="1" w:styleId="46">
    <w:name w:val="正文2"/>
    <w:basedOn w:val="1"/>
    <w:qFormat/>
    <w:uiPriority w:val="0"/>
    <w:pPr>
      <w:spacing w:before="156" w:line="360" w:lineRule="auto"/>
      <w:ind w:firstLine="510" w:firstLineChars="200"/>
    </w:pPr>
    <w:rPr>
      <w:sz w:val="24"/>
      <w:szCs w:val="20"/>
    </w:rPr>
  </w:style>
  <w:style w:type="paragraph" w:customStyle="1" w:styleId="47">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8">
    <w:name w:val="标题 3 Char"/>
    <w:basedOn w:val="25"/>
    <w:link w:val="3"/>
    <w:semiHidden/>
    <w:qFormat/>
    <w:uiPriority w:val="9"/>
    <w:rPr>
      <w:rFonts w:ascii="Calibri" w:hAnsi="Calibri" w:eastAsia="宋体" w:cs="Times New Roman"/>
      <w:b/>
      <w:bCs/>
      <w:sz w:val="32"/>
      <w:szCs w:val="32"/>
    </w:rPr>
  </w:style>
  <w:style w:type="character" w:customStyle="1" w:styleId="49">
    <w:name w:val="标题 4 Char"/>
    <w:basedOn w:val="25"/>
    <w:link w:val="4"/>
    <w:semiHidden/>
    <w:qFormat/>
    <w:uiPriority w:val="9"/>
    <w:rPr>
      <w:rFonts w:asciiTheme="majorHAnsi" w:hAnsiTheme="majorHAnsi" w:eastAsiaTheme="majorEastAsia" w:cstheme="majorBidi"/>
      <w:b/>
      <w:bCs/>
      <w:sz w:val="28"/>
      <w:szCs w:val="28"/>
    </w:rPr>
  </w:style>
  <w:style w:type="paragraph" w:customStyle="1" w:styleId="50">
    <w:name w:val="标题4"/>
    <w:basedOn w:val="1"/>
    <w:qFormat/>
    <w:uiPriority w:val="0"/>
    <w:rPr>
      <w:rFonts w:ascii="Times New Roman" w:hAnsi="Times New Roman" w:eastAsia="仿宋_GB2312"/>
      <w:sz w:val="32"/>
      <w:szCs w:val="20"/>
    </w:rPr>
  </w:style>
  <w:style w:type="character" w:customStyle="1" w:styleId="51">
    <w:name w:val="批注框文本 Char"/>
    <w:basedOn w:val="25"/>
    <w:link w:val="14"/>
    <w:semiHidden/>
    <w:qFormat/>
    <w:uiPriority w:val="99"/>
    <w:rPr>
      <w:rFonts w:ascii="Calibri" w:hAnsi="Calibri" w:eastAsia="宋体" w:cs="Times New Roman"/>
      <w:sz w:val="18"/>
      <w:szCs w:val="18"/>
    </w:rPr>
  </w:style>
  <w:style w:type="character" w:customStyle="1" w:styleId="52">
    <w:name w:val="List Paragraph Char"/>
    <w:link w:val="53"/>
    <w:qFormat/>
    <w:locked/>
    <w:uiPriority w:val="0"/>
    <w:rPr>
      <w:rFonts w:ascii="Times New Roman" w:hAnsi="Times New Roman"/>
      <w:szCs w:val="24"/>
    </w:rPr>
  </w:style>
  <w:style w:type="paragraph" w:customStyle="1" w:styleId="53">
    <w:name w:val="列出段落1"/>
    <w:basedOn w:val="1"/>
    <w:link w:val="52"/>
    <w:qFormat/>
    <w:uiPriority w:val="0"/>
    <w:pPr>
      <w:ind w:firstLine="420" w:firstLineChars="200"/>
    </w:pPr>
    <w:rPr>
      <w:rFonts w:ascii="Times New Roman" w:hAnsi="Times New Roman" w:eastAsiaTheme="minorEastAsia" w:cstheme="minorBidi"/>
    </w:rPr>
  </w:style>
  <w:style w:type="paragraph" w:customStyle="1" w:styleId="54">
    <w:name w:val="p18"/>
    <w:basedOn w:val="1"/>
    <w:qFormat/>
    <w:uiPriority w:val="0"/>
    <w:pPr>
      <w:widowControl/>
    </w:pPr>
    <w:rPr>
      <w:kern w:val="0"/>
      <w:sz w:val="24"/>
    </w:rPr>
  </w:style>
  <w:style w:type="paragraph" w:customStyle="1" w:styleId="55">
    <w:name w:val="列表段落1"/>
    <w:basedOn w:val="1"/>
    <w:qFormat/>
    <w:uiPriority w:val="34"/>
    <w:pPr>
      <w:ind w:firstLine="420" w:firstLineChars="200"/>
    </w:pPr>
    <w:rPr>
      <w:rFonts w:asciiTheme="minorHAnsi" w:hAnsiTheme="minorHAnsi" w:eastAsiaTheme="minorEastAsia" w:cstheme="minorBidi"/>
      <w:szCs w:val="22"/>
    </w:rPr>
  </w:style>
  <w:style w:type="character" w:customStyle="1" w:styleId="56">
    <w:name w:val="正文文本缩进 3 Char"/>
    <w:basedOn w:val="25"/>
    <w:link w:val="20"/>
    <w:qFormat/>
    <w:uiPriority w:val="0"/>
    <w:rPr>
      <w:rFonts w:ascii="Times New Roman" w:hAnsi="Times New Roman" w:eastAsia="宋体" w:cs="Times New Roman"/>
      <w:kern w:val="2"/>
      <w:sz w:val="16"/>
      <w:szCs w:val="16"/>
    </w:rPr>
  </w:style>
  <w:style w:type="character" w:customStyle="1" w:styleId="57">
    <w:name w:val="副标题 Char"/>
    <w:basedOn w:val="25"/>
    <w:link w:val="17"/>
    <w:qFormat/>
    <w:uiPriority w:val="11"/>
    <w:rPr>
      <w:rFonts w:eastAsia="宋体" w:asciiTheme="majorHAnsi" w:hAnsiTheme="majorHAnsi" w:cstheme="majorBidi"/>
      <w:b/>
      <w:bCs/>
      <w:kern w:val="28"/>
      <w:sz w:val="32"/>
      <w:szCs w:val="32"/>
    </w:rPr>
  </w:style>
  <w:style w:type="character" w:customStyle="1" w:styleId="58">
    <w:name w:val="正文缩进 Char"/>
    <w:link w:val="6"/>
    <w:qFormat/>
    <w:uiPriority w:val="0"/>
    <w:rPr>
      <w:rFonts w:ascii="宋体" w:hAnsi="Calibri" w:eastAsia="宋体" w:cs="Times New Roman"/>
      <w:snapToGrid w:val="0"/>
      <w:color w:val="000000"/>
      <w:kern w:val="28"/>
      <w:sz w:val="28"/>
    </w:rPr>
  </w:style>
  <w:style w:type="paragraph" w:customStyle="1" w:styleId="59">
    <w:name w:val="MY正文"/>
    <w:basedOn w:val="1"/>
    <w:qFormat/>
    <w:uiPriority w:val="0"/>
    <w:pPr>
      <w:spacing w:line="360" w:lineRule="auto"/>
      <w:ind w:firstLine="560" w:firstLineChars="200"/>
    </w:pPr>
    <w:rPr>
      <w:rFonts w:ascii="Times New Roman" w:hAnsi="Times New Roman" w:eastAsia="仿宋" w:cstheme="minorBidi"/>
      <w:szCs w:val="28"/>
    </w:rPr>
  </w:style>
  <w:style w:type="character" w:customStyle="1" w:styleId="60">
    <w:name w:val="正文首行缩进 2 Char"/>
    <w:basedOn w:val="35"/>
    <w:link w:val="10"/>
    <w:semiHidden/>
    <w:qFormat/>
    <w:uiPriority w:val="99"/>
    <w:rPr>
      <w:rFonts w:ascii="Calibri" w:hAnsi="Calibri" w:eastAsia="宋体" w:cs="Times New Roman"/>
      <w:kern w:val="2"/>
      <w:sz w:val="21"/>
      <w:szCs w:val="24"/>
    </w:rPr>
  </w:style>
  <w:style w:type="character" w:customStyle="1" w:styleId="61">
    <w:name w:val="font11"/>
    <w:basedOn w:val="25"/>
    <w:qFormat/>
    <w:uiPriority w:val="0"/>
    <w:rPr>
      <w:rFonts w:hint="eastAsia" w:ascii="宋体" w:hAnsi="宋体" w:eastAsia="宋体" w:cs="宋体"/>
      <w:color w:val="000000"/>
      <w:sz w:val="22"/>
      <w:szCs w:val="22"/>
      <w:u w:val="none"/>
    </w:rPr>
  </w:style>
  <w:style w:type="paragraph" w:customStyle="1" w:styleId="62">
    <w:name w:val="正文-正文"/>
    <w:basedOn w:val="1"/>
    <w:qFormat/>
    <w:uiPriority w:val="0"/>
    <w:pPr>
      <w:spacing w:line="360" w:lineRule="auto"/>
      <w:ind w:firstLine="200" w:firstLineChars="200"/>
    </w:pPr>
    <w:rPr>
      <w:rFonts w:ascii="Times New Roman" w:hAnsi="Times New Roman" w:eastAsia="仿宋_GB2312" w:cstheme="minorBidi"/>
      <w:sz w:val="28"/>
      <w:szCs w:val="22"/>
    </w:rPr>
  </w:style>
  <w:style w:type="paragraph" w:customStyle="1" w:styleId="63">
    <w:name w:val="p17"/>
    <w:basedOn w:val="1"/>
    <w:qFormat/>
    <w:uiPriority w:val="0"/>
    <w:pPr>
      <w:ind w:firstLine="420"/>
    </w:pPr>
    <w:rPr>
      <w:rFonts w:ascii="Times New Roman" w:hAnsi="Times New Roman" w:cs="黑体"/>
      <w:b/>
      <w:bCs/>
      <w:sz w:val="28"/>
      <w:szCs w:val="28"/>
    </w:rPr>
  </w:style>
  <w:style w:type="character" w:customStyle="1" w:styleId="64">
    <w:name w:val="textcolor1"/>
    <w:basedOn w:val="25"/>
    <w:qFormat/>
    <w:uiPriority w:val="0"/>
    <w:rPr>
      <w:color w:val="FF6600"/>
    </w:rPr>
  </w:style>
  <w:style w:type="character" w:customStyle="1" w:styleId="65">
    <w:name w:val="标题 5 Char"/>
    <w:basedOn w:val="25"/>
    <w:link w:val="5"/>
    <w:semiHidden/>
    <w:qFormat/>
    <w:uiPriority w:val="9"/>
    <w:rPr>
      <w:rFonts w:ascii="Calibri" w:hAnsi="Calibri"/>
      <w:b/>
      <w:bCs/>
      <w:kern w:val="2"/>
      <w:sz w:val="28"/>
      <w:szCs w:val="28"/>
    </w:rPr>
  </w:style>
  <w:style w:type="character" w:customStyle="1" w:styleId="66">
    <w:name w:val="font21"/>
    <w:basedOn w:val="25"/>
    <w:qFormat/>
    <w:uiPriority w:val="0"/>
    <w:rPr>
      <w:rFonts w:hint="eastAsia" w:ascii="宋体" w:hAnsi="宋体" w:eastAsia="宋体" w:cs="宋体"/>
      <w:color w:val="000000"/>
      <w:sz w:val="24"/>
      <w:szCs w:val="24"/>
      <w:u w:val="none"/>
    </w:rPr>
  </w:style>
  <w:style w:type="paragraph" w:customStyle="1" w:styleId="67">
    <w:name w:val="列出段落2"/>
    <w:basedOn w:val="1"/>
    <w:qFormat/>
    <w:uiPriority w:val="0"/>
    <w:pPr>
      <w:spacing w:line="360" w:lineRule="auto"/>
      <w:ind w:firstLine="420" w:firstLineChars="200"/>
    </w:pPr>
    <w:rPr>
      <w:szCs w:val="20"/>
    </w:rPr>
  </w:style>
  <w:style w:type="paragraph" w:customStyle="1" w:styleId="68">
    <w:name w:val="BodyText1I"/>
    <w:basedOn w:val="69"/>
    <w:qFormat/>
    <w:uiPriority w:val="0"/>
    <w:pPr>
      <w:spacing w:after="120" w:line="240" w:lineRule="auto"/>
      <w:ind w:firstLine="420" w:firstLineChars="100"/>
    </w:pPr>
    <w:rPr>
      <w:sz w:val="21"/>
    </w:rPr>
  </w:style>
  <w:style w:type="paragraph" w:customStyle="1" w:styleId="69">
    <w:name w:val="BodyText"/>
    <w:basedOn w:val="1"/>
    <w:next w:val="1"/>
    <w:qFormat/>
    <w:uiPriority w:val="0"/>
    <w:pPr>
      <w:spacing w:line="360" w:lineRule="auto"/>
      <w:textAlignment w:val="baseline"/>
    </w:pPr>
    <w:rPr>
      <w:sz w:val="24"/>
    </w:rPr>
  </w:style>
  <w:style w:type="character" w:customStyle="1" w:styleId="70">
    <w:name w:val="font41"/>
    <w:basedOn w:val="25"/>
    <w:qFormat/>
    <w:uiPriority w:val="0"/>
    <w:rPr>
      <w:rFonts w:hint="eastAsia" w:ascii="宋体" w:hAnsi="宋体" w:eastAsia="宋体" w:cs="宋体"/>
      <w:color w:val="000000"/>
      <w:sz w:val="22"/>
      <w:szCs w:val="22"/>
      <w:u w:val="none"/>
      <w:vertAlign w:val="superscript"/>
    </w:rPr>
  </w:style>
  <w:style w:type="paragraph" w:customStyle="1" w:styleId="71">
    <w:name w:val="Default"/>
    <w:qFormat/>
    <w:uiPriority w:val="0"/>
    <w:pPr>
      <w:widowControl w:val="0"/>
      <w:autoSpaceDE w:val="0"/>
      <w:autoSpaceDN w:val="0"/>
      <w:adjustRightInd w:val="0"/>
    </w:pPr>
    <w:rPr>
      <w:rFonts w:ascii="宋体..鍼笁鍼." w:hAnsi="Calibri" w:eastAsia="宋体..鍼笁鍼." w:cs="宋体..鍼笁鍼."/>
      <w:color w:val="000000"/>
      <w:sz w:val="24"/>
      <w:szCs w:val="24"/>
      <w:lang w:val="en-US" w:eastAsia="zh-CN" w:bidi="ar-SA"/>
    </w:rPr>
  </w:style>
  <w:style w:type="paragraph" w:customStyle="1" w:styleId="72">
    <w:name w:val="正文段"/>
    <w:basedOn w:val="1"/>
    <w:qFormat/>
    <w:uiPriority w:val="0"/>
    <w:pPr>
      <w:widowControl/>
      <w:snapToGrid w:val="0"/>
      <w:spacing w:afterLines="50"/>
      <w:ind w:firstLine="400"/>
    </w:pPr>
    <w:rPr>
      <w:rFonts w:ascii="Times New Roman" w:hAnsi="Times New Roman"/>
      <w:kern w:val="0"/>
      <w:sz w:val="24"/>
      <w:szCs w:val="20"/>
    </w:rPr>
  </w:style>
  <w:style w:type="paragraph" w:customStyle="1" w:styleId="73">
    <w:name w:val="Table Text"/>
    <w:basedOn w:val="1"/>
    <w:semiHidden/>
    <w:qFormat/>
    <w:uiPriority w:val="0"/>
    <w:rPr>
      <w:rFonts w:ascii="宋体" w:hAnsi="宋体" w:cs="宋体"/>
      <w:sz w:val="14"/>
      <w:szCs w:val="14"/>
      <w:lang w:eastAsia="en-US"/>
    </w:rPr>
  </w:style>
  <w:style w:type="table" w:customStyle="1" w:styleId="74">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75">
    <w:name w:val="text-selectable"/>
    <w:basedOn w:val="25"/>
    <w:qFormat/>
    <w:uiPriority w:val="0"/>
  </w:style>
  <w:style w:type="paragraph" w:customStyle="1" w:styleId="76">
    <w:name w:val="标题4正文小四"/>
    <w:basedOn w:val="1"/>
    <w:qFormat/>
    <w:uiPriority w:val="0"/>
    <w:pPr>
      <w:spacing w:line="360" w:lineRule="auto"/>
      <w:ind w:left="1168" w:hanging="510"/>
      <w:textAlignment w:val="baseline"/>
    </w:pPr>
    <w:rPr>
      <w:rFonts w:ascii="Times New Roman" w:hAnsi="Times New Roman"/>
      <w:sz w:val="24"/>
      <w:szCs w:val="20"/>
    </w:rPr>
  </w:style>
  <w:style w:type="paragraph" w:customStyle="1" w:styleId="77">
    <w:name w:val="Other|1"/>
    <w:basedOn w:val="1"/>
    <w:qFormat/>
    <w:uiPriority w:val="0"/>
    <w:rPr>
      <w:rFonts w:ascii="宋体" w:hAnsi="宋体" w:cs="宋体"/>
      <w:color w:val="2F2F30"/>
      <w:sz w:val="13"/>
      <w:szCs w:val="13"/>
      <w:lang w:val="zh-TW" w:eastAsia="zh-TW" w:bidi="zh-TW"/>
    </w:rPr>
  </w:style>
  <w:style w:type="paragraph" w:customStyle="1" w:styleId="78">
    <w:name w:val="表格内容"/>
    <w:basedOn w:val="1"/>
    <w:qFormat/>
    <w:uiPriority w:val="0"/>
    <w:pPr>
      <w:jc w:val="center"/>
    </w:pPr>
    <w:rPr>
      <w:rFonts w:cs="宋体"/>
      <w:sz w:val="20"/>
      <w:szCs w:val="21"/>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71</Pages>
  <Words>7200</Words>
  <Characters>8383</Characters>
  <Lines>59</Lines>
  <Paragraphs>86</Paragraphs>
  <TotalTime>13</TotalTime>
  <ScaleCrop>false</ScaleCrop>
  <LinksUpToDate>false</LinksUpToDate>
  <CharactersWithSpaces>8650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2022-10-13T02:01:00Z</dcterms:created>
  <dc:creator>Microsoft</dc:creator>
  <cp:lastModifiedBy>一</cp:lastModifiedBy>
  <cp:lastPrinted>2024-01-20T00:18:00Z</cp:lastPrinted>
  <dcterms:modified xsi:type="dcterms:W3CDTF">2025-06-06T08:25:34Z</dcterms:modified>
  <cp:revision>929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A12025A4C1A0495C92A5218CFCA62A79</vt:lpwstr>
  </property>
  <property fmtid="{D5CDD505-2E9C-101B-9397-08002B2CF9AE}" pid="4" name="KSOTemplateDocerSaveRecord">
    <vt:lpwstr>eyJoZGlkIjoiNGU3MzY4Zjc0ZWNjYmRkYWJhODU4Mzc2MjQ4ZWQ4ZmQiLCJ1c2VySWQiOiI4OTMxNjkyMTYifQ==</vt:lpwstr>
  </property>
</Properties>
</file>