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2024年</w:t>
      </w:r>
      <w:r>
        <w:rPr>
          <w:rFonts w:hint="eastAsia" w:ascii="方正小标宋简体" w:hAnsi="方正小标宋简体" w:eastAsia="方正小标宋简体" w:cs="方正小标宋简体"/>
          <w:b w:val="0"/>
          <w:bCs w:val="0"/>
          <w:sz w:val="44"/>
          <w:szCs w:val="44"/>
          <w:u w:val="none"/>
          <w:lang w:val="en-US" w:eastAsia="zh-CN"/>
        </w:rPr>
        <w:t>第三师图木舒克市行政事业单位公务用车保险框架协议采购项目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44"/>
          <w:szCs w:val="44"/>
          <w:u w:val="none"/>
          <w:lang w:val="en-US" w:eastAsia="zh-CN"/>
        </w:rPr>
      </w:pPr>
      <w:r>
        <w:rPr>
          <w:rFonts w:hint="eastAsia" w:ascii="Times New Roman" w:hAnsi="Times New Roman" w:eastAsia="方正小标宋简体" w:cs="方正小标宋简体"/>
          <w:b w:val="0"/>
          <w:bCs w:val="0"/>
          <w:sz w:val="44"/>
          <w:szCs w:val="44"/>
          <w:u w:val="none"/>
          <w:lang w:val="en-US" w:eastAsia="zh-CN"/>
        </w:rPr>
        <w:t>采购需求论证报告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val="0"/>
          <w:sz w:val="52"/>
          <w:szCs w:val="5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500"/>
        <w:textAlignment w:val="auto"/>
        <w:rPr>
          <w:rFonts w:hint="eastAsia" w:ascii="黑体" w:hAnsi="黑体" w:eastAsia="黑体" w:cs="黑体"/>
          <w:sz w:val="32"/>
          <w:szCs w:val="32"/>
        </w:rPr>
      </w:pPr>
      <w:r>
        <w:rPr>
          <w:rFonts w:hint="eastAsia" w:ascii="黑体" w:hAnsi="黑体" w:eastAsia="黑体" w:cs="黑体"/>
          <w:b w:val="0"/>
          <w:bCs w:val="0"/>
          <w:sz w:val="32"/>
          <w:szCs w:val="32"/>
        </w:rPr>
        <w:t>征集人名称：兵团公共资源交易中心第三分中心</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5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日期</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2024年3月22日</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u w:val="none"/>
        </w:rPr>
      </w:pPr>
      <w:r>
        <w:rPr>
          <w:rFonts w:hint="eastAsia" w:ascii="黑体" w:hAnsi="黑体" w:eastAsia="黑体" w:cs="黑体"/>
          <w:b/>
          <w:bCs/>
          <w:sz w:val="32"/>
          <w:szCs w:val="32"/>
          <w:u w:val="none"/>
          <w:lang w:val="en-US" w:eastAsia="zh-CN"/>
        </w:rPr>
        <w:t>一、</w:t>
      </w:r>
      <w:r>
        <w:rPr>
          <w:rFonts w:hint="default" w:ascii="Times New Roman" w:hAnsi="Times New Roman" w:eastAsia="黑体" w:cs="Times New Roman"/>
          <w:sz w:val="32"/>
          <w:szCs w:val="32"/>
          <w:u w:val="none"/>
          <w:lang w:val="en-US" w:eastAsia="zh-CN"/>
        </w:rPr>
        <w:t>2024</w:t>
      </w:r>
      <w:r>
        <w:rPr>
          <w:rFonts w:hint="eastAsia" w:ascii="黑体" w:hAnsi="黑体" w:eastAsia="黑体" w:cs="黑体"/>
          <w:sz w:val="32"/>
          <w:szCs w:val="32"/>
          <w:u w:val="none"/>
          <w:lang w:val="en-US" w:eastAsia="zh-CN"/>
        </w:rPr>
        <w:t>年</w:t>
      </w:r>
      <w:r>
        <w:rPr>
          <w:rFonts w:hint="eastAsia" w:ascii="黑体" w:hAnsi="黑体" w:eastAsia="黑体" w:cs="黑体"/>
          <w:b w:val="0"/>
          <w:bCs w:val="0"/>
          <w:sz w:val="32"/>
          <w:szCs w:val="32"/>
          <w:u w:val="none"/>
          <w:lang w:val="en-US" w:eastAsia="zh-CN"/>
        </w:rPr>
        <w:t>第三师图木舒克市行政事业单位公务用车保险框架协议采购项目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lang w:eastAsia="zh-CN"/>
        </w:rPr>
      </w:pPr>
      <w:r>
        <w:rPr>
          <w:rFonts w:hint="eastAsia" w:ascii="方正楷体_GB2312" w:hAnsi="方正楷体_GB2312" w:eastAsia="方正楷体_GB2312" w:cs="方正楷体_GB2312"/>
          <w:sz w:val="32"/>
          <w:szCs w:val="32"/>
          <w:lang w:val="en-US" w:eastAsia="zh-CN"/>
        </w:rPr>
        <w:t>（一）</w:t>
      </w:r>
      <w:r>
        <w:rPr>
          <w:rFonts w:hint="eastAsia" w:ascii="方正楷体_GB2312" w:hAnsi="方正楷体_GB2312" w:eastAsia="方正楷体_GB2312" w:cs="方正楷体_GB2312"/>
          <w:sz w:val="32"/>
          <w:szCs w:val="32"/>
        </w:rPr>
        <w:t>描述采购项目的背景信息</w:t>
      </w:r>
      <w:r>
        <w:rPr>
          <w:rFonts w:hint="eastAsia" w:ascii="方正楷体_GB2312" w:hAnsi="方正楷体_GB2312" w:eastAsia="方正楷体_GB2312" w:cs="方正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1.集中采购：通过框架协议，能够集中管理其所有车辆的保险需求，实现规模经济，降低保险成本，并简化采购流程。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2.标准化条款：框架协议为所有车辆提供的保险提供了一组标准化的条款，确保了保险覆盖的一致性，所有的车辆都按相同的标准得到保护。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3.简化管理：可以简化行政管理过程，为保险续签、索赔处理以及管理和记录保全提供了便利。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4.风险管理：能更好地监控和控制整体风险暴露，推动风险管理的标准化实践。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5.预算控制：通过固定单价合同约定能够更准确地预预算和控制运营成本。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6.合规性：采用框架协议购买车辆保险服务有助于确保所有车辆都符合法规要求的最低保险标准。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sz w:val="32"/>
          <w:szCs w:val="32"/>
          <w:lang w:val="en-US" w:eastAsia="zh-CN"/>
        </w:rPr>
      </w:pPr>
      <w:r>
        <w:rPr>
          <w:rFonts w:hint="eastAsia" w:ascii="Times New Roman" w:hAnsi="Times New Roman" w:eastAsia="仿宋_GB2312" w:cs="仿宋_GB2312"/>
          <w:b w:val="0"/>
          <w:bCs/>
          <w:sz w:val="32"/>
          <w:szCs w:val="32"/>
          <w:lang w:val="en-US" w:eastAsia="zh-CN"/>
        </w:rPr>
        <w:t>7.响应时间优化：在大规模事故或损失事件时，框架协议中有预先确定的流程和协议，可以帮助快速有效地应对和处理索赔。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lang w:eastAsia="zh-CN"/>
        </w:rPr>
      </w:pPr>
      <w:r>
        <w:rPr>
          <w:rFonts w:hint="eastAsia" w:ascii="Times New Roman" w:hAnsi="Times New Roman" w:eastAsia="仿宋_GB2312" w:cs="仿宋_GB2312"/>
          <w:b w:val="0"/>
          <w:bCs/>
          <w:sz w:val="32"/>
          <w:szCs w:val="32"/>
          <w:lang w:val="en-US" w:eastAsia="zh-CN"/>
        </w:rPr>
        <w:t>8.服务质量控制：能够规定对保险提供商的服务质量要求，例如响应时间、索赔处理流程等，确保高标准服务的提供。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lang w:eastAsia="zh-CN"/>
        </w:rPr>
      </w:pPr>
      <w:r>
        <w:rPr>
          <w:rFonts w:hint="eastAsia" w:ascii="方正楷体_GB2312" w:hAnsi="方正楷体_GB2312" w:eastAsia="方正楷体_GB2312" w:cs="方正楷体_GB2312"/>
          <w:kern w:val="2"/>
          <w:sz w:val="32"/>
          <w:szCs w:val="32"/>
          <w:lang w:val="en-US" w:eastAsia="zh-CN" w:bidi="ar-SA"/>
        </w:rPr>
        <w:t>（二）</w:t>
      </w:r>
      <w:r>
        <w:rPr>
          <w:rFonts w:hint="eastAsia" w:ascii="方正楷体_GB2312" w:hAnsi="方正楷体_GB2312" w:eastAsia="方正楷体_GB2312" w:cs="方正楷体_GB2312"/>
          <w:sz w:val="32"/>
          <w:szCs w:val="32"/>
        </w:rPr>
        <w:t>阐明采购需求的来源和项目的目标</w:t>
      </w:r>
      <w:r>
        <w:rPr>
          <w:rFonts w:hint="eastAsia" w:ascii="方正楷体_GB2312" w:hAnsi="方正楷体_GB2312" w:eastAsia="方正楷体_GB2312" w:cs="方正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sz w:val="32"/>
          <w:szCs w:val="32"/>
          <w:u w:val="single"/>
          <w:lang w:val="en-US" w:eastAsia="zh-CN"/>
        </w:rPr>
      </w:pPr>
      <w:r>
        <w:rPr>
          <w:rFonts w:hint="eastAsia" w:ascii="Times New Roman" w:hAnsi="Times New Roman" w:eastAsia="仿宋_GB2312" w:cs="仿宋_GB2312"/>
          <w:b w:val="0"/>
          <w:bCs/>
          <w:sz w:val="32"/>
          <w:szCs w:val="32"/>
          <w:u w:val="single"/>
          <w:lang w:val="en-US" w:eastAsia="zh-CN"/>
        </w:rPr>
        <w:t>为保障图木舒克市本级及周边团场党政机关行政部门及其所属事业单位车辆保险、理赔服务。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二、需求详细说明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楷体_GB2312" w:hAnsi="方正楷体_GB2312" w:eastAsia="方正楷体_GB2312" w:cs="方正楷体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（一）服务内容：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kern w:val="2"/>
          <w:sz w:val="32"/>
          <w:szCs w:val="32"/>
          <w:u w:val="single"/>
          <w:lang w:val="en-US" w:eastAsia="zh-CN" w:bidi="ar-SA"/>
        </w:rPr>
      </w:pPr>
      <w:r>
        <w:rPr>
          <w:rFonts w:hint="eastAsia" w:ascii="Times New Roman" w:hAnsi="Times New Roman" w:eastAsia="仿宋_GB2312" w:cs="仿宋_GB2312"/>
          <w:b w:val="0"/>
          <w:bCs w:val="0"/>
          <w:kern w:val="2"/>
          <w:sz w:val="32"/>
          <w:szCs w:val="32"/>
          <w:u w:val="single"/>
          <w:lang w:val="en-US" w:eastAsia="zh-CN" w:bidi="ar-SA"/>
        </w:rPr>
        <w:t>公务用车定点保险、理赔服务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楷体_GB2312" w:hAnsi="方正楷体_GB2312" w:eastAsia="方正楷体_GB2312" w:cs="方正楷体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（二）服务要求：</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供应商</w:t>
      </w:r>
      <w:r>
        <w:rPr>
          <w:rFonts w:hint="default" w:ascii="Times New Roman" w:hAnsi="Times New Roman" w:eastAsia="仿宋_GB2312" w:cs="Times New Roman"/>
          <w:sz w:val="32"/>
          <w:szCs w:val="32"/>
          <w:lang w:val="en-US" w:eastAsia="zh-CN"/>
        </w:rPr>
        <w:t>必须提供企业法人营业执照、税务登记证、组织机构代码证。</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供应商</w:t>
      </w:r>
      <w:r>
        <w:rPr>
          <w:rFonts w:hint="default" w:ascii="Times New Roman" w:hAnsi="Times New Roman" w:eastAsia="仿宋_GB2312" w:cs="Times New Roman"/>
          <w:sz w:val="32"/>
          <w:szCs w:val="32"/>
          <w:lang w:val="en-US" w:eastAsia="zh-CN"/>
        </w:rPr>
        <w:t>必须为在中华人民共和国境内注册（不包括在港澳台地区注册成立的法人和其它组织）的、拥有中国银行保险监督管理委员会批准开展财产保险业务。</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3.必须是守信誉企业，无不良行为记录。</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4.必须在三师具有经营保险业务的资格及理赔能力，且具有中国银行保险监督管理委员会颁发的《中华人民共和国经营保险业务许可证》。</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5.在三师图木舒克市辖区内、各团场范围内拥有中国银行保险监督管理委员会批准的营业网点。</w:t>
      </w:r>
    </w:p>
    <w:p>
      <w:pPr>
        <w:keepNext w:val="0"/>
        <w:keepLines w:val="0"/>
        <w:pageBreakBefore w:val="0"/>
        <w:numPr>
          <w:ilvl w:val="0"/>
          <w:numId w:val="0"/>
        </w:numPr>
        <w:shd w:val="clea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6.出险和理赔，</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在接到出险报案后，在图市市区内的30分钟内到达事故现场</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在50公里内的1小时内到达事故现场</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偏远地区、交通不便地段在接到报案后迅速赶赴现场</w:t>
      </w:r>
      <w:r>
        <w:rPr>
          <w:rFonts w:hint="default" w:ascii="Times New Roman" w:hAnsi="Times New Roman" w:eastAsia="仿宋_GB2312" w:cs="Times New Roman"/>
          <w:sz w:val="32"/>
          <w:szCs w:val="32"/>
          <w:highlight w:val="none"/>
          <w:lang w:val="en-US" w:eastAsia="zh-CN"/>
        </w:rPr>
        <w:t>。依据行业标准的赔款时效：赔偿金额在0.2万元（含）以内的一日内支付；赔偿金额在0.2-1万元（含）以内的，在三日内支付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赔偿金额在1-5万元（含）以内的，在五日内支付</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赔偿金额在5-10万元（含）以内的，在七日内支付；赔偿金额在10万元以上的，在十日内支付。重大赔案由于客观原因不能及时结案的，</w:t>
      </w:r>
      <w:r>
        <w:rPr>
          <w:rFonts w:hint="eastAsia" w:ascii="Times New Roman" w:hAnsi="Times New Roman" w:eastAsia="仿宋_GB2312" w:cs="Times New Roman"/>
          <w:sz w:val="32"/>
          <w:szCs w:val="32"/>
          <w:highlight w:val="none"/>
          <w:lang w:val="en-US" w:eastAsia="zh-CN"/>
        </w:rPr>
        <w:t>供应商</w:t>
      </w:r>
      <w:r>
        <w:rPr>
          <w:rFonts w:hint="default" w:ascii="Times New Roman" w:hAnsi="Times New Roman" w:eastAsia="仿宋_GB2312" w:cs="Times New Roman"/>
          <w:sz w:val="32"/>
          <w:szCs w:val="32"/>
          <w:highlight w:val="none"/>
          <w:lang w:val="en-US" w:eastAsia="zh-CN"/>
        </w:rPr>
        <w:t>必须根据事故责任认定和初步定损情况以及所属单位的要求，10个工作日内作出不低于50%应赔金额的预付，以解决事故急需。</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0"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注：</w:t>
      </w:r>
      <w:r>
        <w:rPr>
          <w:rFonts w:hint="default" w:ascii="Times New Roman" w:hAnsi="Times New Roman" w:eastAsia="仿宋_GB2312" w:cs="Times New Roman"/>
          <w:b/>
          <w:bCs/>
          <w:sz w:val="32"/>
          <w:szCs w:val="32"/>
          <w:lang w:val="en-US" w:eastAsia="zh-CN"/>
        </w:rPr>
        <w:t>保费调整：定点保险执行期间，因政策调整导致保费发生变化的，必须以就低的原则收取保费，以就高的原则进行赔付。</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7.</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建立与本合同要求相适应的、能够满足本合同定责的保险服务和保障体系，建立专门的服务机构，配备固定的联系人员和专业服务人员。</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8.</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上门为投保单位免费办理承保、理赔、宜传等保险手续和服务。</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9.</w:t>
      </w:r>
      <w:r>
        <w:rPr>
          <w:rFonts w:hint="default" w:ascii="Times New Roman" w:hAnsi="Times New Roman" w:eastAsia="仿宋_GB2312" w:cs="Times New Roman"/>
          <w:color w:val="1D1D1D"/>
          <w:sz w:val="32"/>
          <w:szCs w:val="32"/>
        </w:rPr>
        <w:t>确认投保后，</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上门到投保单位，并由投保单位确认盖章。</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10.</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上门解释保险条款、费率和险种，向投保单位告知服务体系和理赔程序。</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11.</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服务人员上门送达保险单、发票等。</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12.</w:t>
      </w:r>
      <w:r>
        <w:rPr>
          <w:rFonts w:hint="default" w:ascii="Times New Roman" w:hAnsi="Times New Roman" w:eastAsia="仿宋_GB2312" w:cs="Times New Roman"/>
          <w:color w:val="1D1D1D"/>
          <w:sz w:val="32"/>
          <w:szCs w:val="32"/>
        </w:rPr>
        <w:t>保险到期前的30天，由</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向投保单位提供提醒服务。投保车辆出险后，</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负责向投保单位告知案件处理进展和结案情况，并及时提供理赔帮助和索赔提醒服务。</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rPr>
      </w:pPr>
      <w:r>
        <w:rPr>
          <w:rFonts w:hint="default" w:ascii="Times New Roman" w:hAnsi="Times New Roman" w:eastAsia="仿宋_GB2312" w:cs="Times New Roman"/>
          <w:color w:val="1D1D1D"/>
          <w:sz w:val="32"/>
          <w:szCs w:val="32"/>
          <w:lang w:val="en-US" w:eastAsia="zh-CN"/>
        </w:rPr>
        <w:t>13.</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设立24小时全天候服务专线，受理承保车辆的事故和理赔报案</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提供365天无休假服务</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向投保单位提供车辆事故方面的法律援助和咨询服务。保险车辆发生交通事故时，在投保单位提出要求时，</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应派人协助投保单位进行交通事故的处理。</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1D1D1D"/>
          <w:sz w:val="32"/>
          <w:szCs w:val="32"/>
          <w:lang w:eastAsia="zh-CN"/>
        </w:rPr>
      </w:pPr>
      <w:r>
        <w:rPr>
          <w:rFonts w:hint="default" w:ascii="Times New Roman" w:hAnsi="Times New Roman" w:eastAsia="仿宋_GB2312" w:cs="Times New Roman"/>
          <w:color w:val="1D1D1D"/>
          <w:sz w:val="32"/>
          <w:szCs w:val="32"/>
          <w:lang w:val="en-US" w:eastAsia="zh-CN"/>
        </w:rPr>
        <w:t>1</w:t>
      </w:r>
      <w:r>
        <w:rPr>
          <w:rFonts w:hint="eastAsia" w:ascii="Times New Roman" w:hAnsi="Times New Roman" w:eastAsia="仿宋_GB2312" w:cs="Times New Roman"/>
          <w:color w:val="1D1D1D"/>
          <w:sz w:val="32"/>
          <w:szCs w:val="32"/>
          <w:lang w:val="en-US" w:eastAsia="zh-CN"/>
        </w:rPr>
        <w:t>4</w:t>
      </w:r>
      <w:r>
        <w:rPr>
          <w:rFonts w:hint="default" w:ascii="Times New Roman" w:hAnsi="Times New Roman" w:eastAsia="仿宋_GB2312" w:cs="Times New Roman"/>
          <w:color w:val="1D1D1D"/>
          <w:sz w:val="32"/>
          <w:szCs w:val="32"/>
          <w:lang w:val="en-US" w:eastAsia="zh-CN"/>
        </w:rPr>
        <w:t>.</w:t>
      </w:r>
      <w:r>
        <w:rPr>
          <w:rFonts w:hint="eastAsia" w:ascii="Times New Roman" w:hAnsi="Times New Roman" w:eastAsia="仿宋_GB2312" w:cs="Times New Roman"/>
          <w:color w:val="1D1D1D"/>
          <w:sz w:val="32"/>
          <w:szCs w:val="32"/>
          <w:lang w:eastAsia="zh-CN"/>
        </w:rPr>
        <w:t>采购人或者服务对象</w:t>
      </w:r>
      <w:r>
        <w:rPr>
          <w:rFonts w:hint="default" w:ascii="Times New Roman" w:hAnsi="Times New Roman" w:eastAsia="仿宋_GB2312" w:cs="Times New Roman"/>
          <w:color w:val="1D1D1D"/>
          <w:sz w:val="32"/>
          <w:szCs w:val="32"/>
          <w:lang w:eastAsia="zh-CN"/>
        </w:rPr>
        <w:t>车辆在途中抛锚</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lang w:eastAsia="zh-CN"/>
        </w:rPr>
        <w:t>无条件负责救援工作。</w:t>
      </w:r>
    </w:p>
    <w:p>
      <w:pPr>
        <w:pStyle w:val="4"/>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default" w:ascii="Times New Roman" w:hAnsi="Times New Roman" w:eastAsia="仿宋_GB2312" w:cs="Times New Roman"/>
          <w:color w:val="1D1D1D"/>
          <w:sz w:val="32"/>
          <w:szCs w:val="32"/>
          <w:lang w:val="en-US" w:eastAsia="zh-CN"/>
        </w:rPr>
        <w:t>1</w:t>
      </w:r>
      <w:r>
        <w:rPr>
          <w:rFonts w:hint="eastAsia" w:ascii="Times New Roman" w:hAnsi="Times New Roman" w:eastAsia="仿宋_GB2312" w:cs="Times New Roman"/>
          <w:color w:val="1D1D1D"/>
          <w:sz w:val="32"/>
          <w:szCs w:val="32"/>
          <w:lang w:val="en-US" w:eastAsia="zh-CN"/>
        </w:rPr>
        <w:t>5</w:t>
      </w:r>
      <w:r>
        <w:rPr>
          <w:rFonts w:hint="default" w:ascii="Times New Roman" w:hAnsi="Times New Roman" w:eastAsia="仿宋_GB2312" w:cs="Times New Roman"/>
          <w:color w:val="1D1D1D"/>
          <w:sz w:val="32"/>
          <w:szCs w:val="32"/>
        </w:rPr>
        <w:t>对投保单位提供的理赔证明材料齐全的理赔案件，</w:t>
      </w:r>
      <w:r>
        <w:rPr>
          <w:rFonts w:hint="eastAsia" w:ascii="Times New Roman" w:hAnsi="Times New Roman" w:eastAsia="仿宋_GB2312" w:cs="Times New Roman"/>
          <w:color w:val="1D1D1D"/>
          <w:sz w:val="32"/>
          <w:szCs w:val="32"/>
          <w:lang w:eastAsia="zh-CN"/>
        </w:rPr>
        <w:t>供应商</w:t>
      </w:r>
      <w:r>
        <w:rPr>
          <w:rFonts w:hint="default" w:ascii="Times New Roman" w:hAnsi="Times New Roman" w:eastAsia="仿宋_GB2312" w:cs="Times New Roman"/>
          <w:color w:val="1D1D1D"/>
          <w:sz w:val="32"/>
          <w:szCs w:val="32"/>
        </w:rPr>
        <w:t>承诺</w:t>
      </w:r>
      <w:r>
        <w:rPr>
          <w:rFonts w:hint="default" w:ascii="Times New Roman" w:hAnsi="Times New Roman" w:eastAsia="仿宋_GB2312" w:cs="Times New Roman"/>
          <w:color w:val="1D1D1D"/>
          <w:sz w:val="32"/>
          <w:szCs w:val="32"/>
          <w:lang w:eastAsia="zh-CN"/>
        </w:rPr>
        <w:t>应</w:t>
      </w:r>
      <w:r>
        <w:rPr>
          <w:rFonts w:hint="default" w:ascii="Times New Roman" w:hAnsi="Times New Roman" w:eastAsia="仿宋_GB2312" w:cs="Times New Roman"/>
          <w:color w:val="1D1D1D"/>
          <w:sz w:val="32"/>
          <w:szCs w:val="32"/>
        </w:rPr>
        <w:t>在以下时限内办理完毕</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w:t>
      </w:r>
      <w:r>
        <w:rPr>
          <w:rFonts w:hint="eastAsia" w:ascii="Times New Roman" w:hAnsi="Times New Roman" w:eastAsia="仿宋_GB2312" w:cs="Times New Roman"/>
          <w:color w:val="1D1D1D"/>
          <w:sz w:val="32"/>
          <w:szCs w:val="32"/>
          <w:lang w:eastAsia="zh-CN"/>
        </w:rPr>
        <w:t>万</w:t>
      </w:r>
      <w:r>
        <w:rPr>
          <w:rFonts w:hint="default" w:ascii="Times New Roman" w:hAnsi="Times New Roman" w:eastAsia="仿宋_GB2312" w:cs="Times New Roman"/>
          <w:color w:val="1D1D1D"/>
          <w:sz w:val="32"/>
          <w:szCs w:val="32"/>
        </w:rPr>
        <w:t>元以下的，1-2个工作日内完成定损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赔款1-3万元的，2-3个工作日内完成定损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赔款3-10万元的</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4-5个工作日内完成定损</w:t>
      </w:r>
      <w:r>
        <w:rPr>
          <w:rFonts w:hint="eastAsia" w:ascii="Times New Roman" w:hAnsi="Times New Roman" w:eastAsia="仿宋_GB2312" w:cs="Times New Roman"/>
          <w:color w:val="1D1D1D"/>
          <w:sz w:val="32"/>
          <w:szCs w:val="32"/>
          <w:lang w:eastAsia="zh-CN"/>
        </w:rPr>
        <w:t>；</w:t>
      </w:r>
      <w:r>
        <w:rPr>
          <w:rFonts w:hint="default" w:ascii="Times New Roman" w:hAnsi="Times New Roman" w:eastAsia="仿宋_GB2312" w:cs="Times New Roman"/>
          <w:color w:val="1D1D1D"/>
          <w:sz w:val="32"/>
          <w:szCs w:val="32"/>
        </w:rPr>
        <w:t>赔款10万元以上的，7-10个工作日内完成定损</w:t>
      </w:r>
      <w:r>
        <w:rPr>
          <w:rFonts w:hint="eastAsia" w:ascii="仿宋_GB2312" w:hAnsi="仿宋_GB2312" w:eastAsia="仿宋_GB2312" w:cs="仿宋_GB2312"/>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楷体_GB2312" w:hAnsi="方正楷体_GB2312" w:eastAsia="方正楷体_GB2312" w:cs="方正楷体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（三）潜在供应商资格要求、技术、商务要求：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1.资格要求：（1）符合《中华人民共和国政府采购法》第二十二条的相关规定；（2）供应商须具备中国银行保险监督管理委员会颁发的《保险许可证》，且有固定的服务场所；（3）经信用中国（</w:t>
      </w:r>
      <w:r>
        <w:rPr>
          <w:rFonts w:hint="eastAsia" w:ascii="仿宋_GB2312" w:hAnsi="仿宋_GB2312" w:eastAsia="仿宋_GB2312" w:cs="仿宋_GB2312"/>
          <w:b w:val="0"/>
          <w:bCs w:val="0"/>
          <w:kern w:val="2"/>
          <w:sz w:val="32"/>
          <w:szCs w:val="32"/>
          <w:lang w:val="en-US" w:eastAsia="zh-CN" w:bidi="ar-SA"/>
        </w:rPr>
        <w:fldChar w:fldCharType="begin"/>
      </w:r>
      <w:r>
        <w:rPr>
          <w:rFonts w:hint="eastAsia" w:ascii="仿宋_GB2312" w:hAnsi="仿宋_GB2312" w:eastAsia="仿宋_GB2312" w:cs="仿宋_GB2312"/>
          <w:b w:val="0"/>
          <w:bCs w:val="0"/>
          <w:kern w:val="2"/>
          <w:sz w:val="32"/>
          <w:szCs w:val="32"/>
          <w:lang w:val="en-US" w:eastAsia="zh-CN" w:bidi="ar-SA"/>
        </w:rPr>
        <w:instrText xml:space="preserve">HYPERLINK"http://www.creditchina.gov.xn--cn)(www-0o3fu69vuosgftrgs7o1fgtwb3oo.ccgp.gov.xn--cn)-x33e002goji19wjl4almi/"</w:instrText>
      </w:r>
      <w:r>
        <w:rPr>
          <w:rFonts w:hint="eastAsia" w:ascii="仿宋_GB2312" w:hAnsi="仿宋_GB2312" w:eastAsia="仿宋_GB2312" w:cs="仿宋_GB2312"/>
          <w:b w:val="0"/>
          <w:bCs w:val="0"/>
          <w:kern w:val="2"/>
          <w:sz w:val="32"/>
          <w:szCs w:val="32"/>
          <w:lang w:val="en-US" w:eastAsia="zh-CN" w:bidi="ar-SA"/>
        </w:rPr>
        <w:fldChar w:fldCharType="separate"/>
      </w:r>
      <w:r>
        <w:rPr>
          <w:rFonts w:hint="eastAsia" w:ascii="仿宋_GB2312" w:hAnsi="仿宋_GB2312" w:eastAsia="仿宋_GB2312" w:cs="仿宋_GB2312"/>
          <w:b w:val="0"/>
          <w:bCs w:val="0"/>
          <w:kern w:val="2"/>
          <w:sz w:val="32"/>
          <w:szCs w:val="32"/>
          <w:lang w:val="en-US" w:eastAsia="zh-CN" w:bidi="ar-SA"/>
        </w:rPr>
        <w:t>www.creditchina.gov.cn）、中国政府采购网（www.ccgp.gov.cn）等渠道查询后</w:t>
      </w:r>
      <w:r>
        <w:rPr>
          <w:rFonts w:hint="eastAsia" w:ascii="仿宋_GB2312" w:hAnsi="仿宋_GB2312" w:eastAsia="仿宋_GB2312" w:cs="仿宋_GB2312"/>
          <w:b w:val="0"/>
          <w:bCs w:val="0"/>
          <w:kern w:val="2"/>
          <w:sz w:val="32"/>
          <w:szCs w:val="32"/>
          <w:lang w:val="en-US" w:eastAsia="zh-CN" w:bidi="ar-SA"/>
        </w:rPr>
        <w:fldChar w:fldCharType="end"/>
      </w:r>
      <w:r>
        <w:rPr>
          <w:rFonts w:hint="eastAsia" w:ascii="仿宋_GB2312" w:hAnsi="仿宋_GB2312" w:eastAsia="仿宋_GB2312" w:cs="仿宋_GB2312"/>
          <w:b w:val="0"/>
          <w:bCs w:val="0"/>
          <w:kern w:val="2"/>
          <w:sz w:val="32"/>
          <w:szCs w:val="32"/>
          <w:lang w:val="en-US" w:eastAsia="zh-CN" w:bidi="ar-SA"/>
        </w:rPr>
        <w:t>，列入失信被执行人、重大税收违法案件当事人名单、政府采购严重违法失信行为记录名单的，取消投标资格。（4）本项目不接受联合体投标。（5）本项目同一保险公司只允许总公司或一家分公司参加投标；若为总公司参加征集，须同时提供图木舒克市分公司营业执照副本；若为分公司参加征集，须提供总公司针对图木舒克市分公司参加本项目投标唯一授权的证明材料（县级分公司以下的分支机构、代办点等不允许参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楷体_GB2312" w:hAnsi="方正楷体_GB2312" w:eastAsia="方正楷体_GB2312" w:cs="方正楷体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2.技术、商务要求：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bidi="ar-SA"/>
        </w:rPr>
        <w:t>（1）</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合同履行期限：自封闭式框架协议签订之日起2年。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（2）服务交付或者实施的地域范围：采购人或者服务对象指定。</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最高限制单价：入围供应商须按中国银保监会规定的车辆保险最低费率标准（0.65）执行，且如在签约年度内遇到入围供应商或银保监会的车辆费率调整，若调整后的费率低于现行优惠标准的，纳入统一保险的车辆享有调整后的最大优惠标准待遇。（优惠率(0.35)，项目采用优惠率报价，优惠率是指在征集文件约定的基准价基础上进行下浮的比例。例如供应商填入0.2（20%优惠率）则优惠后的报价＝（1-0.2）×基准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（4）服务能力及保障：节假日提供不间断维修服务的，提供承诺函及服务保障方案。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（5）付款方式：供应商按第二阶段的合同约定，凭正式发票按季度（原则上）以实际供货数量乘以供应商所报费率乘以商品基准价进行结算（实际基准价不高于征集文件最高限价）。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（6）响应报价要求：</w:t>
      </w:r>
      <w:r>
        <w:rPr>
          <w:rFonts w:hint="eastAsia" w:ascii="仿宋_GB2312" w:hAnsi="仿宋_GB2312" w:eastAsia="仿宋_GB2312" w:cs="仿宋_GB2312"/>
          <w:b/>
          <w:bCs/>
          <w:kern w:val="2"/>
          <w:sz w:val="32"/>
          <w:szCs w:val="32"/>
          <w:lang w:val="en-US" w:eastAsia="zh-CN" w:bidi="ar-SA"/>
        </w:rPr>
        <w:t>优惠率(0.35)，项目采用优惠率报价，优惠率是指在征集文件约定的基准价基础上进行下浮的比例。例如供应商填入 0.2（20%优惠率）则优惠后的报价＝（1-0.2）×基准价。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7）验收标准：征集文件中的服务按照国标、部标、行业标准或者双方技术协议或者征集文件、响应文件、书面承诺提供服务。如对服务以及质量有争议，征集人组织相关部门对服务和质量进行检验或者验收，未达到服务要求的，由入围供应商承担全部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（8）违约责任：以合同约定为准。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（9）争议解决的方法：应通过协商解决，如协商不成，可以向合同签订地法院提起诉讼</w:t>
      </w:r>
      <w:r>
        <w:rPr>
          <w:rFonts w:hint="eastAsia" w:ascii="Times New Roman" w:hAnsi="Times New Roman" w:eastAsia="仿宋_GB2312" w:cs="仿宋_GB2312"/>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仿宋_GB2312"/>
          <w:b/>
          <w:bCs/>
          <w:sz w:val="32"/>
          <w:szCs w:val="32"/>
          <w:u w:val="none"/>
          <w:lang w:val="en-US" w:eastAsia="zh-CN"/>
        </w:rPr>
      </w:pPr>
      <w:r>
        <w:rPr>
          <w:rFonts w:hint="eastAsia" w:ascii="Times New Roman" w:hAnsi="Times New Roman" w:eastAsia="仿宋_GB2312" w:cs="仿宋_GB2312"/>
          <w:b/>
          <w:bCs/>
          <w:sz w:val="32"/>
          <w:szCs w:val="32"/>
          <w:u w:val="none"/>
          <w:lang w:val="en-US" w:eastAsia="zh-CN"/>
        </w:rPr>
        <w:t>三、需求论证的必要性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（一）资产保护</w:t>
      </w:r>
      <w:r>
        <w:rPr>
          <w:rFonts w:hint="eastAsia" w:ascii="Times New Roman" w:hAnsi="Times New Roman" w:eastAsia="仿宋_GB2312" w:cs="仿宋_GB2312"/>
          <w:b w:val="0"/>
          <w:bCs w:val="0"/>
          <w:kern w:val="2"/>
          <w:sz w:val="32"/>
          <w:szCs w:val="32"/>
          <w:lang w:val="en-US" w:eastAsia="zh-CN" w:bidi="ar-SA"/>
        </w:rPr>
        <w:t>：保险能够确保在车辆损坏或丢失时，政府有足够的资源来修复或替换这些车辆，从而保证服务的持续性。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（二）法律要求：</w:t>
      </w:r>
      <w:r>
        <w:rPr>
          <w:rFonts w:hint="eastAsia" w:ascii="Times New Roman" w:hAnsi="Times New Roman" w:eastAsia="仿宋_GB2312" w:cs="仿宋_GB2312"/>
          <w:b w:val="0"/>
          <w:bCs w:val="0"/>
          <w:kern w:val="2"/>
          <w:sz w:val="32"/>
          <w:szCs w:val="32"/>
          <w:lang w:val="en-US" w:eastAsia="zh-CN" w:bidi="ar-SA"/>
        </w:rPr>
        <w:t>法律规定，要求所有机动车辆包括政府的车辆都必须至少拥有第三方责任险（或等价的保险）。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（三）财政责任：</w:t>
      </w:r>
      <w:r>
        <w:rPr>
          <w:rFonts w:hint="eastAsia" w:ascii="Times New Roman" w:hAnsi="Times New Roman" w:eastAsia="仿宋_GB2312" w:cs="仿宋_GB2312"/>
          <w:b w:val="0"/>
          <w:bCs w:val="0"/>
          <w:kern w:val="2"/>
          <w:sz w:val="32"/>
          <w:szCs w:val="32"/>
          <w:lang w:val="en-US" w:eastAsia="zh-CN" w:bidi="ar-SA"/>
        </w:rPr>
        <w:t>政府需要对纳税人负责，针对其车队进行适当的风险管理是这种责任的一部分。投保不仅是风险管理策略的一部分，还有助于在预算编制时准确预测成本，避免因未保险引发的事故而对政府的财务造成极大的冲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2"/>
          <w:sz w:val="32"/>
          <w:szCs w:val="32"/>
          <w:lang w:val="en-US" w:eastAsia="zh-CN" w:bidi="ar-SA"/>
        </w:rPr>
      </w:pPr>
      <w:r>
        <w:rPr>
          <w:rFonts w:hint="eastAsia" w:ascii="方正楷体_GB2312" w:hAnsi="方正楷体_GB2312" w:eastAsia="方正楷体_GB2312" w:cs="方正楷体_GB2312"/>
          <w:b w:val="0"/>
          <w:bCs w:val="0"/>
          <w:kern w:val="2"/>
          <w:sz w:val="32"/>
          <w:szCs w:val="32"/>
          <w:lang w:val="en-US" w:eastAsia="zh-CN" w:bidi="ar-SA"/>
        </w:rPr>
        <w:t>（四）社会责任：</w:t>
      </w:r>
      <w:r>
        <w:rPr>
          <w:rFonts w:hint="eastAsia" w:ascii="Times New Roman" w:hAnsi="Times New Roman" w:eastAsia="仿宋_GB2312" w:cs="仿宋_GB2312"/>
          <w:b w:val="0"/>
          <w:bCs w:val="0"/>
          <w:kern w:val="2"/>
          <w:sz w:val="32"/>
          <w:szCs w:val="32"/>
          <w:lang w:val="en-US" w:eastAsia="zh-CN" w:bidi="ar-SA"/>
        </w:rPr>
        <w:t>政府机关通常被视为社会行为的典范。通过对其车辆进行适当保险，政府部门表现出对公共安全和保护个人免受潜在损害的承诺。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bCs/>
          <w:sz w:val="32"/>
          <w:szCs w:val="32"/>
          <w:u w:val="none"/>
          <w:lang w:val="en-US" w:eastAsia="zh-CN"/>
        </w:rPr>
      </w:pPr>
      <w:r>
        <w:rPr>
          <w:rFonts w:hint="eastAsia" w:ascii="Times New Roman" w:hAnsi="Times New Roman" w:eastAsia="仿宋_GB2312" w:cs="仿宋_GB2312"/>
          <w:b/>
          <w:bCs/>
          <w:sz w:val="32"/>
          <w:szCs w:val="32"/>
          <w:u w:val="none"/>
          <w:lang w:val="en-US" w:eastAsia="zh-CN"/>
        </w:rPr>
        <w:t>四、市场调研和分析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lang w:eastAsia="zh-CN"/>
        </w:rPr>
      </w:pP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lang w:val="en-US" w:eastAsia="zh-CN"/>
        </w:rPr>
        <w:t>一</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市场供应能力分析</w:t>
      </w:r>
      <w:r>
        <w:rPr>
          <w:rFonts w:hint="eastAsia" w:ascii="方正楷体_GB2312" w:hAnsi="方正楷体_GB2312" w:eastAsia="方正楷体_GB2312" w:cs="方正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本次采购涉及</w:t>
      </w:r>
      <w:r>
        <w:rPr>
          <w:rFonts w:hint="default" w:ascii="Times New Roman" w:hAnsi="Times New Roman" w:eastAsia="仿宋_GB2312" w:cs="仿宋_GB2312"/>
          <w:color w:val="auto"/>
          <w:sz w:val="32"/>
          <w:szCs w:val="32"/>
          <w:lang w:val="en-US" w:eastAsia="zh-CN"/>
        </w:rPr>
        <w:t>车辆车辆保险、理赔</w:t>
      </w:r>
      <w:r>
        <w:rPr>
          <w:rFonts w:hint="eastAsia" w:ascii="Times New Roman" w:hAnsi="Times New Roman" w:eastAsia="仿宋_GB2312" w:cs="仿宋_GB2312"/>
          <w:color w:val="auto"/>
          <w:sz w:val="32"/>
          <w:szCs w:val="32"/>
          <w:lang w:val="en-US" w:eastAsia="zh-CN"/>
        </w:rPr>
        <w:t>，本地保险服务供应商数量充足</w:t>
      </w:r>
      <w:r>
        <w:rPr>
          <w:rFonts w:hint="eastAsia" w:ascii="Times New Roman" w:hAnsi="Times New Roman"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lang w:eastAsia="zh-CN"/>
        </w:rPr>
      </w:pP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lang w:val="en-US" w:eastAsia="zh-CN"/>
        </w:rPr>
        <w:t>二</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潜在供应商调查</w:t>
      </w:r>
      <w:r>
        <w:rPr>
          <w:rFonts w:hint="eastAsia" w:ascii="方正楷体_GB2312" w:hAnsi="方正楷体_GB2312" w:eastAsia="方正楷体_GB2312" w:cs="方正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sz w:val="32"/>
          <w:szCs w:val="32"/>
          <w:lang w:eastAsia="zh-CN"/>
        </w:rPr>
      </w:pPr>
      <w:r>
        <w:rPr>
          <w:rFonts w:hint="eastAsia" w:ascii="Times New Roman" w:hAnsi="Times New Roman" w:eastAsia="仿宋_GB2312" w:cs="仿宋_GB2312"/>
          <w:sz w:val="32"/>
          <w:szCs w:val="32"/>
          <w:lang w:val="en-US" w:eastAsia="zh-CN"/>
        </w:rPr>
        <w:t>1.根据</w:t>
      </w:r>
      <w:r>
        <w:rPr>
          <w:rFonts w:hint="eastAsia" w:ascii="Times New Roman" w:hAnsi="Times New Roman" w:eastAsia="仿宋_GB2312" w:cs="仿宋_GB2312"/>
          <w:b w:val="0"/>
          <w:bCs w:val="0"/>
          <w:sz w:val="32"/>
          <w:szCs w:val="32"/>
        </w:rPr>
        <w:t>《政府采购框架协议采购方式管理暂行办法》</w:t>
      </w:r>
      <w:r>
        <w:rPr>
          <w:rFonts w:hint="eastAsia" w:ascii="Times New Roman" w:hAnsi="Times New Roman" w:eastAsia="仿宋_GB2312" w:cs="仿宋_GB2312"/>
          <w:b w:val="0"/>
          <w:bCs w:val="0"/>
          <w:sz w:val="32"/>
          <w:szCs w:val="32"/>
          <w:lang w:eastAsia="zh-CN"/>
        </w:rPr>
        <w:t>，面向采购人和供应商开展需求调查时，应当选择具有代表性的调查对象，调查对象一般不少于3个。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2.邀请的供应商信息如下：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sz w:val="32"/>
          <w:szCs w:val="32"/>
          <w:u w:val="single"/>
          <w:lang w:val="en-US" w:eastAsia="zh-CN"/>
        </w:rPr>
      </w:pPr>
      <w:r>
        <w:rPr>
          <w:rFonts w:hint="default" w:ascii="Times New Roman" w:hAnsi="Times New Roman" w:eastAsia="仿宋_GB2312" w:cs="仿宋_GB2312"/>
          <w:b w:val="0"/>
          <w:bCs w:val="0"/>
          <w:sz w:val="32"/>
          <w:szCs w:val="32"/>
          <w:u w:val="single"/>
          <w:lang w:val="en-US" w:eastAsia="zh-CN"/>
        </w:rPr>
        <w:t>阳光财产保险股份有限公司图木舒克支公司</w:t>
      </w:r>
      <w:r>
        <w:rPr>
          <w:rFonts w:hint="eastAsia" w:ascii="Times New Roman" w:hAnsi="Times New Roman" w:eastAsia="仿宋_GB2312" w:cs="仿宋_GB2312"/>
          <w:b w:val="0"/>
          <w:bCs w:val="0"/>
          <w:sz w:val="32"/>
          <w:szCs w:val="32"/>
          <w:u w:val="singl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sz w:val="32"/>
          <w:szCs w:val="32"/>
          <w:u w:val="single"/>
          <w:lang w:val="en-US" w:eastAsia="zh-CN"/>
        </w:rPr>
      </w:pPr>
      <w:r>
        <w:rPr>
          <w:rFonts w:hint="eastAsia" w:ascii="Times New Roman" w:hAnsi="Times New Roman" w:eastAsia="仿宋_GB2312" w:cs="仿宋_GB2312"/>
          <w:b w:val="0"/>
          <w:bCs w:val="0"/>
          <w:sz w:val="32"/>
          <w:szCs w:val="32"/>
          <w:u w:val="single"/>
          <w:lang w:val="en-US" w:eastAsia="zh-CN"/>
        </w:rPr>
        <w:t>中华联合保险集团股份有限公司图木舒克市支公司；</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sz w:val="32"/>
          <w:szCs w:val="32"/>
          <w:u w:val="single"/>
          <w:lang w:val="en-US" w:eastAsia="zh-CN"/>
        </w:rPr>
      </w:pPr>
      <w:r>
        <w:rPr>
          <w:rFonts w:hint="eastAsia" w:ascii="Times New Roman" w:hAnsi="Times New Roman" w:eastAsia="仿宋_GB2312" w:cs="仿宋_GB2312"/>
          <w:b w:val="0"/>
          <w:bCs w:val="0"/>
          <w:sz w:val="32"/>
          <w:szCs w:val="32"/>
          <w:u w:val="single"/>
          <w:lang w:val="en-US" w:eastAsia="zh-CN"/>
        </w:rPr>
        <w:t>中国太平洋财产保险股份有限公司图木舒克支公司；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以上潜在供应商均具备参与政府采购投标经验。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bCs/>
          <w:sz w:val="32"/>
          <w:szCs w:val="32"/>
          <w:u w:val="none"/>
          <w:lang w:val="en-US" w:eastAsia="zh-CN"/>
        </w:rPr>
      </w:pPr>
      <w:r>
        <w:rPr>
          <w:rFonts w:hint="eastAsia" w:ascii="Times New Roman" w:hAnsi="Times New Roman" w:eastAsia="仿宋_GB2312" w:cs="仿宋_GB2312"/>
          <w:b/>
          <w:bCs/>
          <w:sz w:val="32"/>
          <w:szCs w:val="32"/>
          <w:u w:val="none"/>
          <w:lang w:val="en-US" w:eastAsia="zh-CN"/>
        </w:rPr>
        <w:t>五、风险评估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lang w:eastAsia="zh-CN"/>
        </w:rPr>
      </w:pP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lang w:val="en-US" w:eastAsia="zh-CN"/>
        </w:rPr>
        <w:t>一</w:t>
      </w:r>
      <w:r>
        <w:rPr>
          <w:rFonts w:hint="eastAsia" w:ascii="方正楷体_GB2312" w:hAnsi="方正楷体_GB2312" w:eastAsia="方正楷体_GB2312" w:cs="方正楷体_GB2312"/>
          <w:sz w:val="32"/>
          <w:szCs w:val="32"/>
          <w:lang w:eastAsia="zh-CN"/>
        </w:rPr>
        <w:t>）</w:t>
      </w:r>
      <w:r>
        <w:rPr>
          <w:rFonts w:hint="eastAsia" w:ascii="方正楷体_GB2312" w:hAnsi="方正楷体_GB2312" w:eastAsia="方正楷体_GB2312" w:cs="方正楷体_GB2312"/>
          <w:sz w:val="32"/>
          <w:szCs w:val="32"/>
        </w:rPr>
        <w:t>识别可能的风险</w:t>
      </w:r>
      <w:r>
        <w:rPr>
          <w:rFonts w:hint="eastAsia" w:ascii="方正楷体_GB2312" w:hAnsi="方正楷体_GB2312" w:eastAsia="方正楷体_GB2312" w:cs="方正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u w:val="single"/>
          <w:lang w:val="en-US" w:eastAsia="zh-CN"/>
        </w:rPr>
      </w:pPr>
      <w:r>
        <w:rPr>
          <w:rFonts w:hint="eastAsia" w:ascii="Times New Roman" w:hAnsi="Times New Roman" w:eastAsia="仿宋_GB2312" w:cs="仿宋_GB2312"/>
          <w:sz w:val="32"/>
          <w:szCs w:val="32"/>
          <w:u w:val="none"/>
          <w:lang w:val="en-US" w:eastAsia="zh-CN"/>
        </w:rPr>
        <w:t>（1）</w:t>
      </w:r>
      <w:r>
        <w:rPr>
          <w:rFonts w:hint="eastAsia" w:ascii="Times New Roman" w:hAnsi="Times New Roman" w:eastAsia="仿宋_GB2312" w:cs="仿宋_GB2312"/>
          <w:sz w:val="32"/>
          <w:szCs w:val="32"/>
          <w:u w:val="single"/>
          <w:lang w:val="en-US" w:eastAsia="zh-CN"/>
        </w:rPr>
        <w:t>保费、出险、理赔、维修响应时间问题；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sz w:val="32"/>
          <w:szCs w:val="32"/>
          <w:u w:val="single"/>
          <w:lang w:val="en-US" w:eastAsia="zh-CN"/>
        </w:rPr>
      </w:pP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single"/>
          <w:lang w:val="en-US" w:eastAsia="zh-CN"/>
        </w:rPr>
        <w:t>保险公司不指定维修公司，具体以采购人要求为准。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bCs/>
          <w:sz w:val="32"/>
          <w:szCs w:val="32"/>
          <w:u w:val="none"/>
          <w:lang w:val="en-US" w:eastAsia="zh-CN"/>
        </w:rPr>
      </w:pPr>
      <w:r>
        <w:rPr>
          <w:rFonts w:hint="eastAsia" w:ascii="Times New Roman" w:hAnsi="Times New Roman" w:eastAsia="仿宋_GB2312" w:cs="仿宋_GB2312"/>
          <w:b/>
          <w:bCs/>
          <w:sz w:val="32"/>
          <w:szCs w:val="32"/>
          <w:u w:val="none"/>
          <w:lang w:val="en-US" w:eastAsia="zh-CN"/>
        </w:rPr>
        <w:t>六、采购方式的论证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论证拟采用的采购方式</w:t>
      </w:r>
      <w:r>
        <w:rPr>
          <w:rFonts w:hint="eastAsia" w:ascii="Times New Roman" w:hAnsi="Times New Roman" w:eastAsia="仿宋_GB2312" w:cs="仿宋_GB2312"/>
          <w:sz w:val="32"/>
          <w:szCs w:val="32"/>
          <w:lang w:val="en-US" w:eastAsia="zh-CN"/>
        </w:rPr>
        <w:t>及</w:t>
      </w:r>
      <w:r>
        <w:rPr>
          <w:rFonts w:hint="eastAsia" w:ascii="Times New Roman" w:hAnsi="Times New Roman" w:eastAsia="仿宋_GB2312" w:cs="仿宋_GB2312"/>
          <w:sz w:val="32"/>
          <w:szCs w:val="32"/>
        </w:rPr>
        <w:t>依据和理由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根据《政府采购框架协议采购方式管理暂行办法》第三条第一款集中采购目录以内品目，以及与之配套的必要耗材、配件等，属于小额零星采购的，按照政府采购</w:t>
      </w:r>
      <w:r>
        <w:rPr>
          <w:rFonts w:hint="eastAsia" w:ascii="Times New Roman" w:hAnsi="Times New Roman" w:eastAsia="仿宋_GB2312" w:cs="仿宋_GB2312"/>
          <w:b/>
          <w:bCs/>
          <w:kern w:val="2"/>
          <w:sz w:val="32"/>
          <w:szCs w:val="32"/>
          <w:u w:val="single"/>
          <w:lang w:val="en-US" w:eastAsia="zh-CN" w:bidi="ar-SA"/>
        </w:rPr>
        <w:t>公开招标</w:t>
      </w:r>
      <w:r>
        <w:rPr>
          <w:rFonts w:hint="eastAsia" w:ascii="Times New Roman" w:hAnsi="Times New Roman" w:eastAsia="仿宋_GB2312" w:cs="仿宋_GB2312"/>
          <w:kern w:val="2"/>
          <w:sz w:val="32"/>
          <w:szCs w:val="32"/>
          <w:lang w:val="en-US" w:eastAsia="zh-CN" w:bidi="ar-SA"/>
        </w:rPr>
        <w:t>的规定执行。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仿宋_GB2312"/>
          <w:b/>
          <w:bCs/>
          <w:sz w:val="32"/>
          <w:szCs w:val="32"/>
          <w:u w:val="none"/>
          <w:lang w:val="en-US" w:eastAsia="zh-CN"/>
        </w:rPr>
      </w:pPr>
      <w:r>
        <w:rPr>
          <w:rFonts w:hint="eastAsia" w:ascii="Times New Roman" w:hAnsi="Times New Roman" w:eastAsia="仿宋_GB2312" w:cs="仿宋_GB2312"/>
          <w:b/>
          <w:bCs/>
          <w:sz w:val="32"/>
          <w:szCs w:val="32"/>
          <w:u w:val="none"/>
          <w:lang w:val="en-US" w:eastAsia="zh-CN"/>
        </w:rPr>
        <w:t>七、综合论证结论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bCs/>
          <w:sz w:val="32"/>
          <w:szCs w:val="32"/>
          <w:lang w:eastAsia="zh-CN"/>
        </w:rPr>
      </w:pPr>
      <w:r>
        <w:rPr>
          <w:rFonts w:hint="eastAsia" w:ascii="Times New Roman" w:hAnsi="Times New Roman" w:eastAsia="仿宋_GB2312" w:cs="仿宋_GB2312"/>
          <w:sz w:val="32"/>
          <w:szCs w:val="32"/>
        </w:rPr>
        <w:t>综合分析得出的最佳采购方案</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kern w:val="2"/>
          <w:sz w:val="32"/>
          <w:szCs w:val="32"/>
          <w:lang w:val="en-US" w:eastAsia="zh-CN" w:bidi="ar-SA"/>
        </w:rPr>
        <w:t>根据《政府采购框架协议采购方式管理暂行办法》</w:t>
      </w:r>
      <w:r>
        <w:rPr>
          <w:rFonts w:hint="eastAsia" w:ascii="Times New Roman" w:hAnsi="Times New Roman" w:eastAsia="仿宋_GB2312" w:cs="仿宋_GB2312"/>
          <w:b/>
          <w:bCs/>
          <w:kern w:val="2"/>
          <w:sz w:val="32"/>
          <w:szCs w:val="32"/>
          <w:lang w:val="en-US" w:eastAsia="zh-CN" w:bidi="ar-SA"/>
        </w:rPr>
        <w:t>，</w:t>
      </w:r>
      <w:r>
        <w:rPr>
          <w:rFonts w:hint="eastAsia" w:ascii="Times New Roman" w:hAnsi="Times New Roman" w:eastAsia="仿宋_GB2312" w:cs="仿宋_GB2312"/>
          <w:kern w:val="2"/>
          <w:sz w:val="32"/>
          <w:szCs w:val="32"/>
          <w:lang w:val="en-US" w:eastAsia="zh-CN" w:bidi="ar-SA"/>
        </w:rPr>
        <w:t>按照政府采购</w:t>
      </w:r>
      <w:r>
        <w:rPr>
          <w:rFonts w:hint="eastAsia" w:ascii="Times New Roman" w:hAnsi="Times New Roman" w:eastAsia="仿宋_GB2312" w:cs="仿宋_GB2312"/>
          <w:b/>
          <w:bCs/>
          <w:kern w:val="2"/>
          <w:sz w:val="32"/>
          <w:szCs w:val="32"/>
          <w:u w:val="single"/>
          <w:lang w:val="en-US" w:eastAsia="zh-CN" w:bidi="ar-SA"/>
        </w:rPr>
        <w:t>公开招标</w:t>
      </w:r>
      <w:r>
        <w:rPr>
          <w:rFonts w:hint="eastAsia" w:ascii="Times New Roman" w:hAnsi="Times New Roman" w:eastAsia="仿宋_GB2312" w:cs="仿宋_GB2312"/>
          <w:kern w:val="2"/>
          <w:sz w:val="32"/>
          <w:szCs w:val="32"/>
          <w:lang w:val="en-US" w:eastAsia="zh-CN" w:bidi="ar-SA"/>
        </w:rPr>
        <w:t>的规定执行。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eastAsia" w:ascii="Times New Roman" w:hAnsi="Times New Roman"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right"/>
        <w:textAlignment w:val="auto"/>
        <w:rPr>
          <w:rFonts w:hint="default" w:ascii="Times New Roman" w:hAnsi="Times New Roman" w:eastAsia="仿宋_GB2312" w:cs="仿宋_GB2312"/>
          <w:sz w:val="32"/>
          <w:szCs w:val="32"/>
          <w:lang w:val="en-US" w:eastAsia="zh-CN"/>
        </w:rPr>
      </w:pPr>
      <w:bookmarkStart w:id="0" w:name="_GoBack"/>
      <w:bookmarkEnd w:id="0"/>
      <w:r>
        <w:rPr>
          <w:rFonts w:hint="eastAsia" w:ascii="Times New Roman" w:hAnsi="Times New Roman" w:eastAsia="仿宋_GB2312" w:cs="仿宋_GB2312"/>
          <w:sz w:val="32"/>
          <w:szCs w:val="32"/>
          <w:lang w:val="en-US" w:eastAsia="zh-CN"/>
        </w:rPr>
        <w:t>2024年3月22日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519B2C"/>
    <w:multiLevelType w:val="singleLevel"/>
    <w:tmpl w:val="41519B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NGYzMDhhNTM2ODVmY2M4MzEzYzUwZjAyMWE1YTQifQ=="/>
  </w:docVars>
  <w:rsids>
    <w:rsidRoot w:val="77272D78"/>
    <w:rsid w:val="031308D5"/>
    <w:rsid w:val="081A47AC"/>
    <w:rsid w:val="0C2B3807"/>
    <w:rsid w:val="0EAA4EB7"/>
    <w:rsid w:val="0EBC105C"/>
    <w:rsid w:val="12B65D41"/>
    <w:rsid w:val="13645F7C"/>
    <w:rsid w:val="13F217DA"/>
    <w:rsid w:val="146B6E96"/>
    <w:rsid w:val="1472365E"/>
    <w:rsid w:val="18BD1C8B"/>
    <w:rsid w:val="1F856665"/>
    <w:rsid w:val="1FD10305"/>
    <w:rsid w:val="213B6468"/>
    <w:rsid w:val="263F0183"/>
    <w:rsid w:val="272301E8"/>
    <w:rsid w:val="2CC60BFC"/>
    <w:rsid w:val="2D327875"/>
    <w:rsid w:val="2D8549CC"/>
    <w:rsid w:val="2E861045"/>
    <w:rsid w:val="30B54058"/>
    <w:rsid w:val="30F9328E"/>
    <w:rsid w:val="325B6344"/>
    <w:rsid w:val="32862810"/>
    <w:rsid w:val="334F35C8"/>
    <w:rsid w:val="36084BBE"/>
    <w:rsid w:val="385B52F0"/>
    <w:rsid w:val="38D23F41"/>
    <w:rsid w:val="3A9D5CA8"/>
    <w:rsid w:val="3F0F0BE2"/>
    <w:rsid w:val="432679ED"/>
    <w:rsid w:val="442345DE"/>
    <w:rsid w:val="443D48A8"/>
    <w:rsid w:val="48174664"/>
    <w:rsid w:val="495C4A24"/>
    <w:rsid w:val="49E23D90"/>
    <w:rsid w:val="4CC92607"/>
    <w:rsid w:val="4F323574"/>
    <w:rsid w:val="56C02A96"/>
    <w:rsid w:val="56C65BD3"/>
    <w:rsid w:val="59CF1242"/>
    <w:rsid w:val="5E8C7702"/>
    <w:rsid w:val="5ECB022A"/>
    <w:rsid w:val="5F526256"/>
    <w:rsid w:val="60114363"/>
    <w:rsid w:val="60F5594D"/>
    <w:rsid w:val="612C6D8A"/>
    <w:rsid w:val="61D54F1C"/>
    <w:rsid w:val="63A14A61"/>
    <w:rsid w:val="673F38FE"/>
    <w:rsid w:val="69B01856"/>
    <w:rsid w:val="69F37393"/>
    <w:rsid w:val="6A31115D"/>
    <w:rsid w:val="6C180827"/>
    <w:rsid w:val="6D417909"/>
    <w:rsid w:val="6E940C93"/>
    <w:rsid w:val="70004270"/>
    <w:rsid w:val="715B686D"/>
    <w:rsid w:val="72E66F89"/>
    <w:rsid w:val="75B07D22"/>
    <w:rsid w:val="76CB747E"/>
    <w:rsid w:val="77272D78"/>
    <w:rsid w:val="77E10E86"/>
    <w:rsid w:val="7A115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unhideWhenUsed/>
    <w:qFormat/>
    <w:uiPriority w:val="99"/>
    <w:pPr>
      <w:spacing w:after="120"/>
    </w:pPr>
    <w:rPr>
      <w:rFonts w:ascii="Times New Roman" w:hAnsi="Times New Roman"/>
      <w:kern w:val="2"/>
      <w:sz w:val="21"/>
      <w:szCs w:val="20"/>
      <w:lang w:bidi="ar-SA"/>
    </w:rPr>
  </w:style>
  <w:style w:type="paragraph" w:styleId="3">
    <w:name w:val="header"/>
    <w:basedOn w:val="1"/>
    <w:next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2024-01-16T03:02:00Z</dcterms:created>
  <dc:creator>NTKO</dc:creator>
  <cp:lastModifiedBy>Actor</cp:lastModifiedBy>
  <cp:lastPrinted>2024-03-25T03:30:00Z</cp:lastPrinted>
  <dcterms:modified xsi:type="dcterms:W3CDTF">2024-04-18T12:12:40Z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346C47B065B642D0859AF1720D8DCC13_13</vt:lpwstr>
  </property>
</Properties>
</file>