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125" w:line="560" w:lineRule="exact"/>
        <w:jc w:val="center"/>
        <w:textAlignment w:val="baseline"/>
        <w:rPr>
          <w:rFonts w:hint="eastAsia" w:ascii="方正小标宋简体" w:hAnsi="方正小标宋简体" w:eastAsia="方正小标宋简体" w:cs="方正小标宋简体"/>
          <w:b w:val="0"/>
          <w:bCs w:val="0"/>
          <w:spacing w:val="2"/>
          <w:sz w:val="44"/>
          <w:szCs w:val="44"/>
          <w:u w:val="none"/>
        </w:rPr>
      </w:pPr>
      <w:r>
        <w:rPr>
          <w:rFonts w:hint="eastAsia" w:ascii="方正小标宋简体" w:hAnsi="方正小标宋简体" w:eastAsia="方正小标宋简体" w:cs="方正小标宋简体"/>
          <w:sz w:val="44"/>
          <w:szCs w:val="44"/>
          <w:u w:val="none"/>
          <w:lang w:val="en-US" w:eastAsia="zh-CN"/>
        </w:rPr>
        <w:t>2024年</w:t>
      </w:r>
      <w:r>
        <w:rPr>
          <w:rFonts w:hint="eastAsia" w:ascii="方正小标宋简体" w:hAnsi="方正小标宋简体" w:eastAsia="方正小标宋简体" w:cs="方正小标宋简体"/>
          <w:b w:val="0"/>
          <w:bCs w:val="0"/>
          <w:sz w:val="44"/>
          <w:szCs w:val="44"/>
          <w:u w:val="none"/>
          <w:lang w:val="en-US" w:eastAsia="zh-CN"/>
        </w:rPr>
        <w:t>第三师图木舒克市行政事业单位公务用车保险框架协议采购项目</w:t>
      </w:r>
      <w:r>
        <w:rPr>
          <w:rFonts w:hint="eastAsia" w:ascii="方正小标宋简体" w:hAnsi="方正小标宋简体" w:eastAsia="方正小标宋简体" w:cs="方正小标宋简体"/>
          <w:b w:val="0"/>
          <w:bCs w:val="0"/>
          <w:spacing w:val="2"/>
          <w:sz w:val="44"/>
          <w:szCs w:val="44"/>
          <w:u w:val="none"/>
        </w:rPr>
        <w:t>采购方案</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815" w:firstLineChars="200"/>
        <w:jc w:val="both"/>
        <w:textAlignment w:val="baseline"/>
        <w:outlineLvl w:val="1"/>
        <w:rPr>
          <w:rFonts w:hint="eastAsia" w:ascii="仿宋_GB2312" w:hAnsi="仿宋_GB2312" w:eastAsia="仿宋_GB2312" w:cs="仿宋_GB2312"/>
          <w:b/>
          <w:bCs/>
          <w:spacing w:val="3"/>
          <w:sz w:val="40"/>
          <w:szCs w:val="40"/>
        </w:rPr>
      </w:pP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一、征集人基本情况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b w:val="0"/>
          <w:bCs w:val="0"/>
          <w:sz w:val="32"/>
          <w:szCs w:val="32"/>
          <w:lang w:val="en-US"/>
        </w:rPr>
      </w:pPr>
      <w:r>
        <w:rPr>
          <w:rFonts w:hint="eastAsia" w:ascii="仿宋_GB2312" w:hAnsi="仿宋_GB2312" w:eastAsia="仿宋_GB2312" w:cs="仿宋_GB2312"/>
          <w:b w:val="0"/>
          <w:bCs w:val="0"/>
          <w:sz w:val="32"/>
          <w:szCs w:val="32"/>
        </w:rPr>
        <w:t>(一)征集人名称：</w:t>
      </w:r>
      <w:r>
        <w:rPr>
          <w:rFonts w:hint="eastAsia" w:ascii="仿宋_GB2312" w:hAnsi="仿宋_GB2312" w:eastAsia="仿宋_GB2312" w:cs="仿宋_GB2312"/>
          <w:b w:val="0"/>
          <w:bCs w:val="0"/>
          <w:sz w:val="32"/>
          <w:szCs w:val="32"/>
          <w:u w:val="single"/>
        </w:rPr>
        <w:t>兵团公共资源交易中心第三分中心</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(二)地址：</w:t>
      </w:r>
      <w:r>
        <w:rPr>
          <w:rFonts w:hint="eastAsia" w:ascii="仿宋_GB2312" w:hAnsi="仿宋_GB2312" w:eastAsia="仿宋_GB2312" w:cs="仿宋_GB2312"/>
          <w:b w:val="0"/>
          <w:bCs w:val="0"/>
          <w:sz w:val="32"/>
          <w:szCs w:val="32"/>
          <w:u w:val="single"/>
        </w:rPr>
        <w:t>图木舒克市</w:t>
      </w:r>
      <w:r>
        <w:rPr>
          <w:rFonts w:hint="eastAsia" w:ascii="仿宋_GB2312" w:hAnsi="仿宋_GB2312" w:eastAsia="仿宋_GB2312" w:cs="仿宋_GB2312"/>
          <w:b w:val="0"/>
          <w:bCs w:val="0"/>
          <w:sz w:val="32"/>
          <w:szCs w:val="32"/>
          <w:u w:val="single"/>
          <w:lang w:val="en-US" w:eastAsia="zh-CN"/>
        </w:rPr>
        <w:t>市民之家三楼</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(三)联系人及联系方式：</w:t>
      </w:r>
      <w:r>
        <w:rPr>
          <w:rFonts w:hint="eastAsia" w:ascii="仿宋_GB2312" w:hAnsi="仿宋_GB2312" w:eastAsia="仿宋_GB2312" w:cs="仿宋_GB2312"/>
          <w:b w:val="0"/>
          <w:bCs w:val="0"/>
          <w:sz w:val="32"/>
          <w:szCs w:val="32"/>
          <w:u w:val="single"/>
          <w:lang w:val="en-US" w:eastAsia="zh-CN"/>
        </w:rPr>
        <w:t>赵周扬 0998-6153633</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(四)其他：</w:t>
      </w:r>
      <w:r>
        <w:rPr>
          <w:rFonts w:hint="eastAsia" w:ascii="仿宋_GB2312" w:hAnsi="仿宋_GB2312" w:eastAsia="仿宋_GB2312" w:cs="仿宋_GB2312"/>
          <w:b w:val="0"/>
          <w:bCs w:val="0"/>
          <w:sz w:val="32"/>
          <w:szCs w:val="32"/>
          <w:u w:val="single"/>
          <w:lang w:val="en-US" w:eastAsia="zh-CN"/>
        </w:rPr>
        <w:t>无</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二、采购项目概况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(一)采购项目名称：</w:t>
      </w:r>
      <w:r>
        <w:rPr>
          <w:rFonts w:hint="eastAsia" w:ascii="仿宋_GB2312" w:hAnsi="仿宋_GB2312" w:eastAsia="仿宋_GB2312" w:cs="仿宋_GB2312"/>
          <w:sz w:val="32"/>
          <w:szCs w:val="32"/>
          <w:u w:val="single"/>
          <w:lang w:val="en-US" w:eastAsia="zh-CN"/>
        </w:rPr>
        <w:t>2024年</w:t>
      </w:r>
      <w:r>
        <w:rPr>
          <w:rFonts w:hint="eastAsia" w:ascii="仿宋_GB2312" w:hAnsi="仿宋_GB2312" w:eastAsia="仿宋_GB2312" w:cs="仿宋_GB2312"/>
          <w:b w:val="0"/>
          <w:bCs w:val="0"/>
          <w:sz w:val="32"/>
          <w:szCs w:val="32"/>
          <w:u w:val="single"/>
          <w:lang w:val="en-US" w:eastAsia="zh-CN"/>
        </w:rPr>
        <w:t>第三师图木舒克市行政事业单位公务用车保险框架协议采购项目</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(二)采购品目名称及编码：</w:t>
      </w:r>
      <w:r>
        <w:rPr>
          <w:rFonts w:hint="eastAsia" w:ascii="仿宋_GB2312" w:hAnsi="仿宋_GB2312" w:eastAsia="仿宋_GB2312" w:cs="仿宋_GB2312"/>
          <w:b w:val="0"/>
          <w:bCs w:val="0"/>
          <w:sz w:val="32"/>
          <w:szCs w:val="32"/>
          <w:u w:val="single"/>
        </w:rPr>
        <w:t>财产保险服务</w:t>
      </w:r>
      <w:r>
        <w:rPr>
          <w:rFonts w:hint="eastAsia" w:ascii="仿宋_GB2312" w:hAnsi="仿宋_GB2312" w:eastAsia="仿宋_GB2312" w:cs="仿宋_GB2312"/>
          <w:b w:val="0"/>
          <w:bCs w:val="0"/>
          <w:sz w:val="32"/>
          <w:szCs w:val="32"/>
          <w:u w:val="single"/>
          <w:lang w:val="en-US" w:eastAsia="zh-CN"/>
        </w:rPr>
        <w:t xml:space="preserve"> C18040102</w:t>
      </w:r>
      <w:r>
        <w:rPr>
          <w:rFonts w:hint="eastAsia" w:ascii="仿宋_GB2312" w:hAnsi="仿宋_GB2312" w:eastAsia="仿宋_GB2312" w:cs="仿宋_GB2312"/>
          <w:b w:val="0"/>
          <w:bCs w:val="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(三)适用的法定情形：(符合《政府采购框架协议采购方式管理暂行办法》第三条规定情形)</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集中采购目录内、小额零星采购</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集采目录外、自采自用</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集采目录外、自采他用</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其他</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三、适用主体范围</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u w:val="single"/>
        </w:rPr>
      </w:pPr>
      <w:r>
        <w:rPr>
          <w:rFonts w:hint="eastAsia" w:ascii="仿宋_GB2312" w:hAnsi="仿宋_GB2312" w:eastAsia="仿宋_GB2312" w:cs="仿宋_GB2312"/>
          <w:b w:val="0"/>
          <w:bCs w:val="0"/>
          <w:sz w:val="32"/>
          <w:szCs w:val="32"/>
          <w:u w:val="single"/>
          <w:lang w:val="en-US" w:eastAsia="zh-CN"/>
        </w:rPr>
        <w:t>图木舒克市本级及周边团场党政机关行政部门所属事业单位。</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lang w:val="en-US" w:eastAsia="zh-CN"/>
        </w:rPr>
        <w:t>四、</w:t>
      </w:r>
      <w:r>
        <w:rPr>
          <w:rFonts w:hint="eastAsia" w:ascii="黑体" w:hAnsi="黑体" w:eastAsia="黑体" w:cs="黑体"/>
          <w:b w:val="0"/>
          <w:bCs w:val="0"/>
          <w:spacing w:val="3"/>
          <w:sz w:val="32"/>
          <w:szCs w:val="32"/>
        </w:rPr>
        <w:t>框架协议采购类型</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封闭式框架协议</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开放式框架协议</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五、框架协议有效期</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sz w:val="32"/>
          <w:szCs w:val="32"/>
          <w:u w:val="none"/>
          <w:lang w:val="en-US" w:eastAsia="zh-CN"/>
        </w:rPr>
        <w:t>框架协议有效期为2年</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六、需求管理情况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方正楷体_GB2312" w:hAnsi="方正楷体_GB2312" w:eastAsia="方正楷体_GB2312" w:cs="方正楷体_GB2312"/>
          <w:b w:val="0"/>
          <w:bCs w:val="0"/>
          <w:sz w:val="32"/>
          <w:szCs w:val="32"/>
          <w:highlight w:val="none"/>
          <w:lang w:val="en-US" w:eastAsia="zh-CN"/>
        </w:rPr>
      </w:pPr>
      <w:r>
        <w:rPr>
          <w:rFonts w:hint="eastAsia" w:ascii="方正楷体_GB2312" w:hAnsi="方正楷体_GB2312" w:eastAsia="方正楷体_GB2312" w:cs="方正楷体_GB2312"/>
          <w:b w:val="0"/>
          <w:bCs w:val="0"/>
          <w:sz w:val="32"/>
          <w:szCs w:val="32"/>
        </w:rPr>
        <w:t>(一)开展需求调查情况</w:t>
      </w:r>
      <w:r>
        <w:rPr>
          <w:rFonts w:hint="eastAsia" w:ascii="方正楷体_GB2312" w:hAnsi="方正楷体_GB2312" w:eastAsia="方正楷体_GB2312" w:cs="方正楷体_GB2312"/>
          <w:b w:val="0"/>
          <w:bCs w:val="0"/>
          <w:sz w:val="32"/>
          <w:szCs w:val="32"/>
          <w:lang w:val="en-US" w:eastAsia="zh-CN"/>
        </w:rPr>
        <w:t>具体描述</w:t>
      </w:r>
      <w:r>
        <w:rPr>
          <w:rFonts w:hint="eastAsia" w:ascii="方正楷体_GB2312" w:hAnsi="方正楷体_GB2312" w:eastAsia="方正楷体_GB2312" w:cs="方正楷体_GB2312"/>
          <w:b w:val="0"/>
          <w:bCs w:val="0"/>
          <w:sz w:val="32"/>
          <w:szCs w:val="32"/>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highlight w:val="none"/>
        </w:rPr>
        <w:t>通过咨询、论证和调查问卷等方式听</w:t>
      </w:r>
      <w:r>
        <w:rPr>
          <w:rFonts w:hint="eastAsia" w:ascii="仿宋_GB2312" w:hAnsi="仿宋_GB2312" w:eastAsia="仿宋_GB2312" w:cs="仿宋_GB2312"/>
          <w:b w:val="0"/>
          <w:bCs w:val="0"/>
          <w:sz w:val="32"/>
          <w:szCs w:val="32"/>
          <w:highlight w:val="none"/>
          <w:lang w:eastAsia="zh-CN"/>
        </w:rPr>
        <w:t>采购人或者服务对象</w:t>
      </w:r>
      <w:r>
        <w:rPr>
          <w:rFonts w:hint="eastAsia" w:ascii="仿宋_GB2312" w:hAnsi="仿宋_GB2312" w:eastAsia="仿宋_GB2312" w:cs="仿宋_GB2312"/>
          <w:b w:val="0"/>
          <w:bCs w:val="0"/>
          <w:sz w:val="32"/>
          <w:szCs w:val="32"/>
          <w:highlight w:val="none"/>
        </w:rPr>
        <w:t>、供应商和专家等意见。面向</w:t>
      </w:r>
      <w:r>
        <w:rPr>
          <w:rFonts w:hint="eastAsia" w:ascii="仿宋_GB2312" w:hAnsi="仿宋_GB2312" w:eastAsia="仿宋_GB2312" w:cs="仿宋_GB2312"/>
          <w:b w:val="0"/>
          <w:bCs w:val="0"/>
          <w:sz w:val="32"/>
          <w:szCs w:val="32"/>
          <w:highlight w:val="none"/>
          <w:lang w:eastAsia="zh-CN"/>
        </w:rPr>
        <w:t>采购人或者服务对象</w:t>
      </w:r>
      <w:r>
        <w:rPr>
          <w:rFonts w:hint="eastAsia" w:ascii="仿宋_GB2312" w:hAnsi="仿宋_GB2312" w:eastAsia="仿宋_GB2312" w:cs="仿宋_GB2312"/>
          <w:b w:val="0"/>
          <w:bCs w:val="0"/>
          <w:sz w:val="32"/>
          <w:szCs w:val="32"/>
          <w:highlight w:val="none"/>
        </w:rPr>
        <w:t>和供应商开展需求调查时，应当选择具有代表性的调查对象，调查对象一般不少于3个。</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方正楷体_GB2312" w:hAnsi="方正楷体_GB2312" w:eastAsia="方正楷体_GB2312" w:cs="方正楷体_GB2312"/>
          <w:b w:val="0"/>
          <w:bCs w:val="0"/>
          <w:sz w:val="32"/>
          <w:szCs w:val="32"/>
          <w:lang w:eastAsia="zh-CN"/>
        </w:rPr>
      </w:pPr>
      <w:r>
        <w:rPr>
          <w:rFonts w:hint="eastAsia" w:ascii="方正楷体_GB2312" w:hAnsi="方正楷体_GB2312" w:eastAsia="方正楷体_GB2312" w:cs="方正楷体_GB2312"/>
          <w:b w:val="0"/>
          <w:bCs w:val="0"/>
          <w:sz w:val="32"/>
          <w:szCs w:val="32"/>
        </w:rPr>
        <w:t>(二)采购需求内容</w:t>
      </w:r>
      <w:r>
        <w:rPr>
          <w:rFonts w:hint="eastAsia" w:ascii="方正楷体_GB2312" w:hAnsi="方正楷体_GB2312" w:eastAsia="方正楷体_GB2312" w:cs="方正楷体_GB2312"/>
          <w:b w:val="0"/>
          <w:bCs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（1）服务内容：</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default" w:ascii="Times New Roman" w:hAnsi="Times New Roman" w:eastAsia="仿宋_GB2312" w:cs="Times New Roman"/>
          <w:b/>
          <w:bCs/>
          <w:sz w:val="32"/>
          <w:szCs w:val="32"/>
          <w:u w:val="single"/>
          <w:lang w:eastAsia="zh-CN"/>
        </w:rPr>
        <w:t>车辆保险、理赔</w:t>
      </w:r>
      <w:r>
        <w:rPr>
          <w:rFonts w:hint="eastAsia" w:ascii="仿宋_GB2312" w:hAnsi="仿宋_GB2312" w:eastAsia="仿宋_GB2312" w:cs="仿宋_GB2312"/>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（2）服务要求：</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供应商</w:t>
      </w:r>
      <w:r>
        <w:rPr>
          <w:rFonts w:hint="default" w:ascii="Times New Roman" w:hAnsi="Times New Roman" w:eastAsia="仿宋_GB2312" w:cs="Times New Roman"/>
          <w:sz w:val="32"/>
          <w:szCs w:val="32"/>
          <w:lang w:val="en-US" w:eastAsia="zh-CN"/>
        </w:rPr>
        <w:t>必须提供企业法人营业执照、税务登记证、组织机构代码证。</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供应商</w:t>
      </w:r>
      <w:r>
        <w:rPr>
          <w:rFonts w:hint="default" w:ascii="Times New Roman" w:hAnsi="Times New Roman" w:eastAsia="仿宋_GB2312" w:cs="Times New Roman"/>
          <w:sz w:val="32"/>
          <w:szCs w:val="32"/>
          <w:lang w:val="en-US" w:eastAsia="zh-CN"/>
        </w:rPr>
        <w:t>必须为在中华人民共和国境内注册（不包括在港澳台地区注册成立的法人和其它组织）的、拥有中国银行保险监督管理委员会批准开展财产保险业务。</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3.必须是守信誉企业，无不良行为记录。</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4.必须在三师具有经营保险业务的资格及理赔能力，且具有中国银行保险监督管理委员会颁发的《中华人民共和国经营保险业务许可证》。</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5.在三师图木舒克市辖区内、各团场范围内拥有中国银行保险监督管理委员会批准的营业网点。</w:t>
      </w:r>
    </w:p>
    <w:p>
      <w:pPr>
        <w:keepNext w:val="0"/>
        <w:keepLines w:val="0"/>
        <w:pageBreakBefore w:val="0"/>
        <w:numPr>
          <w:ilvl w:val="0"/>
          <w:numId w:val="0"/>
        </w:numPr>
        <w:shd w:val="clea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6.出险和理赔，</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在接到出险报案后，在图市市区内的30分钟内到达事故现场</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在50公里内的1小时内到达事故现场</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偏远地区、交通不便地段在接到报案后迅速赶赴现场</w:t>
      </w:r>
      <w:r>
        <w:rPr>
          <w:rFonts w:hint="default" w:ascii="Times New Roman" w:hAnsi="Times New Roman" w:eastAsia="仿宋_GB2312" w:cs="Times New Roman"/>
          <w:sz w:val="32"/>
          <w:szCs w:val="32"/>
          <w:highlight w:val="none"/>
          <w:lang w:val="en-US" w:eastAsia="zh-CN"/>
        </w:rPr>
        <w:t>。依据行业标准的赔款时效：赔偿金额在0.2万元（含）以内的一日内支付；赔偿金额在0.2-1万元（含）以内的，在三日内支付</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赔偿金额在1-5万元（含）以内的，在五日内支付</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赔偿金额在5-10万元（含）以内的，在七日内支付；赔偿金额在10万元以上的，在十日内支付。重大赔案由于客观原因不能及时结案的，</w:t>
      </w:r>
      <w:r>
        <w:rPr>
          <w:rFonts w:hint="eastAsia" w:ascii="Times New Roman" w:hAnsi="Times New Roman" w:eastAsia="仿宋_GB2312" w:cs="Times New Roman"/>
          <w:sz w:val="32"/>
          <w:szCs w:val="32"/>
          <w:highlight w:val="none"/>
          <w:lang w:val="en-US" w:eastAsia="zh-CN"/>
        </w:rPr>
        <w:t>供应商</w:t>
      </w:r>
      <w:r>
        <w:rPr>
          <w:rFonts w:hint="default" w:ascii="Times New Roman" w:hAnsi="Times New Roman" w:eastAsia="仿宋_GB2312" w:cs="Times New Roman"/>
          <w:sz w:val="32"/>
          <w:szCs w:val="32"/>
          <w:highlight w:val="none"/>
          <w:lang w:val="en-US" w:eastAsia="zh-CN"/>
        </w:rPr>
        <w:t>必须根据事故责任认定和初步定损情况以及所属单位的要求，10个工作日内作出不低于50%应赔金额的预付，以解决事故急需。</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注：</w:t>
      </w:r>
      <w:r>
        <w:rPr>
          <w:rFonts w:hint="default" w:ascii="Times New Roman" w:hAnsi="Times New Roman" w:eastAsia="仿宋_GB2312" w:cs="Times New Roman"/>
          <w:b/>
          <w:bCs/>
          <w:sz w:val="32"/>
          <w:szCs w:val="32"/>
          <w:lang w:val="en-US" w:eastAsia="zh-CN"/>
        </w:rPr>
        <w:t>保费调整：定点保险执行期间，因政策调整导致保费发生变化的，必须以就低的原则收取保费，以就高的原则进行赔付。</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7.</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建立与本合同要求相适应的、能够满足本合同定责的保险服务和保障体系，建立专门的服务机构，配备固定的联系人员和专业服务人员。</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8.</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上门为投保单位免费办理承保、理赔、宜传等保险手续和服务。</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9.</w:t>
      </w:r>
      <w:r>
        <w:rPr>
          <w:rFonts w:hint="default" w:ascii="Times New Roman" w:hAnsi="Times New Roman" w:eastAsia="仿宋_GB2312" w:cs="Times New Roman"/>
          <w:color w:val="1D1D1D"/>
          <w:sz w:val="32"/>
          <w:szCs w:val="32"/>
        </w:rPr>
        <w:t>确认投保后，</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上门到投保单位，并由投保单位确认盖章。</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10.</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上门解释保险条款、费率和险种，向投保单位告知服务体系和理赔程序。</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11.</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服务人员上门送达保险单、发票等。</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12.</w:t>
      </w:r>
      <w:r>
        <w:rPr>
          <w:rFonts w:hint="default" w:ascii="Times New Roman" w:hAnsi="Times New Roman" w:eastAsia="仿宋_GB2312" w:cs="Times New Roman"/>
          <w:color w:val="1D1D1D"/>
          <w:sz w:val="32"/>
          <w:szCs w:val="32"/>
        </w:rPr>
        <w:t>保险到期前的30天，由</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向投保单位提供提醒服务。投保车辆出险后，</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负责向投保单位告知案件处理进展和结案情况，并及时提供理赔帮助和索赔提醒服务。</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13.</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设立24小时全天候服务专线，受理承保车辆的事故和理赔报案</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提供365天无休假服务</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向投保单位提供车辆事故方面的法律援助和咨询服务。保险车辆发生交通事故时，在投保单位提出要求时，</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应派人协助投保单位进行交通事故的处理。</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lang w:eastAsia="zh-CN"/>
        </w:rPr>
      </w:pPr>
      <w:r>
        <w:rPr>
          <w:rFonts w:hint="default" w:ascii="Times New Roman" w:hAnsi="Times New Roman" w:eastAsia="仿宋_GB2312" w:cs="Times New Roman"/>
          <w:color w:val="1D1D1D"/>
          <w:sz w:val="32"/>
          <w:szCs w:val="32"/>
          <w:lang w:val="en-US" w:eastAsia="zh-CN"/>
        </w:rPr>
        <w:t>1</w:t>
      </w:r>
      <w:r>
        <w:rPr>
          <w:rFonts w:hint="eastAsia" w:ascii="Times New Roman" w:hAnsi="Times New Roman" w:eastAsia="仿宋_GB2312" w:cs="Times New Roman"/>
          <w:color w:val="1D1D1D"/>
          <w:sz w:val="32"/>
          <w:szCs w:val="32"/>
          <w:lang w:val="en-US" w:eastAsia="zh-CN"/>
        </w:rPr>
        <w:t>4</w:t>
      </w:r>
      <w:r>
        <w:rPr>
          <w:rFonts w:hint="default" w:ascii="Times New Roman" w:hAnsi="Times New Roman" w:eastAsia="仿宋_GB2312" w:cs="Times New Roman"/>
          <w:color w:val="1D1D1D"/>
          <w:sz w:val="32"/>
          <w:szCs w:val="32"/>
          <w:lang w:val="en-US" w:eastAsia="zh-CN"/>
        </w:rPr>
        <w:t>.</w:t>
      </w:r>
      <w:r>
        <w:rPr>
          <w:rFonts w:hint="eastAsia" w:ascii="Times New Roman" w:hAnsi="Times New Roman" w:eastAsia="仿宋_GB2312" w:cs="Times New Roman"/>
          <w:color w:val="1D1D1D"/>
          <w:sz w:val="32"/>
          <w:szCs w:val="32"/>
          <w:lang w:eastAsia="zh-CN"/>
        </w:rPr>
        <w:t>采购人或者服务对象</w:t>
      </w:r>
      <w:r>
        <w:rPr>
          <w:rFonts w:hint="default" w:ascii="Times New Roman" w:hAnsi="Times New Roman" w:eastAsia="仿宋_GB2312" w:cs="Times New Roman"/>
          <w:color w:val="1D1D1D"/>
          <w:sz w:val="32"/>
          <w:szCs w:val="32"/>
          <w:lang w:eastAsia="zh-CN"/>
        </w:rPr>
        <w:t>车辆在途中抛锚</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lang w:eastAsia="zh-CN"/>
        </w:rPr>
        <w:t>无条件负责救援工作。</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default" w:ascii="Times New Roman" w:hAnsi="Times New Roman" w:eastAsia="仿宋_GB2312" w:cs="Times New Roman"/>
          <w:color w:val="1D1D1D"/>
          <w:sz w:val="32"/>
          <w:szCs w:val="32"/>
          <w:lang w:val="en-US" w:eastAsia="zh-CN"/>
        </w:rPr>
        <w:t>1</w:t>
      </w:r>
      <w:r>
        <w:rPr>
          <w:rFonts w:hint="eastAsia" w:ascii="Times New Roman" w:hAnsi="Times New Roman" w:eastAsia="仿宋_GB2312" w:cs="Times New Roman"/>
          <w:color w:val="1D1D1D"/>
          <w:sz w:val="32"/>
          <w:szCs w:val="32"/>
          <w:lang w:val="en-US" w:eastAsia="zh-CN"/>
        </w:rPr>
        <w:t>5</w:t>
      </w:r>
      <w:r>
        <w:rPr>
          <w:rFonts w:hint="default" w:ascii="Times New Roman" w:hAnsi="Times New Roman" w:eastAsia="仿宋_GB2312" w:cs="Times New Roman"/>
          <w:color w:val="1D1D1D"/>
          <w:sz w:val="32"/>
          <w:szCs w:val="32"/>
        </w:rPr>
        <w:t>对投保单位提供的理赔证明材料齐全的理赔案件，</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承诺</w:t>
      </w:r>
      <w:r>
        <w:rPr>
          <w:rFonts w:hint="default" w:ascii="Times New Roman" w:hAnsi="Times New Roman" w:eastAsia="仿宋_GB2312" w:cs="Times New Roman"/>
          <w:color w:val="1D1D1D"/>
          <w:sz w:val="32"/>
          <w:szCs w:val="32"/>
          <w:lang w:eastAsia="zh-CN"/>
        </w:rPr>
        <w:t>应</w:t>
      </w:r>
      <w:r>
        <w:rPr>
          <w:rFonts w:hint="default" w:ascii="Times New Roman" w:hAnsi="Times New Roman" w:eastAsia="仿宋_GB2312" w:cs="Times New Roman"/>
          <w:color w:val="1D1D1D"/>
          <w:sz w:val="32"/>
          <w:szCs w:val="32"/>
        </w:rPr>
        <w:t>在以下时限内办理完毕</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赔款1</w:t>
      </w:r>
      <w:r>
        <w:rPr>
          <w:rFonts w:hint="eastAsia" w:ascii="Times New Roman" w:hAnsi="Times New Roman" w:eastAsia="仿宋_GB2312" w:cs="Times New Roman"/>
          <w:color w:val="1D1D1D"/>
          <w:sz w:val="32"/>
          <w:szCs w:val="32"/>
          <w:lang w:eastAsia="zh-CN"/>
        </w:rPr>
        <w:t>万</w:t>
      </w:r>
      <w:r>
        <w:rPr>
          <w:rFonts w:hint="default" w:ascii="Times New Roman" w:hAnsi="Times New Roman" w:eastAsia="仿宋_GB2312" w:cs="Times New Roman"/>
          <w:color w:val="1D1D1D"/>
          <w:sz w:val="32"/>
          <w:szCs w:val="32"/>
        </w:rPr>
        <w:t>元以下的，1-2个工作日内完成定损</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赔款1-3万元的，2-3个工作日内完成定损</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赔款3-10万元的</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4-5个工作日内完成定损</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赔款10万元以上的，7-10个工作日内完成定损</w:t>
      </w:r>
      <w:r>
        <w:rPr>
          <w:rFonts w:hint="eastAsia" w:ascii="仿宋_GB2312" w:hAnsi="仿宋_GB2312" w:eastAsia="仿宋_GB2312" w:cs="仿宋_GB2312"/>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方正楷体_GB2312" w:hAnsi="方正楷体_GB2312" w:eastAsia="方正楷体_GB2312" w:cs="方正楷体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（三）潜在供应商资格要求、技术、商务要求：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1.资格要求：（1）符合《中华人民共和国政府采购法》第二十二条的相关规定；（2）供应商须具备中国银行保险监督管理委员会颁发的《保险许可证》，且有固定的服务场所；（3）经信用中国（</w:t>
      </w:r>
      <w:r>
        <w:rPr>
          <w:rFonts w:hint="eastAsia" w:ascii="仿宋_GB2312" w:hAnsi="仿宋_GB2312" w:eastAsia="仿宋_GB2312" w:cs="仿宋_GB2312"/>
          <w:b w:val="0"/>
          <w:bCs w:val="0"/>
          <w:kern w:val="2"/>
          <w:sz w:val="32"/>
          <w:szCs w:val="32"/>
          <w:lang w:val="en-US" w:eastAsia="zh-CN" w:bidi="ar-SA"/>
        </w:rPr>
        <w:fldChar w:fldCharType="begin"/>
      </w:r>
      <w:r>
        <w:rPr>
          <w:rFonts w:hint="eastAsia" w:ascii="仿宋_GB2312" w:hAnsi="仿宋_GB2312" w:eastAsia="仿宋_GB2312" w:cs="仿宋_GB2312"/>
          <w:b w:val="0"/>
          <w:bCs w:val="0"/>
          <w:kern w:val="2"/>
          <w:sz w:val="32"/>
          <w:szCs w:val="32"/>
          <w:lang w:val="en-US" w:eastAsia="zh-CN" w:bidi="ar-SA"/>
        </w:rPr>
        <w:instrText xml:space="preserve">HYPERLINK"http://www.creditchina.gov.xn--cn)(www-0o3fu69vuosgftrgs7o1fgtwb3oo.ccgp.gov.xn--cn)-x33e002goji19wjl4almi/"</w:instrText>
      </w:r>
      <w:r>
        <w:rPr>
          <w:rFonts w:hint="eastAsia" w:ascii="仿宋_GB2312" w:hAnsi="仿宋_GB2312" w:eastAsia="仿宋_GB2312" w:cs="仿宋_GB2312"/>
          <w:b w:val="0"/>
          <w:bCs w:val="0"/>
          <w:kern w:val="2"/>
          <w:sz w:val="32"/>
          <w:szCs w:val="32"/>
          <w:lang w:val="en-US" w:eastAsia="zh-CN" w:bidi="ar-SA"/>
        </w:rPr>
        <w:fldChar w:fldCharType="separate"/>
      </w:r>
      <w:r>
        <w:rPr>
          <w:rFonts w:hint="eastAsia" w:ascii="仿宋_GB2312" w:hAnsi="仿宋_GB2312" w:eastAsia="仿宋_GB2312" w:cs="仿宋_GB2312"/>
          <w:b w:val="0"/>
          <w:bCs w:val="0"/>
          <w:kern w:val="2"/>
          <w:sz w:val="32"/>
          <w:szCs w:val="32"/>
          <w:lang w:val="en-US" w:eastAsia="zh-CN" w:bidi="ar-SA"/>
        </w:rPr>
        <w:t>www.creditchina.gov.cn）、中国政府采购网（www.ccgp.gov.cn）等渠道查询后</w:t>
      </w:r>
      <w:r>
        <w:rPr>
          <w:rFonts w:hint="eastAsia" w:ascii="仿宋_GB2312" w:hAnsi="仿宋_GB2312" w:eastAsia="仿宋_GB2312" w:cs="仿宋_GB2312"/>
          <w:b w:val="0"/>
          <w:bCs w:val="0"/>
          <w:kern w:val="2"/>
          <w:sz w:val="32"/>
          <w:szCs w:val="32"/>
          <w:lang w:val="en-US" w:eastAsia="zh-CN" w:bidi="ar-SA"/>
        </w:rPr>
        <w:fldChar w:fldCharType="end"/>
      </w:r>
      <w:r>
        <w:rPr>
          <w:rFonts w:hint="eastAsia" w:ascii="仿宋_GB2312" w:hAnsi="仿宋_GB2312" w:eastAsia="仿宋_GB2312" w:cs="仿宋_GB2312"/>
          <w:b w:val="0"/>
          <w:bCs w:val="0"/>
          <w:kern w:val="2"/>
          <w:sz w:val="32"/>
          <w:szCs w:val="32"/>
          <w:lang w:val="en-US" w:eastAsia="zh-CN" w:bidi="ar-SA"/>
        </w:rPr>
        <w:t>，列入失信被执行人、重大税收违法案件当事人名单、政府采购严重违法失信行为记录名单的，取消投标资格。（4）本项目不接受联合体投标。（5）本项目同一保险公司只允许总公司或一家分公司参加投标；若为总公司参加征集，须同时提供图木舒克市分公司营业执照副本；若为分公司参加征集，须提供总公司针对图木舒克市分公司参加本项目投标唯一授权的证明材料（县级分公司以下的分支机构、代办点等不允许参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2.技术、商务要求：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kern w:val="2"/>
          <w:sz w:val="32"/>
          <w:szCs w:val="32"/>
          <w:lang w:val="en-US" w:eastAsia="zh-CN" w:bidi="ar-SA"/>
        </w:rPr>
        <w:t>（1）</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合同履行期限：自封闭式框架协议签订之日起2年。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（2）服务交付或者实施的地域范围：采购人或者服务对象指定。</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最高限制单价：入围供应商须按中国银保监会规定的车辆保险最低费率标准（0.65）执行，且如在签约年度内遇到入围供应商或银保监会的车辆费率调整，若调整后的费率低于现行优惠标准的，纳入统一保险的车辆享有调整后的最大优惠标准待遇。（优惠率(0.35)，项目采用优惠率报价，优惠率是指在征集文件约定的基准价基础上进行下浮的比例。例如供应商填入0.2（20%优惠率）则优惠后的报价＝（1-0.2）×基准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（4）服务能力及保障：节假日提供不间断维修服务的，提供承诺函及服务保障方案。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（5）付款方式：供应商按第二阶段的合同约定，凭正式发票按季度（原则上）以实际供货数量乘以供应商所报费率乘以商品基准价进行结算（实际基准价不高于征集文件最高限价）。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（6）响应报价要求：</w:t>
      </w:r>
      <w:r>
        <w:rPr>
          <w:rFonts w:hint="eastAsia" w:ascii="仿宋_GB2312" w:hAnsi="仿宋_GB2312" w:eastAsia="仿宋_GB2312" w:cs="仿宋_GB2312"/>
          <w:b/>
          <w:bCs/>
          <w:kern w:val="2"/>
          <w:sz w:val="32"/>
          <w:szCs w:val="32"/>
          <w:lang w:val="en-US" w:eastAsia="zh-CN" w:bidi="ar-SA"/>
        </w:rPr>
        <w:t>优惠率(0.35)，项目采用优惠率报价，优惠率是指在征集文件约定的基准价基础上进行下浮的比例。例如供应商填入 0.2（20%优惠率）则优惠后的报价＝（1-0.2）×基准价。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7）验收标准：征集文件中的服务按照国标、部标、行业标准或者双方技术协议或者征集文件、响应文件、书面承诺提供服务。如对服务以及质量有争议，征集人组织相关部门对服务和质量进行检验或者验收，未达到服务要求的，由入围供应商承担全部责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（8）违约责任：以合同约定为准。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（9）争议解决的方法：应通过协商解决，如协商不成，可以向合同签订地法院提起诉讼</w:t>
      </w:r>
      <w:r>
        <w:rPr>
          <w:rFonts w:hint="eastAsia" w:ascii="Times New Roman" w:hAnsi="Times New Roman" w:eastAsia="仿宋_GB2312" w:cs="仿宋_GB2312"/>
          <w:b w:val="0"/>
          <w:bCs w:val="0"/>
          <w:kern w:val="2"/>
          <w:sz w:val="32"/>
          <w:szCs w:val="32"/>
          <w:lang w:val="en-US" w:eastAsia="zh-CN" w:bidi="ar-SA"/>
        </w:rPr>
        <w:t>。</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七、定价机制</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最高限制单价</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kern w:val="2"/>
          <w:sz w:val="32"/>
          <w:szCs w:val="32"/>
          <w:lang w:val="en-US" w:eastAsia="zh-CN" w:bidi="ar-SA"/>
        </w:rPr>
        <w:t>入围供应商须按中国银保监会规定的车辆保险最低费率标准（0.65）执行，且如在签约年度内遇到入围供应商或银保监会的车辆费率调整，若调整后的费率低于现行优惠标准的，纳入统一保险的车辆享有调整后的最大优惠标准待遇。（</w:t>
      </w:r>
      <w:r>
        <w:rPr>
          <w:rFonts w:hint="eastAsia" w:ascii="仿宋_GB2312" w:hAnsi="仿宋_GB2312" w:eastAsia="仿宋_GB2312" w:cs="仿宋_GB2312"/>
          <w:b/>
          <w:bCs/>
          <w:kern w:val="2"/>
          <w:sz w:val="32"/>
          <w:szCs w:val="32"/>
          <w:lang w:val="en-US" w:eastAsia="zh-CN" w:bidi="ar-SA"/>
        </w:rPr>
        <w:t>优惠率(0.35)，项目采用优惠率报价，优惠率是指在征集文件约定的基准价基础上进行下浮的比例。例如供应商填入 0.2（20%优惠率）则优惠后的报价＝（1-0.2）×基准价。</w:t>
      </w:r>
      <w:r>
        <w:rPr>
          <w:rFonts w:hint="eastAsia" w:ascii="仿宋_GB2312" w:hAnsi="仿宋_GB2312" w:eastAsia="仿宋_GB2312" w:cs="仿宋_GB2312"/>
          <w:b w:val="0"/>
          <w:bCs w:val="0"/>
          <w:kern w:val="2"/>
          <w:sz w:val="32"/>
          <w:szCs w:val="32"/>
          <w:lang w:val="en-US" w:eastAsia="zh-CN" w:bidi="ar-SA"/>
        </w:rPr>
        <w:t>）</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八、评审方法</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质量优先法（指对满足采购需求且响应报价不超过最高限制单价的服务进行质量综合评分，按照质量评分从高到低排序，根据征集文件规定的淘汰率或者入围供应商数量上限，确定入围供应商的评审方法）。</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九、淘汰率(入围供应商数量上限)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按照质量评分从高到低排序，向征集人推荐排名靠前的供应商，确定第一阶段入围供应商时，提交响应文件和符合资格条件、实质性要求的供应商应当不少于2家，淘汰比例不低于20%，且至少淘汰一家供应商。入围最后一名得分相同的，优先选用报价较低者。</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十、确定第二阶段成交供应商的方法</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直接选定</w:t>
      </w:r>
      <w:r>
        <w:rPr>
          <w:rFonts w:hint="eastAsia" w:ascii="仿宋_GB2312" w:hAnsi="仿宋_GB2312" w:eastAsia="仿宋_GB2312" w:cs="仿宋_GB2312"/>
          <w:b w:val="0"/>
          <w:bCs w:val="0"/>
          <w:sz w:val="32"/>
          <w:szCs w:val="32"/>
          <w:lang w:eastAsia="zh-CN"/>
        </w:rPr>
        <w:t>：确定第二阶段成交供应商应当由采购人或者服务对象依据入围产品价格、质量以及服务便利性、用户评价（</w:t>
      </w:r>
      <w:r>
        <w:rPr>
          <w:rFonts w:hint="eastAsia" w:ascii="仿宋_GB2312" w:hAnsi="仿宋_GB2312" w:eastAsia="仿宋_GB2312" w:cs="仿宋_GB2312"/>
          <w:b w:val="0"/>
          <w:bCs w:val="0"/>
          <w:sz w:val="32"/>
          <w:szCs w:val="32"/>
          <w:u w:val="single"/>
          <w:lang w:val="en-US" w:eastAsia="zh-CN"/>
        </w:rPr>
        <w:t>用户反馈和评价机制：采购人需对入围供应商履行框架协议和采购合同情况进行反馈和评价，作为其他采购人第二阶段直接选定成交供应商的参考</w:t>
      </w:r>
      <w:r>
        <w:rPr>
          <w:rFonts w:hint="eastAsia" w:ascii="仿宋_GB2312" w:hAnsi="仿宋_GB2312" w:eastAsia="仿宋_GB2312" w:cs="仿宋_GB2312"/>
          <w:b w:val="0"/>
          <w:bCs w:val="0"/>
          <w:sz w:val="32"/>
          <w:szCs w:val="32"/>
          <w:lang w:eastAsia="zh-CN"/>
        </w:rPr>
        <w:t>）等因素，从第一阶段入围供应商中直接选</w:t>
      </w:r>
      <w:r>
        <w:rPr>
          <w:rFonts w:hint="eastAsia" w:ascii="仿宋_GB2312" w:hAnsi="仿宋_GB2312" w:eastAsia="仿宋_GB2312" w:cs="仿宋_GB2312"/>
          <w:b w:val="0"/>
          <w:bCs w:val="0"/>
          <w:sz w:val="32"/>
          <w:szCs w:val="32"/>
        </w:rPr>
        <w:t>定</w:t>
      </w:r>
      <w:r>
        <w:rPr>
          <w:rFonts w:hint="eastAsia" w:ascii="仿宋_GB2312" w:hAnsi="仿宋_GB2312" w:eastAsia="仿宋_GB2312" w:cs="仿宋_GB2312"/>
          <w:b w:val="0"/>
          <w:bCs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十一、入围供应商清退和补充规则</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清退：入围供应商有《政府采购框架协议采购方式管理暂行办法》(财政部令第110号)第十九条第一款规定情形之一，尚未签订框架协议的，取消其入围资格；已经签订框架协议的，除与其签订的框架协议。</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补充：除剩余入围供应商不足入围供应商总数70%且影响框架协议执行的情形外，框架协议有效期内，征集人不得补充征集供应商。征集人补充征集供应商的，补充征集规则应当在框架协议中约定，补充征集的条件、程序、评审方法和淘汰比例应当与初次征集相同。补充征集应当遵守原框架协议的有效期。补充征集期间，原框架协议继续履行。</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十二、落实政府采购政策</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本项目为</w:t>
      </w:r>
      <w:r>
        <w:rPr>
          <w:rFonts w:hint="eastAsia" w:ascii="仿宋_GB2312" w:hAnsi="仿宋_GB2312" w:eastAsia="仿宋_GB2312" w:cs="仿宋_GB2312"/>
          <w:b w:val="0"/>
          <w:bCs w:val="0"/>
          <w:sz w:val="32"/>
          <w:szCs w:val="32"/>
          <w:u w:val="single"/>
        </w:rPr>
        <w:t>非专门</w:t>
      </w:r>
      <w:r>
        <w:rPr>
          <w:rFonts w:hint="eastAsia" w:ascii="仿宋_GB2312" w:hAnsi="仿宋_GB2312" w:eastAsia="仿宋_GB2312" w:cs="仿宋_GB2312"/>
          <w:b w:val="0"/>
          <w:bCs w:val="0"/>
          <w:sz w:val="32"/>
          <w:szCs w:val="32"/>
        </w:rPr>
        <w:t>面向中小企业采购的项目</w:t>
      </w:r>
      <w:r>
        <w:rPr>
          <w:rFonts w:hint="eastAsia" w:ascii="仿宋_GB2312" w:hAnsi="仿宋_GB2312" w:eastAsia="仿宋_GB2312" w:cs="仿宋_GB2312"/>
          <w:b w:val="0"/>
          <w:bCs w:val="0"/>
          <w:sz w:val="32"/>
          <w:szCs w:val="32"/>
          <w:lang w:val="en-US" w:eastAsia="zh-CN"/>
        </w:rPr>
        <w:t>,本次采购标的（</w:t>
      </w:r>
      <w:r>
        <w:rPr>
          <w:rFonts w:hint="eastAsia" w:ascii="仿宋_GB2312" w:hAnsi="仿宋_GB2312" w:eastAsia="仿宋_GB2312" w:cs="仿宋_GB2312"/>
          <w:sz w:val="32"/>
          <w:szCs w:val="32"/>
          <w:u w:val="single"/>
          <w:lang w:val="en-US" w:eastAsia="zh-CN"/>
        </w:rPr>
        <w:t>2024年</w:t>
      </w:r>
      <w:r>
        <w:rPr>
          <w:rFonts w:hint="eastAsia" w:ascii="仿宋_GB2312" w:hAnsi="仿宋_GB2312" w:eastAsia="仿宋_GB2312" w:cs="仿宋_GB2312"/>
          <w:b w:val="0"/>
          <w:bCs w:val="0"/>
          <w:sz w:val="32"/>
          <w:szCs w:val="32"/>
          <w:u w:val="single"/>
          <w:lang w:val="en-US" w:eastAsia="zh-CN"/>
        </w:rPr>
        <w:t>第三师图木舒克市行政事业单位公务用车保险框架协议采购项目</w:t>
      </w:r>
      <w:r>
        <w:rPr>
          <w:rFonts w:hint="eastAsia" w:ascii="仿宋_GB2312" w:hAnsi="仿宋_GB2312" w:eastAsia="仿宋_GB2312" w:cs="仿宋_GB2312"/>
          <w:b w:val="0"/>
          <w:bCs w:val="0"/>
          <w:sz w:val="32"/>
          <w:szCs w:val="32"/>
          <w:lang w:val="en-US" w:eastAsia="zh-CN"/>
        </w:rPr>
        <w:t>）对应的所属行业为：</w:t>
      </w:r>
      <w:r>
        <w:rPr>
          <w:rFonts w:hint="eastAsia" w:ascii="仿宋_GB2312" w:hAnsi="仿宋_GB2312" w:eastAsia="仿宋_GB2312" w:cs="仿宋_GB2312"/>
          <w:b w:val="0"/>
          <w:bCs w:val="0"/>
          <w:sz w:val="32"/>
          <w:szCs w:val="32"/>
          <w:u w:val="single"/>
          <w:lang w:val="en-US" w:eastAsia="zh-CN"/>
        </w:rPr>
        <w:t>租赁和商务服务业</w:t>
      </w:r>
      <w:r>
        <w:rPr>
          <w:rFonts w:hint="eastAsia" w:ascii="仿宋_GB2312" w:hAnsi="仿宋_GB2312" w:eastAsia="仿宋_GB2312" w:cs="仿宋_GB2312"/>
          <w:b w:val="0"/>
          <w:bCs w:val="0"/>
          <w:sz w:val="32"/>
          <w:szCs w:val="32"/>
          <w:u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根据关于印发《政府采购促进中小企业发展管理办法》的通知（财库[2020]46号）、关于进一步加大政府采购支持中小企业力度的通知（财库〔2022〕19号）及关于印发《中小企业划型标准规定》的通知（工信部联企业[2011]300号）规定，给予小型和微型企业产品或服务的价格给予10%-20%的扣除，用扣除后的价格参与评审（监狱企业、残疾人福利性质单位视同为小微企业）；</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本次采购小型和微型企业的服务的价格扣除幅度：价格给予</w:t>
      </w:r>
      <w:r>
        <w:rPr>
          <w:rFonts w:hint="eastAsia" w:ascii="仿宋_GB2312" w:hAnsi="仿宋_GB2312" w:eastAsia="仿宋_GB2312" w:cs="仿宋_GB2312"/>
          <w:b/>
          <w:bCs/>
          <w:sz w:val="32"/>
          <w:szCs w:val="32"/>
          <w:u w:val="single"/>
        </w:rPr>
        <w:t>15%</w:t>
      </w:r>
      <w:r>
        <w:rPr>
          <w:rFonts w:hint="eastAsia" w:ascii="仿宋_GB2312" w:hAnsi="仿宋_GB2312" w:eastAsia="仿宋_GB2312" w:cs="仿宋_GB2312"/>
          <w:b w:val="0"/>
          <w:bCs w:val="0"/>
          <w:sz w:val="32"/>
          <w:szCs w:val="32"/>
        </w:rPr>
        <w:t>的扣除，供应商应出具采购文件中要求的有效的《中小企业声明函》。</w:t>
      </w:r>
      <w:r>
        <w:rPr>
          <w:rFonts w:hint="eastAsia" w:ascii="仿宋_GB2312" w:hAnsi="仿宋_GB2312" w:eastAsia="仿宋_GB2312" w:cs="仿宋_GB2312"/>
          <w:b/>
          <w:bCs/>
          <w:sz w:val="32"/>
          <w:szCs w:val="32"/>
        </w:rPr>
        <w:t>根据《政府采购促进中小企业发展管理办法》在服务采购项目中，服务由中小企业承接，即提供服务的人员为中小企业依照《中华人民共和国劳动合同法》订立劳动合同的从业人员</w:t>
      </w:r>
      <w:r>
        <w:rPr>
          <w:rFonts w:hint="eastAsia" w:ascii="仿宋_GB2312" w:hAnsi="仿宋_GB2312" w:eastAsia="仿宋_GB2312" w:cs="仿宋_GB2312"/>
          <w:b w:val="0"/>
          <w:bCs w:val="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before="100" w:line="560" w:lineRule="exact"/>
        <w:ind w:firstLine="326" w:firstLineChars="100"/>
        <w:jc w:val="both"/>
        <w:textAlignment w:val="baseline"/>
        <w:outlineLvl w:val="1"/>
        <w:rPr>
          <w:rFonts w:hint="eastAsia" w:ascii="黑体" w:hAnsi="黑体" w:eastAsia="黑体" w:cs="黑体"/>
          <w:b w:val="0"/>
          <w:bCs w:val="0"/>
          <w:spacing w:val="3"/>
          <w:sz w:val="32"/>
          <w:szCs w:val="32"/>
        </w:rPr>
      </w:pPr>
      <w:r>
        <w:rPr>
          <w:rFonts w:hint="eastAsia" w:ascii="黑体" w:hAnsi="黑体" w:eastAsia="黑体" w:cs="黑体"/>
          <w:b w:val="0"/>
          <w:bCs w:val="0"/>
          <w:spacing w:val="3"/>
          <w:sz w:val="32"/>
          <w:szCs w:val="32"/>
        </w:rPr>
        <w:t>十三、其他事项</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（1）入围供应商应当在入围通知书发出之日起30日内和入围供应商签订框架协议，若入围供应商未能在规定期限内提交履约担保（</w:t>
      </w:r>
      <w:r>
        <w:rPr>
          <w:rFonts w:hint="eastAsia" w:ascii="仿宋_GB2312" w:hAnsi="仿宋_GB2312" w:eastAsia="仿宋_GB2312" w:cs="仿宋_GB2312"/>
          <w:b w:val="0"/>
          <w:bCs w:val="0"/>
          <w:color w:val="auto"/>
          <w:sz w:val="32"/>
          <w:szCs w:val="32"/>
          <w:lang w:val="en-US" w:eastAsia="zh-CN"/>
        </w:rPr>
        <w:t>如有</w:t>
      </w:r>
      <w:r>
        <w:rPr>
          <w:rFonts w:hint="eastAsia" w:ascii="仿宋_GB2312" w:hAnsi="仿宋_GB2312" w:eastAsia="仿宋_GB2312" w:cs="仿宋_GB2312"/>
          <w:b w:val="0"/>
          <w:bCs w:val="0"/>
          <w:color w:val="auto"/>
          <w:sz w:val="32"/>
          <w:szCs w:val="32"/>
          <w:lang w:eastAsia="zh-CN"/>
        </w:rPr>
        <w:t>）或签订框架协议，征集人有权取消入围供应商入围资格；</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（2）框架协议合同签订后，入围供应商</w:t>
      </w:r>
      <w:r>
        <w:rPr>
          <w:rFonts w:hint="eastAsia" w:ascii="仿宋_GB2312" w:hAnsi="仿宋_GB2312" w:eastAsia="仿宋_GB2312" w:cs="仿宋_GB2312"/>
          <w:b w:val="0"/>
          <w:bCs w:val="0"/>
          <w:color w:val="auto"/>
          <w:sz w:val="32"/>
          <w:szCs w:val="32"/>
          <w:lang w:val="en-US" w:eastAsia="zh-CN"/>
        </w:rPr>
        <w:t>如不按照框架协议采购需求及服务内容进行履约的</w:t>
      </w:r>
      <w:r>
        <w:rPr>
          <w:rFonts w:hint="eastAsia" w:ascii="仿宋_GB2312" w:hAnsi="仿宋_GB2312" w:eastAsia="仿宋_GB2312" w:cs="仿宋_GB2312"/>
          <w:b w:val="0"/>
          <w:bCs w:val="0"/>
          <w:color w:val="auto"/>
          <w:sz w:val="32"/>
          <w:szCs w:val="32"/>
          <w:lang w:eastAsia="zh-CN"/>
        </w:rPr>
        <w:t>，征集人有权解除框架协议，并追究违约责任，同时将相关违约行为报送监管部门，</w:t>
      </w:r>
      <w:r>
        <w:rPr>
          <w:rFonts w:hint="eastAsia" w:ascii="仿宋_GB2312" w:hAnsi="仿宋_GB2312" w:eastAsia="仿宋_GB2312" w:cs="仿宋_GB2312"/>
          <w:b w:val="0"/>
          <w:bCs w:val="0"/>
          <w:color w:val="auto"/>
          <w:sz w:val="32"/>
          <w:szCs w:val="32"/>
          <w:lang w:val="en-US" w:eastAsia="zh-CN"/>
        </w:rPr>
        <w:t>由违约供应商承担相应的法律后果</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（3）入围供应商入围后被监管部门查实存在违法行为，不满足入围条件的，由征集人取消入围资格。</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（4）入围供应商在项目发生投诉、信访举报案件、履约存在争议时，拒绝协助配合执法部门调查案件的，征集人可以取消其入围资格或解除框架协议，并追究其违约责任。</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F436B6-BB6B-42CE-87BF-8814B30458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2" w:fontKey="{3995FA8D-3B85-416F-B52A-82352C6EFEFD}"/>
  </w:font>
  <w:font w:name="仿宋_GB2312">
    <w:panose1 w:val="02010609030101010101"/>
    <w:charset w:val="86"/>
    <w:family w:val="auto"/>
    <w:pitch w:val="default"/>
    <w:sig w:usb0="00000001" w:usb1="080E0000" w:usb2="00000000" w:usb3="00000000" w:csb0="00040000" w:csb1="00000000"/>
    <w:embedRegular r:id="rId3" w:fontKey="{A2C02AF8-C813-4E21-848B-7764E3BB8645}"/>
  </w:font>
  <w:font w:name="方正楷体_GB2312">
    <w:panose1 w:val="02000000000000000000"/>
    <w:charset w:val="86"/>
    <w:family w:val="auto"/>
    <w:pitch w:val="default"/>
    <w:sig w:usb0="A00002BF" w:usb1="184F6CFA" w:usb2="00000012" w:usb3="00000000" w:csb0="00040001" w:csb1="00000000"/>
    <w:embedRegular r:id="rId4" w:fontKey="{C6E402DC-2E93-476D-B515-DB9CA665CF6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jc w:val="right"/>
      <w:rPr>
        <w:rFonts w:ascii="宋体" w:hAnsi="宋体" w:eastAsia="宋体" w:cs="宋体"/>
        <w:sz w:val="27"/>
        <w:szCs w:val="27"/>
      </w:rPr>
    </w:pPr>
    <w:r>
      <w:rPr>
        <w:sz w:val="2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NGYzMDhhNTM2ODVmY2M4MzEzYzUwZjAyMWE1YTQifQ=="/>
  </w:docVars>
  <w:rsids>
    <w:rsidRoot w:val="2AF23DC2"/>
    <w:rsid w:val="00246664"/>
    <w:rsid w:val="05CD3091"/>
    <w:rsid w:val="07AD5E6F"/>
    <w:rsid w:val="08C94F2B"/>
    <w:rsid w:val="09F63CAD"/>
    <w:rsid w:val="0AAC68B2"/>
    <w:rsid w:val="0C8E33A7"/>
    <w:rsid w:val="0D38267F"/>
    <w:rsid w:val="0DA5020E"/>
    <w:rsid w:val="11A71B81"/>
    <w:rsid w:val="1AD87250"/>
    <w:rsid w:val="1B5B5EB7"/>
    <w:rsid w:val="1C623275"/>
    <w:rsid w:val="1F0E7707"/>
    <w:rsid w:val="1F8F25D3"/>
    <w:rsid w:val="213D7E0C"/>
    <w:rsid w:val="245F1927"/>
    <w:rsid w:val="255045B2"/>
    <w:rsid w:val="27BF5A1F"/>
    <w:rsid w:val="2941294F"/>
    <w:rsid w:val="2AF23DC2"/>
    <w:rsid w:val="2C2F340C"/>
    <w:rsid w:val="2D360A97"/>
    <w:rsid w:val="2DEE4968"/>
    <w:rsid w:val="33651710"/>
    <w:rsid w:val="408178BE"/>
    <w:rsid w:val="426254CD"/>
    <w:rsid w:val="432B66FD"/>
    <w:rsid w:val="464B5554"/>
    <w:rsid w:val="47E86474"/>
    <w:rsid w:val="48CC18F2"/>
    <w:rsid w:val="4AB406BF"/>
    <w:rsid w:val="4C1B0BC7"/>
    <w:rsid w:val="4C87000A"/>
    <w:rsid w:val="4D3C7046"/>
    <w:rsid w:val="4E2168BB"/>
    <w:rsid w:val="504B57F2"/>
    <w:rsid w:val="510537DD"/>
    <w:rsid w:val="51402E7D"/>
    <w:rsid w:val="528B4BB7"/>
    <w:rsid w:val="52A11200"/>
    <w:rsid w:val="5EA467FA"/>
    <w:rsid w:val="604C5C07"/>
    <w:rsid w:val="64894D45"/>
    <w:rsid w:val="6530528B"/>
    <w:rsid w:val="6867103E"/>
    <w:rsid w:val="69B108F4"/>
    <w:rsid w:val="6B4A697B"/>
    <w:rsid w:val="6D06516C"/>
    <w:rsid w:val="6EDE7B06"/>
    <w:rsid w:val="6FB940CF"/>
    <w:rsid w:val="78CE0BEB"/>
    <w:rsid w:val="7A1F261B"/>
    <w:rsid w:val="7AB64104"/>
    <w:rsid w:val="7CF87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semiHidden/>
    <w:qFormat/>
    <w:uiPriority w:val="0"/>
    <w:rPr>
      <w:rFonts w:ascii="仿宋" w:hAnsi="仿宋" w:eastAsia="仿宋" w:cs="仿宋"/>
      <w:sz w:val="34"/>
      <w:szCs w:val="34"/>
      <w:lang w:val="en-US" w:eastAsia="en-US" w:bidi="ar-SA"/>
    </w:rPr>
  </w:style>
  <w:style w:type="paragraph" w:styleId="3">
    <w:name w:val="Body Text Indent"/>
    <w:basedOn w:val="1"/>
    <w:autoRedefine/>
    <w:qFormat/>
    <w:uiPriority w:val="0"/>
    <w:pPr>
      <w:spacing w:after="120" w:afterLines="0" w:afterAutospacing="0"/>
      <w:ind w:left="420" w:leftChars="2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next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autoRedefine/>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
    <w:name w:val="Body Text First Indent 2"/>
    <w:basedOn w:val="3"/>
    <w:autoRedefine/>
    <w:qFormat/>
    <w:uiPriority w:val="0"/>
    <w:pPr>
      <w:ind w:firstLine="420" w:firstLineChars="200"/>
    </w:pPr>
  </w:style>
  <w:style w:type="character" w:styleId="10">
    <w:name w:val="Hyperlink"/>
    <w:autoRedefine/>
    <w:qFormat/>
    <w:uiPriority w:val="0"/>
    <w:rPr>
      <w:rFonts w:ascii="Times New Roman" w:hAnsi="Times New Roman" w:eastAsia="宋体" w:cs="Times New Roman"/>
      <w:color w:val="0000FF"/>
      <w:u w:val="single"/>
    </w:rPr>
  </w:style>
  <w:style w:type="paragraph" w:customStyle="1" w:styleId="11">
    <w:name w:val="Table Paragraph"/>
    <w:basedOn w:val="12"/>
    <w:autoRedefine/>
    <w:qFormat/>
    <w:uiPriority w:val="0"/>
    <w:rPr>
      <w:rFonts w:ascii="宋体" w:hAnsi="宋体" w:cs="Times New Roman"/>
      <w:lang w:bidi="ar-SA"/>
    </w:rPr>
  </w:style>
  <w:style w:type="paragraph" w:customStyle="1" w:styleId="12">
    <w:name w:val="正文_1_0"/>
    <w:basedOn w:val="13"/>
    <w:next w:val="17"/>
    <w:autoRedefine/>
    <w:qFormat/>
    <w:uiPriority w:val="0"/>
    <w:rPr>
      <w:rFonts w:ascii="Calibri" w:hAnsi="Calibri" w:cs="Calibri"/>
      <w:szCs w:val="21"/>
      <w:lang w:bidi="ug-CN"/>
    </w:rPr>
  </w:style>
  <w:style w:type="paragraph" w:customStyle="1" w:styleId="13">
    <w:name w:val="正文_1_1"/>
    <w:basedOn w:val="14"/>
    <w:autoRedefine/>
    <w:qFormat/>
    <w:uiPriority w:val="0"/>
    <w:pPr>
      <w:widowControl w:val="0"/>
      <w:jc w:val="both"/>
    </w:pPr>
    <w:rPr>
      <w:kern w:val="2"/>
      <w:sz w:val="21"/>
      <w:szCs w:val="22"/>
      <w:lang w:val="en-US" w:eastAsia="zh-CN" w:bidi="ar-SA"/>
    </w:rPr>
  </w:style>
  <w:style w:type="paragraph" w:customStyle="1" w:styleId="14">
    <w:name w:val="正文_5"/>
    <w:next w:val="1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引文目录标题_0"/>
    <w:basedOn w:val="16"/>
    <w:next w:val="14"/>
    <w:autoRedefine/>
    <w:qFormat/>
    <w:uiPriority w:val="0"/>
    <w:pPr>
      <w:spacing w:before="120" w:beforeLines="0"/>
    </w:pPr>
    <w:rPr>
      <w:rFonts w:ascii="Arial" w:hAnsi="Arial"/>
      <w:sz w:val="24"/>
    </w:rPr>
  </w:style>
  <w:style w:type="paragraph" w:customStyle="1" w:styleId="16">
    <w:name w:val="正文_2_0"/>
    <w:basedOn w:val="13"/>
    <w:next w:val="15"/>
    <w:autoRedefine/>
    <w:qFormat/>
    <w:uiPriority w:val="0"/>
    <w:rPr>
      <w:rFonts w:ascii="Calibri" w:hAnsi="Calibri"/>
      <w:szCs w:val="21"/>
      <w:lang w:bidi="ug-CN"/>
    </w:rPr>
  </w:style>
  <w:style w:type="paragraph" w:customStyle="1" w:styleId="17">
    <w:name w:val="正文首行缩进1"/>
    <w:basedOn w:val="18"/>
    <w:autoRedefine/>
    <w:unhideWhenUsed/>
    <w:qFormat/>
    <w:uiPriority w:val="99"/>
    <w:pPr>
      <w:ind w:firstLine="420" w:firstLineChars="100"/>
    </w:pPr>
    <w:rPr>
      <w:szCs w:val="22"/>
    </w:rPr>
  </w:style>
  <w:style w:type="paragraph" w:customStyle="1" w:styleId="18">
    <w:name w:val="正文文本_0_0"/>
    <w:basedOn w:val="19"/>
    <w:autoRedefine/>
    <w:qFormat/>
    <w:uiPriority w:val="0"/>
    <w:pPr>
      <w:spacing w:after="120"/>
    </w:pPr>
    <w:rPr>
      <w:rFonts w:ascii="Calibri" w:hAnsi="Calibri"/>
      <w:kern w:val="0"/>
      <w:sz w:val="20"/>
    </w:rPr>
  </w:style>
  <w:style w:type="paragraph" w:customStyle="1" w:styleId="19">
    <w:name w:val="正文_1_3"/>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2024-01-11T03:23:00Z</dcterms:created>
  <dc:creator>NTKO</dc:creator>
  <cp:lastModifiedBy>Actor</cp:lastModifiedBy>
  <cp:lastPrinted>2024-03-25T08:15:00Z</cp:lastPrinted>
  <dcterms:modified xsi:type="dcterms:W3CDTF">2024-04-18T12:11:34Z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E393FE46073540E2A518E93A36B9AE3C_13</vt:lpwstr>
  </property>
</Properties>
</file>