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D8D04">
      <w:pPr>
        <w:pStyle w:val="17"/>
        <w:spacing w:before="2" w:line="240" w:lineRule="auto"/>
        <w:ind w:firstLine="425"/>
        <w:jc w:val="center"/>
        <w:rPr>
          <w:rFonts w:hint="eastAsia" w:asciiTheme="minorEastAsia" w:hAnsiTheme="minorEastAsia" w:eastAsiaTheme="minorEastAsia" w:cstheme="minorEastAsia"/>
          <w:b/>
          <w:bCs/>
          <w:sz w:val="36"/>
          <w:szCs w:val="36"/>
          <w:highlight w:val="none"/>
        </w:rPr>
      </w:pPr>
    </w:p>
    <w:p w14:paraId="06BCC00B">
      <w:pPr>
        <w:pStyle w:val="31"/>
        <w:tabs>
          <w:tab w:val="left" w:pos="8460"/>
        </w:tabs>
        <w:snapToGrid w:val="0"/>
        <w:spacing w:line="360" w:lineRule="auto"/>
        <w:jc w:val="center"/>
        <w:rPr>
          <w:rFonts w:hint="eastAsia" w:asciiTheme="minorEastAsia" w:hAnsiTheme="minorEastAsia" w:eastAsiaTheme="minorEastAsia" w:cstheme="minorEastAsia"/>
          <w:b/>
          <w:sz w:val="44"/>
          <w:szCs w:val="44"/>
          <w:highlight w:val="none"/>
          <w:lang w:val="zh-CN" w:eastAsia="zh-CN" w:bidi="zh-CN"/>
        </w:rPr>
      </w:pPr>
      <w:r>
        <w:rPr>
          <w:rFonts w:hint="eastAsia" w:asciiTheme="minorEastAsia" w:hAnsiTheme="minorEastAsia" w:eastAsiaTheme="minorEastAsia" w:cstheme="minorEastAsia"/>
          <w:sz w:val="44"/>
          <w:szCs w:val="44"/>
          <w:highlight w:val="none"/>
          <w:lang w:eastAsia="zh-CN"/>
        </w:rPr>
        <w:t>新疆应用职业技术学院</w:t>
      </w:r>
      <w:r>
        <w:rPr>
          <w:rFonts w:hint="eastAsia" w:asciiTheme="minorEastAsia" w:hAnsiTheme="minorEastAsia" w:eastAsiaTheme="minorEastAsia" w:cstheme="minorEastAsia"/>
          <w:sz w:val="44"/>
          <w:szCs w:val="44"/>
          <w:highlight w:val="none"/>
          <w:lang w:val="en-US" w:eastAsia="zh-CN"/>
        </w:rPr>
        <w:t>经济管理学院口岸智慧仓配实训中心</w:t>
      </w:r>
      <w:r>
        <w:rPr>
          <w:rFonts w:hint="eastAsia" w:asciiTheme="minorEastAsia" w:hAnsiTheme="minorEastAsia" w:eastAsiaTheme="minorEastAsia" w:cstheme="minorEastAsia"/>
          <w:sz w:val="44"/>
          <w:szCs w:val="44"/>
          <w:highlight w:val="none"/>
          <w:lang w:eastAsia="zh-CN"/>
        </w:rPr>
        <w:t>设备采购项目</w:t>
      </w:r>
    </w:p>
    <w:p w14:paraId="64C7B5EF">
      <w:pPr>
        <w:pStyle w:val="31"/>
        <w:tabs>
          <w:tab w:val="left" w:pos="8460"/>
        </w:tabs>
        <w:snapToGrid w:val="0"/>
        <w:spacing w:line="360" w:lineRule="auto"/>
        <w:jc w:val="center"/>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sz w:val="28"/>
          <w:szCs w:val="30"/>
          <w:highlight w:val="none"/>
          <w:lang w:val="zh-CN" w:bidi="zh-CN"/>
        </w:rPr>
        <w:t>项目编号：</w:t>
      </w:r>
      <w:r>
        <w:rPr>
          <w:rFonts w:hint="eastAsia" w:asciiTheme="minorEastAsia" w:hAnsiTheme="minorEastAsia" w:eastAsiaTheme="minorEastAsia" w:cstheme="minorEastAsia"/>
          <w:b/>
          <w:sz w:val="28"/>
          <w:szCs w:val="30"/>
          <w:highlight w:val="none"/>
          <w:lang w:bidi="zh-CN"/>
        </w:rPr>
        <w:t>XJYHZB2025-070</w:t>
      </w:r>
    </w:p>
    <w:p w14:paraId="3D7BEA95">
      <w:pPr>
        <w:pStyle w:val="35"/>
        <w:spacing w:line="240" w:lineRule="auto"/>
        <w:ind w:left="0" w:leftChars="0" w:firstLine="0" w:firstLineChars="0"/>
        <w:jc w:val="left"/>
        <w:rPr>
          <w:rFonts w:hint="eastAsia" w:asciiTheme="minorEastAsia" w:hAnsiTheme="minorEastAsia" w:eastAsiaTheme="minorEastAsia" w:cstheme="minorEastAsia"/>
          <w:color w:val="000000"/>
          <w:sz w:val="32"/>
          <w:szCs w:val="32"/>
          <w:highlight w:val="none"/>
        </w:rPr>
      </w:pPr>
    </w:p>
    <w:p w14:paraId="43C2D67C">
      <w:pPr>
        <w:spacing w:line="240" w:lineRule="auto"/>
        <w:rPr>
          <w:rFonts w:hint="eastAsia" w:asciiTheme="minorEastAsia" w:hAnsiTheme="minorEastAsia" w:eastAsiaTheme="minorEastAsia" w:cstheme="minorEastAsia"/>
          <w:highlight w:val="none"/>
        </w:rPr>
      </w:pPr>
    </w:p>
    <w:p w14:paraId="46DA70AD">
      <w:pPr>
        <w:snapToGrid w:val="0"/>
        <w:spacing w:line="240" w:lineRule="auto"/>
        <w:jc w:val="center"/>
        <w:rPr>
          <w:rFonts w:hint="eastAsia" w:asciiTheme="minorEastAsia" w:hAnsiTheme="minorEastAsia" w:eastAsiaTheme="minorEastAsia" w:cstheme="minorEastAsia"/>
          <w:b/>
          <w:color w:val="000000"/>
          <w:spacing w:val="60"/>
          <w:sz w:val="84"/>
          <w:szCs w:val="84"/>
          <w:highlight w:val="none"/>
        </w:rPr>
      </w:pPr>
      <w:r>
        <w:rPr>
          <w:rFonts w:hint="eastAsia" w:asciiTheme="minorEastAsia" w:hAnsiTheme="minorEastAsia" w:eastAsiaTheme="minorEastAsia" w:cstheme="minorEastAsia"/>
          <w:b/>
          <w:color w:val="000000"/>
          <w:spacing w:val="60"/>
          <w:sz w:val="84"/>
          <w:szCs w:val="84"/>
          <w:highlight w:val="none"/>
        </w:rPr>
        <w:t xml:space="preserve"> 招 标 文 件</w:t>
      </w:r>
    </w:p>
    <w:p w14:paraId="412EE346">
      <w:pPr>
        <w:pStyle w:val="31"/>
        <w:tabs>
          <w:tab w:val="left" w:pos="8460"/>
        </w:tabs>
        <w:snapToGrid w:val="0"/>
        <w:spacing w:line="240" w:lineRule="auto"/>
        <w:rPr>
          <w:rFonts w:hint="eastAsia" w:asciiTheme="minorEastAsia" w:hAnsiTheme="minorEastAsia" w:eastAsiaTheme="minorEastAsia" w:cstheme="minorEastAsia"/>
          <w:b/>
          <w:bCs/>
          <w:color w:val="000000"/>
          <w:sz w:val="32"/>
          <w:szCs w:val="32"/>
          <w:highlight w:val="none"/>
        </w:rPr>
      </w:pPr>
    </w:p>
    <w:p w14:paraId="431C8BD8">
      <w:pPr>
        <w:pStyle w:val="52"/>
        <w:spacing w:line="240" w:lineRule="auto"/>
        <w:rPr>
          <w:rFonts w:hint="eastAsia" w:asciiTheme="minorEastAsia" w:hAnsiTheme="minorEastAsia" w:eastAsiaTheme="minorEastAsia" w:cstheme="minorEastAsia"/>
          <w:b/>
          <w:bCs/>
          <w:color w:val="000000"/>
          <w:sz w:val="32"/>
          <w:szCs w:val="32"/>
          <w:highlight w:val="none"/>
        </w:rPr>
      </w:pPr>
    </w:p>
    <w:p w14:paraId="22B4C780">
      <w:pPr>
        <w:spacing w:line="240" w:lineRule="auto"/>
        <w:rPr>
          <w:rFonts w:hint="eastAsia" w:asciiTheme="minorEastAsia" w:hAnsiTheme="minorEastAsia" w:eastAsiaTheme="minorEastAsia" w:cstheme="minorEastAsia"/>
          <w:highlight w:val="none"/>
        </w:rPr>
      </w:pPr>
    </w:p>
    <w:p w14:paraId="3456AE79">
      <w:pPr>
        <w:pStyle w:val="65"/>
        <w:spacing w:line="240" w:lineRule="auto"/>
        <w:ind w:firstLine="561"/>
        <w:jc w:val="both"/>
        <w:rPr>
          <w:rFonts w:hint="eastAsia" w:asciiTheme="minorEastAsia" w:hAnsiTheme="minorEastAsia" w:eastAsiaTheme="minorEastAsia" w:cstheme="minorEastAsia"/>
          <w:color w:val="auto"/>
          <w:sz w:val="28"/>
          <w:highlight w:val="none"/>
        </w:rPr>
      </w:pPr>
    </w:p>
    <w:p w14:paraId="397FF15B">
      <w:pPr>
        <w:pStyle w:val="65"/>
        <w:spacing w:line="240" w:lineRule="auto"/>
        <w:ind w:firstLine="561"/>
        <w:jc w:val="both"/>
        <w:rPr>
          <w:rFonts w:hint="eastAsia" w:asciiTheme="minorEastAsia" w:hAnsiTheme="minorEastAsia" w:eastAsiaTheme="minorEastAsia" w:cstheme="minorEastAsia"/>
          <w:color w:val="auto"/>
          <w:sz w:val="28"/>
          <w:highlight w:val="none"/>
        </w:rPr>
      </w:pPr>
    </w:p>
    <w:p w14:paraId="3AB72BA1">
      <w:pPr>
        <w:pStyle w:val="65"/>
        <w:spacing w:line="240" w:lineRule="auto"/>
        <w:ind w:firstLine="561"/>
        <w:jc w:val="both"/>
        <w:rPr>
          <w:rFonts w:hint="eastAsia" w:asciiTheme="minorEastAsia" w:hAnsiTheme="minorEastAsia" w:eastAsiaTheme="minorEastAsia" w:cstheme="minorEastAsia"/>
          <w:color w:val="auto"/>
          <w:sz w:val="28"/>
          <w:highlight w:val="none"/>
        </w:rPr>
      </w:pPr>
    </w:p>
    <w:p w14:paraId="77A22BA4">
      <w:pPr>
        <w:pStyle w:val="65"/>
        <w:spacing w:line="240" w:lineRule="auto"/>
        <w:ind w:firstLine="561"/>
        <w:jc w:val="both"/>
        <w:rPr>
          <w:rFonts w:hint="eastAsia" w:asciiTheme="minorEastAsia" w:hAnsiTheme="minorEastAsia" w:eastAsiaTheme="minorEastAsia" w:cstheme="minorEastAsia"/>
          <w:color w:val="auto"/>
          <w:sz w:val="28"/>
          <w:highlight w:val="none"/>
        </w:rPr>
      </w:pPr>
    </w:p>
    <w:p w14:paraId="4999C6B7">
      <w:pPr>
        <w:pStyle w:val="65"/>
        <w:spacing w:line="240" w:lineRule="auto"/>
        <w:ind w:firstLine="561"/>
        <w:jc w:val="both"/>
        <w:rPr>
          <w:rFonts w:hint="eastAsia" w:asciiTheme="minorEastAsia" w:hAnsiTheme="minorEastAsia" w:eastAsiaTheme="minorEastAsia" w:cstheme="minorEastAsia"/>
          <w:color w:val="auto"/>
          <w:sz w:val="28"/>
          <w:highlight w:val="none"/>
        </w:rPr>
      </w:pPr>
    </w:p>
    <w:p w14:paraId="60685F84">
      <w:pPr>
        <w:pStyle w:val="65"/>
        <w:spacing w:line="240" w:lineRule="auto"/>
        <w:ind w:firstLine="561"/>
        <w:jc w:val="both"/>
        <w:rPr>
          <w:rFonts w:hint="eastAsia" w:asciiTheme="minorEastAsia" w:hAnsiTheme="minorEastAsia" w:eastAsiaTheme="minorEastAsia" w:cstheme="minorEastAsia"/>
          <w:color w:val="auto"/>
          <w:sz w:val="28"/>
          <w:highlight w:val="none"/>
        </w:rPr>
      </w:pPr>
    </w:p>
    <w:p w14:paraId="37D9D4EE">
      <w:pPr>
        <w:pStyle w:val="65"/>
        <w:spacing w:line="240" w:lineRule="auto"/>
        <w:jc w:val="both"/>
        <w:rPr>
          <w:rFonts w:hint="eastAsia" w:asciiTheme="minorEastAsia" w:hAnsiTheme="minorEastAsia" w:eastAsiaTheme="minorEastAsia" w:cstheme="minorEastAsia"/>
          <w:color w:val="auto"/>
          <w:sz w:val="28"/>
          <w:highlight w:val="none"/>
        </w:rPr>
      </w:pPr>
    </w:p>
    <w:p w14:paraId="234DAF02">
      <w:pPr>
        <w:pStyle w:val="65"/>
        <w:spacing w:line="240" w:lineRule="auto"/>
        <w:ind w:firstLine="561"/>
        <w:jc w:val="both"/>
        <w:rPr>
          <w:rFonts w:hint="eastAsia" w:asciiTheme="minorEastAsia" w:hAnsiTheme="minorEastAsia" w:eastAsiaTheme="minorEastAsia" w:cstheme="minorEastAsia"/>
          <w:color w:val="auto"/>
          <w:sz w:val="28"/>
          <w:highlight w:val="none"/>
        </w:rPr>
      </w:pPr>
    </w:p>
    <w:p w14:paraId="4C880950">
      <w:pPr>
        <w:pStyle w:val="65"/>
        <w:spacing w:line="240" w:lineRule="auto"/>
        <w:ind w:firstLine="561"/>
        <w:jc w:val="both"/>
        <w:rPr>
          <w:rFonts w:hint="eastAsia" w:asciiTheme="minorEastAsia" w:hAnsiTheme="minorEastAsia" w:eastAsiaTheme="minorEastAsia" w:cstheme="minorEastAsia"/>
          <w:color w:val="auto"/>
          <w:sz w:val="28"/>
          <w:highlight w:val="none"/>
        </w:rPr>
      </w:pPr>
    </w:p>
    <w:p w14:paraId="53B387E4">
      <w:pPr>
        <w:pStyle w:val="65"/>
        <w:spacing w:line="240" w:lineRule="auto"/>
        <w:ind w:firstLine="561"/>
        <w:jc w:val="both"/>
        <w:rPr>
          <w:rFonts w:hint="eastAsia" w:asciiTheme="minorEastAsia" w:hAnsiTheme="minorEastAsia" w:eastAsiaTheme="minorEastAsia" w:cstheme="minorEastAsia"/>
          <w:color w:val="auto"/>
          <w:sz w:val="28"/>
          <w:highlight w:val="none"/>
        </w:rPr>
      </w:pPr>
    </w:p>
    <w:p w14:paraId="69C7BEC9">
      <w:pPr>
        <w:pStyle w:val="65"/>
        <w:spacing w:line="240" w:lineRule="auto"/>
        <w:ind w:firstLine="561"/>
        <w:jc w:val="both"/>
        <w:rPr>
          <w:rFonts w:hint="eastAsia" w:asciiTheme="minorEastAsia" w:hAnsiTheme="minorEastAsia" w:eastAsiaTheme="minorEastAsia" w:cstheme="minorEastAsia"/>
          <w:color w:val="auto"/>
          <w:sz w:val="28"/>
          <w:highlight w:val="none"/>
        </w:rPr>
      </w:pPr>
    </w:p>
    <w:p w14:paraId="3B1B552B">
      <w:pPr>
        <w:pStyle w:val="65"/>
        <w:spacing w:line="240" w:lineRule="auto"/>
        <w:ind w:firstLine="561"/>
        <w:jc w:val="both"/>
        <w:rPr>
          <w:rFonts w:hint="eastAsia" w:asciiTheme="minorEastAsia" w:hAnsiTheme="minorEastAsia" w:eastAsiaTheme="minorEastAsia" w:cstheme="minorEastAsia"/>
          <w:color w:val="auto"/>
          <w:sz w:val="28"/>
          <w:highlight w:val="none"/>
        </w:rPr>
      </w:pPr>
    </w:p>
    <w:p w14:paraId="70EA4B2E">
      <w:pPr>
        <w:pStyle w:val="65"/>
        <w:spacing w:line="240" w:lineRule="auto"/>
        <w:ind w:firstLine="561"/>
        <w:jc w:val="both"/>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采购人：新疆应用职业技术学院</w:t>
      </w:r>
    </w:p>
    <w:p w14:paraId="3F496886">
      <w:pPr>
        <w:pStyle w:val="65"/>
        <w:spacing w:line="240" w:lineRule="auto"/>
        <w:ind w:firstLine="561"/>
        <w:jc w:val="both"/>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地 址：新疆奎屯市北京西路62号</w:t>
      </w:r>
    </w:p>
    <w:p w14:paraId="70E8651E">
      <w:pPr>
        <w:pStyle w:val="65"/>
        <w:spacing w:line="240" w:lineRule="auto"/>
        <w:ind w:firstLine="561"/>
        <w:jc w:val="both"/>
        <w:rPr>
          <w:rFonts w:hint="default" w:asciiTheme="minorEastAsia" w:hAnsiTheme="minorEastAsia" w:eastAsiaTheme="minorEastAsia" w:cstheme="minorEastAsia"/>
          <w:color w:val="auto"/>
          <w:sz w:val="28"/>
          <w:highlight w:val="none"/>
          <w:lang w:val="en-US" w:eastAsia="zh-CN"/>
        </w:rPr>
      </w:pPr>
      <w:r>
        <w:rPr>
          <w:rFonts w:hint="eastAsia" w:asciiTheme="minorEastAsia" w:hAnsiTheme="minorEastAsia" w:eastAsiaTheme="minorEastAsia" w:cstheme="minorEastAsia"/>
          <w:color w:val="auto"/>
          <w:sz w:val="28"/>
          <w:highlight w:val="none"/>
        </w:rPr>
        <w:t>联系人：</w:t>
      </w:r>
      <w:r>
        <w:rPr>
          <w:rFonts w:hint="eastAsia" w:asciiTheme="minorEastAsia" w:hAnsiTheme="minorEastAsia" w:eastAsiaTheme="minorEastAsia" w:cstheme="minorEastAsia"/>
          <w:color w:val="auto"/>
          <w:sz w:val="28"/>
          <w:highlight w:val="none"/>
          <w:lang w:val="en-US" w:eastAsia="zh-CN"/>
        </w:rPr>
        <w:t>刘老师</w:t>
      </w:r>
    </w:p>
    <w:p w14:paraId="3E03785B">
      <w:pPr>
        <w:pStyle w:val="65"/>
        <w:spacing w:line="240" w:lineRule="auto"/>
        <w:ind w:firstLine="561"/>
        <w:jc w:val="both"/>
        <w:rPr>
          <w:rFonts w:hint="default" w:asciiTheme="minorEastAsia" w:hAnsiTheme="minorEastAsia" w:eastAsiaTheme="minorEastAsia" w:cstheme="minorEastAsia"/>
          <w:color w:val="auto"/>
          <w:sz w:val="28"/>
          <w:highlight w:val="none"/>
          <w:lang w:val="en-US" w:eastAsia="zh-CN"/>
        </w:rPr>
      </w:pPr>
      <w:r>
        <w:rPr>
          <w:rFonts w:hint="eastAsia" w:asciiTheme="minorEastAsia" w:hAnsiTheme="minorEastAsia" w:eastAsiaTheme="minorEastAsia" w:cstheme="minorEastAsia"/>
          <w:color w:val="auto"/>
          <w:sz w:val="28"/>
          <w:highlight w:val="none"/>
        </w:rPr>
        <w:t>联系方式：</w:t>
      </w:r>
      <w:r>
        <w:rPr>
          <w:rFonts w:hint="eastAsia" w:asciiTheme="minorEastAsia" w:hAnsiTheme="minorEastAsia" w:eastAsiaTheme="minorEastAsia" w:cstheme="minorEastAsia"/>
          <w:color w:val="auto"/>
          <w:sz w:val="28"/>
          <w:highlight w:val="none"/>
          <w:lang w:val="en-US" w:eastAsia="zh-CN"/>
        </w:rPr>
        <w:t>15509922770</w:t>
      </w:r>
      <w:r>
        <w:rPr>
          <w:rFonts w:hint="eastAsia" w:asciiTheme="minorEastAsia" w:hAnsiTheme="minorEastAsia" w:eastAsiaTheme="minorEastAsia" w:cstheme="minorEastAsia"/>
          <w:color w:val="auto"/>
          <w:sz w:val="28"/>
          <w:highlight w:val="none"/>
          <w:lang w:val="en-US" w:eastAsia="zh-CN"/>
        </w:rPr>
        <w:tab/>
      </w:r>
    </w:p>
    <w:p w14:paraId="20BDF435">
      <w:pPr>
        <w:pStyle w:val="65"/>
        <w:spacing w:line="240" w:lineRule="auto"/>
        <w:ind w:firstLine="561"/>
        <w:jc w:val="both"/>
        <w:rPr>
          <w:rFonts w:hint="eastAsia" w:asciiTheme="minorEastAsia" w:hAnsiTheme="minorEastAsia" w:eastAsiaTheme="minorEastAsia" w:cstheme="minorEastAsia"/>
          <w:color w:val="auto"/>
          <w:sz w:val="28"/>
          <w:highlight w:val="none"/>
        </w:rPr>
      </w:pPr>
    </w:p>
    <w:p w14:paraId="5E66882A">
      <w:pPr>
        <w:pStyle w:val="65"/>
        <w:spacing w:line="240" w:lineRule="auto"/>
        <w:ind w:firstLine="561"/>
        <w:jc w:val="both"/>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代理机构：新疆元泓工程项目管理咨询有限公司</w:t>
      </w:r>
    </w:p>
    <w:p w14:paraId="0B80AFCF">
      <w:pPr>
        <w:pStyle w:val="65"/>
        <w:spacing w:line="240" w:lineRule="auto"/>
        <w:ind w:firstLine="561"/>
        <w:jc w:val="both"/>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地 址：乌鲁木齐市经济技术开发区乌昌路252号九方财富广场A座525室</w:t>
      </w:r>
    </w:p>
    <w:p w14:paraId="59023188">
      <w:pPr>
        <w:pStyle w:val="65"/>
        <w:spacing w:line="240" w:lineRule="auto"/>
        <w:ind w:firstLine="561"/>
        <w:jc w:val="both"/>
        <w:rPr>
          <w:rFonts w:hint="eastAsia" w:asciiTheme="minorEastAsia" w:hAnsiTheme="minorEastAsia" w:eastAsiaTheme="minorEastAsia" w:cstheme="minorEastAsia"/>
          <w:color w:val="auto"/>
          <w:sz w:val="28"/>
          <w:highlight w:val="none"/>
          <w:lang w:eastAsia="zh-CN"/>
        </w:rPr>
      </w:pPr>
      <w:r>
        <w:rPr>
          <w:rFonts w:hint="eastAsia" w:asciiTheme="minorEastAsia" w:hAnsiTheme="minorEastAsia" w:eastAsiaTheme="minorEastAsia" w:cstheme="minorEastAsia"/>
          <w:color w:val="auto"/>
          <w:sz w:val="28"/>
          <w:highlight w:val="none"/>
        </w:rPr>
        <w:t>项目联系人：吴洋、高娟、</w:t>
      </w:r>
      <w:r>
        <w:rPr>
          <w:rFonts w:hint="eastAsia" w:asciiTheme="minorEastAsia" w:hAnsiTheme="minorEastAsia" w:eastAsiaTheme="minorEastAsia" w:cstheme="minorEastAsia"/>
          <w:color w:val="auto"/>
          <w:sz w:val="28"/>
          <w:highlight w:val="none"/>
          <w:lang w:eastAsia="zh-CN"/>
        </w:rPr>
        <w:t>代旭、杨爱梅、汤新龙</w:t>
      </w:r>
    </w:p>
    <w:p w14:paraId="141ABBD5">
      <w:pPr>
        <w:pStyle w:val="65"/>
        <w:spacing w:line="240" w:lineRule="auto"/>
        <w:ind w:firstLine="561"/>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highlight w:val="none"/>
        </w:rPr>
        <w:t>联系方式：13565831720</w:t>
      </w:r>
    </w:p>
    <w:p w14:paraId="42E86E82">
      <w:pPr>
        <w:autoSpaceDE w:val="0"/>
        <w:autoSpaceDN w:val="0"/>
        <w:adjustRightInd w:val="0"/>
        <w:spacing w:line="240" w:lineRule="auto"/>
        <w:rPr>
          <w:rFonts w:hint="eastAsia" w:asciiTheme="minorEastAsia" w:hAnsiTheme="minorEastAsia" w:eastAsiaTheme="minorEastAsia" w:cstheme="minorEastAsia"/>
          <w:b/>
          <w:kern w:val="0"/>
          <w:sz w:val="32"/>
          <w:szCs w:val="32"/>
          <w:highlight w:val="none"/>
          <w:lang w:val="zh-CN" w:bidi="zh-CN"/>
        </w:rPr>
      </w:pPr>
    </w:p>
    <w:p w14:paraId="3AF88C11">
      <w:pPr>
        <w:pStyle w:val="21"/>
        <w:snapToGrid w:val="0"/>
        <w:spacing w:line="240"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kern w:val="0"/>
          <w:sz w:val="28"/>
          <w:szCs w:val="28"/>
          <w:highlight w:val="none"/>
          <w:lang w:val="zh-CN" w:bidi="zh-CN"/>
        </w:rPr>
        <w:t>二〇二五年</w:t>
      </w:r>
      <w:r>
        <w:rPr>
          <w:rFonts w:hint="eastAsia" w:asciiTheme="minorEastAsia" w:hAnsiTheme="minorEastAsia" w:eastAsiaTheme="minorEastAsia" w:cstheme="minorEastAsia"/>
          <w:b/>
          <w:kern w:val="0"/>
          <w:sz w:val="28"/>
          <w:szCs w:val="28"/>
          <w:highlight w:val="none"/>
          <w:lang w:bidi="zh-CN"/>
        </w:rPr>
        <w:t>六月编制</w:t>
      </w:r>
    </w:p>
    <w:p w14:paraId="46425EE6">
      <w:pPr>
        <w:pStyle w:val="65"/>
        <w:spacing w:line="24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r>
        <w:rPr>
          <w:rFonts w:hint="eastAsia" w:asciiTheme="minorEastAsia" w:hAnsiTheme="minorEastAsia" w:eastAsiaTheme="minorEastAsia" w:cstheme="minorEastAsia"/>
          <w:b/>
          <w:color w:val="auto"/>
          <w:sz w:val="36"/>
          <w:szCs w:val="36"/>
          <w:highlight w:val="none"/>
        </w:rPr>
        <w:t>目    录</w:t>
      </w:r>
    </w:p>
    <w:p w14:paraId="2F50925D">
      <w:pPr>
        <w:pStyle w:val="65"/>
        <w:spacing w:line="48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 xml:space="preserve">第一章  招标公告 </w:t>
      </w:r>
      <w:r>
        <w:rPr>
          <w:rFonts w:hint="eastAsia" w:asciiTheme="minorEastAsia" w:hAnsiTheme="minorEastAsia" w:eastAsiaTheme="minorEastAsia" w:cstheme="minorEastAsia"/>
          <w:color w:val="auto"/>
          <w:sz w:val="28"/>
          <w:szCs w:val="28"/>
          <w:highlight w:val="none"/>
        </w:rPr>
        <w:t xml:space="preserve">………………………………………………………………1 </w:t>
      </w:r>
    </w:p>
    <w:p w14:paraId="32348CB3">
      <w:pPr>
        <w:pStyle w:val="65"/>
        <w:spacing w:line="480" w:lineRule="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rPr>
        <w:t xml:space="preserve">第二章  投标须知 </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3</w:t>
      </w:r>
    </w:p>
    <w:p w14:paraId="797D8F60">
      <w:pPr>
        <w:pStyle w:val="65"/>
        <w:spacing w:line="480" w:lineRule="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t>第三章  评标方法及标准</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23</w:t>
      </w:r>
    </w:p>
    <w:p w14:paraId="3B81FE43">
      <w:pPr>
        <w:pStyle w:val="65"/>
        <w:spacing w:line="480" w:lineRule="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t>第四章  政府采购合同格式</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33</w:t>
      </w:r>
    </w:p>
    <w:p w14:paraId="34888163">
      <w:pPr>
        <w:pStyle w:val="65"/>
        <w:spacing w:line="480" w:lineRule="auto"/>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t>第五章  采购需求</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43</w:t>
      </w:r>
    </w:p>
    <w:p w14:paraId="4DD3CBBB">
      <w:pPr>
        <w:pStyle w:val="65"/>
        <w:spacing w:line="480" w:lineRule="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t>第六章  投标文件格式</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55</w:t>
      </w:r>
    </w:p>
    <w:p w14:paraId="0678152C">
      <w:pPr>
        <w:pStyle w:val="65"/>
        <w:spacing w:line="480" w:lineRule="auto"/>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t>第</w:t>
      </w:r>
      <w:r>
        <w:rPr>
          <w:rFonts w:hint="eastAsia" w:asciiTheme="minorEastAsia" w:hAnsiTheme="minorEastAsia" w:eastAsiaTheme="minorEastAsia" w:cstheme="minorEastAsia"/>
          <w:b/>
          <w:bCs/>
          <w:color w:val="auto"/>
          <w:sz w:val="28"/>
          <w:szCs w:val="28"/>
          <w:highlight w:val="none"/>
          <w:lang w:eastAsia="zh-CN"/>
        </w:rPr>
        <w:t>七</w:t>
      </w:r>
      <w:r>
        <w:rPr>
          <w:rFonts w:hint="eastAsia" w:asciiTheme="minorEastAsia" w:hAnsiTheme="minorEastAsia" w:eastAsiaTheme="minorEastAsia" w:cstheme="minorEastAsia"/>
          <w:b/>
          <w:bCs/>
          <w:color w:val="auto"/>
          <w:sz w:val="28"/>
          <w:szCs w:val="28"/>
          <w:highlight w:val="none"/>
        </w:rPr>
        <w:t xml:space="preserve">章  </w:t>
      </w:r>
      <w:r>
        <w:rPr>
          <w:rFonts w:hint="eastAsia" w:ascii="宋体" w:hAnsi="宋体" w:eastAsia="宋体" w:cs="宋体"/>
          <w:b/>
          <w:bCs/>
          <w:color w:val="auto"/>
          <w:sz w:val="28"/>
          <w:szCs w:val="28"/>
          <w:highlight w:val="none"/>
          <w:lang w:eastAsia="zh-CN"/>
        </w:rPr>
        <w:t>补充条款</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79</w:t>
      </w:r>
    </w:p>
    <w:p w14:paraId="0AC939C1">
      <w:pPr>
        <w:pStyle w:val="65"/>
        <w:spacing w:line="480" w:lineRule="auto"/>
        <w:rPr>
          <w:rFonts w:hint="eastAsia" w:asciiTheme="minorEastAsia" w:hAnsiTheme="minorEastAsia" w:eastAsiaTheme="minorEastAsia" w:cstheme="minorEastAsia"/>
          <w:color w:val="auto"/>
          <w:sz w:val="28"/>
          <w:szCs w:val="28"/>
          <w:highlight w:val="none"/>
          <w:lang w:val="en-US" w:eastAsia="zh-CN"/>
        </w:rPr>
      </w:pPr>
    </w:p>
    <w:p w14:paraId="013B11FC">
      <w:pPr>
        <w:pStyle w:val="65"/>
        <w:spacing w:line="24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p>
    <w:p w14:paraId="3CD31BBC">
      <w:pPr>
        <w:spacing w:line="240" w:lineRule="auto"/>
        <w:rPr>
          <w:rFonts w:hint="eastAsia" w:asciiTheme="minorEastAsia" w:hAnsiTheme="minorEastAsia" w:eastAsiaTheme="minorEastAsia" w:cstheme="minorEastAsia"/>
          <w:highlight w:val="none"/>
        </w:rPr>
      </w:pPr>
    </w:p>
    <w:p w14:paraId="7D2B73A5">
      <w:pPr>
        <w:pStyle w:val="65"/>
        <w:spacing w:line="240" w:lineRule="auto"/>
        <w:ind w:firstLine="113"/>
        <w:rPr>
          <w:rFonts w:hint="eastAsia" w:asciiTheme="minorEastAsia" w:hAnsiTheme="minorEastAsia" w:eastAsiaTheme="minorEastAsia" w:cstheme="minorEastAsia"/>
          <w:color w:val="auto"/>
          <w:sz w:val="28"/>
          <w:szCs w:val="28"/>
          <w:highlight w:val="none"/>
        </w:rPr>
      </w:pPr>
    </w:p>
    <w:p w14:paraId="2952AD52">
      <w:pPr>
        <w:pStyle w:val="65"/>
        <w:spacing w:line="240" w:lineRule="auto"/>
        <w:jc w:val="both"/>
        <w:rPr>
          <w:rFonts w:hint="eastAsia" w:asciiTheme="minorEastAsia" w:hAnsiTheme="minorEastAsia" w:eastAsiaTheme="minorEastAsia" w:cstheme="minorEastAsia"/>
          <w:b/>
          <w:color w:val="auto"/>
          <w:sz w:val="36"/>
          <w:szCs w:val="36"/>
          <w:highlight w:val="none"/>
        </w:rPr>
      </w:pPr>
    </w:p>
    <w:p w14:paraId="55DF96A1">
      <w:pPr>
        <w:pStyle w:val="2"/>
        <w:spacing w:line="240" w:lineRule="auto"/>
        <w:rPr>
          <w:rFonts w:hint="eastAsia" w:asciiTheme="minorEastAsia" w:hAnsiTheme="minorEastAsia" w:eastAsiaTheme="minorEastAsia" w:cstheme="minorEastAsia"/>
          <w:bCs/>
          <w:sz w:val="32"/>
          <w:szCs w:val="32"/>
          <w:highlight w:val="none"/>
        </w:rPr>
        <w:sectPr>
          <w:pgSz w:w="11910" w:h="16840"/>
          <w:pgMar w:top="1134" w:right="1134" w:bottom="1134" w:left="1134" w:header="0" w:footer="998" w:gutter="0"/>
          <w:cols w:space="720" w:num="1"/>
          <w:docGrid w:linePitch="1" w:charSpace="0"/>
        </w:sectPr>
      </w:pPr>
      <w:bookmarkStart w:id="0" w:name="_Toc107847170"/>
    </w:p>
    <w:p w14:paraId="38B28FB3">
      <w:pPr>
        <w:pStyle w:val="2"/>
        <w:spacing w:line="24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第一章</w:t>
      </w:r>
      <w:r>
        <w:rPr>
          <w:rFonts w:hint="eastAsia" w:asciiTheme="minorEastAsia" w:hAnsiTheme="minorEastAsia" w:eastAsiaTheme="minorEastAsia" w:cstheme="minorEastAsia"/>
          <w:bCs/>
          <w:sz w:val="28"/>
          <w:szCs w:val="28"/>
          <w:highlight w:val="none"/>
          <w:lang w:val="en-US" w:eastAsia="zh-CN"/>
        </w:rPr>
        <w:t xml:space="preserve">  </w:t>
      </w:r>
      <w:r>
        <w:rPr>
          <w:rFonts w:hint="eastAsia" w:asciiTheme="minorEastAsia" w:hAnsiTheme="minorEastAsia" w:eastAsiaTheme="minorEastAsia" w:cstheme="minorEastAsia"/>
          <w:bCs/>
          <w:sz w:val="28"/>
          <w:szCs w:val="28"/>
          <w:highlight w:val="none"/>
        </w:rPr>
        <w:t>招标公告</w:t>
      </w:r>
      <w:bookmarkEnd w:id="0"/>
    </w:p>
    <w:p w14:paraId="1E4F2354">
      <w:pPr>
        <w:pStyle w:val="31"/>
        <w:spacing w:before="60" w:after="60" w:line="240"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项目概况</w:t>
      </w:r>
    </w:p>
    <w:p w14:paraId="7DD44B91">
      <w:pPr>
        <w:pStyle w:val="31"/>
        <w:spacing w:before="60" w:after="60" w:line="240" w:lineRule="auto"/>
        <w:ind w:firstLine="480" w:firstLineChars="200"/>
        <w:jc w:val="both"/>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lang w:eastAsia="zh-CN"/>
        </w:rPr>
        <w:t>新疆应用职业技术学院经济管理学院</w:t>
      </w:r>
      <w:r>
        <w:rPr>
          <w:rFonts w:hint="eastAsia" w:asciiTheme="minorEastAsia" w:hAnsiTheme="minorEastAsia" w:eastAsiaTheme="minorEastAsia" w:cstheme="minorEastAsia"/>
          <w:bCs/>
          <w:highlight w:val="none"/>
          <w:lang w:val="en-US" w:eastAsia="zh-CN"/>
        </w:rPr>
        <w:t>口岸智慧仓配</w:t>
      </w:r>
      <w:r>
        <w:rPr>
          <w:rFonts w:hint="eastAsia" w:asciiTheme="minorEastAsia" w:hAnsiTheme="minorEastAsia" w:eastAsiaTheme="minorEastAsia" w:cstheme="minorEastAsia"/>
          <w:bCs/>
          <w:highlight w:val="none"/>
          <w:lang w:eastAsia="zh-CN"/>
        </w:rPr>
        <w:t>实训中心设备采购项目</w:t>
      </w:r>
      <w:r>
        <w:rPr>
          <w:rFonts w:hint="eastAsia" w:asciiTheme="minorEastAsia" w:hAnsiTheme="minorEastAsia" w:eastAsiaTheme="minorEastAsia" w:cstheme="minorEastAsia"/>
          <w:bCs/>
          <w:highlight w:val="none"/>
        </w:rPr>
        <w:t>的潜在供应商应在新疆政府采购网（http://www.ccgp-xinjiang.gov.cn）政采云线上平台获取采购文件，并于202</w:t>
      </w:r>
      <w:r>
        <w:rPr>
          <w:rFonts w:hint="eastAsia" w:asciiTheme="minorEastAsia" w:hAnsiTheme="minorEastAsia" w:eastAsiaTheme="minorEastAsia" w:cstheme="minorEastAsia"/>
          <w:bCs/>
          <w:highlight w:val="none"/>
          <w:lang w:val="en-US" w:eastAsia="zh-CN"/>
        </w:rPr>
        <w:t>5</w:t>
      </w:r>
      <w:r>
        <w:rPr>
          <w:rFonts w:hint="eastAsia" w:asciiTheme="minorEastAsia" w:hAnsiTheme="minorEastAsia" w:eastAsiaTheme="minorEastAsia" w:cstheme="minorEastAsia"/>
          <w:bCs/>
          <w:highlight w:val="none"/>
        </w:rPr>
        <w:t>年</w:t>
      </w:r>
      <w:r>
        <w:rPr>
          <w:rFonts w:hint="eastAsia" w:asciiTheme="minorEastAsia" w:hAnsiTheme="minorEastAsia" w:eastAsiaTheme="minorEastAsia" w:cstheme="minorEastAsia"/>
          <w:bCs/>
          <w:highlight w:val="none"/>
          <w:lang w:val="en-US" w:eastAsia="zh-CN"/>
        </w:rPr>
        <w:t>06</w:t>
      </w:r>
      <w:r>
        <w:rPr>
          <w:rFonts w:hint="eastAsia" w:asciiTheme="minorEastAsia" w:hAnsiTheme="minorEastAsia" w:eastAsiaTheme="minorEastAsia" w:cstheme="minorEastAsia"/>
          <w:bCs/>
          <w:highlight w:val="none"/>
        </w:rPr>
        <w:t>月</w:t>
      </w:r>
      <w:r>
        <w:rPr>
          <w:rFonts w:hint="eastAsia" w:asciiTheme="minorEastAsia" w:hAnsiTheme="minorEastAsia" w:eastAsiaTheme="minorEastAsia" w:cstheme="minorEastAsia"/>
          <w:bCs/>
          <w:highlight w:val="none"/>
          <w:lang w:val="en-US" w:eastAsia="zh-CN"/>
        </w:rPr>
        <w:t>25</w:t>
      </w:r>
      <w:r>
        <w:rPr>
          <w:rFonts w:hint="eastAsia" w:asciiTheme="minorEastAsia" w:hAnsiTheme="minorEastAsia" w:eastAsiaTheme="minorEastAsia" w:cstheme="minorEastAsia"/>
          <w:bCs/>
          <w:highlight w:val="none"/>
        </w:rPr>
        <w:t>日</w:t>
      </w:r>
      <w:r>
        <w:rPr>
          <w:rFonts w:hint="eastAsia" w:asciiTheme="minorEastAsia" w:hAnsiTheme="minorEastAsia" w:eastAsiaTheme="minorEastAsia" w:cstheme="minorEastAsia"/>
          <w:bCs/>
          <w:highlight w:val="none"/>
          <w:lang w:val="en-US" w:eastAsia="zh-CN"/>
        </w:rPr>
        <w:t>11</w:t>
      </w:r>
      <w:r>
        <w:rPr>
          <w:rFonts w:hint="eastAsia" w:asciiTheme="minorEastAsia" w:hAnsiTheme="minorEastAsia" w:eastAsiaTheme="minorEastAsia" w:cstheme="minorEastAsia"/>
          <w:bCs/>
          <w:highlight w:val="none"/>
        </w:rPr>
        <w:t>点00分（北京时间）前提交响应文件。</w:t>
      </w:r>
    </w:p>
    <w:p w14:paraId="13C300BE">
      <w:pPr>
        <w:pStyle w:val="31"/>
        <w:spacing w:before="60" w:after="60" w:line="240" w:lineRule="auto"/>
        <w:ind w:firstLine="482" w:firstLineChars="200"/>
        <w:rPr>
          <w:rFonts w:hint="eastAsia" w:asciiTheme="minorEastAsia" w:hAnsiTheme="minorEastAsia" w:eastAsiaTheme="minorEastAsia" w:cstheme="minorEastAsia"/>
          <w:b/>
          <w:highlight w:val="none"/>
        </w:rPr>
      </w:pPr>
      <w:bookmarkStart w:id="1" w:name="_Toc28359012"/>
      <w:bookmarkStart w:id="2" w:name="_Toc35393798"/>
      <w:bookmarkStart w:id="3" w:name="_Toc28359089"/>
      <w:bookmarkStart w:id="4" w:name="_Toc35393629"/>
      <w:r>
        <w:rPr>
          <w:rFonts w:hint="eastAsia" w:asciiTheme="minorEastAsia" w:hAnsiTheme="minorEastAsia" w:eastAsiaTheme="minorEastAsia" w:cstheme="minorEastAsia"/>
          <w:b/>
          <w:highlight w:val="none"/>
        </w:rPr>
        <w:t>一、项目基本情况</w:t>
      </w:r>
      <w:bookmarkEnd w:id="1"/>
      <w:bookmarkEnd w:id="2"/>
      <w:bookmarkEnd w:id="3"/>
      <w:bookmarkEnd w:id="4"/>
    </w:p>
    <w:p w14:paraId="3B266EA5">
      <w:pPr>
        <w:pStyle w:val="31"/>
        <w:spacing w:before="60" w:after="60" w:line="240" w:lineRule="auto"/>
        <w:ind w:firstLine="480" w:firstLineChars="200"/>
        <w:rPr>
          <w:rFonts w:hint="eastAsia" w:asciiTheme="minorEastAsia" w:hAnsiTheme="minorEastAsia" w:eastAsiaTheme="minorEastAsia" w:cstheme="minorEastAsia"/>
          <w:bCs/>
          <w:highlight w:val="none"/>
          <w:lang w:eastAsia="zh-CN"/>
        </w:rPr>
      </w:pPr>
      <w:r>
        <w:rPr>
          <w:rFonts w:hint="eastAsia" w:asciiTheme="minorEastAsia" w:hAnsiTheme="minorEastAsia" w:eastAsiaTheme="minorEastAsia" w:cstheme="minorEastAsia"/>
          <w:bCs/>
          <w:highlight w:val="none"/>
          <w:lang w:eastAsia="zh-CN"/>
        </w:rPr>
        <w:t>采购类型：货物类采购</w:t>
      </w:r>
    </w:p>
    <w:p w14:paraId="27623AF6">
      <w:pPr>
        <w:pStyle w:val="31"/>
        <w:spacing w:before="60" w:after="60" w:line="240" w:lineRule="auto"/>
        <w:ind w:firstLine="480" w:firstLineChars="200"/>
        <w:rPr>
          <w:rFonts w:hint="eastAsia" w:asciiTheme="minorEastAsia" w:hAnsiTheme="minorEastAsia" w:eastAsiaTheme="minorEastAsia" w:cstheme="minorEastAsia"/>
          <w:bCs/>
          <w:highlight w:val="none"/>
          <w:lang w:eastAsia="zh-CN"/>
        </w:rPr>
      </w:pPr>
      <w:r>
        <w:rPr>
          <w:rFonts w:hint="eastAsia" w:asciiTheme="minorEastAsia" w:hAnsiTheme="minorEastAsia" w:eastAsiaTheme="minorEastAsia" w:cstheme="minorEastAsia"/>
          <w:bCs/>
          <w:highlight w:val="none"/>
        </w:rPr>
        <w:t>项目编号：</w:t>
      </w:r>
      <w:r>
        <w:rPr>
          <w:rFonts w:hint="eastAsia" w:asciiTheme="minorEastAsia" w:hAnsiTheme="minorEastAsia" w:eastAsiaTheme="minorEastAsia" w:cstheme="minorEastAsia"/>
          <w:bCs/>
          <w:highlight w:val="none"/>
          <w:lang w:eastAsia="zh-CN"/>
        </w:rPr>
        <w:t>XJYHZB2025-070</w:t>
      </w:r>
    </w:p>
    <w:p w14:paraId="44BF5F92">
      <w:pPr>
        <w:pStyle w:val="31"/>
        <w:spacing w:before="60" w:after="60" w:line="240" w:lineRule="auto"/>
        <w:ind w:firstLine="480" w:firstLineChars="200"/>
        <w:rPr>
          <w:rFonts w:hint="eastAsia" w:asciiTheme="minorEastAsia" w:hAnsiTheme="minorEastAsia" w:eastAsiaTheme="minorEastAsia" w:cstheme="minorEastAsia"/>
          <w:bCs/>
          <w:highlight w:val="none"/>
          <w:lang w:eastAsia="zh-CN"/>
        </w:rPr>
      </w:pPr>
      <w:r>
        <w:rPr>
          <w:rFonts w:hint="eastAsia" w:asciiTheme="minorEastAsia" w:hAnsiTheme="minorEastAsia" w:eastAsiaTheme="minorEastAsia" w:cstheme="minorEastAsia"/>
          <w:bCs/>
          <w:highlight w:val="none"/>
        </w:rPr>
        <w:t>项目名称：</w:t>
      </w:r>
      <w:r>
        <w:rPr>
          <w:rFonts w:hint="eastAsia" w:asciiTheme="minorEastAsia" w:hAnsiTheme="minorEastAsia" w:eastAsiaTheme="minorEastAsia" w:cstheme="minorEastAsia"/>
          <w:bCs/>
          <w:highlight w:val="none"/>
          <w:lang w:eastAsia="zh-CN"/>
        </w:rPr>
        <w:t>新疆应用职业技术学院经济管理学院口岸智慧仓配实训中心设备采购项目</w:t>
      </w:r>
    </w:p>
    <w:p w14:paraId="39F87A2D">
      <w:pPr>
        <w:pStyle w:val="31"/>
        <w:spacing w:before="60" w:after="60" w:line="240"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采购方式：公开招标</w:t>
      </w:r>
    </w:p>
    <w:p w14:paraId="14C28D7D">
      <w:pPr>
        <w:pStyle w:val="31"/>
        <w:spacing w:before="60" w:after="60" w:line="240"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预算金额（元）：</w:t>
      </w:r>
      <w:r>
        <w:rPr>
          <w:rFonts w:hint="eastAsia" w:asciiTheme="minorEastAsia" w:hAnsiTheme="minorEastAsia" w:eastAsiaTheme="minorEastAsia" w:cstheme="minorEastAsia"/>
          <w:bCs/>
          <w:highlight w:val="none"/>
          <w:lang w:val="en-US" w:eastAsia="zh-CN"/>
        </w:rPr>
        <w:t>4000000.00</w:t>
      </w:r>
    </w:p>
    <w:p w14:paraId="38218B15">
      <w:pPr>
        <w:pStyle w:val="31"/>
        <w:spacing w:before="60" w:after="60" w:line="240" w:lineRule="auto"/>
        <w:ind w:firstLine="480" w:firstLineChars="200"/>
        <w:rPr>
          <w:rFonts w:hint="default" w:asciiTheme="minorEastAsia" w:hAnsiTheme="minorEastAsia" w:eastAsiaTheme="minorEastAsia" w:cstheme="minorEastAsia"/>
          <w:bCs/>
          <w:highlight w:val="none"/>
          <w:lang w:val="en-US"/>
        </w:rPr>
      </w:pPr>
      <w:r>
        <w:rPr>
          <w:rFonts w:hint="eastAsia" w:asciiTheme="minorEastAsia" w:hAnsiTheme="minorEastAsia" w:eastAsiaTheme="minorEastAsia" w:cstheme="minorEastAsia"/>
          <w:bCs/>
          <w:highlight w:val="none"/>
        </w:rPr>
        <w:t>最高限价（元）：</w:t>
      </w:r>
      <w:r>
        <w:rPr>
          <w:rFonts w:hint="eastAsia" w:asciiTheme="minorEastAsia" w:hAnsiTheme="minorEastAsia" w:eastAsiaTheme="minorEastAsia" w:cstheme="minorEastAsia"/>
          <w:bCs/>
          <w:highlight w:val="none"/>
          <w:lang w:val="en-US" w:eastAsia="zh-CN"/>
        </w:rPr>
        <w:t>4000000.00</w:t>
      </w:r>
    </w:p>
    <w:p w14:paraId="2E52361E">
      <w:pPr>
        <w:pStyle w:val="31"/>
        <w:spacing w:before="60" w:after="60" w:line="240"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采购需求：</w:t>
      </w:r>
    </w:p>
    <w:p w14:paraId="418094B6">
      <w:pPr>
        <w:pStyle w:val="31"/>
        <w:spacing w:before="60" w:after="60" w:line="240" w:lineRule="auto"/>
        <w:ind w:firstLine="480" w:firstLineChars="200"/>
        <w:rPr>
          <w:rFonts w:hint="eastAsia" w:asciiTheme="minorEastAsia" w:hAnsiTheme="minorEastAsia" w:eastAsiaTheme="minorEastAsia" w:cstheme="minorEastAsia"/>
          <w:bCs/>
          <w:highlight w:val="none"/>
          <w:lang w:eastAsia="zh-CN"/>
        </w:rPr>
      </w:pPr>
      <w:r>
        <w:rPr>
          <w:rFonts w:hint="eastAsia" w:asciiTheme="minorEastAsia" w:hAnsiTheme="minorEastAsia" w:eastAsiaTheme="minorEastAsia" w:cstheme="minorEastAsia"/>
          <w:bCs/>
          <w:highlight w:val="none"/>
        </w:rPr>
        <w:t>标项名称：</w:t>
      </w:r>
      <w:r>
        <w:rPr>
          <w:rFonts w:hint="eastAsia" w:asciiTheme="minorEastAsia" w:hAnsiTheme="minorEastAsia" w:eastAsiaTheme="minorEastAsia" w:cstheme="minorEastAsia"/>
          <w:bCs/>
          <w:highlight w:val="none"/>
          <w:lang w:eastAsia="zh-CN"/>
        </w:rPr>
        <w:t>新疆应用职业技术学院经济管理学院口岸智慧仓配实训中心设备采购项目</w:t>
      </w:r>
    </w:p>
    <w:p w14:paraId="27022779">
      <w:pPr>
        <w:pStyle w:val="31"/>
        <w:spacing w:before="60" w:after="60" w:line="240"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数量：1</w:t>
      </w:r>
    </w:p>
    <w:p w14:paraId="6EBB22DC">
      <w:pPr>
        <w:pStyle w:val="31"/>
        <w:spacing w:before="60" w:after="60" w:line="240"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预算金额（元）：</w:t>
      </w:r>
      <w:r>
        <w:rPr>
          <w:rFonts w:hint="eastAsia" w:asciiTheme="minorEastAsia" w:hAnsiTheme="minorEastAsia" w:eastAsiaTheme="minorEastAsia" w:cstheme="minorEastAsia"/>
          <w:bCs/>
          <w:highlight w:val="none"/>
          <w:lang w:val="en-US" w:eastAsia="zh-CN"/>
        </w:rPr>
        <w:t>4000000.00</w:t>
      </w:r>
    </w:p>
    <w:p w14:paraId="11B29971">
      <w:pPr>
        <w:pStyle w:val="31"/>
        <w:spacing w:before="60" w:after="60" w:line="240"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单位：批</w:t>
      </w:r>
    </w:p>
    <w:p w14:paraId="7ACB93FE">
      <w:pPr>
        <w:pStyle w:val="31"/>
        <w:spacing w:before="60" w:after="60" w:line="240"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简要规格描述：具体参数详见招标文件。 </w:t>
      </w:r>
    </w:p>
    <w:p w14:paraId="1E174A78">
      <w:pPr>
        <w:pStyle w:val="31"/>
        <w:spacing w:before="60" w:after="60" w:line="240" w:lineRule="auto"/>
        <w:ind w:firstLine="480" w:firstLineChars="200"/>
        <w:rPr>
          <w:rFonts w:hint="eastAsia" w:asciiTheme="minorEastAsia" w:hAnsiTheme="minorEastAsia" w:eastAsiaTheme="minorEastAsia" w:cstheme="minorEastAsia"/>
          <w:bCs/>
          <w:sz w:val="28"/>
          <w:szCs w:val="28"/>
          <w:highlight w:val="none"/>
          <w:lang w:eastAsia="zh-CN"/>
        </w:rPr>
      </w:pPr>
      <w:r>
        <w:rPr>
          <w:rFonts w:hint="eastAsia" w:asciiTheme="minorEastAsia" w:hAnsiTheme="minorEastAsia" w:eastAsiaTheme="minorEastAsia" w:cstheme="minorEastAsia"/>
          <w:bCs/>
          <w:highlight w:val="none"/>
        </w:rPr>
        <w:t>供货、服务期限：</w:t>
      </w:r>
      <w:r>
        <w:rPr>
          <w:rFonts w:hint="eastAsia" w:asciiTheme="minorEastAsia" w:hAnsiTheme="minorEastAsia" w:eastAsiaTheme="minorEastAsia" w:cstheme="minorEastAsia"/>
          <w:bCs/>
          <w:highlight w:val="none"/>
          <w:lang w:eastAsia="zh-CN"/>
        </w:rPr>
        <w:t>合同签订后</w:t>
      </w:r>
      <w:r>
        <w:rPr>
          <w:rFonts w:hint="eastAsia" w:asciiTheme="minorEastAsia" w:hAnsiTheme="minorEastAsia" w:eastAsiaTheme="minorEastAsia" w:cstheme="minorEastAsia"/>
          <w:bCs/>
          <w:highlight w:val="none"/>
          <w:lang w:val="en-US" w:eastAsia="zh-CN"/>
        </w:rPr>
        <w:t>70</w:t>
      </w:r>
      <w:r>
        <w:rPr>
          <w:rFonts w:hint="eastAsia" w:asciiTheme="minorEastAsia" w:hAnsiTheme="minorEastAsia" w:eastAsiaTheme="minorEastAsia" w:cstheme="minorEastAsia"/>
          <w:bCs/>
          <w:highlight w:val="none"/>
        </w:rPr>
        <w:t>个日历日之内交付使用</w:t>
      </w:r>
      <w:r>
        <w:rPr>
          <w:rFonts w:hint="eastAsia" w:asciiTheme="minorEastAsia" w:hAnsiTheme="minorEastAsia" w:eastAsiaTheme="minorEastAsia" w:cstheme="minorEastAsia"/>
          <w:bCs/>
          <w:highlight w:val="none"/>
          <w:lang w:eastAsia="zh-CN"/>
        </w:rPr>
        <w:t>。</w:t>
      </w:r>
    </w:p>
    <w:p w14:paraId="5120C947">
      <w:pPr>
        <w:pStyle w:val="31"/>
        <w:spacing w:before="60" w:after="60" w:line="240"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本项目（ 不 ）接受联合体投标。</w:t>
      </w:r>
    </w:p>
    <w:p w14:paraId="60B6F38B">
      <w:pPr>
        <w:pStyle w:val="31"/>
        <w:spacing w:before="60" w:after="60" w:line="240" w:lineRule="auto"/>
        <w:ind w:firstLine="482"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二、申请人的资格要求:</w:t>
      </w:r>
    </w:p>
    <w:p w14:paraId="721AD6E5">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1.满足《中华人民共和国政府采购法》第二十二条规定；</w:t>
      </w:r>
    </w:p>
    <w:p w14:paraId="3BD122FB">
      <w:pPr>
        <w:spacing w:line="240" w:lineRule="auto"/>
        <w:ind w:firstLine="480" w:firstLineChars="20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（一）具有独立承担民事责任的能力；</w:t>
      </w:r>
    </w:p>
    <w:p w14:paraId="07A50100">
      <w:pPr>
        <w:spacing w:line="240" w:lineRule="auto"/>
        <w:ind w:firstLine="480" w:firstLineChars="20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（二）具有良好的商业信誉和健全的财务会计制度；</w:t>
      </w:r>
    </w:p>
    <w:p w14:paraId="79C35C3F">
      <w:pPr>
        <w:spacing w:line="240" w:lineRule="auto"/>
        <w:ind w:firstLine="480" w:firstLineChars="20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（三）具有履行合同所必需的设备和专业技术能力；</w:t>
      </w:r>
    </w:p>
    <w:p w14:paraId="76AF1E6E">
      <w:pPr>
        <w:spacing w:line="240" w:lineRule="auto"/>
        <w:ind w:firstLine="480" w:firstLineChars="20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（四）有依法缴纳税收和社会保障资金的良好记录；</w:t>
      </w:r>
    </w:p>
    <w:p w14:paraId="7A9C297C">
      <w:pPr>
        <w:spacing w:line="240" w:lineRule="auto"/>
        <w:ind w:firstLine="480" w:firstLineChars="20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（五）参加政府采购活动前三年内，在经营活动中没有重大违法记录；</w:t>
      </w:r>
    </w:p>
    <w:p w14:paraId="4DE551DD">
      <w:pPr>
        <w:spacing w:line="240" w:lineRule="auto"/>
        <w:ind w:firstLine="480" w:firstLineChars="20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（六）法律、行政法规规定的其他条件。</w:t>
      </w:r>
    </w:p>
    <w:p w14:paraId="1B7F625E">
      <w:pPr>
        <w:spacing w:line="240" w:lineRule="auto"/>
        <w:ind w:firstLine="480" w:firstLineChars="200"/>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2.落实政府采购政策需满足的资格要求：</w:t>
      </w:r>
      <w:r>
        <w:rPr>
          <w:rFonts w:hint="eastAsia" w:asciiTheme="minorEastAsia" w:hAnsiTheme="minorEastAsia" w:eastAsiaTheme="minorEastAsia" w:cstheme="minorEastAsia"/>
          <w:kern w:val="0"/>
          <w:sz w:val="24"/>
          <w:szCs w:val="24"/>
          <w:highlight w:val="none"/>
          <w:lang w:eastAsia="zh-CN"/>
        </w:rPr>
        <w:t>本项目预</w:t>
      </w:r>
      <w:r>
        <w:rPr>
          <w:rFonts w:hint="eastAsia" w:asciiTheme="minorEastAsia" w:hAnsiTheme="minorEastAsia" w:eastAsiaTheme="minorEastAsia" w:cstheme="minorEastAsia"/>
          <w:kern w:val="0"/>
          <w:sz w:val="24"/>
          <w:szCs w:val="24"/>
          <w:highlight w:val="none"/>
          <w:lang w:val="en-US" w:eastAsia="zh-CN"/>
        </w:rPr>
        <w:t>留部分采购预算金额专门面向中小企业采购</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根据《关于进一步加大政府采购支持中小企业力度的通知》的规定：预算金额</w:t>
      </w:r>
      <w:r>
        <w:rPr>
          <w:rFonts w:hint="eastAsia" w:asciiTheme="minorEastAsia" w:hAnsiTheme="minorEastAsia" w:eastAsiaTheme="minorEastAsia" w:cstheme="minorEastAsia"/>
          <w:kern w:val="0"/>
          <w:sz w:val="24"/>
          <w:szCs w:val="24"/>
          <w:highlight w:val="none"/>
          <w:lang w:val="en-US" w:eastAsia="zh-CN"/>
        </w:rPr>
        <w:t>4000000.00</w:t>
      </w:r>
      <w:r>
        <w:rPr>
          <w:rFonts w:hint="eastAsia" w:asciiTheme="minorEastAsia" w:hAnsiTheme="minorEastAsia" w:eastAsiaTheme="minorEastAsia" w:cstheme="minorEastAsia"/>
          <w:kern w:val="0"/>
          <w:sz w:val="24"/>
          <w:szCs w:val="24"/>
          <w:highlight w:val="none"/>
        </w:rPr>
        <w:t>元，预留该部分采购项目预算金额的</w:t>
      </w:r>
      <w:r>
        <w:rPr>
          <w:rFonts w:hint="eastAsia" w:asciiTheme="minorEastAsia" w:hAnsiTheme="minorEastAsia" w:eastAsiaTheme="minorEastAsia" w:cstheme="minorEastAsia"/>
          <w:kern w:val="0"/>
          <w:sz w:val="24"/>
          <w:szCs w:val="24"/>
          <w:highlight w:val="none"/>
          <w:lang w:val="en-US" w:eastAsia="zh-CN"/>
        </w:rPr>
        <w:t>59.575</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2383000.00</w:t>
      </w:r>
      <w:r>
        <w:rPr>
          <w:rFonts w:hint="eastAsia" w:asciiTheme="minorEastAsia" w:hAnsiTheme="minorEastAsia" w:eastAsiaTheme="minorEastAsia" w:cstheme="minorEastAsia"/>
          <w:kern w:val="0"/>
          <w:sz w:val="24"/>
          <w:szCs w:val="24"/>
          <w:highlight w:val="none"/>
        </w:rPr>
        <w:t>元）专门面向中小企业采购，其中</w:t>
      </w:r>
      <w:r>
        <w:rPr>
          <w:rFonts w:hint="eastAsia" w:asciiTheme="minorEastAsia" w:hAnsiTheme="minorEastAsia" w:eastAsiaTheme="minorEastAsia" w:cstheme="minorEastAsia"/>
          <w:kern w:val="0"/>
          <w:sz w:val="24"/>
          <w:szCs w:val="24"/>
          <w:highlight w:val="none"/>
          <w:lang w:val="en-US" w:eastAsia="zh-CN"/>
        </w:rPr>
        <w:t>2383000.00</w:t>
      </w:r>
      <w:r>
        <w:rPr>
          <w:rFonts w:hint="eastAsia" w:asciiTheme="minorEastAsia" w:hAnsiTheme="minorEastAsia" w:eastAsiaTheme="minorEastAsia" w:cstheme="minorEastAsia"/>
          <w:kern w:val="0"/>
          <w:sz w:val="24"/>
          <w:szCs w:val="24"/>
          <w:highlight w:val="none"/>
        </w:rPr>
        <w:t>元的</w:t>
      </w:r>
      <w:r>
        <w:rPr>
          <w:rFonts w:hint="eastAsia" w:asciiTheme="minorEastAsia" w:hAnsiTheme="minorEastAsia" w:eastAsiaTheme="minorEastAsia" w:cstheme="minorEastAsia"/>
          <w:kern w:val="0"/>
          <w:sz w:val="24"/>
          <w:szCs w:val="24"/>
          <w:highlight w:val="none"/>
          <w:lang w:val="en-US" w:eastAsia="zh-CN"/>
        </w:rPr>
        <w:t>60.00</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1429800.00</w:t>
      </w:r>
      <w:r>
        <w:rPr>
          <w:rFonts w:hint="eastAsia" w:asciiTheme="minorEastAsia" w:hAnsiTheme="minorEastAsia" w:eastAsiaTheme="minorEastAsia" w:cstheme="minorEastAsia"/>
          <w:kern w:val="0"/>
          <w:sz w:val="24"/>
          <w:szCs w:val="24"/>
          <w:highlight w:val="none"/>
        </w:rPr>
        <w:t>元）预留给小微企业采购</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对于预留份额，提供的货物由符合政策要求的小微企业制造；</w:t>
      </w:r>
      <w:r>
        <w:rPr>
          <w:rFonts w:hint="eastAsia" w:asciiTheme="minorEastAsia" w:hAnsiTheme="minorEastAsia" w:eastAsiaTheme="minorEastAsia" w:cstheme="minorEastAsia"/>
          <w:kern w:val="0"/>
          <w:sz w:val="24"/>
          <w:szCs w:val="24"/>
          <w:highlight w:val="none"/>
        </w:rPr>
        <w:t>如果供应商本身提</w:t>
      </w:r>
      <w:r>
        <w:rPr>
          <w:rFonts w:hint="eastAsia" w:asciiTheme="minorEastAsia" w:hAnsiTheme="minorEastAsia" w:eastAsiaTheme="minorEastAsia" w:cstheme="minorEastAsia"/>
          <w:kern w:val="0"/>
          <w:sz w:val="24"/>
          <w:szCs w:val="24"/>
          <w:highlight w:val="none"/>
          <w:lang w:eastAsia="zh-CN"/>
        </w:rPr>
        <w:t>供的</w:t>
      </w:r>
      <w:r>
        <w:rPr>
          <w:rFonts w:hint="eastAsia" w:asciiTheme="minorEastAsia" w:hAnsiTheme="minorEastAsia" w:eastAsiaTheme="minorEastAsia" w:cstheme="minorEastAsia"/>
          <w:kern w:val="0"/>
          <w:sz w:val="24"/>
          <w:szCs w:val="24"/>
          <w:highlight w:val="none"/>
        </w:rPr>
        <w:t>所有标的均由小微企业制造，视同符合了资格条件</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中小企业参加政府采购活动，应当出具《政府采购促进中小企业发展管理办法》规定的《中小企业声明函》，否则不得享受相关中小企业扶持政策。</w:t>
      </w:r>
    </w:p>
    <w:p w14:paraId="02606A70">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3.本项目的特定资格要求：无</w:t>
      </w:r>
    </w:p>
    <w:p w14:paraId="6C5D9ED5">
      <w:pPr>
        <w:spacing w:line="240" w:lineRule="auto"/>
        <w:ind w:firstLine="480" w:firstLineChars="200"/>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4.拒绝下述供应商参加本次采购活动</w:t>
      </w:r>
      <w:r>
        <w:rPr>
          <w:rFonts w:hint="eastAsia" w:asciiTheme="minorEastAsia" w:hAnsiTheme="minorEastAsia" w:eastAsiaTheme="minorEastAsia" w:cstheme="minorEastAsia"/>
          <w:kern w:val="0"/>
          <w:sz w:val="24"/>
          <w:szCs w:val="24"/>
          <w:highlight w:val="none"/>
          <w:lang w:eastAsia="zh-CN"/>
        </w:rPr>
        <w:t>：</w:t>
      </w:r>
    </w:p>
    <w:p w14:paraId="0C7B8AED">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4.1 供应商单位负责人为同一人或者存在直接控股、管理关系的不同供应商，不得参加同一合同项下的政府采购活动。</w:t>
      </w:r>
    </w:p>
    <w:p w14:paraId="5AB9D4D0">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4.2 凡为采购项目提供整体设计、规范编制或者项目管理、监理、检测等服务的供应商，不得再参加本项目的采购活动。</w:t>
      </w:r>
    </w:p>
    <w:p w14:paraId="04911783">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4.3 </w:t>
      </w:r>
      <w:r>
        <w:rPr>
          <w:rFonts w:hint="eastAsia" w:asciiTheme="minorEastAsia" w:hAnsiTheme="minorEastAsia" w:eastAsiaTheme="minorEastAsia" w:cstheme="minorEastAsia"/>
          <w:kern w:val="0"/>
          <w:sz w:val="24"/>
          <w:szCs w:val="24"/>
          <w:highlight w:val="none"/>
          <w:lang w:eastAsia="zh-CN"/>
        </w:rPr>
        <w:t>凡拟参加本次投标的投标人，如在“信用中国”网站（WWW.creditchina.gov.cn）、中国政府采购网（www.ccgp.gov.cn）被列入失信被执行人、重大税收违法失信主体、政府采购严重违法失信行为记录名单的（尚在处罚期内的），将拒绝其参加本次政府采购活动；</w:t>
      </w:r>
    </w:p>
    <w:p w14:paraId="2015AC48">
      <w:pPr>
        <w:spacing w:line="240" w:lineRule="auto"/>
        <w:ind w:firstLine="482" w:firstLineChars="200"/>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三、获取采购文件</w:t>
      </w:r>
    </w:p>
    <w:p w14:paraId="785DAA97">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时间：202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eastAsiaTheme="minorEastAsia" w:cstheme="minorEastAsia"/>
          <w:kern w:val="0"/>
          <w:sz w:val="24"/>
          <w:szCs w:val="24"/>
          <w:highlight w:val="none"/>
          <w:lang w:val="en-US" w:eastAsia="zh-CN"/>
        </w:rPr>
        <w:t>06</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eastAsiaTheme="minorEastAsia" w:cstheme="minorEastAsia"/>
          <w:kern w:val="0"/>
          <w:sz w:val="24"/>
          <w:szCs w:val="24"/>
          <w:highlight w:val="none"/>
          <w:lang w:val="en-US" w:eastAsia="zh-CN"/>
        </w:rPr>
        <w:t>05</w:t>
      </w:r>
      <w:r>
        <w:rPr>
          <w:rFonts w:hint="eastAsia" w:asciiTheme="minorEastAsia" w:hAnsiTheme="minorEastAsia" w:eastAsiaTheme="minorEastAsia" w:cstheme="minorEastAsia"/>
          <w:kern w:val="0"/>
          <w:sz w:val="24"/>
          <w:szCs w:val="24"/>
          <w:highlight w:val="none"/>
        </w:rPr>
        <w:t>日至202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eastAsiaTheme="minorEastAsia" w:cstheme="minorEastAsia"/>
          <w:kern w:val="0"/>
          <w:sz w:val="24"/>
          <w:szCs w:val="24"/>
          <w:highlight w:val="none"/>
          <w:lang w:val="en-US" w:eastAsia="zh-CN"/>
        </w:rPr>
        <w:t>06</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eastAsiaTheme="minorEastAsia" w:cstheme="minorEastAsia"/>
          <w:kern w:val="0"/>
          <w:sz w:val="24"/>
          <w:szCs w:val="24"/>
          <w:highlight w:val="none"/>
          <w:lang w:val="en-US" w:eastAsia="zh-CN"/>
        </w:rPr>
        <w:t>17</w:t>
      </w:r>
      <w:r>
        <w:rPr>
          <w:rFonts w:hint="eastAsia" w:asciiTheme="minorEastAsia" w:hAnsiTheme="minorEastAsia" w:eastAsiaTheme="minorEastAsia" w:cstheme="minorEastAsia"/>
          <w:kern w:val="0"/>
          <w:sz w:val="24"/>
          <w:szCs w:val="24"/>
          <w:highlight w:val="none"/>
        </w:rPr>
        <w:t>日，每天上午00:00至12:00，下午12:00至23:59（北京时间，法定节假日除外）</w:t>
      </w:r>
    </w:p>
    <w:p w14:paraId="1513FF55">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地点：新疆政府采购网（http://www.ccgp-xinjiang.gov.cn）政采云线上平台</w:t>
      </w:r>
    </w:p>
    <w:p w14:paraId="4DB7D434">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获取方式：符合要求的供应商</w:t>
      </w:r>
      <w:r>
        <w:rPr>
          <w:rFonts w:hint="eastAsia" w:asciiTheme="minorEastAsia" w:hAnsiTheme="minorEastAsia" w:eastAsiaTheme="minorEastAsia" w:cstheme="minorEastAsia"/>
          <w:kern w:val="0"/>
          <w:sz w:val="24"/>
          <w:szCs w:val="24"/>
          <w:highlight w:val="none"/>
          <w:lang w:eastAsia="zh-CN"/>
        </w:rPr>
        <w:t>登录</w:t>
      </w:r>
      <w:r>
        <w:rPr>
          <w:rFonts w:hint="eastAsia" w:asciiTheme="minorEastAsia" w:hAnsiTheme="minorEastAsia" w:eastAsiaTheme="minorEastAsia" w:cstheme="minorEastAsia"/>
          <w:kern w:val="0"/>
          <w:sz w:val="24"/>
          <w:szCs w:val="24"/>
          <w:highlight w:val="none"/>
        </w:rPr>
        <w:t>政采云平台在线申请获取采购文件（登录政府采购云平台→采购项目→获取采购文件→申请）审核通过后可下载招标文件；如有操作性问题，可与政采云在线客服进行咨询，咨询电话95763。</w:t>
      </w:r>
    </w:p>
    <w:p w14:paraId="59F06E3F">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售价（元）：0</w:t>
      </w:r>
    </w:p>
    <w:p w14:paraId="6711F8A0">
      <w:pPr>
        <w:spacing w:line="240" w:lineRule="auto"/>
        <w:ind w:firstLine="482" w:firstLineChars="200"/>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四、响应文件提交</w:t>
      </w:r>
    </w:p>
    <w:p w14:paraId="12C92E72">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截止时间：202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eastAsiaTheme="minorEastAsia" w:cstheme="minorEastAsia"/>
          <w:kern w:val="0"/>
          <w:sz w:val="24"/>
          <w:szCs w:val="24"/>
          <w:highlight w:val="none"/>
          <w:lang w:val="en-US" w:eastAsia="zh-CN"/>
        </w:rPr>
        <w:t>06</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eastAsiaTheme="minorEastAsia" w:cstheme="minorEastAsia"/>
          <w:kern w:val="0"/>
          <w:sz w:val="24"/>
          <w:szCs w:val="24"/>
          <w:highlight w:val="none"/>
          <w:lang w:val="en-US" w:eastAsia="zh-CN"/>
        </w:rPr>
        <w:t>25</w:t>
      </w:r>
      <w:r>
        <w:rPr>
          <w:rFonts w:hint="eastAsia" w:asciiTheme="minorEastAsia" w:hAnsiTheme="minorEastAsia" w:eastAsiaTheme="minorEastAsia" w:cstheme="minorEastAsia"/>
          <w:kern w:val="0"/>
          <w:sz w:val="24"/>
          <w:szCs w:val="24"/>
          <w:highlight w:val="none"/>
        </w:rPr>
        <w:t>日</w:t>
      </w:r>
      <w:r>
        <w:rPr>
          <w:rFonts w:hint="eastAsia" w:asciiTheme="minorEastAsia" w:hAnsiTheme="minorEastAsia" w:eastAsiaTheme="minorEastAsia" w:cstheme="minorEastAsia"/>
          <w:kern w:val="0"/>
          <w:sz w:val="24"/>
          <w:szCs w:val="24"/>
          <w:highlight w:val="none"/>
          <w:lang w:val="en-US" w:eastAsia="zh-CN"/>
        </w:rPr>
        <w:t>11</w:t>
      </w:r>
      <w:r>
        <w:rPr>
          <w:rFonts w:hint="eastAsia" w:asciiTheme="minorEastAsia" w:hAnsiTheme="minorEastAsia" w:eastAsiaTheme="minorEastAsia" w:cstheme="minorEastAsia"/>
          <w:kern w:val="0"/>
          <w:sz w:val="24"/>
          <w:szCs w:val="24"/>
          <w:highlight w:val="none"/>
        </w:rPr>
        <w:t>:00（北京时间）</w:t>
      </w:r>
    </w:p>
    <w:p w14:paraId="28481DD6">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地点：新疆政府采购网（http://www.ccgp-xinjiang.gov.cn）政采云线上平台</w:t>
      </w:r>
    </w:p>
    <w:p w14:paraId="0353C87A">
      <w:pPr>
        <w:spacing w:line="240" w:lineRule="auto"/>
        <w:ind w:firstLine="482" w:firstLineChars="200"/>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五、响应文件开启</w:t>
      </w:r>
    </w:p>
    <w:p w14:paraId="2865B86B">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开启时间：202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eastAsiaTheme="minorEastAsia" w:cstheme="minorEastAsia"/>
          <w:kern w:val="0"/>
          <w:sz w:val="24"/>
          <w:szCs w:val="24"/>
          <w:highlight w:val="none"/>
          <w:lang w:val="en-US" w:eastAsia="zh-CN"/>
        </w:rPr>
        <w:t>06</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eastAsiaTheme="minorEastAsia" w:cstheme="minorEastAsia"/>
          <w:kern w:val="0"/>
          <w:sz w:val="24"/>
          <w:szCs w:val="24"/>
          <w:highlight w:val="none"/>
          <w:lang w:val="en-US" w:eastAsia="zh-CN"/>
        </w:rPr>
        <w:t>25</w:t>
      </w:r>
      <w:r>
        <w:rPr>
          <w:rFonts w:hint="eastAsia" w:asciiTheme="minorEastAsia" w:hAnsiTheme="minorEastAsia" w:eastAsiaTheme="minorEastAsia" w:cstheme="minorEastAsia"/>
          <w:kern w:val="0"/>
          <w:sz w:val="24"/>
          <w:szCs w:val="24"/>
          <w:highlight w:val="none"/>
        </w:rPr>
        <w:t>日</w:t>
      </w:r>
      <w:r>
        <w:rPr>
          <w:rFonts w:hint="eastAsia" w:asciiTheme="minorEastAsia" w:hAnsiTheme="minorEastAsia" w:eastAsiaTheme="minorEastAsia" w:cstheme="minorEastAsia"/>
          <w:kern w:val="0"/>
          <w:sz w:val="24"/>
          <w:szCs w:val="24"/>
          <w:highlight w:val="none"/>
          <w:lang w:val="en-US" w:eastAsia="zh-CN"/>
        </w:rPr>
        <w:t>11</w:t>
      </w:r>
      <w:r>
        <w:rPr>
          <w:rFonts w:hint="eastAsia" w:asciiTheme="minorEastAsia" w:hAnsiTheme="minorEastAsia" w:eastAsiaTheme="minorEastAsia" w:cstheme="minorEastAsia"/>
          <w:kern w:val="0"/>
          <w:sz w:val="24"/>
          <w:szCs w:val="24"/>
          <w:highlight w:val="none"/>
        </w:rPr>
        <w:t>:00（北京时间）</w:t>
      </w:r>
    </w:p>
    <w:p w14:paraId="7DF66FAA">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地点：新疆政府采购网（http://www.ccgp-xinjiang.gov.cn）政采云线上平台</w:t>
      </w:r>
    </w:p>
    <w:p w14:paraId="5B287084">
      <w:pPr>
        <w:spacing w:line="240" w:lineRule="auto"/>
        <w:ind w:firstLine="482" w:firstLineChars="200"/>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六、公告期限</w:t>
      </w:r>
    </w:p>
    <w:p w14:paraId="6E03B32C">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自本公告发布之日起5个工作日。</w:t>
      </w:r>
    </w:p>
    <w:p w14:paraId="45F79038">
      <w:pPr>
        <w:spacing w:line="240" w:lineRule="auto"/>
        <w:ind w:firstLine="482" w:firstLineChars="200"/>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七、其他补充事宜</w:t>
      </w:r>
    </w:p>
    <w:p w14:paraId="4E753FE6">
      <w:pPr>
        <w:pStyle w:val="31"/>
        <w:spacing w:line="240" w:lineRule="auto"/>
        <w:ind w:firstLine="480" w:firstLineChars="200"/>
        <w:rPr>
          <w:rFonts w:hint="eastAsia" w:asciiTheme="minorEastAsia" w:hAnsiTheme="minorEastAsia" w:eastAsiaTheme="minorEastAsia" w:cstheme="minorEastAsia"/>
          <w:color w:val="000000"/>
          <w:highlight w:val="none"/>
          <w:lang w:val="en-US" w:eastAsia="zh-CN"/>
        </w:rPr>
      </w:pPr>
      <w:r>
        <w:rPr>
          <w:rFonts w:hint="eastAsia" w:asciiTheme="minorEastAsia" w:hAnsiTheme="minorEastAsia" w:eastAsiaTheme="minorEastAsia" w:cstheme="minorEastAsia"/>
          <w:color w:val="000000"/>
          <w:highlight w:val="none"/>
          <w:lang w:val="en-US" w:eastAsia="zh-CN"/>
        </w:rPr>
        <w:t>1、本项目实行网上投标，采用电子投标文件。</w:t>
      </w:r>
    </w:p>
    <w:p w14:paraId="1E1C0CBC">
      <w:pPr>
        <w:pStyle w:val="31"/>
        <w:spacing w:line="240" w:lineRule="auto"/>
        <w:ind w:firstLine="480" w:firstLineChars="200"/>
        <w:rPr>
          <w:rFonts w:hint="eastAsia" w:asciiTheme="minorEastAsia" w:hAnsiTheme="minorEastAsia" w:eastAsiaTheme="minorEastAsia" w:cstheme="minorEastAsia"/>
          <w:color w:val="000000"/>
          <w:highlight w:val="none"/>
          <w:lang w:val="en-US" w:eastAsia="zh-CN"/>
        </w:rPr>
      </w:pPr>
      <w:r>
        <w:rPr>
          <w:rFonts w:hint="eastAsia" w:asciiTheme="minorEastAsia" w:hAnsiTheme="minorEastAsia" w:eastAsiaTheme="minorEastAsia" w:cstheme="minorEastAsia"/>
          <w:color w:val="000000"/>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58F5ABE">
      <w:pPr>
        <w:pStyle w:val="31"/>
        <w:spacing w:line="240" w:lineRule="auto"/>
        <w:ind w:firstLine="480" w:firstLineChars="200"/>
        <w:rPr>
          <w:rFonts w:hint="eastAsia" w:asciiTheme="minorEastAsia" w:hAnsiTheme="minorEastAsia" w:eastAsiaTheme="minorEastAsia" w:cstheme="minorEastAsia"/>
          <w:color w:val="000000"/>
          <w:highlight w:val="none"/>
          <w:lang w:val="en-US" w:eastAsia="zh-CN"/>
        </w:rPr>
      </w:pPr>
      <w:r>
        <w:rPr>
          <w:rFonts w:hint="eastAsia" w:asciiTheme="minorEastAsia" w:hAnsiTheme="minorEastAsia" w:eastAsiaTheme="minorEastAsia" w:cstheme="minorEastAsia"/>
          <w:color w:val="000000"/>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0FA6787A">
      <w:pPr>
        <w:pStyle w:val="31"/>
        <w:spacing w:line="240" w:lineRule="auto"/>
        <w:ind w:firstLine="480" w:firstLineChars="200"/>
        <w:rPr>
          <w:rFonts w:hint="eastAsia" w:asciiTheme="minorEastAsia" w:hAnsiTheme="minorEastAsia" w:eastAsiaTheme="minorEastAsia" w:cstheme="minorEastAsia"/>
          <w:color w:val="000000"/>
          <w:highlight w:val="none"/>
          <w:lang w:val="en-US" w:eastAsia="zh-CN"/>
        </w:rPr>
      </w:pPr>
      <w:r>
        <w:rPr>
          <w:rFonts w:hint="eastAsia" w:asciiTheme="minorEastAsia" w:hAnsiTheme="minorEastAsia" w:eastAsiaTheme="minorEastAsia" w:cstheme="minorEastAsia"/>
          <w:color w:val="000000"/>
          <w:highlight w:val="none"/>
          <w:lang w:val="en-US" w:eastAsia="zh-CN"/>
        </w:rPr>
        <w:t>4、其他事项：</w:t>
      </w:r>
    </w:p>
    <w:p w14:paraId="6635A858">
      <w:pPr>
        <w:pStyle w:val="31"/>
        <w:spacing w:line="240" w:lineRule="auto"/>
        <w:ind w:firstLine="48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特别提示：</w:t>
      </w:r>
    </w:p>
    <w:p w14:paraId="4CA015E0">
      <w:pPr>
        <w:pStyle w:val="31"/>
        <w:spacing w:line="240" w:lineRule="auto"/>
        <w:ind w:firstLine="48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14:paraId="357E1BDA">
      <w:pPr>
        <w:pStyle w:val="31"/>
        <w:spacing w:line="240" w:lineRule="auto"/>
        <w:ind w:firstLine="48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3FB90B0E">
      <w:pPr>
        <w:pStyle w:val="31"/>
        <w:spacing w:line="24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16C884DB">
      <w:pPr>
        <w:spacing w:line="240" w:lineRule="auto"/>
        <w:ind w:firstLine="482" w:firstLineChars="200"/>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八、对本次招标提出询问，请按以下方式联系</w:t>
      </w:r>
    </w:p>
    <w:p w14:paraId="3AF8082D">
      <w:pPr>
        <w:spacing w:line="240" w:lineRule="auto"/>
        <w:ind w:firstLine="480" w:firstLineChars="200"/>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1.采购人信息</w:t>
      </w:r>
    </w:p>
    <w:p w14:paraId="55BD9B3E">
      <w:pPr>
        <w:spacing w:line="240" w:lineRule="auto"/>
        <w:ind w:firstLine="480" w:firstLineChars="200"/>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zh-CN" w:eastAsia="zh-CN" w:bidi="ar-SA"/>
        </w:rPr>
        <w:t>名 称：</w:t>
      </w:r>
      <w:r>
        <w:rPr>
          <w:rFonts w:hint="eastAsia" w:asciiTheme="minorEastAsia" w:hAnsiTheme="minorEastAsia" w:eastAsiaTheme="minorEastAsia" w:cstheme="minorEastAsia"/>
          <w:color w:val="000000"/>
          <w:kern w:val="0"/>
          <w:sz w:val="24"/>
          <w:szCs w:val="24"/>
          <w:highlight w:val="none"/>
          <w:lang w:val="en-US" w:eastAsia="zh-CN" w:bidi="ar-SA"/>
        </w:rPr>
        <w:t>新疆应用职业技术学院</w:t>
      </w:r>
    </w:p>
    <w:p w14:paraId="1208ABAF">
      <w:pPr>
        <w:spacing w:line="240" w:lineRule="auto"/>
        <w:ind w:firstLine="480" w:firstLineChars="200"/>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zh-CN" w:eastAsia="zh-CN" w:bidi="ar-SA"/>
        </w:rPr>
        <w:t>地 址：</w:t>
      </w:r>
      <w:r>
        <w:rPr>
          <w:rFonts w:hint="eastAsia" w:asciiTheme="minorEastAsia" w:hAnsiTheme="minorEastAsia" w:eastAsiaTheme="minorEastAsia" w:cstheme="minorEastAsia"/>
          <w:color w:val="000000"/>
          <w:kern w:val="0"/>
          <w:sz w:val="24"/>
          <w:szCs w:val="24"/>
          <w:highlight w:val="none"/>
          <w:lang w:val="en-US" w:eastAsia="zh-CN" w:bidi="ar-SA"/>
        </w:rPr>
        <w:t>新疆奎屯市北京西路62号</w:t>
      </w:r>
    </w:p>
    <w:p w14:paraId="1E94EA5E">
      <w:pPr>
        <w:spacing w:line="240" w:lineRule="auto"/>
        <w:ind w:firstLine="480" w:firstLineChars="200"/>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 xml:space="preserve">联系人：刘老师   </w:t>
      </w:r>
    </w:p>
    <w:p w14:paraId="1535A3B0">
      <w:pPr>
        <w:spacing w:line="240" w:lineRule="auto"/>
        <w:ind w:firstLine="480" w:firstLineChars="200"/>
        <w:rPr>
          <w:rFonts w:hint="default"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联系方式：15509922770</w:t>
      </w:r>
    </w:p>
    <w:p w14:paraId="684B4260">
      <w:pPr>
        <w:spacing w:line="240" w:lineRule="auto"/>
        <w:ind w:firstLine="480" w:firstLineChars="200"/>
        <w:rPr>
          <w:rFonts w:hint="eastAsia" w:asciiTheme="minorEastAsia" w:hAnsiTheme="minorEastAsia" w:eastAsiaTheme="minorEastAsia" w:cstheme="minorEastAsia"/>
          <w:color w:val="000000"/>
          <w:kern w:val="0"/>
          <w:sz w:val="24"/>
          <w:szCs w:val="24"/>
          <w:highlight w:val="none"/>
          <w:lang w:val="en-US" w:eastAsia="zh-CN" w:bidi="ar-SA"/>
        </w:rPr>
      </w:pPr>
    </w:p>
    <w:p w14:paraId="69DBB250">
      <w:pPr>
        <w:spacing w:line="240" w:lineRule="auto"/>
        <w:ind w:firstLine="480" w:firstLineChars="200"/>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2.采购代理机构信息</w:t>
      </w:r>
    </w:p>
    <w:p w14:paraId="5284EDB6">
      <w:pPr>
        <w:spacing w:line="240" w:lineRule="auto"/>
        <w:ind w:firstLine="480" w:firstLineChars="200"/>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名 称：新疆元泓工程项目管理咨询有限公司</w:t>
      </w:r>
    </w:p>
    <w:p w14:paraId="06583D2D">
      <w:pPr>
        <w:spacing w:line="240" w:lineRule="auto"/>
        <w:ind w:firstLine="480" w:firstLineChars="200"/>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地 址：乌鲁木齐市经济技术开发区乌昌路252号九方财富广场A座525室</w:t>
      </w:r>
    </w:p>
    <w:p w14:paraId="4AC65894">
      <w:pPr>
        <w:spacing w:line="240" w:lineRule="auto"/>
        <w:ind w:firstLine="480" w:firstLineChars="200"/>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联系人：吴洋、高娟、代旭、杨爱梅、汤新龙</w:t>
      </w:r>
    </w:p>
    <w:p w14:paraId="6D5AB841">
      <w:pPr>
        <w:spacing w:line="240" w:lineRule="auto"/>
        <w:ind w:firstLine="480" w:firstLineChars="200"/>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联系方式：13565831720</w:t>
      </w:r>
    </w:p>
    <w:p w14:paraId="2A27C925">
      <w:pPr>
        <w:spacing w:line="240" w:lineRule="auto"/>
        <w:jc w:val="center"/>
        <w:rPr>
          <w:rFonts w:hint="eastAsia" w:asciiTheme="minorEastAsia" w:hAnsiTheme="minorEastAsia" w:eastAsiaTheme="minorEastAsia" w:cstheme="minorEastAsia"/>
          <w:b/>
          <w:sz w:val="36"/>
          <w:highlight w:val="none"/>
        </w:rPr>
      </w:pPr>
      <w:r>
        <w:rPr>
          <w:rFonts w:hint="eastAsia" w:asciiTheme="minorEastAsia" w:hAnsiTheme="minorEastAsia" w:eastAsiaTheme="minorEastAsia" w:cstheme="minorEastAsia"/>
          <w:sz w:val="24"/>
          <w:highlight w:val="none"/>
        </w:rPr>
        <w:br w:type="page"/>
      </w:r>
      <w:r>
        <w:rPr>
          <w:rFonts w:hint="eastAsia" w:asciiTheme="minorEastAsia" w:hAnsiTheme="minorEastAsia" w:eastAsiaTheme="minorEastAsia" w:cstheme="minorEastAsia"/>
          <w:b/>
          <w:sz w:val="28"/>
          <w:szCs w:val="28"/>
          <w:highlight w:val="none"/>
        </w:rPr>
        <w:t>第二章  投标须知</w:t>
      </w:r>
    </w:p>
    <w:p w14:paraId="014EB54A">
      <w:pPr>
        <w:spacing w:line="24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投标须知前附表</w:t>
      </w:r>
    </w:p>
    <w:tbl>
      <w:tblPr>
        <w:tblStyle w:val="36"/>
        <w:tblW w:w="958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76"/>
        <w:gridCol w:w="1683"/>
        <w:gridCol w:w="6723"/>
      </w:tblGrid>
      <w:tr w14:paraId="7C3C48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76" w:type="dxa"/>
            <w:vAlign w:val="center"/>
          </w:tcPr>
          <w:p w14:paraId="752E563A">
            <w:pPr>
              <w:pStyle w:val="65"/>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条款号</w:t>
            </w:r>
          </w:p>
        </w:tc>
        <w:tc>
          <w:tcPr>
            <w:tcW w:w="1683" w:type="dxa"/>
            <w:tcBorders>
              <w:right w:val="single" w:color="auto" w:sz="4" w:space="0"/>
            </w:tcBorders>
            <w:vAlign w:val="center"/>
          </w:tcPr>
          <w:p w14:paraId="5884040B">
            <w:pPr>
              <w:pStyle w:val="65"/>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条款名称</w:t>
            </w:r>
          </w:p>
        </w:tc>
        <w:tc>
          <w:tcPr>
            <w:tcW w:w="6723" w:type="dxa"/>
            <w:tcBorders>
              <w:left w:val="single" w:color="auto" w:sz="4" w:space="0"/>
            </w:tcBorders>
            <w:vAlign w:val="center"/>
          </w:tcPr>
          <w:p w14:paraId="0CCC577B">
            <w:pPr>
              <w:pStyle w:val="65"/>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编列内容</w:t>
            </w:r>
          </w:p>
        </w:tc>
      </w:tr>
      <w:tr w14:paraId="4F1D18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82" w:type="dxa"/>
            <w:gridSpan w:val="3"/>
            <w:vAlign w:val="center"/>
          </w:tcPr>
          <w:p w14:paraId="23AC9602">
            <w:pPr>
              <w:pStyle w:val="65"/>
              <w:spacing w:line="24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一、总则</w:t>
            </w:r>
          </w:p>
        </w:tc>
      </w:tr>
      <w:tr w14:paraId="18BE12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76" w:type="dxa"/>
            <w:vAlign w:val="center"/>
          </w:tcPr>
          <w:p w14:paraId="7B9A9006">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第1.1款</w:t>
            </w:r>
          </w:p>
        </w:tc>
        <w:tc>
          <w:tcPr>
            <w:tcW w:w="1683" w:type="dxa"/>
            <w:tcBorders>
              <w:right w:val="single" w:color="auto" w:sz="4" w:space="0"/>
            </w:tcBorders>
            <w:vAlign w:val="center"/>
          </w:tcPr>
          <w:p w14:paraId="30CEFE0A">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tc>
        <w:tc>
          <w:tcPr>
            <w:tcW w:w="6723" w:type="dxa"/>
            <w:tcBorders>
              <w:left w:val="single" w:color="auto" w:sz="4" w:space="0"/>
            </w:tcBorders>
            <w:vAlign w:val="center"/>
          </w:tcPr>
          <w:p w14:paraId="0204DDBE">
            <w:pPr>
              <w:pStyle w:val="65"/>
              <w:spacing w:line="240" w:lineRule="auto"/>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新疆应用职业技术学院</w:t>
            </w:r>
            <w:r>
              <w:rPr>
                <w:rFonts w:hint="eastAsia" w:asciiTheme="minorEastAsia" w:hAnsiTheme="minorEastAsia" w:eastAsiaTheme="minorEastAsia" w:cstheme="minorEastAsia"/>
                <w:bCs/>
                <w:highlight w:val="none"/>
                <w:lang w:eastAsia="zh-CN"/>
              </w:rPr>
              <w:t>经济管理学院口岸智慧仓配实训中心</w:t>
            </w:r>
            <w:r>
              <w:rPr>
                <w:rFonts w:hint="eastAsia" w:asciiTheme="minorEastAsia" w:hAnsiTheme="minorEastAsia" w:eastAsiaTheme="minorEastAsia" w:cstheme="minorEastAsia"/>
                <w:color w:val="auto"/>
                <w:kern w:val="2"/>
                <w:sz w:val="24"/>
                <w:szCs w:val="24"/>
                <w:highlight w:val="none"/>
                <w:lang w:eastAsia="zh-CN"/>
              </w:rPr>
              <w:t>设备采购项目</w:t>
            </w:r>
          </w:p>
        </w:tc>
      </w:tr>
      <w:tr w14:paraId="0A6B18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76" w:type="dxa"/>
            <w:vAlign w:val="center"/>
          </w:tcPr>
          <w:p w14:paraId="4C357F7D">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第1.2款</w:t>
            </w:r>
          </w:p>
        </w:tc>
        <w:tc>
          <w:tcPr>
            <w:tcW w:w="1683" w:type="dxa"/>
            <w:tcBorders>
              <w:right w:val="single" w:color="auto" w:sz="4" w:space="0"/>
            </w:tcBorders>
            <w:vAlign w:val="center"/>
          </w:tcPr>
          <w:p w14:paraId="66B58B90">
            <w:pPr>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招标范围</w:t>
            </w:r>
          </w:p>
        </w:tc>
        <w:tc>
          <w:tcPr>
            <w:tcW w:w="6723" w:type="dxa"/>
            <w:tcBorders>
              <w:left w:val="single" w:color="auto" w:sz="4" w:space="0"/>
            </w:tcBorders>
            <w:vAlign w:val="center"/>
          </w:tcPr>
          <w:p w14:paraId="1A7C3B5A">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设备采购、安装、调试、培训服务（具体技术参数详见招标文件）</w:t>
            </w:r>
          </w:p>
        </w:tc>
      </w:tr>
      <w:tr w14:paraId="797974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76" w:type="dxa"/>
            <w:vAlign w:val="center"/>
          </w:tcPr>
          <w:p w14:paraId="1F247170">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第1.3款</w:t>
            </w:r>
          </w:p>
        </w:tc>
        <w:tc>
          <w:tcPr>
            <w:tcW w:w="1683" w:type="dxa"/>
            <w:tcBorders>
              <w:right w:val="single" w:color="auto" w:sz="4" w:space="0"/>
            </w:tcBorders>
            <w:vAlign w:val="center"/>
          </w:tcPr>
          <w:p w14:paraId="77793CC9">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交货</w:t>
            </w:r>
            <w:r>
              <w:rPr>
                <w:rFonts w:hint="eastAsia" w:asciiTheme="minorEastAsia" w:hAnsiTheme="minorEastAsia" w:eastAsiaTheme="minorEastAsia" w:cstheme="minorEastAsia"/>
                <w:sz w:val="24"/>
                <w:szCs w:val="24"/>
                <w:highlight w:val="none"/>
              </w:rPr>
              <w:t>地点</w:t>
            </w:r>
          </w:p>
        </w:tc>
        <w:tc>
          <w:tcPr>
            <w:tcW w:w="6723" w:type="dxa"/>
            <w:tcBorders>
              <w:left w:val="single" w:color="auto" w:sz="4" w:space="0"/>
            </w:tcBorders>
            <w:vAlign w:val="center"/>
          </w:tcPr>
          <w:p w14:paraId="7AABACD5">
            <w:pPr>
              <w:spacing w:line="240" w:lineRule="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新疆应用职业技术学院经济管理学院201实训室</w:t>
            </w:r>
          </w:p>
        </w:tc>
      </w:tr>
      <w:tr w14:paraId="45B3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76" w:type="dxa"/>
            <w:vAlign w:val="center"/>
          </w:tcPr>
          <w:p w14:paraId="0FF5D5EF">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第1.4款</w:t>
            </w:r>
          </w:p>
        </w:tc>
        <w:tc>
          <w:tcPr>
            <w:tcW w:w="1683" w:type="dxa"/>
            <w:tcBorders>
              <w:right w:val="single" w:color="auto" w:sz="4" w:space="0"/>
            </w:tcBorders>
            <w:vAlign w:val="center"/>
          </w:tcPr>
          <w:p w14:paraId="73780573">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招标方式</w:t>
            </w:r>
          </w:p>
        </w:tc>
        <w:tc>
          <w:tcPr>
            <w:tcW w:w="6723" w:type="dxa"/>
            <w:tcBorders>
              <w:left w:val="single" w:color="auto" w:sz="4" w:space="0"/>
            </w:tcBorders>
            <w:vAlign w:val="center"/>
          </w:tcPr>
          <w:p w14:paraId="0BF55754">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公开招标</w:t>
            </w:r>
          </w:p>
        </w:tc>
      </w:tr>
      <w:tr w14:paraId="4D0B65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76" w:type="dxa"/>
            <w:vAlign w:val="center"/>
          </w:tcPr>
          <w:p w14:paraId="1A086732">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第1.5款</w:t>
            </w:r>
          </w:p>
        </w:tc>
        <w:tc>
          <w:tcPr>
            <w:tcW w:w="1683" w:type="dxa"/>
            <w:tcBorders>
              <w:right w:val="single" w:color="auto" w:sz="4" w:space="0"/>
            </w:tcBorders>
            <w:vAlign w:val="center"/>
          </w:tcPr>
          <w:p w14:paraId="78C0F920">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供货（服务）期限</w:t>
            </w:r>
          </w:p>
        </w:tc>
        <w:tc>
          <w:tcPr>
            <w:tcW w:w="6723" w:type="dxa"/>
            <w:tcBorders>
              <w:left w:val="single" w:color="auto" w:sz="4" w:space="0"/>
            </w:tcBorders>
            <w:vAlign w:val="center"/>
          </w:tcPr>
          <w:p w14:paraId="71D848C5">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合同签订后</w:t>
            </w:r>
            <w:r>
              <w:rPr>
                <w:rFonts w:hint="eastAsia" w:asciiTheme="minorEastAsia" w:hAnsiTheme="minorEastAsia" w:eastAsiaTheme="minorEastAsia" w:cstheme="minorEastAsia"/>
                <w:sz w:val="24"/>
                <w:szCs w:val="24"/>
                <w:highlight w:val="none"/>
                <w:lang w:val="en-US" w:eastAsia="zh-CN"/>
              </w:rPr>
              <w:t>70</w:t>
            </w:r>
            <w:r>
              <w:rPr>
                <w:rFonts w:hint="eastAsia" w:asciiTheme="minorEastAsia" w:hAnsiTheme="minorEastAsia" w:eastAsiaTheme="minorEastAsia" w:cstheme="minorEastAsia"/>
                <w:sz w:val="24"/>
                <w:szCs w:val="24"/>
                <w:highlight w:val="none"/>
              </w:rPr>
              <w:t>个日历日之内交付使用</w:t>
            </w:r>
            <w:r>
              <w:rPr>
                <w:rFonts w:hint="eastAsia" w:asciiTheme="minorEastAsia" w:hAnsiTheme="minorEastAsia" w:eastAsiaTheme="minorEastAsia" w:cstheme="minorEastAsia"/>
                <w:sz w:val="24"/>
                <w:szCs w:val="24"/>
                <w:highlight w:val="none"/>
                <w:lang w:eastAsia="zh-CN"/>
              </w:rPr>
              <w:t>。</w:t>
            </w:r>
          </w:p>
        </w:tc>
      </w:tr>
      <w:tr w14:paraId="53A733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76" w:type="dxa"/>
            <w:vAlign w:val="center"/>
          </w:tcPr>
          <w:p w14:paraId="73B85537">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第1.6款</w:t>
            </w:r>
          </w:p>
        </w:tc>
        <w:tc>
          <w:tcPr>
            <w:tcW w:w="1683" w:type="dxa"/>
            <w:tcBorders>
              <w:right w:val="single" w:color="auto" w:sz="4" w:space="0"/>
            </w:tcBorders>
            <w:vAlign w:val="center"/>
          </w:tcPr>
          <w:p w14:paraId="373ECF35">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服务要求或标准</w:t>
            </w:r>
          </w:p>
        </w:tc>
        <w:tc>
          <w:tcPr>
            <w:tcW w:w="6723" w:type="dxa"/>
            <w:tcBorders>
              <w:left w:val="single" w:color="auto" w:sz="4" w:space="0"/>
            </w:tcBorders>
            <w:vAlign w:val="center"/>
          </w:tcPr>
          <w:p w14:paraId="15E9DDE1">
            <w:pPr>
              <w:pStyle w:val="65"/>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、技术支持与培训服务</w:t>
            </w:r>
          </w:p>
          <w:p w14:paraId="70204EC2">
            <w:pPr>
              <w:pStyle w:val="65"/>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提供免费现场安装、调试服务，确保设备正常运行。</w:t>
            </w:r>
          </w:p>
          <w:p w14:paraId="1596E747">
            <w:pPr>
              <w:pStyle w:val="65"/>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提供针对教师或管理人员的操作培训，包括基础操作、维护保养及故障处理。</w:t>
            </w:r>
          </w:p>
          <w:p w14:paraId="546F0A09">
            <w:pPr>
              <w:pStyle w:val="65"/>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培训需包含书面资料（如操作手册、视频教程）和现场指导。</w:t>
            </w:r>
          </w:p>
          <w:p w14:paraId="21A6A684">
            <w:pPr>
              <w:pStyle w:val="65"/>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提供长期技术咨询渠道（如24小时热线、在线支持），响应时间不超过2小时。</w:t>
            </w:r>
          </w:p>
          <w:p w14:paraId="1FD93BE0">
            <w:pPr>
              <w:pStyle w:val="65"/>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定期回访，了解设备使用情况并提供优化建议。</w:t>
            </w:r>
          </w:p>
          <w:p w14:paraId="3FD05D0E">
            <w:pPr>
              <w:pStyle w:val="65"/>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、售后服务与响应机制</w:t>
            </w:r>
          </w:p>
          <w:p w14:paraId="63BBADBC">
            <w:pPr>
              <w:pStyle w:val="65"/>
              <w:spacing w:line="24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.保修期内，因设备自身质量问题引起的故障，供应商需负责免费维修或更换。</w:t>
            </w:r>
          </w:p>
          <w:p w14:paraId="336DE5CE">
            <w:pPr>
              <w:pStyle w:val="65"/>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保证设备停产后至少5年的备件供应能力，并提供备件清单及价格表。</w:t>
            </w:r>
          </w:p>
          <w:p w14:paraId="3F010C38">
            <w:pPr>
              <w:pStyle w:val="65"/>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、交付与物流能力</w:t>
            </w:r>
          </w:p>
          <w:p w14:paraId="67F19E21">
            <w:pPr>
              <w:pStyle w:val="65"/>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明确设备运输、安装</w:t>
            </w:r>
            <w:r>
              <w:rPr>
                <w:rFonts w:hint="eastAsia" w:asciiTheme="minorEastAsia" w:hAnsiTheme="minorEastAsia" w:eastAsiaTheme="minorEastAsia" w:cstheme="minorEastAsia"/>
                <w:color w:val="auto"/>
                <w:sz w:val="24"/>
                <w:szCs w:val="24"/>
                <w:highlight w:val="none"/>
                <w:lang w:val="en-US" w:eastAsia="zh-CN"/>
              </w:rPr>
              <w:t>调试、培训等</w:t>
            </w:r>
            <w:r>
              <w:rPr>
                <w:rFonts w:hint="eastAsia" w:asciiTheme="minorEastAsia" w:hAnsiTheme="minorEastAsia" w:eastAsiaTheme="minorEastAsia" w:cstheme="minorEastAsia"/>
                <w:color w:val="auto"/>
                <w:sz w:val="24"/>
                <w:szCs w:val="24"/>
                <w:highlight w:val="none"/>
              </w:rPr>
              <w:t>时间节点，确保按合同约定时间交付。</w:t>
            </w:r>
          </w:p>
          <w:p w14:paraId="0493B2A5">
            <w:pPr>
              <w:pStyle w:val="65"/>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设备需采用防震、防潮包装，运输过程需投保，确保设备完好无损。</w:t>
            </w:r>
          </w:p>
          <w:p w14:paraId="1131056C">
            <w:pPr>
              <w:pStyle w:val="65"/>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、特殊需求</w:t>
            </w:r>
          </w:p>
          <w:p w14:paraId="28A3C73F">
            <w:pPr>
              <w:pStyle w:val="65"/>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数据安全：涉及智能设备或软件系统的，需符合数据隐私保护要求。</w:t>
            </w:r>
          </w:p>
          <w:p w14:paraId="58C9C715">
            <w:pPr>
              <w:pStyle w:val="65"/>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扩展性：设备</w:t>
            </w:r>
            <w:r>
              <w:rPr>
                <w:rFonts w:hint="eastAsia" w:asciiTheme="minorEastAsia" w:hAnsiTheme="minorEastAsia" w:eastAsiaTheme="minorEastAsia" w:cstheme="minorEastAsia"/>
                <w:color w:val="auto"/>
                <w:sz w:val="24"/>
                <w:szCs w:val="24"/>
                <w:highlight w:val="none"/>
                <w:lang w:eastAsia="zh-CN"/>
              </w:rPr>
              <w:t>须具备</w:t>
            </w:r>
            <w:r>
              <w:rPr>
                <w:rFonts w:hint="eastAsia" w:asciiTheme="minorEastAsia" w:hAnsiTheme="minorEastAsia" w:eastAsiaTheme="minorEastAsia" w:cstheme="minorEastAsia"/>
                <w:color w:val="auto"/>
                <w:sz w:val="24"/>
                <w:szCs w:val="24"/>
                <w:highlight w:val="none"/>
              </w:rPr>
              <w:t>兼容性和升级能力（如软件可更新、硬件可扩展）。</w:t>
            </w:r>
          </w:p>
        </w:tc>
      </w:tr>
      <w:tr w14:paraId="623A4C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76" w:type="dxa"/>
            <w:vAlign w:val="center"/>
          </w:tcPr>
          <w:p w14:paraId="5A4A48D6">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第1.7款</w:t>
            </w:r>
          </w:p>
        </w:tc>
        <w:tc>
          <w:tcPr>
            <w:tcW w:w="1683" w:type="dxa"/>
            <w:tcBorders>
              <w:right w:val="single" w:color="auto" w:sz="4" w:space="0"/>
            </w:tcBorders>
            <w:vAlign w:val="center"/>
          </w:tcPr>
          <w:p w14:paraId="2755608E">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质量要求/质保期</w:t>
            </w:r>
          </w:p>
        </w:tc>
        <w:tc>
          <w:tcPr>
            <w:tcW w:w="6723" w:type="dxa"/>
            <w:tcBorders>
              <w:left w:val="single" w:color="auto" w:sz="4" w:space="0"/>
            </w:tcBorders>
            <w:vAlign w:val="center"/>
          </w:tcPr>
          <w:p w14:paraId="1C4D7AFB">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质保期软件</w:t>
            </w:r>
            <w:r>
              <w:rPr>
                <w:rFonts w:hint="default" w:asciiTheme="minorEastAsia" w:hAnsiTheme="minorEastAsia" w:eastAsiaTheme="minorEastAsia" w:cstheme="minorEastAsia"/>
                <w:color w:val="auto"/>
                <w:kern w:val="0"/>
                <w:sz w:val="24"/>
                <w:szCs w:val="24"/>
                <w:highlight w:val="none"/>
                <w:lang w:val="en-US" w:eastAsia="zh-CN" w:bidi="ar-SA"/>
              </w:rPr>
              <w:t>5</w:t>
            </w:r>
            <w:r>
              <w:rPr>
                <w:rFonts w:hint="eastAsia" w:asciiTheme="minorEastAsia" w:hAnsiTheme="minorEastAsia" w:eastAsiaTheme="minorEastAsia" w:cstheme="minorEastAsia"/>
                <w:color w:val="auto"/>
                <w:kern w:val="0"/>
                <w:sz w:val="24"/>
                <w:szCs w:val="24"/>
                <w:highlight w:val="none"/>
                <w:lang w:val="en-US" w:eastAsia="zh-CN" w:bidi="ar-SA"/>
              </w:rPr>
              <w:t>年（免费升级）、硬件3年</w:t>
            </w:r>
          </w:p>
        </w:tc>
      </w:tr>
      <w:tr w14:paraId="767070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3" w:hRule="atLeast"/>
          <w:jc w:val="center"/>
        </w:trPr>
        <w:tc>
          <w:tcPr>
            <w:tcW w:w="1176" w:type="dxa"/>
            <w:vAlign w:val="center"/>
          </w:tcPr>
          <w:p w14:paraId="1C59D33C">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第1.8款</w:t>
            </w:r>
          </w:p>
        </w:tc>
        <w:tc>
          <w:tcPr>
            <w:tcW w:w="1683" w:type="dxa"/>
            <w:tcBorders>
              <w:right w:val="single" w:color="auto" w:sz="4" w:space="0"/>
            </w:tcBorders>
            <w:vAlign w:val="center"/>
          </w:tcPr>
          <w:p w14:paraId="3B451846">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售后标准</w:t>
            </w:r>
          </w:p>
        </w:tc>
        <w:tc>
          <w:tcPr>
            <w:tcW w:w="6723" w:type="dxa"/>
            <w:tcBorders>
              <w:left w:val="single" w:color="auto" w:sz="4" w:space="0"/>
            </w:tcBorders>
            <w:vAlign w:val="center"/>
          </w:tcPr>
          <w:p w14:paraId="09015110">
            <w:pPr>
              <w:spacing w:line="240" w:lineRule="auto"/>
              <w:jc w:val="lef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24</w:t>
            </w:r>
            <w:r>
              <w:rPr>
                <w:rFonts w:hint="eastAsia" w:asciiTheme="minorEastAsia" w:hAnsiTheme="minorEastAsia" w:eastAsiaTheme="minorEastAsia" w:cstheme="minorEastAsia"/>
                <w:sz w:val="24"/>
                <w:szCs w:val="24"/>
                <w:highlight w:val="none"/>
              </w:rPr>
              <w:t>小时响应，48小时</w:t>
            </w:r>
            <w:r>
              <w:rPr>
                <w:rFonts w:hint="eastAsia" w:asciiTheme="minorEastAsia" w:hAnsiTheme="minorEastAsia" w:eastAsiaTheme="minorEastAsia" w:cstheme="minorEastAsia"/>
                <w:sz w:val="24"/>
                <w:szCs w:val="24"/>
                <w:highlight w:val="none"/>
                <w:lang w:val="en-US" w:eastAsia="zh-CN"/>
              </w:rPr>
              <w:t>提供</w:t>
            </w:r>
            <w:r>
              <w:rPr>
                <w:rFonts w:hint="eastAsia" w:asciiTheme="minorEastAsia" w:hAnsiTheme="minorEastAsia" w:eastAsiaTheme="minorEastAsia" w:cstheme="minorEastAsia"/>
                <w:color w:val="auto"/>
                <w:sz w:val="24"/>
                <w:szCs w:val="24"/>
                <w:highlight w:val="none"/>
              </w:rPr>
              <w:t>解决方案</w:t>
            </w:r>
            <w:r>
              <w:rPr>
                <w:rFonts w:hint="eastAsia" w:asciiTheme="minorEastAsia" w:hAnsiTheme="minorEastAsia" w:eastAsiaTheme="minorEastAsia" w:cstheme="minorEastAsia"/>
                <w:color w:val="auto"/>
                <w:sz w:val="24"/>
                <w:szCs w:val="24"/>
                <w:highlight w:val="none"/>
                <w:lang w:val="en-US" w:eastAsia="zh-CN"/>
              </w:rPr>
              <w:t>解决故障，期间产生的费用由供应商承担。</w:t>
            </w:r>
          </w:p>
        </w:tc>
      </w:tr>
      <w:tr w14:paraId="4CDA48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76" w:type="dxa"/>
            <w:vAlign w:val="center"/>
          </w:tcPr>
          <w:p w14:paraId="2DDEC088">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款</w:t>
            </w:r>
          </w:p>
        </w:tc>
        <w:tc>
          <w:tcPr>
            <w:tcW w:w="1683" w:type="dxa"/>
            <w:tcBorders>
              <w:right w:val="single" w:color="auto" w:sz="4" w:space="0"/>
            </w:tcBorders>
            <w:vAlign w:val="center"/>
          </w:tcPr>
          <w:p w14:paraId="35623C79">
            <w:pPr>
              <w:spacing w:line="240" w:lineRule="auto"/>
              <w:jc w:val="center"/>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采购类型</w:t>
            </w:r>
          </w:p>
        </w:tc>
        <w:tc>
          <w:tcPr>
            <w:tcW w:w="6723" w:type="dxa"/>
            <w:tcBorders>
              <w:left w:val="single" w:color="auto" w:sz="4" w:space="0"/>
            </w:tcBorders>
            <w:vAlign w:val="center"/>
          </w:tcPr>
          <w:p w14:paraId="5A0ECC8B">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货物类采购</w:t>
            </w:r>
          </w:p>
        </w:tc>
      </w:tr>
      <w:tr w14:paraId="67AFFA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76" w:type="dxa"/>
            <w:vAlign w:val="center"/>
          </w:tcPr>
          <w:p w14:paraId="6D408556">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第2.1款</w:t>
            </w:r>
          </w:p>
        </w:tc>
        <w:tc>
          <w:tcPr>
            <w:tcW w:w="1683" w:type="dxa"/>
            <w:tcBorders>
              <w:right w:val="single" w:color="auto" w:sz="4" w:space="0"/>
            </w:tcBorders>
            <w:vAlign w:val="center"/>
          </w:tcPr>
          <w:p w14:paraId="00346BBF">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w:t>
            </w:r>
          </w:p>
        </w:tc>
        <w:tc>
          <w:tcPr>
            <w:tcW w:w="6723" w:type="dxa"/>
            <w:tcBorders>
              <w:left w:val="single" w:color="auto" w:sz="4" w:space="0"/>
            </w:tcBorders>
            <w:vAlign w:val="center"/>
          </w:tcPr>
          <w:p w14:paraId="24E23B96">
            <w:pPr>
              <w:autoSpaceDE w:val="0"/>
              <w:autoSpaceDN w:val="0"/>
              <w:adjustRightInd w:val="0"/>
              <w:snapToGrid w:val="0"/>
              <w:spacing w:line="24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名  称：新疆应用职业技术学院</w:t>
            </w:r>
          </w:p>
          <w:p w14:paraId="2A757D4A">
            <w:pPr>
              <w:autoSpaceDE w:val="0"/>
              <w:autoSpaceDN w:val="0"/>
              <w:adjustRightInd w:val="0"/>
              <w:snapToGrid w:val="0"/>
              <w:spacing w:line="24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联系人：</w:t>
            </w:r>
            <w:r>
              <w:rPr>
                <w:rFonts w:hint="eastAsia" w:asciiTheme="minorEastAsia" w:hAnsiTheme="minorEastAsia" w:eastAsiaTheme="minorEastAsia" w:cstheme="minorEastAsia"/>
                <w:kern w:val="0"/>
                <w:sz w:val="24"/>
                <w:szCs w:val="24"/>
                <w:highlight w:val="none"/>
                <w:lang w:val="en-US" w:eastAsia="zh-CN"/>
              </w:rPr>
              <w:t>刘老师</w:t>
            </w:r>
            <w:r>
              <w:rPr>
                <w:rFonts w:hint="eastAsia" w:asciiTheme="minorEastAsia" w:hAnsiTheme="minorEastAsia" w:eastAsiaTheme="minorEastAsia" w:cstheme="minorEastAsia"/>
                <w:kern w:val="0"/>
                <w:sz w:val="24"/>
                <w:szCs w:val="24"/>
                <w:highlight w:val="none"/>
              </w:rPr>
              <w:t xml:space="preserve">   </w:t>
            </w:r>
          </w:p>
          <w:p w14:paraId="2CEC2441">
            <w:pPr>
              <w:autoSpaceDE w:val="0"/>
              <w:autoSpaceDN w:val="0"/>
              <w:adjustRightInd w:val="0"/>
              <w:snapToGrid w:val="0"/>
              <w:spacing w:line="240" w:lineRule="auto"/>
              <w:jc w:val="left"/>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联系方式：</w:t>
            </w:r>
            <w:r>
              <w:rPr>
                <w:rFonts w:hint="eastAsia" w:asciiTheme="minorEastAsia" w:hAnsiTheme="minorEastAsia" w:eastAsiaTheme="minorEastAsia" w:cstheme="minorEastAsia"/>
                <w:kern w:val="0"/>
                <w:sz w:val="24"/>
                <w:szCs w:val="24"/>
                <w:highlight w:val="none"/>
                <w:lang w:eastAsia="zh-CN"/>
              </w:rPr>
              <w:t>1</w:t>
            </w:r>
            <w:r>
              <w:rPr>
                <w:rFonts w:hint="eastAsia" w:asciiTheme="minorEastAsia" w:hAnsiTheme="minorEastAsia" w:eastAsiaTheme="minorEastAsia" w:cstheme="minorEastAsia"/>
                <w:kern w:val="0"/>
                <w:sz w:val="24"/>
                <w:szCs w:val="24"/>
                <w:highlight w:val="none"/>
                <w:lang w:val="en-US" w:eastAsia="zh-CN"/>
              </w:rPr>
              <w:t>5509922770</w:t>
            </w:r>
          </w:p>
        </w:tc>
      </w:tr>
      <w:tr w14:paraId="11E4B0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76" w:type="dxa"/>
            <w:vAlign w:val="center"/>
          </w:tcPr>
          <w:p w14:paraId="4B651FAE">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第2.2款</w:t>
            </w:r>
          </w:p>
        </w:tc>
        <w:tc>
          <w:tcPr>
            <w:tcW w:w="1683" w:type="dxa"/>
            <w:tcBorders>
              <w:right w:val="single" w:color="auto" w:sz="4" w:space="0"/>
            </w:tcBorders>
            <w:vAlign w:val="center"/>
          </w:tcPr>
          <w:p w14:paraId="6C910853">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w:t>
            </w:r>
          </w:p>
          <w:p w14:paraId="7FC1507F">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机构</w:t>
            </w:r>
          </w:p>
        </w:tc>
        <w:tc>
          <w:tcPr>
            <w:tcW w:w="6723" w:type="dxa"/>
            <w:tcBorders>
              <w:left w:val="single" w:color="auto" w:sz="4" w:space="0"/>
            </w:tcBorders>
            <w:vAlign w:val="center"/>
          </w:tcPr>
          <w:p w14:paraId="0F491EC3">
            <w:pPr>
              <w:autoSpaceDE w:val="0"/>
              <w:autoSpaceDN w:val="0"/>
              <w:adjustRightInd w:val="0"/>
              <w:snapToGrid w:val="0"/>
              <w:spacing w:line="24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名  称：新疆元泓工程项目管理咨询有限公司</w:t>
            </w:r>
          </w:p>
          <w:p w14:paraId="7F04D214">
            <w:pPr>
              <w:autoSpaceDE w:val="0"/>
              <w:autoSpaceDN w:val="0"/>
              <w:adjustRightInd w:val="0"/>
              <w:snapToGrid w:val="0"/>
              <w:spacing w:line="24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项目联系人：</w:t>
            </w:r>
            <w:r>
              <w:rPr>
                <w:rFonts w:hint="eastAsia" w:asciiTheme="minorEastAsia" w:hAnsiTheme="minorEastAsia" w:eastAsiaTheme="minorEastAsia" w:cstheme="minorEastAsia"/>
                <w:kern w:val="0"/>
                <w:sz w:val="24"/>
                <w:szCs w:val="24"/>
                <w:highlight w:val="none"/>
                <w:lang w:val="en-US" w:eastAsia="zh-CN"/>
              </w:rPr>
              <w:t>吴洋、高娟、代旭、杨爱梅、汤新龙</w:t>
            </w:r>
            <w:r>
              <w:rPr>
                <w:rFonts w:hint="eastAsia" w:asciiTheme="minorEastAsia" w:hAnsiTheme="minorEastAsia" w:eastAsiaTheme="minorEastAsia" w:cstheme="minorEastAsia"/>
                <w:kern w:val="0"/>
                <w:sz w:val="24"/>
                <w:szCs w:val="24"/>
                <w:highlight w:val="none"/>
              </w:rPr>
              <w:t xml:space="preserve">       </w:t>
            </w:r>
          </w:p>
          <w:p w14:paraId="01F79EBC">
            <w:pPr>
              <w:autoSpaceDE w:val="0"/>
              <w:autoSpaceDN w:val="0"/>
              <w:adjustRightInd w:val="0"/>
              <w:snapToGrid w:val="0"/>
              <w:spacing w:line="24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联系电话：13565831720</w:t>
            </w:r>
          </w:p>
        </w:tc>
      </w:tr>
      <w:tr w14:paraId="131769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76" w:type="dxa"/>
            <w:vAlign w:val="center"/>
          </w:tcPr>
          <w:p w14:paraId="7CEC2320">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第3.1款</w:t>
            </w:r>
          </w:p>
        </w:tc>
        <w:tc>
          <w:tcPr>
            <w:tcW w:w="1683" w:type="dxa"/>
            <w:tcBorders>
              <w:right w:val="single" w:color="auto" w:sz="4" w:space="0"/>
            </w:tcBorders>
            <w:vAlign w:val="center"/>
          </w:tcPr>
          <w:p w14:paraId="14312E76">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p>
          <w:p w14:paraId="08784259">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资格条件</w:t>
            </w:r>
          </w:p>
        </w:tc>
        <w:tc>
          <w:tcPr>
            <w:tcW w:w="6723" w:type="dxa"/>
            <w:tcBorders>
              <w:left w:val="single" w:color="auto" w:sz="4" w:space="0"/>
            </w:tcBorders>
            <w:vAlign w:val="center"/>
          </w:tcPr>
          <w:p w14:paraId="57807636">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1.满足《中华人民共和国政府采购法》第二十二条规定；</w:t>
            </w:r>
          </w:p>
          <w:p w14:paraId="78802882">
            <w:pPr>
              <w:spacing w:line="24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（一）具有独立承担民事责任的能力；</w:t>
            </w:r>
          </w:p>
          <w:p w14:paraId="4CAFDF74">
            <w:pPr>
              <w:spacing w:line="24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（二）具有良好的商业信誉和健全的财务会计制度；</w:t>
            </w:r>
          </w:p>
          <w:p w14:paraId="012F8F4E">
            <w:pPr>
              <w:spacing w:line="24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（三）具有履行合同所必需的设备和专业技术能力；</w:t>
            </w:r>
          </w:p>
          <w:p w14:paraId="7A135720">
            <w:pPr>
              <w:spacing w:line="24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（四）有依法缴纳税收和社会保障资金的良好记录；</w:t>
            </w:r>
          </w:p>
          <w:p w14:paraId="200E1BDB">
            <w:pPr>
              <w:spacing w:line="24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（五）参加政府采购活动前三年内，在经营活动中没有重大违法记录；</w:t>
            </w:r>
          </w:p>
          <w:p w14:paraId="1B328785">
            <w:pPr>
              <w:spacing w:line="24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（六）法律、行政法规规定的其他条件。</w:t>
            </w:r>
          </w:p>
          <w:p w14:paraId="0EB2403C">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2.落实政府采购政策需满足的资格要求：</w:t>
            </w:r>
            <w:r>
              <w:rPr>
                <w:rFonts w:hint="eastAsia" w:asciiTheme="minorEastAsia" w:hAnsiTheme="minorEastAsia" w:eastAsiaTheme="minorEastAsia" w:cstheme="minorEastAsia"/>
                <w:kern w:val="0"/>
                <w:sz w:val="24"/>
                <w:szCs w:val="24"/>
                <w:highlight w:val="none"/>
                <w:lang w:eastAsia="zh-CN"/>
              </w:rPr>
              <w:t>本项目预</w:t>
            </w:r>
            <w:r>
              <w:rPr>
                <w:rFonts w:hint="eastAsia" w:asciiTheme="minorEastAsia" w:hAnsiTheme="minorEastAsia" w:eastAsiaTheme="minorEastAsia" w:cstheme="minorEastAsia"/>
                <w:kern w:val="0"/>
                <w:sz w:val="24"/>
                <w:szCs w:val="24"/>
                <w:highlight w:val="none"/>
                <w:lang w:val="en-US" w:eastAsia="zh-CN"/>
              </w:rPr>
              <w:t>留部分采购预算金额专门面向中小企业采购</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根据《关于进一步加大政府采购支持中小企业力度的通知》的规定：预算金额</w:t>
            </w:r>
            <w:r>
              <w:rPr>
                <w:rFonts w:hint="eastAsia" w:asciiTheme="minorEastAsia" w:hAnsiTheme="minorEastAsia" w:eastAsiaTheme="minorEastAsia" w:cstheme="minorEastAsia"/>
                <w:kern w:val="0"/>
                <w:sz w:val="24"/>
                <w:szCs w:val="24"/>
                <w:highlight w:val="none"/>
                <w:lang w:val="en-US" w:eastAsia="zh-CN"/>
              </w:rPr>
              <w:t>4000000.00</w:t>
            </w:r>
            <w:r>
              <w:rPr>
                <w:rFonts w:hint="eastAsia" w:asciiTheme="minorEastAsia" w:hAnsiTheme="minorEastAsia" w:eastAsiaTheme="minorEastAsia" w:cstheme="minorEastAsia"/>
                <w:kern w:val="0"/>
                <w:sz w:val="24"/>
                <w:szCs w:val="24"/>
                <w:highlight w:val="none"/>
              </w:rPr>
              <w:t>元，预留该部分采购项目预算金额的</w:t>
            </w:r>
            <w:r>
              <w:rPr>
                <w:rFonts w:hint="eastAsia" w:asciiTheme="minorEastAsia" w:hAnsiTheme="minorEastAsia" w:eastAsiaTheme="minorEastAsia" w:cstheme="minorEastAsia"/>
                <w:kern w:val="0"/>
                <w:sz w:val="24"/>
                <w:szCs w:val="24"/>
                <w:highlight w:val="none"/>
                <w:lang w:val="en-US" w:eastAsia="zh-CN"/>
              </w:rPr>
              <w:t>59.575</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2383000.00</w:t>
            </w:r>
            <w:r>
              <w:rPr>
                <w:rFonts w:hint="eastAsia" w:asciiTheme="minorEastAsia" w:hAnsiTheme="minorEastAsia" w:eastAsiaTheme="minorEastAsia" w:cstheme="minorEastAsia"/>
                <w:kern w:val="0"/>
                <w:sz w:val="24"/>
                <w:szCs w:val="24"/>
                <w:highlight w:val="none"/>
              </w:rPr>
              <w:t>元）专门面向中小企业采购，其中</w:t>
            </w:r>
            <w:r>
              <w:rPr>
                <w:rFonts w:hint="eastAsia" w:asciiTheme="minorEastAsia" w:hAnsiTheme="minorEastAsia" w:eastAsiaTheme="minorEastAsia" w:cstheme="minorEastAsia"/>
                <w:kern w:val="0"/>
                <w:sz w:val="24"/>
                <w:szCs w:val="24"/>
                <w:highlight w:val="none"/>
                <w:lang w:val="en-US" w:eastAsia="zh-CN"/>
              </w:rPr>
              <w:t>2383000.00</w:t>
            </w:r>
            <w:r>
              <w:rPr>
                <w:rFonts w:hint="eastAsia" w:asciiTheme="minorEastAsia" w:hAnsiTheme="minorEastAsia" w:eastAsiaTheme="minorEastAsia" w:cstheme="minorEastAsia"/>
                <w:kern w:val="0"/>
                <w:sz w:val="24"/>
                <w:szCs w:val="24"/>
                <w:highlight w:val="none"/>
              </w:rPr>
              <w:t>元的</w:t>
            </w:r>
            <w:r>
              <w:rPr>
                <w:rFonts w:hint="eastAsia" w:asciiTheme="minorEastAsia" w:hAnsiTheme="minorEastAsia" w:eastAsiaTheme="minorEastAsia" w:cstheme="minorEastAsia"/>
                <w:kern w:val="0"/>
                <w:sz w:val="24"/>
                <w:szCs w:val="24"/>
                <w:highlight w:val="none"/>
                <w:lang w:val="en-US" w:eastAsia="zh-CN"/>
              </w:rPr>
              <w:t>60.00</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1429800.00</w:t>
            </w:r>
            <w:r>
              <w:rPr>
                <w:rFonts w:hint="eastAsia" w:asciiTheme="minorEastAsia" w:hAnsiTheme="minorEastAsia" w:eastAsiaTheme="minorEastAsia" w:cstheme="minorEastAsia"/>
                <w:kern w:val="0"/>
                <w:sz w:val="24"/>
                <w:szCs w:val="24"/>
                <w:highlight w:val="none"/>
              </w:rPr>
              <w:t>元）预留给小微企业采购</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对于预留份额，提供的货物由符合政策要求的小微企业制造；</w:t>
            </w:r>
            <w:r>
              <w:rPr>
                <w:rFonts w:hint="eastAsia" w:asciiTheme="minorEastAsia" w:hAnsiTheme="minorEastAsia" w:eastAsiaTheme="minorEastAsia" w:cstheme="minorEastAsia"/>
                <w:kern w:val="0"/>
                <w:sz w:val="24"/>
                <w:szCs w:val="24"/>
                <w:highlight w:val="none"/>
              </w:rPr>
              <w:t>如果供应商本身提</w:t>
            </w:r>
            <w:r>
              <w:rPr>
                <w:rFonts w:hint="eastAsia" w:asciiTheme="minorEastAsia" w:hAnsiTheme="minorEastAsia" w:eastAsiaTheme="minorEastAsia" w:cstheme="minorEastAsia"/>
                <w:kern w:val="0"/>
                <w:sz w:val="24"/>
                <w:szCs w:val="24"/>
                <w:highlight w:val="none"/>
                <w:lang w:eastAsia="zh-CN"/>
              </w:rPr>
              <w:t>供的</w:t>
            </w:r>
            <w:r>
              <w:rPr>
                <w:rFonts w:hint="eastAsia" w:asciiTheme="minorEastAsia" w:hAnsiTheme="minorEastAsia" w:eastAsiaTheme="minorEastAsia" w:cstheme="minorEastAsia"/>
                <w:kern w:val="0"/>
                <w:sz w:val="24"/>
                <w:szCs w:val="24"/>
                <w:highlight w:val="none"/>
              </w:rPr>
              <w:t>所有标的均由小微企业制造，视同符合了资格条件。</w:t>
            </w:r>
            <w:r>
              <w:rPr>
                <w:rFonts w:hint="eastAsia" w:asciiTheme="minorEastAsia" w:hAnsiTheme="minorEastAsia" w:eastAsiaTheme="minorEastAsia" w:cstheme="minorEastAsia"/>
                <w:kern w:val="0"/>
                <w:sz w:val="24"/>
                <w:szCs w:val="24"/>
                <w:highlight w:val="none"/>
                <w:lang w:val="en-US" w:eastAsia="zh-CN"/>
              </w:rPr>
              <w:t>中小企业参加政府采购活动，应当出具《政府采购促进中小企业发展管理办法》规定的《中小企业声明函》，否则不得享受相关中小企业扶持政策。</w:t>
            </w:r>
          </w:p>
          <w:p w14:paraId="62C26C29">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3.本项目的特定资格要求：无</w:t>
            </w:r>
          </w:p>
          <w:p w14:paraId="59CEE20A">
            <w:pPr>
              <w:spacing w:line="240" w:lineRule="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4.拒绝下述供应商参加本次采购活动</w:t>
            </w:r>
            <w:r>
              <w:rPr>
                <w:rFonts w:hint="eastAsia" w:asciiTheme="minorEastAsia" w:hAnsiTheme="minorEastAsia" w:eastAsiaTheme="minorEastAsia" w:cstheme="minorEastAsia"/>
                <w:kern w:val="0"/>
                <w:sz w:val="24"/>
                <w:szCs w:val="24"/>
                <w:highlight w:val="none"/>
                <w:lang w:eastAsia="zh-CN"/>
              </w:rPr>
              <w:t>：</w:t>
            </w:r>
          </w:p>
          <w:p w14:paraId="36858DC1">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4.1 供应商单位负责人为同一人或者存在直接控股、管理关系的不同供应商，不得参加同一合同项下的政府采购活动。</w:t>
            </w:r>
          </w:p>
          <w:p w14:paraId="56FF7D50">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4.2 凡为采购项目提供整体设计、规范编制或者项目管理、监理、检测等服务的供应商，不得再参加本项目的采购活动。</w:t>
            </w:r>
          </w:p>
          <w:p w14:paraId="781893B3">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 xml:space="preserve">4.3 </w:t>
            </w:r>
            <w:r>
              <w:rPr>
                <w:rFonts w:hint="eastAsia" w:asciiTheme="minorEastAsia" w:hAnsiTheme="minorEastAsia" w:eastAsiaTheme="minorEastAsia" w:cstheme="minorEastAsia"/>
                <w:kern w:val="0"/>
                <w:sz w:val="24"/>
                <w:szCs w:val="24"/>
                <w:highlight w:val="none"/>
                <w:lang w:eastAsia="zh-CN"/>
              </w:rPr>
              <w:t>凡拟参加本次投标的投标人，如在“信用中国”网站（WWW.creditchina.gov.cn）、中国政府采购网（www.ccgp.gov.cn）被列入失信被执行人、重大税收违法失信主体、政府采购严重违法失信行为记录名单的（尚在处罚期内的），将拒绝其参加本次政府采购活动；</w:t>
            </w:r>
          </w:p>
        </w:tc>
      </w:tr>
      <w:tr w14:paraId="2AD71A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76" w:type="dxa"/>
            <w:vAlign w:val="center"/>
          </w:tcPr>
          <w:p w14:paraId="6F3CD7C4">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第3.4款</w:t>
            </w:r>
          </w:p>
        </w:tc>
        <w:tc>
          <w:tcPr>
            <w:tcW w:w="1683" w:type="dxa"/>
            <w:tcBorders>
              <w:right w:val="single" w:color="auto" w:sz="4" w:space="0"/>
            </w:tcBorders>
            <w:vAlign w:val="center"/>
          </w:tcPr>
          <w:p w14:paraId="76BE59F8">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核心产品</w:t>
            </w:r>
          </w:p>
        </w:tc>
        <w:tc>
          <w:tcPr>
            <w:tcW w:w="6723" w:type="dxa"/>
            <w:tcBorders>
              <w:left w:val="single" w:color="auto" w:sz="4" w:space="0"/>
            </w:tcBorders>
            <w:vAlign w:val="center"/>
          </w:tcPr>
          <w:p w14:paraId="08AA11D9">
            <w:pPr>
              <w:pStyle w:val="65"/>
              <w:spacing w:line="24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拣选机器人</w:t>
            </w:r>
            <w:r>
              <w:rPr>
                <w:rFonts w:hint="eastAsia" w:asciiTheme="minorEastAsia" w:hAnsiTheme="minorEastAsia" w:eastAsiaTheme="minorEastAsia" w:cstheme="minorEastAsia"/>
                <w:color w:val="auto"/>
                <w:sz w:val="24"/>
                <w:szCs w:val="24"/>
                <w:highlight w:val="none"/>
                <w:lang w:eastAsia="zh-CN"/>
              </w:rPr>
              <w:t>；</w:t>
            </w:r>
          </w:p>
          <w:p w14:paraId="6E831C31">
            <w:pPr>
              <w:pStyle w:val="65"/>
              <w:spacing w:line="240" w:lineRule="auto"/>
              <w:jc w:val="both"/>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cs="Times New Roman"/>
                <w:i w:val="0"/>
                <w:iCs w:val="0"/>
                <w:color w:val="000000"/>
                <w:kern w:val="0"/>
                <w:sz w:val="24"/>
                <w:szCs w:val="24"/>
                <w:highlight w:val="none"/>
                <w:u w:val="none"/>
                <w:lang w:val="en-US" w:eastAsia="zh-CN" w:bidi="ar"/>
              </w:rPr>
              <w:t>2）</w:t>
            </w:r>
            <w:r>
              <w:rPr>
                <w:rFonts w:hint="default" w:ascii="Times New Roman" w:hAnsi="Times New Roman" w:eastAsia="宋体" w:cs="Times New Roman"/>
                <w:i w:val="0"/>
                <w:iCs w:val="0"/>
                <w:color w:val="000000"/>
                <w:kern w:val="0"/>
                <w:sz w:val="24"/>
                <w:szCs w:val="24"/>
                <w:highlight w:val="none"/>
                <w:u w:val="none"/>
                <w:lang w:val="en-US" w:eastAsia="zh-CN" w:bidi="ar"/>
              </w:rPr>
              <w:t>无人叉车</w:t>
            </w:r>
            <w:r>
              <w:rPr>
                <w:rFonts w:hint="eastAsia" w:cs="Times New Roman"/>
                <w:i w:val="0"/>
                <w:iCs w:val="0"/>
                <w:color w:val="000000"/>
                <w:kern w:val="0"/>
                <w:sz w:val="24"/>
                <w:szCs w:val="24"/>
                <w:highlight w:val="none"/>
                <w:u w:val="none"/>
                <w:lang w:val="en-US" w:eastAsia="zh-CN" w:bidi="ar"/>
              </w:rPr>
              <w:t>；</w:t>
            </w:r>
          </w:p>
          <w:p w14:paraId="3388C86C">
            <w:pPr>
              <w:pStyle w:val="65"/>
              <w:spacing w:line="24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跨境电商物流智能仓储3D交互式实训设备；</w:t>
            </w:r>
          </w:p>
          <w:p w14:paraId="669773E4">
            <w:pPr>
              <w:pStyle w:val="65"/>
              <w:spacing w:line="24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港口物流仓储3D交互式实训设备；</w:t>
            </w:r>
          </w:p>
          <w:p w14:paraId="41D5AB34">
            <w:pPr>
              <w:pStyle w:val="65"/>
              <w:spacing w:line="24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智能拣选设备维护与保养三维虚拟仿真互动设备。</w:t>
            </w:r>
          </w:p>
          <w:p w14:paraId="32B2E5BA">
            <w:pPr>
              <w:pStyle w:val="65"/>
              <w:spacing w:line="24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w:t>
            </w:r>
            <w:r>
              <w:rPr>
                <w:rFonts w:hint="eastAsia" w:asciiTheme="minorEastAsia" w:hAnsiTheme="minorEastAsia" w:eastAsiaTheme="minorEastAsia" w:cstheme="minorEastAsia"/>
                <w:color w:val="auto"/>
                <w:sz w:val="24"/>
                <w:szCs w:val="24"/>
                <w:highlight w:val="none"/>
                <w:lang w:val="en-US" w:eastAsia="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5842A7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76" w:type="dxa"/>
            <w:vAlign w:val="center"/>
          </w:tcPr>
          <w:p w14:paraId="2BD12459">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第6.1款</w:t>
            </w:r>
          </w:p>
        </w:tc>
        <w:tc>
          <w:tcPr>
            <w:tcW w:w="1683" w:type="dxa"/>
            <w:tcBorders>
              <w:right w:val="single" w:color="auto" w:sz="4" w:space="0"/>
            </w:tcBorders>
            <w:vAlign w:val="center"/>
          </w:tcPr>
          <w:p w14:paraId="3A7FB8BD">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联合体形式</w:t>
            </w:r>
          </w:p>
        </w:tc>
        <w:tc>
          <w:tcPr>
            <w:tcW w:w="6723" w:type="dxa"/>
            <w:tcBorders>
              <w:left w:val="single" w:color="auto" w:sz="4" w:space="0"/>
            </w:tcBorders>
            <w:vAlign w:val="center"/>
          </w:tcPr>
          <w:p w14:paraId="449A2DF1">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不接受</w:t>
            </w:r>
          </w:p>
        </w:tc>
      </w:tr>
      <w:tr w14:paraId="665616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76" w:type="dxa"/>
            <w:vAlign w:val="center"/>
          </w:tcPr>
          <w:p w14:paraId="64B3D3F3">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第6.2款</w:t>
            </w:r>
          </w:p>
        </w:tc>
        <w:tc>
          <w:tcPr>
            <w:tcW w:w="1683" w:type="dxa"/>
            <w:tcBorders>
              <w:right w:val="single" w:color="auto" w:sz="4" w:space="0"/>
            </w:tcBorders>
            <w:vAlign w:val="center"/>
          </w:tcPr>
          <w:p w14:paraId="66F7CDBF">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联合体的要求</w:t>
            </w:r>
          </w:p>
        </w:tc>
        <w:tc>
          <w:tcPr>
            <w:tcW w:w="6723" w:type="dxa"/>
            <w:tcBorders>
              <w:left w:val="single" w:color="auto" w:sz="4" w:space="0"/>
            </w:tcBorders>
            <w:vAlign w:val="center"/>
          </w:tcPr>
          <w:p w14:paraId="4D13ADCE">
            <w:pPr>
              <w:pStyle w:val="65"/>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w:t>
            </w:r>
          </w:p>
        </w:tc>
      </w:tr>
      <w:tr w14:paraId="1FD8FA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76" w:type="dxa"/>
            <w:vAlign w:val="center"/>
          </w:tcPr>
          <w:p w14:paraId="207D36D5">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第7.1款</w:t>
            </w:r>
          </w:p>
        </w:tc>
        <w:tc>
          <w:tcPr>
            <w:tcW w:w="1683" w:type="dxa"/>
            <w:tcBorders>
              <w:right w:val="single" w:color="auto" w:sz="4" w:space="0"/>
            </w:tcBorders>
            <w:vAlign w:val="center"/>
          </w:tcPr>
          <w:p w14:paraId="2F9A2238">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开标前答疑会</w:t>
            </w:r>
          </w:p>
        </w:tc>
        <w:tc>
          <w:tcPr>
            <w:tcW w:w="6723" w:type="dxa"/>
            <w:tcBorders>
              <w:left w:val="single" w:color="auto" w:sz="4" w:space="0"/>
            </w:tcBorders>
            <w:vAlign w:val="center"/>
          </w:tcPr>
          <w:p w14:paraId="5070C361">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不采用</w:t>
            </w:r>
          </w:p>
        </w:tc>
      </w:tr>
      <w:tr w14:paraId="25538E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76" w:type="dxa"/>
            <w:vAlign w:val="center"/>
          </w:tcPr>
          <w:p w14:paraId="78257959">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第11.1款</w:t>
            </w:r>
          </w:p>
        </w:tc>
        <w:tc>
          <w:tcPr>
            <w:tcW w:w="1683" w:type="dxa"/>
            <w:tcBorders>
              <w:right w:val="single" w:color="auto" w:sz="4" w:space="0"/>
            </w:tcBorders>
            <w:vAlign w:val="center"/>
          </w:tcPr>
          <w:p w14:paraId="5CFB3846">
            <w:pPr>
              <w:pStyle w:val="65"/>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6723" w:type="dxa"/>
            <w:tcBorders>
              <w:left w:val="single" w:color="auto" w:sz="4" w:space="0"/>
            </w:tcBorders>
            <w:vAlign w:val="center"/>
          </w:tcPr>
          <w:p w14:paraId="3975476C">
            <w:pPr>
              <w:pStyle w:val="65"/>
              <w:spacing w:line="240" w:lineRule="auto"/>
              <w:jc w:val="both"/>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 xml:space="preserve">:00 （北京时间） </w:t>
            </w:r>
          </w:p>
        </w:tc>
      </w:tr>
      <w:tr w14:paraId="0884CE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76" w:type="dxa"/>
            <w:vAlign w:val="center"/>
          </w:tcPr>
          <w:p w14:paraId="37CDC536">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第15.5款</w:t>
            </w:r>
          </w:p>
        </w:tc>
        <w:tc>
          <w:tcPr>
            <w:tcW w:w="1683" w:type="dxa"/>
            <w:tcBorders>
              <w:right w:val="single" w:color="auto" w:sz="4" w:space="0"/>
            </w:tcBorders>
            <w:vAlign w:val="center"/>
          </w:tcPr>
          <w:p w14:paraId="11278B7C">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w:t>
            </w:r>
          </w:p>
        </w:tc>
        <w:tc>
          <w:tcPr>
            <w:tcW w:w="6723" w:type="dxa"/>
            <w:tcBorders>
              <w:left w:val="single" w:color="auto" w:sz="4" w:space="0"/>
            </w:tcBorders>
            <w:vAlign w:val="center"/>
          </w:tcPr>
          <w:p w14:paraId="281C9317">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400</w:t>
            </w:r>
            <w:r>
              <w:rPr>
                <w:rFonts w:hint="eastAsia" w:asciiTheme="minorEastAsia" w:hAnsiTheme="minorEastAsia" w:eastAsiaTheme="minorEastAsia" w:cstheme="minorEastAsia"/>
                <w:b/>
                <w:bCs/>
                <w:color w:val="auto"/>
                <w:sz w:val="24"/>
                <w:szCs w:val="24"/>
                <w:highlight w:val="none"/>
              </w:rPr>
              <w:t>万元</w:t>
            </w:r>
          </w:p>
          <w:p w14:paraId="2C68DBD9">
            <w:pPr>
              <w:pStyle w:val="65"/>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注：投标报价时报价不得超过</w:t>
            </w:r>
            <w:r>
              <w:rPr>
                <w:rFonts w:hint="eastAsia" w:asciiTheme="minorEastAsia" w:hAnsiTheme="minorEastAsia" w:eastAsiaTheme="minorEastAsia" w:cstheme="minorEastAsia"/>
                <w:b/>
                <w:bCs/>
                <w:color w:val="auto"/>
                <w:sz w:val="24"/>
                <w:szCs w:val="24"/>
                <w:highlight w:val="none"/>
                <w:lang w:eastAsia="zh-CN"/>
              </w:rPr>
              <w:t>本项目</w:t>
            </w:r>
            <w:r>
              <w:rPr>
                <w:rFonts w:hint="eastAsia" w:asciiTheme="minorEastAsia" w:hAnsiTheme="minorEastAsia" w:eastAsiaTheme="minorEastAsia" w:cstheme="minorEastAsia"/>
                <w:b/>
                <w:bCs/>
                <w:color w:val="auto"/>
                <w:sz w:val="24"/>
                <w:szCs w:val="24"/>
                <w:highlight w:val="none"/>
              </w:rPr>
              <w:t>最高限价，超过按废标处理。</w:t>
            </w:r>
          </w:p>
        </w:tc>
      </w:tr>
      <w:tr w14:paraId="484D4A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76" w:type="dxa"/>
            <w:vAlign w:val="center"/>
          </w:tcPr>
          <w:p w14:paraId="056B2621">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第17.1款</w:t>
            </w:r>
          </w:p>
        </w:tc>
        <w:tc>
          <w:tcPr>
            <w:tcW w:w="1683" w:type="dxa"/>
            <w:tcBorders>
              <w:right w:val="single" w:color="auto" w:sz="4" w:space="0"/>
            </w:tcBorders>
            <w:vAlign w:val="center"/>
          </w:tcPr>
          <w:p w14:paraId="31933846">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投标保证金</w:t>
            </w:r>
          </w:p>
        </w:tc>
        <w:tc>
          <w:tcPr>
            <w:tcW w:w="6723" w:type="dxa"/>
            <w:tcBorders>
              <w:left w:val="single" w:color="auto" w:sz="4" w:space="0"/>
            </w:tcBorders>
            <w:vAlign w:val="center"/>
          </w:tcPr>
          <w:p w14:paraId="74109BB5">
            <w:pPr>
              <w:pStyle w:val="65"/>
              <w:spacing w:line="24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投标保证金金额：40000元（肆万元整）</w:t>
            </w:r>
          </w:p>
          <w:p w14:paraId="2BB9F52C">
            <w:pPr>
              <w:pStyle w:val="65"/>
              <w:spacing w:line="24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投标保证金有效期：90日历日（从投标截止之日算起）</w:t>
            </w:r>
          </w:p>
          <w:p w14:paraId="311C11D1">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收款单位名称：新疆元泓工程项目管理咨询有限公司</w:t>
            </w:r>
          </w:p>
          <w:p w14:paraId="70A63BA8">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开户行：交通银行股份有限公司乌鲁木齐青年路支行</w:t>
            </w:r>
          </w:p>
          <w:p w14:paraId="432112A3">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银行账号：86516510350188002000045</w:t>
            </w:r>
          </w:p>
          <w:p w14:paraId="07B4072D">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行    号：301881000198</w:t>
            </w:r>
          </w:p>
          <w:p w14:paraId="79242F52">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1、投标保证金形式：以银行转账、电汇、银行汇票、保函等非现金形式提交。不接受现金及任何个人汇款；采取支票、银行汇票、保函方式递交的，以实际递交至投标代理机构的时间为准，超过时限交纳投标保证金视为无效响应。</w:t>
            </w:r>
          </w:p>
          <w:p w14:paraId="21A4327F">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2、采用电子支付方式提交保证金的，在退还时，按原路退回，请各投标单位在响应文件中提供开户许可证或退款账户信息（包含</w:t>
            </w:r>
            <w:r>
              <w:rPr>
                <w:rFonts w:hint="eastAsia" w:asciiTheme="minorEastAsia" w:hAnsiTheme="minorEastAsia" w:eastAsiaTheme="minorEastAsia" w:cstheme="minorEastAsia"/>
                <w:sz w:val="24"/>
                <w:szCs w:val="24"/>
                <w:highlight w:val="none"/>
                <w:lang w:eastAsia="zh-CN"/>
              </w:rPr>
              <w:t>银行账号</w:t>
            </w:r>
            <w:r>
              <w:rPr>
                <w:rFonts w:hint="eastAsia" w:asciiTheme="minorEastAsia" w:hAnsiTheme="minorEastAsia" w:eastAsiaTheme="minorEastAsia" w:cstheme="minorEastAsia"/>
                <w:sz w:val="24"/>
                <w:szCs w:val="24"/>
                <w:highlight w:val="none"/>
              </w:rPr>
              <w:t>）。</w:t>
            </w:r>
          </w:p>
          <w:p w14:paraId="1407C1E1">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注：打款时须注明项目名称，未按以上要求办理保证金的，其保证金视为无效，采购人将拒绝其投标。</w:t>
            </w:r>
          </w:p>
        </w:tc>
      </w:tr>
      <w:tr w14:paraId="1C2908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76" w:type="dxa"/>
            <w:vAlign w:val="center"/>
          </w:tcPr>
          <w:p w14:paraId="18AFF75A">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第9.1款</w:t>
            </w:r>
          </w:p>
        </w:tc>
        <w:tc>
          <w:tcPr>
            <w:tcW w:w="1683" w:type="dxa"/>
            <w:tcBorders>
              <w:right w:val="single" w:color="auto" w:sz="4" w:space="0"/>
            </w:tcBorders>
            <w:vAlign w:val="center"/>
          </w:tcPr>
          <w:p w14:paraId="25B08685">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政府采购政策功能落实</w:t>
            </w:r>
          </w:p>
        </w:tc>
        <w:tc>
          <w:tcPr>
            <w:tcW w:w="6723" w:type="dxa"/>
            <w:tcBorders>
              <w:left w:val="single" w:color="auto" w:sz="4" w:space="0"/>
            </w:tcBorders>
            <w:vAlign w:val="center"/>
          </w:tcPr>
          <w:p w14:paraId="4CB2704A">
            <w:pPr>
              <w:spacing w:line="240" w:lineRule="auto"/>
              <w:rPr>
                <w:rFonts w:hint="eastAsia"/>
                <w:sz w:val="24"/>
                <w:szCs w:val="24"/>
                <w:highlight w:val="none"/>
              </w:rPr>
            </w:pPr>
            <w:r>
              <w:rPr>
                <w:rFonts w:hint="eastAsia"/>
                <w:sz w:val="24"/>
                <w:szCs w:val="24"/>
                <w:highlight w:val="none"/>
              </w:rPr>
              <w:t>节约能源、保护环境、扶持不发达地区和少数民族地区、促进中小企业发展等政府采购政策。</w:t>
            </w:r>
          </w:p>
          <w:p w14:paraId="7F0127D2">
            <w:pPr>
              <w:spacing w:line="240" w:lineRule="auto"/>
              <w:rPr>
                <w:rFonts w:hint="eastAsia"/>
                <w:sz w:val="24"/>
                <w:szCs w:val="24"/>
                <w:highlight w:val="none"/>
              </w:rPr>
            </w:pPr>
            <w:r>
              <w:rPr>
                <w:rFonts w:hint="eastAsia"/>
                <w:sz w:val="24"/>
                <w:szCs w:val="24"/>
                <w:highlight w:val="none"/>
              </w:rPr>
              <w:t>1、本项目为</w:t>
            </w:r>
            <w:r>
              <w:rPr>
                <w:rFonts w:hint="eastAsia"/>
                <w:b/>
                <w:bCs/>
                <w:sz w:val="24"/>
                <w:szCs w:val="24"/>
                <w:highlight w:val="none"/>
                <w:u w:val="single"/>
              </w:rPr>
              <w:t>非专门</w:t>
            </w:r>
            <w:r>
              <w:rPr>
                <w:rFonts w:hint="eastAsia"/>
                <w:sz w:val="24"/>
                <w:szCs w:val="24"/>
                <w:highlight w:val="none"/>
              </w:rPr>
              <w:t>面向中小企业采购项目</w:t>
            </w:r>
            <w:r>
              <w:rPr>
                <w:rFonts w:hint="eastAsia"/>
                <w:sz w:val="24"/>
                <w:szCs w:val="24"/>
                <w:highlight w:val="none"/>
                <w:lang w:val="en-US" w:eastAsia="zh-CN"/>
              </w:rPr>
              <w:t>,</w:t>
            </w:r>
            <w:r>
              <w:rPr>
                <w:rFonts w:hint="eastAsia"/>
                <w:sz w:val="24"/>
                <w:szCs w:val="24"/>
                <w:highlight w:val="none"/>
              </w:rPr>
              <w:t>对于</w:t>
            </w:r>
            <w:r>
              <w:rPr>
                <w:rFonts w:hint="eastAsia"/>
                <w:b/>
                <w:bCs/>
                <w:sz w:val="24"/>
                <w:szCs w:val="24"/>
                <w:highlight w:val="none"/>
                <w:u w:val="single"/>
              </w:rPr>
              <w:t>非专门</w:t>
            </w:r>
            <w:r>
              <w:rPr>
                <w:rFonts w:hint="eastAsia"/>
                <w:sz w:val="24"/>
                <w:szCs w:val="24"/>
                <w:highlight w:val="none"/>
              </w:rPr>
              <w:t>面向中小企业的项目，对小型和微型企业（或联合体各方均为小型、</w:t>
            </w:r>
          </w:p>
          <w:p w14:paraId="20F5DC02">
            <w:pPr>
              <w:spacing w:line="240" w:lineRule="auto"/>
              <w:rPr>
                <w:rFonts w:hint="eastAsia" w:ascii="Times New Roman" w:hAnsi="Times New Roman" w:eastAsia="宋体" w:cs="Times New Roman"/>
                <w:sz w:val="24"/>
                <w:szCs w:val="24"/>
                <w:highlight w:val="none"/>
                <w:lang w:val="en-US" w:eastAsia="zh-CN"/>
              </w:rPr>
            </w:pPr>
            <w:r>
              <w:rPr>
                <w:rFonts w:hint="eastAsia"/>
                <w:sz w:val="24"/>
                <w:szCs w:val="24"/>
                <w:highlight w:val="none"/>
              </w:rPr>
              <w:t>微型企业的，残疾人福利性单位、监狱企业视为小微企业）产品的价格给予10%</w:t>
            </w:r>
            <w:r>
              <w:rPr>
                <w:rFonts w:hint="eastAsia" w:ascii="Times New Roman" w:hAnsi="Times New Roman" w:eastAsia="宋体" w:cs="Times New Roman"/>
                <w:sz w:val="24"/>
                <w:szCs w:val="24"/>
                <w:highlight w:val="none"/>
              </w:rPr>
              <w:t>的扣除，用扣除后的价格参与价格的评审。</w:t>
            </w:r>
            <w:r>
              <w:rPr>
                <w:rFonts w:hint="eastAsia" w:ascii="Times New Roman" w:hAnsi="Times New Roman" w:eastAsia="宋体" w:cs="Times New Roman"/>
                <w:sz w:val="24"/>
                <w:szCs w:val="24"/>
                <w:highlight w:val="none"/>
                <w:lang w:val="en-US" w:eastAsia="zh-CN"/>
              </w:rPr>
              <w:t>本项目属于预留部分采购金额专门面向中小企业采购的项目，</w:t>
            </w:r>
            <w:r>
              <w:rPr>
                <w:rFonts w:hint="default" w:ascii="Times New Roman" w:hAnsi="Times New Roman" w:eastAsia="宋体" w:cs="Times New Roman"/>
                <w:sz w:val="24"/>
                <w:szCs w:val="24"/>
                <w:highlight w:val="none"/>
                <w:lang w:val="en-US" w:eastAsia="zh-CN"/>
              </w:rPr>
              <w:t>评审时不应再进行价格比例扣除优惠。</w:t>
            </w:r>
            <w:r>
              <w:rPr>
                <w:rFonts w:hint="eastAsia" w:ascii="Times New Roman" w:hAnsi="Times New Roman" w:eastAsia="宋体" w:cs="Times New Roman"/>
                <w:sz w:val="24"/>
                <w:szCs w:val="24"/>
                <w:highlight w:val="none"/>
              </w:rPr>
              <w:t>监狱企业、残疾人福利性单位视同为小微企业。</w:t>
            </w:r>
          </w:p>
          <w:p w14:paraId="163A0390">
            <w:pPr>
              <w:pStyle w:val="30"/>
              <w:spacing w:line="240" w:lineRule="auto"/>
              <w:rPr>
                <w:rFonts w:hint="eastAsia" w:ascii="宋体" w:hAnsi="宋体"/>
                <w:sz w:val="24"/>
                <w:szCs w:val="24"/>
                <w:highlight w:val="none"/>
              </w:rPr>
            </w:pPr>
            <w:r>
              <w:rPr>
                <w:rFonts w:hint="eastAsia" w:ascii="宋体" w:hAnsi="宋体"/>
                <w:sz w:val="24"/>
                <w:szCs w:val="24"/>
                <w:highlight w:val="none"/>
              </w:rPr>
              <w:t>（1）符合中小企业政府采购政策的证明材料：投标人《中小企业声明函》或残疾人福利性单位声明函或监狱企业证明文件；</w:t>
            </w:r>
          </w:p>
          <w:p w14:paraId="0C03F8C8">
            <w:pPr>
              <w:spacing w:line="240" w:lineRule="auto"/>
              <w:rPr>
                <w:rFonts w:hint="eastAsia"/>
                <w:sz w:val="24"/>
                <w:szCs w:val="24"/>
                <w:highlight w:val="none"/>
              </w:rPr>
            </w:pPr>
            <w:r>
              <w:rPr>
                <w:rFonts w:hint="eastAsia"/>
                <w:sz w:val="24"/>
                <w:szCs w:val="24"/>
                <w:highlight w:val="none"/>
              </w:rPr>
              <w:t>（2）投标人出具的中小企业声明函不属于采购标的所属行业，则不具备符合本项目的中小企业资格。对于专门面向中小企业的项目，不具备中小企业资格，不通过资格审查。对于非专门面向中小企业的项目，不具备中小企业资格，不享受中小企业评审优惠。</w:t>
            </w:r>
          </w:p>
          <w:p w14:paraId="65824132">
            <w:pPr>
              <w:spacing w:line="240" w:lineRule="auto"/>
              <w:rPr>
                <w:rFonts w:hint="eastAsia"/>
                <w:sz w:val="24"/>
                <w:szCs w:val="24"/>
                <w:highlight w:val="none"/>
              </w:rPr>
            </w:pPr>
            <w:r>
              <w:rPr>
                <w:rFonts w:hint="eastAsia"/>
                <w:sz w:val="24"/>
                <w:szCs w:val="24"/>
                <w:highlight w:val="none"/>
              </w:rPr>
              <w:t>2、政府采购强制采购：标记★符号的节能产品：</w:t>
            </w:r>
          </w:p>
          <w:p w14:paraId="47A94DC5">
            <w:pPr>
              <w:spacing w:line="240" w:lineRule="auto"/>
              <w:rPr>
                <w:rFonts w:hint="eastAsia"/>
                <w:sz w:val="24"/>
                <w:szCs w:val="24"/>
                <w:highlight w:val="none"/>
              </w:rPr>
            </w:pPr>
            <w:r>
              <w:rPr>
                <w:rFonts w:hint="eastAsia"/>
                <w:sz w:val="24"/>
                <w:szCs w:val="24"/>
                <w:highlight w:val="none"/>
              </w:rPr>
              <w:t>符合《节能产品政府采购品目清单》内并获得认证的强制采购节能产品。</w:t>
            </w:r>
          </w:p>
          <w:p w14:paraId="3ADE30FD">
            <w:pPr>
              <w:spacing w:line="240" w:lineRule="auto"/>
              <w:rPr>
                <w:rFonts w:hint="eastAsia"/>
                <w:sz w:val="24"/>
                <w:szCs w:val="24"/>
                <w:highlight w:val="none"/>
              </w:rPr>
            </w:pPr>
            <w:r>
              <w:rPr>
                <w:rFonts w:hint="eastAsia"/>
                <w:sz w:val="24"/>
                <w:szCs w:val="24"/>
                <w:highlight w:val="none"/>
              </w:rPr>
              <w:t>3、政府采购优先采购：(1)非标记★符号的节能产品；(2)环境标志产品；</w:t>
            </w:r>
          </w:p>
          <w:p w14:paraId="17FA67B4">
            <w:pPr>
              <w:spacing w:line="240" w:lineRule="auto"/>
              <w:rPr>
                <w:rFonts w:hint="eastAsia"/>
                <w:sz w:val="24"/>
                <w:szCs w:val="24"/>
                <w:highlight w:val="none"/>
              </w:rPr>
            </w:pPr>
            <w:r>
              <w:rPr>
                <w:rFonts w:hint="eastAsia"/>
                <w:sz w:val="24"/>
                <w:szCs w:val="24"/>
                <w:highlight w:val="none"/>
              </w:rPr>
              <w:t>采购产品为《节能产品政府采购品目清单》内并获得认证非标记★符号的节能产品及《环境标志产品政府采购品目清单》内并获得认证的产品：</w:t>
            </w:r>
          </w:p>
          <w:p w14:paraId="016ACF63">
            <w:pPr>
              <w:autoSpaceDE w:val="0"/>
              <w:autoSpaceDN w:val="0"/>
              <w:adjustRightInd w:val="0"/>
              <w:snapToGrid w:val="0"/>
              <w:spacing w:line="240" w:lineRule="auto"/>
              <w:jc w:val="left"/>
              <w:rPr>
                <w:rFonts w:hint="eastAsia" w:asciiTheme="minorEastAsia" w:hAnsiTheme="minorEastAsia" w:eastAsiaTheme="minorEastAsia" w:cstheme="minorEastAsia"/>
                <w:kern w:val="0"/>
                <w:sz w:val="24"/>
                <w:szCs w:val="24"/>
                <w:highlight w:val="none"/>
                <w:lang w:eastAsia="zh-CN"/>
              </w:rPr>
            </w:pPr>
            <w:r>
              <w:rPr>
                <w:rFonts w:hint="eastAsia"/>
                <w:sz w:val="24"/>
                <w:szCs w:val="24"/>
                <w:highlight w:val="none"/>
              </w:rPr>
              <w:t>投标文件中对所供产品为节能、环境标志产品清单中的产品，须在节能、环境标志产品优惠明细表中列明并按要求提供证明材料，否则不予认定。</w:t>
            </w:r>
          </w:p>
        </w:tc>
      </w:tr>
      <w:tr w14:paraId="075D06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76" w:type="dxa"/>
            <w:vAlign w:val="center"/>
          </w:tcPr>
          <w:p w14:paraId="6D5CC61D">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第18.1款</w:t>
            </w:r>
          </w:p>
        </w:tc>
        <w:tc>
          <w:tcPr>
            <w:tcW w:w="1683" w:type="dxa"/>
            <w:tcBorders>
              <w:right w:val="single" w:color="auto" w:sz="4" w:space="0"/>
            </w:tcBorders>
            <w:vAlign w:val="center"/>
          </w:tcPr>
          <w:p w14:paraId="2FB3B4DA">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6723" w:type="dxa"/>
            <w:tcBorders>
              <w:left w:val="single" w:color="auto" w:sz="4" w:space="0"/>
            </w:tcBorders>
            <w:vAlign w:val="center"/>
          </w:tcPr>
          <w:p w14:paraId="728ED54C">
            <w:pPr>
              <w:pStyle w:val="65"/>
              <w:spacing w:line="240" w:lineRule="auto"/>
              <w:jc w:val="both"/>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b/>
                <w:bCs/>
                <w:color w:val="auto"/>
                <w:sz w:val="24"/>
                <w:szCs w:val="24"/>
                <w:highlight w:val="none"/>
              </w:rPr>
              <w:t>90</w:t>
            </w:r>
            <w:r>
              <w:rPr>
                <w:rFonts w:hint="eastAsia" w:asciiTheme="minorEastAsia" w:hAnsiTheme="minorEastAsia" w:eastAsiaTheme="minorEastAsia" w:cstheme="minorEastAsia"/>
                <w:color w:val="auto"/>
                <w:sz w:val="24"/>
                <w:szCs w:val="24"/>
                <w:highlight w:val="none"/>
              </w:rPr>
              <w:t>个日历日</w:t>
            </w:r>
          </w:p>
        </w:tc>
      </w:tr>
      <w:tr w14:paraId="212A29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76" w:type="dxa"/>
            <w:vAlign w:val="center"/>
          </w:tcPr>
          <w:p w14:paraId="7CB3B75C">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第19.1款</w:t>
            </w:r>
          </w:p>
        </w:tc>
        <w:tc>
          <w:tcPr>
            <w:tcW w:w="1683" w:type="dxa"/>
            <w:tcBorders>
              <w:right w:val="single" w:color="auto" w:sz="4" w:space="0"/>
            </w:tcBorders>
            <w:vAlign w:val="center"/>
          </w:tcPr>
          <w:p w14:paraId="378E6619">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投标文件份数</w:t>
            </w:r>
          </w:p>
        </w:tc>
        <w:tc>
          <w:tcPr>
            <w:tcW w:w="6723" w:type="dxa"/>
            <w:tcBorders>
              <w:left w:val="single" w:color="auto" w:sz="4" w:space="0"/>
            </w:tcBorders>
            <w:vAlign w:val="center"/>
          </w:tcPr>
          <w:p w14:paraId="5C6C883E">
            <w:pPr>
              <w:autoSpaceDE w:val="0"/>
              <w:autoSpaceDN w:val="0"/>
              <w:adjustRightInd w:val="0"/>
              <w:snapToGrid w:val="0"/>
              <w:spacing w:line="24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sym w:font="Wingdings 2" w:char="0052"/>
            </w:r>
            <w:r>
              <w:rPr>
                <w:rFonts w:hint="eastAsia" w:asciiTheme="minorEastAsia" w:hAnsiTheme="minorEastAsia" w:eastAsiaTheme="minorEastAsia" w:cstheme="minorEastAsia"/>
                <w:kern w:val="0"/>
                <w:sz w:val="24"/>
                <w:szCs w:val="24"/>
                <w:highlight w:val="none"/>
              </w:rPr>
              <w:t>采用不见面开标：</w:t>
            </w:r>
          </w:p>
          <w:p w14:paraId="0311A95A">
            <w:pPr>
              <w:autoSpaceDE w:val="0"/>
              <w:autoSpaceDN w:val="0"/>
              <w:adjustRightInd w:val="0"/>
              <w:snapToGrid w:val="0"/>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1．本项目采用不见面开标、投标人需通过“政采云电子交易客户端”完成投标文件编制，并将加密的电子投标文件（格式为.PDF），在投标截止时间前通过政采云平台上传到指定位置。无需递交纸质文件。</w:t>
            </w:r>
          </w:p>
          <w:p w14:paraId="24A2097D">
            <w:pPr>
              <w:autoSpaceDE w:val="0"/>
              <w:autoSpaceDN w:val="0"/>
              <w:adjustRightInd w:val="0"/>
              <w:snapToGrid w:val="0"/>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本项目采用远程不见面交易的模式。开标当日，投标人无需到达开标现场，仅需在任意地点通过政采云平台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0C5E8E99">
            <w:pPr>
              <w:autoSpaceDE w:val="0"/>
              <w:autoSpaceDN w:val="0"/>
              <w:adjustRightInd w:val="0"/>
              <w:snapToGrid w:val="0"/>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3.远程开标前，投标人务必在政采云平台https://www.zcygov.cn/投标文件上传模块中使用“模拟解密”功能，验证本机远程自助解密环境。</w:t>
            </w:r>
          </w:p>
          <w:p w14:paraId="228715D3">
            <w:pPr>
              <w:autoSpaceDE w:val="0"/>
              <w:autoSpaceDN w:val="0"/>
              <w:adjustRightInd w:val="0"/>
              <w:snapToGrid w:val="0"/>
              <w:spacing w:line="240" w:lineRule="auto"/>
              <w:jc w:val="left"/>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sz w:val="24"/>
                <w:szCs w:val="24"/>
                <w:highlight w:val="none"/>
              </w:rPr>
              <w:t>注：投标人在开标时须自行准备硬件设备及CA数字证书，硬件设备须提前配置好相关浏览器（建议使用360或谷歌浏览器），并自行调试设备联网，以便开标时解密。本项目投标文件解密时间定为30分钟，如因自身原因导致无法按规定时间正常解密，一切后果由投标人自行承担。</w:t>
            </w:r>
          </w:p>
        </w:tc>
      </w:tr>
      <w:tr w14:paraId="7EB963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1176" w:type="dxa"/>
            <w:vAlign w:val="center"/>
          </w:tcPr>
          <w:p w14:paraId="67821052">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第20.2款</w:t>
            </w:r>
          </w:p>
        </w:tc>
        <w:tc>
          <w:tcPr>
            <w:tcW w:w="1683" w:type="dxa"/>
            <w:tcBorders>
              <w:right w:val="single" w:color="auto" w:sz="4" w:space="0"/>
            </w:tcBorders>
            <w:vAlign w:val="center"/>
          </w:tcPr>
          <w:p w14:paraId="73529607">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封套上应载明的信息</w:t>
            </w:r>
          </w:p>
        </w:tc>
        <w:tc>
          <w:tcPr>
            <w:tcW w:w="6723" w:type="dxa"/>
            <w:tcBorders>
              <w:left w:val="single" w:color="auto" w:sz="4" w:space="0"/>
            </w:tcBorders>
            <w:vAlign w:val="center"/>
          </w:tcPr>
          <w:p w14:paraId="15069654">
            <w:pPr>
              <w:pStyle w:val="65"/>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14:paraId="7FE72F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1176" w:type="dxa"/>
            <w:vAlign w:val="center"/>
          </w:tcPr>
          <w:p w14:paraId="103FD061">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第22.1款</w:t>
            </w:r>
          </w:p>
        </w:tc>
        <w:tc>
          <w:tcPr>
            <w:tcW w:w="1683" w:type="dxa"/>
            <w:tcBorders>
              <w:right w:val="single" w:color="auto" w:sz="4" w:space="0"/>
            </w:tcBorders>
            <w:vAlign w:val="center"/>
          </w:tcPr>
          <w:p w14:paraId="239F9CD3">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投标文件的递交地点</w:t>
            </w:r>
          </w:p>
        </w:tc>
        <w:tc>
          <w:tcPr>
            <w:tcW w:w="6723" w:type="dxa"/>
            <w:tcBorders>
              <w:left w:val="single" w:color="auto" w:sz="4" w:space="0"/>
            </w:tcBorders>
            <w:vAlign w:val="center"/>
          </w:tcPr>
          <w:p w14:paraId="796213AD">
            <w:pPr>
              <w:pStyle w:val="65"/>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（政采云（https://www.zcygov.cn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不见面开标大厅）</w:t>
            </w:r>
          </w:p>
        </w:tc>
      </w:tr>
      <w:tr w14:paraId="1B96FA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176" w:type="dxa"/>
            <w:vAlign w:val="center"/>
          </w:tcPr>
          <w:p w14:paraId="6F35B2D1">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第23.1款</w:t>
            </w:r>
          </w:p>
        </w:tc>
        <w:tc>
          <w:tcPr>
            <w:tcW w:w="1683" w:type="dxa"/>
            <w:tcBorders>
              <w:right w:val="single" w:color="auto" w:sz="4" w:space="0"/>
            </w:tcBorders>
            <w:vAlign w:val="center"/>
          </w:tcPr>
          <w:p w14:paraId="104345D3">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p>
        </w:tc>
        <w:tc>
          <w:tcPr>
            <w:tcW w:w="6723" w:type="dxa"/>
            <w:tcBorders>
              <w:left w:val="single" w:color="auto" w:sz="4" w:space="0"/>
            </w:tcBorders>
            <w:vAlign w:val="center"/>
          </w:tcPr>
          <w:p w14:paraId="7257A78F">
            <w:pPr>
              <w:pStyle w:val="65"/>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06月25</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:00 （北京时间）</w:t>
            </w:r>
          </w:p>
        </w:tc>
      </w:tr>
      <w:tr w14:paraId="70E9D7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76" w:type="dxa"/>
            <w:vAlign w:val="center"/>
          </w:tcPr>
          <w:p w14:paraId="4A949E0A">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第25.1款</w:t>
            </w:r>
          </w:p>
        </w:tc>
        <w:tc>
          <w:tcPr>
            <w:tcW w:w="1683" w:type="dxa"/>
            <w:tcBorders>
              <w:right w:val="single" w:color="auto" w:sz="4" w:space="0"/>
            </w:tcBorders>
            <w:vAlign w:val="center"/>
          </w:tcPr>
          <w:p w14:paraId="6BF73044">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评标办法</w:t>
            </w:r>
          </w:p>
        </w:tc>
        <w:tc>
          <w:tcPr>
            <w:tcW w:w="6723" w:type="dxa"/>
            <w:tcBorders>
              <w:left w:val="single" w:color="auto" w:sz="4" w:space="0"/>
            </w:tcBorders>
            <w:vAlign w:val="center"/>
          </w:tcPr>
          <w:p w14:paraId="511A1AAA">
            <w:pPr>
              <w:pStyle w:val="65"/>
              <w:spacing w:line="240" w:lineRule="auto"/>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b/>
                <w:bCs/>
                <w:color w:val="auto"/>
                <w:sz w:val="24"/>
                <w:szCs w:val="24"/>
                <w:highlight w:val="none"/>
              </w:rPr>
              <w:t>综合评分法</w:t>
            </w:r>
          </w:p>
        </w:tc>
      </w:tr>
      <w:tr w14:paraId="008B5C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1" w:hRule="atLeast"/>
          <w:jc w:val="center"/>
        </w:trPr>
        <w:tc>
          <w:tcPr>
            <w:tcW w:w="1176" w:type="dxa"/>
            <w:vAlign w:val="center"/>
          </w:tcPr>
          <w:p w14:paraId="467F9452">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第26.3款</w:t>
            </w:r>
          </w:p>
        </w:tc>
        <w:tc>
          <w:tcPr>
            <w:tcW w:w="1683" w:type="dxa"/>
            <w:tcBorders>
              <w:right w:val="single" w:color="auto" w:sz="4" w:space="0"/>
            </w:tcBorders>
            <w:vAlign w:val="center"/>
          </w:tcPr>
          <w:p w14:paraId="30D2BF35">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推荐的中标候选人数量</w:t>
            </w:r>
          </w:p>
        </w:tc>
        <w:tc>
          <w:tcPr>
            <w:tcW w:w="6723" w:type="dxa"/>
            <w:tcBorders>
              <w:left w:val="single" w:color="auto" w:sz="4" w:space="0"/>
            </w:tcBorders>
            <w:vAlign w:val="center"/>
          </w:tcPr>
          <w:p w14:paraId="318F27F2">
            <w:pPr>
              <w:pStyle w:val="65"/>
              <w:spacing w:line="240" w:lineRule="auto"/>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auto"/>
                <w:sz w:val="24"/>
                <w:szCs w:val="24"/>
                <w:highlight w:val="none"/>
              </w:rPr>
              <w:t>不少于3个</w:t>
            </w:r>
          </w:p>
        </w:tc>
      </w:tr>
      <w:tr w14:paraId="5ADFD0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5" w:hRule="atLeast"/>
          <w:jc w:val="center"/>
        </w:trPr>
        <w:tc>
          <w:tcPr>
            <w:tcW w:w="1176" w:type="dxa"/>
            <w:vAlign w:val="center"/>
          </w:tcPr>
          <w:p w14:paraId="6FE6A60F">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第30.1款</w:t>
            </w:r>
          </w:p>
        </w:tc>
        <w:tc>
          <w:tcPr>
            <w:tcW w:w="1683" w:type="dxa"/>
            <w:tcBorders>
              <w:right w:val="single" w:color="auto" w:sz="4" w:space="0"/>
            </w:tcBorders>
            <w:vAlign w:val="center"/>
          </w:tcPr>
          <w:p w14:paraId="451B7DF2">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财政部门指定的媒体</w:t>
            </w:r>
          </w:p>
        </w:tc>
        <w:tc>
          <w:tcPr>
            <w:tcW w:w="6723" w:type="dxa"/>
            <w:tcBorders>
              <w:left w:val="single" w:color="auto" w:sz="4" w:space="0"/>
            </w:tcBorders>
            <w:vAlign w:val="center"/>
          </w:tcPr>
          <w:p w14:paraId="0BCBAEA8">
            <w:pPr>
              <w:pStyle w:val="65"/>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新疆政府采购网    </w:t>
            </w:r>
          </w:p>
        </w:tc>
      </w:tr>
      <w:tr w14:paraId="655DF3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3" w:hRule="atLeast"/>
          <w:jc w:val="center"/>
        </w:trPr>
        <w:tc>
          <w:tcPr>
            <w:tcW w:w="1176" w:type="dxa"/>
            <w:vAlign w:val="center"/>
          </w:tcPr>
          <w:p w14:paraId="6F9523A2">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第32.3款</w:t>
            </w:r>
          </w:p>
        </w:tc>
        <w:tc>
          <w:tcPr>
            <w:tcW w:w="1683" w:type="dxa"/>
            <w:tcBorders>
              <w:right w:val="single" w:color="auto" w:sz="4" w:space="0"/>
            </w:tcBorders>
            <w:vAlign w:val="center"/>
          </w:tcPr>
          <w:p w14:paraId="4C35A45B">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付款方式</w:t>
            </w:r>
          </w:p>
        </w:tc>
        <w:tc>
          <w:tcPr>
            <w:tcW w:w="6723" w:type="dxa"/>
            <w:tcBorders>
              <w:left w:val="single" w:color="auto" w:sz="4" w:space="0"/>
            </w:tcBorders>
            <w:vAlign w:val="center"/>
          </w:tcPr>
          <w:p w14:paraId="2384394C">
            <w:pPr>
              <w:spacing w:line="24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项目签订合同后支付合同价款的30%作为预付款，在规定时间内将货物送达指定地点，甲方核验无误后，支付至合同价格的</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5%，设备安装、调试完成，正常运行并经甲方验收合格后支付至合同价格的97%，剩余3%质保期满后支付</w:t>
            </w:r>
            <w:r>
              <w:rPr>
                <w:rFonts w:hint="eastAsia" w:asciiTheme="minorEastAsia" w:hAnsiTheme="minorEastAsia" w:eastAsiaTheme="minorEastAsia" w:cstheme="minorEastAsia"/>
                <w:sz w:val="24"/>
                <w:szCs w:val="24"/>
                <w:highlight w:val="none"/>
                <w:lang w:eastAsia="zh-CN"/>
              </w:rPr>
              <w:t>。</w:t>
            </w:r>
          </w:p>
        </w:tc>
      </w:tr>
      <w:tr w14:paraId="58C5B6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 w:hRule="atLeast"/>
          <w:jc w:val="center"/>
        </w:trPr>
        <w:tc>
          <w:tcPr>
            <w:tcW w:w="9582" w:type="dxa"/>
            <w:gridSpan w:val="3"/>
            <w:vAlign w:val="center"/>
          </w:tcPr>
          <w:p w14:paraId="32EEB264">
            <w:pPr>
              <w:pStyle w:val="65"/>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其他规定</w:t>
            </w:r>
          </w:p>
        </w:tc>
      </w:tr>
      <w:tr w14:paraId="3916AA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76" w:type="dxa"/>
            <w:vAlign w:val="center"/>
          </w:tcPr>
          <w:p w14:paraId="2FBEA3EC">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第35.1款</w:t>
            </w:r>
          </w:p>
        </w:tc>
        <w:tc>
          <w:tcPr>
            <w:tcW w:w="1683" w:type="dxa"/>
            <w:tcBorders>
              <w:right w:val="single" w:color="auto" w:sz="4" w:space="0"/>
            </w:tcBorders>
            <w:vAlign w:val="center"/>
          </w:tcPr>
          <w:p w14:paraId="406B4F02">
            <w:pPr>
              <w:pStyle w:val="65"/>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采购代理服务费</w:t>
            </w:r>
          </w:p>
        </w:tc>
        <w:tc>
          <w:tcPr>
            <w:tcW w:w="6723" w:type="dxa"/>
            <w:tcBorders>
              <w:left w:val="single" w:color="auto" w:sz="4" w:space="0"/>
            </w:tcBorders>
            <w:vAlign w:val="center"/>
          </w:tcPr>
          <w:p w14:paraId="6C37531C">
            <w:pPr>
              <w:numPr>
                <w:ilvl w:val="0"/>
                <w:numId w:val="0"/>
              </w:numPr>
              <w:spacing w:line="240" w:lineRule="auto"/>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中标单位在收到中标通知书后，须向新疆元泓工程项目管理咨询有限公司支付代理服务费。</w:t>
            </w:r>
          </w:p>
          <w:p w14:paraId="58561740">
            <w:pPr>
              <w:numPr>
                <w:ilvl w:val="0"/>
                <w:numId w:val="0"/>
              </w:numPr>
              <w:spacing w:line="240" w:lineRule="auto"/>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代理服务收费标准：参照原《国家计委关于印发〈招标代理服务收费管理暂行办法〉的通知》（计价格[2002] 1980号文）和《国家发展改革委办公厅关于招标代理服务收费有关问题的通知》（发改办价格[2003] 857号文）中标金额下浮40%的收费标准计算招标代理服务费，由中标人在收到中标通知书时，向新疆元泓工程项目管理咨询有限公司支付中标服务费。</w:t>
            </w:r>
          </w:p>
          <w:p w14:paraId="4B3F798C">
            <w:pPr>
              <w:numPr>
                <w:ilvl w:val="0"/>
                <w:numId w:val="0"/>
              </w:numPr>
              <w:spacing w:line="240" w:lineRule="auto"/>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计算公式：0-100万元*1.5%+（中标价-100万元）*1.1%。</w:t>
            </w:r>
          </w:p>
          <w:p w14:paraId="7C465F1D">
            <w:pPr>
              <w:numPr>
                <w:ilvl w:val="0"/>
                <w:numId w:val="0"/>
              </w:numPr>
              <w:spacing w:line="240" w:lineRule="auto"/>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缴纳成交服务费银行账户信息：</w:t>
            </w:r>
          </w:p>
          <w:p w14:paraId="47CC8FB9">
            <w:pPr>
              <w:numPr>
                <w:ilvl w:val="0"/>
                <w:numId w:val="0"/>
              </w:numPr>
              <w:spacing w:line="240" w:lineRule="auto"/>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账户名称：新疆元泓工程项目管理咨询有限公司</w:t>
            </w:r>
          </w:p>
          <w:p w14:paraId="7C2D1CE8">
            <w:pPr>
              <w:numPr>
                <w:ilvl w:val="0"/>
                <w:numId w:val="0"/>
              </w:numPr>
              <w:spacing w:line="240" w:lineRule="auto"/>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账户号码：0000002421121900037357</w:t>
            </w:r>
          </w:p>
          <w:p w14:paraId="02693DD5">
            <w:pPr>
              <w:numPr>
                <w:ilvl w:val="0"/>
                <w:numId w:val="0"/>
              </w:numPr>
              <w:spacing w:line="240" w:lineRule="auto"/>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开户银行：乌鲁木齐银行开发支行</w:t>
            </w:r>
          </w:p>
          <w:p w14:paraId="366CC2F8">
            <w:pPr>
              <w:pStyle w:val="65"/>
              <w:spacing w:line="240" w:lineRule="auto"/>
              <w:jc w:val="both"/>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pacing w:val="8"/>
                <w:kern w:val="2"/>
                <w:sz w:val="24"/>
                <w:szCs w:val="24"/>
                <w:highlight w:val="none"/>
                <w:lang w:val="en-US" w:eastAsia="zh-CN" w:bidi="ar-SA"/>
              </w:rPr>
              <w:t>银行行号：313881000504</w:t>
            </w:r>
          </w:p>
        </w:tc>
      </w:tr>
      <w:tr w14:paraId="2A6764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76" w:type="dxa"/>
            <w:vAlign w:val="center"/>
          </w:tcPr>
          <w:p w14:paraId="44C19DAC">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第三章1.1</w:t>
            </w:r>
          </w:p>
        </w:tc>
        <w:tc>
          <w:tcPr>
            <w:tcW w:w="1683" w:type="dxa"/>
            <w:tcBorders>
              <w:right w:val="single" w:color="auto" w:sz="4" w:space="0"/>
            </w:tcBorders>
            <w:vAlign w:val="center"/>
          </w:tcPr>
          <w:p w14:paraId="4127186A">
            <w:pPr>
              <w:adjustRightInd w:val="0"/>
              <w:snapToGrid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评标委员会的组建</w:t>
            </w:r>
          </w:p>
        </w:tc>
        <w:tc>
          <w:tcPr>
            <w:tcW w:w="6723" w:type="dxa"/>
            <w:tcBorders>
              <w:left w:val="single" w:color="auto" w:sz="4" w:space="0"/>
            </w:tcBorders>
            <w:vAlign w:val="center"/>
          </w:tcPr>
          <w:p w14:paraId="3EACFAC5">
            <w:pPr>
              <w:pStyle w:val="65"/>
              <w:spacing w:line="24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评标委员会由5人组成，其中业主代表1人，技术、经济等方面的专家4人。</w:t>
            </w:r>
          </w:p>
          <w:p w14:paraId="5E5C86D2">
            <w:pPr>
              <w:pStyle w:val="65"/>
              <w:spacing w:line="24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专家确定方式：新疆政府采购云平台随机抽取。</w:t>
            </w:r>
          </w:p>
        </w:tc>
      </w:tr>
      <w:tr w14:paraId="7A180C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859" w:type="dxa"/>
            <w:gridSpan w:val="2"/>
            <w:tcBorders>
              <w:right w:val="single" w:color="auto" w:sz="4" w:space="0"/>
            </w:tcBorders>
            <w:vAlign w:val="center"/>
          </w:tcPr>
          <w:p w14:paraId="3160EA86">
            <w:pPr>
              <w:adjustRightInd w:val="0"/>
              <w:snapToGrid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履约保证金</w:t>
            </w:r>
          </w:p>
        </w:tc>
        <w:tc>
          <w:tcPr>
            <w:tcW w:w="6723" w:type="dxa"/>
            <w:tcBorders>
              <w:left w:val="single" w:color="auto" w:sz="4" w:space="0"/>
            </w:tcBorders>
            <w:vAlign w:val="center"/>
          </w:tcPr>
          <w:p w14:paraId="7B840870">
            <w:pPr>
              <w:adjustRightInd w:val="0"/>
              <w:snapToGrid w:val="0"/>
              <w:spacing w:line="240" w:lineRule="auto"/>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 xml:space="preserve">履约保证金：中标价*10％ </w:t>
            </w:r>
          </w:p>
          <w:p w14:paraId="07EE3BBB">
            <w:pPr>
              <w:adjustRightInd w:val="0"/>
              <w:snapToGrid w:val="0"/>
              <w:spacing w:line="240" w:lineRule="auto"/>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 xml:space="preserve">履约保证金递交形式：保函、转账等 </w:t>
            </w:r>
          </w:p>
          <w:p w14:paraId="2B13306F">
            <w:pPr>
              <w:adjustRightInd w:val="0"/>
              <w:snapToGrid w:val="0"/>
              <w:spacing w:line="240" w:lineRule="auto"/>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履约保证金的退还：合同履约完成，货物验收合格后</w:t>
            </w:r>
            <w:r>
              <w:rPr>
                <w:rFonts w:hint="eastAsia" w:asciiTheme="minorEastAsia" w:hAnsiTheme="minorEastAsia" w:eastAsiaTheme="minorEastAsia" w:cstheme="minorEastAsia"/>
                <w:sz w:val="24"/>
                <w:szCs w:val="24"/>
                <w:highlight w:val="none"/>
                <w:lang w:val="en-US" w:eastAsia="zh-CN"/>
              </w:rPr>
              <w:t>5</w:t>
            </w:r>
            <w:r>
              <w:rPr>
                <w:rFonts w:hint="default" w:asciiTheme="minorEastAsia" w:hAnsiTheme="minorEastAsia" w:eastAsiaTheme="minorEastAsia" w:cstheme="minorEastAsia"/>
                <w:sz w:val="24"/>
                <w:szCs w:val="24"/>
                <w:highlight w:val="none"/>
                <w:lang w:val="en-US" w:eastAsia="zh-CN"/>
              </w:rPr>
              <w:t>日内，采购人退还履约保证金。中标单位未按照合同、法律法规、招标文件等相关规定履行责任，采购人有权扣除履约保证金，并解除合同，由此造成的一切损失，由中标单位自行承担。</w:t>
            </w:r>
          </w:p>
        </w:tc>
      </w:tr>
      <w:tr w14:paraId="09FE33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859" w:type="dxa"/>
            <w:gridSpan w:val="2"/>
            <w:tcBorders>
              <w:right w:val="single" w:color="auto" w:sz="4" w:space="0"/>
            </w:tcBorders>
            <w:vAlign w:val="center"/>
          </w:tcPr>
          <w:p w14:paraId="57EDC598">
            <w:pPr>
              <w:adjustRightInd w:val="0"/>
              <w:snapToGrid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所属行业</w:t>
            </w:r>
          </w:p>
        </w:tc>
        <w:tc>
          <w:tcPr>
            <w:tcW w:w="6723" w:type="dxa"/>
            <w:tcBorders>
              <w:left w:val="single" w:color="auto" w:sz="4" w:space="0"/>
            </w:tcBorders>
            <w:vAlign w:val="center"/>
          </w:tcPr>
          <w:p w14:paraId="4332384D">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bCs w:val="0"/>
                <w:sz w:val="24"/>
                <w:szCs w:val="24"/>
                <w:highlight w:val="none"/>
                <w:u w:val="none"/>
                <w:lang w:eastAsia="zh-CN"/>
              </w:rPr>
              <w:t>本项目采购标的对应的中小企业划分标准所属行业为“工业”。行业划分标准按《国民经济行业分类》执行。中小企业划分标准按《中小企业划型标准规定》（工信部联企业〔2011〕300号）文件规定执行。</w:t>
            </w:r>
          </w:p>
        </w:tc>
      </w:tr>
      <w:tr w14:paraId="563BAC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859" w:type="dxa"/>
            <w:gridSpan w:val="2"/>
            <w:tcBorders>
              <w:right w:val="single" w:color="auto" w:sz="4" w:space="0"/>
            </w:tcBorders>
            <w:vAlign w:val="center"/>
          </w:tcPr>
          <w:p w14:paraId="2760222B">
            <w:pPr>
              <w:adjustRightInd w:val="0"/>
              <w:snapToGrid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演示</w:t>
            </w:r>
          </w:p>
        </w:tc>
        <w:tc>
          <w:tcPr>
            <w:tcW w:w="6723" w:type="dxa"/>
            <w:tcBorders>
              <w:left w:val="single" w:color="auto" w:sz="4" w:space="0"/>
            </w:tcBorders>
            <w:vAlign w:val="center"/>
          </w:tcPr>
          <w:p w14:paraId="48D31404">
            <w:pPr>
              <w:spacing w:line="240" w:lineRule="auto"/>
              <w:jc w:val="left"/>
              <w:rPr>
                <w:rFonts w:hint="eastAsia" w:ascii="宋体" w:hAnsi="宋体" w:eastAsia="宋体" w:cs="宋体"/>
                <w:kern w:val="2"/>
                <w:sz w:val="24"/>
                <w:szCs w:val="22"/>
                <w:highlight w:val="none"/>
                <w:lang w:val="en-US" w:eastAsia="zh-CN"/>
              </w:rPr>
            </w:pPr>
            <w:r>
              <w:rPr>
                <w:rFonts w:hint="eastAsia" w:ascii="宋体" w:hAnsi="宋体" w:eastAsia="宋体" w:cs="宋体"/>
                <w:kern w:val="2"/>
                <w:sz w:val="24"/>
                <w:szCs w:val="22"/>
                <w:highlight w:val="none"/>
              </w:rPr>
              <w:sym w:font="Wingdings 2" w:char="0052"/>
            </w:r>
            <w:r>
              <w:rPr>
                <w:rFonts w:hint="eastAsia" w:ascii="宋体" w:hAnsi="宋体" w:eastAsia="宋体" w:cs="宋体"/>
                <w:kern w:val="2"/>
                <w:sz w:val="24"/>
                <w:szCs w:val="22"/>
                <w:highlight w:val="none"/>
                <w:lang w:eastAsia="zh-CN"/>
              </w:rPr>
              <w:t>有</w:t>
            </w:r>
            <w:r>
              <w:rPr>
                <w:rFonts w:hint="eastAsia" w:ascii="宋体" w:hAnsi="宋体" w:eastAsia="宋体" w:cs="宋体"/>
                <w:kern w:val="2"/>
                <w:sz w:val="24"/>
                <w:szCs w:val="22"/>
                <w:highlight w:val="none"/>
                <w:lang w:val="en-US" w:eastAsia="zh-CN"/>
              </w:rPr>
              <w:t xml:space="preserve">    </w:t>
            </w:r>
            <w:r>
              <w:rPr>
                <w:rFonts w:hint="eastAsia" w:ascii="宋体" w:hAnsi="宋体" w:eastAsia="宋体" w:cs="宋体"/>
                <w:kern w:val="2"/>
                <w:sz w:val="24"/>
                <w:szCs w:val="22"/>
                <w:highlight w:val="none"/>
              </w:rPr>
              <w:sym w:font="Wingdings 2" w:char="00A3"/>
            </w:r>
            <w:r>
              <w:rPr>
                <w:rFonts w:hint="eastAsia" w:ascii="宋体" w:hAnsi="宋体" w:eastAsia="宋体" w:cs="宋体"/>
                <w:kern w:val="2"/>
                <w:sz w:val="24"/>
                <w:szCs w:val="22"/>
                <w:highlight w:val="none"/>
                <w:lang w:eastAsia="zh-CN"/>
              </w:rPr>
              <w:t>无</w:t>
            </w:r>
            <w:r>
              <w:rPr>
                <w:rFonts w:hint="eastAsia" w:ascii="宋体" w:hAnsi="宋体" w:eastAsia="宋体" w:cs="宋体"/>
                <w:kern w:val="2"/>
                <w:sz w:val="24"/>
                <w:szCs w:val="22"/>
                <w:highlight w:val="none"/>
                <w:lang w:val="en-US" w:eastAsia="zh-CN"/>
              </w:rPr>
              <w:t xml:space="preserve">   </w:t>
            </w:r>
          </w:p>
          <w:p w14:paraId="03D5CC00">
            <w:pPr>
              <w:spacing w:line="240" w:lineRule="auto"/>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注：具体详见商务技术评审标准；</w:t>
            </w:r>
          </w:p>
        </w:tc>
      </w:tr>
    </w:tbl>
    <w:p w14:paraId="00F266E0">
      <w:pPr>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rPr>
        <w:t>如本《投标须知前附表》相关内容与</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en-US"/>
        </w:rPr>
        <w:t>文件中的相关内容如有不一致处，则以本《投标须知前附表》相关内容为准。</w:t>
      </w:r>
      <w:r>
        <w:rPr>
          <w:rFonts w:hint="eastAsia" w:ascii="宋体" w:hAnsi="宋体" w:eastAsia="宋体" w:cs="宋体"/>
          <w:color w:val="auto"/>
          <w:sz w:val="21"/>
          <w:szCs w:val="21"/>
          <w:highlight w:val="none"/>
        </w:rPr>
        <w:t>。</w:t>
      </w:r>
    </w:p>
    <w:p w14:paraId="7F2E03B3">
      <w:pPr>
        <w:numPr>
          <w:ilvl w:val="0"/>
          <w:numId w:val="3"/>
        </w:numPr>
        <w:spacing w:line="400" w:lineRule="exact"/>
        <w:ind w:firstLine="42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1"/>
          <w:szCs w:val="21"/>
          <w:highlight w:val="none"/>
        </w:rPr>
        <w:t>本表中“ √ ”</w:t>
      </w:r>
      <w:r>
        <w:rPr>
          <w:rFonts w:hint="eastAsia" w:ascii="宋体" w:hAnsi="宋体" w:eastAsia="宋体" w:cs="宋体"/>
          <w:color w:val="auto"/>
          <w:sz w:val="21"/>
          <w:szCs w:val="21"/>
          <w:highlight w:val="none"/>
          <w:lang w:eastAsia="zh-CN"/>
        </w:rPr>
        <w:t>表示</w:t>
      </w:r>
      <w:r>
        <w:rPr>
          <w:rFonts w:hint="eastAsia" w:ascii="宋体" w:hAnsi="宋体" w:eastAsia="宋体" w:cs="宋体"/>
          <w:color w:val="auto"/>
          <w:sz w:val="21"/>
          <w:szCs w:val="21"/>
          <w:highlight w:val="none"/>
        </w:rPr>
        <w:t>选择使用该项</w:t>
      </w:r>
      <w:r>
        <w:rPr>
          <w:rFonts w:hint="eastAsia" w:ascii="宋体" w:hAnsi="宋体" w:eastAsia="宋体" w:cs="宋体"/>
          <w:color w:val="auto"/>
          <w:sz w:val="24"/>
          <w:szCs w:val="24"/>
          <w:highlight w:val="none"/>
          <w:lang w:eastAsia="zh-CN"/>
        </w:rPr>
        <w:t>。</w:t>
      </w:r>
    </w:p>
    <w:p w14:paraId="41A2C8F9">
      <w:pPr>
        <w:pStyle w:val="65"/>
        <w:spacing w:after="120" w:afterLines="50" w:line="24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highlight w:val="none"/>
        </w:rPr>
        <w:br w:type="page"/>
      </w:r>
      <w:r>
        <w:rPr>
          <w:rFonts w:hint="eastAsia" w:asciiTheme="minorEastAsia" w:hAnsiTheme="minorEastAsia" w:eastAsiaTheme="minorEastAsia" w:cstheme="minorEastAsia"/>
          <w:b/>
          <w:color w:val="auto"/>
          <w:sz w:val="28"/>
          <w:szCs w:val="28"/>
          <w:highlight w:val="none"/>
        </w:rPr>
        <w:t>投标须知正文</w:t>
      </w:r>
    </w:p>
    <w:p w14:paraId="6BF37367">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一、总  则</w:t>
      </w:r>
    </w:p>
    <w:p w14:paraId="6456EA71">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1．项目概况</w:t>
      </w:r>
    </w:p>
    <w:p w14:paraId="4A952851">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 项目名称：详见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w:t>
      </w:r>
    </w:p>
    <w:p w14:paraId="1B2C4845">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 招标范围：详见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w:t>
      </w:r>
    </w:p>
    <w:p w14:paraId="25AA96B8">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1.3 </w:t>
      </w:r>
      <w:r>
        <w:rPr>
          <w:rFonts w:hint="eastAsia" w:asciiTheme="minorEastAsia" w:hAnsiTheme="minorEastAsia" w:eastAsiaTheme="minorEastAsia" w:cstheme="minorEastAsia"/>
          <w:color w:val="auto"/>
          <w:sz w:val="24"/>
          <w:szCs w:val="24"/>
          <w:highlight w:val="none"/>
          <w:lang w:eastAsia="zh-CN"/>
        </w:rPr>
        <w:t>交货</w:t>
      </w:r>
      <w:r>
        <w:rPr>
          <w:rFonts w:hint="eastAsia" w:asciiTheme="minorEastAsia" w:hAnsiTheme="minorEastAsia" w:eastAsiaTheme="minorEastAsia" w:cstheme="minorEastAsia"/>
          <w:color w:val="auto"/>
          <w:sz w:val="24"/>
          <w:szCs w:val="24"/>
          <w:highlight w:val="none"/>
        </w:rPr>
        <w:t>地点：详见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w:t>
      </w:r>
    </w:p>
    <w:p w14:paraId="058D5ED4">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 招标方式：详见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w:t>
      </w:r>
    </w:p>
    <w:p w14:paraId="6B8D0B5F">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 供货(服务)期限：详见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w:t>
      </w:r>
    </w:p>
    <w:p w14:paraId="5A3C61C2">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 服务要求或标准：详见</w:t>
      </w:r>
      <w:r>
        <w:rPr>
          <w:rFonts w:hint="eastAsia" w:asciiTheme="minorEastAsia" w:hAnsiTheme="minorEastAsia" w:eastAsiaTheme="minorEastAsia" w:cstheme="minorEastAsia"/>
          <w:b/>
          <w:bCs/>
          <w:color w:val="auto"/>
          <w:sz w:val="24"/>
          <w:szCs w:val="24"/>
          <w:highlight w:val="none"/>
        </w:rPr>
        <w:t>投标须知前附表；</w:t>
      </w:r>
    </w:p>
    <w:p w14:paraId="625B1F6A">
      <w:pPr>
        <w:pStyle w:val="65"/>
        <w:spacing w:line="240" w:lineRule="auto"/>
        <w:ind w:firstLine="480"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1.7 质量要求/质保期：详见</w:t>
      </w:r>
      <w:r>
        <w:rPr>
          <w:rFonts w:hint="eastAsia" w:asciiTheme="minorEastAsia" w:hAnsiTheme="minorEastAsia" w:eastAsiaTheme="minorEastAsia" w:cstheme="minorEastAsia"/>
          <w:b/>
          <w:bCs/>
          <w:color w:val="auto"/>
          <w:sz w:val="24"/>
          <w:szCs w:val="24"/>
          <w:highlight w:val="none"/>
        </w:rPr>
        <w:t>投标须知前附表；</w:t>
      </w:r>
    </w:p>
    <w:p w14:paraId="445280C5">
      <w:pPr>
        <w:pStyle w:val="65"/>
        <w:spacing w:line="240" w:lineRule="auto"/>
        <w:ind w:firstLine="480"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1.8 售后标准：详见</w:t>
      </w:r>
      <w:r>
        <w:rPr>
          <w:rFonts w:hint="eastAsia" w:asciiTheme="minorEastAsia" w:hAnsiTheme="minorEastAsia" w:eastAsiaTheme="minorEastAsia" w:cstheme="minorEastAsia"/>
          <w:b/>
          <w:bCs/>
          <w:color w:val="auto"/>
          <w:sz w:val="24"/>
          <w:szCs w:val="24"/>
          <w:highlight w:val="none"/>
        </w:rPr>
        <w:t>投标须知前附表；</w:t>
      </w:r>
    </w:p>
    <w:p w14:paraId="1B6175C3">
      <w:pPr>
        <w:pStyle w:val="65"/>
        <w:spacing w:line="240" w:lineRule="auto"/>
        <w:ind w:firstLine="480"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1.9 采购类型：</w:t>
      </w:r>
      <w:r>
        <w:rPr>
          <w:rFonts w:hint="eastAsia" w:asciiTheme="minorEastAsia" w:hAnsiTheme="minorEastAsia" w:eastAsiaTheme="minorEastAsia" w:cstheme="minorEastAsia"/>
          <w:color w:val="auto"/>
          <w:sz w:val="24"/>
          <w:szCs w:val="24"/>
          <w:highlight w:val="none"/>
        </w:rPr>
        <w:t>详见</w:t>
      </w:r>
      <w:r>
        <w:rPr>
          <w:rFonts w:hint="eastAsia" w:asciiTheme="minorEastAsia" w:hAnsiTheme="minorEastAsia" w:eastAsiaTheme="minorEastAsia" w:cstheme="minorEastAsia"/>
          <w:b/>
          <w:bCs/>
          <w:color w:val="auto"/>
          <w:sz w:val="24"/>
          <w:szCs w:val="24"/>
          <w:highlight w:val="none"/>
        </w:rPr>
        <w:t>投标须知前附表；</w:t>
      </w:r>
    </w:p>
    <w:p w14:paraId="6938C8AA">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 定义</w:t>
      </w:r>
    </w:p>
    <w:p w14:paraId="6AEC3FA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“采购人”是指依法进行政府采购的国家机关、事业单位、团体组织。采购人名称、地址、电话、联系人见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w:t>
      </w:r>
    </w:p>
    <w:p w14:paraId="742B40C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“采购代理机构”是指接受采购人委托，代理采购项目的集中采购机构和其他招标代理机构。采购代理机构名称、地址、电话、联系人见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w:t>
      </w:r>
    </w:p>
    <w:p w14:paraId="3ED8CD9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 “供应商”是指响应招标文件要求、参加招标采购,向采购人提供货物、工程或者服务的法人、其他组织或者自然人。</w:t>
      </w:r>
    </w:p>
    <w:p w14:paraId="51F1281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 “货物”是指各种形态和种类的物品，包括原材料、燃料、设备、产品等，详见《政府采购品目分类目录》（财库</w:t>
      </w:r>
      <w:r>
        <w:rPr>
          <w:rFonts w:hint="eastAsia" w:asciiTheme="minorEastAsia" w:hAnsiTheme="minorEastAsia" w:eastAsiaTheme="minorEastAsia" w:cstheme="minorEastAsia"/>
          <w:color w:val="auto"/>
          <w:sz w:val="24"/>
          <w:szCs w:val="24"/>
          <w:highlight w:val="none"/>
          <w:lang w:eastAsia="zh-CN"/>
        </w:rPr>
        <w:t>〔2013〕189号</w:t>
      </w:r>
      <w:r>
        <w:rPr>
          <w:rFonts w:hint="eastAsia" w:asciiTheme="minorEastAsia" w:hAnsiTheme="minorEastAsia" w:eastAsiaTheme="minorEastAsia" w:cstheme="minorEastAsia"/>
          <w:color w:val="auto"/>
          <w:sz w:val="24"/>
          <w:szCs w:val="24"/>
          <w:highlight w:val="none"/>
        </w:rPr>
        <w:t>）。</w:t>
      </w:r>
    </w:p>
    <w:p w14:paraId="36F0607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 “节能产品”或者“环保产品”是指财政部发布的《节能产品政府采购清单》或者《环境标志产品政府采购清单》的产品。</w:t>
      </w:r>
    </w:p>
    <w:p w14:paraId="16BC047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 “进口产品”是指通过中国海关报关验放进入中国境内且产自关境外的产品，详见《中华人民共和国财政部办公厅关于政府采购进口产品管理有关问题的通知》财办库</w:t>
      </w:r>
      <w:r>
        <w:rPr>
          <w:rFonts w:hint="eastAsia" w:asciiTheme="minorEastAsia" w:hAnsiTheme="minorEastAsia" w:eastAsiaTheme="minorEastAsia" w:cstheme="minorEastAsia"/>
          <w:color w:val="auto"/>
          <w:sz w:val="24"/>
          <w:szCs w:val="24"/>
          <w:highlight w:val="none"/>
          <w:lang w:eastAsia="zh-CN"/>
        </w:rPr>
        <w:t>〔2008〕248号</w:t>
      </w:r>
      <w:r>
        <w:rPr>
          <w:rFonts w:hint="eastAsia" w:asciiTheme="minorEastAsia" w:hAnsiTheme="minorEastAsia" w:eastAsiaTheme="minorEastAsia" w:cstheme="minorEastAsia"/>
          <w:color w:val="auto"/>
          <w:sz w:val="24"/>
          <w:szCs w:val="24"/>
          <w:highlight w:val="none"/>
        </w:rPr>
        <w:t>及《政府采购进口产品管理办法》财库〔2007〕119号。</w:t>
      </w:r>
    </w:p>
    <w:p w14:paraId="69165E2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 偏离</w:t>
      </w:r>
    </w:p>
    <w:p w14:paraId="42B5314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2.7.1 本条所称偏离为投标文件对招标</w:t>
      </w:r>
      <w:r>
        <w:rPr>
          <w:rFonts w:hint="eastAsia" w:asciiTheme="minorEastAsia" w:hAnsiTheme="minorEastAsia" w:eastAsiaTheme="minorEastAsia" w:cstheme="minorEastAsia"/>
          <w:color w:val="auto"/>
          <w:sz w:val="24"/>
          <w:szCs w:val="24"/>
          <w:highlight w:val="none"/>
          <w:lang w:eastAsia="zh-CN"/>
        </w:rPr>
        <w:t>文件</w:t>
      </w:r>
      <w:r>
        <w:rPr>
          <w:rFonts w:hint="eastAsia" w:asciiTheme="minorEastAsia" w:hAnsiTheme="minorEastAsia" w:eastAsiaTheme="minorEastAsia" w:cstheme="minorEastAsia"/>
          <w:color w:val="auto"/>
          <w:sz w:val="24"/>
          <w:szCs w:val="24"/>
          <w:highlight w:val="none"/>
        </w:rPr>
        <w:t>的偏离，即不满足招标文件的要求，偏离分为对招标文件的实质性要求条款偏离和对招标文件的一般商务和技术条款偏离。（商务条款不允许偏离，技术条款偏离情况在详细评审中</w:t>
      </w:r>
      <w:r>
        <w:rPr>
          <w:rFonts w:hint="eastAsia" w:asciiTheme="minorEastAsia" w:hAnsiTheme="minorEastAsia" w:eastAsiaTheme="minorEastAsia" w:cstheme="minorEastAsia"/>
          <w:color w:val="auto"/>
          <w:sz w:val="24"/>
          <w:szCs w:val="24"/>
          <w:highlight w:val="none"/>
          <w:lang w:eastAsia="zh-CN"/>
        </w:rPr>
        <w:t>给予</w:t>
      </w:r>
      <w:r>
        <w:rPr>
          <w:rFonts w:hint="eastAsia" w:asciiTheme="minorEastAsia" w:hAnsiTheme="minorEastAsia" w:eastAsiaTheme="minorEastAsia" w:cstheme="minorEastAsia"/>
          <w:color w:val="auto"/>
          <w:sz w:val="24"/>
          <w:szCs w:val="24"/>
          <w:highlight w:val="none"/>
        </w:rPr>
        <w:t>相应评分）</w:t>
      </w:r>
    </w:p>
    <w:p w14:paraId="75B8FE1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2.7.2 除</w:t>
      </w:r>
      <w:r>
        <w:rPr>
          <w:rFonts w:hint="eastAsia" w:asciiTheme="minorEastAsia" w:hAnsiTheme="minorEastAsia" w:eastAsiaTheme="minorEastAsia" w:cstheme="minorEastAsia"/>
          <w:b/>
          <w:bCs/>
          <w:color w:val="auto"/>
          <w:sz w:val="24"/>
          <w:szCs w:val="24"/>
          <w:highlight w:val="none"/>
          <w:lang w:eastAsia="zh-CN"/>
        </w:rPr>
        <w:t>法律法规</w:t>
      </w:r>
      <w:r>
        <w:rPr>
          <w:rFonts w:hint="eastAsia" w:asciiTheme="minorEastAsia" w:hAnsiTheme="minorEastAsia" w:eastAsiaTheme="minorEastAsia" w:cstheme="minorEastAsia"/>
          <w:b/>
          <w:bCs/>
          <w:color w:val="auto"/>
          <w:sz w:val="24"/>
          <w:szCs w:val="24"/>
          <w:highlight w:val="none"/>
        </w:rPr>
        <w:t>和规章规定外，招标文件中用“拒绝</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不接受</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无效</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不得”等文字规定或标注“特殊”符号的条款为实质性要求条款（即重要条款），对其中任何一条的偏离，在评标时将其视为无效投标</w:t>
      </w:r>
      <w:r>
        <w:rPr>
          <w:rFonts w:hint="eastAsia" w:asciiTheme="minorEastAsia" w:hAnsiTheme="minorEastAsia" w:eastAsiaTheme="minorEastAsia" w:cstheme="minorEastAsia"/>
          <w:color w:val="auto"/>
          <w:sz w:val="24"/>
          <w:szCs w:val="24"/>
          <w:highlight w:val="none"/>
        </w:rPr>
        <w:t>。未用上述文字规定或符号标注的条款为非实质性要求条款（即一般条款）。</w:t>
      </w:r>
    </w:p>
    <w:p w14:paraId="78FA0255">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2.8 若采购人员及</w:t>
      </w:r>
      <w:r>
        <w:rPr>
          <w:rFonts w:hint="eastAsia" w:asciiTheme="minorEastAsia" w:hAnsiTheme="minorEastAsia" w:eastAsiaTheme="minorEastAsia" w:cstheme="minorEastAsia"/>
          <w:kern w:val="0"/>
          <w:sz w:val="24"/>
          <w:szCs w:val="24"/>
          <w:highlight w:val="none"/>
          <w:lang w:val="en-US" w:eastAsia="zh-CN"/>
        </w:rPr>
        <w:t>相关人员与供应商有下列利害关系之一</w:t>
      </w:r>
      <w:r>
        <w:rPr>
          <w:rFonts w:hint="eastAsia" w:asciiTheme="minorEastAsia" w:hAnsiTheme="minorEastAsia" w:eastAsiaTheme="minorEastAsia" w:cstheme="minorEastAsia"/>
          <w:color w:val="auto"/>
          <w:kern w:val="0"/>
          <w:sz w:val="24"/>
          <w:szCs w:val="24"/>
          <w:highlight w:val="none"/>
          <w:lang w:val="en-US" w:eastAsia="zh-CN" w:bidi="ar-SA"/>
        </w:rPr>
        <w:t>的，应当回避：</w:t>
      </w:r>
    </w:p>
    <w:p w14:paraId="4376D0CB">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2.8.1参加采购活动前3年内与供应商存在劳动关系；</w:t>
      </w:r>
    </w:p>
    <w:p w14:paraId="2F109D0C">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2.8.2参加采购活动前3年内担任供应商的董事、监事；</w:t>
      </w:r>
    </w:p>
    <w:p w14:paraId="72472C41">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2.8.3参加采购活动前3年内是供应商的控股股东或者实际控制人；</w:t>
      </w:r>
    </w:p>
    <w:p w14:paraId="3263CFE9">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2.8.4与供应商的法定代表人或者负责人有夫妻、直系血亲、三代以内旁系血亲或者近姻亲关系；</w:t>
      </w:r>
    </w:p>
    <w:p w14:paraId="7DC7F729">
      <w:pPr>
        <w:widowControl/>
        <w:spacing w:line="240" w:lineRule="auto"/>
        <w:ind w:firstLine="570"/>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2.8.5与供应商有其他可能影响政府采购活动公平、公正进行的关系</w:t>
      </w:r>
      <w:r>
        <w:rPr>
          <w:rFonts w:hint="eastAsia" w:asciiTheme="minorEastAsia" w:hAnsiTheme="minorEastAsia" w:eastAsiaTheme="minorEastAsia" w:cstheme="minorEastAsia"/>
          <w:kern w:val="0"/>
          <w:sz w:val="24"/>
          <w:szCs w:val="24"/>
          <w:highlight w:val="none"/>
          <w:lang w:eastAsia="zh-CN"/>
        </w:rPr>
        <w:t>；</w:t>
      </w:r>
    </w:p>
    <w:p w14:paraId="47794FF6">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2.8.6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43275AE">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 采购人或者采购代理机构有下列情形之一的，属于以不合理的条件对供应商实行差别待遇或者歧视待遇：</w:t>
      </w:r>
    </w:p>
    <w:p w14:paraId="54FF9724">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2.9.1就同一采购项目向供应商提供有差别的项目信息；</w:t>
      </w:r>
    </w:p>
    <w:p w14:paraId="0E09B45E">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2.9.2设定的资格、技术、商务条件与采购项目的具体特点和实际需要不相适应或者与合同履行无关；</w:t>
      </w:r>
    </w:p>
    <w:p w14:paraId="688C27C5">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2.9.3采购需求中的技术、服务等要求指向特定供应商、特定产品；</w:t>
      </w:r>
    </w:p>
    <w:p w14:paraId="49AB7EF9">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2.9.4以特定行政区域或者特定行业的业绩、奖项作为加分条件或者中标条件；</w:t>
      </w:r>
    </w:p>
    <w:p w14:paraId="10AAA76C">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2.9.5对供应商采取不同的资格审查或者评审标准；</w:t>
      </w:r>
    </w:p>
    <w:p w14:paraId="76A91E1F">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2.9.6限定或者指定特定的专利、商标、品牌或者供应商；</w:t>
      </w:r>
    </w:p>
    <w:p w14:paraId="2D841608">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2.9.7非法限定供应商的所有制形式、组织形式或者所在地；</w:t>
      </w:r>
    </w:p>
    <w:p w14:paraId="0738C98C">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2.9.8以其他不合理条件限制或者排斥潜在供应商。</w:t>
      </w:r>
    </w:p>
    <w:p w14:paraId="7596746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2.10 特别说明</w:t>
      </w:r>
    </w:p>
    <w:p w14:paraId="310F3875">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2.10.1 供应商在本次采购活动中，必须遵循《中华人民共和国政府采购法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中华人民共和国政府采购法实施条例》等相关法令、法规的规定。凡参加投标的供应商必须具有履行本招标文件规定的有关要求的能力，信誉良好</w:t>
      </w:r>
      <w:r>
        <w:rPr>
          <w:rFonts w:hint="eastAsia" w:asciiTheme="minorEastAsia" w:hAnsiTheme="minorEastAsia" w:eastAsiaTheme="minorEastAsia" w:cstheme="minorEastAsia"/>
          <w:color w:val="auto"/>
          <w:sz w:val="24"/>
          <w:szCs w:val="24"/>
          <w:highlight w:val="none"/>
          <w:lang w:eastAsia="zh-CN"/>
        </w:rPr>
        <w:t>；</w:t>
      </w:r>
    </w:p>
    <w:p w14:paraId="2F0E63E1">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2.10.2 供应商投标所使用的资格、信誉、荣誉、业绩与相关认证等必须为供应商所拥有</w:t>
      </w:r>
      <w:r>
        <w:rPr>
          <w:rFonts w:hint="eastAsia" w:asciiTheme="minorEastAsia" w:hAnsiTheme="minorEastAsia" w:eastAsiaTheme="minorEastAsia" w:cstheme="minorEastAsia"/>
          <w:color w:val="auto"/>
          <w:sz w:val="24"/>
          <w:szCs w:val="24"/>
          <w:highlight w:val="none"/>
          <w:lang w:eastAsia="zh-CN"/>
        </w:rPr>
        <w:t>；</w:t>
      </w:r>
    </w:p>
    <w:p w14:paraId="1218259C">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2.10.3 供应商应仔细阅读招标文件的所有内容，按照招标文件的要求提交投标文件，并对所提供的全部资料的真实性承担法律责任</w:t>
      </w:r>
      <w:r>
        <w:rPr>
          <w:rFonts w:hint="eastAsia" w:asciiTheme="minorEastAsia" w:hAnsiTheme="minorEastAsia" w:eastAsiaTheme="minorEastAsia" w:cstheme="minorEastAsia"/>
          <w:color w:val="auto"/>
          <w:sz w:val="24"/>
          <w:szCs w:val="24"/>
          <w:highlight w:val="none"/>
          <w:lang w:eastAsia="zh-CN"/>
        </w:rPr>
        <w:t>；</w:t>
      </w:r>
    </w:p>
    <w:p w14:paraId="48F5F5A0">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2.10.4 供应商在投标活动中提供任何虚假材料，其</w:t>
      </w:r>
      <w:r>
        <w:rPr>
          <w:rFonts w:hint="eastAsia" w:asciiTheme="minorEastAsia" w:hAnsiTheme="minorEastAsia" w:eastAsiaTheme="minorEastAsia" w:cstheme="minorEastAsia"/>
          <w:b/>
          <w:bCs/>
          <w:color w:val="auto"/>
          <w:sz w:val="24"/>
          <w:szCs w:val="24"/>
          <w:highlight w:val="none"/>
        </w:rPr>
        <w:t>投标无效</w:t>
      </w:r>
      <w:r>
        <w:rPr>
          <w:rFonts w:hint="eastAsia" w:asciiTheme="minorEastAsia" w:hAnsiTheme="minorEastAsia" w:eastAsiaTheme="minorEastAsia" w:cstheme="minorEastAsia"/>
          <w:color w:val="auto"/>
          <w:sz w:val="24"/>
          <w:szCs w:val="24"/>
          <w:highlight w:val="none"/>
        </w:rPr>
        <w:t>并承担相应法律责任。</w:t>
      </w:r>
    </w:p>
    <w:p w14:paraId="709997BE">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 供应商的资格要求</w:t>
      </w:r>
    </w:p>
    <w:p w14:paraId="438C2DB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供应商应当符合</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中规定的资格条件要求。</w:t>
      </w:r>
    </w:p>
    <w:p w14:paraId="14D8B42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供应商不得存在下列情形之一：</w:t>
      </w:r>
    </w:p>
    <w:p w14:paraId="5B7DFC0C">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3.2.1 与采购人、采购代理机构存在利害关系</w:t>
      </w:r>
      <w:r>
        <w:rPr>
          <w:rFonts w:hint="eastAsia" w:asciiTheme="minorEastAsia" w:hAnsiTheme="minorEastAsia" w:eastAsiaTheme="minorEastAsia" w:cstheme="minorEastAsia"/>
          <w:color w:val="auto"/>
          <w:sz w:val="24"/>
          <w:szCs w:val="24"/>
          <w:highlight w:val="none"/>
          <w:lang w:eastAsia="zh-CN"/>
        </w:rPr>
        <w:t>；</w:t>
      </w:r>
    </w:p>
    <w:p w14:paraId="791DDC1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 受到刑事处罚，或者受到3万元以上的罚款、责令停产停业、在1至3年内禁止参加政府采购活动、暂扣或者吊销许可证、暂扣或者吊销执照等情形之一的行政处罚，或者存在财政部门认定的其他重大违法记录。</w:t>
      </w:r>
    </w:p>
    <w:p w14:paraId="77A9363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供应商具有履行合同所必需的设备和专业技术能力，在人员、设备、资金等方面具有相应能力；供应商提供</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产品必须是成熟产品；在项目地具有技术支持和后续服务等能力。</w:t>
      </w:r>
    </w:p>
    <w:p w14:paraId="52EDFB96">
      <w:pPr>
        <w:pStyle w:val="65"/>
        <w:spacing w:line="240" w:lineRule="auto"/>
        <w:ind w:firstLine="56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rPr>
        <w:t>3.4 使用综合评分法的采购项目</w:t>
      </w:r>
      <w:r>
        <w:rPr>
          <w:rFonts w:hint="eastAsia" w:asciiTheme="minorEastAsia" w:hAnsiTheme="minorEastAsia" w:eastAsiaTheme="minorEastAsia" w:cstheme="minorEastAsia"/>
          <w:color w:val="auto"/>
          <w:kern w:val="2"/>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60B75ED">
      <w:pPr>
        <w:pStyle w:val="65"/>
        <w:spacing w:line="240" w:lineRule="auto"/>
        <w:ind w:firstLine="56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非单一产品采购项目，采购人应当根据采购项</w:t>
      </w:r>
      <w:r>
        <w:rPr>
          <w:rFonts w:hint="eastAsia" w:asciiTheme="minorEastAsia" w:hAnsiTheme="minorEastAsia" w:eastAsiaTheme="minorEastAsia" w:cstheme="minorEastAsia"/>
          <w:color w:val="auto"/>
          <w:kern w:val="2"/>
          <w:sz w:val="24"/>
          <w:szCs w:val="24"/>
          <w:highlight w:val="none"/>
          <w:lang w:eastAsia="zh-CN"/>
        </w:rPr>
        <w:t>目的</w:t>
      </w:r>
      <w:r>
        <w:rPr>
          <w:rFonts w:hint="eastAsia" w:asciiTheme="minorEastAsia" w:hAnsiTheme="minorEastAsia" w:eastAsiaTheme="minorEastAsia" w:cstheme="minorEastAsia"/>
          <w:color w:val="auto"/>
          <w:kern w:val="2"/>
          <w:sz w:val="24"/>
          <w:szCs w:val="24"/>
          <w:highlight w:val="none"/>
        </w:rPr>
        <w:t>技术构成、产品价格比重等合理确定核心产品，并在招标文件中载明。多家投标人提供的核心产品品牌相同的，同上处理。</w:t>
      </w:r>
    </w:p>
    <w:p w14:paraId="3F3057A6">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4．投标费用和知识产权</w:t>
      </w:r>
    </w:p>
    <w:p w14:paraId="00B69E4A">
      <w:pPr>
        <w:pStyle w:val="65"/>
        <w:spacing w:line="240" w:lineRule="auto"/>
        <w:ind w:firstLine="56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 供应商应承担其参加本招标活动自身所发生的费用。招标文件所提供的资料，是采购人现有的能被供应商利用的资料，采购人对供应商做出的任何推论、理解和结论均不负责任。</w:t>
      </w:r>
    </w:p>
    <w:p w14:paraId="1CF6122C">
      <w:pPr>
        <w:pStyle w:val="65"/>
        <w:spacing w:line="240" w:lineRule="auto"/>
        <w:ind w:firstLine="56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 供应商应保证，在中华人民共和国境内使用投标成果、服务或其任何一部分时，不会产生因第三方提出侵犯其专利权或</w:t>
      </w:r>
      <w:r>
        <w:rPr>
          <w:rFonts w:hint="eastAsia" w:asciiTheme="minorEastAsia" w:hAnsiTheme="minorEastAsia" w:eastAsiaTheme="minorEastAsia" w:cstheme="minorEastAsia"/>
          <w:color w:val="auto"/>
          <w:sz w:val="24"/>
          <w:szCs w:val="24"/>
          <w:highlight w:val="none"/>
          <w:lang w:eastAsia="zh-CN"/>
        </w:rPr>
        <w:t>其他</w:t>
      </w:r>
      <w:r>
        <w:rPr>
          <w:rFonts w:hint="eastAsia" w:asciiTheme="minorEastAsia" w:hAnsiTheme="minorEastAsia" w:eastAsiaTheme="minorEastAsia" w:cstheme="minorEastAsia"/>
          <w:color w:val="auto"/>
          <w:sz w:val="24"/>
          <w:szCs w:val="24"/>
          <w:highlight w:val="none"/>
        </w:rPr>
        <w:t>知识产权而引起的法律和经济纠纷。如供应商不拥有相应的知识产权，则在报价中须包括合法获取该知识产权的相关</w:t>
      </w:r>
      <w:r>
        <w:rPr>
          <w:rFonts w:hint="eastAsia" w:asciiTheme="minorEastAsia" w:hAnsiTheme="minorEastAsia" w:eastAsiaTheme="minorEastAsia" w:cstheme="minorEastAsia"/>
          <w:color w:val="auto"/>
          <w:sz w:val="24"/>
          <w:szCs w:val="24"/>
          <w:highlight w:val="none"/>
          <w:lang w:eastAsia="zh-CN"/>
        </w:rPr>
        <w:t>费用</w:t>
      </w:r>
      <w:r>
        <w:rPr>
          <w:rFonts w:hint="eastAsia" w:asciiTheme="minorEastAsia" w:hAnsiTheme="minorEastAsia" w:eastAsiaTheme="minorEastAsia" w:cstheme="minorEastAsia"/>
          <w:color w:val="auto"/>
          <w:sz w:val="24"/>
          <w:szCs w:val="24"/>
          <w:highlight w:val="none"/>
        </w:rPr>
        <w:t>。</w:t>
      </w:r>
    </w:p>
    <w:p w14:paraId="50C2467B">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 授权委托</w:t>
      </w:r>
    </w:p>
    <w:p w14:paraId="4A8F2707">
      <w:pPr>
        <w:pStyle w:val="65"/>
        <w:spacing w:line="240" w:lineRule="auto"/>
        <w:ind w:firstLine="56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供应商代表为供应商法定代表人的，应持有法定代表人身份证明。供应商代表不是供应商法定代表人的，应持有法定代表人授权书。</w:t>
      </w:r>
    </w:p>
    <w:p w14:paraId="32341650">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 联合体投标（不允许）</w:t>
      </w:r>
    </w:p>
    <w:p w14:paraId="0DD7E18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中另有规定，本次招标采购不接受以联合体形式投标的供应商。</w:t>
      </w:r>
    </w:p>
    <w:p w14:paraId="6C30A8C2">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 现场考察</w:t>
      </w:r>
    </w:p>
    <w:p w14:paraId="7D6A86BF">
      <w:pPr>
        <w:pStyle w:val="65"/>
        <w:spacing w:line="240" w:lineRule="auto"/>
        <w:ind w:firstLine="56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7.1 供应商应按</w:t>
      </w:r>
      <w:r>
        <w:rPr>
          <w:rFonts w:hint="eastAsia" w:asciiTheme="minorEastAsia" w:hAnsiTheme="minorEastAsia" w:eastAsiaTheme="minorEastAsia" w:cstheme="minorEastAsia"/>
          <w:b/>
          <w:bCs/>
          <w:color w:val="auto"/>
          <w:kern w:val="0"/>
          <w:sz w:val="24"/>
          <w:szCs w:val="24"/>
          <w:highlight w:val="none"/>
          <w:lang w:val="en-US" w:eastAsia="zh-CN" w:bidi="ar-SA"/>
        </w:rPr>
        <w:t>投标须知前附表</w:t>
      </w:r>
      <w:r>
        <w:rPr>
          <w:rFonts w:hint="eastAsia" w:asciiTheme="minorEastAsia" w:hAnsiTheme="minorEastAsia" w:eastAsiaTheme="minorEastAsia" w:cstheme="minorEastAsia"/>
          <w:color w:val="auto"/>
          <w:kern w:val="0"/>
          <w:sz w:val="24"/>
          <w:szCs w:val="24"/>
          <w:highlight w:val="none"/>
          <w:lang w:val="en-US" w:eastAsia="zh-CN" w:bidi="ar-SA"/>
        </w:rPr>
        <w:t>中规定对招标采购项目现场和周围环境进行现场考察或者参加开标前答疑会（如需要）。</w:t>
      </w:r>
    </w:p>
    <w:p w14:paraId="7B2B7CC6">
      <w:pPr>
        <w:pStyle w:val="65"/>
        <w:spacing w:line="240" w:lineRule="auto"/>
        <w:ind w:firstLine="56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7.2 现场考察或者参加开标前答疑会的费用由供应商自己承担，现场考察或者参加开标前答疑会期间所发生的人身伤害及财产损失由供应商自己负责。</w:t>
      </w:r>
    </w:p>
    <w:p w14:paraId="6A93BC68">
      <w:pPr>
        <w:pStyle w:val="65"/>
        <w:spacing w:line="240" w:lineRule="auto"/>
        <w:ind w:firstLine="56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7.3 采购人不对供应商据此而做出的推论、理解和结论负责。一旦中标，供应商不得以任何借口，而提出额外补偿，或延长合同期限的要求。</w:t>
      </w:r>
    </w:p>
    <w:p w14:paraId="0A27C920">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8. 采购进口产品</w:t>
      </w:r>
    </w:p>
    <w:p w14:paraId="72F0FFF6">
      <w:pPr>
        <w:pStyle w:val="65"/>
        <w:spacing w:line="240" w:lineRule="auto"/>
        <w:ind w:firstLine="56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8.1本项目不接受进口产品参加招标采购活动。</w:t>
      </w:r>
    </w:p>
    <w:p w14:paraId="3C9C09EC">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 政府采购政策支持</w:t>
      </w:r>
    </w:p>
    <w:p w14:paraId="2FE6462C">
      <w:pPr>
        <w:pStyle w:val="65"/>
        <w:spacing w:line="240" w:lineRule="auto"/>
        <w:ind w:firstLine="56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 产品符合政府采购强制采购政策的，实行强制采购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符合政府采购优先采购政策的产品，享受节能产品、环境标志产品的产品优惠（由供应商在报价文件中选择并填报，评审时进行价格优惠）；供应商符合支持中小企业发展政策优惠的，可以同时享受节能产品、环境标志产品的产品优惠并累加优惠。财政部门关于政府采购强制采购、优先采购的政策规定可在中国政府采购网(www.ccgp.gov.cn)查询。本项目价格扣除比例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w:t>
      </w:r>
    </w:p>
    <w:p w14:paraId="70D2552E">
      <w:pPr>
        <w:pStyle w:val="65"/>
        <w:spacing w:line="240" w:lineRule="auto"/>
        <w:ind w:firstLine="56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 同一项目中部分产品属于优先采购政策的，评审时只对该部分产品的报价实行价格优惠。</w:t>
      </w:r>
    </w:p>
    <w:p w14:paraId="7ECE7B80">
      <w:pPr>
        <w:spacing w:line="24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9.3 </w:t>
      </w:r>
      <w:r>
        <w:rPr>
          <w:rFonts w:hint="eastAsia" w:asciiTheme="minorEastAsia" w:hAnsiTheme="minorEastAsia" w:eastAsiaTheme="minorEastAsia" w:cstheme="minorEastAsia"/>
          <w:spacing w:val="-4"/>
          <w:kern w:val="0"/>
          <w:sz w:val="24"/>
          <w:szCs w:val="24"/>
          <w:highlight w:val="none"/>
        </w:rPr>
        <w:t>符合条件的残疾人福利性单位在参加政府采购活动时，应当提供规定的《残疾人福利性单位声明函》（见附件），并对声明的真实性负责。任何单位或者个人在政府采购活动中均不得要求残疾人福利性单位提供其他证明声明函内容的材料。残疾人福利性单位视同小型、微型企业，享受评审中价格扣除等促进中小企业发展的政府采购政策。</w:t>
      </w:r>
      <w:r>
        <w:rPr>
          <w:rFonts w:hint="eastAsia" w:asciiTheme="minorEastAsia" w:hAnsiTheme="minorEastAsia" w:eastAsiaTheme="minorEastAsia" w:cstheme="minorEastAsia"/>
          <w:b/>
          <w:bCs/>
          <w:spacing w:val="-4"/>
          <w:kern w:val="0"/>
          <w:sz w:val="24"/>
          <w:szCs w:val="24"/>
          <w:highlight w:val="none"/>
        </w:rPr>
        <w:t>本项目具体扣除比例为10%。</w:t>
      </w:r>
    </w:p>
    <w:p w14:paraId="75C53D9B">
      <w:pPr>
        <w:pStyle w:val="65"/>
        <w:spacing w:line="240" w:lineRule="auto"/>
        <w:ind w:firstLine="56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9.4 为推进政府采购诚信体系建设，供应商在签署相关承诺，提供相关信息前，应认真阅读财政部门相关政策规定。符合本章第9.1款、第9.2款规定的，应提供相关证明材料。</w:t>
      </w:r>
    </w:p>
    <w:p w14:paraId="5889E02E">
      <w:pPr>
        <w:pStyle w:val="65"/>
        <w:spacing w:before="120" w:beforeLines="50" w:after="120" w:afterLines="50" w:line="240" w:lineRule="auto"/>
        <w:jc w:val="center"/>
        <w:rPr>
          <w:rFonts w:hint="eastAsia" w:asciiTheme="minorEastAsia" w:hAnsiTheme="minorEastAsia" w:eastAsiaTheme="minorEastAsia" w:cstheme="minorEastAsia"/>
          <w:b/>
          <w:bCs/>
          <w:color w:val="auto"/>
          <w:sz w:val="24"/>
          <w:szCs w:val="24"/>
          <w:highlight w:val="none"/>
        </w:rPr>
      </w:pPr>
    </w:p>
    <w:p w14:paraId="70067F70">
      <w:pPr>
        <w:pStyle w:val="65"/>
        <w:spacing w:before="120" w:beforeLines="50" w:after="120" w:afterLines="50"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二、招标文件</w:t>
      </w:r>
    </w:p>
    <w:p w14:paraId="75489E21">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 招标文件的组成</w:t>
      </w:r>
    </w:p>
    <w:p w14:paraId="641FC806">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 招标文件用以阐明所需货物和服务、招标投标程序和商务合同主要条款，本招标文件由下列文件组成：</w:t>
      </w:r>
    </w:p>
    <w:p w14:paraId="7E068EF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第一章 招标公告    </w:t>
      </w:r>
    </w:p>
    <w:p w14:paraId="1564EF7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投标须知    </w:t>
      </w:r>
    </w:p>
    <w:p w14:paraId="597F9A4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第三章 评标方法及标准    </w:t>
      </w:r>
    </w:p>
    <w:p w14:paraId="4A266C08">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政府采购合同格式    </w:t>
      </w:r>
    </w:p>
    <w:p w14:paraId="6506AE3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第五章</w:t>
      </w:r>
      <w:r>
        <w:rPr>
          <w:rFonts w:hint="eastAsia" w:asciiTheme="minorEastAsia" w:hAnsiTheme="minorEastAsia" w:eastAsiaTheme="minorEastAsia" w:cstheme="minorEastAsia"/>
          <w:color w:val="auto"/>
          <w:sz w:val="24"/>
          <w:szCs w:val="24"/>
          <w:highlight w:val="none"/>
        </w:rPr>
        <w:t xml:space="preserve"> 采购需求    </w:t>
      </w:r>
    </w:p>
    <w:p w14:paraId="6BB11EE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第六章 投标文件格式</w:t>
      </w:r>
    </w:p>
    <w:p w14:paraId="617DC00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eastAsia="zh-CN"/>
        </w:rPr>
        <w:t>七</w:t>
      </w:r>
      <w:r>
        <w:rPr>
          <w:rFonts w:hint="eastAsia" w:asciiTheme="minorEastAsia" w:hAnsiTheme="minorEastAsia" w:eastAsiaTheme="minorEastAsia" w:cstheme="minorEastAsia"/>
          <w:color w:val="auto"/>
          <w:sz w:val="24"/>
          <w:szCs w:val="24"/>
          <w:highlight w:val="none"/>
        </w:rPr>
        <w:t xml:space="preserve">章 </w:t>
      </w:r>
      <w:r>
        <w:rPr>
          <w:rFonts w:hint="eastAsia" w:asciiTheme="minorEastAsia" w:hAnsiTheme="minorEastAsia" w:eastAsiaTheme="minorEastAsia" w:cstheme="minorEastAsia"/>
          <w:color w:val="auto"/>
          <w:sz w:val="24"/>
          <w:szCs w:val="24"/>
          <w:highlight w:val="none"/>
          <w:lang w:eastAsia="zh-CN"/>
        </w:rPr>
        <w:t>补充条款</w:t>
      </w:r>
    </w:p>
    <w:p w14:paraId="3F226AC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 本章第11.1款规定的提交投标文件截止时间前对招标文件澄清或者修改内容，为招标文件的组成部分。</w:t>
      </w:r>
    </w:p>
    <w:p w14:paraId="4302A80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 供应商应仔细阅读招标文件的全部内容，按照招标文件要求编制投标文件。任何对招标文件的忽略或误解不能作为投标文件存在缺陷或瑕疵的理由，如果没有按照招标文件要求提交全部资料或者投标文件没有对招标文件做出实质性响应，其投标文件可能被拒绝，其风险由供应商承担。</w:t>
      </w:r>
    </w:p>
    <w:p w14:paraId="467E2912">
      <w:pPr>
        <w:pStyle w:val="65"/>
        <w:spacing w:line="240" w:lineRule="auto"/>
        <w:rPr>
          <w:rFonts w:hint="eastAsia" w:asciiTheme="minorEastAsia" w:hAnsiTheme="minorEastAsia" w:eastAsiaTheme="minorEastAsia" w:cstheme="minorEastAsia"/>
          <w:b/>
          <w:bCs/>
          <w:color w:val="auto"/>
          <w:sz w:val="24"/>
          <w:szCs w:val="24"/>
          <w:highlight w:val="none"/>
        </w:rPr>
      </w:pPr>
    </w:p>
    <w:p w14:paraId="78E4B508">
      <w:pPr>
        <w:pStyle w:val="65"/>
        <w:spacing w:line="24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 投标截止时间</w:t>
      </w:r>
    </w:p>
    <w:p w14:paraId="168DAA0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11.1 </w:t>
      </w:r>
      <w:r>
        <w:rPr>
          <w:rFonts w:hint="eastAsia" w:asciiTheme="minorEastAsia" w:hAnsiTheme="minorEastAsia" w:eastAsiaTheme="minorEastAsia" w:cstheme="minorEastAsia"/>
          <w:color w:val="auto"/>
          <w:spacing w:val="-6"/>
          <w:sz w:val="24"/>
          <w:szCs w:val="24"/>
          <w:highlight w:val="none"/>
        </w:rPr>
        <w:t>投标截止时间即供应商提交投标文件的截止时间见</w:t>
      </w:r>
      <w:r>
        <w:rPr>
          <w:rFonts w:hint="eastAsia" w:asciiTheme="minorEastAsia" w:hAnsiTheme="minorEastAsia" w:eastAsiaTheme="minorEastAsia" w:cstheme="minorEastAsia"/>
          <w:b/>
          <w:bCs/>
          <w:color w:val="auto"/>
          <w:spacing w:val="-6"/>
          <w:sz w:val="24"/>
          <w:szCs w:val="24"/>
          <w:highlight w:val="none"/>
        </w:rPr>
        <w:t>投标须知前附表</w:t>
      </w:r>
      <w:r>
        <w:rPr>
          <w:rFonts w:hint="eastAsia" w:asciiTheme="minorEastAsia" w:hAnsiTheme="minorEastAsia" w:eastAsiaTheme="minorEastAsia" w:cstheme="minorEastAsia"/>
          <w:color w:val="auto"/>
          <w:spacing w:val="-6"/>
          <w:sz w:val="24"/>
          <w:szCs w:val="24"/>
          <w:highlight w:val="none"/>
        </w:rPr>
        <w:t>。</w:t>
      </w:r>
    </w:p>
    <w:p w14:paraId="51755F98">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 招标文件的澄清或者修改</w:t>
      </w:r>
    </w:p>
    <w:p w14:paraId="5D85A49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 采购人或者采购代理机构对己发出的招标文件进行必要澄清或者修改的，澄清或者修改的内容可能影响投标文件编制的，采购人或者采购代理机构应当在投标截止时间至少15日前，以书面形式通知所有获取招标文件的潜在供应商，并在财政部门指定的政府采购信息发布媒体上发布更正公告。该澄清或者修改的内容为招标文件的组成部分。</w:t>
      </w:r>
    </w:p>
    <w:p w14:paraId="173CB8D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 如果澄清或者修改发出的时间距规定的投标截止时间不足15日，将相应顺延投标截止时间。</w:t>
      </w:r>
    </w:p>
    <w:p w14:paraId="0EA70DC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 供应商认为招标文件存在歧视性条款的，应在收到招标文件之日或者招标文件公告期限届满之日起7个工作日内以书面形式向采购人或者采购代理机构提出。</w:t>
      </w:r>
    </w:p>
    <w:p w14:paraId="52709BDE">
      <w:pPr>
        <w:pStyle w:val="65"/>
        <w:spacing w:before="120" w:beforeLines="50" w:after="120" w:afterLines="50" w:line="240" w:lineRule="auto"/>
        <w:jc w:val="center"/>
        <w:rPr>
          <w:rFonts w:hint="eastAsia" w:asciiTheme="minorEastAsia" w:hAnsiTheme="minorEastAsia" w:eastAsiaTheme="minorEastAsia" w:cstheme="minorEastAsia"/>
          <w:b/>
          <w:bCs/>
          <w:color w:val="auto"/>
          <w:sz w:val="24"/>
          <w:szCs w:val="24"/>
          <w:highlight w:val="none"/>
        </w:rPr>
      </w:pPr>
    </w:p>
    <w:p w14:paraId="453BA97E">
      <w:pPr>
        <w:pStyle w:val="65"/>
        <w:spacing w:before="120" w:beforeLines="50" w:after="120" w:afterLines="50"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三、投标文件</w:t>
      </w:r>
    </w:p>
    <w:p w14:paraId="7B654ED2">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13. 一般要求</w:t>
      </w:r>
    </w:p>
    <w:p w14:paraId="219D27E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 供应商应仔细阅读招标文件的所有内容，按招标文件的要求编制投标文件，并保证所提供的全部资料的真实性，以使其投标文件对招标文件做出实质性的响应。</w:t>
      </w:r>
    </w:p>
    <w:p w14:paraId="4A42FCF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 供应商提交的投标文件及供应商与采购人或采购代理机构就有关招标的所有来往函电均使用中文。供应商可以提交</w:t>
      </w:r>
      <w:r>
        <w:rPr>
          <w:rFonts w:hint="eastAsia" w:asciiTheme="minorEastAsia" w:hAnsiTheme="minorEastAsia" w:eastAsiaTheme="minorEastAsia" w:cstheme="minorEastAsia"/>
          <w:color w:val="auto"/>
          <w:sz w:val="24"/>
          <w:szCs w:val="24"/>
          <w:highlight w:val="none"/>
          <w:lang w:eastAsia="zh-CN"/>
        </w:rPr>
        <w:t>其他语言</w:t>
      </w:r>
      <w:r>
        <w:rPr>
          <w:rFonts w:hint="eastAsia" w:asciiTheme="minorEastAsia" w:hAnsiTheme="minorEastAsia" w:eastAsiaTheme="minorEastAsia" w:cstheme="minorEastAsia"/>
          <w:color w:val="auto"/>
          <w:sz w:val="24"/>
          <w:szCs w:val="24"/>
          <w:highlight w:val="none"/>
        </w:rPr>
        <w:t>的资料，但应附中文注释，在有差异时以中文为准。</w:t>
      </w:r>
    </w:p>
    <w:p w14:paraId="50D5D37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13.3 计量单位应使用我国法定计量单位．未列明时应默认为我国法定计量单位。</w:t>
      </w:r>
    </w:p>
    <w:p w14:paraId="3EB33EC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13.4 投标文件应采用书面形式，传真、电子邮件形式的投标文件概不接受。</w:t>
      </w:r>
    </w:p>
    <w:p w14:paraId="2D42C64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13.5 供应商应按招标文件中提供的投标文件格式填写。</w:t>
      </w:r>
    </w:p>
    <w:p w14:paraId="27725664">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14. 投标文件的组成</w:t>
      </w:r>
    </w:p>
    <w:p w14:paraId="7F74B380">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一、投标函、投标声明</w:t>
      </w:r>
    </w:p>
    <w:p w14:paraId="1F89F2C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附件1：法定代表人身份证明（法定代表人参加投标）    </w:t>
      </w:r>
    </w:p>
    <w:p w14:paraId="1DC7293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附件2：法定代表人授权书（委托代理人参加投标）</w:t>
      </w:r>
    </w:p>
    <w:p w14:paraId="0C1F8B9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二、投标保证金 附件3：投标保证金打款凭证复印件</w:t>
      </w:r>
    </w:p>
    <w:p w14:paraId="035EDD3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三、开标一览表及投标报价明细表</w:t>
      </w:r>
    </w:p>
    <w:p w14:paraId="67C45AA6">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附件4：开标一览表    </w:t>
      </w:r>
    </w:p>
    <w:p w14:paraId="1B7CE57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附件5：投标报价明细表    </w:t>
      </w:r>
    </w:p>
    <w:p w14:paraId="0767112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附件6：节能、环境标志产品加分明细表    </w:t>
      </w:r>
    </w:p>
    <w:p w14:paraId="4CC87E4A">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附件7：中小微型企业产品明细表</w:t>
      </w:r>
    </w:p>
    <w:p w14:paraId="11B06E6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四、供应商的资格证明材料</w:t>
      </w:r>
    </w:p>
    <w:p w14:paraId="0675DEC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附件8：投标供应商基本情况表    </w:t>
      </w:r>
    </w:p>
    <w:p w14:paraId="7FE14685">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附件9：中小企业声明函（货物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、分包意向协议</w:t>
      </w:r>
    </w:p>
    <w:p w14:paraId="6BF159C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附件10:残疾人福利性单位声明函</w:t>
      </w:r>
    </w:p>
    <w:p w14:paraId="4CB0349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附件11:投标供应商近三年类似项目一览表</w:t>
      </w:r>
    </w:p>
    <w:p w14:paraId="1EE3B70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五、商务／技术偏离表</w:t>
      </w:r>
    </w:p>
    <w:p w14:paraId="050576F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六、项目整体实施方案</w:t>
      </w:r>
    </w:p>
    <w:p w14:paraId="7C6B491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附件12:售后服务附表</w:t>
      </w:r>
    </w:p>
    <w:p w14:paraId="0792D88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附件13:拟投入本项目主要人员汇总表</w:t>
      </w:r>
    </w:p>
    <w:p w14:paraId="4D5EDF9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附件14:拟投入本项目的主要人员简历表</w:t>
      </w:r>
    </w:p>
    <w:p w14:paraId="4C9A79E1">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附件</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lang w:eastAsia="zh-CN"/>
        </w:rPr>
        <w:t>：不存在与参加本项目的其它供应商单位负责人为同一人或者存在直接控股、管理关系承诺函</w:t>
      </w:r>
    </w:p>
    <w:p w14:paraId="466CD279">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附件</w:t>
      </w: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lang w:eastAsia="zh-CN"/>
        </w:rPr>
        <w:t>：未提供本采购项目的整体设计、规范编制或者项目管理、监理、检测等服务的承诺函</w:t>
      </w:r>
    </w:p>
    <w:p w14:paraId="70F6CAD0">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七、信用查询记录</w:t>
      </w:r>
    </w:p>
    <w:p w14:paraId="24550110">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八、供应商认为需提供的</w:t>
      </w:r>
      <w:r>
        <w:rPr>
          <w:rFonts w:hint="eastAsia" w:asciiTheme="minorEastAsia" w:hAnsiTheme="minorEastAsia" w:eastAsiaTheme="minorEastAsia" w:cstheme="minorEastAsia"/>
          <w:color w:val="auto"/>
          <w:sz w:val="24"/>
          <w:szCs w:val="24"/>
          <w:highlight w:val="none"/>
          <w:lang w:eastAsia="zh-CN"/>
        </w:rPr>
        <w:t>其他</w:t>
      </w:r>
      <w:r>
        <w:rPr>
          <w:rFonts w:hint="eastAsia" w:asciiTheme="minorEastAsia" w:hAnsiTheme="minorEastAsia" w:eastAsiaTheme="minorEastAsia" w:cstheme="minorEastAsia"/>
          <w:color w:val="auto"/>
          <w:sz w:val="24"/>
          <w:szCs w:val="24"/>
          <w:highlight w:val="none"/>
        </w:rPr>
        <w:t>资料</w:t>
      </w:r>
    </w:p>
    <w:p w14:paraId="2D0CBD56">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14.2 根据《中华人民共和国政府采购法》第四十二条的规定，供应商无论中标与否，其投标文件均不予退还。</w:t>
      </w:r>
    </w:p>
    <w:p w14:paraId="260B617C">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15. 报价</w:t>
      </w:r>
    </w:p>
    <w:p w14:paraId="076C2C88">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 供应商应当根据招标文件的招标要求和招标范围，以人民币报价，以元为单位，保留小数点后两位。</w:t>
      </w:r>
    </w:p>
    <w:p w14:paraId="40EAFBD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 投标报价是履行合同的最终价格，应包括为完成本项目招标范围内所有货物供货、运输、安装调试、培训、保险、税金及其它附带服务的全部费用。供应商漏报的单价或每项单价报价中漏报、少报的费用，视为此项费用已隐含在其他报价中，中标后不予调整。</w:t>
      </w:r>
    </w:p>
    <w:p w14:paraId="76D116C6">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 供应商应按第五章“采购需求”要求及第六章“投标文件格式”填写。供应商在本章第11.1款规定的提交投标文件截止时间前修改开标一览表中的报价，应同时修改其按第六章要求填写的相应表格中的报价。此修改须符合本章第21.1款的有关要求。</w:t>
      </w:r>
    </w:p>
    <w:p w14:paraId="56B52B8A">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 投标文件中标明的价格在合同执行过程中是固定不变的，不得以任何理由予以变更。以可变动价格提交的投标报价将被认为是非实质响应而被拒绝。</w:t>
      </w:r>
    </w:p>
    <w:p w14:paraId="5FE4EFA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15.5 本采购项目设定采购预算</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，供应商的报价不得超过采购项目预算，采购项目预算或其计算方法见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w:t>
      </w:r>
    </w:p>
    <w:p w14:paraId="71B72E2B">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 供应商符合招标文件规定的资格证明文件</w:t>
      </w:r>
    </w:p>
    <w:p w14:paraId="0A33EFA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 供应商应提供资格证明材料，以证实其各项条件能满足本章第3.1款规定的供应商资格条件要求。</w:t>
      </w:r>
    </w:p>
    <w:p w14:paraId="2CAD15B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16.2 供应商为联合体形式的，则应提交联合体各方资格文件、联合体协议，否则将视为非实质投标而被拒绝。</w:t>
      </w:r>
    </w:p>
    <w:p w14:paraId="09E7ED1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16.3 供应商应当提交符合招标文件规定的业绩证明文件，该证明文件作为投标文件的一部分，业绩证明文件要求详见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w:t>
      </w:r>
    </w:p>
    <w:p w14:paraId="457AC91A">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16.4 供应商在货物说明中应当说明货物的品牌型号、规格参数、制造商及原产地等，交货时应出具原产地证明及出厂合格证明。</w:t>
      </w:r>
    </w:p>
    <w:p w14:paraId="1EA2317A">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16.5 上述证明文件可以是文字资料、图纸和数据，并须提供：</w:t>
      </w:r>
    </w:p>
    <w:p w14:paraId="4DD7920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16.5.1 货物主要性能和参数的详细说明；</w:t>
      </w:r>
    </w:p>
    <w:p w14:paraId="5ABAA61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16.5.2 对照招标文件技术规格，逐条说明所提供货物和服务对招标文件的技术规格条文的响应与偏离。对有具体参数要求的指标，供应商应提供具体参数值。</w:t>
      </w:r>
    </w:p>
    <w:p w14:paraId="511AB356">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17. 投标保证金</w:t>
      </w:r>
    </w:p>
    <w:p w14:paraId="212DBB5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17.1 </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规定交纳投标保证金的，应按</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规定的形式、金额，在本章第11.1款规定的提交投标文件截止时间前，提交投标保证金。投标保证金有效期应当与本章第18.1款规定的投标文件有效期一致。</w:t>
      </w:r>
    </w:p>
    <w:p w14:paraId="0B7A3346">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17.2 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34E0E21">
      <w:pPr>
        <w:pStyle w:val="65"/>
        <w:spacing w:line="240" w:lineRule="auto"/>
        <w:ind w:firstLine="560"/>
        <w:jc w:val="both"/>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auto"/>
          <w:sz w:val="24"/>
          <w:szCs w:val="24"/>
          <w:highlight w:val="none"/>
        </w:rPr>
        <w:t>采购人或者采购代理机构应当自中标通知书发出之日起5个工作日内退还未中标人的投标保证金，自采购合同签订之日起5个工作日内退还中标人的投标保证金。</w:t>
      </w:r>
    </w:p>
    <w:p w14:paraId="0D8E21E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 有下列情形之一的，投标保证金不予退还：</w:t>
      </w:r>
    </w:p>
    <w:p w14:paraId="1DDB8E8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17.3.1 供应商在投标有效期内撤销投标文件的；</w:t>
      </w:r>
    </w:p>
    <w:p w14:paraId="3289E280">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17.3.2 中标后无正当理由不与采购人签订合同的</w:t>
      </w:r>
      <w:r>
        <w:rPr>
          <w:rFonts w:hint="eastAsia" w:asciiTheme="minorEastAsia" w:hAnsiTheme="minorEastAsia" w:eastAsiaTheme="minorEastAsia" w:cstheme="minorEastAsia"/>
          <w:color w:val="auto"/>
          <w:sz w:val="24"/>
          <w:szCs w:val="24"/>
          <w:highlight w:val="none"/>
          <w:lang w:eastAsia="zh-CN"/>
        </w:rPr>
        <w:t>；</w:t>
      </w:r>
    </w:p>
    <w:p w14:paraId="79F5B500">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17.3.3 将中标项目转让给他人，或者在投标文件中未说明，且未经采购人同意，将中标项目分包给他人的</w:t>
      </w:r>
      <w:r>
        <w:rPr>
          <w:rFonts w:hint="eastAsia" w:asciiTheme="minorEastAsia" w:hAnsiTheme="minorEastAsia" w:eastAsiaTheme="minorEastAsia" w:cstheme="minorEastAsia"/>
          <w:color w:val="auto"/>
          <w:sz w:val="24"/>
          <w:szCs w:val="24"/>
          <w:highlight w:val="none"/>
          <w:lang w:eastAsia="zh-CN"/>
        </w:rPr>
        <w:t>；</w:t>
      </w:r>
    </w:p>
    <w:p w14:paraId="30C3659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17.3.4 中标人未按招标文件规定缴纳履约保证金的；</w:t>
      </w:r>
    </w:p>
    <w:p w14:paraId="1548AC9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17.3.5 拒绝履行合同义务的。</w:t>
      </w:r>
    </w:p>
    <w:p w14:paraId="5F320DA1">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18. 投标有效期</w:t>
      </w:r>
    </w:p>
    <w:p w14:paraId="4589F1E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18.1 投标有效期见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，在此期间投标文件对供应商具有法律约束力，从本章第11.1款规定的提交投标文件截止时间之日起计算。投标文件有效期不足的将被视为</w:t>
      </w:r>
      <w:r>
        <w:rPr>
          <w:rFonts w:hint="eastAsia" w:asciiTheme="minorEastAsia" w:hAnsiTheme="minorEastAsia" w:eastAsiaTheme="minorEastAsia" w:cstheme="minorEastAsia"/>
          <w:b/>
          <w:bCs/>
          <w:color w:val="auto"/>
          <w:sz w:val="24"/>
          <w:szCs w:val="24"/>
          <w:highlight w:val="none"/>
        </w:rPr>
        <w:t>无效投标</w:t>
      </w:r>
      <w:r>
        <w:rPr>
          <w:rFonts w:hint="eastAsia" w:asciiTheme="minorEastAsia" w:hAnsiTheme="minorEastAsia" w:eastAsiaTheme="minorEastAsia" w:cstheme="minorEastAsia"/>
          <w:color w:val="auto"/>
          <w:sz w:val="24"/>
          <w:szCs w:val="24"/>
          <w:highlight w:val="none"/>
        </w:rPr>
        <w:t>。</w:t>
      </w:r>
    </w:p>
    <w:p w14:paraId="47F26C20">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18.2 投标文件中承诺的投标有效期应当不少于招标文件中载明的投标有效期。投标有效期内投标人撤销投标文件的，采购人或者采购代理机构可以不退还投标保证金。</w:t>
      </w:r>
    </w:p>
    <w:p w14:paraId="15EF4EB9">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19. 投标文件的签署</w:t>
      </w:r>
    </w:p>
    <w:p w14:paraId="0DF1CE7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19.1 投标文件的正本和副本应分别装订成册，正本一份，副本份数见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正本和副本的封面上应标记“正本”或“副本”的字样，正本与副本内容须保持一致，如正本与副本内容存在差异，按废标处理。封面标明所采购的项目名称、项目编号、采购人名称、供应商名称、供应商地址、联系人、联系电话及传真等内容。</w:t>
      </w:r>
    </w:p>
    <w:p w14:paraId="3F4AFAF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19.2 投标文件正本和副本应按招标文件要求签章处盖单位章和由法定代表人或其委托代理人签字；任何加行、涂改、增删，应有法定代表人或其委托代理人在旁边签字。</w:t>
      </w:r>
      <w:r>
        <w:rPr>
          <w:rFonts w:hint="eastAsia" w:asciiTheme="minorEastAsia" w:hAnsiTheme="minorEastAsia" w:eastAsiaTheme="minorEastAsia" w:cstheme="minorEastAsia"/>
          <w:b/>
          <w:bCs/>
          <w:color w:val="auto"/>
          <w:sz w:val="24"/>
          <w:szCs w:val="24"/>
          <w:highlight w:val="none"/>
        </w:rPr>
        <w:t>否则，将导致投标文件无效。</w:t>
      </w:r>
    </w:p>
    <w:p w14:paraId="174453C2">
      <w:pPr>
        <w:pStyle w:val="65"/>
        <w:spacing w:before="120" w:beforeLines="50" w:after="120" w:afterLines="50" w:line="240" w:lineRule="auto"/>
        <w:jc w:val="center"/>
        <w:rPr>
          <w:rFonts w:hint="eastAsia" w:asciiTheme="minorEastAsia" w:hAnsiTheme="minorEastAsia" w:eastAsiaTheme="minorEastAsia" w:cstheme="minorEastAsia"/>
          <w:b/>
          <w:bCs/>
          <w:color w:val="auto"/>
          <w:sz w:val="24"/>
          <w:szCs w:val="24"/>
          <w:highlight w:val="none"/>
        </w:rPr>
      </w:pPr>
    </w:p>
    <w:p w14:paraId="2D9CE5EE">
      <w:pPr>
        <w:pStyle w:val="65"/>
        <w:spacing w:before="120" w:beforeLines="50" w:after="120" w:afterLines="50"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四、投标文件的递交</w:t>
      </w:r>
    </w:p>
    <w:p w14:paraId="4B2D195F">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20. 投标文件的密封和标记</w:t>
      </w:r>
    </w:p>
    <w:p w14:paraId="03288CDC">
      <w:pPr>
        <w:pStyle w:val="65"/>
        <w:spacing w:line="240" w:lineRule="auto"/>
        <w:ind w:firstLine="56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20.1 供应商应在招标文件规定的响应文件递交截止时间前将电子响应文件上传到指定新疆政府采购网政采云平台。未在响应文件递交截止时间前完成上传的电子响应文件视为逾期送达。逾期上传或未按规定方式上传的电子响应文件，采购单位不予受理。</w:t>
      </w:r>
    </w:p>
    <w:p w14:paraId="725A7DBF">
      <w:pPr>
        <w:pStyle w:val="65"/>
        <w:spacing w:line="240" w:lineRule="auto"/>
        <w:ind w:firstLine="56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20.2 是否采用不见面开标详见投标须知前附表。若项目采用不见面开标，只需将电子响应文件在响应文件递交截止时间前通过新疆政府采购网政采云平台上传完成。逾期上传的或者未上传到平台的响应文件，采购人不予受理。</w:t>
      </w:r>
    </w:p>
    <w:p w14:paraId="0299D57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20.3 采购单位将拒绝并原封退回在规定的响应文件递交截止期后送达的任何响应文件。由于对网上操作不熟悉或自身电脑、网络的原因导致</w:t>
      </w:r>
      <w:r>
        <w:rPr>
          <w:rFonts w:hint="eastAsia" w:asciiTheme="minorEastAsia" w:hAnsiTheme="minorEastAsia" w:eastAsiaTheme="minorEastAsia" w:cstheme="minorEastAsia"/>
          <w:color w:val="auto"/>
          <w:sz w:val="24"/>
          <w:szCs w:val="24"/>
          <w:highlight w:val="none"/>
        </w:rPr>
        <w:t>不能在响应文件递交截止时间之前上传响应文件，新疆政府采购网政采云平台将不负任何责任。</w:t>
      </w:r>
    </w:p>
    <w:p w14:paraId="587AB561">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 投标文件的补充，修改或者撤回</w:t>
      </w:r>
    </w:p>
    <w:p w14:paraId="5CF65770">
      <w:pPr>
        <w:pStyle w:val="65"/>
        <w:spacing w:line="240" w:lineRule="auto"/>
        <w:ind w:firstLine="56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21.1 供应商在</w:t>
      </w:r>
      <w:r>
        <w:rPr>
          <w:rFonts w:hint="eastAsia" w:asciiTheme="minorEastAsia" w:hAnsiTheme="minorEastAsia" w:eastAsiaTheme="minorEastAsia" w:cstheme="minorEastAsia"/>
          <w:color w:val="auto"/>
          <w:sz w:val="24"/>
          <w:szCs w:val="24"/>
          <w:highlight w:val="none"/>
        </w:rPr>
        <w:t>招标</w:t>
      </w:r>
      <w:r>
        <w:rPr>
          <w:rFonts w:hint="eastAsia" w:asciiTheme="minorEastAsia" w:hAnsiTheme="minorEastAsia" w:eastAsiaTheme="minorEastAsia" w:cstheme="minorEastAsia"/>
          <w:color w:val="auto"/>
          <w:kern w:val="2"/>
          <w:sz w:val="24"/>
          <w:szCs w:val="24"/>
          <w:highlight w:val="none"/>
        </w:rPr>
        <w:t>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50C33F57">
      <w:pPr>
        <w:pStyle w:val="146"/>
        <w:topLinePunct/>
        <w:spacing w:line="240" w:lineRule="auto"/>
        <w:ind w:firstLine="56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21.22供应商所提交的响应文件在评审结束后，无论中标与否都不退还。</w:t>
      </w:r>
    </w:p>
    <w:p w14:paraId="79C1415E">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22. 投标文件的递交与接收</w:t>
      </w:r>
    </w:p>
    <w:p w14:paraId="222A0AB6">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 供应商应在本章第11.1款规定的投标截止时间前，将投标文件送达</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中指定的地点。在截止时间后送达的投标文件，采购人、采购代理机构应当拒收。</w:t>
      </w:r>
    </w:p>
    <w:p w14:paraId="6B1EE54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 如</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中要求提供样品的，应按要求在投标截止时间前提供样品及相关资料。</w:t>
      </w:r>
    </w:p>
    <w:p w14:paraId="27ED5CA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采购活动结束后，对于未中标人提供的样品，应当及时退还或者</w:t>
      </w:r>
      <w:r>
        <w:rPr>
          <w:rFonts w:hint="eastAsia" w:asciiTheme="minorEastAsia" w:hAnsiTheme="minorEastAsia" w:eastAsiaTheme="minorEastAsia" w:cstheme="minorEastAsia"/>
          <w:color w:val="auto"/>
          <w:sz w:val="24"/>
          <w:szCs w:val="24"/>
          <w:highlight w:val="none"/>
          <w:lang w:eastAsia="zh-CN"/>
        </w:rPr>
        <w:t>未经</w:t>
      </w:r>
      <w:r>
        <w:rPr>
          <w:rFonts w:hint="eastAsia" w:asciiTheme="minorEastAsia" w:hAnsiTheme="minorEastAsia" w:eastAsiaTheme="minorEastAsia" w:cstheme="minorEastAsia"/>
          <w:color w:val="auto"/>
          <w:sz w:val="24"/>
          <w:szCs w:val="24"/>
          <w:highlight w:val="none"/>
        </w:rPr>
        <w:t>中标人同意后自行处理；对于中标人提供的样品，应当按照招标文件的规定进行保管、封存，并作为履约验收的参考。</w:t>
      </w:r>
    </w:p>
    <w:p w14:paraId="015A31B3">
      <w:pPr>
        <w:pStyle w:val="65"/>
        <w:spacing w:before="120" w:beforeLines="50" w:after="120" w:afterLines="50" w:line="240" w:lineRule="auto"/>
        <w:jc w:val="center"/>
        <w:rPr>
          <w:rFonts w:hint="eastAsia" w:asciiTheme="minorEastAsia" w:hAnsiTheme="minorEastAsia" w:eastAsiaTheme="minorEastAsia" w:cstheme="minorEastAsia"/>
          <w:b/>
          <w:bCs/>
          <w:color w:val="auto"/>
          <w:sz w:val="24"/>
          <w:szCs w:val="24"/>
          <w:highlight w:val="none"/>
        </w:rPr>
      </w:pPr>
    </w:p>
    <w:p w14:paraId="3FB369DD">
      <w:pPr>
        <w:pStyle w:val="65"/>
        <w:spacing w:before="120" w:beforeLines="50" w:after="120" w:afterLines="50"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五、开标和评标</w:t>
      </w:r>
    </w:p>
    <w:p w14:paraId="6F005463">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23. 开标</w:t>
      </w:r>
    </w:p>
    <w:p w14:paraId="65CE7B4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 采购代理机构在招标文件规定的投标截止时间的同一时间即开标时间和规定的地点组织公开开标，开标由采购人或者采购代理机构主持，并邀请所有供应商法定代表人或其授权的代理人参加。评标委员会成员不得参加开标活动。</w:t>
      </w:r>
    </w:p>
    <w:p w14:paraId="733E8998">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 开标时，由采购人或者采购代理机构工作人员当众唱标，宣布投标人名称、投标价格和招标文件规定的需要宣布的其他内容，并记录在案。</w:t>
      </w:r>
    </w:p>
    <w:p w14:paraId="5A28DB98">
      <w:pPr>
        <w:pStyle w:val="65"/>
        <w:spacing w:line="240" w:lineRule="auto"/>
        <w:ind w:firstLine="56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投标人不足3家的，不得开标。</w:t>
      </w:r>
    </w:p>
    <w:p w14:paraId="12F7E910">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23.3 开标过程应当由采购人或者采购代理机构负责记录，由参加开标的采购人代表、监督人、记录人和相关工作人员签字确认后随采购文件一并存档。</w:t>
      </w:r>
    </w:p>
    <w:p w14:paraId="404050E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E124475">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23.4 公开招标数额标准以上的采购项目，投标截止时间后投标人不足3家或者通过资格审查或符合性审查的投标人不足3家的，除采购任务取消情形外，按照以下方式处理：</w:t>
      </w:r>
    </w:p>
    <w:p w14:paraId="235447E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（一）招标文件存在不合理条款或者招标程序不符合规定的，采购人、采购代理机构改正后依法重新招标；</w:t>
      </w:r>
    </w:p>
    <w:p w14:paraId="0518D170">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（二）招标文件没有不合理条款、招标程序符合规定，需要采用其他采购方式采购的，采购人应当依法报财政部门批准。</w:t>
      </w:r>
    </w:p>
    <w:p w14:paraId="497AB310">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23.5 公开招标采购项目开标结束后，采购人或者采购代理机构应当依法对投标人的资格进行审查。</w:t>
      </w:r>
    </w:p>
    <w:p w14:paraId="0CBFBCF2">
      <w:pPr>
        <w:pStyle w:val="65"/>
        <w:spacing w:line="240" w:lineRule="auto"/>
        <w:ind w:firstLine="56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合格投标人不足3家的，不得评标。</w:t>
      </w:r>
    </w:p>
    <w:p w14:paraId="65BE9E8A">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23.6 </w:t>
      </w:r>
      <w:r>
        <w:rPr>
          <w:rFonts w:hint="eastAsia" w:asciiTheme="minorEastAsia" w:hAnsiTheme="minorEastAsia" w:eastAsiaTheme="minorEastAsia" w:cstheme="minorEastAsia"/>
          <w:bCs/>
          <w:color w:val="auto"/>
          <w:sz w:val="24"/>
          <w:szCs w:val="24"/>
          <w:highlight w:val="none"/>
        </w:rPr>
        <w:t>投标人应当遵循公平竞争的原则，不得恶意串通，不得妨碍其他投标人的竞争行为，不得损害采购人或者其他投标人的合法权益。</w:t>
      </w:r>
    </w:p>
    <w:p w14:paraId="7629B746">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在评标过程中发现投标人有上述情形的，评标委员会应当认定其</w:t>
      </w:r>
      <w:r>
        <w:rPr>
          <w:rFonts w:hint="eastAsia" w:asciiTheme="minorEastAsia" w:hAnsiTheme="minorEastAsia" w:eastAsiaTheme="minorEastAsia" w:cstheme="minorEastAsia"/>
          <w:b/>
          <w:color w:val="auto"/>
          <w:sz w:val="24"/>
          <w:szCs w:val="24"/>
          <w:highlight w:val="none"/>
        </w:rPr>
        <w:t>投标无效</w:t>
      </w:r>
      <w:r>
        <w:rPr>
          <w:rFonts w:hint="eastAsia" w:asciiTheme="minorEastAsia" w:hAnsiTheme="minorEastAsia" w:eastAsiaTheme="minorEastAsia" w:cstheme="minorEastAsia"/>
          <w:bCs/>
          <w:color w:val="auto"/>
          <w:sz w:val="24"/>
          <w:szCs w:val="24"/>
          <w:highlight w:val="none"/>
        </w:rPr>
        <w:t>，并书面报告本级财政部门。</w:t>
      </w:r>
    </w:p>
    <w:p w14:paraId="1851A100">
      <w:pPr>
        <w:pStyle w:val="65"/>
        <w:spacing w:line="240" w:lineRule="auto"/>
        <w:ind w:firstLine="56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23.7 有下列情形之一的，视为投标人串通投标，其投标无效,并对供应商依照《</w:t>
      </w:r>
      <w:r>
        <w:rPr>
          <w:rFonts w:hint="eastAsia" w:asciiTheme="minorEastAsia" w:hAnsiTheme="minorEastAsia" w:eastAsiaTheme="minorEastAsia" w:cstheme="minorEastAsia"/>
          <w:b/>
          <w:color w:val="auto"/>
          <w:sz w:val="24"/>
          <w:szCs w:val="24"/>
          <w:highlight w:val="none"/>
          <w:lang w:eastAsia="zh-CN"/>
        </w:rPr>
        <w:t>中华人民共和国政府采购法</w:t>
      </w:r>
      <w:r>
        <w:rPr>
          <w:rFonts w:hint="eastAsia" w:asciiTheme="minorEastAsia" w:hAnsiTheme="minorEastAsia" w:eastAsiaTheme="minorEastAsia" w:cstheme="minorEastAsia"/>
          <w:b/>
          <w:color w:val="auto"/>
          <w:sz w:val="24"/>
          <w:szCs w:val="24"/>
          <w:highlight w:val="none"/>
        </w:rPr>
        <w:t>》第七十七条的规定追究法律责任：</w:t>
      </w:r>
    </w:p>
    <w:p w14:paraId="4926F32A">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（一）不同投标人的投标文件由同一单位或者个人编制；</w:t>
      </w:r>
    </w:p>
    <w:p w14:paraId="61BE7CC2">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（二）不同投标人委托同一单位或者个人办理投标事宜；</w:t>
      </w:r>
    </w:p>
    <w:p w14:paraId="743F7031">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w:t>
      </w:r>
      <w:r>
        <w:rPr>
          <w:rFonts w:hint="eastAsia" w:asciiTheme="minorEastAsia" w:hAnsiTheme="minorEastAsia" w:eastAsiaTheme="minorEastAsia" w:cstheme="minorEastAsia"/>
          <w:bCs/>
          <w:color w:val="auto"/>
          <w:spacing w:val="-9"/>
          <w:sz w:val="24"/>
          <w:szCs w:val="24"/>
          <w:highlight w:val="none"/>
        </w:rPr>
        <w:t>不同投标人的投标文件载明的项目管理成员或者联系人员为同一人；</w:t>
      </w:r>
    </w:p>
    <w:p w14:paraId="77C176C3">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（四）不同投标人的投标文件异常一致或者投标报价呈规律性差异；</w:t>
      </w:r>
    </w:p>
    <w:p w14:paraId="208A0487">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（五）不同投标人的投标文件相互混装；</w:t>
      </w:r>
    </w:p>
    <w:p w14:paraId="734EA6F3">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（六）不同投标人的投标保证金从同一单位或者个人的账户转出。</w:t>
      </w:r>
    </w:p>
    <w:p w14:paraId="2EDA2A72">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24. 评标委员会</w:t>
      </w:r>
    </w:p>
    <w:p w14:paraId="7A427AE1">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24.1 采购人或者采购代理机构负责组织评标工作，并履行下列职责：</w:t>
      </w:r>
    </w:p>
    <w:p w14:paraId="52AD85B9">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24.1.1核对评审专家身份和采购人代表授权函，对评审专家在政府采购活动中的职责履行情况予以记录，并及时将有关违法违规行为向财政部门报告；</w:t>
      </w:r>
    </w:p>
    <w:p w14:paraId="39C817DA">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24.1.2宣布评标纪律；</w:t>
      </w:r>
    </w:p>
    <w:p w14:paraId="2CBEC7AD">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24.1.3公布投标人名单，告知评审专家应当回避的情形；</w:t>
      </w:r>
    </w:p>
    <w:p w14:paraId="4C3FC405">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24.1.4组织评标委员会推选评标组长,采购人代表不得担任组长；</w:t>
      </w:r>
    </w:p>
    <w:p w14:paraId="1EDC15B5">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24.1.5在评标期间采取必要的通讯管理措施,保证评标活动不受外界干扰；</w:t>
      </w:r>
    </w:p>
    <w:p w14:paraId="0F3A3C53">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24.1.6根据评标委员会的要求介绍政府采购相关政策法规、招标文件；</w:t>
      </w:r>
    </w:p>
    <w:p w14:paraId="770D6050">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24.1.7维护评标秩序，监督评标委员会依照招标文件规定的评标程序、方法和标准进行独立评审，及时制止和纠正采购人代表、评审专家的倾向性言论或者违法违规行为；</w:t>
      </w:r>
    </w:p>
    <w:p w14:paraId="3F2B3077">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24.1.8核对评标结果，有本招标文件投标须知正文第25.10条规定情形的，要求评标委员会复核或者书面说明理由，评标委员会拒绝的，应予记录并向本级财政部门报告；</w:t>
      </w:r>
    </w:p>
    <w:p w14:paraId="37ACBDE2">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24.1.9评审工作完成后，按照规定向评审专家支付劳务报酬和异地评审差旅费，不得向评审专家以外的其他人员支付评审劳务报酬；</w:t>
      </w:r>
    </w:p>
    <w:p w14:paraId="51ACDE67">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24.1.10处理与评标有关的其他事项。</w:t>
      </w:r>
    </w:p>
    <w:p w14:paraId="46A7E101">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采购人可以在评标前说明项目背景和采购需求，说明内容不得含有歧视性、倾向性意见，不得超出招标文件所述范围。说明应当提交书面材料，并随采购文件一并存档。</w:t>
      </w:r>
    </w:p>
    <w:p w14:paraId="43F0602B">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24.2 评标委员会负责具体评标事务，并独立履行下列职责：</w:t>
      </w:r>
    </w:p>
    <w:p w14:paraId="3942F59D">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24.2.1</w:t>
      </w:r>
      <w:r>
        <w:rPr>
          <w:rFonts w:hint="eastAsia" w:asciiTheme="minorEastAsia" w:hAnsiTheme="minorEastAsia" w:eastAsiaTheme="minorEastAsia" w:cstheme="minorEastAsia"/>
          <w:spacing w:val="-9"/>
          <w:sz w:val="24"/>
          <w:szCs w:val="24"/>
          <w:highlight w:val="none"/>
        </w:rPr>
        <w:t>审查、评价投标文件是否符合招标文件的商务、技术等实质性要求；</w:t>
      </w:r>
    </w:p>
    <w:p w14:paraId="43F6611E">
      <w:pPr>
        <w:spacing w:line="240" w:lineRule="auto"/>
        <w:ind w:firstLine="561"/>
        <w:rPr>
          <w:rFonts w:hint="eastAsia" w:asciiTheme="minorEastAsia" w:hAnsiTheme="minorEastAsia" w:eastAsiaTheme="minorEastAsia" w:cstheme="minorEastAsia"/>
          <w:sz w:val="24"/>
          <w:szCs w:val="24"/>
          <w:highlight w:val="none"/>
        </w:rPr>
      </w:pPr>
      <w:bookmarkStart w:id="5" w:name="OLE_LINK4"/>
      <w:r>
        <w:rPr>
          <w:rFonts w:hint="eastAsia" w:asciiTheme="minorEastAsia" w:hAnsiTheme="minorEastAsia" w:eastAsiaTheme="minorEastAsia" w:cstheme="minorEastAsia"/>
          <w:sz w:val="24"/>
          <w:szCs w:val="24"/>
          <w:highlight w:val="none"/>
        </w:rPr>
        <w:t>24.2.</w:t>
      </w:r>
      <w:bookmarkEnd w:id="5"/>
      <w:r>
        <w:rPr>
          <w:rFonts w:hint="eastAsia" w:asciiTheme="minorEastAsia" w:hAnsiTheme="minorEastAsia" w:eastAsiaTheme="minorEastAsia" w:cstheme="minorEastAsia"/>
          <w:sz w:val="24"/>
          <w:szCs w:val="24"/>
          <w:highlight w:val="none"/>
        </w:rPr>
        <w:t>2要求投标人对投标文件有关事项作出澄清或者说明；</w:t>
      </w:r>
    </w:p>
    <w:p w14:paraId="0386F0DB">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24.2.3对投标文件进行比较和评价；</w:t>
      </w:r>
    </w:p>
    <w:p w14:paraId="0F9DF86D">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24.2.4确定中标候选人名单，以及根据采购人委托直接确定中标人；</w:t>
      </w:r>
    </w:p>
    <w:p w14:paraId="75A5C7B0">
      <w:pPr>
        <w:spacing w:line="240" w:lineRule="auto"/>
        <w:ind w:firstLine="561"/>
        <w:rPr>
          <w:rFonts w:hint="eastAsia" w:asciiTheme="minorEastAsia" w:hAnsiTheme="minorEastAsia" w:eastAsiaTheme="minorEastAsia" w:cstheme="minorEastAsia"/>
          <w:spacing w:val="-9"/>
          <w:sz w:val="24"/>
          <w:szCs w:val="24"/>
          <w:highlight w:val="none"/>
        </w:rPr>
      </w:pPr>
      <w:r>
        <w:rPr>
          <w:rFonts w:hint="eastAsia" w:asciiTheme="minorEastAsia" w:hAnsiTheme="minorEastAsia" w:eastAsiaTheme="minorEastAsia" w:cstheme="minorEastAsia"/>
          <w:sz w:val="24"/>
          <w:szCs w:val="24"/>
          <w:highlight w:val="none"/>
        </w:rPr>
        <w:t>24.2.5</w:t>
      </w:r>
      <w:r>
        <w:rPr>
          <w:rFonts w:hint="eastAsia" w:asciiTheme="minorEastAsia" w:hAnsiTheme="minorEastAsia" w:eastAsiaTheme="minorEastAsia" w:cstheme="minorEastAsia"/>
          <w:spacing w:val="-9"/>
          <w:sz w:val="24"/>
          <w:szCs w:val="24"/>
          <w:highlight w:val="none"/>
        </w:rPr>
        <w:t>向采购人、采购代理机构或者有关部门报告评标中发现的违法行为。</w:t>
      </w:r>
    </w:p>
    <w:p w14:paraId="7F0A9F40">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24.3 评标委员会由采购人代表和评审专家组成，成员人数应当为5人以上单数，其中评审专家不得少于成员总数的三分之二。评标委员会成员与供应商存在利害关系的，应当回避。</w:t>
      </w:r>
    </w:p>
    <w:p w14:paraId="7162BB7C">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rPr>
        <w:t>采购项目符合下列情形之一的，评标委员会成员人数应当为7人以上单数：</w:t>
      </w:r>
    </w:p>
    <w:p w14:paraId="0F516382">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（一）采购预算金额在1000万元以上；</w:t>
      </w:r>
    </w:p>
    <w:p w14:paraId="27D3B48D">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（二）技术复杂；</w:t>
      </w:r>
    </w:p>
    <w:p w14:paraId="6F149635">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（三）社会影响较大。</w:t>
      </w:r>
    </w:p>
    <w:p w14:paraId="68A3C281">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审专家对本单位的采购项目只能作为采购人代表参与评标，对技术复杂、专业性强的采购项目，通过随机方式难以确定合适评审专家的，经主管预算单位同意，采购人可以自行选定相应专业领域的评审专家情形除外。采购代理机构工作人员不得参加由本机构代理的政府采购项目的评标。</w:t>
      </w:r>
    </w:p>
    <w:p w14:paraId="15835543">
      <w:pPr>
        <w:spacing w:line="240" w:lineRule="auto"/>
        <w:ind w:firstLine="561"/>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评标委员会成员名单在评标结果公告前应当保密。</w:t>
      </w:r>
    </w:p>
    <w:p w14:paraId="45FE06CF">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24.4 采购人或者采购代理机构应当从省级以上财政部门设立的政府采购评审专家库中，通过随机方式抽取评审专家。</w:t>
      </w:r>
    </w:p>
    <w:p w14:paraId="2210A811">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对技术复杂、专业性强的采购项目，通过随机方式难以确定合适评审专家的，经主管预算单位同意，采购人可以自行选定相应专业领域的评审专家。</w:t>
      </w:r>
    </w:p>
    <w:p w14:paraId="0BE43034">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24.5 评标中因评标委员会成员缺席、回避或者健康等特殊原因导致评标委员会组成不符合《中华人民共和国政府采购法》《中华人民共和国政府采购法实施条例》《政府采购货物和服务招标投标管理办法</w:t>
      </w:r>
      <w:r>
        <w:rPr>
          <w:rFonts w:hint="eastAsia" w:asciiTheme="minorEastAsia" w:hAnsiTheme="minorEastAsia" w:eastAsiaTheme="minorEastAsia" w:cstheme="minorEastAsia"/>
          <w:sz w:val="24"/>
          <w:szCs w:val="24"/>
          <w:highlight w:val="none"/>
          <w:lang w:eastAsia="zh-CN"/>
        </w:rPr>
        <w:t>》等</w:t>
      </w:r>
      <w:r>
        <w:rPr>
          <w:rFonts w:hint="eastAsia" w:asciiTheme="minorEastAsia" w:hAnsiTheme="minorEastAsia" w:eastAsiaTheme="minorEastAsia" w:cstheme="minorEastAsia"/>
          <w:sz w:val="24"/>
          <w:szCs w:val="24"/>
          <w:highlight w:val="none"/>
        </w:rPr>
        <w:t>相关规定的，采购人或者采购代理机构应当依法补足后继续评标。被更换的评标委员会成员所作出的评标意见无效。</w:t>
      </w:r>
    </w:p>
    <w:p w14:paraId="71B144D5">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204CCB82">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采购人或者采购代理机构应当将变更、重新组建评标委员会的情况予以记录，并随采购文件一并存档。</w:t>
      </w:r>
    </w:p>
    <w:p w14:paraId="7FB9ACEE">
      <w:pPr>
        <w:spacing w:line="240" w:lineRule="auto"/>
        <w:ind w:firstLine="561"/>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24.6  采购人委派代表参加评审委员会的，要向采购代理机构出具授权函，采购人代表不得担任评标委员会主任委员</w:t>
      </w:r>
      <w:r>
        <w:rPr>
          <w:rFonts w:hint="eastAsia" w:asciiTheme="minorEastAsia" w:hAnsiTheme="minorEastAsia" w:eastAsiaTheme="minorEastAsia" w:cstheme="minorEastAsia"/>
          <w:snapToGrid w:val="0"/>
          <w:sz w:val="24"/>
          <w:szCs w:val="24"/>
          <w:highlight w:val="none"/>
        </w:rPr>
        <w:t>。</w:t>
      </w:r>
      <w:r>
        <w:rPr>
          <w:rFonts w:hint="eastAsia" w:asciiTheme="minorEastAsia" w:hAnsiTheme="minorEastAsia" w:eastAsiaTheme="minorEastAsia" w:cstheme="minorEastAsia"/>
          <w:b/>
          <w:sz w:val="24"/>
          <w:szCs w:val="24"/>
          <w:highlight w:val="none"/>
        </w:rPr>
        <w:t>除授权代表外，采购人可以委派纪检监察等相关人员进入评审现场，对评审工作实施监督，但不得超过２人。</w:t>
      </w:r>
    </w:p>
    <w:p w14:paraId="71C1C952">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24.7  评标委员会成员应认真执行《中华人民共和国政府采购法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中华人民共和国政府采购法实施条例</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政府采购货物和服务招标投标管理办法》及相关法</w:t>
      </w:r>
      <w:r>
        <w:rPr>
          <w:rFonts w:hint="eastAsia" w:asciiTheme="minorEastAsia" w:hAnsiTheme="minorEastAsia" w:eastAsiaTheme="minorEastAsia" w:cstheme="minorEastAsia"/>
          <w:color w:val="auto"/>
          <w:sz w:val="24"/>
          <w:szCs w:val="24"/>
          <w:highlight w:val="none"/>
          <w:lang w:eastAsia="zh-CN"/>
        </w:rPr>
        <w:t>规的</w:t>
      </w:r>
      <w:r>
        <w:rPr>
          <w:rFonts w:hint="eastAsia" w:asciiTheme="minorEastAsia" w:hAnsiTheme="minorEastAsia" w:eastAsiaTheme="minorEastAsia" w:cstheme="minorEastAsia"/>
          <w:color w:val="auto"/>
          <w:sz w:val="24"/>
          <w:szCs w:val="24"/>
          <w:highlight w:val="none"/>
        </w:rPr>
        <w:t>规定，同时维护采购人与供应商的合法权益。</w:t>
      </w:r>
    </w:p>
    <w:p w14:paraId="44CF14FA">
      <w:pPr>
        <w:pStyle w:val="65"/>
        <w:spacing w:line="240" w:lineRule="auto"/>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24.8 评标委员会及其成员不得有下列行为：</w:t>
      </w:r>
    </w:p>
    <w:p w14:paraId="08784A62">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（一）确定参与评标至评标结束前私自接触投标人；</w:t>
      </w:r>
    </w:p>
    <w:p w14:paraId="6D43CC78">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（二）接受投标人提出的与投标文件不一致的澄清或者说明，本招标文件投标须知正文第25.2条规定的情形除外；</w:t>
      </w:r>
    </w:p>
    <w:p w14:paraId="75289E77">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（三）违反评标纪律发表倾向性意见或者征询采购人的倾向性意见；</w:t>
      </w:r>
    </w:p>
    <w:p w14:paraId="491BCBBA">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（四）对需要专业判断的主观评审因素协商评分；</w:t>
      </w:r>
    </w:p>
    <w:p w14:paraId="28D4145E">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（五）在评标过程中擅离职守，影响评标程序正常进行的；</w:t>
      </w:r>
    </w:p>
    <w:p w14:paraId="12D94F39">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（六）记录、复制或者带走任何评标资料；</w:t>
      </w:r>
    </w:p>
    <w:p w14:paraId="7CD21DA0">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（七）其他不遵守评标纪律的行为。</w:t>
      </w:r>
    </w:p>
    <w:p w14:paraId="24A30B9B">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评标委员会成员有以上第一至五项行为之一的，其评审意见无效，并不得获取评审劳务报酬和报销异地评审差旅费。</w:t>
      </w:r>
    </w:p>
    <w:p w14:paraId="54532C1B">
      <w:pPr>
        <w:pStyle w:val="31"/>
        <w:widowControl w:val="0"/>
        <w:snapToGrid w:val="0"/>
        <w:spacing w:line="24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24.9评审委员会成员要严格遵守评审时间，主动出具身份证明，遵守评审工作纪律和评审回避的相关规定。在评审工作开始前，将手机等通讯工具或相关电子设备交由采购人或采购代理机构统一保管，拒不上交的，采购人或采购代理机构可以拒绝其参加评审工作并向财政部门报告。</w:t>
      </w:r>
    </w:p>
    <w:p w14:paraId="12821493">
      <w:pPr>
        <w:pStyle w:val="31"/>
        <w:widowControl w:val="0"/>
        <w:snapToGrid w:val="0"/>
        <w:spacing w:line="24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napToGrid w:val="0"/>
          <w:sz w:val="24"/>
          <w:szCs w:val="24"/>
          <w:highlight w:val="none"/>
        </w:rPr>
        <w:t>　　</w:t>
      </w:r>
      <w:r>
        <w:rPr>
          <w:rFonts w:hint="eastAsia" w:asciiTheme="minorEastAsia" w:hAnsiTheme="minorEastAsia" w:eastAsiaTheme="minorEastAsia" w:cstheme="minorEastAsia"/>
          <w:sz w:val="24"/>
          <w:szCs w:val="24"/>
          <w:highlight w:val="none"/>
        </w:rPr>
        <w:t>评审委员会成员和评审工作有关人员不得干预或者影响正常评审工作，不得明示或者暗示其倾向性、引导性意见，不得修改或细化采购文件确定的评审程序、评审方法、评审因素和评审标准，不得接受供应商主动提出的澄清和解释，不得征询采购人代表的倾向性意见，不得协商评分，不得记录、复制或带走任何评审资料。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09014FB4">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25. 评标</w:t>
      </w:r>
    </w:p>
    <w:p w14:paraId="5036FE1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25.1 评标委员会按照第三章“评标方法及标准”规定的评标方法、评审因素、标准和程序以及有关</w:t>
      </w:r>
      <w:r>
        <w:rPr>
          <w:rFonts w:hint="eastAsia" w:asciiTheme="minorEastAsia" w:hAnsiTheme="minorEastAsia" w:eastAsiaTheme="minorEastAsia" w:cstheme="minorEastAsia"/>
          <w:color w:val="auto"/>
          <w:sz w:val="24"/>
          <w:szCs w:val="24"/>
          <w:highlight w:val="none"/>
          <w:lang w:eastAsia="zh-CN"/>
        </w:rPr>
        <w:t>法律法规</w:t>
      </w:r>
      <w:r>
        <w:rPr>
          <w:rFonts w:hint="eastAsia" w:asciiTheme="minorEastAsia" w:hAnsiTheme="minorEastAsia" w:eastAsiaTheme="minorEastAsia" w:cstheme="minorEastAsia"/>
          <w:color w:val="auto"/>
          <w:sz w:val="24"/>
          <w:szCs w:val="24"/>
          <w:highlight w:val="none"/>
        </w:rPr>
        <w:t>及规章对投标文件进行评审，评标委员会应当对符合资格的投标人的投标文件进行符合性审查，以确定其是否满足招标文件的实质性要求。</w:t>
      </w:r>
    </w:p>
    <w:p w14:paraId="1368E3F5">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25.2 对于投标文件中含义不明确、同类问题表述不一致或者有明显文字和计算错误的内容，评标委员会应当以书面形式要求投标人作出必要的澄清、说明或者补正。</w:t>
      </w:r>
    </w:p>
    <w:p w14:paraId="508B9928">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196B7A16">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25.3 投标文件报价出现前后不一致的，除招标文件另有规定外，按照下列规定修正：</w:t>
      </w:r>
    </w:p>
    <w:p w14:paraId="5E65650A">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（一）投标文件中开标一览表（报价表）内容与投标文件中相应内容不一致的，以开标一览表（报价表）为准；</w:t>
      </w:r>
    </w:p>
    <w:p w14:paraId="4B8A9F95">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（二）大写金额和小写金额不一致的，以大写金额为准；</w:t>
      </w:r>
    </w:p>
    <w:p w14:paraId="7A7EDB7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（三）单价金额小数点或者百分比有明显错位的，以开标一览表的总价为准，并修改单价；</w:t>
      </w:r>
    </w:p>
    <w:p w14:paraId="01370A70">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（四）总价金额与按单价汇总金额不一致的，以单价金额计算结果为准。</w:t>
      </w:r>
    </w:p>
    <w:p w14:paraId="0EAFDDA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同时出现两种以上不一致的，按照前款规定的顺序修正。修正后的报价按照本招标文件投标须知正文第25.2款的规定经投标人确认后产生约束力，投标人不确认的，其投标无效。</w:t>
      </w:r>
    </w:p>
    <w:p w14:paraId="2C5111B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11794F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25.5 评标委员会成员对需要共同认定的事项存在争议的，应当按照少数服从多数的原则作出结论。持不同意见的评标委员会成员应当在评标报告上签署不同意见及理由，否则视为同意评标报告。</w:t>
      </w:r>
    </w:p>
    <w:p w14:paraId="1CCE2E1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25.6 评标委员会应当按照招标文件中规定的评标方法和标准，对资格性审查、符合性审查合格的投标文件进行商务和技术评估，综合比较与评价。</w:t>
      </w:r>
    </w:p>
    <w:p w14:paraId="1E4CEEE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25.7 本项目评标方法为综合评分法。</w:t>
      </w:r>
    </w:p>
    <w:p w14:paraId="11C15FF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25.7.1 综合评分法，是投标文件满足招标文件全部实质性要求，且按照评审因素的量化指标评审得分最高的投标人为中标候选人的评标方法。</w:t>
      </w:r>
    </w:p>
    <w:p w14:paraId="79720A3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评审因素的设定与投标人所提供货物服务的质量相关，包括投标报价、技术或者服务水平、履约能力、售后服务等。资格条件不得作为评审因素。</w:t>
      </w:r>
    </w:p>
    <w:p w14:paraId="15F5741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25.7.2 评标时，评标委员会各成员应当独立对每个投标人的投标文件进行评价，并汇总每个投标人的得分。</w:t>
      </w:r>
    </w:p>
    <w:p w14:paraId="03E74C55">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25.7.3 评标过程中，不得去掉报价中的最高报价和最低报价。</w:t>
      </w:r>
    </w:p>
    <w:p w14:paraId="2659862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25.7.4 因落实政府采购政策进行价格调整的，以调整后的价格计算评标基准价和投标报价。</w:t>
      </w:r>
    </w:p>
    <w:p w14:paraId="1A88CEF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25.8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B842C35">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25.9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022CC20">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25.10 评标结果汇总完成后，除下列情形外，任何人不得修改评标结果：</w:t>
      </w:r>
    </w:p>
    <w:p w14:paraId="18E32295">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（一）分值汇总计算错误的；</w:t>
      </w:r>
    </w:p>
    <w:p w14:paraId="55B3E04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（二）分项评分超出评分标准范围的；</w:t>
      </w:r>
    </w:p>
    <w:p w14:paraId="1A45C78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（三）评标委员会成员对客观评审因素评分不一致的；</w:t>
      </w:r>
    </w:p>
    <w:p w14:paraId="671AC67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（四）经评标委员会认定评分畸高、畸低的。</w:t>
      </w:r>
    </w:p>
    <w:p w14:paraId="17AB13A5">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6B7E4C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投标人对上述(一)～(四)项提出质疑的，采购人或者采购代理机构可以组织原评标委员会进行重新评审，重新评审改变评标结果的，应当书面报告本级财政部门。</w:t>
      </w:r>
    </w:p>
    <w:p w14:paraId="6BA0B07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25.11 评标委员会根据全体评标成员签字的原始评标记录和评标结果编写评标报告。评标报告应当包括以下内容：</w:t>
      </w:r>
    </w:p>
    <w:p w14:paraId="3565C9C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（一）招标公告刊登的媒体名称、开标日期和地点；</w:t>
      </w:r>
    </w:p>
    <w:p w14:paraId="325BA21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（二）投标人名单和评标委员会成员名单；</w:t>
      </w:r>
    </w:p>
    <w:p w14:paraId="14AD033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（三）评标方法和标准；</w:t>
      </w:r>
    </w:p>
    <w:p w14:paraId="6EEC0DB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（四）开标记录和评标情况及说明，包括无效投标人名单及原因；</w:t>
      </w:r>
    </w:p>
    <w:p w14:paraId="23643150">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（五）评标结果，确定的中标候选人名单或者经采购人委托直接确定的中标人；</w:t>
      </w:r>
    </w:p>
    <w:p w14:paraId="3EB489E5">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（六）其他需要说明的情况，包括评标过程中投标人根据评标委员会要求进行的澄清、说明或者补正，评标委员会成员的更换等。</w:t>
      </w:r>
    </w:p>
    <w:p w14:paraId="5201F47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25.12 采购人、采购代理机构应当采取必要措施加强评审现场管理，与评审工作无关的人员不得进入评审现场，保证评标在严格保密的情况下进行。除采购人代表、评标现场组织人员外，采购人的其他工作人员以及与评标工作无关的人员不得进入评标现场。各级财政部门对评审活动相关各方违反评审工作纪律及要求的行为，要依法严肃处理。</w:t>
      </w:r>
    </w:p>
    <w:p w14:paraId="463196C5">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有关人员对评标情况以及在评标过程中获悉的国家秘密、商业秘密负有保密责任。</w:t>
      </w:r>
    </w:p>
    <w:p w14:paraId="312053B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25.13 评标委员会或者其成员存在下列情形导致评标结果无效的，采购人、采购代理机构可以重新组建评标委员会进行评标，并书面报告本级财政部门，但采购合同已经履行的除外：</w:t>
      </w:r>
    </w:p>
    <w:p w14:paraId="44B4E23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（一）评标委员会组成不符合本招标文件规定的；</w:t>
      </w:r>
    </w:p>
    <w:p w14:paraId="19FB74A6">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（二）有本招标文件投标须知正文第24.8条第一至五项情形的；</w:t>
      </w:r>
    </w:p>
    <w:p w14:paraId="4CD8330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（三）评标委员会及其成员独立评标受到非法干预的；</w:t>
      </w:r>
    </w:p>
    <w:p w14:paraId="01C127C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（四）有《</w:t>
      </w:r>
      <w:r>
        <w:rPr>
          <w:rFonts w:hint="eastAsia" w:asciiTheme="minorEastAsia" w:hAnsiTheme="minorEastAsia" w:eastAsiaTheme="minorEastAsia" w:cstheme="minorEastAsia"/>
          <w:color w:val="auto"/>
          <w:sz w:val="24"/>
          <w:szCs w:val="24"/>
          <w:highlight w:val="none"/>
          <w:lang w:eastAsia="zh-CN"/>
        </w:rPr>
        <w:t>中华人民共和国政府采购法实施条例</w:t>
      </w:r>
      <w:r>
        <w:rPr>
          <w:rFonts w:hint="eastAsia" w:asciiTheme="minorEastAsia" w:hAnsiTheme="minorEastAsia" w:eastAsiaTheme="minorEastAsia" w:cstheme="minorEastAsia"/>
          <w:color w:val="auto"/>
          <w:sz w:val="24"/>
          <w:szCs w:val="24"/>
          <w:highlight w:val="none"/>
        </w:rPr>
        <w:t>》第七十五条规定的违法行为的。</w:t>
      </w:r>
    </w:p>
    <w:p w14:paraId="563C920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有违法违规行为的原评标委员会成员不得参加重新组建的评标委员会。</w:t>
      </w:r>
    </w:p>
    <w:p w14:paraId="7C1E3CD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25.14 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460109FF">
      <w:pPr>
        <w:pStyle w:val="65"/>
        <w:spacing w:line="240" w:lineRule="auto"/>
        <w:ind w:firstLine="56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26. 确定中标人</w:t>
      </w:r>
    </w:p>
    <w:p w14:paraId="31426B3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26.1 采购代理机构应当在评标结束后2个工作日内将评标报告送采购人。</w:t>
      </w:r>
    </w:p>
    <w:p w14:paraId="35E8F67A">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C66F156">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采购人在收到评标报告5个工作日内未按评标报告推荐的中标候选人顺序确定中标人，又不能说明合法理由的，视同按评标报告推荐的顺序确定排名第一的中标候选人为中标人。</w:t>
      </w:r>
    </w:p>
    <w:p w14:paraId="73B7288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26.2 采购人或者采购代理机构应当自中标人确定之日起2个工作日内，在省级以上财政部门指定的媒体上公告中标结果，招标文件应当随中标结果同时公告。</w:t>
      </w:r>
    </w:p>
    <w:p w14:paraId="44C9180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04762FD6">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中标公告期限为1个工作日。</w:t>
      </w:r>
    </w:p>
    <w:p w14:paraId="702BDAF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在公告中标结果的同时，采购人或者采购代理机构应当向中标人发出中标通知书；对未通过资格审查的投标人，应当告知其未通过的原因；采用综合评分法评审的，还应当告知未中标人本人的评审得分与排序。</w:t>
      </w:r>
    </w:p>
    <w:p w14:paraId="4B1E2686">
      <w:pPr>
        <w:pStyle w:val="65"/>
        <w:spacing w:line="240" w:lineRule="auto"/>
        <w:ind w:firstLine="560"/>
        <w:jc w:val="both"/>
        <w:rPr>
          <w:rFonts w:hint="eastAsia" w:asciiTheme="minorEastAsia" w:hAnsiTheme="minorEastAsia" w:eastAsiaTheme="minorEastAsia" w:cstheme="minorEastAsia"/>
          <w:color w:val="auto"/>
          <w:spacing w:val="-17"/>
          <w:sz w:val="24"/>
          <w:szCs w:val="24"/>
          <w:highlight w:val="none"/>
        </w:rPr>
      </w:pPr>
      <w:r>
        <w:rPr>
          <w:rFonts w:hint="eastAsia" w:asciiTheme="minorEastAsia" w:hAnsiTheme="minorEastAsia" w:eastAsiaTheme="minorEastAsia" w:cstheme="minorEastAsia"/>
          <w:color w:val="auto"/>
          <w:sz w:val="24"/>
          <w:szCs w:val="24"/>
          <w:highlight w:val="none"/>
        </w:rPr>
        <w:t>26.3 采购人不保证将合同授予最低投标报价的供应商。采购人应当确定排名第一的中标候选人为中标供应商。排名第一的中标候选人放弃中标、因不可抗力提出不能履行合同，或者招标文件规定应当提交履约保证金而在规定的期限内未能提交的，采购人可以确定排名第二的中标候选人为中</w:t>
      </w:r>
      <w:r>
        <w:rPr>
          <w:rFonts w:hint="eastAsia" w:asciiTheme="minorEastAsia" w:hAnsiTheme="minorEastAsia" w:eastAsiaTheme="minorEastAsia" w:cstheme="minorEastAsia"/>
          <w:color w:val="auto"/>
          <w:sz w:val="24"/>
          <w:szCs w:val="24"/>
          <w:highlight w:val="none"/>
          <w:shd w:val="clear" w:color="auto" w:fill="FFFFFF"/>
        </w:rPr>
        <w:t>标供应商。</w:t>
      </w:r>
    </w:p>
    <w:p w14:paraId="162BCF48">
      <w:pPr>
        <w:pStyle w:val="65"/>
        <w:spacing w:line="240" w:lineRule="auto"/>
        <w:ind w:firstLine="560"/>
        <w:jc w:val="both"/>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 xml:space="preserve">26.4 </w:t>
      </w:r>
      <w:r>
        <w:rPr>
          <w:rFonts w:hint="eastAsia" w:asciiTheme="minorEastAsia" w:hAnsiTheme="minorEastAsia" w:eastAsiaTheme="minorEastAsia" w:cstheme="minorEastAsia"/>
          <w:color w:val="auto"/>
          <w:sz w:val="24"/>
          <w:szCs w:val="24"/>
          <w:highlight w:val="none"/>
          <w:shd w:val="clear" w:color="auto" w:fill="FFFFFF"/>
        </w:rPr>
        <w:t>在确定中标供应商前，招标采购单位不得与投标供应商就投标价格、投标方案等实质性内容进行谈判。</w:t>
      </w:r>
    </w:p>
    <w:p w14:paraId="78278254">
      <w:pPr>
        <w:pStyle w:val="65"/>
        <w:spacing w:line="240" w:lineRule="auto"/>
        <w:ind w:firstLine="56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 xml:space="preserve">26.5 </w:t>
      </w:r>
      <w:r>
        <w:rPr>
          <w:rFonts w:hint="eastAsia" w:asciiTheme="minorEastAsia" w:hAnsiTheme="minorEastAsia" w:eastAsiaTheme="minorEastAsia" w:cstheme="minorEastAsia"/>
          <w:color w:val="auto"/>
          <w:sz w:val="24"/>
          <w:szCs w:val="24"/>
          <w:highlight w:val="none"/>
          <w:shd w:val="clear" w:color="auto" w:fill="FFFFFF"/>
        </w:rPr>
        <w:t>采购人有权在定标之前拒绝任何有不正当行为或扰乱正常招标工作的供应商，由此对供应商造成的损失不负任何责任，同时对此也不做任何解释。</w:t>
      </w:r>
    </w:p>
    <w:p w14:paraId="37E313CF">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27. 招标终止</w:t>
      </w:r>
    </w:p>
    <w:p w14:paraId="3379BC9F">
      <w:pPr>
        <w:pStyle w:val="31"/>
        <w:widowControl w:val="0"/>
        <w:spacing w:line="24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27.1 在招标采购中，出现下列情形之一的，应予废标：</w:t>
      </w:r>
    </w:p>
    <w:p w14:paraId="36E4D3D5">
      <w:pPr>
        <w:pStyle w:val="31"/>
        <w:widowControl w:val="0"/>
        <w:spacing w:line="240" w:lineRule="auto"/>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rPr>
        <w:t>　　</w:t>
      </w:r>
      <w:r>
        <w:rPr>
          <w:rFonts w:hint="eastAsia" w:asciiTheme="minorEastAsia" w:hAnsiTheme="minorEastAsia" w:eastAsiaTheme="minorEastAsia" w:cstheme="minorEastAsia"/>
          <w:sz w:val="24"/>
          <w:szCs w:val="24"/>
          <w:highlight w:val="none"/>
          <w:shd w:val="clear" w:color="auto" w:fill="FFFFFF"/>
        </w:rPr>
        <w:t>（一）符合专业条件的供应商或者对招标文件作实质响应的供应商不足三家的；</w:t>
      </w:r>
    </w:p>
    <w:p w14:paraId="7A537CD2">
      <w:pPr>
        <w:pStyle w:val="31"/>
        <w:widowControl w:val="0"/>
        <w:spacing w:line="240" w:lineRule="auto"/>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　　（二）出现影响采购公正的违法、违规行为的；</w:t>
      </w:r>
    </w:p>
    <w:p w14:paraId="28F4207B">
      <w:pPr>
        <w:pStyle w:val="31"/>
        <w:widowControl w:val="0"/>
        <w:spacing w:line="240" w:lineRule="auto"/>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　　（三）投标人的报价均超过了采购预算，采购人不能支付的；</w:t>
      </w:r>
    </w:p>
    <w:p w14:paraId="1F7725FA">
      <w:pPr>
        <w:pStyle w:val="31"/>
        <w:widowControl w:val="0"/>
        <w:spacing w:line="240" w:lineRule="auto"/>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　　（四）因重大变故，采购任务取消的。</w:t>
      </w:r>
    </w:p>
    <w:p w14:paraId="5F39A5DE">
      <w:pPr>
        <w:pStyle w:val="31"/>
        <w:widowControl w:val="0"/>
        <w:spacing w:line="240" w:lineRule="auto"/>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　　废标后，采购人应当将废标理由通知所有投标人。</w:t>
      </w:r>
    </w:p>
    <w:p w14:paraId="71C89596">
      <w:pPr>
        <w:pStyle w:val="31"/>
        <w:widowControl w:val="0"/>
        <w:spacing w:line="240" w:lineRule="auto"/>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　　废标后，除采购任务取消情形外，应当重新组织招标；需要采取其他方式采购的，应当在采购活动开始前获得设区的市、自治州以上人民政府采购监督管理部门或者政府有关部门批准。</w:t>
      </w:r>
    </w:p>
    <w:p w14:paraId="04F64CC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27.2 出现下列情形之一的，采购人或者采购代理机构应当终止招标采购活动，在财政部门指定的媒体上发布项目终止公告并说明原因，重新开展采购活动：</w:t>
      </w:r>
    </w:p>
    <w:p w14:paraId="16CB57A2">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27.2.1 因情况变化，不再符合规定的招标采购方式适用情形的</w:t>
      </w:r>
      <w:r>
        <w:rPr>
          <w:rFonts w:hint="eastAsia" w:asciiTheme="minorEastAsia" w:hAnsiTheme="minorEastAsia" w:eastAsiaTheme="minorEastAsia" w:cstheme="minorEastAsia"/>
          <w:color w:val="auto"/>
          <w:sz w:val="24"/>
          <w:szCs w:val="24"/>
          <w:highlight w:val="none"/>
          <w:lang w:eastAsia="zh-CN"/>
        </w:rPr>
        <w:t>；</w:t>
      </w:r>
    </w:p>
    <w:p w14:paraId="3BD37DA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27.2.2 出现影响采购公正的违法、违规行为的；</w:t>
      </w:r>
    </w:p>
    <w:p w14:paraId="1113A26C">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27.2.3 已确定中标人但尚未签订政府采购合同的，中标结果无效，从合格的中标候选人中另行确定中标人；没有合格的中标候选人的</w:t>
      </w:r>
      <w:r>
        <w:rPr>
          <w:rFonts w:hint="eastAsia" w:asciiTheme="minorEastAsia" w:hAnsiTheme="minorEastAsia" w:eastAsiaTheme="minorEastAsia" w:cstheme="minorEastAsia"/>
          <w:color w:val="auto"/>
          <w:sz w:val="24"/>
          <w:szCs w:val="24"/>
          <w:highlight w:val="none"/>
          <w:lang w:eastAsia="zh-CN"/>
        </w:rPr>
        <w:t>；</w:t>
      </w:r>
    </w:p>
    <w:p w14:paraId="0FABECA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27.2.4 政府采购合同已签订但尚未履行的，撤销合同，从合格的供应商中另行确定中标人，没有合格的中标人的；</w:t>
      </w:r>
    </w:p>
    <w:p w14:paraId="5A26E1C8">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27.2.5 因重大变故，采购任务取消的。</w:t>
      </w:r>
    </w:p>
    <w:p w14:paraId="6BF9BC4A">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28. 重新评审</w:t>
      </w:r>
    </w:p>
    <w:p w14:paraId="61C4AAD0">
      <w:pPr>
        <w:pStyle w:val="65"/>
        <w:spacing w:line="240" w:lineRule="auto"/>
        <w:ind w:firstLine="560"/>
        <w:jc w:val="both"/>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28.1 除本须知第25.10所述情形外，采购人或者采购代理机构不能以任何理由组织重新评审。采购人、采购代理机构发现评标委员会未按照招标文件规定的评标标准进行评审的，应当重新开展采购活动，并同时书面报告本级财政部门。</w:t>
      </w:r>
    </w:p>
    <w:p w14:paraId="56D8F73D">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29. 保密与纪律事项</w:t>
      </w:r>
    </w:p>
    <w:p w14:paraId="404F4786">
      <w:pPr>
        <w:pStyle w:val="65"/>
        <w:spacing w:line="240" w:lineRule="auto"/>
        <w:ind w:firstLine="560"/>
        <w:jc w:val="both"/>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 xml:space="preserve">29.1 </w:t>
      </w:r>
      <w:r>
        <w:rPr>
          <w:rFonts w:hint="eastAsia" w:asciiTheme="minorEastAsia" w:hAnsiTheme="minorEastAsia" w:eastAsiaTheme="minorEastAsia" w:cstheme="minorEastAsia"/>
          <w:color w:val="auto"/>
          <w:sz w:val="24"/>
          <w:szCs w:val="24"/>
          <w:highlight w:val="none"/>
          <w:shd w:val="clear" w:color="auto" w:fill="FFFFFF"/>
        </w:rPr>
        <w:t>评标委员会成员以及与评标工作有关的人员不得泄露评审情况以及评标过程中获悉的国家秘密、商业秘密。</w:t>
      </w:r>
    </w:p>
    <w:p w14:paraId="3CF11B06">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shd w:val="clear" w:color="auto" w:fill="FFFFFF"/>
        </w:rPr>
        <w:t>评标过程保密是指评标开始后评标委员会对供应商资格审查开始至中标公告期结束、中标通知书发出等与项目相关所有的文字、评标委员会的对</w:t>
      </w:r>
      <w:r>
        <w:rPr>
          <w:rFonts w:hint="eastAsia" w:asciiTheme="minorEastAsia" w:hAnsiTheme="minorEastAsia" w:eastAsiaTheme="minorEastAsia" w:cstheme="minorEastAsia"/>
          <w:kern w:val="0"/>
          <w:sz w:val="24"/>
          <w:szCs w:val="24"/>
          <w:highlight w:val="none"/>
        </w:rPr>
        <w:t>话、音视频等相关资料的保密，如与采购项目相关的采购人、采购代理机构、评审委员会及公共资源交易中心人员及其他相关人员泄密，从而导致评标结果出现不公正性，我公司将根据《</w:t>
      </w:r>
      <w:r>
        <w:rPr>
          <w:rFonts w:hint="eastAsia" w:asciiTheme="minorEastAsia" w:hAnsiTheme="minorEastAsia" w:eastAsiaTheme="minorEastAsia" w:cstheme="minorEastAsia"/>
          <w:kern w:val="0"/>
          <w:sz w:val="24"/>
          <w:szCs w:val="24"/>
          <w:highlight w:val="none"/>
          <w:lang w:eastAsia="zh-CN"/>
        </w:rPr>
        <w:t>中华人民共和国政府采购法</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eastAsia="zh-CN"/>
        </w:rPr>
        <w:t>中华人民共和国政府采购法实施条例</w:t>
      </w:r>
      <w:r>
        <w:rPr>
          <w:rFonts w:hint="eastAsia" w:asciiTheme="minorEastAsia" w:hAnsiTheme="minorEastAsia" w:eastAsiaTheme="minorEastAsia" w:cstheme="minorEastAsia"/>
          <w:kern w:val="0"/>
          <w:sz w:val="24"/>
          <w:szCs w:val="24"/>
          <w:highlight w:val="none"/>
        </w:rPr>
        <w:t>》及相关法律法</w:t>
      </w:r>
      <w:r>
        <w:rPr>
          <w:rFonts w:hint="eastAsia" w:asciiTheme="minorEastAsia" w:hAnsiTheme="minorEastAsia" w:eastAsiaTheme="minorEastAsia" w:cstheme="minorEastAsia"/>
          <w:kern w:val="0"/>
          <w:sz w:val="24"/>
          <w:szCs w:val="24"/>
          <w:highlight w:val="none"/>
          <w:lang w:eastAsia="zh-CN"/>
        </w:rPr>
        <w:t>规的</w:t>
      </w:r>
      <w:r>
        <w:rPr>
          <w:rFonts w:hint="eastAsia" w:asciiTheme="minorEastAsia" w:hAnsiTheme="minorEastAsia" w:eastAsiaTheme="minorEastAsia" w:cstheme="minorEastAsia"/>
          <w:kern w:val="0"/>
          <w:sz w:val="24"/>
          <w:szCs w:val="24"/>
          <w:highlight w:val="none"/>
        </w:rPr>
        <w:t>规定将责任人提请上级行政主管部门追究其责任；构成犯罪的，将提请司法机关依法追究其刑事责任。</w:t>
      </w:r>
    </w:p>
    <w:p w14:paraId="748F969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29.2 供应商不得与采购人、采购代理机构、其他供应商恶意串通；不得向采购人、采购代理机构或者评标委员会成员行贿或者提供其他不正当利益；不得提供虚假材料谋取中标；不得以任何方式干扰、影响采购工作。</w:t>
      </w:r>
    </w:p>
    <w:p w14:paraId="6155895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29.3 有下列情形之一的，属于恶意串通，中标无效，并依照《</w:t>
      </w:r>
      <w:r>
        <w:rPr>
          <w:rFonts w:hint="eastAsia" w:asciiTheme="minorEastAsia" w:hAnsiTheme="minorEastAsia" w:eastAsiaTheme="minorEastAsia" w:cstheme="minorEastAsia"/>
          <w:color w:val="auto"/>
          <w:sz w:val="24"/>
          <w:szCs w:val="24"/>
          <w:highlight w:val="none"/>
          <w:lang w:eastAsia="zh-CN"/>
        </w:rPr>
        <w:t>中华人民共和国政府采购法</w:t>
      </w:r>
      <w:r>
        <w:rPr>
          <w:rFonts w:hint="eastAsia" w:asciiTheme="minorEastAsia" w:hAnsiTheme="minorEastAsia" w:eastAsiaTheme="minorEastAsia" w:cstheme="minorEastAsia"/>
          <w:color w:val="auto"/>
          <w:sz w:val="24"/>
          <w:szCs w:val="24"/>
          <w:highlight w:val="none"/>
        </w:rPr>
        <w:t>》第七十七条的规定追究法律责任：</w:t>
      </w:r>
    </w:p>
    <w:p w14:paraId="3F019090">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29.3.1 供应商直接或者间接从采购人、采购代理机构获得其他供应商的投标情况，并修改其投标文件的；</w:t>
      </w:r>
    </w:p>
    <w:p w14:paraId="3FF9007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29.3.2 采购人、采购代理机构授意投标供应商撤换、修改投标文件的；</w:t>
      </w:r>
    </w:p>
    <w:p w14:paraId="32B9CB19">
      <w:pPr>
        <w:pStyle w:val="65"/>
        <w:spacing w:line="240" w:lineRule="auto"/>
        <w:ind w:firstLine="560"/>
        <w:jc w:val="both"/>
        <w:rPr>
          <w:rFonts w:hint="eastAsia" w:asciiTheme="minorEastAsia" w:hAnsiTheme="minorEastAsia" w:eastAsiaTheme="minorEastAsia" w:cstheme="minorEastAsia"/>
          <w:color w:val="auto"/>
          <w:spacing w:val="-17"/>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29.3.3 </w:t>
      </w:r>
      <w:r>
        <w:rPr>
          <w:rFonts w:hint="eastAsia" w:asciiTheme="minorEastAsia" w:hAnsiTheme="minorEastAsia" w:eastAsiaTheme="minorEastAsia" w:cstheme="minorEastAsia"/>
          <w:color w:val="auto"/>
          <w:spacing w:val="-17"/>
          <w:sz w:val="24"/>
          <w:szCs w:val="24"/>
          <w:highlight w:val="none"/>
        </w:rPr>
        <w:t>供应商之间协商技术方案、合同条款以及报价等投标文件实质性内容的</w:t>
      </w:r>
      <w:r>
        <w:rPr>
          <w:rFonts w:hint="eastAsia" w:asciiTheme="minorEastAsia" w:hAnsiTheme="minorEastAsia" w:eastAsiaTheme="minorEastAsia" w:cstheme="minorEastAsia"/>
          <w:color w:val="auto"/>
          <w:spacing w:val="-17"/>
          <w:sz w:val="24"/>
          <w:szCs w:val="24"/>
          <w:highlight w:val="none"/>
          <w:lang w:eastAsia="zh-CN"/>
        </w:rPr>
        <w:t>；</w:t>
      </w:r>
    </w:p>
    <w:p w14:paraId="6252CB8A">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29.3.4 属于同一集团、协会、商会等组织成员的供应商按照该组织要求协同参加政府采购活动的；</w:t>
      </w:r>
    </w:p>
    <w:p w14:paraId="69CA7B75">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29.3.5 供应商之间事先约定由某一特定投标供应商中标的；</w:t>
      </w:r>
    </w:p>
    <w:p w14:paraId="34B0DED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29.3.6 供应商之间商定部分供应商放弃提交投标文件或者退出招标或者放弃中标的；</w:t>
      </w:r>
    </w:p>
    <w:p w14:paraId="03493850">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29.3.7 </w:t>
      </w:r>
      <w:r>
        <w:rPr>
          <w:rFonts w:hint="eastAsia" w:asciiTheme="minorEastAsia" w:hAnsiTheme="minorEastAsia" w:eastAsiaTheme="minorEastAsia" w:cstheme="minorEastAsia"/>
          <w:color w:val="auto"/>
          <w:spacing w:val="-17"/>
          <w:sz w:val="24"/>
          <w:szCs w:val="24"/>
          <w:highlight w:val="none"/>
        </w:rPr>
        <w:t>供应商与采购人、采购代理机构以及评标委员会成员之间、供应商相互之间，为谋求特定供应商中标或者排斥其他供应商的其他串通行为的。</w:t>
      </w:r>
    </w:p>
    <w:p w14:paraId="708B8E6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29.3.8 法律、行政法规或规章规定的其他串通行为。</w:t>
      </w:r>
    </w:p>
    <w:p w14:paraId="28177BE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29.4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9E9AC10">
      <w:pPr>
        <w:pStyle w:val="31"/>
        <w:widowControl w:val="0"/>
        <w:spacing w:line="24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（一）提供虚假材料谋取中标的；</w:t>
      </w:r>
    </w:p>
    <w:p w14:paraId="260DE54E">
      <w:pPr>
        <w:pStyle w:val="31"/>
        <w:widowControl w:val="0"/>
        <w:spacing w:line="24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（二）采取不正当手段诋毁、排挤其他供应商的；</w:t>
      </w:r>
    </w:p>
    <w:p w14:paraId="1DE510EB">
      <w:pPr>
        <w:pStyle w:val="31"/>
        <w:widowControl w:val="0"/>
        <w:spacing w:line="24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（三）与采购人、其他供应商或者采购代理机构恶意串通的；</w:t>
      </w:r>
    </w:p>
    <w:p w14:paraId="54F83D3A">
      <w:pPr>
        <w:pStyle w:val="31"/>
        <w:widowControl w:val="0"/>
        <w:spacing w:line="24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（四）向采购人、采购代理机构行贿或者提供其他不正当利益的；</w:t>
      </w:r>
    </w:p>
    <w:p w14:paraId="2FAA538E">
      <w:pPr>
        <w:pStyle w:val="31"/>
        <w:widowControl w:val="0"/>
        <w:spacing w:line="24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（五）在招标采购过程中与采购人进行协商谈判的；</w:t>
      </w:r>
    </w:p>
    <w:p w14:paraId="46738866">
      <w:pPr>
        <w:pStyle w:val="31"/>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（六）拒绝有关部门监督检查或者提供虚假情况的。</w:t>
      </w:r>
    </w:p>
    <w:p w14:paraId="5236C423">
      <w:pPr>
        <w:pStyle w:val="31"/>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供应商有上述第（一）至（</w:t>
      </w:r>
      <w:r>
        <w:rPr>
          <w:rFonts w:hint="eastAsia" w:asciiTheme="minorEastAsia" w:hAnsiTheme="minorEastAsia" w:eastAsiaTheme="minorEastAsia" w:cstheme="minorEastAsia"/>
          <w:sz w:val="24"/>
          <w:szCs w:val="24"/>
          <w:highlight w:val="none"/>
          <w:lang w:eastAsia="zh-CN"/>
        </w:rPr>
        <w:t>六</w:t>
      </w:r>
      <w:r>
        <w:rPr>
          <w:rFonts w:hint="eastAsia" w:asciiTheme="minorEastAsia" w:hAnsiTheme="minorEastAsia" w:eastAsiaTheme="minorEastAsia" w:cstheme="minorEastAsia"/>
          <w:sz w:val="24"/>
          <w:szCs w:val="24"/>
          <w:highlight w:val="none"/>
        </w:rPr>
        <w:t>）项情形之一的，中标无效。</w:t>
      </w:r>
    </w:p>
    <w:p w14:paraId="37F2FD5F">
      <w:pPr>
        <w:pStyle w:val="31"/>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29.5 供应商有下列情形之一的，依照《</w:t>
      </w:r>
      <w:r>
        <w:rPr>
          <w:rFonts w:hint="eastAsia" w:asciiTheme="minorEastAsia" w:hAnsiTheme="minorEastAsia" w:eastAsiaTheme="minorEastAsia" w:cstheme="minorEastAsia"/>
          <w:sz w:val="24"/>
          <w:szCs w:val="24"/>
          <w:highlight w:val="none"/>
          <w:lang w:eastAsia="zh-CN"/>
        </w:rPr>
        <w:t>中华人民共和国政府采购法</w:t>
      </w:r>
      <w:r>
        <w:rPr>
          <w:rFonts w:hint="eastAsia" w:asciiTheme="minorEastAsia" w:hAnsiTheme="minorEastAsia" w:eastAsiaTheme="minorEastAsia" w:cstheme="minorEastAsia"/>
          <w:sz w:val="24"/>
          <w:szCs w:val="24"/>
          <w:highlight w:val="none"/>
        </w:rPr>
        <w:t>》第七十七条第一款的规定追究法律责任：</w:t>
      </w:r>
    </w:p>
    <w:p w14:paraId="4F332FB3">
      <w:pPr>
        <w:pStyle w:val="31"/>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（一）向评标委员会成员行贿或者提供其他不正当利益；</w:t>
      </w:r>
    </w:p>
    <w:p w14:paraId="544C038F">
      <w:pPr>
        <w:pStyle w:val="31"/>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（二）中标后无正当理由拒不与采购人签订政府采购合同；</w:t>
      </w:r>
    </w:p>
    <w:p w14:paraId="36926483">
      <w:pPr>
        <w:pStyle w:val="31"/>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（三）未按照采购文件确定的事项签订政府采购合同；</w:t>
      </w:r>
    </w:p>
    <w:p w14:paraId="393D4607">
      <w:pPr>
        <w:pStyle w:val="31"/>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（四）将政府采购合同转包；</w:t>
      </w:r>
    </w:p>
    <w:p w14:paraId="280A2304">
      <w:pPr>
        <w:pStyle w:val="31"/>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（五）提供假冒伪劣产品；</w:t>
      </w:r>
    </w:p>
    <w:p w14:paraId="62EC8EDC">
      <w:pPr>
        <w:pStyle w:val="31"/>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（六）擅自变更、</w:t>
      </w:r>
      <w:r>
        <w:rPr>
          <w:rFonts w:hint="eastAsia" w:asciiTheme="minorEastAsia" w:hAnsiTheme="minorEastAsia" w:eastAsiaTheme="minorEastAsia" w:cstheme="minorEastAsia"/>
          <w:sz w:val="24"/>
          <w:szCs w:val="24"/>
          <w:highlight w:val="none"/>
          <w:lang w:eastAsia="zh-CN"/>
        </w:rPr>
        <w:t>终止</w:t>
      </w:r>
      <w:r>
        <w:rPr>
          <w:rFonts w:hint="eastAsia" w:asciiTheme="minorEastAsia" w:hAnsiTheme="minorEastAsia" w:eastAsiaTheme="minorEastAsia" w:cstheme="minorEastAsia"/>
          <w:sz w:val="24"/>
          <w:szCs w:val="24"/>
          <w:highlight w:val="none"/>
        </w:rPr>
        <w:t>或者终止政府采购合同。</w:t>
      </w:r>
    </w:p>
    <w:p w14:paraId="037EB8B5">
      <w:pPr>
        <w:pStyle w:val="31"/>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供应商有上述第一项规定情形的，中标无效。评审阶段资格发生变化，供应商未依照《</w:t>
      </w:r>
      <w:r>
        <w:rPr>
          <w:rFonts w:hint="eastAsia" w:asciiTheme="minorEastAsia" w:hAnsiTheme="minorEastAsia" w:eastAsiaTheme="minorEastAsia" w:cstheme="minorEastAsia"/>
          <w:sz w:val="24"/>
          <w:szCs w:val="24"/>
          <w:highlight w:val="none"/>
          <w:lang w:eastAsia="zh-CN"/>
        </w:rPr>
        <w:t>中华人民共和国政府采购法实施条例</w:t>
      </w:r>
      <w:r>
        <w:rPr>
          <w:rFonts w:hint="eastAsia" w:asciiTheme="minorEastAsia" w:hAnsiTheme="minorEastAsia" w:eastAsiaTheme="minorEastAsia" w:cstheme="minorEastAsia"/>
          <w:sz w:val="24"/>
          <w:szCs w:val="24"/>
          <w:highlight w:val="none"/>
        </w:rPr>
        <w:t>》第二十一条的规定通知采购人和采购代理机构的，处以采购金额5‰的罚款，列入不良行为记录名单，中标无效。</w:t>
      </w:r>
    </w:p>
    <w:p w14:paraId="5E28ACCF">
      <w:pPr>
        <w:pStyle w:val="31"/>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29.6 供应商捏造事实、提供虚假材料或者以非法手段取得证明材料进行投诉的，由财政部门列入不良行为记录名单，禁止其1至3年内参加政府采购活动。</w:t>
      </w:r>
    </w:p>
    <w:p w14:paraId="4CB176A3">
      <w:pPr>
        <w:pStyle w:val="31"/>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29.7 有下列情形之一的，属于恶意串通，对供应商依照《</w:t>
      </w:r>
      <w:r>
        <w:rPr>
          <w:rFonts w:hint="eastAsia" w:asciiTheme="minorEastAsia" w:hAnsiTheme="minorEastAsia" w:eastAsiaTheme="minorEastAsia" w:cstheme="minorEastAsia"/>
          <w:sz w:val="24"/>
          <w:szCs w:val="24"/>
          <w:highlight w:val="none"/>
          <w:lang w:eastAsia="zh-CN"/>
        </w:rPr>
        <w:t>中华人民共和国政府采购法</w:t>
      </w:r>
      <w:r>
        <w:rPr>
          <w:rFonts w:hint="eastAsia" w:asciiTheme="minorEastAsia" w:hAnsiTheme="minorEastAsia" w:eastAsiaTheme="minorEastAsia" w:cstheme="minorEastAsia"/>
          <w:sz w:val="24"/>
          <w:szCs w:val="24"/>
          <w:highlight w:val="none"/>
        </w:rPr>
        <w:t>》第七十七条第一款的规定追究法律责任，对采购人、采购代理机构及其工作人员依照《</w:t>
      </w:r>
      <w:r>
        <w:rPr>
          <w:rFonts w:hint="eastAsia" w:asciiTheme="minorEastAsia" w:hAnsiTheme="minorEastAsia" w:eastAsiaTheme="minorEastAsia" w:cstheme="minorEastAsia"/>
          <w:sz w:val="24"/>
          <w:szCs w:val="24"/>
          <w:highlight w:val="none"/>
          <w:lang w:eastAsia="zh-CN"/>
        </w:rPr>
        <w:t>中华人民共和国政府采购法</w:t>
      </w:r>
      <w:r>
        <w:rPr>
          <w:rFonts w:hint="eastAsia" w:asciiTheme="minorEastAsia" w:hAnsiTheme="minorEastAsia" w:eastAsiaTheme="minorEastAsia" w:cstheme="minorEastAsia"/>
          <w:sz w:val="24"/>
          <w:szCs w:val="24"/>
          <w:highlight w:val="none"/>
        </w:rPr>
        <w:t>》第七十二条的规定追究法律责任：</w:t>
      </w:r>
    </w:p>
    <w:p w14:paraId="20796EA1">
      <w:pPr>
        <w:pStyle w:val="31"/>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（一）供应商直接或者间接从采购人或者采购代理机构处获得其他供应商的相关情况并修改其投标文件；</w:t>
      </w:r>
    </w:p>
    <w:p w14:paraId="2D09EAEF">
      <w:pPr>
        <w:pStyle w:val="31"/>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（二）供应商按照采购人或者采购代理机构的授意撤换、修改投标文件；</w:t>
      </w:r>
    </w:p>
    <w:p w14:paraId="7791E24C">
      <w:pPr>
        <w:pStyle w:val="31"/>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（三）供应商之间协商报价、技术方案等投标文件的实质性内容；</w:t>
      </w:r>
    </w:p>
    <w:p w14:paraId="468E64AD">
      <w:pPr>
        <w:pStyle w:val="31"/>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（四）属于同一集团、协会、商会等组织成员的供应商按照该组织要求协同参加政府采购活动；</w:t>
      </w:r>
    </w:p>
    <w:p w14:paraId="4FEC4812">
      <w:pPr>
        <w:pStyle w:val="31"/>
        <w:widowControl w:val="0"/>
        <w:spacing w:line="24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（五）供应商之间事先约定由某一特定供应商中标；</w:t>
      </w:r>
    </w:p>
    <w:p w14:paraId="70C7116D">
      <w:pPr>
        <w:pStyle w:val="31"/>
        <w:widowControl w:val="0"/>
        <w:spacing w:line="24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（六）供应商之间商定部分供应商放弃参加政府采购活动或者放弃中标；</w:t>
      </w:r>
    </w:p>
    <w:p w14:paraId="037B84F1">
      <w:pPr>
        <w:pStyle w:val="31"/>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（七）供应商与采购人或者采购代理机构之间、供应商相互之间，为谋求特定供应商中标或者排斥其他供应商的其他串通行为。</w:t>
      </w:r>
    </w:p>
    <w:p w14:paraId="509CFAA5">
      <w:pPr>
        <w:pStyle w:val="65"/>
        <w:spacing w:before="120" w:beforeLines="50" w:after="120" w:afterLines="50" w:line="240" w:lineRule="auto"/>
        <w:jc w:val="center"/>
        <w:rPr>
          <w:rFonts w:hint="eastAsia" w:asciiTheme="minorEastAsia" w:hAnsiTheme="minorEastAsia" w:eastAsiaTheme="minorEastAsia" w:cstheme="minorEastAsia"/>
          <w:b/>
          <w:bCs/>
          <w:color w:val="auto"/>
          <w:sz w:val="24"/>
          <w:szCs w:val="24"/>
          <w:highlight w:val="none"/>
        </w:rPr>
      </w:pPr>
    </w:p>
    <w:p w14:paraId="5D5668B2">
      <w:pPr>
        <w:pStyle w:val="65"/>
        <w:spacing w:before="120" w:beforeLines="50" w:after="120" w:afterLines="50"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六、中标结果信息公布与授予合同</w:t>
      </w:r>
    </w:p>
    <w:p w14:paraId="5D64BDD4">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30. 中标信息的公布</w:t>
      </w:r>
    </w:p>
    <w:p w14:paraId="0EEDB972">
      <w:pPr>
        <w:pStyle w:val="65"/>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30.1 采购人或者采购代理机构应当自中标供应商确定之日起2个工作日内，发出中标通知书，并在省级以上人民政府财政部门指定的媒体上公告中标结果，招标文件随中标结果同时公告。</w:t>
      </w:r>
    </w:p>
    <w:p w14:paraId="10DF46DD">
      <w:pPr>
        <w:pStyle w:val="65"/>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30.2 中标通知书对采购人和中标供应商具有同等法律效力。</w:t>
      </w:r>
    </w:p>
    <w:p w14:paraId="218D24A0">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31. 询问及质疑</w:t>
      </w:r>
    </w:p>
    <w:p w14:paraId="590E6AA4">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 供应商对政府采购活动事项有疑问的，可以向采购人或采购代理机构提出询问。采购人或采购代理机构将在三个工作日内作出答复。</w:t>
      </w:r>
    </w:p>
    <w:p w14:paraId="7E9F209D">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 供应商若认为招标文件、招标过程和中标结果使自己的权益受到损害，应当在下列时间内以书面形式向采购人或采购代理机构提出：</w:t>
      </w:r>
    </w:p>
    <w:p w14:paraId="77AD1C2A">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31.2.1 关于采购过程的质疑，应在采购程序环节结束之日起7个工作日内提出。</w:t>
      </w:r>
    </w:p>
    <w:p w14:paraId="72B69498">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31.2.2 关于中标结果的质疑，应在中标结果信息发布后7个工作日内提出。</w:t>
      </w:r>
    </w:p>
    <w:p w14:paraId="6BFF8BCB">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31.3 供应商提出质疑的，应提供质疑书原件。采购人或采购代理机构应当向质疑供应商签收回执。</w:t>
      </w:r>
    </w:p>
    <w:p w14:paraId="41F9BC1A">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31.4 质疑书应当包括下列内容：</w:t>
      </w:r>
    </w:p>
    <w:p w14:paraId="4D7ECBDD">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31.4.1 质疑供应商的名称、地址及有效联系方式；</w:t>
      </w:r>
    </w:p>
    <w:p w14:paraId="629D1A0C">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31.4.2 质疑事项；</w:t>
      </w:r>
    </w:p>
    <w:p w14:paraId="148071C7">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31.4.3 事实依据及相关证明材料；</w:t>
      </w:r>
    </w:p>
    <w:p w14:paraId="6C19BF30">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31.4.4 相关请求及主张。</w:t>
      </w:r>
    </w:p>
    <w:p w14:paraId="31A45089">
      <w:pPr>
        <w:pStyle w:val="65"/>
        <w:spacing w:line="240" w:lineRule="auto"/>
        <w:ind w:firstLine="480" w:firstLineChars="200"/>
        <w:jc w:val="both"/>
        <w:rPr>
          <w:rFonts w:hint="eastAsia"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z w:val="24"/>
          <w:szCs w:val="24"/>
          <w:highlight w:val="none"/>
        </w:rPr>
        <w:t xml:space="preserve">31.5 </w:t>
      </w:r>
      <w:r>
        <w:rPr>
          <w:rFonts w:hint="eastAsia" w:asciiTheme="minorEastAsia" w:hAnsiTheme="minorEastAsia" w:eastAsiaTheme="minorEastAsia" w:cstheme="minorEastAsia"/>
          <w:color w:val="auto"/>
          <w:spacing w:val="-11"/>
          <w:sz w:val="24"/>
          <w:szCs w:val="24"/>
          <w:highlight w:val="none"/>
        </w:rPr>
        <w:t>质疑书应当由供应商法定代表人或其授权的代理人签字并加盖供应商单位章，质疑书由授权的代理人签字的应附供应商法定代表人委托授权书。</w:t>
      </w:r>
    </w:p>
    <w:p w14:paraId="6808987D">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31.6 采购人或采购代理机构将在签收回执之日起七个工作日内作出书面答复，并以书面形式通知质疑投标供应商和其他有关的供应商。</w:t>
      </w:r>
    </w:p>
    <w:p w14:paraId="6FA373FD">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31.7 供应商对采购人或采购代理机构的答复不满意，或采购人或采购代理机构未在规定的期限作出答复的，可在答复期满后15个工作日内，按政府采购相关法律法规规章的规定及程序，向同级财政部门提出投诉。</w:t>
      </w:r>
    </w:p>
    <w:p w14:paraId="6FC7E21B">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31.8 参与政府采购活动的供应商对评审过程或者结果提出质疑的，采购人或采购代理机构可以组织原评审委员会协助处理质疑事项，并依据评审委员会出具的意见进行答复。质疑答复导致中标结果改变的，采购人或采购代理机构应当将相关情况报财政部门备案。</w:t>
      </w:r>
    </w:p>
    <w:p w14:paraId="74E64FC5">
      <w:pPr>
        <w:pStyle w:val="65"/>
        <w:numPr>
          <w:ilvl w:val="0"/>
          <w:numId w:val="4"/>
        </w:numPr>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中标通知</w:t>
      </w:r>
    </w:p>
    <w:p w14:paraId="157CC27F">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 中标人确定后，采购人或采购代理机构将以书面形式向中标人发出中标通知书。中标通知书对采购人和中标人具有同等法律效力。中标通知书发出后，采购人不得违法改变中标结果，中标人无正当理由不得放弃中标。</w:t>
      </w:r>
    </w:p>
    <w:p w14:paraId="2BE11706">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 中标人在收到采购代理机构的中标通知书后10日内，应按照</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的规定，向采购人提交履约担保。联合体中标的，履约担保由联合体各方或联合体中牵头人的名义提交。</w:t>
      </w:r>
    </w:p>
    <w:p w14:paraId="150769F5">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32.3 招标文件要求中标供应商提交履约保证金的，供应商应当以支票、汇票、本票或者金融机构、担保机构出具的保函等非现金形式提交。中标人没有按照规定提交履约担保的，视为放弃中标资格，其投标保证金不予退还。</w:t>
      </w:r>
    </w:p>
    <w:p w14:paraId="5664D9C0">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32.4 中标供应商拒绝与采购人签订合同的，采购人可以按照评审报告推荐的中标候选人名单排序，确定下一候选人为中标供应商，也可以重新开展政府采购活动。</w:t>
      </w:r>
    </w:p>
    <w:p w14:paraId="28EB7C64">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33. 签订合同</w:t>
      </w:r>
    </w:p>
    <w:p w14:paraId="775DA2DF">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33.1 采购人应当自中标通知书发出之日起30日内，按照招标文件和中标人投标文件的规定，与中标人签订书面合同。所签订的合同不得对招标文件确定的事项和中标人投标文件作实质性修改。中标通知书是合同文件的组成部分。</w:t>
      </w:r>
    </w:p>
    <w:p w14:paraId="6FA93A5F">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采购人不得向中标人提出任何不合理的要求作为签订合同的条件。</w:t>
      </w:r>
    </w:p>
    <w:p w14:paraId="2E486CC9">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33.2 政府采购合同应当包括采购人与中标人的名称和住所、标的、数量、质量、价款或者报酬、履行期限及地点和方式、验收要求、违约责任、解决争议的方法等内容。</w:t>
      </w:r>
    </w:p>
    <w:p w14:paraId="68B4786E">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33.3 采购人与中标人应当根据合同的约定依法履行合同义务。</w:t>
      </w:r>
    </w:p>
    <w:p w14:paraId="3CFC1E24">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政府采购合同的履行、违约责任和解决争议的方法等适用《中华人民共和国民法典》。</w:t>
      </w:r>
    </w:p>
    <w:p w14:paraId="23C71685">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33.4 采购人应当及时对采购项目进行验收。采购人可以邀请参加本项目的其他投标人或者第三方机构参与验收。参与验收的投标人或者第三方机构的意见作为验收书的参考资料一并存档。</w:t>
      </w:r>
    </w:p>
    <w:p w14:paraId="7EF1A9AA">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33.5 采购人应当加强对中标人的履约管理，并按照采购合同约定，及时向中标人支付采购资金。对于中标人违反采购合同约定的行为，采购人应当及时处理，依法追究其违约责任。</w:t>
      </w:r>
    </w:p>
    <w:p w14:paraId="4DDCB8D8">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33.6 </w:t>
      </w:r>
      <w:r>
        <w:rPr>
          <w:rFonts w:hint="eastAsia" w:asciiTheme="minorEastAsia" w:hAnsiTheme="minorEastAsia" w:eastAsiaTheme="minorEastAsia" w:cstheme="minorEastAsia"/>
          <w:color w:val="auto"/>
          <w:spacing w:val="-17"/>
          <w:sz w:val="24"/>
          <w:szCs w:val="24"/>
          <w:highlight w:val="none"/>
        </w:rPr>
        <w:t>中标人应当按照合同约定履行义务。中标人不得向他人转让中标项目，也不得将中标项目分包后分别向他人转让。合同分包需在投标文件中予以说明，并需经采购人同意。否则，采购人有权取消中标供应商的中标资格。</w:t>
      </w:r>
    </w:p>
    <w:p w14:paraId="118998B1">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33.7 中标人有下列情形之一的，责令限期改正，情节严重的，列入不良行为记录名单，在1至3年内禁止参加政府采购活动，并予以通报：</w:t>
      </w:r>
    </w:p>
    <w:p w14:paraId="6F15B174">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33.7.1 中标后无正当理由不与采购人签订合同的；</w:t>
      </w:r>
    </w:p>
    <w:p w14:paraId="67280FB1">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33.7.2 未按照招标文件确定的事项签订政府采购合同，或者与采购人另行订立背离合同实质性内容的协议的；</w:t>
      </w:r>
    </w:p>
    <w:p w14:paraId="69CDBF07">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33.7.3 拒绝履行合同义务的；</w:t>
      </w:r>
    </w:p>
    <w:p w14:paraId="2FD85BEF">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33.7.4 违反法律、规章、规范性文件规定的。</w:t>
      </w:r>
    </w:p>
    <w:p w14:paraId="38F2F5CB">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33.8 政府采购合同的双方当事人不得擅自变更、中止或者终止合同。</w:t>
      </w:r>
    </w:p>
    <w:p w14:paraId="4E6DB18A">
      <w:pPr>
        <w:pStyle w:val="65"/>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00B95F9F">
      <w:pPr>
        <w:pStyle w:val="65"/>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33.9 采购人应当自政府采购合同签订之日起2个工作日内,将政府采购合同在省级以上人民政府财政部门指定的媒体上公告,但政府采购合同中涉及国家秘密、商业秘密的内容除外。</w:t>
      </w:r>
    </w:p>
    <w:p w14:paraId="5D101603">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34. 政府采购合同履行中数量的变更</w:t>
      </w:r>
    </w:p>
    <w:p w14:paraId="02239451">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34.1 政府采购合同履行中，采购人需追加与合同标的相同的货物、工程或者服务的，在不改变合同其他条款的前提下，可以与中标人协商签订补充合同，但所有补充合同的采购金额不得超过原合同采购金额的10%。</w:t>
      </w:r>
    </w:p>
    <w:p w14:paraId="60D8682C">
      <w:pPr>
        <w:pStyle w:val="65"/>
        <w:spacing w:before="120" w:beforeLines="50" w:after="120" w:afterLines="50"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七、其他规定</w:t>
      </w:r>
    </w:p>
    <w:p w14:paraId="43CBA892">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35. 招标代理服务费</w:t>
      </w:r>
    </w:p>
    <w:p w14:paraId="40246E43">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35.1 中标人应按</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规定交纳招标代理服务费。</w:t>
      </w:r>
    </w:p>
    <w:p w14:paraId="0A16876E">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36. 其他规定</w:t>
      </w:r>
    </w:p>
    <w:p w14:paraId="5F5E1381">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36.1 采购人、采购代理机构应当建立真实完整的招标采购档案，妥善保存每项采购活动的采购文件。</w:t>
      </w:r>
    </w:p>
    <w:p w14:paraId="3D4B24CF">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36.2 招标文件的其他规定见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w:t>
      </w:r>
    </w:p>
    <w:p w14:paraId="0F60E077">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36.3 本招标文件是根据《中华人民共和国政府采购法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中华人民共和国政府采购法实施条例》的规定编制，解释权属新疆元泓工程项目管理咨询有限公司。</w:t>
      </w:r>
    </w:p>
    <w:p w14:paraId="396935FF">
      <w:pPr>
        <w:pStyle w:val="65"/>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36.3 参与本次招标的供应商应当有商务、技术人员对评标委员会提出的商务、技术问题进行答疑。</w:t>
      </w:r>
    </w:p>
    <w:p w14:paraId="05853601">
      <w:pPr>
        <w:pStyle w:val="65"/>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28"/>
          <w:szCs w:val="28"/>
          <w:highlight w:val="none"/>
        </w:rPr>
        <w:t>第三章  评标方法及标准</w:t>
      </w:r>
    </w:p>
    <w:p w14:paraId="1482957B">
      <w:pPr>
        <w:pStyle w:val="65"/>
        <w:spacing w:before="120" w:beforeLines="50"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一、总则</w:t>
      </w:r>
    </w:p>
    <w:p w14:paraId="3A298E9B">
      <w:pPr>
        <w:pStyle w:val="65"/>
        <w:spacing w:line="240" w:lineRule="auto"/>
        <w:ind w:firstLine="561"/>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1．评标委员会</w:t>
      </w:r>
    </w:p>
    <w:p w14:paraId="58431EB3">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1.1评标由依法组成的评标委员会负责,其组成方式详投标须知正文。</w:t>
      </w:r>
    </w:p>
    <w:p w14:paraId="22014DF9">
      <w:pPr>
        <w:pStyle w:val="65"/>
        <w:numPr>
          <w:ilvl w:val="0"/>
          <w:numId w:val="5"/>
        </w:numPr>
        <w:spacing w:line="240" w:lineRule="auto"/>
        <w:ind w:firstLine="56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评标方法</w:t>
      </w:r>
    </w:p>
    <w:p w14:paraId="22DEDEA1">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本项目评标方法为综合评分法。</w:t>
      </w:r>
    </w:p>
    <w:p w14:paraId="65A44E09">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 综合评分法，是投标文件满足招标文件全部实质性要求，且按照评审因素的量化指标评审得分最高的投标人为中标候选人的评标方法。</w:t>
      </w:r>
    </w:p>
    <w:p w14:paraId="09075ADD">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评审因素的设定与投标人所提供货物服务的质量相关，包括投标报价、技术或者服务水平、履约能力、售后服务等。资格条件不得作为评审因素。</w:t>
      </w:r>
    </w:p>
    <w:p w14:paraId="498CB765">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 评标时，评标委员会各成员应当独立对每个投标人的投标文件进行评价，并汇总每个投标人的得分。</w:t>
      </w:r>
    </w:p>
    <w:p w14:paraId="2CBFEC6B">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2.1.3 评标过程中，不得去掉报价中的最高报价和最低报价。</w:t>
      </w:r>
    </w:p>
    <w:p w14:paraId="2897E2BC">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2.1.4 因落实政府采购政策进行价格调整的，以调整后的价格计算评标基准价和投标报价。</w:t>
      </w:r>
    </w:p>
    <w:p w14:paraId="6C337C99">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C1943B0">
      <w:pPr>
        <w:pStyle w:val="65"/>
        <w:spacing w:line="240" w:lineRule="auto"/>
        <w:ind w:firstLine="561"/>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 评标原则</w:t>
      </w:r>
    </w:p>
    <w:p w14:paraId="0CFF54BB">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评标委员会成员应当按照客观、公正、审慎的原则，根据招标文件规定的评审程序、评审方法和评审标准进行独立评审。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07922E8">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评标委员会成员应当在评审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14:paraId="6E77AFA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评审纪律</w:t>
      </w:r>
    </w:p>
    <w:p w14:paraId="6297792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3.3.1 采购人委派代表参加评审委员会的，要向采购代理机构出具授权函。除授权代表外，采购人可以委派纪检监察等相关人员进入评审现场，对评审工作实施监督，但不得超过２人。采购人需要在评审前介绍项目背景和技术需求的，应当事先提交书面介绍材料，介绍内容不得存在歧视性、倾向性意见，不得超出采购文件所述范围，书面介绍材料作为采购项目文件随其他文件一并存档。</w:t>
      </w:r>
      <w:r>
        <w:rPr>
          <w:rFonts w:hint="eastAsia" w:asciiTheme="minorEastAsia" w:hAnsiTheme="minorEastAsia" w:eastAsiaTheme="minorEastAsia" w:cstheme="minorEastAsia"/>
          <w:b/>
          <w:bCs/>
          <w:color w:val="auto"/>
          <w:sz w:val="24"/>
          <w:szCs w:val="24"/>
          <w:highlight w:val="none"/>
        </w:rPr>
        <w:t>评审委员会应当推选组长，但采购人代表不得担任组长</w:t>
      </w:r>
      <w:r>
        <w:rPr>
          <w:rFonts w:hint="eastAsia" w:asciiTheme="minorEastAsia" w:hAnsiTheme="minorEastAsia" w:eastAsiaTheme="minorEastAsia" w:cstheme="minorEastAsia"/>
          <w:color w:val="auto"/>
          <w:sz w:val="24"/>
          <w:szCs w:val="24"/>
          <w:highlight w:val="none"/>
        </w:rPr>
        <w:t>。</w:t>
      </w:r>
    </w:p>
    <w:p w14:paraId="08783DD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3.3.2 评审委员会成员要严格遵守评审时间，主动出具身份证明，遵守评审工作纪律和评审回避的相关规定。在评审工作开始前，将手机等通讯工具或相关电子设备交由采购人或采购代理机构统一保管，拒不上交的，采购人或采购代理机构可以拒绝其参加评审工作并向财政部门报告。</w:t>
      </w:r>
    </w:p>
    <w:p w14:paraId="03041818">
      <w:pPr>
        <w:pStyle w:val="31"/>
        <w:widowControl w:val="0"/>
        <w:snapToGrid w:val="0"/>
        <w:spacing w:line="240" w:lineRule="auto"/>
        <w:ind w:firstLine="57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3.3.3 评审委员会成员和评审工作有关人员不得干预或者影响正常评审工作，不得明示或者暗示其倾向性、引导性意见，不得修改或细化采购文件确定的评审程序、评审方法、评审因素和评审标准，不得接受供应商主动提出的澄清和解释，不得征询采购人代表的倾向性意见，不得协商评分，不得记录、复制或带走任何评审资料。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082F72A2">
      <w:pPr>
        <w:pStyle w:val="31"/>
        <w:widowControl w:val="0"/>
        <w:snapToGrid w:val="0"/>
        <w:spacing w:line="240" w:lineRule="auto"/>
        <w:ind w:firstLine="57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3.3.4 评标委员会成员不得私自泄露评标内容。评标过程应严格遵守保密制度。开标后,直到授予供应商合同止，凡是属于审查、澄清、评价和比较的有关资料以及授标建议等均不得向供应商或其他无关的人员透露。</w:t>
      </w:r>
    </w:p>
    <w:p w14:paraId="72C8CB74">
      <w:pPr>
        <w:pStyle w:val="31"/>
        <w:widowControl w:val="0"/>
        <w:snapToGrid w:val="0"/>
        <w:spacing w:line="240" w:lineRule="auto"/>
        <w:ind w:firstLine="57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3.3.5 采购人、采购代理机构要加强评审现场管理，与评审工作无关的人员不得进入评审现场。各级财政部门对评审活动相关各方违反评审工作纪律及要求的行为，要依法严肃处理。</w:t>
      </w:r>
    </w:p>
    <w:p w14:paraId="29A46304">
      <w:pPr>
        <w:spacing w:line="240" w:lineRule="auto"/>
        <w:ind w:firstLine="538"/>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3.4 评标委员会成员应当履行的义务</w:t>
      </w:r>
    </w:p>
    <w:p w14:paraId="1EA9E60E">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3.4.1 评审委员会成员要根据政府采购法律法规和采购文件所载明的评审方法、标准进行评审。遵纪守法，客观、公正、廉洁地履行职责。</w:t>
      </w:r>
    </w:p>
    <w:p w14:paraId="29D1845A">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3.4.2 要熟悉和理解采购文件，认真阅读所有供应商的投标文件，对所有投标文件逐一进行资格性、符合性检查，按采购文件规定的评审方法和标准，进行比较和评价；</w:t>
      </w:r>
    </w:p>
    <w:p w14:paraId="71E3EC70">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3.4.3 对供应商的价格分等客观评分项的评分应当一致，对其他需要借助专业知识评判的主观评分项，应当严格按照评分细则公正评分。</w:t>
      </w:r>
    </w:p>
    <w:p w14:paraId="14957A02">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3.4.4 评审委员会如需要供应商对投标文件有关事项作出澄清的，应当给予供应商必要的反馈时间，但澄清事项不得超出投标文件的范围，不得实质性改变投标文件的内容，不得通过澄清等方式对供应商实行差别对待。</w:t>
      </w:r>
    </w:p>
    <w:p w14:paraId="305EB5D1">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3.4.5 评审委员会要对评分汇总情况进行复核，特别是对排名第一的、报价最低的、投标或相应文件被认定为无效的情形进行重点复核，并根据评审结果推荐中标</w:t>
      </w:r>
      <w:r>
        <w:rPr>
          <w:rFonts w:hint="eastAsia" w:asciiTheme="minorEastAsia" w:hAnsiTheme="minorEastAsia" w:eastAsiaTheme="minorEastAsia" w:cstheme="minorEastAsia"/>
          <w:color w:val="auto"/>
          <w:sz w:val="24"/>
          <w:szCs w:val="24"/>
          <w:highlight w:val="none"/>
          <w:lang w:eastAsia="zh-CN"/>
        </w:rPr>
        <w:t>备选供应商</w:t>
      </w:r>
      <w:r>
        <w:rPr>
          <w:rFonts w:hint="eastAsia" w:asciiTheme="minorEastAsia" w:hAnsiTheme="minorEastAsia" w:eastAsiaTheme="minorEastAsia" w:cstheme="minorEastAsia"/>
          <w:color w:val="auto"/>
          <w:sz w:val="24"/>
          <w:szCs w:val="24"/>
          <w:highlight w:val="none"/>
        </w:rPr>
        <w:t>，或者根据采购人委托协议规定直接确定中标供应商，起草并签署评审报告。</w:t>
      </w:r>
    </w:p>
    <w:p w14:paraId="4B2C930A">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3.4.6 评审委员会要在采购项目招标失败时，出具招标文件是否存在不合理条款的论证意见，要协助采购人、采购代理机构、财政部门答复质疑或处理投诉事项。</w:t>
      </w:r>
    </w:p>
    <w:p w14:paraId="4DA120A7">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3.4.7 对评标过程和结果，以及供应商的商业秘密保密。</w:t>
      </w:r>
    </w:p>
    <w:p w14:paraId="0F8C37E5">
      <w:pPr>
        <w:pStyle w:val="65"/>
        <w:spacing w:before="120" w:beforeLines="50" w:after="120" w:afterLines="50"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二、评标程序  </w:t>
      </w:r>
    </w:p>
    <w:p w14:paraId="0F0C2365">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4．投标文件的初步评审    </w:t>
      </w:r>
    </w:p>
    <w:p w14:paraId="11AB7ECB">
      <w:pPr>
        <w:pStyle w:val="65"/>
        <w:spacing w:line="460" w:lineRule="exact"/>
        <w:ind w:firstLine="56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初步评审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分为资格性</w:t>
      </w:r>
      <w:r>
        <w:rPr>
          <w:rFonts w:hint="eastAsia" w:ascii="宋体" w:hAnsi="宋体" w:eastAsia="宋体" w:cs="宋体"/>
          <w:color w:val="auto"/>
          <w:sz w:val="24"/>
          <w:szCs w:val="24"/>
          <w:highlight w:val="none"/>
          <w:lang w:eastAsia="zh-CN"/>
        </w:rPr>
        <w:t>审查</w:t>
      </w:r>
      <w:r>
        <w:rPr>
          <w:rFonts w:hint="eastAsia" w:ascii="宋体" w:hAnsi="宋体" w:eastAsia="宋体" w:cs="宋体"/>
          <w:color w:val="auto"/>
          <w:sz w:val="24"/>
          <w:szCs w:val="24"/>
          <w:highlight w:val="none"/>
        </w:rPr>
        <w:t>和符合性</w:t>
      </w:r>
      <w:r>
        <w:rPr>
          <w:rFonts w:hint="eastAsia" w:ascii="宋体" w:hAnsi="宋体" w:eastAsia="宋体" w:cs="宋体"/>
          <w:color w:val="auto"/>
          <w:sz w:val="24"/>
          <w:szCs w:val="24"/>
          <w:highlight w:val="none"/>
          <w:lang w:eastAsia="zh-CN"/>
        </w:rPr>
        <w:t>审查</w:t>
      </w:r>
      <w:r>
        <w:rPr>
          <w:rFonts w:hint="eastAsia" w:ascii="宋体" w:hAnsi="宋体" w:eastAsia="宋体" w:cs="宋体"/>
          <w:color w:val="auto"/>
          <w:sz w:val="24"/>
          <w:szCs w:val="24"/>
          <w:highlight w:val="none"/>
        </w:rPr>
        <w:t>。</w:t>
      </w:r>
    </w:p>
    <w:p w14:paraId="60462943">
      <w:pPr>
        <w:pStyle w:val="65"/>
        <w:spacing w:line="460" w:lineRule="exact"/>
        <w:ind w:firstLine="567"/>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 商务技术部分评审。</w:t>
      </w:r>
    </w:p>
    <w:p w14:paraId="174C2F13">
      <w:pPr>
        <w:pStyle w:val="65"/>
        <w:spacing w:line="460" w:lineRule="exact"/>
        <w:ind w:firstLine="567"/>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 报价部分评审。</w:t>
      </w:r>
    </w:p>
    <w:p w14:paraId="13F4EDC8">
      <w:pPr>
        <w:pStyle w:val="65"/>
        <w:spacing w:line="460" w:lineRule="exact"/>
        <w:ind w:firstLine="567"/>
        <w:jc w:val="both"/>
        <w:rPr>
          <w:rFonts w:hint="eastAsia" w:ascii="宋体" w:hAnsi="宋体" w:eastAsia="宋体" w:cs="宋体"/>
          <w:color w:val="auto"/>
          <w:sz w:val="24"/>
          <w:szCs w:val="24"/>
          <w:highlight w:val="none"/>
        </w:rPr>
      </w:pPr>
    </w:p>
    <w:p w14:paraId="1E6E17EA">
      <w:pPr>
        <w:pStyle w:val="65"/>
        <w:spacing w:line="240" w:lineRule="auto"/>
        <w:ind w:firstLine="560"/>
        <w:jc w:val="both"/>
        <w:rPr>
          <w:rFonts w:hint="eastAsia" w:asciiTheme="minorEastAsia" w:hAnsiTheme="minorEastAsia" w:eastAsiaTheme="minorEastAsia" w:cstheme="minorEastAsia"/>
          <w:color w:val="auto"/>
          <w:spacing w:val="-10"/>
          <w:sz w:val="28"/>
          <w:szCs w:val="28"/>
          <w:highlight w:val="none"/>
        </w:rPr>
      </w:pPr>
    </w:p>
    <w:p w14:paraId="2C6F9A27">
      <w:pPr>
        <w:snapToGrid w:val="0"/>
        <w:spacing w:line="240" w:lineRule="auto"/>
        <w:jc w:val="center"/>
        <w:rPr>
          <w:rFonts w:hint="eastAsia" w:asciiTheme="minorEastAsia" w:hAnsiTheme="minorEastAsia" w:eastAsiaTheme="minorEastAsia" w:cstheme="minorEastAsia"/>
          <w:b/>
          <w:bCs/>
          <w:kern w:val="0"/>
          <w:sz w:val="28"/>
          <w:szCs w:val="28"/>
          <w:highlight w:val="none"/>
        </w:rPr>
      </w:pPr>
    </w:p>
    <w:p w14:paraId="04AE7AFE">
      <w:pPr>
        <w:snapToGrid w:val="0"/>
        <w:spacing w:line="240" w:lineRule="auto"/>
        <w:jc w:val="center"/>
        <w:rPr>
          <w:rFonts w:hint="eastAsia" w:asciiTheme="minorEastAsia" w:hAnsiTheme="minorEastAsia" w:eastAsiaTheme="minorEastAsia" w:cstheme="minorEastAsia"/>
          <w:b/>
          <w:bCs/>
          <w:kern w:val="0"/>
          <w:sz w:val="32"/>
          <w:szCs w:val="32"/>
          <w:highlight w:val="none"/>
        </w:rPr>
      </w:pPr>
    </w:p>
    <w:p w14:paraId="473FF3A0">
      <w:pPr>
        <w:snapToGrid w:val="0"/>
        <w:spacing w:line="240" w:lineRule="auto"/>
        <w:jc w:val="center"/>
        <w:rPr>
          <w:rFonts w:hint="eastAsia" w:asciiTheme="minorEastAsia" w:hAnsiTheme="minorEastAsia" w:eastAsiaTheme="minorEastAsia" w:cstheme="minorEastAsia"/>
          <w:b/>
          <w:bCs/>
          <w:kern w:val="0"/>
          <w:sz w:val="32"/>
          <w:szCs w:val="32"/>
          <w:highlight w:val="none"/>
        </w:rPr>
      </w:pPr>
    </w:p>
    <w:p w14:paraId="2EE23BD4">
      <w:pPr>
        <w:snapToGrid w:val="0"/>
        <w:spacing w:line="240" w:lineRule="auto"/>
        <w:jc w:val="center"/>
        <w:rPr>
          <w:rFonts w:hint="eastAsia" w:asciiTheme="minorEastAsia" w:hAnsiTheme="minorEastAsia" w:eastAsiaTheme="minorEastAsia" w:cstheme="minorEastAsia"/>
          <w:b/>
          <w:bCs/>
          <w:kern w:val="0"/>
          <w:sz w:val="32"/>
          <w:szCs w:val="32"/>
          <w:highlight w:val="none"/>
        </w:rPr>
      </w:pPr>
    </w:p>
    <w:p w14:paraId="7B943B3B">
      <w:pPr>
        <w:snapToGrid w:val="0"/>
        <w:spacing w:line="240" w:lineRule="auto"/>
        <w:jc w:val="center"/>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bCs/>
          <w:kern w:val="0"/>
          <w:sz w:val="32"/>
          <w:szCs w:val="32"/>
          <w:highlight w:val="none"/>
        </w:rPr>
        <w:br w:type="page"/>
      </w:r>
      <w:r>
        <w:rPr>
          <w:rFonts w:hint="eastAsia" w:asciiTheme="minorEastAsia" w:hAnsiTheme="minorEastAsia" w:eastAsiaTheme="minorEastAsia" w:cstheme="minorEastAsia"/>
          <w:b/>
          <w:bCs/>
          <w:kern w:val="0"/>
          <w:sz w:val="28"/>
          <w:szCs w:val="28"/>
          <w:highlight w:val="none"/>
        </w:rPr>
        <w:t>资格性审查表</w:t>
      </w:r>
    </w:p>
    <w:tbl>
      <w:tblPr>
        <w:tblStyle w:val="36"/>
        <w:tblpPr w:leftFromText="180" w:rightFromText="180" w:vertAnchor="text" w:horzAnchor="page" w:tblpX="1018" w:tblpY="487"/>
        <w:tblOverlap w:val="never"/>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533"/>
        <w:gridCol w:w="7583"/>
      </w:tblGrid>
      <w:tr w14:paraId="2518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42" w:type="dxa"/>
            <w:vAlign w:val="center"/>
          </w:tcPr>
          <w:p w14:paraId="48A16924">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序号</w:t>
            </w:r>
          </w:p>
        </w:tc>
        <w:tc>
          <w:tcPr>
            <w:tcW w:w="1533" w:type="dxa"/>
            <w:vAlign w:val="center"/>
          </w:tcPr>
          <w:p w14:paraId="02E57D1C">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审查因素</w:t>
            </w:r>
          </w:p>
        </w:tc>
        <w:tc>
          <w:tcPr>
            <w:tcW w:w="7583" w:type="dxa"/>
            <w:vAlign w:val="center"/>
          </w:tcPr>
          <w:p w14:paraId="63BB1CD0">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审查内容</w:t>
            </w:r>
          </w:p>
        </w:tc>
      </w:tr>
      <w:tr w14:paraId="58F1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942" w:type="dxa"/>
            <w:vMerge w:val="restart"/>
            <w:vAlign w:val="center"/>
          </w:tcPr>
          <w:p w14:paraId="2CE26892">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533" w:type="dxa"/>
            <w:vMerge w:val="restart"/>
            <w:vAlign w:val="center"/>
          </w:tcPr>
          <w:p w14:paraId="311C91D3">
            <w:pPr>
              <w:spacing w:line="240" w:lineRule="auto"/>
              <w:jc w:val="center"/>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《中华人民共和国政府采购法》第二十二条规定</w:t>
            </w:r>
          </w:p>
        </w:tc>
        <w:tc>
          <w:tcPr>
            <w:tcW w:w="7583" w:type="dxa"/>
            <w:vAlign w:val="center"/>
          </w:tcPr>
          <w:p w14:paraId="79E18EFA">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提供有效的统一社会信用代码的营业执照，</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必须</w:t>
            </w:r>
            <w:r>
              <w:rPr>
                <w:rFonts w:hint="eastAsia" w:asciiTheme="minorEastAsia" w:hAnsiTheme="minorEastAsia" w:eastAsiaTheme="minorEastAsia" w:cstheme="minorEastAsia"/>
                <w:sz w:val="24"/>
                <w:szCs w:val="24"/>
                <w:highlight w:val="none"/>
                <w:lang w:eastAsia="zh-CN"/>
              </w:rPr>
              <w:t>是在</w:t>
            </w:r>
            <w:r>
              <w:rPr>
                <w:rFonts w:hint="eastAsia" w:asciiTheme="minorEastAsia" w:hAnsiTheme="minorEastAsia" w:eastAsiaTheme="minorEastAsia" w:cstheme="minorEastAsia"/>
                <w:sz w:val="24"/>
                <w:szCs w:val="24"/>
                <w:highlight w:val="none"/>
              </w:rPr>
              <w:t>中华人民共和国境内注册的，具有独立承担民事责任的能力；</w:t>
            </w:r>
          </w:p>
        </w:tc>
      </w:tr>
      <w:tr w14:paraId="4235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942" w:type="dxa"/>
            <w:vMerge w:val="continue"/>
            <w:vAlign w:val="center"/>
          </w:tcPr>
          <w:p w14:paraId="39A38851">
            <w:pPr>
              <w:spacing w:line="240" w:lineRule="auto"/>
              <w:jc w:val="center"/>
              <w:rPr>
                <w:rFonts w:hint="eastAsia" w:asciiTheme="minorEastAsia" w:hAnsiTheme="minorEastAsia" w:eastAsiaTheme="minorEastAsia" w:cstheme="minorEastAsia"/>
                <w:sz w:val="24"/>
                <w:szCs w:val="24"/>
                <w:highlight w:val="none"/>
              </w:rPr>
            </w:pPr>
          </w:p>
        </w:tc>
        <w:tc>
          <w:tcPr>
            <w:tcW w:w="1533" w:type="dxa"/>
            <w:vMerge w:val="continue"/>
            <w:vAlign w:val="center"/>
          </w:tcPr>
          <w:p w14:paraId="4EDCABC1">
            <w:pPr>
              <w:spacing w:line="240" w:lineRule="auto"/>
              <w:jc w:val="center"/>
              <w:rPr>
                <w:rFonts w:hint="eastAsia" w:asciiTheme="minorEastAsia" w:hAnsiTheme="minorEastAsia" w:eastAsiaTheme="minorEastAsia" w:cstheme="minorEastAsia"/>
                <w:sz w:val="24"/>
                <w:szCs w:val="24"/>
                <w:highlight w:val="none"/>
              </w:rPr>
            </w:pPr>
          </w:p>
        </w:tc>
        <w:tc>
          <w:tcPr>
            <w:tcW w:w="7583" w:type="dxa"/>
            <w:vAlign w:val="center"/>
          </w:tcPr>
          <w:p w14:paraId="0AB8F048">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w:t>
            </w:r>
            <w:r>
              <w:rPr>
                <w:rFonts w:hint="eastAsia" w:asciiTheme="minorEastAsia" w:hAnsiTheme="minorEastAsia" w:eastAsiaTheme="minorEastAsia" w:cstheme="minorEastAsia"/>
                <w:sz w:val="24"/>
                <w:szCs w:val="24"/>
                <w:highlight w:val="none"/>
                <w:lang w:val="en-US" w:eastAsia="zh-CN"/>
              </w:rPr>
              <w:t>具有良好的商业信誉和健全的财务会计制度；（提供会计师事务所出具的近三年任意一年度财务审计报告，新成立不足一年的提供成立之日起至今的财务报表）</w:t>
            </w:r>
          </w:p>
        </w:tc>
      </w:tr>
      <w:tr w14:paraId="7665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942" w:type="dxa"/>
            <w:vMerge w:val="continue"/>
            <w:vAlign w:val="center"/>
          </w:tcPr>
          <w:p w14:paraId="049D503C">
            <w:pPr>
              <w:spacing w:line="240" w:lineRule="auto"/>
              <w:jc w:val="center"/>
              <w:rPr>
                <w:rFonts w:hint="eastAsia" w:asciiTheme="minorEastAsia" w:hAnsiTheme="minorEastAsia" w:eastAsiaTheme="minorEastAsia" w:cstheme="minorEastAsia"/>
                <w:sz w:val="24"/>
                <w:szCs w:val="24"/>
                <w:highlight w:val="none"/>
              </w:rPr>
            </w:pPr>
          </w:p>
        </w:tc>
        <w:tc>
          <w:tcPr>
            <w:tcW w:w="1533" w:type="dxa"/>
            <w:vMerge w:val="continue"/>
            <w:vAlign w:val="center"/>
          </w:tcPr>
          <w:p w14:paraId="5C834978">
            <w:pPr>
              <w:spacing w:line="240" w:lineRule="auto"/>
              <w:jc w:val="center"/>
              <w:rPr>
                <w:rFonts w:hint="eastAsia" w:asciiTheme="minorEastAsia" w:hAnsiTheme="minorEastAsia" w:eastAsiaTheme="minorEastAsia" w:cstheme="minorEastAsia"/>
                <w:sz w:val="24"/>
                <w:szCs w:val="24"/>
                <w:highlight w:val="none"/>
              </w:rPr>
            </w:pPr>
          </w:p>
        </w:tc>
        <w:tc>
          <w:tcPr>
            <w:tcW w:w="7583" w:type="dxa"/>
            <w:vAlign w:val="center"/>
          </w:tcPr>
          <w:p w14:paraId="174A63CB">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③依法缴纳税收：</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提供自投标截止之日前</w:t>
            </w: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年内任意</w:t>
            </w: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个月依法缴纳税收的凭据，依法免税的</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，应提供充足的证明材料； </w:t>
            </w:r>
          </w:p>
        </w:tc>
      </w:tr>
      <w:tr w14:paraId="370B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2" w:type="dxa"/>
            <w:vMerge w:val="continue"/>
            <w:vAlign w:val="center"/>
          </w:tcPr>
          <w:p w14:paraId="6F9DE37A">
            <w:pPr>
              <w:spacing w:line="240" w:lineRule="auto"/>
              <w:jc w:val="center"/>
              <w:rPr>
                <w:rFonts w:hint="eastAsia" w:asciiTheme="minorEastAsia" w:hAnsiTheme="minorEastAsia" w:eastAsiaTheme="minorEastAsia" w:cstheme="minorEastAsia"/>
                <w:sz w:val="24"/>
                <w:szCs w:val="24"/>
                <w:highlight w:val="none"/>
              </w:rPr>
            </w:pPr>
          </w:p>
        </w:tc>
        <w:tc>
          <w:tcPr>
            <w:tcW w:w="1533" w:type="dxa"/>
            <w:vMerge w:val="continue"/>
            <w:vAlign w:val="center"/>
          </w:tcPr>
          <w:p w14:paraId="503A9B87">
            <w:pPr>
              <w:spacing w:line="240" w:lineRule="auto"/>
              <w:jc w:val="center"/>
              <w:rPr>
                <w:rFonts w:hint="eastAsia" w:asciiTheme="minorEastAsia" w:hAnsiTheme="minorEastAsia" w:eastAsiaTheme="minorEastAsia" w:cstheme="minorEastAsia"/>
                <w:sz w:val="24"/>
                <w:szCs w:val="24"/>
                <w:highlight w:val="none"/>
              </w:rPr>
            </w:pPr>
          </w:p>
        </w:tc>
        <w:tc>
          <w:tcPr>
            <w:tcW w:w="7583" w:type="dxa"/>
            <w:vAlign w:val="center"/>
          </w:tcPr>
          <w:p w14:paraId="1E69B303">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④依法缴纳社保：</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提供自投标截止之日</w:t>
            </w: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年内任意</w:t>
            </w: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 xml:space="preserve">个月依法缴纳社会保障资金的凭据；            </w:t>
            </w:r>
          </w:p>
        </w:tc>
      </w:tr>
      <w:tr w14:paraId="23C8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942" w:type="dxa"/>
            <w:vMerge w:val="continue"/>
            <w:vAlign w:val="center"/>
          </w:tcPr>
          <w:p w14:paraId="489C85C9">
            <w:pPr>
              <w:spacing w:line="240" w:lineRule="auto"/>
              <w:jc w:val="center"/>
              <w:rPr>
                <w:rFonts w:hint="eastAsia" w:asciiTheme="minorEastAsia" w:hAnsiTheme="minorEastAsia" w:eastAsiaTheme="minorEastAsia" w:cstheme="minorEastAsia"/>
                <w:sz w:val="24"/>
                <w:szCs w:val="24"/>
                <w:highlight w:val="none"/>
              </w:rPr>
            </w:pPr>
          </w:p>
        </w:tc>
        <w:tc>
          <w:tcPr>
            <w:tcW w:w="1533" w:type="dxa"/>
            <w:vMerge w:val="continue"/>
            <w:vAlign w:val="center"/>
          </w:tcPr>
          <w:p w14:paraId="0A5C3F3E">
            <w:pPr>
              <w:spacing w:line="240" w:lineRule="auto"/>
              <w:jc w:val="center"/>
              <w:rPr>
                <w:rFonts w:hint="eastAsia" w:asciiTheme="minorEastAsia" w:hAnsiTheme="minorEastAsia" w:eastAsiaTheme="minorEastAsia" w:cstheme="minorEastAsia"/>
                <w:sz w:val="24"/>
                <w:szCs w:val="24"/>
                <w:highlight w:val="none"/>
              </w:rPr>
            </w:pPr>
          </w:p>
        </w:tc>
        <w:tc>
          <w:tcPr>
            <w:tcW w:w="7583" w:type="dxa"/>
            <w:vAlign w:val="center"/>
          </w:tcPr>
          <w:p w14:paraId="0081A701">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具备履行合同所必需的设备和专业技术能力（根据项目需求提供履行合同所必需的设备和专业技术能力的证明材料或加盖公章的承诺函原件）；</w:t>
            </w:r>
          </w:p>
        </w:tc>
      </w:tr>
      <w:tr w14:paraId="1C61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942" w:type="dxa"/>
            <w:vMerge w:val="continue"/>
            <w:vAlign w:val="center"/>
          </w:tcPr>
          <w:p w14:paraId="185A479C">
            <w:pPr>
              <w:spacing w:line="240" w:lineRule="auto"/>
              <w:jc w:val="center"/>
              <w:rPr>
                <w:rFonts w:hint="eastAsia" w:asciiTheme="minorEastAsia" w:hAnsiTheme="minorEastAsia" w:eastAsiaTheme="minorEastAsia" w:cstheme="minorEastAsia"/>
                <w:sz w:val="24"/>
                <w:szCs w:val="24"/>
                <w:highlight w:val="none"/>
              </w:rPr>
            </w:pPr>
          </w:p>
        </w:tc>
        <w:tc>
          <w:tcPr>
            <w:tcW w:w="1533" w:type="dxa"/>
            <w:vMerge w:val="continue"/>
            <w:vAlign w:val="center"/>
          </w:tcPr>
          <w:p w14:paraId="6365214C">
            <w:pPr>
              <w:spacing w:line="240" w:lineRule="auto"/>
              <w:jc w:val="center"/>
              <w:rPr>
                <w:rFonts w:hint="eastAsia" w:asciiTheme="minorEastAsia" w:hAnsiTheme="minorEastAsia" w:eastAsiaTheme="minorEastAsia" w:cstheme="minorEastAsia"/>
                <w:sz w:val="24"/>
                <w:szCs w:val="24"/>
                <w:highlight w:val="none"/>
              </w:rPr>
            </w:pPr>
          </w:p>
        </w:tc>
        <w:tc>
          <w:tcPr>
            <w:tcW w:w="7583" w:type="dxa"/>
            <w:vAlign w:val="center"/>
          </w:tcPr>
          <w:p w14:paraId="7563380E">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⑥</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提供参加政府采购活动前 3 年内在经营活动中没有重大违法记录的书面声明（截至开标日成立不满 3 年的</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，可提供自成立以来无重大违法记录的书面声明）。</w:t>
            </w:r>
          </w:p>
        </w:tc>
      </w:tr>
      <w:tr w14:paraId="7EFB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2" w:type="dxa"/>
            <w:vAlign w:val="center"/>
          </w:tcPr>
          <w:p w14:paraId="336CDEFC">
            <w:pPr>
              <w:spacing w:line="240" w:lineRule="auto"/>
              <w:jc w:val="center"/>
              <w:rPr>
                <w:rFonts w:hint="eastAsia" w:asciiTheme="minorEastAsia" w:hAnsiTheme="minorEastAsia" w:eastAsiaTheme="minorEastAsia" w:cstheme="minorEastAsia"/>
                <w:sz w:val="24"/>
                <w:szCs w:val="24"/>
                <w:highlight w:val="none"/>
              </w:rPr>
            </w:pPr>
          </w:p>
          <w:p w14:paraId="055BF51D">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p w14:paraId="13AEC9E5">
            <w:pPr>
              <w:spacing w:line="240" w:lineRule="auto"/>
              <w:jc w:val="center"/>
              <w:rPr>
                <w:rFonts w:hint="eastAsia" w:asciiTheme="minorEastAsia" w:hAnsiTheme="minorEastAsia" w:eastAsiaTheme="minorEastAsia" w:cstheme="minorEastAsia"/>
                <w:sz w:val="24"/>
                <w:szCs w:val="24"/>
                <w:highlight w:val="none"/>
              </w:rPr>
            </w:pPr>
          </w:p>
        </w:tc>
        <w:tc>
          <w:tcPr>
            <w:tcW w:w="1533" w:type="dxa"/>
            <w:vAlign w:val="center"/>
          </w:tcPr>
          <w:p w14:paraId="5668618C">
            <w:pPr>
              <w:spacing w:line="240" w:lineRule="auto"/>
              <w:jc w:val="center"/>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eastAsia="zh-CN"/>
              </w:rPr>
              <w:t>信用信息及承诺函</w:t>
            </w:r>
          </w:p>
        </w:tc>
        <w:tc>
          <w:tcPr>
            <w:tcW w:w="7583" w:type="dxa"/>
            <w:vAlign w:val="center"/>
          </w:tcPr>
          <w:p w14:paraId="4F997D68">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1.供应商单位负责人为同一人或者存在直接控股、管理关系的不同供应商，不得参加同一合同项下的政府采购活动。（需提供承诺函）</w:t>
            </w:r>
          </w:p>
          <w:p w14:paraId="5773C737">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2.凡为采购项目提供整体设计、规范编制或者项目管理、监理、检测等服务的供应商，不得再参加本项目的采购活动。（需提供承诺函）</w:t>
            </w:r>
          </w:p>
          <w:p w14:paraId="646E120C">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拒绝列入失信被执行人、重大税收违法案件当事人名单、政府采购严重违法失信行为记录名单的供应商参与政府采购活动。采购人在项目评审时通过信用中国(https://www.creditchina.gov.cn/xinyongxinxixiangqing/xyDetail.html)、中国政府采购网(http://www.ccgp.gov.cn/cr/list)等渠道查询供应商在采购公告发布之日前的信用记录并保存。</w:t>
            </w:r>
          </w:p>
        </w:tc>
      </w:tr>
      <w:tr w14:paraId="02FB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2" w:type="dxa"/>
            <w:vAlign w:val="center"/>
          </w:tcPr>
          <w:p w14:paraId="41326665">
            <w:pPr>
              <w:spacing w:line="24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533" w:type="dxa"/>
            <w:vAlign w:val="center"/>
          </w:tcPr>
          <w:p w14:paraId="5425D1FA">
            <w:pPr>
              <w:spacing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中小企业声明函</w:t>
            </w:r>
          </w:p>
        </w:tc>
        <w:tc>
          <w:tcPr>
            <w:tcW w:w="7583" w:type="dxa"/>
            <w:vAlign w:val="center"/>
          </w:tcPr>
          <w:p w14:paraId="099E433D">
            <w:pPr>
              <w:spacing w:line="24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eastAsia="zh-CN"/>
              </w:rPr>
              <w:t>本项目预</w:t>
            </w:r>
            <w:r>
              <w:rPr>
                <w:rFonts w:hint="eastAsia" w:asciiTheme="minorEastAsia" w:hAnsiTheme="minorEastAsia" w:eastAsiaTheme="minorEastAsia" w:cstheme="minorEastAsia"/>
                <w:kern w:val="0"/>
                <w:sz w:val="24"/>
                <w:szCs w:val="24"/>
                <w:highlight w:val="none"/>
                <w:lang w:val="en-US" w:eastAsia="zh-CN"/>
              </w:rPr>
              <w:t>留部分采购预算金额专门面向中小企业采购</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根据《关于进一步加大政府采购支持中小企业力度的通知》的规定：预算金额</w:t>
            </w:r>
            <w:r>
              <w:rPr>
                <w:rFonts w:hint="eastAsia" w:asciiTheme="minorEastAsia" w:hAnsiTheme="minorEastAsia" w:eastAsiaTheme="minorEastAsia" w:cstheme="minorEastAsia"/>
                <w:kern w:val="0"/>
                <w:sz w:val="24"/>
                <w:szCs w:val="24"/>
                <w:highlight w:val="none"/>
                <w:lang w:val="en-US" w:eastAsia="zh-CN"/>
              </w:rPr>
              <w:t>4000000.00</w:t>
            </w:r>
            <w:r>
              <w:rPr>
                <w:rFonts w:hint="eastAsia" w:asciiTheme="minorEastAsia" w:hAnsiTheme="minorEastAsia" w:eastAsiaTheme="minorEastAsia" w:cstheme="minorEastAsia"/>
                <w:kern w:val="0"/>
                <w:sz w:val="24"/>
                <w:szCs w:val="24"/>
                <w:highlight w:val="none"/>
              </w:rPr>
              <w:t>元，预留该部分采购项目预算金额的</w:t>
            </w:r>
            <w:r>
              <w:rPr>
                <w:rFonts w:hint="eastAsia" w:asciiTheme="minorEastAsia" w:hAnsiTheme="minorEastAsia" w:eastAsiaTheme="minorEastAsia" w:cstheme="minorEastAsia"/>
                <w:kern w:val="0"/>
                <w:sz w:val="24"/>
                <w:szCs w:val="24"/>
                <w:highlight w:val="none"/>
                <w:lang w:val="en-US" w:eastAsia="zh-CN"/>
              </w:rPr>
              <w:t>59.575</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2383000.00</w:t>
            </w:r>
            <w:r>
              <w:rPr>
                <w:rFonts w:hint="eastAsia" w:asciiTheme="minorEastAsia" w:hAnsiTheme="minorEastAsia" w:eastAsiaTheme="minorEastAsia" w:cstheme="minorEastAsia"/>
                <w:kern w:val="0"/>
                <w:sz w:val="24"/>
                <w:szCs w:val="24"/>
                <w:highlight w:val="none"/>
              </w:rPr>
              <w:t>元）专门面向中小企业采购，其中</w:t>
            </w:r>
            <w:r>
              <w:rPr>
                <w:rFonts w:hint="eastAsia" w:asciiTheme="minorEastAsia" w:hAnsiTheme="minorEastAsia" w:eastAsiaTheme="minorEastAsia" w:cstheme="minorEastAsia"/>
                <w:kern w:val="0"/>
                <w:sz w:val="24"/>
                <w:szCs w:val="24"/>
                <w:highlight w:val="none"/>
                <w:lang w:val="en-US" w:eastAsia="zh-CN"/>
              </w:rPr>
              <w:t>2383000.00</w:t>
            </w:r>
            <w:r>
              <w:rPr>
                <w:rFonts w:hint="eastAsia" w:asciiTheme="minorEastAsia" w:hAnsiTheme="minorEastAsia" w:eastAsiaTheme="minorEastAsia" w:cstheme="minorEastAsia"/>
                <w:kern w:val="0"/>
                <w:sz w:val="24"/>
                <w:szCs w:val="24"/>
                <w:highlight w:val="none"/>
              </w:rPr>
              <w:t>元的</w:t>
            </w:r>
            <w:r>
              <w:rPr>
                <w:rFonts w:hint="eastAsia" w:asciiTheme="minorEastAsia" w:hAnsiTheme="minorEastAsia" w:eastAsiaTheme="minorEastAsia" w:cstheme="minorEastAsia"/>
                <w:kern w:val="0"/>
                <w:sz w:val="24"/>
                <w:szCs w:val="24"/>
                <w:highlight w:val="none"/>
                <w:lang w:val="en-US" w:eastAsia="zh-CN"/>
              </w:rPr>
              <w:t>60.00</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1429800.00</w:t>
            </w:r>
            <w:r>
              <w:rPr>
                <w:rFonts w:hint="eastAsia" w:asciiTheme="minorEastAsia" w:hAnsiTheme="minorEastAsia" w:eastAsiaTheme="minorEastAsia" w:cstheme="minorEastAsia"/>
                <w:kern w:val="0"/>
                <w:sz w:val="24"/>
                <w:szCs w:val="24"/>
                <w:highlight w:val="none"/>
              </w:rPr>
              <w:t>元）预留给小微企业采购</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对于预留份额，提供的货物由符合政策要求的小微企业制造；</w:t>
            </w:r>
            <w:r>
              <w:rPr>
                <w:rFonts w:hint="eastAsia" w:asciiTheme="minorEastAsia" w:hAnsiTheme="minorEastAsia" w:eastAsiaTheme="minorEastAsia" w:cstheme="minorEastAsia"/>
                <w:kern w:val="0"/>
                <w:sz w:val="24"/>
                <w:szCs w:val="24"/>
                <w:highlight w:val="none"/>
              </w:rPr>
              <w:t>如果供应商本身提</w:t>
            </w:r>
            <w:r>
              <w:rPr>
                <w:rFonts w:hint="eastAsia" w:asciiTheme="minorEastAsia" w:hAnsiTheme="minorEastAsia" w:eastAsiaTheme="minorEastAsia" w:cstheme="minorEastAsia"/>
                <w:kern w:val="0"/>
                <w:sz w:val="24"/>
                <w:szCs w:val="24"/>
                <w:highlight w:val="none"/>
                <w:lang w:eastAsia="zh-CN"/>
              </w:rPr>
              <w:t>供的</w:t>
            </w:r>
            <w:r>
              <w:rPr>
                <w:rFonts w:hint="eastAsia" w:asciiTheme="minorEastAsia" w:hAnsiTheme="minorEastAsia" w:eastAsiaTheme="minorEastAsia" w:cstheme="minorEastAsia"/>
                <w:kern w:val="0"/>
                <w:sz w:val="24"/>
                <w:szCs w:val="24"/>
                <w:highlight w:val="none"/>
              </w:rPr>
              <w:t>所有标的均由小微企业制造，视同符合了资格条件。</w:t>
            </w:r>
            <w:r>
              <w:rPr>
                <w:rFonts w:hint="eastAsia" w:asciiTheme="minorEastAsia" w:hAnsiTheme="minorEastAsia" w:eastAsiaTheme="minorEastAsia" w:cstheme="minorEastAsia"/>
                <w:kern w:val="0"/>
                <w:sz w:val="24"/>
                <w:szCs w:val="24"/>
                <w:highlight w:val="none"/>
                <w:lang w:val="en-US" w:eastAsia="zh-CN"/>
              </w:rPr>
              <w:t>中小企业参加政府采购活动，应当出具《政府采购促进中小企业发展管理办法》规定的《中小企业声明函》，否则不得享受相关中小企业扶持政策。</w:t>
            </w:r>
          </w:p>
          <w:p w14:paraId="27E6B9C5">
            <w:pPr>
              <w:spacing w:line="24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供应商须提供：《分包意向协议》《中小企业声明函》</w:t>
            </w:r>
          </w:p>
        </w:tc>
      </w:tr>
    </w:tbl>
    <w:p w14:paraId="1EE77918">
      <w:pPr>
        <w:pStyle w:val="35"/>
        <w:spacing w:line="240" w:lineRule="auto"/>
        <w:ind w:left="0" w:leftChars="0" w:firstLine="0" w:firstLineChars="0"/>
        <w:rPr>
          <w:rFonts w:hint="eastAsia" w:asciiTheme="minorEastAsia" w:hAnsiTheme="minorEastAsia" w:eastAsiaTheme="minorEastAsia" w:cstheme="minorEastAsia"/>
          <w:sz w:val="32"/>
          <w:szCs w:val="32"/>
          <w:highlight w:val="none"/>
        </w:rPr>
      </w:pPr>
    </w:p>
    <w:p w14:paraId="45EBC8C4">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 符合性检查。依据招标文件的规定，从投标文件的有效性、完整性和对招标文件的响应程度进行审查，以确定是否对招标文件的实质性要求作出响应。评标委员会评审投标文件的响应性只根据投标文件真实无误的内容，而不依据外部的证据，但投标文件有不真实、不正确的内容时除外。</w:t>
      </w:r>
    </w:p>
    <w:p w14:paraId="0A6CC261">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 投标供应商不得通过修正或撤销不符合要求的偏离从而使其投标成为实质上响应的投标。</w:t>
      </w:r>
    </w:p>
    <w:p w14:paraId="15E6C7D2">
      <w:pPr>
        <w:snapToGrid w:val="0"/>
        <w:spacing w:line="24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kern w:val="0"/>
          <w:sz w:val="28"/>
          <w:szCs w:val="28"/>
          <w:highlight w:val="none"/>
        </w:rPr>
        <w:t>符合性检查表</w:t>
      </w:r>
    </w:p>
    <w:tbl>
      <w:tblPr>
        <w:tblStyle w:val="36"/>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718"/>
        <w:gridCol w:w="6173"/>
        <w:gridCol w:w="1196"/>
      </w:tblGrid>
      <w:tr w14:paraId="4E85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211" w:type="dxa"/>
            <w:gridSpan w:val="2"/>
            <w:noWrap w:val="0"/>
            <w:vAlign w:val="center"/>
          </w:tcPr>
          <w:p w14:paraId="5D206A5C">
            <w:pPr>
              <w:pStyle w:val="21"/>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6173" w:type="dxa"/>
            <w:noWrap w:val="0"/>
            <w:vAlign w:val="center"/>
          </w:tcPr>
          <w:p w14:paraId="170F6134">
            <w:pPr>
              <w:pStyle w:val="21"/>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c>
          <w:tcPr>
            <w:tcW w:w="1196" w:type="dxa"/>
            <w:noWrap w:val="0"/>
            <w:vAlign w:val="center"/>
          </w:tcPr>
          <w:p w14:paraId="217B17B9">
            <w:pPr>
              <w:pStyle w:val="21"/>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评审意见是否合格</w:t>
            </w:r>
          </w:p>
        </w:tc>
      </w:tr>
      <w:tr w14:paraId="71CE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3" w:type="dxa"/>
            <w:noWrap w:val="0"/>
            <w:vAlign w:val="center"/>
          </w:tcPr>
          <w:p w14:paraId="5857965F">
            <w:pPr>
              <w:pStyle w:val="21"/>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718" w:type="dxa"/>
            <w:noWrap w:val="0"/>
            <w:vAlign w:val="center"/>
          </w:tcPr>
          <w:p w14:paraId="71FDF4FC">
            <w:pPr>
              <w:pStyle w:val="21"/>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投标文件格式</w:t>
            </w:r>
          </w:p>
        </w:tc>
        <w:tc>
          <w:tcPr>
            <w:tcW w:w="6173" w:type="dxa"/>
            <w:noWrap w:val="0"/>
            <w:vAlign w:val="center"/>
          </w:tcPr>
          <w:p w14:paraId="1023FE14">
            <w:pPr>
              <w:pStyle w:val="21"/>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投标函有单位盖章及法定代表人或法定代表人授权的代理人签字或盖章</w:t>
            </w:r>
          </w:p>
        </w:tc>
        <w:tc>
          <w:tcPr>
            <w:tcW w:w="1196" w:type="dxa"/>
            <w:noWrap w:val="0"/>
            <w:vAlign w:val="center"/>
          </w:tcPr>
          <w:p w14:paraId="47A32DD2">
            <w:pPr>
              <w:pStyle w:val="21"/>
              <w:spacing w:line="240" w:lineRule="auto"/>
              <w:rPr>
                <w:rFonts w:hint="eastAsia" w:ascii="宋体" w:hAnsi="宋体" w:eastAsia="宋体" w:cs="宋体"/>
                <w:sz w:val="24"/>
                <w:szCs w:val="24"/>
                <w:highlight w:val="none"/>
              </w:rPr>
            </w:pPr>
          </w:p>
        </w:tc>
      </w:tr>
      <w:tr w14:paraId="6CDC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noWrap w:val="0"/>
            <w:vAlign w:val="center"/>
          </w:tcPr>
          <w:p w14:paraId="53018489">
            <w:pPr>
              <w:pStyle w:val="21"/>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718" w:type="dxa"/>
            <w:noWrap w:val="0"/>
            <w:vAlign w:val="center"/>
          </w:tcPr>
          <w:p w14:paraId="55CA1918">
            <w:pPr>
              <w:pStyle w:val="21"/>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授权委托书</w:t>
            </w:r>
          </w:p>
        </w:tc>
        <w:tc>
          <w:tcPr>
            <w:tcW w:w="6173" w:type="dxa"/>
            <w:noWrap w:val="0"/>
            <w:vAlign w:val="center"/>
          </w:tcPr>
          <w:p w14:paraId="0C6B3C32">
            <w:pPr>
              <w:pStyle w:val="21"/>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投标文件提供法定代表人授权委托书或提供法定代表人身份证明</w:t>
            </w:r>
          </w:p>
        </w:tc>
        <w:tc>
          <w:tcPr>
            <w:tcW w:w="1196" w:type="dxa"/>
            <w:noWrap w:val="0"/>
            <w:vAlign w:val="center"/>
          </w:tcPr>
          <w:p w14:paraId="21EC0142">
            <w:pPr>
              <w:pStyle w:val="21"/>
              <w:spacing w:line="240" w:lineRule="auto"/>
              <w:rPr>
                <w:rFonts w:hint="eastAsia" w:ascii="宋体" w:hAnsi="宋体" w:eastAsia="宋体" w:cs="宋体"/>
                <w:sz w:val="24"/>
                <w:szCs w:val="24"/>
                <w:highlight w:val="none"/>
              </w:rPr>
            </w:pPr>
          </w:p>
        </w:tc>
      </w:tr>
      <w:tr w14:paraId="7360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noWrap w:val="0"/>
            <w:vAlign w:val="center"/>
          </w:tcPr>
          <w:p w14:paraId="6DA28C83">
            <w:pPr>
              <w:pStyle w:val="21"/>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718" w:type="dxa"/>
            <w:noWrap w:val="0"/>
            <w:vAlign w:val="center"/>
          </w:tcPr>
          <w:p w14:paraId="55B4EABE">
            <w:pPr>
              <w:pStyle w:val="21"/>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w:t>
            </w:r>
          </w:p>
        </w:tc>
        <w:tc>
          <w:tcPr>
            <w:tcW w:w="6173" w:type="dxa"/>
            <w:noWrap w:val="0"/>
            <w:vAlign w:val="center"/>
          </w:tcPr>
          <w:p w14:paraId="7873F159">
            <w:pPr>
              <w:pStyle w:val="21"/>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投标文件上法定代表人或其授权代理人的签章或签字、投标人的单位章齐全符合招标文件规定</w:t>
            </w:r>
          </w:p>
        </w:tc>
        <w:tc>
          <w:tcPr>
            <w:tcW w:w="1196" w:type="dxa"/>
            <w:noWrap w:val="0"/>
            <w:vAlign w:val="center"/>
          </w:tcPr>
          <w:p w14:paraId="0B4EA649">
            <w:pPr>
              <w:pStyle w:val="21"/>
              <w:spacing w:line="240" w:lineRule="auto"/>
              <w:rPr>
                <w:rFonts w:hint="eastAsia" w:ascii="宋体" w:hAnsi="宋体" w:eastAsia="宋体" w:cs="宋体"/>
                <w:sz w:val="24"/>
                <w:szCs w:val="24"/>
                <w:highlight w:val="none"/>
              </w:rPr>
            </w:pPr>
          </w:p>
        </w:tc>
      </w:tr>
      <w:tr w14:paraId="25A1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noWrap w:val="0"/>
            <w:vAlign w:val="center"/>
          </w:tcPr>
          <w:p w14:paraId="364C965D">
            <w:pPr>
              <w:pStyle w:val="21"/>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718" w:type="dxa"/>
            <w:noWrap w:val="0"/>
            <w:vAlign w:val="center"/>
          </w:tcPr>
          <w:p w14:paraId="3483CCAB">
            <w:pPr>
              <w:pStyle w:val="21"/>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报价唯一性</w:t>
            </w:r>
          </w:p>
        </w:tc>
        <w:tc>
          <w:tcPr>
            <w:tcW w:w="6173" w:type="dxa"/>
            <w:noWrap w:val="0"/>
            <w:vAlign w:val="center"/>
          </w:tcPr>
          <w:p w14:paraId="1FE96AAF">
            <w:pPr>
              <w:pStyle w:val="21"/>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投标报价具有唯一性，未超过采购预算，本项目不接受选择性报价，对于出现的政采云平台开标唱标环节经</w:t>
            </w:r>
            <w:r>
              <w:rPr>
                <w:rFonts w:hint="eastAsia" w:cs="宋体"/>
                <w:sz w:val="24"/>
                <w:szCs w:val="24"/>
                <w:highlight w:val="none"/>
                <w:lang w:eastAsia="zh-CN"/>
              </w:rPr>
              <w:t>投标</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确认的投标报价与投标文件中开标一览表的报价不一致的现象，视作选择性报价，将被作为无效投标处理</w:t>
            </w:r>
          </w:p>
        </w:tc>
        <w:tc>
          <w:tcPr>
            <w:tcW w:w="1196" w:type="dxa"/>
            <w:noWrap w:val="0"/>
            <w:vAlign w:val="center"/>
          </w:tcPr>
          <w:p w14:paraId="7BE9BC56">
            <w:pPr>
              <w:pStyle w:val="21"/>
              <w:spacing w:line="240" w:lineRule="auto"/>
              <w:rPr>
                <w:rFonts w:hint="eastAsia" w:ascii="宋体" w:hAnsi="宋体" w:eastAsia="宋体" w:cs="宋体"/>
                <w:sz w:val="24"/>
                <w:szCs w:val="24"/>
                <w:highlight w:val="none"/>
              </w:rPr>
            </w:pPr>
          </w:p>
        </w:tc>
      </w:tr>
      <w:tr w14:paraId="1AA4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noWrap w:val="0"/>
            <w:vAlign w:val="center"/>
          </w:tcPr>
          <w:p w14:paraId="77C02738">
            <w:pPr>
              <w:pStyle w:val="21"/>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718" w:type="dxa"/>
            <w:noWrap w:val="0"/>
            <w:vAlign w:val="center"/>
          </w:tcPr>
          <w:p w14:paraId="28BBDE48">
            <w:pPr>
              <w:pStyle w:val="21"/>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方案唯一性</w:t>
            </w:r>
          </w:p>
        </w:tc>
        <w:tc>
          <w:tcPr>
            <w:tcW w:w="6173" w:type="dxa"/>
            <w:noWrap w:val="0"/>
            <w:vAlign w:val="center"/>
          </w:tcPr>
          <w:p w14:paraId="2BB22811">
            <w:pPr>
              <w:pStyle w:val="21"/>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本项目不接受选择性的技术方案、商务方案、产品以及其他备选方案，若出现将被作为无效投标处理</w:t>
            </w:r>
          </w:p>
        </w:tc>
        <w:tc>
          <w:tcPr>
            <w:tcW w:w="1196" w:type="dxa"/>
            <w:noWrap w:val="0"/>
            <w:vAlign w:val="center"/>
          </w:tcPr>
          <w:p w14:paraId="06913198">
            <w:pPr>
              <w:pStyle w:val="21"/>
              <w:spacing w:line="240" w:lineRule="auto"/>
              <w:rPr>
                <w:rFonts w:hint="eastAsia" w:ascii="宋体" w:hAnsi="宋体" w:eastAsia="宋体" w:cs="宋体"/>
                <w:sz w:val="24"/>
                <w:szCs w:val="24"/>
                <w:highlight w:val="none"/>
              </w:rPr>
            </w:pPr>
          </w:p>
        </w:tc>
      </w:tr>
      <w:tr w14:paraId="4167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noWrap w:val="0"/>
            <w:vAlign w:val="center"/>
          </w:tcPr>
          <w:p w14:paraId="4164C5B4">
            <w:pPr>
              <w:pStyle w:val="21"/>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718" w:type="dxa"/>
            <w:noWrap w:val="0"/>
            <w:vAlign w:val="center"/>
          </w:tcPr>
          <w:p w14:paraId="285C9B8B">
            <w:pPr>
              <w:pStyle w:val="21"/>
              <w:spacing w:line="240" w:lineRule="auto"/>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供货（服务）期限、服务要求或标准、质量要求/质保期、售后标准</w:t>
            </w:r>
          </w:p>
        </w:tc>
        <w:tc>
          <w:tcPr>
            <w:tcW w:w="6173" w:type="dxa"/>
            <w:noWrap w:val="0"/>
            <w:vAlign w:val="center"/>
          </w:tcPr>
          <w:p w14:paraId="42AB08EE">
            <w:pPr>
              <w:pStyle w:val="21"/>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是否响应招标文件要求</w:t>
            </w:r>
          </w:p>
        </w:tc>
        <w:tc>
          <w:tcPr>
            <w:tcW w:w="1196" w:type="dxa"/>
            <w:noWrap w:val="0"/>
            <w:vAlign w:val="center"/>
          </w:tcPr>
          <w:p w14:paraId="0D251DD2">
            <w:pPr>
              <w:pStyle w:val="21"/>
              <w:spacing w:line="240" w:lineRule="auto"/>
              <w:rPr>
                <w:rFonts w:hint="eastAsia" w:ascii="宋体" w:hAnsi="宋体" w:eastAsia="宋体" w:cs="宋体"/>
                <w:sz w:val="24"/>
                <w:szCs w:val="24"/>
                <w:highlight w:val="none"/>
              </w:rPr>
            </w:pPr>
          </w:p>
        </w:tc>
      </w:tr>
      <w:tr w14:paraId="67CB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noWrap w:val="0"/>
            <w:vAlign w:val="center"/>
          </w:tcPr>
          <w:p w14:paraId="39D1F219">
            <w:pPr>
              <w:pStyle w:val="21"/>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1718" w:type="dxa"/>
            <w:noWrap w:val="0"/>
            <w:vAlign w:val="center"/>
          </w:tcPr>
          <w:p w14:paraId="56F468D2">
            <w:pPr>
              <w:pStyle w:val="21"/>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6173" w:type="dxa"/>
            <w:noWrap w:val="0"/>
            <w:vAlign w:val="center"/>
          </w:tcPr>
          <w:p w14:paraId="61B43855">
            <w:pPr>
              <w:pStyle w:val="21"/>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是否按照投标须知要求金额递交了投标保证金，并提供了投标保证金证明</w:t>
            </w:r>
          </w:p>
        </w:tc>
        <w:tc>
          <w:tcPr>
            <w:tcW w:w="1196" w:type="dxa"/>
            <w:noWrap w:val="0"/>
            <w:vAlign w:val="center"/>
          </w:tcPr>
          <w:p w14:paraId="70FE232E">
            <w:pPr>
              <w:pStyle w:val="21"/>
              <w:spacing w:line="240" w:lineRule="auto"/>
              <w:rPr>
                <w:rFonts w:hint="eastAsia" w:ascii="宋体" w:hAnsi="宋体" w:eastAsia="宋体" w:cs="宋体"/>
                <w:sz w:val="24"/>
                <w:szCs w:val="24"/>
                <w:highlight w:val="none"/>
              </w:rPr>
            </w:pPr>
          </w:p>
        </w:tc>
      </w:tr>
      <w:tr w14:paraId="2258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noWrap w:val="0"/>
            <w:vAlign w:val="center"/>
          </w:tcPr>
          <w:p w14:paraId="211C1405">
            <w:pPr>
              <w:pStyle w:val="21"/>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1718" w:type="dxa"/>
            <w:noWrap w:val="0"/>
            <w:vAlign w:val="center"/>
          </w:tcPr>
          <w:p w14:paraId="430CF147">
            <w:pPr>
              <w:pStyle w:val="21"/>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其他要求</w:t>
            </w:r>
          </w:p>
        </w:tc>
        <w:tc>
          <w:tcPr>
            <w:tcW w:w="6173" w:type="dxa"/>
            <w:noWrap w:val="0"/>
            <w:vAlign w:val="center"/>
          </w:tcPr>
          <w:p w14:paraId="01CE53AE">
            <w:pPr>
              <w:pStyle w:val="21"/>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投标文件未附有</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不能接受的条件或不符合招标文件的其他要求</w:t>
            </w:r>
          </w:p>
        </w:tc>
        <w:tc>
          <w:tcPr>
            <w:tcW w:w="1196" w:type="dxa"/>
            <w:noWrap w:val="0"/>
            <w:vAlign w:val="center"/>
          </w:tcPr>
          <w:p w14:paraId="4AB2D9DD">
            <w:pPr>
              <w:pStyle w:val="21"/>
              <w:spacing w:line="240" w:lineRule="auto"/>
              <w:rPr>
                <w:rFonts w:hint="eastAsia" w:ascii="宋体" w:hAnsi="宋体" w:eastAsia="宋体" w:cs="宋体"/>
                <w:sz w:val="24"/>
                <w:szCs w:val="24"/>
                <w:highlight w:val="none"/>
              </w:rPr>
            </w:pPr>
          </w:p>
        </w:tc>
      </w:tr>
      <w:tr w14:paraId="04E1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3" w:type="dxa"/>
            <w:noWrap w:val="0"/>
            <w:vAlign w:val="center"/>
          </w:tcPr>
          <w:p w14:paraId="0AE67862">
            <w:pPr>
              <w:pStyle w:val="21"/>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1718" w:type="dxa"/>
            <w:noWrap w:val="0"/>
            <w:vAlign w:val="center"/>
          </w:tcPr>
          <w:p w14:paraId="55A99704">
            <w:pPr>
              <w:pStyle w:val="21"/>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实质性条款</w:t>
            </w:r>
          </w:p>
        </w:tc>
        <w:tc>
          <w:tcPr>
            <w:tcW w:w="6173" w:type="dxa"/>
            <w:noWrap w:val="0"/>
            <w:vAlign w:val="center"/>
          </w:tcPr>
          <w:p w14:paraId="17419A9E">
            <w:pPr>
              <w:pStyle w:val="21"/>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商务及技术实质性条款是否符合招标文件要求</w:t>
            </w:r>
          </w:p>
        </w:tc>
        <w:tc>
          <w:tcPr>
            <w:tcW w:w="1196" w:type="dxa"/>
            <w:noWrap w:val="0"/>
            <w:vAlign w:val="center"/>
          </w:tcPr>
          <w:p w14:paraId="047EAE4C">
            <w:pPr>
              <w:pStyle w:val="21"/>
              <w:spacing w:line="240" w:lineRule="auto"/>
              <w:rPr>
                <w:rFonts w:hint="eastAsia" w:ascii="宋体" w:hAnsi="宋体" w:eastAsia="宋体" w:cs="宋体"/>
                <w:sz w:val="24"/>
                <w:szCs w:val="24"/>
                <w:highlight w:val="none"/>
              </w:rPr>
            </w:pPr>
          </w:p>
        </w:tc>
      </w:tr>
    </w:tbl>
    <w:p w14:paraId="5891C807">
      <w:pPr>
        <w:pStyle w:val="65"/>
        <w:spacing w:line="240" w:lineRule="auto"/>
        <w:ind w:firstLine="560"/>
        <w:jc w:val="both"/>
        <w:rPr>
          <w:rFonts w:hint="eastAsia" w:asciiTheme="minorEastAsia" w:hAnsiTheme="minorEastAsia" w:eastAsiaTheme="minorEastAsia" w:cstheme="minorEastAsia"/>
          <w:color w:val="auto"/>
          <w:sz w:val="28"/>
          <w:szCs w:val="28"/>
          <w:highlight w:val="none"/>
        </w:rPr>
      </w:pPr>
    </w:p>
    <w:p w14:paraId="2C0F6335">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 有下列情形之一时,评标委员会应予废标,并将理由通知所有投标供应商:</w:t>
      </w:r>
    </w:p>
    <w:p w14:paraId="0EC977E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(1)符合专业条件的投标供应商或者对招标文件作实质性响应的投标供应商不足三家的；</w:t>
      </w:r>
    </w:p>
    <w:p w14:paraId="64BD35E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(2)出现影响招标公正的违法、违规行为的；    </w:t>
      </w:r>
    </w:p>
    <w:p w14:paraId="181958D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(3)投标供应商的</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 xml:space="preserve">均超过了采购预算,采购人不能支付的；    </w:t>
      </w:r>
    </w:p>
    <w:p w14:paraId="5A9391F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(4)因重大变故，采购任务取消的。</w:t>
      </w:r>
    </w:p>
    <w:p w14:paraId="1D7243EB">
      <w:pPr>
        <w:pStyle w:val="65"/>
        <w:spacing w:line="240" w:lineRule="auto"/>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 废标后，除采购任务取消情形外，招标采购单位应当重新组织招标。需要采取其他采购方式的，应当在采购活动开始前获得设区的市、自治州以上人民政府财政部门的批准。</w:t>
      </w:r>
    </w:p>
    <w:p w14:paraId="3E5937A9">
      <w:pPr>
        <w:pStyle w:val="65"/>
        <w:spacing w:line="240" w:lineRule="auto"/>
        <w:ind w:firstLine="56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5．澄清有关问题</w:t>
      </w:r>
    </w:p>
    <w:p w14:paraId="1E0CF400">
      <w:pPr>
        <w:pStyle w:val="65"/>
        <w:spacing w:line="240" w:lineRule="auto"/>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对于投标文件中含义不明确、同类问题表述不一致或者有明显文字和计算错误的内容，评标委员会应当以书面形式要求投标人作出必要的澄清、说明或者补正。</w:t>
      </w:r>
    </w:p>
    <w:p w14:paraId="6D75FE3F">
      <w:pPr>
        <w:pStyle w:val="65"/>
        <w:spacing w:line="240" w:lineRule="auto"/>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投标人的澄清、说明或者补正应当采用书面形式，并加盖公章，或者由法定代表人或其授权的代表签字。投标人的澄清、说明或者补正不得超出投标文件的范围或者改变投标文件的实质性内容。    </w:t>
      </w:r>
    </w:p>
    <w:p w14:paraId="5FE7DD55">
      <w:pPr>
        <w:pStyle w:val="65"/>
        <w:spacing w:line="240" w:lineRule="auto"/>
        <w:ind w:firstLine="56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5.2 投标供应商不得对下列内容进行澄清或补充：</w:t>
      </w:r>
    </w:p>
    <w:p w14:paraId="6031356A">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(1)投标报价、质量标准、合同履行期限等实质性内容。    </w:t>
      </w:r>
    </w:p>
    <w:p w14:paraId="1133398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(2)不满足第二章投标须知第3款规定的实质性要求的投标文件内容。</w:t>
      </w:r>
    </w:p>
    <w:p w14:paraId="3CFB18A8">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 投标文件报价出现前后不一致的，除招标文件另有规定外，按照下列规定修正：</w:t>
      </w:r>
    </w:p>
    <w:p w14:paraId="0C54337A">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（一）投标文件中开标一览表（报价表）内容与投标文件中相应内容不一致的，以开标一览表（报价表）为准；</w:t>
      </w:r>
    </w:p>
    <w:p w14:paraId="484A7735">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（二）大写金额和小写金额不一致的，以大写金额为准；</w:t>
      </w:r>
    </w:p>
    <w:p w14:paraId="295E29A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（三）单价金额小数点或者百分比有明显错位的，以开标一览表的总价为准，并修改单价；</w:t>
      </w:r>
    </w:p>
    <w:p w14:paraId="4C66B94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（四）总价金额与按单价汇总金额不一致的，以单价金额计算结果为准。</w:t>
      </w:r>
    </w:p>
    <w:p w14:paraId="7A83E8A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同时出现两种以上不一致的，按照前款规定的顺序修正。修正后的报价按照本办法第五十一条第二款的规定经投标人确认后产生约束力，投标人不确认的，其投标无效。    </w:t>
      </w:r>
    </w:p>
    <w:p w14:paraId="67B0C1D5">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 有效的书面澄清材料，是投标文件的补充材料，成为投标文件的组成部分。</w:t>
      </w:r>
    </w:p>
    <w:p w14:paraId="7910966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5.5 评标委员会认为投标人的报价明显低于其他通过符合性审</w:t>
      </w:r>
      <w:r>
        <w:rPr>
          <w:rFonts w:hint="eastAsia" w:asciiTheme="minorEastAsia" w:hAnsiTheme="minorEastAsia" w:eastAsiaTheme="minorEastAsia" w:cstheme="minorEastAsia"/>
          <w:color w:val="auto"/>
          <w:sz w:val="24"/>
          <w:szCs w:val="24"/>
          <w:highlight w:val="none"/>
          <w:lang w:eastAsia="zh-CN"/>
        </w:rPr>
        <w:t>查的</w:t>
      </w:r>
      <w:r>
        <w:rPr>
          <w:rFonts w:hint="eastAsia" w:asciiTheme="minorEastAsia" w:hAnsiTheme="minorEastAsia" w:eastAsiaTheme="minorEastAsia" w:cstheme="minorEastAsia"/>
          <w:color w:val="auto"/>
          <w:sz w:val="24"/>
          <w:szCs w:val="24"/>
          <w:highlight w:val="none"/>
        </w:rPr>
        <w:t>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Theme="minorEastAsia" w:hAnsiTheme="minorEastAsia" w:eastAsiaTheme="minorEastAsia" w:cstheme="minorEastAsia"/>
          <w:b/>
          <w:bCs/>
          <w:color w:val="auto"/>
          <w:sz w:val="24"/>
          <w:szCs w:val="24"/>
          <w:highlight w:val="none"/>
        </w:rPr>
        <w:t>无效投标</w:t>
      </w:r>
      <w:r>
        <w:rPr>
          <w:rFonts w:hint="eastAsia" w:asciiTheme="minorEastAsia" w:hAnsiTheme="minorEastAsia" w:eastAsiaTheme="minorEastAsia" w:cstheme="minorEastAsia"/>
          <w:color w:val="auto"/>
          <w:sz w:val="24"/>
          <w:szCs w:val="24"/>
          <w:highlight w:val="none"/>
        </w:rPr>
        <w:t>处理。</w:t>
      </w:r>
    </w:p>
    <w:p w14:paraId="1953702B">
      <w:pPr>
        <w:pStyle w:val="65"/>
        <w:spacing w:line="240" w:lineRule="auto"/>
        <w:ind w:firstLine="56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6．投标文件的详细评审    </w:t>
      </w:r>
    </w:p>
    <w:p w14:paraId="5CB88D30">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6.1 评标委员会应按照招标文件中规定的评标方法、标准和评标因素，对资格性检查和符合性检查合格的投标文件进行商务和技术评估，综合比较与评价。  </w:t>
      </w:r>
    </w:p>
    <w:p w14:paraId="18446D1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 评标时，评标委员会各成员应当独立对每个投标供应商的投标文件进行评价、评分，然后汇总每个投标供应商每项评分因素的得分。</w:t>
      </w:r>
    </w:p>
    <w:p w14:paraId="0AEED800">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 供应商在评标过程中，所进行的力图影响评标结果的不符合招标规则的活动，可能导致其被取消中标资格。</w:t>
      </w:r>
    </w:p>
    <w:p w14:paraId="53E30E9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 评分标准:各投标供应商的总评分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价格评分+商务、技术部分评分=100分，具体评分细则如下：</w:t>
      </w:r>
    </w:p>
    <w:tbl>
      <w:tblPr>
        <w:tblStyle w:val="36"/>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203"/>
        <w:gridCol w:w="1232"/>
        <w:gridCol w:w="756"/>
        <w:gridCol w:w="6372"/>
      </w:tblGrid>
      <w:tr w14:paraId="2E17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1203" w:type="dxa"/>
            <w:vAlign w:val="center"/>
          </w:tcPr>
          <w:p w14:paraId="6EF459B7">
            <w:pPr>
              <w:adjustRightInd w:val="0"/>
              <w:snapToGrid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评审项目</w:t>
            </w:r>
          </w:p>
        </w:tc>
        <w:tc>
          <w:tcPr>
            <w:tcW w:w="1232" w:type="dxa"/>
            <w:vAlign w:val="center"/>
          </w:tcPr>
          <w:p w14:paraId="3308CF32">
            <w:pPr>
              <w:adjustRightInd w:val="0"/>
              <w:snapToGrid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评审分项</w:t>
            </w:r>
          </w:p>
        </w:tc>
        <w:tc>
          <w:tcPr>
            <w:tcW w:w="756" w:type="dxa"/>
            <w:vAlign w:val="center"/>
          </w:tcPr>
          <w:p w14:paraId="76AD8770">
            <w:pPr>
              <w:adjustRightInd w:val="0"/>
              <w:snapToGrid w:val="0"/>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分值</w:t>
            </w:r>
          </w:p>
        </w:tc>
        <w:tc>
          <w:tcPr>
            <w:tcW w:w="6372" w:type="dxa"/>
            <w:tcMar>
              <w:top w:w="17" w:type="dxa"/>
              <w:bottom w:w="17" w:type="dxa"/>
            </w:tcMar>
            <w:vAlign w:val="center"/>
          </w:tcPr>
          <w:p w14:paraId="39D79E09">
            <w:pPr>
              <w:adjustRightInd w:val="0"/>
              <w:snapToGrid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评分标准</w:t>
            </w:r>
          </w:p>
        </w:tc>
      </w:tr>
      <w:tr w14:paraId="254A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1203" w:type="dxa"/>
            <w:vAlign w:val="center"/>
          </w:tcPr>
          <w:p w14:paraId="3F138C8A">
            <w:pPr>
              <w:adjustRightInd w:val="0"/>
              <w:snapToGrid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价格部分（</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0分）</w:t>
            </w:r>
          </w:p>
        </w:tc>
        <w:tc>
          <w:tcPr>
            <w:tcW w:w="1232" w:type="dxa"/>
            <w:vAlign w:val="center"/>
          </w:tcPr>
          <w:p w14:paraId="1C92181F">
            <w:pPr>
              <w:adjustRightInd w:val="0"/>
              <w:snapToGrid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报价得分</w:t>
            </w:r>
          </w:p>
        </w:tc>
        <w:tc>
          <w:tcPr>
            <w:tcW w:w="756" w:type="dxa"/>
            <w:vAlign w:val="center"/>
          </w:tcPr>
          <w:p w14:paraId="0149754D">
            <w:pPr>
              <w:adjustRightInd w:val="0"/>
              <w:snapToGrid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0</w:t>
            </w:r>
          </w:p>
        </w:tc>
        <w:tc>
          <w:tcPr>
            <w:tcW w:w="6372" w:type="dxa"/>
            <w:tcMar>
              <w:top w:w="17" w:type="dxa"/>
              <w:bottom w:w="17" w:type="dxa"/>
            </w:tcMar>
            <w:vAlign w:val="center"/>
          </w:tcPr>
          <w:p w14:paraId="4D83B918">
            <w:pPr>
              <w:adjustRightInd w:val="0"/>
              <w:snapToGrid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满足招标文件要求且最后报价最低的投标人的价格为评标基准价，其价格分为满分。其他投标人的价格分按照下列公式计算：投标报价得分= (评标基准价／投标报价)×</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，依此计算出所有投标人的价格评分。</w:t>
            </w:r>
          </w:p>
        </w:tc>
      </w:tr>
      <w:tr w14:paraId="564D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66" w:hRule="atLeast"/>
          <w:jc w:val="center"/>
        </w:trPr>
        <w:tc>
          <w:tcPr>
            <w:tcW w:w="1203" w:type="dxa"/>
            <w:vMerge w:val="restart"/>
            <w:vAlign w:val="center"/>
          </w:tcPr>
          <w:p w14:paraId="11DCAD83">
            <w:pPr>
              <w:adjustRightInd w:val="0"/>
              <w:snapToGrid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技术部分（</w:t>
            </w:r>
            <w:r>
              <w:rPr>
                <w:rFonts w:hint="eastAsia" w:asciiTheme="minorEastAsia" w:hAnsiTheme="minorEastAsia" w:eastAsiaTheme="minorEastAsia" w:cstheme="minorEastAsia"/>
                <w:sz w:val="24"/>
                <w:szCs w:val="24"/>
                <w:highlight w:val="none"/>
                <w:lang w:val="en-US" w:eastAsia="zh-CN"/>
              </w:rPr>
              <w:t>44</w:t>
            </w:r>
            <w:r>
              <w:rPr>
                <w:rFonts w:hint="eastAsia" w:asciiTheme="minorEastAsia" w:hAnsiTheme="minorEastAsia" w:eastAsiaTheme="minorEastAsia" w:cstheme="minorEastAsia"/>
                <w:sz w:val="24"/>
                <w:szCs w:val="24"/>
                <w:highlight w:val="none"/>
              </w:rPr>
              <w:t>分）</w:t>
            </w:r>
          </w:p>
        </w:tc>
        <w:tc>
          <w:tcPr>
            <w:tcW w:w="1232" w:type="dxa"/>
            <w:vAlign w:val="center"/>
          </w:tcPr>
          <w:p w14:paraId="6FD3E78D">
            <w:pPr>
              <w:adjustRightInd w:val="0"/>
              <w:snapToGrid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技术参数响应情况</w:t>
            </w:r>
          </w:p>
        </w:tc>
        <w:tc>
          <w:tcPr>
            <w:tcW w:w="756" w:type="dxa"/>
            <w:vAlign w:val="center"/>
          </w:tcPr>
          <w:p w14:paraId="2F93ECE8">
            <w:pPr>
              <w:adjustRightInd w:val="0"/>
              <w:snapToGrid w:val="0"/>
              <w:spacing w:line="240"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6372" w:type="dxa"/>
            <w:tcMar>
              <w:top w:w="17" w:type="dxa"/>
              <w:bottom w:w="17" w:type="dxa"/>
            </w:tcMar>
            <w:vAlign w:val="center"/>
          </w:tcPr>
          <w:p w14:paraId="6D726E4B">
            <w:pPr>
              <w:adjustRightInd w:val="0"/>
              <w:snapToGrid w:val="0"/>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根据所投项目产品清单的技术参数配置与性能指标的响应程度打分，招标文件中</w:t>
            </w:r>
            <w:r>
              <w:rPr>
                <w:rFonts w:hint="eastAsia" w:ascii="宋体" w:hAnsi="宋体" w:cs="宋体"/>
                <w:color w:val="auto"/>
                <w:kern w:val="0"/>
                <w:sz w:val="24"/>
                <w:szCs w:val="24"/>
                <w:highlight w:val="none"/>
                <w:lang w:val="en-US" w:eastAsia="zh-CN"/>
              </w:rPr>
              <w:t>除“重点参数”以外的</w:t>
            </w:r>
            <w:r>
              <w:rPr>
                <w:rFonts w:hint="eastAsia" w:ascii="宋体" w:hAnsi="宋体" w:eastAsia="宋体" w:cs="宋体"/>
                <w:color w:val="auto"/>
                <w:kern w:val="0"/>
                <w:sz w:val="24"/>
                <w:szCs w:val="24"/>
                <w:highlight w:val="none"/>
                <w:lang w:val="en-US" w:eastAsia="zh-CN"/>
              </w:rPr>
              <w:t>所有技术参数须逐条响应，所提供的设备资料应尽可能全面详细。全部响应招标文件的得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分。参数不满足或者负偏离每一项扣0.5分 ，本项最低得分为0分，扣完为止。</w:t>
            </w:r>
          </w:p>
          <w:p w14:paraId="20E041F3">
            <w:pPr>
              <w:adjustRightInd w:val="0"/>
              <w:snapToGrid w:val="0"/>
              <w:spacing w:line="240" w:lineRule="auto"/>
              <w:jc w:val="both"/>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eastAsia="zh-CN"/>
              </w:rPr>
              <w:t>注：负偏离评审依据：</w:t>
            </w:r>
            <w:r>
              <w:rPr>
                <w:rFonts w:hint="eastAsia" w:asciiTheme="minorEastAsia" w:hAnsiTheme="minorEastAsia" w:eastAsiaTheme="minorEastAsia" w:cstheme="minorEastAsia"/>
                <w:b/>
                <w:bCs/>
                <w:sz w:val="24"/>
                <w:szCs w:val="24"/>
                <w:highlight w:val="none"/>
                <w:lang w:val="en-US" w:eastAsia="zh-CN"/>
              </w:rPr>
              <w:t>①所提供产品技术参数低于招标文件要求的，视为负偏离；②技术参数响应条款（以投标文件内技术偏离表为准）与招标文件对比有缺项、漏项的，视为负偏离；③投标人提供的投标文件中产品技术偏离表、产品技术规格书描述的同一产品技术参数响应值不一致的，视为负偏离。</w:t>
            </w:r>
          </w:p>
        </w:tc>
      </w:tr>
      <w:tr w14:paraId="7F16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66" w:hRule="atLeast"/>
          <w:jc w:val="center"/>
        </w:trPr>
        <w:tc>
          <w:tcPr>
            <w:tcW w:w="1203" w:type="dxa"/>
            <w:vMerge w:val="continue"/>
            <w:vAlign w:val="center"/>
          </w:tcPr>
          <w:p w14:paraId="64A682B1">
            <w:pPr>
              <w:adjustRightInd w:val="0"/>
              <w:snapToGrid w:val="0"/>
              <w:spacing w:line="240" w:lineRule="auto"/>
              <w:jc w:val="center"/>
              <w:rPr>
                <w:rFonts w:hint="eastAsia" w:asciiTheme="minorEastAsia" w:hAnsiTheme="minorEastAsia" w:eastAsiaTheme="minorEastAsia" w:cstheme="minorEastAsia"/>
                <w:sz w:val="24"/>
                <w:szCs w:val="24"/>
                <w:highlight w:val="none"/>
              </w:rPr>
            </w:pPr>
          </w:p>
        </w:tc>
        <w:tc>
          <w:tcPr>
            <w:tcW w:w="1232" w:type="dxa"/>
            <w:vAlign w:val="center"/>
          </w:tcPr>
          <w:p w14:paraId="5A081247">
            <w:pPr>
              <w:adjustRightInd w:val="0"/>
              <w:snapToGrid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重点参数</w:t>
            </w:r>
            <w:r>
              <w:rPr>
                <w:rFonts w:hint="eastAsia" w:asciiTheme="minorEastAsia" w:hAnsiTheme="minorEastAsia" w:eastAsiaTheme="minorEastAsia" w:cstheme="minorEastAsia"/>
                <w:sz w:val="24"/>
                <w:szCs w:val="24"/>
                <w:highlight w:val="none"/>
              </w:rPr>
              <w:t>响应情况</w:t>
            </w:r>
          </w:p>
        </w:tc>
        <w:tc>
          <w:tcPr>
            <w:tcW w:w="756" w:type="dxa"/>
            <w:vAlign w:val="center"/>
          </w:tcPr>
          <w:p w14:paraId="0832558E">
            <w:pPr>
              <w:adjustRightInd w:val="0"/>
              <w:snapToGrid w:val="0"/>
              <w:spacing w:line="24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w:t>
            </w:r>
          </w:p>
        </w:tc>
        <w:tc>
          <w:tcPr>
            <w:tcW w:w="6372" w:type="dxa"/>
            <w:tcMar>
              <w:top w:w="17" w:type="dxa"/>
              <w:bottom w:w="17" w:type="dxa"/>
            </w:tcMar>
            <w:vAlign w:val="center"/>
          </w:tcPr>
          <w:p w14:paraId="20B41599">
            <w:pPr>
              <w:keepNext w:val="0"/>
              <w:keepLines w:val="0"/>
              <w:widowControl/>
              <w:numPr>
                <w:ilvl w:val="0"/>
                <w:numId w:val="0"/>
              </w:numPr>
              <w:suppressLineNumbers w:val="0"/>
              <w:jc w:val="left"/>
              <w:textAlignment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根据所投项目产品清单的重点技术参数配置与性能指标的响应程度打分，共计</w:t>
            </w:r>
            <w:r>
              <w:rPr>
                <w:rFonts w:hint="eastAsia" w:ascii="宋体" w:hAnsi="宋体" w:cs="宋体"/>
                <w:b w:val="0"/>
                <w:bCs w:val="0"/>
                <w:kern w:val="2"/>
                <w:sz w:val="24"/>
                <w:szCs w:val="24"/>
                <w:highlight w:val="none"/>
                <w:lang w:val="en-US" w:eastAsia="zh-CN" w:bidi="ar-SA"/>
              </w:rPr>
              <w:t>7</w:t>
            </w:r>
            <w:r>
              <w:rPr>
                <w:rFonts w:hint="eastAsia" w:ascii="宋体" w:hAnsi="宋体" w:eastAsia="宋体" w:cs="宋体"/>
                <w:b w:val="0"/>
                <w:bCs w:val="0"/>
                <w:kern w:val="2"/>
                <w:sz w:val="24"/>
                <w:szCs w:val="24"/>
                <w:highlight w:val="none"/>
                <w:lang w:val="en-US" w:eastAsia="zh-CN" w:bidi="ar-SA"/>
              </w:rPr>
              <w:t>分，不满足或者负偏离每一项扣</w:t>
            </w:r>
            <w:r>
              <w:rPr>
                <w:rFonts w:hint="eastAsia" w:ascii="宋体" w:hAnsi="宋体" w:cs="宋体"/>
                <w:b w:val="0"/>
                <w:bCs w:val="0"/>
                <w:kern w:val="2"/>
                <w:sz w:val="24"/>
                <w:szCs w:val="24"/>
                <w:highlight w:val="none"/>
                <w:lang w:val="en-US" w:eastAsia="zh-CN" w:bidi="ar-SA"/>
              </w:rPr>
              <w:t>1</w:t>
            </w:r>
            <w:r>
              <w:rPr>
                <w:rFonts w:hint="eastAsia" w:ascii="宋体" w:hAnsi="宋体" w:eastAsia="宋体" w:cs="宋体"/>
                <w:b w:val="0"/>
                <w:bCs w:val="0"/>
                <w:kern w:val="2"/>
                <w:sz w:val="24"/>
                <w:szCs w:val="24"/>
                <w:highlight w:val="none"/>
                <w:lang w:val="en-US" w:eastAsia="zh-CN" w:bidi="ar-SA"/>
              </w:rPr>
              <w:t>分，扣完为止。重点技术参数需提供证明材料（证明材料可以是：软件功能截图、测试报告、证书等）</w:t>
            </w:r>
          </w:p>
          <w:p w14:paraId="188A6635">
            <w:pPr>
              <w:keepNext w:val="0"/>
              <w:keepLines w:val="0"/>
              <w:widowControl/>
              <w:numPr>
                <w:ilvl w:val="0"/>
                <w:numId w:val="0"/>
              </w:numPr>
              <w:suppressLineNumbers w:val="0"/>
              <w:jc w:val="left"/>
              <w:textAlignment w:val="center"/>
              <w:rPr>
                <w:rFonts w:hint="eastAsia" w:ascii="宋体" w:hAnsi="宋体" w:eastAsia="宋体" w:cs="宋体"/>
                <w:b w:val="0"/>
                <w:bCs w:val="0"/>
                <w:kern w:val="2"/>
                <w:sz w:val="24"/>
                <w:szCs w:val="24"/>
                <w:highlight w:val="none"/>
                <w:lang w:val="en-US" w:eastAsia="zh-CN" w:bidi="ar-SA"/>
              </w:rPr>
            </w:pPr>
          </w:p>
          <w:p w14:paraId="43F54690">
            <w:pPr>
              <w:keepNext w:val="0"/>
              <w:keepLines w:val="0"/>
              <w:widowControl/>
              <w:numPr>
                <w:ilvl w:val="0"/>
                <w:numId w:val="0"/>
              </w:numPr>
              <w:suppressLineNumbers w:val="0"/>
              <w:jc w:val="left"/>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一、</w:t>
            </w:r>
            <w:r>
              <w:rPr>
                <w:rFonts w:hint="eastAsia" w:ascii="宋体" w:hAnsi="宋体" w:eastAsia="宋体" w:cs="宋体"/>
                <w:b/>
                <w:bCs/>
                <w:kern w:val="2"/>
                <w:sz w:val="24"/>
                <w:szCs w:val="24"/>
                <w:highlight w:val="none"/>
                <w:lang w:val="en-US" w:eastAsia="zh-CN" w:bidi="ar-SA"/>
              </w:rPr>
              <w:t>边贸物流仓储联动设备</w:t>
            </w:r>
          </w:p>
          <w:p w14:paraId="0789C38D">
            <w:pPr>
              <w:keepNext w:val="0"/>
              <w:keepLines w:val="0"/>
              <w:widowControl/>
              <w:numPr>
                <w:ilvl w:val="0"/>
                <w:numId w:val="0"/>
              </w:numPr>
              <w:suppressLineNumbers w:val="0"/>
              <w:jc w:val="left"/>
              <w:textAlignment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网关控制器</w:t>
            </w:r>
          </w:p>
          <w:p w14:paraId="13911530">
            <w:pPr>
              <w:keepNext w:val="0"/>
              <w:keepLines w:val="0"/>
              <w:widowControl/>
              <w:numPr>
                <w:ilvl w:val="0"/>
                <w:numId w:val="0"/>
              </w:numPr>
              <w:suppressLineNumbers w:val="0"/>
              <w:jc w:val="left"/>
              <w:textAlignment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（6）产品需符合国家电信进网标准。（需要提供有效期内工信部电信设备进网批文并盖章）</w:t>
            </w:r>
          </w:p>
          <w:p w14:paraId="724022A8">
            <w:pPr>
              <w:keepNext w:val="0"/>
              <w:keepLines w:val="0"/>
              <w:widowControl/>
              <w:numPr>
                <w:ilvl w:val="0"/>
                <w:numId w:val="0"/>
              </w:numPr>
              <w:suppressLineNumbers w:val="0"/>
              <w:jc w:val="left"/>
              <w:textAlignment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（7）设备需符合GB4943.1-2011《信息技术设备安全第1部分：通用要求》，并</w:t>
            </w:r>
            <w:r>
              <w:rPr>
                <w:rFonts w:hint="eastAsia" w:ascii="宋体" w:hAnsi="宋体" w:cs="宋体"/>
                <w:b w:val="0"/>
                <w:bCs w:val="0"/>
                <w:kern w:val="2"/>
                <w:sz w:val="24"/>
                <w:szCs w:val="24"/>
                <w:highlight w:val="none"/>
                <w:lang w:val="en-US" w:eastAsia="zh-CN" w:bidi="ar-SA"/>
              </w:rPr>
              <w:t>具有</w:t>
            </w:r>
            <w:r>
              <w:rPr>
                <w:rFonts w:hint="eastAsia" w:ascii="宋体" w:hAnsi="宋体" w:eastAsia="宋体" w:cs="宋体"/>
                <w:b w:val="0"/>
                <w:bCs w:val="0"/>
                <w:kern w:val="2"/>
                <w:sz w:val="24"/>
                <w:szCs w:val="24"/>
                <w:highlight w:val="none"/>
                <w:lang w:val="en-US" w:eastAsia="zh-CN" w:bidi="ar-SA"/>
              </w:rPr>
              <w:t>第三方检验机构出具的CNAS检测报告</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（需要提供相关检测报告并盖章）</w:t>
            </w:r>
          </w:p>
          <w:p w14:paraId="5F0596DE">
            <w:pPr>
              <w:keepNext w:val="0"/>
              <w:keepLines w:val="0"/>
              <w:widowControl/>
              <w:numPr>
                <w:ilvl w:val="0"/>
                <w:numId w:val="0"/>
              </w:numPr>
              <w:suppressLineNumbers w:val="0"/>
              <w:jc w:val="left"/>
              <w:textAlignment w:val="center"/>
              <w:rPr>
                <w:rFonts w:hint="eastAsia" w:ascii="宋体" w:hAnsi="宋体" w:eastAsia="宋体" w:cs="宋体"/>
                <w:b w:val="0"/>
                <w:bCs w:val="0"/>
                <w:kern w:val="2"/>
                <w:sz w:val="24"/>
                <w:szCs w:val="24"/>
                <w:highlight w:val="none"/>
                <w:lang w:val="en-US" w:eastAsia="zh-CN" w:bidi="ar-SA"/>
              </w:rPr>
            </w:pPr>
          </w:p>
          <w:p w14:paraId="0A7016E5">
            <w:pPr>
              <w:keepNext w:val="0"/>
              <w:keepLines w:val="0"/>
              <w:widowControl/>
              <w:numPr>
                <w:ilvl w:val="0"/>
                <w:numId w:val="0"/>
              </w:numPr>
              <w:suppressLineNumbers w:val="0"/>
              <w:jc w:val="left"/>
              <w:textAlignment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超声波距离传感器</w:t>
            </w:r>
          </w:p>
          <w:p w14:paraId="09B349E7">
            <w:pPr>
              <w:keepNext w:val="0"/>
              <w:keepLines w:val="0"/>
              <w:widowControl/>
              <w:numPr>
                <w:ilvl w:val="0"/>
                <w:numId w:val="0"/>
              </w:numPr>
              <w:suppressLineNumbers w:val="0"/>
              <w:jc w:val="left"/>
              <w:textAlignment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（4）防护等级：≥IP67，具有权威专业机构出具的IP67测试报告；（需要提供证书复印件/扫描件并盖章）</w:t>
            </w:r>
          </w:p>
          <w:p w14:paraId="2852FC1E">
            <w:pPr>
              <w:keepNext w:val="0"/>
              <w:keepLines w:val="0"/>
              <w:widowControl/>
              <w:numPr>
                <w:ilvl w:val="0"/>
                <w:numId w:val="0"/>
              </w:numPr>
              <w:suppressLineNumbers w:val="0"/>
              <w:jc w:val="left"/>
              <w:textAlignment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（8）具有第三方检测机构出具的校准证书；（需要提供证书复印件/扫描件并盖章）</w:t>
            </w:r>
          </w:p>
          <w:p w14:paraId="500DE093">
            <w:pPr>
              <w:keepNext w:val="0"/>
              <w:keepLines w:val="0"/>
              <w:widowControl/>
              <w:numPr>
                <w:ilvl w:val="0"/>
                <w:numId w:val="0"/>
              </w:numPr>
              <w:suppressLineNumbers w:val="0"/>
              <w:jc w:val="left"/>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二、进出口报关实训系统平台设备</w:t>
            </w:r>
          </w:p>
          <w:p w14:paraId="09469EF9">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6.需具备该实验的一般进口贸易、一般出口贸易、进料加工贸易、进料料件内销贸易、来料深加工贸易、来料余料结转贸易、退运复出口报关等。</w:t>
            </w:r>
          </w:p>
          <w:p w14:paraId="4634678F">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7.需提供在企业大环境中进行</w:t>
            </w:r>
            <w:r>
              <w:rPr>
                <w:rFonts w:hint="eastAsia" w:cs="Times New Roman"/>
                <w:kern w:val="2"/>
                <w:sz w:val="24"/>
                <w:szCs w:val="24"/>
                <w:highlight w:val="none"/>
                <w:lang w:val="en-US" w:eastAsia="zh-CN" w:bidi="ar"/>
              </w:rPr>
              <w:t>日常事务</w:t>
            </w:r>
            <w:r>
              <w:rPr>
                <w:rFonts w:hint="eastAsia" w:ascii="Times New Roman" w:hAnsi="Times New Roman" w:eastAsia="宋体" w:cs="Times New Roman"/>
                <w:kern w:val="2"/>
                <w:sz w:val="24"/>
                <w:szCs w:val="24"/>
                <w:highlight w:val="none"/>
                <w:lang w:val="en-US" w:eastAsia="zh-CN" w:bidi="ar"/>
              </w:rPr>
              <w:t>处理，在虚拟动画接待室场景、虚拟动画会议室场景等虚拟场景中进行指定接待的外贸企业接待任务情景，并完成客户接待单、会议记录等单据的填写。</w:t>
            </w:r>
          </w:p>
          <w:p w14:paraId="4740F927">
            <w:pPr>
              <w:numPr>
                <w:ilvl w:val="0"/>
                <w:numId w:val="0"/>
              </w:numPr>
              <w:rPr>
                <w:rFonts w:hint="eastAsia" w:asciiTheme="minorEastAsia" w:hAnsiTheme="minorEastAsia" w:eastAsiaTheme="minorEastAsia" w:cstheme="minorEastAsia"/>
                <w:b/>
                <w:bCs/>
                <w:sz w:val="24"/>
                <w:szCs w:val="24"/>
                <w:highlight w:val="none"/>
                <w:lang w:eastAsia="zh-CN"/>
              </w:rPr>
            </w:pPr>
            <w:r>
              <w:rPr>
                <w:rFonts w:hint="eastAsia" w:ascii="Times New Roman" w:hAnsi="Times New Roman" w:eastAsia="宋体" w:cs="Times New Roman"/>
                <w:kern w:val="2"/>
                <w:sz w:val="24"/>
                <w:szCs w:val="24"/>
                <w:highlight w:val="none"/>
                <w:lang w:val="en-US" w:eastAsia="zh-CN" w:bidi="ar"/>
              </w:rPr>
              <w:t>8.需具备典型案例市场分析模块，分析模型对企业的总战略、财务战略、研发战略、人力资源战略、生产运作战略、营销战略分别进行企业优势、劣势、机会和威胁分析。</w:t>
            </w:r>
            <w:r>
              <w:rPr>
                <w:rFonts w:hint="eastAsia" w:ascii="宋体" w:hAnsi="宋体" w:eastAsia="宋体" w:cs="宋体"/>
                <w:b w:val="0"/>
                <w:bCs w:val="0"/>
                <w:kern w:val="2"/>
                <w:sz w:val="24"/>
                <w:szCs w:val="24"/>
                <w:highlight w:val="none"/>
                <w:lang w:val="en-US" w:eastAsia="zh-CN" w:bidi="ar-SA"/>
              </w:rPr>
              <w:t xml:space="preserve"> </w:t>
            </w:r>
          </w:p>
        </w:tc>
      </w:tr>
      <w:tr w14:paraId="75A7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1203" w:type="dxa"/>
            <w:vMerge w:val="continue"/>
            <w:vAlign w:val="center"/>
          </w:tcPr>
          <w:p w14:paraId="72322FA2">
            <w:pPr>
              <w:adjustRightInd w:val="0"/>
              <w:snapToGrid w:val="0"/>
              <w:spacing w:line="240" w:lineRule="auto"/>
              <w:jc w:val="center"/>
              <w:rPr>
                <w:rFonts w:hint="eastAsia" w:asciiTheme="minorEastAsia" w:hAnsiTheme="minorEastAsia" w:eastAsiaTheme="minorEastAsia" w:cstheme="minorEastAsia"/>
                <w:sz w:val="24"/>
                <w:szCs w:val="24"/>
                <w:highlight w:val="none"/>
              </w:rPr>
            </w:pPr>
          </w:p>
        </w:tc>
        <w:tc>
          <w:tcPr>
            <w:tcW w:w="1232" w:type="dxa"/>
            <w:vAlign w:val="center"/>
          </w:tcPr>
          <w:p w14:paraId="5E6A4F43">
            <w:pPr>
              <w:adjustRightInd w:val="0"/>
              <w:snapToGrid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项目实施方案</w:t>
            </w:r>
          </w:p>
        </w:tc>
        <w:tc>
          <w:tcPr>
            <w:tcW w:w="756" w:type="dxa"/>
            <w:vAlign w:val="center"/>
          </w:tcPr>
          <w:p w14:paraId="4041DD97">
            <w:pPr>
              <w:adjustRightInd w:val="0"/>
              <w:snapToGrid w:val="0"/>
              <w:spacing w:line="240"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w:t>
            </w:r>
          </w:p>
        </w:tc>
        <w:tc>
          <w:tcPr>
            <w:tcW w:w="6372" w:type="dxa"/>
            <w:tcMar>
              <w:top w:w="17" w:type="dxa"/>
              <w:bottom w:w="17" w:type="dxa"/>
            </w:tcMar>
            <w:vAlign w:val="center"/>
          </w:tcPr>
          <w:p w14:paraId="75B5DFFA">
            <w:pPr>
              <w:adjustRightInd w:val="0"/>
              <w:snapToGrid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1.供货安装流程方案，针对采购人的采购需求，进度计划编制合理、可行，包含但不限于岗位的工作流程，操作规范及注意事项等，关键思路清晰、准确、完整，关键节点控制措施得力</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2.供货安装计划措施、进度方案，详尽的列出每阶段配备的项目管理人员数量，进度安排，人员设置完善、职责分工明确、方案详尽，计划条理清晰，科学合理。3.项目安装实施方案步骤流程描述清晰、完全满足用户实际需求，内容完整、详细，科学合理。</w:t>
            </w:r>
          </w:p>
          <w:p w14:paraId="40E4D50B">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方案内容完整齐全，符合项目实际的，得</w:t>
            </w:r>
            <w:r>
              <w:rPr>
                <w:rFonts w:hint="eastAsia" w:asciiTheme="minorEastAsia" w:hAnsiTheme="minorEastAsia" w:eastAsiaTheme="minorEastAsia" w:cstheme="minorEastAsia"/>
                <w:sz w:val="24"/>
                <w:szCs w:val="24"/>
                <w:highlight w:val="none"/>
                <w:lang w:val="en-US" w:eastAsia="zh-CN"/>
              </w:rPr>
              <w:t>9分；每缺少一项方案内容扣3分，或有一项内容存在缺陷的，扣2分，扣完为止；未提供</w:t>
            </w:r>
            <w:r>
              <w:rPr>
                <w:rFonts w:hint="eastAsia" w:asciiTheme="minorEastAsia" w:hAnsiTheme="minorEastAsia" w:eastAsiaTheme="minorEastAsia" w:cstheme="minorEastAsia"/>
                <w:sz w:val="24"/>
                <w:szCs w:val="24"/>
                <w:highlight w:val="none"/>
                <w:lang w:eastAsia="zh-CN"/>
              </w:rPr>
              <w:t>项目实施方案</w:t>
            </w:r>
            <w:r>
              <w:rPr>
                <w:rFonts w:hint="eastAsia" w:asciiTheme="minorEastAsia" w:hAnsiTheme="minorEastAsia" w:eastAsiaTheme="minorEastAsia" w:cstheme="minorEastAsia"/>
                <w:sz w:val="24"/>
                <w:szCs w:val="24"/>
                <w:highlight w:val="none"/>
                <w:lang w:val="en-US" w:eastAsia="zh-CN"/>
              </w:rPr>
              <w:t>的，此项不得分。</w:t>
            </w:r>
          </w:p>
          <w:p w14:paraId="0CFE7492">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b/>
                <w:bCs/>
                <w:color w:val="auto"/>
                <w:sz w:val="24"/>
                <w:szCs w:val="24"/>
                <w:highlight w:val="none"/>
                <w:lang w:val="en-US" w:eastAsia="zh-CN"/>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09D3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42" w:hRule="atLeast"/>
          <w:jc w:val="center"/>
        </w:trPr>
        <w:tc>
          <w:tcPr>
            <w:tcW w:w="1203" w:type="dxa"/>
            <w:vMerge w:val="continue"/>
            <w:vAlign w:val="center"/>
          </w:tcPr>
          <w:p w14:paraId="07698DFF">
            <w:pPr>
              <w:adjustRightInd w:val="0"/>
              <w:snapToGrid w:val="0"/>
              <w:spacing w:line="240" w:lineRule="auto"/>
              <w:jc w:val="center"/>
              <w:rPr>
                <w:rFonts w:hint="eastAsia" w:asciiTheme="minorEastAsia" w:hAnsiTheme="minorEastAsia" w:eastAsiaTheme="minorEastAsia" w:cstheme="minorEastAsia"/>
                <w:sz w:val="24"/>
                <w:szCs w:val="24"/>
                <w:highlight w:val="none"/>
              </w:rPr>
            </w:pPr>
          </w:p>
        </w:tc>
        <w:tc>
          <w:tcPr>
            <w:tcW w:w="1232" w:type="dxa"/>
            <w:vAlign w:val="center"/>
          </w:tcPr>
          <w:p w14:paraId="1778658D">
            <w:pPr>
              <w:adjustRightInd w:val="0"/>
              <w:snapToGrid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售后服务方案</w:t>
            </w:r>
          </w:p>
        </w:tc>
        <w:tc>
          <w:tcPr>
            <w:tcW w:w="756" w:type="dxa"/>
            <w:vAlign w:val="center"/>
          </w:tcPr>
          <w:p w14:paraId="52BDA9CC">
            <w:pPr>
              <w:adjustRightInd w:val="0"/>
              <w:snapToGrid w:val="0"/>
              <w:spacing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w:t>
            </w:r>
          </w:p>
        </w:tc>
        <w:tc>
          <w:tcPr>
            <w:tcW w:w="6372" w:type="dxa"/>
            <w:tcMar>
              <w:top w:w="17" w:type="dxa"/>
              <w:bottom w:w="17" w:type="dxa"/>
            </w:tcMar>
            <w:vAlign w:val="center"/>
          </w:tcPr>
          <w:p w14:paraId="7C6D6908">
            <w:pPr>
              <w:adjustRightInd w:val="0"/>
              <w:snapToGrid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投标人需结合项目实际特点制定本项目的售后服务方案，方案包括但不限于售后服务承诺、售后服务体系、售后服务内容、问题解决方案、售后服务响应及时程度</w:t>
            </w:r>
            <w:r>
              <w:rPr>
                <w:rFonts w:hint="eastAsia" w:asciiTheme="minorEastAsia" w:hAnsiTheme="minorEastAsia" w:eastAsiaTheme="minorEastAsia" w:cstheme="minorEastAsia"/>
                <w:sz w:val="24"/>
                <w:szCs w:val="24"/>
                <w:highlight w:val="none"/>
                <w:lang w:eastAsia="zh-CN"/>
              </w:rPr>
              <w:t>等</w:t>
            </w:r>
            <w:r>
              <w:rPr>
                <w:rFonts w:hint="eastAsia" w:asciiTheme="minorEastAsia" w:hAnsiTheme="minorEastAsia" w:eastAsiaTheme="minorEastAsia" w:cstheme="minorEastAsia"/>
                <w:sz w:val="24"/>
                <w:szCs w:val="24"/>
                <w:highlight w:val="none"/>
              </w:rPr>
              <w:t xml:space="preserve">。 </w:t>
            </w:r>
          </w:p>
          <w:p w14:paraId="6BD2C7A7">
            <w:pPr>
              <w:adjustRightInd w:val="0"/>
              <w:snapToGrid w:val="0"/>
              <w:spacing w:line="24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1.售后响应措施方案完善，项目组织设置，响应快速到达现场及时，人员配备及分工等科学合理，针对性和可操作性强</w:t>
            </w:r>
            <w:r>
              <w:rPr>
                <w:rFonts w:hint="eastAsia" w:asciiTheme="minorEastAsia" w:hAnsiTheme="minorEastAsia" w:eastAsiaTheme="minorEastAsia" w:cstheme="minorEastAsia"/>
                <w:sz w:val="24"/>
                <w:szCs w:val="24"/>
                <w:highlight w:val="none"/>
                <w:lang w:eastAsia="zh-CN"/>
              </w:rPr>
              <w:t>。</w:t>
            </w:r>
          </w:p>
          <w:p w14:paraId="5BC524B7">
            <w:pPr>
              <w:adjustRightInd w:val="0"/>
              <w:snapToGrid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2.质量保证措施方案有效、及时，充分结合项目实际情况，有针对硬件、软件服务制定售后服务方案，以及服务实施过程中有对用户需求的收集和系统实施的细化方案。</w:t>
            </w:r>
          </w:p>
          <w:p w14:paraId="305FC306">
            <w:pPr>
              <w:adjustRightInd w:val="0"/>
              <w:snapToGrid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3.售后服务应急预案高效合理，响应及时，能充分结合项目实际情况，响应速度高效，出现应急故障诊断及处理能切合用户的实际情况。 </w:t>
            </w:r>
          </w:p>
          <w:p w14:paraId="4279AD18">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方案内容完整齐全，符合项目实际的，得</w:t>
            </w:r>
            <w:r>
              <w:rPr>
                <w:rFonts w:hint="eastAsia" w:asciiTheme="minorEastAsia" w:hAnsiTheme="minorEastAsia" w:eastAsiaTheme="minorEastAsia" w:cstheme="minorEastAsia"/>
                <w:sz w:val="24"/>
                <w:szCs w:val="24"/>
                <w:highlight w:val="none"/>
                <w:lang w:val="en-US" w:eastAsia="zh-CN"/>
              </w:rPr>
              <w:t>3分；每缺少一项方案内容扣1分，或有一项内容存在缺陷的，扣0.5分，扣完为止；未提供</w:t>
            </w:r>
            <w:r>
              <w:rPr>
                <w:rFonts w:hint="eastAsia" w:asciiTheme="minorEastAsia" w:hAnsiTheme="minorEastAsia" w:eastAsiaTheme="minorEastAsia" w:cstheme="minorEastAsia"/>
                <w:sz w:val="24"/>
                <w:szCs w:val="24"/>
                <w:highlight w:val="none"/>
                <w:lang w:eastAsia="zh-CN"/>
              </w:rPr>
              <w:t>项目售后服务方案</w:t>
            </w:r>
            <w:r>
              <w:rPr>
                <w:rFonts w:hint="eastAsia" w:asciiTheme="minorEastAsia" w:hAnsiTheme="minorEastAsia" w:eastAsiaTheme="minorEastAsia" w:cstheme="minorEastAsia"/>
                <w:sz w:val="24"/>
                <w:szCs w:val="24"/>
                <w:highlight w:val="none"/>
                <w:lang w:val="en-US" w:eastAsia="zh-CN"/>
              </w:rPr>
              <w:t>的，此项不得分。</w:t>
            </w:r>
          </w:p>
          <w:p w14:paraId="01798889">
            <w:pPr>
              <w:adjustRightInd w:val="0"/>
              <w:snapToGrid w:val="0"/>
              <w:spacing w:line="240" w:lineRule="auto"/>
              <w:rPr>
                <w:rFonts w:hint="eastAsia" w:asciiTheme="minorEastAsia" w:hAnsiTheme="minorEastAsia" w:eastAsiaTheme="minorEastAsia" w:cstheme="minorEastAsia"/>
                <w:sz w:val="24"/>
                <w:szCs w:val="24"/>
                <w:highlight w:val="none"/>
              </w:rPr>
            </w:pPr>
            <w:r>
              <w:rPr>
                <w:rFonts w:hint="eastAsia" w:ascii="宋体" w:hAnsi="宋体" w:eastAsia="宋体" w:cs="宋体"/>
                <w:b/>
                <w:bCs/>
                <w:color w:val="auto"/>
                <w:sz w:val="24"/>
                <w:szCs w:val="24"/>
                <w:highlight w:val="none"/>
                <w:lang w:val="en-US" w:eastAsia="zh-CN"/>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2CD4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25" w:hRule="atLeast"/>
          <w:jc w:val="center"/>
        </w:trPr>
        <w:tc>
          <w:tcPr>
            <w:tcW w:w="1203" w:type="dxa"/>
            <w:vMerge w:val="continue"/>
            <w:vAlign w:val="center"/>
          </w:tcPr>
          <w:p w14:paraId="32ED8887">
            <w:pPr>
              <w:adjustRightInd w:val="0"/>
              <w:snapToGrid w:val="0"/>
              <w:spacing w:line="240" w:lineRule="auto"/>
              <w:jc w:val="center"/>
              <w:rPr>
                <w:rFonts w:hint="eastAsia" w:asciiTheme="minorEastAsia" w:hAnsiTheme="minorEastAsia" w:eastAsiaTheme="minorEastAsia" w:cstheme="minorEastAsia"/>
                <w:sz w:val="24"/>
                <w:szCs w:val="24"/>
                <w:highlight w:val="none"/>
              </w:rPr>
            </w:pPr>
          </w:p>
        </w:tc>
        <w:tc>
          <w:tcPr>
            <w:tcW w:w="1232" w:type="dxa"/>
            <w:vAlign w:val="center"/>
          </w:tcPr>
          <w:p w14:paraId="5CDD73B8">
            <w:pPr>
              <w:adjustRightInd w:val="0"/>
              <w:snapToGrid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质量保证措施</w:t>
            </w:r>
          </w:p>
        </w:tc>
        <w:tc>
          <w:tcPr>
            <w:tcW w:w="756" w:type="dxa"/>
            <w:vAlign w:val="center"/>
          </w:tcPr>
          <w:p w14:paraId="1532B0D8">
            <w:pPr>
              <w:pStyle w:val="118"/>
              <w:adjustRightInd w:val="0"/>
              <w:snapToGrid w:val="0"/>
              <w:spacing w:line="240" w:lineRule="auto"/>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2</w:t>
            </w:r>
          </w:p>
        </w:tc>
        <w:tc>
          <w:tcPr>
            <w:tcW w:w="6372" w:type="dxa"/>
            <w:tcMar>
              <w:top w:w="17" w:type="dxa"/>
              <w:bottom w:w="17" w:type="dxa"/>
            </w:tcMar>
            <w:vAlign w:val="center"/>
          </w:tcPr>
          <w:p w14:paraId="3759AA51">
            <w:pPr>
              <w:adjustRightInd w:val="0"/>
              <w:snapToGrid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1.投标人自行拟定质量保障方案，质量保障方案详细、保障措施可行性强、有具体、全面的预防措施且能保障项目实施质量的得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p>
          <w:p w14:paraId="4A97F045">
            <w:pPr>
              <w:adjustRightInd w:val="0"/>
              <w:snapToGrid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2.质量保障方案基本详细、保障措施基本可行、有预防措施但不全面，基本能保障项目实施质量的得</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分；</w:t>
            </w:r>
          </w:p>
          <w:p w14:paraId="664102B6">
            <w:pPr>
              <w:adjustRightInd w:val="0"/>
              <w:snapToGrid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3.质量保障方案不详细、保障措施不具备可行性、没有具体预防措施，不能保障项目实施质量的得</w:t>
            </w:r>
            <w:r>
              <w:rPr>
                <w:rFonts w:hint="eastAsia" w:asciiTheme="minorEastAsia" w:hAnsiTheme="minorEastAsia" w:eastAsiaTheme="minorEastAsia" w:cstheme="minorEastAsia"/>
                <w:sz w:val="24"/>
                <w:szCs w:val="24"/>
                <w:highlight w:val="none"/>
                <w:lang w:val="en-US" w:eastAsia="zh-CN"/>
              </w:rPr>
              <w:t>0.5</w:t>
            </w:r>
            <w:r>
              <w:rPr>
                <w:rFonts w:hint="eastAsia" w:asciiTheme="minorEastAsia" w:hAnsiTheme="minorEastAsia" w:eastAsiaTheme="minorEastAsia" w:cstheme="minorEastAsia"/>
                <w:sz w:val="24"/>
                <w:szCs w:val="24"/>
                <w:highlight w:val="none"/>
              </w:rPr>
              <w:t>分；</w:t>
            </w:r>
          </w:p>
          <w:p w14:paraId="2E65BC72">
            <w:pPr>
              <w:adjustRightInd w:val="0"/>
              <w:snapToGrid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4.未提供方案不得分。</w:t>
            </w:r>
          </w:p>
        </w:tc>
      </w:tr>
      <w:tr w14:paraId="2405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8" w:hRule="atLeast"/>
          <w:jc w:val="center"/>
        </w:trPr>
        <w:tc>
          <w:tcPr>
            <w:tcW w:w="1203" w:type="dxa"/>
            <w:vMerge w:val="continue"/>
            <w:vAlign w:val="center"/>
          </w:tcPr>
          <w:p w14:paraId="482EF477">
            <w:pPr>
              <w:adjustRightInd w:val="0"/>
              <w:snapToGrid w:val="0"/>
              <w:spacing w:line="240" w:lineRule="auto"/>
              <w:rPr>
                <w:rFonts w:hint="eastAsia" w:asciiTheme="minorEastAsia" w:hAnsiTheme="minorEastAsia" w:eastAsiaTheme="minorEastAsia" w:cstheme="minorEastAsia"/>
                <w:sz w:val="24"/>
                <w:szCs w:val="24"/>
                <w:highlight w:val="none"/>
              </w:rPr>
            </w:pPr>
          </w:p>
        </w:tc>
        <w:tc>
          <w:tcPr>
            <w:tcW w:w="1232" w:type="dxa"/>
            <w:vAlign w:val="center"/>
          </w:tcPr>
          <w:p w14:paraId="228BEF3B">
            <w:pPr>
              <w:adjustRightInd w:val="0"/>
              <w:snapToGrid w:val="0"/>
              <w:spacing w:line="240" w:lineRule="auto"/>
              <w:ind w:left="-55" w:leftChars="-26" w:right="-55" w:rightChars="-2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软件演示</w:t>
            </w:r>
          </w:p>
        </w:tc>
        <w:tc>
          <w:tcPr>
            <w:tcW w:w="756" w:type="dxa"/>
            <w:vAlign w:val="center"/>
          </w:tcPr>
          <w:p w14:paraId="48200988">
            <w:pPr>
              <w:adjustRightInd w:val="0"/>
              <w:snapToGrid w:val="0"/>
              <w:spacing w:line="24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15</w:t>
            </w:r>
          </w:p>
        </w:tc>
        <w:tc>
          <w:tcPr>
            <w:tcW w:w="6372" w:type="dxa"/>
            <w:tcMar>
              <w:top w:w="17" w:type="dxa"/>
              <w:bottom w:w="17" w:type="dxa"/>
            </w:tcMar>
            <w:vAlign w:val="center"/>
          </w:tcPr>
          <w:p w14:paraId="1B8EFF44">
            <w:pPr>
              <w:adjustRightInd w:val="0"/>
              <w:snapToGrid w:val="0"/>
              <w:spacing w:line="240" w:lineRule="auto"/>
              <w:rPr>
                <w:rFonts w:hint="eastAsia" w:asciiTheme="minorEastAsia" w:hAnsiTheme="minorEastAsia" w:eastAsiaTheme="minorEastAsia" w:cstheme="minorEastAsia"/>
                <w:b/>
                <w:bCs/>
                <w:spacing w:val="-9"/>
                <w:sz w:val="24"/>
                <w:szCs w:val="24"/>
                <w:highlight w:val="none"/>
              </w:rPr>
            </w:pPr>
            <w:r>
              <w:rPr>
                <w:rFonts w:hint="eastAsia" w:asciiTheme="minorEastAsia" w:hAnsiTheme="minorEastAsia" w:eastAsiaTheme="minorEastAsia" w:cstheme="minorEastAsia"/>
                <w:b/>
                <w:bCs/>
                <w:spacing w:val="-9"/>
                <w:sz w:val="24"/>
                <w:szCs w:val="24"/>
                <w:highlight w:val="none"/>
              </w:rPr>
              <w:t>软件功能</w:t>
            </w:r>
            <w:r>
              <w:rPr>
                <w:rFonts w:hint="eastAsia" w:asciiTheme="minorEastAsia" w:hAnsiTheme="minorEastAsia" w:eastAsiaTheme="minorEastAsia" w:cstheme="minorEastAsia"/>
                <w:b/>
                <w:bCs/>
                <w:spacing w:val="-9"/>
                <w:sz w:val="24"/>
                <w:szCs w:val="24"/>
                <w:highlight w:val="none"/>
                <w:lang w:val="en-US" w:eastAsia="zh-CN"/>
              </w:rPr>
              <w:t>现场</w:t>
            </w:r>
            <w:r>
              <w:rPr>
                <w:rFonts w:hint="eastAsia" w:asciiTheme="minorEastAsia" w:hAnsiTheme="minorEastAsia" w:eastAsiaTheme="minorEastAsia" w:cstheme="minorEastAsia"/>
                <w:b/>
                <w:bCs/>
                <w:spacing w:val="-9"/>
                <w:sz w:val="24"/>
                <w:szCs w:val="24"/>
                <w:highlight w:val="none"/>
              </w:rPr>
              <w:t>演示（</w:t>
            </w:r>
            <w:r>
              <w:rPr>
                <w:rFonts w:hint="eastAsia" w:asciiTheme="minorEastAsia" w:hAnsiTheme="minorEastAsia" w:eastAsiaTheme="minorEastAsia" w:cstheme="minorEastAsia"/>
                <w:b/>
                <w:bCs/>
                <w:spacing w:val="-9"/>
                <w:sz w:val="24"/>
                <w:szCs w:val="24"/>
                <w:highlight w:val="none"/>
                <w:lang w:val="en-US" w:eastAsia="zh-CN"/>
              </w:rPr>
              <w:t>15</w:t>
            </w:r>
            <w:r>
              <w:rPr>
                <w:rFonts w:hint="eastAsia" w:asciiTheme="minorEastAsia" w:hAnsiTheme="minorEastAsia" w:eastAsiaTheme="minorEastAsia" w:cstheme="minorEastAsia"/>
                <w:b/>
                <w:bCs/>
                <w:spacing w:val="-9"/>
                <w:sz w:val="24"/>
                <w:szCs w:val="24"/>
                <w:highlight w:val="none"/>
              </w:rPr>
              <w:t>分）</w:t>
            </w:r>
            <w:r>
              <w:rPr>
                <w:rFonts w:hint="eastAsia" w:asciiTheme="minorEastAsia" w:hAnsiTheme="minorEastAsia" w:eastAsiaTheme="minorEastAsia" w:cstheme="minorEastAsia"/>
                <w:b/>
                <w:bCs/>
                <w:spacing w:val="-9"/>
                <w:sz w:val="24"/>
                <w:szCs w:val="24"/>
                <w:highlight w:val="none"/>
                <w:lang w:eastAsia="zh-CN"/>
              </w:rPr>
              <w:t>，</w:t>
            </w:r>
            <w:r>
              <w:rPr>
                <w:rFonts w:hint="eastAsia" w:asciiTheme="minorEastAsia" w:hAnsiTheme="minorEastAsia" w:eastAsiaTheme="minorEastAsia" w:cstheme="minorEastAsia"/>
                <w:b/>
                <w:bCs/>
                <w:spacing w:val="-9"/>
                <w:sz w:val="24"/>
                <w:szCs w:val="24"/>
                <w:highlight w:val="none"/>
              </w:rPr>
              <w:t>每有1小项未演示扣</w:t>
            </w:r>
            <w:r>
              <w:rPr>
                <w:rFonts w:hint="eastAsia" w:asciiTheme="minorEastAsia" w:hAnsiTheme="minorEastAsia" w:eastAsiaTheme="minorEastAsia" w:cstheme="minorEastAsia"/>
                <w:b/>
                <w:bCs/>
                <w:spacing w:val="-9"/>
                <w:sz w:val="24"/>
                <w:szCs w:val="24"/>
                <w:highlight w:val="none"/>
                <w:lang w:val="en-US" w:eastAsia="zh-CN"/>
              </w:rPr>
              <w:t>1.5</w:t>
            </w:r>
            <w:r>
              <w:rPr>
                <w:rFonts w:hint="eastAsia" w:asciiTheme="minorEastAsia" w:hAnsiTheme="minorEastAsia" w:eastAsiaTheme="minorEastAsia" w:cstheme="minorEastAsia"/>
                <w:b/>
                <w:bCs/>
                <w:spacing w:val="-9"/>
                <w:sz w:val="24"/>
                <w:szCs w:val="24"/>
                <w:highlight w:val="none"/>
              </w:rPr>
              <w:t>分</w:t>
            </w:r>
            <w:r>
              <w:rPr>
                <w:rFonts w:hint="eastAsia" w:asciiTheme="minorEastAsia" w:hAnsiTheme="minorEastAsia" w:eastAsiaTheme="minorEastAsia" w:cstheme="minorEastAsia"/>
                <w:b/>
                <w:bCs/>
                <w:spacing w:val="-9"/>
                <w:sz w:val="24"/>
                <w:szCs w:val="24"/>
                <w:highlight w:val="none"/>
                <w:lang w:eastAsia="zh-CN"/>
              </w:rPr>
              <w:t>，</w:t>
            </w:r>
            <w:r>
              <w:rPr>
                <w:rFonts w:hint="eastAsia" w:asciiTheme="minorEastAsia" w:hAnsiTheme="minorEastAsia" w:eastAsiaTheme="minorEastAsia" w:cstheme="minorEastAsia"/>
                <w:b/>
                <w:bCs/>
                <w:spacing w:val="-9"/>
                <w:sz w:val="24"/>
                <w:szCs w:val="24"/>
                <w:highlight w:val="none"/>
                <w:lang w:val="en-US" w:eastAsia="zh-CN"/>
              </w:rPr>
              <w:t>扣完为止</w:t>
            </w:r>
            <w:r>
              <w:rPr>
                <w:rFonts w:hint="eastAsia" w:asciiTheme="minorEastAsia" w:hAnsiTheme="minorEastAsia" w:eastAsiaTheme="minorEastAsia" w:cstheme="minorEastAsia"/>
                <w:b/>
                <w:bCs/>
                <w:spacing w:val="-9"/>
                <w:sz w:val="24"/>
                <w:szCs w:val="24"/>
                <w:highlight w:val="none"/>
                <w:lang w:eastAsia="zh-CN"/>
              </w:rPr>
              <w:t>。</w:t>
            </w:r>
            <w:r>
              <w:rPr>
                <w:rFonts w:hint="eastAsia" w:asciiTheme="minorEastAsia" w:hAnsiTheme="minorEastAsia" w:eastAsiaTheme="minorEastAsia" w:cstheme="minorEastAsia"/>
                <w:b/>
                <w:bCs/>
                <w:spacing w:val="-9"/>
                <w:sz w:val="24"/>
                <w:szCs w:val="24"/>
                <w:highlight w:val="none"/>
              </w:rPr>
              <w:t>(以远程方式现场进行软件系统功能实操演示，在开标前请各供应商调试好音频及视频设备和检查准备好的演示内容，及时接受政采云官方平台发起的视频会议邀请进行相应演示。演示时间总长不超过20分钟</w:t>
            </w:r>
            <w:r>
              <w:rPr>
                <w:rFonts w:hint="eastAsia" w:asciiTheme="minorEastAsia" w:hAnsiTheme="minorEastAsia" w:eastAsiaTheme="minorEastAsia" w:cstheme="minorEastAsia"/>
                <w:b/>
                <w:bCs/>
                <w:spacing w:val="-9"/>
                <w:sz w:val="24"/>
                <w:szCs w:val="24"/>
                <w:highlight w:val="none"/>
                <w:lang w:eastAsia="zh-CN"/>
              </w:rPr>
              <w:t>。如</w:t>
            </w:r>
            <w:r>
              <w:rPr>
                <w:rFonts w:hint="eastAsia" w:asciiTheme="minorEastAsia" w:hAnsiTheme="minorEastAsia" w:eastAsiaTheme="minorEastAsia" w:cstheme="minorEastAsia"/>
                <w:b/>
                <w:bCs/>
                <w:spacing w:val="-9"/>
                <w:sz w:val="24"/>
                <w:szCs w:val="24"/>
                <w:highlight w:val="none"/>
              </w:rPr>
              <w:t>因供应商的网络或设备因素导致无法在线演示，由供应商自行承担后果。软件功能演示必须为实际操作演示，仅提供演示视频、软件截图、PPT类的或不演示的，均不得分。）</w:t>
            </w:r>
          </w:p>
          <w:p w14:paraId="3DCA2366">
            <w:pPr>
              <w:adjustRightInd w:val="0"/>
              <w:snapToGrid w:val="0"/>
              <w:spacing w:line="240" w:lineRule="auto"/>
              <w:rPr>
                <w:rFonts w:hint="eastAsia" w:asciiTheme="minorEastAsia" w:hAnsiTheme="minorEastAsia" w:eastAsiaTheme="minorEastAsia" w:cstheme="minorEastAsia"/>
                <w:b/>
                <w:bCs/>
                <w:spacing w:val="-9"/>
                <w:sz w:val="24"/>
                <w:szCs w:val="24"/>
                <w:highlight w:val="none"/>
                <w:lang w:eastAsia="zh-CN"/>
              </w:rPr>
            </w:pPr>
            <w:r>
              <w:rPr>
                <w:rFonts w:hint="eastAsia" w:asciiTheme="minorEastAsia" w:hAnsiTheme="minorEastAsia" w:eastAsiaTheme="minorEastAsia" w:cstheme="minorEastAsia"/>
                <w:b/>
                <w:bCs/>
                <w:spacing w:val="-9"/>
                <w:sz w:val="24"/>
                <w:szCs w:val="24"/>
                <w:highlight w:val="none"/>
              </w:rPr>
              <w:t>投标人需提供以下内容的实操演示</w:t>
            </w:r>
            <w:r>
              <w:rPr>
                <w:rFonts w:hint="eastAsia" w:asciiTheme="minorEastAsia" w:hAnsiTheme="minorEastAsia" w:eastAsiaTheme="minorEastAsia" w:cstheme="minorEastAsia"/>
                <w:b/>
                <w:bCs/>
                <w:spacing w:val="-9"/>
                <w:sz w:val="24"/>
                <w:szCs w:val="24"/>
                <w:highlight w:val="none"/>
                <w:lang w:eastAsia="zh-CN"/>
              </w:rPr>
              <w:t>：</w:t>
            </w:r>
          </w:p>
          <w:p w14:paraId="79F08DDF">
            <w:pPr>
              <w:numPr>
                <w:ilvl w:val="0"/>
                <w:numId w:val="0"/>
              </w:numPr>
              <w:adjustRightInd w:val="0"/>
              <w:snapToGrid w:val="0"/>
              <w:spacing w:line="240" w:lineRule="auto"/>
              <w:rPr>
                <w:rFonts w:hint="eastAsia" w:asciiTheme="minorEastAsia" w:hAnsiTheme="minorEastAsia" w:eastAsiaTheme="minorEastAsia" w:cstheme="minorEastAsia"/>
                <w:spacing w:val="-9"/>
                <w:sz w:val="24"/>
                <w:szCs w:val="24"/>
                <w:highlight w:val="none"/>
                <w:lang w:val="en-US" w:eastAsia="zh-CN"/>
              </w:rPr>
            </w:pPr>
          </w:p>
          <w:p w14:paraId="6AAEED4F">
            <w:pPr>
              <w:adjustRightInd w:val="0"/>
              <w:snapToGrid w:val="0"/>
              <w:rPr>
                <w:rFonts w:hint="default" w:ascii="宋体" w:hAnsi="宋体" w:eastAsia="宋体" w:cs="宋体"/>
                <w:b/>
                <w:bCs/>
                <w:spacing w:val="-9"/>
                <w:sz w:val="24"/>
                <w:szCs w:val="24"/>
                <w:highlight w:val="none"/>
                <w:lang w:val="en-US" w:eastAsia="zh-CN"/>
              </w:rPr>
            </w:pPr>
            <w:r>
              <w:rPr>
                <w:rFonts w:hint="eastAsia" w:ascii="宋体" w:hAnsi="宋体" w:eastAsia="宋体" w:cs="宋体"/>
                <w:b/>
                <w:bCs/>
                <w:spacing w:val="-9"/>
                <w:sz w:val="24"/>
                <w:szCs w:val="24"/>
                <w:highlight w:val="none"/>
                <w:lang w:val="en-US" w:eastAsia="zh-CN"/>
              </w:rPr>
              <w:t>一、智能产线物流数字孪生仿真平台设备</w:t>
            </w:r>
          </w:p>
          <w:p w14:paraId="0A8DB761">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需支持场景漫游，并能进行任意角度切换观察及展示；系统场景内的可移动设备须具备悬浮图标，跟踪设备展示作业；悬浮图标需支持移动设备的详情展示，包括但不限于设备名称、型号、工作状态等；需提供移动速度设置选项，通过设置面板调整第一人称和环视视角的移动速度。</w:t>
            </w:r>
          </w:p>
          <w:p w14:paraId="3E87B02D">
            <w:pPr>
              <w:numPr>
                <w:ilvl w:val="0"/>
                <w:numId w:val="0"/>
              </w:numPr>
              <w:adjustRightInd w:val="0"/>
              <w:snapToGrid w:val="0"/>
              <w:spacing w:line="240" w:lineRule="auto"/>
              <w:rPr>
                <w:rFonts w:hint="eastAsia" w:asciiTheme="minorEastAsia" w:hAnsiTheme="minorEastAsia" w:eastAsiaTheme="minorEastAsia" w:cstheme="minorEastAsia"/>
                <w:spacing w:val="-9"/>
                <w:sz w:val="24"/>
                <w:szCs w:val="24"/>
                <w:highlight w:val="none"/>
                <w:lang w:val="en-US" w:eastAsia="zh-CN"/>
              </w:rPr>
            </w:pPr>
          </w:p>
          <w:p w14:paraId="6F96A15B">
            <w:pPr>
              <w:numPr>
                <w:ilvl w:val="0"/>
                <w:numId w:val="0"/>
              </w:numPr>
              <w:adjustRightInd w:val="0"/>
              <w:snapToGrid w:val="0"/>
              <w:spacing w:line="240" w:lineRule="auto"/>
              <w:rPr>
                <w:rFonts w:hint="eastAsia" w:asciiTheme="minorEastAsia" w:hAnsiTheme="minorEastAsia" w:eastAsiaTheme="minorEastAsia" w:cstheme="minorEastAsia"/>
                <w:spacing w:val="-9"/>
                <w:sz w:val="24"/>
                <w:szCs w:val="24"/>
                <w:highlight w:val="none"/>
                <w:lang w:val="en-US" w:eastAsia="zh-CN"/>
              </w:rPr>
            </w:pPr>
          </w:p>
          <w:p w14:paraId="48D55B0B">
            <w:pPr>
              <w:adjustRightInd w:val="0"/>
              <w:snapToGrid w:val="0"/>
              <w:rPr>
                <w:rFonts w:hint="eastAsia" w:ascii="宋体" w:hAnsi="宋体" w:eastAsia="宋体" w:cs="宋体"/>
                <w:b/>
                <w:bCs/>
                <w:spacing w:val="-9"/>
                <w:sz w:val="24"/>
                <w:szCs w:val="24"/>
                <w:highlight w:val="none"/>
              </w:rPr>
            </w:pPr>
            <w:r>
              <w:rPr>
                <w:rFonts w:hint="eastAsia" w:ascii="宋体" w:hAnsi="宋体" w:cs="宋体"/>
                <w:b/>
                <w:bCs/>
                <w:spacing w:val="-9"/>
                <w:sz w:val="24"/>
                <w:szCs w:val="24"/>
                <w:highlight w:val="none"/>
                <w:lang w:val="en-US" w:eastAsia="zh-CN"/>
              </w:rPr>
              <w:t>二</w:t>
            </w:r>
            <w:r>
              <w:rPr>
                <w:rFonts w:hint="eastAsia" w:ascii="宋体" w:hAnsi="宋体" w:eastAsia="宋体" w:cs="宋体"/>
                <w:b/>
                <w:bCs/>
                <w:spacing w:val="-9"/>
                <w:sz w:val="24"/>
                <w:szCs w:val="24"/>
                <w:highlight w:val="none"/>
              </w:rPr>
              <w:t>、产品名称：</w:t>
            </w:r>
            <w:r>
              <w:rPr>
                <w:rFonts w:hint="eastAsia" w:ascii="宋体" w:hAnsi="宋体" w:eastAsia="宋体" w:cs="宋体"/>
                <w:b/>
                <w:bCs/>
                <w:spacing w:val="-9"/>
                <w:sz w:val="24"/>
                <w:szCs w:val="24"/>
                <w:highlight w:val="none"/>
                <w:lang w:val="en-US" w:eastAsia="zh-CN"/>
              </w:rPr>
              <w:t>跨境电商物流智能仓储3D交互式实训设备</w:t>
            </w:r>
          </w:p>
          <w:p w14:paraId="15579D4B">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场景资源需包括以下环节：360°展示物流智能园区及智能电商仓各工作场景；全方位展示电商仓主管及员工工作场景及内容和状态；展示货物卸货交接、确认、货物清点、收货等作业内容；展示签收货物移送至入库区的动线；展示人机交互作业完成上架入库流程；展示机器人补货区补货、AGV搬运货物及拣选出库动线流程；展示商品销退、质检上架、货物盘点、二次分拣的作业场景。</w:t>
            </w:r>
          </w:p>
          <w:p w14:paraId="1FDAA536">
            <w:pPr>
              <w:adjustRightInd w:val="0"/>
              <w:snapToGrid w:val="0"/>
              <w:rPr>
                <w:rFonts w:hint="eastAsia" w:ascii="宋体" w:hAnsi="宋体" w:eastAsia="宋体" w:cs="宋体"/>
                <w:b/>
                <w:bCs/>
                <w:spacing w:val="-9"/>
                <w:sz w:val="24"/>
                <w:szCs w:val="24"/>
                <w:highlight w:val="none"/>
              </w:rPr>
            </w:pPr>
          </w:p>
          <w:p w14:paraId="012F6591">
            <w:pPr>
              <w:numPr>
                <w:ilvl w:val="0"/>
                <w:numId w:val="0"/>
              </w:numPr>
              <w:adjustRightInd w:val="0"/>
              <w:snapToGrid w:val="0"/>
              <w:rPr>
                <w:rFonts w:hint="eastAsia" w:ascii="宋体" w:hAnsi="宋体" w:eastAsia="宋体" w:cs="宋体"/>
                <w:b/>
                <w:bCs/>
                <w:spacing w:val="-9"/>
                <w:sz w:val="24"/>
                <w:szCs w:val="24"/>
                <w:highlight w:val="none"/>
                <w:lang w:val="en-US" w:eastAsia="zh-CN"/>
              </w:rPr>
            </w:pPr>
            <w:r>
              <w:rPr>
                <w:rFonts w:hint="eastAsia" w:ascii="宋体" w:hAnsi="宋体" w:cs="宋体"/>
                <w:b/>
                <w:bCs/>
                <w:spacing w:val="-9"/>
                <w:kern w:val="2"/>
                <w:sz w:val="24"/>
                <w:szCs w:val="24"/>
                <w:highlight w:val="none"/>
                <w:lang w:val="en-US" w:eastAsia="zh-CN" w:bidi="ar-SA"/>
              </w:rPr>
              <w:t>三</w:t>
            </w:r>
            <w:r>
              <w:rPr>
                <w:rFonts w:hint="eastAsia" w:ascii="宋体" w:hAnsi="宋体" w:eastAsia="宋体" w:cs="宋体"/>
                <w:b/>
                <w:bCs/>
                <w:spacing w:val="-9"/>
                <w:kern w:val="2"/>
                <w:sz w:val="24"/>
                <w:szCs w:val="24"/>
                <w:highlight w:val="none"/>
                <w:lang w:val="en-US" w:eastAsia="zh-CN" w:bidi="ar-SA"/>
              </w:rPr>
              <w:t>、</w:t>
            </w:r>
            <w:r>
              <w:rPr>
                <w:rFonts w:hint="eastAsia" w:ascii="宋体" w:hAnsi="宋体" w:eastAsia="宋体" w:cs="宋体"/>
                <w:b/>
                <w:bCs/>
                <w:spacing w:val="-9"/>
                <w:sz w:val="24"/>
                <w:szCs w:val="24"/>
                <w:highlight w:val="none"/>
              </w:rPr>
              <w:t>产品名称：</w:t>
            </w:r>
            <w:r>
              <w:rPr>
                <w:rFonts w:hint="eastAsia" w:ascii="宋体" w:hAnsi="宋体" w:eastAsia="宋体" w:cs="宋体"/>
                <w:b/>
                <w:bCs/>
                <w:spacing w:val="-9"/>
                <w:sz w:val="24"/>
                <w:szCs w:val="24"/>
                <w:highlight w:val="none"/>
                <w:lang w:val="en-US" w:eastAsia="zh-CN"/>
              </w:rPr>
              <w:t>智慧物流仓储设备维修与保养工作手册AR互动实训设备</w:t>
            </w:r>
          </w:p>
          <w:p w14:paraId="12741A1D">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设备需支持AR扫描功能识别教学指导手册，展示内嵌的拣选机器人三维模型资源，支持一键分解、组装机器人，并能完整展示各构件的样式及名称；设备的运行模块需支持AR扫描以视频形式展示拣选机器人的使用；维护注意事项和保养周期模块需支持AR扫描功能识别教学指导手册，完成拣选机器人维护保养学习测验；移动机器人至维修区模块；拆卸与安装模块；机器人的维护与保养模块；其他配套产品的维护与保养模块；灯带指示异常处理模块。</w:t>
            </w:r>
          </w:p>
          <w:p w14:paraId="071A8C1C">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设备需能完整展示各构件的样式及名称；设备的运行模块需支持AR扫描功能识别教学指导手册，以视频形式介绍穿梭车的工作场景；常规维护保养与保养周期模块需支持AR扫描功能识别教学指导手册，完成穿梭车维护保养学习测验；设备主体的维护与保养模块；其他部件的维护与保养模块；故障应急对策与故障预判断模块；故障现象分析与处理模块。</w:t>
            </w:r>
          </w:p>
          <w:p w14:paraId="56FFCC36">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设备需展示内嵌的机械臂三维模型资源；机械臂的运行模块需支持AR扫描功能，以视频形式介绍机械臂的工作场景；维护注意事项与保养周期模块需支持AR扫描功能识别教学指导手册，完成机械臂维护保养学习测验；维护与保养要求模块；机械臂本体的维护与保养模块；控制器的维护与保养模块；故障类型与故障处理原则模块。</w:t>
            </w:r>
          </w:p>
          <w:p w14:paraId="2D4EB67F">
            <w:pPr>
              <w:numPr>
                <w:ilvl w:val="0"/>
                <w:numId w:val="0"/>
              </w:numPr>
              <w:adjustRightInd w:val="0"/>
              <w:snapToGrid w:val="0"/>
              <w:spacing w:line="240" w:lineRule="auto"/>
              <w:rPr>
                <w:rFonts w:hint="eastAsia" w:asciiTheme="minorEastAsia" w:hAnsiTheme="minorEastAsia" w:eastAsiaTheme="minorEastAsia" w:cstheme="minorEastAsia"/>
                <w:spacing w:val="-9"/>
                <w:sz w:val="24"/>
                <w:szCs w:val="24"/>
                <w:highlight w:val="none"/>
                <w:lang w:val="en-US" w:eastAsia="zh-CN"/>
              </w:rPr>
            </w:pPr>
          </w:p>
          <w:p w14:paraId="5C767E17">
            <w:pPr>
              <w:numPr>
                <w:ilvl w:val="0"/>
                <w:numId w:val="0"/>
              </w:numPr>
              <w:adjustRightInd w:val="0"/>
              <w:snapToGrid w:val="0"/>
              <w:spacing w:line="240" w:lineRule="auto"/>
              <w:rPr>
                <w:rFonts w:hint="eastAsia" w:asciiTheme="minorEastAsia" w:hAnsiTheme="minorEastAsia" w:eastAsiaTheme="minorEastAsia" w:cstheme="minorEastAsia"/>
                <w:spacing w:val="-9"/>
                <w:sz w:val="24"/>
                <w:szCs w:val="24"/>
                <w:highlight w:val="none"/>
                <w:lang w:val="en-US" w:eastAsia="zh-CN"/>
              </w:rPr>
            </w:pPr>
          </w:p>
          <w:p w14:paraId="7FC8F95B">
            <w:pPr>
              <w:adjustRightInd w:val="0"/>
              <w:snapToGrid w:val="0"/>
              <w:rPr>
                <w:rFonts w:hint="eastAsia" w:ascii="宋体" w:hAnsi="宋体" w:eastAsia="宋体" w:cs="宋体"/>
                <w:spacing w:val="-9"/>
                <w:sz w:val="24"/>
                <w:szCs w:val="24"/>
                <w:highlight w:val="none"/>
              </w:rPr>
            </w:pPr>
            <w:r>
              <w:rPr>
                <w:rFonts w:hint="eastAsia" w:ascii="宋体" w:hAnsi="宋体" w:cs="宋体"/>
                <w:b/>
                <w:bCs/>
                <w:spacing w:val="-9"/>
                <w:sz w:val="24"/>
                <w:szCs w:val="24"/>
                <w:highlight w:val="none"/>
                <w:lang w:val="en-US" w:eastAsia="zh-CN"/>
              </w:rPr>
              <w:t>四</w:t>
            </w:r>
            <w:r>
              <w:rPr>
                <w:rFonts w:hint="eastAsia" w:ascii="宋体" w:hAnsi="宋体" w:eastAsia="宋体" w:cs="宋体"/>
                <w:b/>
                <w:bCs/>
                <w:spacing w:val="-9"/>
                <w:sz w:val="24"/>
                <w:szCs w:val="24"/>
                <w:highlight w:val="none"/>
              </w:rPr>
              <w:t>、产品名称：港口物流仓储3D交互式实训设备</w:t>
            </w:r>
            <w:r>
              <w:rPr>
                <w:rFonts w:hint="eastAsia" w:ascii="宋体" w:hAnsi="宋体" w:eastAsia="宋体" w:cs="宋体"/>
                <w:spacing w:val="-9"/>
                <w:sz w:val="24"/>
                <w:szCs w:val="24"/>
                <w:highlight w:val="none"/>
              </w:rPr>
              <w:t xml:space="preserve">  </w:t>
            </w:r>
          </w:p>
          <w:p w14:paraId="34D7653B">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场景资源需具备以下作业环节内容：360°全景展示并能介绍集装箱码头港口全景整体情况；全方位展示集装箱码头集中装卸机作业的工作场景；展示滚装码头车辆出仓、堆场交接、发车、验车的工作场景；展示散货码头船长工作环境和吊装设备等；展示堆取料机操作和传送运输等设施作业情况；展示危化品进口报关和出入港的作业场景；展示危化品卸、堆、发运的作业场景；展示农产品卸货和存储容器的内容场景；展示农产品加工及产品包装及装车作业场景；港口物流类型不少于4种。</w:t>
            </w:r>
          </w:p>
          <w:p w14:paraId="10B14675">
            <w:pPr>
              <w:adjustRightInd w:val="0"/>
              <w:snapToGrid w:val="0"/>
              <w:rPr>
                <w:rFonts w:hint="eastAsia" w:ascii="宋体" w:hAnsi="宋体" w:eastAsia="宋体" w:cs="宋体"/>
                <w:b/>
                <w:bCs/>
                <w:spacing w:val="-9"/>
                <w:sz w:val="24"/>
                <w:szCs w:val="24"/>
                <w:highlight w:val="none"/>
                <w:lang w:val="en-US" w:eastAsia="zh-CN"/>
              </w:rPr>
            </w:pPr>
          </w:p>
          <w:p w14:paraId="3478FB51">
            <w:pPr>
              <w:adjustRightInd w:val="0"/>
              <w:snapToGrid w:val="0"/>
              <w:rPr>
                <w:rFonts w:hint="eastAsia" w:ascii="宋体" w:hAnsi="宋体" w:eastAsia="宋体" w:cs="宋体"/>
                <w:b/>
                <w:bCs/>
                <w:spacing w:val="-9"/>
                <w:sz w:val="24"/>
                <w:szCs w:val="24"/>
                <w:highlight w:val="none"/>
                <w:lang w:val="en-US" w:eastAsia="zh-CN"/>
              </w:rPr>
            </w:pPr>
          </w:p>
          <w:p w14:paraId="469A9741">
            <w:pPr>
              <w:adjustRightInd w:val="0"/>
              <w:snapToGrid w:val="0"/>
              <w:rPr>
                <w:rFonts w:hint="eastAsia" w:ascii="宋体" w:hAnsi="宋体" w:eastAsia="宋体" w:cs="宋体"/>
                <w:b/>
                <w:bCs/>
                <w:spacing w:val="-9"/>
                <w:sz w:val="24"/>
                <w:szCs w:val="24"/>
                <w:highlight w:val="none"/>
              </w:rPr>
            </w:pPr>
            <w:r>
              <w:rPr>
                <w:rFonts w:hint="eastAsia" w:ascii="宋体" w:hAnsi="宋体" w:cs="宋体"/>
                <w:b/>
                <w:bCs/>
                <w:spacing w:val="-9"/>
                <w:sz w:val="24"/>
                <w:szCs w:val="24"/>
                <w:highlight w:val="none"/>
                <w:lang w:val="en-US" w:eastAsia="zh-CN"/>
              </w:rPr>
              <w:t>五</w:t>
            </w:r>
            <w:r>
              <w:rPr>
                <w:rFonts w:hint="eastAsia" w:ascii="宋体" w:hAnsi="宋体" w:eastAsia="宋体" w:cs="宋体"/>
                <w:b/>
                <w:bCs/>
                <w:spacing w:val="-9"/>
                <w:sz w:val="24"/>
                <w:szCs w:val="24"/>
                <w:highlight w:val="none"/>
              </w:rPr>
              <w:t>、产品名称：</w:t>
            </w:r>
            <w:r>
              <w:rPr>
                <w:rFonts w:hint="eastAsia" w:ascii="宋体" w:hAnsi="宋体" w:eastAsia="宋体" w:cs="宋体"/>
                <w:b/>
                <w:bCs/>
                <w:spacing w:val="-9"/>
                <w:sz w:val="24"/>
                <w:szCs w:val="24"/>
                <w:highlight w:val="none"/>
                <w:lang w:val="en-US" w:eastAsia="zh-CN"/>
              </w:rPr>
              <w:t>智能拣选设备维护与保养三维虚拟仿真互动设备</w:t>
            </w:r>
          </w:p>
          <w:p w14:paraId="0CB2CE03">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6.设备需提供爆炸图展示功能，支持还原展示内部各部件功能；支持拣选AGV零部件的缩放观看功能，支持结构高透亮展示功能。</w:t>
            </w:r>
          </w:p>
          <w:p w14:paraId="1077DE77">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设备需支持360°全方位对AGV的开机按钮、灯光指示、碰撞传感器、充电接口、急停开关等部件的完整性检查功能；支持一键呈现地面铺设二维码导航标识；支持AGV小车启动时开机闪烁响应功能；支持AGV小车实现模拟任务执行；支持AGV充电桩的开启、关闭功能；支持手动调整充电时长功能；支持机器人的增加、重启、移除、更替故障机器人的功能。</w:t>
            </w:r>
          </w:p>
          <w:p w14:paraId="7626FF73">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设备支持展示AGV常用专业拆卸工具栏，支持浏览点击查看不同型号工具样式；支持零部件独显功能，支持旋转、缩放单独查看零部件结构；具备新手模式和实训模式，支持自行切换模式学习；具备拆卸记录功能。</w:t>
            </w:r>
          </w:p>
          <w:p w14:paraId="4406C2E9">
            <w:pPr>
              <w:adjustRightInd w:val="0"/>
              <w:snapToGrid w:val="0"/>
              <w:spacing w:line="240"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设备支持显示AGV工作地面的检查周期、方法、内容、维保方法的标准或要求；支持不同作业区域的地面清洁任务，支持使用工具进行脏污地面的清洁操作，支持展示当前的清理完成进度；需具备AGV小车市面常见的运行故障情况的实训操作。</w:t>
            </w:r>
          </w:p>
        </w:tc>
      </w:tr>
      <w:tr w14:paraId="591E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203" w:type="dxa"/>
            <w:vMerge w:val="continue"/>
            <w:vAlign w:val="center"/>
          </w:tcPr>
          <w:p w14:paraId="67B5E0D8">
            <w:pPr>
              <w:adjustRightInd w:val="0"/>
              <w:snapToGrid w:val="0"/>
              <w:spacing w:line="240" w:lineRule="auto"/>
              <w:rPr>
                <w:rFonts w:hint="eastAsia" w:asciiTheme="minorEastAsia" w:hAnsiTheme="minorEastAsia" w:eastAsiaTheme="minorEastAsia" w:cstheme="minorEastAsia"/>
                <w:sz w:val="24"/>
                <w:szCs w:val="24"/>
                <w:highlight w:val="none"/>
              </w:rPr>
            </w:pPr>
          </w:p>
        </w:tc>
        <w:tc>
          <w:tcPr>
            <w:tcW w:w="1232" w:type="dxa"/>
            <w:vAlign w:val="center"/>
          </w:tcPr>
          <w:p w14:paraId="67CC42D2">
            <w:pPr>
              <w:adjustRightInd w:val="0"/>
              <w:snapToGrid w:val="0"/>
              <w:spacing w:line="240" w:lineRule="auto"/>
              <w:ind w:left="-55" w:leftChars="-26" w:right="-55" w:rightChars="-2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技术培训方案</w:t>
            </w:r>
          </w:p>
        </w:tc>
        <w:tc>
          <w:tcPr>
            <w:tcW w:w="756" w:type="dxa"/>
            <w:vAlign w:val="center"/>
          </w:tcPr>
          <w:p w14:paraId="6A6620BF">
            <w:pPr>
              <w:adjustRightInd w:val="0"/>
              <w:snapToGrid w:val="0"/>
              <w:spacing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w:t>
            </w:r>
          </w:p>
        </w:tc>
        <w:tc>
          <w:tcPr>
            <w:tcW w:w="6372" w:type="dxa"/>
            <w:tcMar>
              <w:top w:w="17" w:type="dxa"/>
              <w:bottom w:w="17" w:type="dxa"/>
            </w:tcMar>
            <w:vAlign w:val="center"/>
          </w:tcPr>
          <w:p w14:paraId="1DD0BEB7">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投标人应针对本项目采购内容制定技术培训方案，方案目标明确、内容针对性强，培训计划安排合理且配备两名专业技术人员进行现场技术培训和指导、针对培训人员有分类、分岗的培训课程，能够保证后期的正确使用、跟踪指导，地点和人员的安排详细明了，且提供符合采购需求的培训成果承诺的得3分； </w:t>
            </w:r>
          </w:p>
          <w:p w14:paraId="24EC9CD1">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2.培训方案及内容存在缺漏，培训目标及任务模糊，不能够清晰地表达培训的具体工作内容、没有明确培训时间、地点和人员安排的得1 分； </w:t>
            </w:r>
          </w:p>
          <w:p w14:paraId="608F144C">
            <w:pPr>
              <w:adjustRightInd w:val="0"/>
              <w:snapToGrid w:val="0"/>
              <w:spacing w:line="240" w:lineRule="auto"/>
              <w:rPr>
                <w:rFonts w:hint="eastAsia" w:asciiTheme="minorEastAsia" w:hAnsiTheme="minorEastAsia" w:eastAsiaTheme="minorEastAsia" w:cstheme="minorEastAsia"/>
                <w:spacing w:val="-9"/>
                <w:sz w:val="24"/>
                <w:szCs w:val="24"/>
                <w:highlight w:val="none"/>
              </w:rPr>
            </w:pPr>
            <w:r>
              <w:rPr>
                <w:rFonts w:hint="eastAsia" w:asciiTheme="minorEastAsia" w:hAnsiTheme="minorEastAsia" w:eastAsiaTheme="minorEastAsia" w:cstheme="minorEastAsia"/>
                <w:sz w:val="24"/>
                <w:szCs w:val="24"/>
                <w:highlight w:val="none"/>
                <w:lang w:val="en-US" w:eastAsia="zh-CN"/>
              </w:rPr>
              <w:t>3.未提供培训方案的不得分。</w:t>
            </w:r>
          </w:p>
        </w:tc>
      </w:tr>
      <w:tr w14:paraId="1D43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203" w:type="dxa"/>
            <w:vMerge w:val="restart"/>
            <w:vAlign w:val="center"/>
          </w:tcPr>
          <w:p w14:paraId="691EBAA6">
            <w:pPr>
              <w:adjustRightInd w:val="0"/>
              <w:snapToGrid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商务部分（</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分）</w:t>
            </w:r>
          </w:p>
        </w:tc>
        <w:tc>
          <w:tcPr>
            <w:tcW w:w="1232" w:type="dxa"/>
            <w:vAlign w:val="center"/>
          </w:tcPr>
          <w:p w14:paraId="1A5C4D57">
            <w:pPr>
              <w:adjustRightInd w:val="0"/>
              <w:snapToGrid w:val="0"/>
              <w:spacing w:line="240" w:lineRule="auto"/>
              <w:ind w:left="-55" w:leftChars="-26" w:right="-55" w:rightChars="-26"/>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业绩经验</w:t>
            </w:r>
          </w:p>
        </w:tc>
        <w:tc>
          <w:tcPr>
            <w:tcW w:w="756" w:type="dxa"/>
            <w:vAlign w:val="center"/>
          </w:tcPr>
          <w:p w14:paraId="7D7EE4EA">
            <w:pPr>
              <w:adjustRightInd w:val="0"/>
              <w:snapToGrid w:val="0"/>
              <w:spacing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2</w:t>
            </w:r>
          </w:p>
        </w:tc>
        <w:tc>
          <w:tcPr>
            <w:tcW w:w="6372" w:type="dxa"/>
            <w:tcMar>
              <w:top w:w="17" w:type="dxa"/>
              <w:bottom w:w="17" w:type="dxa"/>
            </w:tcMar>
            <w:vAlign w:val="center"/>
          </w:tcPr>
          <w:p w14:paraId="6D1CED76">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投标人提供近三年（2022年1月至今）类似智慧物流项目业绩，每有一项得0.5分，满分2分。</w:t>
            </w:r>
          </w:p>
          <w:p w14:paraId="2EF530E5">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注：投标文件中需附合同及中标（成交）通知书及招标公告链接与公告截图扫描件并加盖投标人公章/电子公章，所提供的内容完整并清晰可见，提现内容中如缺</w:t>
            </w:r>
            <w:bookmarkStart w:id="14" w:name="_GoBack"/>
            <w:bookmarkEnd w:id="14"/>
            <w:r>
              <w:rPr>
                <w:rFonts w:hint="eastAsia" w:asciiTheme="minorEastAsia" w:hAnsiTheme="minorEastAsia" w:eastAsiaTheme="minorEastAsia" w:cstheme="minorEastAsia"/>
                <w:sz w:val="24"/>
                <w:szCs w:val="24"/>
                <w:highlight w:val="none"/>
                <w:lang w:val="en-US" w:eastAsia="zh-CN"/>
              </w:rPr>
              <w:t>项或模糊无法辨认的视为无效业绩。</w:t>
            </w:r>
          </w:p>
        </w:tc>
      </w:tr>
      <w:tr w14:paraId="2099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203" w:type="dxa"/>
            <w:vMerge w:val="continue"/>
            <w:vAlign w:val="center"/>
          </w:tcPr>
          <w:p w14:paraId="79FDEB81">
            <w:pPr>
              <w:adjustRightInd w:val="0"/>
              <w:snapToGrid w:val="0"/>
              <w:spacing w:line="240" w:lineRule="auto"/>
              <w:rPr>
                <w:rFonts w:hint="eastAsia" w:asciiTheme="minorEastAsia" w:hAnsiTheme="minorEastAsia" w:eastAsiaTheme="minorEastAsia" w:cstheme="minorEastAsia"/>
                <w:sz w:val="24"/>
                <w:szCs w:val="24"/>
                <w:highlight w:val="none"/>
              </w:rPr>
            </w:pPr>
          </w:p>
        </w:tc>
        <w:tc>
          <w:tcPr>
            <w:tcW w:w="1232" w:type="dxa"/>
            <w:vAlign w:val="center"/>
          </w:tcPr>
          <w:p w14:paraId="2FBC60BC">
            <w:pPr>
              <w:adjustRightInd w:val="0"/>
              <w:snapToGrid w:val="0"/>
              <w:spacing w:line="320" w:lineRule="exact"/>
              <w:ind w:left="-55" w:leftChars="-26" w:right="-55" w:rightChars="-26"/>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认证</w:t>
            </w:r>
          </w:p>
        </w:tc>
        <w:tc>
          <w:tcPr>
            <w:tcW w:w="756" w:type="dxa"/>
            <w:vAlign w:val="center"/>
          </w:tcPr>
          <w:p w14:paraId="4F29B177">
            <w:pPr>
              <w:adjustRightInd w:val="0"/>
              <w:snapToGrid w:val="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p>
        </w:tc>
        <w:tc>
          <w:tcPr>
            <w:tcW w:w="6372" w:type="dxa"/>
            <w:tcMar>
              <w:top w:w="17" w:type="dxa"/>
              <w:bottom w:w="17" w:type="dxa"/>
            </w:tcMar>
            <w:vAlign w:val="center"/>
          </w:tcPr>
          <w:p w14:paraId="022C934F">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投标人获得省部级颁发的知识产权试点单位得2分，（需提供证书复印件加盖鲜章，需提供知识产权局的页面截图，需在产权局官网明确显示公司名称）。</w:t>
            </w:r>
          </w:p>
        </w:tc>
      </w:tr>
      <w:tr w14:paraId="1839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203" w:type="dxa"/>
            <w:vMerge w:val="continue"/>
            <w:vAlign w:val="center"/>
          </w:tcPr>
          <w:p w14:paraId="39481509">
            <w:pPr>
              <w:adjustRightInd w:val="0"/>
              <w:snapToGrid w:val="0"/>
              <w:spacing w:line="240" w:lineRule="auto"/>
              <w:rPr>
                <w:rFonts w:hint="eastAsia" w:asciiTheme="minorEastAsia" w:hAnsiTheme="minorEastAsia" w:eastAsiaTheme="minorEastAsia" w:cstheme="minorEastAsia"/>
                <w:sz w:val="24"/>
                <w:szCs w:val="24"/>
                <w:highlight w:val="none"/>
              </w:rPr>
            </w:pPr>
          </w:p>
        </w:tc>
        <w:tc>
          <w:tcPr>
            <w:tcW w:w="1232" w:type="dxa"/>
            <w:vAlign w:val="center"/>
          </w:tcPr>
          <w:p w14:paraId="5CBBB40D">
            <w:pPr>
              <w:adjustRightInd w:val="0"/>
              <w:snapToGrid w:val="0"/>
              <w:spacing w:line="240" w:lineRule="auto"/>
              <w:ind w:left="-55" w:leftChars="-26" w:right="-55" w:rightChars="-2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人员配备</w:t>
            </w:r>
          </w:p>
        </w:tc>
        <w:tc>
          <w:tcPr>
            <w:tcW w:w="756" w:type="dxa"/>
            <w:vAlign w:val="center"/>
          </w:tcPr>
          <w:p w14:paraId="4BBA6A37">
            <w:pPr>
              <w:adjustRightInd w:val="0"/>
              <w:snapToGrid w:val="0"/>
              <w:spacing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2</w:t>
            </w:r>
          </w:p>
        </w:tc>
        <w:tc>
          <w:tcPr>
            <w:tcW w:w="6372" w:type="dxa"/>
            <w:tcMar>
              <w:top w:w="17" w:type="dxa"/>
              <w:bottom w:w="17" w:type="dxa"/>
            </w:tcMar>
            <w:vAlign w:val="center"/>
          </w:tcPr>
          <w:p w14:paraId="3A77BD33">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投标人具有由人社部门颁发的虚拟现实类的高级工程师得2分。</w:t>
            </w:r>
          </w:p>
          <w:p w14:paraId="4113F138">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注：需提供证书复印件加盖制造商鲜章，提供相关人员在投标人单位近3个月社保证明材料，不提供相关证明材料或不按要求提供不得分。</w:t>
            </w:r>
          </w:p>
        </w:tc>
      </w:tr>
    </w:tbl>
    <w:p w14:paraId="19035A44">
      <w:pPr>
        <w:pStyle w:val="65"/>
        <w:spacing w:line="240" w:lineRule="auto"/>
        <w:ind w:firstLine="56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7．推荐中标候选人名单    </w:t>
      </w:r>
    </w:p>
    <w:p w14:paraId="7618AF4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7.1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    </w:t>
      </w:r>
    </w:p>
    <w:p w14:paraId="5B27EF1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 评标结果汇总完成后，除下列情形外，任何人不得修改评标结果：</w:t>
      </w:r>
    </w:p>
    <w:p w14:paraId="5306597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(一)分值汇总计算错误的；</w:t>
      </w:r>
    </w:p>
    <w:p w14:paraId="38EAB3E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(二)分项评分超出评分标准范围的；</w:t>
      </w:r>
    </w:p>
    <w:p w14:paraId="0BD96998">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(三)评标委员会成员对客观评审因素评分不一致的；</w:t>
      </w:r>
    </w:p>
    <w:p w14:paraId="4053C6B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(四)经评标委员会认定评分畸高、畸低的。</w:t>
      </w:r>
    </w:p>
    <w:p w14:paraId="50F52C6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F63806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投标人对上述(一)～(四)提出质疑的，采购人或者采购代理机构可以组织原评标委员会进行重新评审，重新评审改变评标结果的，应当书面报告本级财政部门。</w:t>
      </w:r>
    </w:p>
    <w:p w14:paraId="2F4D845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 评标委员会根据全体评标成员签字的原始评标记录和评标结果编写评标报告。评标报告应当包括以下内容：</w:t>
      </w:r>
    </w:p>
    <w:p w14:paraId="1087041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（一）招标公告刊登的媒体名称、开标日期和地点；</w:t>
      </w:r>
    </w:p>
    <w:p w14:paraId="39CF83D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（二）投标人名单和评标委员会成员名单；</w:t>
      </w:r>
    </w:p>
    <w:p w14:paraId="41FE228A">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（三）评标方法和标准；</w:t>
      </w:r>
    </w:p>
    <w:p w14:paraId="61C12C6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（四）开标记录和评标情况及说明，包括无效投标人名单及原因；</w:t>
      </w:r>
    </w:p>
    <w:p w14:paraId="097EC93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（五）评标结果，确定的中标候选人名单或者经采购人委托直接确定的中标人；</w:t>
      </w:r>
    </w:p>
    <w:p w14:paraId="56477BE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（六）其他需要说明的情况，包括评标过程中投标人根据评标委员会要求进行的澄清、说明或者补正，评标委员会成员的更换等。</w:t>
      </w:r>
    </w:p>
    <w:p w14:paraId="39D8D5B6">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7.4 本次招标采购推荐的中标候选人数量见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w:t>
      </w:r>
    </w:p>
    <w:p w14:paraId="45080BB7">
      <w:pPr>
        <w:pStyle w:val="118"/>
        <w:tabs>
          <w:tab w:val="left" w:pos="1482"/>
        </w:tabs>
        <w:autoSpaceDE w:val="0"/>
        <w:autoSpaceDN w:val="0"/>
        <w:spacing w:line="240" w:lineRule="auto"/>
        <w:ind w:firstLine="723"/>
        <w:jc w:val="center"/>
        <w:outlineLvl w:val="0"/>
        <w:rPr>
          <w:rFonts w:hint="eastAsia" w:asciiTheme="minorEastAsia" w:hAnsiTheme="minorEastAsia" w:eastAsiaTheme="minorEastAsia" w:cstheme="minorEastAsia"/>
          <w:sz w:val="44"/>
          <w:szCs w:val="44"/>
          <w:highlight w:val="none"/>
        </w:rPr>
      </w:pPr>
      <w:r>
        <w:rPr>
          <w:rFonts w:hint="eastAsia" w:asciiTheme="minorEastAsia" w:hAnsiTheme="minorEastAsia" w:eastAsiaTheme="minorEastAsia" w:cstheme="minorEastAsia"/>
          <w:b/>
          <w:bCs/>
          <w:sz w:val="36"/>
          <w:szCs w:val="36"/>
          <w:highlight w:val="none"/>
        </w:rPr>
        <w:br w:type="page"/>
      </w:r>
      <w:bookmarkStart w:id="6" w:name="_Toc21542"/>
      <w:r>
        <w:rPr>
          <w:rFonts w:hint="eastAsia" w:asciiTheme="minorEastAsia" w:hAnsiTheme="minorEastAsia" w:eastAsiaTheme="minorEastAsia" w:cstheme="minorEastAsia"/>
          <w:b/>
          <w:bCs/>
          <w:sz w:val="28"/>
          <w:szCs w:val="28"/>
          <w:highlight w:val="none"/>
        </w:rPr>
        <w:t>第四</w:t>
      </w:r>
      <w:r>
        <w:rPr>
          <w:rFonts w:hint="eastAsia" w:asciiTheme="minorEastAsia" w:hAnsiTheme="minorEastAsia" w:eastAsiaTheme="minorEastAsia" w:cstheme="minorEastAsia"/>
          <w:b/>
          <w:bCs/>
          <w:sz w:val="28"/>
          <w:szCs w:val="28"/>
          <w:highlight w:val="none"/>
          <w:lang w:eastAsia="zh-CN"/>
        </w:rPr>
        <w:t>章</w:t>
      </w:r>
      <w:r>
        <w:rPr>
          <w:rFonts w:hint="eastAsia" w:asciiTheme="minorEastAsia" w:hAnsiTheme="minorEastAsia" w:eastAsiaTheme="minorEastAsia" w:cstheme="minorEastAsia"/>
          <w:b/>
          <w:bCs/>
          <w:sz w:val="28"/>
          <w:szCs w:val="28"/>
          <w:highlight w:val="none"/>
        </w:rPr>
        <w:t xml:space="preserve">  </w:t>
      </w:r>
      <w:bookmarkEnd w:id="6"/>
      <w:r>
        <w:rPr>
          <w:rFonts w:hint="eastAsia" w:asciiTheme="minorEastAsia" w:hAnsiTheme="minorEastAsia" w:eastAsiaTheme="minorEastAsia" w:cstheme="minorEastAsia"/>
          <w:b/>
          <w:bCs/>
          <w:color w:val="auto"/>
          <w:sz w:val="28"/>
          <w:szCs w:val="28"/>
          <w:highlight w:val="none"/>
        </w:rPr>
        <w:t>政府采购合同格式</w:t>
      </w:r>
    </w:p>
    <w:p w14:paraId="69A3E546">
      <w:pPr>
        <w:spacing w:before="122" w:line="240" w:lineRule="auto"/>
        <w:ind w:right="626"/>
        <w:jc w:val="center"/>
        <w:rPr>
          <w:rFonts w:hint="eastAsia"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lang w:val="en-US" w:eastAsia="zh-CN"/>
        </w:rPr>
        <w:t xml:space="preserve">           </w:t>
      </w:r>
      <w:r>
        <w:rPr>
          <w:rFonts w:hint="eastAsia" w:asciiTheme="minorEastAsia" w:hAnsiTheme="minorEastAsia" w:eastAsiaTheme="minorEastAsia" w:cstheme="minorEastAsia"/>
          <w:b/>
          <w:sz w:val="22"/>
          <w:highlight w:val="none"/>
        </w:rPr>
        <w:t>（本合同仅供参考，具体以实际签订为准）</w:t>
      </w:r>
    </w:p>
    <w:p w14:paraId="41731F52">
      <w:pPr>
        <w:spacing w:before="122" w:line="240" w:lineRule="auto"/>
        <w:ind w:right="626"/>
        <w:jc w:val="center"/>
        <w:rPr>
          <w:rFonts w:hint="eastAsia" w:asciiTheme="minorEastAsia" w:hAnsiTheme="minorEastAsia" w:eastAsiaTheme="minorEastAsia" w:cstheme="minorEastAsia"/>
          <w:b/>
          <w:bCs/>
          <w:color w:val="000000"/>
          <w:kern w:val="0"/>
          <w:sz w:val="44"/>
          <w:szCs w:val="44"/>
          <w:highlight w:val="none"/>
        </w:rPr>
      </w:pPr>
      <w:r>
        <w:rPr>
          <w:rFonts w:hint="eastAsia" w:asciiTheme="minorEastAsia" w:hAnsiTheme="minorEastAsia" w:eastAsiaTheme="minorEastAsia" w:cstheme="minorEastAsia"/>
          <w:b/>
          <w:bCs/>
          <w:color w:val="000000"/>
          <w:kern w:val="0"/>
          <w:sz w:val="44"/>
          <w:szCs w:val="44"/>
          <w:highlight w:val="none"/>
          <w:lang w:val="en-US" w:eastAsia="zh-CN"/>
        </w:rPr>
        <w:t xml:space="preserve">   </w:t>
      </w:r>
      <w:r>
        <w:rPr>
          <w:rFonts w:hint="eastAsia" w:asciiTheme="minorEastAsia" w:hAnsiTheme="minorEastAsia" w:eastAsiaTheme="minorEastAsia" w:cstheme="minorEastAsia"/>
          <w:b/>
          <w:bCs/>
          <w:color w:val="000000"/>
          <w:kern w:val="0"/>
          <w:sz w:val="44"/>
          <w:szCs w:val="44"/>
          <w:highlight w:val="none"/>
        </w:rPr>
        <w:t>新疆应用职业技术学院</w:t>
      </w:r>
      <w:r>
        <w:rPr>
          <w:rFonts w:hint="eastAsia" w:asciiTheme="minorEastAsia" w:hAnsiTheme="minorEastAsia" w:eastAsiaTheme="minorEastAsia" w:cstheme="minorEastAsia"/>
          <w:b/>
          <w:bCs/>
          <w:color w:val="000000"/>
          <w:kern w:val="0"/>
          <w:sz w:val="44"/>
          <w:szCs w:val="44"/>
          <w:highlight w:val="none"/>
          <w:u w:val="single"/>
        </w:rPr>
        <w:t xml:space="preserve">     </w:t>
      </w:r>
      <w:r>
        <w:rPr>
          <w:rFonts w:hint="eastAsia" w:asciiTheme="minorEastAsia" w:hAnsiTheme="minorEastAsia" w:eastAsiaTheme="minorEastAsia" w:cstheme="minorEastAsia"/>
          <w:b/>
          <w:bCs/>
          <w:color w:val="000000"/>
          <w:kern w:val="0"/>
          <w:sz w:val="44"/>
          <w:szCs w:val="44"/>
          <w:highlight w:val="none"/>
        </w:rPr>
        <w:t>设备采购合同</w:t>
      </w:r>
    </w:p>
    <w:p w14:paraId="14EE6CC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p>
    <w:p w14:paraId="5064B5C1">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甲方（买受人）：</w:t>
      </w:r>
    </w:p>
    <w:p w14:paraId="5626ABEE">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统一社会信用代码：</w:t>
      </w:r>
    </w:p>
    <w:p w14:paraId="19D5D984">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乙方（出卖人）：</w:t>
      </w:r>
    </w:p>
    <w:p w14:paraId="565DA0C3">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统一社会信用代码：</w:t>
      </w:r>
    </w:p>
    <w:p w14:paraId="69940C2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上述各方经平等自愿协商，签订本合同以共同遵守。</w:t>
      </w:r>
    </w:p>
    <w:p w14:paraId="001787E0">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1.定义</w:t>
      </w:r>
    </w:p>
    <w:p w14:paraId="4E87AA1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1.1.在本合同中（包括附件），如有下列名词及术语，除另有明确说明或上下文另有要求，均应具有本款所赋予的含义。</w:t>
      </w:r>
    </w:p>
    <w:p w14:paraId="0D395B2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1.2.“买受人”（甲方）是指</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750909D9">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1.3.“出卖人”（乙方）是指</w:t>
      </w:r>
      <w:r>
        <w:rPr>
          <w:rFonts w:hint="eastAsia" w:asciiTheme="minorEastAsia" w:hAnsiTheme="minorEastAsia" w:eastAsiaTheme="minorEastAsia" w:cstheme="minorEastAsia"/>
          <w:color w:val="000000"/>
          <w:kern w:val="0"/>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rPr>
        <w:t>。</w:t>
      </w:r>
    </w:p>
    <w:p w14:paraId="67E687C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1.4.“合同”是指买卖双方签署的、载明买卖双方约定权利义务的协议，包括所有的附件、上述文件所提到的构成合同的所有文件以及日后对原合同做出的任何书面更改。</w:t>
      </w:r>
    </w:p>
    <w:p w14:paraId="7D010949">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1.5.“合同价格”是指在乙方完全和适当地履行其合同义务后，甲方根据合同规定应支付给乙方的价款。</w:t>
      </w:r>
    </w:p>
    <w:p w14:paraId="73375F8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1.6.“生效日期”是指本合同</w:t>
      </w:r>
      <w:r>
        <w:rPr>
          <w:rFonts w:hint="eastAsia" w:asciiTheme="minorEastAsia" w:hAnsiTheme="minorEastAsia" w:eastAsiaTheme="minorEastAsia" w:cstheme="minorEastAsia"/>
          <w:color w:val="000000"/>
          <w:kern w:val="0"/>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rPr>
        <w:t>款中所规定的合同的生效日期。</w:t>
      </w:r>
    </w:p>
    <w:p w14:paraId="7D57F3C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1.7.“技术资料”是指与合同设备相关的设计、制造、监造、检验、安装、调试、验收、性能验收试验和技术指导等文件（包括图纸、各种文字说明、标准、各种软件）。</w:t>
      </w:r>
    </w:p>
    <w:p w14:paraId="42CBA16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1.8.“合同设备”是指乙方根据合同所要供应的机器、装置、材料、物品、专用工具、备品备件和所有各种物品，如合同附件所列示和规定的。</w:t>
      </w:r>
    </w:p>
    <w:p w14:paraId="6F61B82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1.9.“监造”是指在合同设备的制造过程中，由甲方和/或乙方委托的有资质的监造单位派出代表对乙方提供的合同设备的关键部分进行质量监督，实行文件见证和现场见证。此种质量监造不解除和减轻乙方对合同设备质量所负的责任。</w:t>
      </w:r>
    </w:p>
    <w:p w14:paraId="3E92BE01">
      <w:pPr>
        <w:widowControl/>
        <w:spacing w:line="24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1.10.“初步验收”是</w:t>
      </w:r>
      <w:r>
        <w:rPr>
          <w:rFonts w:hint="eastAsia" w:asciiTheme="minorEastAsia" w:hAnsiTheme="minorEastAsia" w:eastAsiaTheme="minorEastAsia" w:cstheme="minorEastAsia"/>
          <w:kern w:val="0"/>
          <w:sz w:val="24"/>
          <w:szCs w:val="24"/>
          <w:highlight w:val="none"/>
          <w:u w:val="single"/>
        </w:rPr>
        <w:t>  由甲方规定   </w:t>
      </w:r>
      <w:r>
        <w:rPr>
          <w:rFonts w:hint="eastAsia" w:asciiTheme="minorEastAsia" w:hAnsiTheme="minorEastAsia" w:eastAsiaTheme="minorEastAsia" w:cstheme="minorEastAsia"/>
          <w:kern w:val="0"/>
          <w:sz w:val="24"/>
          <w:szCs w:val="24"/>
          <w:highlight w:val="none"/>
        </w:rPr>
        <w:t>。</w:t>
      </w:r>
    </w:p>
    <w:p w14:paraId="45745294">
      <w:pPr>
        <w:widowControl/>
        <w:spacing w:line="24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1.11.“性能验收”是</w:t>
      </w:r>
      <w:r>
        <w:rPr>
          <w:rFonts w:hint="eastAsia" w:asciiTheme="minorEastAsia" w:hAnsiTheme="minorEastAsia" w:eastAsiaTheme="minorEastAsia" w:cstheme="minorEastAsia"/>
          <w:kern w:val="0"/>
          <w:sz w:val="24"/>
          <w:szCs w:val="24"/>
          <w:highlight w:val="none"/>
          <w:u w:val="single"/>
        </w:rPr>
        <w:t>  由甲方规定    </w:t>
      </w:r>
      <w:r>
        <w:rPr>
          <w:rFonts w:hint="eastAsia" w:asciiTheme="minorEastAsia" w:hAnsiTheme="minorEastAsia" w:eastAsiaTheme="minorEastAsia" w:cstheme="minorEastAsia"/>
          <w:kern w:val="0"/>
          <w:sz w:val="24"/>
          <w:szCs w:val="24"/>
          <w:highlight w:val="none"/>
        </w:rPr>
        <w:t>。</w:t>
      </w:r>
    </w:p>
    <w:p w14:paraId="12313809">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1.12.“最终验收”是指甲方对合同设备保证期满后的验收。</w:t>
      </w:r>
    </w:p>
    <w:p w14:paraId="4EE19FC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1.13.“日、月、年”是指公历的日、月、年；“天”是指24小时；“周”是指7天。</w:t>
      </w:r>
    </w:p>
    <w:p w14:paraId="7E02DAB1">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1.14.“技术服务”是指由乙方提供的与本合同设备有关的工程设计、设备监造、检验、土建、安装、调试、验收、性能验收试验、运行、检修时相应的技术指导、技术配合、技术培训等全过程的服务。</w:t>
      </w:r>
    </w:p>
    <w:p w14:paraId="0E00FC6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1.15.“现场”是指</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，为甲方安装合同设备所在地。</w:t>
      </w:r>
    </w:p>
    <w:p w14:paraId="4ACDEEA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1.16.“备品备件”是指根据本合同提供的备用部件，包括随机（商业运行前）备品备件和3年商业运行及第一次大修用备品备件。</w:t>
      </w:r>
    </w:p>
    <w:p w14:paraId="53E920A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1.17.“随机备品备件”是指在安装、调试、试运阶段所需的备品备件。</w:t>
      </w:r>
    </w:p>
    <w:p w14:paraId="2215A51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1.18.“分包商”或“分供货商”是指由乙方将合同供货范围内任何部分的供货分包给的其他法人及该法人的继任方和该法人允许的受让方。</w:t>
      </w:r>
    </w:p>
    <w:p w14:paraId="1FCA898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1.19.“监造代表”由甲方或乙方委托的监造单位派出的对合同设备进行监造的人员。</w:t>
      </w:r>
    </w:p>
    <w:p w14:paraId="01DC05C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1.20.“设备缺陷”是指乙方因设计、制造错误或疏忽所引起的本合同设备（包括部件、原材料、铸锻件、</w:t>
      </w:r>
      <w:r>
        <w:rPr>
          <w:rFonts w:hint="eastAsia" w:asciiTheme="minorEastAsia" w:hAnsiTheme="minorEastAsia" w:eastAsiaTheme="minorEastAsia" w:cstheme="minorEastAsia"/>
          <w:color w:val="000000"/>
          <w:kern w:val="0"/>
          <w:sz w:val="24"/>
          <w:szCs w:val="24"/>
          <w:highlight w:val="none"/>
          <w:lang w:eastAsia="zh-CN"/>
        </w:rPr>
        <w:t>元器件</w:t>
      </w:r>
      <w:r>
        <w:rPr>
          <w:rFonts w:hint="eastAsia" w:asciiTheme="minorEastAsia" w:hAnsiTheme="minorEastAsia" w:eastAsiaTheme="minorEastAsia" w:cstheme="minorEastAsia"/>
          <w:color w:val="000000"/>
          <w:kern w:val="0"/>
          <w:sz w:val="24"/>
          <w:szCs w:val="24"/>
          <w:highlight w:val="none"/>
        </w:rPr>
        <w:t>等）达不到本合同规定的性能、质量标准要求的情形。</w:t>
      </w:r>
    </w:p>
    <w:p w14:paraId="33A4043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1.21.“运杂费”是指合同设备从乙方始发到交货地点所发生的公路、水路、铁路、航空运费、保险费及运输过程中发生的各种费用。</w:t>
      </w:r>
    </w:p>
    <w:p w14:paraId="5A3FF886">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1.22.“质保期”为设备正常运行后双方约定的期限或有关标准、规定注明的期限或者为设备交货</w:t>
      </w:r>
      <w:r>
        <w:rPr>
          <w:rFonts w:hint="eastAsia" w:asciiTheme="minorEastAsia" w:hAnsiTheme="minorEastAsia" w:eastAsiaTheme="minorEastAsia" w:cstheme="minorEastAsia"/>
          <w:b/>
          <w:bCs/>
          <w:color w:val="000000"/>
          <w:kern w:val="0"/>
          <w:sz w:val="24"/>
          <w:szCs w:val="24"/>
          <w:highlight w:val="none"/>
          <w:lang w:val="en-US" w:eastAsia="zh-CN"/>
        </w:rPr>
        <w:t xml:space="preserve">  </w:t>
      </w:r>
      <w:r>
        <w:rPr>
          <w:rFonts w:hint="eastAsia" w:asciiTheme="minorEastAsia" w:hAnsiTheme="minorEastAsia" w:eastAsiaTheme="minorEastAsia" w:cstheme="minorEastAsia"/>
          <w:b/>
          <w:bCs/>
          <w:color w:val="000000"/>
          <w:kern w:val="0"/>
          <w:sz w:val="24"/>
          <w:szCs w:val="24"/>
          <w:highlight w:val="none"/>
        </w:rPr>
        <w:t>个月以后，两者以先到期的为准。</w:t>
      </w:r>
    </w:p>
    <w:p w14:paraId="7AF8F4E0">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2.合同标的</w:t>
      </w:r>
    </w:p>
    <w:p w14:paraId="1DAE567A">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2.1.标的、数量、价款及交（提）货时间</w:t>
      </w:r>
    </w:p>
    <w:p w14:paraId="23CAF66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详见附件1</w:t>
      </w:r>
    </w:p>
    <w:p w14:paraId="17D4BDD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2.2.合同供货范围</w:t>
      </w:r>
      <w:r>
        <w:rPr>
          <w:rFonts w:hint="eastAsia" w:asciiTheme="minorEastAsia" w:hAnsiTheme="minorEastAsia" w:eastAsiaTheme="minorEastAsia" w:cstheme="minorEastAsia"/>
          <w:color w:val="000000"/>
          <w:kern w:val="0"/>
          <w:sz w:val="24"/>
          <w:szCs w:val="24"/>
          <w:highlight w:val="none"/>
          <w:lang w:eastAsia="zh-CN"/>
        </w:rPr>
        <w:t>包括</w:t>
      </w:r>
      <w:r>
        <w:rPr>
          <w:rFonts w:hint="eastAsia" w:asciiTheme="minorEastAsia" w:hAnsiTheme="minorEastAsia" w:eastAsiaTheme="minorEastAsia" w:cstheme="minorEastAsia"/>
          <w:color w:val="000000"/>
          <w:kern w:val="0"/>
          <w:sz w:val="24"/>
          <w:szCs w:val="24"/>
          <w:highlight w:val="none"/>
        </w:rPr>
        <w:t>所有设备、技术资料、专用工具、备品备件。在本合同履行过程中如发现有任何漏项和短缺，乙方应自费在甲方要求的时间内补齐，因此造成甲方的损失，由乙方负责赔偿。</w:t>
      </w:r>
    </w:p>
    <w:p w14:paraId="53EED481">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2.3.凡乙方供应的设备应是全新的、技术先进的并且是安全的、经济的、成熟可靠的。</w:t>
      </w:r>
    </w:p>
    <w:p w14:paraId="0FD0CD16">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2.4.乙方负责提供技术服务并提供设备的运输和保险。</w:t>
      </w:r>
    </w:p>
    <w:p w14:paraId="65E5EA8D">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3.合同价款</w:t>
      </w:r>
    </w:p>
    <w:p w14:paraId="20A52CB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3.1.本合同使用货币种类为人民币。</w:t>
      </w:r>
    </w:p>
    <w:p w14:paraId="408ED27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3.2.本合同价格包括合同设备（含备品备件、专用工具）、技术资料、技术服务等费用，还包括合同设备的税费、运杂费、保险费等与本合同有关的所有费用。</w:t>
      </w:r>
    </w:p>
    <w:p w14:paraId="1152B2D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3.2.1.合同设备价格为人民币</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元。</w:t>
      </w:r>
    </w:p>
    <w:p w14:paraId="7611FF9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本合同设备价格包括与设备有关的技术资料费、乙方所应交纳的税费、从制造厂到始发站（车上）的运输、装卸、保险费及所有设备包装费。</w:t>
      </w:r>
    </w:p>
    <w:p w14:paraId="405925D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3.2.2.合同设备的技术服务费为人民币</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元。</w:t>
      </w:r>
    </w:p>
    <w:p w14:paraId="545194A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3.2.3.合同设备从始发站到现场交货点的运杂费为人民币</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元。</w:t>
      </w:r>
    </w:p>
    <w:p w14:paraId="3389CEA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3.3.合同的分项价格见附件</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276DB6A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3.4.本合同价款在合同履行期限内为不变价。</w:t>
      </w:r>
    </w:p>
    <w:p w14:paraId="1945DC6D">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4.付款</w:t>
      </w:r>
    </w:p>
    <w:p w14:paraId="1E9BE0F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4.1.付款方式：</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0B7A26D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4.2.合同款项的支付</w:t>
      </w:r>
    </w:p>
    <w:p w14:paraId="58D0AC2A">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4.2.1.本合同签署生效</w:t>
      </w:r>
      <w:r>
        <w:rPr>
          <w:rFonts w:hint="eastAsia" w:asciiTheme="minorEastAsia" w:hAnsiTheme="minorEastAsia" w:eastAsiaTheme="minorEastAsia" w:cstheme="minorEastAsia"/>
          <w:color w:val="000000"/>
          <w:kern w:val="0"/>
          <w:sz w:val="24"/>
          <w:szCs w:val="24"/>
          <w:highlight w:val="none"/>
          <w:lang w:eastAsia="zh-CN"/>
        </w:rPr>
        <w:t>后一</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个工作日内，乙方向甲方提交了合同价格提供金额为合同价款</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u w:val="single"/>
          <w:lang w:val="en-US" w:eastAsia="zh-CN"/>
        </w:rPr>
        <w:t xml:space="preserve">  </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%的正式财务收据后，甲方将向乙方支付合同价格</w:t>
      </w:r>
      <w:r>
        <w:rPr>
          <w:rFonts w:hint="eastAsia" w:asciiTheme="minorEastAsia" w:hAnsiTheme="minorEastAsia" w:eastAsiaTheme="minorEastAsia" w:cstheme="minorEastAsia"/>
          <w:color w:val="000000"/>
          <w:kern w:val="0"/>
          <w:sz w:val="24"/>
          <w:szCs w:val="24"/>
          <w:highlight w:val="none"/>
          <w:u w:val="single"/>
          <w:lang w:val="en-US" w:eastAsia="zh-CN"/>
        </w:rPr>
        <w:t xml:space="preserve">  </w:t>
      </w:r>
      <w:r>
        <w:rPr>
          <w:rFonts w:hint="eastAsia" w:asciiTheme="minorEastAsia" w:hAnsiTheme="minorEastAsia" w:eastAsiaTheme="minorEastAsia" w:cstheme="minorEastAsia"/>
          <w:color w:val="000000"/>
          <w:kern w:val="0"/>
          <w:sz w:val="24"/>
          <w:szCs w:val="24"/>
          <w:highlight w:val="none"/>
        </w:rPr>
        <w:t>%的款项即人民币（大写）</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元），作为预付款。</w:t>
      </w:r>
    </w:p>
    <w:p w14:paraId="217D993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4.2.2.乙方按交货进度在规定的时间内将合同设备全部运到交货地点，并向甲方提供合同设备的商业发票（金额为合同价格的100％）、清单、质量检验合格证明、货物检验</w:t>
      </w:r>
      <w:r>
        <w:rPr>
          <w:rFonts w:hint="eastAsia" w:asciiTheme="minorEastAsia" w:hAnsiTheme="minorEastAsia" w:eastAsiaTheme="minorEastAsia" w:cstheme="minorEastAsia"/>
          <w:color w:val="000000"/>
          <w:kern w:val="0"/>
          <w:sz w:val="24"/>
          <w:szCs w:val="24"/>
          <w:highlight w:val="none"/>
          <w:lang w:eastAsia="zh-CN"/>
        </w:rPr>
        <w:t>接收</w:t>
      </w:r>
      <w:r>
        <w:rPr>
          <w:rFonts w:hint="eastAsia" w:asciiTheme="minorEastAsia" w:hAnsiTheme="minorEastAsia" w:eastAsiaTheme="minorEastAsia" w:cstheme="minorEastAsia"/>
          <w:color w:val="000000"/>
          <w:kern w:val="0"/>
          <w:sz w:val="24"/>
          <w:szCs w:val="24"/>
          <w:highlight w:val="none"/>
        </w:rPr>
        <w:t>单以及合同附件</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中规定的技术资料，甲方验明无误后</w:t>
      </w:r>
      <w:r>
        <w:rPr>
          <w:rFonts w:hint="eastAsia" w:asciiTheme="minorEastAsia" w:hAnsiTheme="minorEastAsia" w:eastAsiaTheme="minorEastAsia" w:cstheme="minorEastAsia"/>
          <w:color w:val="000000"/>
          <w:kern w:val="0"/>
          <w:sz w:val="24"/>
          <w:szCs w:val="24"/>
          <w:highlight w:val="none"/>
          <w:u w:val="single"/>
        </w:rPr>
        <w:t>7</w:t>
      </w:r>
      <w:r>
        <w:rPr>
          <w:rFonts w:hint="eastAsia" w:asciiTheme="minorEastAsia" w:hAnsiTheme="minorEastAsia" w:eastAsiaTheme="minorEastAsia" w:cstheme="minorEastAsia"/>
          <w:color w:val="000000"/>
          <w:kern w:val="0"/>
          <w:sz w:val="24"/>
          <w:szCs w:val="24"/>
          <w:highlight w:val="none"/>
        </w:rPr>
        <w:t>个工作日内，向乙方支付至合同价格的</w:t>
      </w:r>
      <w:r>
        <w:rPr>
          <w:rFonts w:hint="eastAsia" w:asciiTheme="minorEastAsia" w:hAnsiTheme="minorEastAsia" w:eastAsiaTheme="minorEastAsia" w:cstheme="minorEastAsia"/>
          <w:color w:val="000000"/>
          <w:kern w:val="0"/>
          <w:sz w:val="24"/>
          <w:szCs w:val="24"/>
          <w:highlight w:val="none"/>
          <w:u w:val="single"/>
        </w:rPr>
        <w:t>85</w:t>
      </w:r>
      <w:r>
        <w:rPr>
          <w:rFonts w:hint="eastAsia" w:asciiTheme="minorEastAsia" w:hAnsiTheme="minorEastAsia" w:eastAsiaTheme="minorEastAsia" w:cstheme="minorEastAsia"/>
          <w:color w:val="000000"/>
          <w:kern w:val="0"/>
          <w:sz w:val="24"/>
          <w:szCs w:val="24"/>
          <w:highlight w:val="none"/>
        </w:rPr>
        <w:t>%。</w:t>
      </w:r>
    </w:p>
    <w:p w14:paraId="6D56B16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4.2.3.乙方按照合同规定，将全部合同设备安装、调试完成，设备正常运行</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经甲方验收合格后</w:t>
      </w:r>
      <w:r>
        <w:rPr>
          <w:rFonts w:hint="eastAsia" w:asciiTheme="minorEastAsia" w:hAnsiTheme="minorEastAsia" w:eastAsiaTheme="minorEastAsia" w:cstheme="minorEastAsia"/>
          <w:color w:val="000000"/>
          <w:kern w:val="0"/>
          <w:sz w:val="24"/>
          <w:szCs w:val="24"/>
          <w:highlight w:val="none"/>
          <w:u w:val="single"/>
        </w:rPr>
        <w:t>7个工作日</w:t>
      </w:r>
      <w:r>
        <w:rPr>
          <w:rFonts w:hint="eastAsia" w:asciiTheme="minorEastAsia" w:hAnsiTheme="minorEastAsia" w:eastAsiaTheme="minorEastAsia" w:cstheme="minorEastAsia"/>
          <w:color w:val="000000"/>
          <w:kern w:val="0"/>
          <w:sz w:val="24"/>
          <w:szCs w:val="24"/>
          <w:highlight w:val="none"/>
        </w:rPr>
        <w:t>内向乙方支付至合同价格的</w:t>
      </w:r>
      <w:r>
        <w:rPr>
          <w:rFonts w:hint="eastAsia" w:asciiTheme="minorEastAsia" w:hAnsiTheme="minorEastAsia" w:eastAsiaTheme="minorEastAsia" w:cstheme="minorEastAsia"/>
          <w:color w:val="000000"/>
          <w:kern w:val="0"/>
          <w:sz w:val="24"/>
          <w:szCs w:val="24"/>
          <w:highlight w:val="none"/>
          <w:u w:val="single"/>
          <w:lang w:val="en-US" w:eastAsia="zh-CN"/>
        </w:rPr>
        <w:t xml:space="preserve">  </w:t>
      </w:r>
      <w:r>
        <w:rPr>
          <w:rFonts w:hint="eastAsia" w:asciiTheme="minorEastAsia" w:hAnsiTheme="minorEastAsia" w:eastAsiaTheme="minorEastAsia" w:cstheme="minorEastAsia"/>
          <w:color w:val="000000"/>
          <w:kern w:val="0"/>
          <w:sz w:val="24"/>
          <w:szCs w:val="24"/>
          <w:highlight w:val="none"/>
        </w:rPr>
        <w:t>%。</w:t>
      </w:r>
    </w:p>
    <w:p w14:paraId="2A98CB1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4.2.4.合同总价的</w:t>
      </w:r>
      <w:r>
        <w:rPr>
          <w:rFonts w:hint="eastAsia" w:asciiTheme="minorEastAsia" w:hAnsiTheme="minorEastAsia" w:eastAsiaTheme="minorEastAsia" w:cstheme="minorEastAsia"/>
          <w:color w:val="000000"/>
          <w:kern w:val="0"/>
          <w:sz w:val="24"/>
          <w:szCs w:val="24"/>
          <w:highlight w:val="none"/>
          <w:u w:val="single"/>
        </w:rPr>
        <w:t>3</w:t>
      </w:r>
      <w:r>
        <w:rPr>
          <w:rFonts w:hint="eastAsia" w:asciiTheme="minorEastAsia" w:hAnsiTheme="minorEastAsia" w:eastAsiaTheme="minorEastAsia" w:cstheme="minorEastAsia"/>
          <w:color w:val="000000"/>
          <w:kern w:val="0"/>
          <w:sz w:val="24"/>
          <w:szCs w:val="24"/>
          <w:highlight w:val="none"/>
        </w:rPr>
        <w:t>%作为设备质量保证金，合同设备保证期满，无质量问题，乙方提交相应的财务收据、设备最终验收证书的原件等，经甲方审核无误后，甲方在</w:t>
      </w:r>
      <w:r>
        <w:rPr>
          <w:rFonts w:hint="eastAsia" w:asciiTheme="minorEastAsia" w:hAnsiTheme="minorEastAsia" w:eastAsiaTheme="minorEastAsia" w:cstheme="minorEastAsia"/>
          <w:color w:val="000000"/>
          <w:kern w:val="0"/>
          <w:sz w:val="24"/>
          <w:szCs w:val="24"/>
          <w:highlight w:val="none"/>
          <w:u w:val="single"/>
          <w:lang w:val="en-US" w:eastAsia="zh-CN"/>
        </w:rPr>
        <w:t xml:space="preserve">  </w:t>
      </w:r>
      <w:r>
        <w:rPr>
          <w:rFonts w:hint="eastAsia" w:asciiTheme="minorEastAsia" w:hAnsiTheme="minorEastAsia" w:eastAsiaTheme="minorEastAsia" w:cstheme="minorEastAsia"/>
          <w:color w:val="000000"/>
          <w:kern w:val="0"/>
          <w:sz w:val="24"/>
          <w:szCs w:val="24"/>
          <w:highlight w:val="none"/>
          <w:u w:val="single"/>
        </w:rPr>
        <w:t>个工作日</w:t>
      </w:r>
      <w:r>
        <w:rPr>
          <w:rFonts w:hint="eastAsia" w:asciiTheme="minorEastAsia" w:hAnsiTheme="minorEastAsia" w:eastAsiaTheme="minorEastAsia" w:cstheme="minorEastAsia"/>
          <w:color w:val="000000"/>
          <w:kern w:val="0"/>
          <w:sz w:val="24"/>
          <w:szCs w:val="24"/>
          <w:highlight w:val="none"/>
        </w:rPr>
        <w:t>内向乙方支付合同总价的</w:t>
      </w:r>
      <w:r>
        <w:rPr>
          <w:rFonts w:hint="eastAsia" w:asciiTheme="minorEastAsia" w:hAnsiTheme="minorEastAsia" w:eastAsiaTheme="minorEastAsia" w:cstheme="minorEastAsia"/>
          <w:color w:val="000000"/>
          <w:kern w:val="0"/>
          <w:sz w:val="24"/>
          <w:szCs w:val="24"/>
          <w:highlight w:val="none"/>
          <w:u w:val="single"/>
        </w:rPr>
        <w:t>3</w:t>
      </w:r>
      <w:r>
        <w:rPr>
          <w:rFonts w:hint="eastAsia" w:asciiTheme="minorEastAsia" w:hAnsiTheme="minorEastAsia" w:eastAsiaTheme="minorEastAsia" w:cstheme="minorEastAsia"/>
          <w:color w:val="000000"/>
          <w:kern w:val="0"/>
          <w:sz w:val="24"/>
          <w:szCs w:val="24"/>
          <w:highlight w:val="none"/>
        </w:rPr>
        <w:t>%。</w:t>
      </w:r>
    </w:p>
    <w:p w14:paraId="0A9A81D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4.3.主要分包和外购设备的付款。</w:t>
      </w:r>
    </w:p>
    <w:p w14:paraId="35A04B1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4.3.1.由于甲方与合同分包商和外购设备供货商没有直接的合同关系，本合同设备的分包和外购设备的付款由乙方负责。如非因甲方原因，发生导致分包和外购设备有可能不被按时交货，甲方有权暂时终止向乙方付款，直至交货后继续履行付款义务。因此影响整个设备安装进度的，由乙方承担甲方受到的损失。</w:t>
      </w:r>
    </w:p>
    <w:p w14:paraId="0014C0D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4.3.2.如因乙方资金问题，未向分包商或外购设备供货商付款，导致超过</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天仍不能交货，甲方出于保障工程进度的目的，有权直接向分包商或外购设备供货商付款，此付款及相应利息（甲方存款利息）将从下一笔甲方向乙方的付款中扣除。甲方此付款行为不免除乙方对设备所承担的义务。甲方此行为不属于违约行为。</w:t>
      </w:r>
    </w:p>
    <w:p w14:paraId="0C918DE3">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5.交付和运输</w:t>
      </w:r>
    </w:p>
    <w:p w14:paraId="161BC94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5.1.交货时间</w:t>
      </w:r>
    </w:p>
    <w:p w14:paraId="164EA1A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5.1.1.本合同设备的交货期及交货顺序应满足工程建设设备安装进度和顺序的要求。具体交货时间见附件</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09327D6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5.1.2.甲方保留随时调整交货日期的权利，如甲方要求推迟交货，则乙方应无条件答应并保管好合同设备，若推迟</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日以上交货，甲方承担相应仓储费。如甲方要求提前交货，要根据乙方的合理生产周期。</w:t>
      </w:r>
    </w:p>
    <w:p w14:paraId="1331E93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5.1.3.设备的交货以到现场后甲方签认的交接单为准。</w:t>
      </w:r>
    </w:p>
    <w:p w14:paraId="7DA51D1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5.2.交货地点</w:t>
      </w:r>
    </w:p>
    <w:p w14:paraId="534C14C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甲方指定地点：</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。合同设备所有权自合同设备交付时起由乙方转移给甲方。合同设备毁损、灭失的风险，在合同设备交付之前由乙方承担，交付之后由甲方承担。</w:t>
      </w:r>
    </w:p>
    <w:p w14:paraId="6B40FFB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5.3.乙方须向承运部门办理申请发运设备所需要的运输工具计划，负责合同设备从乙方到现场交货地点的运输。</w:t>
      </w:r>
    </w:p>
    <w:p w14:paraId="37DF9FE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5.4.合同生效</w:t>
      </w:r>
      <w:r>
        <w:rPr>
          <w:rFonts w:hint="eastAsia" w:asciiTheme="minorEastAsia" w:hAnsiTheme="minorEastAsia" w:eastAsiaTheme="minorEastAsia" w:cstheme="minorEastAsia"/>
          <w:color w:val="000000"/>
          <w:kern w:val="0"/>
          <w:sz w:val="24"/>
          <w:szCs w:val="24"/>
          <w:highlight w:val="none"/>
          <w:lang w:eastAsia="zh-CN"/>
        </w:rPr>
        <w:t>后一</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日内乙方应按照本合同附件</w:t>
      </w:r>
      <w:r>
        <w:rPr>
          <w:rFonts w:hint="eastAsia" w:asciiTheme="minorEastAsia" w:hAnsiTheme="minorEastAsia" w:eastAsiaTheme="minorEastAsia" w:cstheme="minorEastAsia"/>
          <w:color w:val="000000"/>
          <w:kern w:val="0"/>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rPr>
        <w:t>的规定向甲方提供本合同项下的货物总清单和装箱总清单及每批货物名称、总重量、总体积和交货日期的初步交货计划。在每批货物预计启运前</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日，乙方应以书面文件将运输方式及5.5款中的各项内容通知甲方。</w:t>
      </w:r>
    </w:p>
    <w:p w14:paraId="4EB5FB4A">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5.5.在每批货物备妥及装运车辆／船发出</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小时内，乙方应书面将该批货物的如下内容通知甲方。通知内容包括：</w:t>
      </w:r>
    </w:p>
    <w:p w14:paraId="203392EA">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（1）合同号；</w:t>
      </w:r>
    </w:p>
    <w:p w14:paraId="507E8EB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（2）机组号；</w:t>
      </w:r>
    </w:p>
    <w:p w14:paraId="5B6AB20B">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（3）货物备妥发运日；</w:t>
      </w:r>
    </w:p>
    <w:p w14:paraId="61EDD093">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（4）货物名称及编号和价格；</w:t>
      </w:r>
    </w:p>
    <w:p w14:paraId="6C60455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（5）货物总毛重；</w:t>
      </w:r>
    </w:p>
    <w:p w14:paraId="0650752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（6）货物总体积；</w:t>
      </w:r>
    </w:p>
    <w:p w14:paraId="25BCD12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（7）总包装件数；</w:t>
      </w:r>
    </w:p>
    <w:p w14:paraId="1C9F8B9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（8）交运车站／码头名称、车号／船号和运单号。</w:t>
      </w:r>
    </w:p>
    <w:p w14:paraId="31EA340B">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5.5.1.重量超过二十吨或尺寸超过9米×3米×3米的每件货物的名称、重量、体积和件数。对每件该类设备（部件）必须标明重心和吊点位置，并附有草图。</w:t>
      </w:r>
    </w:p>
    <w:p w14:paraId="29C2326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5.5.2.对于特殊物品（易燃、易爆、有毒物品及其他危险品和运输过程中对温度等环境因素和震动有特殊要求的设备或物品）必须特别标明其品名、性质、特殊保护措施、保存方法以及处理意外情况的方法。</w:t>
      </w:r>
    </w:p>
    <w:p w14:paraId="0267EF33">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5.6.在质保期内和在质保期满后至第一次大修时止由于乙方的过失或疏忽造成的供应设备（或部件）的损坏或潜在缺陷，而动用了甲方库存中的备品备件以调换损坏的设备或部件，则乙方应负责免费将动用的备品备件</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日内补齐，交付该等备品备件前应通知甲方。</w:t>
      </w:r>
    </w:p>
    <w:p w14:paraId="3BD3C9F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5.7.乙方应按附件</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的规定的交付进度和交付数量向甲方提供设备设计、监造、施工、调试、试验、检验、培训、运行和维修所需的技术资料。所有乙方提供的技术资料均应符合双方共同确定的</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标准。</w:t>
      </w:r>
    </w:p>
    <w:p w14:paraId="52FE71EB">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5.8.技术资料一般以邮寄方式递交，每批技术资料交邮后，乙方应在</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小时内将技术资料的交邮日期、邮单号、技术资料的详细清单、件数及重量、合同号等以传真或电报通知甲方。</w:t>
      </w:r>
    </w:p>
    <w:p w14:paraId="36DCD40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5.9.技术资料以邮政部门提货通知单时间戳记为技术资料的实际交付日期。如果技术资料经甲方或甲方代表检查后发现有缺少、丢失或损坏，且非因甲方原因，乙方应在收到甲方通知后</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日内（对急用者应在</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日内）免费向现场补充提供缺少、丢失或损坏的技术资料。如因甲方原因发生缺少、丢失或损坏，乙方应在接到甲方通知后</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天内（对急用者应在</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天内），向现场补充提供缺少、丢失或损坏部分，费用由甲方承担。</w:t>
      </w:r>
    </w:p>
    <w:p w14:paraId="42FCA74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5.10.技术资料邮寄地址。</w:t>
      </w:r>
    </w:p>
    <w:p w14:paraId="2A76822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邮编：</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4621571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联系人：</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1DC239E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电话：</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573F99F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传真： </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5B3C795C">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6.包装与标记</w:t>
      </w:r>
    </w:p>
    <w:p w14:paraId="17286B6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6.1.乙方交付的所有货物要符合</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的规定且适合长途运输、多次搬运和装卸的坚固包装。包装应保证在运输、装卸过程中完好无损，并有减振、防冲击的措施。包装应按设备特点，按需要分别加上防潮、防霉、防锈、防腐蚀的保护措施，以保证货物在没有任何损坏和腐蚀的情况下安全运抵合同设备安装现场。若包装无法防止运输、装卸过程中垂直、水平加速度引起的设备损坏，乙方要在设备的设计结构上予以解决。产品包装前，乙方负责按部套进行检查清理，不留异物，并保证零部件齐全。</w:t>
      </w:r>
    </w:p>
    <w:p w14:paraId="5C16A54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6.2.乙方对各散装部件在装配图中的部件号、零件号应标记清楚。</w:t>
      </w:r>
    </w:p>
    <w:p w14:paraId="4F5E28B8">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6.3.乙方应在每件包装箱的两个侧面上，用不褪色的油漆以明显易见的中文字样印刷以下标记。</w:t>
      </w:r>
    </w:p>
    <w:p w14:paraId="16A8B3C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（1）合同号；</w:t>
      </w:r>
    </w:p>
    <w:p w14:paraId="0ED8E79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（2）目的站／码头；</w:t>
      </w:r>
    </w:p>
    <w:p w14:paraId="25B1FD89">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（3）供货、收货单位名称；</w:t>
      </w:r>
    </w:p>
    <w:p w14:paraId="1025F9CB">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（4）设备名称、机组号、图号；</w:t>
      </w:r>
    </w:p>
    <w:p w14:paraId="28E05E0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（5）箱号／件号；</w:t>
      </w:r>
    </w:p>
    <w:p w14:paraId="3DEC470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（6）毛重／净重（公斤）；</w:t>
      </w:r>
    </w:p>
    <w:p w14:paraId="7D4BF7A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（7）体积（长×宽×高，以毫米表示）。</w:t>
      </w:r>
    </w:p>
    <w:p w14:paraId="6DF9F353">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凡重量为</w:t>
      </w:r>
      <w:r>
        <w:rPr>
          <w:rFonts w:hint="eastAsia" w:asciiTheme="minorEastAsia" w:hAnsiTheme="minorEastAsia" w:eastAsiaTheme="minorEastAsia" w:cstheme="minorEastAsia"/>
          <w:color w:val="000000"/>
          <w:kern w:val="0"/>
          <w:sz w:val="24"/>
          <w:szCs w:val="24"/>
          <w:highlight w:val="none"/>
          <w:lang w:eastAsia="zh-CN"/>
        </w:rPr>
        <w:t>两吨</w:t>
      </w:r>
      <w:r>
        <w:rPr>
          <w:rFonts w:hint="eastAsia" w:asciiTheme="minorEastAsia" w:hAnsiTheme="minorEastAsia" w:eastAsiaTheme="minorEastAsia" w:cstheme="minorEastAsia"/>
          <w:color w:val="000000"/>
          <w:kern w:val="0"/>
          <w:sz w:val="24"/>
          <w:szCs w:val="24"/>
          <w:highlight w:val="none"/>
        </w:rPr>
        <w:t>或超过</w:t>
      </w:r>
      <w:r>
        <w:rPr>
          <w:rFonts w:hint="eastAsia" w:asciiTheme="minorEastAsia" w:hAnsiTheme="minorEastAsia" w:eastAsiaTheme="minorEastAsia" w:cstheme="minorEastAsia"/>
          <w:color w:val="000000"/>
          <w:kern w:val="0"/>
          <w:sz w:val="24"/>
          <w:szCs w:val="24"/>
          <w:highlight w:val="none"/>
          <w:lang w:eastAsia="zh-CN"/>
        </w:rPr>
        <w:t>两吨</w:t>
      </w:r>
      <w:r>
        <w:rPr>
          <w:rFonts w:hint="eastAsia" w:asciiTheme="minorEastAsia" w:hAnsiTheme="minorEastAsia" w:eastAsiaTheme="minorEastAsia" w:cstheme="minorEastAsia"/>
          <w:color w:val="000000"/>
          <w:kern w:val="0"/>
          <w:sz w:val="24"/>
          <w:szCs w:val="24"/>
          <w:highlight w:val="none"/>
        </w:rPr>
        <w:t>的货物，应在包装箱的侧面以运输常用的标记和图案标明重心位置及起吊点，以便于装卸搬运。按照货物的特点，装卸和运输上的不同要求，包装箱上应明显地印刷有“轻放”“勿倒置”和“防雨”等字样。</w:t>
      </w:r>
    </w:p>
    <w:p w14:paraId="22C6438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6.4.对裸装货物应以金属标签或直接在设备本身上注明上述有关内容。大件货物应带有足够的货物支架或包装垫木。</w:t>
      </w:r>
    </w:p>
    <w:p w14:paraId="50CFF4B8">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6.5.备品备件应分别包装并按6.2款注明上述内容，专用工具也应分别包装。</w:t>
      </w:r>
    </w:p>
    <w:p w14:paraId="65D5D90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6.6.各种设备的松散零星部件应采用好的包装方式，装入尺寸适当的箱内，并尽可能整车发运以减少运输费用。</w:t>
      </w:r>
    </w:p>
    <w:p w14:paraId="4E42C8C1">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6.7.所有管道、管件、阀门及其他设备的端口必须用保护盖或其他方式妥善防护。</w:t>
      </w:r>
    </w:p>
    <w:p w14:paraId="00E6C8E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6.8.每件包装箱内，应附有包括分件名称、数量、价格、机组号、图号的详细装箱单、合格证。外购件包装箱内应有产品出厂质量合格证明书、技术说明各一份。另邮寄装箱清单各二份。</w:t>
      </w:r>
    </w:p>
    <w:p w14:paraId="36D176F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6.9.乙方和／或其分包商不得用同一箱号标明任何两个箱件。</w:t>
      </w:r>
    </w:p>
    <w:p w14:paraId="79FC37D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6.10.乙方交付的技术资料应使用适合于长途运输、多次搬运、防雨和防潮的包装。每一包资料内应附有技术资料的详细清单一式二份，标明技术资料的序号、文件项号、名称和页数。每包技术资料的封面上应注明下述内容。</w:t>
      </w:r>
    </w:p>
    <w:p w14:paraId="6257EE7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（1）合同号；</w:t>
      </w:r>
    </w:p>
    <w:p w14:paraId="29D3BA91">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（2）供货、收货单位名称；</w:t>
      </w:r>
    </w:p>
    <w:p w14:paraId="409F9A93">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（3）目的站／码头；</w:t>
      </w:r>
    </w:p>
    <w:p w14:paraId="5F3270B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（4）毛重；</w:t>
      </w:r>
    </w:p>
    <w:p w14:paraId="1CAA56C1">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（5）箱号／件号。</w:t>
      </w:r>
    </w:p>
    <w:p w14:paraId="711ABE4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6.11.甲方可派遣代表到乙方工厂及装货车站检查包装质量和监督装车情况。</w:t>
      </w:r>
    </w:p>
    <w:p w14:paraId="5F8176C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6.12.甲方应对多次使用的专用铁路包装箱、包装架等，在该部件到货清点之后2个月内返乙方（费用由乙方承担）。</w:t>
      </w:r>
    </w:p>
    <w:p w14:paraId="0383099D">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7.技术服务</w:t>
      </w:r>
    </w:p>
    <w:p w14:paraId="281449D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7.1.乙方应及时提供与本合同设备有关的设计、检验、安装、调试、验收、性能验收试验、运行、检修等相应的技术指导、技术配合、技术培训等全过程的服务。</w:t>
      </w:r>
    </w:p>
    <w:p w14:paraId="45A1EA0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7.2.乙方须派代表到现场进行技术服务，指导甲方按乙方的技术资料进行安装、调试和启动，并负责解决合同设备在安装调试、试运行中发现的制造质量及性能等有关问题。</w:t>
      </w:r>
    </w:p>
    <w:p w14:paraId="1E7028B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7.3.乙方应在合同生效后</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日内以邮寄方式向甲方提交执行7.1和7.2款中规定的服务工作的组织计划一式两份，作为本合同技术服务附件的内容。</w:t>
      </w:r>
    </w:p>
    <w:p w14:paraId="4B39B1F3">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7.4.乙方有义务在必要时邀请甲方参与乙方的技术设计，并向甲方解释技术设计。</w:t>
      </w:r>
    </w:p>
    <w:p w14:paraId="2C91A38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7.5.技术联络会的费用、次数、人数和地点，详见合同技术服务附件。如遇有重大问题需要乙方与甲方立即研究协商时，任何一方均可建议召开会议，在一般情况下，另一方应同意参加，费用各自承担。</w:t>
      </w:r>
    </w:p>
    <w:p w14:paraId="1750ABA1">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7.6.各次会议双方均应签订会议纪要，所签纪要双方均应执行。如涉及合同条款的修改，须经双方有权代表签署，以修改后的条款为准。</w:t>
      </w:r>
    </w:p>
    <w:p w14:paraId="5C7696C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7.7.乙方提出并经双方在会议上确认的安装、调试和运行技术服务方案，乙方如有修改，须以书面形式通知甲方，经甲方确认后方可进行。为适应现场条件的要求，甲方有权提出变更或修改意见，并书面通知乙方，乙方应给予充分考虑，应尽量满足甲方要求。</w:t>
      </w:r>
    </w:p>
    <w:p w14:paraId="2EEE84AB">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7.8.乙方（包括分包与外购）须对一切与本合同有关的供货、设备及技术接口、技术服务等问题负全部责任。</w:t>
      </w:r>
    </w:p>
    <w:p w14:paraId="2C8971F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7.9.凡与本合同设备相连接的其他设备装置，乙方有提供接口和技术配合的义务，并不由此而发生合同价款以外的任何费用。</w:t>
      </w:r>
    </w:p>
    <w:p w14:paraId="646A5988">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7.10.乙方派到现场服务的技术人员应是有实践经验、可胜任此项工作的人员。乙方派到现场服务的技术人员在本合同生效后</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提交甲方予以确认。甲方有权提出更换不符合要求的乙方现场服务人员，乙方应根据现场需要，重新选派甲方认可的服务人员，如果甲方在书面提出该项要求10天内乙方没有答复，将视为延误工期处理。乙方的分包商需要前往现场提供技术服务的，应由乙方统一组织并征得甲方同意，费用应由乙方自行负担。</w:t>
      </w:r>
    </w:p>
    <w:p w14:paraId="517D0F8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7.11.由于乙方技术服务人员对安装、调试、试运的技术指导的疏忽和错误以及乙方未按要求派人指导而造成的损失应由乙方负责。</w:t>
      </w:r>
    </w:p>
    <w:p w14:paraId="6063376D">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8.监造与检验</w:t>
      </w:r>
    </w:p>
    <w:p w14:paraId="7CF98228">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8.1.监造</w:t>
      </w:r>
    </w:p>
    <w:p w14:paraId="4CB0770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8.1.1.乙方应在本合同生效日期起</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日内，向甲方提供本合同设备的设计、制造和检验标准的目录。设计、制造和检验标准应符合附件1和附件5的规定。</w:t>
      </w:r>
    </w:p>
    <w:p w14:paraId="3F1963A8">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8.1.2.甲方将委托有监造资质的监造单位进行设备监造。在监造工作实施前，为便于监造工作的实施，甲方、乙方和监造方签订三方监造工作协议。监造工作的内容按监造协议确定，但不限于此。乙方有配合监造的义务，在监造中及时提供相应资料和标准，并不由此而发生任何费用。</w:t>
      </w:r>
    </w:p>
    <w:p w14:paraId="35D2D4D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8.1.3.监造的范围及具体监造检验／见证项目见监造协议。</w:t>
      </w:r>
    </w:p>
    <w:p w14:paraId="3764992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8.1.4.乙方必须为甲方委托的驻厂代表和监造代表的监造检验提供如下便利条件：提前7天提供设备的监造内容和检验时间；提供与本合同设备监造有关的标准（包括工厂标准）、图纸、资料、工艺及实际工艺过程和检验记录（包括中间检验记录和／或不一致性报告）；向监造代表提供工作、生活方便。</w:t>
      </w:r>
    </w:p>
    <w:p w14:paraId="24FC6FE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8.1.5.监造检验／见证（一般为现场见证）应尽量结合乙方工厂实际生产过程（不包括发现重大问题时的停工检验）。若监造代表不能按乙方通知时间及时到场，乙方的试验工作可正常进行，试验结果有效，但是监造代表有权事后了解、查阅、复制检查试验报告和结果（转为文件见证）。若乙方未及时通知监造代表而单独检验，甲方将不承认该检验结果，乙方应在监造代表在场的情况下再次进行该项试验。</w:t>
      </w:r>
    </w:p>
    <w:p w14:paraId="708EFBA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8.1.6.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乙方不得擅自处理。</w:t>
      </w:r>
    </w:p>
    <w:p w14:paraId="661222E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8.1.7.不论监造代表是否参与监造与出厂检验或者监造代表参加了监造与检验，并且签署了监造与检验报告，均不能被视为乙方按合同规定承担的质量保证责任的解除，也不能免除乙方对设备质量应承担的责任。</w:t>
      </w:r>
    </w:p>
    <w:p w14:paraId="65CCE97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8.2.工厂检验与现场开箱检验</w:t>
      </w:r>
    </w:p>
    <w:p w14:paraId="2466B21B">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8.2.1.由乙方供应的所有合同设备／部件（包括分包与外购），在生产过程中都须进行严格的检验和试验，出厂前须进行部套和／或整机总装和试验。所有检验、试验和总装（装配）必须有正式的记录文件。以上工作完成之后，并经监造代表确认，合格的才能出厂发运。所有这些正式的记录文件及合格证作为技术资料的一部分邮寄给甲方存档。此外，乙方还应在随机文件中提供合格证、质量证明文件和原产地约定。</w:t>
      </w:r>
    </w:p>
    <w:p w14:paraId="1F4B1A5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8.2.2.货物到达目的地后，乙方在接到甲方通知后应及时到现场，与甲方一起根据运单和装箱单对货物的包装、外观及件数进行清点检验。如发现有任何不符之处经双方代表确认属乙方责任后，由乙方处理解决。当货物运到甲方现场后，甲方应尽快开箱检验，检验货物的数量，规格、质量情况。甲方应在开箱检查前7日通知乙方开箱检验日期，乙方应派遣检验人员参加现场检验工作，甲方应为乙方检验人员提供工作和生活方便。如检验时，乙方人员未按时赴现场，甲方有权自行开箱检验，检验结果和记录对双方有效，并可作为甲方向乙方提出索赔的有效证据。按照本款规定，经检验合格的货物，甲方将向乙方签发接收单，乙方在收到甲方签发的接收单并出具回执时，视为该批货物已由乙方交付。</w:t>
      </w:r>
    </w:p>
    <w:p w14:paraId="4C2718A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8.2.3.现场检验时，如发现设备由于乙方原因（包括运输）有任何损坏、缺陷、短少或不符合合同中规定的质量标准和规范时，应做好记录，并由双方代表签字，各执一份，作为甲方向乙方提出修理和／或更换和／或索赔的依据；如果乙方委托甲方修理损坏的设备，所有修理设备的费用由乙方承担；如果由于甲方原因，发现损坏或短缺，乙方在接到买方通知后，应尽快提供或替换相应的部件，但费用由甲方自负。</w:t>
      </w:r>
    </w:p>
    <w:p w14:paraId="5254413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8.2.4.乙方如对上述甲方提出修理、更换、索赔的要求有异议，应在接到甲方书面通知后7日内提出，否则上述要求成立。如有异议，乙方在接到通知后半个月内，自费派代表赴现场同甲方代表共同复验。</w:t>
      </w:r>
    </w:p>
    <w:p w14:paraId="7022B30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8.2.5.如双方代表在共同检验中对检验记录不能取得一致意见时，可由双方委托权威的第三方检验机构</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在</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日内进行检验。检验结果对双方都有约束力，检验费用由责任方负担。</w:t>
      </w:r>
    </w:p>
    <w:p w14:paraId="67D28767">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9.安装、调试、试运和验收</w:t>
      </w:r>
    </w:p>
    <w:p w14:paraId="2A00348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9.1.本合同设备由甲方根据乙方提供的技术资料、检验标准、图纸及说明书进行安装、调试、运行和维修。整个安装、调试过程须在乙方现场技术服务人员指导下进行。重要工序须经乙方现场技术服务人员签字确认，重要工序由双方在安装、调试、运行前书面确认。在安装、调试过程中，若甲方未按乙方的技术资料规定和现场技术服务人员指导、未经乙方现场技术服务人员签字确认而出现问题，甲方自行负责（设备问题除外）；若甲方按乙方技术资料规定和现场技术服务人员的指导、乙方现场技术服务人员签字确认而出现问题，由乙方承担责任。</w:t>
      </w:r>
    </w:p>
    <w:p w14:paraId="1E89E08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9.2.合同设备的安装：</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4D540B5A">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9.3.合同设备的调试：</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42F267A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9.4.验收试验：</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5F28AC65">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10.分包与外购</w:t>
      </w:r>
    </w:p>
    <w:p w14:paraId="1B8290F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10.1.乙方未经同意不得将本合同范围内的设备/部件进行分包。乙方需分包的内容和比例应征得甲方书面同意，否则不得分包。接受分包的单位（分包商）不得再次分包。</w:t>
      </w:r>
    </w:p>
    <w:p w14:paraId="679DF6B9">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10.2.乙方将本合同范围内需分包与外购的设备／部件的内容和比例提交甲方同意后，在合同谈判时，将此部分设备／部件的分包商预选名单、分包商资质材料，提交给甲方。甲方收到乙方提交的分包商文件后</w:t>
      </w:r>
      <w:r>
        <w:rPr>
          <w:rFonts w:hint="eastAsia" w:asciiTheme="minorEastAsia" w:hAnsiTheme="minorEastAsia" w:eastAsiaTheme="minorEastAsia" w:cstheme="minorEastAsia"/>
          <w:color w:val="000000"/>
          <w:kern w:val="0"/>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rPr>
        <w:t>日内进行审查，审查同意后，以书面形式予以答复，甲方可推荐预选名单以外的分包商。乙方须在甲方同意的分包商名单中选定分包商，并在设计联络会上确定分包与外购设备的最终厂家。分包与外购设备最终厂家的确定必须经甲方书面确认。</w:t>
      </w:r>
    </w:p>
    <w:p w14:paraId="3D84604A">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10.3.乙方具有独立的、自主的材料和设备采购权利，可以采取各种适合自己的采购方式，但在分包与外购的设备/部件的问题上应充分采纳甲方根据实际运行经验以及实地考察、调研所提出的意见和建议，甲方有权对部分分包与外购的设备/部件要求乙方招标采购，并确认结果。</w:t>
      </w:r>
    </w:p>
    <w:p w14:paraId="2033DC2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10.4.分包（外购）设备／部件的技术服务、技术配合按本合同技术服务条款的约定执行。</w:t>
      </w:r>
    </w:p>
    <w:p w14:paraId="24B585D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10.5.乙方对所有分包设备、部件承担本合同项下的全部责任。</w:t>
      </w:r>
    </w:p>
    <w:p w14:paraId="1EB4BF5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10.6.分包与外购内容见附件。</w:t>
      </w:r>
    </w:p>
    <w:p w14:paraId="3281E8E9">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11.税和费</w:t>
      </w:r>
    </w:p>
    <w:p w14:paraId="1493921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本合同价格为含税价。乙方提供的设备、技术资料、服务、运输、保险、进口设备／部件等所有税和费已全部包含在合同价格内，由乙方承担。</w:t>
      </w:r>
    </w:p>
    <w:p w14:paraId="4C0C6A06">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12.保险</w:t>
      </w:r>
    </w:p>
    <w:p w14:paraId="700661D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12.1.乙方须对合同设备，根据水运、陆运和空运等运输方式，向保险公司以甲方和乙方为共同受益人投保发运合同设备价格110％的运输一切险，保险区段为乙方仓库到甲方现场止。设备（在交货地点）交货之前乙方为保险受益人，设备（在交货地点）交货之后甲方为保险受益人。</w:t>
      </w:r>
    </w:p>
    <w:p w14:paraId="2DC65B6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12.2.如果发生乙方未对每台/套设备进行投保，甲方有权将这部分保险费从该台/套设备的运杂费中扣除，因其发生的连带责任，将全部由乙方承担。</w:t>
      </w:r>
    </w:p>
    <w:p w14:paraId="10037C51">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12.3.乙方应将保险合同的副本于每台/套设备交货前</w:t>
      </w:r>
      <w:r>
        <w:rPr>
          <w:rFonts w:hint="eastAsia" w:asciiTheme="minorEastAsia" w:hAnsiTheme="minorEastAsia" w:eastAsiaTheme="minorEastAsia" w:cstheme="minorEastAsia"/>
          <w:b/>
          <w:bCs/>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日内提供给甲方，如果乙方未能及时提供，甲方将认为乙方未对该台/套设备投保，并按12.2款处理。</w:t>
      </w:r>
    </w:p>
    <w:p w14:paraId="245028D8">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12.4.如果交付的合同设备和/或文件在运输途中发生丢失或损坏，乙方应与保险公司联系进行索赔。如果此种丢失或损坏不属于保险公司的赔偿范围，则乙方应负责对甲方进行赔偿。</w:t>
      </w:r>
    </w:p>
    <w:p w14:paraId="008BD072">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13.知识产权</w:t>
      </w:r>
    </w:p>
    <w:p w14:paraId="5B684EB9">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13.1.乙方应保证甲方不受由于使用了乙方提供的合同设备（包括技术）而引起的对任何第三方的设计、工艺方案、技术资料、商标、专利等知识产权产生侵权。</w:t>
      </w:r>
    </w:p>
    <w:p w14:paraId="0242872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13.2.如果发生任何第三方的侵权指控，甲方于上述指控之日起</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个工作日内尽快通知乙方，乙方负责与第三方交涉处理此事，并承担一切由此引起的法律上和经济上的责任，从而使甲方免受由于第三方索赔从法律及经济责任上所造成的损害。</w:t>
      </w:r>
    </w:p>
    <w:p w14:paraId="6B3A4EF0">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14.保证与索赔</w:t>
      </w:r>
    </w:p>
    <w:p w14:paraId="4910793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14.1.本合同设备质量保证期为设备调试完毕正常运行后</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年。</w:t>
      </w:r>
    </w:p>
    <w:p w14:paraId="637D83B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14.2.乙方保证其供应的本合同设备是全新的，技术水平是先进的、成熟的、质量优良的，设备的选型均符合安全可靠、经济运行和易于维护的要求。乙方保证根据本合同所交付的技术资料完整统一和内容正确、</w:t>
      </w:r>
      <w:r>
        <w:rPr>
          <w:rFonts w:hint="eastAsia" w:asciiTheme="minorEastAsia" w:hAnsiTheme="minorEastAsia" w:eastAsiaTheme="minorEastAsia" w:cstheme="minorEastAsia"/>
          <w:color w:val="000000"/>
          <w:kern w:val="0"/>
          <w:sz w:val="24"/>
          <w:szCs w:val="24"/>
          <w:highlight w:val="none"/>
          <w:lang w:eastAsia="zh-CN"/>
        </w:rPr>
        <w:t>准确</w:t>
      </w:r>
      <w:r>
        <w:rPr>
          <w:rFonts w:hint="eastAsia" w:asciiTheme="minorEastAsia" w:hAnsiTheme="minorEastAsia" w:eastAsiaTheme="minorEastAsia" w:cstheme="minorEastAsia"/>
          <w:color w:val="000000"/>
          <w:kern w:val="0"/>
          <w:sz w:val="24"/>
          <w:szCs w:val="24"/>
          <w:highlight w:val="none"/>
        </w:rPr>
        <w:t>并能满足合同设备的设计、安装、调试、运行和维修的要求。</w:t>
      </w:r>
    </w:p>
    <w:p w14:paraId="596C0FB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14.3.本设备合同执行期间，如果乙方提供的设备有缺陷和技术资料有错误，或者由于乙方技术人员指导错误和疏忽，造成工程返工、报废，乙方应立即无偿更换和修理。如需更换，乙方应负担由此产生的到安装现场更换的一切费用，更换或修理期限应不迟于证实属乙方责任之日起</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由于甲方未按乙方所提供的技术资料、图纸、说明书和乙方现场技术服务人员的指导而进行施工、安装、调试造成的设备损坏，由甲方负责修理，更换，但乙方有义务尽快提供所需更换的部件，对于甲方要求的紧急部件，乙方应安排最快的方式运输，所有费用均由甲方负担。</w:t>
      </w:r>
    </w:p>
    <w:p w14:paraId="4BE1271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14.4.合同规定的保证期满后，由甲方在</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日内出具合同设备保证期满最终验收证书交给乙方。甲方出具最终验收证书的先决条件是：乙方应完成甲方在保证期满前提出的索赔。</w:t>
      </w:r>
    </w:p>
    <w:p w14:paraId="65E5429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14.5.在保证期内，如发现设备有缺陷，不符合本合同规定时，如属乙方责任，则甲方有权向乙方提出索赔。如乙方对此索赔有异议按8.2.5条款办理。否则乙方在接到甲方索赔文件后，应立即无偿修理、更换、赔款或委托甲方安排大型修理。包括由此产生的到安装现场的更换费用、运费及保险费由乙方负担。</w:t>
      </w:r>
    </w:p>
    <w:p w14:paraId="4EADC13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14.6.如由于乙方责任需要更换、修理有缺陷的设备，而使合同设备停运或推迟安装时，则保证期应按实际修理或更换所延误的时间做相应的延长。</w:t>
      </w:r>
    </w:p>
    <w:p w14:paraId="3CDEE38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14.7.如合同设备在保证期内发现属乙方责任的十分严重的缺陷（如设备性能达不到要求等）则其保证期将自该缺陷修正后开始计算</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年。</w:t>
      </w:r>
    </w:p>
    <w:p w14:paraId="2E46F7B9">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14.8.如果不是由于甲方原因或甲方要求推迟交货而乙方未能按本合同规定的交货期交货时（不可抗力除外），甲方有权向乙方收取违约金：每延迟一日，违约金金额为迟交货物金额的</w:t>
      </w:r>
      <w:r>
        <w:rPr>
          <w:rFonts w:hint="eastAsia" w:asciiTheme="minorEastAsia" w:hAnsiTheme="minorEastAsia" w:eastAsiaTheme="minorEastAsia" w:cstheme="minorEastAsia"/>
          <w:color w:val="000000"/>
          <w:kern w:val="0"/>
          <w:sz w:val="24"/>
          <w:szCs w:val="24"/>
          <w:highlight w:val="none"/>
          <w:u w:val="single"/>
        </w:rPr>
        <w:t>5</w:t>
      </w:r>
      <w:r>
        <w:rPr>
          <w:rFonts w:hint="eastAsia" w:asciiTheme="minorEastAsia" w:hAnsiTheme="minorEastAsia" w:eastAsiaTheme="minorEastAsia" w:cstheme="minorEastAsia"/>
          <w:color w:val="000000"/>
          <w:kern w:val="0"/>
          <w:sz w:val="24"/>
          <w:szCs w:val="24"/>
          <w:highlight w:val="none"/>
        </w:rPr>
        <w:t>%；合同设备延迟交付的违约金总金额累计不超过每套合同设备总价的</w:t>
      </w:r>
      <w:r>
        <w:rPr>
          <w:rFonts w:hint="eastAsia" w:asciiTheme="minorEastAsia" w:hAnsiTheme="minorEastAsia" w:eastAsiaTheme="minorEastAsia" w:cstheme="minorEastAsia"/>
          <w:color w:val="000000"/>
          <w:kern w:val="0"/>
          <w:sz w:val="24"/>
          <w:szCs w:val="24"/>
          <w:highlight w:val="none"/>
          <w:u w:val="single"/>
        </w:rPr>
        <w:t>30</w:t>
      </w:r>
      <w:r>
        <w:rPr>
          <w:rFonts w:hint="eastAsia" w:asciiTheme="minorEastAsia" w:hAnsiTheme="minorEastAsia" w:eastAsiaTheme="minorEastAsia" w:cstheme="minorEastAsia"/>
          <w:color w:val="000000"/>
          <w:kern w:val="0"/>
          <w:sz w:val="24"/>
          <w:szCs w:val="24"/>
          <w:highlight w:val="none"/>
        </w:rPr>
        <w:t>%。乙方支付违约金，并不解除乙方按照合同继续交货的义务。对安装、试运行有重大影响的设备延迟交付，甲方有权向乙方收取违约金：每延迟一日，违约金金额为迟交货物金额的</w:t>
      </w:r>
      <w:r>
        <w:rPr>
          <w:rFonts w:hint="eastAsia" w:asciiTheme="minorEastAsia" w:hAnsiTheme="minorEastAsia" w:eastAsiaTheme="minorEastAsia" w:cstheme="minorEastAsia"/>
          <w:color w:val="000000"/>
          <w:kern w:val="0"/>
          <w:sz w:val="24"/>
          <w:szCs w:val="24"/>
          <w:highlight w:val="none"/>
          <w:u w:val="single"/>
        </w:rPr>
        <w:t>5</w:t>
      </w:r>
      <w:r>
        <w:rPr>
          <w:rFonts w:hint="eastAsia" w:asciiTheme="minorEastAsia" w:hAnsiTheme="minorEastAsia" w:eastAsiaTheme="minorEastAsia" w:cstheme="minorEastAsia"/>
          <w:color w:val="000000"/>
          <w:kern w:val="0"/>
          <w:sz w:val="24"/>
          <w:szCs w:val="24"/>
          <w:highlight w:val="none"/>
        </w:rPr>
        <w:t>%，合同设备延迟交付的违约金总金额累计不超过合同总价的</w:t>
      </w:r>
      <w:r>
        <w:rPr>
          <w:rFonts w:hint="eastAsia" w:asciiTheme="minorEastAsia" w:hAnsiTheme="minorEastAsia" w:eastAsiaTheme="minorEastAsia" w:cstheme="minorEastAsia"/>
          <w:color w:val="000000"/>
          <w:kern w:val="0"/>
          <w:sz w:val="24"/>
          <w:szCs w:val="24"/>
          <w:highlight w:val="none"/>
          <w:u w:val="single"/>
        </w:rPr>
        <w:t>30</w:t>
      </w:r>
      <w:r>
        <w:rPr>
          <w:rFonts w:hint="eastAsia" w:asciiTheme="minorEastAsia" w:hAnsiTheme="minorEastAsia" w:eastAsiaTheme="minorEastAsia" w:cstheme="minorEastAsia"/>
          <w:color w:val="000000"/>
          <w:kern w:val="0"/>
          <w:sz w:val="24"/>
          <w:szCs w:val="24"/>
          <w:highlight w:val="none"/>
        </w:rPr>
        <w:t>%。同时，甲方有权终止部分或全部合同。如乙方未按合同或附件的规定按时向甲方提供技术资料的，甲方有权向乙方收取违约金：每延迟一日，违约金金额为合同总价的</w:t>
      </w:r>
      <w:r>
        <w:rPr>
          <w:rFonts w:hint="eastAsia" w:asciiTheme="minorEastAsia" w:hAnsiTheme="minorEastAsia" w:eastAsiaTheme="minorEastAsia" w:cstheme="minorEastAsia"/>
          <w:color w:val="000000"/>
          <w:kern w:val="0"/>
          <w:sz w:val="24"/>
          <w:szCs w:val="24"/>
          <w:highlight w:val="none"/>
          <w:u w:val="single"/>
        </w:rPr>
        <w:t>5</w:t>
      </w:r>
      <w:r>
        <w:rPr>
          <w:rFonts w:hint="eastAsia" w:asciiTheme="minorEastAsia" w:hAnsiTheme="minorEastAsia" w:eastAsiaTheme="minorEastAsia" w:cstheme="minorEastAsia"/>
          <w:color w:val="000000"/>
          <w:kern w:val="0"/>
          <w:sz w:val="24"/>
          <w:szCs w:val="24"/>
          <w:highlight w:val="none"/>
        </w:rPr>
        <w:t>%，该违约金总金额累计不超过合同总价的</w:t>
      </w:r>
      <w:r>
        <w:rPr>
          <w:rFonts w:hint="eastAsia" w:asciiTheme="minorEastAsia" w:hAnsiTheme="minorEastAsia" w:eastAsiaTheme="minorEastAsia" w:cstheme="minorEastAsia"/>
          <w:color w:val="000000"/>
          <w:kern w:val="0"/>
          <w:sz w:val="24"/>
          <w:szCs w:val="24"/>
          <w:highlight w:val="none"/>
          <w:u w:val="single"/>
        </w:rPr>
        <w:t>30</w:t>
      </w:r>
      <w:r>
        <w:rPr>
          <w:rFonts w:hint="eastAsia" w:asciiTheme="minorEastAsia" w:hAnsiTheme="minorEastAsia" w:eastAsiaTheme="minorEastAsia" w:cstheme="minorEastAsia"/>
          <w:color w:val="000000"/>
          <w:kern w:val="0"/>
          <w:sz w:val="24"/>
          <w:szCs w:val="24"/>
          <w:highlight w:val="none"/>
        </w:rPr>
        <w:t>%。乙方提交违约金后，仍有义务向甲方提供技术帮助，采取各种措施以使设备达到各项经济指标。如果由于乙方和/或分包商技术服务的延误，造成执行合同延误，每延误工期一日，乙方应向甲方支付合同总价</w:t>
      </w:r>
      <w:r>
        <w:rPr>
          <w:rFonts w:hint="eastAsia" w:asciiTheme="minorEastAsia" w:hAnsiTheme="minorEastAsia" w:eastAsiaTheme="minorEastAsia" w:cstheme="minorEastAsia"/>
          <w:color w:val="000000"/>
          <w:kern w:val="0"/>
          <w:sz w:val="24"/>
          <w:szCs w:val="24"/>
          <w:highlight w:val="none"/>
          <w:u w:val="single"/>
        </w:rPr>
        <w:t>5</w:t>
      </w:r>
      <w:r>
        <w:rPr>
          <w:rFonts w:hint="eastAsia" w:asciiTheme="minorEastAsia" w:hAnsiTheme="minorEastAsia" w:eastAsiaTheme="minorEastAsia" w:cstheme="minorEastAsia"/>
          <w:color w:val="000000"/>
          <w:kern w:val="0"/>
          <w:sz w:val="24"/>
          <w:szCs w:val="24"/>
          <w:highlight w:val="none"/>
        </w:rPr>
        <w:t>%的违约金，该违约金总金额累计不超过合同总价的</w:t>
      </w:r>
      <w:r>
        <w:rPr>
          <w:rFonts w:hint="eastAsia" w:asciiTheme="minorEastAsia" w:hAnsiTheme="minorEastAsia" w:eastAsiaTheme="minorEastAsia" w:cstheme="minorEastAsia"/>
          <w:color w:val="000000"/>
          <w:kern w:val="0"/>
          <w:sz w:val="24"/>
          <w:szCs w:val="24"/>
          <w:highlight w:val="none"/>
          <w:u w:val="single"/>
        </w:rPr>
        <w:t>30</w:t>
      </w:r>
      <w:r>
        <w:rPr>
          <w:rFonts w:hint="eastAsia" w:asciiTheme="minorEastAsia" w:hAnsiTheme="minorEastAsia" w:eastAsiaTheme="minorEastAsia" w:cstheme="minorEastAsia"/>
          <w:color w:val="000000"/>
          <w:kern w:val="0"/>
          <w:sz w:val="24"/>
          <w:szCs w:val="24"/>
          <w:highlight w:val="none"/>
        </w:rPr>
        <w:t>%。</w:t>
      </w:r>
    </w:p>
    <w:p w14:paraId="297B9FA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14.9.由于乙方责任，根据本合同及附件规定验收试验后，不能达到本合同及其附件规定的一项或多项保证指标时，乙方应向甲方支付违约金：每不能达到一项保证指标，违约金金额为合同总价的</w:t>
      </w:r>
      <w:r>
        <w:rPr>
          <w:rFonts w:hint="eastAsia" w:asciiTheme="minorEastAsia" w:hAnsiTheme="minorEastAsia" w:eastAsiaTheme="minorEastAsia" w:cstheme="minorEastAsia"/>
          <w:color w:val="000000"/>
          <w:kern w:val="0"/>
          <w:sz w:val="24"/>
          <w:szCs w:val="24"/>
          <w:highlight w:val="none"/>
          <w:u w:val="single"/>
        </w:rPr>
        <w:t>5</w:t>
      </w:r>
      <w:r>
        <w:rPr>
          <w:rFonts w:hint="eastAsia" w:asciiTheme="minorEastAsia" w:hAnsiTheme="minorEastAsia" w:eastAsiaTheme="minorEastAsia" w:cstheme="minorEastAsia"/>
          <w:color w:val="000000"/>
          <w:kern w:val="0"/>
          <w:sz w:val="24"/>
          <w:szCs w:val="24"/>
          <w:highlight w:val="none"/>
        </w:rPr>
        <w:t>%，每不能达到一项关键指标；违约金金额为合同总价的</w:t>
      </w:r>
      <w:r>
        <w:rPr>
          <w:rFonts w:hint="eastAsia" w:asciiTheme="minorEastAsia" w:hAnsiTheme="minorEastAsia" w:eastAsiaTheme="minorEastAsia" w:cstheme="minorEastAsia"/>
          <w:color w:val="000000"/>
          <w:kern w:val="0"/>
          <w:sz w:val="24"/>
          <w:szCs w:val="24"/>
          <w:highlight w:val="none"/>
          <w:u w:val="single"/>
        </w:rPr>
        <w:t>5</w:t>
      </w:r>
      <w:r>
        <w:rPr>
          <w:rFonts w:hint="eastAsia" w:asciiTheme="minorEastAsia" w:hAnsiTheme="minorEastAsia" w:eastAsiaTheme="minorEastAsia" w:cstheme="minorEastAsia"/>
          <w:color w:val="000000"/>
          <w:kern w:val="0"/>
          <w:sz w:val="24"/>
          <w:szCs w:val="24"/>
          <w:highlight w:val="none"/>
        </w:rPr>
        <w:t>%，该违约金总金额累计不超过合同总价的</w:t>
      </w:r>
      <w:r>
        <w:rPr>
          <w:rFonts w:hint="eastAsia" w:asciiTheme="minorEastAsia" w:hAnsiTheme="minorEastAsia" w:eastAsiaTheme="minorEastAsia" w:cstheme="minorEastAsia"/>
          <w:color w:val="000000"/>
          <w:kern w:val="0"/>
          <w:sz w:val="24"/>
          <w:szCs w:val="24"/>
          <w:highlight w:val="none"/>
          <w:u w:val="single"/>
        </w:rPr>
        <w:t>30</w:t>
      </w:r>
      <w:r>
        <w:rPr>
          <w:rFonts w:hint="eastAsia" w:asciiTheme="minorEastAsia" w:hAnsiTheme="minorEastAsia" w:eastAsiaTheme="minorEastAsia" w:cstheme="minorEastAsia"/>
          <w:color w:val="000000"/>
          <w:kern w:val="0"/>
          <w:sz w:val="24"/>
          <w:szCs w:val="24"/>
          <w:highlight w:val="none"/>
        </w:rPr>
        <w:t>%。如违约金不足以弥补甲方直接损失的，乙方应赔偿甲方的直接损失。</w:t>
      </w:r>
    </w:p>
    <w:p w14:paraId="1B34F8FB">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14.10.乙方支付全部违约金、赔偿金或者乙方提供的满意的替换件被甲方接受之日，即为甲方出具初步验收证书之日。但乙方支付迟交违约金并不解除合同规定的相应义务。</w:t>
      </w:r>
    </w:p>
    <w:p w14:paraId="2A71B34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14.11.如果由于甲方的原因，迟付货款，工期可获得相应延长。</w:t>
      </w:r>
    </w:p>
    <w:p w14:paraId="4D0F393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14.12.如果发生乙方的合同履行违约行为，相关款项将由乙方在接到甲方的书面通知和此类赔偿的证明文件后</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日内向甲方支付，甲方也有权从履约保函和任何一笔付款中扣除；如果属于质量问题造成的甲方损失，相关款项将从质量保证金中扣除；上述金额不足扣除部分，甲方有权向乙方继续追索，乙方应予以支付。</w:t>
      </w:r>
    </w:p>
    <w:p w14:paraId="5ACDECF3">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14.13.如果发生甲方的合同履行违约，相关款项将由甲方在接到乙方的书面通知和此类赔偿的证明文件且由甲方认可后</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日内向乙方支付。</w:t>
      </w:r>
    </w:p>
    <w:p w14:paraId="4935BFFE">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15.不可抗力</w:t>
      </w:r>
    </w:p>
    <w:p w14:paraId="367FC03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15.1.不可抗力是指：严重的自然灾害和灾难（如台风、洪水、地震、火灾和爆炸等）、战争（不论是否宣战）、叛乱、动乱等等，其特点是不可预见、无法避免。合同双方中的任何一方，由于不可抗力事件而影响合同义务的执行时，则延迟履行合同义务的期限相当于不可抗力事件影响的时间，但是不能因为不可抗力的延迟而调整合同价格。</w:t>
      </w:r>
    </w:p>
    <w:p w14:paraId="2A98F519">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15.2.受到不可抗力影响的一方应在不可抗力事故发生后，尽快将所发生的不可抗力事件的情况以传真或电报通知另一方，并在</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日内将有关当局出具的证明文件提交给另一方审阅确认，受影响的一方同时应尽量设法缩小这种影响和由此而引起的延误，一旦不可抗力的影响消除后，应将此情况立即通知对方。</w:t>
      </w:r>
    </w:p>
    <w:p w14:paraId="3307788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15.3.如双方对不可抗力事件的影响估计将延续到</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日以上时，双方应通过友好协商解决本合同的执行问题（包括交货、安装、试运行和验收等问题）。</w:t>
      </w:r>
    </w:p>
    <w:p w14:paraId="6B6FFBBB">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16.合同的变更、修改、中止和终止</w:t>
      </w:r>
    </w:p>
    <w:p w14:paraId="55B5D0D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16.1.本合同一经生效，合同双方均不得擅自对本合同的内容（包括附件）作任何单方的修改。但任何一方均可以对合同内容以书面形式提出变更、修改、取消或补充的建议。该项建议应以书面形式通知对方。如果该项修改改变了合同价格和交货进度，应在收到上述修改通知书后的14个工作日内，提出影响合同价格和／或交货期的详细说明。双方一致同意变更合同内容，须经双方法定代表人或委托代理人（须经法定代表人书面授权委托）签字并加盖合同专用章后生效。</w:t>
      </w:r>
    </w:p>
    <w:p w14:paraId="3561CA78">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16.2.如果乙方有违反或拒绝执行本合同规定的行为时，甲方</w:t>
      </w:r>
      <w:r>
        <w:rPr>
          <w:rFonts w:hint="eastAsia" w:asciiTheme="minorEastAsia" w:hAnsiTheme="minorEastAsia" w:eastAsiaTheme="minorEastAsia" w:cstheme="minorEastAsia"/>
          <w:color w:val="000000"/>
          <w:kern w:val="0"/>
          <w:sz w:val="24"/>
          <w:szCs w:val="24"/>
          <w:highlight w:val="none"/>
          <w:lang w:eastAsia="zh-CN"/>
        </w:rPr>
        <w:t>将</w:t>
      </w:r>
      <w:r>
        <w:rPr>
          <w:rFonts w:hint="eastAsia" w:asciiTheme="minorEastAsia" w:hAnsiTheme="minorEastAsia" w:eastAsiaTheme="minorEastAsia" w:cstheme="minorEastAsia"/>
          <w:color w:val="000000"/>
          <w:kern w:val="0"/>
          <w:sz w:val="24"/>
          <w:szCs w:val="24"/>
          <w:highlight w:val="none"/>
        </w:rPr>
        <w:t>书面通知乙方，乙方在接到通知后</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日内确认无误后应对违反或拒绝做出修正，如果认为在</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来不及纠正时，应提出修正计划。如果得不到纠正或提不出修正计划，甲方将保留中止本合同的一部分或全部的权利。对于这种中止，甲方将不出具变更通知书，由此而发生的一切费用、损失和索赔将由乙方负担。如果乙方的违约行为本合同其他条款有明确规定，则按有关条款处理。</w:t>
      </w:r>
    </w:p>
    <w:p w14:paraId="18D2CB81">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16.3.如果甲方行使中止权利，甲方有权停付到期应向乙方支付中止部分的款项，并有权将在执行合同中预付给乙方的中止部分款项索回。</w:t>
      </w:r>
    </w:p>
    <w:p w14:paraId="5255F45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16.4.在合同执行过程中，若因国家计划调整而引起本合同无法正常执行时，甲方和／或乙方可以向对方提出中止执行合同或修改合同有关条款的建议，与之有关的事宜双方协商办理。</w:t>
      </w:r>
    </w:p>
    <w:p w14:paraId="34DB56C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16.5.当在合同（附件）中注明的原材料、外购件、外协厂的厂商、规格、产地、牌号、数量由于乙方原因，发生变更，需事先书面提交甲方确认同意，对此而引起对交货期的延迟影响，由乙方承担责任。</w:t>
      </w:r>
    </w:p>
    <w:p w14:paraId="7ABFAA73">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16.6.如果乙方破产、产权变更（被兼并、合并、解体、注销）或无偿还能力，或为了债权人的利益在破产管理下经营其业务，甲方有权立即书面通知乙方或破产清算管理人或合同归属人终止合同，或向该破产管理人、清算人或该合同归属人提供选择，视其给出合理忠实履行合同的保证情况，可执行经过甲方同意的一部分合同。</w:t>
      </w:r>
    </w:p>
    <w:p w14:paraId="08771E81">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16.7.若16.6款考虑的情况确实发生，甲方有权从乙方手中将与本合同设备有关的工作接管并收归己有，并在合理期限内从乙方的现场房屋中迁出所有与本合同设备有关的设计、图纸、说明和材料，这些东西的所有权已属甲方，乙方应给甲方提供全权处理并提供一切合理的方便，使其能搬走上述这类设计、图纸、说明和材料，甲方对这种终止合同直接或间接引起的对乙方的任何索赔不承担责任。此外，双方应对乙方已经实际履行的合同部分评价达成协议，并处理合同提前结束的一切后果。</w:t>
      </w:r>
    </w:p>
    <w:p w14:paraId="2A475C55">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17.合同争议的解决</w:t>
      </w:r>
    </w:p>
    <w:p w14:paraId="57AE082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17.1.因本合同引起的或与本合同有关的任何争议，由合同各方协商解决，也可由有关部门调解。协商或调解不成的，应向奎屯市人民法院起诉。</w:t>
      </w:r>
    </w:p>
    <w:p w14:paraId="3602D49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17.2.法院判决对双方都有约束力。</w:t>
      </w:r>
    </w:p>
    <w:p w14:paraId="7B7F2D1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17.3.在法院审理期间，除法院审理规定的特殊事项外，合同仍应继续履行。</w:t>
      </w:r>
    </w:p>
    <w:p w14:paraId="60E97B51">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17.4.如因乙方迟延交货</w:t>
      </w:r>
      <w:r>
        <w:rPr>
          <w:rFonts w:hint="eastAsia" w:asciiTheme="minorEastAsia" w:hAnsiTheme="minorEastAsia" w:eastAsiaTheme="minorEastAsia" w:cstheme="minorEastAsia"/>
          <w:color w:val="000000"/>
          <w:kern w:val="0"/>
          <w:sz w:val="24"/>
          <w:szCs w:val="24"/>
          <w:highlight w:val="none"/>
          <w:lang w:eastAsia="zh-CN"/>
        </w:rPr>
        <w:t>超过</w:t>
      </w:r>
      <w:r>
        <w:rPr>
          <w:rFonts w:hint="eastAsia" w:asciiTheme="minorEastAsia" w:hAnsiTheme="minorEastAsia" w:eastAsiaTheme="minorEastAsia" w:cstheme="minorEastAsia"/>
          <w:color w:val="000000"/>
          <w:kern w:val="0"/>
          <w:sz w:val="24"/>
          <w:szCs w:val="24"/>
          <w:highlight w:val="none"/>
        </w:rPr>
        <w:t>3日以上，甲方享有单方解除权。</w:t>
      </w:r>
    </w:p>
    <w:p w14:paraId="0F4BB4C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17.5.因乙方违约造成甲方损失的，乙方除赔偿甲方相应损失外，还需承担甲方因此维权而产生的财产性损失（包括但不限于律师费、诉讼费、鉴定费、交通食宿费等）。</w:t>
      </w:r>
    </w:p>
    <w:p w14:paraId="15BD74E3">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18.合同生效</w:t>
      </w:r>
    </w:p>
    <w:p w14:paraId="7380098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18.1.本合同自</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年</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月</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日起生效。</w:t>
      </w:r>
    </w:p>
    <w:p w14:paraId="1F0EB19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18.2.本合同有效期：从合同生效之日起到质保期满并理赔完毕货款两清之日止。</w:t>
      </w:r>
    </w:p>
    <w:p w14:paraId="2C5C7E7C">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19.适用法律及其他</w:t>
      </w:r>
    </w:p>
    <w:p w14:paraId="6B6FB4C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19.1.法律适用：本合同适用法律为中华人民共和国法律。</w:t>
      </w:r>
    </w:p>
    <w:p w14:paraId="5D590C8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19.2.权利义务的转让：双方任何一方未取得另一方事先同意前，不得将本合同项下的部分或全部权利或义务转让给第三方。</w:t>
      </w:r>
    </w:p>
    <w:p w14:paraId="05A6342B">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19.3.保密：本合同项下双方相互提供的文件、资料，双方除为履行本合同之目的外，均不得提供给其他无关的第三方。</w:t>
      </w:r>
    </w:p>
    <w:p w14:paraId="3109A80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19.4.安全规定：乙方进入甲方厂区需遵守安全管理规定，因违反安全管理规定而造成的人身伤亡和财产损失由乙方承担责任。</w:t>
      </w:r>
    </w:p>
    <w:p w14:paraId="315EFC58">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19.5.双方代表：合同双方应指定二名授权代表，分别负责直接处理“本合同设备”的技术和商务问题。</w:t>
      </w:r>
    </w:p>
    <w:p w14:paraId="7162C94A">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甲方代表：</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7614D50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联系方式：</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5FFB586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乙方代表：</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58A8D6D9">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联系方式：</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2FC19673">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19.6.未尽事宜：双方未尽事宜，通过友好协商解决，双方达成一致后签订补充协议，作为本合同的附件。</w:t>
      </w:r>
    </w:p>
    <w:p w14:paraId="5D47178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19.7.本合同一式</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份，甲、乙双方各持</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份。</w:t>
      </w:r>
    </w:p>
    <w:p w14:paraId="352BFB58">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p w14:paraId="376F93F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签署时间：    年    月    日</w:t>
      </w:r>
    </w:p>
    <w:p w14:paraId="0A176C3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p w14:paraId="34A9045E">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甲方（盖章）：</w:t>
      </w:r>
    </w:p>
    <w:p w14:paraId="2F75ACE1">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法定代表人或授权代表（签字）：</w:t>
      </w:r>
    </w:p>
    <w:p w14:paraId="13C42F4D">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 </w:t>
      </w:r>
    </w:p>
    <w:p w14:paraId="31F5B064">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乙方（盖章）：</w:t>
      </w:r>
    </w:p>
    <w:p w14:paraId="47FA7920">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法定代表人或授权代表（签字）：</w:t>
      </w:r>
    </w:p>
    <w:p w14:paraId="2324157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p>
    <w:p w14:paraId="243E0D79">
      <w:pPr>
        <w:numPr>
          <w:ilvl w:val="0"/>
          <w:numId w:val="0"/>
        </w:numPr>
        <w:autoSpaceDN w:val="0"/>
        <w:spacing w:line="240" w:lineRule="auto"/>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sz w:val="30"/>
          <w:szCs w:val="30"/>
          <w:highlight w:val="none"/>
          <w:shd w:val="clear" w:color="auto" w:fill="FFFFFF"/>
        </w:rPr>
        <w:br w:type="page"/>
      </w:r>
      <w:r>
        <w:rPr>
          <w:rFonts w:hint="eastAsia" w:asciiTheme="minorEastAsia" w:hAnsiTheme="minorEastAsia" w:eastAsiaTheme="minorEastAsia" w:cstheme="minorEastAsia"/>
          <w:b/>
          <w:bCs/>
          <w:sz w:val="28"/>
          <w:szCs w:val="28"/>
          <w:highlight w:val="none"/>
        </w:rPr>
        <w:t xml:space="preserve"> </w:t>
      </w:r>
      <w:r>
        <w:rPr>
          <w:rFonts w:hint="eastAsia" w:asciiTheme="minorEastAsia" w:hAnsiTheme="minorEastAsia" w:eastAsiaTheme="minorEastAsia" w:cstheme="minorEastAsia"/>
          <w:b/>
          <w:bCs/>
          <w:sz w:val="28"/>
          <w:szCs w:val="28"/>
          <w:highlight w:val="none"/>
          <w:lang w:eastAsia="zh-CN"/>
        </w:rPr>
        <w:t>第五章</w:t>
      </w:r>
      <w:r>
        <w:rPr>
          <w:rFonts w:hint="eastAsia" w:asciiTheme="minorEastAsia" w:hAnsiTheme="minorEastAsia" w:eastAsiaTheme="minorEastAsia" w:cstheme="minorEastAsia"/>
          <w:b/>
          <w:bCs/>
          <w:sz w:val="28"/>
          <w:szCs w:val="28"/>
          <w:highlight w:val="none"/>
          <w:lang w:val="en-US" w:eastAsia="zh-CN"/>
        </w:rPr>
        <w:t xml:space="preserve">  </w:t>
      </w:r>
      <w:r>
        <w:rPr>
          <w:rFonts w:hint="eastAsia" w:asciiTheme="minorEastAsia" w:hAnsiTheme="minorEastAsia" w:eastAsiaTheme="minorEastAsia" w:cstheme="minorEastAsia"/>
          <w:b/>
          <w:bCs/>
          <w:sz w:val="28"/>
          <w:szCs w:val="28"/>
          <w:highlight w:val="none"/>
        </w:rPr>
        <w:t>采购需求</w:t>
      </w:r>
    </w:p>
    <w:p w14:paraId="0EC9A55D">
      <w:pPr>
        <w:spacing w:line="240" w:lineRule="auto"/>
        <w:rPr>
          <w:rFonts w:hint="eastAsia" w:asciiTheme="minorEastAsia" w:hAnsiTheme="minorEastAsia" w:eastAsiaTheme="minorEastAsia" w:cstheme="minorEastAsia"/>
          <w:b/>
          <w:bCs/>
          <w:sz w:val="28"/>
          <w:szCs w:val="28"/>
          <w:highlight w:val="none"/>
        </w:rPr>
      </w:pPr>
    </w:p>
    <w:tbl>
      <w:tblPr>
        <w:tblStyle w:val="36"/>
        <w:tblW w:w="98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6"/>
        <w:gridCol w:w="1658"/>
        <w:gridCol w:w="723"/>
        <w:gridCol w:w="744"/>
        <w:gridCol w:w="6076"/>
      </w:tblGrid>
      <w:tr w14:paraId="24FC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10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B3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仪器设备名称</w:t>
            </w:r>
          </w:p>
        </w:tc>
        <w:tc>
          <w:tcPr>
            <w:tcW w:w="723" w:type="dxa"/>
            <w:tcBorders>
              <w:top w:val="single" w:color="000000" w:sz="4" w:space="0"/>
              <w:left w:val="single" w:color="000000" w:sz="4" w:space="0"/>
              <w:right w:val="single" w:color="000000" w:sz="4" w:space="0"/>
            </w:tcBorders>
            <w:shd w:val="clear" w:color="auto" w:fill="auto"/>
            <w:vAlign w:val="center"/>
          </w:tcPr>
          <w:p w14:paraId="14F39FE4">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数量</w:t>
            </w:r>
          </w:p>
        </w:tc>
        <w:tc>
          <w:tcPr>
            <w:tcW w:w="744" w:type="dxa"/>
            <w:tcBorders>
              <w:top w:val="single" w:color="000000" w:sz="4" w:space="0"/>
              <w:left w:val="single" w:color="000000" w:sz="4" w:space="0"/>
              <w:right w:val="single" w:color="000000" w:sz="4" w:space="0"/>
            </w:tcBorders>
            <w:shd w:val="clear" w:color="auto" w:fill="auto"/>
            <w:vAlign w:val="center"/>
          </w:tcPr>
          <w:p w14:paraId="0860B1BF">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单位</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76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技术要求、技术参数</w:t>
            </w:r>
          </w:p>
        </w:tc>
      </w:tr>
      <w:tr w14:paraId="678B5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931C7">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1</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B1010">
            <w:pPr>
              <w:jc w:val="center"/>
              <w:rPr>
                <w:rFonts w:hint="eastAsia"/>
                <w:sz w:val="24"/>
                <w:szCs w:val="24"/>
                <w:highlight w:val="none"/>
                <w:lang w:bidi="ar"/>
              </w:rPr>
            </w:pPr>
            <w:r>
              <w:rPr>
                <w:rFonts w:hint="eastAsia"/>
                <w:sz w:val="24"/>
                <w:szCs w:val="24"/>
                <w:highlight w:val="none"/>
                <w:lang w:bidi="ar"/>
              </w:rPr>
              <w:t>拣选机器人</w:t>
            </w:r>
          </w:p>
          <w:p w14:paraId="270A277A">
            <w:pPr>
              <w:jc w:val="center"/>
              <w:rPr>
                <w:rFonts w:hint="eastAsia" w:eastAsia="宋体"/>
                <w:sz w:val="24"/>
                <w:szCs w:val="24"/>
                <w:highlight w:val="none"/>
                <w:lang w:eastAsia="zh-CN" w:bidi="ar"/>
              </w:rPr>
            </w:pPr>
            <w:r>
              <w:rPr>
                <w:rFonts w:hint="eastAsia"/>
                <w:b/>
                <w:bCs/>
                <w:sz w:val="21"/>
                <w:szCs w:val="21"/>
                <w:highlight w:val="none"/>
                <w:lang w:eastAsia="zh-CN" w:bidi="ar"/>
              </w:rPr>
              <w:t>（核心产品）</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ACB0">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76D1F">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台</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6CD8">
            <w:pPr>
              <w:jc w:val="left"/>
              <w:rPr>
                <w:rFonts w:hint="eastAsia"/>
                <w:sz w:val="24"/>
                <w:szCs w:val="24"/>
                <w:highlight w:val="none"/>
                <w:lang w:val="en-US" w:eastAsia="zh-CN" w:bidi="ar"/>
              </w:rPr>
            </w:pPr>
            <w:r>
              <w:rPr>
                <w:rFonts w:hint="eastAsia"/>
                <w:sz w:val="24"/>
                <w:szCs w:val="24"/>
                <w:highlight w:val="none"/>
                <w:lang w:val="en-US" w:eastAsia="zh-CN" w:bidi="ar"/>
              </w:rPr>
              <w:t>1.外形尺寸、举升高度、额定负载：根据现场来定</w:t>
            </w:r>
            <w:r>
              <w:rPr>
                <w:rFonts w:hint="eastAsia"/>
                <w:sz w:val="24"/>
                <w:szCs w:val="24"/>
                <w:highlight w:val="none"/>
                <w:lang w:val="en-US" w:eastAsia="zh-CN" w:bidi="ar"/>
              </w:rPr>
              <w:br w:type="textWrapping"/>
            </w:r>
            <w:r>
              <w:rPr>
                <w:rFonts w:hint="eastAsia"/>
                <w:sz w:val="24"/>
                <w:szCs w:val="24"/>
                <w:highlight w:val="none"/>
                <w:lang w:val="en-US" w:eastAsia="zh-CN" w:bidi="ar"/>
              </w:rPr>
              <w:t>2.举升类型：电动</w:t>
            </w:r>
            <w:r>
              <w:rPr>
                <w:rFonts w:hint="eastAsia"/>
                <w:sz w:val="24"/>
                <w:szCs w:val="24"/>
                <w:highlight w:val="none"/>
                <w:lang w:val="en-US" w:eastAsia="zh-CN" w:bidi="ar"/>
              </w:rPr>
              <w:br w:type="textWrapping"/>
            </w:r>
            <w:r>
              <w:rPr>
                <w:rFonts w:hint="eastAsia"/>
                <w:sz w:val="24"/>
                <w:szCs w:val="24"/>
                <w:highlight w:val="none"/>
                <w:lang w:val="en-US" w:eastAsia="zh-CN" w:bidi="ar"/>
              </w:rPr>
              <w:t>3.导航方式：二维码导航</w:t>
            </w:r>
            <w:r>
              <w:rPr>
                <w:rFonts w:hint="eastAsia"/>
                <w:sz w:val="24"/>
                <w:szCs w:val="24"/>
                <w:highlight w:val="none"/>
                <w:lang w:val="en-US" w:eastAsia="zh-CN" w:bidi="ar"/>
              </w:rPr>
              <w:br w:type="textWrapping"/>
            </w:r>
            <w:r>
              <w:rPr>
                <w:rFonts w:hint="eastAsia"/>
                <w:sz w:val="24"/>
                <w:szCs w:val="24"/>
                <w:highlight w:val="none"/>
                <w:lang w:val="en-US" w:eastAsia="zh-CN" w:bidi="ar"/>
              </w:rPr>
              <w:t>4.人机交互方式：触控屏</w:t>
            </w:r>
            <w:r>
              <w:rPr>
                <w:rFonts w:hint="eastAsia"/>
                <w:sz w:val="24"/>
                <w:szCs w:val="24"/>
                <w:highlight w:val="none"/>
                <w:lang w:val="en-US" w:eastAsia="zh-CN" w:bidi="ar"/>
              </w:rPr>
              <w:br w:type="textWrapping"/>
            </w:r>
            <w:r>
              <w:rPr>
                <w:rFonts w:hint="eastAsia"/>
                <w:sz w:val="24"/>
                <w:szCs w:val="24"/>
                <w:highlight w:val="none"/>
                <w:lang w:val="en-US" w:eastAsia="zh-CN" w:bidi="ar"/>
              </w:rPr>
              <w:t>5.满充后续航时间：＞3h，充放电循环次数＞1500次</w:t>
            </w:r>
          </w:p>
          <w:p w14:paraId="39D2B99B">
            <w:pPr>
              <w:jc w:val="left"/>
              <w:rPr>
                <w:rFonts w:hint="eastAsia"/>
                <w:sz w:val="24"/>
                <w:szCs w:val="24"/>
                <w:highlight w:val="none"/>
                <w:lang w:val="en-US" w:eastAsia="zh-CN" w:bidi="ar"/>
              </w:rPr>
            </w:pPr>
            <w:r>
              <w:rPr>
                <w:rFonts w:hint="eastAsia"/>
                <w:sz w:val="24"/>
                <w:szCs w:val="24"/>
                <w:highlight w:val="none"/>
                <w:lang w:val="en-US" w:eastAsia="zh-CN" w:bidi="ar"/>
              </w:rPr>
              <w:t xml:space="preserve">6.导航方式：二维码导航； </w:t>
            </w:r>
            <w:r>
              <w:rPr>
                <w:rFonts w:hint="eastAsia"/>
                <w:sz w:val="24"/>
                <w:szCs w:val="24"/>
                <w:highlight w:val="none"/>
                <w:lang w:val="en-US" w:eastAsia="zh-CN" w:bidi="ar"/>
              </w:rPr>
              <w:br w:type="textWrapping"/>
            </w:r>
            <w:r>
              <w:rPr>
                <w:rFonts w:hint="eastAsia"/>
                <w:sz w:val="24"/>
                <w:szCs w:val="24"/>
                <w:highlight w:val="none"/>
                <w:lang w:val="en-US" w:eastAsia="zh-CN" w:bidi="ar"/>
              </w:rPr>
              <w:t>7.人机交互方式：触控屏</w:t>
            </w:r>
          </w:p>
          <w:p w14:paraId="3A6A66FD">
            <w:pPr>
              <w:jc w:val="left"/>
              <w:rPr>
                <w:rFonts w:hint="eastAsia"/>
                <w:sz w:val="24"/>
                <w:szCs w:val="24"/>
                <w:highlight w:val="none"/>
                <w:lang w:val="en-US" w:eastAsia="zh-CN" w:bidi="ar"/>
              </w:rPr>
            </w:pPr>
            <w:r>
              <w:rPr>
                <w:rFonts w:hint="eastAsia"/>
                <w:sz w:val="24"/>
                <w:szCs w:val="24"/>
                <w:highlight w:val="none"/>
                <w:lang w:val="en-US" w:eastAsia="zh-CN" w:bidi="ar"/>
              </w:rPr>
              <w:t>8.定位角度精度：±1°</w:t>
            </w:r>
            <w:r>
              <w:rPr>
                <w:rFonts w:hint="eastAsia"/>
                <w:sz w:val="24"/>
                <w:szCs w:val="24"/>
                <w:highlight w:val="none"/>
                <w:lang w:val="en-US" w:eastAsia="zh-CN" w:bidi="ar"/>
              </w:rPr>
              <w:br w:type="textWrapping"/>
            </w:r>
            <w:r>
              <w:rPr>
                <w:rFonts w:hint="eastAsia"/>
                <w:sz w:val="24"/>
                <w:szCs w:val="24"/>
                <w:highlight w:val="none"/>
                <w:lang w:val="en-US" w:eastAsia="zh-CN" w:bidi="ar"/>
              </w:rPr>
              <w:t>9.定位精度：±10mm</w:t>
            </w:r>
          </w:p>
          <w:p w14:paraId="4BF9E638">
            <w:pPr>
              <w:jc w:val="left"/>
              <w:rPr>
                <w:rFonts w:hint="eastAsia"/>
                <w:sz w:val="24"/>
                <w:szCs w:val="24"/>
                <w:highlight w:val="none"/>
                <w:lang w:val="en-US" w:eastAsia="zh-CN" w:bidi="ar"/>
              </w:rPr>
            </w:pPr>
            <w:r>
              <w:rPr>
                <w:rFonts w:hint="eastAsia"/>
                <w:sz w:val="24"/>
                <w:szCs w:val="24"/>
                <w:highlight w:val="none"/>
                <w:lang w:val="en-US" w:eastAsia="zh-CN" w:bidi="ar"/>
              </w:rPr>
              <w:t>10.负载：≥500kg</w:t>
            </w:r>
          </w:p>
        </w:tc>
      </w:tr>
      <w:tr w14:paraId="0CAF7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7A2A6">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2</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FD3C6">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充电站</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AC01">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DA358">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台</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C830">
            <w:pPr>
              <w:jc w:val="left"/>
              <w:rPr>
                <w:rFonts w:hint="eastAsia"/>
                <w:sz w:val="24"/>
                <w:szCs w:val="24"/>
                <w:highlight w:val="none"/>
                <w:lang w:val="en-US" w:eastAsia="zh-CN" w:bidi="ar"/>
              </w:rPr>
            </w:pPr>
            <w:r>
              <w:rPr>
                <w:rFonts w:hint="eastAsia"/>
                <w:sz w:val="24"/>
                <w:szCs w:val="24"/>
                <w:highlight w:val="none"/>
                <w:lang w:val="en-US" w:eastAsia="zh-CN" w:bidi="ar"/>
              </w:rPr>
              <w:t>1.输入电压：220V，输入电流≤16A</w:t>
            </w:r>
            <w:r>
              <w:rPr>
                <w:rFonts w:hint="eastAsia"/>
                <w:sz w:val="24"/>
                <w:szCs w:val="24"/>
                <w:highlight w:val="none"/>
                <w:lang w:val="en-US" w:eastAsia="zh-CN" w:bidi="ar"/>
              </w:rPr>
              <w:br w:type="textWrapping"/>
            </w:r>
            <w:r>
              <w:rPr>
                <w:rFonts w:hint="eastAsia"/>
                <w:sz w:val="24"/>
                <w:szCs w:val="24"/>
                <w:highlight w:val="none"/>
                <w:lang w:val="en-US" w:eastAsia="zh-CN" w:bidi="ar"/>
              </w:rPr>
              <w:t>2.人机交互：触控屏，可显示充电电压、电流、工作状态、告警信息等</w:t>
            </w:r>
            <w:r>
              <w:rPr>
                <w:rFonts w:hint="eastAsia"/>
                <w:sz w:val="24"/>
                <w:szCs w:val="24"/>
                <w:highlight w:val="none"/>
                <w:lang w:val="en-US" w:eastAsia="zh-CN" w:bidi="ar"/>
              </w:rPr>
              <w:br w:type="textWrapping"/>
            </w:r>
            <w:r>
              <w:rPr>
                <w:rFonts w:hint="eastAsia"/>
                <w:sz w:val="24"/>
                <w:szCs w:val="24"/>
                <w:highlight w:val="none"/>
                <w:lang w:val="en-US" w:eastAsia="zh-CN" w:bidi="ar"/>
              </w:rPr>
              <w:t>3.通信功能：支持至少一种通信方式，如 WIFI、蓝牙或有线通信</w:t>
            </w:r>
            <w:r>
              <w:rPr>
                <w:rFonts w:hint="eastAsia"/>
                <w:sz w:val="24"/>
                <w:szCs w:val="24"/>
                <w:highlight w:val="none"/>
                <w:lang w:val="en-US" w:eastAsia="zh-CN" w:bidi="ar"/>
              </w:rPr>
              <w:br w:type="textWrapping"/>
            </w:r>
            <w:r>
              <w:rPr>
                <w:rFonts w:hint="eastAsia"/>
                <w:sz w:val="24"/>
                <w:szCs w:val="24"/>
                <w:highlight w:val="none"/>
                <w:lang w:val="en-US" w:eastAsia="zh-CN" w:bidi="ar"/>
              </w:rPr>
              <w:t>4.充电模式：手动充电、自动充电</w:t>
            </w:r>
            <w:r>
              <w:rPr>
                <w:rFonts w:hint="eastAsia"/>
                <w:sz w:val="24"/>
                <w:szCs w:val="24"/>
                <w:highlight w:val="none"/>
                <w:lang w:val="en-US" w:eastAsia="zh-CN" w:bidi="ar"/>
              </w:rPr>
              <w:br w:type="textWrapping"/>
            </w:r>
            <w:r>
              <w:rPr>
                <w:rFonts w:hint="eastAsia"/>
                <w:sz w:val="24"/>
                <w:szCs w:val="24"/>
                <w:highlight w:val="none"/>
                <w:lang w:val="en-US" w:eastAsia="zh-CN" w:bidi="ar"/>
              </w:rPr>
              <w:t>5.安全性能：输入过压保护、输入欠压保护、输出过压保护、输出过流保护、短路保护、过温保护</w:t>
            </w:r>
          </w:p>
        </w:tc>
      </w:tr>
      <w:tr w14:paraId="6F2CE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07175">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3</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75225">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货架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13E3">
            <w:pPr>
              <w:jc w:val="center"/>
              <w:rPr>
                <w:rFonts w:hint="default"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30</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93D20">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个</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9E06">
            <w:pPr>
              <w:jc w:val="left"/>
              <w:rPr>
                <w:rFonts w:hint="eastAsia"/>
                <w:sz w:val="24"/>
                <w:szCs w:val="24"/>
                <w:highlight w:val="none"/>
                <w:lang w:val="en-US" w:eastAsia="zh-CN" w:bidi="ar"/>
              </w:rPr>
            </w:pPr>
            <w:r>
              <w:rPr>
                <w:rFonts w:hint="eastAsia"/>
                <w:sz w:val="24"/>
                <w:szCs w:val="24"/>
                <w:highlight w:val="none"/>
                <w:lang w:val="en-US" w:eastAsia="zh-CN" w:bidi="ar"/>
              </w:rPr>
              <w:t>1.外形尺寸：适配现场机器人</w:t>
            </w:r>
            <w:r>
              <w:rPr>
                <w:rFonts w:hint="eastAsia"/>
                <w:sz w:val="24"/>
                <w:szCs w:val="24"/>
                <w:highlight w:val="none"/>
                <w:lang w:val="en-US" w:eastAsia="zh-CN" w:bidi="ar"/>
              </w:rPr>
              <w:br w:type="textWrapping"/>
            </w:r>
            <w:r>
              <w:rPr>
                <w:rFonts w:hint="eastAsia"/>
                <w:sz w:val="24"/>
                <w:szCs w:val="24"/>
                <w:highlight w:val="none"/>
                <w:lang w:val="en-US" w:eastAsia="zh-CN" w:bidi="ar"/>
              </w:rPr>
              <w:t>2.货架材质：钢制</w:t>
            </w:r>
            <w:r>
              <w:rPr>
                <w:rFonts w:hint="eastAsia"/>
                <w:sz w:val="24"/>
                <w:szCs w:val="24"/>
                <w:highlight w:val="none"/>
                <w:lang w:val="en-US" w:eastAsia="zh-CN" w:bidi="ar"/>
              </w:rPr>
              <w:br w:type="textWrapping"/>
            </w:r>
            <w:r>
              <w:rPr>
                <w:rFonts w:hint="eastAsia"/>
                <w:sz w:val="24"/>
                <w:szCs w:val="24"/>
                <w:highlight w:val="none"/>
                <w:lang w:val="en-US" w:eastAsia="zh-CN" w:bidi="ar"/>
              </w:rPr>
              <w:t>3.货架层数：根据现场来定</w:t>
            </w:r>
            <w:r>
              <w:rPr>
                <w:rFonts w:hint="eastAsia"/>
                <w:sz w:val="24"/>
                <w:szCs w:val="24"/>
                <w:highlight w:val="none"/>
                <w:lang w:val="en-US" w:eastAsia="zh-CN" w:bidi="ar"/>
              </w:rPr>
              <w:br w:type="textWrapping"/>
            </w:r>
            <w:r>
              <w:rPr>
                <w:rFonts w:hint="eastAsia"/>
                <w:sz w:val="24"/>
                <w:szCs w:val="24"/>
                <w:highlight w:val="none"/>
                <w:lang w:val="en-US" w:eastAsia="zh-CN" w:bidi="ar"/>
              </w:rPr>
              <w:t>4.货架颜色：可根据采购人要求调整</w:t>
            </w:r>
          </w:p>
        </w:tc>
      </w:tr>
      <w:tr w14:paraId="5EF1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DE1C2">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4</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CFEDA">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拣选辅料</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D73E">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1A0A5">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套</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8DFC">
            <w:pPr>
              <w:jc w:val="left"/>
              <w:rPr>
                <w:rFonts w:hint="eastAsia"/>
                <w:sz w:val="24"/>
                <w:szCs w:val="24"/>
                <w:highlight w:val="none"/>
                <w:lang w:val="en-US" w:eastAsia="zh-CN" w:bidi="ar"/>
              </w:rPr>
            </w:pPr>
            <w:r>
              <w:rPr>
                <w:rFonts w:hint="eastAsia"/>
                <w:sz w:val="24"/>
                <w:szCs w:val="24"/>
                <w:highlight w:val="none"/>
                <w:lang w:val="en-US" w:eastAsia="zh-CN" w:bidi="ar"/>
              </w:rPr>
              <w:t>1.货架纸盒：BC瓦楞纸材质，不少于五层，尺寸可根据货架尺寸定制调节</w:t>
            </w:r>
            <w:r>
              <w:rPr>
                <w:rFonts w:hint="eastAsia"/>
                <w:sz w:val="24"/>
                <w:szCs w:val="24"/>
                <w:highlight w:val="none"/>
                <w:lang w:val="en-US" w:eastAsia="zh-CN" w:bidi="ar"/>
              </w:rPr>
              <w:br w:type="textWrapping"/>
            </w:r>
            <w:r>
              <w:rPr>
                <w:rFonts w:hint="eastAsia"/>
                <w:sz w:val="24"/>
                <w:szCs w:val="24"/>
                <w:highlight w:val="none"/>
                <w:lang w:val="en-US" w:eastAsia="zh-CN" w:bidi="ar"/>
              </w:rPr>
              <w:t>2.二维码：机器人及货架导航标识</w:t>
            </w:r>
          </w:p>
        </w:tc>
      </w:tr>
      <w:tr w14:paraId="028B0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FCBDB">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5</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053E3">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播种墙</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B29A">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A2DF6">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个</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5D64">
            <w:pPr>
              <w:jc w:val="left"/>
              <w:rPr>
                <w:rFonts w:hint="eastAsia"/>
                <w:sz w:val="24"/>
                <w:szCs w:val="24"/>
                <w:highlight w:val="none"/>
                <w:lang w:val="en-US" w:eastAsia="zh-CN" w:bidi="ar"/>
              </w:rPr>
            </w:pPr>
            <w:r>
              <w:rPr>
                <w:rFonts w:hint="eastAsia"/>
                <w:sz w:val="24"/>
                <w:szCs w:val="24"/>
                <w:highlight w:val="none"/>
                <w:lang w:val="en-US" w:eastAsia="zh-CN" w:bidi="ar"/>
              </w:rPr>
              <w:t>1.货位容量：根据实际使用场景和需求，至少12个位</w:t>
            </w:r>
            <w:r>
              <w:rPr>
                <w:rFonts w:hint="eastAsia"/>
                <w:sz w:val="24"/>
                <w:szCs w:val="24"/>
                <w:highlight w:val="none"/>
                <w:lang w:val="en-US" w:eastAsia="zh-CN" w:bidi="ar"/>
              </w:rPr>
              <w:br w:type="textWrapping"/>
            </w:r>
            <w:r>
              <w:rPr>
                <w:rFonts w:hint="eastAsia"/>
                <w:sz w:val="24"/>
                <w:szCs w:val="24"/>
                <w:highlight w:val="none"/>
                <w:lang w:val="en-US" w:eastAsia="zh-CN" w:bidi="ar"/>
              </w:rPr>
              <w:t>2.材质：钢制</w:t>
            </w:r>
            <w:r>
              <w:rPr>
                <w:rFonts w:hint="eastAsia"/>
                <w:sz w:val="24"/>
                <w:szCs w:val="24"/>
                <w:highlight w:val="none"/>
                <w:lang w:val="en-US" w:eastAsia="zh-CN" w:bidi="ar"/>
              </w:rPr>
              <w:br w:type="textWrapping"/>
            </w:r>
            <w:r>
              <w:rPr>
                <w:rFonts w:hint="eastAsia"/>
                <w:sz w:val="24"/>
                <w:szCs w:val="24"/>
                <w:highlight w:val="none"/>
                <w:lang w:val="en-US" w:eastAsia="zh-CN" w:bidi="ar"/>
              </w:rPr>
              <w:t>3.信息交互与处理：与WMS进行实时数据交互</w:t>
            </w:r>
            <w:r>
              <w:rPr>
                <w:rFonts w:hint="eastAsia"/>
                <w:sz w:val="24"/>
                <w:szCs w:val="24"/>
                <w:highlight w:val="none"/>
                <w:lang w:val="en-US" w:eastAsia="zh-CN" w:bidi="ar"/>
              </w:rPr>
              <w:br w:type="textWrapping"/>
            </w:r>
            <w:r>
              <w:rPr>
                <w:rFonts w:hint="eastAsia"/>
                <w:sz w:val="24"/>
                <w:szCs w:val="24"/>
                <w:highlight w:val="none"/>
                <w:lang w:val="en-US" w:eastAsia="zh-CN" w:bidi="ar"/>
              </w:rPr>
              <w:t>4.总线控制器：用于电子标签供电、通信，电压：220V。</w:t>
            </w:r>
          </w:p>
        </w:tc>
      </w:tr>
      <w:tr w14:paraId="52B06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80FBB">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6</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48033">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拣选机器人工作站</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90CB">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1CB8F">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套</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F56C">
            <w:pPr>
              <w:jc w:val="left"/>
              <w:rPr>
                <w:rFonts w:hint="eastAsia"/>
                <w:sz w:val="24"/>
                <w:szCs w:val="24"/>
                <w:highlight w:val="none"/>
                <w:lang w:val="en-US" w:eastAsia="zh-CN" w:bidi="ar"/>
              </w:rPr>
            </w:pPr>
            <w:r>
              <w:rPr>
                <w:rFonts w:hint="eastAsia"/>
                <w:sz w:val="24"/>
                <w:szCs w:val="24"/>
                <w:highlight w:val="none"/>
                <w:lang w:val="en-US" w:eastAsia="zh-CN" w:bidi="ar"/>
              </w:rPr>
              <w:t>1.硬件配置：采用≥Windows10系统、Inteli7处理器、32G内存、21英寸触屏、硬盘（1T、M2固态）+2T机械硬盘</w:t>
            </w:r>
            <w:r>
              <w:rPr>
                <w:rFonts w:hint="eastAsia"/>
                <w:sz w:val="24"/>
                <w:szCs w:val="24"/>
                <w:highlight w:val="none"/>
                <w:lang w:val="en-US" w:eastAsia="zh-CN" w:bidi="ar"/>
              </w:rPr>
              <w:br w:type="textWrapping"/>
            </w:r>
            <w:r>
              <w:rPr>
                <w:rFonts w:hint="eastAsia"/>
                <w:sz w:val="24"/>
                <w:szCs w:val="24"/>
                <w:highlight w:val="none"/>
                <w:lang w:val="en-US" w:eastAsia="zh-CN" w:bidi="ar"/>
              </w:rPr>
              <w:t>2.通信网络方面，集成多种接口，支持以太网、双频 Wi-Fi和蓝牙</w:t>
            </w:r>
            <w:r>
              <w:rPr>
                <w:rFonts w:hint="eastAsia"/>
                <w:sz w:val="24"/>
                <w:szCs w:val="24"/>
                <w:highlight w:val="none"/>
                <w:lang w:val="en-US" w:eastAsia="zh-CN" w:bidi="ar"/>
              </w:rPr>
              <w:br w:type="textWrapping"/>
            </w:r>
            <w:r>
              <w:rPr>
                <w:rFonts w:hint="eastAsia"/>
                <w:sz w:val="24"/>
                <w:szCs w:val="24"/>
                <w:highlight w:val="none"/>
                <w:lang w:val="en-US" w:eastAsia="zh-CN" w:bidi="ar"/>
              </w:rPr>
              <w:t>3.数据处理管理时，1秒内完成单个任务规划指令</w:t>
            </w:r>
            <w:r>
              <w:rPr>
                <w:rFonts w:hint="eastAsia"/>
                <w:sz w:val="24"/>
                <w:szCs w:val="24"/>
                <w:highlight w:val="none"/>
                <w:lang w:val="en-US" w:eastAsia="zh-CN" w:bidi="ar"/>
              </w:rPr>
              <w:br w:type="textWrapping"/>
            </w:r>
            <w:r>
              <w:rPr>
                <w:rFonts w:hint="eastAsia"/>
                <w:sz w:val="24"/>
                <w:szCs w:val="24"/>
                <w:highlight w:val="none"/>
                <w:lang w:val="en-US" w:eastAsia="zh-CN" w:bidi="ar"/>
              </w:rPr>
              <w:t>4.控制调度过程中，智能算法优化任务分配</w:t>
            </w:r>
            <w:r>
              <w:rPr>
                <w:rFonts w:hint="eastAsia"/>
                <w:sz w:val="24"/>
                <w:szCs w:val="24"/>
                <w:highlight w:val="none"/>
                <w:lang w:val="en-US" w:eastAsia="zh-CN" w:bidi="ar"/>
              </w:rPr>
              <w:br w:type="textWrapping"/>
            </w:r>
            <w:r>
              <w:rPr>
                <w:rFonts w:hint="eastAsia"/>
                <w:sz w:val="24"/>
                <w:szCs w:val="24"/>
                <w:highlight w:val="none"/>
                <w:lang w:val="en-US" w:eastAsia="zh-CN" w:bidi="ar"/>
              </w:rPr>
              <w:t>5.安全防护标准下，配备急停等装置，0.5秒内急停响应</w:t>
            </w:r>
          </w:p>
        </w:tc>
      </w:tr>
      <w:tr w14:paraId="5DF2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DA4BC">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7</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B3E13">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防疲劳垫</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D510">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01C27">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个</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25A1">
            <w:pPr>
              <w:jc w:val="left"/>
              <w:rPr>
                <w:rFonts w:hint="eastAsia"/>
                <w:sz w:val="24"/>
                <w:szCs w:val="24"/>
                <w:highlight w:val="none"/>
                <w:lang w:val="en-US" w:eastAsia="zh-CN" w:bidi="ar"/>
              </w:rPr>
            </w:pPr>
            <w:r>
              <w:rPr>
                <w:rFonts w:hint="eastAsia"/>
                <w:sz w:val="24"/>
                <w:szCs w:val="24"/>
                <w:highlight w:val="none"/>
                <w:lang w:val="en-US" w:eastAsia="zh-CN" w:bidi="ar"/>
              </w:rPr>
              <w:t>1.外形尺寸：根据现场需求</w:t>
            </w:r>
            <w:r>
              <w:rPr>
                <w:rFonts w:hint="eastAsia"/>
                <w:sz w:val="24"/>
                <w:szCs w:val="24"/>
                <w:highlight w:val="none"/>
                <w:lang w:val="en-US" w:eastAsia="zh-CN" w:bidi="ar"/>
              </w:rPr>
              <w:br w:type="textWrapping"/>
            </w:r>
            <w:r>
              <w:rPr>
                <w:rFonts w:hint="eastAsia"/>
                <w:sz w:val="24"/>
                <w:szCs w:val="24"/>
                <w:highlight w:val="none"/>
                <w:lang w:val="en-US" w:eastAsia="zh-CN" w:bidi="ar"/>
              </w:rPr>
              <w:t>2.材质：PVC（聚氯乙烯）</w:t>
            </w:r>
          </w:p>
        </w:tc>
      </w:tr>
      <w:tr w14:paraId="24CE9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39FDA">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8</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DC4BC">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条码打印机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EC82">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55CBD">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台</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810A">
            <w:pPr>
              <w:jc w:val="left"/>
              <w:rPr>
                <w:rFonts w:hint="eastAsia"/>
                <w:sz w:val="24"/>
                <w:szCs w:val="24"/>
                <w:highlight w:val="none"/>
                <w:lang w:val="en-US" w:eastAsia="zh-CN" w:bidi="ar"/>
              </w:rPr>
            </w:pPr>
            <w:r>
              <w:rPr>
                <w:rFonts w:hint="eastAsia"/>
                <w:sz w:val="24"/>
                <w:szCs w:val="24"/>
                <w:highlight w:val="none"/>
                <w:lang w:val="en-US" w:eastAsia="zh-CN" w:bidi="ar"/>
              </w:rPr>
              <w:t>1.打印速度：不低于127MM/S</w:t>
            </w:r>
            <w:r>
              <w:rPr>
                <w:rFonts w:hint="eastAsia"/>
                <w:sz w:val="24"/>
                <w:szCs w:val="24"/>
                <w:highlight w:val="none"/>
                <w:lang w:val="en-US" w:eastAsia="zh-CN" w:bidi="ar"/>
              </w:rPr>
              <w:br w:type="textWrapping"/>
            </w:r>
            <w:r>
              <w:rPr>
                <w:rFonts w:hint="eastAsia"/>
                <w:sz w:val="24"/>
                <w:szCs w:val="24"/>
                <w:highlight w:val="none"/>
                <w:lang w:val="en-US" w:eastAsia="zh-CN" w:bidi="ar"/>
              </w:rPr>
              <w:t>2.打印宽度：不低于100mm</w:t>
            </w:r>
            <w:r>
              <w:rPr>
                <w:rFonts w:hint="eastAsia"/>
                <w:sz w:val="24"/>
                <w:szCs w:val="24"/>
                <w:highlight w:val="none"/>
                <w:lang w:val="en-US" w:eastAsia="zh-CN" w:bidi="ar"/>
              </w:rPr>
              <w:br w:type="textWrapping"/>
            </w:r>
            <w:r>
              <w:rPr>
                <w:rFonts w:hint="eastAsia"/>
                <w:sz w:val="24"/>
                <w:szCs w:val="24"/>
                <w:highlight w:val="none"/>
                <w:lang w:val="en-US" w:eastAsia="zh-CN" w:bidi="ar"/>
              </w:rPr>
              <w:t>3.打印方式：热转印</w:t>
            </w:r>
            <w:r>
              <w:rPr>
                <w:rFonts w:hint="eastAsia"/>
                <w:sz w:val="24"/>
                <w:szCs w:val="24"/>
                <w:highlight w:val="none"/>
                <w:lang w:val="en-US" w:eastAsia="zh-CN" w:bidi="ar"/>
              </w:rPr>
              <w:br w:type="textWrapping"/>
            </w:r>
            <w:r>
              <w:rPr>
                <w:rFonts w:hint="eastAsia"/>
                <w:sz w:val="24"/>
                <w:szCs w:val="24"/>
                <w:highlight w:val="none"/>
                <w:lang w:val="en-US" w:eastAsia="zh-CN" w:bidi="ar"/>
              </w:rPr>
              <w:t>4.分辨率：不低于200DPI</w:t>
            </w:r>
            <w:r>
              <w:rPr>
                <w:rFonts w:hint="eastAsia"/>
                <w:sz w:val="24"/>
                <w:szCs w:val="24"/>
                <w:highlight w:val="none"/>
                <w:lang w:val="en-US" w:eastAsia="zh-CN" w:bidi="ar"/>
              </w:rPr>
              <w:br w:type="textWrapping"/>
            </w:r>
            <w:r>
              <w:rPr>
                <w:rFonts w:hint="eastAsia"/>
                <w:sz w:val="24"/>
                <w:szCs w:val="24"/>
                <w:highlight w:val="none"/>
                <w:lang w:val="en-US" w:eastAsia="zh-CN" w:bidi="ar"/>
              </w:rPr>
              <w:t>5.通讯方式：USB2.0</w:t>
            </w:r>
            <w:r>
              <w:rPr>
                <w:rFonts w:hint="eastAsia"/>
                <w:sz w:val="24"/>
                <w:szCs w:val="24"/>
                <w:highlight w:val="none"/>
                <w:lang w:val="en-US" w:eastAsia="zh-CN" w:bidi="ar"/>
              </w:rPr>
              <w:br w:type="textWrapping"/>
            </w:r>
            <w:r>
              <w:rPr>
                <w:rFonts w:hint="eastAsia"/>
                <w:sz w:val="24"/>
                <w:szCs w:val="24"/>
                <w:highlight w:val="none"/>
                <w:lang w:val="en-US" w:eastAsia="zh-CN" w:bidi="ar"/>
              </w:rPr>
              <w:t>6.配带色带、条码纸</w:t>
            </w:r>
          </w:p>
        </w:tc>
      </w:tr>
      <w:tr w14:paraId="368A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C2DFA">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9</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EDE5E">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无线扫码枪</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CC13">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D2213">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台</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BCD1">
            <w:pPr>
              <w:jc w:val="left"/>
              <w:rPr>
                <w:rFonts w:hint="eastAsia"/>
                <w:sz w:val="24"/>
                <w:szCs w:val="24"/>
                <w:highlight w:val="none"/>
                <w:lang w:val="en-US" w:eastAsia="zh-CN" w:bidi="ar"/>
              </w:rPr>
            </w:pPr>
            <w:r>
              <w:rPr>
                <w:rFonts w:hint="eastAsia"/>
                <w:sz w:val="24"/>
                <w:szCs w:val="24"/>
                <w:highlight w:val="none"/>
                <w:lang w:val="en-US" w:eastAsia="zh-CN" w:bidi="ar"/>
              </w:rPr>
              <w:t>1.扫码性能：二维码等多种码制扫描</w:t>
            </w:r>
            <w:r>
              <w:rPr>
                <w:rFonts w:hint="eastAsia"/>
                <w:sz w:val="24"/>
                <w:szCs w:val="24"/>
                <w:highlight w:val="none"/>
                <w:lang w:val="en-US" w:eastAsia="zh-CN" w:bidi="ar"/>
              </w:rPr>
              <w:br w:type="textWrapping"/>
            </w:r>
            <w:r>
              <w:rPr>
                <w:rFonts w:hint="eastAsia"/>
                <w:sz w:val="24"/>
                <w:szCs w:val="24"/>
                <w:highlight w:val="none"/>
                <w:lang w:val="en-US" w:eastAsia="zh-CN" w:bidi="ar"/>
              </w:rPr>
              <w:t>2.无线传输：内置 Wi-Fi</w:t>
            </w:r>
            <w:r>
              <w:rPr>
                <w:rFonts w:hint="eastAsia"/>
                <w:sz w:val="24"/>
                <w:szCs w:val="24"/>
                <w:highlight w:val="none"/>
                <w:lang w:val="en-US" w:eastAsia="zh-CN" w:bidi="ar"/>
              </w:rPr>
              <w:br w:type="textWrapping"/>
            </w:r>
            <w:r>
              <w:rPr>
                <w:rFonts w:hint="eastAsia"/>
                <w:sz w:val="24"/>
                <w:szCs w:val="24"/>
                <w:highlight w:val="none"/>
                <w:lang w:val="en-US" w:eastAsia="zh-CN" w:bidi="ar"/>
              </w:rPr>
              <w:t>3.续航能力：满电状态下可连续工作 8 小时以上</w:t>
            </w:r>
            <w:r>
              <w:rPr>
                <w:rFonts w:hint="eastAsia"/>
                <w:sz w:val="24"/>
                <w:szCs w:val="24"/>
                <w:highlight w:val="none"/>
                <w:lang w:val="en-US" w:eastAsia="zh-CN" w:bidi="ar"/>
              </w:rPr>
              <w:br w:type="textWrapping"/>
            </w:r>
            <w:r>
              <w:rPr>
                <w:rFonts w:hint="eastAsia"/>
                <w:sz w:val="24"/>
                <w:szCs w:val="24"/>
                <w:highlight w:val="none"/>
                <w:lang w:val="en-US" w:eastAsia="zh-CN" w:bidi="ar"/>
              </w:rPr>
              <w:t>4.分辨率：≥5mil</w:t>
            </w:r>
          </w:p>
        </w:tc>
      </w:tr>
      <w:tr w14:paraId="64A73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4"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67EB1">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10</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76359">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固定扫描枪</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E5EC">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620D5">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台</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8DB7">
            <w:pPr>
              <w:jc w:val="left"/>
              <w:rPr>
                <w:rFonts w:hint="eastAsia"/>
                <w:sz w:val="24"/>
                <w:szCs w:val="24"/>
                <w:highlight w:val="none"/>
                <w:lang w:val="en-US" w:eastAsia="zh-CN" w:bidi="ar"/>
              </w:rPr>
            </w:pPr>
            <w:r>
              <w:rPr>
                <w:rFonts w:hint="eastAsia"/>
                <w:sz w:val="24"/>
                <w:szCs w:val="24"/>
                <w:highlight w:val="none"/>
                <w:lang w:val="en-US" w:eastAsia="zh-CN" w:bidi="ar"/>
              </w:rPr>
              <w:t>1.扫描性能：支持全向扫描，二维码多码制识别</w:t>
            </w:r>
            <w:r>
              <w:rPr>
                <w:rFonts w:hint="eastAsia"/>
                <w:sz w:val="24"/>
                <w:szCs w:val="24"/>
                <w:highlight w:val="none"/>
                <w:lang w:val="en-US" w:eastAsia="zh-CN" w:bidi="ar"/>
              </w:rPr>
              <w:br w:type="textWrapping"/>
            </w:r>
            <w:r>
              <w:rPr>
                <w:rFonts w:hint="eastAsia"/>
                <w:sz w:val="24"/>
                <w:szCs w:val="24"/>
                <w:highlight w:val="none"/>
                <w:lang w:val="en-US" w:eastAsia="zh-CN" w:bidi="ar"/>
              </w:rPr>
              <w:t>2.安装与调节：全向多线</w:t>
            </w:r>
            <w:r>
              <w:rPr>
                <w:rFonts w:hint="eastAsia"/>
                <w:sz w:val="24"/>
                <w:szCs w:val="24"/>
                <w:highlight w:val="none"/>
                <w:lang w:val="en-US" w:eastAsia="zh-CN" w:bidi="ar"/>
              </w:rPr>
              <w:br w:type="textWrapping"/>
            </w:r>
            <w:r>
              <w:rPr>
                <w:rFonts w:hint="eastAsia"/>
                <w:sz w:val="24"/>
                <w:szCs w:val="24"/>
                <w:highlight w:val="none"/>
                <w:lang w:val="en-US" w:eastAsia="zh-CN" w:bidi="ar"/>
              </w:rPr>
              <w:t>3.性能参数：扫描速度≥500次/秒，解码时间≤100ms</w:t>
            </w:r>
            <w:r>
              <w:rPr>
                <w:rFonts w:hint="eastAsia"/>
                <w:sz w:val="24"/>
                <w:szCs w:val="24"/>
                <w:highlight w:val="none"/>
                <w:lang w:val="en-US" w:eastAsia="zh-CN" w:bidi="ar"/>
              </w:rPr>
              <w:br w:type="textWrapping"/>
            </w:r>
            <w:r>
              <w:rPr>
                <w:rFonts w:hint="eastAsia"/>
                <w:sz w:val="24"/>
                <w:szCs w:val="24"/>
                <w:highlight w:val="none"/>
                <w:lang w:val="en-US" w:eastAsia="zh-CN" w:bidi="ar"/>
              </w:rPr>
              <w:t>4.系统接口：PC键盘口，RS232串口，USB</w:t>
            </w:r>
          </w:p>
        </w:tc>
      </w:tr>
      <w:tr w14:paraId="541A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E8A3A">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11</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BC34B">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工作台</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4676">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DA454">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个</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5192">
            <w:pPr>
              <w:jc w:val="left"/>
              <w:rPr>
                <w:rFonts w:hint="eastAsia"/>
                <w:sz w:val="24"/>
                <w:szCs w:val="24"/>
                <w:highlight w:val="none"/>
                <w:lang w:val="en-US" w:eastAsia="zh-CN" w:bidi="ar"/>
              </w:rPr>
            </w:pPr>
            <w:r>
              <w:rPr>
                <w:rFonts w:hint="eastAsia"/>
                <w:sz w:val="24"/>
                <w:szCs w:val="24"/>
                <w:highlight w:val="none"/>
                <w:lang w:val="en-US" w:eastAsia="zh-CN" w:bidi="ar"/>
              </w:rPr>
              <w:t>1.产品尺寸：按现场调整</w:t>
            </w:r>
            <w:r>
              <w:rPr>
                <w:rFonts w:hint="eastAsia"/>
                <w:sz w:val="24"/>
                <w:szCs w:val="24"/>
                <w:highlight w:val="none"/>
                <w:lang w:val="en-US" w:eastAsia="zh-CN" w:bidi="ar"/>
              </w:rPr>
              <w:br w:type="textWrapping"/>
            </w:r>
            <w:r>
              <w:rPr>
                <w:rFonts w:hint="eastAsia"/>
                <w:sz w:val="24"/>
                <w:szCs w:val="24"/>
                <w:highlight w:val="none"/>
                <w:lang w:val="en-US" w:eastAsia="zh-CN" w:bidi="ar"/>
              </w:rPr>
              <w:t>2.桌架工艺：加厚贴面板、防油防水、抗氧化、可随意调节脚底高度</w:t>
            </w:r>
            <w:r>
              <w:rPr>
                <w:rFonts w:hint="eastAsia"/>
                <w:sz w:val="24"/>
                <w:szCs w:val="24"/>
                <w:highlight w:val="none"/>
                <w:lang w:val="en-US" w:eastAsia="zh-CN" w:bidi="ar"/>
              </w:rPr>
              <w:br w:type="textWrapping"/>
            </w:r>
            <w:r>
              <w:rPr>
                <w:rFonts w:hint="eastAsia"/>
                <w:sz w:val="24"/>
                <w:szCs w:val="24"/>
                <w:highlight w:val="none"/>
                <w:lang w:val="en-US" w:eastAsia="zh-CN" w:bidi="ar"/>
              </w:rPr>
              <w:t xml:space="preserve">3.工作台单层承载：≥200kg </w:t>
            </w:r>
          </w:p>
        </w:tc>
      </w:tr>
      <w:tr w14:paraId="5044F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5"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DC92E">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12</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D50A1">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拣选机器人调度集中控制器</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D5BD">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8975C">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套</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ECF7">
            <w:pPr>
              <w:jc w:val="left"/>
              <w:rPr>
                <w:rFonts w:hint="eastAsia"/>
                <w:sz w:val="24"/>
                <w:szCs w:val="24"/>
                <w:highlight w:val="none"/>
                <w:lang w:val="en-US" w:eastAsia="zh-CN" w:bidi="ar"/>
              </w:rPr>
            </w:pPr>
            <w:r>
              <w:rPr>
                <w:rFonts w:hint="eastAsia"/>
                <w:sz w:val="24"/>
                <w:szCs w:val="24"/>
                <w:highlight w:val="none"/>
                <w:lang w:val="en-US" w:eastAsia="zh-CN" w:bidi="ar"/>
              </w:rPr>
              <w:t>硬件配置：采用≥Windows10系统、Inteli7处理器、32G内存、21英寸触屏、硬盘（1T、M.2固态）+2T机械硬盘。内置系统参数：</w:t>
            </w:r>
            <w:r>
              <w:rPr>
                <w:rFonts w:hint="eastAsia"/>
                <w:sz w:val="24"/>
                <w:szCs w:val="24"/>
                <w:highlight w:val="none"/>
                <w:lang w:val="en-US" w:eastAsia="zh-CN" w:bidi="ar"/>
              </w:rPr>
              <w:br w:type="textWrapping"/>
            </w:r>
            <w:r>
              <w:rPr>
                <w:rFonts w:hint="eastAsia"/>
                <w:sz w:val="24"/>
                <w:szCs w:val="24"/>
                <w:highlight w:val="none"/>
                <w:lang w:val="en-US" w:eastAsia="zh-CN" w:bidi="ar"/>
              </w:rPr>
              <w:t>1.拣选机器人调度系统软件需对AGV等设备进行控制管理，对用户角色信息配置管理、任务分配及执行、AGV电量与充电、告警信息的统计和展示。</w:t>
            </w:r>
            <w:r>
              <w:rPr>
                <w:rFonts w:hint="eastAsia"/>
                <w:sz w:val="24"/>
                <w:szCs w:val="24"/>
                <w:highlight w:val="none"/>
                <w:lang w:val="en-US" w:eastAsia="zh-CN" w:bidi="ar"/>
              </w:rPr>
              <w:br w:type="textWrapping"/>
            </w:r>
            <w:r>
              <w:rPr>
                <w:rFonts w:hint="eastAsia"/>
                <w:sz w:val="24"/>
                <w:szCs w:val="24"/>
                <w:highlight w:val="none"/>
                <w:lang w:val="en-US" w:eastAsia="zh-CN" w:bidi="ar"/>
              </w:rPr>
              <w:t>2.对AGV的任务分配、任务管理、充电管理、设备管理、路径规划、交通动态管理，实时避让等功能操作。还有运营管理、统计管理等主要板块。</w:t>
            </w:r>
          </w:p>
          <w:p w14:paraId="39AA9449">
            <w:pPr>
              <w:jc w:val="left"/>
              <w:rPr>
                <w:rFonts w:hint="eastAsia"/>
                <w:sz w:val="24"/>
                <w:szCs w:val="24"/>
                <w:highlight w:val="none"/>
                <w:lang w:val="en-US" w:eastAsia="zh-CN" w:bidi="ar"/>
              </w:rPr>
            </w:pPr>
            <w:r>
              <w:rPr>
                <w:rFonts w:hint="eastAsia"/>
                <w:sz w:val="24"/>
                <w:szCs w:val="24"/>
                <w:highlight w:val="none"/>
                <w:lang w:val="en-US" w:eastAsia="zh-CN" w:bidi="ar"/>
              </w:rPr>
              <w:t>3.需包含地图构建、载具管理、设备管理、设备控制、任务管理、路径分配等具体功能。</w:t>
            </w:r>
          </w:p>
          <w:p w14:paraId="360B56BC">
            <w:pPr>
              <w:jc w:val="left"/>
              <w:rPr>
                <w:rFonts w:hint="eastAsia"/>
                <w:sz w:val="24"/>
                <w:szCs w:val="24"/>
                <w:highlight w:val="none"/>
                <w:lang w:val="en-US" w:eastAsia="zh-CN" w:bidi="ar"/>
              </w:rPr>
            </w:pPr>
            <w:r>
              <w:rPr>
                <w:rFonts w:hint="eastAsia"/>
                <w:sz w:val="24"/>
                <w:szCs w:val="24"/>
                <w:highlight w:val="none"/>
                <w:lang w:val="en-US" w:eastAsia="zh-CN" w:bidi="ar"/>
              </w:rPr>
              <w:t>4.需支持对任务进行优先级管理调度，不同任务可以指定不同类型机器人执行；支持任务执行状态的监控和通知</w:t>
            </w:r>
          </w:p>
        </w:tc>
      </w:tr>
      <w:tr w14:paraId="49AE5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1"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F0D12">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13</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2BA46">
            <w:pPr>
              <w:jc w:val="center"/>
              <w:rPr>
                <w:rFonts w:hint="default" w:ascii="宋体" w:hAnsi="宋体" w:eastAsia="宋体" w:cs="宋体"/>
                <w:i w:val="0"/>
                <w:iCs w:val="0"/>
                <w:color w:val="000000"/>
                <w:sz w:val="24"/>
                <w:szCs w:val="24"/>
                <w:highlight w:val="none"/>
                <w:u w:val="none"/>
                <w:lang w:val="en-US"/>
              </w:rPr>
            </w:pPr>
            <w:r>
              <w:rPr>
                <w:rFonts w:hint="eastAsia"/>
                <w:sz w:val="24"/>
                <w:szCs w:val="24"/>
                <w:highlight w:val="none"/>
                <w:lang w:bidi="ar"/>
              </w:rPr>
              <w:t>智慧物流仓储集中管理系统</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00AC">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6FDFA">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套</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8BA3">
            <w:pPr>
              <w:jc w:val="left"/>
              <w:rPr>
                <w:rFonts w:hint="eastAsia"/>
                <w:sz w:val="24"/>
                <w:szCs w:val="24"/>
                <w:highlight w:val="none"/>
                <w:lang w:val="en-US" w:eastAsia="zh-CN" w:bidi="ar"/>
              </w:rPr>
            </w:pPr>
            <w:r>
              <w:rPr>
                <w:rFonts w:hint="eastAsia"/>
                <w:sz w:val="24"/>
                <w:szCs w:val="24"/>
                <w:highlight w:val="none"/>
                <w:lang w:val="en-US" w:eastAsia="zh-CN" w:bidi="ar"/>
              </w:rPr>
              <w:t>硬件配置：采用≥Windows10系统、Inteli7处理器、32G内存、21英寸触屏、硬盘（1T、M.2固态）+2T机械硬盘。内置系统参数：</w:t>
            </w:r>
          </w:p>
          <w:p w14:paraId="2A8B974D">
            <w:pPr>
              <w:jc w:val="left"/>
              <w:rPr>
                <w:rFonts w:hint="eastAsia"/>
                <w:sz w:val="24"/>
                <w:szCs w:val="24"/>
                <w:highlight w:val="none"/>
                <w:lang w:val="en-US" w:eastAsia="zh-CN" w:bidi="ar"/>
              </w:rPr>
            </w:pPr>
            <w:r>
              <w:rPr>
                <w:rFonts w:hint="eastAsia"/>
                <w:sz w:val="24"/>
                <w:szCs w:val="24"/>
                <w:highlight w:val="none"/>
                <w:lang w:val="en-US" w:eastAsia="zh-CN" w:bidi="ar"/>
              </w:rPr>
              <w:t>1.智慧物流仓库管理系统需与机器人调度系统上下层系统对接，需具备入库业务、出库业务、仓库管理等功能综合运用的管理系统，有效控制并跟踪仓库业务全过程。</w:t>
            </w:r>
            <w:r>
              <w:rPr>
                <w:rFonts w:hint="eastAsia"/>
                <w:sz w:val="24"/>
                <w:szCs w:val="24"/>
                <w:highlight w:val="none"/>
                <w:lang w:val="en-US" w:eastAsia="zh-CN" w:bidi="ar"/>
              </w:rPr>
              <w:br w:type="textWrapping"/>
            </w:r>
            <w:r>
              <w:rPr>
                <w:rFonts w:hint="eastAsia"/>
                <w:sz w:val="24"/>
                <w:szCs w:val="24"/>
                <w:highlight w:val="none"/>
                <w:lang w:val="en-US" w:eastAsia="zh-CN" w:bidi="ar"/>
              </w:rPr>
              <w:t>2.系统界面展示、业务操作、网络传输、业务逻辑处理等多个层面均需保证系统操作使用效率；</w:t>
            </w:r>
            <w:r>
              <w:rPr>
                <w:rFonts w:hint="eastAsia"/>
                <w:sz w:val="24"/>
                <w:szCs w:val="24"/>
                <w:highlight w:val="none"/>
                <w:lang w:val="en-US" w:eastAsia="zh-CN" w:bidi="ar"/>
              </w:rPr>
              <w:br w:type="textWrapping"/>
            </w:r>
            <w:r>
              <w:rPr>
                <w:rFonts w:hint="eastAsia"/>
                <w:sz w:val="24"/>
                <w:szCs w:val="24"/>
                <w:highlight w:val="none"/>
                <w:lang w:val="en-US" w:eastAsia="zh-CN" w:bidi="ar"/>
              </w:rPr>
              <w:t>3.系统需与潜伏机器人、无线扫描枪等设备实现对接，满足仓储物流一体化业务运行要求；</w:t>
            </w:r>
            <w:r>
              <w:rPr>
                <w:rFonts w:hint="eastAsia"/>
                <w:sz w:val="24"/>
                <w:szCs w:val="24"/>
                <w:highlight w:val="none"/>
                <w:lang w:val="en-US" w:eastAsia="zh-CN" w:bidi="ar"/>
              </w:rPr>
              <w:br w:type="textWrapping"/>
            </w:r>
            <w:r>
              <w:rPr>
                <w:rFonts w:hint="eastAsia"/>
                <w:sz w:val="24"/>
                <w:szCs w:val="24"/>
                <w:highlight w:val="none"/>
                <w:lang w:val="en-US" w:eastAsia="zh-CN" w:bidi="ar"/>
              </w:rPr>
              <w:t>4.系统需支持数据权限、角色权限、菜单权限等设置，可从不同端口进入系统，保障信息操作安全。</w:t>
            </w:r>
          </w:p>
          <w:p w14:paraId="45EB7A52">
            <w:pPr>
              <w:jc w:val="left"/>
              <w:rPr>
                <w:rFonts w:hint="eastAsia"/>
                <w:sz w:val="24"/>
                <w:szCs w:val="24"/>
                <w:highlight w:val="none"/>
                <w:lang w:val="en-US" w:eastAsia="zh-CN" w:bidi="ar"/>
              </w:rPr>
            </w:pPr>
            <w:r>
              <w:rPr>
                <w:rFonts w:hint="eastAsia"/>
                <w:sz w:val="24"/>
                <w:szCs w:val="24"/>
                <w:highlight w:val="none"/>
                <w:lang w:val="en-US" w:eastAsia="zh-CN" w:bidi="ar"/>
              </w:rPr>
              <w:t>5.系统功能模块需包含系统管理：角色管理、权限管理、用户管理；基础数据管理：供货商管理、品类管理、规格管理、物料管理、商品管理、仓库管理、库区管理、货架管理、仓位管理、工作站管理、类型管理；入库管理：入库单管理、到货验收、货架到人上架管理；库内管理：库存概览、库存调整、库存冻结、库存盘点；出库管理：待处理订单、订单管理、货架到人拣货管理、波次管理等；</w:t>
            </w:r>
          </w:p>
        </w:tc>
      </w:tr>
      <w:tr w14:paraId="6272B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14923">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14</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9F0D9">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智能产线物流数字孪生仿真平台</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F86A">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F92B1">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套</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8F4A">
            <w:pPr>
              <w:pStyle w:val="31"/>
              <w:keepNext w:val="0"/>
              <w:keepLines w:val="0"/>
              <w:widowControl/>
              <w:suppressLineNumbers w:val="0"/>
              <w:spacing w:before="0" w:beforeAutospacing="0" w:after="0" w:afterAutospacing="0" w:line="14" w:lineRule="atLeast"/>
              <w:ind w:left="0" w:right="0"/>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1.需支持用户账号密码登录、密码显隐及记住功能、需支持一键退出登录。</w:t>
            </w:r>
          </w:p>
          <w:p w14:paraId="422A42A6">
            <w:pPr>
              <w:pStyle w:val="31"/>
              <w:keepNext w:val="0"/>
              <w:keepLines w:val="0"/>
              <w:widowControl/>
              <w:suppressLineNumbers w:val="0"/>
              <w:spacing w:before="0" w:beforeAutospacing="0" w:after="0" w:afterAutospacing="0" w:line="14" w:lineRule="atLeast"/>
              <w:ind w:left="0" w:right="0"/>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2.系统界面需包含菜单栏、场景面板、操作面板、数据显示面板、数字孪生场景模型；菜单栏需支持随意挪动摆放，根据菜单栏的展开、合并显示不同颜色状态，需支持一键跳转切换不同功能内容；需支持第一人称和环视视角的随意切换；</w:t>
            </w:r>
          </w:p>
          <w:p w14:paraId="3E46EEDD">
            <w:pPr>
              <w:pStyle w:val="31"/>
              <w:keepNext w:val="0"/>
              <w:keepLines w:val="0"/>
              <w:widowControl/>
              <w:suppressLineNumbers w:val="0"/>
              <w:spacing w:before="0" w:beforeAutospacing="0" w:after="0" w:afterAutospacing="0" w:line="14" w:lineRule="atLeast"/>
              <w:ind w:left="0" w:right="0"/>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需支持调整第一人称和环视视角的移动速度。</w:t>
            </w:r>
          </w:p>
          <w:p w14:paraId="292DB929">
            <w:pPr>
              <w:pStyle w:val="31"/>
              <w:keepNext w:val="0"/>
              <w:keepLines w:val="0"/>
              <w:widowControl/>
              <w:numPr>
                <w:ilvl w:val="0"/>
                <w:numId w:val="0"/>
              </w:numPr>
              <w:suppressLineNumbers w:val="0"/>
              <w:spacing w:before="0" w:beforeAutospacing="0" w:after="0" w:afterAutospacing="0" w:line="14" w:lineRule="atLeast"/>
              <w:ind w:left="0" w:leftChars="0" w:right="0" w:rightChars="0"/>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3.三维模型模块需支持使用手势或按键将三维模型放大或缩小；需支持围绕三维模型自由旋转，从不同的方向和角度来观察模型的各个部分；需支持视角切换，包括水平旋转、垂直旋转和倾斜等；需支持在模型上进行左右、上下或前后平移操作；</w:t>
            </w:r>
          </w:p>
          <w:p w14:paraId="34BA6676">
            <w:pPr>
              <w:pStyle w:val="31"/>
              <w:keepNext w:val="0"/>
              <w:keepLines w:val="0"/>
              <w:widowControl/>
              <w:suppressLineNumbers w:val="0"/>
              <w:spacing w:before="0" w:beforeAutospacing="0" w:after="0" w:afterAutospacing="0" w:line="14" w:lineRule="atLeast"/>
              <w:ind w:left="0" w:leftChars="0" w:right="0" w:rightChars="0"/>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4.需支持场景漫游，并能进行任意角度切换观察及展示；系统场景内的可移动设备需具备悬浮图标，跟踪设备展示作业；悬浮图标需支持移动设备的详情展示，包括但不限于设备名称、型号、工作状态等；需提供移动速度设置选项，通过设置面板调整第一人称和环视视角的移动速度。</w:t>
            </w:r>
          </w:p>
        </w:tc>
      </w:tr>
      <w:tr w14:paraId="64DD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03980">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15</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44B8">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平板电脑</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8A48">
            <w:pPr>
              <w:jc w:val="center"/>
              <w:rPr>
                <w:rFonts w:hint="default"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8E3B7">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台</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4220">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1.屏幕尺寸：≥10英寸</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2.分辨率：2560*1600</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3.运行内存：≥8GB</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4.存储容量：≥256GB</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5.后置摄像头：≥1300W</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6.网络连接：WIFI</w:t>
            </w:r>
          </w:p>
        </w:tc>
      </w:tr>
      <w:tr w14:paraId="35A2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B79AF">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16</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98B59">
            <w:pPr>
              <w:jc w:val="center"/>
              <w:rPr>
                <w:rFonts w:hint="eastAsia"/>
                <w:sz w:val="24"/>
                <w:szCs w:val="24"/>
                <w:highlight w:val="none"/>
                <w:lang w:bidi="ar"/>
              </w:rPr>
            </w:pPr>
            <w:r>
              <w:rPr>
                <w:rFonts w:hint="eastAsia"/>
                <w:sz w:val="24"/>
                <w:szCs w:val="24"/>
                <w:highlight w:val="none"/>
                <w:lang w:bidi="ar"/>
              </w:rPr>
              <w:t>无人叉车</w:t>
            </w:r>
          </w:p>
          <w:p w14:paraId="1CB29417">
            <w:pPr>
              <w:jc w:val="center"/>
              <w:rPr>
                <w:rFonts w:hint="eastAsia"/>
                <w:sz w:val="24"/>
                <w:szCs w:val="24"/>
                <w:highlight w:val="none"/>
                <w:lang w:bidi="ar"/>
              </w:rPr>
            </w:pPr>
            <w:r>
              <w:rPr>
                <w:rFonts w:hint="eastAsia"/>
                <w:b/>
                <w:bCs/>
                <w:sz w:val="21"/>
                <w:szCs w:val="21"/>
                <w:highlight w:val="none"/>
                <w:lang w:eastAsia="zh-CN" w:bidi="ar"/>
              </w:rPr>
              <w:t>（核心产品）</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9A43">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C0516">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台</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21D4">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1.基础规格与负载能力：外形尺寸1700×1020×2000mm左右（L×W×H），本体自重≤700kg，额定负载≥1000kg，支持货物举升、搬运，举升高度：≥2000mm</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2.运动性能参数：采用前轮驱动及转向，舵轮驱动实现前进/后退、弧线转弯、原地旋转；轴距≤1000mm，运行速度满载≥1.0m/s、空载≥1.2m/s，最大爬坡度满载3%、空载5%。​</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3.导航与定位精度：搭载激光SLAM导航技术，定位精度±10mm，角度精度±1°，实现自主避障与高效作业。4.动力与续航配置：额定电压48V，配备大容量电池，充电时间≤2h，满充续航时间至少8小时。5.安全防护系统：集成避障激光、碰撞条检测、托盘到位检测等多重传感器，配备急停按钮与声光报警装置，构建全方位安全防护体系，保障作业安全。</w:t>
            </w:r>
          </w:p>
        </w:tc>
      </w:tr>
      <w:tr w14:paraId="22946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49FFB">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17</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78D64">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无人叉车自动充电套件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5B6F">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22E36">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台</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6B90">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具有友好的人机交互界面，可以显示充电桩输出电压、输出电流、工作状态、告警信息等；充电模式：手动充电、自动充电</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适配 48V 及以上电压等级的无人叉车电池，充电效率≥90%</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输出电流：≤30A</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具有输出限流保护，输出短路保护，电池极性接反保护，反向充电保护，通信中断保护，过温保护，异常告警保护等自我保护功能。</w:t>
            </w:r>
          </w:p>
        </w:tc>
      </w:tr>
      <w:tr w14:paraId="3496A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6"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0560D">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18</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7BF36">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横梁货架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F673">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CD851">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套</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66F0">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1.货架规格：（3 层横梁），适配仓库空间及货物存储布局要求。</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2.承载能力：每层承载2000kg，每托承载1000kg</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3.货架立柱、货架横梁：满足工程需要</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4.含托盘底座一套</w:t>
            </w:r>
          </w:p>
        </w:tc>
      </w:tr>
      <w:tr w14:paraId="2EA31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B7475">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19</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408DE">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叉车操作平板电脑</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0FA6">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8D2AD">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台</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338D">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1.屏幕尺寸：≥10英寸</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2.分辨率：2560*1600</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3.运行内存：≥8GB</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4.存储容量：≥256GB</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5.后置摄像头：≥1300W</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6.网络连接：WIFI</w:t>
            </w:r>
          </w:p>
        </w:tc>
      </w:tr>
      <w:tr w14:paraId="13D0D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8"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7B104">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20</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875CA">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VR 操作平台</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5AF7">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CAC74">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套</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F36B">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1.尺寸：按现场定制</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 xml:space="preserve">2.材质：钣金件结构； </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3.采用≥Windows10系统、Inteli5处理器、8G内存、21英寸触屏、硬盘（1T）+2T机械硬盘、显卡大于等于2G</w:t>
            </w:r>
          </w:p>
          <w:p w14:paraId="6990E329">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4.功能：支持VR定位器安装，支持电视挂接</w:t>
            </w:r>
          </w:p>
        </w:tc>
      </w:tr>
      <w:tr w14:paraId="33B5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9B5F4">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21</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D8DF4">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外接显示设备</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A4A0">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9A140">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套</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FDE4">
            <w:pPr>
              <w:jc w:val="left"/>
              <w:rPr>
                <w:rFonts w:hint="default"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1.存储内存：≥32GB</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2.CPU架构：≥4核</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3.运行内存/RAM：≥2GB</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4.HDMI2.0接口数，USB2.0接口数：≥2个</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5.屏幕尺寸：≥85寸</w:t>
            </w:r>
          </w:p>
        </w:tc>
      </w:tr>
      <w:tr w14:paraId="22234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4675B">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22</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93FE2">
            <w:pPr>
              <w:jc w:val="center"/>
              <w:rPr>
                <w:rFonts w:hint="eastAsia"/>
                <w:sz w:val="24"/>
                <w:szCs w:val="24"/>
                <w:highlight w:val="none"/>
                <w:lang w:bidi="ar"/>
              </w:rPr>
            </w:pPr>
            <w:r>
              <w:rPr>
                <w:rFonts w:hint="eastAsia"/>
                <w:sz w:val="24"/>
                <w:szCs w:val="24"/>
                <w:highlight w:val="none"/>
                <w:lang w:bidi="ar"/>
              </w:rPr>
              <w:t>跨境电商物流智能仓储3D交互式实训设备</w:t>
            </w:r>
          </w:p>
          <w:p w14:paraId="5DBD3C5B">
            <w:pPr>
              <w:jc w:val="center"/>
              <w:rPr>
                <w:rFonts w:hint="eastAsia" w:ascii="宋体" w:hAnsi="宋体" w:eastAsia="宋体" w:cs="宋体"/>
                <w:i w:val="0"/>
                <w:iCs w:val="0"/>
                <w:color w:val="000000"/>
                <w:sz w:val="24"/>
                <w:szCs w:val="24"/>
                <w:highlight w:val="none"/>
                <w:u w:val="none"/>
              </w:rPr>
            </w:pPr>
            <w:r>
              <w:rPr>
                <w:rFonts w:hint="eastAsia"/>
                <w:b/>
                <w:bCs/>
                <w:sz w:val="21"/>
                <w:szCs w:val="21"/>
                <w:highlight w:val="none"/>
                <w:lang w:eastAsia="zh-CN" w:bidi="ar"/>
              </w:rPr>
              <w:t>（核心产品）</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471E">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C8A77">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台</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049D">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硬件参数</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1.显示系统，1个5.5英寸快速响应LCD屏幕，内置麦克风音频输入，支持三挡可调节瞳距</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2.定位与感知系统：头盔九轴传感器，头盔P-sensor人脸佩戴感应，精准6dof定位；红外光学手柄定位技术，定位精准</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3.数据接口：配备3.5mm耳机接口，USB-C 3.0接口、蓝牙5.1；支持无线串流Steam VR</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内置系统参数</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4.便于数据管理可充分保证数据的安全性</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5.系统界面展示、业务操作、网络传输等多个层面均可保证系统操作使用效率</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6.通过手柄/鼠标自主放大、缩小场景，需支持360度自由旋转，展示场景可放大、缩小观看，场景中的人物、车辆等动静态元素均为现实场景，无虚拟建模。</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7.提供动画、视频、图片、文字等多媒体形式讲解</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8.需包含电商物流智能仓作业场景，货物卸货交接、清点、收货、上架、补货、拣货、复核包装、输送发运、销退登记质检、库存盘点等流程。</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9.提供地图全览展示。</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10.场景资源需包括以下环节：360°展示物流智能园区及智能电商仓各工作场景；全方位展示电商仓主管及员工工作场景及内容和状态；展示货物卸货交接、确认、货物清点、收货等作业内容；展示签收货物移送至入库区的动线；展示人机交互作业完成上架入库流程；展示机器人补货区补货、AGV搬运货物及拣选出库动线流程；展示商品销退、质检上架、货物盘点、二次分拣的作业场景。</w:t>
            </w:r>
          </w:p>
        </w:tc>
      </w:tr>
      <w:tr w14:paraId="3CC5C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EE7CD">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23</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9437F">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智慧物流仓储设备维修与保养工作手册AR互动实训设备</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BA13">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2167B">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台</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E2B2">
            <w:pPr>
              <w:pStyle w:val="31"/>
              <w:keepNext w:val="0"/>
              <w:keepLines w:val="0"/>
              <w:widowControl/>
              <w:suppressLineNumbers w:val="0"/>
              <w:spacing w:before="0" w:beforeAutospacing="0" w:after="0" w:afterAutospacing="0" w:line="14" w:lineRule="atLeast"/>
              <w:ind w:left="0" w:right="0"/>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1.需支持手机/平板扫描，集文字、图形、图像、声音以及视频等多种媒体元素于一体。</w:t>
            </w:r>
          </w:p>
          <w:p w14:paraId="4A1A2FEE">
            <w:pPr>
              <w:pStyle w:val="31"/>
              <w:keepNext w:val="0"/>
              <w:keepLines w:val="0"/>
              <w:widowControl/>
              <w:suppressLineNumbers w:val="0"/>
              <w:spacing w:before="0" w:beforeAutospacing="0" w:after="0" w:afterAutospacing="0" w:line="14" w:lineRule="atLeast"/>
              <w:ind w:left="0" w:right="0"/>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2.支持所有主流浏览器，无需下载浏览器插件；</w:t>
            </w:r>
          </w:p>
          <w:p w14:paraId="7CA38E4C">
            <w:pPr>
              <w:pStyle w:val="31"/>
              <w:keepNext w:val="0"/>
              <w:keepLines w:val="0"/>
              <w:widowControl/>
              <w:suppressLineNumbers w:val="0"/>
              <w:spacing w:before="0" w:beforeAutospacing="0" w:after="0" w:afterAutospacing="0" w:line="14" w:lineRule="atLeast"/>
              <w:ind w:left="0" w:right="0"/>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3.需包含多种设备的维护与保养基础的图谱导览，如拣选机器人、分拣机器人、四向穿梭车、堆垛机、机械臂等。</w:t>
            </w:r>
          </w:p>
          <w:p w14:paraId="22F0A828">
            <w:pPr>
              <w:adjustRightInd w:val="0"/>
              <w:snapToGrid w:val="0"/>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4.设备需支持AR扫描功能识别教学指导手册，展示内嵌的拣选机器人三维模型资源，支持一键分解、组装机器人，并能完整展示各构件的样式及名称；设备的运行模块需支持AR扫描以视频形式展示拣选机器人的使用；维护注意事项和保养周期模块需支持AR扫描功能识别教学指导手册，完成拣选机器人维护保养学习测验；移动机器人至维修区模块；拆卸与安装模块；机器人的维护与保养模块；</w:t>
            </w:r>
            <w:r>
              <w:rPr>
                <w:rFonts w:hint="eastAsia" w:cs="Times New Roman"/>
                <w:kern w:val="2"/>
                <w:sz w:val="24"/>
                <w:szCs w:val="24"/>
                <w:highlight w:val="none"/>
                <w:lang w:val="en-US" w:eastAsia="zh-CN" w:bidi="ar"/>
              </w:rPr>
              <w:t>其他配套</w:t>
            </w:r>
            <w:r>
              <w:rPr>
                <w:rFonts w:hint="eastAsia" w:ascii="Times New Roman" w:hAnsi="Times New Roman" w:eastAsia="宋体" w:cs="Times New Roman"/>
                <w:kern w:val="2"/>
                <w:sz w:val="24"/>
                <w:szCs w:val="24"/>
                <w:highlight w:val="none"/>
                <w:lang w:val="en-US" w:eastAsia="zh-CN" w:bidi="ar"/>
              </w:rPr>
              <w:t>产品的维护与保养模块；灯带指示异常处理模块。</w:t>
            </w:r>
          </w:p>
          <w:p w14:paraId="471E1A12">
            <w:pPr>
              <w:adjustRightInd w:val="0"/>
              <w:snapToGrid w:val="0"/>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5.设备需能完整展示各构件的样式及名称；设备的运行模块需支持AR扫描功能识别教学指导手册，以视频形式介绍穿梭车的工作场景；常规维护保养与保养周期模块需支持AR扫描功能识别教学指导手册，完成穿梭车维护保养学习测验；设备主体的维护与保养模块；</w:t>
            </w:r>
            <w:r>
              <w:rPr>
                <w:rFonts w:hint="eastAsia" w:cs="Times New Roman"/>
                <w:kern w:val="2"/>
                <w:sz w:val="24"/>
                <w:szCs w:val="24"/>
                <w:highlight w:val="none"/>
                <w:lang w:val="en-US" w:eastAsia="zh-CN" w:bidi="ar"/>
              </w:rPr>
              <w:t>其他</w:t>
            </w:r>
            <w:r>
              <w:rPr>
                <w:rFonts w:hint="eastAsia" w:ascii="Times New Roman" w:hAnsi="Times New Roman" w:eastAsia="宋体" w:cs="Times New Roman"/>
                <w:kern w:val="2"/>
                <w:sz w:val="24"/>
                <w:szCs w:val="24"/>
                <w:highlight w:val="none"/>
                <w:lang w:val="en-US" w:eastAsia="zh-CN" w:bidi="ar"/>
              </w:rPr>
              <w:t>部件的维护与保养模块；故障应急对策与故障预判断模块；故障现象分析与处理模块。</w:t>
            </w:r>
          </w:p>
          <w:p w14:paraId="7BEE11F6">
            <w:pPr>
              <w:adjustRightInd w:val="0"/>
              <w:snapToGrid w:val="0"/>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6.设备需展示内嵌的机械臂三维模型资源；机械臂的运行模块需支持AR扫描功能，以视频形式介绍机械臂的工作场景；维护注意事项与保养周期模块需支持AR扫描功能识别教学指导手册，完成机械臂维护保养学习测验；维护与保养要求模块；机械臂本体的维护与保养模块；控制器的维护与保养模块；故障类型与故障处理原则模块。</w:t>
            </w:r>
          </w:p>
        </w:tc>
      </w:tr>
      <w:tr w14:paraId="159E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089C2">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24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E0B7">
            <w:pPr>
              <w:jc w:val="center"/>
              <w:rPr>
                <w:rFonts w:hint="eastAsia"/>
                <w:sz w:val="24"/>
                <w:szCs w:val="24"/>
                <w:highlight w:val="none"/>
                <w:lang w:bidi="ar"/>
              </w:rPr>
            </w:pPr>
            <w:r>
              <w:rPr>
                <w:rFonts w:hint="eastAsia"/>
                <w:sz w:val="24"/>
                <w:szCs w:val="24"/>
                <w:highlight w:val="none"/>
                <w:lang w:bidi="ar"/>
              </w:rPr>
              <w:t>港口物流仓储3D交互式实训设备</w:t>
            </w:r>
          </w:p>
          <w:p w14:paraId="3FC39751">
            <w:pPr>
              <w:jc w:val="center"/>
              <w:rPr>
                <w:rFonts w:hint="eastAsia" w:ascii="宋体" w:hAnsi="宋体" w:eastAsia="宋体" w:cs="宋体"/>
                <w:i w:val="0"/>
                <w:iCs w:val="0"/>
                <w:color w:val="000000"/>
                <w:sz w:val="24"/>
                <w:szCs w:val="24"/>
                <w:highlight w:val="none"/>
                <w:u w:val="none"/>
              </w:rPr>
            </w:pPr>
            <w:r>
              <w:rPr>
                <w:rFonts w:hint="eastAsia"/>
                <w:b/>
                <w:bCs/>
                <w:sz w:val="21"/>
                <w:szCs w:val="21"/>
                <w:highlight w:val="none"/>
                <w:lang w:eastAsia="zh-CN" w:bidi="ar"/>
              </w:rPr>
              <w:t>（核心产品）</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4189">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2C07">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台</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9B2E">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硬件参数</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1.显示系统，1个5.5英寸快速响应LCD屏幕，内置麦克风音频输入，支持三挡可调节瞳距</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2.定位与感知系统：头盔九轴传感器，头盔P-sensor人脸佩戴感应，精准6dof定位；红外光学手柄定位技术，定位精准</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3.数据接口：配备3.5mm耳机接口，USB-C 3.0接口、蓝牙5.1；支持无线串流Steam VR</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内置系统参数：</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 xml:space="preserve">4.视频场景支持360 度全景缩放功能观看。 </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5.提供包含不同类型港口物流的作业场景，涵盖集装箱码头、滚装码头、散货码头、危化品码头、农产品码头等码头业务场景模块。</w:t>
            </w:r>
          </w:p>
          <w:p w14:paraId="6BB54BC4">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6.场景资源需具备以下作业环节内容：</w:t>
            </w:r>
            <w:r>
              <w:rPr>
                <w:rFonts w:hint="default" w:ascii="Times New Roman" w:hAnsi="Times New Roman" w:eastAsia="宋体" w:cs="Times New Roman"/>
                <w:kern w:val="2"/>
                <w:sz w:val="24"/>
                <w:szCs w:val="24"/>
                <w:highlight w:val="none"/>
                <w:lang w:val="en-US" w:eastAsia="zh-CN" w:bidi="ar"/>
              </w:rPr>
              <w:t>360°</w:t>
            </w:r>
            <w:r>
              <w:rPr>
                <w:rFonts w:hint="eastAsia" w:ascii="Times New Roman" w:hAnsi="Times New Roman" w:eastAsia="宋体" w:cs="Times New Roman"/>
                <w:kern w:val="2"/>
                <w:sz w:val="24"/>
                <w:szCs w:val="24"/>
                <w:highlight w:val="none"/>
                <w:lang w:val="en-US" w:eastAsia="zh-CN" w:bidi="ar"/>
              </w:rPr>
              <w:t>全景</w:t>
            </w:r>
            <w:r>
              <w:rPr>
                <w:rFonts w:hint="default" w:ascii="Times New Roman" w:hAnsi="Times New Roman" w:eastAsia="宋体" w:cs="Times New Roman"/>
                <w:kern w:val="2"/>
                <w:sz w:val="24"/>
                <w:szCs w:val="24"/>
                <w:highlight w:val="none"/>
                <w:lang w:val="en-US" w:eastAsia="zh-CN" w:bidi="ar"/>
              </w:rPr>
              <w:t>展示</w:t>
            </w:r>
            <w:r>
              <w:rPr>
                <w:rFonts w:hint="eastAsia" w:ascii="Times New Roman" w:hAnsi="Times New Roman" w:eastAsia="宋体" w:cs="Times New Roman"/>
                <w:kern w:val="2"/>
                <w:sz w:val="24"/>
                <w:szCs w:val="24"/>
                <w:highlight w:val="none"/>
                <w:lang w:val="en-US" w:eastAsia="zh-CN" w:bidi="ar"/>
              </w:rPr>
              <w:t>并能</w:t>
            </w:r>
            <w:r>
              <w:rPr>
                <w:rFonts w:hint="default" w:ascii="Times New Roman" w:hAnsi="Times New Roman" w:eastAsia="宋体" w:cs="Times New Roman"/>
                <w:kern w:val="2"/>
                <w:sz w:val="24"/>
                <w:szCs w:val="24"/>
                <w:highlight w:val="none"/>
                <w:lang w:val="en-US" w:eastAsia="zh-CN" w:bidi="ar"/>
              </w:rPr>
              <w:t>介绍集装箱码头港口全景整体情况；</w:t>
            </w:r>
            <w:r>
              <w:rPr>
                <w:rFonts w:hint="eastAsia" w:ascii="Times New Roman" w:hAnsi="Times New Roman" w:eastAsia="宋体" w:cs="Times New Roman"/>
                <w:kern w:val="2"/>
                <w:sz w:val="24"/>
                <w:szCs w:val="24"/>
                <w:highlight w:val="none"/>
                <w:lang w:val="en-US" w:eastAsia="zh-CN" w:bidi="ar"/>
              </w:rPr>
              <w:t>全方位</w:t>
            </w:r>
            <w:r>
              <w:rPr>
                <w:rFonts w:hint="default" w:ascii="Times New Roman" w:hAnsi="Times New Roman" w:eastAsia="宋体" w:cs="Times New Roman"/>
                <w:kern w:val="2"/>
                <w:sz w:val="24"/>
                <w:szCs w:val="24"/>
                <w:highlight w:val="none"/>
                <w:lang w:val="en-US" w:eastAsia="zh-CN" w:bidi="ar"/>
              </w:rPr>
              <w:t>展示集装箱码头集中装卸机作业的工作场景；</w:t>
            </w:r>
            <w:r>
              <w:rPr>
                <w:rFonts w:hint="eastAsia" w:ascii="Times New Roman" w:hAnsi="Times New Roman" w:eastAsia="宋体" w:cs="Times New Roman"/>
                <w:kern w:val="2"/>
                <w:sz w:val="24"/>
                <w:szCs w:val="24"/>
                <w:highlight w:val="none"/>
                <w:lang w:val="en-US" w:eastAsia="zh-CN" w:bidi="ar"/>
              </w:rPr>
              <w:t>展示</w:t>
            </w:r>
            <w:r>
              <w:rPr>
                <w:rFonts w:hint="default" w:ascii="Times New Roman" w:hAnsi="Times New Roman" w:eastAsia="宋体" w:cs="Times New Roman"/>
                <w:kern w:val="2"/>
                <w:sz w:val="24"/>
                <w:szCs w:val="24"/>
                <w:highlight w:val="none"/>
                <w:lang w:val="en-US" w:eastAsia="zh-CN" w:bidi="ar"/>
              </w:rPr>
              <w:t>滚装码头车辆出仓、堆场交接、发车、验车的工作场景；</w:t>
            </w:r>
            <w:r>
              <w:rPr>
                <w:rFonts w:hint="eastAsia" w:ascii="Times New Roman" w:hAnsi="Times New Roman" w:eastAsia="宋体" w:cs="Times New Roman"/>
                <w:kern w:val="2"/>
                <w:sz w:val="24"/>
                <w:szCs w:val="24"/>
                <w:highlight w:val="none"/>
                <w:lang w:val="en-US" w:eastAsia="zh-CN" w:bidi="ar"/>
              </w:rPr>
              <w:t>展示</w:t>
            </w:r>
            <w:r>
              <w:rPr>
                <w:rFonts w:hint="default" w:ascii="Times New Roman" w:hAnsi="Times New Roman" w:eastAsia="宋体" w:cs="Times New Roman"/>
                <w:kern w:val="2"/>
                <w:sz w:val="24"/>
                <w:szCs w:val="24"/>
                <w:highlight w:val="none"/>
                <w:lang w:val="en-US" w:eastAsia="zh-CN" w:bidi="ar"/>
              </w:rPr>
              <w:t>散货码头船长工作环境</w:t>
            </w:r>
            <w:r>
              <w:rPr>
                <w:rFonts w:hint="eastAsia" w:ascii="Times New Roman" w:hAnsi="Times New Roman" w:eastAsia="宋体" w:cs="Times New Roman"/>
                <w:kern w:val="2"/>
                <w:sz w:val="24"/>
                <w:szCs w:val="24"/>
                <w:highlight w:val="none"/>
                <w:lang w:val="en-US" w:eastAsia="zh-CN" w:bidi="ar"/>
              </w:rPr>
              <w:t>和</w:t>
            </w:r>
            <w:r>
              <w:rPr>
                <w:rFonts w:hint="default" w:ascii="Times New Roman" w:hAnsi="Times New Roman" w:eastAsia="宋体" w:cs="Times New Roman"/>
                <w:kern w:val="2"/>
                <w:sz w:val="24"/>
                <w:szCs w:val="24"/>
                <w:highlight w:val="none"/>
                <w:lang w:val="en-US" w:eastAsia="zh-CN" w:bidi="ar"/>
              </w:rPr>
              <w:t>吊装设备等；</w:t>
            </w:r>
            <w:r>
              <w:rPr>
                <w:rFonts w:hint="eastAsia" w:ascii="Times New Roman" w:hAnsi="Times New Roman" w:eastAsia="宋体" w:cs="Times New Roman"/>
                <w:kern w:val="2"/>
                <w:sz w:val="24"/>
                <w:szCs w:val="24"/>
                <w:highlight w:val="none"/>
                <w:lang w:val="en-US" w:eastAsia="zh-CN" w:bidi="ar"/>
              </w:rPr>
              <w:t>展示</w:t>
            </w:r>
            <w:r>
              <w:rPr>
                <w:rFonts w:hint="default" w:ascii="Times New Roman" w:hAnsi="Times New Roman" w:eastAsia="宋体" w:cs="Times New Roman"/>
                <w:kern w:val="2"/>
                <w:sz w:val="24"/>
                <w:szCs w:val="24"/>
                <w:highlight w:val="none"/>
                <w:lang w:val="en-US" w:eastAsia="zh-CN" w:bidi="ar"/>
              </w:rPr>
              <w:t>堆取料机操作</w:t>
            </w:r>
            <w:r>
              <w:rPr>
                <w:rFonts w:hint="eastAsia" w:ascii="Times New Roman" w:hAnsi="Times New Roman" w:eastAsia="宋体" w:cs="Times New Roman"/>
                <w:kern w:val="2"/>
                <w:sz w:val="24"/>
                <w:szCs w:val="24"/>
                <w:highlight w:val="none"/>
                <w:lang w:val="en-US" w:eastAsia="zh-CN" w:bidi="ar"/>
              </w:rPr>
              <w:t>和</w:t>
            </w:r>
            <w:r>
              <w:rPr>
                <w:rFonts w:hint="default" w:ascii="Times New Roman" w:hAnsi="Times New Roman" w:eastAsia="宋体" w:cs="Times New Roman"/>
                <w:kern w:val="2"/>
                <w:sz w:val="24"/>
                <w:szCs w:val="24"/>
                <w:highlight w:val="none"/>
                <w:lang w:val="en-US" w:eastAsia="zh-CN" w:bidi="ar"/>
              </w:rPr>
              <w:t>传送运输等设施作业情况；</w:t>
            </w:r>
            <w:r>
              <w:rPr>
                <w:rFonts w:hint="eastAsia" w:ascii="Times New Roman" w:hAnsi="Times New Roman" w:eastAsia="宋体" w:cs="Times New Roman"/>
                <w:kern w:val="2"/>
                <w:sz w:val="24"/>
                <w:szCs w:val="24"/>
                <w:highlight w:val="none"/>
                <w:lang w:val="en-US" w:eastAsia="zh-CN" w:bidi="ar"/>
              </w:rPr>
              <w:t>展示</w:t>
            </w:r>
            <w:r>
              <w:rPr>
                <w:rFonts w:hint="default" w:ascii="Times New Roman" w:hAnsi="Times New Roman" w:eastAsia="宋体" w:cs="Times New Roman"/>
                <w:kern w:val="2"/>
                <w:sz w:val="24"/>
                <w:szCs w:val="24"/>
                <w:highlight w:val="none"/>
                <w:lang w:val="en-US" w:eastAsia="zh-CN" w:bidi="ar"/>
              </w:rPr>
              <w:t>危化品进口报关</w:t>
            </w:r>
            <w:r>
              <w:rPr>
                <w:rFonts w:hint="eastAsia" w:ascii="Times New Roman" w:hAnsi="Times New Roman" w:eastAsia="宋体" w:cs="Times New Roman"/>
                <w:kern w:val="2"/>
                <w:sz w:val="24"/>
                <w:szCs w:val="24"/>
                <w:highlight w:val="none"/>
                <w:lang w:val="en-US" w:eastAsia="zh-CN" w:bidi="ar"/>
              </w:rPr>
              <w:t>和出入</w:t>
            </w:r>
            <w:r>
              <w:rPr>
                <w:rFonts w:hint="default" w:ascii="Times New Roman" w:hAnsi="Times New Roman" w:eastAsia="宋体" w:cs="Times New Roman"/>
                <w:kern w:val="2"/>
                <w:sz w:val="24"/>
                <w:szCs w:val="24"/>
                <w:highlight w:val="none"/>
                <w:lang w:val="en-US" w:eastAsia="zh-CN" w:bidi="ar"/>
              </w:rPr>
              <w:t>港的作业场景；</w:t>
            </w:r>
            <w:r>
              <w:rPr>
                <w:rFonts w:hint="eastAsia" w:ascii="Times New Roman" w:hAnsi="Times New Roman" w:eastAsia="宋体" w:cs="Times New Roman"/>
                <w:kern w:val="2"/>
                <w:sz w:val="24"/>
                <w:szCs w:val="24"/>
                <w:highlight w:val="none"/>
                <w:lang w:val="en-US" w:eastAsia="zh-CN" w:bidi="ar"/>
              </w:rPr>
              <w:t>展示</w:t>
            </w:r>
            <w:r>
              <w:rPr>
                <w:rFonts w:hint="default" w:ascii="Times New Roman" w:hAnsi="Times New Roman" w:eastAsia="宋体" w:cs="Times New Roman"/>
                <w:kern w:val="2"/>
                <w:sz w:val="24"/>
                <w:szCs w:val="24"/>
                <w:highlight w:val="none"/>
                <w:lang w:val="en-US" w:eastAsia="zh-CN" w:bidi="ar"/>
              </w:rPr>
              <w:t>危化品卸、堆、发运的作业场景；展示农产品卸货</w:t>
            </w:r>
            <w:r>
              <w:rPr>
                <w:rFonts w:hint="eastAsia" w:ascii="Times New Roman" w:hAnsi="Times New Roman" w:eastAsia="宋体" w:cs="Times New Roman"/>
                <w:kern w:val="2"/>
                <w:sz w:val="24"/>
                <w:szCs w:val="24"/>
                <w:highlight w:val="none"/>
                <w:lang w:val="en-US" w:eastAsia="zh-CN" w:bidi="ar"/>
              </w:rPr>
              <w:t>和</w:t>
            </w:r>
            <w:r>
              <w:rPr>
                <w:rFonts w:hint="default" w:ascii="Times New Roman" w:hAnsi="Times New Roman" w:eastAsia="宋体" w:cs="Times New Roman"/>
                <w:kern w:val="2"/>
                <w:sz w:val="24"/>
                <w:szCs w:val="24"/>
                <w:highlight w:val="none"/>
                <w:lang w:val="en-US" w:eastAsia="zh-CN" w:bidi="ar"/>
              </w:rPr>
              <w:t>存储容器的内容场景；</w:t>
            </w:r>
            <w:r>
              <w:rPr>
                <w:rFonts w:hint="eastAsia" w:ascii="Times New Roman" w:hAnsi="Times New Roman" w:eastAsia="宋体" w:cs="Times New Roman"/>
                <w:kern w:val="2"/>
                <w:sz w:val="24"/>
                <w:szCs w:val="24"/>
                <w:highlight w:val="none"/>
                <w:lang w:val="en-US" w:eastAsia="zh-CN" w:bidi="ar"/>
              </w:rPr>
              <w:t>展示</w:t>
            </w:r>
            <w:r>
              <w:rPr>
                <w:rFonts w:hint="default" w:ascii="Times New Roman" w:hAnsi="Times New Roman" w:eastAsia="宋体" w:cs="Times New Roman"/>
                <w:kern w:val="2"/>
                <w:sz w:val="24"/>
                <w:szCs w:val="24"/>
                <w:highlight w:val="none"/>
                <w:lang w:val="en-US" w:eastAsia="zh-CN" w:bidi="ar"/>
              </w:rPr>
              <w:t>农产品加工</w:t>
            </w:r>
            <w:r>
              <w:rPr>
                <w:rFonts w:hint="eastAsia" w:ascii="Times New Roman" w:hAnsi="Times New Roman" w:eastAsia="宋体" w:cs="Times New Roman"/>
                <w:kern w:val="2"/>
                <w:sz w:val="24"/>
                <w:szCs w:val="24"/>
                <w:highlight w:val="none"/>
                <w:lang w:val="en-US" w:eastAsia="zh-CN" w:bidi="ar"/>
              </w:rPr>
              <w:t>及</w:t>
            </w:r>
            <w:r>
              <w:rPr>
                <w:rFonts w:hint="default" w:ascii="Times New Roman" w:hAnsi="Times New Roman" w:eastAsia="宋体" w:cs="Times New Roman"/>
                <w:kern w:val="2"/>
                <w:sz w:val="24"/>
                <w:szCs w:val="24"/>
                <w:highlight w:val="none"/>
                <w:lang w:val="en-US" w:eastAsia="zh-CN" w:bidi="ar"/>
              </w:rPr>
              <w:t>产品包装及装车作业场景；港口物流类型不少于4种。</w:t>
            </w:r>
          </w:p>
        </w:tc>
      </w:tr>
      <w:tr w14:paraId="3CF88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4EF95">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25</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46E44">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虚拟现实操作一体机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363D">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A9DB1">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套</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9C33">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系统硬件配置：</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硬件配置：采用≥Windows10系统、Inteli5处理器、确保多任务处理及 3D 程序流畅运行</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16G内存、21英寸触屏、硬盘（512GB），支持蓝牙4.0支持802.11a/b/g/n/ac高速无线传输</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硬件设备功能要求：</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1.支持按键式2D/3D切换；支持播放3D视频资源；</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2.系统参数，3D同步信号有效覆盖范围≥10米</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3.配套3D光学追踪眼镜设备参数要求：</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（1）精准追踪定位：蓝牙眼镜结构具备≥5个追踪Mark点，追踪系统捕捉到任意3点</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（2）信号传输性能：采用蓝牙技术传输3D同步信号，不受环境光影响，有效覆盖距离≥10米；</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（4）操作与续航：配备多功能实体按键，支持眼镜开启、关闭、蓝牙配对等操作；采用可更换的 RS2032 纽扣电池供电，电池有效工作时间≥100 小时</w:t>
            </w:r>
          </w:p>
        </w:tc>
      </w:tr>
      <w:tr w14:paraId="651A8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B0348">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26</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E85C6">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增强现实AR软件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E7DF">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332E6">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套</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A7C1">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1.需支持部署在Windows10及以上版本</w:t>
            </w:r>
          </w:p>
          <w:p w14:paraId="29D731D7">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2.支持将桌面虚拟交互教学一体机显示的内容以AR的方式，分享给本机的其他显示设备或者通过网络分享给其他的PC端。</w:t>
            </w:r>
          </w:p>
        </w:tc>
      </w:tr>
      <w:tr w14:paraId="1F449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D32ED">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27</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C4330">
            <w:pPr>
              <w:jc w:val="center"/>
              <w:rPr>
                <w:rFonts w:hint="eastAsia"/>
                <w:sz w:val="24"/>
                <w:szCs w:val="24"/>
                <w:highlight w:val="none"/>
                <w:lang w:bidi="ar"/>
              </w:rPr>
            </w:pPr>
            <w:r>
              <w:rPr>
                <w:rFonts w:hint="eastAsia"/>
                <w:sz w:val="24"/>
                <w:szCs w:val="24"/>
                <w:highlight w:val="none"/>
                <w:lang w:bidi="ar"/>
              </w:rPr>
              <w:t>智能拣选设备维护与保养三维虚拟仿真互动设备</w:t>
            </w:r>
          </w:p>
          <w:p w14:paraId="4F2D97E5">
            <w:pPr>
              <w:jc w:val="center"/>
              <w:rPr>
                <w:rFonts w:hint="eastAsia" w:ascii="宋体" w:hAnsi="宋体" w:eastAsia="宋体" w:cs="宋体"/>
                <w:i w:val="0"/>
                <w:iCs w:val="0"/>
                <w:color w:val="000000"/>
                <w:sz w:val="24"/>
                <w:szCs w:val="24"/>
                <w:highlight w:val="none"/>
                <w:u w:val="none"/>
              </w:rPr>
            </w:pPr>
            <w:r>
              <w:rPr>
                <w:rFonts w:hint="eastAsia"/>
                <w:b/>
                <w:bCs/>
                <w:sz w:val="21"/>
                <w:szCs w:val="21"/>
                <w:highlight w:val="none"/>
                <w:lang w:eastAsia="zh-CN" w:bidi="ar"/>
              </w:rPr>
              <w:t>（核心产品）</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BEC9">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4BA9C">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套</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AD50">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硬件参数：</w:t>
            </w:r>
          </w:p>
          <w:p w14:paraId="706A4EF6">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1.HD1080p超清分辨率</w:t>
            </w:r>
          </w:p>
          <w:p w14:paraId="537DC9D2">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2.具有自动对焦功能</w:t>
            </w:r>
          </w:p>
          <w:p w14:paraId="238253F1">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3.双麦克风立体音效</w:t>
            </w:r>
          </w:p>
          <w:p w14:paraId="72F686C5">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系统参数：</w:t>
            </w:r>
          </w:p>
          <w:p w14:paraId="1E521826">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4</w:t>
            </w:r>
            <w:r>
              <w:rPr>
                <w:rFonts w:hint="eastAsia" w:cs="Times New Roman"/>
                <w:kern w:val="2"/>
                <w:sz w:val="24"/>
                <w:szCs w:val="24"/>
                <w:highlight w:val="none"/>
                <w:lang w:val="en-US" w:eastAsia="zh-CN" w:bidi="ar"/>
              </w:rPr>
              <w:t>.</w:t>
            </w:r>
            <w:r>
              <w:rPr>
                <w:rFonts w:hint="eastAsia" w:ascii="Times New Roman" w:hAnsi="Times New Roman" w:eastAsia="宋体" w:cs="Times New Roman"/>
                <w:kern w:val="2"/>
                <w:sz w:val="24"/>
                <w:szCs w:val="24"/>
                <w:highlight w:val="none"/>
                <w:lang w:val="en-US" w:eastAsia="zh-CN" w:bidi="ar"/>
              </w:rPr>
              <w:t>根据真实设备模型图纸及图片搭建虚拟三维模型</w:t>
            </w:r>
          </w:p>
          <w:p w14:paraId="021375CD">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5</w:t>
            </w:r>
            <w:r>
              <w:rPr>
                <w:rFonts w:hint="eastAsia" w:cs="Times New Roman"/>
                <w:kern w:val="2"/>
                <w:sz w:val="24"/>
                <w:szCs w:val="24"/>
                <w:highlight w:val="none"/>
                <w:lang w:val="en-US" w:eastAsia="zh-CN" w:bidi="ar"/>
              </w:rPr>
              <w:t>.</w:t>
            </w:r>
            <w:r>
              <w:rPr>
                <w:rFonts w:hint="eastAsia" w:ascii="Times New Roman" w:hAnsi="Times New Roman" w:eastAsia="宋体" w:cs="Times New Roman"/>
                <w:kern w:val="2"/>
                <w:sz w:val="24"/>
                <w:szCs w:val="24"/>
                <w:highlight w:val="none"/>
                <w:lang w:val="en-US" w:eastAsia="zh-CN" w:bidi="ar"/>
              </w:rPr>
              <w:t>系统需具备原理学习、仿真操作等功能。</w:t>
            </w:r>
          </w:p>
          <w:p w14:paraId="7512BA7A">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6.设备需提供爆炸图展示功能，支持还原展示内部各部件功能；支持</w:t>
            </w:r>
            <w:r>
              <w:rPr>
                <w:rFonts w:hint="eastAsia" w:cs="Times New Roman"/>
                <w:kern w:val="2"/>
                <w:sz w:val="24"/>
                <w:szCs w:val="24"/>
                <w:highlight w:val="none"/>
                <w:lang w:val="en-US" w:eastAsia="zh-CN" w:bidi="ar"/>
              </w:rPr>
              <w:t>拣选</w:t>
            </w:r>
            <w:r>
              <w:rPr>
                <w:rFonts w:hint="eastAsia" w:ascii="Times New Roman" w:hAnsi="Times New Roman" w:eastAsia="宋体" w:cs="Times New Roman"/>
                <w:kern w:val="2"/>
                <w:sz w:val="24"/>
                <w:szCs w:val="24"/>
                <w:highlight w:val="none"/>
                <w:lang w:val="en-US" w:eastAsia="zh-CN" w:bidi="ar"/>
              </w:rPr>
              <w:t>AGV零部件的缩放观看功能，支持结构高透亮展示功能。</w:t>
            </w:r>
          </w:p>
          <w:p w14:paraId="3FE31DD3">
            <w:pPr>
              <w:jc w:val="left"/>
              <w:rPr>
                <w:rFonts w:hint="default"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7.设备需支持360°全方位对AG</w:t>
            </w:r>
            <w:r>
              <w:rPr>
                <w:rFonts w:hint="eastAsia" w:cs="Times New Roman"/>
                <w:kern w:val="2"/>
                <w:sz w:val="24"/>
                <w:szCs w:val="24"/>
                <w:highlight w:val="none"/>
                <w:lang w:val="en-US" w:eastAsia="zh-CN" w:bidi="ar"/>
              </w:rPr>
              <w:t>V</w:t>
            </w:r>
            <w:r>
              <w:rPr>
                <w:rFonts w:hint="eastAsia" w:ascii="Times New Roman" w:hAnsi="Times New Roman" w:eastAsia="宋体" w:cs="Times New Roman"/>
                <w:kern w:val="2"/>
                <w:sz w:val="24"/>
                <w:szCs w:val="24"/>
                <w:highlight w:val="none"/>
                <w:lang w:val="en-US" w:eastAsia="zh-CN" w:bidi="ar"/>
              </w:rPr>
              <w:t>的开机按钮、灯光指示、碰撞传感器、充电接口、急停开关等部件的完整性检查功能；支持一键呈现地面铺设二维码导航标识；支持AGV小车启动时开机闪烁响应功能；支持AGV小车实现模拟任务执行；支持AGV充电桩的开启、关闭功能；支持手动调整充电时长功能；支持机器人的增加、重启、移除、更替故障机器人的功能。</w:t>
            </w:r>
          </w:p>
          <w:p w14:paraId="04FBA796">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8.设备支持展示AGV常用专业拆卸工具栏，支持浏览点击查看不同型号工具样式；支持零部件独显功能，支持旋转、缩放单独查看零部件结构；具备新手模式和实训模式，支持自行切换模式学习；具备拆卸记录功能。</w:t>
            </w:r>
          </w:p>
          <w:p w14:paraId="4F2C8CD2">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9.设备支持显示AGV工作地面的检查周期、方法、内容、维保方法的标准或要求；支持不同作业区域的地面清洁任务，支持使用工具进行脏污地面的清洁操作，支持展示当前的清理完成进度；需具备AGV小车市面常见的运行故障情况的实训操作</w:t>
            </w:r>
            <w:r>
              <w:rPr>
                <w:rFonts w:hint="eastAsia" w:cs="Times New Roman"/>
                <w:kern w:val="2"/>
                <w:sz w:val="24"/>
                <w:szCs w:val="24"/>
                <w:highlight w:val="none"/>
                <w:lang w:val="en-US" w:eastAsia="zh-CN" w:bidi="ar"/>
              </w:rPr>
              <w:t>。</w:t>
            </w:r>
          </w:p>
        </w:tc>
      </w:tr>
      <w:tr w14:paraId="5014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03160">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28</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ED4F4">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智能货箱到人拣选设备维护与保养三维虚拟仿真互动设备</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6462">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05963">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套</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9BCA">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w:t>
            </w:r>
            <w:r>
              <w:rPr>
                <w:rFonts w:hint="eastAsia" w:cs="Times New Roman"/>
                <w:kern w:val="2"/>
                <w:sz w:val="24"/>
                <w:szCs w:val="24"/>
                <w:highlight w:val="none"/>
                <w:lang w:val="en-US" w:eastAsia="zh-CN" w:bidi="ar"/>
              </w:rPr>
              <w:t>根据</w:t>
            </w:r>
            <w:r>
              <w:rPr>
                <w:rFonts w:hint="eastAsia" w:ascii="Times New Roman" w:hAnsi="Times New Roman" w:eastAsia="宋体" w:cs="Times New Roman"/>
                <w:kern w:val="2"/>
                <w:sz w:val="24"/>
                <w:szCs w:val="24"/>
                <w:highlight w:val="none"/>
                <w:lang w:val="en-US" w:eastAsia="zh-CN" w:bidi="ar"/>
              </w:rPr>
              <w:t>真实设备模型图纸及图片搭建虚拟三维模型。</w:t>
            </w:r>
          </w:p>
          <w:p w14:paraId="622EF858">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2、具备并提供料箱机器人的认识及实训教学内容有设备认知、设备使用、设备组装、设备拆卸、设备操作与维护、设备常见故障处理等六种实训教学资源。</w:t>
            </w:r>
          </w:p>
          <w:p w14:paraId="116642E9">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3、设备需提供爆炸图展示功能，支持还原展示内部各部件功能；支持AGV零部件的缩放观看功能，支持结构高透亮展示功能。</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4、设备支持全方位缩放完成机器人主要部件的完整性检查；支持料箱机器人启动作业；支持料箱机器人空载运行的模拟任务；支持机器人的移除：支持料箱机器人关机作业，并说明料箱机器人的移除情况。</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5、设备拆卸支持料箱机器人常用专业拆卸工具展示栏，并可点击查看不同型号工具样式；支持零部件独显功能；支持各零件的名称标签；支持拆卸记录功能，可统计并查看拆卸实训过程中的错误操作记录。</w:t>
            </w:r>
          </w:p>
        </w:tc>
      </w:tr>
      <w:tr w14:paraId="79650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7CF77">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29</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FEBB">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国际物流台式计算机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7A39">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6174">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台</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C5EF">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1.处理器：Inteli5处理器</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2.内存：≥8G</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3.显卡：集成显卡</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4.硬盘：≥1T</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5.网卡：集成 2500M 网卡</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6.显示器：≥21.5 英寸液晶显示器</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7.支持网络同传和硬盘保护</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8.预装最新正版操作系统</w:t>
            </w:r>
          </w:p>
        </w:tc>
      </w:tr>
      <w:tr w14:paraId="14387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D07D7">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30</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FC8A0">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接入交换机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93A9">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B3F8F">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个</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3CE6">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1.交换容量：≥50Gbps</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2.下行端口：24个10/100/1000BASE-T以太网端口</w:t>
            </w:r>
          </w:p>
        </w:tc>
      </w:tr>
      <w:tr w14:paraId="51904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B117C">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31</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B0F77">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核心交换机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DBEA">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D57D1">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个</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5005">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1.固定端口：24个10/100/1000Base-T以太网端口，4个千兆光口</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2.内存：≥512MB</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3.VLAN特性：需支持4K VLAN、支持GVRP协议、支持MUX VLAN功能、支持基于MAC/协议端口的VLAN、支持Guest VLAN、支持Voice VLAN</w:t>
            </w:r>
          </w:p>
        </w:tc>
      </w:tr>
      <w:tr w14:paraId="26A33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4211C">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32</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9C27F">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无线AC</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F743">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A0A36">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个</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9A22">
            <w:pPr>
              <w:jc w:val="left"/>
              <w:rPr>
                <w:rFonts w:hint="default"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1.以太网端口：≥2个自动MDX、自动感应</w:t>
            </w:r>
          </w:p>
          <w:p w14:paraId="3E9B9801">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2.并发用户量：每个接入点可容纳不少于500个客户端</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3.需并发VoIP客户端不少于30个</w:t>
            </w:r>
          </w:p>
        </w:tc>
      </w:tr>
      <w:tr w14:paraId="45DE9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F9A76">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33</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43E55">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无线AP</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391B">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B327A">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个</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60A9">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需支持wave2，MU-MIMO,速率≥1200Mbps</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2.需支持云 AP 模式，进行统一集中管理,≥1个千兆电口+1console口</w:t>
            </w:r>
          </w:p>
          <w:p w14:paraId="72AD1F2C">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3.需支持 IPv4/IPv6 双协议栈(Native IPv6)</w:t>
            </w:r>
          </w:p>
        </w:tc>
      </w:tr>
      <w:tr w14:paraId="59462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2FE66">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34</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88AB8">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网络机柜</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9620">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DE684">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个</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C78E">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1.规格：≥35U机柜</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2.功能：可安装交换机、路由器、配线架、服务器等网络设备</w:t>
            </w:r>
          </w:p>
        </w:tc>
      </w:tr>
      <w:tr w14:paraId="0E66C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EDDE4">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35</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949C7">
            <w:pPr>
              <w:jc w:val="center"/>
              <w:rPr>
                <w:rFonts w:hint="eastAsia" w:ascii="宋体" w:hAnsi="宋体" w:eastAsia="宋体" w:cs="宋体"/>
                <w:i w:val="0"/>
                <w:iCs w:val="0"/>
                <w:color w:val="000000"/>
                <w:sz w:val="24"/>
                <w:szCs w:val="24"/>
                <w:highlight w:val="none"/>
                <w:u w:val="none"/>
              </w:rPr>
            </w:pPr>
            <w:r>
              <w:rPr>
                <w:rFonts w:hint="eastAsia"/>
                <w:sz w:val="24"/>
                <w:szCs w:val="24"/>
                <w:highlight w:val="none"/>
                <w:lang w:bidi="ar"/>
              </w:rPr>
              <w:t>LED可视化大屏</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2F73">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sz w:val="24"/>
                <w:szCs w:val="24"/>
                <w:highlight w:val="none"/>
                <w:lang w:bidi="ar"/>
              </w:rPr>
              <w:t>15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9D90">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szCs w:val="24"/>
                <w:highlight w:val="none"/>
                <w:lang w:bidi="ar"/>
              </w:rPr>
              <w:t>平方米</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003E">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1.点间距：≤2.5 mm</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2.封装：三合一SMD</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3.模组尺寸：320*160 mm</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4.模组分辨率：128*64 dots</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5.刷新率：≥3840hz</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6.亮度/nit：≥500</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7.对比度：≥5000:1</w:t>
            </w:r>
          </w:p>
        </w:tc>
      </w:tr>
      <w:tr w14:paraId="6DC32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9"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44AB7">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67BB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财会职业能力养成实践平台</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5CFE">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4423B">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E81E">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 需提供网络服务器版：安装机房服务器，学生电脑直接通过网页访问使用，无用户数量限制，方便所有相关专业学生使用；</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2.需提供终端载体单机版（单机U盘版，实现口袋式移动资源）。实现口袋式资源平台，随身携带，方便教师学生随时随地在有电脑的地方使用软件；</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3. 需包括信息中心系统、业务协同系统、出纳账系统、仓储系统、网上银行系统、会计信息化系统、保险柜系统、电子税务局系统（包含开票业务、税费申报及缴纳和税务数字账户三个模块）、自然人税收管理系统、财务分析系统、计算机审计系统、帮助系统、评价系统包括但不限于以上十三个系统；</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4. 需具有分岗功能，业务协同系统、会计信息化系统、审计系统、网上银行系统有分岗位操作；</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5. 需支持业务协同、网上银行、电子税务局、自然人税收管理系统产生的数据均进入会计信息化系统，会计信息化系统数据进入审计系统、财务分析系统；</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6. 信息中心系统中存有平台企业基本信息、企业介绍、财务制度等内容，各种企业档案信息存放于信息中心系统中，在实际业务办理、款项支付、会计核算等工作中将被应用；</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7. 业务协同系统还原企业实际业务等操作功能；</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8. 会计信息化系统仿真企业实际电算化系统，会计信息化系统具有科目辅助核算功能，能够配合平台其他系统，做到正确判断，准确入账；</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9. 网上银行系统仿真现实企业网上银行用户端，系统将付款业务中的制单操作和审批操作权限分配给两个岗位人员，体现了内部控制流程和资金安全管理制度；</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10. 保险柜系统仿真现实中的实物保险柜的基础技能操作训练；帮助学生核查现金日记账登记；</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11. 出纳账系统包括现金日记账、银行存款日记账、现金支票领用登记簿、转账支票领用登记簿、应收票据备查簿、应付票据备查簿等内容；</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12. 仓储系统主要包括单据录入、单据查询、物料编码、物料明细等功能；</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13. 电子税务局系统开票业务模块模拟现实金税四期下全面数字化的电子发票开具并支持原始凭证复印功能；</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14. 支持电子税务局系统开票业务模拟金税四期下蓝字发票和红字发票的开具；</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15. 总体内容概况：至少不低于5个账套，涉及业务办理、财务核算、税务处理、审计工作、智能分析等方面内容；</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16. 实训账套内容：</w:t>
            </w:r>
          </w:p>
          <w:p w14:paraId="073ED404">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模拟不少于5种企业的经济业务，业务涉及筹融资业务、投资业务、日常业务、经营业务、涉税业务等经济业务办理及账务处理；网上银行付款；保险柜存取款；出纳账填写；增值税发票填开；收到增值税专用发票认证；税费申报及缴纳等。</w:t>
            </w:r>
          </w:p>
        </w:tc>
      </w:tr>
      <w:tr w14:paraId="7822A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487B6">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37</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E6AC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直播电商一体化实训管理平台</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64AD">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87AC2">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FC5F">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需包括直播电商运营、策划、主播孵化、直播带货、直播推广、直播电商运营分析等六个模块。</w:t>
            </w:r>
          </w:p>
          <w:p w14:paraId="2D79A1B7">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.需包含不同的录屏，包含单品脚本话术设计技巧、互动脚本话术设计技巧、整场脚本流程设计的方法。</w:t>
            </w:r>
          </w:p>
          <w:p w14:paraId="6033999E">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3.需搭建原生主播APP，利用 Andriod 手机 APP 端进行直播任务。需提供不同的典型工作任务。</w:t>
            </w:r>
          </w:p>
          <w:p w14:paraId="2C33C712">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4.需提供线上推流与线下录播两种直播形式。</w:t>
            </w:r>
          </w:p>
          <w:p w14:paraId="778D635F">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6.支持直播过程中弹幕、推送产品效果、预告封面效果等效果的查看，提供镜头翻转、退出直播、美颜滤镜、直播计时等功能。</w:t>
            </w:r>
          </w:p>
          <w:p w14:paraId="071BE0FC">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7.需支持提供背景材料、直播素材、任务要求及系统规则。</w:t>
            </w:r>
          </w:p>
          <w:p w14:paraId="27C3E82F">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8.支持直播选品，对目标选品的商品定价及采购。</w:t>
            </w:r>
          </w:p>
          <w:p w14:paraId="457B9033">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9.支持制定各直播商品主题策划及销售策略。</w:t>
            </w:r>
          </w:p>
          <w:p w14:paraId="7BFA6403">
            <w:pPr>
              <w:jc w:val="left"/>
              <w:rPr>
                <w:rFonts w:hint="eastAsia" w:ascii="Times New Roman" w:hAnsi="Times New Roman" w:eastAsia="宋体" w:cs="Times New Roman"/>
                <w:kern w:val="2"/>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10.支持直播商品的添加、上架、下架、删除及编辑全场脚本策划和数据看板功能。</w:t>
            </w:r>
          </w:p>
        </w:tc>
      </w:tr>
      <w:tr w14:paraId="3D230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1"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F3A78">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B9AC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跨境电子商务综合技能训练平台</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0F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3E43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1D4F">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1.设备需支持新增评委、学生，指定赛场；具备多角色登录；管理员模块：需支持管理员设置比赛赛场；具备成绩管理功能。</w:t>
            </w:r>
          </w:p>
          <w:p w14:paraId="122A839E">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2.需包括出口业务模块和进口业务模块，出口业务模块需具备企业创建功能；需具备运营经理；需具备亚马逊开店功能；需具备市场数据分析、商品刊登与管理、广告活动的发布、收支管理。</w:t>
            </w:r>
          </w:p>
          <w:p w14:paraId="344E5B39">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3.需支持选品功能、供应链管理、仓库租赁、库存监控、订单发/退货、采购进口商品业务洽谈、采购预算、签订合同、船务管理、网上支付、报关报检、港口提货、商品上架、订单处理、评委老师</w:t>
            </w:r>
          </w:p>
          <w:p w14:paraId="25F05653">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4.支持海量学习资源的快速获取和统一的教学管理。</w:t>
            </w:r>
          </w:p>
          <w:p w14:paraId="6127B518">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5.支持学生、教师两种角色体验，支持不同的操作权限。</w:t>
            </w:r>
          </w:p>
          <w:p w14:paraId="6202476A">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6.支持首页教学概览、学生情况与知识掌握情况查看、智能评分、单元测试布置与评估、课程公告发布、互动问答与提问交流、首页学习概览、技能任务实践与学习进度查看、作业提交与自动评分反馈、单元测试与考试练习、自主学习进度管理、互动问答与实时交流</w:t>
            </w:r>
            <w:r>
              <w:rPr>
                <w:rFonts w:hint="eastAsia" w:cs="Times New Roman"/>
                <w:kern w:val="2"/>
                <w:sz w:val="24"/>
                <w:szCs w:val="24"/>
                <w:highlight w:val="none"/>
                <w:lang w:val="en-US" w:eastAsia="zh-CN" w:bidi="ar"/>
              </w:rPr>
              <w:t>。</w:t>
            </w:r>
          </w:p>
        </w:tc>
      </w:tr>
      <w:tr w14:paraId="2823E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D5D7A">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39</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A101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TikTok Shop跨境电商实战服务项目</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6DD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9A61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BF33">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1.支持店铺运营逻辑理解、实际操作流程掌握、选品上新、订单处理、数据优化、玩法升级及利润放大等关键技能。</w:t>
            </w:r>
          </w:p>
          <w:p w14:paraId="0C85EDF7">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2.需包含专属TikTok Shop本土账号，支持产品设计、订单处理、工厂生产到物流发运的全链条自动化与智能化管理。</w:t>
            </w:r>
          </w:p>
          <w:p w14:paraId="01C2BBC7">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4.需支持线下深度培训，内容包括TikTok Shop认知与基础设置、选品与商品管理、营销策略制定与实施、数据分析与链接优化、订单处理与客户服务以及持续优化与上新等。</w:t>
            </w:r>
          </w:p>
          <w:p w14:paraId="367D3490">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5.需支持店铺利润分成。</w:t>
            </w:r>
          </w:p>
          <w:p w14:paraId="5FA21EFC">
            <w:pPr>
              <w:jc w:val="left"/>
              <w:rPr>
                <w:rFonts w:hint="eastAsia" w:ascii="Times New Roman" w:hAnsi="Times New Roman" w:eastAsia="宋体" w:cs="Times New Roman"/>
                <w:kern w:val="2"/>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6.需支持现场订单处理与数据优化进行店铺诊断，优化运营策略，选品上新。</w:t>
            </w:r>
          </w:p>
        </w:tc>
      </w:tr>
      <w:tr w14:paraId="3BF81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EF6A4">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highlight w:val="none"/>
                <w:lang w:bidi="ar"/>
              </w:rPr>
              <w:t>40</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4A2BA">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Times New Roman" w:hAnsi="Times New Roman" w:eastAsia="宋体" w:cs="Times New Roman"/>
                <w:kern w:val="2"/>
                <w:sz w:val="24"/>
                <w:szCs w:val="24"/>
                <w:highlight w:val="none"/>
                <w:lang w:val="en-US" w:eastAsia="zh-CN" w:bidi="ar"/>
              </w:rPr>
              <w:t>边贸物流仓储联动设备</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8257">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highlight w:val="none"/>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A5804">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highlight w:val="none"/>
                <w:lang w:bidi="ar"/>
              </w:rPr>
              <w:t>套</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34A5">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网关控制器</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 xml:space="preserve">（1）通信与网络指标：需支持标准LoRaWAN，工作频段：需支持CN470-510MHz </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（2）硬件性能配置：≥4核处理器，1.5 GHz；网口：千兆PoE网口；调试串口：≥1×Type-C 接口</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（3）蜂窝网络：需支持三大运营商网络</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Wi-Fi： IEEE 802.11 b/g/n，2.4GHz （客户端与AP模式）</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（4）标准数据转发协议：需支持MQTT&amp;HTTP&amp;HTTPS数据转发</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（5）软件功能：需支持底噪扫描，为提供可靠的信道部署提供科学依据</w:t>
            </w:r>
          </w:p>
          <w:p w14:paraId="1BAE3EBA">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（6）产品需符合国家电信进网标准。（需要提供有效期内工信部电信设备进网批文并盖章）</w:t>
            </w:r>
          </w:p>
          <w:p w14:paraId="22A51B82">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（7）设备需符合GB4943.1-2011《信息技术设备安全第1部分：通用要求》，并</w:t>
            </w:r>
            <w:r>
              <w:rPr>
                <w:rFonts w:hint="eastAsia" w:cs="Times New Roman"/>
                <w:kern w:val="2"/>
                <w:sz w:val="24"/>
                <w:szCs w:val="24"/>
                <w:highlight w:val="none"/>
                <w:lang w:val="en-US" w:eastAsia="zh-CN" w:bidi="ar"/>
              </w:rPr>
              <w:t>具有</w:t>
            </w:r>
            <w:r>
              <w:rPr>
                <w:rFonts w:hint="eastAsia" w:ascii="Times New Roman" w:hAnsi="Times New Roman" w:eastAsia="宋体" w:cs="Times New Roman"/>
                <w:kern w:val="2"/>
                <w:sz w:val="24"/>
                <w:szCs w:val="24"/>
                <w:highlight w:val="none"/>
                <w:lang w:val="en-US" w:eastAsia="zh-CN" w:bidi="ar"/>
              </w:rPr>
              <w:t>第三方检验机构出具的CNAS检测报告.（需要提供相关检测报告并盖章）</w:t>
            </w:r>
          </w:p>
          <w:p w14:paraId="1BE71422">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门磁传感器</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（1）监测参数：需支持监控温度（-30°C ~70°C）、湿度（0% ~100% RH）</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（2）温度采集范围：需支持在0~70°C范围</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（3）配置方式：需支持手机NFC配置</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（4）安装方式：需支持壁挂安装</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（5）防护等级：需≥IP67</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（6）通信协议：标准LoRaWAN</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 xml:space="preserve">（7）电池寿命：&gt;10年 </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（8）功能配置：需支持参数校准、阈值告警、下发指令修改上报周期、支持配置备份与还原以及D2D功能。</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超声波距离传感器</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（1）通信协议：需支持标准LoRaWAN。</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（2）调试串口：≥1个USB Type C口（可用于本地配置）；</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（3）供电方式：电池供电，内置≥15000毫安锂电池（可替换），续航&gt;10年（10分钟上报周期）；</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（4）防护等级：≥IP67，具有权威专业机构出具的IP67测试报告；（需要提供证书复印件/扫描件并盖章）</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（5）安装方式：需支持抱杆，壁挂和DIN导轨安装；</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（6）数据重传与回传：需支持断网数据重传；可下发指令查询指定时间点/时间段的历史存储数据</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（7）软件功能：支持参数校准、修改上报周期、支持配置备份与还原、可设置阈值告警上报</w:t>
            </w:r>
          </w:p>
          <w:p w14:paraId="6C755C2A">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（8）具有第三方检测机构出具的校准证书；（需要提供证书复印件/扫描件并盖章）</w:t>
            </w:r>
          </w:p>
        </w:tc>
      </w:tr>
      <w:tr w14:paraId="6E35B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B6A74">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highlight w:val="none"/>
                <w:lang w:bidi="ar"/>
              </w:rPr>
              <w:t>41</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49C9A">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Times New Roman" w:hAnsi="Times New Roman" w:eastAsia="宋体" w:cs="Times New Roman"/>
                <w:kern w:val="2"/>
                <w:sz w:val="24"/>
                <w:szCs w:val="24"/>
                <w:highlight w:val="none"/>
                <w:lang w:val="en-US" w:eastAsia="zh-CN" w:bidi="ar"/>
              </w:rPr>
              <w:t>海关综合业务模拟柜台</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4635">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highlight w:val="none"/>
                <w:lang w:bidi="ar"/>
              </w:rPr>
              <w:t>5</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1C92C">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highlight w:val="none"/>
                <w:lang w:bidi="ar"/>
              </w:rPr>
              <w:t>套</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549D">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需模拟海关综合业务窗口，涵盖报关公司、广告公司、航空代理、保险公司、出口地银行、海关、外汇局、集装箱堆场、进口地银行等12个窗口。</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1.规格：根据现场确定；</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2.采用优质环保中密度纤维板；</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3.面材：台面板，双面贴优质天然胡桃木皮，环保水性油漆，油漆工艺达到美观，不变色透明性好，平滑手感好，漆膜附着力强达到1级，需具有较强的耐磨与抗划伤，需采用优质五金连接件，白色钢制桌架。</w:t>
            </w:r>
          </w:p>
        </w:tc>
      </w:tr>
      <w:tr w14:paraId="28DD3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5D6B9">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highlight w:val="none"/>
                <w:lang w:bidi="ar"/>
              </w:rPr>
              <w:t>42</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6F8AE">
            <w:pPr>
              <w:jc w:val="center"/>
              <w:rPr>
                <w:rFonts w:hint="default"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中欧班列3D实景交互式实训设备</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9091">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highlight w:val="none"/>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22C17">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highlight w:val="none"/>
                <w:lang w:bidi="ar"/>
              </w:rPr>
              <w:t>套</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C433">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1.全景漫游，展示场景可缩放观看，场景中的人物、车辆等动态物体均为真实场景，无虚拟建模。</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 动画、视频、图片、文字等多媒体形式讲解不同类型的铁路重点区域</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3.场景内容：需包含不同类型铁路物流的作业场景，集装箱堆场全景、班列火车出入站。</w:t>
            </w:r>
          </w:p>
          <w:p w14:paraId="08A0AA50">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4.需提供地图全览展示。</w:t>
            </w:r>
          </w:p>
          <w:p w14:paraId="3D8E71A7">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5.需支持多种岗位的列表视图查看。</w:t>
            </w:r>
          </w:p>
          <w:p w14:paraId="7BE0B65F">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6.场景资源需具备以下作业环节内容：360°全景展示集装箱堆场；展示班列火车驶入客运站场景；展示货运场站内部工作室场景；展示班列火车驶离场站场景。</w:t>
            </w:r>
          </w:p>
        </w:tc>
      </w:tr>
      <w:tr w14:paraId="5166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7D77A">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highlight w:val="none"/>
                <w:lang w:bidi="ar"/>
              </w:rPr>
              <w:t>43</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A7551">
            <w:pPr>
              <w:jc w:val="center"/>
              <w:rPr>
                <w:rFonts w:hint="default"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进出口报关</w:t>
            </w:r>
            <w:r>
              <w:rPr>
                <w:rFonts w:hint="eastAsia" w:cs="Times New Roman"/>
                <w:kern w:val="2"/>
                <w:sz w:val="24"/>
                <w:szCs w:val="24"/>
                <w:highlight w:val="none"/>
                <w:lang w:val="en-US" w:eastAsia="zh-CN" w:bidi="ar"/>
              </w:rPr>
              <w:t>实时系统</w:t>
            </w:r>
            <w:r>
              <w:rPr>
                <w:rFonts w:hint="eastAsia" w:ascii="Times New Roman" w:hAnsi="Times New Roman" w:eastAsia="宋体" w:cs="Times New Roman"/>
                <w:kern w:val="2"/>
                <w:sz w:val="24"/>
                <w:szCs w:val="24"/>
                <w:highlight w:val="none"/>
                <w:lang w:val="en-US" w:eastAsia="zh-CN" w:bidi="ar"/>
              </w:rPr>
              <w:t>平台设备</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9073">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highlight w:val="none"/>
                <w:lang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4B920">
            <w:pPr>
              <w:jc w:val="center"/>
              <w:rPr>
                <w:rFonts w:hint="default" w:ascii="宋体" w:hAnsi="宋体" w:eastAsia="宋体" w:cs="宋体"/>
                <w:i w:val="0"/>
                <w:iCs w:val="0"/>
                <w:color w:val="000000"/>
                <w:kern w:val="0"/>
                <w:sz w:val="24"/>
                <w:szCs w:val="24"/>
                <w:highlight w:val="none"/>
                <w:u w:val="none"/>
                <w:lang w:val="en-US" w:eastAsia="zh-CN" w:bidi="ar"/>
              </w:rPr>
            </w:pPr>
            <w:r>
              <w:rPr>
                <w:rFonts w:hint="eastAsia"/>
                <w:highlight w:val="none"/>
                <w:lang w:bidi="ar"/>
              </w:rPr>
              <w:t>套</w:t>
            </w:r>
          </w:p>
        </w:tc>
        <w:tc>
          <w:tcPr>
            <w:tcW w:w="6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79E3">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1.系统需要有三级管理及操作端口</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2.学生了解报关全过程的各个环节，掌握海关实务的理论知识和操作技能</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3.教师端需要可以设置不同贸易方式的实验，学生根据教师设置的实验信息完成相关任务。</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4.以真实工作任务及其工作过程为依据整合、程序化实践教学内容。</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5.需具备基本管理、系统维护、数据库备份与还原、管理员个人信息管理等。需要包括用户管理/实验管理/实验考核/基础数据。</w:t>
            </w:r>
            <w:r>
              <w:rPr>
                <w:rFonts w:hint="eastAsia" w:ascii="Times New Roman" w:hAnsi="Times New Roman" w:eastAsia="宋体" w:cs="Times New Roman"/>
                <w:kern w:val="2"/>
                <w:sz w:val="24"/>
                <w:szCs w:val="24"/>
                <w:highlight w:val="none"/>
                <w:lang w:val="en-US" w:eastAsia="zh-CN" w:bidi="ar"/>
              </w:rPr>
              <w:br w:type="textWrapping"/>
            </w:r>
            <w:r>
              <w:rPr>
                <w:rFonts w:hint="eastAsia" w:ascii="Times New Roman" w:hAnsi="Times New Roman" w:eastAsia="宋体" w:cs="Times New Roman"/>
                <w:kern w:val="2"/>
                <w:sz w:val="24"/>
                <w:szCs w:val="24"/>
                <w:highlight w:val="none"/>
                <w:lang w:val="en-US" w:eastAsia="zh-CN" w:bidi="ar"/>
              </w:rPr>
              <w:t>6.需具备该实验的一般进口贸易、一般出口贸易、进料加工贸易、进料料件内销贸易、来料深加工贸易、来料余料结转贸易、退运复出口报关等。</w:t>
            </w:r>
          </w:p>
          <w:p w14:paraId="11BE28E3">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7.需提供在企业大环境中进行</w:t>
            </w:r>
            <w:r>
              <w:rPr>
                <w:rFonts w:hint="eastAsia" w:cs="Times New Roman"/>
                <w:kern w:val="2"/>
                <w:sz w:val="24"/>
                <w:szCs w:val="24"/>
                <w:highlight w:val="none"/>
                <w:lang w:val="en-US" w:eastAsia="zh-CN" w:bidi="ar"/>
              </w:rPr>
              <w:t>日常事务</w:t>
            </w:r>
            <w:r>
              <w:rPr>
                <w:rFonts w:hint="eastAsia" w:ascii="Times New Roman" w:hAnsi="Times New Roman" w:eastAsia="宋体" w:cs="Times New Roman"/>
                <w:kern w:val="2"/>
                <w:sz w:val="24"/>
                <w:szCs w:val="24"/>
                <w:highlight w:val="none"/>
                <w:lang w:val="en-US" w:eastAsia="zh-CN" w:bidi="ar"/>
              </w:rPr>
              <w:t>处理，在虚拟动画接待室场景、虚拟动画会议室场景等虚拟场景中进行指定接待的外贸企业接待任务情景，并完成客户接待单、会议记录等单据的填写。</w:t>
            </w:r>
          </w:p>
          <w:p w14:paraId="10BD8E6B">
            <w:pPr>
              <w:jc w:val="left"/>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 xml:space="preserve">8.需具备典型案例市场分析模块，分析模型对企业的总战略、财务战略、研发战略、人力资源战略、生产运作战略、营销战略分别进行企业优势、劣势、机会和威胁分析。 </w:t>
            </w:r>
          </w:p>
        </w:tc>
      </w:tr>
    </w:tbl>
    <w:p w14:paraId="299558E0">
      <w:pPr>
        <w:spacing w:line="240" w:lineRule="auto"/>
        <w:rPr>
          <w:rFonts w:hint="eastAsia" w:asciiTheme="minorEastAsia" w:hAnsiTheme="minorEastAsia" w:eastAsiaTheme="minorEastAsia" w:cstheme="minorEastAsia"/>
          <w:b/>
          <w:sz w:val="32"/>
          <w:szCs w:val="32"/>
          <w:highlight w:val="none"/>
        </w:rPr>
      </w:pPr>
    </w:p>
    <w:p w14:paraId="5B69796B">
      <w:pPr>
        <w:spacing w:line="240" w:lineRule="auto"/>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br w:type="page"/>
      </w:r>
    </w:p>
    <w:p w14:paraId="07649070">
      <w:pPr>
        <w:spacing w:line="240" w:lineRule="auto"/>
        <w:jc w:val="center"/>
        <w:rPr>
          <w:rFonts w:hint="eastAsia" w:asciiTheme="minorEastAsia" w:hAnsiTheme="minorEastAsia" w:eastAsiaTheme="minorEastAsia" w:cstheme="minorEastAsia"/>
          <w:b/>
          <w:sz w:val="28"/>
          <w:szCs w:val="28"/>
          <w:highlight w:val="none"/>
        </w:rPr>
      </w:pPr>
    </w:p>
    <w:p w14:paraId="4040E1AF">
      <w:pPr>
        <w:spacing w:line="240" w:lineRule="auto"/>
        <w:jc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第六章  投标文件格式</w:t>
      </w:r>
    </w:p>
    <w:p w14:paraId="0CFA0027">
      <w:pPr>
        <w:pStyle w:val="65"/>
        <w:spacing w:line="240" w:lineRule="auto"/>
        <w:ind w:firstLine="161" w:firstLineChars="50"/>
        <w:rPr>
          <w:rFonts w:hint="eastAsia" w:asciiTheme="minorEastAsia" w:hAnsiTheme="minorEastAsia" w:eastAsiaTheme="minorEastAsia" w:cstheme="minorEastAsia"/>
          <w:b/>
          <w:color w:val="auto"/>
          <w:sz w:val="32"/>
          <w:szCs w:val="32"/>
          <w:highlight w:val="none"/>
        </w:rPr>
      </w:pPr>
    </w:p>
    <w:p w14:paraId="6CE6ED7F">
      <w:pPr>
        <w:spacing w:line="240" w:lineRule="auto"/>
        <w:ind w:firstLine="454"/>
        <w:rPr>
          <w:rFonts w:hint="eastAsia" w:asciiTheme="minorEastAsia" w:hAnsiTheme="minorEastAsia" w:eastAsiaTheme="minorEastAsia" w:cstheme="minorEastAsia"/>
          <w:spacing w:val="-12"/>
          <w:sz w:val="30"/>
          <w:highlight w:val="none"/>
        </w:rPr>
      </w:pPr>
    </w:p>
    <w:p w14:paraId="4B5CAFBE">
      <w:pPr>
        <w:spacing w:line="240" w:lineRule="auto"/>
        <w:jc w:val="center"/>
        <w:rPr>
          <w:rFonts w:hint="eastAsia" w:asciiTheme="minorEastAsia" w:hAnsiTheme="minorEastAsia" w:eastAsiaTheme="minorEastAsia" w:cstheme="minorEastAsia"/>
          <w:sz w:val="24"/>
          <w:szCs w:val="32"/>
          <w:highlight w:val="none"/>
        </w:rPr>
      </w:pPr>
    </w:p>
    <w:p w14:paraId="559ED407">
      <w:pPr>
        <w:pStyle w:val="17"/>
        <w:spacing w:line="240" w:lineRule="auto"/>
        <w:jc w:val="center"/>
        <w:rPr>
          <w:rFonts w:hint="eastAsia" w:asciiTheme="minorEastAsia" w:hAnsiTheme="minorEastAsia" w:eastAsiaTheme="minorEastAsia" w:cstheme="minorEastAsia"/>
          <w:b/>
          <w:bCs/>
          <w:spacing w:val="72"/>
          <w:sz w:val="72"/>
          <w:highlight w:val="none"/>
          <w:lang w:eastAsia="zh-CN"/>
        </w:rPr>
      </w:pPr>
      <w:r>
        <w:rPr>
          <w:rFonts w:hint="eastAsia" w:asciiTheme="minorEastAsia" w:hAnsiTheme="minorEastAsia" w:eastAsiaTheme="minorEastAsia" w:cstheme="minorEastAsia"/>
          <w:b/>
          <w:bCs/>
          <w:kern w:val="0"/>
          <w:sz w:val="44"/>
          <w:szCs w:val="44"/>
          <w:highlight w:val="none"/>
          <w:lang w:eastAsia="zh-CN"/>
        </w:rPr>
        <w:t>新疆应用职业技术学院******设备采购项目</w:t>
      </w:r>
    </w:p>
    <w:p w14:paraId="5453694D">
      <w:pPr>
        <w:pStyle w:val="10"/>
        <w:spacing w:line="240" w:lineRule="auto"/>
        <w:rPr>
          <w:rFonts w:hint="eastAsia" w:asciiTheme="minorEastAsia" w:hAnsiTheme="minorEastAsia" w:eastAsiaTheme="minorEastAsia" w:cstheme="minorEastAsia"/>
          <w:highlight w:val="none"/>
        </w:rPr>
      </w:pPr>
    </w:p>
    <w:p w14:paraId="39306C7E">
      <w:pPr>
        <w:spacing w:line="240" w:lineRule="auto"/>
        <w:jc w:val="center"/>
        <w:rPr>
          <w:rFonts w:hint="eastAsia" w:asciiTheme="minorEastAsia" w:hAnsiTheme="minorEastAsia" w:eastAsiaTheme="minorEastAsia" w:cstheme="minorEastAsia"/>
          <w:spacing w:val="72"/>
          <w:sz w:val="72"/>
          <w:highlight w:val="none"/>
        </w:rPr>
      </w:pPr>
      <w:r>
        <w:rPr>
          <w:rFonts w:hint="eastAsia" w:asciiTheme="minorEastAsia" w:hAnsiTheme="minorEastAsia" w:eastAsiaTheme="minorEastAsia" w:cstheme="minorEastAsia"/>
          <w:b/>
          <w:bCs/>
          <w:spacing w:val="72"/>
          <w:sz w:val="72"/>
          <w:highlight w:val="none"/>
        </w:rPr>
        <w:t>投 标 文 件</w:t>
      </w:r>
    </w:p>
    <w:p w14:paraId="51DB81CA">
      <w:pPr>
        <w:spacing w:line="240" w:lineRule="auto"/>
        <w:ind w:firstLine="454"/>
        <w:jc w:val="center"/>
        <w:rPr>
          <w:rFonts w:hint="eastAsia" w:asciiTheme="minorEastAsia" w:hAnsiTheme="minorEastAsia" w:eastAsiaTheme="minorEastAsia" w:cstheme="minorEastAsia"/>
          <w:b/>
          <w:spacing w:val="72"/>
          <w:sz w:val="28"/>
          <w:szCs w:val="28"/>
          <w:highlight w:val="none"/>
        </w:rPr>
      </w:pPr>
    </w:p>
    <w:p w14:paraId="70AC95A3">
      <w:pPr>
        <w:spacing w:line="240" w:lineRule="auto"/>
        <w:ind w:firstLine="454"/>
        <w:jc w:val="center"/>
        <w:rPr>
          <w:rFonts w:hint="eastAsia" w:asciiTheme="minorEastAsia" w:hAnsiTheme="minorEastAsia" w:eastAsiaTheme="minorEastAsia" w:cstheme="minorEastAsia"/>
          <w:b/>
          <w:spacing w:val="72"/>
          <w:sz w:val="28"/>
          <w:szCs w:val="28"/>
          <w:highlight w:val="none"/>
        </w:rPr>
      </w:pPr>
    </w:p>
    <w:p w14:paraId="001B4077">
      <w:pPr>
        <w:spacing w:line="240" w:lineRule="auto"/>
        <w:ind w:firstLine="454"/>
        <w:jc w:val="center"/>
        <w:rPr>
          <w:rFonts w:hint="eastAsia" w:asciiTheme="minorEastAsia" w:hAnsiTheme="minorEastAsia" w:eastAsiaTheme="minorEastAsia" w:cstheme="minorEastAsia"/>
          <w:b/>
          <w:spacing w:val="72"/>
          <w:sz w:val="28"/>
          <w:szCs w:val="28"/>
          <w:highlight w:val="none"/>
        </w:rPr>
      </w:pPr>
    </w:p>
    <w:p w14:paraId="375F2A0C">
      <w:pPr>
        <w:spacing w:line="240" w:lineRule="auto"/>
        <w:ind w:firstLine="454"/>
        <w:jc w:val="center"/>
        <w:rPr>
          <w:rFonts w:hint="eastAsia" w:asciiTheme="minorEastAsia" w:hAnsiTheme="minorEastAsia" w:eastAsiaTheme="minorEastAsia" w:cstheme="minorEastAsia"/>
          <w:b/>
          <w:spacing w:val="72"/>
          <w:sz w:val="28"/>
          <w:szCs w:val="28"/>
          <w:highlight w:val="none"/>
        </w:rPr>
      </w:pPr>
    </w:p>
    <w:p w14:paraId="10AF6938">
      <w:pPr>
        <w:spacing w:line="240" w:lineRule="auto"/>
        <w:rPr>
          <w:rFonts w:hint="eastAsia" w:asciiTheme="minorEastAsia" w:hAnsiTheme="minorEastAsia" w:eastAsiaTheme="minorEastAsia" w:cstheme="minorEastAsia"/>
          <w:b/>
          <w:spacing w:val="72"/>
          <w:sz w:val="28"/>
          <w:szCs w:val="28"/>
          <w:highlight w:val="none"/>
        </w:rPr>
      </w:pPr>
    </w:p>
    <w:p w14:paraId="110A32D2">
      <w:pPr>
        <w:spacing w:line="240" w:lineRule="auto"/>
        <w:ind w:firstLine="454"/>
        <w:jc w:val="center"/>
        <w:rPr>
          <w:rFonts w:hint="eastAsia" w:asciiTheme="minorEastAsia" w:hAnsiTheme="minorEastAsia" w:eastAsiaTheme="minorEastAsia" w:cstheme="minorEastAsia"/>
          <w:b/>
          <w:spacing w:val="72"/>
          <w:sz w:val="28"/>
          <w:szCs w:val="28"/>
          <w:highlight w:val="none"/>
        </w:rPr>
      </w:pPr>
    </w:p>
    <w:p w14:paraId="37E6FA78">
      <w:pPr>
        <w:spacing w:line="240" w:lineRule="auto"/>
        <w:jc w:val="center"/>
        <w:rPr>
          <w:rFonts w:hint="eastAsia" w:asciiTheme="minorEastAsia" w:hAnsiTheme="minorEastAsia" w:eastAsiaTheme="minorEastAsia" w:cstheme="minorEastAsia"/>
          <w:b/>
          <w:spacing w:val="72"/>
          <w:sz w:val="28"/>
          <w:szCs w:val="28"/>
          <w:highlight w:val="none"/>
        </w:rPr>
      </w:pPr>
    </w:p>
    <w:p w14:paraId="088A3ECB">
      <w:pPr>
        <w:spacing w:line="240" w:lineRule="auto"/>
        <w:ind w:firstLine="2711" w:firstLineChars="900"/>
        <w:jc w:val="left"/>
        <w:rPr>
          <w:rFonts w:hint="eastAsia" w:asciiTheme="minorEastAsia" w:hAnsiTheme="minorEastAsia" w:eastAsiaTheme="minorEastAsia" w:cstheme="minorEastAsia"/>
          <w:b/>
          <w:color w:val="FF0000"/>
          <w:sz w:val="30"/>
          <w:highlight w:val="none"/>
          <w:u w:val="single"/>
        </w:rPr>
      </w:pPr>
      <w:r>
        <w:rPr>
          <w:rFonts w:hint="eastAsia" w:asciiTheme="minorEastAsia" w:hAnsiTheme="minorEastAsia" w:eastAsiaTheme="minorEastAsia" w:cstheme="minorEastAsia"/>
          <w:b/>
          <w:sz w:val="30"/>
          <w:highlight w:val="none"/>
        </w:rPr>
        <w:t>招标编号：</w:t>
      </w:r>
      <w:r>
        <w:rPr>
          <w:rFonts w:hint="eastAsia" w:asciiTheme="minorEastAsia" w:hAnsiTheme="minorEastAsia" w:eastAsiaTheme="minorEastAsia" w:cstheme="minorEastAsia"/>
          <w:b/>
          <w:sz w:val="30"/>
          <w:highlight w:val="none"/>
          <w:u w:val="single"/>
        </w:rPr>
        <w:t xml:space="preserve">                </w:t>
      </w:r>
    </w:p>
    <w:p w14:paraId="7FE194F6">
      <w:pPr>
        <w:spacing w:line="240" w:lineRule="auto"/>
        <w:ind w:firstLine="454"/>
        <w:jc w:val="center"/>
        <w:rPr>
          <w:rFonts w:hint="eastAsia" w:asciiTheme="minorEastAsia" w:hAnsiTheme="minorEastAsia" w:eastAsiaTheme="minorEastAsia" w:cstheme="minorEastAsia"/>
          <w:highlight w:val="none"/>
        </w:rPr>
      </w:pPr>
    </w:p>
    <w:p w14:paraId="61352DF2">
      <w:pPr>
        <w:spacing w:line="240" w:lineRule="auto"/>
        <w:ind w:firstLine="454"/>
        <w:rPr>
          <w:rFonts w:hint="eastAsia" w:asciiTheme="minorEastAsia" w:hAnsiTheme="minorEastAsia" w:eastAsiaTheme="minorEastAsia" w:cstheme="minorEastAsia"/>
          <w:highlight w:val="none"/>
        </w:rPr>
      </w:pPr>
    </w:p>
    <w:p w14:paraId="542607EF">
      <w:pPr>
        <w:spacing w:line="240" w:lineRule="auto"/>
        <w:ind w:firstLine="454"/>
        <w:rPr>
          <w:rFonts w:hint="eastAsia" w:asciiTheme="minorEastAsia" w:hAnsiTheme="minorEastAsia" w:eastAsiaTheme="minorEastAsia" w:cstheme="minorEastAsia"/>
          <w:highlight w:val="none"/>
        </w:rPr>
      </w:pPr>
    </w:p>
    <w:p w14:paraId="208DDC8F">
      <w:pPr>
        <w:spacing w:line="240" w:lineRule="auto"/>
        <w:ind w:firstLine="454"/>
        <w:rPr>
          <w:rFonts w:hint="eastAsia" w:asciiTheme="minorEastAsia" w:hAnsiTheme="minorEastAsia" w:eastAsiaTheme="minorEastAsia" w:cstheme="minorEastAsia"/>
          <w:highlight w:val="none"/>
        </w:rPr>
      </w:pPr>
    </w:p>
    <w:p w14:paraId="0082CFB7">
      <w:pPr>
        <w:spacing w:line="240" w:lineRule="auto"/>
        <w:rPr>
          <w:rFonts w:hint="eastAsia" w:asciiTheme="minorEastAsia" w:hAnsiTheme="minorEastAsia" w:eastAsiaTheme="minorEastAsia" w:cstheme="minorEastAsia"/>
          <w:highlight w:val="none"/>
        </w:rPr>
      </w:pPr>
    </w:p>
    <w:p w14:paraId="37AE7486">
      <w:pPr>
        <w:spacing w:line="240" w:lineRule="auto"/>
        <w:ind w:firstLine="454"/>
        <w:rPr>
          <w:rFonts w:hint="eastAsia" w:asciiTheme="minorEastAsia" w:hAnsiTheme="minorEastAsia" w:eastAsiaTheme="minorEastAsia" w:cstheme="minorEastAsia"/>
          <w:highlight w:val="none"/>
        </w:rPr>
      </w:pPr>
    </w:p>
    <w:p w14:paraId="47306394">
      <w:pPr>
        <w:spacing w:line="240" w:lineRule="auto"/>
        <w:ind w:firstLine="454"/>
        <w:rPr>
          <w:rFonts w:hint="eastAsia" w:asciiTheme="minorEastAsia" w:hAnsiTheme="minorEastAsia" w:eastAsiaTheme="minorEastAsia" w:cstheme="minorEastAsia"/>
          <w:highlight w:val="none"/>
        </w:rPr>
      </w:pPr>
    </w:p>
    <w:p w14:paraId="4BA4CB53">
      <w:pPr>
        <w:spacing w:line="240" w:lineRule="auto"/>
        <w:ind w:firstLine="454"/>
        <w:rPr>
          <w:rFonts w:hint="eastAsia" w:asciiTheme="minorEastAsia" w:hAnsiTheme="minorEastAsia" w:eastAsiaTheme="minorEastAsia" w:cstheme="minorEastAsia"/>
          <w:highlight w:val="none"/>
        </w:rPr>
      </w:pPr>
    </w:p>
    <w:p w14:paraId="205F13A1">
      <w:pPr>
        <w:spacing w:line="240" w:lineRule="auto"/>
        <w:ind w:firstLine="454"/>
        <w:rPr>
          <w:rFonts w:hint="eastAsia" w:asciiTheme="minorEastAsia" w:hAnsiTheme="minorEastAsia" w:eastAsiaTheme="minorEastAsia" w:cstheme="minorEastAsia"/>
          <w:highlight w:val="none"/>
        </w:rPr>
      </w:pPr>
    </w:p>
    <w:p w14:paraId="6A970947">
      <w:pPr>
        <w:spacing w:line="240" w:lineRule="auto"/>
        <w:rPr>
          <w:rFonts w:hint="eastAsia" w:asciiTheme="minorEastAsia" w:hAnsiTheme="minorEastAsia" w:eastAsiaTheme="minorEastAsia" w:cstheme="minorEastAsia"/>
          <w:highlight w:val="none"/>
        </w:rPr>
      </w:pPr>
    </w:p>
    <w:p w14:paraId="0C7197F8">
      <w:pPr>
        <w:spacing w:line="240" w:lineRule="auto"/>
        <w:ind w:firstLine="454"/>
        <w:rPr>
          <w:rFonts w:hint="eastAsia" w:asciiTheme="minorEastAsia" w:hAnsiTheme="minorEastAsia" w:eastAsiaTheme="minorEastAsia" w:cstheme="minorEastAsia"/>
          <w:highlight w:val="none"/>
        </w:rPr>
      </w:pPr>
    </w:p>
    <w:p w14:paraId="24704979">
      <w:pPr>
        <w:spacing w:line="240" w:lineRule="auto"/>
        <w:ind w:firstLine="1532" w:firstLineChars="545"/>
        <w:jc w:val="left"/>
        <w:rPr>
          <w:rFonts w:hint="eastAsia" w:asciiTheme="minorEastAsia" w:hAnsiTheme="minorEastAsia" w:eastAsiaTheme="minorEastAsia" w:cstheme="minorEastAsia"/>
          <w:b/>
          <w:bCs/>
          <w:sz w:val="28"/>
          <w:highlight w:val="none"/>
          <w:u w:val="single"/>
        </w:rPr>
      </w:pPr>
      <w:r>
        <w:rPr>
          <w:rFonts w:hint="eastAsia" w:asciiTheme="minorEastAsia" w:hAnsiTheme="minorEastAsia" w:eastAsiaTheme="minorEastAsia" w:cstheme="minorEastAsia"/>
          <w:b/>
          <w:bCs/>
          <w:sz w:val="28"/>
          <w:highlight w:val="none"/>
        </w:rPr>
        <w:t>投标人：</w:t>
      </w:r>
      <w:r>
        <w:rPr>
          <w:rFonts w:hint="eastAsia" w:asciiTheme="minorEastAsia" w:hAnsiTheme="minorEastAsia" w:eastAsiaTheme="minorEastAsia" w:cstheme="minorEastAsia"/>
          <w:b/>
          <w:bCs/>
          <w:sz w:val="28"/>
          <w:highlight w:val="none"/>
          <w:u w:val="single"/>
        </w:rPr>
        <w:t xml:space="preserve">                              </w:t>
      </w:r>
      <w:r>
        <w:rPr>
          <w:rFonts w:hint="eastAsia" w:asciiTheme="minorEastAsia" w:hAnsiTheme="minorEastAsia" w:eastAsiaTheme="minorEastAsia" w:cstheme="minorEastAsia"/>
          <w:b/>
          <w:bCs/>
          <w:sz w:val="28"/>
          <w:highlight w:val="none"/>
        </w:rPr>
        <w:t>（名称及电子签章）</w:t>
      </w:r>
    </w:p>
    <w:p w14:paraId="114700E9">
      <w:pPr>
        <w:spacing w:line="240" w:lineRule="auto"/>
        <w:ind w:firstLine="1532" w:firstLineChars="545"/>
        <w:jc w:val="left"/>
        <w:rPr>
          <w:rFonts w:hint="eastAsia" w:asciiTheme="minorEastAsia" w:hAnsiTheme="minorEastAsia" w:eastAsiaTheme="minorEastAsia" w:cstheme="minorEastAsia"/>
          <w:b/>
          <w:bCs/>
          <w:sz w:val="28"/>
          <w:highlight w:val="none"/>
        </w:rPr>
      </w:pPr>
      <w:r>
        <w:rPr>
          <w:rFonts w:hint="eastAsia" w:asciiTheme="minorEastAsia" w:hAnsiTheme="minorEastAsia" w:eastAsiaTheme="minorEastAsia" w:cstheme="minorEastAsia"/>
          <w:b/>
          <w:bCs/>
          <w:sz w:val="28"/>
          <w:highlight w:val="none"/>
        </w:rPr>
        <w:t>法定代表人或委托代理人：</w:t>
      </w:r>
      <w:r>
        <w:rPr>
          <w:rFonts w:hint="eastAsia" w:asciiTheme="minorEastAsia" w:hAnsiTheme="minorEastAsia" w:eastAsiaTheme="minorEastAsia" w:cstheme="minorEastAsia"/>
          <w:b/>
          <w:bCs/>
          <w:sz w:val="28"/>
          <w:highlight w:val="none"/>
          <w:u w:val="single"/>
        </w:rPr>
        <w:t xml:space="preserve">              </w:t>
      </w:r>
      <w:r>
        <w:rPr>
          <w:rFonts w:hint="eastAsia" w:asciiTheme="minorEastAsia" w:hAnsiTheme="minorEastAsia" w:eastAsiaTheme="minorEastAsia" w:cstheme="minorEastAsia"/>
          <w:b/>
          <w:bCs/>
          <w:sz w:val="28"/>
          <w:highlight w:val="none"/>
        </w:rPr>
        <w:t xml:space="preserve">（电子签名）         </w:t>
      </w:r>
    </w:p>
    <w:p w14:paraId="23957C7F">
      <w:pPr>
        <w:pStyle w:val="65"/>
        <w:spacing w:line="240" w:lineRule="auto"/>
        <w:ind w:firstLine="4216" w:firstLineChars="1500"/>
        <w:rPr>
          <w:rFonts w:hint="eastAsia" w:asciiTheme="minorEastAsia" w:hAnsiTheme="minorEastAsia" w:eastAsiaTheme="minorEastAsia" w:cstheme="minorEastAsia"/>
          <w:b/>
          <w:bCs/>
          <w:sz w:val="28"/>
          <w:highlight w:val="none"/>
        </w:rPr>
      </w:pPr>
      <w:r>
        <w:rPr>
          <w:rFonts w:hint="eastAsia" w:asciiTheme="minorEastAsia" w:hAnsiTheme="minorEastAsia" w:eastAsiaTheme="minorEastAsia" w:cstheme="minorEastAsia"/>
          <w:b/>
          <w:bCs/>
          <w:sz w:val="28"/>
          <w:highlight w:val="none"/>
        </w:rPr>
        <w:t xml:space="preserve">日  期： </w:t>
      </w:r>
    </w:p>
    <w:p w14:paraId="14BEF4A5">
      <w:pPr>
        <w:pStyle w:val="65"/>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8"/>
          <w:szCs w:val="28"/>
          <w:highlight w:val="none"/>
        </w:rPr>
        <w:br w:type="page"/>
      </w:r>
      <w:r>
        <w:rPr>
          <w:rFonts w:hint="eastAsia" w:asciiTheme="minorEastAsia" w:hAnsiTheme="minorEastAsia" w:eastAsiaTheme="minorEastAsia" w:cstheme="minorEastAsia"/>
          <w:b/>
          <w:bCs/>
          <w:color w:val="auto"/>
          <w:sz w:val="24"/>
          <w:szCs w:val="24"/>
          <w:highlight w:val="none"/>
        </w:rPr>
        <w:t>投标文件内容：</w:t>
      </w:r>
    </w:p>
    <w:p w14:paraId="623E46A7">
      <w:pPr>
        <w:pStyle w:val="65"/>
        <w:spacing w:line="360" w:lineRule="auto"/>
        <w:ind w:firstLine="482" w:firstLineChars="2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一、投标函、投标声明</w:t>
      </w:r>
    </w:p>
    <w:p w14:paraId="36A908B2">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附件1：法定代表人身份证明（法定代表人参加投标）    </w:t>
      </w:r>
    </w:p>
    <w:p w14:paraId="0C66B834">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附件2：法定代表人授权书（委托代理人参加投标）</w:t>
      </w:r>
    </w:p>
    <w:p w14:paraId="1F27753B">
      <w:pPr>
        <w:pStyle w:val="65"/>
        <w:spacing w:line="360" w:lineRule="auto"/>
        <w:ind w:firstLine="482"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rPr>
        <w:t>二、投标保证金</w:t>
      </w:r>
      <w:r>
        <w:rPr>
          <w:rFonts w:hint="eastAsia" w:asciiTheme="minorEastAsia" w:hAnsiTheme="minorEastAsia" w:eastAsiaTheme="minorEastAsia" w:cstheme="minorEastAsia"/>
          <w:bCs/>
          <w:color w:val="auto"/>
          <w:sz w:val="24"/>
          <w:szCs w:val="24"/>
          <w:highlight w:val="none"/>
        </w:rPr>
        <w:t xml:space="preserve"> 附件3：投标保证金打款凭证复印件</w:t>
      </w:r>
    </w:p>
    <w:p w14:paraId="0317A73B">
      <w:pPr>
        <w:pStyle w:val="65"/>
        <w:spacing w:line="360" w:lineRule="auto"/>
        <w:ind w:firstLine="482" w:firstLineChars="2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三、开标一览表及投标报价明细表</w:t>
      </w:r>
    </w:p>
    <w:p w14:paraId="3C77DA24">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附件4：开标一览表    </w:t>
      </w:r>
    </w:p>
    <w:p w14:paraId="1C8B32F9">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附件5：投标报价明细表    </w:t>
      </w:r>
    </w:p>
    <w:p w14:paraId="18E5838B">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附件6：节能、环境标志产品加分明细表    </w:t>
      </w:r>
    </w:p>
    <w:p w14:paraId="120FE4F4">
      <w:pPr>
        <w:pStyle w:val="65"/>
        <w:spacing w:line="360" w:lineRule="auto"/>
        <w:ind w:firstLine="480" w:firstLineChars="2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附件7：中小微型企业产品明细表</w:t>
      </w:r>
    </w:p>
    <w:p w14:paraId="4282A347">
      <w:pPr>
        <w:pStyle w:val="65"/>
        <w:spacing w:line="360" w:lineRule="auto"/>
        <w:ind w:firstLine="482" w:firstLineChars="2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四、供应商的资格证明材料</w:t>
      </w:r>
    </w:p>
    <w:p w14:paraId="1E353562">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附件8：投标</w:t>
      </w: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bCs/>
          <w:color w:val="auto"/>
          <w:sz w:val="24"/>
          <w:szCs w:val="24"/>
          <w:highlight w:val="none"/>
        </w:rPr>
        <w:t xml:space="preserve">基本情况表    </w:t>
      </w:r>
    </w:p>
    <w:p w14:paraId="32D6C80A">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附件9：中小企业声明函（货物</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、分包意向协议</w:t>
      </w:r>
    </w:p>
    <w:p w14:paraId="1CDC07E1">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附件10:残疾人福利性单位声明函</w:t>
      </w:r>
    </w:p>
    <w:p w14:paraId="55F9AC2B">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附件11:投标供应商近三年类似项目一览表</w:t>
      </w:r>
    </w:p>
    <w:p w14:paraId="457D4B35">
      <w:pPr>
        <w:pStyle w:val="65"/>
        <w:spacing w:line="360" w:lineRule="auto"/>
        <w:ind w:firstLine="482" w:firstLineChars="2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五、商务／技术偏离表</w:t>
      </w:r>
    </w:p>
    <w:p w14:paraId="4C1CB146">
      <w:pPr>
        <w:pStyle w:val="65"/>
        <w:spacing w:line="360" w:lineRule="auto"/>
        <w:ind w:firstLine="482" w:firstLineChars="2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六、项目整体实施方案</w:t>
      </w:r>
    </w:p>
    <w:p w14:paraId="32F839CA">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附件12:售后服务附表</w:t>
      </w:r>
    </w:p>
    <w:p w14:paraId="362EA19B">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附件13:拟投入本项目主要人员汇总表</w:t>
      </w:r>
    </w:p>
    <w:p w14:paraId="0C331F8D">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附件14:拟投入本项目的主要人员简历表</w:t>
      </w:r>
    </w:p>
    <w:p w14:paraId="490B1EA2">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附件</w:t>
      </w:r>
      <w:r>
        <w:rPr>
          <w:rFonts w:hint="eastAsia" w:asciiTheme="minorEastAsia" w:hAnsiTheme="minorEastAsia" w:eastAsiaTheme="minorEastAsia" w:cstheme="minorEastAsia"/>
          <w:bCs/>
          <w:color w:val="auto"/>
          <w:sz w:val="24"/>
          <w:szCs w:val="24"/>
          <w:highlight w:val="none"/>
          <w:lang w:val="en-US" w:eastAsia="zh-CN"/>
        </w:rPr>
        <w:t>15</w:t>
      </w:r>
      <w:r>
        <w:rPr>
          <w:rFonts w:hint="eastAsia" w:asciiTheme="minorEastAsia" w:hAnsiTheme="minorEastAsia" w:eastAsiaTheme="minorEastAsia" w:cstheme="minorEastAsia"/>
          <w:bCs/>
          <w:color w:val="auto"/>
          <w:sz w:val="24"/>
          <w:szCs w:val="24"/>
          <w:highlight w:val="none"/>
          <w:lang w:eastAsia="zh-CN"/>
        </w:rPr>
        <w:t>：不存在与参加本项目的其它供应商单位负责人为同一人或者存在直接控股、管理关系承诺函</w:t>
      </w:r>
    </w:p>
    <w:p w14:paraId="36FAB892">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附件</w:t>
      </w:r>
      <w:r>
        <w:rPr>
          <w:rFonts w:hint="eastAsia" w:asciiTheme="minorEastAsia" w:hAnsiTheme="minorEastAsia" w:eastAsiaTheme="minorEastAsia" w:cstheme="minorEastAsia"/>
          <w:bCs/>
          <w:color w:val="auto"/>
          <w:sz w:val="24"/>
          <w:szCs w:val="24"/>
          <w:highlight w:val="none"/>
          <w:lang w:val="en-US" w:eastAsia="zh-CN"/>
        </w:rPr>
        <w:t>16</w:t>
      </w:r>
      <w:r>
        <w:rPr>
          <w:rFonts w:hint="eastAsia" w:asciiTheme="minorEastAsia" w:hAnsiTheme="minorEastAsia" w:eastAsiaTheme="minorEastAsia" w:cstheme="minorEastAsia"/>
          <w:bCs/>
          <w:color w:val="auto"/>
          <w:sz w:val="24"/>
          <w:szCs w:val="24"/>
          <w:highlight w:val="none"/>
          <w:lang w:eastAsia="zh-CN"/>
        </w:rPr>
        <w:t>：未提供本采购项目的整体设计、规范编制或者项目管理、监理、检测等服务的承诺函</w:t>
      </w:r>
    </w:p>
    <w:p w14:paraId="303209F6">
      <w:pPr>
        <w:pStyle w:val="65"/>
        <w:spacing w:line="360" w:lineRule="auto"/>
        <w:ind w:firstLine="482" w:firstLineChars="2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七、信用查询记录</w:t>
      </w:r>
    </w:p>
    <w:p w14:paraId="02D4F336">
      <w:pPr>
        <w:pStyle w:val="65"/>
        <w:spacing w:line="360" w:lineRule="auto"/>
        <w:ind w:firstLine="482" w:firstLineChars="2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八、供应商认为需提供的</w:t>
      </w:r>
      <w:r>
        <w:rPr>
          <w:rFonts w:hint="eastAsia" w:asciiTheme="minorEastAsia" w:hAnsiTheme="minorEastAsia" w:eastAsiaTheme="minorEastAsia" w:cstheme="minorEastAsia"/>
          <w:b/>
          <w:color w:val="auto"/>
          <w:sz w:val="24"/>
          <w:szCs w:val="24"/>
          <w:highlight w:val="none"/>
          <w:lang w:eastAsia="zh-CN"/>
        </w:rPr>
        <w:t>其他</w:t>
      </w:r>
      <w:r>
        <w:rPr>
          <w:rFonts w:hint="eastAsia" w:asciiTheme="minorEastAsia" w:hAnsiTheme="minorEastAsia" w:eastAsiaTheme="minorEastAsia" w:cstheme="minorEastAsia"/>
          <w:b/>
          <w:color w:val="auto"/>
          <w:sz w:val="24"/>
          <w:szCs w:val="24"/>
          <w:highlight w:val="none"/>
        </w:rPr>
        <w:t>资料</w:t>
      </w:r>
    </w:p>
    <w:p w14:paraId="22FA2950">
      <w:pPr>
        <w:pStyle w:val="65"/>
        <w:spacing w:line="240" w:lineRule="auto"/>
        <w:ind w:firstLine="482" w:firstLineChars="200"/>
        <w:jc w:val="both"/>
        <w:rPr>
          <w:rFonts w:hint="eastAsia" w:asciiTheme="minorEastAsia" w:hAnsiTheme="minorEastAsia" w:eastAsiaTheme="minorEastAsia" w:cstheme="minorEastAsia"/>
          <w:b/>
          <w:color w:val="auto"/>
          <w:sz w:val="24"/>
          <w:szCs w:val="24"/>
          <w:highlight w:val="none"/>
        </w:rPr>
      </w:pPr>
    </w:p>
    <w:p w14:paraId="04A2892F">
      <w:pPr>
        <w:pStyle w:val="65"/>
        <w:spacing w:line="240" w:lineRule="auto"/>
        <w:ind w:firstLine="482" w:firstLineChars="200"/>
        <w:jc w:val="both"/>
        <w:rPr>
          <w:rFonts w:hint="eastAsia" w:asciiTheme="minorEastAsia" w:hAnsiTheme="minorEastAsia" w:eastAsiaTheme="minorEastAsia" w:cstheme="minorEastAsia"/>
          <w:b/>
          <w:color w:val="auto"/>
          <w:sz w:val="24"/>
          <w:szCs w:val="24"/>
          <w:highlight w:val="none"/>
        </w:rPr>
      </w:pPr>
    </w:p>
    <w:p w14:paraId="19F4873F">
      <w:pPr>
        <w:pStyle w:val="65"/>
        <w:spacing w:line="240" w:lineRule="auto"/>
        <w:jc w:val="both"/>
        <w:rPr>
          <w:rFonts w:hint="eastAsia" w:asciiTheme="minorEastAsia" w:hAnsiTheme="minorEastAsia" w:eastAsiaTheme="minorEastAsia" w:cstheme="minorEastAsia"/>
          <w:b/>
          <w:color w:val="auto"/>
          <w:sz w:val="24"/>
          <w:szCs w:val="24"/>
          <w:highlight w:val="none"/>
        </w:rPr>
      </w:pPr>
    </w:p>
    <w:p w14:paraId="2FCCFD48">
      <w:pPr>
        <w:pStyle w:val="65"/>
        <w:spacing w:line="240" w:lineRule="auto"/>
        <w:jc w:val="both"/>
        <w:rPr>
          <w:rFonts w:hint="eastAsia" w:asciiTheme="minorEastAsia" w:hAnsiTheme="minorEastAsia" w:eastAsiaTheme="minorEastAsia" w:cstheme="minorEastAsia"/>
          <w:b/>
          <w:bCs/>
          <w:color w:val="auto"/>
          <w:sz w:val="24"/>
          <w:szCs w:val="24"/>
          <w:highlight w:val="none"/>
        </w:rPr>
      </w:pPr>
    </w:p>
    <w:p w14:paraId="5C03242A">
      <w:pPr>
        <w:pStyle w:val="65"/>
        <w:spacing w:line="240" w:lineRule="auto"/>
        <w:jc w:val="both"/>
        <w:rPr>
          <w:rFonts w:hint="eastAsia" w:asciiTheme="minorEastAsia" w:hAnsiTheme="minorEastAsia" w:eastAsiaTheme="minorEastAsia" w:cstheme="minorEastAsia"/>
          <w:b/>
          <w:bCs/>
          <w:color w:val="auto"/>
          <w:sz w:val="24"/>
          <w:szCs w:val="24"/>
          <w:highlight w:val="none"/>
        </w:rPr>
      </w:pPr>
    </w:p>
    <w:p w14:paraId="53C3F255">
      <w:pPr>
        <w:pStyle w:val="65"/>
        <w:spacing w:line="240" w:lineRule="auto"/>
        <w:jc w:val="both"/>
        <w:rPr>
          <w:rFonts w:hint="eastAsia" w:asciiTheme="minorEastAsia" w:hAnsiTheme="minorEastAsia" w:eastAsiaTheme="minorEastAsia" w:cstheme="minorEastAsia"/>
          <w:b/>
          <w:bCs/>
          <w:color w:val="auto"/>
          <w:sz w:val="24"/>
          <w:szCs w:val="24"/>
          <w:highlight w:val="none"/>
        </w:rPr>
      </w:pPr>
    </w:p>
    <w:p w14:paraId="5D880086">
      <w:pPr>
        <w:pStyle w:val="65"/>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24"/>
          <w:szCs w:val="24"/>
          <w:highlight w:val="none"/>
        </w:rPr>
        <w:t>一、投 标 函</w:t>
      </w:r>
    </w:p>
    <w:p w14:paraId="02EA8135">
      <w:pPr>
        <w:pStyle w:val="65"/>
        <w:spacing w:line="240" w:lineRule="auto"/>
        <w:jc w:val="center"/>
        <w:rPr>
          <w:rFonts w:hint="eastAsia" w:asciiTheme="minorEastAsia" w:hAnsiTheme="minorEastAsia" w:eastAsiaTheme="minorEastAsia" w:cstheme="minorEastAsia"/>
          <w:color w:val="auto"/>
          <w:sz w:val="24"/>
          <w:szCs w:val="24"/>
          <w:highlight w:val="none"/>
        </w:rPr>
      </w:pPr>
    </w:p>
    <w:p w14:paraId="4DBCA9E6">
      <w:pPr>
        <w:pStyle w:val="2"/>
        <w:keepNext w:val="0"/>
        <w:widowControl/>
        <w:spacing w:line="240" w:lineRule="auto"/>
        <w:ind w:left="0"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新疆元泓工程项目管理咨询有限公司：</w:t>
      </w:r>
    </w:p>
    <w:p w14:paraId="75FEF28A">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我们收到贵公司</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项目招标文件，知悉参加投标的风险，经认真研究，我方承诺接受招标文件的全部条款且无任何异议。</w:t>
      </w:r>
    </w:p>
    <w:p w14:paraId="5F8D7569">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1、我方同意在招标文件中规定的提交投标文件截止时间起</w:t>
      </w:r>
      <w:r>
        <w:rPr>
          <w:rFonts w:hint="eastAsia" w:asciiTheme="minorEastAsia" w:hAnsiTheme="minorEastAsia" w:eastAsiaTheme="minorEastAsia" w:cstheme="minorEastAsia"/>
          <w:color w:val="auto"/>
          <w:sz w:val="24"/>
          <w:szCs w:val="24"/>
          <w:highlight w:val="none"/>
          <w:u w:val="single"/>
        </w:rPr>
        <w:t xml:space="preserve"> 90 </w:t>
      </w:r>
      <w:r>
        <w:rPr>
          <w:rFonts w:hint="eastAsia" w:asciiTheme="minorEastAsia" w:hAnsiTheme="minorEastAsia" w:eastAsiaTheme="minorEastAsia" w:cstheme="minorEastAsia"/>
          <w:color w:val="auto"/>
          <w:sz w:val="24"/>
          <w:szCs w:val="24"/>
          <w:highlight w:val="none"/>
        </w:rPr>
        <w:t>日内（投标有效期）遵守本投标文件中的承诺且在此期限期满之前均具有法律约束力，不作任何更改和变动。</w:t>
      </w:r>
    </w:p>
    <w:p w14:paraId="21B7FF82">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2、按照招标文件中的一切要求，提供设备采购、安装、调试、培训服务等投标总价 （大写）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元人民币。</w:t>
      </w:r>
    </w:p>
    <w:p w14:paraId="405D5F68">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3、我方提交投标文件电子版与纸质版，保证投标文件提供的数据和材料是真实、准确、一致。否则，愿承担《</w:t>
      </w:r>
      <w:r>
        <w:rPr>
          <w:rFonts w:hint="eastAsia" w:asciiTheme="minorEastAsia" w:hAnsiTheme="minorEastAsia" w:eastAsiaTheme="minorEastAsia" w:cstheme="minorEastAsia"/>
          <w:color w:val="auto"/>
          <w:sz w:val="24"/>
          <w:szCs w:val="24"/>
          <w:highlight w:val="none"/>
          <w:lang w:eastAsia="zh-CN"/>
        </w:rPr>
        <w:t>中华人民共和国政府采购法</w:t>
      </w:r>
      <w:r>
        <w:rPr>
          <w:rFonts w:hint="eastAsia" w:asciiTheme="minorEastAsia" w:hAnsiTheme="minorEastAsia" w:eastAsiaTheme="minorEastAsia" w:cstheme="minorEastAsia"/>
          <w:color w:val="auto"/>
          <w:sz w:val="24"/>
          <w:szCs w:val="24"/>
          <w:highlight w:val="none"/>
        </w:rPr>
        <w:t>》第七十七条规定的法律责任。</w:t>
      </w:r>
    </w:p>
    <w:p w14:paraId="5802E491">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4、我方愿意向贵方(采购人)提供任何与本项采购有关的数据、情况和技术资料。若贵方需要，我方愿意提供我方作出的一切承诺的证明材料。</w:t>
      </w:r>
    </w:p>
    <w:p w14:paraId="64329713">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5、我方承诺遵守《</w:t>
      </w:r>
      <w:r>
        <w:rPr>
          <w:rFonts w:hint="eastAsia" w:asciiTheme="minorEastAsia" w:hAnsiTheme="minorEastAsia" w:eastAsiaTheme="minorEastAsia" w:cstheme="minorEastAsia"/>
          <w:color w:val="auto"/>
          <w:sz w:val="24"/>
          <w:szCs w:val="24"/>
          <w:highlight w:val="none"/>
          <w:lang w:eastAsia="zh-CN"/>
        </w:rPr>
        <w:t>中华人民共和国政府采购法</w:t>
      </w:r>
      <w:r>
        <w:rPr>
          <w:rFonts w:hint="eastAsia" w:asciiTheme="minorEastAsia" w:hAnsiTheme="minorEastAsia" w:eastAsiaTheme="minorEastAsia" w:cstheme="minorEastAsia"/>
          <w:color w:val="auto"/>
          <w:sz w:val="24"/>
          <w:szCs w:val="24"/>
          <w:highlight w:val="none"/>
        </w:rPr>
        <w:t>》的有关规定，保证在获得中标资格后，按照招标文件确定的事项签订政府采购合同，履行双方所签订的合同，并承担合同规定的责任和义务。</w:t>
      </w:r>
    </w:p>
    <w:p w14:paraId="73AB0077">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6、我们认为采购人有选择或拒绝任何供应商中标的权力。我们理解，最低报价不是中标的唯一条件。</w:t>
      </w:r>
    </w:p>
    <w:p w14:paraId="097A2E89">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7、我们愿按合同法履行自己的全部责任。</w:t>
      </w:r>
    </w:p>
    <w:p w14:paraId="1C93B024">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8、我方愿意遵守招标文件中规定的收费标准，承付采购代理服务费。</w:t>
      </w:r>
    </w:p>
    <w:p w14:paraId="08E2AB3C">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9、我们同意按招标文件规定，交纳</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万元的投标保证金。</w:t>
      </w:r>
    </w:p>
    <w:p w14:paraId="2456B69C">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10、综合说明：</w:t>
      </w:r>
    </w:p>
    <w:p w14:paraId="196BCB83">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1）货物的详细技术参数、技术条件、技术标准、拟达到的质量标准和保险期限。</w:t>
      </w:r>
    </w:p>
    <w:p w14:paraId="499AF7E5">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2）易损件、备品备件、专用工具及供应方式。</w:t>
      </w:r>
    </w:p>
    <w:p w14:paraId="48BC9EE9">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3）技术服务。</w:t>
      </w:r>
    </w:p>
    <w:p w14:paraId="3D9D5FF6">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4）运输方式。</w:t>
      </w:r>
    </w:p>
    <w:p w14:paraId="3EE99B3D">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5）要求采购人</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配合。</w:t>
      </w:r>
    </w:p>
    <w:p w14:paraId="65DC6FC6">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6）对招标文件内容有不同意见的偏离说明。</w:t>
      </w:r>
    </w:p>
    <w:p w14:paraId="13F23749">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7）其它。</w:t>
      </w:r>
    </w:p>
    <w:p w14:paraId="25E361B0">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11、所有有关本投标文件的函电，请按下列地址联系：</w:t>
      </w:r>
    </w:p>
    <w:p w14:paraId="48CE090D">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       位：</w:t>
      </w:r>
    </w:p>
    <w:p w14:paraId="57E9852B">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w:t>
      </w:r>
    </w:p>
    <w:p w14:paraId="6A58159F">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p>
    <w:p w14:paraId="17161B68">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子 邮 箱：</w:t>
      </w:r>
    </w:p>
    <w:p w14:paraId="7CD74CC0">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p>
    <w:p w14:paraId="7088052D">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   系  人：</w:t>
      </w:r>
    </w:p>
    <w:p w14:paraId="37134CC8">
      <w:pPr>
        <w:pStyle w:val="65"/>
        <w:wordWrap w:val="0"/>
        <w:spacing w:line="240" w:lineRule="auto"/>
        <w:ind w:firstLine="567"/>
        <w:rPr>
          <w:rFonts w:hint="eastAsia" w:asciiTheme="minorEastAsia" w:hAnsiTheme="minorEastAsia" w:eastAsiaTheme="minorEastAsia" w:cstheme="minorEastAsia"/>
          <w:color w:val="auto"/>
          <w:sz w:val="24"/>
          <w:szCs w:val="24"/>
          <w:highlight w:val="none"/>
        </w:rPr>
      </w:pPr>
    </w:p>
    <w:p w14:paraId="461167BA">
      <w:pPr>
        <w:pStyle w:val="65"/>
        <w:wordWrap w:val="0"/>
        <w:spacing w:line="240" w:lineRule="auto"/>
        <w:ind w:firstLine="56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供应商名称（盖单位章）：</w:t>
      </w:r>
    </w:p>
    <w:p w14:paraId="1109518E">
      <w:pPr>
        <w:pStyle w:val="65"/>
        <w:wordWrap w:val="0"/>
        <w:spacing w:line="240" w:lineRule="auto"/>
        <w:ind w:firstLine="56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法定代表人或其委托代理人（签字或盖章）：</w:t>
      </w:r>
    </w:p>
    <w:p w14:paraId="09DB38DC">
      <w:pPr>
        <w:pStyle w:val="65"/>
        <w:wordWrap w:val="0"/>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52C2133B">
      <w:pPr>
        <w:pStyle w:val="65"/>
        <w:spacing w:line="240" w:lineRule="auto"/>
        <w:rPr>
          <w:rFonts w:hint="eastAsia" w:asciiTheme="minorEastAsia" w:hAnsiTheme="minorEastAsia" w:eastAsiaTheme="minorEastAsia" w:cstheme="minorEastAsia"/>
          <w:b/>
          <w:bCs/>
          <w:color w:val="auto"/>
          <w:sz w:val="24"/>
          <w:szCs w:val="24"/>
          <w:highlight w:val="none"/>
        </w:rPr>
      </w:pPr>
    </w:p>
    <w:p w14:paraId="08FAD86D">
      <w:pPr>
        <w:pStyle w:val="65"/>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附件1：法定代表人身份证明（法定代表人参加投标）</w:t>
      </w:r>
    </w:p>
    <w:p w14:paraId="73687AC7">
      <w:pPr>
        <w:pStyle w:val="65"/>
        <w:spacing w:line="24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附件2：法定代表人授权书（委托代理人参加投标）</w:t>
      </w:r>
    </w:p>
    <w:p w14:paraId="48A2C326">
      <w:pPr>
        <w:pStyle w:val="65"/>
        <w:spacing w:line="240" w:lineRule="auto"/>
        <w:jc w:val="center"/>
        <w:rPr>
          <w:rFonts w:hint="eastAsia" w:asciiTheme="minorEastAsia" w:hAnsiTheme="minorEastAsia" w:eastAsiaTheme="minorEastAsia" w:cstheme="minorEastAsia"/>
          <w:b/>
          <w:bCs/>
          <w:color w:val="auto"/>
          <w:sz w:val="24"/>
          <w:szCs w:val="24"/>
          <w:highlight w:val="none"/>
        </w:rPr>
      </w:pPr>
    </w:p>
    <w:p w14:paraId="0ACD6EC3">
      <w:pPr>
        <w:pStyle w:val="65"/>
        <w:spacing w:line="240" w:lineRule="auto"/>
        <w:jc w:val="both"/>
        <w:rPr>
          <w:rFonts w:hint="eastAsia" w:asciiTheme="minorEastAsia" w:hAnsiTheme="minorEastAsia" w:eastAsiaTheme="minorEastAsia" w:cstheme="minorEastAsia"/>
          <w:b/>
          <w:bCs/>
          <w:color w:val="auto"/>
          <w:sz w:val="24"/>
          <w:szCs w:val="24"/>
          <w:highlight w:val="none"/>
        </w:rPr>
      </w:pPr>
    </w:p>
    <w:p w14:paraId="02B0059C">
      <w:pPr>
        <w:pStyle w:val="65"/>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24"/>
          <w:szCs w:val="24"/>
          <w:highlight w:val="none"/>
        </w:rPr>
        <w:t>投标声明</w:t>
      </w:r>
    </w:p>
    <w:p w14:paraId="4C646873">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（供应商名称）</w:t>
      </w:r>
      <w:r>
        <w:rPr>
          <w:rFonts w:hint="eastAsia" w:asciiTheme="minorEastAsia" w:hAnsiTheme="minorEastAsia" w:eastAsiaTheme="minorEastAsia" w:cstheme="minorEastAsia"/>
          <w:color w:val="auto"/>
          <w:sz w:val="24"/>
          <w:szCs w:val="24"/>
          <w:highlight w:val="none"/>
          <w:lang w:eastAsia="zh-CN"/>
        </w:rPr>
        <w:t>已</w:t>
      </w:r>
      <w:r>
        <w:rPr>
          <w:rFonts w:hint="eastAsia" w:asciiTheme="minorEastAsia" w:hAnsiTheme="minorEastAsia" w:eastAsiaTheme="minorEastAsia" w:cstheme="minorEastAsia"/>
          <w:color w:val="auto"/>
          <w:sz w:val="24"/>
          <w:szCs w:val="24"/>
          <w:highlight w:val="none"/>
        </w:rPr>
        <w:t>认真阅读《中华人民共和国政府采购法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中华人民共和国政府采购法实施条例》及</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项目(项目编号:         ）招标文件相关内容，知悉供应商参加政府采购活动应当具备的条件。此次按招标文件要求提交的投标供应商资格证明材料，已经认真核对和检查，全部内容真实、合法、准确和完整，我们对此负责，并愿承担由此引起的法律责任。</w:t>
      </w:r>
    </w:p>
    <w:p w14:paraId="6F5F9FAD">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一、我方在此声明：    </w:t>
      </w:r>
    </w:p>
    <w:p w14:paraId="5B6BBE1E">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（一）我方与采购人或招标代理机构不存在隶属关系或者其他利害关系。</w:t>
      </w:r>
    </w:p>
    <w:p w14:paraId="125FA0B2">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（二）我方与参加本项目的其他投标供应商不存在控股、关联关系，或者与其他投标供应商法定代表人（或者负责人）为同一人。    </w:t>
      </w:r>
    </w:p>
    <w:p w14:paraId="4019B561">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（三）我方未为本项目前期准备提供设计或咨询服务。  </w:t>
      </w:r>
    </w:p>
    <w:p w14:paraId="32E60C8C">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二、我方承诺：  </w:t>
      </w:r>
    </w:p>
    <w:p w14:paraId="7F51ECD7">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参加政府采购近3年内，    </w:t>
      </w:r>
    </w:p>
    <w:p w14:paraId="15E6CCA5">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（一）我方依法缴纳了各项税费及各项社会保障资金，没有偷税、漏税及欠缴行为。    </w:t>
      </w:r>
    </w:p>
    <w:p w14:paraId="7CC0ECFF">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（二）我方在经营活动中没有存在下列重大违法记录：    </w:t>
      </w:r>
    </w:p>
    <w:p w14:paraId="62D7F3C3">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1、受到刑事处罚；    </w:t>
      </w:r>
    </w:p>
    <w:p w14:paraId="3FD8E6DB">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2、受到3万元以上的罚款、责令停产停业、在1至3年内禁止参加政府采购活动、暂扣或者吊销许可证、暂扣或者吊销执照的行政处罚。</w:t>
      </w:r>
    </w:p>
    <w:p w14:paraId="71397DBB">
      <w:pPr>
        <w:pStyle w:val="65"/>
        <w:spacing w:line="240" w:lineRule="auto"/>
        <w:rPr>
          <w:rFonts w:hint="eastAsia" w:asciiTheme="minorEastAsia" w:hAnsiTheme="minorEastAsia" w:eastAsiaTheme="minorEastAsia" w:cstheme="minorEastAsia"/>
          <w:b/>
          <w:bCs/>
          <w:color w:val="auto"/>
          <w:sz w:val="24"/>
          <w:szCs w:val="24"/>
          <w:highlight w:val="none"/>
        </w:rPr>
      </w:pPr>
    </w:p>
    <w:p w14:paraId="4747DF09">
      <w:pPr>
        <w:pStyle w:val="65"/>
        <w:wordWrap w:val="0"/>
        <w:spacing w:line="240" w:lineRule="auto"/>
        <w:ind w:firstLine="56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供应商名称（盖单位章）：</w:t>
      </w:r>
    </w:p>
    <w:p w14:paraId="6573D03F">
      <w:pPr>
        <w:pStyle w:val="65"/>
        <w:wordWrap w:val="0"/>
        <w:spacing w:line="240" w:lineRule="auto"/>
        <w:ind w:firstLine="56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法定代表人或其委托代理人（签字或盖章）：</w:t>
      </w:r>
    </w:p>
    <w:p w14:paraId="0720EC47">
      <w:pPr>
        <w:pStyle w:val="65"/>
        <w:spacing w:line="24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1E66AFB5">
      <w:pPr>
        <w:pStyle w:val="65"/>
        <w:spacing w:line="24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注：近3年：成立3年以上的，为提交首次投标文件截止时间前3年内；成立不足3年的，为实际时间。</w:t>
      </w:r>
    </w:p>
    <w:p w14:paraId="42E32D8C">
      <w:pPr>
        <w:pStyle w:val="65"/>
        <w:spacing w:line="240" w:lineRule="auto"/>
        <w:rPr>
          <w:rFonts w:hint="eastAsia" w:asciiTheme="minorEastAsia" w:hAnsiTheme="minorEastAsia" w:eastAsiaTheme="minorEastAsia" w:cstheme="minorEastAsia"/>
          <w:b/>
          <w:bCs/>
          <w:color w:val="auto"/>
          <w:sz w:val="24"/>
          <w:szCs w:val="24"/>
          <w:highlight w:val="none"/>
        </w:rPr>
      </w:pPr>
    </w:p>
    <w:p w14:paraId="71163A16">
      <w:pPr>
        <w:pStyle w:val="65"/>
        <w:spacing w:line="24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24"/>
          <w:szCs w:val="24"/>
          <w:highlight w:val="none"/>
        </w:rPr>
        <w:t>附件1</w:t>
      </w:r>
    </w:p>
    <w:p w14:paraId="6D3E364C">
      <w:pPr>
        <w:pStyle w:val="65"/>
        <w:spacing w:line="24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法定代表人身份证明（法定代表人参加投标）</w:t>
      </w:r>
    </w:p>
    <w:p w14:paraId="75D1FE35">
      <w:pPr>
        <w:pStyle w:val="65"/>
        <w:spacing w:line="240" w:lineRule="auto"/>
        <w:rPr>
          <w:rFonts w:hint="eastAsia" w:asciiTheme="minorEastAsia" w:hAnsiTheme="minorEastAsia" w:eastAsiaTheme="minorEastAsia" w:cstheme="minorEastAsia"/>
          <w:b/>
          <w:bCs/>
          <w:color w:val="auto"/>
          <w:sz w:val="24"/>
          <w:szCs w:val="24"/>
          <w:highlight w:val="none"/>
        </w:rPr>
      </w:pPr>
    </w:p>
    <w:p w14:paraId="46D8FC1E">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w:t>
      </w:r>
      <w:r>
        <w:rPr>
          <w:rFonts w:hint="eastAsia" w:asciiTheme="minorEastAsia" w:hAnsiTheme="minorEastAsia" w:eastAsiaTheme="minorEastAsia" w:cstheme="minorEastAsia"/>
          <w:color w:val="auto"/>
          <w:sz w:val="24"/>
          <w:szCs w:val="24"/>
          <w:highlight w:val="none"/>
          <w:u w:val="single"/>
        </w:rPr>
        <w:t xml:space="preserve">                                          </w:t>
      </w:r>
    </w:p>
    <w:p w14:paraId="24DD95D8">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  册  号：</w:t>
      </w:r>
      <w:r>
        <w:rPr>
          <w:rFonts w:hint="eastAsia" w:asciiTheme="minorEastAsia" w:hAnsiTheme="minorEastAsia" w:eastAsiaTheme="minorEastAsia" w:cstheme="minorEastAsia"/>
          <w:color w:val="auto"/>
          <w:sz w:val="24"/>
          <w:szCs w:val="24"/>
          <w:highlight w:val="none"/>
          <w:u w:val="single"/>
        </w:rPr>
        <w:t xml:space="preserve">                                          </w:t>
      </w:r>
    </w:p>
    <w:p w14:paraId="0D3A91E7">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 册 地址：</w:t>
      </w:r>
      <w:r>
        <w:rPr>
          <w:rFonts w:hint="eastAsia" w:asciiTheme="minorEastAsia" w:hAnsiTheme="minorEastAsia" w:eastAsiaTheme="minorEastAsia" w:cstheme="minorEastAsia"/>
          <w:color w:val="auto"/>
          <w:sz w:val="24"/>
          <w:szCs w:val="24"/>
          <w:highlight w:val="none"/>
          <w:u w:val="single"/>
        </w:rPr>
        <w:t xml:space="preserve">                                          </w:t>
      </w:r>
    </w:p>
    <w:p w14:paraId="35EF9211">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 立 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6768AFA0">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 营 期限：</w:t>
      </w:r>
      <w:r>
        <w:rPr>
          <w:rFonts w:hint="eastAsia" w:asciiTheme="minorEastAsia" w:hAnsiTheme="minorEastAsia" w:eastAsiaTheme="minorEastAsia" w:cstheme="minorEastAsia"/>
          <w:color w:val="auto"/>
          <w:sz w:val="24"/>
          <w:szCs w:val="24"/>
          <w:highlight w:val="none"/>
          <w:u w:val="single"/>
        </w:rPr>
        <w:t xml:space="preserve">                                          </w:t>
      </w:r>
    </w:p>
    <w:p w14:paraId="025A853C">
      <w:pPr>
        <w:pStyle w:val="65"/>
        <w:spacing w:line="240" w:lineRule="auto"/>
        <w:ind w:firstLine="481"/>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经营范围：   主营：</w:t>
      </w:r>
      <w:r>
        <w:rPr>
          <w:rFonts w:hint="eastAsia" w:asciiTheme="minorEastAsia" w:hAnsiTheme="minorEastAsia" w:eastAsiaTheme="minorEastAsia" w:cstheme="minorEastAsia"/>
          <w:b/>
          <w:bCs/>
          <w:i/>
          <w:iCs/>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；兼营：</w:t>
      </w:r>
      <w:r>
        <w:rPr>
          <w:rFonts w:hint="eastAsia" w:asciiTheme="minorEastAsia" w:hAnsiTheme="minorEastAsia" w:eastAsiaTheme="minorEastAsia" w:cstheme="minorEastAsia"/>
          <w:color w:val="auto"/>
          <w:sz w:val="24"/>
          <w:szCs w:val="24"/>
          <w:highlight w:val="none"/>
          <w:u w:val="single"/>
        </w:rPr>
        <w:t xml:space="preserve">              </w:t>
      </w:r>
    </w:p>
    <w:p w14:paraId="4980088D">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系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（供应商名称）的法定代表人。</w:t>
      </w:r>
    </w:p>
    <w:p w14:paraId="5E2236B6">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特此证明。</w:t>
      </w:r>
    </w:p>
    <w:p w14:paraId="032ED5BA">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附：法定代表人身份证复印件。</w:t>
      </w:r>
    </w:p>
    <w:p w14:paraId="20C262A3">
      <w:pPr>
        <w:pStyle w:val="65"/>
        <w:wordWrap w:val="0"/>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供应商名称（盖单位章）：</w:t>
      </w:r>
    </w:p>
    <w:p w14:paraId="76086CB6">
      <w:pPr>
        <w:pStyle w:val="65"/>
        <w:wordWrap w:val="0"/>
        <w:spacing w:line="240" w:lineRule="auto"/>
        <w:ind w:firstLine="56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w:t>
      </w:r>
    </w:p>
    <w:p w14:paraId="662EC2E3">
      <w:pPr>
        <w:pStyle w:val="65"/>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26A1A189">
      <w:pPr>
        <w:pStyle w:val="65"/>
        <w:spacing w:line="240" w:lineRule="auto"/>
        <w:rPr>
          <w:rFonts w:hint="eastAsia" w:asciiTheme="minorEastAsia" w:hAnsiTheme="minorEastAsia" w:eastAsiaTheme="minorEastAsia" w:cstheme="minorEastAsia"/>
          <w:color w:val="auto"/>
          <w:sz w:val="24"/>
          <w:szCs w:val="24"/>
          <w:highlight w:val="none"/>
        </w:rPr>
      </w:pPr>
    </w:p>
    <w:p w14:paraId="2CCDED4C">
      <w:pPr>
        <w:pStyle w:val="65"/>
        <w:spacing w:line="240" w:lineRule="auto"/>
        <w:rPr>
          <w:rFonts w:hint="eastAsia" w:asciiTheme="minorEastAsia" w:hAnsiTheme="minorEastAsia" w:eastAsiaTheme="minorEastAsia" w:cstheme="minorEastAsia"/>
          <w:color w:val="auto"/>
          <w:sz w:val="24"/>
          <w:szCs w:val="24"/>
          <w:highlight w:val="none"/>
        </w:rPr>
      </w:pPr>
    </w:p>
    <w:p w14:paraId="6E1C1B7C">
      <w:pPr>
        <w:pStyle w:val="65"/>
        <w:spacing w:line="240" w:lineRule="auto"/>
        <w:rPr>
          <w:rFonts w:hint="eastAsia" w:asciiTheme="minorEastAsia" w:hAnsiTheme="minorEastAsia" w:eastAsiaTheme="minorEastAsia" w:cstheme="minorEastAsia"/>
          <w:color w:val="auto"/>
          <w:sz w:val="24"/>
          <w:szCs w:val="24"/>
          <w:highlight w:val="none"/>
        </w:rPr>
      </w:pPr>
    </w:p>
    <w:p w14:paraId="0B9FF059">
      <w:pPr>
        <w:pStyle w:val="65"/>
        <w:spacing w:line="240" w:lineRule="auto"/>
        <w:rPr>
          <w:rFonts w:hint="eastAsia" w:asciiTheme="minorEastAsia" w:hAnsiTheme="minorEastAsia" w:eastAsiaTheme="minorEastAsia" w:cstheme="minorEastAsia"/>
          <w:color w:val="auto"/>
          <w:sz w:val="24"/>
          <w:szCs w:val="24"/>
          <w:highlight w:val="none"/>
        </w:rPr>
      </w:pPr>
    </w:p>
    <w:p w14:paraId="265771CA">
      <w:pPr>
        <w:pStyle w:val="65"/>
        <w:spacing w:line="240" w:lineRule="auto"/>
        <w:rPr>
          <w:rFonts w:hint="eastAsia" w:asciiTheme="minorEastAsia" w:hAnsiTheme="minorEastAsia" w:eastAsiaTheme="minorEastAsia" w:cstheme="minorEastAsia"/>
          <w:color w:val="auto"/>
          <w:sz w:val="24"/>
          <w:szCs w:val="24"/>
          <w:highlight w:val="none"/>
        </w:rPr>
      </w:pPr>
    </w:p>
    <w:p w14:paraId="0ABA7C5F">
      <w:pPr>
        <w:pStyle w:val="65"/>
        <w:spacing w:line="240" w:lineRule="auto"/>
        <w:rPr>
          <w:rFonts w:hint="eastAsia" w:asciiTheme="minorEastAsia" w:hAnsiTheme="minorEastAsia" w:eastAsiaTheme="minorEastAsia" w:cstheme="minorEastAsia"/>
          <w:color w:val="auto"/>
          <w:sz w:val="24"/>
          <w:szCs w:val="24"/>
          <w:highlight w:val="none"/>
        </w:rPr>
      </w:pPr>
    </w:p>
    <w:p w14:paraId="638F711F">
      <w:pPr>
        <w:pStyle w:val="65"/>
        <w:spacing w:line="240" w:lineRule="auto"/>
        <w:rPr>
          <w:rFonts w:hint="eastAsia" w:asciiTheme="minorEastAsia" w:hAnsiTheme="minorEastAsia" w:eastAsiaTheme="minorEastAsia" w:cstheme="minorEastAsia"/>
          <w:color w:val="auto"/>
          <w:sz w:val="24"/>
          <w:szCs w:val="24"/>
          <w:highlight w:val="none"/>
        </w:rPr>
      </w:pPr>
    </w:p>
    <w:p w14:paraId="64A57A1D">
      <w:pPr>
        <w:pStyle w:val="65"/>
        <w:spacing w:line="24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24"/>
          <w:szCs w:val="24"/>
          <w:highlight w:val="none"/>
        </w:rPr>
        <w:t>附件2.</w:t>
      </w:r>
    </w:p>
    <w:p w14:paraId="1F8B36B9">
      <w:pPr>
        <w:pStyle w:val="65"/>
        <w:spacing w:line="240" w:lineRule="auto"/>
        <w:rPr>
          <w:rFonts w:hint="eastAsia" w:asciiTheme="minorEastAsia" w:hAnsiTheme="minorEastAsia" w:eastAsiaTheme="minorEastAsia" w:cstheme="minorEastAsia"/>
          <w:b/>
          <w:bCs/>
          <w:color w:val="auto"/>
          <w:sz w:val="24"/>
          <w:szCs w:val="24"/>
          <w:highlight w:val="none"/>
        </w:rPr>
      </w:pPr>
    </w:p>
    <w:p w14:paraId="6F2744BE">
      <w:pPr>
        <w:pStyle w:val="16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法定代表人授权书(委托代理人参加投标)</w:t>
      </w:r>
    </w:p>
    <w:p w14:paraId="1462335E">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p>
    <w:p w14:paraId="32F4EE90">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(姓名、职务)系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(供应商名称)的法定代表人,现授权</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(代理人姓名、职务)为我方代理人。代理人根据授权，以我方名义:(1)签署、澄清、补正、修改、撤回、提交</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(项目名称、项目编号)投标文件及报价；(2)签订合同和处理有关事宜，其法律后果由我方承担。  </w:t>
      </w:r>
    </w:p>
    <w:p w14:paraId="60A5EE1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委托期限：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6E3DE75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代理人无转委托权。</w:t>
      </w:r>
    </w:p>
    <w:p w14:paraId="190FA98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本授权书于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日签字生效，特此声明。</w:t>
      </w:r>
    </w:p>
    <w:p w14:paraId="456CB1E3">
      <w:pPr>
        <w:pStyle w:val="65"/>
        <w:spacing w:line="240" w:lineRule="auto"/>
        <w:ind w:firstLine="482"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代理人情况</w:t>
      </w:r>
    </w:p>
    <w:p w14:paraId="6E01A171">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姓名：        性别：        年龄：        职务：    </w:t>
      </w:r>
    </w:p>
    <w:p w14:paraId="259BA8CF">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p>
    <w:p w14:paraId="26CFA6E7">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电   话：       </w:t>
      </w:r>
    </w:p>
    <w:p w14:paraId="62602CD6">
      <w:pPr>
        <w:pStyle w:val="65"/>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附：代理人身份证复印件。</w:t>
      </w:r>
    </w:p>
    <w:p w14:paraId="6A2A2B6F">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p>
    <w:p w14:paraId="2A8932C9">
      <w:pPr>
        <w:pStyle w:val="65"/>
        <w:spacing w:line="240" w:lineRule="auto"/>
        <w:rPr>
          <w:rFonts w:hint="eastAsia" w:asciiTheme="minorEastAsia" w:hAnsiTheme="minorEastAsia" w:eastAsiaTheme="minorEastAsia" w:cstheme="minorEastAsia"/>
          <w:b/>
          <w:bCs/>
          <w:color w:val="auto"/>
          <w:sz w:val="24"/>
          <w:szCs w:val="24"/>
          <w:highlight w:val="none"/>
        </w:rPr>
      </w:pPr>
    </w:p>
    <w:p w14:paraId="2D9A2745">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供应商名称(盖单位章)：</w:t>
      </w:r>
    </w:p>
    <w:p w14:paraId="6DF1BCA5">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p>
    <w:p w14:paraId="22644673">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日期：年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3616BDC3">
      <w:pPr>
        <w:pStyle w:val="65"/>
        <w:spacing w:line="240" w:lineRule="auto"/>
        <w:rPr>
          <w:rFonts w:hint="eastAsia" w:asciiTheme="minorEastAsia" w:hAnsiTheme="minorEastAsia" w:eastAsiaTheme="minorEastAsia" w:cstheme="minorEastAsia"/>
          <w:b/>
          <w:bCs/>
          <w:color w:val="auto"/>
          <w:sz w:val="24"/>
          <w:szCs w:val="24"/>
          <w:highlight w:val="none"/>
        </w:rPr>
      </w:pPr>
    </w:p>
    <w:p w14:paraId="5BF1CEAB">
      <w:pPr>
        <w:pStyle w:val="65"/>
        <w:spacing w:line="240" w:lineRule="auto"/>
        <w:rPr>
          <w:rFonts w:hint="eastAsia" w:asciiTheme="minorEastAsia" w:hAnsiTheme="minorEastAsia" w:eastAsiaTheme="minorEastAsia" w:cstheme="minorEastAsia"/>
          <w:b/>
          <w:bCs/>
          <w:color w:val="auto"/>
          <w:sz w:val="24"/>
          <w:szCs w:val="24"/>
          <w:highlight w:val="none"/>
        </w:rPr>
      </w:pPr>
    </w:p>
    <w:p w14:paraId="35F97F95">
      <w:pPr>
        <w:pStyle w:val="65"/>
        <w:spacing w:line="24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24"/>
          <w:szCs w:val="24"/>
          <w:highlight w:val="none"/>
        </w:rPr>
        <w:t>附件3.</w:t>
      </w:r>
    </w:p>
    <w:p w14:paraId="57970DD6">
      <w:pPr>
        <w:pStyle w:val="65"/>
        <w:spacing w:line="240" w:lineRule="auto"/>
        <w:jc w:val="center"/>
        <w:rPr>
          <w:rFonts w:hint="eastAsia" w:asciiTheme="minorEastAsia" w:hAnsiTheme="minorEastAsia" w:eastAsiaTheme="minorEastAsia" w:cstheme="minorEastAsia"/>
          <w:b/>
          <w:bCs/>
          <w:color w:val="auto"/>
          <w:sz w:val="24"/>
          <w:szCs w:val="24"/>
          <w:highlight w:val="none"/>
        </w:rPr>
      </w:pPr>
    </w:p>
    <w:p w14:paraId="721ABDC7">
      <w:pPr>
        <w:pStyle w:val="65"/>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二、投标保证金</w:t>
      </w:r>
    </w:p>
    <w:p w14:paraId="238827FF">
      <w:pPr>
        <w:pStyle w:val="65"/>
        <w:spacing w:line="240" w:lineRule="auto"/>
        <w:jc w:val="center"/>
        <w:rPr>
          <w:rFonts w:hint="eastAsia" w:asciiTheme="minorEastAsia" w:hAnsiTheme="minorEastAsia" w:eastAsiaTheme="minorEastAsia" w:cstheme="minorEastAsia"/>
          <w:b/>
          <w:bCs/>
          <w:color w:val="auto"/>
          <w:sz w:val="24"/>
          <w:szCs w:val="24"/>
          <w:highlight w:val="none"/>
        </w:rPr>
      </w:pPr>
    </w:p>
    <w:p w14:paraId="55301DFE">
      <w:pPr>
        <w:spacing w:line="240" w:lineRule="auto"/>
        <w:rPr>
          <w:rFonts w:hint="eastAsia" w:asciiTheme="minorEastAsia" w:hAnsiTheme="minorEastAsia" w:eastAsiaTheme="minorEastAsia" w:cstheme="minorEastAsia"/>
          <w:b/>
          <w:sz w:val="24"/>
          <w:szCs w:val="24"/>
          <w:highlight w:val="none"/>
        </w:rPr>
      </w:pPr>
    </w:p>
    <w:p w14:paraId="02129A3B">
      <w:pPr>
        <w:spacing w:line="240" w:lineRule="auto"/>
        <w:rPr>
          <w:rFonts w:hint="eastAsia" w:asciiTheme="minorEastAsia" w:hAnsiTheme="minorEastAsia" w:eastAsiaTheme="minorEastAsia" w:cstheme="minorEastAsia"/>
          <w:b/>
          <w:sz w:val="24"/>
          <w:szCs w:val="24"/>
          <w:highlight w:val="none"/>
        </w:rPr>
      </w:pPr>
    </w:p>
    <w:p w14:paraId="3DD9365E">
      <w:pPr>
        <w:spacing w:line="24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591185</wp:posOffset>
                </wp:positionH>
                <wp:positionV relativeFrom="paragraph">
                  <wp:posOffset>139065</wp:posOffset>
                </wp:positionV>
                <wp:extent cx="4921250" cy="1857375"/>
                <wp:effectExtent l="4445" t="4445" r="8255" b="5080"/>
                <wp:wrapNone/>
                <wp:docPr id="2" name="文本框 2"/>
                <wp:cNvGraphicFramePr/>
                <a:graphic xmlns:a="http://schemas.openxmlformats.org/drawingml/2006/main">
                  <a:graphicData uri="http://schemas.microsoft.com/office/word/2010/wordprocessingShape">
                    <wps:wsp>
                      <wps:cNvSpPr txBox="1"/>
                      <wps:spPr>
                        <a:xfrm>
                          <a:off x="1416685" y="2613660"/>
                          <a:ext cx="4921250" cy="1857375"/>
                        </a:xfrm>
                        <a:prstGeom prst="rect">
                          <a:avLst/>
                        </a:prstGeom>
                        <a:solidFill>
                          <a:srgbClr val="FFFFFF"/>
                        </a:solidFill>
                        <a:ln w="6350">
                          <a:solidFill>
                            <a:srgbClr val="000000"/>
                          </a:solidFill>
                          <a:prstDash val="dash"/>
                        </a:ln>
                        <a:effectLst/>
                      </wps:spPr>
                      <wps:txbx>
                        <w:txbxContent>
                          <w:p w14:paraId="0DBE729A">
                            <w:pPr>
                              <w:spacing w:before="260" w:line="312" w:lineRule="auto"/>
                              <w:ind w:left="240" w:right="643"/>
                              <w:jc w:val="center"/>
                            </w:pPr>
                            <w:r>
                              <w:t>（投标人须将银行打款凭证</w:t>
                            </w:r>
                            <w:r>
                              <w:rPr>
                                <w:rFonts w:hint="eastAsia"/>
                              </w:rPr>
                              <w:t>扫</w:t>
                            </w:r>
                            <w:r>
                              <w:rPr>
                                <w:rFonts w:hint="eastAsia"/>
                                <w:lang w:eastAsia="zh-CN"/>
                              </w:rPr>
                              <w:t>或保函</w:t>
                            </w:r>
                            <w:r>
                              <w:rPr>
                                <w:rFonts w:hint="eastAsia"/>
                              </w:rPr>
                              <w:t>描件</w:t>
                            </w:r>
                            <w:r>
                              <w:t>附在此处，</w:t>
                            </w:r>
                            <w:r>
                              <w:rPr>
                                <w:rFonts w:hint="eastAsia"/>
                              </w:rPr>
                              <w:t>并加盖电子公章</w:t>
                            </w:r>
                            <w:r>
                              <w:t>）</w:t>
                            </w:r>
                          </w:p>
                          <w:p w14:paraId="0278CD9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5pt;margin-top:10.95pt;height:146.25pt;width:387.5pt;z-index:251661312;mso-width-relative:page;mso-height-relative:page;" fillcolor="#FFFFFF" filled="t" stroked="t" coordsize="21600,21600" o:gfxdata="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HmSm7YAAAACQEAAA8AAAAAAAAAAQAgAAAAIgAAAGRycy9kb3ducmV2&#10;LnhtbFBLAQIUABQAAAAIAIdO4kA5rs0FbgIAAOsEAAAOAAAAAAAAAAEAIAAAACcBAABkcnMvZTJv&#10;RG9jLnhtbFBLBQYAAAAABgAGAFkBAAAHBgAAAAA=&#10;">
                <v:fill on="t" focussize="0,0"/>
                <v:stroke weight="0.5pt" color="#000000" joinstyle="round" dashstyle="dash"/>
                <v:imagedata o:title=""/>
                <o:lock v:ext="edit" aspectratio="f"/>
                <v:textbox>
                  <w:txbxContent>
                    <w:p w14:paraId="0DBE729A">
                      <w:pPr>
                        <w:spacing w:before="260" w:line="312" w:lineRule="auto"/>
                        <w:ind w:left="240" w:right="643"/>
                        <w:jc w:val="center"/>
                      </w:pPr>
                      <w:r>
                        <w:t>（投标人须将银行打款凭证</w:t>
                      </w:r>
                      <w:r>
                        <w:rPr>
                          <w:rFonts w:hint="eastAsia"/>
                        </w:rPr>
                        <w:t>扫</w:t>
                      </w:r>
                      <w:r>
                        <w:rPr>
                          <w:rFonts w:hint="eastAsia"/>
                          <w:lang w:eastAsia="zh-CN"/>
                        </w:rPr>
                        <w:t>或保函</w:t>
                      </w:r>
                      <w:r>
                        <w:rPr>
                          <w:rFonts w:hint="eastAsia"/>
                        </w:rPr>
                        <w:t>描件</w:t>
                      </w:r>
                      <w:r>
                        <w:t>附在此处，</w:t>
                      </w:r>
                      <w:r>
                        <w:rPr>
                          <w:rFonts w:hint="eastAsia"/>
                        </w:rPr>
                        <w:t>并加盖电子公章</w:t>
                      </w:r>
                      <w:r>
                        <w:t>）</w:t>
                      </w:r>
                    </w:p>
                    <w:p w14:paraId="0278CD9D"/>
                  </w:txbxContent>
                </v:textbox>
              </v:shape>
            </w:pict>
          </mc:Fallback>
        </mc:AlternateContent>
      </w:r>
    </w:p>
    <w:p w14:paraId="6E1B17A2">
      <w:pPr>
        <w:spacing w:line="240" w:lineRule="auto"/>
        <w:rPr>
          <w:rFonts w:hint="eastAsia" w:asciiTheme="minorEastAsia" w:hAnsiTheme="minorEastAsia" w:eastAsiaTheme="minorEastAsia" w:cstheme="minorEastAsia"/>
          <w:b/>
          <w:sz w:val="24"/>
          <w:szCs w:val="24"/>
          <w:highlight w:val="none"/>
        </w:rPr>
      </w:pPr>
    </w:p>
    <w:p w14:paraId="16C64F53">
      <w:pPr>
        <w:spacing w:line="240" w:lineRule="auto"/>
        <w:rPr>
          <w:rFonts w:hint="eastAsia" w:asciiTheme="minorEastAsia" w:hAnsiTheme="minorEastAsia" w:eastAsiaTheme="minorEastAsia" w:cstheme="minorEastAsia"/>
          <w:b/>
          <w:sz w:val="24"/>
          <w:szCs w:val="24"/>
          <w:highlight w:val="none"/>
        </w:rPr>
      </w:pPr>
    </w:p>
    <w:p w14:paraId="79E9A533">
      <w:pPr>
        <w:spacing w:line="240" w:lineRule="auto"/>
        <w:rPr>
          <w:rFonts w:hint="eastAsia" w:asciiTheme="minorEastAsia" w:hAnsiTheme="minorEastAsia" w:eastAsiaTheme="minorEastAsia" w:cstheme="minorEastAsia"/>
          <w:b/>
          <w:sz w:val="24"/>
          <w:szCs w:val="24"/>
          <w:highlight w:val="none"/>
        </w:rPr>
      </w:pPr>
    </w:p>
    <w:p w14:paraId="3F29F9EA">
      <w:pPr>
        <w:spacing w:line="240" w:lineRule="auto"/>
        <w:rPr>
          <w:rFonts w:hint="eastAsia" w:asciiTheme="minorEastAsia" w:hAnsiTheme="minorEastAsia" w:eastAsiaTheme="minorEastAsia" w:cstheme="minorEastAsia"/>
          <w:b/>
          <w:sz w:val="24"/>
          <w:szCs w:val="24"/>
          <w:highlight w:val="none"/>
        </w:rPr>
      </w:pPr>
    </w:p>
    <w:p w14:paraId="36927339">
      <w:pPr>
        <w:spacing w:line="240" w:lineRule="auto"/>
        <w:rPr>
          <w:rFonts w:hint="eastAsia" w:asciiTheme="minorEastAsia" w:hAnsiTheme="minorEastAsia" w:eastAsiaTheme="minorEastAsia" w:cstheme="minorEastAsia"/>
          <w:b/>
          <w:sz w:val="24"/>
          <w:szCs w:val="24"/>
          <w:highlight w:val="none"/>
        </w:rPr>
      </w:pPr>
    </w:p>
    <w:p w14:paraId="56D6EB97">
      <w:pPr>
        <w:spacing w:line="240" w:lineRule="auto"/>
        <w:rPr>
          <w:rFonts w:hint="eastAsia" w:asciiTheme="minorEastAsia" w:hAnsiTheme="minorEastAsia" w:eastAsiaTheme="minorEastAsia" w:cstheme="minorEastAsia"/>
          <w:b/>
          <w:sz w:val="24"/>
          <w:szCs w:val="24"/>
          <w:highlight w:val="none"/>
        </w:rPr>
      </w:pPr>
    </w:p>
    <w:p w14:paraId="2A35267F">
      <w:pPr>
        <w:spacing w:line="240" w:lineRule="auto"/>
        <w:rPr>
          <w:rFonts w:hint="eastAsia" w:asciiTheme="minorEastAsia" w:hAnsiTheme="minorEastAsia" w:eastAsiaTheme="minorEastAsia" w:cstheme="minorEastAsia"/>
          <w:b/>
          <w:sz w:val="24"/>
          <w:szCs w:val="24"/>
          <w:highlight w:val="none"/>
        </w:rPr>
      </w:pPr>
    </w:p>
    <w:p w14:paraId="502B3F96">
      <w:pPr>
        <w:spacing w:line="240" w:lineRule="auto"/>
        <w:rPr>
          <w:rFonts w:hint="eastAsia" w:asciiTheme="minorEastAsia" w:hAnsiTheme="minorEastAsia" w:eastAsiaTheme="minorEastAsia" w:cstheme="minorEastAsia"/>
          <w:b/>
          <w:sz w:val="24"/>
          <w:szCs w:val="24"/>
          <w:highlight w:val="none"/>
        </w:rPr>
      </w:pPr>
    </w:p>
    <w:p w14:paraId="1076A070">
      <w:pPr>
        <w:spacing w:line="240" w:lineRule="auto"/>
        <w:rPr>
          <w:rFonts w:hint="eastAsia" w:asciiTheme="minorEastAsia" w:hAnsiTheme="minorEastAsia" w:eastAsiaTheme="minorEastAsia" w:cstheme="minorEastAsia"/>
          <w:b/>
          <w:sz w:val="24"/>
          <w:szCs w:val="24"/>
          <w:highlight w:val="none"/>
        </w:rPr>
      </w:pPr>
    </w:p>
    <w:p w14:paraId="04F491BD">
      <w:pPr>
        <w:spacing w:line="240" w:lineRule="auto"/>
        <w:rPr>
          <w:rFonts w:hint="eastAsia" w:asciiTheme="minorEastAsia" w:hAnsiTheme="minorEastAsia" w:eastAsiaTheme="minorEastAsia" w:cstheme="minorEastAsia"/>
          <w:b/>
          <w:sz w:val="24"/>
          <w:szCs w:val="24"/>
          <w:highlight w:val="none"/>
        </w:rPr>
      </w:pPr>
    </w:p>
    <w:p w14:paraId="208DC16B">
      <w:pPr>
        <w:spacing w:line="240" w:lineRule="auto"/>
        <w:rPr>
          <w:rFonts w:hint="eastAsia" w:asciiTheme="minorEastAsia" w:hAnsiTheme="minorEastAsia" w:eastAsiaTheme="minorEastAsia" w:cstheme="minorEastAsia"/>
          <w:b/>
          <w:sz w:val="24"/>
          <w:szCs w:val="24"/>
          <w:highlight w:val="none"/>
        </w:rPr>
      </w:pPr>
    </w:p>
    <w:p w14:paraId="450CF0A6">
      <w:pPr>
        <w:spacing w:line="240" w:lineRule="auto"/>
        <w:rPr>
          <w:rFonts w:hint="eastAsia" w:asciiTheme="minorEastAsia" w:hAnsiTheme="minorEastAsia" w:eastAsiaTheme="minorEastAsia" w:cstheme="minorEastAsia"/>
          <w:sz w:val="24"/>
          <w:szCs w:val="24"/>
          <w:highlight w:val="none"/>
        </w:rPr>
      </w:pPr>
    </w:p>
    <w:p w14:paraId="28E98D7B">
      <w:pPr>
        <w:spacing w:line="240" w:lineRule="auto"/>
        <w:rPr>
          <w:rFonts w:hint="eastAsia" w:asciiTheme="minorEastAsia" w:hAnsiTheme="minorEastAsia" w:eastAsiaTheme="minorEastAsia" w:cstheme="minorEastAsia"/>
          <w:sz w:val="24"/>
          <w:szCs w:val="24"/>
          <w:highlight w:val="none"/>
        </w:rPr>
      </w:pPr>
    </w:p>
    <w:p w14:paraId="434607F6">
      <w:pPr>
        <w:spacing w:line="240" w:lineRule="auto"/>
        <w:rPr>
          <w:rFonts w:hint="eastAsia" w:asciiTheme="minorEastAsia" w:hAnsiTheme="minorEastAsia" w:eastAsiaTheme="minorEastAsia" w:cstheme="minorEastAsia"/>
          <w:sz w:val="24"/>
          <w:szCs w:val="24"/>
          <w:highlight w:val="none"/>
        </w:rPr>
      </w:pPr>
    </w:p>
    <w:p w14:paraId="0F4E87E6">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sz w:val="24"/>
          <w:szCs w:val="24"/>
          <w:highlight w:val="none"/>
        </w:rPr>
        <w:br w:type="page"/>
      </w:r>
      <w:r>
        <w:rPr>
          <w:rFonts w:hint="eastAsia" w:asciiTheme="minorEastAsia" w:hAnsiTheme="minorEastAsia" w:eastAsiaTheme="minorEastAsia" w:cstheme="minorEastAsia"/>
          <w:b/>
          <w:bCs/>
          <w:kern w:val="0"/>
          <w:sz w:val="24"/>
          <w:szCs w:val="24"/>
          <w:highlight w:val="none"/>
        </w:rPr>
        <w:t>附件4：</w:t>
      </w:r>
    </w:p>
    <w:p w14:paraId="20608A4D">
      <w:pPr>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三、开标一览表及投标报价明细表</w:t>
      </w:r>
    </w:p>
    <w:p w14:paraId="292B5FE4">
      <w:pPr>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开标一览表</w:t>
      </w:r>
    </w:p>
    <w:p w14:paraId="7821221A">
      <w:pPr>
        <w:pStyle w:val="23"/>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采购项目编号：</w:t>
      </w:r>
    </w:p>
    <w:tbl>
      <w:tblPr>
        <w:tblStyle w:val="36"/>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9"/>
        <w:gridCol w:w="6367"/>
      </w:tblGrid>
      <w:tr w14:paraId="07A7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2489" w:type="dxa"/>
            <w:tcBorders>
              <w:bottom w:val="single" w:color="auto" w:sz="4" w:space="0"/>
            </w:tcBorders>
            <w:vAlign w:val="center"/>
          </w:tcPr>
          <w:p w14:paraId="37EE6FD1">
            <w:pPr>
              <w:pStyle w:val="23"/>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tc>
        <w:tc>
          <w:tcPr>
            <w:tcW w:w="6367" w:type="dxa"/>
            <w:tcBorders>
              <w:bottom w:val="single" w:color="auto" w:sz="4" w:space="0"/>
            </w:tcBorders>
            <w:vAlign w:val="center"/>
          </w:tcPr>
          <w:p w14:paraId="312EFBF6">
            <w:pPr>
              <w:pStyle w:val="23"/>
              <w:spacing w:line="240" w:lineRule="auto"/>
              <w:jc w:val="center"/>
              <w:rPr>
                <w:rFonts w:hint="eastAsia" w:asciiTheme="minorEastAsia" w:hAnsiTheme="minorEastAsia" w:eastAsiaTheme="minorEastAsia" w:cstheme="minorEastAsia"/>
                <w:sz w:val="24"/>
                <w:szCs w:val="24"/>
                <w:highlight w:val="none"/>
              </w:rPr>
            </w:pPr>
          </w:p>
        </w:tc>
      </w:tr>
      <w:tr w14:paraId="0933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489" w:type="dxa"/>
            <w:vAlign w:val="center"/>
          </w:tcPr>
          <w:p w14:paraId="637BB294">
            <w:pPr>
              <w:pStyle w:val="23"/>
              <w:spacing w:line="240" w:lineRule="auto"/>
              <w:ind w:firstLin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报价（元）</w:t>
            </w:r>
          </w:p>
        </w:tc>
        <w:tc>
          <w:tcPr>
            <w:tcW w:w="6367" w:type="dxa"/>
            <w:vAlign w:val="center"/>
          </w:tcPr>
          <w:p w14:paraId="0A5B4FB9">
            <w:pPr>
              <w:pStyle w:val="23"/>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小写：</w:t>
            </w:r>
          </w:p>
          <w:p w14:paraId="3A5545B4">
            <w:pPr>
              <w:pStyle w:val="23"/>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大写：</w:t>
            </w:r>
          </w:p>
        </w:tc>
      </w:tr>
      <w:tr w14:paraId="25C8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2489" w:type="dxa"/>
            <w:vAlign w:val="center"/>
          </w:tcPr>
          <w:p w14:paraId="6C2D44BF">
            <w:pPr>
              <w:pStyle w:val="23"/>
              <w:spacing w:line="240" w:lineRule="auto"/>
              <w:ind w:firstLin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质量要求/质保期</w:t>
            </w:r>
          </w:p>
        </w:tc>
        <w:tc>
          <w:tcPr>
            <w:tcW w:w="6367" w:type="dxa"/>
            <w:vAlign w:val="center"/>
          </w:tcPr>
          <w:p w14:paraId="48B0CC16">
            <w:pPr>
              <w:pStyle w:val="23"/>
              <w:spacing w:line="240" w:lineRule="auto"/>
              <w:jc w:val="center"/>
              <w:rPr>
                <w:rFonts w:hint="eastAsia" w:asciiTheme="minorEastAsia" w:hAnsiTheme="minorEastAsia" w:eastAsiaTheme="minorEastAsia" w:cstheme="minorEastAsia"/>
                <w:sz w:val="24"/>
                <w:szCs w:val="24"/>
                <w:highlight w:val="none"/>
              </w:rPr>
            </w:pPr>
          </w:p>
        </w:tc>
      </w:tr>
      <w:tr w14:paraId="74FA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2489" w:type="dxa"/>
            <w:vAlign w:val="center"/>
          </w:tcPr>
          <w:p w14:paraId="131B74BC">
            <w:pPr>
              <w:pStyle w:val="23"/>
              <w:spacing w:line="240" w:lineRule="auto"/>
              <w:ind w:firstLin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供货期限</w:t>
            </w:r>
          </w:p>
        </w:tc>
        <w:tc>
          <w:tcPr>
            <w:tcW w:w="6367" w:type="dxa"/>
            <w:vAlign w:val="center"/>
          </w:tcPr>
          <w:p w14:paraId="657ED767">
            <w:pPr>
              <w:pStyle w:val="23"/>
              <w:spacing w:line="240" w:lineRule="auto"/>
              <w:jc w:val="center"/>
              <w:rPr>
                <w:rFonts w:hint="eastAsia" w:asciiTheme="minorEastAsia" w:hAnsiTheme="minorEastAsia" w:eastAsiaTheme="minorEastAsia" w:cstheme="minorEastAsia"/>
                <w:sz w:val="24"/>
                <w:szCs w:val="24"/>
                <w:highlight w:val="none"/>
              </w:rPr>
            </w:pPr>
          </w:p>
        </w:tc>
      </w:tr>
      <w:tr w14:paraId="624D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2489" w:type="dxa"/>
            <w:vAlign w:val="center"/>
          </w:tcPr>
          <w:p w14:paraId="3A6A26CD">
            <w:pPr>
              <w:pStyle w:val="23"/>
              <w:spacing w:line="240" w:lineRule="auto"/>
              <w:ind w:firstLin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交货</w:t>
            </w:r>
            <w:r>
              <w:rPr>
                <w:rFonts w:hint="eastAsia" w:asciiTheme="minorEastAsia" w:hAnsiTheme="minorEastAsia" w:eastAsiaTheme="minorEastAsia" w:cstheme="minorEastAsia"/>
                <w:sz w:val="24"/>
                <w:szCs w:val="24"/>
                <w:highlight w:val="none"/>
              </w:rPr>
              <w:t>地点</w:t>
            </w:r>
          </w:p>
        </w:tc>
        <w:tc>
          <w:tcPr>
            <w:tcW w:w="6367" w:type="dxa"/>
            <w:vAlign w:val="center"/>
          </w:tcPr>
          <w:p w14:paraId="3E3E3FA8">
            <w:pPr>
              <w:pStyle w:val="23"/>
              <w:spacing w:line="240" w:lineRule="auto"/>
              <w:jc w:val="center"/>
              <w:rPr>
                <w:rFonts w:hint="eastAsia" w:asciiTheme="minorEastAsia" w:hAnsiTheme="minorEastAsia" w:eastAsiaTheme="minorEastAsia" w:cstheme="minorEastAsia"/>
                <w:sz w:val="24"/>
                <w:szCs w:val="24"/>
                <w:highlight w:val="none"/>
              </w:rPr>
            </w:pPr>
          </w:p>
        </w:tc>
      </w:tr>
      <w:tr w14:paraId="3154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2489" w:type="dxa"/>
            <w:vAlign w:val="center"/>
          </w:tcPr>
          <w:p w14:paraId="3256A709">
            <w:pPr>
              <w:pStyle w:val="23"/>
              <w:spacing w:line="240" w:lineRule="auto"/>
              <w:ind w:firstLin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售后标准</w:t>
            </w:r>
          </w:p>
        </w:tc>
        <w:tc>
          <w:tcPr>
            <w:tcW w:w="6367" w:type="dxa"/>
            <w:vAlign w:val="center"/>
          </w:tcPr>
          <w:p w14:paraId="196B10E6">
            <w:pPr>
              <w:pStyle w:val="23"/>
              <w:spacing w:line="240" w:lineRule="auto"/>
              <w:jc w:val="center"/>
              <w:rPr>
                <w:rFonts w:hint="eastAsia" w:asciiTheme="minorEastAsia" w:hAnsiTheme="minorEastAsia" w:eastAsiaTheme="minorEastAsia" w:cstheme="minorEastAsia"/>
                <w:sz w:val="24"/>
                <w:szCs w:val="24"/>
                <w:highlight w:val="none"/>
              </w:rPr>
            </w:pPr>
          </w:p>
        </w:tc>
      </w:tr>
      <w:tr w14:paraId="08D7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8856" w:type="dxa"/>
            <w:gridSpan w:val="2"/>
            <w:vAlign w:val="center"/>
          </w:tcPr>
          <w:p w14:paraId="091C4707">
            <w:pPr>
              <w:pStyle w:val="23"/>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tc>
      </w:tr>
    </w:tbl>
    <w:p w14:paraId="2C10DDBA">
      <w:pPr>
        <w:pStyle w:val="23"/>
        <w:spacing w:line="240" w:lineRule="auto"/>
        <w:rPr>
          <w:rFonts w:hint="eastAsia" w:asciiTheme="minorEastAsia" w:hAnsiTheme="minorEastAsia" w:eastAsiaTheme="minorEastAsia" w:cstheme="minorEastAsia"/>
          <w:sz w:val="24"/>
          <w:szCs w:val="24"/>
          <w:highlight w:val="none"/>
        </w:rPr>
      </w:pPr>
    </w:p>
    <w:p w14:paraId="4CEE4391">
      <w:pPr>
        <w:pStyle w:val="2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说明：1.报价包括项目实施所需的货物费、包装运输费、装卸费、安装调试费、管理费、利润、税费及其他一切相关费用。供应商严格按照规定的格式填写。报价为优惠后报价，并作为评审及定标的依据。</w:t>
      </w:r>
    </w:p>
    <w:p w14:paraId="65FB43DA">
      <w:pPr>
        <w:pStyle w:val="23"/>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2.投标人严格按照规定的格式填写，任何有选择或有条件的投标报价或表中某一包填写多个报价，均将导致相应被拒绝。</w:t>
      </w:r>
    </w:p>
    <w:p w14:paraId="77F77A5C">
      <w:pPr>
        <w:pStyle w:val="23"/>
        <w:spacing w:line="240" w:lineRule="auto"/>
        <w:rPr>
          <w:rFonts w:hint="eastAsia" w:asciiTheme="minorEastAsia" w:hAnsiTheme="minorEastAsia" w:eastAsiaTheme="minorEastAsia" w:cstheme="minorEastAsia"/>
          <w:sz w:val="24"/>
          <w:szCs w:val="24"/>
          <w:highlight w:val="none"/>
        </w:rPr>
      </w:pPr>
    </w:p>
    <w:p w14:paraId="16F46567">
      <w:pPr>
        <w:pStyle w:val="23"/>
        <w:spacing w:line="240" w:lineRule="auto"/>
        <w:rPr>
          <w:rFonts w:hint="eastAsia" w:asciiTheme="minorEastAsia" w:hAnsiTheme="minorEastAsia" w:eastAsiaTheme="minorEastAsia" w:cstheme="minorEastAsia"/>
          <w:sz w:val="24"/>
          <w:szCs w:val="24"/>
          <w:highlight w:val="none"/>
        </w:rPr>
      </w:pPr>
    </w:p>
    <w:p w14:paraId="16C6485E">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供应商名称(盖单位章)：</w:t>
      </w:r>
    </w:p>
    <w:p w14:paraId="000EB4C5">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p>
    <w:p w14:paraId="72F10612">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日期：年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0AD9E7FE">
      <w:pPr>
        <w:spacing w:line="24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kern w:val="0"/>
          <w:sz w:val="24"/>
          <w:szCs w:val="24"/>
          <w:highlight w:val="none"/>
        </w:rPr>
        <w:br w:type="page"/>
      </w:r>
      <w:r>
        <w:rPr>
          <w:rFonts w:hint="eastAsia" w:asciiTheme="minorEastAsia" w:hAnsiTheme="minorEastAsia" w:eastAsiaTheme="minorEastAsia" w:cstheme="minorEastAsia"/>
          <w:b/>
          <w:bCs/>
          <w:kern w:val="0"/>
          <w:sz w:val="24"/>
          <w:szCs w:val="24"/>
          <w:highlight w:val="none"/>
        </w:rPr>
        <w:t>附件5：</w:t>
      </w:r>
    </w:p>
    <w:p w14:paraId="54D257D1">
      <w:pPr>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投标报价明细表</w:t>
      </w:r>
    </w:p>
    <w:p w14:paraId="08E8E372">
      <w:pPr>
        <w:spacing w:line="240" w:lineRule="auto"/>
        <w:ind w:firstLine="48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采购项目编号：</w:t>
      </w:r>
    </w:p>
    <w:p w14:paraId="611DD259">
      <w:pPr>
        <w:spacing w:line="240" w:lineRule="auto"/>
        <w:ind w:firstLine="48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采购项目名称：</w:t>
      </w:r>
    </w:p>
    <w:tbl>
      <w:tblPr>
        <w:tblStyle w:val="36"/>
        <w:tblpPr w:leftFromText="180" w:rightFromText="180" w:vertAnchor="text" w:horzAnchor="page" w:tblpXSpec="center" w:tblpY="591"/>
        <w:tblOverlap w:val="never"/>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00"/>
        <w:gridCol w:w="1400"/>
        <w:gridCol w:w="937"/>
        <w:gridCol w:w="1088"/>
        <w:gridCol w:w="1126"/>
        <w:gridCol w:w="1479"/>
        <w:gridCol w:w="1083"/>
        <w:gridCol w:w="937"/>
      </w:tblGrid>
      <w:tr w14:paraId="7D5C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37" w:type="dxa"/>
            <w:vAlign w:val="center"/>
          </w:tcPr>
          <w:p w14:paraId="1F5841FC">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序号</w:t>
            </w:r>
          </w:p>
        </w:tc>
        <w:tc>
          <w:tcPr>
            <w:tcW w:w="1400" w:type="dxa"/>
            <w:vAlign w:val="center"/>
          </w:tcPr>
          <w:p w14:paraId="6D5E5EF0">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设备名称</w:t>
            </w:r>
          </w:p>
        </w:tc>
        <w:tc>
          <w:tcPr>
            <w:tcW w:w="1400" w:type="dxa"/>
            <w:vAlign w:val="center"/>
          </w:tcPr>
          <w:p w14:paraId="36A50B6A">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所属行业</w:t>
            </w:r>
          </w:p>
        </w:tc>
        <w:tc>
          <w:tcPr>
            <w:tcW w:w="937" w:type="dxa"/>
            <w:vAlign w:val="center"/>
          </w:tcPr>
          <w:p w14:paraId="392BE6F9">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品牌</w:t>
            </w:r>
          </w:p>
        </w:tc>
        <w:tc>
          <w:tcPr>
            <w:tcW w:w="1088" w:type="dxa"/>
            <w:vAlign w:val="center"/>
          </w:tcPr>
          <w:p w14:paraId="31F6F2CD">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单价</w:t>
            </w:r>
          </w:p>
        </w:tc>
        <w:tc>
          <w:tcPr>
            <w:tcW w:w="1126" w:type="dxa"/>
            <w:vAlign w:val="center"/>
          </w:tcPr>
          <w:p w14:paraId="535A80E5">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数量</w:t>
            </w:r>
          </w:p>
        </w:tc>
        <w:tc>
          <w:tcPr>
            <w:tcW w:w="1479" w:type="dxa"/>
            <w:vAlign w:val="center"/>
          </w:tcPr>
          <w:p w14:paraId="3FAD5F78">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规格型号</w:t>
            </w:r>
          </w:p>
        </w:tc>
        <w:tc>
          <w:tcPr>
            <w:tcW w:w="1083" w:type="dxa"/>
            <w:vAlign w:val="center"/>
          </w:tcPr>
          <w:p w14:paraId="36C828C9">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合计</w:t>
            </w:r>
          </w:p>
        </w:tc>
        <w:tc>
          <w:tcPr>
            <w:tcW w:w="937" w:type="dxa"/>
            <w:vAlign w:val="center"/>
          </w:tcPr>
          <w:p w14:paraId="5AB99063">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备注</w:t>
            </w:r>
          </w:p>
        </w:tc>
      </w:tr>
      <w:tr w14:paraId="3B6B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37" w:type="dxa"/>
            <w:vAlign w:val="center"/>
          </w:tcPr>
          <w:p w14:paraId="2B447FB6">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p>
        </w:tc>
        <w:tc>
          <w:tcPr>
            <w:tcW w:w="1400" w:type="dxa"/>
          </w:tcPr>
          <w:p w14:paraId="786F3A78">
            <w:pPr>
              <w:spacing w:line="240" w:lineRule="auto"/>
              <w:ind w:firstLine="480"/>
              <w:rPr>
                <w:rFonts w:hint="eastAsia" w:asciiTheme="minorEastAsia" w:hAnsiTheme="minorEastAsia" w:eastAsiaTheme="minorEastAsia" w:cstheme="minorEastAsia"/>
                <w:kern w:val="0"/>
                <w:sz w:val="24"/>
                <w:szCs w:val="24"/>
                <w:highlight w:val="none"/>
              </w:rPr>
            </w:pPr>
          </w:p>
        </w:tc>
        <w:tc>
          <w:tcPr>
            <w:tcW w:w="1400" w:type="dxa"/>
          </w:tcPr>
          <w:p w14:paraId="116C98F6">
            <w:pPr>
              <w:spacing w:line="240" w:lineRule="auto"/>
              <w:ind w:firstLine="480"/>
              <w:rPr>
                <w:rFonts w:hint="eastAsia" w:asciiTheme="minorEastAsia" w:hAnsiTheme="minorEastAsia" w:eastAsiaTheme="minorEastAsia" w:cstheme="minorEastAsia"/>
                <w:kern w:val="0"/>
                <w:sz w:val="24"/>
                <w:szCs w:val="24"/>
                <w:highlight w:val="none"/>
              </w:rPr>
            </w:pPr>
          </w:p>
        </w:tc>
        <w:tc>
          <w:tcPr>
            <w:tcW w:w="937" w:type="dxa"/>
          </w:tcPr>
          <w:p w14:paraId="1A702B58">
            <w:pPr>
              <w:spacing w:line="240" w:lineRule="auto"/>
              <w:ind w:firstLine="480"/>
              <w:rPr>
                <w:rFonts w:hint="eastAsia" w:asciiTheme="minorEastAsia" w:hAnsiTheme="minorEastAsia" w:eastAsiaTheme="minorEastAsia" w:cstheme="minorEastAsia"/>
                <w:kern w:val="0"/>
                <w:sz w:val="24"/>
                <w:szCs w:val="24"/>
                <w:highlight w:val="none"/>
              </w:rPr>
            </w:pPr>
          </w:p>
        </w:tc>
        <w:tc>
          <w:tcPr>
            <w:tcW w:w="1088" w:type="dxa"/>
          </w:tcPr>
          <w:p w14:paraId="78FF5EA6">
            <w:pPr>
              <w:spacing w:line="240" w:lineRule="auto"/>
              <w:ind w:firstLine="480"/>
              <w:rPr>
                <w:rFonts w:hint="eastAsia" w:asciiTheme="minorEastAsia" w:hAnsiTheme="minorEastAsia" w:eastAsiaTheme="minorEastAsia" w:cstheme="minorEastAsia"/>
                <w:kern w:val="0"/>
                <w:sz w:val="24"/>
                <w:szCs w:val="24"/>
                <w:highlight w:val="none"/>
              </w:rPr>
            </w:pPr>
          </w:p>
        </w:tc>
        <w:tc>
          <w:tcPr>
            <w:tcW w:w="1126" w:type="dxa"/>
          </w:tcPr>
          <w:p w14:paraId="33DCBE01">
            <w:pPr>
              <w:spacing w:line="240" w:lineRule="auto"/>
              <w:ind w:firstLine="480"/>
              <w:rPr>
                <w:rFonts w:hint="eastAsia" w:asciiTheme="minorEastAsia" w:hAnsiTheme="minorEastAsia" w:eastAsiaTheme="minorEastAsia" w:cstheme="minorEastAsia"/>
                <w:kern w:val="0"/>
                <w:sz w:val="24"/>
                <w:szCs w:val="24"/>
                <w:highlight w:val="none"/>
              </w:rPr>
            </w:pPr>
          </w:p>
        </w:tc>
        <w:tc>
          <w:tcPr>
            <w:tcW w:w="1479" w:type="dxa"/>
          </w:tcPr>
          <w:p w14:paraId="4B44C8EB">
            <w:pPr>
              <w:spacing w:line="240" w:lineRule="auto"/>
              <w:ind w:firstLine="480"/>
              <w:rPr>
                <w:rFonts w:hint="eastAsia" w:asciiTheme="minorEastAsia" w:hAnsiTheme="minorEastAsia" w:eastAsiaTheme="minorEastAsia" w:cstheme="minorEastAsia"/>
                <w:kern w:val="0"/>
                <w:sz w:val="24"/>
                <w:szCs w:val="24"/>
                <w:highlight w:val="none"/>
              </w:rPr>
            </w:pPr>
          </w:p>
        </w:tc>
        <w:tc>
          <w:tcPr>
            <w:tcW w:w="1083" w:type="dxa"/>
          </w:tcPr>
          <w:p w14:paraId="2FFF6FB0">
            <w:pPr>
              <w:spacing w:line="240" w:lineRule="auto"/>
              <w:ind w:firstLine="480"/>
              <w:rPr>
                <w:rFonts w:hint="eastAsia" w:asciiTheme="minorEastAsia" w:hAnsiTheme="minorEastAsia" w:eastAsiaTheme="minorEastAsia" w:cstheme="minorEastAsia"/>
                <w:kern w:val="0"/>
                <w:sz w:val="24"/>
                <w:szCs w:val="24"/>
                <w:highlight w:val="none"/>
              </w:rPr>
            </w:pPr>
          </w:p>
        </w:tc>
        <w:tc>
          <w:tcPr>
            <w:tcW w:w="937" w:type="dxa"/>
          </w:tcPr>
          <w:p w14:paraId="53E11BA6">
            <w:pPr>
              <w:spacing w:line="240" w:lineRule="auto"/>
              <w:ind w:firstLine="480"/>
              <w:rPr>
                <w:rFonts w:hint="eastAsia" w:asciiTheme="minorEastAsia" w:hAnsiTheme="minorEastAsia" w:eastAsiaTheme="minorEastAsia" w:cstheme="minorEastAsia"/>
                <w:kern w:val="0"/>
                <w:sz w:val="24"/>
                <w:szCs w:val="24"/>
                <w:highlight w:val="none"/>
              </w:rPr>
            </w:pPr>
          </w:p>
        </w:tc>
      </w:tr>
      <w:tr w14:paraId="5263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028AA849">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w:t>
            </w:r>
          </w:p>
        </w:tc>
        <w:tc>
          <w:tcPr>
            <w:tcW w:w="1400" w:type="dxa"/>
          </w:tcPr>
          <w:p w14:paraId="38371550">
            <w:pPr>
              <w:spacing w:line="240" w:lineRule="auto"/>
              <w:ind w:firstLine="480"/>
              <w:rPr>
                <w:rFonts w:hint="eastAsia" w:asciiTheme="minorEastAsia" w:hAnsiTheme="minorEastAsia" w:eastAsiaTheme="minorEastAsia" w:cstheme="minorEastAsia"/>
                <w:kern w:val="0"/>
                <w:sz w:val="24"/>
                <w:szCs w:val="24"/>
                <w:highlight w:val="none"/>
              </w:rPr>
            </w:pPr>
          </w:p>
        </w:tc>
        <w:tc>
          <w:tcPr>
            <w:tcW w:w="1400" w:type="dxa"/>
          </w:tcPr>
          <w:p w14:paraId="2062A5C8">
            <w:pPr>
              <w:spacing w:line="240" w:lineRule="auto"/>
              <w:ind w:firstLine="480"/>
              <w:rPr>
                <w:rFonts w:hint="eastAsia" w:asciiTheme="minorEastAsia" w:hAnsiTheme="minorEastAsia" w:eastAsiaTheme="minorEastAsia" w:cstheme="minorEastAsia"/>
                <w:kern w:val="0"/>
                <w:sz w:val="24"/>
                <w:szCs w:val="24"/>
                <w:highlight w:val="none"/>
              </w:rPr>
            </w:pPr>
          </w:p>
        </w:tc>
        <w:tc>
          <w:tcPr>
            <w:tcW w:w="937" w:type="dxa"/>
          </w:tcPr>
          <w:p w14:paraId="0D151904">
            <w:pPr>
              <w:spacing w:line="240" w:lineRule="auto"/>
              <w:ind w:firstLine="480"/>
              <w:rPr>
                <w:rFonts w:hint="eastAsia" w:asciiTheme="minorEastAsia" w:hAnsiTheme="minorEastAsia" w:eastAsiaTheme="minorEastAsia" w:cstheme="minorEastAsia"/>
                <w:kern w:val="0"/>
                <w:sz w:val="24"/>
                <w:szCs w:val="24"/>
                <w:highlight w:val="none"/>
              </w:rPr>
            </w:pPr>
          </w:p>
        </w:tc>
        <w:tc>
          <w:tcPr>
            <w:tcW w:w="1088" w:type="dxa"/>
          </w:tcPr>
          <w:p w14:paraId="341F44E3">
            <w:pPr>
              <w:spacing w:line="240" w:lineRule="auto"/>
              <w:ind w:firstLine="480"/>
              <w:rPr>
                <w:rFonts w:hint="eastAsia" w:asciiTheme="minorEastAsia" w:hAnsiTheme="minorEastAsia" w:eastAsiaTheme="minorEastAsia" w:cstheme="minorEastAsia"/>
                <w:kern w:val="0"/>
                <w:sz w:val="24"/>
                <w:szCs w:val="24"/>
                <w:highlight w:val="none"/>
              </w:rPr>
            </w:pPr>
          </w:p>
        </w:tc>
        <w:tc>
          <w:tcPr>
            <w:tcW w:w="1126" w:type="dxa"/>
          </w:tcPr>
          <w:p w14:paraId="00F38E39">
            <w:pPr>
              <w:spacing w:line="240" w:lineRule="auto"/>
              <w:ind w:firstLine="480"/>
              <w:rPr>
                <w:rFonts w:hint="eastAsia" w:asciiTheme="minorEastAsia" w:hAnsiTheme="minorEastAsia" w:eastAsiaTheme="minorEastAsia" w:cstheme="minorEastAsia"/>
                <w:kern w:val="0"/>
                <w:sz w:val="24"/>
                <w:szCs w:val="24"/>
                <w:highlight w:val="none"/>
              </w:rPr>
            </w:pPr>
          </w:p>
        </w:tc>
        <w:tc>
          <w:tcPr>
            <w:tcW w:w="1479" w:type="dxa"/>
          </w:tcPr>
          <w:p w14:paraId="7BFCD6E4">
            <w:pPr>
              <w:spacing w:line="240" w:lineRule="auto"/>
              <w:ind w:firstLine="480"/>
              <w:rPr>
                <w:rFonts w:hint="eastAsia" w:asciiTheme="minorEastAsia" w:hAnsiTheme="minorEastAsia" w:eastAsiaTheme="minorEastAsia" w:cstheme="minorEastAsia"/>
                <w:kern w:val="0"/>
                <w:sz w:val="24"/>
                <w:szCs w:val="24"/>
                <w:highlight w:val="none"/>
              </w:rPr>
            </w:pPr>
          </w:p>
        </w:tc>
        <w:tc>
          <w:tcPr>
            <w:tcW w:w="1083" w:type="dxa"/>
          </w:tcPr>
          <w:p w14:paraId="5FF3B80F">
            <w:pPr>
              <w:spacing w:line="240" w:lineRule="auto"/>
              <w:ind w:firstLine="480"/>
              <w:rPr>
                <w:rFonts w:hint="eastAsia" w:asciiTheme="minorEastAsia" w:hAnsiTheme="minorEastAsia" w:eastAsiaTheme="minorEastAsia" w:cstheme="minorEastAsia"/>
                <w:kern w:val="0"/>
                <w:sz w:val="24"/>
                <w:szCs w:val="24"/>
                <w:highlight w:val="none"/>
              </w:rPr>
            </w:pPr>
          </w:p>
        </w:tc>
        <w:tc>
          <w:tcPr>
            <w:tcW w:w="937" w:type="dxa"/>
          </w:tcPr>
          <w:p w14:paraId="164E14F6">
            <w:pPr>
              <w:spacing w:line="240" w:lineRule="auto"/>
              <w:ind w:firstLine="480"/>
              <w:rPr>
                <w:rFonts w:hint="eastAsia" w:asciiTheme="minorEastAsia" w:hAnsiTheme="minorEastAsia" w:eastAsiaTheme="minorEastAsia" w:cstheme="minorEastAsia"/>
                <w:kern w:val="0"/>
                <w:sz w:val="24"/>
                <w:szCs w:val="24"/>
                <w:highlight w:val="none"/>
              </w:rPr>
            </w:pPr>
          </w:p>
        </w:tc>
      </w:tr>
      <w:tr w14:paraId="5862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15F130B5">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w:t>
            </w:r>
          </w:p>
        </w:tc>
        <w:tc>
          <w:tcPr>
            <w:tcW w:w="1400" w:type="dxa"/>
          </w:tcPr>
          <w:p w14:paraId="1DFA879D">
            <w:pPr>
              <w:spacing w:line="240" w:lineRule="auto"/>
              <w:ind w:firstLine="480"/>
              <w:rPr>
                <w:rFonts w:hint="eastAsia" w:asciiTheme="minorEastAsia" w:hAnsiTheme="minorEastAsia" w:eastAsiaTheme="minorEastAsia" w:cstheme="minorEastAsia"/>
                <w:kern w:val="0"/>
                <w:sz w:val="24"/>
                <w:szCs w:val="24"/>
                <w:highlight w:val="none"/>
              </w:rPr>
            </w:pPr>
          </w:p>
        </w:tc>
        <w:tc>
          <w:tcPr>
            <w:tcW w:w="1400" w:type="dxa"/>
          </w:tcPr>
          <w:p w14:paraId="556B42FA">
            <w:pPr>
              <w:spacing w:line="240" w:lineRule="auto"/>
              <w:ind w:firstLine="480"/>
              <w:rPr>
                <w:rFonts w:hint="eastAsia" w:asciiTheme="minorEastAsia" w:hAnsiTheme="minorEastAsia" w:eastAsiaTheme="minorEastAsia" w:cstheme="minorEastAsia"/>
                <w:kern w:val="0"/>
                <w:sz w:val="24"/>
                <w:szCs w:val="24"/>
                <w:highlight w:val="none"/>
              </w:rPr>
            </w:pPr>
          </w:p>
        </w:tc>
        <w:tc>
          <w:tcPr>
            <w:tcW w:w="937" w:type="dxa"/>
          </w:tcPr>
          <w:p w14:paraId="7353D252">
            <w:pPr>
              <w:spacing w:line="240" w:lineRule="auto"/>
              <w:ind w:firstLine="480"/>
              <w:rPr>
                <w:rFonts w:hint="eastAsia" w:asciiTheme="minorEastAsia" w:hAnsiTheme="minorEastAsia" w:eastAsiaTheme="minorEastAsia" w:cstheme="minorEastAsia"/>
                <w:kern w:val="0"/>
                <w:sz w:val="24"/>
                <w:szCs w:val="24"/>
                <w:highlight w:val="none"/>
              </w:rPr>
            </w:pPr>
          </w:p>
        </w:tc>
        <w:tc>
          <w:tcPr>
            <w:tcW w:w="1088" w:type="dxa"/>
          </w:tcPr>
          <w:p w14:paraId="517D40FD">
            <w:pPr>
              <w:spacing w:line="240" w:lineRule="auto"/>
              <w:ind w:firstLine="480"/>
              <w:rPr>
                <w:rFonts w:hint="eastAsia" w:asciiTheme="minorEastAsia" w:hAnsiTheme="minorEastAsia" w:eastAsiaTheme="minorEastAsia" w:cstheme="minorEastAsia"/>
                <w:kern w:val="0"/>
                <w:sz w:val="24"/>
                <w:szCs w:val="24"/>
                <w:highlight w:val="none"/>
              </w:rPr>
            </w:pPr>
          </w:p>
        </w:tc>
        <w:tc>
          <w:tcPr>
            <w:tcW w:w="1126" w:type="dxa"/>
          </w:tcPr>
          <w:p w14:paraId="771D0F7E">
            <w:pPr>
              <w:spacing w:line="240" w:lineRule="auto"/>
              <w:ind w:firstLine="480"/>
              <w:rPr>
                <w:rFonts w:hint="eastAsia" w:asciiTheme="minorEastAsia" w:hAnsiTheme="minorEastAsia" w:eastAsiaTheme="minorEastAsia" w:cstheme="minorEastAsia"/>
                <w:kern w:val="0"/>
                <w:sz w:val="24"/>
                <w:szCs w:val="24"/>
                <w:highlight w:val="none"/>
              </w:rPr>
            </w:pPr>
          </w:p>
        </w:tc>
        <w:tc>
          <w:tcPr>
            <w:tcW w:w="1479" w:type="dxa"/>
          </w:tcPr>
          <w:p w14:paraId="0F168BC4">
            <w:pPr>
              <w:spacing w:line="240" w:lineRule="auto"/>
              <w:ind w:firstLine="480"/>
              <w:rPr>
                <w:rFonts w:hint="eastAsia" w:asciiTheme="minorEastAsia" w:hAnsiTheme="minorEastAsia" w:eastAsiaTheme="minorEastAsia" w:cstheme="minorEastAsia"/>
                <w:kern w:val="0"/>
                <w:sz w:val="24"/>
                <w:szCs w:val="24"/>
                <w:highlight w:val="none"/>
              </w:rPr>
            </w:pPr>
          </w:p>
        </w:tc>
        <w:tc>
          <w:tcPr>
            <w:tcW w:w="1083" w:type="dxa"/>
          </w:tcPr>
          <w:p w14:paraId="749BBF2B">
            <w:pPr>
              <w:spacing w:line="240" w:lineRule="auto"/>
              <w:ind w:firstLine="480"/>
              <w:rPr>
                <w:rFonts w:hint="eastAsia" w:asciiTheme="minorEastAsia" w:hAnsiTheme="minorEastAsia" w:eastAsiaTheme="minorEastAsia" w:cstheme="minorEastAsia"/>
                <w:kern w:val="0"/>
                <w:sz w:val="24"/>
                <w:szCs w:val="24"/>
                <w:highlight w:val="none"/>
              </w:rPr>
            </w:pPr>
          </w:p>
        </w:tc>
        <w:tc>
          <w:tcPr>
            <w:tcW w:w="937" w:type="dxa"/>
          </w:tcPr>
          <w:p w14:paraId="51924AFC">
            <w:pPr>
              <w:spacing w:line="240" w:lineRule="auto"/>
              <w:ind w:firstLine="480"/>
              <w:rPr>
                <w:rFonts w:hint="eastAsia" w:asciiTheme="minorEastAsia" w:hAnsiTheme="minorEastAsia" w:eastAsiaTheme="minorEastAsia" w:cstheme="minorEastAsia"/>
                <w:kern w:val="0"/>
                <w:sz w:val="24"/>
                <w:szCs w:val="24"/>
                <w:highlight w:val="none"/>
              </w:rPr>
            </w:pPr>
          </w:p>
        </w:tc>
      </w:tr>
      <w:tr w14:paraId="37D1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7C54281F">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p>
        </w:tc>
        <w:tc>
          <w:tcPr>
            <w:tcW w:w="1400" w:type="dxa"/>
          </w:tcPr>
          <w:p w14:paraId="5D739552">
            <w:pPr>
              <w:spacing w:line="240" w:lineRule="auto"/>
              <w:ind w:firstLine="480"/>
              <w:rPr>
                <w:rFonts w:hint="eastAsia" w:asciiTheme="minorEastAsia" w:hAnsiTheme="minorEastAsia" w:eastAsiaTheme="minorEastAsia" w:cstheme="minorEastAsia"/>
                <w:kern w:val="0"/>
                <w:sz w:val="24"/>
                <w:szCs w:val="24"/>
                <w:highlight w:val="none"/>
              </w:rPr>
            </w:pPr>
          </w:p>
        </w:tc>
        <w:tc>
          <w:tcPr>
            <w:tcW w:w="1400" w:type="dxa"/>
          </w:tcPr>
          <w:p w14:paraId="5BAFEE35">
            <w:pPr>
              <w:spacing w:line="240" w:lineRule="auto"/>
              <w:ind w:firstLine="480"/>
              <w:rPr>
                <w:rFonts w:hint="eastAsia" w:asciiTheme="minorEastAsia" w:hAnsiTheme="minorEastAsia" w:eastAsiaTheme="minorEastAsia" w:cstheme="minorEastAsia"/>
                <w:kern w:val="0"/>
                <w:sz w:val="24"/>
                <w:szCs w:val="24"/>
                <w:highlight w:val="none"/>
              </w:rPr>
            </w:pPr>
          </w:p>
        </w:tc>
        <w:tc>
          <w:tcPr>
            <w:tcW w:w="937" w:type="dxa"/>
          </w:tcPr>
          <w:p w14:paraId="66986566">
            <w:pPr>
              <w:spacing w:line="240" w:lineRule="auto"/>
              <w:ind w:firstLine="480"/>
              <w:rPr>
                <w:rFonts w:hint="eastAsia" w:asciiTheme="minorEastAsia" w:hAnsiTheme="minorEastAsia" w:eastAsiaTheme="minorEastAsia" w:cstheme="minorEastAsia"/>
                <w:kern w:val="0"/>
                <w:sz w:val="24"/>
                <w:szCs w:val="24"/>
                <w:highlight w:val="none"/>
              </w:rPr>
            </w:pPr>
          </w:p>
        </w:tc>
        <w:tc>
          <w:tcPr>
            <w:tcW w:w="1088" w:type="dxa"/>
          </w:tcPr>
          <w:p w14:paraId="18FC8A0A">
            <w:pPr>
              <w:spacing w:line="240" w:lineRule="auto"/>
              <w:ind w:firstLine="480"/>
              <w:rPr>
                <w:rFonts w:hint="eastAsia" w:asciiTheme="minorEastAsia" w:hAnsiTheme="minorEastAsia" w:eastAsiaTheme="minorEastAsia" w:cstheme="minorEastAsia"/>
                <w:kern w:val="0"/>
                <w:sz w:val="24"/>
                <w:szCs w:val="24"/>
                <w:highlight w:val="none"/>
              </w:rPr>
            </w:pPr>
          </w:p>
        </w:tc>
        <w:tc>
          <w:tcPr>
            <w:tcW w:w="1126" w:type="dxa"/>
          </w:tcPr>
          <w:p w14:paraId="0C1BC509">
            <w:pPr>
              <w:spacing w:line="240" w:lineRule="auto"/>
              <w:ind w:firstLine="480"/>
              <w:rPr>
                <w:rFonts w:hint="eastAsia" w:asciiTheme="minorEastAsia" w:hAnsiTheme="minorEastAsia" w:eastAsiaTheme="minorEastAsia" w:cstheme="minorEastAsia"/>
                <w:kern w:val="0"/>
                <w:sz w:val="24"/>
                <w:szCs w:val="24"/>
                <w:highlight w:val="none"/>
              </w:rPr>
            </w:pPr>
          </w:p>
        </w:tc>
        <w:tc>
          <w:tcPr>
            <w:tcW w:w="1479" w:type="dxa"/>
          </w:tcPr>
          <w:p w14:paraId="721547EC">
            <w:pPr>
              <w:spacing w:line="240" w:lineRule="auto"/>
              <w:ind w:firstLine="480"/>
              <w:rPr>
                <w:rFonts w:hint="eastAsia" w:asciiTheme="minorEastAsia" w:hAnsiTheme="minorEastAsia" w:eastAsiaTheme="minorEastAsia" w:cstheme="minorEastAsia"/>
                <w:kern w:val="0"/>
                <w:sz w:val="24"/>
                <w:szCs w:val="24"/>
                <w:highlight w:val="none"/>
              </w:rPr>
            </w:pPr>
          </w:p>
        </w:tc>
        <w:tc>
          <w:tcPr>
            <w:tcW w:w="1083" w:type="dxa"/>
          </w:tcPr>
          <w:p w14:paraId="0015D221">
            <w:pPr>
              <w:spacing w:line="240" w:lineRule="auto"/>
              <w:ind w:firstLine="480"/>
              <w:rPr>
                <w:rFonts w:hint="eastAsia" w:asciiTheme="minorEastAsia" w:hAnsiTheme="minorEastAsia" w:eastAsiaTheme="minorEastAsia" w:cstheme="minorEastAsia"/>
                <w:kern w:val="0"/>
                <w:sz w:val="24"/>
                <w:szCs w:val="24"/>
                <w:highlight w:val="none"/>
              </w:rPr>
            </w:pPr>
          </w:p>
        </w:tc>
        <w:tc>
          <w:tcPr>
            <w:tcW w:w="937" w:type="dxa"/>
          </w:tcPr>
          <w:p w14:paraId="0ECEEF40">
            <w:pPr>
              <w:spacing w:line="240" w:lineRule="auto"/>
              <w:ind w:firstLine="480"/>
              <w:rPr>
                <w:rFonts w:hint="eastAsia" w:asciiTheme="minorEastAsia" w:hAnsiTheme="minorEastAsia" w:eastAsiaTheme="minorEastAsia" w:cstheme="minorEastAsia"/>
                <w:kern w:val="0"/>
                <w:sz w:val="24"/>
                <w:szCs w:val="24"/>
                <w:highlight w:val="none"/>
              </w:rPr>
            </w:pPr>
          </w:p>
        </w:tc>
      </w:tr>
      <w:tr w14:paraId="242D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7" w:type="dxa"/>
            <w:gridSpan w:val="9"/>
            <w:vAlign w:val="bottom"/>
          </w:tcPr>
          <w:p w14:paraId="562FFDF8">
            <w:pPr>
              <w:spacing w:line="240" w:lineRule="auto"/>
              <w:jc w:val="left"/>
              <w:rPr>
                <w:rFonts w:hint="eastAsia" w:asciiTheme="minorEastAsia" w:hAnsiTheme="minorEastAsia" w:eastAsiaTheme="minorEastAsia" w:cstheme="minorEastAsia"/>
                <w:kern w:val="0"/>
                <w:sz w:val="24"/>
                <w:szCs w:val="24"/>
                <w:highlight w:val="none"/>
              </w:rPr>
            </w:pPr>
          </w:p>
          <w:p w14:paraId="3FF66DBE">
            <w:pPr>
              <w:spacing w:line="24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合计：     （元）</w:t>
            </w:r>
          </w:p>
        </w:tc>
      </w:tr>
    </w:tbl>
    <w:p w14:paraId="22274B69">
      <w:pPr>
        <w:pStyle w:val="163"/>
        <w:widowControl/>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说明：</w:t>
      </w:r>
    </w:p>
    <w:p w14:paraId="1CD2E834">
      <w:pPr>
        <w:pStyle w:val="163"/>
        <w:widowControl/>
        <w:spacing w:line="360" w:lineRule="auto"/>
        <w:ind w:firstLine="720" w:firstLineChars="300"/>
        <w:rPr>
          <w:rFonts w:hint="eastAsia" w:asciiTheme="minorEastAsia" w:hAnsiTheme="minorEastAsia" w:eastAsiaTheme="minorEastAsia" w:cstheme="minorEastAsia"/>
          <w:kern w:val="0"/>
          <w:sz w:val="24"/>
          <w:szCs w:val="24"/>
          <w:highlight w:val="none"/>
        </w:rPr>
      </w:pPr>
    </w:p>
    <w:p w14:paraId="3A0C8881">
      <w:pPr>
        <w:pStyle w:val="163"/>
        <w:widowControl/>
        <w:spacing w:line="360" w:lineRule="auto"/>
        <w:ind w:firstLine="720" w:firstLineChars="300"/>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kern w:val="0"/>
          <w:sz w:val="24"/>
          <w:szCs w:val="24"/>
          <w:highlight w:val="none"/>
        </w:rPr>
        <w:t>1.中小企业合同金额达到总合同金额</w:t>
      </w:r>
      <w:r>
        <w:rPr>
          <w:rFonts w:hint="eastAsia" w:asciiTheme="minorEastAsia" w:hAnsiTheme="minorEastAsia" w:eastAsiaTheme="minorEastAsia" w:cstheme="minorEastAsia"/>
          <w:kern w:val="0"/>
          <w:sz w:val="24"/>
          <w:szCs w:val="24"/>
          <w:highlight w:val="none"/>
          <w:lang w:eastAsia="zh-CN"/>
        </w:rPr>
        <w:t>比例</w:t>
      </w:r>
      <w:r>
        <w:rPr>
          <w:rFonts w:hint="eastAsia" w:asciiTheme="minorEastAsia" w:hAnsiTheme="minorEastAsia" w:eastAsiaTheme="minorEastAsia" w:cstheme="minorEastAsia"/>
          <w:kern w:val="0"/>
          <w:sz w:val="24"/>
          <w:szCs w:val="24"/>
          <w:highlight w:val="none"/>
        </w:rPr>
        <w:t>的</w:t>
      </w:r>
      <w:r>
        <w:rPr>
          <w:rFonts w:hint="eastAsia" w:asciiTheme="minorEastAsia" w:hAnsiTheme="minorEastAsia" w:eastAsiaTheme="minorEastAsia" w:cstheme="minorEastAsia"/>
          <w:kern w:val="0"/>
          <w:sz w:val="24"/>
          <w:szCs w:val="24"/>
          <w:highlight w:val="none"/>
          <w:u w:val="single"/>
          <w:lang w:val="en-US" w:eastAsia="zh-CN"/>
        </w:rPr>
        <w:t xml:space="preserve">      </w:t>
      </w:r>
      <w:r>
        <w:rPr>
          <w:rFonts w:hint="eastAsia" w:asciiTheme="minorEastAsia" w:hAnsiTheme="minorEastAsia" w:eastAsiaTheme="minorEastAsia" w:cstheme="minorEastAsia"/>
          <w:kern w:val="0"/>
          <w:sz w:val="24"/>
          <w:szCs w:val="24"/>
          <w:highlight w:val="none"/>
        </w:rPr>
        <w:t>%，小微企业合同金额达到中小企业合同金额</w:t>
      </w:r>
      <w:r>
        <w:rPr>
          <w:rFonts w:hint="eastAsia" w:asciiTheme="minorEastAsia" w:hAnsiTheme="minorEastAsia" w:eastAsiaTheme="minorEastAsia" w:cstheme="minorEastAsia"/>
          <w:kern w:val="0"/>
          <w:sz w:val="24"/>
          <w:szCs w:val="24"/>
          <w:highlight w:val="none"/>
          <w:lang w:eastAsia="zh-CN"/>
        </w:rPr>
        <w:t>比例</w:t>
      </w:r>
      <w:r>
        <w:rPr>
          <w:rFonts w:hint="eastAsia" w:asciiTheme="minorEastAsia" w:hAnsiTheme="minorEastAsia" w:eastAsiaTheme="minorEastAsia" w:cstheme="minorEastAsia"/>
          <w:kern w:val="0"/>
          <w:sz w:val="24"/>
          <w:szCs w:val="24"/>
          <w:highlight w:val="none"/>
        </w:rPr>
        <w:t>的</w:t>
      </w:r>
      <w:r>
        <w:rPr>
          <w:rFonts w:hint="eastAsia" w:asciiTheme="minorEastAsia" w:hAnsiTheme="minorEastAsia" w:eastAsiaTheme="minorEastAsia" w:cstheme="minorEastAsia"/>
          <w:kern w:val="0"/>
          <w:sz w:val="24"/>
          <w:szCs w:val="24"/>
          <w:highlight w:val="none"/>
          <w:u w:val="single"/>
          <w:lang w:val="en-US" w:eastAsia="zh-CN"/>
        </w:rPr>
        <w:t xml:space="preserve">      </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zh-CN"/>
        </w:rPr>
        <w:t>。</w:t>
      </w:r>
      <w:r>
        <w:rPr>
          <w:rFonts w:hint="eastAsia" w:asciiTheme="minorEastAsia" w:hAnsiTheme="minorEastAsia" w:eastAsiaTheme="minorEastAsia" w:cstheme="minorEastAsia"/>
          <w:b/>
          <w:bCs/>
          <w:kern w:val="0"/>
          <w:sz w:val="28"/>
          <w:szCs w:val="28"/>
          <w:highlight w:val="none"/>
          <w:lang w:val="zh-CN"/>
        </w:rPr>
        <w:t>（</w:t>
      </w:r>
      <w:r>
        <w:rPr>
          <w:rFonts w:hint="eastAsia" w:asciiTheme="minorEastAsia" w:hAnsiTheme="minorEastAsia" w:eastAsiaTheme="minorEastAsia" w:cstheme="minorEastAsia"/>
          <w:b/>
          <w:bCs/>
          <w:kern w:val="0"/>
          <w:sz w:val="28"/>
          <w:szCs w:val="28"/>
          <w:highlight w:val="none"/>
        </w:rPr>
        <w:t>此条必须填写）</w:t>
      </w:r>
    </w:p>
    <w:p w14:paraId="053149A8">
      <w:pPr>
        <w:pStyle w:val="163"/>
        <w:widowControl/>
        <w:spacing w:line="360" w:lineRule="auto"/>
        <w:ind w:firstLine="720" w:firstLineChars="3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2.投标人必须填写报价明细表，否则将导致投标被拒绝。</w:t>
      </w:r>
    </w:p>
    <w:p w14:paraId="706E30E8">
      <w:pPr>
        <w:spacing w:line="360" w:lineRule="auto"/>
        <w:ind w:firstLine="720" w:firstLineChars="3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3.报价包括项目实施所需的货物费、材料费、包装运输费、装卸费、安装调试费、管理费、维保运维费、利润、税费及其他一切相关费用。 所有价格均用人民币表示，单位为元。供应商在填写此表时还可进行详细说明，详细说明后附，具体自行编制。</w:t>
      </w:r>
    </w:p>
    <w:p w14:paraId="024A07B0">
      <w:pPr>
        <w:spacing w:line="360" w:lineRule="auto"/>
        <w:ind w:firstLine="787" w:firstLineChars="328"/>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4.供应商必须按此表格式中的对应栏目内容填写，若需增加栏目，请在栏目“其它”中填写，并作详细说明。</w:t>
      </w:r>
    </w:p>
    <w:p w14:paraId="2FC3775A">
      <w:pPr>
        <w:pStyle w:val="46"/>
        <w:spacing w:line="240" w:lineRule="auto"/>
        <w:rPr>
          <w:rFonts w:hint="eastAsia" w:asciiTheme="minorEastAsia" w:hAnsiTheme="minorEastAsia" w:eastAsiaTheme="minorEastAsia" w:cstheme="minorEastAsia"/>
          <w:sz w:val="24"/>
          <w:szCs w:val="24"/>
          <w:highlight w:val="none"/>
        </w:rPr>
      </w:pPr>
    </w:p>
    <w:p w14:paraId="56A6F347">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供应商名称(盖单位章)：</w:t>
      </w:r>
    </w:p>
    <w:p w14:paraId="4B705802">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p>
    <w:p w14:paraId="673A26DE">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日期：年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7A5E7E42">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br w:type="page"/>
      </w:r>
      <w:r>
        <w:rPr>
          <w:rFonts w:hint="eastAsia" w:asciiTheme="minorEastAsia" w:hAnsiTheme="minorEastAsia" w:eastAsiaTheme="minorEastAsia" w:cstheme="minorEastAsia"/>
          <w:b/>
          <w:bCs/>
          <w:kern w:val="0"/>
          <w:sz w:val="24"/>
          <w:szCs w:val="24"/>
          <w:highlight w:val="none"/>
        </w:rPr>
        <w:t>附件6：</w:t>
      </w:r>
    </w:p>
    <w:p w14:paraId="05A3116F">
      <w:pPr>
        <w:spacing w:line="240" w:lineRule="auto"/>
        <w:rPr>
          <w:rFonts w:hint="eastAsia" w:asciiTheme="minorEastAsia" w:hAnsiTheme="minorEastAsia" w:eastAsiaTheme="minorEastAsia" w:cstheme="minorEastAsia"/>
          <w:b/>
          <w:bCs/>
          <w:kern w:val="0"/>
          <w:sz w:val="24"/>
          <w:szCs w:val="24"/>
          <w:highlight w:val="none"/>
        </w:rPr>
      </w:pPr>
    </w:p>
    <w:p w14:paraId="22B594F8">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节能、环境标志产品加分明细表</w:t>
      </w:r>
    </w:p>
    <w:p w14:paraId="54BEB143">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（若有，请如实填写）</w:t>
      </w:r>
    </w:p>
    <w:tbl>
      <w:tblPr>
        <w:tblStyle w:val="36"/>
        <w:tblW w:w="9595"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821"/>
        <w:gridCol w:w="3120"/>
        <w:gridCol w:w="1788"/>
        <w:gridCol w:w="1380"/>
        <w:gridCol w:w="991"/>
      </w:tblGrid>
      <w:tr w14:paraId="0180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Align w:val="center"/>
          </w:tcPr>
          <w:p w14:paraId="4811D379">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标段（包）</w:t>
            </w:r>
          </w:p>
        </w:tc>
        <w:tc>
          <w:tcPr>
            <w:tcW w:w="821" w:type="dxa"/>
            <w:vAlign w:val="center"/>
          </w:tcPr>
          <w:p w14:paraId="37CBF4C3">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行次</w:t>
            </w:r>
          </w:p>
        </w:tc>
        <w:tc>
          <w:tcPr>
            <w:tcW w:w="3120" w:type="dxa"/>
            <w:vAlign w:val="center"/>
          </w:tcPr>
          <w:p w14:paraId="33270A2F">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清单产品名称</w:t>
            </w:r>
          </w:p>
        </w:tc>
        <w:tc>
          <w:tcPr>
            <w:tcW w:w="1788" w:type="dxa"/>
            <w:vAlign w:val="center"/>
          </w:tcPr>
          <w:p w14:paraId="71C0D22D">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金额</w:t>
            </w:r>
          </w:p>
        </w:tc>
        <w:tc>
          <w:tcPr>
            <w:tcW w:w="1380" w:type="dxa"/>
            <w:vAlign w:val="center"/>
          </w:tcPr>
          <w:p w14:paraId="388D9F93">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清单页数及序号</w:t>
            </w:r>
          </w:p>
        </w:tc>
        <w:tc>
          <w:tcPr>
            <w:tcW w:w="991" w:type="dxa"/>
            <w:vAlign w:val="center"/>
          </w:tcPr>
          <w:p w14:paraId="0A405B25">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备注</w:t>
            </w:r>
          </w:p>
        </w:tc>
      </w:tr>
      <w:tr w14:paraId="6848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restart"/>
            <w:vAlign w:val="center"/>
          </w:tcPr>
          <w:p w14:paraId="0C5A6568">
            <w:pPr>
              <w:spacing w:line="240" w:lineRule="auto"/>
              <w:jc w:val="center"/>
              <w:rPr>
                <w:rFonts w:hint="eastAsia" w:asciiTheme="minorEastAsia" w:hAnsiTheme="minorEastAsia" w:eastAsiaTheme="minorEastAsia" w:cstheme="minorEastAsia"/>
                <w:b/>
                <w:bCs/>
                <w:kern w:val="0"/>
                <w:sz w:val="24"/>
                <w:szCs w:val="24"/>
                <w:highlight w:val="none"/>
              </w:rPr>
            </w:pPr>
          </w:p>
        </w:tc>
        <w:tc>
          <w:tcPr>
            <w:tcW w:w="821" w:type="dxa"/>
            <w:vAlign w:val="center"/>
          </w:tcPr>
          <w:p w14:paraId="20B763E0">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1</w:t>
            </w:r>
          </w:p>
        </w:tc>
        <w:tc>
          <w:tcPr>
            <w:tcW w:w="3120" w:type="dxa"/>
            <w:vAlign w:val="center"/>
          </w:tcPr>
          <w:p w14:paraId="69488115">
            <w:pPr>
              <w:spacing w:line="240" w:lineRule="auto"/>
              <w:jc w:val="center"/>
              <w:rPr>
                <w:rFonts w:hint="eastAsia" w:asciiTheme="minorEastAsia" w:hAnsiTheme="minorEastAsia" w:eastAsiaTheme="minorEastAsia" w:cstheme="minorEastAsia"/>
                <w:b/>
                <w:bCs/>
                <w:kern w:val="0"/>
                <w:sz w:val="24"/>
                <w:szCs w:val="24"/>
                <w:highlight w:val="none"/>
              </w:rPr>
            </w:pPr>
          </w:p>
        </w:tc>
        <w:tc>
          <w:tcPr>
            <w:tcW w:w="1788" w:type="dxa"/>
            <w:vAlign w:val="center"/>
          </w:tcPr>
          <w:p w14:paraId="19DDCB27">
            <w:pPr>
              <w:spacing w:line="240" w:lineRule="auto"/>
              <w:jc w:val="center"/>
              <w:rPr>
                <w:rFonts w:hint="eastAsia" w:asciiTheme="minorEastAsia" w:hAnsiTheme="minorEastAsia" w:eastAsiaTheme="minorEastAsia" w:cstheme="minorEastAsia"/>
                <w:b/>
                <w:bCs/>
                <w:kern w:val="0"/>
                <w:sz w:val="24"/>
                <w:szCs w:val="24"/>
                <w:highlight w:val="none"/>
              </w:rPr>
            </w:pPr>
          </w:p>
        </w:tc>
        <w:tc>
          <w:tcPr>
            <w:tcW w:w="1380" w:type="dxa"/>
            <w:vAlign w:val="center"/>
          </w:tcPr>
          <w:p w14:paraId="52B878D9">
            <w:pPr>
              <w:spacing w:line="240" w:lineRule="auto"/>
              <w:jc w:val="center"/>
              <w:rPr>
                <w:rFonts w:hint="eastAsia" w:asciiTheme="minorEastAsia" w:hAnsiTheme="minorEastAsia" w:eastAsiaTheme="minorEastAsia" w:cstheme="minorEastAsia"/>
                <w:b/>
                <w:bCs/>
                <w:kern w:val="0"/>
                <w:sz w:val="24"/>
                <w:szCs w:val="24"/>
                <w:highlight w:val="none"/>
              </w:rPr>
            </w:pPr>
          </w:p>
        </w:tc>
        <w:tc>
          <w:tcPr>
            <w:tcW w:w="991" w:type="dxa"/>
            <w:vAlign w:val="center"/>
          </w:tcPr>
          <w:p w14:paraId="48CEA543">
            <w:pPr>
              <w:spacing w:line="240" w:lineRule="auto"/>
              <w:jc w:val="center"/>
              <w:rPr>
                <w:rFonts w:hint="eastAsia" w:asciiTheme="minorEastAsia" w:hAnsiTheme="minorEastAsia" w:eastAsiaTheme="minorEastAsia" w:cstheme="minorEastAsia"/>
                <w:b/>
                <w:bCs/>
                <w:kern w:val="0"/>
                <w:sz w:val="24"/>
                <w:szCs w:val="24"/>
                <w:highlight w:val="none"/>
              </w:rPr>
            </w:pPr>
          </w:p>
        </w:tc>
      </w:tr>
      <w:tr w14:paraId="7466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continue"/>
            <w:vAlign w:val="center"/>
          </w:tcPr>
          <w:p w14:paraId="310E6F0D">
            <w:pPr>
              <w:spacing w:line="240" w:lineRule="auto"/>
              <w:jc w:val="center"/>
              <w:rPr>
                <w:rFonts w:hint="eastAsia" w:asciiTheme="minorEastAsia" w:hAnsiTheme="minorEastAsia" w:eastAsiaTheme="minorEastAsia" w:cstheme="minorEastAsia"/>
                <w:b/>
                <w:bCs/>
                <w:kern w:val="0"/>
                <w:sz w:val="24"/>
                <w:szCs w:val="24"/>
                <w:highlight w:val="none"/>
              </w:rPr>
            </w:pPr>
          </w:p>
        </w:tc>
        <w:tc>
          <w:tcPr>
            <w:tcW w:w="821" w:type="dxa"/>
            <w:vAlign w:val="center"/>
          </w:tcPr>
          <w:p w14:paraId="287B24FB">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2</w:t>
            </w:r>
          </w:p>
        </w:tc>
        <w:tc>
          <w:tcPr>
            <w:tcW w:w="3120" w:type="dxa"/>
            <w:vAlign w:val="center"/>
          </w:tcPr>
          <w:p w14:paraId="3C7708DF">
            <w:pPr>
              <w:spacing w:line="240" w:lineRule="auto"/>
              <w:jc w:val="center"/>
              <w:rPr>
                <w:rFonts w:hint="eastAsia" w:asciiTheme="minorEastAsia" w:hAnsiTheme="minorEastAsia" w:eastAsiaTheme="minorEastAsia" w:cstheme="minorEastAsia"/>
                <w:b/>
                <w:bCs/>
                <w:kern w:val="0"/>
                <w:sz w:val="24"/>
                <w:szCs w:val="24"/>
                <w:highlight w:val="none"/>
              </w:rPr>
            </w:pPr>
          </w:p>
        </w:tc>
        <w:tc>
          <w:tcPr>
            <w:tcW w:w="1788" w:type="dxa"/>
            <w:vAlign w:val="center"/>
          </w:tcPr>
          <w:p w14:paraId="74239782">
            <w:pPr>
              <w:spacing w:line="240" w:lineRule="auto"/>
              <w:jc w:val="center"/>
              <w:rPr>
                <w:rFonts w:hint="eastAsia" w:asciiTheme="minorEastAsia" w:hAnsiTheme="minorEastAsia" w:eastAsiaTheme="minorEastAsia" w:cstheme="minorEastAsia"/>
                <w:b/>
                <w:bCs/>
                <w:kern w:val="0"/>
                <w:sz w:val="24"/>
                <w:szCs w:val="24"/>
                <w:highlight w:val="none"/>
              </w:rPr>
            </w:pPr>
          </w:p>
        </w:tc>
        <w:tc>
          <w:tcPr>
            <w:tcW w:w="1380" w:type="dxa"/>
            <w:vAlign w:val="center"/>
          </w:tcPr>
          <w:p w14:paraId="588C004C">
            <w:pPr>
              <w:spacing w:line="240" w:lineRule="auto"/>
              <w:jc w:val="center"/>
              <w:rPr>
                <w:rFonts w:hint="eastAsia" w:asciiTheme="minorEastAsia" w:hAnsiTheme="minorEastAsia" w:eastAsiaTheme="minorEastAsia" w:cstheme="minorEastAsia"/>
                <w:b/>
                <w:bCs/>
                <w:kern w:val="0"/>
                <w:sz w:val="24"/>
                <w:szCs w:val="24"/>
                <w:highlight w:val="none"/>
              </w:rPr>
            </w:pPr>
          </w:p>
        </w:tc>
        <w:tc>
          <w:tcPr>
            <w:tcW w:w="991" w:type="dxa"/>
            <w:vAlign w:val="center"/>
          </w:tcPr>
          <w:p w14:paraId="3F527FE0">
            <w:pPr>
              <w:spacing w:line="240" w:lineRule="auto"/>
              <w:jc w:val="center"/>
              <w:rPr>
                <w:rFonts w:hint="eastAsia" w:asciiTheme="minorEastAsia" w:hAnsiTheme="minorEastAsia" w:eastAsiaTheme="minorEastAsia" w:cstheme="minorEastAsia"/>
                <w:b/>
                <w:bCs/>
                <w:kern w:val="0"/>
                <w:sz w:val="24"/>
                <w:szCs w:val="24"/>
                <w:highlight w:val="none"/>
              </w:rPr>
            </w:pPr>
          </w:p>
        </w:tc>
      </w:tr>
      <w:tr w14:paraId="663A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continue"/>
            <w:vAlign w:val="center"/>
          </w:tcPr>
          <w:p w14:paraId="6B846418">
            <w:pPr>
              <w:spacing w:line="240" w:lineRule="auto"/>
              <w:jc w:val="center"/>
              <w:rPr>
                <w:rFonts w:hint="eastAsia" w:asciiTheme="minorEastAsia" w:hAnsiTheme="minorEastAsia" w:eastAsiaTheme="minorEastAsia" w:cstheme="minorEastAsia"/>
                <w:b/>
                <w:bCs/>
                <w:kern w:val="0"/>
                <w:sz w:val="24"/>
                <w:szCs w:val="24"/>
                <w:highlight w:val="none"/>
              </w:rPr>
            </w:pPr>
          </w:p>
        </w:tc>
        <w:tc>
          <w:tcPr>
            <w:tcW w:w="821" w:type="dxa"/>
            <w:vAlign w:val="center"/>
          </w:tcPr>
          <w:p w14:paraId="4AFD0C2E">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3</w:t>
            </w:r>
          </w:p>
        </w:tc>
        <w:tc>
          <w:tcPr>
            <w:tcW w:w="3120" w:type="dxa"/>
            <w:vAlign w:val="center"/>
          </w:tcPr>
          <w:p w14:paraId="014E3584">
            <w:pPr>
              <w:spacing w:line="240" w:lineRule="auto"/>
              <w:jc w:val="center"/>
              <w:rPr>
                <w:rFonts w:hint="eastAsia" w:asciiTheme="minorEastAsia" w:hAnsiTheme="minorEastAsia" w:eastAsiaTheme="minorEastAsia" w:cstheme="minorEastAsia"/>
                <w:b/>
                <w:bCs/>
                <w:kern w:val="0"/>
                <w:sz w:val="24"/>
                <w:szCs w:val="24"/>
                <w:highlight w:val="none"/>
              </w:rPr>
            </w:pPr>
          </w:p>
        </w:tc>
        <w:tc>
          <w:tcPr>
            <w:tcW w:w="1788" w:type="dxa"/>
            <w:vAlign w:val="center"/>
          </w:tcPr>
          <w:p w14:paraId="62EE4710">
            <w:pPr>
              <w:spacing w:line="240" w:lineRule="auto"/>
              <w:jc w:val="center"/>
              <w:rPr>
                <w:rFonts w:hint="eastAsia" w:asciiTheme="minorEastAsia" w:hAnsiTheme="minorEastAsia" w:eastAsiaTheme="minorEastAsia" w:cstheme="minorEastAsia"/>
                <w:b/>
                <w:bCs/>
                <w:kern w:val="0"/>
                <w:sz w:val="24"/>
                <w:szCs w:val="24"/>
                <w:highlight w:val="none"/>
              </w:rPr>
            </w:pPr>
          </w:p>
        </w:tc>
        <w:tc>
          <w:tcPr>
            <w:tcW w:w="1380" w:type="dxa"/>
            <w:vAlign w:val="center"/>
          </w:tcPr>
          <w:p w14:paraId="66370964">
            <w:pPr>
              <w:spacing w:line="240" w:lineRule="auto"/>
              <w:jc w:val="center"/>
              <w:rPr>
                <w:rFonts w:hint="eastAsia" w:asciiTheme="minorEastAsia" w:hAnsiTheme="minorEastAsia" w:eastAsiaTheme="minorEastAsia" w:cstheme="minorEastAsia"/>
                <w:b/>
                <w:bCs/>
                <w:kern w:val="0"/>
                <w:sz w:val="24"/>
                <w:szCs w:val="24"/>
                <w:highlight w:val="none"/>
              </w:rPr>
            </w:pPr>
          </w:p>
        </w:tc>
        <w:tc>
          <w:tcPr>
            <w:tcW w:w="991" w:type="dxa"/>
            <w:vAlign w:val="center"/>
          </w:tcPr>
          <w:p w14:paraId="5D57CE78">
            <w:pPr>
              <w:spacing w:line="240" w:lineRule="auto"/>
              <w:jc w:val="center"/>
              <w:rPr>
                <w:rFonts w:hint="eastAsia" w:asciiTheme="minorEastAsia" w:hAnsiTheme="minorEastAsia" w:eastAsiaTheme="minorEastAsia" w:cstheme="minorEastAsia"/>
                <w:b/>
                <w:bCs/>
                <w:kern w:val="0"/>
                <w:sz w:val="24"/>
                <w:szCs w:val="24"/>
                <w:highlight w:val="none"/>
              </w:rPr>
            </w:pPr>
          </w:p>
        </w:tc>
      </w:tr>
      <w:tr w14:paraId="56C7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continue"/>
            <w:vAlign w:val="center"/>
          </w:tcPr>
          <w:p w14:paraId="3695AFA5">
            <w:pPr>
              <w:spacing w:line="240" w:lineRule="auto"/>
              <w:jc w:val="center"/>
              <w:rPr>
                <w:rFonts w:hint="eastAsia" w:asciiTheme="minorEastAsia" w:hAnsiTheme="minorEastAsia" w:eastAsiaTheme="minorEastAsia" w:cstheme="minorEastAsia"/>
                <w:b/>
                <w:bCs/>
                <w:kern w:val="0"/>
                <w:sz w:val="24"/>
                <w:szCs w:val="24"/>
                <w:highlight w:val="none"/>
              </w:rPr>
            </w:pPr>
          </w:p>
        </w:tc>
        <w:tc>
          <w:tcPr>
            <w:tcW w:w="821" w:type="dxa"/>
            <w:vAlign w:val="center"/>
          </w:tcPr>
          <w:p w14:paraId="439B2221">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4</w:t>
            </w:r>
          </w:p>
        </w:tc>
        <w:tc>
          <w:tcPr>
            <w:tcW w:w="3120" w:type="dxa"/>
            <w:vAlign w:val="center"/>
          </w:tcPr>
          <w:p w14:paraId="4350F4D1">
            <w:pPr>
              <w:spacing w:line="240" w:lineRule="auto"/>
              <w:jc w:val="center"/>
              <w:rPr>
                <w:rFonts w:hint="eastAsia" w:asciiTheme="minorEastAsia" w:hAnsiTheme="minorEastAsia" w:eastAsiaTheme="minorEastAsia" w:cstheme="minorEastAsia"/>
                <w:b/>
                <w:bCs/>
                <w:kern w:val="0"/>
                <w:sz w:val="24"/>
                <w:szCs w:val="24"/>
                <w:highlight w:val="none"/>
              </w:rPr>
            </w:pPr>
          </w:p>
        </w:tc>
        <w:tc>
          <w:tcPr>
            <w:tcW w:w="1788" w:type="dxa"/>
            <w:vAlign w:val="center"/>
          </w:tcPr>
          <w:p w14:paraId="61565B3E">
            <w:pPr>
              <w:spacing w:line="240" w:lineRule="auto"/>
              <w:jc w:val="center"/>
              <w:rPr>
                <w:rFonts w:hint="eastAsia" w:asciiTheme="minorEastAsia" w:hAnsiTheme="minorEastAsia" w:eastAsiaTheme="minorEastAsia" w:cstheme="minorEastAsia"/>
                <w:b/>
                <w:bCs/>
                <w:kern w:val="0"/>
                <w:sz w:val="24"/>
                <w:szCs w:val="24"/>
                <w:highlight w:val="none"/>
              </w:rPr>
            </w:pPr>
          </w:p>
        </w:tc>
        <w:tc>
          <w:tcPr>
            <w:tcW w:w="1380" w:type="dxa"/>
            <w:vAlign w:val="center"/>
          </w:tcPr>
          <w:p w14:paraId="0074E759">
            <w:pPr>
              <w:spacing w:line="240" w:lineRule="auto"/>
              <w:jc w:val="center"/>
              <w:rPr>
                <w:rFonts w:hint="eastAsia" w:asciiTheme="minorEastAsia" w:hAnsiTheme="minorEastAsia" w:eastAsiaTheme="minorEastAsia" w:cstheme="minorEastAsia"/>
                <w:b/>
                <w:bCs/>
                <w:kern w:val="0"/>
                <w:sz w:val="24"/>
                <w:szCs w:val="24"/>
                <w:highlight w:val="none"/>
              </w:rPr>
            </w:pPr>
          </w:p>
        </w:tc>
        <w:tc>
          <w:tcPr>
            <w:tcW w:w="991" w:type="dxa"/>
            <w:vAlign w:val="center"/>
          </w:tcPr>
          <w:p w14:paraId="65AA1106">
            <w:pPr>
              <w:spacing w:line="240" w:lineRule="auto"/>
              <w:jc w:val="center"/>
              <w:rPr>
                <w:rFonts w:hint="eastAsia" w:asciiTheme="minorEastAsia" w:hAnsiTheme="minorEastAsia" w:eastAsiaTheme="minorEastAsia" w:cstheme="minorEastAsia"/>
                <w:b/>
                <w:bCs/>
                <w:kern w:val="0"/>
                <w:sz w:val="24"/>
                <w:szCs w:val="24"/>
                <w:highlight w:val="none"/>
              </w:rPr>
            </w:pPr>
          </w:p>
        </w:tc>
      </w:tr>
      <w:tr w14:paraId="5A1D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continue"/>
            <w:vAlign w:val="center"/>
          </w:tcPr>
          <w:p w14:paraId="40B568C1">
            <w:pPr>
              <w:spacing w:line="240" w:lineRule="auto"/>
              <w:jc w:val="center"/>
              <w:rPr>
                <w:rFonts w:hint="eastAsia" w:asciiTheme="minorEastAsia" w:hAnsiTheme="minorEastAsia" w:eastAsiaTheme="minorEastAsia" w:cstheme="minorEastAsia"/>
                <w:b/>
                <w:bCs/>
                <w:kern w:val="0"/>
                <w:sz w:val="24"/>
                <w:szCs w:val="24"/>
                <w:highlight w:val="none"/>
              </w:rPr>
            </w:pPr>
          </w:p>
        </w:tc>
        <w:tc>
          <w:tcPr>
            <w:tcW w:w="821" w:type="dxa"/>
            <w:vAlign w:val="center"/>
          </w:tcPr>
          <w:p w14:paraId="1DCC7BCF">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5</w:t>
            </w:r>
          </w:p>
        </w:tc>
        <w:tc>
          <w:tcPr>
            <w:tcW w:w="3120" w:type="dxa"/>
            <w:vAlign w:val="center"/>
          </w:tcPr>
          <w:p w14:paraId="17E44E4A">
            <w:pPr>
              <w:spacing w:line="240" w:lineRule="auto"/>
              <w:jc w:val="center"/>
              <w:rPr>
                <w:rFonts w:hint="eastAsia" w:asciiTheme="minorEastAsia" w:hAnsiTheme="minorEastAsia" w:eastAsiaTheme="minorEastAsia" w:cstheme="minorEastAsia"/>
                <w:b/>
                <w:bCs/>
                <w:kern w:val="0"/>
                <w:sz w:val="24"/>
                <w:szCs w:val="24"/>
                <w:highlight w:val="none"/>
              </w:rPr>
            </w:pPr>
          </w:p>
        </w:tc>
        <w:tc>
          <w:tcPr>
            <w:tcW w:w="1788" w:type="dxa"/>
            <w:vAlign w:val="center"/>
          </w:tcPr>
          <w:p w14:paraId="54258F01">
            <w:pPr>
              <w:spacing w:line="240" w:lineRule="auto"/>
              <w:jc w:val="center"/>
              <w:rPr>
                <w:rFonts w:hint="eastAsia" w:asciiTheme="minorEastAsia" w:hAnsiTheme="minorEastAsia" w:eastAsiaTheme="minorEastAsia" w:cstheme="minorEastAsia"/>
                <w:b/>
                <w:bCs/>
                <w:kern w:val="0"/>
                <w:sz w:val="24"/>
                <w:szCs w:val="24"/>
                <w:highlight w:val="none"/>
              </w:rPr>
            </w:pPr>
          </w:p>
        </w:tc>
        <w:tc>
          <w:tcPr>
            <w:tcW w:w="1380" w:type="dxa"/>
            <w:vAlign w:val="center"/>
          </w:tcPr>
          <w:p w14:paraId="217FE137">
            <w:pPr>
              <w:spacing w:line="240" w:lineRule="auto"/>
              <w:jc w:val="center"/>
              <w:rPr>
                <w:rFonts w:hint="eastAsia" w:asciiTheme="minorEastAsia" w:hAnsiTheme="minorEastAsia" w:eastAsiaTheme="minorEastAsia" w:cstheme="minorEastAsia"/>
                <w:b/>
                <w:bCs/>
                <w:kern w:val="0"/>
                <w:sz w:val="24"/>
                <w:szCs w:val="24"/>
                <w:highlight w:val="none"/>
              </w:rPr>
            </w:pPr>
          </w:p>
        </w:tc>
        <w:tc>
          <w:tcPr>
            <w:tcW w:w="991" w:type="dxa"/>
            <w:vAlign w:val="center"/>
          </w:tcPr>
          <w:p w14:paraId="25B3DCFF">
            <w:pPr>
              <w:spacing w:line="240" w:lineRule="auto"/>
              <w:jc w:val="center"/>
              <w:rPr>
                <w:rFonts w:hint="eastAsia" w:asciiTheme="minorEastAsia" w:hAnsiTheme="minorEastAsia" w:eastAsiaTheme="minorEastAsia" w:cstheme="minorEastAsia"/>
                <w:b/>
                <w:bCs/>
                <w:kern w:val="0"/>
                <w:sz w:val="24"/>
                <w:szCs w:val="24"/>
                <w:highlight w:val="none"/>
              </w:rPr>
            </w:pPr>
          </w:p>
        </w:tc>
      </w:tr>
      <w:tr w14:paraId="3025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436" w:type="dxa"/>
            <w:gridSpan w:val="3"/>
            <w:vAlign w:val="center"/>
          </w:tcPr>
          <w:p w14:paraId="6ECC0631">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合计</w:t>
            </w:r>
          </w:p>
        </w:tc>
        <w:tc>
          <w:tcPr>
            <w:tcW w:w="1788" w:type="dxa"/>
            <w:vAlign w:val="center"/>
          </w:tcPr>
          <w:p w14:paraId="32121161">
            <w:pPr>
              <w:spacing w:line="240" w:lineRule="auto"/>
              <w:jc w:val="center"/>
              <w:rPr>
                <w:rFonts w:hint="eastAsia" w:asciiTheme="minorEastAsia" w:hAnsiTheme="minorEastAsia" w:eastAsiaTheme="minorEastAsia" w:cstheme="minorEastAsia"/>
                <w:b/>
                <w:bCs/>
                <w:kern w:val="0"/>
                <w:sz w:val="24"/>
                <w:szCs w:val="24"/>
                <w:highlight w:val="none"/>
              </w:rPr>
            </w:pPr>
          </w:p>
        </w:tc>
        <w:tc>
          <w:tcPr>
            <w:tcW w:w="1380" w:type="dxa"/>
            <w:vAlign w:val="center"/>
          </w:tcPr>
          <w:p w14:paraId="55CAF86F">
            <w:pPr>
              <w:spacing w:line="240" w:lineRule="auto"/>
              <w:jc w:val="center"/>
              <w:rPr>
                <w:rFonts w:hint="eastAsia" w:asciiTheme="minorEastAsia" w:hAnsiTheme="minorEastAsia" w:eastAsiaTheme="minorEastAsia" w:cstheme="minorEastAsia"/>
                <w:b/>
                <w:bCs/>
                <w:kern w:val="0"/>
                <w:sz w:val="24"/>
                <w:szCs w:val="24"/>
                <w:highlight w:val="none"/>
              </w:rPr>
            </w:pPr>
          </w:p>
        </w:tc>
        <w:tc>
          <w:tcPr>
            <w:tcW w:w="991" w:type="dxa"/>
            <w:vAlign w:val="center"/>
          </w:tcPr>
          <w:p w14:paraId="525BF37C">
            <w:pPr>
              <w:spacing w:line="240" w:lineRule="auto"/>
              <w:jc w:val="center"/>
              <w:rPr>
                <w:rFonts w:hint="eastAsia" w:asciiTheme="minorEastAsia" w:hAnsiTheme="minorEastAsia" w:eastAsiaTheme="minorEastAsia" w:cstheme="minorEastAsia"/>
                <w:b/>
                <w:bCs/>
                <w:kern w:val="0"/>
                <w:sz w:val="24"/>
                <w:szCs w:val="24"/>
                <w:highlight w:val="none"/>
              </w:rPr>
            </w:pPr>
          </w:p>
        </w:tc>
      </w:tr>
    </w:tbl>
    <w:p w14:paraId="50C0C14C">
      <w:pPr>
        <w:spacing w:line="240" w:lineRule="auto"/>
        <w:rPr>
          <w:rFonts w:hint="eastAsia" w:asciiTheme="minorEastAsia" w:hAnsiTheme="minorEastAsia" w:eastAsiaTheme="minorEastAsia" w:cstheme="minorEastAsia"/>
          <w:b/>
          <w:bCs/>
          <w:kern w:val="0"/>
          <w:sz w:val="24"/>
          <w:szCs w:val="24"/>
          <w:highlight w:val="none"/>
        </w:rPr>
      </w:pPr>
    </w:p>
    <w:p w14:paraId="2C7F78F6">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注：</w:t>
      </w:r>
    </w:p>
    <w:p w14:paraId="788F272A">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1、以上属节能、环境标志产品须提供清单内产品的证明材料。</w:t>
      </w:r>
    </w:p>
    <w:p w14:paraId="0CFCA4D5">
      <w:pPr>
        <w:tabs>
          <w:tab w:val="left" w:pos="6971"/>
        </w:tabs>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2、计算分值保留两位小数。</w:t>
      </w:r>
    </w:p>
    <w:p w14:paraId="55B3CE71">
      <w:pPr>
        <w:tabs>
          <w:tab w:val="left" w:pos="6971"/>
        </w:tabs>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3、此表的行次可根据实际情况变动或顺延。</w:t>
      </w:r>
    </w:p>
    <w:p w14:paraId="695996A6">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4、若无货物属于节能、环境标志产品的，则不填写此表。</w:t>
      </w:r>
    </w:p>
    <w:p w14:paraId="6C1C26E1">
      <w:pPr>
        <w:spacing w:line="240" w:lineRule="auto"/>
        <w:rPr>
          <w:rFonts w:hint="eastAsia" w:asciiTheme="minorEastAsia" w:hAnsiTheme="minorEastAsia" w:eastAsiaTheme="minorEastAsia" w:cstheme="minorEastAsia"/>
          <w:kern w:val="0"/>
          <w:sz w:val="24"/>
          <w:szCs w:val="24"/>
          <w:highlight w:val="none"/>
        </w:rPr>
      </w:pPr>
    </w:p>
    <w:p w14:paraId="4CCA3128">
      <w:pPr>
        <w:pStyle w:val="23"/>
        <w:rPr>
          <w:rFonts w:hint="eastAsia" w:ascii="宋体" w:hAnsi="宋体" w:eastAsia="宋体" w:cs="宋体"/>
          <w:sz w:val="24"/>
          <w:szCs w:val="24"/>
          <w:highlight w:val="none"/>
        </w:rPr>
      </w:pPr>
    </w:p>
    <w:p w14:paraId="17CB4C67">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供应商名称(盖单位章)：</w:t>
      </w:r>
    </w:p>
    <w:p w14:paraId="7ECB92C2">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p>
    <w:p w14:paraId="54F2E2D1">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日期：年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7C501766">
      <w:pPr>
        <w:spacing w:line="240" w:lineRule="auto"/>
        <w:rPr>
          <w:rFonts w:hint="eastAsia" w:asciiTheme="minorEastAsia" w:hAnsiTheme="minorEastAsia" w:eastAsiaTheme="minorEastAsia" w:cstheme="minorEastAsia"/>
          <w:sz w:val="24"/>
          <w:szCs w:val="24"/>
          <w:highlight w:val="none"/>
        </w:rPr>
      </w:pPr>
    </w:p>
    <w:p w14:paraId="10F2E36E">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br w:type="page"/>
      </w:r>
      <w:r>
        <w:rPr>
          <w:rFonts w:hint="eastAsia" w:asciiTheme="minorEastAsia" w:hAnsiTheme="minorEastAsia" w:eastAsiaTheme="minorEastAsia" w:cstheme="minorEastAsia"/>
          <w:b/>
          <w:bCs/>
          <w:kern w:val="0"/>
          <w:sz w:val="24"/>
          <w:szCs w:val="24"/>
          <w:highlight w:val="none"/>
        </w:rPr>
        <w:t>附件7：</w:t>
      </w:r>
    </w:p>
    <w:p w14:paraId="20E28BA9">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中小微型企业产品明细表</w:t>
      </w:r>
    </w:p>
    <w:p w14:paraId="6D92F990">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项目名称：                            价格单位：元</w:t>
      </w:r>
    </w:p>
    <w:tbl>
      <w:tblPr>
        <w:tblStyle w:val="36"/>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718"/>
        <w:gridCol w:w="1348"/>
        <w:gridCol w:w="1362"/>
        <w:gridCol w:w="1274"/>
        <w:gridCol w:w="1050"/>
        <w:gridCol w:w="1478"/>
      </w:tblGrid>
      <w:tr w14:paraId="0470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14:paraId="1D59CFE3">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序号</w:t>
            </w:r>
          </w:p>
        </w:tc>
        <w:tc>
          <w:tcPr>
            <w:tcW w:w="1718" w:type="dxa"/>
            <w:tcBorders>
              <w:top w:val="single" w:color="auto" w:sz="4" w:space="0"/>
              <w:left w:val="single" w:color="auto" w:sz="4" w:space="0"/>
              <w:bottom w:val="single" w:color="auto" w:sz="4" w:space="0"/>
              <w:right w:val="single" w:color="auto" w:sz="4" w:space="0"/>
            </w:tcBorders>
            <w:vAlign w:val="center"/>
          </w:tcPr>
          <w:p w14:paraId="1E6A5200">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产品名称</w:t>
            </w:r>
          </w:p>
        </w:tc>
        <w:tc>
          <w:tcPr>
            <w:tcW w:w="1348" w:type="dxa"/>
            <w:tcBorders>
              <w:top w:val="single" w:color="auto" w:sz="4" w:space="0"/>
              <w:left w:val="single" w:color="auto" w:sz="4" w:space="0"/>
              <w:bottom w:val="single" w:color="auto" w:sz="4" w:space="0"/>
              <w:right w:val="single" w:color="auto" w:sz="4" w:space="0"/>
            </w:tcBorders>
            <w:vAlign w:val="center"/>
          </w:tcPr>
          <w:p w14:paraId="60F6FBF7">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制造商</w:t>
            </w:r>
          </w:p>
        </w:tc>
        <w:tc>
          <w:tcPr>
            <w:tcW w:w="1362" w:type="dxa"/>
            <w:tcBorders>
              <w:top w:val="single" w:color="auto" w:sz="4" w:space="0"/>
              <w:left w:val="single" w:color="auto" w:sz="4" w:space="0"/>
              <w:bottom w:val="single" w:color="auto" w:sz="4" w:space="0"/>
              <w:right w:val="single" w:color="auto" w:sz="4" w:space="0"/>
            </w:tcBorders>
            <w:vAlign w:val="center"/>
          </w:tcPr>
          <w:p w14:paraId="6D33B29E">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单价</w:t>
            </w:r>
          </w:p>
        </w:tc>
        <w:tc>
          <w:tcPr>
            <w:tcW w:w="1274" w:type="dxa"/>
            <w:tcBorders>
              <w:top w:val="single" w:color="auto" w:sz="4" w:space="0"/>
              <w:left w:val="single" w:color="auto" w:sz="4" w:space="0"/>
              <w:bottom w:val="single" w:color="auto" w:sz="4" w:space="0"/>
              <w:right w:val="single" w:color="auto" w:sz="4" w:space="0"/>
            </w:tcBorders>
            <w:vAlign w:val="center"/>
          </w:tcPr>
          <w:p w14:paraId="14EABAB0">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数量</w:t>
            </w:r>
          </w:p>
        </w:tc>
        <w:tc>
          <w:tcPr>
            <w:tcW w:w="1050" w:type="dxa"/>
            <w:tcBorders>
              <w:top w:val="single" w:color="auto" w:sz="4" w:space="0"/>
              <w:left w:val="single" w:color="auto" w:sz="4" w:space="0"/>
              <w:bottom w:val="single" w:color="auto" w:sz="4" w:space="0"/>
              <w:right w:val="single" w:color="auto" w:sz="4" w:space="0"/>
            </w:tcBorders>
            <w:vAlign w:val="center"/>
          </w:tcPr>
          <w:p w14:paraId="055631B2">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合价</w:t>
            </w:r>
          </w:p>
        </w:tc>
        <w:tc>
          <w:tcPr>
            <w:tcW w:w="1478" w:type="dxa"/>
            <w:tcBorders>
              <w:top w:val="single" w:color="auto" w:sz="4" w:space="0"/>
              <w:left w:val="single" w:color="auto" w:sz="4" w:space="0"/>
              <w:bottom w:val="single" w:color="auto" w:sz="4" w:space="0"/>
              <w:right w:val="single" w:color="auto" w:sz="4" w:space="0"/>
            </w:tcBorders>
            <w:vAlign w:val="center"/>
          </w:tcPr>
          <w:p w14:paraId="454DF842">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企业类型（如中型、小型、微型）</w:t>
            </w:r>
          </w:p>
        </w:tc>
      </w:tr>
      <w:tr w14:paraId="719F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21" w:type="dxa"/>
            <w:tcBorders>
              <w:top w:val="single" w:color="auto" w:sz="4" w:space="0"/>
              <w:left w:val="single" w:color="auto" w:sz="4" w:space="0"/>
              <w:bottom w:val="single" w:color="auto" w:sz="4" w:space="0"/>
              <w:right w:val="single" w:color="auto" w:sz="4" w:space="0"/>
            </w:tcBorders>
          </w:tcPr>
          <w:p w14:paraId="5E83B4F2">
            <w:pPr>
              <w:spacing w:line="240" w:lineRule="auto"/>
              <w:rPr>
                <w:rFonts w:hint="eastAsia" w:asciiTheme="minorEastAsia" w:hAnsiTheme="minorEastAsia" w:eastAsiaTheme="minorEastAsia" w:cstheme="minorEastAsia"/>
                <w:kern w:val="0"/>
                <w:sz w:val="24"/>
                <w:szCs w:val="24"/>
                <w:highlight w:val="none"/>
              </w:rPr>
            </w:pPr>
          </w:p>
          <w:p w14:paraId="4798FA85">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p>
        </w:tc>
        <w:tc>
          <w:tcPr>
            <w:tcW w:w="1718" w:type="dxa"/>
            <w:tcBorders>
              <w:top w:val="single" w:color="auto" w:sz="4" w:space="0"/>
              <w:left w:val="single" w:color="auto" w:sz="4" w:space="0"/>
              <w:bottom w:val="single" w:color="auto" w:sz="4" w:space="0"/>
              <w:right w:val="single" w:color="auto" w:sz="4" w:space="0"/>
            </w:tcBorders>
          </w:tcPr>
          <w:p w14:paraId="45CCB41C">
            <w:pPr>
              <w:spacing w:line="240" w:lineRule="auto"/>
              <w:rPr>
                <w:rFonts w:hint="eastAsia" w:asciiTheme="minorEastAsia" w:hAnsiTheme="minorEastAsia" w:eastAsiaTheme="minorEastAsia" w:cstheme="minorEastAsia"/>
                <w:kern w:val="0"/>
                <w:sz w:val="24"/>
                <w:szCs w:val="24"/>
                <w:highlight w:val="none"/>
              </w:rPr>
            </w:pPr>
          </w:p>
        </w:tc>
        <w:tc>
          <w:tcPr>
            <w:tcW w:w="1348" w:type="dxa"/>
            <w:tcBorders>
              <w:top w:val="single" w:color="auto" w:sz="4" w:space="0"/>
              <w:left w:val="single" w:color="auto" w:sz="4" w:space="0"/>
              <w:bottom w:val="single" w:color="auto" w:sz="4" w:space="0"/>
              <w:right w:val="single" w:color="auto" w:sz="4" w:space="0"/>
            </w:tcBorders>
          </w:tcPr>
          <w:p w14:paraId="287C4376">
            <w:pPr>
              <w:spacing w:line="240" w:lineRule="auto"/>
              <w:rPr>
                <w:rFonts w:hint="eastAsia" w:asciiTheme="minorEastAsia" w:hAnsiTheme="minorEastAsia" w:eastAsiaTheme="minorEastAsia" w:cstheme="minorEastAsia"/>
                <w:kern w:val="0"/>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tcPr>
          <w:p w14:paraId="0B1FB260">
            <w:pPr>
              <w:spacing w:line="240" w:lineRule="auto"/>
              <w:rPr>
                <w:rFonts w:hint="eastAsia" w:asciiTheme="minorEastAsia" w:hAnsiTheme="minorEastAsia" w:eastAsiaTheme="minorEastAsia" w:cstheme="minorEastAsia"/>
                <w:kern w:val="0"/>
                <w:sz w:val="24"/>
                <w:szCs w:val="24"/>
                <w:highlight w:val="none"/>
              </w:rPr>
            </w:pPr>
          </w:p>
        </w:tc>
        <w:tc>
          <w:tcPr>
            <w:tcW w:w="1274" w:type="dxa"/>
            <w:tcBorders>
              <w:top w:val="single" w:color="auto" w:sz="4" w:space="0"/>
              <w:left w:val="single" w:color="auto" w:sz="4" w:space="0"/>
              <w:bottom w:val="single" w:color="auto" w:sz="4" w:space="0"/>
              <w:right w:val="single" w:color="auto" w:sz="4" w:space="0"/>
            </w:tcBorders>
          </w:tcPr>
          <w:p w14:paraId="66F06D5D">
            <w:pPr>
              <w:spacing w:line="240" w:lineRule="auto"/>
              <w:rPr>
                <w:rFonts w:hint="eastAsia" w:asciiTheme="minorEastAsia" w:hAnsiTheme="minorEastAsia" w:eastAsiaTheme="minorEastAsia" w:cstheme="minorEastAsia"/>
                <w:kern w:val="0"/>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14:paraId="5E29B9DA">
            <w:pPr>
              <w:spacing w:line="240" w:lineRule="auto"/>
              <w:rPr>
                <w:rFonts w:hint="eastAsia" w:asciiTheme="minorEastAsia" w:hAnsiTheme="minorEastAsia" w:eastAsiaTheme="minorEastAsia" w:cstheme="minorEastAsia"/>
                <w:kern w:val="0"/>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tcPr>
          <w:p w14:paraId="4DA56586">
            <w:pPr>
              <w:spacing w:line="240" w:lineRule="auto"/>
              <w:rPr>
                <w:rFonts w:hint="eastAsia" w:asciiTheme="minorEastAsia" w:hAnsiTheme="minorEastAsia" w:eastAsiaTheme="minorEastAsia" w:cstheme="minorEastAsia"/>
                <w:kern w:val="0"/>
                <w:sz w:val="24"/>
                <w:szCs w:val="24"/>
                <w:highlight w:val="none"/>
              </w:rPr>
            </w:pPr>
          </w:p>
        </w:tc>
      </w:tr>
      <w:tr w14:paraId="3E24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21" w:type="dxa"/>
            <w:tcBorders>
              <w:top w:val="single" w:color="auto" w:sz="4" w:space="0"/>
              <w:left w:val="single" w:color="auto" w:sz="4" w:space="0"/>
              <w:bottom w:val="single" w:color="auto" w:sz="4" w:space="0"/>
              <w:right w:val="single" w:color="auto" w:sz="4" w:space="0"/>
            </w:tcBorders>
          </w:tcPr>
          <w:p w14:paraId="15D775B8">
            <w:pPr>
              <w:spacing w:line="240" w:lineRule="auto"/>
              <w:rPr>
                <w:rFonts w:hint="eastAsia" w:asciiTheme="minorEastAsia" w:hAnsiTheme="minorEastAsia" w:eastAsiaTheme="minorEastAsia" w:cstheme="minorEastAsia"/>
                <w:kern w:val="0"/>
                <w:sz w:val="24"/>
                <w:szCs w:val="24"/>
                <w:highlight w:val="none"/>
              </w:rPr>
            </w:pPr>
          </w:p>
          <w:p w14:paraId="7E19B390">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w:t>
            </w:r>
          </w:p>
        </w:tc>
        <w:tc>
          <w:tcPr>
            <w:tcW w:w="1718" w:type="dxa"/>
            <w:tcBorders>
              <w:top w:val="single" w:color="auto" w:sz="4" w:space="0"/>
              <w:left w:val="single" w:color="auto" w:sz="4" w:space="0"/>
              <w:bottom w:val="single" w:color="auto" w:sz="4" w:space="0"/>
              <w:right w:val="single" w:color="auto" w:sz="4" w:space="0"/>
            </w:tcBorders>
          </w:tcPr>
          <w:p w14:paraId="3F9BE7DA">
            <w:pPr>
              <w:spacing w:line="240" w:lineRule="auto"/>
              <w:rPr>
                <w:rFonts w:hint="eastAsia" w:asciiTheme="minorEastAsia" w:hAnsiTheme="minorEastAsia" w:eastAsiaTheme="minorEastAsia" w:cstheme="minorEastAsia"/>
                <w:kern w:val="0"/>
                <w:sz w:val="24"/>
                <w:szCs w:val="24"/>
                <w:highlight w:val="none"/>
              </w:rPr>
            </w:pPr>
          </w:p>
        </w:tc>
        <w:tc>
          <w:tcPr>
            <w:tcW w:w="1348" w:type="dxa"/>
            <w:tcBorders>
              <w:top w:val="single" w:color="auto" w:sz="4" w:space="0"/>
              <w:left w:val="single" w:color="auto" w:sz="4" w:space="0"/>
              <w:bottom w:val="single" w:color="auto" w:sz="4" w:space="0"/>
              <w:right w:val="single" w:color="auto" w:sz="4" w:space="0"/>
            </w:tcBorders>
          </w:tcPr>
          <w:p w14:paraId="05A2F0BC">
            <w:pPr>
              <w:spacing w:line="240" w:lineRule="auto"/>
              <w:rPr>
                <w:rFonts w:hint="eastAsia" w:asciiTheme="minorEastAsia" w:hAnsiTheme="minorEastAsia" w:eastAsiaTheme="minorEastAsia" w:cstheme="minorEastAsia"/>
                <w:kern w:val="0"/>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tcPr>
          <w:p w14:paraId="41FA5BBA">
            <w:pPr>
              <w:spacing w:line="240" w:lineRule="auto"/>
              <w:rPr>
                <w:rFonts w:hint="eastAsia" w:asciiTheme="minorEastAsia" w:hAnsiTheme="minorEastAsia" w:eastAsiaTheme="minorEastAsia" w:cstheme="minorEastAsia"/>
                <w:kern w:val="0"/>
                <w:sz w:val="24"/>
                <w:szCs w:val="24"/>
                <w:highlight w:val="none"/>
              </w:rPr>
            </w:pPr>
          </w:p>
        </w:tc>
        <w:tc>
          <w:tcPr>
            <w:tcW w:w="1274" w:type="dxa"/>
            <w:tcBorders>
              <w:top w:val="single" w:color="auto" w:sz="4" w:space="0"/>
              <w:left w:val="single" w:color="auto" w:sz="4" w:space="0"/>
              <w:bottom w:val="single" w:color="auto" w:sz="4" w:space="0"/>
              <w:right w:val="single" w:color="auto" w:sz="4" w:space="0"/>
            </w:tcBorders>
          </w:tcPr>
          <w:p w14:paraId="54E5011A">
            <w:pPr>
              <w:spacing w:line="240" w:lineRule="auto"/>
              <w:rPr>
                <w:rFonts w:hint="eastAsia" w:asciiTheme="minorEastAsia" w:hAnsiTheme="minorEastAsia" w:eastAsiaTheme="minorEastAsia" w:cstheme="minorEastAsia"/>
                <w:kern w:val="0"/>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14:paraId="49C9B014">
            <w:pPr>
              <w:spacing w:line="240" w:lineRule="auto"/>
              <w:rPr>
                <w:rFonts w:hint="eastAsia" w:asciiTheme="minorEastAsia" w:hAnsiTheme="minorEastAsia" w:eastAsiaTheme="minorEastAsia" w:cstheme="minorEastAsia"/>
                <w:kern w:val="0"/>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tcPr>
          <w:p w14:paraId="0371B342">
            <w:pPr>
              <w:spacing w:line="240" w:lineRule="auto"/>
              <w:rPr>
                <w:rFonts w:hint="eastAsia" w:asciiTheme="minorEastAsia" w:hAnsiTheme="minorEastAsia" w:eastAsiaTheme="minorEastAsia" w:cstheme="minorEastAsia"/>
                <w:kern w:val="0"/>
                <w:sz w:val="24"/>
                <w:szCs w:val="24"/>
                <w:highlight w:val="none"/>
              </w:rPr>
            </w:pPr>
          </w:p>
        </w:tc>
      </w:tr>
      <w:tr w14:paraId="722F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21" w:type="dxa"/>
            <w:tcBorders>
              <w:top w:val="single" w:color="auto" w:sz="4" w:space="0"/>
              <w:left w:val="single" w:color="auto" w:sz="4" w:space="0"/>
              <w:bottom w:val="single" w:color="auto" w:sz="4" w:space="0"/>
              <w:right w:val="single" w:color="auto" w:sz="4" w:space="0"/>
            </w:tcBorders>
          </w:tcPr>
          <w:p w14:paraId="2D76B902">
            <w:pPr>
              <w:spacing w:line="240" w:lineRule="auto"/>
              <w:rPr>
                <w:rFonts w:hint="eastAsia" w:asciiTheme="minorEastAsia" w:hAnsiTheme="minorEastAsia" w:eastAsiaTheme="minorEastAsia" w:cstheme="minorEastAsia"/>
                <w:kern w:val="0"/>
                <w:sz w:val="24"/>
                <w:szCs w:val="24"/>
                <w:highlight w:val="none"/>
              </w:rPr>
            </w:pPr>
          </w:p>
          <w:p w14:paraId="0513713C">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w:t>
            </w:r>
          </w:p>
        </w:tc>
        <w:tc>
          <w:tcPr>
            <w:tcW w:w="1718" w:type="dxa"/>
            <w:tcBorders>
              <w:top w:val="single" w:color="auto" w:sz="4" w:space="0"/>
              <w:left w:val="single" w:color="auto" w:sz="4" w:space="0"/>
              <w:bottom w:val="single" w:color="auto" w:sz="4" w:space="0"/>
              <w:right w:val="single" w:color="auto" w:sz="4" w:space="0"/>
            </w:tcBorders>
          </w:tcPr>
          <w:p w14:paraId="1E79DDE1">
            <w:pPr>
              <w:spacing w:line="240" w:lineRule="auto"/>
              <w:rPr>
                <w:rFonts w:hint="eastAsia" w:asciiTheme="minorEastAsia" w:hAnsiTheme="minorEastAsia" w:eastAsiaTheme="minorEastAsia" w:cstheme="minorEastAsia"/>
                <w:kern w:val="0"/>
                <w:sz w:val="24"/>
                <w:szCs w:val="24"/>
                <w:highlight w:val="none"/>
              </w:rPr>
            </w:pPr>
          </w:p>
          <w:p w14:paraId="37534893">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p>
        </w:tc>
        <w:tc>
          <w:tcPr>
            <w:tcW w:w="1348" w:type="dxa"/>
            <w:tcBorders>
              <w:top w:val="single" w:color="auto" w:sz="4" w:space="0"/>
              <w:left w:val="single" w:color="auto" w:sz="4" w:space="0"/>
              <w:bottom w:val="single" w:color="auto" w:sz="4" w:space="0"/>
              <w:right w:val="single" w:color="auto" w:sz="4" w:space="0"/>
            </w:tcBorders>
          </w:tcPr>
          <w:p w14:paraId="75159F3F">
            <w:pPr>
              <w:spacing w:line="240" w:lineRule="auto"/>
              <w:rPr>
                <w:rFonts w:hint="eastAsia" w:asciiTheme="minorEastAsia" w:hAnsiTheme="minorEastAsia" w:eastAsiaTheme="minorEastAsia" w:cstheme="minorEastAsia"/>
                <w:kern w:val="0"/>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tcPr>
          <w:p w14:paraId="1346536D">
            <w:pPr>
              <w:spacing w:line="240" w:lineRule="auto"/>
              <w:rPr>
                <w:rFonts w:hint="eastAsia" w:asciiTheme="minorEastAsia" w:hAnsiTheme="minorEastAsia" w:eastAsiaTheme="minorEastAsia" w:cstheme="minorEastAsia"/>
                <w:kern w:val="0"/>
                <w:sz w:val="24"/>
                <w:szCs w:val="24"/>
                <w:highlight w:val="none"/>
              </w:rPr>
            </w:pPr>
          </w:p>
        </w:tc>
        <w:tc>
          <w:tcPr>
            <w:tcW w:w="1274" w:type="dxa"/>
            <w:tcBorders>
              <w:top w:val="single" w:color="auto" w:sz="4" w:space="0"/>
              <w:left w:val="single" w:color="auto" w:sz="4" w:space="0"/>
              <w:bottom w:val="single" w:color="auto" w:sz="4" w:space="0"/>
              <w:right w:val="single" w:color="auto" w:sz="4" w:space="0"/>
            </w:tcBorders>
          </w:tcPr>
          <w:p w14:paraId="14EB97CA">
            <w:pPr>
              <w:spacing w:line="240" w:lineRule="auto"/>
              <w:rPr>
                <w:rFonts w:hint="eastAsia" w:asciiTheme="minorEastAsia" w:hAnsiTheme="minorEastAsia" w:eastAsiaTheme="minorEastAsia" w:cstheme="minorEastAsia"/>
                <w:kern w:val="0"/>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14:paraId="292D9359">
            <w:pPr>
              <w:spacing w:line="240" w:lineRule="auto"/>
              <w:rPr>
                <w:rFonts w:hint="eastAsia" w:asciiTheme="minorEastAsia" w:hAnsiTheme="minorEastAsia" w:eastAsiaTheme="minorEastAsia" w:cstheme="minorEastAsia"/>
                <w:kern w:val="0"/>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tcPr>
          <w:p w14:paraId="7ACFDF36">
            <w:pPr>
              <w:spacing w:line="240" w:lineRule="auto"/>
              <w:rPr>
                <w:rFonts w:hint="eastAsia" w:asciiTheme="minorEastAsia" w:hAnsiTheme="minorEastAsia" w:eastAsiaTheme="minorEastAsia" w:cstheme="minorEastAsia"/>
                <w:kern w:val="0"/>
                <w:sz w:val="24"/>
                <w:szCs w:val="24"/>
                <w:highlight w:val="none"/>
              </w:rPr>
            </w:pPr>
          </w:p>
        </w:tc>
      </w:tr>
      <w:tr w14:paraId="3080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21" w:type="dxa"/>
            <w:tcBorders>
              <w:top w:val="single" w:color="auto" w:sz="4" w:space="0"/>
              <w:left w:val="single" w:color="auto" w:sz="4" w:space="0"/>
              <w:bottom w:val="single" w:color="auto" w:sz="4" w:space="0"/>
              <w:right w:val="single" w:color="auto" w:sz="4" w:space="0"/>
            </w:tcBorders>
          </w:tcPr>
          <w:p w14:paraId="142CE7B8">
            <w:pPr>
              <w:spacing w:line="240" w:lineRule="auto"/>
              <w:rPr>
                <w:rFonts w:hint="eastAsia" w:asciiTheme="minorEastAsia" w:hAnsiTheme="minorEastAsia" w:eastAsiaTheme="minorEastAsia" w:cstheme="minorEastAsia"/>
                <w:kern w:val="0"/>
                <w:sz w:val="24"/>
                <w:szCs w:val="24"/>
                <w:highlight w:val="none"/>
              </w:rPr>
            </w:pPr>
          </w:p>
          <w:p w14:paraId="64B120F4">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w:t>
            </w:r>
          </w:p>
        </w:tc>
        <w:tc>
          <w:tcPr>
            <w:tcW w:w="6752" w:type="dxa"/>
            <w:gridSpan w:val="5"/>
            <w:tcBorders>
              <w:top w:val="single" w:color="auto" w:sz="4" w:space="0"/>
              <w:left w:val="single" w:color="auto" w:sz="4" w:space="0"/>
              <w:bottom w:val="single" w:color="auto" w:sz="4" w:space="0"/>
              <w:right w:val="single" w:color="auto" w:sz="4" w:space="0"/>
            </w:tcBorders>
            <w:vAlign w:val="center"/>
          </w:tcPr>
          <w:p w14:paraId="58B13D27">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合计：</w:t>
            </w:r>
          </w:p>
        </w:tc>
        <w:tc>
          <w:tcPr>
            <w:tcW w:w="1478" w:type="dxa"/>
            <w:tcBorders>
              <w:top w:val="single" w:color="auto" w:sz="4" w:space="0"/>
              <w:left w:val="single" w:color="auto" w:sz="4" w:space="0"/>
              <w:bottom w:val="single" w:color="auto" w:sz="4" w:space="0"/>
              <w:right w:val="single" w:color="auto" w:sz="4" w:space="0"/>
            </w:tcBorders>
          </w:tcPr>
          <w:p w14:paraId="6334D13B">
            <w:pPr>
              <w:spacing w:line="240" w:lineRule="auto"/>
              <w:rPr>
                <w:rFonts w:hint="eastAsia" w:asciiTheme="minorEastAsia" w:hAnsiTheme="minorEastAsia" w:eastAsiaTheme="minorEastAsia" w:cstheme="minorEastAsia"/>
                <w:kern w:val="0"/>
                <w:sz w:val="24"/>
                <w:szCs w:val="24"/>
                <w:highlight w:val="none"/>
              </w:rPr>
            </w:pPr>
          </w:p>
        </w:tc>
      </w:tr>
    </w:tbl>
    <w:p w14:paraId="22713BF6">
      <w:pPr>
        <w:spacing w:line="240" w:lineRule="auto"/>
        <w:rPr>
          <w:rFonts w:hint="eastAsia" w:asciiTheme="minorEastAsia" w:hAnsiTheme="minorEastAsia" w:eastAsiaTheme="minorEastAsia" w:cstheme="minorEastAsia"/>
          <w:kern w:val="0"/>
          <w:sz w:val="24"/>
          <w:szCs w:val="24"/>
          <w:highlight w:val="none"/>
        </w:rPr>
      </w:pPr>
    </w:p>
    <w:p w14:paraId="2DDFCDD1">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说明：如所投标的为中小微型企业产品，须按规定格式逐项填写，否则评分时不予认可。当一个标段（包）内有多个属于中型、小型和微型企业的产品时，供应商应按品目号详细填写。</w:t>
      </w:r>
    </w:p>
    <w:p w14:paraId="7694B2ED">
      <w:pPr>
        <w:spacing w:line="240" w:lineRule="auto"/>
        <w:rPr>
          <w:rFonts w:hint="eastAsia" w:asciiTheme="minorEastAsia" w:hAnsiTheme="minorEastAsia" w:eastAsiaTheme="minorEastAsia" w:cstheme="minorEastAsia"/>
          <w:kern w:val="0"/>
          <w:sz w:val="24"/>
          <w:szCs w:val="24"/>
          <w:highlight w:val="none"/>
        </w:rPr>
      </w:pPr>
    </w:p>
    <w:p w14:paraId="3246A4C0">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w:t>
      </w:r>
    </w:p>
    <w:p w14:paraId="0383680C">
      <w:pPr>
        <w:spacing w:line="240" w:lineRule="auto"/>
        <w:rPr>
          <w:rFonts w:hint="eastAsia" w:asciiTheme="minorEastAsia" w:hAnsiTheme="minorEastAsia" w:eastAsiaTheme="minorEastAsia" w:cstheme="minorEastAsia"/>
          <w:kern w:val="0"/>
          <w:sz w:val="24"/>
          <w:szCs w:val="24"/>
          <w:highlight w:val="none"/>
        </w:rPr>
      </w:pPr>
    </w:p>
    <w:p w14:paraId="2B7EA9FE">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供应商名称(盖单位章)：</w:t>
      </w:r>
    </w:p>
    <w:p w14:paraId="0D18128B">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p>
    <w:p w14:paraId="3ED1E97B">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日期：年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11A3C536">
      <w:pPr>
        <w:spacing w:line="240" w:lineRule="auto"/>
        <w:rPr>
          <w:rFonts w:hint="eastAsia" w:asciiTheme="minorEastAsia" w:hAnsiTheme="minorEastAsia" w:eastAsiaTheme="minorEastAsia" w:cstheme="minorEastAsia"/>
          <w:kern w:val="0"/>
          <w:sz w:val="24"/>
          <w:szCs w:val="24"/>
          <w:highlight w:val="none"/>
        </w:rPr>
      </w:pPr>
    </w:p>
    <w:p w14:paraId="3EEA39F9">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br w:type="page"/>
      </w:r>
      <w:r>
        <w:rPr>
          <w:rFonts w:hint="eastAsia" w:asciiTheme="minorEastAsia" w:hAnsiTheme="minorEastAsia" w:eastAsiaTheme="minorEastAsia" w:cstheme="minorEastAsia"/>
          <w:b/>
          <w:bCs/>
          <w:kern w:val="0"/>
          <w:sz w:val="24"/>
          <w:szCs w:val="24"/>
          <w:highlight w:val="none"/>
        </w:rPr>
        <w:t>四、供应商的资格证明材料</w:t>
      </w:r>
    </w:p>
    <w:p w14:paraId="3BCE4456">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(1)投标</w:t>
      </w: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kern w:val="0"/>
          <w:sz w:val="24"/>
          <w:szCs w:val="24"/>
          <w:highlight w:val="none"/>
        </w:rPr>
        <w:t>基本情况表</w:t>
      </w:r>
    </w:p>
    <w:p w14:paraId="25A2A016">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)符合《中华人民共和国政府采购法》第二十二条的规定：</w:t>
      </w:r>
    </w:p>
    <w:p w14:paraId="5B4EF10B">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① 投标人提供有效的统一社会信用代码的营业执照，投标人必须</w:t>
      </w:r>
      <w:r>
        <w:rPr>
          <w:rFonts w:hint="eastAsia" w:asciiTheme="minorEastAsia" w:hAnsiTheme="minorEastAsia" w:eastAsiaTheme="minorEastAsia" w:cstheme="minorEastAsia"/>
          <w:kern w:val="0"/>
          <w:sz w:val="24"/>
          <w:szCs w:val="24"/>
          <w:highlight w:val="none"/>
          <w:lang w:eastAsia="zh-CN"/>
        </w:rPr>
        <w:t>是在</w:t>
      </w:r>
      <w:r>
        <w:rPr>
          <w:rFonts w:hint="eastAsia" w:asciiTheme="minorEastAsia" w:hAnsiTheme="minorEastAsia" w:eastAsiaTheme="minorEastAsia" w:cstheme="minorEastAsia"/>
          <w:kern w:val="0"/>
          <w:sz w:val="24"/>
          <w:szCs w:val="24"/>
          <w:highlight w:val="none"/>
        </w:rPr>
        <w:t>中华人民共和国境内注册的，具有独立承担民事责任的能力；</w:t>
      </w:r>
    </w:p>
    <w:p w14:paraId="26BF5BB2">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② 具有良好的商业信誉和健全的财务会计制度</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(提供会计师事务所出具的近三年任意一年度财务审计报告，新成立不足一年的提供成立之日起至今的财务报表)；</w:t>
      </w:r>
    </w:p>
    <w:p w14:paraId="10CF4974">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③ 依法缴纳税收</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投标人提供自投标截止之日前</w:t>
      </w:r>
      <w:r>
        <w:rPr>
          <w:rFonts w:hint="eastAsia" w:asciiTheme="minorEastAsia" w:hAnsiTheme="minorEastAsia" w:eastAsiaTheme="minorEastAsia" w:cstheme="minorEastAsia"/>
          <w:kern w:val="0"/>
          <w:sz w:val="24"/>
          <w:szCs w:val="24"/>
          <w:highlight w:val="none"/>
          <w:lang w:eastAsia="zh-CN"/>
        </w:rPr>
        <w:t>一</w:t>
      </w:r>
      <w:r>
        <w:rPr>
          <w:rFonts w:hint="eastAsia" w:asciiTheme="minorEastAsia" w:hAnsiTheme="minorEastAsia" w:eastAsiaTheme="minorEastAsia" w:cstheme="minorEastAsia"/>
          <w:kern w:val="0"/>
          <w:sz w:val="24"/>
          <w:szCs w:val="24"/>
          <w:highlight w:val="none"/>
        </w:rPr>
        <w:t>年内任意一个月依法缴纳税收的凭据，依法免税的投标人，应提供充足的证明材料；</w:t>
      </w:r>
    </w:p>
    <w:p w14:paraId="276FF163">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④ 依法缴纳社保</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投标人提供自投标截止之日</w:t>
      </w:r>
      <w:r>
        <w:rPr>
          <w:rFonts w:hint="eastAsia" w:asciiTheme="minorEastAsia" w:hAnsiTheme="minorEastAsia" w:eastAsiaTheme="minorEastAsia" w:cstheme="minorEastAsia"/>
          <w:kern w:val="0"/>
          <w:sz w:val="24"/>
          <w:szCs w:val="24"/>
          <w:highlight w:val="none"/>
          <w:lang w:eastAsia="zh-CN"/>
        </w:rPr>
        <w:t>一</w:t>
      </w:r>
      <w:r>
        <w:rPr>
          <w:rFonts w:hint="eastAsia" w:asciiTheme="minorEastAsia" w:hAnsiTheme="minorEastAsia" w:eastAsiaTheme="minorEastAsia" w:cstheme="minorEastAsia"/>
          <w:kern w:val="0"/>
          <w:sz w:val="24"/>
          <w:szCs w:val="24"/>
          <w:highlight w:val="none"/>
        </w:rPr>
        <w:t>年内任意一个月依法缴纳社会保障资金的凭据；</w:t>
      </w:r>
    </w:p>
    <w:p w14:paraId="192B102F">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⑤ 投标人具备履行合同所必需的设备和专业技术能力(根据项目需求提供履行合同所必需的设备和专业技术能力的证明材料或加盖公章的承诺函原件)；</w:t>
      </w:r>
    </w:p>
    <w:p w14:paraId="14B964D8">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⑥ 投标人提供参加政府采购活动前3 年内在经营活动中没有重大违法记录的书面声明(截至开标日成立不满 3年的投标人，可提供自成立以来无重大违法记录的书面声明)；</w:t>
      </w:r>
    </w:p>
    <w:p w14:paraId="6A962677">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rPr>
        <w:t xml:space="preserve">)中小微企业政策性优惠证明材料：《中小企业声明函》   </w:t>
      </w:r>
    </w:p>
    <w:p w14:paraId="2BE5D2F6">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eastAsia="zh-CN"/>
        </w:rPr>
        <w:t>信用信息网页查询截图</w:t>
      </w:r>
      <w:r>
        <w:rPr>
          <w:rFonts w:hint="eastAsia" w:asciiTheme="minorEastAsia" w:hAnsiTheme="minorEastAsia" w:eastAsiaTheme="minorEastAsia" w:cstheme="minorEastAsia"/>
          <w:kern w:val="0"/>
          <w:sz w:val="24"/>
          <w:szCs w:val="24"/>
          <w:highlight w:val="none"/>
        </w:rPr>
        <w:t>；</w:t>
      </w:r>
    </w:p>
    <w:p w14:paraId="22A636E3">
      <w:pPr>
        <w:spacing w:line="360" w:lineRule="auto"/>
        <w:rPr>
          <w:rFonts w:hint="eastAsia" w:asciiTheme="minorEastAsia" w:hAnsiTheme="minorEastAsia" w:eastAsiaTheme="minorEastAsia" w:cstheme="minorEastAsia"/>
          <w:b/>
          <w:bCs/>
          <w:kern w:val="0"/>
          <w:sz w:val="24"/>
          <w:szCs w:val="24"/>
          <w:highlight w:val="none"/>
        </w:rPr>
      </w:pPr>
    </w:p>
    <w:p w14:paraId="52135604">
      <w:pPr>
        <w:spacing w:line="36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注：以上扫描件均</w:t>
      </w:r>
      <w:r>
        <w:rPr>
          <w:rFonts w:hint="eastAsia" w:asciiTheme="minorEastAsia" w:hAnsiTheme="minorEastAsia" w:eastAsiaTheme="minorEastAsia" w:cstheme="minorEastAsia"/>
          <w:b/>
          <w:bCs/>
          <w:kern w:val="0"/>
          <w:sz w:val="24"/>
          <w:szCs w:val="24"/>
          <w:highlight w:val="none"/>
          <w:lang w:eastAsia="zh-CN"/>
        </w:rPr>
        <w:t>需</w:t>
      </w:r>
      <w:r>
        <w:rPr>
          <w:rFonts w:hint="eastAsia" w:asciiTheme="minorEastAsia" w:hAnsiTheme="minorEastAsia" w:eastAsiaTheme="minorEastAsia" w:cstheme="minorEastAsia"/>
          <w:b/>
          <w:bCs/>
          <w:kern w:val="0"/>
          <w:sz w:val="24"/>
          <w:szCs w:val="24"/>
          <w:highlight w:val="none"/>
        </w:rPr>
        <w:t>加盖投标供应商公章。</w:t>
      </w:r>
    </w:p>
    <w:p w14:paraId="2E9AE82C">
      <w:pPr>
        <w:spacing w:line="240" w:lineRule="auto"/>
        <w:rPr>
          <w:rFonts w:hint="eastAsia" w:asciiTheme="minorEastAsia" w:hAnsiTheme="minorEastAsia" w:eastAsiaTheme="minorEastAsia" w:cstheme="minorEastAsia"/>
          <w:b/>
          <w:bCs/>
          <w:kern w:val="0"/>
          <w:sz w:val="24"/>
          <w:szCs w:val="24"/>
          <w:highlight w:val="none"/>
        </w:rPr>
      </w:pPr>
    </w:p>
    <w:p w14:paraId="4600D489">
      <w:pPr>
        <w:pStyle w:val="13"/>
        <w:spacing w:line="240" w:lineRule="auto"/>
        <w:rPr>
          <w:rFonts w:hint="eastAsia" w:asciiTheme="minorEastAsia" w:hAnsiTheme="minorEastAsia" w:eastAsiaTheme="minorEastAsia" w:cstheme="minorEastAsia"/>
          <w:b/>
          <w:bCs/>
          <w:kern w:val="0"/>
          <w:sz w:val="24"/>
          <w:szCs w:val="24"/>
          <w:highlight w:val="none"/>
        </w:rPr>
      </w:pPr>
    </w:p>
    <w:p w14:paraId="2D012E62">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br w:type="page"/>
      </w:r>
      <w:r>
        <w:rPr>
          <w:rFonts w:hint="eastAsia" w:asciiTheme="minorEastAsia" w:hAnsiTheme="minorEastAsia" w:eastAsiaTheme="minorEastAsia" w:cstheme="minorEastAsia"/>
          <w:b/>
          <w:bCs/>
          <w:kern w:val="0"/>
          <w:sz w:val="24"/>
          <w:szCs w:val="24"/>
          <w:highlight w:val="none"/>
        </w:rPr>
        <w:t>附件8：</w:t>
      </w:r>
    </w:p>
    <w:p w14:paraId="3B8B5062">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投标供应商基本情况表</w:t>
      </w:r>
    </w:p>
    <w:p w14:paraId="0CCC5E2E">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盖供应商单位公章</w:t>
      </w:r>
    </w:p>
    <w:tbl>
      <w:tblPr>
        <w:tblStyle w:val="36"/>
        <w:tblW w:w="976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
        <w:gridCol w:w="798"/>
        <w:gridCol w:w="1044"/>
        <w:gridCol w:w="1454"/>
        <w:gridCol w:w="496"/>
        <w:gridCol w:w="444"/>
        <w:gridCol w:w="988"/>
        <w:gridCol w:w="670"/>
        <w:gridCol w:w="988"/>
        <w:gridCol w:w="1650"/>
      </w:tblGrid>
      <w:tr w14:paraId="403B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36BFC995">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w:t>
            </w:r>
          </w:p>
        </w:tc>
        <w:tc>
          <w:tcPr>
            <w:tcW w:w="4426" w:type="dxa"/>
            <w:gridSpan w:val="5"/>
            <w:vAlign w:val="center"/>
          </w:tcPr>
          <w:p w14:paraId="032D3203">
            <w:pPr>
              <w:spacing w:line="240" w:lineRule="auto"/>
              <w:jc w:val="center"/>
              <w:rPr>
                <w:rFonts w:hint="eastAsia" w:asciiTheme="minorEastAsia" w:hAnsiTheme="minorEastAsia" w:eastAsiaTheme="minorEastAsia" w:cstheme="minorEastAsia"/>
                <w:kern w:val="0"/>
                <w:sz w:val="24"/>
                <w:szCs w:val="24"/>
                <w:highlight w:val="none"/>
              </w:rPr>
            </w:pPr>
          </w:p>
        </w:tc>
        <w:tc>
          <w:tcPr>
            <w:tcW w:w="1658" w:type="dxa"/>
            <w:gridSpan w:val="2"/>
            <w:vAlign w:val="center"/>
          </w:tcPr>
          <w:p w14:paraId="35E38F49">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法定代表人</w:t>
            </w:r>
          </w:p>
        </w:tc>
        <w:tc>
          <w:tcPr>
            <w:tcW w:w="1650" w:type="dxa"/>
            <w:vAlign w:val="center"/>
          </w:tcPr>
          <w:p w14:paraId="4095C14F">
            <w:pPr>
              <w:spacing w:line="240" w:lineRule="auto"/>
              <w:jc w:val="center"/>
              <w:rPr>
                <w:rFonts w:hint="eastAsia" w:asciiTheme="minorEastAsia" w:hAnsiTheme="minorEastAsia" w:eastAsiaTheme="minorEastAsia" w:cstheme="minorEastAsia"/>
                <w:kern w:val="0"/>
                <w:sz w:val="24"/>
                <w:szCs w:val="24"/>
                <w:highlight w:val="none"/>
              </w:rPr>
            </w:pPr>
          </w:p>
        </w:tc>
      </w:tr>
      <w:tr w14:paraId="742D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5609F475">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组织机构代码</w:t>
            </w:r>
          </w:p>
        </w:tc>
        <w:tc>
          <w:tcPr>
            <w:tcW w:w="4426" w:type="dxa"/>
            <w:gridSpan w:val="5"/>
            <w:vAlign w:val="center"/>
          </w:tcPr>
          <w:p w14:paraId="438E384B">
            <w:pPr>
              <w:spacing w:line="240" w:lineRule="auto"/>
              <w:jc w:val="center"/>
              <w:rPr>
                <w:rFonts w:hint="eastAsia" w:asciiTheme="minorEastAsia" w:hAnsiTheme="minorEastAsia" w:eastAsiaTheme="minorEastAsia" w:cstheme="minorEastAsia"/>
                <w:kern w:val="0"/>
                <w:sz w:val="24"/>
                <w:szCs w:val="24"/>
                <w:highlight w:val="none"/>
              </w:rPr>
            </w:pPr>
          </w:p>
        </w:tc>
        <w:tc>
          <w:tcPr>
            <w:tcW w:w="1658" w:type="dxa"/>
            <w:gridSpan w:val="2"/>
            <w:vAlign w:val="center"/>
          </w:tcPr>
          <w:p w14:paraId="06F3B40F">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邮政编码</w:t>
            </w:r>
          </w:p>
        </w:tc>
        <w:tc>
          <w:tcPr>
            <w:tcW w:w="1650" w:type="dxa"/>
            <w:vAlign w:val="center"/>
          </w:tcPr>
          <w:p w14:paraId="36C45FFF">
            <w:pPr>
              <w:spacing w:line="240" w:lineRule="auto"/>
              <w:jc w:val="center"/>
              <w:rPr>
                <w:rFonts w:hint="eastAsia" w:asciiTheme="minorEastAsia" w:hAnsiTheme="minorEastAsia" w:eastAsiaTheme="minorEastAsia" w:cstheme="minorEastAsia"/>
                <w:kern w:val="0"/>
                <w:sz w:val="24"/>
                <w:szCs w:val="24"/>
                <w:highlight w:val="none"/>
              </w:rPr>
            </w:pPr>
          </w:p>
        </w:tc>
      </w:tr>
      <w:tr w14:paraId="0F40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0C80C9A1">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委托代理人</w:t>
            </w:r>
          </w:p>
        </w:tc>
        <w:tc>
          <w:tcPr>
            <w:tcW w:w="4426" w:type="dxa"/>
            <w:gridSpan w:val="5"/>
            <w:vAlign w:val="center"/>
          </w:tcPr>
          <w:p w14:paraId="3B5C58FB">
            <w:pPr>
              <w:spacing w:line="240" w:lineRule="auto"/>
              <w:jc w:val="center"/>
              <w:rPr>
                <w:rFonts w:hint="eastAsia" w:asciiTheme="minorEastAsia" w:hAnsiTheme="minorEastAsia" w:eastAsiaTheme="minorEastAsia" w:cstheme="minorEastAsia"/>
                <w:kern w:val="0"/>
                <w:sz w:val="24"/>
                <w:szCs w:val="24"/>
                <w:highlight w:val="none"/>
              </w:rPr>
            </w:pPr>
          </w:p>
        </w:tc>
        <w:tc>
          <w:tcPr>
            <w:tcW w:w="1658" w:type="dxa"/>
            <w:gridSpan w:val="2"/>
            <w:vAlign w:val="center"/>
          </w:tcPr>
          <w:p w14:paraId="1871855B">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电子邮箱</w:t>
            </w:r>
          </w:p>
        </w:tc>
        <w:tc>
          <w:tcPr>
            <w:tcW w:w="1650" w:type="dxa"/>
            <w:vAlign w:val="center"/>
          </w:tcPr>
          <w:p w14:paraId="171EB373">
            <w:pPr>
              <w:spacing w:line="240" w:lineRule="auto"/>
              <w:jc w:val="center"/>
              <w:rPr>
                <w:rFonts w:hint="eastAsia" w:asciiTheme="minorEastAsia" w:hAnsiTheme="minorEastAsia" w:eastAsiaTheme="minorEastAsia" w:cstheme="minorEastAsia"/>
                <w:kern w:val="0"/>
                <w:sz w:val="24"/>
                <w:szCs w:val="24"/>
                <w:highlight w:val="none"/>
              </w:rPr>
            </w:pPr>
          </w:p>
        </w:tc>
      </w:tr>
      <w:tr w14:paraId="7A9D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6898F4D5">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上年营业收入</w:t>
            </w:r>
          </w:p>
        </w:tc>
        <w:tc>
          <w:tcPr>
            <w:tcW w:w="4426" w:type="dxa"/>
            <w:gridSpan w:val="5"/>
            <w:vAlign w:val="center"/>
          </w:tcPr>
          <w:p w14:paraId="535E34A3">
            <w:pPr>
              <w:spacing w:line="240" w:lineRule="auto"/>
              <w:jc w:val="center"/>
              <w:rPr>
                <w:rFonts w:hint="eastAsia" w:asciiTheme="minorEastAsia" w:hAnsiTheme="minorEastAsia" w:eastAsiaTheme="minorEastAsia" w:cstheme="minorEastAsia"/>
                <w:kern w:val="0"/>
                <w:sz w:val="24"/>
                <w:szCs w:val="24"/>
                <w:highlight w:val="none"/>
              </w:rPr>
            </w:pPr>
          </w:p>
        </w:tc>
        <w:tc>
          <w:tcPr>
            <w:tcW w:w="1658" w:type="dxa"/>
            <w:gridSpan w:val="2"/>
            <w:vAlign w:val="center"/>
          </w:tcPr>
          <w:p w14:paraId="6898725D">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员工总人数</w:t>
            </w:r>
          </w:p>
        </w:tc>
        <w:tc>
          <w:tcPr>
            <w:tcW w:w="1650" w:type="dxa"/>
            <w:vAlign w:val="center"/>
          </w:tcPr>
          <w:p w14:paraId="4DE43632">
            <w:pPr>
              <w:spacing w:line="240" w:lineRule="auto"/>
              <w:jc w:val="center"/>
              <w:rPr>
                <w:rFonts w:hint="eastAsia" w:asciiTheme="minorEastAsia" w:hAnsiTheme="minorEastAsia" w:eastAsiaTheme="minorEastAsia" w:cstheme="minorEastAsia"/>
                <w:kern w:val="0"/>
                <w:sz w:val="24"/>
                <w:szCs w:val="24"/>
                <w:highlight w:val="none"/>
              </w:rPr>
            </w:pPr>
          </w:p>
        </w:tc>
      </w:tr>
      <w:tr w14:paraId="74F5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6154991D">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固定电话</w:t>
            </w:r>
          </w:p>
        </w:tc>
        <w:tc>
          <w:tcPr>
            <w:tcW w:w="4426" w:type="dxa"/>
            <w:gridSpan w:val="5"/>
            <w:vAlign w:val="center"/>
          </w:tcPr>
          <w:p w14:paraId="4E93866A">
            <w:pPr>
              <w:spacing w:line="240" w:lineRule="auto"/>
              <w:jc w:val="center"/>
              <w:rPr>
                <w:rFonts w:hint="eastAsia" w:asciiTheme="minorEastAsia" w:hAnsiTheme="minorEastAsia" w:eastAsiaTheme="minorEastAsia" w:cstheme="minorEastAsia"/>
                <w:kern w:val="0"/>
                <w:sz w:val="24"/>
                <w:szCs w:val="24"/>
                <w:highlight w:val="none"/>
              </w:rPr>
            </w:pPr>
          </w:p>
        </w:tc>
        <w:tc>
          <w:tcPr>
            <w:tcW w:w="1658" w:type="dxa"/>
            <w:gridSpan w:val="2"/>
            <w:vAlign w:val="center"/>
          </w:tcPr>
          <w:p w14:paraId="1962B717">
            <w:pPr>
              <w:spacing w:line="240" w:lineRule="auto"/>
              <w:jc w:val="center"/>
              <w:rPr>
                <w:rFonts w:hint="eastAsia" w:asciiTheme="minorEastAsia" w:hAnsiTheme="minorEastAsia" w:eastAsiaTheme="minorEastAsia" w:cstheme="minorEastAsia"/>
                <w:kern w:val="0"/>
                <w:sz w:val="24"/>
                <w:szCs w:val="24"/>
                <w:highlight w:val="none"/>
              </w:rPr>
            </w:pPr>
          </w:p>
        </w:tc>
        <w:tc>
          <w:tcPr>
            <w:tcW w:w="1650" w:type="dxa"/>
            <w:vAlign w:val="center"/>
          </w:tcPr>
          <w:p w14:paraId="4D70E52F">
            <w:pPr>
              <w:spacing w:line="240" w:lineRule="auto"/>
              <w:jc w:val="center"/>
              <w:rPr>
                <w:rFonts w:hint="eastAsia" w:asciiTheme="minorEastAsia" w:hAnsiTheme="minorEastAsia" w:eastAsiaTheme="minorEastAsia" w:cstheme="minorEastAsia"/>
                <w:kern w:val="0"/>
                <w:sz w:val="24"/>
                <w:szCs w:val="24"/>
                <w:highlight w:val="none"/>
              </w:rPr>
            </w:pPr>
          </w:p>
        </w:tc>
      </w:tr>
      <w:tr w14:paraId="6627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restart"/>
            <w:vAlign w:val="center"/>
          </w:tcPr>
          <w:p w14:paraId="20EDE828">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营业执照</w:t>
            </w:r>
          </w:p>
        </w:tc>
        <w:tc>
          <w:tcPr>
            <w:tcW w:w="2258" w:type="dxa"/>
            <w:gridSpan w:val="3"/>
            <w:vAlign w:val="center"/>
          </w:tcPr>
          <w:p w14:paraId="5F97C5B9">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注册号码</w:t>
            </w:r>
          </w:p>
        </w:tc>
        <w:tc>
          <w:tcPr>
            <w:tcW w:w="1950" w:type="dxa"/>
            <w:gridSpan w:val="2"/>
            <w:vAlign w:val="center"/>
          </w:tcPr>
          <w:p w14:paraId="490CFB63">
            <w:pPr>
              <w:spacing w:line="240" w:lineRule="auto"/>
              <w:jc w:val="center"/>
              <w:rPr>
                <w:rFonts w:hint="eastAsia" w:asciiTheme="minorEastAsia" w:hAnsiTheme="minorEastAsia" w:eastAsiaTheme="minorEastAsia" w:cstheme="minorEastAsia"/>
                <w:kern w:val="0"/>
                <w:sz w:val="24"/>
                <w:szCs w:val="24"/>
                <w:highlight w:val="none"/>
              </w:rPr>
            </w:pPr>
          </w:p>
        </w:tc>
        <w:tc>
          <w:tcPr>
            <w:tcW w:w="1432" w:type="dxa"/>
            <w:gridSpan w:val="2"/>
            <w:vAlign w:val="center"/>
          </w:tcPr>
          <w:p w14:paraId="12124C98">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注册地址</w:t>
            </w:r>
          </w:p>
        </w:tc>
        <w:tc>
          <w:tcPr>
            <w:tcW w:w="3308" w:type="dxa"/>
            <w:gridSpan w:val="3"/>
            <w:vAlign w:val="center"/>
          </w:tcPr>
          <w:p w14:paraId="20AA6020">
            <w:pPr>
              <w:spacing w:line="240" w:lineRule="auto"/>
              <w:jc w:val="center"/>
              <w:rPr>
                <w:rFonts w:hint="eastAsia" w:asciiTheme="minorEastAsia" w:hAnsiTheme="minorEastAsia" w:eastAsiaTheme="minorEastAsia" w:cstheme="minorEastAsia"/>
                <w:kern w:val="0"/>
                <w:sz w:val="24"/>
                <w:szCs w:val="24"/>
                <w:highlight w:val="none"/>
              </w:rPr>
            </w:pPr>
          </w:p>
        </w:tc>
      </w:tr>
      <w:tr w14:paraId="4B5C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14:paraId="593C1544">
            <w:pPr>
              <w:spacing w:line="240" w:lineRule="auto"/>
              <w:jc w:val="center"/>
              <w:rPr>
                <w:rFonts w:hint="eastAsia" w:asciiTheme="minorEastAsia" w:hAnsiTheme="minorEastAsia" w:eastAsiaTheme="minorEastAsia" w:cstheme="minorEastAsia"/>
                <w:kern w:val="0"/>
                <w:sz w:val="24"/>
                <w:szCs w:val="24"/>
                <w:highlight w:val="none"/>
              </w:rPr>
            </w:pPr>
          </w:p>
        </w:tc>
        <w:tc>
          <w:tcPr>
            <w:tcW w:w="2258" w:type="dxa"/>
            <w:gridSpan w:val="3"/>
            <w:vAlign w:val="center"/>
          </w:tcPr>
          <w:p w14:paraId="3DF05F1B">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发证机关</w:t>
            </w:r>
          </w:p>
        </w:tc>
        <w:tc>
          <w:tcPr>
            <w:tcW w:w="1950" w:type="dxa"/>
            <w:gridSpan w:val="2"/>
            <w:vAlign w:val="center"/>
          </w:tcPr>
          <w:p w14:paraId="67BB5B6E">
            <w:pPr>
              <w:spacing w:line="240" w:lineRule="auto"/>
              <w:jc w:val="center"/>
              <w:rPr>
                <w:rFonts w:hint="eastAsia" w:asciiTheme="minorEastAsia" w:hAnsiTheme="minorEastAsia" w:eastAsiaTheme="minorEastAsia" w:cstheme="minorEastAsia"/>
                <w:kern w:val="0"/>
                <w:sz w:val="24"/>
                <w:szCs w:val="24"/>
                <w:highlight w:val="none"/>
              </w:rPr>
            </w:pPr>
          </w:p>
        </w:tc>
        <w:tc>
          <w:tcPr>
            <w:tcW w:w="1432" w:type="dxa"/>
            <w:gridSpan w:val="2"/>
            <w:vAlign w:val="center"/>
          </w:tcPr>
          <w:p w14:paraId="35A704EE">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发证日期</w:t>
            </w:r>
          </w:p>
        </w:tc>
        <w:tc>
          <w:tcPr>
            <w:tcW w:w="3308" w:type="dxa"/>
            <w:gridSpan w:val="3"/>
            <w:vAlign w:val="center"/>
          </w:tcPr>
          <w:p w14:paraId="5CAFF4EB">
            <w:pPr>
              <w:spacing w:line="240" w:lineRule="auto"/>
              <w:jc w:val="center"/>
              <w:rPr>
                <w:rFonts w:hint="eastAsia" w:asciiTheme="minorEastAsia" w:hAnsiTheme="minorEastAsia" w:eastAsiaTheme="minorEastAsia" w:cstheme="minorEastAsia"/>
                <w:kern w:val="0"/>
                <w:sz w:val="24"/>
                <w:szCs w:val="24"/>
                <w:highlight w:val="none"/>
              </w:rPr>
            </w:pPr>
          </w:p>
        </w:tc>
      </w:tr>
      <w:tr w14:paraId="41457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14:paraId="44812157">
            <w:pPr>
              <w:spacing w:line="240" w:lineRule="auto"/>
              <w:jc w:val="center"/>
              <w:rPr>
                <w:rFonts w:hint="eastAsia" w:asciiTheme="minorEastAsia" w:hAnsiTheme="minorEastAsia" w:eastAsiaTheme="minorEastAsia" w:cstheme="minorEastAsia"/>
                <w:kern w:val="0"/>
                <w:sz w:val="24"/>
                <w:szCs w:val="24"/>
                <w:highlight w:val="none"/>
              </w:rPr>
            </w:pPr>
          </w:p>
        </w:tc>
        <w:tc>
          <w:tcPr>
            <w:tcW w:w="2258" w:type="dxa"/>
            <w:gridSpan w:val="3"/>
            <w:vAlign w:val="center"/>
          </w:tcPr>
          <w:p w14:paraId="29857EC3">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营业范围（主营）</w:t>
            </w:r>
          </w:p>
        </w:tc>
        <w:tc>
          <w:tcPr>
            <w:tcW w:w="6690" w:type="dxa"/>
            <w:gridSpan w:val="7"/>
            <w:vAlign w:val="center"/>
          </w:tcPr>
          <w:p w14:paraId="2B332606">
            <w:pPr>
              <w:spacing w:line="240" w:lineRule="auto"/>
              <w:jc w:val="center"/>
              <w:rPr>
                <w:rFonts w:hint="eastAsia" w:asciiTheme="minorEastAsia" w:hAnsiTheme="minorEastAsia" w:eastAsiaTheme="minorEastAsia" w:cstheme="minorEastAsia"/>
                <w:kern w:val="0"/>
                <w:sz w:val="24"/>
                <w:szCs w:val="24"/>
                <w:highlight w:val="none"/>
              </w:rPr>
            </w:pPr>
          </w:p>
        </w:tc>
      </w:tr>
      <w:tr w14:paraId="15BC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14:paraId="5D80D3FA">
            <w:pPr>
              <w:spacing w:line="240" w:lineRule="auto"/>
              <w:jc w:val="center"/>
              <w:rPr>
                <w:rFonts w:hint="eastAsia" w:asciiTheme="minorEastAsia" w:hAnsiTheme="minorEastAsia" w:eastAsiaTheme="minorEastAsia" w:cstheme="minorEastAsia"/>
                <w:kern w:val="0"/>
                <w:sz w:val="24"/>
                <w:szCs w:val="24"/>
                <w:highlight w:val="none"/>
              </w:rPr>
            </w:pPr>
          </w:p>
        </w:tc>
        <w:tc>
          <w:tcPr>
            <w:tcW w:w="2258" w:type="dxa"/>
            <w:gridSpan w:val="3"/>
            <w:vAlign w:val="center"/>
          </w:tcPr>
          <w:p w14:paraId="5887CADA">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营业范围（兼营）</w:t>
            </w:r>
          </w:p>
        </w:tc>
        <w:tc>
          <w:tcPr>
            <w:tcW w:w="6690" w:type="dxa"/>
            <w:gridSpan w:val="7"/>
            <w:vAlign w:val="center"/>
          </w:tcPr>
          <w:p w14:paraId="738C946C">
            <w:pPr>
              <w:spacing w:line="240" w:lineRule="auto"/>
              <w:jc w:val="center"/>
              <w:rPr>
                <w:rFonts w:hint="eastAsia" w:asciiTheme="minorEastAsia" w:hAnsiTheme="minorEastAsia" w:eastAsiaTheme="minorEastAsia" w:cstheme="minorEastAsia"/>
                <w:kern w:val="0"/>
                <w:sz w:val="24"/>
                <w:szCs w:val="24"/>
                <w:highlight w:val="none"/>
              </w:rPr>
            </w:pPr>
          </w:p>
        </w:tc>
      </w:tr>
      <w:tr w14:paraId="4529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078" w:type="dxa"/>
            <w:gridSpan w:val="4"/>
            <w:vAlign w:val="center"/>
          </w:tcPr>
          <w:p w14:paraId="0760DC45">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基本账户开户行</w:t>
            </w:r>
            <w:r>
              <w:rPr>
                <w:rFonts w:hint="eastAsia" w:asciiTheme="minorEastAsia" w:hAnsiTheme="minorEastAsia" w:eastAsiaTheme="minorEastAsia" w:cstheme="minorEastAsia"/>
                <w:kern w:val="0"/>
                <w:sz w:val="24"/>
                <w:szCs w:val="24"/>
                <w:highlight w:val="none"/>
                <w:lang w:eastAsia="zh-CN"/>
              </w:rPr>
              <w:t>及账号</w:t>
            </w:r>
          </w:p>
        </w:tc>
        <w:tc>
          <w:tcPr>
            <w:tcW w:w="6690" w:type="dxa"/>
            <w:gridSpan w:val="7"/>
            <w:vAlign w:val="center"/>
          </w:tcPr>
          <w:p w14:paraId="43899151">
            <w:pPr>
              <w:spacing w:line="240" w:lineRule="auto"/>
              <w:jc w:val="center"/>
              <w:rPr>
                <w:rFonts w:hint="eastAsia" w:asciiTheme="minorEastAsia" w:hAnsiTheme="minorEastAsia" w:eastAsiaTheme="minorEastAsia" w:cstheme="minorEastAsia"/>
                <w:kern w:val="0"/>
                <w:sz w:val="24"/>
                <w:szCs w:val="24"/>
                <w:highlight w:val="none"/>
              </w:rPr>
            </w:pPr>
          </w:p>
        </w:tc>
      </w:tr>
      <w:tr w14:paraId="6A18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078" w:type="dxa"/>
            <w:gridSpan w:val="4"/>
            <w:vAlign w:val="center"/>
          </w:tcPr>
          <w:p w14:paraId="2201D0B0">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税务登记机关</w:t>
            </w:r>
          </w:p>
        </w:tc>
        <w:tc>
          <w:tcPr>
            <w:tcW w:w="6690" w:type="dxa"/>
            <w:gridSpan w:val="7"/>
            <w:vAlign w:val="center"/>
          </w:tcPr>
          <w:p w14:paraId="1628491B">
            <w:pPr>
              <w:spacing w:line="240" w:lineRule="auto"/>
              <w:jc w:val="center"/>
              <w:rPr>
                <w:rFonts w:hint="eastAsia" w:asciiTheme="minorEastAsia" w:hAnsiTheme="minorEastAsia" w:eastAsiaTheme="minorEastAsia" w:cstheme="minorEastAsia"/>
                <w:kern w:val="0"/>
                <w:sz w:val="24"/>
                <w:szCs w:val="24"/>
                <w:highlight w:val="none"/>
              </w:rPr>
            </w:pPr>
          </w:p>
        </w:tc>
      </w:tr>
      <w:tr w14:paraId="4274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532" w:type="dxa"/>
            <w:gridSpan w:val="5"/>
            <w:vAlign w:val="center"/>
          </w:tcPr>
          <w:p w14:paraId="22201898">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资质名称</w:t>
            </w:r>
          </w:p>
        </w:tc>
        <w:tc>
          <w:tcPr>
            <w:tcW w:w="940" w:type="dxa"/>
            <w:gridSpan w:val="2"/>
            <w:vAlign w:val="center"/>
          </w:tcPr>
          <w:p w14:paraId="409E5E9D">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等级</w:t>
            </w:r>
          </w:p>
        </w:tc>
        <w:tc>
          <w:tcPr>
            <w:tcW w:w="1658" w:type="dxa"/>
            <w:gridSpan w:val="2"/>
            <w:vAlign w:val="center"/>
          </w:tcPr>
          <w:p w14:paraId="12C97541">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发证机关</w:t>
            </w:r>
          </w:p>
        </w:tc>
        <w:tc>
          <w:tcPr>
            <w:tcW w:w="2638" w:type="dxa"/>
            <w:gridSpan w:val="2"/>
            <w:vAlign w:val="center"/>
          </w:tcPr>
          <w:p w14:paraId="138856F8">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有效期</w:t>
            </w:r>
          </w:p>
        </w:tc>
      </w:tr>
      <w:tr w14:paraId="3BEA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532" w:type="dxa"/>
            <w:gridSpan w:val="5"/>
            <w:vAlign w:val="center"/>
          </w:tcPr>
          <w:p w14:paraId="28AA5B03">
            <w:pPr>
              <w:spacing w:line="240" w:lineRule="auto"/>
              <w:jc w:val="center"/>
              <w:rPr>
                <w:rFonts w:hint="eastAsia" w:asciiTheme="minorEastAsia" w:hAnsiTheme="minorEastAsia" w:eastAsiaTheme="minorEastAsia" w:cstheme="minorEastAsia"/>
                <w:kern w:val="0"/>
                <w:sz w:val="24"/>
                <w:szCs w:val="24"/>
                <w:highlight w:val="none"/>
              </w:rPr>
            </w:pPr>
          </w:p>
        </w:tc>
        <w:tc>
          <w:tcPr>
            <w:tcW w:w="940" w:type="dxa"/>
            <w:gridSpan w:val="2"/>
            <w:vAlign w:val="center"/>
          </w:tcPr>
          <w:p w14:paraId="6C8EDCB3">
            <w:pPr>
              <w:spacing w:line="240" w:lineRule="auto"/>
              <w:jc w:val="center"/>
              <w:rPr>
                <w:rFonts w:hint="eastAsia" w:asciiTheme="minorEastAsia" w:hAnsiTheme="minorEastAsia" w:eastAsiaTheme="minorEastAsia" w:cstheme="minorEastAsia"/>
                <w:kern w:val="0"/>
                <w:sz w:val="24"/>
                <w:szCs w:val="24"/>
                <w:highlight w:val="none"/>
              </w:rPr>
            </w:pPr>
          </w:p>
        </w:tc>
        <w:tc>
          <w:tcPr>
            <w:tcW w:w="1658" w:type="dxa"/>
            <w:gridSpan w:val="2"/>
            <w:vAlign w:val="center"/>
          </w:tcPr>
          <w:p w14:paraId="239D438D">
            <w:pPr>
              <w:spacing w:line="240" w:lineRule="auto"/>
              <w:jc w:val="center"/>
              <w:rPr>
                <w:rFonts w:hint="eastAsia" w:asciiTheme="minorEastAsia" w:hAnsiTheme="minorEastAsia" w:eastAsiaTheme="minorEastAsia" w:cstheme="minorEastAsia"/>
                <w:kern w:val="0"/>
                <w:sz w:val="24"/>
                <w:szCs w:val="24"/>
                <w:highlight w:val="none"/>
              </w:rPr>
            </w:pPr>
          </w:p>
        </w:tc>
        <w:tc>
          <w:tcPr>
            <w:tcW w:w="2638" w:type="dxa"/>
            <w:gridSpan w:val="2"/>
            <w:vAlign w:val="center"/>
          </w:tcPr>
          <w:p w14:paraId="08264FC6">
            <w:pPr>
              <w:spacing w:line="240" w:lineRule="auto"/>
              <w:jc w:val="center"/>
              <w:rPr>
                <w:rFonts w:hint="eastAsia" w:asciiTheme="minorEastAsia" w:hAnsiTheme="minorEastAsia" w:eastAsiaTheme="minorEastAsia" w:cstheme="minorEastAsia"/>
                <w:kern w:val="0"/>
                <w:sz w:val="24"/>
                <w:szCs w:val="24"/>
                <w:highlight w:val="none"/>
              </w:rPr>
            </w:pPr>
          </w:p>
        </w:tc>
      </w:tr>
      <w:tr w14:paraId="2EC2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532" w:type="dxa"/>
            <w:gridSpan w:val="5"/>
            <w:vAlign w:val="center"/>
          </w:tcPr>
          <w:p w14:paraId="1B24347D">
            <w:pPr>
              <w:spacing w:line="240" w:lineRule="auto"/>
              <w:jc w:val="center"/>
              <w:rPr>
                <w:rFonts w:hint="eastAsia" w:asciiTheme="minorEastAsia" w:hAnsiTheme="minorEastAsia" w:eastAsiaTheme="minorEastAsia" w:cstheme="minorEastAsia"/>
                <w:kern w:val="0"/>
                <w:sz w:val="24"/>
                <w:szCs w:val="24"/>
                <w:highlight w:val="none"/>
              </w:rPr>
            </w:pPr>
          </w:p>
        </w:tc>
        <w:tc>
          <w:tcPr>
            <w:tcW w:w="940" w:type="dxa"/>
            <w:gridSpan w:val="2"/>
            <w:vAlign w:val="center"/>
          </w:tcPr>
          <w:p w14:paraId="3D050FAC">
            <w:pPr>
              <w:spacing w:line="240" w:lineRule="auto"/>
              <w:jc w:val="center"/>
              <w:rPr>
                <w:rFonts w:hint="eastAsia" w:asciiTheme="minorEastAsia" w:hAnsiTheme="minorEastAsia" w:eastAsiaTheme="minorEastAsia" w:cstheme="minorEastAsia"/>
                <w:kern w:val="0"/>
                <w:sz w:val="24"/>
                <w:szCs w:val="24"/>
                <w:highlight w:val="none"/>
              </w:rPr>
            </w:pPr>
          </w:p>
        </w:tc>
        <w:tc>
          <w:tcPr>
            <w:tcW w:w="1658" w:type="dxa"/>
            <w:gridSpan w:val="2"/>
            <w:vAlign w:val="center"/>
          </w:tcPr>
          <w:p w14:paraId="7CDEDFB6">
            <w:pPr>
              <w:spacing w:line="240" w:lineRule="auto"/>
              <w:jc w:val="center"/>
              <w:rPr>
                <w:rFonts w:hint="eastAsia" w:asciiTheme="minorEastAsia" w:hAnsiTheme="minorEastAsia" w:eastAsiaTheme="minorEastAsia" w:cstheme="minorEastAsia"/>
                <w:kern w:val="0"/>
                <w:sz w:val="24"/>
                <w:szCs w:val="24"/>
                <w:highlight w:val="none"/>
              </w:rPr>
            </w:pPr>
          </w:p>
        </w:tc>
        <w:tc>
          <w:tcPr>
            <w:tcW w:w="2638" w:type="dxa"/>
            <w:gridSpan w:val="2"/>
            <w:vAlign w:val="center"/>
          </w:tcPr>
          <w:p w14:paraId="4026B54D">
            <w:pPr>
              <w:spacing w:line="240" w:lineRule="auto"/>
              <w:jc w:val="center"/>
              <w:rPr>
                <w:rFonts w:hint="eastAsia" w:asciiTheme="minorEastAsia" w:hAnsiTheme="minorEastAsia" w:eastAsiaTheme="minorEastAsia" w:cstheme="minorEastAsia"/>
                <w:kern w:val="0"/>
                <w:sz w:val="24"/>
                <w:szCs w:val="24"/>
                <w:highlight w:val="none"/>
              </w:rPr>
            </w:pPr>
          </w:p>
        </w:tc>
      </w:tr>
      <w:tr w14:paraId="568B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1236" w:type="dxa"/>
            <w:gridSpan w:val="2"/>
            <w:vAlign w:val="center"/>
          </w:tcPr>
          <w:p w14:paraId="66EF8B67">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备注</w:t>
            </w:r>
          </w:p>
        </w:tc>
        <w:tc>
          <w:tcPr>
            <w:tcW w:w="8532" w:type="dxa"/>
            <w:gridSpan w:val="9"/>
            <w:vAlign w:val="center"/>
          </w:tcPr>
          <w:p w14:paraId="2B84B2B5">
            <w:pPr>
              <w:spacing w:line="240" w:lineRule="auto"/>
              <w:jc w:val="center"/>
              <w:rPr>
                <w:rFonts w:hint="eastAsia" w:asciiTheme="minorEastAsia" w:hAnsiTheme="minorEastAsia" w:eastAsiaTheme="minorEastAsia" w:cstheme="minorEastAsia"/>
                <w:kern w:val="0"/>
                <w:sz w:val="24"/>
                <w:szCs w:val="24"/>
                <w:highlight w:val="none"/>
              </w:rPr>
            </w:pPr>
          </w:p>
        </w:tc>
      </w:tr>
    </w:tbl>
    <w:p w14:paraId="6F9BF0BA">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br w:type="page"/>
      </w:r>
      <w:r>
        <w:rPr>
          <w:rFonts w:hint="eastAsia" w:asciiTheme="minorEastAsia" w:hAnsiTheme="minorEastAsia" w:eastAsiaTheme="minorEastAsia" w:cstheme="minorEastAsia"/>
          <w:b/>
          <w:bCs/>
          <w:kern w:val="0"/>
          <w:sz w:val="24"/>
          <w:szCs w:val="24"/>
          <w:highlight w:val="none"/>
        </w:rPr>
        <w:t>附件9</w:t>
      </w:r>
      <w:r>
        <w:rPr>
          <w:rFonts w:hint="eastAsia" w:asciiTheme="minorEastAsia" w:hAnsiTheme="minorEastAsia" w:eastAsiaTheme="minorEastAsia" w:cstheme="minorEastAsia"/>
          <w:b/>
          <w:bCs/>
          <w:kern w:val="0"/>
          <w:sz w:val="24"/>
          <w:szCs w:val="24"/>
          <w:highlight w:val="none"/>
          <w:lang w:val="en-US" w:eastAsia="zh-CN"/>
        </w:rPr>
        <w:t>-1</w:t>
      </w:r>
      <w:r>
        <w:rPr>
          <w:rFonts w:hint="eastAsia" w:asciiTheme="minorEastAsia" w:hAnsiTheme="minorEastAsia" w:eastAsiaTheme="minorEastAsia" w:cstheme="minorEastAsia"/>
          <w:b/>
          <w:bCs/>
          <w:kern w:val="0"/>
          <w:sz w:val="24"/>
          <w:szCs w:val="24"/>
          <w:highlight w:val="none"/>
        </w:rPr>
        <w:t>：</w:t>
      </w:r>
    </w:p>
    <w:p w14:paraId="37244FC3">
      <w:pPr>
        <w:ind w:firstLine="482" w:firstLineChars="20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中小企业声明函（货物）</w:t>
      </w:r>
    </w:p>
    <w:p w14:paraId="608F0A18">
      <w:pPr>
        <w:spacing w:line="360" w:lineRule="auto"/>
        <w:ind w:firstLine="480" w:firstLineChars="200"/>
        <w:rPr>
          <w:rFonts w:hint="eastAsia" w:asciiTheme="minorEastAsia" w:hAnsiTheme="minorEastAsia" w:eastAsiaTheme="minorEastAsia" w:cstheme="minorEastAsia"/>
          <w:sz w:val="24"/>
          <w:szCs w:val="24"/>
          <w:highlight w:val="none"/>
        </w:rPr>
      </w:pPr>
    </w:p>
    <w:p w14:paraId="601BAE7F">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sz w:val="24"/>
          <w:szCs w:val="24"/>
          <w:highlight w:val="none"/>
          <w:u w:val="single"/>
        </w:rPr>
        <w:t>（单位名称）</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u w:val="single"/>
        </w:rPr>
        <w:t>（项目名称）</w:t>
      </w:r>
      <w:r>
        <w:rPr>
          <w:rFonts w:hint="eastAsia" w:asciiTheme="minorEastAsia" w:hAnsiTheme="minorEastAsia" w:eastAsiaTheme="minorEastAsia" w:cstheme="minorEastAsia"/>
          <w:sz w:val="24"/>
          <w:szCs w:val="24"/>
          <w:highlight w:val="none"/>
        </w:rPr>
        <w:t>采购活动，提供的货物全部由符合政策要求的中小企业制造。相关企业（含联合体中的中小企业、签订分包意向协议的中小企业）的具体情况如下：</w:t>
      </w:r>
    </w:p>
    <w:p w14:paraId="3D8D3ABA">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u w:val="single"/>
        </w:rPr>
        <w:t>（标的名称）</w:t>
      </w:r>
      <w:r>
        <w:rPr>
          <w:rFonts w:hint="eastAsia" w:asciiTheme="minorEastAsia" w:hAnsiTheme="minorEastAsia" w:eastAsiaTheme="minorEastAsia" w:cstheme="minorEastAsia"/>
          <w:sz w:val="24"/>
          <w:szCs w:val="24"/>
          <w:highlight w:val="none"/>
        </w:rPr>
        <w:t>，属于</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single"/>
          <w:lang w:eastAsia="zh-CN"/>
        </w:rPr>
        <w:t>招标文件</w:t>
      </w:r>
      <w:r>
        <w:rPr>
          <w:rFonts w:hint="eastAsia" w:asciiTheme="minorEastAsia" w:hAnsiTheme="minorEastAsia" w:eastAsiaTheme="minorEastAsia" w:cstheme="minorEastAsia"/>
          <w:sz w:val="24"/>
          <w:szCs w:val="24"/>
          <w:highlight w:val="none"/>
          <w:u w:val="single"/>
        </w:rPr>
        <w:t>中明确的所属行业）行业</w:t>
      </w:r>
      <w:r>
        <w:rPr>
          <w:rFonts w:hint="eastAsia" w:asciiTheme="minorEastAsia" w:hAnsiTheme="minorEastAsia" w:eastAsiaTheme="minorEastAsia" w:cstheme="minorEastAsia"/>
          <w:sz w:val="24"/>
          <w:szCs w:val="24"/>
          <w:highlight w:val="none"/>
        </w:rPr>
        <w:t>；制造商为</w:t>
      </w:r>
      <w:r>
        <w:rPr>
          <w:rFonts w:hint="eastAsia" w:asciiTheme="minorEastAsia" w:hAnsiTheme="minorEastAsia" w:eastAsiaTheme="minorEastAsia" w:cstheme="minorEastAsia"/>
          <w:sz w:val="24"/>
          <w:szCs w:val="24"/>
          <w:highlight w:val="none"/>
          <w:u w:val="single"/>
        </w:rPr>
        <w:t>（企业名称）</w:t>
      </w:r>
      <w:r>
        <w:rPr>
          <w:rFonts w:hint="eastAsia" w:asciiTheme="minorEastAsia" w:hAnsiTheme="minorEastAsia" w:eastAsiaTheme="minorEastAsia" w:cstheme="minorEastAsia"/>
          <w:sz w:val="24"/>
          <w:szCs w:val="24"/>
          <w:highlight w:val="none"/>
        </w:rPr>
        <w:t>，从业人员人，营业收入为万元，资产总额为万元</w:t>
      </w:r>
      <w:r>
        <w:rPr>
          <w:rFonts w:hint="eastAsia" w:asciiTheme="minorEastAsia" w:hAnsiTheme="minorEastAsia" w:eastAsiaTheme="minorEastAsia" w:cstheme="minorEastAsia"/>
          <w:sz w:val="24"/>
          <w:szCs w:val="24"/>
          <w:highlight w:val="none"/>
          <w:vertAlign w:val="superscript"/>
        </w:rPr>
        <w:t>1</w:t>
      </w:r>
      <w:r>
        <w:rPr>
          <w:rFonts w:hint="eastAsia" w:asciiTheme="minorEastAsia" w:hAnsiTheme="minorEastAsia" w:eastAsiaTheme="minorEastAsia" w:cstheme="minorEastAsia"/>
          <w:sz w:val="24"/>
          <w:szCs w:val="24"/>
          <w:highlight w:val="none"/>
        </w:rPr>
        <w:t>，属于（</w:t>
      </w:r>
      <w:r>
        <w:rPr>
          <w:rFonts w:hint="eastAsia" w:asciiTheme="minorEastAsia" w:hAnsiTheme="minorEastAsia" w:eastAsiaTheme="minorEastAsia" w:cstheme="minorEastAsia"/>
          <w:sz w:val="24"/>
          <w:szCs w:val="24"/>
          <w:highlight w:val="none"/>
          <w:u w:val="single"/>
        </w:rPr>
        <w:t>中型企业、小型企业、微型企业</w:t>
      </w:r>
      <w:r>
        <w:rPr>
          <w:rFonts w:hint="eastAsia" w:asciiTheme="minorEastAsia" w:hAnsiTheme="minorEastAsia" w:eastAsiaTheme="minorEastAsia" w:cstheme="minorEastAsia"/>
          <w:sz w:val="24"/>
          <w:szCs w:val="24"/>
          <w:highlight w:val="none"/>
        </w:rPr>
        <w:t>）；</w:t>
      </w:r>
    </w:p>
    <w:p w14:paraId="50907C85">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u w:val="single"/>
        </w:rPr>
        <w:t>（标的名称）</w:t>
      </w:r>
      <w:r>
        <w:rPr>
          <w:rFonts w:hint="eastAsia" w:asciiTheme="minorEastAsia" w:hAnsiTheme="minorEastAsia" w:eastAsiaTheme="minorEastAsia" w:cstheme="minorEastAsia"/>
          <w:sz w:val="24"/>
          <w:szCs w:val="24"/>
          <w:highlight w:val="none"/>
        </w:rPr>
        <w:t>，属于</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single"/>
          <w:lang w:eastAsia="zh-CN"/>
        </w:rPr>
        <w:t>招标文件</w:t>
      </w:r>
      <w:r>
        <w:rPr>
          <w:rFonts w:hint="eastAsia" w:asciiTheme="minorEastAsia" w:hAnsiTheme="minorEastAsia" w:eastAsiaTheme="minorEastAsia" w:cstheme="minorEastAsia"/>
          <w:sz w:val="24"/>
          <w:szCs w:val="24"/>
          <w:highlight w:val="none"/>
          <w:u w:val="single"/>
        </w:rPr>
        <w:t>中明确的所属行业）</w:t>
      </w:r>
      <w:r>
        <w:rPr>
          <w:rFonts w:hint="eastAsia" w:asciiTheme="minorEastAsia" w:hAnsiTheme="minorEastAsia" w:eastAsiaTheme="minorEastAsia" w:cstheme="minorEastAsia"/>
          <w:sz w:val="24"/>
          <w:szCs w:val="24"/>
          <w:highlight w:val="none"/>
        </w:rPr>
        <w:t>行业；制造商为</w:t>
      </w:r>
      <w:r>
        <w:rPr>
          <w:rFonts w:hint="eastAsia" w:asciiTheme="minorEastAsia" w:hAnsiTheme="minorEastAsia" w:eastAsiaTheme="minorEastAsia" w:cstheme="minorEastAsia"/>
          <w:sz w:val="24"/>
          <w:szCs w:val="24"/>
          <w:highlight w:val="none"/>
          <w:u w:val="single"/>
        </w:rPr>
        <w:t>（企业名称）</w:t>
      </w:r>
      <w:r>
        <w:rPr>
          <w:rFonts w:hint="eastAsia" w:asciiTheme="minorEastAsia" w:hAnsiTheme="minorEastAsia" w:eastAsiaTheme="minorEastAsia" w:cstheme="minorEastAsia"/>
          <w:sz w:val="24"/>
          <w:szCs w:val="24"/>
          <w:highlight w:val="none"/>
        </w:rPr>
        <w:t>，从业人员人，营业收入为万元，资产总额为万元，属于</w:t>
      </w:r>
      <w:r>
        <w:rPr>
          <w:rFonts w:hint="eastAsia" w:asciiTheme="minorEastAsia" w:hAnsiTheme="minorEastAsia" w:eastAsiaTheme="minorEastAsia" w:cstheme="minorEastAsia"/>
          <w:sz w:val="24"/>
          <w:szCs w:val="24"/>
          <w:highlight w:val="none"/>
          <w:u w:val="single"/>
        </w:rPr>
        <w:t>（中型企业、小型企业、微型企业）</w:t>
      </w:r>
      <w:r>
        <w:rPr>
          <w:rFonts w:hint="eastAsia" w:asciiTheme="minorEastAsia" w:hAnsiTheme="minorEastAsia" w:eastAsiaTheme="minorEastAsia" w:cstheme="minorEastAsia"/>
          <w:sz w:val="24"/>
          <w:szCs w:val="24"/>
          <w:highlight w:val="none"/>
        </w:rPr>
        <w:t>；</w:t>
      </w:r>
    </w:p>
    <w:p w14:paraId="3DD2C9AD">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p w14:paraId="794B8F6D">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以上企业，不属于大企业的分支机构，不存在控股股东为大企业的情形，也不存在与大企业的负责人为同一人的情形。</w:t>
      </w:r>
    </w:p>
    <w:p w14:paraId="4A24311B">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本企业对上述声明内容的真实性负责。如有虚假，将依法承担相应责任。</w:t>
      </w:r>
    </w:p>
    <w:p w14:paraId="4B9C6215">
      <w:pPr>
        <w:wordWrap w:val="0"/>
        <w:spacing w:line="360" w:lineRule="auto"/>
        <w:ind w:firstLine="480" w:firstLineChars="200"/>
        <w:jc w:val="right"/>
        <w:rPr>
          <w:rFonts w:hint="eastAsia" w:asciiTheme="minorEastAsia" w:hAnsiTheme="minorEastAsia" w:eastAsiaTheme="minorEastAsia" w:cstheme="minorEastAsia"/>
          <w:sz w:val="24"/>
          <w:szCs w:val="24"/>
          <w:highlight w:val="none"/>
        </w:rPr>
      </w:pPr>
    </w:p>
    <w:p w14:paraId="25BF543A">
      <w:pPr>
        <w:wordWrap w:val="0"/>
        <w:spacing w:line="360" w:lineRule="auto"/>
        <w:ind w:firstLine="480" w:firstLineChars="20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企业名称（盖章）：</w:t>
      </w:r>
    </w:p>
    <w:p w14:paraId="24F35BE8">
      <w:pPr>
        <w:wordWrap w:val="0"/>
        <w:spacing w:line="360" w:lineRule="auto"/>
        <w:ind w:right="480" w:firstLine="480" w:firstLineChars="20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p>
    <w:p w14:paraId="7CF3416F">
      <w:pPr>
        <w:spacing w:line="360" w:lineRule="auto"/>
        <w:ind w:right="480" w:firstLine="480" w:firstLineChars="200"/>
        <w:jc w:val="right"/>
        <w:rPr>
          <w:rFonts w:hint="eastAsia" w:asciiTheme="minorEastAsia" w:hAnsiTheme="minorEastAsia" w:eastAsiaTheme="minorEastAsia" w:cstheme="minorEastAsia"/>
          <w:sz w:val="24"/>
          <w:szCs w:val="24"/>
          <w:highlight w:val="none"/>
        </w:rPr>
      </w:pPr>
    </w:p>
    <w:p w14:paraId="60AE641E">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vertAlign w:val="superscript"/>
        </w:rPr>
        <w:t>1</w:t>
      </w:r>
      <w:r>
        <w:rPr>
          <w:rFonts w:hint="eastAsia" w:asciiTheme="minorEastAsia" w:hAnsiTheme="minorEastAsia" w:eastAsiaTheme="minorEastAsia" w:cstheme="minorEastAsia"/>
          <w:sz w:val="24"/>
          <w:szCs w:val="24"/>
          <w:highlight w:val="none"/>
        </w:rPr>
        <w:t>从业人员、营业收入、资产总额填报上一年度数据，无上一年度数据的新成立企业可不填报。</w:t>
      </w:r>
    </w:p>
    <w:p w14:paraId="5FF61D7E">
      <w:pPr>
        <w:spacing w:line="360" w:lineRule="auto"/>
        <w:ind w:firstLine="480" w:firstLineChars="200"/>
        <w:rPr>
          <w:rFonts w:hint="eastAsia" w:ascii="宋体" w:hAnsi="宋体" w:eastAsia="宋体" w:cs="宋体"/>
          <w:highlight w:val="none"/>
        </w:rPr>
      </w:pPr>
      <w:r>
        <w:rPr>
          <w:rFonts w:hint="eastAsia" w:asciiTheme="minorEastAsia" w:hAnsiTheme="minorEastAsia" w:eastAsiaTheme="minorEastAsia" w:cstheme="minorEastAsia"/>
          <w:sz w:val="24"/>
          <w:szCs w:val="24"/>
          <w:highlight w:val="none"/>
        </w:rPr>
        <w:t>（若投标文件中无上述文件，则在评审时不考虑对该小、微企业的相关优惠。）</w:t>
      </w:r>
    </w:p>
    <w:p w14:paraId="113C4EAC">
      <w:pPr>
        <w:spacing w:line="240" w:lineRule="auto"/>
        <w:jc w:val="left"/>
        <w:rPr>
          <w:rFonts w:hint="eastAsia" w:asciiTheme="minorEastAsia" w:hAnsiTheme="minorEastAsia" w:eastAsiaTheme="minorEastAsia" w:cstheme="minorEastAsia"/>
          <w:kern w:val="0"/>
          <w:sz w:val="24"/>
          <w:szCs w:val="24"/>
          <w:highlight w:val="none"/>
        </w:rPr>
      </w:pPr>
    </w:p>
    <w:p w14:paraId="616B5D64">
      <w:pP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br w:type="page"/>
      </w:r>
    </w:p>
    <w:p w14:paraId="53158D9C">
      <w:pPr>
        <w:snapToGrid w:val="0"/>
        <w:spacing w:line="360" w:lineRule="auto"/>
        <w:jc w:val="left"/>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附件9</w:t>
      </w:r>
      <w:r>
        <w:rPr>
          <w:rFonts w:hint="eastAsia" w:asciiTheme="minorEastAsia" w:hAnsiTheme="minorEastAsia" w:eastAsiaTheme="minorEastAsia" w:cstheme="minorEastAsia"/>
          <w:b/>
          <w:bCs/>
          <w:kern w:val="0"/>
          <w:sz w:val="24"/>
          <w:szCs w:val="24"/>
          <w:highlight w:val="none"/>
          <w:lang w:val="en-US" w:eastAsia="zh-CN"/>
        </w:rPr>
        <w:t>-2</w:t>
      </w:r>
      <w:r>
        <w:rPr>
          <w:rFonts w:hint="eastAsia" w:asciiTheme="minorEastAsia" w:hAnsiTheme="minorEastAsia" w:eastAsiaTheme="minorEastAsia" w:cstheme="minorEastAsia"/>
          <w:b/>
          <w:bCs/>
          <w:kern w:val="0"/>
          <w:sz w:val="24"/>
          <w:szCs w:val="24"/>
          <w:highlight w:val="none"/>
        </w:rPr>
        <w:t>：</w:t>
      </w:r>
    </w:p>
    <w:p w14:paraId="5DA78115">
      <w:pPr>
        <w:ind w:firstLine="482" w:firstLineChars="20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分包意向协议</w:t>
      </w:r>
    </w:p>
    <w:p w14:paraId="26B4F8F7">
      <w:pPr>
        <w:widowControl/>
        <w:spacing w:line="360" w:lineRule="auto"/>
        <w:ind w:firstLine="360" w:firstLineChars="150"/>
        <w:jc w:val="left"/>
        <w:rPr>
          <w:rFonts w:hint="eastAsia" w:asciiTheme="minorEastAsia" w:hAnsiTheme="minorEastAsia" w:eastAsiaTheme="minorEastAsia" w:cstheme="minorEastAsia"/>
          <w:sz w:val="24"/>
          <w:szCs w:val="24"/>
        </w:rPr>
      </w:pPr>
    </w:p>
    <w:p w14:paraId="20AA82BB">
      <w:pPr>
        <w:widowControl/>
        <w:spacing w:line="360" w:lineRule="auto"/>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sz w:val="24"/>
          <w:szCs w:val="24"/>
        </w:rPr>
        <w:t>）</w:t>
      </w:r>
    </w:p>
    <w:p w14:paraId="2229B9D4">
      <w:pPr>
        <w:snapToGrid w:val="0"/>
        <w:spacing w:line="360" w:lineRule="auto"/>
        <w:ind w:firstLine="576"/>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u w:val="single"/>
        </w:rPr>
        <w:t>（投标人名称）</w:t>
      </w:r>
      <w:r>
        <w:rPr>
          <w:rFonts w:hint="eastAsia" w:asciiTheme="minorEastAsia" w:hAnsiTheme="minorEastAsia" w:eastAsiaTheme="minorEastAsia" w:cstheme="minorEastAsia"/>
          <w:kern w:val="0"/>
          <w:sz w:val="24"/>
          <w:szCs w:val="24"/>
          <w:lang w:val="zh-CN"/>
        </w:rPr>
        <w:t>若成为</w:t>
      </w:r>
      <w:r>
        <w:rPr>
          <w:rFonts w:hint="eastAsia" w:asciiTheme="minorEastAsia" w:hAnsiTheme="minorEastAsia" w:eastAsiaTheme="minorEastAsia" w:cstheme="minorEastAsia"/>
          <w:sz w:val="24"/>
          <w:szCs w:val="24"/>
        </w:rPr>
        <w:t>（项目名称）【招标编号：（采购编号）】</w:t>
      </w:r>
      <w:r>
        <w:rPr>
          <w:rFonts w:hint="eastAsia" w:asciiTheme="minorEastAsia" w:hAnsiTheme="minorEastAsia" w:eastAsiaTheme="minorEastAsia" w:cstheme="minorEastAsia"/>
          <w:kern w:val="0"/>
          <w:sz w:val="24"/>
          <w:szCs w:val="24"/>
          <w:lang w:val="zh-CN"/>
        </w:rPr>
        <w:t>的中标供应商，将依法采取分包方式履行合同。</w:t>
      </w:r>
      <w:r>
        <w:rPr>
          <w:rFonts w:hint="eastAsia" w:asciiTheme="minorEastAsia" w:hAnsiTheme="minorEastAsia" w:eastAsiaTheme="minorEastAsia" w:cstheme="minorEastAsia"/>
          <w:kern w:val="0"/>
          <w:sz w:val="24"/>
          <w:szCs w:val="24"/>
          <w:u w:val="single"/>
        </w:rPr>
        <w:t>（投标人名称）</w:t>
      </w:r>
      <w:r>
        <w:rPr>
          <w:rFonts w:hint="eastAsia" w:asciiTheme="minorEastAsia" w:hAnsiTheme="minorEastAsia" w:eastAsiaTheme="minorEastAsia" w:cstheme="minorEastAsia"/>
          <w:kern w:val="0"/>
          <w:sz w:val="24"/>
          <w:szCs w:val="24"/>
        </w:rPr>
        <w:t>与</w:t>
      </w:r>
      <w:r>
        <w:rPr>
          <w:rFonts w:hint="eastAsia" w:asciiTheme="minorEastAsia" w:hAnsiTheme="minorEastAsia" w:eastAsiaTheme="minorEastAsia" w:cstheme="minorEastAsia"/>
          <w:kern w:val="0"/>
          <w:sz w:val="24"/>
          <w:szCs w:val="24"/>
          <w:u w:val="single"/>
        </w:rPr>
        <w:t>（所有分包供应商名称）</w:t>
      </w:r>
      <w:r>
        <w:rPr>
          <w:rFonts w:hint="eastAsia" w:asciiTheme="minorEastAsia" w:hAnsiTheme="minorEastAsia" w:eastAsiaTheme="minorEastAsia" w:cstheme="minorEastAsia"/>
          <w:kern w:val="0"/>
          <w:sz w:val="24"/>
          <w:szCs w:val="24"/>
        </w:rPr>
        <w:t>达成分包意向协议</w:t>
      </w:r>
      <w:r>
        <w:rPr>
          <w:rFonts w:hint="eastAsia" w:asciiTheme="minorEastAsia" w:hAnsiTheme="minorEastAsia" w:eastAsiaTheme="minorEastAsia" w:cstheme="minorEastAsia"/>
          <w:kern w:val="0"/>
          <w:sz w:val="24"/>
          <w:szCs w:val="24"/>
          <w:lang w:val="zh-CN"/>
        </w:rPr>
        <w:t xml:space="preserve">。 </w:t>
      </w:r>
    </w:p>
    <w:p w14:paraId="63219A33">
      <w:pPr>
        <w:snapToGrid w:val="0"/>
        <w:spacing w:line="360" w:lineRule="auto"/>
        <w:ind w:firstLine="576"/>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一、分包标的及数量</w:t>
      </w:r>
    </w:p>
    <w:p w14:paraId="70A0C760">
      <w:pPr>
        <w:snapToGrid w:val="0"/>
        <w:spacing w:line="360" w:lineRule="auto"/>
        <w:ind w:firstLine="576"/>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u w:val="single"/>
        </w:rPr>
        <w:t>（投标人名称）</w:t>
      </w:r>
      <w:r>
        <w:rPr>
          <w:rFonts w:hint="eastAsia" w:asciiTheme="minorEastAsia" w:hAnsiTheme="minorEastAsia" w:eastAsiaTheme="minorEastAsia" w:cstheme="minorEastAsia"/>
          <w:kern w:val="0"/>
          <w:sz w:val="24"/>
          <w:szCs w:val="24"/>
          <w:lang w:val="zh-CN"/>
        </w:rPr>
        <w:t>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工作内容</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分包给</w:t>
      </w:r>
      <w:r>
        <w:rPr>
          <w:rFonts w:hint="eastAsia" w:asciiTheme="minorEastAsia" w:hAnsiTheme="minorEastAsia" w:eastAsiaTheme="minorEastAsia" w:cstheme="minorEastAsia"/>
          <w:kern w:val="0"/>
          <w:sz w:val="24"/>
          <w:szCs w:val="24"/>
          <w:u w:val="single"/>
        </w:rPr>
        <w:t>（分包供应商名称）</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u w:val="single"/>
        </w:rPr>
        <w:t>（分包供应商名称），</w:t>
      </w:r>
      <w:r>
        <w:rPr>
          <w:rFonts w:hint="eastAsia" w:asciiTheme="minorEastAsia" w:hAnsiTheme="minorEastAsia" w:eastAsiaTheme="minorEastAsia" w:cstheme="minorEastAsia"/>
          <w:kern w:val="0"/>
          <w:sz w:val="24"/>
          <w:szCs w:val="24"/>
          <w:lang w:val="zh-CN"/>
        </w:rPr>
        <w:t>具备承</w:t>
      </w:r>
      <w:r>
        <w:rPr>
          <w:rFonts w:hint="eastAsia" w:asciiTheme="minorEastAsia" w:hAnsiTheme="minorEastAsia" w:eastAsiaTheme="minorEastAsia" w:cstheme="minorEastAsia"/>
          <w:kern w:val="0"/>
          <w:sz w:val="24"/>
          <w:szCs w:val="24"/>
        </w:rPr>
        <w:t>担</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lang w:val="zh-CN"/>
        </w:rPr>
        <w:t>工作内容）</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lang w:val="zh-CN"/>
        </w:rPr>
        <w:t>相应资质条件且不得再次分包；</w:t>
      </w:r>
    </w:p>
    <w:p w14:paraId="348C963D">
      <w:pPr>
        <w:pStyle w:val="3"/>
        <w:numPr>
          <w:ilvl w:val="1"/>
          <w:numId w:val="0"/>
        </w:numPr>
        <w:tabs>
          <w:tab w:val="left" w:pos="432"/>
          <w:tab w:val="clear" w:pos="420"/>
        </w:tabs>
        <w:ind w:leftChars="411"/>
        <w:jc w:val="center"/>
        <w:rPr>
          <w:rFonts w:hint="eastAsia" w:asciiTheme="minorEastAsia" w:hAnsiTheme="minorEastAsia" w:eastAsiaTheme="minorEastAsia" w:cstheme="minorEastAsia"/>
          <w:kern w:val="0"/>
          <w:sz w:val="24"/>
          <w:szCs w:val="24"/>
          <w:lang w:val="zh-CN"/>
        </w:rPr>
      </w:pPr>
      <w:bookmarkStart w:id="7" w:name="_Toc8168"/>
      <w:bookmarkStart w:id="8" w:name="_Toc17331"/>
      <w:bookmarkStart w:id="9" w:name="_Toc17715"/>
      <w:r>
        <w:rPr>
          <w:rFonts w:hint="eastAsia" w:asciiTheme="minorEastAsia" w:hAnsiTheme="minorEastAsia" w:eastAsiaTheme="minorEastAsia" w:cstheme="minorEastAsia"/>
          <w:sz w:val="24"/>
          <w:szCs w:val="24"/>
        </w:rPr>
        <w:t>……</w:t>
      </w:r>
      <w:bookmarkEnd w:id="7"/>
      <w:bookmarkEnd w:id="8"/>
      <w:bookmarkEnd w:id="9"/>
    </w:p>
    <w:p w14:paraId="411797A5">
      <w:pPr>
        <w:snapToGrid w:val="0"/>
        <w:spacing w:line="360" w:lineRule="auto"/>
        <w:ind w:firstLine="576"/>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二、分包工作履行期限、地点、方式</w:t>
      </w:r>
    </w:p>
    <w:p w14:paraId="197395D1">
      <w:pPr>
        <w:snapToGrid w:val="0"/>
        <w:spacing w:line="360" w:lineRule="auto"/>
        <w:ind w:firstLine="576"/>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w:t>
      </w:r>
    </w:p>
    <w:p w14:paraId="1E609A3F">
      <w:pPr>
        <w:snapToGrid w:val="0"/>
        <w:spacing w:line="360" w:lineRule="auto"/>
        <w:ind w:firstLine="576"/>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三、质量</w:t>
      </w:r>
    </w:p>
    <w:p w14:paraId="5872F8D1">
      <w:pPr>
        <w:snapToGrid w:val="0"/>
        <w:spacing w:line="360" w:lineRule="auto"/>
        <w:ind w:firstLine="576"/>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sz w:val="24"/>
          <w:szCs w:val="24"/>
          <w:u w:val="single"/>
        </w:rPr>
        <w:t xml:space="preserve">                                                                                       </w:t>
      </w:r>
    </w:p>
    <w:p w14:paraId="63E7D8E4">
      <w:pPr>
        <w:snapToGrid w:val="0"/>
        <w:spacing w:line="360" w:lineRule="auto"/>
        <w:ind w:firstLine="576"/>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四、价款或者报酬</w:t>
      </w:r>
    </w:p>
    <w:p w14:paraId="46D6DC64">
      <w:pPr>
        <w:snapToGrid w:val="0"/>
        <w:spacing w:line="360" w:lineRule="auto"/>
        <w:ind w:left="573" w:leftChars="273"/>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sz w:val="24"/>
          <w:szCs w:val="24"/>
          <w:u w:val="single"/>
        </w:rPr>
        <w:t xml:space="preserve">                                                                                     </w:t>
      </w:r>
    </w:p>
    <w:p w14:paraId="7C08D013">
      <w:pPr>
        <w:snapToGrid w:val="0"/>
        <w:spacing w:line="360" w:lineRule="auto"/>
        <w:ind w:left="573" w:leftChars="273"/>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五、违约责任</w:t>
      </w:r>
    </w:p>
    <w:p w14:paraId="4940352D">
      <w:pPr>
        <w:snapToGrid w:val="0"/>
        <w:spacing w:line="360" w:lineRule="auto"/>
        <w:ind w:firstLine="576"/>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sz w:val="24"/>
          <w:szCs w:val="24"/>
          <w:u w:val="single"/>
        </w:rPr>
        <w:t xml:space="preserve">                                                                                     </w:t>
      </w:r>
    </w:p>
    <w:p w14:paraId="66450062">
      <w:pPr>
        <w:snapToGrid w:val="0"/>
        <w:spacing w:line="360" w:lineRule="auto"/>
        <w:ind w:firstLine="576"/>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六、争议解决的办法</w:t>
      </w:r>
    </w:p>
    <w:p w14:paraId="4A50B18F">
      <w:pPr>
        <w:snapToGrid w:val="0"/>
        <w:spacing w:line="360" w:lineRule="auto"/>
        <w:ind w:firstLine="576"/>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sz w:val="24"/>
          <w:szCs w:val="24"/>
          <w:u w:val="single"/>
        </w:rPr>
        <w:t xml:space="preserve">                                                                                  </w:t>
      </w:r>
    </w:p>
    <w:p w14:paraId="541244EA">
      <w:pPr>
        <w:snapToGrid w:val="0"/>
        <w:spacing w:line="360" w:lineRule="auto"/>
        <w:ind w:firstLine="576"/>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七、其他</w:t>
      </w:r>
    </w:p>
    <w:p w14:paraId="15288356">
      <w:pPr>
        <w:snapToGrid w:val="0"/>
        <w:spacing w:line="360" w:lineRule="auto"/>
        <w:ind w:left="5758" w:leftChars="342" w:hanging="5040" w:hangingChars="21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sz w:val="24"/>
          <w:szCs w:val="24"/>
        </w:rPr>
        <w:t>中小企业合同金额达到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%，小微企业合同金额达到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lang w:val="zh-CN"/>
        </w:rPr>
        <w:t xml:space="preserve">  。                                           </w:t>
      </w:r>
    </w:p>
    <w:p w14:paraId="10E1ECDB">
      <w:pPr>
        <w:snapToGrid w:val="0"/>
        <w:spacing w:line="360" w:lineRule="auto"/>
        <w:ind w:left="5758" w:leftChars="342" w:hanging="5040" w:hangingChars="2100"/>
        <w:rPr>
          <w:rFonts w:hint="eastAsia" w:asciiTheme="minorEastAsia" w:hAnsiTheme="minorEastAsia" w:eastAsiaTheme="minorEastAsia" w:cstheme="minorEastAsia"/>
          <w:kern w:val="0"/>
          <w:sz w:val="24"/>
          <w:szCs w:val="24"/>
          <w:lang w:val="zh-CN"/>
        </w:rPr>
      </w:pPr>
    </w:p>
    <w:p w14:paraId="4430BA86">
      <w:pPr>
        <w:snapToGrid w:val="0"/>
        <w:spacing w:line="480" w:lineRule="auto"/>
        <w:ind w:left="5758" w:leftChars="342" w:hanging="5040" w:hangingChars="210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zh-CN"/>
        </w:rPr>
        <w:t>投标人名称(</w:t>
      </w:r>
      <w:r>
        <w:rPr>
          <w:rFonts w:hint="eastAsia" w:asciiTheme="minorEastAsia" w:hAnsiTheme="minorEastAsia" w:eastAsiaTheme="minorEastAsia" w:cstheme="minorEastAsia"/>
          <w:kern w:val="0"/>
          <w:sz w:val="24"/>
          <w:szCs w:val="24"/>
          <w:lang w:val="en-US" w:eastAsia="zh-CN"/>
        </w:rPr>
        <w:t>盖章</w:t>
      </w:r>
      <w:r>
        <w:rPr>
          <w:rFonts w:hint="eastAsia" w:asciiTheme="minorEastAsia" w:hAnsiTheme="minorEastAsia" w:eastAsiaTheme="minorEastAsia" w:cstheme="minorEastAsia"/>
          <w:kern w:val="0"/>
          <w:sz w:val="24"/>
          <w:szCs w:val="24"/>
          <w:lang w:val="zh-CN"/>
        </w:rPr>
        <w:t>)：</w:t>
      </w:r>
    </w:p>
    <w:p w14:paraId="02F64182">
      <w:pPr>
        <w:snapToGrid w:val="0"/>
        <w:spacing w:line="480" w:lineRule="auto"/>
        <w:ind w:firstLine="6480" w:firstLineChars="27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分包供应商名称：</w:t>
      </w:r>
    </w:p>
    <w:p w14:paraId="3054194D">
      <w:pPr>
        <w:spacing w:line="480"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lang w:val="zh-CN"/>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zh-CN"/>
        </w:rPr>
        <w:t xml:space="preserve"> 日期：  年  月   日</w:t>
      </w:r>
    </w:p>
    <w:p w14:paraId="7A555994">
      <w:pP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br w:type="page"/>
      </w:r>
    </w:p>
    <w:p w14:paraId="77428D50">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附件10：</w:t>
      </w:r>
    </w:p>
    <w:p w14:paraId="0E0D5DE7">
      <w:pPr>
        <w:spacing w:line="240" w:lineRule="auto"/>
        <w:jc w:val="center"/>
        <w:rPr>
          <w:rFonts w:hint="eastAsia" w:asciiTheme="minorEastAsia" w:hAnsiTheme="minorEastAsia" w:eastAsiaTheme="minorEastAsia" w:cstheme="minorEastAsia"/>
          <w:b/>
          <w:spacing w:val="6"/>
          <w:sz w:val="24"/>
          <w:szCs w:val="24"/>
          <w:highlight w:val="none"/>
        </w:rPr>
      </w:pPr>
      <w:bookmarkStart w:id="10" w:name="OLE_LINK14"/>
      <w:bookmarkStart w:id="11" w:name="OLE_LINK13"/>
      <w:r>
        <w:rPr>
          <w:rFonts w:hint="eastAsia" w:asciiTheme="minorEastAsia" w:hAnsiTheme="minorEastAsia" w:eastAsiaTheme="minorEastAsia" w:cstheme="minorEastAsia"/>
          <w:b/>
          <w:spacing w:val="6"/>
          <w:sz w:val="24"/>
          <w:szCs w:val="24"/>
          <w:highlight w:val="none"/>
        </w:rPr>
        <w:t>残疾人福利性单位声明函</w:t>
      </w:r>
    </w:p>
    <w:bookmarkEnd w:id="10"/>
    <w:bookmarkEnd w:id="11"/>
    <w:p w14:paraId="355A5FCE">
      <w:pPr>
        <w:spacing w:line="240" w:lineRule="auto"/>
        <w:rPr>
          <w:rFonts w:hint="eastAsia" w:asciiTheme="minorEastAsia" w:hAnsiTheme="minorEastAsia" w:eastAsiaTheme="minorEastAsia" w:cstheme="minorEastAsia"/>
          <w:b/>
          <w:spacing w:val="6"/>
          <w:sz w:val="24"/>
          <w:szCs w:val="24"/>
          <w:highlight w:val="none"/>
        </w:rPr>
      </w:pPr>
    </w:p>
    <w:p w14:paraId="06F9B7B5">
      <w:pPr>
        <w:spacing w:line="36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spacing w:val="6"/>
          <w:sz w:val="24"/>
          <w:szCs w:val="24"/>
          <w:highlight w:val="none"/>
          <w:lang w:eastAsia="zh-CN"/>
        </w:rPr>
        <w:t>〔2017〕141号</w:t>
      </w:r>
      <w:r>
        <w:rPr>
          <w:rFonts w:hint="eastAsia" w:asciiTheme="minorEastAsia" w:hAnsiTheme="minorEastAsia" w:eastAsiaTheme="minorEastAsia" w:cstheme="minorEastAsia"/>
          <w:spacing w:val="6"/>
          <w:sz w:val="24"/>
          <w:szCs w:val="24"/>
          <w:highlight w:val="none"/>
        </w:rPr>
        <w:t>）的规定，本单位为符合条件的残疾人福利性单位，且本单位参加</w:t>
      </w:r>
      <w:r>
        <w:rPr>
          <w:rFonts w:hint="eastAsia" w:asciiTheme="minorEastAsia" w:hAnsiTheme="minorEastAsia" w:eastAsiaTheme="minorEastAsia" w:cstheme="minorEastAsia"/>
          <w:spacing w:val="6"/>
          <w:sz w:val="24"/>
          <w:szCs w:val="24"/>
          <w:highlight w:val="none"/>
          <w:u w:val="single"/>
        </w:rPr>
        <w:t xml:space="preserve">          </w:t>
      </w:r>
      <w:r>
        <w:rPr>
          <w:rFonts w:hint="eastAsia" w:asciiTheme="minorEastAsia" w:hAnsiTheme="minorEastAsia" w:eastAsiaTheme="minorEastAsia" w:cstheme="minorEastAsia"/>
          <w:spacing w:val="6"/>
          <w:sz w:val="24"/>
          <w:szCs w:val="24"/>
          <w:highlight w:val="none"/>
        </w:rPr>
        <w:t>单位的</w:t>
      </w:r>
      <w:r>
        <w:rPr>
          <w:rFonts w:hint="eastAsia" w:asciiTheme="minorEastAsia" w:hAnsiTheme="minorEastAsia" w:eastAsiaTheme="minorEastAsia" w:cstheme="minorEastAsia"/>
          <w:spacing w:val="6"/>
          <w:sz w:val="24"/>
          <w:szCs w:val="24"/>
          <w:highlight w:val="none"/>
          <w:u w:val="single"/>
        </w:rPr>
        <w:t xml:space="preserve">             </w:t>
      </w:r>
      <w:r>
        <w:rPr>
          <w:rFonts w:hint="eastAsia" w:asciiTheme="minorEastAsia" w:hAnsiTheme="minorEastAsia" w:eastAsiaTheme="minorEastAsia" w:cstheme="minorEastAsia"/>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08863C3B">
      <w:pPr>
        <w:spacing w:line="360" w:lineRule="auto"/>
        <w:ind w:firstLine="504" w:firstLineChars="200"/>
        <w:jc w:val="left"/>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本单位对上述声明的真实性负责。如有虚假，将依法承担相应责任。</w:t>
      </w:r>
    </w:p>
    <w:p w14:paraId="05A2FEBF">
      <w:pPr>
        <w:spacing w:line="240" w:lineRule="auto"/>
        <w:rPr>
          <w:rFonts w:hint="eastAsia" w:asciiTheme="minorEastAsia" w:hAnsiTheme="minorEastAsia" w:eastAsiaTheme="minorEastAsia" w:cstheme="minorEastAsia"/>
          <w:spacing w:val="6"/>
          <w:sz w:val="24"/>
          <w:szCs w:val="24"/>
          <w:highlight w:val="none"/>
        </w:rPr>
      </w:pPr>
    </w:p>
    <w:p w14:paraId="30B39A09">
      <w:pPr>
        <w:snapToGrid w:val="0"/>
        <w:spacing w:line="240" w:lineRule="auto"/>
        <w:ind w:firstLine="504"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 xml:space="preserve">                              </w:t>
      </w:r>
      <w:r>
        <w:rPr>
          <w:rFonts w:hint="eastAsia" w:asciiTheme="minorEastAsia" w:hAnsiTheme="minorEastAsia" w:eastAsiaTheme="minorEastAsia" w:cstheme="minorEastAsia"/>
          <w:sz w:val="24"/>
          <w:szCs w:val="24"/>
          <w:highlight w:val="none"/>
        </w:rPr>
        <w:t>供应商名称： （签章）</w:t>
      </w:r>
    </w:p>
    <w:p w14:paraId="227DD087">
      <w:pPr>
        <w:snapToGrid w:val="0"/>
        <w:spacing w:line="24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法定代表人或委托代理人：（签字或盖章）</w:t>
      </w:r>
    </w:p>
    <w:p w14:paraId="15653664">
      <w:pPr>
        <w:tabs>
          <w:tab w:val="left" w:pos="4860"/>
        </w:tabs>
        <w:spacing w:line="240" w:lineRule="auto"/>
        <w:ind w:right="1560" w:firstLine="480" w:firstLineChars="200"/>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日期：    年    月    日</w:t>
      </w:r>
    </w:p>
    <w:p w14:paraId="12342399">
      <w:pPr>
        <w:spacing w:line="240" w:lineRule="auto"/>
        <w:rPr>
          <w:rFonts w:hint="eastAsia" w:asciiTheme="minorEastAsia" w:hAnsiTheme="minorEastAsia" w:eastAsiaTheme="minorEastAsia" w:cstheme="minorEastAsia"/>
          <w:b/>
          <w:bCs/>
          <w:kern w:val="0"/>
          <w:sz w:val="24"/>
          <w:szCs w:val="24"/>
          <w:highlight w:val="none"/>
        </w:rPr>
      </w:pPr>
    </w:p>
    <w:p w14:paraId="06DA31FB">
      <w:pPr>
        <w:spacing w:line="240" w:lineRule="auto"/>
        <w:rPr>
          <w:rFonts w:hint="eastAsia" w:asciiTheme="minorEastAsia" w:hAnsiTheme="minorEastAsia" w:eastAsiaTheme="minorEastAsia" w:cstheme="minorEastAsia"/>
          <w:b/>
          <w:bCs/>
          <w:kern w:val="0"/>
          <w:sz w:val="24"/>
          <w:szCs w:val="24"/>
          <w:highlight w:val="none"/>
        </w:rPr>
      </w:pPr>
    </w:p>
    <w:p w14:paraId="214F8CAA">
      <w:pPr>
        <w:spacing w:line="240" w:lineRule="auto"/>
        <w:rPr>
          <w:rFonts w:hint="eastAsia" w:asciiTheme="minorEastAsia" w:hAnsiTheme="minorEastAsia" w:eastAsiaTheme="minorEastAsia" w:cstheme="minorEastAsia"/>
          <w:b/>
          <w:bCs/>
          <w:kern w:val="0"/>
          <w:sz w:val="24"/>
          <w:szCs w:val="24"/>
          <w:highlight w:val="none"/>
        </w:rPr>
      </w:pPr>
    </w:p>
    <w:p w14:paraId="62E16006">
      <w:pPr>
        <w:spacing w:line="240" w:lineRule="auto"/>
        <w:rPr>
          <w:rFonts w:hint="eastAsia" w:asciiTheme="minorEastAsia" w:hAnsiTheme="minorEastAsia" w:eastAsiaTheme="minorEastAsia" w:cstheme="minorEastAsia"/>
          <w:b/>
          <w:bCs/>
          <w:kern w:val="0"/>
          <w:sz w:val="24"/>
          <w:szCs w:val="24"/>
          <w:highlight w:val="none"/>
        </w:rPr>
      </w:pPr>
    </w:p>
    <w:p w14:paraId="66862773">
      <w:pPr>
        <w:spacing w:line="240" w:lineRule="auto"/>
        <w:rPr>
          <w:rFonts w:hint="eastAsia" w:asciiTheme="minorEastAsia" w:hAnsiTheme="minorEastAsia" w:eastAsiaTheme="minorEastAsia" w:cstheme="minorEastAsia"/>
          <w:b/>
          <w:bCs/>
          <w:kern w:val="0"/>
          <w:sz w:val="24"/>
          <w:szCs w:val="24"/>
          <w:highlight w:val="none"/>
        </w:rPr>
      </w:pPr>
    </w:p>
    <w:p w14:paraId="50011687">
      <w:pPr>
        <w:spacing w:line="240" w:lineRule="auto"/>
        <w:rPr>
          <w:rFonts w:hint="eastAsia" w:asciiTheme="minorEastAsia" w:hAnsiTheme="minorEastAsia" w:eastAsiaTheme="minorEastAsia" w:cstheme="minorEastAsia"/>
          <w:b/>
          <w:bCs/>
          <w:kern w:val="0"/>
          <w:sz w:val="24"/>
          <w:szCs w:val="24"/>
          <w:highlight w:val="none"/>
        </w:rPr>
      </w:pPr>
    </w:p>
    <w:p w14:paraId="73AD67F3">
      <w:pPr>
        <w:spacing w:line="240" w:lineRule="auto"/>
        <w:rPr>
          <w:rFonts w:hint="eastAsia" w:asciiTheme="minorEastAsia" w:hAnsiTheme="minorEastAsia" w:eastAsiaTheme="minorEastAsia" w:cstheme="minorEastAsia"/>
          <w:b/>
          <w:bCs/>
          <w:kern w:val="0"/>
          <w:sz w:val="24"/>
          <w:szCs w:val="24"/>
          <w:highlight w:val="none"/>
        </w:rPr>
      </w:pPr>
    </w:p>
    <w:p w14:paraId="394E69F4">
      <w:pPr>
        <w:spacing w:line="240" w:lineRule="auto"/>
        <w:rPr>
          <w:rFonts w:hint="eastAsia" w:asciiTheme="minorEastAsia" w:hAnsiTheme="minorEastAsia" w:eastAsiaTheme="minorEastAsia" w:cstheme="minorEastAsia"/>
          <w:b/>
          <w:bCs/>
          <w:kern w:val="0"/>
          <w:sz w:val="24"/>
          <w:szCs w:val="24"/>
          <w:highlight w:val="none"/>
        </w:rPr>
      </w:pPr>
    </w:p>
    <w:p w14:paraId="3A28981C">
      <w:pPr>
        <w:pStyle w:val="13"/>
        <w:spacing w:line="240" w:lineRule="auto"/>
        <w:rPr>
          <w:rFonts w:hint="eastAsia" w:asciiTheme="minorEastAsia" w:hAnsiTheme="minorEastAsia" w:eastAsiaTheme="minorEastAsia" w:cstheme="minorEastAsia"/>
          <w:b/>
          <w:bCs/>
          <w:kern w:val="0"/>
          <w:sz w:val="24"/>
          <w:szCs w:val="24"/>
          <w:highlight w:val="none"/>
        </w:rPr>
      </w:pPr>
    </w:p>
    <w:p w14:paraId="4838EACB">
      <w:pPr>
        <w:spacing w:line="240" w:lineRule="auto"/>
        <w:rPr>
          <w:rFonts w:hint="eastAsia" w:asciiTheme="minorEastAsia" w:hAnsiTheme="minorEastAsia" w:eastAsiaTheme="minorEastAsia" w:cstheme="minorEastAsia"/>
          <w:sz w:val="24"/>
          <w:szCs w:val="24"/>
          <w:highlight w:val="none"/>
        </w:rPr>
      </w:pPr>
    </w:p>
    <w:p w14:paraId="517F266E">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br w:type="page"/>
      </w:r>
      <w:r>
        <w:rPr>
          <w:rFonts w:hint="eastAsia" w:asciiTheme="minorEastAsia" w:hAnsiTheme="minorEastAsia" w:eastAsiaTheme="minorEastAsia" w:cstheme="minorEastAsia"/>
          <w:b/>
          <w:bCs/>
          <w:kern w:val="0"/>
          <w:sz w:val="24"/>
          <w:szCs w:val="24"/>
          <w:highlight w:val="none"/>
        </w:rPr>
        <w:t>附件11：</w:t>
      </w:r>
    </w:p>
    <w:p w14:paraId="42B5BC3D">
      <w:pPr>
        <w:spacing w:line="240" w:lineRule="auto"/>
        <w:rPr>
          <w:rFonts w:hint="eastAsia" w:asciiTheme="minorEastAsia" w:hAnsiTheme="minorEastAsia" w:eastAsiaTheme="minorEastAsia" w:cstheme="minorEastAsia"/>
          <w:b/>
          <w:bCs/>
          <w:kern w:val="0"/>
          <w:sz w:val="24"/>
          <w:szCs w:val="24"/>
          <w:highlight w:val="none"/>
        </w:rPr>
      </w:pPr>
    </w:p>
    <w:p w14:paraId="76E99064">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投标供应商近三年类似项目一览表</w:t>
      </w:r>
    </w:p>
    <w:p w14:paraId="0DF0B528">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spacing w:val="1"/>
          <w:kern w:val="0"/>
          <w:sz w:val="24"/>
          <w:szCs w:val="24"/>
          <w:highlight w:val="none"/>
        </w:rPr>
        <w:t>名称：</w:t>
      </w:r>
      <w:r>
        <w:rPr>
          <w:rFonts w:hint="eastAsia" w:asciiTheme="minorEastAsia" w:hAnsiTheme="minorEastAsia" w:eastAsiaTheme="minorEastAsia" w:cstheme="minorEastAsia"/>
          <w:spacing w:val="1"/>
          <w:kern w:val="0"/>
          <w:sz w:val="24"/>
          <w:szCs w:val="24"/>
          <w:highlight w:val="none"/>
          <w:u w:val="single"/>
        </w:rPr>
        <w:t xml:space="preserve">                       </w:t>
      </w:r>
    </w:p>
    <w:tbl>
      <w:tblPr>
        <w:tblStyle w:val="36"/>
        <w:tblW w:w="9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210"/>
        <w:gridCol w:w="2013"/>
        <w:gridCol w:w="976"/>
        <w:gridCol w:w="1066"/>
        <w:gridCol w:w="1242"/>
        <w:gridCol w:w="1145"/>
        <w:gridCol w:w="1311"/>
      </w:tblGrid>
      <w:tr w14:paraId="2B68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28" w:type="dxa"/>
            <w:vAlign w:val="center"/>
          </w:tcPr>
          <w:p w14:paraId="615FA47E">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项目</w:t>
            </w:r>
          </w:p>
          <w:p w14:paraId="156AD074">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名称</w:t>
            </w:r>
          </w:p>
        </w:tc>
        <w:tc>
          <w:tcPr>
            <w:tcW w:w="1210" w:type="dxa"/>
            <w:vAlign w:val="center"/>
          </w:tcPr>
          <w:p w14:paraId="43496D15">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采购人</w:t>
            </w:r>
          </w:p>
        </w:tc>
        <w:tc>
          <w:tcPr>
            <w:tcW w:w="2013" w:type="dxa"/>
            <w:vAlign w:val="center"/>
          </w:tcPr>
          <w:p w14:paraId="37D293EB">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采购人联系人及联系电话</w:t>
            </w:r>
          </w:p>
        </w:tc>
        <w:tc>
          <w:tcPr>
            <w:tcW w:w="976" w:type="dxa"/>
            <w:vAlign w:val="center"/>
          </w:tcPr>
          <w:p w14:paraId="3A857E0E">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交货期 限</w:t>
            </w:r>
          </w:p>
        </w:tc>
        <w:tc>
          <w:tcPr>
            <w:tcW w:w="1066" w:type="dxa"/>
            <w:vAlign w:val="center"/>
          </w:tcPr>
          <w:p w14:paraId="64D76F59">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项目</w:t>
            </w:r>
          </w:p>
          <w:p w14:paraId="4ABBF03E">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地点</w:t>
            </w:r>
          </w:p>
        </w:tc>
        <w:tc>
          <w:tcPr>
            <w:tcW w:w="1242" w:type="dxa"/>
            <w:vAlign w:val="center"/>
          </w:tcPr>
          <w:p w14:paraId="04426910">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规模</w:t>
            </w:r>
          </w:p>
        </w:tc>
        <w:tc>
          <w:tcPr>
            <w:tcW w:w="1145" w:type="dxa"/>
            <w:vAlign w:val="center"/>
          </w:tcPr>
          <w:p w14:paraId="72408304">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签约合同金额</w:t>
            </w:r>
          </w:p>
        </w:tc>
        <w:tc>
          <w:tcPr>
            <w:tcW w:w="1311" w:type="dxa"/>
            <w:vAlign w:val="center"/>
          </w:tcPr>
          <w:p w14:paraId="2206AC1B">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合同供货内容</w:t>
            </w:r>
          </w:p>
        </w:tc>
      </w:tr>
      <w:tr w14:paraId="5AE7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8" w:type="dxa"/>
            <w:vAlign w:val="center"/>
          </w:tcPr>
          <w:p w14:paraId="2ADF6A87">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10" w:type="dxa"/>
            <w:vAlign w:val="center"/>
          </w:tcPr>
          <w:p w14:paraId="34E588F1">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013" w:type="dxa"/>
            <w:vAlign w:val="center"/>
          </w:tcPr>
          <w:p w14:paraId="53B1E7B3">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976" w:type="dxa"/>
            <w:vAlign w:val="center"/>
          </w:tcPr>
          <w:p w14:paraId="3F6B15AF">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066" w:type="dxa"/>
            <w:vAlign w:val="center"/>
          </w:tcPr>
          <w:p w14:paraId="327ACA27">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42" w:type="dxa"/>
            <w:vAlign w:val="center"/>
          </w:tcPr>
          <w:p w14:paraId="16884622">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45" w:type="dxa"/>
            <w:vAlign w:val="center"/>
          </w:tcPr>
          <w:p w14:paraId="4B54BFAF">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311" w:type="dxa"/>
            <w:vAlign w:val="center"/>
          </w:tcPr>
          <w:p w14:paraId="3E395EC8">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75D2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8" w:type="dxa"/>
            <w:vAlign w:val="center"/>
          </w:tcPr>
          <w:p w14:paraId="3F68FDE5">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10" w:type="dxa"/>
            <w:vAlign w:val="center"/>
          </w:tcPr>
          <w:p w14:paraId="31AA50A1">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013" w:type="dxa"/>
            <w:vAlign w:val="center"/>
          </w:tcPr>
          <w:p w14:paraId="16DD6C67">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976" w:type="dxa"/>
            <w:vAlign w:val="center"/>
          </w:tcPr>
          <w:p w14:paraId="52BBAFBF">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066" w:type="dxa"/>
            <w:vAlign w:val="center"/>
          </w:tcPr>
          <w:p w14:paraId="6066F64D">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42" w:type="dxa"/>
            <w:vAlign w:val="center"/>
          </w:tcPr>
          <w:p w14:paraId="70C69E65">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45" w:type="dxa"/>
            <w:vAlign w:val="center"/>
          </w:tcPr>
          <w:p w14:paraId="7F8DA124">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311" w:type="dxa"/>
            <w:vAlign w:val="center"/>
          </w:tcPr>
          <w:p w14:paraId="56A77780">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25A3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8" w:type="dxa"/>
            <w:vAlign w:val="center"/>
          </w:tcPr>
          <w:p w14:paraId="15FA5E82">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10" w:type="dxa"/>
            <w:vAlign w:val="center"/>
          </w:tcPr>
          <w:p w14:paraId="2CB43189">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013" w:type="dxa"/>
            <w:vAlign w:val="center"/>
          </w:tcPr>
          <w:p w14:paraId="74FBC8F6">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976" w:type="dxa"/>
            <w:vAlign w:val="center"/>
          </w:tcPr>
          <w:p w14:paraId="668AC5CF">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066" w:type="dxa"/>
            <w:vAlign w:val="center"/>
          </w:tcPr>
          <w:p w14:paraId="3C2CE931">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42" w:type="dxa"/>
            <w:vAlign w:val="center"/>
          </w:tcPr>
          <w:p w14:paraId="4A5D4BA6">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45" w:type="dxa"/>
            <w:vAlign w:val="center"/>
          </w:tcPr>
          <w:p w14:paraId="38C0F561">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311" w:type="dxa"/>
            <w:vAlign w:val="center"/>
          </w:tcPr>
          <w:p w14:paraId="2A07E472">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0E1F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8" w:type="dxa"/>
            <w:vAlign w:val="center"/>
          </w:tcPr>
          <w:p w14:paraId="6A5D0383">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10" w:type="dxa"/>
            <w:vAlign w:val="center"/>
          </w:tcPr>
          <w:p w14:paraId="1B73ACF2">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013" w:type="dxa"/>
            <w:vAlign w:val="center"/>
          </w:tcPr>
          <w:p w14:paraId="1C191308">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976" w:type="dxa"/>
            <w:vAlign w:val="center"/>
          </w:tcPr>
          <w:p w14:paraId="37653E54">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066" w:type="dxa"/>
            <w:vAlign w:val="center"/>
          </w:tcPr>
          <w:p w14:paraId="025B21C7">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42" w:type="dxa"/>
            <w:vAlign w:val="center"/>
          </w:tcPr>
          <w:p w14:paraId="0D900DA6">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45" w:type="dxa"/>
            <w:vAlign w:val="center"/>
          </w:tcPr>
          <w:p w14:paraId="57C7FB6D">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311" w:type="dxa"/>
            <w:vAlign w:val="center"/>
          </w:tcPr>
          <w:p w14:paraId="5BEA2F0E">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4F68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8" w:type="dxa"/>
            <w:vAlign w:val="center"/>
          </w:tcPr>
          <w:p w14:paraId="0067435A">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10" w:type="dxa"/>
            <w:vAlign w:val="center"/>
          </w:tcPr>
          <w:p w14:paraId="48821ACF">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013" w:type="dxa"/>
            <w:vAlign w:val="center"/>
          </w:tcPr>
          <w:p w14:paraId="1C9F4960">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976" w:type="dxa"/>
            <w:vAlign w:val="center"/>
          </w:tcPr>
          <w:p w14:paraId="639A47AB">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066" w:type="dxa"/>
            <w:vAlign w:val="center"/>
          </w:tcPr>
          <w:p w14:paraId="599BD30C">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42" w:type="dxa"/>
            <w:vAlign w:val="center"/>
          </w:tcPr>
          <w:p w14:paraId="2799794A">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45" w:type="dxa"/>
            <w:vAlign w:val="center"/>
          </w:tcPr>
          <w:p w14:paraId="6C9B85DC">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311" w:type="dxa"/>
            <w:vAlign w:val="center"/>
          </w:tcPr>
          <w:p w14:paraId="21A853C1">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5655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8" w:type="dxa"/>
            <w:vAlign w:val="center"/>
          </w:tcPr>
          <w:p w14:paraId="22459C06">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10" w:type="dxa"/>
            <w:vAlign w:val="center"/>
          </w:tcPr>
          <w:p w14:paraId="09AB02A1">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013" w:type="dxa"/>
            <w:vAlign w:val="center"/>
          </w:tcPr>
          <w:p w14:paraId="1C2960FB">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976" w:type="dxa"/>
            <w:vAlign w:val="center"/>
          </w:tcPr>
          <w:p w14:paraId="7FDC7B96">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066" w:type="dxa"/>
            <w:vAlign w:val="center"/>
          </w:tcPr>
          <w:p w14:paraId="17624AAF">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42" w:type="dxa"/>
            <w:vAlign w:val="center"/>
          </w:tcPr>
          <w:p w14:paraId="76A8E80C">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45" w:type="dxa"/>
            <w:vAlign w:val="center"/>
          </w:tcPr>
          <w:p w14:paraId="3B513778">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311" w:type="dxa"/>
            <w:vAlign w:val="center"/>
          </w:tcPr>
          <w:p w14:paraId="4474885D">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4400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991" w:type="dxa"/>
            <w:gridSpan w:val="8"/>
            <w:vAlign w:val="center"/>
          </w:tcPr>
          <w:p w14:paraId="78C522C3">
            <w:pPr>
              <w:spacing w:line="24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宋体" w:hAnsi="宋体" w:eastAsia="宋体" w:cs="宋体"/>
                <w:spacing w:val="6"/>
                <w:sz w:val="24"/>
                <w:szCs w:val="24"/>
                <w:highlight w:val="none"/>
              </w:rPr>
              <w:t>说明：</w:t>
            </w:r>
            <w:r>
              <w:rPr>
                <w:rFonts w:hint="eastAsia" w:ascii="宋体" w:hAnsi="宋体" w:eastAsia="宋体" w:cs="宋体"/>
                <w:spacing w:val="6"/>
                <w:sz w:val="24"/>
                <w:szCs w:val="24"/>
                <w:highlight w:val="none"/>
                <w:lang w:eastAsia="zh-CN"/>
              </w:rPr>
              <w:t>按评分标准提供证明材料。</w:t>
            </w:r>
          </w:p>
        </w:tc>
      </w:tr>
    </w:tbl>
    <w:p w14:paraId="69392CD6">
      <w:pPr>
        <w:pStyle w:val="6"/>
        <w:spacing w:line="240" w:lineRule="auto"/>
        <w:ind w:left="29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r>
        <w:rPr>
          <w:rFonts w:hint="eastAsia" w:asciiTheme="minorEastAsia" w:hAnsiTheme="minorEastAsia" w:eastAsiaTheme="minorEastAsia" w:cstheme="minorEastAsia"/>
          <w:kern w:val="0"/>
          <w:sz w:val="24"/>
          <w:szCs w:val="24"/>
          <w:highlight w:val="none"/>
        </w:rPr>
        <w:t>五、（1）商务条款偏离表</w:t>
      </w:r>
    </w:p>
    <w:p w14:paraId="75A282A9">
      <w:pPr>
        <w:spacing w:before="6" w:line="240" w:lineRule="auto"/>
        <w:rPr>
          <w:rFonts w:hint="eastAsia" w:asciiTheme="minorEastAsia" w:hAnsiTheme="minorEastAsia" w:eastAsiaTheme="minorEastAsia" w:cstheme="minorEastAsia"/>
          <w:b/>
          <w:sz w:val="24"/>
          <w:szCs w:val="24"/>
          <w:highlight w:val="none"/>
        </w:rPr>
      </w:pPr>
    </w:p>
    <w:p w14:paraId="186FB87B">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投标人名称（电子签章）：</w:t>
      </w:r>
    </w:p>
    <w:p w14:paraId="7315AADA">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项目编号：</w:t>
      </w:r>
    </w:p>
    <w:tbl>
      <w:tblPr>
        <w:tblStyle w:val="36"/>
        <w:tblW w:w="9756"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0"/>
        <w:gridCol w:w="2107"/>
        <w:gridCol w:w="2693"/>
        <w:gridCol w:w="2748"/>
        <w:gridCol w:w="1188"/>
      </w:tblGrid>
      <w:tr w14:paraId="0D3E8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1020" w:type="dxa"/>
          </w:tcPr>
          <w:p w14:paraId="5CD74EEC">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序号</w:t>
            </w:r>
          </w:p>
        </w:tc>
        <w:tc>
          <w:tcPr>
            <w:tcW w:w="2107" w:type="dxa"/>
          </w:tcPr>
          <w:p w14:paraId="1D8C5E12">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招标文件条目号</w:t>
            </w:r>
          </w:p>
        </w:tc>
        <w:tc>
          <w:tcPr>
            <w:tcW w:w="2693" w:type="dxa"/>
          </w:tcPr>
          <w:p w14:paraId="3913FEFE">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招标文件的商务条款</w:t>
            </w:r>
          </w:p>
        </w:tc>
        <w:tc>
          <w:tcPr>
            <w:tcW w:w="2748" w:type="dxa"/>
          </w:tcPr>
          <w:p w14:paraId="23E58863">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投标文件的商务条款</w:t>
            </w:r>
          </w:p>
        </w:tc>
        <w:tc>
          <w:tcPr>
            <w:tcW w:w="1188" w:type="dxa"/>
          </w:tcPr>
          <w:p w14:paraId="00B27874">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说明</w:t>
            </w:r>
          </w:p>
        </w:tc>
      </w:tr>
      <w:tr w14:paraId="08BFE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20" w:type="dxa"/>
          </w:tcPr>
          <w:p w14:paraId="3CB30A06">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107" w:type="dxa"/>
          </w:tcPr>
          <w:p w14:paraId="71A878F6">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693" w:type="dxa"/>
          </w:tcPr>
          <w:p w14:paraId="74525939">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748" w:type="dxa"/>
          </w:tcPr>
          <w:p w14:paraId="1A09A621">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88" w:type="dxa"/>
          </w:tcPr>
          <w:p w14:paraId="05A7FF4E">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0F898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20" w:type="dxa"/>
          </w:tcPr>
          <w:p w14:paraId="076DC264">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107" w:type="dxa"/>
          </w:tcPr>
          <w:p w14:paraId="02E66AA2">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693" w:type="dxa"/>
          </w:tcPr>
          <w:p w14:paraId="4DF538FD">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748" w:type="dxa"/>
          </w:tcPr>
          <w:p w14:paraId="16F4594D">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88" w:type="dxa"/>
          </w:tcPr>
          <w:p w14:paraId="056660D3">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36393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20" w:type="dxa"/>
          </w:tcPr>
          <w:p w14:paraId="7ADC7DCE">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107" w:type="dxa"/>
          </w:tcPr>
          <w:p w14:paraId="775D3493">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693" w:type="dxa"/>
          </w:tcPr>
          <w:p w14:paraId="782B34BD">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748" w:type="dxa"/>
          </w:tcPr>
          <w:p w14:paraId="4C7D36D2">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88" w:type="dxa"/>
          </w:tcPr>
          <w:p w14:paraId="5FEAAF0E">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4CAC8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20" w:type="dxa"/>
          </w:tcPr>
          <w:p w14:paraId="180673C4">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107" w:type="dxa"/>
          </w:tcPr>
          <w:p w14:paraId="2FCE3908">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693" w:type="dxa"/>
          </w:tcPr>
          <w:p w14:paraId="04328A2D">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748" w:type="dxa"/>
          </w:tcPr>
          <w:p w14:paraId="2013E44B">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88" w:type="dxa"/>
          </w:tcPr>
          <w:p w14:paraId="286FB65B">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5739B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20" w:type="dxa"/>
          </w:tcPr>
          <w:p w14:paraId="70EE0B8F">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107" w:type="dxa"/>
          </w:tcPr>
          <w:p w14:paraId="50B08D4E">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693" w:type="dxa"/>
          </w:tcPr>
          <w:p w14:paraId="6E9A7DBB">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748" w:type="dxa"/>
          </w:tcPr>
          <w:p w14:paraId="7C3ED5F7">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88" w:type="dxa"/>
          </w:tcPr>
          <w:p w14:paraId="011A98E8">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bl>
    <w:p w14:paraId="7C79BEFE">
      <w:pPr>
        <w:spacing w:line="24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注：投标人要将投标文件与招标文件在商务部分的差异之处汇集成此表。投标方必须详细填写偏离表，偏离表未声明事项视为认同招标文件标准。</w:t>
      </w:r>
    </w:p>
    <w:p w14:paraId="4DF0607A">
      <w:pPr>
        <w:spacing w:line="240" w:lineRule="auto"/>
        <w:ind w:firstLine="504" w:firstLineChars="200"/>
        <w:rPr>
          <w:rFonts w:hint="eastAsia" w:asciiTheme="minorEastAsia" w:hAnsiTheme="minorEastAsia" w:eastAsiaTheme="minorEastAsia" w:cstheme="minorEastAsia"/>
          <w:spacing w:val="6"/>
          <w:sz w:val="24"/>
          <w:szCs w:val="24"/>
          <w:highlight w:val="none"/>
        </w:rPr>
      </w:pPr>
    </w:p>
    <w:p w14:paraId="03271576">
      <w:pPr>
        <w:spacing w:line="240" w:lineRule="auto"/>
        <w:ind w:firstLine="504" w:firstLineChars="200"/>
        <w:rPr>
          <w:rFonts w:hint="eastAsia" w:asciiTheme="minorEastAsia" w:hAnsiTheme="minorEastAsia" w:eastAsiaTheme="minorEastAsia" w:cstheme="minorEastAsia"/>
          <w:spacing w:val="6"/>
          <w:sz w:val="24"/>
          <w:szCs w:val="24"/>
          <w:highlight w:val="none"/>
        </w:rPr>
      </w:pPr>
    </w:p>
    <w:p w14:paraId="72B40FB4">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供应商名称(盖单位章)：</w:t>
      </w:r>
    </w:p>
    <w:p w14:paraId="72BB8FEE">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p>
    <w:p w14:paraId="5BC8B71D">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日期：年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2EF8D4E6">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390BBB7C">
      <w:pPr>
        <w:pStyle w:val="6"/>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（2）技术偏离表</w:t>
      </w:r>
    </w:p>
    <w:p w14:paraId="36E18A8E">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项目名称：</w:t>
      </w:r>
      <w:r>
        <w:rPr>
          <w:rFonts w:hint="eastAsia" w:asciiTheme="minorEastAsia" w:hAnsiTheme="minorEastAsia" w:eastAsiaTheme="minorEastAsia" w:cstheme="minorEastAsia"/>
          <w:spacing w:val="6"/>
          <w:sz w:val="24"/>
          <w:szCs w:val="24"/>
          <w:highlight w:val="none"/>
        </w:rPr>
        <w:tab/>
      </w:r>
      <w:r>
        <w:rPr>
          <w:rFonts w:hint="eastAsia" w:asciiTheme="minorEastAsia" w:hAnsiTheme="minorEastAsia" w:eastAsiaTheme="minorEastAsia" w:cstheme="minorEastAsia"/>
          <w:spacing w:val="6"/>
          <w:sz w:val="24"/>
          <w:szCs w:val="24"/>
          <w:highlight w:val="none"/>
        </w:rPr>
        <w:tab/>
      </w:r>
      <w:r>
        <w:rPr>
          <w:rFonts w:hint="eastAsia" w:asciiTheme="minorEastAsia" w:hAnsiTheme="minorEastAsia" w:eastAsiaTheme="minorEastAsia" w:cstheme="minorEastAsia"/>
          <w:spacing w:val="6"/>
          <w:sz w:val="24"/>
          <w:szCs w:val="24"/>
          <w:highlight w:val="none"/>
        </w:rPr>
        <w:tab/>
      </w:r>
      <w:r>
        <w:rPr>
          <w:rFonts w:hint="eastAsia" w:asciiTheme="minorEastAsia" w:hAnsiTheme="minorEastAsia" w:eastAsiaTheme="minorEastAsia" w:cstheme="minorEastAsia"/>
          <w:spacing w:val="6"/>
          <w:sz w:val="24"/>
          <w:szCs w:val="24"/>
          <w:highlight w:val="none"/>
        </w:rPr>
        <w:tab/>
      </w:r>
      <w:r>
        <w:rPr>
          <w:rFonts w:hint="eastAsia" w:asciiTheme="minorEastAsia" w:hAnsiTheme="minorEastAsia" w:eastAsiaTheme="minorEastAsia" w:cstheme="minorEastAsia"/>
          <w:spacing w:val="6"/>
          <w:sz w:val="24"/>
          <w:szCs w:val="24"/>
          <w:highlight w:val="none"/>
        </w:rPr>
        <w:tab/>
      </w:r>
      <w:r>
        <w:rPr>
          <w:rFonts w:hint="eastAsia" w:asciiTheme="minorEastAsia" w:hAnsiTheme="minorEastAsia" w:eastAsiaTheme="minorEastAsia" w:cstheme="minorEastAsia"/>
          <w:spacing w:val="6"/>
          <w:sz w:val="24"/>
          <w:szCs w:val="24"/>
          <w:highlight w:val="none"/>
        </w:rPr>
        <w:tab/>
      </w:r>
      <w:r>
        <w:rPr>
          <w:rFonts w:hint="eastAsia" w:asciiTheme="minorEastAsia" w:hAnsiTheme="minorEastAsia" w:eastAsiaTheme="minorEastAsia" w:cstheme="minorEastAsia"/>
          <w:spacing w:val="6"/>
          <w:sz w:val="24"/>
          <w:szCs w:val="24"/>
          <w:highlight w:val="none"/>
        </w:rPr>
        <w:tab/>
      </w:r>
      <w:r>
        <w:rPr>
          <w:rFonts w:hint="eastAsia" w:asciiTheme="minorEastAsia" w:hAnsiTheme="minorEastAsia" w:eastAsiaTheme="minorEastAsia" w:cstheme="minorEastAsia"/>
          <w:spacing w:val="6"/>
          <w:sz w:val="24"/>
          <w:szCs w:val="24"/>
          <w:highlight w:val="none"/>
        </w:rPr>
        <w:tab/>
      </w:r>
      <w:r>
        <w:rPr>
          <w:rFonts w:hint="eastAsia" w:asciiTheme="minorEastAsia" w:hAnsiTheme="minorEastAsia" w:eastAsiaTheme="minorEastAsia" w:cstheme="minorEastAsia"/>
          <w:spacing w:val="6"/>
          <w:sz w:val="24"/>
          <w:szCs w:val="24"/>
          <w:highlight w:val="none"/>
        </w:rPr>
        <w:tab/>
      </w:r>
      <w:r>
        <w:rPr>
          <w:rFonts w:hint="eastAsia" w:asciiTheme="minorEastAsia" w:hAnsiTheme="minorEastAsia" w:eastAsiaTheme="minorEastAsia" w:cstheme="minorEastAsia"/>
          <w:spacing w:val="6"/>
          <w:sz w:val="24"/>
          <w:szCs w:val="24"/>
          <w:highlight w:val="none"/>
        </w:rPr>
        <w:t>项目编号：</w:t>
      </w:r>
    </w:p>
    <w:tbl>
      <w:tblPr>
        <w:tblStyle w:val="36"/>
        <w:tblW w:w="9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2357"/>
        <w:gridCol w:w="1992"/>
      </w:tblGrid>
      <w:tr w14:paraId="23E2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859" w:type="dxa"/>
            <w:vAlign w:val="center"/>
          </w:tcPr>
          <w:p w14:paraId="14E230D9">
            <w:pPr>
              <w:spacing w:line="24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项目</w:t>
            </w:r>
          </w:p>
        </w:tc>
        <w:tc>
          <w:tcPr>
            <w:tcW w:w="1860" w:type="dxa"/>
            <w:vAlign w:val="center"/>
          </w:tcPr>
          <w:p w14:paraId="310C62D6">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招标参数</w:t>
            </w:r>
          </w:p>
        </w:tc>
        <w:tc>
          <w:tcPr>
            <w:tcW w:w="1860" w:type="dxa"/>
            <w:vAlign w:val="center"/>
          </w:tcPr>
          <w:p w14:paraId="09AE43A0">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应标参数</w:t>
            </w:r>
          </w:p>
        </w:tc>
        <w:tc>
          <w:tcPr>
            <w:tcW w:w="2357" w:type="dxa"/>
            <w:vAlign w:val="center"/>
          </w:tcPr>
          <w:p w14:paraId="27AB2727">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正/负偏离/响应</w:t>
            </w:r>
          </w:p>
        </w:tc>
        <w:tc>
          <w:tcPr>
            <w:tcW w:w="1992" w:type="dxa"/>
            <w:vAlign w:val="center"/>
          </w:tcPr>
          <w:p w14:paraId="15C4123E">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备注（页码）</w:t>
            </w:r>
          </w:p>
        </w:tc>
      </w:tr>
      <w:tr w14:paraId="286A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59" w:type="dxa"/>
          </w:tcPr>
          <w:p w14:paraId="7F4035C6">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产品名称</w:t>
            </w:r>
          </w:p>
        </w:tc>
        <w:tc>
          <w:tcPr>
            <w:tcW w:w="1860" w:type="dxa"/>
          </w:tcPr>
          <w:p w14:paraId="544EF482">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eastAsia="zh-CN"/>
              </w:rPr>
              <w:t>……</w:t>
            </w:r>
          </w:p>
          <w:p w14:paraId="37B5FC9F">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eastAsia="zh-CN"/>
              </w:rPr>
              <w:t>……</w:t>
            </w:r>
          </w:p>
          <w:p w14:paraId="66247DCB">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eastAsia="zh-CN"/>
              </w:rPr>
              <w:t>……</w:t>
            </w:r>
          </w:p>
          <w:p w14:paraId="3B7A1091">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w:t>
            </w:r>
          </w:p>
        </w:tc>
        <w:tc>
          <w:tcPr>
            <w:tcW w:w="1860" w:type="dxa"/>
          </w:tcPr>
          <w:p w14:paraId="30D22157">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eastAsia="zh-CN"/>
              </w:rPr>
              <w:t>……</w:t>
            </w:r>
          </w:p>
          <w:p w14:paraId="5B78D9D2">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eastAsia="zh-CN"/>
              </w:rPr>
              <w:t>……</w:t>
            </w:r>
          </w:p>
          <w:p w14:paraId="0C1F0807">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eastAsia="zh-CN"/>
              </w:rPr>
              <w:t>……</w:t>
            </w:r>
          </w:p>
          <w:p w14:paraId="054A9CAA">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w:t>
            </w:r>
          </w:p>
        </w:tc>
        <w:tc>
          <w:tcPr>
            <w:tcW w:w="2357" w:type="dxa"/>
          </w:tcPr>
          <w:p w14:paraId="6F27DAAE">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正/负/响应</w:t>
            </w:r>
          </w:p>
        </w:tc>
        <w:tc>
          <w:tcPr>
            <w:tcW w:w="1992" w:type="dxa"/>
          </w:tcPr>
          <w:p w14:paraId="2E2FF09B">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需逐条对应</w:t>
            </w:r>
          </w:p>
        </w:tc>
      </w:tr>
      <w:tr w14:paraId="6572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59" w:type="dxa"/>
          </w:tcPr>
          <w:p w14:paraId="29631514">
            <w:pPr>
              <w:spacing w:line="24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eastAsia="zh-CN"/>
              </w:rPr>
              <w:t>……</w:t>
            </w:r>
          </w:p>
        </w:tc>
        <w:tc>
          <w:tcPr>
            <w:tcW w:w="1860" w:type="dxa"/>
          </w:tcPr>
          <w:p w14:paraId="038DFBF5">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860" w:type="dxa"/>
          </w:tcPr>
          <w:p w14:paraId="3C5F0A35">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357" w:type="dxa"/>
          </w:tcPr>
          <w:p w14:paraId="30F652AC">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992" w:type="dxa"/>
          </w:tcPr>
          <w:p w14:paraId="72A288A9">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1A76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859" w:type="dxa"/>
          </w:tcPr>
          <w:p w14:paraId="7654CB86">
            <w:pPr>
              <w:spacing w:line="24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eastAsia="zh-CN"/>
              </w:rPr>
              <w:t>……</w:t>
            </w:r>
          </w:p>
        </w:tc>
        <w:tc>
          <w:tcPr>
            <w:tcW w:w="1860" w:type="dxa"/>
          </w:tcPr>
          <w:p w14:paraId="36DDB1FE">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860" w:type="dxa"/>
          </w:tcPr>
          <w:p w14:paraId="0CF4ACA4">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357" w:type="dxa"/>
          </w:tcPr>
          <w:p w14:paraId="12ED318A">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992" w:type="dxa"/>
          </w:tcPr>
          <w:p w14:paraId="6EEE18FE">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5B85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859" w:type="dxa"/>
          </w:tcPr>
          <w:p w14:paraId="374A27E1">
            <w:pPr>
              <w:spacing w:line="24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eastAsia="zh-CN"/>
              </w:rPr>
              <w:t>……</w:t>
            </w:r>
          </w:p>
        </w:tc>
        <w:tc>
          <w:tcPr>
            <w:tcW w:w="1860" w:type="dxa"/>
          </w:tcPr>
          <w:p w14:paraId="5B68969F">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860" w:type="dxa"/>
          </w:tcPr>
          <w:p w14:paraId="420FD393">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357" w:type="dxa"/>
          </w:tcPr>
          <w:p w14:paraId="4EA825CC">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992" w:type="dxa"/>
          </w:tcPr>
          <w:p w14:paraId="3CD13817">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02B3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859" w:type="dxa"/>
          </w:tcPr>
          <w:p w14:paraId="0C11D9EE">
            <w:pPr>
              <w:spacing w:line="24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eastAsia="zh-CN"/>
              </w:rPr>
              <w:t>……</w:t>
            </w:r>
          </w:p>
        </w:tc>
        <w:tc>
          <w:tcPr>
            <w:tcW w:w="1860" w:type="dxa"/>
          </w:tcPr>
          <w:p w14:paraId="284FC4DD">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860" w:type="dxa"/>
          </w:tcPr>
          <w:p w14:paraId="23ADF45B">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357" w:type="dxa"/>
          </w:tcPr>
          <w:p w14:paraId="4C6B7517">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992" w:type="dxa"/>
          </w:tcPr>
          <w:p w14:paraId="63935FF2">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bl>
    <w:p w14:paraId="50671CF9">
      <w:pPr>
        <w:spacing w:line="240" w:lineRule="auto"/>
        <w:ind w:firstLine="504" w:firstLineChars="200"/>
        <w:rPr>
          <w:rFonts w:hint="eastAsia" w:asciiTheme="minorEastAsia" w:hAnsiTheme="minorEastAsia" w:eastAsiaTheme="minorEastAsia" w:cstheme="minorEastAsia"/>
          <w:spacing w:val="6"/>
          <w:sz w:val="24"/>
          <w:szCs w:val="24"/>
          <w:highlight w:val="none"/>
        </w:rPr>
      </w:pPr>
    </w:p>
    <w:p w14:paraId="07B8CE7E">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供应商名称(盖单位章)：</w:t>
      </w:r>
    </w:p>
    <w:p w14:paraId="02A330ED">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p>
    <w:p w14:paraId="2E6D7114">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日期：年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5623E2C6">
      <w:pPr>
        <w:spacing w:line="240" w:lineRule="auto"/>
        <w:ind w:firstLine="504" w:firstLineChars="200"/>
        <w:rPr>
          <w:rFonts w:hint="eastAsia" w:asciiTheme="minorEastAsia" w:hAnsiTheme="minorEastAsia" w:eastAsiaTheme="minorEastAsia" w:cstheme="minorEastAsia"/>
          <w:spacing w:val="6"/>
          <w:sz w:val="24"/>
          <w:szCs w:val="24"/>
          <w:highlight w:val="none"/>
        </w:rPr>
      </w:pPr>
    </w:p>
    <w:p w14:paraId="7962B512">
      <w:pPr>
        <w:spacing w:line="240" w:lineRule="auto"/>
        <w:ind w:firstLine="504" w:firstLineChars="200"/>
        <w:rPr>
          <w:rFonts w:hint="eastAsia" w:asciiTheme="minorEastAsia" w:hAnsiTheme="minorEastAsia" w:eastAsiaTheme="minorEastAsia" w:cstheme="minorEastAsia"/>
          <w:spacing w:val="6"/>
          <w:sz w:val="24"/>
          <w:szCs w:val="24"/>
          <w:highlight w:val="none"/>
        </w:rPr>
      </w:pPr>
    </w:p>
    <w:p w14:paraId="75E200C1">
      <w:pPr>
        <w:spacing w:line="24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说明：标的的主要技术参数和技术指标可另页描述。</w:t>
      </w:r>
    </w:p>
    <w:p w14:paraId="267F1986">
      <w:pPr>
        <w:spacing w:line="24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含：产品说明书</w:t>
      </w:r>
      <w:r>
        <w:rPr>
          <w:rFonts w:hint="eastAsia" w:asciiTheme="minorEastAsia" w:hAnsiTheme="minorEastAsia" w:eastAsiaTheme="minorEastAsia" w:cstheme="minorEastAsia"/>
          <w:spacing w:val="6"/>
          <w:sz w:val="24"/>
          <w:szCs w:val="24"/>
          <w:highlight w:val="none"/>
          <w:lang w:eastAsia="zh-CN"/>
        </w:rPr>
        <w:t>或</w:t>
      </w:r>
      <w:r>
        <w:rPr>
          <w:rFonts w:hint="eastAsia" w:asciiTheme="minorEastAsia" w:hAnsiTheme="minorEastAsia" w:eastAsiaTheme="minorEastAsia" w:cstheme="minorEastAsia"/>
          <w:spacing w:val="6"/>
          <w:sz w:val="24"/>
          <w:szCs w:val="24"/>
          <w:highlight w:val="none"/>
        </w:rPr>
        <w:t>技术规格彩页</w:t>
      </w:r>
      <w:r>
        <w:rPr>
          <w:rFonts w:hint="eastAsia" w:asciiTheme="minorEastAsia" w:hAnsiTheme="minorEastAsia" w:eastAsiaTheme="minorEastAsia" w:cstheme="minorEastAsia"/>
          <w:spacing w:val="6"/>
          <w:sz w:val="24"/>
          <w:szCs w:val="24"/>
          <w:highlight w:val="none"/>
          <w:lang w:eastAsia="zh-CN"/>
        </w:rPr>
        <w:t>或</w:t>
      </w:r>
      <w:r>
        <w:rPr>
          <w:rFonts w:hint="eastAsia" w:asciiTheme="minorEastAsia" w:hAnsiTheme="minorEastAsia" w:eastAsiaTheme="minorEastAsia" w:cstheme="minorEastAsia"/>
          <w:spacing w:val="6"/>
          <w:sz w:val="24"/>
          <w:szCs w:val="24"/>
          <w:highlight w:val="none"/>
        </w:rPr>
        <w:t>第三方检测报告</w:t>
      </w:r>
      <w:r>
        <w:rPr>
          <w:rFonts w:hint="eastAsia" w:asciiTheme="minorEastAsia" w:hAnsiTheme="minorEastAsia" w:eastAsiaTheme="minorEastAsia" w:cstheme="minorEastAsia"/>
          <w:spacing w:val="6"/>
          <w:sz w:val="24"/>
          <w:szCs w:val="24"/>
          <w:highlight w:val="none"/>
          <w:lang w:eastAsia="zh-CN"/>
        </w:rPr>
        <w:t>等</w:t>
      </w:r>
      <w:r>
        <w:rPr>
          <w:rFonts w:hint="eastAsia" w:asciiTheme="minorEastAsia" w:hAnsiTheme="minorEastAsia" w:eastAsiaTheme="minorEastAsia" w:cstheme="minorEastAsia"/>
          <w:spacing w:val="6"/>
          <w:sz w:val="24"/>
          <w:szCs w:val="24"/>
          <w:highlight w:val="none"/>
        </w:rPr>
        <w:t>作为支持条件，并在技术偏离表中点对点标明支持文件在标书中的页码。</w:t>
      </w:r>
    </w:p>
    <w:p w14:paraId="07444BE3">
      <w:pPr>
        <w:spacing w:line="240" w:lineRule="auto"/>
        <w:ind w:firstLine="504" w:firstLineChars="200"/>
        <w:rPr>
          <w:rFonts w:hint="eastAsia" w:asciiTheme="minorEastAsia" w:hAnsiTheme="minorEastAsia" w:eastAsiaTheme="minorEastAsia" w:cstheme="minorEastAsia"/>
          <w:spacing w:val="6"/>
          <w:sz w:val="24"/>
          <w:szCs w:val="24"/>
          <w:highlight w:val="none"/>
        </w:rPr>
      </w:pPr>
    </w:p>
    <w:p w14:paraId="2E103879">
      <w:pPr>
        <w:spacing w:line="240" w:lineRule="auto"/>
        <w:jc w:val="center"/>
        <w:rPr>
          <w:rFonts w:hint="eastAsia" w:asciiTheme="minorEastAsia" w:hAnsiTheme="minorEastAsia" w:eastAsiaTheme="minorEastAsia" w:cstheme="minorEastAsia"/>
          <w:b/>
          <w:bCs/>
          <w:kern w:val="0"/>
          <w:sz w:val="24"/>
          <w:szCs w:val="24"/>
          <w:highlight w:val="none"/>
        </w:rPr>
      </w:pPr>
    </w:p>
    <w:p w14:paraId="5116CEA2">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br w:type="page"/>
      </w:r>
    </w:p>
    <w:p w14:paraId="0A123D55">
      <w:pPr>
        <w:spacing w:before="236" w:line="240" w:lineRule="auto"/>
        <w:ind w:left="299" w:right="698"/>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bCs/>
          <w:kern w:val="0"/>
          <w:sz w:val="24"/>
          <w:szCs w:val="24"/>
          <w:highlight w:val="none"/>
        </w:rPr>
        <w:t>六、</w:t>
      </w:r>
      <w:r>
        <w:rPr>
          <w:rFonts w:hint="eastAsia" w:asciiTheme="minorEastAsia" w:hAnsiTheme="minorEastAsia" w:eastAsiaTheme="minorEastAsia" w:cstheme="minorEastAsia"/>
          <w:b/>
          <w:sz w:val="24"/>
          <w:szCs w:val="24"/>
          <w:highlight w:val="none"/>
        </w:rPr>
        <w:t>项目整体实施方案</w:t>
      </w:r>
    </w:p>
    <w:p w14:paraId="04EFC74D">
      <w:pPr>
        <w:spacing w:before="9" w:line="240" w:lineRule="auto"/>
        <w:rPr>
          <w:rFonts w:hint="eastAsia" w:asciiTheme="minorEastAsia" w:hAnsiTheme="minorEastAsia" w:eastAsiaTheme="minorEastAsia" w:cstheme="minorEastAsia"/>
          <w:b/>
          <w:sz w:val="24"/>
          <w:szCs w:val="24"/>
          <w:highlight w:val="none"/>
        </w:rPr>
      </w:pPr>
    </w:p>
    <w:p w14:paraId="6771A364">
      <w:pPr>
        <w:pStyle w:val="4"/>
        <w:spacing w:line="240" w:lineRule="auto"/>
        <w:ind w:left="298" w:right="69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（根据</w:t>
      </w:r>
      <w:r>
        <w:rPr>
          <w:rFonts w:hint="eastAsia" w:asciiTheme="minorEastAsia" w:hAnsiTheme="minorEastAsia" w:eastAsiaTheme="minorEastAsia" w:cstheme="minorEastAsia"/>
          <w:sz w:val="24"/>
          <w:szCs w:val="24"/>
          <w:highlight w:val="none"/>
          <w:lang w:eastAsia="zh-CN"/>
        </w:rPr>
        <w:t>项目</w:t>
      </w:r>
      <w:r>
        <w:rPr>
          <w:rFonts w:hint="eastAsia" w:asciiTheme="minorEastAsia" w:hAnsiTheme="minorEastAsia" w:eastAsiaTheme="minorEastAsia" w:cstheme="minorEastAsia"/>
          <w:sz w:val="24"/>
          <w:szCs w:val="24"/>
          <w:highlight w:val="none"/>
        </w:rPr>
        <w:t>需要编写，格式自制）</w:t>
      </w:r>
    </w:p>
    <w:p w14:paraId="28867F9E">
      <w:pPr>
        <w:spacing w:line="240" w:lineRule="auto"/>
        <w:rPr>
          <w:rFonts w:hint="eastAsia" w:asciiTheme="minorEastAsia" w:hAnsiTheme="minorEastAsia" w:eastAsiaTheme="minorEastAsia" w:cstheme="minorEastAsia"/>
          <w:b/>
          <w:sz w:val="24"/>
          <w:szCs w:val="24"/>
          <w:highlight w:val="none"/>
        </w:rPr>
      </w:pPr>
    </w:p>
    <w:p w14:paraId="22A71059">
      <w:pPr>
        <w:spacing w:line="240" w:lineRule="auto"/>
        <w:rPr>
          <w:rFonts w:hint="eastAsia" w:asciiTheme="minorEastAsia" w:hAnsiTheme="minorEastAsia" w:eastAsiaTheme="minorEastAsia" w:cstheme="minorEastAsia"/>
          <w:b/>
          <w:sz w:val="24"/>
          <w:szCs w:val="24"/>
          <w:highlight w:val="none"/>
        </w:rPr>
      </w:pPr>
    </w:p>
    <w:p w14:paraId="576C1531">
      <w:pPr>
        <w:spacing w:before="10" w:line="240" w:lineRule="auto"/>
        <w:rPr>
          <w:rFonts w:hint="eastAsia" w:asciiTheme="minorEastAsia" w:hAnsiTheme="minorEastAsia" w:eastAsiaTheme="minorEastAsia" w:cstheme="minorEastAsia"/>
          <w:b/>
          <w:sz w:val="24"/>
          <w:szCs w:val="24"/>
          <w:highlight w:val="none"/>
        </w:rPr>
      </w:pPr>
    </w:p>
    <w:p w14:paraId="3DD00BC9">
      <w:pPr>
        <w:spacing w:line="480" w:lineRule="auto"/>
        <w:rPr>
          <w:rFonts w:hint="eastAsia" w:asciiTheme="minorEastAsia" w:hAnsiTheme="minorEastAsia" w:eastAsiaTheme="minorEastAsia" w:cstheme="minorEastAsia"/>
          <w:sz w:val="24"/>
          <w:szCs w:val="24"/>
          <w:highlight w:val="none"/>
          <w:lang w:bidi="zh-CN"/>
        </w:rPr>
      </w:pPr>
      <w:r>
        <w:rPr>
          <w:rFonts w:hint="eastAsia" w:asciiTheme="minorEastAsia" w:hAnsiTheme="minorEastAsia" w:eastAsiaTheme="minorEastAsia" w:cstheme="minorEastAsia"/>
          <w:sz w:val="24"/>
          <w:szCs w:val="24"/>
          <w:highlight w:val="none"/>
          <w:lang w:bidi="zh-CN"/>
        </w:rPr>
        <w:t>①项目实施方案</w:t>
      </w:r>
    </w:p>
    <w:p w14:paraId="25F2C4E4">
      <w:pPr>
        <w:spacing w:line="480" w:lineRule="auto"/>
        <w:rPr>
          <w:rFonts w:hint="eastAsia" w:asciiTheme="minorEastAsia" w:hAnsiTheme="minorEastAsia" w:eastAsiaTheme="minorEastAsia" w:cstheme="minorEastAsia"/>
          <w:sz w:val="24"/>
          <w:szCs w:val="24"/>
          <w:highlight w:val="none"/>
          <w:lang w:bidi="zh-CN"/>
        </w:rPr>
      </w:pPr>
      <w:r>
        <w:rPr>
          <w:rFonts w:hint="eastAsia" w:asciiTheme="minorEastAsia" w:hAnsiTheme="minorEastAsia" w:eastAsiaTheme="minorEastAsia" w:cstheme="minorEastAsia"/>
          <w:sz w:val="24"/>
          <w:szCs w:val="24"/>
          <w:highlight w:val="none"/>
          <w:lang w:bidi="zh-CN"/>
        </w:rPr>
        <w:t>②售后服务方案及承诺</w:t>
      </w:r>
    </w:p>
    <w:p w14:paraId="38F7B1F9">
      <w:pPr>
        <w:spacing w:line="480" w:lineRule="auto"/>
        <w:rPr>
          <w:rFonts w:hint="eastAsia" w:asciiTheme="minorEastAsia" w:hAnsiTheme="minorEastAsia" w:eastAsiaTheme="minorEastAsia" w:cstheme="minorEastAsia"/>
          <w:sz w:val="24"/>
          <w:szCs w:val="24"/>
          <w:highlight w:val="none"/>
          <w:lang w:bidi="zh-CN"/>
        </w:rPr>
      </w:pPr>
      <w:r>
        <w:rPr>
          <w:rFonts w:hint="eastAsia" w:asciiTheme="minorEastAsia" w:hAnsiTheme="minorEastAsia" w:eastAsiaTheme="minorEastAsia" w:cstheme="minorEastAsia"/>
          <w:sz w:val="24"/>
          <w:szCs w:val="24"/>
          <w:highlight w:val="none"/>
          <w:lang w:bidi="zh-CN"/>
        </w:rPr>
        <w:t>③质量保证措施</w:t>
      </w:r>
    </w:p>
    <w:p w14:paraId="6379225F">
      <w:pPr>
        <w:spacing w:line="480" w:lineRule="auto"/>
        <w:rPr>
          <w:rFonts w:hint="eastAsia" w:asciiTheme="minorEastAsia" w:hAnsiTheme="minorEastAsia" w:eastAsiaTheme="minorEastAsia" w:cstheme="minorEastAsia"/>
          <w:sz w:val="24"/>
          <w:szCs w:val="24"/>
          <w:highlight w:val="none"/>
          <w:lang w:bidi="zh-CN"/>
        </w:rPr>
      </w:pPr>
      <w:r>
        <w:rPr>
          <w:rFonts w:hint="eastAsia" w:asciiTheme="minorEastAsia" w:hAnsiTheme="minorEastAsia" w:eastAsiaTheme="minorEastAsia" w:cstheme="minorEastAsia"/>
          <w:sz w:val="24"/>
          <w:szCs w:val="24"/>
          <w:highlight w:val="none"/>
          <w:lang w:bidi="zh-CN"/>
        </w:rPr>
        <w:t>④技术培训方案</w:t>
      </w:r>
    </w:p>
    <w:p w14:paraId="29F170CA">
      <w:pPr>
        <w:spacing w:line="480" w:lineRule="auto"/>
        <w:rPr>
          <w:rFonts w:hint="eastAsia" w:asciiTheme="minorEastAsia" w:hAnsiTheme="minorEastAsia" w:eastAsiaTheme="minorEastAsia" w:cstheme="minorEastAsia"/>
          <w:sz w:val="24"/>
          <w:szCs w:val="24"/>
          <w:highlight w:val="none"/>
          <w:lang w:bidi="zh-CN"/>
        </w:rPr>
      </w:pPr>
      <w:r>
        <w:rPr>
          <w:rFonts w:hint="eastAsia" w:asciiTheme="minorEastAsia" w:hAnsiTheme="minorEastAsia" w:eastAsiaTheme="minorEastAsia" w:cstheme="minorEastAsia"/>
          <w:sz w:val="24"/>
          <w:szCs w:val="24"/>
          <w:highlight w:val="none"/>
          <w:lang w:bidi="zh-CN"/>
        </w:rPr>
        <w:t>⑤人员配备</w:t>
      </w:r>
    </w:p>
    <w:p w14:paraId="60194AA8">
      <w:pPr>
        <w:spacing w:line="480" w:lineRule="auto"/>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bidi="zh-CN"/>
        </w:rPr>
        <w:t>⑥</w:t>
      </w:r>
      <w:r>
        <w:rPr>
          <w:rFonts w:hint="eastAsia" w:asciiTheme="minorEastAsia" w:hAnsiTheme="minorEastAsia" w:eastAsiaTheme="minorEastAsia" w:cstheme="minorEastAsia"/>
          <w:sz w:val="24"/>
          <w:szCs w:val="24"/>
          <w:highlight w:val="none"/>
          <w:lang w:val="zh-CN" w:bidi="zh-CN"/>
        </w:rPr>
        <w:t>其他建议（</w:t>
      </w:r>
      <w:r>
        <w:rPr>
          <w:rFonts w:hint="eastAsia" w:asciiTheme="minorEastAsia" w:hAnsiTheme="minorEastAsia" w:eastAsiaTheme="minorEastAsia" w:cstheme="minorEastAsia"/>
          <w:sz w:val="24"/>
          <w:szCs w:val="24"/>
          <w:highlight w:val="none"/>
          <w:lang w:bidi="zh-CN"/>
        </w:rPr>
        <w:t>若有</w:t>
      </w:r>
      <w:r>
        <w:rPr>
          <w:rFonts w:hint="eastAsia" w:asciiTheme="minorEastAsia" w:hAnsiTheme="minorEastAsia" w:eastAsiaTheme="minorEastAsia" w:cstheme="minorEastAsia"/>
          <w:sz w:val="24"/>
          <w:szCs w:val="24"/>
          <w:highlight w:val="none"/>
          <w:lang w:val="zh-CN" w:bidi="zh-CN"/>
        </w:rPr>
        <w:t>）。</w:t>
      </w:r>
    </w:p>
    <w:p w14:paraId="29F9AB32">
      <w:pPr>
        <w:spacing w:line="240" w:lineRule="auto"/>
        <w:rPr>
          <w:rFonts w:hint="eastAsia" w:asciiTheme="minorEastAsia" w:hAnsiTheme="minorEastAsia" w:eastAsiaTheme="minorEastAsia" w:cstheme="minorEastAsia"/>
          <w:sz w:val="24"/>
          <w:szCs w:val="24"/>
          <w:highlight w:val="none"/>
        </w:rPr>
      </w:pPr>
    </w:p>
    <w:p w14:paraId="5A20E894">
      <w:pPr>
        <w:spacing w:before="10" w:line="240" w:lineRule="auto"/>
        <w:rPr>
          <w:rFonts w:hint="eastAsia" w:asciiTheme="minorEastAsia" w:hAnsiTheme="minorEastAsia" w:eastAsiaTheme="minorEastAsia" w:cstheme="minorEastAsia"/>
          <w:sz w:val="24"/>
          <w:szCs w:val="24"/>
          <w:highlight w:val="none"/>
        </w:rPr>
      </w:pPr>
    </w:p>
    <w:p w14:paraId="26E9F2D6">
      <w:pPr>
        <w:spacing w:line="240" w:lineRule="auto"/>
        <w:jc w:val="center"/>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上述内容仅供参考，如有不足，请自行补充提供。</w:t>
      </w:r>
    </w:p>
    <w:p w14:paraId="1EFF0C76">
      <w:pPr>
        <w:spacing w:line="240" w:lineRule="auto"/>
        <w:ind w:firstLine="560"/>
        <w:jc w:val="left"/>
        <w:rPr>
          <w:rFonts w:hint="eastAsia" w:asciiTheme="minorEastAsia" w:hAnsiTheme="minorEastAsia" w:eastAsiaTheme="minorEastAsia" w:cstheme="minorEastAsia"/>
          <w:kern w:val="0"/>
          <w:sz w:val="24"/>
          <w:szCs w:val="24"/>
          <w:highlight w:val="none"/>
        </w:rPr>
      </w:pPr>
    </w:p>
    <w:p w14:paraId="7BD5D8B3">
      <w:pPr>
        <w:spacing w:line="240" w:lineRule="auto"/>
        <w:ind w:firstLine="560"/>
        <w:jc w:val="left"/>
        <w:rPr>
          <w:rFonts w:hint="eastAsia" w:asciiTheme="minorEastAsia" w:hAnsiTheme="minorEastAsia" w:eastAsiaTheme="minorEastAsia" w:cstheme="minorEastAsia"/>
          <w:kern w:val="0"/>
          <w:sz w:val="24"/>
          <w:szCs w:val="24"/>
          <w:highlight w:val="none"/>
        </w:rPr>
      </w:pPr>
    </w:p>
    <w:p w14:paraId="719F3665">
      <w:pPr>
        <w:spacing w:line="240" w:lineRule="auto"/>
        <w:ind w:firstLine="560"/>
        <w:jc w:val="left"/>
        <w:rPr>
          <w:rFonts w:hint="eastAsia" w:asciiTheme="minorEastAsia" w:hAnsiTheme="minorEastAsia" w:eastAsiaTheme="minorEastAsia" w:cstheme="minorEastAsia"/>
          <w:kern w:val="0"/>
          <w:sz w:val="24"/>
          <w:szCs w:val="24"/>
          <w:highlight w:val="none"/>
        </w:rPr>
      </w:pPr>
    </w:p>
    <w:p w14:paraId="5A205C29">
      <w:pPr>
        <w:spacing w:line="240" w:lineRule="auto"/>
        <w:ind w:firstLine="560"/>
        <w:jc w:val="left"/>
        <w:rPr>
          <w:rFonts w:hint="eastAsia" w:asciiTheme="minorEastAsia" w:hAnsiTheme="minorEastAsia" w:eastAsiaTheme="minorEastAsia" w:cstheme="minorEastAsia"/>
          <w:kern w:val="0"/>
          <w:sz w:val="24"/>
          <w:szCs w:val="24"/>
          <w:highlight w:val="none"/>
        </w:rPr>
      </w:pPr>
    </w:p>
    <w:p w14:paraId="21869359">
      <w:pPr>
        <w:spacing w:line="240" w:lineRule="auto"/>
        <w:ind w:firstLine="560"/>
        <w:jc w:val="left"/>
        <w:rPr>
          <w:rFonts w:hint="eastAsia" w:asciiTheme="minorEastAsia" w:hAnsiTheme="minorEastAsia" w:eastAsiaTheme="minorEastAsia" w:cstheme="minorEastAsia"/>
          <w:kern w:val="0"/>
          <w:sz w:val="24"/>
          <w:szCs w:val="24"/>
          <w:highlight w:val="none"/>
        </w:rPr>
      </w:pPr>
    </w:p>
    <w:p w14:paraId="7C411ACF">
      <w:pPr>
        <w:spacing w:line="240" w:lineRule="auto"/>
        <w:ind w:firstLine="560"/>
        <w:jc w:val="left"/>
        <w:rPr>
          <w:rFonts w:hint="eastAsia" w:asciiTheme="minorEastAsia" w:hAnsiTheme="minorEastAsia" w:eastAsiaTheme="minorEastAsia" w:cstheme="minorEastAsia"/>
          <w:kern w:val="0"/>
          <w:sz w:val="24"/>
          <w:szCs w:val="24"/>
          <w:highlight w:val="none"/>
        </w:rPr>
      </w:pPr>
    </w:p>
    <w:p w14:paraId="4BACC3D0">
      <w:pPr>
        <w:spacing w:line="240" w:lineRule="auto"/>
        <w:ind w:firstLine="560"/>
        <w:jc w:val="left"/>
        <w:rPr>
          <w:rFonts w:hint="eastAsia" w:asciiTheme="minorEastAsia" w:hAnsiTheme="minorEastAsia" w:eastAsiaTheme="minorEastAsia" w:cstheme="minorEastAsia"/>
          <w:kern w:val="0"/>
          <w:sz w:val="24"/>
          <w:szCs w:val="24"/>
          <w:highlight w:val="none"/>
        </w:rPr>
      </w:pPr>
    </w:p>
    <w:p w14:paraId="10DDC477">
      <w:pPr>
        <w:spacing w:line="240" w:lineRule="auto"/>
        <w:ind w:firstLine="560"/>
        <w:jc w:val="left"/>
        <w:rPr>
          <w:rFonts w:hint="eastAsia" w:asciiTheme="minorEastAsia" w:hAnsiTheme="minorEastAsia" w:eastAsiaTheme="minorEastAsia" w:cstheme="minorEastAsia"/>
          <w:kern w:val="0"/>
          <w:sz w:val="24"/>
          <w:szCs w:val="24"/>
          <w:highlight w:val="none"/>
        </w:rPr>
      </w:pPr>
    </w:p>
    <w:p w14:paraId="4F5BDB6E">
      <w:pPr>
        <w:spacing w:line="240" w:lineRule="auto"/>
        <w:ind w:firstLine="560"/>
        <w:jc w:val="left"/>
        <w:rPr>
          <w:rFonts w:hint="eastAsia" w:asciiTheme="minorEastAsia" w:hAnsiTheme="minorEastAsia" w:eastAsiaTheme="minorEastAsia" w:cstheme="minorEastAsia"/>
          <w:kern w:val="0"/>
          <w:sz w:val="24"/>
          <w:szCs w:val="24"/>
          <w:highlight w:val="none"/>
        </w:rPr>
      </w:pPr>
    </w:p>
    <w:p w14:paraId="0868C350">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br w:type="page"/>
      </w:r>
      <w:r>
        <w:rPr>
          <w:rFonts w:hint="eastAsia" w:asciiTheme="minorEastAsia" w:hAnsiTheme="minorEastAsia" w:eastAsiaTheme="minorEastAsia" w:cstheme="minorEastAsia"/>
          <w:b/>
          <w:bCs/>
          <w:kern w:val="0"/>
          <w:sz w:val="24"/>
          <w:szCs w:val="24"/>
          <w:highlight w:val="none"/>
        </w:rPr>
        <w:t>附件12：</w:t>
      </w:r>
    </w:p>
    <w:p w14:paraId="36129E38">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售后服务附表</w:t>
      </w:r>
    </w:p>
    <w:p w14:paraId="199DA73E">
      <w:pPr>
        <w:spacing w:line="240" w:lineRule="auto"/>
        <w:jc w:val="left"/>
        <w:rPr>
          <w:rFonts w:hint="eastAsia" w:asciiTheme="minorEastAsia" w:hAnsiTheme="minorEastAsia" w:eastAsiaTheme="minorEastAsia" w:cstheme="minorEastAsia"/>
          <w:spacing w:val="1"/>
          <w:kern w:val="0"/>
          <w:sz w:val="24"/>
          <w:szCs w:val="24"/>
          <w:highlight w:val="none"/>
          <w:u w:val="single"/>
        </w:rPr>
      </w:pPr>
      <w:r>
        <w:rPr>
          <w:rFonts w:hint="eastAsia" w:asciiTheme="minorEastAsia" w:hAnsiTheme="minorEastAsia" w:eastAsiaTheme="minorEastAsia" w:cstheme="minorEastAsia"/>
          <w:spacing w:val="1"/>
          <w:kern w:val="0"/>
          <w:sz w:val="24"/>
          <w:szCs w:val="24"/>
          <w:highlight w:val="none"/>
        </w:rPr>
        <w:t>项目名称：</w:t>
      </w:r>
      <w:r>
        <w:rPr>
          <w:rFonts w:hint="eastAsia" w:asciiTheme="minorEastAsia" w:hAnsiTheme="minorEastAsia" w:eastAsiaTheme="minorEastAsia" w:cstheme="minorEastAsia"/>
          <w:spacing w:val="1"/>
          <w:kern w:val="0"/>
          <w:sz w:val="24"/>
          <w:szCs w:val="24"/>
          <w:highlight w:val="none"/>
          <w:u w:val="single"/>
        </w:rPr>
        <w:t xml:space="preserve">                              </w:t>
      </w:r>
    </w:p>
    <w:p w14:paraId="4E5744BA">
      <w:pPr>
        <w:spacing w:line="240" w:lineRule="auto"/>
        <w:jc w:val="left"/>
        <w:rPr>
          <w:rFonts w:hint="eastAsia" w:asciiTheme="minorEastAsia" w:hAnsiTheme="minorEastAsia" w:eastAsiaTheme="minorEastAsia" w:cstheme="minorEastAsia"/>
          <w:spacing w:val="1"/>
          <w:kern w:val="0"/>
          <w:sz w:val="24"/>
          <w:szCs w:val="24"/>
          <w:highlight w:val="none"/>
        </w:rPr>
      </w:pPr>
      <w:r>
        <w:rPr>
          <w:rFonts w:hint="eastAsia" w:asciiTheme="minorEastAsia" w:hAnsiTheme="minorEastAsia" w:eastAsiaTheme="minorEastAsia" w:cstheme="minorEastAsia"/>
          <w:spacing w:val="1"/>
          <w:kern w:val="0"/>
          <w:sz w:val="24"/>
          <w:szCs w:val="24"/>
          <w:highlight w:val="none"/>
        </w:rPr>
        <w:t>项目编号：</w:t>
      </w:r>
      <w:r>
        <w:rPr>
          <w:rFonts w:hint="eastAsia" w:asciiTheme="minorEastAsia" w:hAnsiTheme="minorEastAsia" w:eastAsiaTheme="minorEastAsia" w:cstheme="minorEastAsia"/>
          <w:spacing w:val="1"/>
          <w:kern w:val="0"/>
          <w:sz w:val="24"/>
          <w:szCs w:val="24"/>
          <w:highlight w:val="none"/>
          <w:u w:val="single"/>
        </w:rPr>
        <w:t xml:space="preserve">                              </w:t>
      </w:r>
    </w:p>
    <w:tbl>
      <w:tblPr>
        <w:tblStyle w:val="36"/>
        <w:tblW w:w="9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1632"/>
        <w:gridCol w:w="438"/>
        <w:gridCol w:w="1362"/>
        <w:gridCol w:w="618"/>
        <w:gridCol w:w="1494"/>
        <w:gridCol w:w="2496"/>
      </w:tblGrid>
      <w:tr w14:paraId="3E96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6AC5453A">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服务网点名称</w:t>
            </w:r>
          </w:p>
        </w:tc>
        <w:tc>
          <w:tcPr>
            <w:tcW w:w="5544" w:type="dxa"/>
            <w:gridSpan w:val="5"/>
            <w:vAlign w:val="center"/>
          </w:tcPr>
          <w:p w14:paraId="6D296798">
            <w:pPr>
              <w:spacing w:line="240" w:lineRule="auto"/>
              <w:jc w:val="center"/>
              <w:rPr>
                <w:rFonts w:hint="eastAsia" w:asciiTheme="minorEastAsia" w:hAnsiTheme="minorEastAsia" w:eastAsiaTheme="minorEastAsia" w:cstheme="minorEastAsia"/>
                <w:kern w:val="0"/>
                <w:sz w:val="24"/>
                <w:szCs w:val="24"/>
                <w:highlight w:val="none"/>
              </w:rPr>
            </w:pPr>
          </w:p>
        </w:tc>
        <w:tc>
          <w:tcPr>
            <w:tcW w:w="2496" w:type="dxa"/>
            <w:vMerge w:val="restart"/>
            <w:vAlign w:val="center"/>
          </w:tcPr>
          <w:p w14:paraId="431EBA9C">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备注</w:t>
            </w:r>
          </w:p>
        </w:tc>
      </w:tr>
      <w:tr w14:paraId="26A2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380BFB72">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地址</w:t>
            </w:r>
          </w:p>
        </w:tc>
        <w:tc>
          <w:tcPr>
            <w:tcW w:w="5544" w:type="dxa"/>
            <w:gridSpan w:val="5"/>
            <w:vAlign w:val="center"/>
          </w:tcPr>
          <w:p w14:paraId="112C3BD0">
            <w:pPr>
              <w:spacing w:line="240" w:lineRule="auto"/>
              <w:jc w:val="center"/>
              <w:rPr>
                <w:rFonts w:hint="eastAsia" w:asciiTheme="minorEastAsia" w:hAnsiTheme="minorEastAsia" w:eastAsiaTheme="minorEastAsia" w:cstheme="minorEastAsia"/>
                <w:kern w:val="0"/>
                <w:sz w:val="24"/>
                <w:szCs w:val="24"/>
                <w:highlight w:val="none"/>
              </w:rPr>
            </w:pPr>
          </w:p>
        </w:tc>
        <w:tc>
          <w:tcPr>
            <w:tcW w:w="2496" w:type="dxa"/>
            <w:vMerge w:val="continue"/>
            <w:vAlign w:val="center"/>
          </w:tcPr>
          <w:p w14:paraId="18B56E56">
            <w:pPr>
              <w:spacing w:line="240" w:lineRule="auto"/>
              <w:jc w:val="center"/>
              <w:rPr>
                <w:rFonts w:hint="eastAsia" w:asciiTheme="minorEastAsia" w:hAnsiTheme="minorEastAsia" w:eastAsiaTheme="minorEastAsia" w:cstheme="minorEastAsia"/>
                <w:kern w:val="0"/>
                <w:sz w:val="24"/>
                <w:szCs w:val="24"/>
                <w:highlight w:val="none"/>
              </w:rPr>
            </w:pPr>
          </w:p>
        </w:tc>
      </w:tr>
      <w:tr w14:paraId="2070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0756F790">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注册资本金</w:t>
            </w:r>
          </w:p>
        </w:tc>
        <w:tc>
          <w:tcPr>
            <w:tcW w:w="1632" w:type="dxa"/>
            <w:vAlign w:val="center"/>
          </w:tcPr>
          <w:p w14:paraId="7BDBD46B">
            <w:pPr>
              <w:spacing w:line="240" w:lineRule="auto"/>
              <w:jc w:val="center"/>
              <w:rPr>
                <w:rFonts w:hint="eastAsia" w:asciiTheme="minorEastAsia" w:hAnsiTheme="minorEastAsia" w:eastAsiaTheme="minorEastAsia" w:cstheme="minorEastAsia"/>
                <w:kern w:val="0"/>
                <w:sz w:val="24"/>
                <w:szCs w:val="24"/>
                <w:highlight w:val="none"/>
              </w:rPr>
            </w:pPr>
          </w:p>
        </w:tc>
        <w:tc>
          <w:tcPr>
            <w:tcW w:w="2418" w:type="dxa"/>
            <w:gridSpan w:val="3"/>
            <w:vAlign w:val="center"/>
          </w:tcPr>
          <w:p w14:paraId="2751F548">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其中：投标供应商出资比例</w:t>
            </w:r>
          </w:p>
        </w:tc>
        <w:tc>
          <w:tcPr>
            <w:tcW w:w="1494" w:type="dxa"/>
            <w:vAlign w:val="center"/>
          </w:tcPr>
          <w:p w14:paraId="1A613E84">
            <w:pPr>
              <w:spacing w:line="240" w:lineRule="auto"/>
              <w:jc w:val="center"/>
              <w:rPr>
                <w:rFonts w:hint="eastAsia" w:asciiTheme="minorEastAsia" w:hAnsiTheme="minorEastAsia" w:eastAsiaTheme="minorEastAsia" w:cstheme="minorEastAsia"/>
                <w:kern w:val="0"/>
                <w:sz w:val="24"/>
                <w:szCs w:val="24"/>
                <w:highlight w:val="none"/>
              </w:rPr>
            </w:pPr>
          </w:p>
        </w:tc>
        <w:tc>
          <w:tcPr>
            <w:tcW w:w="2496" w:type="dxa"/>
            <w:vMerge w:val="restart"/>
            <w:vAlign w:val="center"/>
          </w:tcPr>
          <w:p w14:paraId="0EC25460">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提供相关证明材料（如：营业执照或租房合同等）</w:t>
            </w:r>
          </w:p>
        </w:tc>
      </w:tr>
      <w:tr w14:paraId="7E2F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61495FA7">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员工总人数</w:t>
            </w:r>
          </w:p>
        </w:tc>
        <w:tc>
          <w:tcPr>
            <w:tcW w:w="1632" w:type="dxa"/>
            <w:vAlign w:val="center"/>
          </w:tcPr>
          <w:p w14:paraId="1D5ED422">
            <w:pPr>
              <w:spacing w:line="240" w:lineRule="auto"/>
              <w:jc w:val="center"/>
              <w:rPr>
                <w:rFonts w:hint="eastAsia" w:asciiTheme="minorEastAsia" w:hAnsiTheme="minorEastAsia" w:eastAsiaTheme="minorEastAsia" w:cstheme="minorEastAsia"/>
                <w:kern w:val="0"/>
                <w:sz w:val="24"/>
                <w:szCs w:val="24"/>
                <w:highlight w:val="none"/>
              </w:rPr>
            </w:pPr>
          </w:p>
        </w:tc>
        <w:tc>
          <w:tcPr>
            <w:tcW w:w="2418" w:type="dxa"/>
            <w:gridSpan w:val="3"/>
            <w:vAlign w:val="center"/>
          </w:tcPr>
          <w:p w14:paraId="28BBE473">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其中：技术人员数</w:t>
            </w:r>
          </w:p>
        </w:tc>
        <w:tc>
          <w:tcPr>
            <w:tcW w:w="1494" w:type="dxa"/>
            <w:vAlign w:val="center"/>
          </w:tcPr>
          <w:p w14:paraId="3E9C38DD">
            <w:pPr>
              <w:spacing w:line="240" w:lineRule="auto"/>
              <w:jc w:val="center"/>
              <w:rPr>
                <w:rFonts w:hint="eastAsia" w:asciiTheme="minorEastAsia" w:hAnsiTheme="minorEastAsia" w:eastAsiaTheme="minorEastAsia" w:cstheme="minorEastAsia"/>
                <w:kern w:val="0"/>
                <w:sz w:val="24"/>
                <w:szCs w:val="24"/>
                <w:highlight w:val="none"/>
              </w:rPr>
            </w:pPr>
          </w:p>
        </w:tc>
        <w:tc>
          <w:tcPr>
            <w:tcW w:w="2496" w:type="dxa"/>
            <w:vMerge w:val="continue"/>
            <w:vAlign w:val="center"/>
          </w:tcPr>
          <w:p w14:paraId="4FA49AB1">
            <w:pPr>
              <w:spacing w:line="240" w:lineRule="auto"/>
              <w:jc w:val="center"/>
              <w:rPr>
                <w:rFonts w:hint="eastAsia" w:asciiTheme="minorEastAsia" w:hAnsiTheme="minorEastAsia" w:eastAsiaTheme="minorEastAsia" w:cstheme="minorEastAsia"/>
                <w:kern w:val="0"/>
                <w:sz w:val="24"/>
                <w:szCs w:val="24"/>
                <w:highlight w:val="none"/>
              </w:rPr>
            </w:pPr>
          </w:p>
        </w:tc>
      </w:tr>
      <w:tr w14:paraId="0ED6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5D12A18F">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经营期限</w:t>
            </w:r>
          </w:p>
        </w:tc>
        <w:tc>
          <w:tcPr>
            <w:tcW w:w="5544" w:type="dxa"/>
            <w:gridSpan w:val="5"/>
            <w:vAlign w:val="center"/>
          </w:tcPr>
          <w:p w14:paraId="73A89221">
            <w:pPr>
              <w:spacing w:line="240" w:lineRule="auto"/>
              <w:jc w:val="center"/>
              <w:rPr>
                <w:rFonts w:hint="eastAsia" w:asciiTheme="minorEastAsia" w:hAnsiTheme="minorEastAsia" w:eastAsiaTheme="minorEastAsia" w:cstheme="minorEastAsia"/>
                <w:kern w:val="0"/>
                <w:sz w:val="24"/>
                <w:szCs w:val="24"/>
                <w:highlight w:val="none"/>
              </w:rPr>
            </w:pPr>
          </w:p>
        </w:tc>
        <w:tc>
          <w:tcPr>
            <w:tcW w:w="2496" w:type="dxa"/>
            <w:vMerge w:val="continue"/>
            <w:vAlign w:val="center"/>
          </w:tcPr>
          <w:p w14:paraId="33BAF84A">
            <w:pPr>
              <w:spacing w:line="240" w:lineRule="auto"/>
              <w:jc w:val="center"/>
              <w:rPr>
                <w:rFonts w:hint="eastAsia" w:asciiTheme="minorEastAsia" w:hAnsiTheme="minorEastAsia" w:eastAsiaTheme="minorEastAsia" w:cstheme="minorEastAsia"/>
                <w:kern w:val="0"/>
                <w:sz w:val="24"/>
                <w:szCs w:val="24"/>
                <w:highlight w:val="none"/>
              </w:rPr>
            </w:pPr>
          </w:p>
        </w:tc>
      </w:tr>
      <w:tr w14:paraId="2C66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943" w:type="dxa"/>
            <w:vAlign w:val="center"/>
          </w:tcPr>
          <w:p w14:paraId="55C41818">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售后服务协议</w:t>
            </w:r>
          </w:p>
        </w:tc>
        <w:tc>
          <w:tcPr>
            <w:tcW w:w="5544" w:type="dxa"/>
            <w:gridSpan w:val="5"/>
            <w:vAlign w:val="center"/>
          </w:tcPr>
          <w:p w14:paraId="40A72E92">
            <w:pPr>
              <w:spacing w:line="240" w:lineRule="auto"/>
              <w:jc w:val="center"/>
              <w:rPr>
                <w:rFonts w:hint="eastAsia" w:asciiTheme="minorEastAsia" w:hAnsiTheme="minorEastAsia" w:eastAsiaTheme="minorEastAsia" w:cstheme="minorEastAsia"/>
                <w:kern w:val="0"/>
                <w:sz w:val="24"/>
                <w:szCs w:val="24"/>
                <w:highlight w:val="none"/>
              </w:rPr>
            </w:pPr>
          </w:p>
        </w:tc>
        <w:tc>
          <w:tcPr>
            <w:tcW w:w="2496" w:type="dxa"/>
            <w:vAlign w:val="center"/>
          </w:tcPr>
          <w:p w14:paraId="634D6547">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提供相关</w:t>
            </w:r>
          </w:p>
          <w:p w14:paraId="11C1F358">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证明材料</w:t>
            </w:r>
          </w:p>
        </w:tc>
      </w:tr>
      <w:tr w14:paraId="2AA0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1B6E6654">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售后服务内容</w:t>
            </w:r>
          </w:p>
        </w:tc>
        <w:tc>
          <w:tcPr>
            <w:tcW w:w="5544" w:type="dxa"/>
            <w:gridSpan w:val="5"/>
            <w:vAlign w:val="center"/>
          </w:tcPr>
          <w:p w14:paraId="0ACF82A2">
            <w:pPr>
              <w:spacing w:line="240" w:lineRule="auto"/>
              <w:jc w:val="center"/>
              <w:rPr>
                <w:rFonts w:hint="eastAsia" w:asciiTheme="minorEastAsia" w:hAnsiTheme="minorEastAsia" w:eastAsiaTheme="minorEastAsia" w:cstheme="minorEastAsia"/>
                <w:kern w:val="0"/>
                <w:sz w:val="24"/>
                <w:szCs w:val="24"/>
                <w:highlight w:val="none"/>
              </w:rPr>
            </w:pPr>
          </w:p>
        </w:tc>
        <w:tc>
          <w:tcPr>
            <w:tcW w:w="2496" w:type="dxa"/>
            <w:vMerge w:val="restart"/>
            <w:vAlign w:val="center"/>
          </w:tcPr>
          <w:p w14:paraId="750495D6">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此部分内容做附件进行详细说明</w:t>
            </w:r>
          </w:p>
        </w:tc>
      </w:tr>
      <w:tr w14:paraId="5033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0CBF8CA6">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服务承诺</w:t>
            </w:r>
          </w:p>
        </w:tc>
        <w:tc>
          <w:tcPr>
            <w:tcW w:w="5544" w:type="dxa"/>
            <w:gridSpan w:val="5"/>
            <w:vAlign w:val="center"/>
          </w:tcPr>
          <w:p w14:paraId="2620DA31">
            <w:pPr>
              <w:spacing w:line="240" w:lineRule="auto"/>
              <w:jc w:val="center"/>
              <w:rPr>
                <w:rFonts w:hint="eastAsia" w:asciiTheme="minorEastAsia" w:hAnsiTheme="minorEastAsia" w:eastAsiaTheme="minorEastAsia" w:cstheme="minorEastAsia"/>
                <w:kern w:val="0"/>
                <w:sz w:val="24"/>
                <w:szCs w:val="24"/>
                <w:highlight w:val="none"/>
              </w:rPr>
            </w:pPr>
          </w:p>
        </w:tc>
        <w:tc>
          <w:tcPr>
            <w:tcW w:w="2496" w:type="dxa"/>
            <w:vMerge w:val="continue"/>
            <w:vAlign w:val="center"/>
          </w:tcPr>
          <w:p w14:paraId="1747B1B7">
            <w:pPr>
              <w:spacing w:line="240" w:lineRule="auto"/>
              <w:jc w:val="center"/>
              <w:rPr>
                <w:rFonts w:hint="eastAsia" w:asciiTheme="minorEastAsia" w:hAnsiTheme="minorEastAsia" w:eastAsiaTheme="minorEastAsia" w:cstheme="minorEastAsia"/>
                <w:kern w:val="0"/>
                <w:sz w:val="24"/>
                <w:szCs w:val="24"/>
                <w:highlight w:val="none"/>
              </w:rPr>
            </w:pPr>
          </w:p>
        </w:tc>
      </w:tr>
      <w:tr w14:paraId="2C26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943" w:type="dxa"/>
            <w:vAlign w:val="center"/>
          </w:tcPr>
          <w:p w14:paraId="54278FA1">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工作业绩</w:t>
            </w:r>
          </w:p>
        </w:tc>
        <w:tc>
          <w:tcPr>
            <w:tcW w:w="5544" w:type="dxa"/>
            <w:gridSpan w:val="5"/>
            <w:vAlign w:val="center"/>
          </w:tcPr>
          <w:p w14:paraId="5CFECAA0">
            <w:pPr>
              <w:spacing w:line="240" w:lineRule="auto"/>
              <w:jc w:val="center"/>
              <w:rPr>
                <w:rFonts w:hint="eastAsia" w:asciiTheme="minorEastAsia" w:hAnsiTheme="minorEastAsia" w:eastAsiaTheme="minorEastAsia" w:cstheme="minorEastAsia"/>
                <w:kern w:val="0"/>
                <w:sz w:val="24"/>
                <w:szCs w:val="24"/>
                <w:highlight w:val="none"/>
              </w:rPr>
            </w:pPr>
          </w:p>
        </w:tc>
        <w:tc>
          <w:tcPr>
            <w:tcW w:w="2496" w:type="dxa"/>
            <w:vAlign w:val="center"/>
          </w:tcPr>
          <w:p w14:paraId="01904AFC">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提供相关</w:t>
            </w:r>
          </w:p>
          <w:p w14:paraId="029C524C">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证明材料</w:t>
            </w:r>
          </w:p>
        </w:tc>
      </w:tr>
      <w:tr w14:paraId="1382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47EDA803">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业务咨询电话</w:t>
            </w:r>
          </w:p>
        </w:tc>
        <w:tc>
          <w:tcPr>
            <w:tcW w:w="2070" w:type="dxa"/>
            <w:gridSpan w:val="2"/>
            <w:vAlign w:val="center"/>
          </w:tcPr>
          <w:p w14:paraId="5FAA6578">
            <w:pPr>
              <w:spacing w:line="240" w:lineRule="auto"/>
              <w:jc w:val="center"/>
              <w:rPr>
                <w:rFonts w:hint="eastAsia" w:asciiTheme="minorEastAsia" w:hAnsiTheme="minorEastAsia" w:eastAsiaTheme="minorEastAsia" w:cstheme="minorEastAsia"/>
                <w:kern w:val="0"/>
                <w:sz w:val="24"/>
                <w:szCs w:val="24"/>
                <w:highlight w:val="none"/>
              </w:rPr>
            </w:pPr>
          </w:p>
        </w:tc>
        <w:tc>
          <w:tcPr>
            <w:tcW w:w="1362" w:type="dxa"/>
            <w:vAlign w:val="center"/>
          </w:tcPr>
          <w:p w14:paraId="10FE404B">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传真</w:t>
            </w:r>
          </w:p>
        </w:tc>
        <w:tc>
          <w:tcPr>
            <w:tcW w:w="2112" w:type="dxa"/>
            <w:gridSpan w:val="2"/>
            <w:vAlign w:val="center"/>
          </w:tcPr>
          <w:p w14:paraId="1A61BD93">
            <w:pPr>
              <w:spacing w:line="240" w:lineRule="auto"/>
              <w:jc w:val="center"/>
              <w:rPr>
                <w:rFonts w:hint="eastAsia" w:asciiTheme="minorEastAsia" w:hAnsiTheme="minorEastAsia" w:eastAsiaTheme="minorEastAsia" w:cstheme="minorEastAsia"/>
                <w:kern w:val="0"/>
                <w:sz w:val="24"/>
                <w:szCs w:val="24"/>
                <w:highlight w:val="none"/>
              </w:rPr>
            </w:pPr>
          </w:p>
        </w:tc>
        <w:tc>
          <w:tcPr>
            <w:tcW w:w="2496" w:type="dxa"/>
            <w:vMerge w:val="restart"/>
            <w:vAlign w:val="center"/>
          </w:tcPr>
          <w:p w14:paraId="4E9AC9D9">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附人员身份证等相关证件</w:t>
            </w:r>
          </w:p>
        </w:tc>
      </w:tr>
      <w:tr w14:paraId="308A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943" w:type="dxa"/>
            <w:vAlign w:val="center"/>
          </w:tcPr>
          <w:p w14:paraId="5EA35604">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负责人</w:t>
            </w:r>
          </w:p>
        </w:tc>
        <w:tc>
          <w:tcPr>
            <w:tcW w:w="2070" w:type="dxa"/>
            <w:gridSpan w:val="2"/>
            <w:vAlign w:val="center"/>
          </w:tcPr>
          <w:p w14:paraId="4E53DA3B">
            <w:pPr>
              <w:spacing w:line="240" w:lineRule="auto"/>
              <w:jc w:val="center"/>
              <w:rPr>
                <w:rFonts w:hint="eastAsia" w:asciiTheme="minorEastAsia" w:hAnsiTheme="minorEastAsia" w:eastAsiaTheme="minorEastAsia" w:cstheme="minorEastAsia"/>
                <w:kern w:val="0"/>
                <w:sz w:val="24"/>
                <w:szCs w:val="24"/>
                <w:highlight w:val="none"/>
              </w:rPr>
            </w:pPr>
          </w:p>
        </w:tc>
        <w:tc>
          <w:tcPr>
            <w:tcW w:w="1362" w:type="dxa"/>
            <w:vAlign w:val="center"/>
          </w:tcPr>
          <w:p w14:paraId="2F0434C3">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联系电话</w:t>
            </w:r>
          </w:p>
        </w:tc>
        <w:tc>
          <w:tcPr>
            <w:tcW w:w="2112" w:type="dxa"/>
            <w:gridSpan w:val="2"/>
            <w:vAlign w:val="center"/>
          </w:tcPr>
          <w:p w14:paraId="5E36AA9C">
            <w:pPr>
              <w:spacing w:line="240" w:lineRule="auto"/>
              <w:jc w:val="center"/>
              <w:rPr>
                <w:rFonts w:hint="eastAsia" w:asciiTheme="minorEastAsia" w:hAnsiTheme="minorEastAsia" w:eastAsiaTheme="minorEastAsia" w:cstheme="minorEastAsia"/>
                <w:kern w:val="0"/>
                <w:sz w:val="24"/>
                <w:szCs w:val="24"/>
                <w:highlight w:val="none"/>
              </w:rPr>
            </w:pPr>
          </w:p>
        </w:tc>
        <w:tc>
          <w:tcPr>
            <w:tcW w:w="2496" w:type="dxa"/>
            <w:vMerge w:val="continue"/>
            <w:vAlign w:val="center"/>
          </w:tcPr>
          <w:p w14:paraId="76D05E18">
            <w:pPr>
              <w:spacing w:line="240" w:lineRule="auto"/>
              <w:jc w:val="center"/>
              <w:rPr>
                <w:rFonts w:hint="eastAsia" w:asciiTheme="minorEastAsia" w:hAnsiTheme="minorEastAsia" w:eastAsiaTheme="minorEastAsia" w:cstheme="minorEastAsia"/>
                <w:kern w:val="0"/>
                <w:sz w:val="24"/>
                <w:szCs w:val="24"/>
                <w:highlight w:val="none"/>
              </w:rPr>
            </w:pPr>
          </w:p>
        </w:tc>
      </w:tr>
    </w:tbl>
    <w:p w14:paraId="3789E073">
      <w:pPr>
        <w:pStyle w:val="23"/>
        <w:rPr>
          <w:rFonts w:hint="eastAsia" w:ascii="宋体" w:hAnsi="宋体" w:eastAsia="宋体" w:cs="宋体"/>
          <w:sz w:val="24"/>
          <w:szCs w:val="24"/>
          <w:highlight w:val="none"/>
        </w:rPr>
      </w:pPr>
    </w:p>
    <w:p w14:paraId="343BCCE1">
      <w:pPr>
        <w:pStyle w:val="23"/>
        <w:rPr>
          <w:rFonts w:hint="eastAsia" w:ascii="宋体" w:hAnsi="宋体" w:eastAsia="宋体" w:cs="宋体"/>
          <w:sz w:val="24"/>
          <w:szCs w:val="24"/>
          <w:highlight w:val="none"/>
        </w:rPr>
      </w:pPr>
    </w:p>
    <w:p w14:paraId="08495490">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供应商名称(盖单位章)：</w:t>
      </w:r>
    </w:p>
    <w:p w14:paraId="6CAFC45F">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p>
    <w:p w14:paraId="56E2D3D4">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日期：年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05E679BB">
      <w:pPr>
        <w:pStyle w:val="151"/>
        <w:spacing w:line="240" w:lineRule="auto"/>
        <w:rPr>
          <w:rFonts w:hint="eastAsia" w:asciiTheme="minorEastAsia" w:hAnsiTheme="minorEastAsia" w:eastAsiaTheme="minorEastAsia" w:cstheme="minorEastAsia"/>
          <w:b/>
          <w:bCs/>
          <w:sz w:val="24"/>
          <w:szCs w:val="24"/>
          <w:highlight w:val="none"/>
        </w:rPr>
      </w:pPr>
    </w:p>
    <w:p w14:paraId="2A78E53B">
      <w:pPr>
        <w:pStyle w:val="151"/>
        <w:spacing w:line="240" w:lineRule="auto"/>
        <w:rPr>
          <w:rFonts w:hint="eastAsia" w:asciiTheme="minorEastAsia" w:hAnsiTheme="minorEastAsia" w:eastAsiaTheme="minorEastAsia" w:cstheme="minorEastAsia"/>
          <w:b/>
          <w:bCs/>
          <w:sz w:val="24"/>
          <w:szCs w:val="24"/>
          <w:highlight w:val="none"/>
        </w:rPr>
      </w:pPr>
    </w:p>
    <w:p w14:paraId="56C44C31">
      <w:pPr>
        <w:pStyle w:val="151"/>
        <w:spacing w:line="240" w:lineRule="auto"/>
        <w:rPr>
          <w:rFonts w:hint="eastAsia" w:asciiTheme="minorEastAsia" w:hAnsiTheme="minorEastAsia" w:eastAsiaTheme="minorEastAsia" w:cstheme="minorEastAsia"/>
          <w:b/>
          <w:bCs/>
          <w:sz w:val="24"/>
          <w:szCs w:val="24"/>
          <w:highlight w:val="none"/>
        </w:rPr>
      </w:pPr>
    </w:p>
    <w:p w14:paraId="7CFBCB55">
      <w:pPr>
        <w:tabs>
          <w:tab w:val="left" w:pos="1279"/>
        </w:tabs>
        <w:spacing w:before="39" w:line="240" w:lineRule="auto"/>
        <w:ind w:right="402"/>
        <w:jc w:val="left"/>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sz w:val="24"/>
          <w:szCs w:val="24"/>
          <w:highlight w:val="none"/>
        </w:rPr>
        <w:br w:type="page"/>
      </w:r>
      <w:r>
        <w:rPr>
          <w:rFonts w:hint="eastAsia" w:asciiTheme="minorEastAsia" w:hAnsiTheme="minorEastAsia" w:eastAsiaTheme="minorEastAsia" w:cstheme="minorEastAsia"/>
          <w:b/>
          <w:bCs/>
          <w:kern w:val="0"/>
          <w:sz w:val="24"/>
          <w:szCs w:val="24"/>
          <w:highlight w:val="none"/>
        </w:rPr>
        <w:t>附件13：</w:t>
      </w:r>
    </w:p>
    <w:p w14:paraId="111BCABE">
      <w:pPr>
        <w:tabs>
          <w:tab w:val="left" w:pos="1279"/>
        </w:tabs>
        <w:spacing w:before="39" w:line="240" w:lineRule="auto"/>
        <w:ind w:right="402"/>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拟投入本项目主要人员汇总表</w:t>
      </w:r>
    </w:p>
    <w:p w14:paraId="3394AEC9">
      <w:pPr>
        <w:spacing w:before="4" w:line="240" w:lineRule="auto"/>
        <w:rPr>
          <w:rFonts w:hint="eastAsia" w:asciiTheme="minorEastAsia" w:hAnsiTheme="minorEastAsia" w:eastAsiaTheme="minorEastAsia" w:cstheme="minorEastAsia"/>
          <w:b/>
          <w:sz w:val="24"/>
          <w:szCs w:val="24"/>
          <w:highlight w:val="none"/>
        </w:rPr>
      </w:pPr>
    </w:p>
    <w:p w14:paraId="3B1FD68E">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投标人名称（电子签章）：                         </w:t>
      </w:r>
    </w:p>
    <w:p w14:paraId="766CE824">
      <w:pPr>
        <w:spacing w:line="240" w:lineRule="auto"/>
        <w:jc w:val="left"/>
        <w:rPr>
          <w:rFonts w:hint="eastAsia" w:asciiTheme="minorEastAsia" w:hAnsiTheme="minorEastAsia" w:eastAsiaTheme="minorEastAsia" w:cstheme="minorEastAsia"/>
          <w:sz w:val="24"/>
          <w:szCs w:val="24"/>
          <w:highlight w:val="none"/>
        </w:rPr>
      </w:pPr>
    </w:p>
    <w:tbl>
      <w:tblPr>
        <w:tblStyle w:val="36"/>
        <w:tblW w:w="94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7"/>
        <w:gridCol w:w="1440"/>
        <w:gridCol w:w="720"/>
        <w:gridCol w:w="816"/>
        <w:gridCol w:w="984"/>
        <w:gridCol w:w="816"/>
        <w:gridCol w:w="882"/>
        <w:gridCol w:w="2275"/>
      </w:tblGrid>
      <w:tr w14:paraId="05977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547" w:type="dxa"/>
            <w:vAlign w:val="center"/>
          </w:tcPr>
          <w:p w14:paraId="08774FEF">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1440" w:type="dxa"/>
            <w:vAlign w:val="center"/>
          </w:tcPr>
          <w:p w14:paraId="798647C9">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名</w:t>
            </w:r>
          </w:p>
        </w:tc>
        <w:tc>
          <w:tcPr>
            <w:tcW w:w="720" w:type="dxa"/>
            <w:vAlign w:val="center"/>
          </w:tcPr>
          <w:p w14:paraId="3E6FAF52">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年龄</w:t>
            </w:r>
          </w:p>
        </w:tc>
        <w:tc>
          <w:tcPr>
            <w:tcW w:w="816" w:type="dxa"/>
            <w:vAlign w:val="center"/>
          </w:tcPr>
          <w:p w14:paraId="5D88C812">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性别</w:t>
            </w:r>
          </w:p>
        </w:tc>
        <w:tc>
          <w:tcPr>
            <w:tcW w:w="984" w:type="dxa"/>
            <w:vAlign w:val="center"/>
          </w:tcPr>
          <w:p w14:paraId="49F07C63">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学 历</w:t>
            </w:r>
          </w:p>
        </w:tc>
        <w:tc>
          <w:tcPr>
            <w:tcW w:w="816" w:type="dxa"/>
            <w:vAlign w:val="center"/>
          </w:tcPr>
          <w:p w14:paraId="5D04C093">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专业</w:t>
            </w:r>
          </w:p>
        </w:tc>
        <w:tc>
          <w:tcPr>
            <w:tcW w:w="882" w:type="dxa"/>
            <w:vAlign w:val="center"/>
          </w:tcPr>
          <w:p w14:paraId="21700FCA">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职称</w:t>
            </w:r>
          </w:p>
        </w:tc>
        <w:tc>
          <w:tcPr>
            <w:tcW w:w="2275" w:type="dxa"/>
            <w:vAlign w:val="center"/>
          </w:tcPr>
          <w:p w14:paraId="3F2C736E">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在本项目拟任职务</w:t>
            </w:r>
          </w:p>
        </w:tc>
      </w:tr>
      <w:tr w14:paraId="63FEC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547" w:type="dxa"/>
          </w:tcPr>
          <w:p w14:paraId="5DC4A960">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1DDE3FF2">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78A2A190">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6DB77609">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1FAE6157">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6C646716">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63B84428">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56743FF7">
            <w:pPr>
              <w:spacing w:line="240" w:lineRule="auto"/>
              <w:jc w:val="left"/>
              <w:rPr>
                <w:rFonts w:hint="eastAsia" w:asciiTheme="minorEastAsia" w:hAnsiTheme="minorEastAsia" w:eastAsiaTheme="minorEastAsia" w:cstheme="minorEastAsia"/>
                <w:sz w:val="24"/>
                <w:szCs w:val="24"/>
                <w:highlight w:val="none"/>
              </w:rPr>
            </w:pPr>
          </w:p>
        </w:tc>
      </w:tr>
      <w:tr w14:paraId="735A6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547" w:type="dxa"/>
          </w:tcPr>
          <w:p w14:paraId="24EB80E6">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714A29E1">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3608F76E">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6F61DCAE">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15BFD4FE">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3243D65E">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1E1B382D">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6310805A">
            <w:pPr>
              <w:spacing w:line="240" w:lineRule="auto"/>
              <w:jc w:val="left"/>
              <w:rPr>
                <w:rFonts w:hint="eastAsia" w:asciiTheme="minorEastAsia" w:hAnsiTheme="minorEastAsia" w:eastAsiaTheme="minorEastAsia" w:cstheme="minorEastAsia"/>
                <w:sz w:val="24"/>
                <w:szCs w:val="24"/>
                <w:highlight w:val="none"/>
              </w:rPr>
            </w:pPr>
          </w:p>
        </w:tc>
      </w:tr>
      <w:tr w14:paraId="48246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547" w:type="dxa"/>
          </w:tcPr>
          <w:p w14:paraId="63FEA33E">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2B77491A">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74D59A74">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02D73D06">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57632D82">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33142E79">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659F63CA">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3AD291AB">
            <w:pPr>
              <w:spacing w:line="240" w:lineRule="auto"/>
              <w:jc w:val="left"/>
              <w:rPr>
                <w:rFonts w:hint="eastAsia" w:asciiTheme="minorEastAsia" w:hAnsiTheme="minorEastAsia" w:eastAsiaTheme="minorEastAsia" w:cstheme="minorEastAsia"/>
                <w:sz w:val="24"/>
                <w:szCs w:val="24"/>
                <w:highlight w:val="none"/>
              </w:rPr>
            </w:pPr>
          </w:p>
        </w:tc>
      </w:tr>
      <w:tr w14:paraId="36605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547" w:type="dxa"/>
          </w:tcPr>
          <w:p w14:paraId="66D84865">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46B09F25">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5660C3D4">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004970AD">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2D5C225D">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47E7EC0E">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109AEC98">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34686BA1">
            <w:pPr>
              <w:spacing w:line="240" w:lineRule="auto"/>
              <w:jc w:val="left"/>
              <w:rPr>
                <w:rFonts w:hint="eastAsia" w:asciiTheme="minorEastAsia" w:hAnsiTheme="minorEastAsia" w:eastAsiaTheme="minorEastAsia" w:cstheme="minorEastAsia"/>
                <w:sz w:val="24"/>
                <w:szCs w:val="24"/>
                <w:highlight w:val="none"/>
              </w:rPr>
            </w:pPr>
          </w:p>
        </w:tc>
      </w:tr>
      <w:tr w14:paraId="7130D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547" w:type="dxa"/>
          </w:tcPr>
          <w:p w14:paraId="33ADE8AE">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73193D48">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7408484C">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56CFDCB3">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535C32EA">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2247C2C2">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164B1919">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0019B268">
            <w:pPr>
              <w:spacing w:line="240" w:lineRule="auto"/>
              <w:jc w:val="left"/>
              <w:rPr>
                <w:rFonts w:hint="eastAsia" w:asciiTheme="minorEastAsia" w:hAnsiTheme="minorEastAsia" w:eastAsiaTheme="minorEastAsia" w:cstheme="minorEastAsia"/>
                <w:sz w:val="24"/>
                <w:szCs w:val="24"/>
                <w:highlight w:val="none"/>
              </w:rPr>
            </w:pPr>
          </w:p>
        </w:tc>
      </w:tr>
      <w:tr w14:paraId="11B86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547" w:type="dxa"/>
          </w:tcPr>
          <w:p w14:paraId="629D5176">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332D6432">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44AC3F84">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0549958E">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68A0EAE9">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73B0C209">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0ACE4A5E">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32EA9A16">
            <w:pPr>
              <w:spacing w:line="240" w:lineRule="auto"/>
              <w:jc w:val="left"/>
              <w:rPr>
                <w:rFonts w:hint="eastAsia" w:asciiTheme="minorEastAsia" w:hAnsiTheme="minorEastAsia" w:eastAsiaTheme="minorEastAsia" w:cstheme="minorEastAsia"/>
                <w:sz w:val="24"/>
                <w:szCs w:val="24"/>
                <w:highlight w:val="none"/>
              </w:rPr>
            </w:pPr>
          </w:p>
        </w:tc>
      </w:tr>
      <w:tr w14:paraId="1FC4A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547" w:type="dxa"/>
          </w:tcPr>
          <w:p w14:paraId="66628DE4">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288842EB">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158D6A26">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06C8CD82">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49A00F00">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399A156A">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45F2F0A1">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57B1AA0F">
            <w:pPr>
              <w:spacing w:line="240" w:lineRule="auto"/>
              <w:jc w:val="left"/>
              <w:rPr>
                <w:rFonts w:hint="eastAsia" w:asciiTheme="minorEastAsia" w:hAnsiTheme="minorEastAsia" w:eastAsiaTheme="minorEastAsia" w:cstheme="minorEastAsia"/>
                <w:sz w:val="24"/>
                <w:szCs w:val="24"/>
                <w:highlight w:val="none"/>
              </w:rPr>
            </w:pPr>
          </w:p>
        </w:tc>
      </w:tr>
      <w:tr w14:paraId="7FB02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547" w:type="dxa"/>
          </w:tcPr>
          <w:p w14:paraId="6C03A097">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22575D51">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443FFD66">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2AE1EC5D">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74DF7CC0">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784FE0DD">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74191074">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6F777787">
            <w:pPr>
              <w:spacing w:line="240" w:lineRule="auto"/>
              <w:jc w:val="left"/>
              <w:rPr>
                <w:rFonts w:hint="eastAsia" w:asciiTheme="minorEastAsia" w:hAnsiTheme="minorEastAsia" w:eastAsiaTheme="minorEastAsia" w:cstheme="minorEastAsia"/>
                <w:sz w:val="24"/>
                <w:szCs w:val="24"/>
                <w:highlight w:val="none"/>
              </w:rPr>
            </w:pPr>
          </w:p>
        </w:tc>
      </w:tr>
      <w:tr w14:paraId="24B23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547" w:type="dxa"/>
          </w:tcPr>
          <w:p w14:paraId="306459F8">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197A75B4">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4116A942">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461E4887">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0AF15FEE">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0B898EE5">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3CF5E818">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49BC0139">
            <w:pPr>
              <w:spacing w:line="240" w:lineRule="auto"/>
              <w:jc w:val="left"/>
              <w:rPr>
                <w:rFonts w:hint="eastAsia" w:asciiTheme="minorEastAsia" w:hAnsiTheme="minorEastAsia" w:eastAsiaTheme="minorEastAsia" w:cstheme="minorEastAsia"/>
                <w:sz w:val="24"/>
                <w:szCs w:val="24"/>
                <w:highlight w:val="none"/>
              </w:rPr>
            </w:pPr>
          </w:p>
        </w:tc>
      </w:tr>
      <w:tr w14:paraId="3C042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547" w:type="dxa"/>
          </w:tcPr>
          <w:p w14:paraId="1F2B43D7">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3D418E0F">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6E819476">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0755A85B">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3C7D3A29">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15C9F7FD">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209B8AAA">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0C3A71B3">
            <w:pPr>
              <w:spacing w:line="240" w:lineRule="auto"/>
              <w:jc w:val="left"/>
              <w:rPr>
                <w:rFonts w:hint="eastAsia" w:asciiTheme="minorEastAsia" w:hAnsiTheme="minorEastAsia" w:eastAsiaTheme="minorEastAsia" w:cstheme="minorEastAsia"/>
                <w:sz w:val="24"/>
                <w:szCs w:val="24"/>
                <w:highlight w:val="none"/>
              </w:rPr>
            </w:pPr>
          </w:p>
        </w:tc>
      </w:tr>
      <w:tr w14:paraId="2959B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547" w:type="dxa"/>
          </w:tcPr>
          <w:p w14:paraId="6CB415C6">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436E1380">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0D785277">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0BC7A0C9">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49DC2905">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31A0251D">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2FC869B5">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7D3E19EF">
            <w:pPr>
              <w:spacing w:line="240" w:lineRule="auto"/>
              <w:jc w:val="left"/>
              <w:rPr>
                <w:rFonts w:hint="eastAsia" w:asciiTheme="minorEastAsia" w:hAnsiTheme="minorEastAsia" w:eastAsiaTheme="minorEastAsia" w:cstheme="minorEastAsia"/>
                <w:sz w:val="24"/>
                <w:szCs w:val="24"/>
                <w:highlight w:val="none"/>
              </w:rPr>
            </w:pPr>
          </w:p>
        </w:tc>
      </w:tr>
    </w:tbl>
    <w:p w14:paraId="06915DCA">
      <w:pPr>
        <w:spacing w:line="240" w:lineRule="auto"/>
        <w:jc w:val="left"/>
        <w:rPr>
          <w:rFonts w:hint="eastAsia" w:asciiTheme="minorEastAsia" w:hAnsiTheme="minorEastAsia" w:eastAsiaTheme="minorEastAsia" w:cstheme="minorEastAsia"/>
          <w:sz w:val="24"/>
          <w:szCs w:val="24"/>
          <w:highlight w:val="none"/>
        </w:rPr>
      </w:pPr>
    </w:p>
    <w:p w14:paraId="0FCEB370">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注：我单位承诺以上填报内容真实。如不真实，将按照有关规定接受处理。</w:t>
      </w:r>
    </w:p>
    <w:p w14:paraId="2B4A1A71">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特别要求：拟投入本项目的工作人员须满足本项目的工作要求，在合同履行过程中，中标人须根据本项目的实际需求或采购人的进度要求，对人员进行合理的增加，费用均包含在内。</w:t>
      </w:r>
    </w:p>
    <w:p w14:paraId="665C588F">
      <w:pPr>
        <w:spacing w:line="240" w:lineRule="auto"/>
        <w:jc w:val="left"/>
        <w:rPr>
          <w:rFonts w:hint="eastAsia" w:asciiTheme="minorEastAsia" w:hAnsiTheme="minorEastAsia" w:eastAsiaTheme="minorEastAsia" w:cstheme="minorEastAsia"/>
          <w:sz w:val="24"/>
          <w:szCs w:val="24"/>
          <w:highlight w:val="none"/>
        </w:rPr>
        <w:sectPr>
          <w:footerReference r:id="rId3" w:type="default"/>
          <w:pgSz w:w="11910" w:h="16840"/>
          <w:pgMar w:top="1134" w:right="1134" w:bottom="1134" w:left="1134" w:header="0" w:footer="998" w:gutter="0"/>
          <w:pgNumType w:fmt="decimal" w:start="1"/>
          <w:cols w:space="720" w:num="1"/>
          <w:docGrid w:linePitch="1" w:charSpace="0"/>
        </w:sectPr>
      </w:pPr>
    </w:p>
    <w:p w14:paraId="52127DDD">
      <w:pPr>
        <w:tabs>
          <w:tab w:val="left" w:pos="1579"/>
        </w:tabs>
        <w:spacing w:before="58" w:line="240" w:lineRule="auto"/>
        <w:ind w:right="402"/>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附件14：</w:t>
      </w:r>
    </w:p>
    <w:p w14:paraId="438D93DF">
      <w:pPr>
        <w:tabs>
          <w:tab w:val="left" w:pos="1579"/>
        </w:tabs>
        <w:spacing w:before="58" w:line="240" w:lineRule="auto"/>
        <w:ind w:right="402"/>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拟投入本项目的主要人员简历表</w:t>
      </w:r>
    </w:p>
    <w:p w14:paraId="3B327D87">
      <w:pPr>
        <w:spacing w:line="240" w:lineRule="auto"/>
        <w:rPr>
          <w:rFonts w:hint="eastAsia" w:asciiTheme="minorEastAsia" w:hAnsiTheme="minorEastAsia" w:eastAsiaTheme="minorEastAsia" w:cstheme="minorEastAsia"/>
          <w:b/>
          <w:sz w:val="24"/>
          <w:szCs w:val="24"/>
          <w:highlight w:val="none"/>
        </w:rPr>
      </w:pPr>
    </w:p>
    <w:p w14:paraId="13AB4290">
      <w:pPr>
        <w:spacing w:before="8" w:after="1" w:line="240" w:lineRule="auto"/>
        <w:rPr>
          <w:rFonts w:hint="eastAsia" w:asciiTheme="minorEastAsia" w:hAnsiTheme="minorEastAsia" w:eastAsiaTheme="minorEastAsia" w:cstheme="minorEastAsia"/>
          <w:b/>
          <w:sz w:val="24"/>
          <w:szCs w:val="24"/>
          <w:highlight w:val="none"/>
        </w:rPr>
      </w:pPr>
    </w:p>
    <w:tbl>
      <w:tblPr>
        <w:tblStyle w:val="36"/>
        <w:tblW w:w="91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7"/>
        <w:gridCol w:w="550"/>
        <w:gridCol w:w="1065"/>
        <w:gridCol w:w="615"/>
        <w:gridCol w:w="330"/>
        <w:gridCol w:w="945"/>
        <w:gridCol w:w="938"/>
        <w:gridCol w:w="258"/>
        <w:gridCol w:w="2360"/>
      </w:tblGrid>
      <w:tr w14:paraId="7588B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1" w:hRule="atLeast"/>
          <w:jc w:val="center"/>
        </w:trPr>
        <w:tc>
          <w:tcPr>
            <w:tcW w:w="2117" w:type="dxa"/>
          </w:tcPr>
          <w:p w14:paraId="081C0201">
            <w:pPr>
              <w:pStyle w:val="166"/>
              <w:spacing w:line="240" w:lineRule="auto"/>
              <w:rPr>
                <w:rFonts w:hint="eastAsia" w:asciiTheme="minorEastAsia" w:hAnsiTheme="minorEastAsia" w:eastAsiaTheme="minorEastAsia" w:cstheme="minorEastAsia"/>
                <w:b/>
                <w:sz w:val="24"/>
                <w:szCs w:val="24"/>
                <w:highlight w:val="none"/>
                <w:lang w:eastAsia="zh-CN"/>
              </w:rPr>
            </w:pPr>
          </w:p>
          <w:p w14:paraId="04687458">
            <w:pPr>
              <w:pStyle w:val="166"/>
              <w:tabs>
                <w:tab w:val="left" w:pos="794"/>
              </w:tabs>
              <w:spacing w:line="240" w:lineRule="auto"/>
              <w:ind w:left="37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名</w:t>
            </w:r>
          </w:p>
        </w:tc>
        <w:tc>
          <w:tcPr>
            <w:tcW w:w="1615" w:type="dxa"/>
            <w:gridSpan w:val="2"/>
          </w:tcPr>
          <w:p w14:paraId="3A5F25FA">
            <w:pPr>
              <w:pStyle w:val="166"/>
              <w:spacing w:line="240" w:lineRule="auto"/>
              <w:rPr>
                <w:rFonts w:hint="eastAsia" w:asciiTheme="minorEastAsia" w:hAnsiTheme="minorEastAsia" w:eastAsiaTheme="minorEastAsia" w:cstheme="minorEastAsia"/>
                <w:sz w:val="24"/>
                <w:szCs w:val="24"/>
                <w:highlight w:val="none"/>
              </w:rPr>
            </w:pPr>
          </w:p>
        </w:tc>
        <w:tc>
          <w:tcPr>
            <w:tcW w:w="945" w:type="dxa"/>
            <w:gridSpan w:val="2"/>
          </w:tcPr>
          <w:p w14:paraId="5A5922C4">
            <w:pPr>
              <w:pStyle w:val="166"/>
              <w:spacing w:line="240" w:lineRule="auto"/>
              <w:rPr>
                <w:rFonts w:hint="eastAsia" w:asciiTheme="minorEastAsia" w:hAnsiTheme="minorEastAsia" w:eastAsiaTheme="minorEastAsia" w:cstheme="minorEastAsia"/>
                <w:b/>
                <w:sz w:val="24"/>
                <w:szCs w:val="24"/>
                <w:highlight w:val="none"/>
              </w:rPr>
            </w:pPr>
          </w:p>
          <w:p w14:paraId="53A384AD">
            <w:pPr>
              <w:pStyle w:val="166"/>
              <w:spacing w:line="240" w:lineRule="auto"/>
              <w:ind w:left="10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性 别</w:t>
            </w:r>
          </w:p>
        </w:tc>
        <w:tc>
          <w:tcPr>
            <w:tcW w:w="945" w:type="dxa"/>
          </w:tcPr>
          <w:p w14:paraId="65F75E60">
            <w:pPr>
              <w:pStyle w:val="166"/>
              <w:spacing w:line="240" w:lineRule="auto"/>
              <w:rPr>
                <w:rFonts w:hint="eastAsia" w:asciiTheme="minorEastAsia" w:hAnsiTheme="minorEastAsia" w:eastAsiaTheme="minorEastAsia" w:cstheme="minorEastAsia"/>
                <w:sz w:val="24"/>
                <w:szCs w:val="24"/>
                <w:highlight w:val="none"/>
              </w:rPr>
            </w:pPr>
          </w:p>
        </w:tc>
        <w:tc>
          <w:tcPr>
            <w:tcW w:w="938" w:type="dxa"/>
          </w:tcPr>
          <w:p w14:paraId="73391F78">
            <w:pPr>
              <w:pStyle w:val="166"/>
              <w:tabs>
                <w:tab w:val="left" w:pos="626"/>
              </w:tabs>
              <w:spacing w:before="1" w:line="240" w:lineRule="auto"/>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出</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生</w:t>
            </w:r>
          </w:p>
          <w:p w14:paraId="1349D315">
            <w:pPr>
              <w:pStyle w:val="166"/>
              <w:tabs>
                <w:tab w:val="left" w:pos="527"/>
              </w:tabs>
              <w:spacing w:before="139" w:line="240" w:lineRule="auto"/>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期</w:t>
            </w:r>
          </w:p>
        </w:tc>
        <w:tc>
          <w:tcPr>
            <w:tcW w:w="2618" w:type="dxa"/>
            <w:gridSpan w:val="2"/>
          </w:tcPr>
          <w:p w14:paraId="3237003C">
            <w:pPr>
              <w:pStyle w:val="166"/>
              <w:spacing w:line="240" w:lineRule="auto"/>
              <w:rPr>
                <w:rFonts w:hint="eastAsia" w:asciiTheme="minorEastAsia" w:hAnsiTheme="minorEastAsia" w:eastAsiaTheme="minorEastAsia" w:cstheme="minorEastAsia"/>
                <w:b/>
                <w:sz w:val="24"/>
                <w:szCs w:val="24"/>
                <w:highlight w:val="none"/>
              </w:rPr>
            </w:pPr>
          </w:p>
          <w:p w14:paraId="1147EA0D">
            <w:pPr>
              <w:pStyle w:val="166"/>
              <w:tabs>
                <w:tab w:val="left" w:pos="1375"/>
                <w:tab w:val="left" w:pos="1898"/>
              </w:tabs>
              <w:spacing w:line="240" w:lineRule="auto"/>
              <w:ind w:left="74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日</w:t>
            </w:r>
          </w:p>
        </w:tc>
      </w:tr>
      <w:tr w14:paraId="2027A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2667" w:type="dxa"/>
            <w:gridSpan w:val="2"/>
          </w:tcPr>
          <w:p w14:paraId="310CFD11">
            <w:pPr>
              <w:pStyle w:val="166"/>
              <w:spacing w:before="96"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毕业院校及专业</w:t>
            </w:r>
          </w:p>
        </w:tc>
        <w:tc>
          <w:tcPr>
            <w:tcW w:w="2955" w:type="dxa"/>
            <w:gridSpan w:val="4"/>
          </w:tcPr>
          <w:p w14:paraId="20D948C3">
            <w:pPr>
              <w:pStyle w:val="166"/>
              <w:spacing w:line="240" w:lineRule="auto"/>
              <w:rPr>
                <w:rFonts w:hint="eastAsia" w:asciiTheme="minorEastAsia" w:hAnsiTheme="minorEastAsia" w:eastAsiaTheme="minorEastAsia" w:cstheme="minorEastAsia"/>
                <w:sz w:val="24"/>
                <w:szCs w:val="24"/>
                <w:highlight w:val="none"/>
              </w:rPr>
            </w:pPr>
          </w:p>
        </w:tc>
        <w:tc>
          <w:tcPr>
            <w:tcW w:w="938" w:type="dxa"/>
          </w:tcPr>
          <w:p w14:paraId="1CB73CD0">
            <w:pPr>
              <w:pStyle w:val="166"/>
              <w:spacing w:before="96" w:line="240" w:lineRule="auto"/>
              <w:ind w:left="8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毕业时间</w:t>
            </w:r>
          </w:p>
        </w:tc>
        <w:tc>
          <w:tcPr>
            <w:tcW w:w="2618" w:type="dxa"/>
            <w:gridSpan w:val="2"/>
          </w:tcPr>
          <w:p w14:paraId="53759935">
            <w:pPr>
              <w:pStyle w:val="166"/>
              <w:tabs>
                <w:tab w:val="left" w:pos="1411"/>
                <w:tab w:val="left" w:pos="1936"/>
              </w:tabs>
              <w:spacing w:before="96" w:line="240" w:lineRule="auto"/>
              <w:ind w:left="78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日</w:t>
            </w:r>
          </w:p>
        </w:tc>
      </w:tr>
      <w:tr w14:paraId="61C23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2667" w:type="dxa"/>
            <w:gridSpan w:val="2"/>
          </w:tcPr>
          <w:p w14:paraId="7923793D">
            <w:pPr>
              <w:pStyle w:val="166"/>
              <w:spacing w:before="126"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从事本专业时间</w:t>
            </w:r>
          </w:p>
        </w:tc>
        <w:tc>
          <w:tcPr>
            <w:tcW w:w="1680" w:type="dxa"/>
            <w:gridSpan w:val="2"/>
          </w:tcPr>
          <w:p w14:paraId="357848A1">
            <w:pPr>
              <w:pStyle w:val="166"/>
              <w:spacing w:line="240" w:lineRule="auto"/>
              <w:rPr>
                <w:rFonts w:hint="eastAsia" w:asciiTheme="minorEastAsia" w:hAnsiTheme="minorEastAsia" w:eastAsiaTheme="minorEastAsia" w:cstheme="minorEastAsia"/>
                <w:sz w:val="24"/>
                <w:szCs w:val="24"/>
                <w:highlight w:val="none"/>
              </w:rPr>
            </w:pPr>
          </w:p>
        </w:tc>
        <w:tc>
          <w:tcPr>
            <w:tcW w:w="2213" w:type="dxa"/>
            <w:gridSpan w:val="3"/>
          </w:tcPr>
          <w:p w14:paraId="2F87178C">
            <w:pPr>
              <w:pStyle w:val="166"/>
              <w:spacing w:before="126" w:line="240" w:lineRule="auto"/>
              <w:ind w:left="2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为申请人服务时间</w:t>
            </w:r>
          </w:p>
        </w:tc>
        <w:tc>
          <w:tcPr>
            <w:tcW w:w="2618" w:type="dxa"/>
            <w:gridSpan w:val="2"/>
          </w:tcPr>
          <w:p w14:paraId="4F9F08DC">
            <w:pPr>
              <w:pStyle w:val="166"/>
              <w:spacing w:line="240" w:lineRule="auto"/>
              <w:rPr>
                <w:rFonts w:hint="eastAsia" w:asciiTheme="minorEastAsia" w:hAnsiTheme="minorEastAsia" w:eastAsiaTheme="minorEastAsia" w:cstheme="minorEastAsia"/>
                <w:sz w:val="24"/>
                <w:szCs w:val="24"/>
                <w:highlight w:val="none"/>
              </w:rPr>
            </w:pPr>
          </w:p>
        </w:tc>
      </w:tr>
      <w:tr w14:paraId="1CEA7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2667" w:type="dxa"/>
            <w:gridSpan w:val="2"/>
          </w:tcPr>
          <w:p w14:paraId="434795C2">
            <w:pPr>
              <w:pStyle w:val="166"/>
              <w:spacing w:before="95"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执 业 注 册</w:t>
            </w:r>
          </w:p>
        </w:tc>
        <w:tc>
          <w:tcPr>
            <w:tcW w:w="1680" w:type="dxa"/>
            <w:gridSpan w:val="2"/>
          </w:tcPr>
          <w:p w14:paraId="0D6072AC">
            <w:pPr>
              <w:pStyle w:val="166"/>
              <w:spacing w:line="240" w:lineRule="auto"/>
              <w:rPr>
                <w:rFonts w:hint="eastAsia" w:asciiTheme="minorEastAsia" w:hAnsiTheme="minorEastAsia" w:eastAsiaTheme="minorEastAsia" w:cstheme="minorEastAsia"/>
                <w:sz w:val="24"/>
                <w:szCs w:val="24"/>
                <w:highlight w:val="none"/>
              </w:rPr>
            </w:pPr>
          </w:p>
        </w:tc>
        <w:tc>
          <w:tcPr>
            <w:tcW w:w="2213" w:type="dxa"/>
            <w:gridSpan w:val="3"/>
          </w:tcPr>
          <w:p w14:paraId="51060821">
            <w:pPr>
              <w:pStyle w:val="166"/>
              <w:tabs>
                <w:tab w:val="left" w:pos="1469"/>
              </w:tabs>
              <w:spacing w:before="95" w:line="240" w:lineRule="auto"/>
              <w:ind w:left="52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职</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称</w:t>
            </w:r>
          </w:p>
        </w:tc>
        <w:tc>
          <w:tcPr>
            <w:tcW w:w="2618" w:type="dxa"/>
            <w:gridSpan w:val="2"/>
          </w:tcPr>
          <w:p w14:paraId="240DE8EE">
            <w:pPr>
              <w:pStyle w:val="166"/>
              <w:spacing w:line="240" w:lineRule="auto"/>
              <w:rPr>
                <w:rFonts w:hint="eastAsia" w:asciiTheme="minorEastAsia" w:hAnsiTheme="minorEastAsia" w:eastAsiaTheme="minorEastAsia" w:cstheme="minorEastAsia"/>
                <w:sz w:val="24"/>
                <w:szCs w:val="24"/>
                <w:highlight w:val="none"/>
              </w:rPr>
            </w:pPr>
          </w:p>
        </w:tc>
      </w:tr>
      <w:tr w14:paraId="2B676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9178" w:type="dxa"/>
            <w:gridSpan w:val="9"/>
          </w:tcPr>
          <w:p w14:paraId="3CE98ECE">
            <w:pPr>
              <w:pStyle w:val="166"/>
              <w:tabs>
                <w:tab w:val="left" w:pos="428"/>
                <w:tab w:val="left" w:pos="848"/>
                <w:tab w:val="left" w:pos="1268"/>
              </w:tabs>
              <w:spacing w:before="97" w:line="240" w:lineRule="auto"/>
              <w:ind w:left="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要</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经</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历</w:t>
            </w:r>
          </w:p>
        </w:tc>
      </w:tr>
      <w:tr w14:paraId="5E9A9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2667" w:type="dxa"/>
            <w:gridSpan w:val="2"/>
          </w:tcPr>
          <w:p w14:paraId="3AD48D52">
            <w:pPr>
              <w:pStyle w:val="166"/>
              <w:tabs>
                <w:tab w:val="left" w:pos="1219"/>
              </w:tabs>
              <w:spacing w:before="142" w:line="240" w:lineRule="auto"/>
              <w:ind w:left="69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时</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间</w:t>
            </w:r>
          </w:p>
        </w:tc>
        <w:tc>
          <w:tcPr>
            <w:tcW w:w="4151" w:type="dxa"/>
            <w:gridSpan w:val="6"/>
          </w:tcPr>
          <w:p w14:paraId="52F68FC4">
            <w:pPr>
              <w:pStyle w:val="166"/>
              <w:spacing w:before="142" w:line="240" w:lineRule="auto"/>
              <w:ind w:left="21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参加过的类似项目名称及主要内容等</w:t>
            </w:r>
          </w:p>
        </w:tc>
        <w:tc>
          <w:tcPr>
            <w:tcW w:w="2360" w:type="dxa"/>
          </w:tcPr>
          <w:p w14:paraId="57499875">
            <w:pPr>
              <w:pStyle w:val="166"/>
              <w:spacing w:before="142" w:line="240" w:lineRule="auto"/>
              <w:ind w:left="2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该项目中任职</w:t>
            </w:r>
          </w:p>
        </w:tc>
      </w:tr>
      <w:tr w14:paraId="4B9CD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0" w:hRule="atLeast"/>
          <w:jc w:val="center"/>
        </w:trPr>
        <w:tc>
          <w:tcPr>
            <w:tcW w:w="2667" w:type="dxa"/>
            <w:gridSpan w:val="2"/>
          </w:tcPr>
          <w:p w14:paraId="7B9B9FC0">
            <w:pPr>
              <w:pStyle w:val="166"/>
              <w:spacing w:line="240" w:lineRule="auto"/>
              <w:rPr>
                <w:rFonts w:hint="eastAsia" w:asciiTheme="minorEastAsia" w:hAnsiTheme="minorEastAsia" w:eastAsiaTheme="minorEastAsia" w:cstheme="minorEastAsia"/>
                <w:sz w:val="24"/>
                <w:szCs w:val="24"/>
                <w:highlight w:val="none"/>
              </w:rPr>
            </w:pPr>
          </w:p>
        </w:tc>
        <w:tc>
          <w:tcPr>
            <w:tcW w:w="4151" w:type="dxa"/>
            <w:gridSpan w:val="6"/>
          </w:tcPr>
          <w:p w14:paraId="7AFD6E55">
            <w:pPr>
              <w:pStyle w:val="166"/>
              <w:spacing w:line="240" w:lineRule="auto"/>
              <w:rPr>
                <w:rFonts w:hint="eastAsia" w:asciiTheme="minorEastAsia" w:hAnsiTheme="minorEastAsia" w:eastAsiaTheme="minorEastAsia" w:cstheme="minorEastAsia"/>
                <w:sz w:val="24"/>
                <w:szCs w:val="24"/>
                <w:highlight w:val="none"/>
              </w:rPr>
            </w:pPr>
          </w:p>
        </w:tc>
        <w:tc>
          <w:tcPr>
            <w:tcW w:w="2360" w:type="dxa"/>
          </w:tcPr>
          <w:p w14:paraId="1781CFC6">
            <w:pPr>
              <w:pStyle w:val="166"/>
              <w:spacing w:line="240" w:lineRule="auto"/>
              <w:rPr>
                <w:rFonts w:hint="eastAsia" w:asciiTheme="minorEastAsia" w:hAnsiTheme="minorEastAsia" w:eastAsiaTheme="minorEastAsia" w:cstheme="minorEastAsia"/>
                <w:sz w:val="24"/>
                <w:szCs w:val="24"/>
                <w:highlight w:val="none"/>
              </w:rPr>
            </w:pPr>
          </w:p>
        </w:tc>
      </w:tr>
    </w:tbl>
    <w:p w14:paraId="1D589B19">
      <w:pPr>
        <w:spacing w:before="6" w:line="240" w:lineRule="auto"/>
        <w:rPr>
          <w:rFonts w:hint="eastAsia" w:asciiTheme="minorEastAsia" w:hAnsiTheme="minorEastAsia" w:eastAsiaTheme="minorEastAsia" w:cstheme="minorEastAsia"/>
          <w:b/>
          <w:sz w:val="24"/>
          <w:szCs w:val="24"/>
          <w:highlight w:val="none"/>
        </w:rPr>
      </w:pPr>
    </w:p>
    <w:p w14:paraId="027A7FDC">
      <w:pPr>
        <w:autoSpaceDE w:val="0"/>
        <w:autoSpaceDN w:val="0"/>
        <w:spacing w:line="240" w:lineRule="auto"/>
        <w:ind w:left="65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我单位承诺以上填报内容真实。如不真实，将按照有关规定接受处理。</w:t>
      </w:r>
    </w:p>
    <w:p w14:paraId="0B8D3CBB">
      <w:pPr>
        <w:autoSpaceDE w:val="0"/>
        <w:autoSpaceDN w:val="0"/>
        <w:spacing w:line="240" w:lineRule="auto"/>
        <w:ind w:left="652" w:right="4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w:t>
      </w:r>
    </w:p>
    <w:p w14:paraId="07C642B4">
      <w:pPr>
        <w:autoSpaceDE w:val="0"/>
        <w:autoSpaceDN w:val="0"/>
        <w:spacing w:line="240" w:lineRule="auto"/>
        <w:ind w:left="652" w:right="4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1、注册类证书（如有）、职称证书（如有）、身份证等相关证件的扫描件。</w:t>
      </w:r>
    </w:p>
    <w:p w14:paraId="32BAD297">
      <w:pPr>
        <w:autoSpaceDE w:val="0"/>
        <w:autoSpaceDN w:val="0"/>
        <w:spacing w:line="240" w:lineRule="auto"/>
        <w:ind w:left="652" w:right="4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2、提供相关人员社保证明材料。</w:t>
      </w:r>
    </w:p>
    <w:p w14:paraId="74CA71AE">
      <w:pPr>
        <w:autoSpaceDE w:val="0"/>
        <w:autoSpaceDN w:val="0"/>
        <w:spacing w:line="240" w:lineRule="auto"/>
        <w:ind w:left="652" w:right="4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3、类似业绩等证明材料</w:t>
      </w:r>
      <w:r>
        <w:rPr>
          <w:rFonts w:hint="eastAsia" w:asciiTheme="minorEastAsia" w:hAnsiTheme="minorEastAsia" w:eastAsiaTheme="minorEastAsia" w:cstheme="minorEastAsia"/>
          <w:sz w:val="24"/>
          <w:szCs w:val="24"/>
          <w:highlight w:val="none"/>
          <w:lang w:eastAsia="zh-CN"/>
        </w:rPr>
        <w:t>（如有）</w:t>
      </w:r>
      <w:r>
        <w:rPr>
          <w:rFonts w:hint="eastAsia" w:asciiTheme="minorEastAsia" w:hAnsiTheme="minorEastAsia" w:eastAsiaTheme="minorEastAsia" w:cstheme="minorEastAsia"/>
          <w:sz w:val="24"/>
          <w:szCs w:val="24"/>
          <w:highlight w:val="none"/>
        </w:rPr>
        <w:t>。</w:t>
      </w:r>
    </w:p>
    <w:p w14:paraId="29673618">
      <w:pPr>
        <w:widowControl/>
        <w:adjustRightInd w:val="0"/>
        <w:snapToGrid w:val="0"/>
        <w:spacing w:line="360" w:lineRule="auto"/>
        <w:jc w:val="left"/>
        <w:rPr>
          <w:rFonts w:hint="eastAsia" w:ascii="宋体" w:hAnsi="宋体" w:eastAsia="宋体" w:cs="宋体"/>
          <w:sz w:val="24"/>
          <w:szCs w:val="24"/>
          <w:highlight w:val="none"/>
        </w:rPr>
      </w:pPr>
      <w:r>
        <w:rPr>
          <w:rFonts w:hint="eastAsia" w:asciiTheme="minorEastAsia" w:hAnsiTheme="minorEastAsia" w:eastAsiaTheme="minorEastAsia" w:cstheme="minorEastAsia"/>
          <w:sz w:val="24"/>
          <w:szCs w:val="24"/>
          <w:highlight w:val="none"/>
        </w:rPr>
        <w:br w:type="page"/>
      </w:r>
      <w:r>
        <w:rPr>
          <w:rFonts w:hint="eastAsia" w:ascii="宋体" w:hAnsi="宋体" w:eastAsia="宋体" w:cs="宋体"/>
          <w:b/>
          <w:bCs/>
          <w:sz w:val="24"/>
          <w:szCs w:val="24"/>
          <w:highlight w:val="none"/>
        </w:rPr>
        <w:t>附件</w:t>
      </w:r>
      <w:r>
        <w:rPr>
          <w:rFonts w:hint="eastAsia" w:ascii="宋体" w:hAnsi="宋体" w:eastAsia="宋体" w:cs="宋体"/>
          <w:b/>
          <w:bCs/>
          <w:sz w:val="24"/>
          <w:szCs w:val="24"/>
          <w:highlight w:val="none"/>
          <w:lang w:val="en-US" w:eastAsia="zh-CN"/>
        </w:rPr>
        <w:t>15</w:t>
      </w:r>
      <w:r>
        <w:rPr>
          <w:rFonts w:hint="eastAsia" w:ascii="宋体" w:hAnsi="宋体" w:eastAsia="宋体" w:cs="宋体"/>
          <w:b/>
          <w:bCs/>
          <w:sz w:val="24"/>
          <w:szCs w:val="24"/>
          <w:highlight w:val="none"/>
        </w:rPr>
        <w:t>：</w:t>
      </w:r>
    </w:p>
    <w:p w14:paraId="61B8F132">
      <w:pPr>
        <w:widowControl/>
        <w:adjustRightInd w:val="0"/>
        <w:snapToGrid w:val="0"/>
        <w:spacing w:line="360" w:lineRule="auto"/>
        <w:jc w:val="center"/>
        <w:rPr>
          <w:rFonts w:ascii="宋体" w:hAnsi="宋体" w:eastAsia="宋体" w:cs="宋体"/>
          <w:b/>
          <w:color w:val="000000"/>
          <w:spacing w:val="6"/>
          <w:kern w:val="0"/>
          <w:sz w:val="24"/>
          <w:szCs w:val="24"/>
          <w:highlight w:val="none"/>
        </w:rPr>
      </w:pPr>
      <w:r>
        <w:rPr>
          <w:rFonts w:hint="eastAsia" w:ascii="宋体" w:hAnsi="宋体" w:eastAsia="宋体" w:cs="宋体"/>
          <w:b/>
          <w:color w:val="000000"/>
          <w:spacing w:val="6"/>
          <w:kern w:val="0"/>
          <w:sz w:val="24"/>
          <w:szCs w:val="24"/>
          <w:highlight w:val="none"/>
        </w:rPr>
        <w:t>不存在与参加本项目的其它供应商单位负责人为同一人或者存在直接控股、管理关系承诺函</w:t>
      </w:r>
    </w:p>
    <w:p w14:paraId="43EFD1F0">
      <w:pPr>
        <w:widowControl/>
        <w:adjustRightInd w:val="0"/>
        <w:snapToGrid w:val="0"/>
        <w:spacing w:line="360" w:lineRule="auto"/>
        <w:jc w:val="left"/>
        <w:rPr>
          <w:rFonts w:ascii="宋体" w:hAnsi="宋体" w:eastAsia="宋体" w:cs="宋体"/>
          <w:color w:val="000000"/>
          <w:spacing w:val="6"/>
          <w:kern w:val="0"/>
          <w:sz w:val="24"/>
          <w:szCs w:val="24"/>
          <w:highlight w:val="none"/>
        </w:rPr>
      </w:pPr>
    </w:p>
    <w:p w14:paraId="04C02B06">
      <w:pPr>
        <w:widowControl/>
        <w:adjustRightInd w:val="0"/>
        <w:snapToGrid w:val="0"/>
        <w:spacing w:line="360" w:lineRule="auto"/>
        <w:jc w:val="left"/>
        <w:rPr>
          <w:rFonts w:ascii="宋体" w:hAnsi="宋体" w:eastAsia="宋体" w:cs="宋体"/>
          <w:color w:val="000000"/>
          <w:spacing w:val="6"/>
          <w:kern w:val="0"/>
          <w:sz w:val="24"/>
          <w:szCs w:val="24"/>
          <w:highlight w:val="none"/>
        </w:rPr>
      </w:pPr>
      <w:r>
        <w:rPr>
          <w:rFonts w:hint="eastAsia" w:ascii="宋体" w:hAnsi="宋体" w:eastAsia="宋体" w:cs="宋体"/>
          <w:color w:val="000000"/>
          <w:spacing w:val="6"/>
          <w:kern w:val="0"/>
          <w:sz w:val="24"/>
          <w:szCs w:val="24"/>
          <w:highlight w:val="none"/>
          <w:u w:val="single"/>
        </w:rPr>
        <w:t xml:space="preserve">    采购人    </w:t>
      </w:r>
      <w:r>
        <w:rPr>
          <w:rFonts w:hint="eastAsia" w:ascii="宋体" w:hAnsi="宋体" w:eastAsia="宋体" w:cs="宋体"/>
          <w:color w:val="000000"/>
          <w:spacing w:val="6"/>
          <w:kern w:val="0"/>
          <w:sz w:val="24"/>
          <w:szCs w:val="24"/>
          <w:highlight w:val="none"/>
        </w:rPr>
        <w:t>：</w:t>
      </w:r>
    </w:p>
    <w:p w14:paraId="458D8309">
      <w:pPr>
        <w:spacing w:line="360" w:lineRule="auto"/>
        <w:ind w:firstLine="480" w:firstLineChars="200"/>
        <w:rPr>
          <w:rFonts w:ascii="宋体" w:hAnsi="宋体" w:eastAsia="宋体"/>
          <w:bCs/>
          <w:color w:val="000000"/>
          <w:sz w:val="24"/>
          <w:szCs w:val="24"/>
          <w:highlight w:val="none"/>
          <w:shd w:val="clear" w:color="auto" w:fill="FFFFFF"/>
        </w:rPr>
      </w:pPr>
      <w:r>
        <w:rPr>
          <w:rFonts w:hint="eastAsia" w:ascii="宋体" w:hAnsi="宋体" w:eastAsia="宋体"/>
          <w:bCs/>
          <w:color w:val="000000"/>
          <w:sz w:val="24"/>
          <w:szCs w:val="24"/>
          <w:highlight w:val="none"/>
          <w:shd w:val="clear" w:color="auto" w:fill="FFFFFF"/>
        </w:rPr>
        <w:t>我公司参加贵单位组织的</w:t>
      </w:r>
      <w:r>
        <w:rPr>
          <w:rFonts w:hint="eastAsia" w:ascii="宋体" w:hAnsi="宋体" w:eastAsia="宋体"/>
          <w:bCs/>
          <w:color w:val="000000"/>
          <w:sz w:val="24"/>
          <w:szCs w:val="24"/>
          <w:highlight w:val="none"/>
          <w:u w:val="single"/>
          <w:shd w:val="clear" w:color="auto" w:fill="FFFFFF"/>
        </w:rPr>
        <w:t xml:space="preserve">      </w:t>
      </w:r>
      <w:r>
        <w:rPr>
          <w:rFonts w:hint="eastAsia" w:ascii="宋体" w:hAnsi="宋体" w:eastAsia="宋体" w:cs="Arial"/>
          <w:b/>
          <w:color w:val="000000"/>
          <w:kern w:val="0"/>
          <w:sz w:val="24"/>
          <w:szCs w:val="24"/>
          <w:highlight w:val="none"/>
          <w:shd w:val="clear" w:color="auto" w:fill="FFFFFF"/>
        </w:rPr>
        <w:t>（项目名称）</w:t>
      </w:r>
      <w:r>
        <w:rPr>
          <w:rFonts w:hint="eastAsia" w:ascii="宋体" w:hAnsi="宋体" w:eastAsia="宋体"/>
          <w:bCs/>
          <w:color w:val="000000"/>
          <w:sz w:val="24"/>
          <w:szCs w:val="24"/>
          <w:highlight w:val="none"/>
          <w:shd w:val="clear" w:color="auto" w:fill="FFFFFF"/>
        </w:rPr>
        <w:t>招标活动，郑重承诺：在参加本项目里不存在与参加本项目的其它供应商负责人为同一人或者存在直接控股、管理关系。我公司对上述承诺的真实性负责。如有虚假，将依法承担相应责任。特此承诺！</w:t>
      </w:r>
    </w:p>
    <w:p w14:paraId="10F19D28">
      <w:pPr>
        <w:widowControl/>
        <w:adjustRightInd w:val="0"/>
        <w:snapToGrid w:val="0"/>
        <w:spacing w:line="360" w:lineRule="auto"/>
        <w:ind w:firstLine="504" w:firstLineChars="200"/>
        <w:rPr>
          <w:rFonts w:ascii="宋体" w:hAnsi="宋体" w:eastAsia="宋体" w:cs="宋体"/>
          <w:color w:val="000000"/>
          <w:spacing w:val="6"/>
          <w:kern w:val="0"/>
          <w:sz w:val="24"/>
          <w:szCs w:val="24"/>
          <w:highlight w:val="none"/>
        </w:rPr>
      </w:pPr>
    </w:p>
    <w:p w14:paraId="30BB8B07">
      <w:pPr>
        <w:widowControl/>
        <w:adjustRightInd w:val="0"/>
        <w:snapToGrid w:val="0"/>
        <w:spacing w:line="360" w:lineRule="auto"/>
        <w:ind w:firstLine="504" w:firstLineChars="200"/>
        <w:rPr>
          <w:rFonts w:ascii="宋体" w:hAnsi="宋体" w:eastAsia="宋体" w:cs="宋体"/>
          <w:color w:val="000000"/>
          <w:spacing w:val="6"/>
          <w:kern w:val="0"/>
          <w:sz w:val="24"/>
          <w:szCs w:val="24"/>
          <w:highlight w:val="none"/>
        </w:rPr>
      </w:pPr>
    </w:p>
    <w:p w14:paraId="4D8C3B40">
      <w:pPr>
        <w:widowControl/>
        <w:adjustRightInd w:val="0"/>
        <w:snapToGrid w:val="0"/>
        <w:spacing w:line="360" w:lineRule="auto"/>
        <w:ind w:firstLine="504" w:firstLineChars="200"/>
        <w:rPr>
          <w:rFonts w:ascii="宋体" w:hAnsi="宋体" w:eastAsia="宋体" w:cs="宋体"/>
          <w:color w:val="000000"/>
          <w:spacing w:val="6"/>
          <w:kern w:val="0"/>
          <w:sz w:val="24"/>
          <w:szCs w:val="24"/>
          <w:highlight w:val="none"/>
        </w:rPr>
      </w:pPr>
    </w:p>
    <w:p w14:paraId="1692F387">
      <w:pPr>
        <w:widowControl/>
        <w:adjustRightInd w:val="0"/>
        <w:snapToGrid w:val="0"/>
        <w:spacing w:line="360" w:lineRule="auto"/>
        <w:ind w:firstLine="504" w:firstLineChars="200"/>
        <w:rPr>
          <w:rFonts w:ascii="宋体" w:hAnsi="宋体" w:eastAsia="宋体" w:cs="宋体"/>
          <w:color w:val="000000"/>
          <w:spacing w:val="6"/>
          <w:kern w:val="0"/>
          <w:sz w:val="24"/>
          <w:szCs w:val="24"/>
          <w:highlight w:val="none"/>
        </w:rPr>
      </w:pPr>
    </w:p>
    <w:p w14:paraId="35AEE26D">
      <w:pPr>
        <w:widowControl/>
        <w:shd w:val="clear" w:color="auto" w:fill="FFFFFF"/>
        <w:snapToGrid w:val="0"/>
        <w:spacing w:line="360" w:lineRule="auto"/>
        <w:jc w:val="left"/>
        <w:rPr>
          <w:rFonts w:ascii="宋体" w:hAnsi="宋体" w:eastAsia="宋体" w:cs="Arial"/>
          <w:color w:val="000000"/>
          <w:kern w:val="0"/>
          <w:sz w:val="24"/>
          <w:szCs w:val="24"/>
          <w:highlight w:val="none"/>
          <w:shd w:val="clear" w:color="auto" w:fill="FFFFFF"/>
        </w:rPr>
      </w:pPr>
      <w:r>
        <w:rPr>
          <w:rFonts w:hint="eastAsia" w:ascii="宋体" w:hAnsi="宋体" w:eastAsia="宋体" w:cs="Arial"/>
          <w:color w:val="000000"/>
          <w:kern w:val="0"/>
          <w:sz w:val="24"/>
          <w:szCs w:val="24"/>
          <w:highlight w:val="none"/>
          <w:shd w:val="clear" w:color="auto" w:fill="FFFFFF"/>
        </w:rPr>
        <w:t>供应商：</w:t>
      </w:r>
      <w:r>
        <w:rPr>
          <w:rFonts w:hint="eastAsia" w:ascii="宋体" w:hAnsi="宋体" w:eastAsia="宋体" w:cs="Arial"/>
          <w:color w:val="000000"/>
          <w:kern w:val="0"/>
          <w:sz w:val="24"/>
          <w:szCs w:val="24"/>
          <w:highlight w:val="none"/>
          <w:u w:val="single"/>
          <w:shd w:val="clear" w:color="auto" w:fill="FFFFFF"/>
        </w:rPr>
        <w:t xml:space="preserve">               </w:t>
      </w:r>
      <w:r>
        <w:rPr>
          <w:rFonts w:hint="eastAsia" w:ascii="宋体" w:hAnsi="宋体" w:eastAsia="宋体" w:cs="Arial"/>
          <w:color w:val="000000"/>
          <w:kern w:val="0"/>
          <w:sz w:val="24"/>
          <w:szCs w:val="24"/>
          <w:highlight w:val="none"/>
          <w:shd w:val="clear" w:color="auto" w:fill="FFFFFF"/>
        </w:rPr>
        <w:t>（盖章）</w:t>
      </w:r>
    </w:p>
    <w:p w14:paraId="3E07045E">
      <w:pPr>
        <w:widowControl/>
        <w:shd w:val="clear" w:color="auto" w:fill="FFFFFF"/>
        <w:snapToGrid w:val="0"/>
        <w:spacing w:line="360" w:lineRule="auto"/>
        <w:jc w:val="left"/>
        <w:rPr>
          <w:rFonts w:ascii="宋体" w:hAnsi="宋体" w:eastAsia="宋体" w:cs="Arial"/>
          <w:color w:val="000000"/>
          <w:kern w:val="0"/>
          <w:sz w:val="24"/>
          <w:szCs w:val="24"/>
          <w:highlight w:val="none"/>
          <w:shd w:val="clear" w:color="auto" w:fill="FFFFFF"/>
        </w:rPr>
      </w:pPr>
    </w:p>
    <w:p w14:paraId="3ECECC05">
      <w:pPr>
        <w:widowControl/>
        <w:shd w:val="clear" w:color="auto" w:fill="FFFFFF"/>
        <w:snapToGrid w:val="0"/>
        <w:spacing w:line="360" w:lineRule="auto"/>
        <w:jc w:val="left"/>
        <w:rPr>
          <w:rFonts w:ascii="宋体" w:hAnsi="宋体" w:eastAsia="宋体" w:cs="Arial"/>
          <w:color w:val="000000"/>
          <w:kern w:val="0"/>
          <w:sz w:val="24"/>
          <w:szCs w:val="24"/>
          <w:highlight w:val="none"/>
          <w:shd w:val="clear" w:color="auto" w:fill="FFFFFF"/>
        </w:rPr>
      </w:pPr>
      <w:r>
        <w:rPr>
          <w:rFonts w:hint="eastAsia" w:ascii="宋体" w:hAnsi="宋体" w:eastAsia="宋体" w:cs="Arial"/>
          <w:color w:val="000000"/>
          <w:kern w:val="0"/>
          <w:sz w:val="24"/>
          <w:szCs w:val="24"/>
          <w:highlight w:val="none"/>
          <w:shd w:val="clear" w:color="auto" w:fill="FFFFFF"/>
        </w:rPr>
        <w:t>法定代表人：</w:t>
      </w:r>
      <w:r>
        <w:rPr>
          <w:rFonts w:hint="eastAsia" w:ascii="宋体" w:hAnsi="宋体" w:eastAsia="宋体" w:cs="Arial"/>
          <w:color w:val="000000"/>
          <w:kern w:val="0"/>
          <w:sz w:val="24"/>
          <w:szCs w:val="24"/>
          <w:highlight w:val="none"/>
          <w:u w:val="single"/>
          <w:shd w:val="clear" w:color="auto" w:fill="FFFFFF"/>
        </w:rPr>
        <w:t xml:space="preserve">           </w:t>
      </w:r>
      <w:r>
        <w:rPr>
          <w:rFonts w:hint="eastAsia" w:ascii="宋体" w:hAnsi="宋体" w:eastAsia="宋体" w:cs="Arial"/>
          <w:color w:val="000000"/>
          <w:kern w:val="0"/>
          <w:sz w:val="24"/>
          <w:szCs w:val="24"/>
          <w:highlight w:val="none"/>
          <w:shd w:val="clear" w:color="auto" w:fill="FFFFFF"/>
        </w:rPr>
        <w:t>（盖章）</w:t>
      </w:r>
    </w:p>
    <w:p w14:paraId="7FA9A658">
      <w:pPr>
        <w:widowControl/>
        <w:shd w:val="clear" w:color="auto" w:fill="FFFFFF"/>
        <w:snapToGrid w:val="0"/>
        <w:spacing w:line="360" w:lineRule="auto"/>
        <w:ind w:firstLine="420"/>
        <w:jc w:val="center"/>
        <w:rPr>
          <w:rFonts w:ascii="宋体" w:hAnsi="宋体" w:eastAsia="宋体" w:cs="Arial"/>
          <w:color w:val="000000"/>
          <w:kern w:val="0"/>
          <w:sz w:val="24"/>
          <w:szCs w:val="24"/>
          <w:highlight w:val="none"/>
          <w:shd w:val="clear" w:color="auto" w:fill="FFFFFF"/>
        </w:rPr>
      </w:pPr>
      <w:r>
        <w:rPr>
          <w:rFonts w:hint="eastAsia" w:ascii="宋体" w:hAnsi="宋体" w:eastAsia="宋体" w:cs="Arial"/>
          <w:color w:val="000000"/>
          <w:kern w:val="0"/>
          <w:sz w:val="24"/>
          <w:szCs w:val="24"/>
          <w:highlight w:val="none"/>
          <w:shd w:val="clear" w:color="auto" w:fill="FFFFFF"/>
        </w:rPr>
        <w:t xml:space="preserve">                                               日期： 年  月  日</w:t>
      </w:r>
    </w:p>
    <w:p w14:paraId="051AEA92">
      <w:pPr>
        <w:widowControl/>
        <w:adjustRightInd w:val="0"/>
        <w:snapToGrid w:val="0"/>
        <w:spacing w:line="360" w:lineRule="auto"/>
        <w:ind w:firstLine="504" w:firstLineChars="200"/>
        <w:rPr>
          <w:rFonts w:ascii="宋体" w:hAnsi="宋体" w:eastAsia="宋体" w:cs="宋体"/>
          <w:color w:val="000000"/>
          <w:spacing w:val="6"/>
          <w:kern w:val="0"/>
          <w:sz w:val="24"/>
          <w:szCs w:val="24"/>
          <w:highlight w:val="none"/>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C0A9978">
      <w:pPr>
        <w:widowControl/>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w:t>
      </w:r>
      <w:r>
        <w:rPr>
          <w:rFonts w:hint="eastAsia" w:ascii="宋体" w:hAnsi="宋体" w:eastAsia="宋体" w:cs="宋体"/>
          <w:b/>
          <w:bCs/>
          <w:sz w:val="24"/>
          <w:szCs w:val="24"/>
          <w:highlight w:val="none"/>
          <w:lang w:val="en-US" w:eastAsia="zh-CN"/>
        </w:rPr>
        <w:t>16</w:t>
      </w:r>
      <w:r>
        <w:rPr>
          <w:rFonts w:hint="eastAsia" w:ascii="宋体" w:hAnsi="宋体" w:eastAsia="宋体" w:cs="宋体"/>
          <w:b/>
          <w:bCs/>
          <w:sz w:val="24"/>
          <w:szCs w:val="24"/>
          <w:highlight w:val="none"/>
        </w:rPr>
        <w:t>：</w:t>
      </w:r>
    </w:p>
    <w:p w14:paraId="24B0FF48">
      <w:pPr>
        <w:widowControl/>
        <w:adjustRightInd w:val="0"/>
        <w:snapToGrid w:val="0"/>
        <w:spacing w:line="360" w:lineRule="auto"/>
        <w:jc w:val="center"/>
        <w:rPr>
          <w:rFonts w:ascii="宋体" w:hAnsi="宋体" w:eastAsia="宋体" w:cs="宋体"/>
          <w:b/>
          <w:color w:val="000000"/>
          <w:spacing w:val="6"/>
          <w:kern w:val="0"/>
          <w:sz w:val="24"/>
          <w:szCs w:val="24"/>
          <w:highlight w:val="none"/>
        </w:rPr>
      </w:pPr>
      <w:r>
        <w:rPr>
          <w:rFonts w:hint="eastAsia" w:ascii="宋体" w:hAnsi="宋体" w:eastAsia="宋体" w:cs="宋体"/>
          <w:b/>
          <w:color w:val="000000"/>
          <w:spacing w:val="6"/>
          <w:kern w:val="0"/>
          <w:sz w:val="24"/>
          <w:szCs w:val="24"/>
          <w:highlight w:val="none"/>
        </w:rPr>
        <w:t>未提供本采购项目的整体设计、规范编制或者项目管理、监理、检测等服务的承诺函</w:t>
      </w:r>
    </w:p>
    <w:p w14:paraId="66458614">
      <w:pPr>
        <w:spacing w:line="360" w:lineRule="auto"/>
        <w:ind w:firstLine="484" w:firstLineChars="200"/>
        <w:rPr>
          <w:rFonts w:ascii="宋体" w:hAnsi="宋体" w:eastAsia="宋体"/>
          <w:color w:val="000000"/>
          <w:sz w:val="24"/>
          <w:szCs w:val="24"/>
          <w:highlight w:val="none"/>
          <w:shd w:val="clear" w:color="auto" w:fill="FFFFFF"/>
        </w:rPr>
      </w:pPr>
    </w:p>
    <w:p w14:paraId="2BEDDC18">
      <w:pPr>
        <w:widowControl/>
        <w:adjustRightInd w:val="0"/>
        <w:snapToGrid w:val="0"/>
        <w:spacing w:line="360" w:lineRule="auto"/>
        <w:jc w:val="left"/>
        <w:rPr>
          <w:rFonts w:ascii="宋体" w:hAnsi="宋体" w:eastAsia="宋体" w:cs="宋体"/>
          <w:color w:val="000000"/>
          <w:spacing w:val="6"/>
          <w:kern w:val="0"/>
          <w:sz w:val="24"/>
          <w:szCs w:val="24"/>
          <w:highlight w:val="none"/>
        </w:rPr>
      </w:pPr>
      <w:r>
        <w:rPr>
          <w:rFonts w:hint="eastAsia" w:ascii="宋体" w:hAnsi="宋体" w:eastAsia="宋体" w:cs="宋体"/>
          <w:color w:val="000000"/>
          <w:spacing w:val="6"/>
          <w:kern w:val="0"/>
          <w:sz w:val="24"/>
          <w:szCs w:val="24"/>
          <w:highlight w:val="none"/>
          <w:u w:val="single"/>
        </w:rPr>
        <w:t xml:space="preserve">   采购人    </w:t>
      </w:r>
      <w:r>
        <w:rPr>
          <w:rFonts w:hint="eastAsia" w:ascii="宋体" w:hAnsi="宋体" w:eastAsia="宋体" w:cs="宋体"/>
          <w:color w:val="000000"/>
          <w:spacing w:val="6"/>
          <w:kern w:val="0"/>
          <w:sz w:val="24"/>
          <w:szCs w:val="24"/>
          <w:highlight w:val="none"/>
        </w:rPr>
        <w:t>：</w:t>
      </w:r>
    </w:p>
    <w:p w14:paraId="452A064D">
      <w:pPr>
        <w:spacing w:line="360" w:lineRule="auto"/>
        <w:ind w:firstLine="484" w:firstLineChars="200"/>
        <w:rPr>
          <w:rFonts w:ascii="宋体" w:hAnsi="宋体" w:eastAsia="宋体"/>
          <w:bCs/>
          <w:color w:val="000000"/>
          <w:sz w:val="24"/>
          <w:szCs w:val="24"/>
          <w:highlight w:val="none"/>
          <w:shd w:val="clear" w:color="auto" w:fill="FFFFFF"/>
        </w:rPr>
      </w:pPr>
      <w:r>
        <w:rPr>
          <w:rFonts w:hint="eastAsia" w:ascii="宋体" w:hAnsi="宋体" w:eastAsia="宋体"/>
          <w:bCs/>
          <w:color w:val="000000"/>
          <w:sz w:val="24"/>
          <w:szCs w:val="24"/>
          <w:highlight w:val="none"/>
          <w:shd w:val="clear" w:color="auto" w:fill="FFFFFF"/>
        </w:rPr>
        <w:t xml:space="preserve">我公司承诺在 </w:t>
      </w:r>
      <w:r>
        <w:rPr>
          <w:rFonts w:hint="eastAsia" w:ascii="宋体" w:hAnsi="宋体" w:eastAsia="宋体"/>
          <w:bCs/>
          <w:color w:val="000000"/>
          <w:sz w:val="24"/>
          <w:szCs w:val="24"/>
          <w:highlight w:val="none"/>
          <w:u w:val="single"/>
          <w:shd w:val="clear" w:color="auto" w:fill="FFFFFF"/>
        </w:rPr>
        <w:t xml:space="preserve">    </w:t>
      </w:r>
      <w:r>
        <w:rPr>
          <w:rFonts w:hint="eastAsia" w:ascii="宋体" w:hAnsi="宋体" w:eastAsia="宋体" w:cs="Arial"/>
          <w:b/>
          <w:color w:val="000000"/>
          <w:kern w:val="0"/>
          <w:sz w:val="24"/>
          <w:szCs w:val="24"/>
          <w:highlight w:val="none"/>
          <w:shd w:val="clear" w:color="auto" w:fill="FFFFFF"/>
        </w:rPr>
        <w:t>（项目名称）</w:t>
      </w:r>
      <w:r>
        <w:rPr>
          <w:rFonts w:hint="eastAsia" w:ascii="宋体" w:hAnsi="宋体" w:eastAsia="宋体"/>
          <w:bCs/>
          <w:color w:val="000000"/>
          <w:sz w:val="24"/>
          <w:szCs w:val="24"/>
          <w:highlight w:val="none"/>
          <w:shd w:val="clear" w:color="auto" w:fill="FFFFFF"/>
        </w:rPr>
        <w:t>招标活动中，未提供本项目整体设计、规范编制或者项目管理、监理、检测等服务，与参与本次政府采购活动的其他供应商不存在法人(单位负责人)为同一人或者直接控股、管理关系。</w:t>
      </w:r>
    </w:p>
    <w:p w14:paraId="2C0F8E0D">
      <w:pPr>
        <w:widowControl/>
        <w:adjustRightInd w:val="0"/>
        <w:snapToGrid w:val="0"/>
        <w:spacing w:line="360" w:lineRule="auto"/>
        <w:rPr>
          <w:rFonts w:ascii="宋体" w:hAnsi="宋体" w:eastAsia="宋体"/>
          <w:color w:val="000000"/>
          <w:sz w:val="24"/>
          <w:szCs w:val="24"/>
          <w:highlight w:val="none"/>
          <w:shd w:val="clear" w:color="auto" w:fill="FFFFFF"/>
        </w:rPr>
      </w:pPr>
    </w:p>
    <w:p w14:paraId="627373CE">
      <w:pPr>
        <w:widowControl/>
        <w:adjustRightInd w:val="0"/>
        <w:snapToGrid w:val="0"/>
        <w:spacing w:line="360" w:lineRule="auto"/>
        <w:rPr>
          <w:rFonts w:ascii="宋体" w:hAnsi="宋体" w:eastAsia="宋体" w:cs="宋体"/>
          <w:color w:val="000000"/>
          <w:spacing w:val="6"/>
          <w:kern w:val="0"/>
          <w:sz w:val="24"/>
          <w:szCs w:val="24"/>
          <w:highlight w:val="none"/>
        </w:rPr>
      </w:pPr>
    </w:p>
    <w:p w14:paraId="0545B419">
      <w:pPr>
        <w:widowControl/>
        <w:adjustRightInd w:val="0"/>
        <w:snapToGrid w:val="0"/>
        <w:spacing w:line="360" w:lineRule="auto"/>
        <w:rPr>
          <w:rFonts w:ascii="宋体" w:hAnsi="宋体" w:eastAsia="宋体" w:cs="宋体"/>
          <w:color w:val="000000"/>
          <w:spacing w:val="6"/>
          <w:kern w:val="0"/>
          <w:sz w:val="24"/>
          <w:szCs w:val="24"/>
          <w:highlight w:val="none"/>
        </w:rPr>
      </w:pPr>
    </w:p>
    <w:p w14:paraId="488E7C27">
      <w:pPr>
        <w:widowControl/>
        <w:adjustRightInd w:val="0"/>
        <w:snapToGrid w:val="0"/>
        <w:spacing w:line="360" w:lineRule="auto"/>
        <w:rPr>
          <w:rFonts w:ascii="宋体" w:hAnsi="宋体" w:eastAsia="宋体" w:cs="宋体"/>
          <w:color w:val="000000"/>
          <w:spacing w:val="6"/>
          <w:kern w:val="0"/>
          <w:sz w:val="24"/>
          <w:szCs w:val="24"/>
          <w:highlight w:val="none"/>
        </w:rPr>
      </w:pPr>
    </w:p>
    <w:p w14:paraId="173D226B">
      <w:pPr>
        <w:widowControl/>
        <w:shd w:val="clear" w:color="auto" w:fill="FFFFFF"/>
        <w:snapToGrid w:val="0"/>
        <w:spacing w:line="360" w:lineRule="auto"/>
        <w:jc w:val="left"/>
        <w:rPr>
          <w:rFonts w:ascii="宋体" w:hAnsi="宋体" w:eastAsia="宋体" w:cs="Arial"/>
          <w:color w:val="000000"/>
          <w:kern w:val="0"/>
          <w:sz w:val="24"/>
          <w:szCs w:val="24"/>
          <w:highlight w:val="none"/>
          <w:shd w:val="clear" w:color="auto" w:fill="FFFFFF"/>
        </w:rPr>
      </w:pPr>
      <w:r>
        <w:rPr>
          <w:rFonts w:hint="eastAsia" w:ascii="宋体" w:hAnsi="宋体" w:eastAsia="宋体" w:cs="Arial"/>
          <w:color w:val="000000"/>
          <w:kern w:val="0"/>
          <w:sz w:val="24"/>
          <w:szCs w:val="24"/>
          <w:highlight w:val="none"/>
          <w:shd w:val="clear" w:color="auto" w:fill="FFFFFF"/>
        </w:rPr>
        <w:t>供应商：</w:t>
      </w:r>
      <w:r>
        <w:rPr>
          <w:rFonts w:hint="eastAsia" w:ascii="宋体" w:hAnsi="宋体" w:eastAsia="宋体" w:cs="Arial"/>
          <w:color w:val="000000"/>
          <w:kern w:val="0"/>
          <w:sz w:val="24"/>
          <w:szCs w:val="24"/>
          <w:highlight w:val="none"/>
          <w:u w:val="single"/>
          <w:shd w:val="clear" w:color="auto" w:fill="FFFFFF"/>
        </w:rPr>
        <w:t xml:space="preserve">               </w:t>
      </w:r>
      <w:r>
        <w:rPr>
          <w:rFonts w:hint="eastAsia" w:ascii="宋体" w:hAnsi="宋体" w:eastAsia="宋体" w:cs="Arial"/>
          <w:color w:val="000000"/>
          <w:kern w:val="0"/>
          <w:sz w:val="24"/>
          <w:szCs w:val="24"/>
          <w:highlight w:val="none"/>
          <w:shd w:val="clear" w:color="auto" w:fill="FFFFFF"/>
        </w:rPr>
        <w:t>（盖章）</w:t>
      </w:r>
    </w:p>
    <w:p w14:paraId="7D403FEB">
      <w:pPr>
        <w:widowControl/>
        <w:shd w:val="clear" w:color="auto" w:fill="FFFFFF"/>
        <w:snapToGrid w:val="0"/>
        <w:spacing w:line="360" w:lineRule="auto"/>
        <w:jc w:val="left"/>
        <w:rPr>
          <w:rFonts w:ascii="宋体" w:hAnsi="宋体" w:eastAsia="宋体" w:cs="Arial"/>
          <w:color w:val="000000"/>
          <w:kern w:val="0"/>
          <w:sz w:val="24"/>
          <w:szCs w:val="24"/>
          <w:highlight w:val="none"/>
          <w:shd w:val="clear" w:color="auto" w:fill="FFFFFF"/>
        </w:rPr>
      </w:pPr>
    </w:p>
    <w:p w14:paraId="38E89DBA">
      <w:pPr>
        <w:widowControl/>
        <w:shd w:val="clear" w:color="auto" w:fill="FFFFFF"/>
        <w:snapToGrid w:val="0"/>
        <w:spacing w:line="360" w:lineRule="auto"/>
        <w:jc w:val="left"/>
        <w:rPr>
          <w:rFonts w:ascii="宋体" w:hAnsi="宋体" w:eastAsia="宋体" w:cs="Arial"/>
          <w:color w:val="000000"/>
          <w:kern w:val="0"/>
          <w:sz w:val="24"/>
          <w:szCs w:val="24"/>
          <w:highlight w:val="none"/>
          <w:shd w:val="clear" w:color="auto" w:fill="FFFFFF"/>
        </w:rPr>
      </w:pPr>
      <w:r>
        <w:rPr>
          <w:rFonts w:hint="eastAsia" w:ascii="宋体" w:hAnsi="宋体" w:eastAsia="宋体" w:cs="Arial"/>
          <w:color w:val="000000"/>
          <w:kern w:val="0"/>
          <w:sz w:val="24"/>
          <w:szCs w:val="24"/>
          <w:highlight w:val="none"/>
          <w:shd w:val="clear" w:color="auto" w:fill="FFFFFF"/>
        </w:rPr>
        <w:t>法定代表人：</w:t>
      </w:r>
      <w:r>
        <w:rPr>
          <w:rFonts w:hint="eastAsia" w:ascii="宋体" w:hAnsi="宋体" w:eastAsia="宋体" w:cs="Arial"/>
          <w:color w:val="000000"/>
          <w:kern w:val="0"/>
          <w:sz w:val="24"/>
          <w:szCs w:val="24"/>
          <w:highlight w:val="none"/>
          <w:u w:val="single"/>
          <w:shd w:val="clear" w:color="auto" w:fill="FFFFFF"/>
        </w:rPr>
        <w:t xml:space="preserve">           </w:t>
      </w:r>
      <w:r>
        <w:rPr>
          <w:rFonts w:hint="eastAsia" w:ascii="宋体" w:hAnsi="宋体" w:eastAsia="宋体" w:cs="Arial"/>
          <w:color w:val="000000"/>
          <w:kern w:val="0"/>
          <w:sz w:val="24"/>
          <w:szCs w:val="24"/>
          <w:highlight w:val="none"/>
          <w:shd w:val="clear" w:color="auto" w:fill="FFFFFF"/>
        </w:rPr>
        <w:t>（盖章）</w:t>
      </w:r>
    </w:p>
    <w:p w14:paraId="5C5A7992">
      <w:pPr>
        <w:widowControl/>
        <w:shd w:val="clear" w:color="auto" w:fill="FFFFFF"/>
        <w:snapToGrid w:val="0"/>
        <w:spacing w:line="360" w:lineRule="auto"/>
        <w:ind w:firstLine="420"/>
        <w:jc w:val="center"/>
        <w:rPr>
          <w:rFonts w:ascii="宋体" w:hAnsi="宋体" w:eastAsia="宋体" w:cs="Arial"/>
          <w:color w:val="000000"/>
          <w:kern w:val="0"/>
          <w:sz w:val="24"/>
          <w:szCs w:val="24"/>
          <w:highlight w:val="none"/>
          <w:shd w:val="clear" w:color="auto" w:fill="FFFFFF"/>
        </w:rPr>
      </w:pPr>
      <w:r>
        <w:rPr>
          <w:rFonts w:hint="eastAsia" w:ascii="宋体" w:hAnsi="宋体" w:eastAsia="宋体" w:cs="Arial"/>
          <w:color w:val="000000"/>
          <w:kern w:val="0"/>
          <w:sz w:val="24"/>
          <w:szCs w:val="24"/>
          <w:highlight w:val="none"/>
          <w:shd w:val="clear" w:color="auto" w:fill="FFFFFF"/>
        </w:rPr>
        <w:t xml:space="preserve">                                               日期： 年  月  日</w:t>
      </w:r>
    </w:p>
    <w:p w14:paraId="03E62A6C">
      <w:pPr>
        <w:autoSpaceDE w:val="0"/>
        <w:autoSpaceDN w:val="0"/>
        <w:spacing w:line="240" w:lineRule="auto"/>
        <w:ind w:left="652" w:right="402"/>
        <w:jc w:val="center"/>
        <w:rPr>
          <w:rFonts w:hint="eastAsia" w:asciiTheme="minorEastAsia" w:hAnsiTheme="minorEastAsia" w:eastAsiaTheme="minorEastAsia" w:cstheme="minorEastAsia"/>
          <w:b/>
          <w:sz w:val="24"/>
          <w:szCs w:val="24"/>
          <w:highlight w:val="none"/>
        </w:rPr>
      </w:pPr>
    </w:p>
    <w:p w14:paraId="63C8DC8A">
      <w:pPr>
        <w:autoSpaceDE w:val="0"/>
        <w:autoSpaceDN w:val="0"/>
        <w:spacing w:line="240" w:lineRule="auto"/>
        <w:ind w:left="652" w:right="402"/>
        <w:jc w:val="center"/>
        <w:rPr>
          <w:rFonts w:hint="eastAsia" w:asciiTheme="minorEastAsia" w:hAnsiTheme="minorEastAsia" w:eastAsiaTheme="minorEastAsia" w:cstheme="minorEastAsia"/>
          <w:b/>
          <w:sz w:val="24"/>
          <w:szCs w:val="24"/>
          <w:highlight w:val="none"/>
        </w:rPr>
      </w:pPr>
    </w:p>
    <w:p w14:paraId="2C0346CC">
      <w:pPr>
        <w:autoSpaceDE w:val="0"/>
        <w:autoSpaceDN w:val="0"/>
        <w:spacing w:line="240" w:lineRule="auto"/>
        <w:ind w:left="652" w:right="402"/>
        <w:jc w:val="center"/>
        <w:rPr>
          <w:rFonts w:hint="eastAsia" w:asciiTheme="minorEastAsia" w:hAnsiTheme="minorEastAsia" w:eastAsiaTheme="minorEastAsia" w:cstheme="minorEastAsia"/>
          <w:b/>
          <w:sz w:val="24"/>
          <w:szCs w:val="24"/>
          <w:highlight w:val="none"/>
        </w:rPr>
      </w:pPr>
    </w:p>
    <w:p w14:paraId="7E8209ED">
      <w:pPr>
        <w:autoSpaceDE w:val="0"/>
        <w:autoSpaceDN w:val="0"/>
        <w:spacing w:line="240" w:lineRule="auto"/>
        <w:ind w:left="652" w:right="402"/>
        <w:jc w:val="center"/>
        <w:rPr>
          <w:rFonts w:hint="eastAsia" w:asciiTheme="minorEastAsia" w:hAnsiTheme="minorEastAsia" w:eastAsiaTheme="minorEastAsia" w:cstheme="minorEastAsia"/>
          <w:b/>
          <w:sz w:val="24"/>
          <w:szCs w:val="24"/>
          <w:highlight w:val="none"/>
        </w:rPr>
      </w:pPr>
    </w:p>
    <w:p w14:paraId="59D974B6">
      <w:pPr>
        <w:autoSpaceDE w:val="0"/>
        <w:autoSpaceDN w:val="0"/>
        <w:spacing w:line="240" w:lineRule="auto"/>
        <w:ind w:left="652" w:right="402"/>
        <w:jc w:val="center"/>
        <w:rPr>
          <w:rFonts w:hint="eastAsia" w:asciiTheme="minorEastAsia" w:hAnsiTheme="minorEastAsia" w:eastAsiaTheme="minorEastAsia" w:cstheme="minorEastAsia"/>
          <w:b/>
          <w:sz w:val="24"/>
          <w:szCs w:val="24"/>
          <w:highlight w:val="none"/>
        </w:rPr>
      </w:pPr>
    </w:p>
    <w:p w14:paraId="43296066">
      <w:pPr>
        <w:autoSpaceDE w:val="0"/>
        <w:autoSpaceDN w:val="0"/>
        <w:spacing w:line="240" w:lineRule="auto"/>
        <w:ind w:left="652" w:right="402"/>
        <w:jc w:val="center"/>
        <w:rPr>
          <w:rFonts w:hint="eastAsia" w:asciiTheme="minorEastAsia" w:hAnsiTheme="minorEastAsia" w:eastAsiaTheme="minorEastAsia" w:cstheme="minorEastAsia"/>
          <w:b/>
          <w:sz w:val="24"/>
          <w:szCs w:val="24"/>
          <w:highlight w:val="none"/>
        </w:rPr>
      </w:pPr>
    </w:p>
    <w:p w14:paraId="605F84EB">
      <w:pPr>
        <w:autoSpaceDE w:val="0"/>
        <w:autoSpaceDN w:val="0"/>
        <w:spacing w:line="240" w:lineRule="auto"/>
        <w:ind w:left="652" w:right="402"/>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七、信用查询记录</w:t>
      </w:r>
    </w:p>
    <w:p w14:paraId="5D5AF148">
      <w:pPr>
        <w:spacing w:before="2" w:line="240" w:lineRule="auto"/>
        <w:rPr>
          <w:rFonts w:hint="eastAsia" w:asciiTheme="minorEastAsia" w:hAnsiTheme="minorEastAsia" w:eastAsiaTheme="minorEastAsia" w:cstheme="minorEastAsia"/>
          <w:b/>
          <w:sz w:val="24"/>
          <w:szCs w:val="24"/>
          <w:highlight w:val="none"/>
        </w:rPr>
      </w:pPr>
    </w:p>
    <w:p w14:paraId="04567449">
      <w:pPr>
        <w:autoSpaceDE w:val="0"/>
        <w:autoSpaceDN w:val="0"/>
        <w:spacing w:line="240" w:lineRule="auto"/>
        <w:ind w:left="652" w:right="4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查询渠道为：</w:t>
      </w:r>
      <w:r>
        <w:rPr>
          <w:rFonts w:hint="eastAsia" w:asciiTheme="minorEastAsia" w:hAnsiTheme="minorEastAsia" w:eastAsiaTheme="minorEastAsia" w:cstheme="minorEastAsia"/>
          <w:sz w:val="24"/>
          <w:szCs w:val="24"/>
          <w:highlight w:val="none"/>
        </w:rPr>
        <w:t>“信用中国”网站（</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"http://www.creditchina.gov.cn/"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www.creditchina.gov.cn</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）及中国政府采购网</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"http://www.ccgp.gov.cn/"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（www.ccgp.gov.cn</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）。查询时间为自公告发布之日起至投标文件截止时间的期间（该时间段内任意时间）。</w:t>
      </w:r>
    </w:p>
    <w:p w14:paraId="5893E561">
      <w:pPr>
        <w:pStyle w:val="151"/>
        <w:spacing w:line="240" w:lineRule="auto"/>
        <w:jc w:val="center"/>
        <w:rPr>
          <w:rFonts w:hint="eastAsia" w:asciiTheme="minorEastAsia" w:hAnsiTheme="minorEastAsia" w:eastAsiaTheme="minorEastAsia" w:cstheme="minorEastAsia"/>
          <w:b/>
          <w:bCs/>
          <w:sz w:val="24"/>
          <w:szCs w:val="24"/>
          <w:highlight w:val="none"/>
        </w:rPr>
      </w:pPr>
    </w:p>
    <w:p w14:paraId="02DF7EE7">
      <w:pPr>
        <w:pStyle w:val="151"/>
        <w:spacing w:line="240" w:lineRule="auto"/>
        <w:jc w:val="center"/>
        <w:rPr>
          <w:rFonts w:hint="eastAsia" w:asciiTheme="minorEastAsia" w:hAnsiTheme="minorEastAsia" w:eastAsiaTheme="minorEastAsia" w:cstheme="minorEastAsia"/>
          <w:b/>
          <w:bCs/>
          <w:sz w:val="24"/>
          <w:szCs w:val="24"/>
          <w:highlight w:val="none"/>
        </w:rPr>
      </w:pPr>
    </w:p>
    <w:p w14:paraId="7DD704AF">
      <w:pPr>
        <w:pStyle w:val="151"/>
        <w:spacing w:line="240" w:lineRule="auto"/>
        <w:jc w:val="center"/>
        <w:rPr>
          <w:rFonts w:hint="eastAsia" w:asciiTheme="minorEastAsia" w:hAnsiTheme="minorEastAsia" w:eastAsiaTheme="minorEastAsia" w:cstheme="minorEastAsia"/>
          <w:b/>
          <w:bCs/>
          <w:sz w:val="24"/>
          <w:szCs w:val="24"/>
          <w:highlight w:val="none"/>
        </w:rPr>
      </w:pPr>
    </w:p>
    <w:p w14:paraId="36E9CD3E">
      <w:pPr>
        <w:pStyle w:val="151"/>
        <w:spacing w:line="240" w:lineRule="auto"/>
        <w:jc w:val="center"/>
        <w:rPr>
          <w:rFonts w:hint="eastAsia" w:asciiTheme="minorEastAsia" w:hAnsiTheme="minorEastAsia" w:eastAsiaTheme="minorEastAsia" w:cstheme="minorEastAsia"/>
          <w:b/>
          <w:bCs/>
          <w:sz w:val="24"/>
          <w:szCs w:val="24"/>
          <w:highlight w:val="none"/>
        </w:rPr>
      </w:pPr>
    </w:p>
    <w:p w14:paraId="340C6A31">
      <w:pPr>
        <w:pStyle w:val="151"/>
        <w:spacing w:line="240" w:lineRule="auto"/>
        <w:jc w:val="center"/>
        <w:rPr>
          <w:rFonts w:hint="eastAsia" w:asciiTheme="minorEastAsia" w:hAnsiTheme="minorEastAsia" w:eastAsiaTheme="minorEastAsia" w:cstheme="minorEastAsia"/>
          <w:b/>
          <w:bCs/>
          <w:sz w:val="24"/>
          <w:szCs w:val="24"/>
          <w:highlight w:val="none"/>
        </w:rPr>
      </w:pPr>
    </w:p>
    <w:p w14:paraId="4F37F708">
      <w:pPr>
        <w:pStyle w:val="151"/>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八、供应商认为需要提供的其他资料</w:t>
      </w:r>
    </w:p>
    <w:p w14:paraId="0BFED46B">
      <w:pPr>
        <w:pStyle w:val="151"/>
        <w:spacing w:line="240" w:lineRule="auto"/>
        <w:jc w:val="center"/>
        <w:rPr>
          <w:rFonts w:hint="eastAsia" w:asciiTheme="minorEastAsia" w:hAnsiTheme="minorEastAsia" w:eastAsiaTheme="minorEastAsia" w:cstheme="minorEastAsia"/>
          <w:b/>
          <w:bCs/>
          <w:sz w:val="36"/>
          <w:szCs w:val="36"/>
          <w:highlight w:val="none"/>
        </w:rPr>
      </w:pPr>
    </w:p>
    <w:p w14:paraId="75EF36E8">
      <w:pPr>
        <w:pStyle w:val="151"/>
        <w:spacing w:line="240" w:lineRule="auto"/>
        <w:jc w:val="center"/>
        <w:rPr>
          <w:rFonts w:hint="eastAsia" w:asciiTheme="minorEastAsia" w:hAnsiTheme="minorEastAsia" w:eastAsiaTheme="minorEastAsia" w:cstheme="minorEastAsia"/>
          <w:b/>
          <w:bCs/>
          <w:sz w:val="36"/>
          <w:szCs w:val="36"/>
          <w:highlight w:val="none"/>
        </w:rPr>
      </w:pPr>
    </w:p>
    <w:p w14:paraId="516BDCD5">
      <w:pPr>
        <w:spacing w:line="360" w:lineRule="auto"/>
        <w:jc w:val="center"/>
        <w:outlineLvl w:val="0"/>
        <w:rPr>
          <w:rFonts w:ascii="宋体" w:hAnsi="宋体" w:eastAsia="宋体" w:cs="宋体"/>
          <w:b/>
          <w:color w:val="000000"/>
          <w:sz w:val="30"/>
          <w:szCs w:val="30"/>
          <w:highlight w:val="none"/>
          <w:shd w:val="clear" w:color="auto" w:fill="FFFFFF"/>
        </w:rPr>
      </w:pPr>
      <w:bookmarkStart w:id="12" w:name="_Toc6868"/>
      <w:r>
        <w:rPr>
          <w:rFonts w:hint="eastAsia" w:ascii="宋体" w:hAnsi="宋体" w:eastAsia="宋体" w:cs="宋体"/>
          <w:b/>
          <w:color w:val="000000"/>
          <w:sz w:val="30"/>
          <w:szCs w:val="30"/>
          <w:highlight w:val="none"/>
          <w:shd w:val="clear" w:color="auto" w:fill="FFFFFF"/>
        </w:rPr>
        <w:t>第</w:t>
      </w:r>
      <w:r>
        <w:rPr>
          <w:rFonts w:hint="eastAsia" w:ascii="宋体" w:hAnsi="宋体" w:eastAsia="宋体" w:cs="宋体"/>
          <w:b/>
          <w:color w:val="000000"/>
          <w:sz w:val="30"/>
          <w:szCs w:val="30"/>
          <w:highlight w:val="none"/>
          <w:shd w:val="clear" w:color="auto" w:fill="FFFFFF"/>
          <w:lang w:eastAsia="zh-CN"/>
        </w:rPr>
        <w:t>七</w:t>
      </w:r>
      <w:r>
        <w:rPr>
          <w:rFonts w:hint="eastAsia" w:ascii="宋体" w:hAnsi="宋体" w:eastAsia="宋体" w:cs="宋体"/>
          <w:b/>
          <w:color w:val="000000"/>
          <w:sz w:val="30"/>
          <w:szCs w:val="30"/>
          <w:highlight w:val="none"/>
          <w:shd w:val="clear" w:color="auto" w:fill="FFFFFF"/>
        </w:rPr>
        <w:t>章</w:t>
      </w:r>
      <w:r>
        <w:rPr>
          <w:rFonts w:hint="eastAsia" w:ascii="宋体" w:hAnsi="宋体" w:eastAsia="宋体" w:cs="宋体"/>
          <w:b/>
          <w:color w:val="000000"/>
          <w:sz w:val="30"/>
          <w:szCs w:val="30"/>
          <w:highlight w:val="none"/>
          <w:shd w:val="clear" w:color="auto" w:fill="FFFFFF"/>
          <w:lang w:val="en-US" w:eastAsia="zh-CN"/>
        </w:rPr>
        <w:t xml:space="preserve">  </w:t>
      </w:r>
      <w:r>
        <w:rPr>
          <w:rFonts w:hint="eastAsia" w:ascii="宋体" w:hAnsi="宋体" w:eastAsia="宋体" w:cs="宋体"/>
          <w:b/>
          <w:color w:val="000000"/>
          <w:sz w:val="30"/>
          <w:szCs w:val="30"/>
          <w:highlight w:val="none"/>
          <w:shd w:val="clear" w:color="auto" w:fill="FFFFFF"/>
        </w:rPr>
        <w:t>补充条款</w:t>
      </w:r>
      <w:bookmarkEnd w:id="12"/>
    </w:p>
    <w:p w14:paraId="6CDEFEFD">
      <w:pPr>
        <w:spacing w:line="360" w:lineRule="auto"/>
        <w:rPr>
          <w:rFonts w:hint="eastAsia" w:ascii="宋体" w:hAnsi="宋体" w:eastAsia="宋体" w:cs="宋体"/>
          <w:b/>
          <w:bCs/>
          <w:color w:val="auto"/>
          <w:spacing w:val="6"/>
          <w:sz w:val="24"/>
          <w:szCs w:val="24"/>
          <w:highlight w:val="none"/>
          <w:lang w:val="en-US" w:eastAsia="zh-CN"/>
        </w:rPr>
      </w:pPr>
      <w:r>
        <w:rPr>
          <w:rFonts w:hint="eastAsia" w:ascii="宋体" w:hAnsi="宋体" w:cs="宋体"/>
          <w:b/>
          <w:bCs/>
          <w:color w:val="auto"/>
          <w:spacing w:val="6"/>
          <w:sz w:val="24"/>
          <w:szCs w:val="24"/>
          <w:highlight w:val="none"/>
          <w:lang w:val="en-US" w:eastAsia="zh-CN"/>
        </w:rPr>
        <w:t>附表一</w:t>
      </w:r>
      <w:r>
        <w:rPr>
          <w:rFonts w:hint="eastAsia" w:ascii="宋体" w:hAnsi="宋体" w:eastAsia="宋体" w:cs="宋体"/>
          <w:b/>
          <w:bCs/>
          <w:color w:val="auto"/>
          <w:spacing w:val="6"/>
          <w:sz w:val="24"/>
          <w:szCs w:val="24"/>
          <w:highlight w:val="none"/>
          <w:lang w:val="en-US" w:eastAsia="zh-CN"/>
        </w:rPr>
        <w:t>、</w:t>
      </w:r>
    </w:p>
    <w:p w14:paraId="396790CC">
      <w:pPr>
        <w:spacing w:line="360" w:lineRule="auto"/>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关于“中小企业声明函”的填写要求</w:t>
      </w:r>
    </w:p>
    <w:p w14:paraId="6D00E4F7">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1.“单位名称”应填写采购人名称。</w:t>
      </w:r>
    </w:p>
    <w:p w14:paraId="56DF4464">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76FAF8CD">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10F535BB">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4.“采购文件中明确的所属行业”应填写采购文件中明确的采购标的所属行业，并应确保与采购标的涉及的货物制造商/服务承接商/工程承建商（根据项目属性确定）本身的所属行业保持一致。</w:t>
      </w:r>
    </w:p>
    <w:p w14:paraId="48D50E1C">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22A4601C">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7163B480">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5.“企业名称”应填写投标（响应）的货物制造商/服务承接商/工程承建商（根据项目属性确定）。</w:t>
      </w:r>
    </w:p>
    <w:p w14:paraId="5AD4143B">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对于分包方式面向中小企业采购的项目，“企业名称”应填写分包部分采购标的对应的货物制造商/服务承接商/工程承建商（根据项目属性确定）。</w:t>
      </w:r>
    </w:p>
    <w:p w14:paraId="5A8C29B3">
      <w:pPr>
        <w:spacing w:line="360" w:lineRule="auto"/>
        <w:ind w:firstLine="508" w:firstLineChars="200"/>
        <w:rPr>
          <w:rFonts w:hint="eastAsia" w:ascii="宋体" w:hAnsi="宋体" w:eastAsia="宋体" w:cs="宋体"/>
          <w:color w:val="auto"/>
          <w:spacing w:val="6"/>
          <w:sz w:val="24"/>
          <w:szCs w:val="24"/>
          <w:highlight w:val="none"/>
          <w:lang w:eastAsia="zh-CN"/>
        </w:rPr>
      </w:pPr>
      <w:bookmarkStart w:id="13" w:name="bookmark286"/>
      <w:bookmarkEnd w:id="13"/>
      <w:r>
        <w:rPr>
          <w:rFonts w:hint="eastAsia" w:ascii="宋体" w:hAnsi="宋体" w:eastAsia="宋体" w:cs="宋体"/>
          <w:color w:val="auto"/>
          <w:spacing w:val="6"/>
          <w:sz w:val="24"/>
          <w:szCs w:val="24"/>
          <w:highlight w:val="none"/>
          <w:lang w:eastAsia="zh-CN"/>
        </w:rPr>
        <w:t>对于以联合体方式面向中小企业采购的项目，“企业名称”应填写联合体中中小企业承担采购标的对应的货物制造商/服务承接商/工程承建商（根据项目属性确定）。</w:t>
      </w:r>
    </w:p>
    <w:p w14:paraId="75971F45">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6.从业人员、资产总额指标以上年度末数据为依据，营业收入指标以上年度累计数据为依据。无上年度数据的新成立企业可不填报。</w:t>
      </w:r>
    </w:p>
    <w:p w14:paraId="1B31F205">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7.“中型企业/小型企业/微型企业”部分，供应商应依据企业上年度从业人员、营业收入、资产总额等指标，按照《中小企业划型标准规定》（工信部联企业〔2011〕300号），判断“中小企业声明函”载明的货物制造商/服务承接商/工程承建商（根据项目属性确定）是否属于采购文件所属行业的中型企业/小型企业/微型企业。</w:t>
      </w:r>
    </w:p>
    <w:p w14:paraId="2E4DB70F">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8</w:t>
      </w:r>
      <w:r>
        <w:rPr>
          <w:rFonts w:hint="eastAsia" w:ascii="宋体" w:hAnsi="宋体" w:eastAsia="宋体" w:cs="宋体"/>
          <w:color w:val="auto"/>
          <w:spacing w:val="6"/>
          <w:sz w:val="24"/>
          <w:szCs w:val="24"/>
          <w:highlight w:val="none"/>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573DA4A5">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9</w:t>
      </w:r>
      <w:r>
        <w:rPr>
          <w:rFonts w:hint="eastAsia" w:ascii="宋体" w:hAnsi="宋体" w:eastAsia="宋体" w:cs="宋体"/>
          <w:color w:val="auto"/>
          <w:spacing w:val="6"/>
          <w:sz w:val="24"/>
          <w:szCs w:val="24"/>
          <w:highlight w:val="none"/>
          <w:lang w:eastAsia="zh-CN"/>
        </w:rPr>
        <w:t>.鼓励供应商在投标（响应）时一并提供对货物制造商、服务承接商、工程承建商相关信息的核实核验情况以及其他佐证材料。</w:t>
      </w:r>
    </w:p>
    <w:p w14:paraId="3471BC8E">
      <w:pPr>
        <w:spacing w:line="360" w:lineRule="auto"/>
        <w:ind w:firstLine="508" w:firstLineChars="200"/>
        <w:rPr>
          <w:rFonts w:hint="eastAsia" w:ascii="宋体" w:hAnsi="宋体" w:eastAsia="宋体" w:cs="宋体"/>
          <w:color w:val="auto"/>
          <w:spacing w:val="6"/>
          <w:sz w:val="24"/>
          <w:szCs w:val="24"/>
          <w:highlight w:val="none"/>
          <w:lang w:eastAsia="zh-CN"/>
        </w:rPr>
      </w:pPr>
    </w:p>
    <w:p w14:paraId="7DF5AABA">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br w:type="page"/>
      </w:r>
    </w:p>
    <w:p w14:paraId="64054D2E">
      <w:pPr>
        <w:spacing w:line="360" w:lineRule="auto"/>
        <w:rPr>
          <w:rFonts w:hint="eastAsia" w:ascii="宋体" w:hAnsi="宋体" w:cs="宋体"/>
          <w:b/>
          <w:bCs/>
          <w:color w:val="auto"/>
          <w:spacing w:val="6"/>
          <w:sz w:val="24"/>
          <w:szCs w:val="24"/>
          <w:highlight w:val="none"/>
          <w:lang w:val="en-US" w:eastAsia="zh-CN"/>
        </w:rPr>
      </w:pPr>
      <w:r>
        <w:rPr>
          <w:rFonts w:hint="eastAsia" w:ascii="宋体" w:hAnsi="宋体" w:cs="宋体"/>
          <w:b/>
          <w:bCs/>
          <w:color w:val="auto"/>
          <w:spacing w:val="6"/>
          <w:sz w:val="24"/>
          <w:szCs w:val="24"/>
          <w:highlight w:val="none"/>
          <w:lang w:val="en-US" w:eastAsia="zh-CN"/>
        </w:rPr>
        <w:t>附表二、</w:t>
      </w:r>
    </w:p>
    <w:p w14:paraId="53BFBCF7">
      <w:pPr>
        <w:spacing w:line="360" w:lineRule="auto"/>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关于印发中小企业划型标准规定的通知</w:t>
      </w:r>
    </w:p>
    <w:p w14:paraId="32A7F76F">
      <w:pPr>
        <w:spacing w:line="360" w:lineRule="auto"/>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工信部联企业〔2011〕300号</w:t>
      </w:r>
    </w:p>
    <w:p w14:paraId="45782093">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各省、自治区、直辖市人民政府，国务院各部委、各直属机构及有关单位：</w:t>
      </w:r>
    </w:p>
    <w:p w14:paraId="74EB75EE">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7973029">
      <w:pPr>
        <w:spacing w:line="360" w:lineRule="auto"/>
        <w:ind w:firstLine="508" w:firstLineChars="200"/>
        <w:jc w:val="right"/>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工业和信息化部</w:t>
      </w:r>
    </w:p>
    <w:p w14:paraId="4962A5A2">
      <w:pPr>
        <w:spacing w:line="360" w:lineRule="auto"/>
        <w:ind w:firstLine="508" w:firstLineChars="200"/>
        <w:jc w:val="right"/>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国家统计局</w:t>
      </w:r>
    </w:p>
    <w:p w14:paraId="60DFCB07">
      <w:pPr>
        <w:spacing w:line="360" w:lineRule="auto"/>
        <w:ind w:firstLine="508" w:firstLineChars="200"/>
        <w:jc w:val="right"/>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国家发展和改革委员会</w:t>
      </w:r>
    </w:p>
    <w:p w14:paraId="33D66CC4">
      <w:pPr>
        <w:spacing w:line="360" w:lineRule="auto"/>
        <w:ind w:firstLine="508" w:firstLineChars="200"/>
        <w:jc w:val="right"/>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财政部</w:t>
      </w:r>
    </w:p>
    <w:p w14:paraId="19B75D56">
      <w:pPr>
        <w:spacing w:line="360" w:lineRule="auto"/>
        <w:ind w:firstLine="508" w:firstLineChars="200"/>
        <w:jc w:val="right"/>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二○一一年六月十八日</w:t>
      </w:r>
    </w:p>
    <w:p w14:paraId="392A64C5">
      <w:pPr>
        <w:spacing w:line="360" w:lineRule="auto"/>
        <w:ind w:firstLine="508" w:firstLineChars="200"/>
        <w:rPr>
          <w:rFonts w:hint="eastAsia" w:ascii="宋体" w:hAnsi="宋体" w:eastAsia="宋体" w:cs="宋体"/>
          <w:color w:val="auto"/>
          <w:spacing w:val="6"/>
          <w:sz w:val="24"/>
          <w:szCs w:val="24"/>
          <w:highlight w:val="none"/>
          <w:lang w:eastAsia="zh-CN"/>
        </w:rPr>
      </w:pPr>
    </w:p>
    <w:p w14:paraId="22236037">
      <w:pPr>
        <w:spacing w:line="360" w:lineRule="auto"/>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中小企业划型标准规定</w:t>
      </w:r>
    </w:p>
    <w:p w14:paraId="47C12FEC">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一、根据《中华人民共和国中小企业促进法》和《国务院关于进一步促进中小企业发展的若干意见》(国发〔2009〕36号)，制定本规定。</w:t>
      </w:r>
    </w:p>
    <w:p w14:paraId="1DEB167F">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二、中小企业划分为中型、小型、微型三种类型，具体标准根据企业从业人员、营业收入、资产总额等指标，结合行业特点制定。</w:t>
      </w:r>
    </w:p>
    <w:p w14:paraId="2D845F91">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6FEB7D9">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四、各行业划型标准为：</w:t>
      </w:r>
    </w:p>
    <w:p w14:paraId="283C910E">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（一）农、林、牧、渔业。营业收入20000万元以下的为中小微型企业。其中，营业收入500万元及以上的为中型企业，营业收入50万元及以上的为小型企业，营业收入50万元以下的为微型企业。</w:t>
      </w:r>
    </w:p>
    <w:p w14:paraId="7C274C6B">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F123485">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8382CEE">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DD3E020">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F387FF3">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CCBA44F">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AC59FBD">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871C575">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C1BE92">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0287C09">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4E6F1C2">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F9C7F3">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F8E0E4E">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294F76A">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F1DAE45">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（十六）其他未列明行业。从业人员300人以下的为中小微型企业。其中，从业人员100人及以上的为中型企业；从业人员10人及以上的为小型企业；从业人员10人以下的为微型企业。</w:t>
      </w:r>
    </w:p>
    <w:p w14:paraId="072FAD91">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五、企业类型的划分以统计部门的统计数据为依据。</w:t>
      </w:r>
    </w:p>
    <w:p w14:paraId="79B68C1F">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六、本规定适用于在中华人民共和国境内依法设立的各类所有制和各种组织形式的企业。个体工商户和本规定以外的行业，参照本规定进行划型。</w:t>
      </w:r>
    </w:p>
    <w:p w14:paraId="77E2C85F">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5509576D">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八、本规定由工业和信息化部、国家统计局会同有关部门根据《国民经济行业分类》修订情况和企业发展变化情况适时修订。</w:t>
      </w:r>
    </w:p>
    <w:p w14:paraId="52F12D96">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九、本规定由工业和信息化部、国家统计局会同有关部门负责解释。</w:t>
      </w:r>
    </w:p>
    <w:p w14:paraId="3B638C45">
      <w:pPr>
        <w:spacing w:line="360" w:lineRule="auto"/>
        <w:ind w:firstLine="508"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eastAsia="zh-CN"/>
        </w:rPr>
        <w:t>十、本规定自发布之日起执行，原国家经贸委、原国家计委、财政部和国家统计局2003年颁布的《中小企业标准暂行规定》同时废止。</w:t>
      </w:r>
    </w:p>
    <w:p w14:paraId="70C47D89">
      <w:pPr>
        <w:pStyle w:val="151"/>
        <w:spacing w:line="240" w:lineRule="auto"/>
        <w:jc w:val="center"/>
        <w:rPr>
          <w:rFonts w:hint="eastAsia" w:asciiTheme="minorEastAsia" w:hAnsiTheme="minorEastAsia" w:eastAsiaTheme="minorEastAsia" w:cstheme="minorEastAsia"/>
          <w:b/>
          <w:bCs/>
          <w:sz w:val="36"/>
          <w:szCs w:val="36"/>
          <w:highlight w:val="none"/>
        </w:rPr>
      </w:pPr>
    </w:p>
    <w:p w14:paraId="423FD7EA">
      <w:pPr>
        <w:spacing w:line="240" w:lineRule="auto"/>
        <w:rPr>
          <w:rFonts w:hint="eastAsia" w:asciiTheme="minorEastAsia" w:hAnsiTheme="minorEastAsia" w:eastAsiaTheme="minorEastAsia" w:cstheme="minorEastAsia"/>
          <w:highlight w:val="none"/>
        </w:rPr>
      </w:pPr>
    </w:p>
    <w:sectPr>
      <w:headerReference r:id="rId6" w:type="default"/>
      <w:footerReference r:id="rId7" w:type="default"/>
      <w:pgSz w:w="11906" w:h="16838"/>
      <w:pgMar w:top="1304" w:right="1304" w:bottom="1304" w:left="1304" w:header="851" w:footer="850" w:gutter="0"/>
      <w:pgNumType w:fmt="decimal"/>
      <w:cols w:space="720" w:num="1"/>
      <w:docGrid w:type="linesAndChars" w:linePitch="312"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DD50F23-0942-4BC6-AFA0-75CB0086E29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E463668-711B-4DAE-B21D-4E1B359A092D}"/>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entury Gothic">
    <w:panose1 w:val="020B0502020202020204"/>
    <w:charset w:val="00"/>
    <w:family w:val="swiss"/>
    <w:pitch w:val="default"/>
    <w:sig w:usb0="00000287" w:usb1="00000000" w:usb2="00000000" w:usb3="00000000" w:csb0="2000009F" w:csb1="DFD70000"/>
  </w:font>
  <w:font w:name="DFHeiW9-GB">
    <w:altName w:val="宋体"/>
    <w:panose1 w:val="00000000000000000000"/>
    <w:charset w:val="86"/>
    <w:family w:val="swiss"/>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PingFang SC Regular">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dobe 宋体 Std L">
    <w:altName w:val="宋体"/>
    <w:panose1 w:val="02020300000000000000"/>
    <w:charset w:val="86"/>
    <w:family w:val="roman"/>
    <w:pitch w:val="default"/>
    <w:sig w:usb0="00000000" w:usb1="00000000" w:usb2="00000016" w:usb3="00000000" w:csb0="00060007"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embedRegular r:id="rId3" w:fontKey="{D85E3418-0520-477C-A058-02651E9074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ECD7D">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BBAB6">
                          <w:pPr>
                            <w:pStyle w:val="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0BBAB6">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BF0F1">
    <w:pPr>
      <w:pStyle w:val="20"/>
      <w:rPr>
        <w:rFonts w:ascii="宋体" w:hAnsi="宋体" w:eastAsia="宋体"/>
        <w:sz w:val="21"/>
        <w:szCs w:val="21"/>
        <w:lang w:val="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4A119">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314A119">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ADE4E">
    <w:pPr>
      <w:pStyle w:val="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235F7">
                          <w:pPr>
                            <w:pStyle w:val="2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B4235F7">
                    <w:pPr>
                      <w:pStyle w:val="2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8403D">
    <w:pPr>
      <w:pStyle w:val="25"/>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E5E6B">
    <w:pPr>
      <w:pBdr>
        <w:bottom w:val="none" w:color="auto" w:sz="0" w:space="1"/>
      </w:pBdr>
      <w:spacing w:line="440" w:lineRule="exact"/>
      <w:jc w:val="left"/>
      <w:rPr>
        <w:rFonts w:ascii="仿宋_GB2312" w:eastAsia="仿宋_GB2312"/>
        <w:b/>
        <w:i/>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pStyle w:val="126"/>
      <w:lvlText w:val="表%1："/>
      <w:lvlJc w:val="left"/>
      <w:pPr>
        <w:ind w:left="480" w:firstLine="0"/>
      </w:pPr>
    </w:lvl>
    <w:lvl w:ilvl="1" w:tentative="0">
      <w:start w:val="1"/>
      <w:numFmt w:val="lowerLetter"/>
      <w:lvlText w:val="%2)"/>
      <w:lvlJc w:val="left"/>
      <w:pPr>
        <w:ind w:left="900" w:firstLine="0"/>
      </w:pPr>
    </w:lvl>
    <w:lvl w:ilvl="2" w:tentative="0">
      <w:start w:val="1"/>
      <w:numFmt w:val="lowerRoman"/>
      <w:lvlText w:val="%3."/>
      <w:lvlJc w:val="left"/>
      <w:pPr>
        <w:ind w:left="1320" w:firstLine="0"/>
      </w:pPr>
    </w:lvl>
    <w:lvl w:ilvl="3" w:tentative="0">
      <w:start w:val="1"/>
      <w:numFmt w:val="decimal"/>
      <w:lvlText w:val="%4."/>
      <w:lvlJc w:val="left"/>
      <w:pPr>
        <w:ind w:left="1740" w:firstLine="0"/>
      </w:pPr>
    </w:lvl>
    <w:lvl w:ilvl="4" w:tentative="0">
      <w:start w:val="1"/>
      <w:numFmt w:val="lowerLetter"/>
      <w:lvlText w:val="%5)"/>
      <w:lvlJc w:val="left"/>
      <w:pPr>
        <w:ind w:left="2160" w:firstLine="0"/>
      </w:pPr>
    </w:lvl>
    <w:lvl w:ilvl="5" w:tentative="0">
      <w:start w:val="1"/>
      <w:numFmt w:val="lowerRoman"/>
      <w:lvlText w:val="%6."/>
      <w:lvlJc w:val="left"/>
      <w:pPr>
        <w:ind w:left="2580" w:firstLine="0"/>
      </w:pPr>
    </w:lvl>
    <w:lvl w:ilvl="6" w:tentative="0">
      <w:start w:val="1"/>
      <w:numFmt w:val="decimal"/>
      <w:lvlText w:val="%7."/>
      <w:lvlJc w:val="left"/>
      <w:pPr>
        <w:ind w:left="3000" w:firstLine="0"/>
      </w:pPr>
    </w:lvl>
    <w:lvl w:ilvl="7" w:tentative="0">
      <w:start w:val="1"/>
      <w:numFmt w:val="lowerLetter"/>
      <w:lvlText w:val="%8)"/>
      <w:lvlJc w:val="left"/>
      <w:pPr>
        <w:ind w:left="3420" w:firstLine="0"/>
      </w:pPr>
    </w:lvl>
    <w:lvl w:ilvl="8" w:tentative="0">
      <w:start w:val="1"/>
      <w:numFmt w:val="lowerRoman"/>
      <w:lvlText w:val="%9."/>
      <w:lvlJc w:val="left"/>
      <w:pPr>
        <w:ind w:left="3840" w:firstLine="0"/>
      </w:pPr>
    </w:lvl>
  </w:abstractNum>
  <w:abstractNum w:abstractNumId="1">
    <w:nsid w:val="0166E7E9"/>
    <w:multiLevelType w:val="singleLevel"/>
    <w:tmpl w:val="0166E7E9"/>
    <w:lvl w:ilvl="0" w:tentative="0">
      <w:start w:val="2"/>
      <w:numFmt w:val="decimal"/>
      <w:suff w:val="nothing"/>
      <w:lvlText w:val="%1、"/>
      <w:lvlJc w:val="left"/>
    </w:lvl>
  </w:abstractNum>
  <w:abstractNum w:abstractNumId="2">
    <w:nsid w:val="46137EDD"/>
    <w:multiLevelType w:val="multilevel"/>
    <w:tmpl w:val="46137EDD"/>
    <w:lvl w:ilvl="0" w:tentative="0">
      <w:start w:val="1"/>
      <w:numFmt w:val="decimal"/>
      <w:lvlText w:val="%1"/>
      <w:lvlJc w:val="left"/>
      <w:pPr>
        <w:tabs>
          <w:tab w:val="left" w:pos="432"/>
        </w:tabs>
        <w:ind w:left="432" w:hanging="432"/>
      </w:pPr>
    </w:lvl>
    <w:lvl w:ilvl="1" w:tentative="0">
      <w:start w:val="1"/>
      <w:numFmt w:val="decimal"/>
      <w:pStyle w:val="95"/>
      <w:lvlText w:val="%1.%2"/>
      <w:lvlJc w:val="left"/>
      <w:pPr>
        <w:tabs>
          <w:tab w:val="left" w:pos="1002"/>
        </w:tabs>
        <w:ind w:left="1002"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59A4EE26"/>
    <w:multiLevelType w:val="singleLevel"/>
    <w:tmpl w:val="59A4EE26"/>
    <w:lvl w:ilvl="0" w:tentative="0">
      <w:start w:val="32"/>
      <w:numFmt w:val="decimal"/>
      <w:suff w:val="space"/>
      <w:lvlText w:val="%1."/>
      <w:lvlJc w:val="left"/>
    </w:lvl>
  </w:abstractNum>
  <w:abstractNum w:abstractNumId="4">
    <w:nsid w:val="59A4F581"/>
    <w:multiLevelType w:val="singleLevel"/>
    <w:tmpl w:val="59A4F581"/>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6"/>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TkxYWU2N2EzMDNmMjg1OTk3MzA0ZWQwYmMxYTgifQ=="/>
    <w:docVar w:name="KSO_WPS_MARK_KEY" w:val="ab6a8e88-de55-4ea3-9284-df5b9f21a851"/>
  </w:docVars>
  <w:rsids>
    <w:rsidRoot w:val="00172A27"/>
    <w:rsid w:val="0000190B"/>
    <w:rsid w:val="000047F6"/>
    <w:rsid w:val="00005D2C"/>
    <w:rsid w:val="00007B28"/>
    <w:rsid w:val="000108F7"/>
    <w:rsid w:val="00010A48"/>
    <w:rsid w:val="000121B4"/>
    <w:rsid w:val="00013E93"/>
    <w:rsid w:val="00014F83"/>
    <w:rsid w:val="00027DA6"/>
    <w:rsid w:val="00030BF5"/>
    <w:rsid w:val="00033640"/>
    <w:rsid w:val="0003470E"/>
    <w:rsid w:val="00035051"/>
    <w:rsid w:val="000350EC"/>
    <w:rsid w:val="00035C6A"/>
    <w:rsid w:val="00035DE7"/>
    <w:rsid w:val="00040779"/>
    <w:rsid w:val="000425E3"/>
    <w:rsid w:val="0004353D"/>
    <w:rsid w:val="00043628"/>
    <w:rsid w:val="00043734"/>
    <w:rsid w:val="000523B2"/>
    <w:rsid w:val="00054662"/>
    <w:rsid w:val="000547A8"/>
    <w:rsid w:val="0005671D"/>
    <w:rsid w:val="00057F8E"/>
    <w:rsid w:val="00064D7C"/>
    <w:rsid w:val="0006508D"/>
    <w:rsid w:val="00066E26"/>
    <w:rsid w:val="00070F67"/>
    <w:rsid w:val="000727DA"/>
    <w:rsid w:val="000735B5"/>
    <w:rsid w:val="0007395A"/>
    <w:rsid w:val="00076215"/>
    <w:rsid w:val="00076B9D"/>
    <w:rsid w:val="00077358"/>
    <w:rsid w:val="000776BF"/>
    <w:rsid w:val="00080EF6"/>
    <w:rsid w:val="000822E5"/>
    <w:rsid w:val="00083A0E"/>
    <w:rsid w:val="00083E1C"/>
    <w:rsid w:val="000847E4"/>
    <w:rsid w:val="00085F57"/>
    <w:rsid w:val="00090D31"/>
    <w:rsid w:val="000A2B11"/>
    <w:rsid w:val="000A6EC3"/>
    <w:rsid w:val="000B1D9D"/>
    <w:rsid w:val="000B240B"/>
    <w:rsid w:val="000B329F"/>
    <w:rsid w:val="000B4A3C"/>
    <w:rsid w:val="000B53C3"/>
    <w:rsid w:val="000B5D4E"/>
    <w:rsid w:val="000B5D6E"/>
    <w:rsid w:val="000B7BA0"/>
    <w:rsid w:val="000C0379"/>
    <w:rsid w:val="000C0DD6"/>
    <w:rsid w:val="000C1E53"/>
    <w:rsid w:val="000C354B"/>
    <w:rsid w:val="000C4E31"/>
    <w:rsid w:val="000C7CF6"/>
    <w:rsid w:val="000D1BD1"/>
    <w:rsid w:val="000D3BD3"/>
    <w:rsid w:val="000D3F55"/>
    <w:rsid w:val="000D663B"/>
    <w:rsid w:val="000E0E99"/>
    <w:rsid w:val="000E1366"/>
    <w:rsid w:val="000E249A"/>
    <w:rsid w:val="000E3792"/>
    <w:rsid w:val="000F340B"/>
    <w:rsid w:val="000F47D8"/>
    <w:rsid w:val="000F5251"/>
    <w:rsid w:val="000F78E2"/>
    <w:rsid w:val="00103566"/>
    <w:rsid w:val="00104222"/>
    <w:rsid w:val="00106283"/>
    <w:rsid w:val="00106DD1"/>
    <w:rsid w:val="0010774C"/>
    <w:rsid w:val="00107BB9"/>
    <w:rsid w:val="00111555"/>
    <w:rsid w:val="001122AA"/>
    <w:rsid w:val="0011296E"/>
    <w:rsid w:val="00112E39"/>
    <w:rsid w:val="001153D0"/>
    <w:rsid w:val="001168EE"/>
    <w:rsid w:val="0011742E"/>
    <w:rsid w:val="00117FE9"/>
    <w:rsid w:val="00121A25"/>
    <w:rsid w:val="001220C5"/>
    <w:rsid w:val="00125E4F"/>
    <w:rsid w:val="001315A9"/>
    <w:rsid w:val="0013592A"/>
    <w:rsid w:val="001371BE"/>
    <w:rsid w:val="001378FB"/>
    <w:rsid w:val="001423C1"/>
    <w:rsid w:val="0014380F"/>
    <w:rsid w:val="00147E99"/>
    <w:rsid w:val="001511FA"/>
    <w:rsid w:val="00151552"/>
    <w:rsid w:val="001520B7"/>
    <w:rsid w:val="00152D25"/>
    <w:rsid w:val="0015608F"/>
    <w:rsid w:val="0015652D"/>
    <w:rsid w:val="00160680"/>
    <w:rsid w:val="00161F7D"/>
    <w:rsid w:val="00162B68"/>
    <w:rsid w:val="001637A7"/>
    <w:rsid w:val="00165271"/>
    <w:rsid w:val="00170882"/>
    <w:rsid w:val="0017133C"/>
    <w:rsid w:val="001721B4"/>
    <w:rsid w:val="00172A27"/>
    <w:rsid w:val="001808C1"/>
    <w:rsid w:val="00182454"/>
    <w:rsid w:val="001846C5"/>
    <w:rsid w:val="00186EFD"/>
    <w:rsid w:val="001870C1"/>
    <w:rsid w:val="001907BE"/>
    <w:rsid w:val="00190A2D"/>
    <w:rsid w:val="001919A3"/>
    <w:rsid w:val="001937AF"/>
    <w:rsid w:val="00194567"/>
    <w:rsid w:val="001A0C37"/>
    <w:rsid w:val="001A1B17"/>
    <w:rsid w:val="001A21EF"/>
    <w:rsid w:val="001A43A9"/>
    <w:rsid w:val="001A6048"/>
    <w:rsid w:val="001B0384"/>
    <w:rsid w:val="001B6367"/>
    <w:rsid w:val="001B7D46"/>
    <w:rsid w:val="001C07EC"/>
    <w:rsid w:val="001C1A30"/>
    <w:rsid w:val="001C1C65"/>
    <w:rsid w:val="001C467C"/>
    <w:rsid w:val="001C541A"/>
    <w:rsid w:val="001C7FA5"/>
    <w:rsid w:val="001C7FF0"/>
    <w:rsid w:val="001D08F7"/>
    <w:rsid w:val="001D2E75"/>
    <w:rsid w:val="001D578D"/>
    <w:rsid w:val="001D6C9D"/>
    <w:rsid w:val="001E1937"/>
    <w:rsid w:val="001E3ECE"/>
    <w:rsid w:val="001E4177"/>
    <w:rsid w:val="001E4B09"/>
    <w:rsid w:val="001E712A"/>
    <w:rsid w:val="001F0AF8"/>
    <w:rsid w:val="001F2649"/>
    <w:rsid w:val="001F272D"/>
    <w:rsid w:val="001F2872"/>
    <w:rsid w:val="001F36E4"/>
    <w:rsid w:val="001F37D5"/>
    <w:rsid w:val="001F529F"/>
    <w:rsid w:val="001F59ED"/>
    <w:rsid w:val="001F6C01"/>
    <w:rsid w:val="001F75C6"/>
    <w:rsid w:val="001F7915"/>
    <w:rsid w:val="002001A9"/>
    <w:rsid w:val="0020139A"/>
    <w:rsid w:val="002017E9"/>
    <w:rsid w:val="00201968"/>
    <w:rsid w:val="00202695"/>
    <w:rsid w:val="002127EC"/>
    <w:rsid w:val="002156B8"/>
    <w:rsid w:val="00215AA4"/>
    <w:rsid w:val="00220680"/>
    <w:rsid w:val="00221F33"/>
    <w:rsid w:val="00222B03"/>
    <w:rsid w:val="00222D3A"/>
    <w:rsid w:val="002232F2"/>
    <w:rsid w:val="00224605"/>
    <w:rsid w:val="00226758"/>
    <w:rsid w:val="00226862"/>
    <w:rsid w:val="00226FDD"/>
    <w:rsid w:val="00227437"/>
    <w:rsid w:val="002338E0"/>
    <w:rsid w:val="002365F3"/>
    <w:rsid w:val="00240461"/>
    <w:rsid w:val="00247548"/>
    <w:rsid w:val="00251005"/>
    <w:rsid w:val="002562F5"/>
    <w:rsid w:val="00260FFE"/>
    <w:rsid w:val="00263581"/>
    <w:rsid w:val="002640A6"/>
    <w:rsid w:val="00265AA7"/>
    <w:rsid w:val="00277AAB"/>
    <w:rsid w:val="00280042"/>
    <w:rsid w:val="0028226B"/>
    <w:rsid w:val="00282A8A"/>
    <w:rsid w:val="00283E11"/>
    <w:rsid w:val="00284E2B"/>
    <w:rsid w:val="00284F50"/>
    <w:rsid w:val="00293676"/>
    <w:rsid w:val="002946B2"/>
    <w:rsid w:val="0029729B"/>
    <w:rsid w:val="0029730E"/>
    <w:rsid w:val="002A0798"/>
    <w:rsid w:val="002A3B20"/>
    <w:rsid w:val="002A7B55"/>
    <w:rsid w:val="002B3689"/>
    <w:rsid w:val="002B4D36"/>
    <w:rsid w:val="002B5635"/>
    <w:rsid w:val="002B7C19"/>
    <w:rsid w:val="002C2B36"/>
    <w:rsid w:val="002C4089"/>
    <w:rsid w:val="002C7263"/>
    <w:rsid w:val="002D00FE"/>
    <w:rsid w:val="002D044E"/>
    <w:rsid w:val="002D05D0"/>
    <w:rsid w:val="002D0857"/>
    <w:rsid w:val="002D13FE"/>
    <w:rsid w:val="002D22D6"/>
    <w:rsid w:val="002D3F19"/>
    <w:rsid w:val="002D798B"/>
    <w:rsid w:val="002E00CE"/>
    <w:rsid w:val="002E0903"/>
    <w:rsid w:val="002E0E08"/>
    <w:rsid w:val="002E137A"/>
    <w:rsid w:val="002E2A8B"/>
    <w:rsid w:val="002E31B9"/>
    <w:rsid w:val="002E474A"/>
    <w:rsid w:val="002E5F7B"/>
    <w:rsid w:val="002E61DA"/>
    <w:rsid w:val="002E7D56"/>
    <w:rsid w:val="002F40F5"/>
    <w:rsid w:val="002F4919"/>
    <w:rsid w:val="002F69ED"/>
    <w:rsid w:val="002F7F04"/>
    <w:rsid w:val="003017F6"/>
    <w:rsid w:val="0030393F"/>
    <w:rsid w:val="00307508"/>
    <w:rsid w:val="00311ECC"/>
    <w:rsid w:val="00313FE2"/>
    <w:rsid w:val="00314091"/>
    <w:rsid w:val="00316269"/>
    <w:rsid w:val="00330AA5"/>
    <w:rsid w:val="00331E7C"/>
    <w:rsid w:val="003327EB"/>
    <w:rsid w:val="00336729"/>
    <w:rsid w:val="0033710F"/>
    <w:rsid w:val="00337D8E"/>
    <w:rsid w:val="00340A6E"/>
    <w:rsid w:val="00342A55"/>
    <w:rsid w:val="0034302A"/>
    <w:rsid w:val="0034707D"/>
    <w:rsid w:val="003515C5"/>
    <w:rsid w:val="003525FD"/>
    <w:rsid w:val="00353049"/>
    <w:rsid w:val="00357D7F"/>
    <w:rsid w:val="003614AF"/>
    <w:rsid w:val="003617C6"/>
    <w:rsid w:val="003626F3"/>
    <w:rsid w:val="00366C0A"/>
    <w:rsid w:val="0037667F"/>
    <w:rsid w:val="00377268"/>
    <w:rsid w:val="00380D91"/>
    <w:rsid w:val="003814C3"/>
    <w:rsid w:val="00382C5C"/>
    <w:rsid w:val="00383C6C"/>
    <w:rsid w:val="00383F1A"/>
    <w:rsid w:val="0038478D"/>
    <w:rsid w:val="003854B3"/>
    <w:rsid w:val="00387202"/>
    <w:rsid w:val="003918D5"/>
    <w:rsid w:val="0039276B"/>
    <w:rsid w:val="00395929"/>
    <w:rsid w:val="003A02A1"/>
    <w:rsid w:val="003A5078"/>
    <w:rsid w:val="003A772C"/>
    <w:rsid w:val="003B0190"/>
    <w:rsid w:val="003B01BB"/>
    <w:rsid w:val="003B4424"/>
    <w:rsid w:val="003B48A4"/>
    <w:rsid w:val="003B76CA"/>
    <w:rsid w:val="003C1009"/>
    <w:rsid w:val="003C5F4F"/>
    <w:rsid w:val="003C6958"/>
    <w:rsid w:val="003D2EBB"/>
    <w:rsid w:val="003D3C26"/>
    <w:rsid w:val="003D730B"/>
    <w:rsid w:val="003E274B"/>
    <w:rsid w:val="003F3B31"/>
    <w:rsid w:val="004014FB"/>
    <w:rsid w:val="00404765"/>
    <w:rsid w:val="0040766D"/>
    <w:rsid w:val="00407A41"/>
    <w:rsid w:val="00407B55"/>
    <w:rsid w:val="00410C23"/>
    <w:rsid w:val="004121B6"/>
    <w:rsid w:val="00412680"/>
    <w:rsid w:val="00420115"/>
    <w:rsid w:val="0042297A"/>
    <w:rsid w:val="004233C8"/>
    <w:rsid w:val="004251CC"/>
    <w:rsid w:val="00426543"/>
    <w:rsid w:val="00431C0C"/>
    <w:rsid w:val="00432F23"/>
    <w:rsid w:val="004410E0"/>
    <w:rsid w:val="0044363F"/>
    <w:rsid w:val="00445135"/>
    <w:rsid w:val="00445E87"/>
    <w:rsid w:val="00446112"/>
    <w:rsid w:val="0044691E"/>
    <w:rsid w:val="00451934"/>
    <w:rsid w:val="00451D51"/>
    <w:rsid w:val="0046425C"/>
    <w:rsid w:val="00464C01"/>
    <w:rsid w:val="00467554"/>
    <w:rsid w:val="0047029D"/>
    <w:rsid w:val="00472A5B"/>
    <w:rsid w:val="00473A78"/>
    <w:rsid w:val="00474584"/>
    <w:rsid w:val="00475A9D"/>
    <w:rsid w:val="00480805"/>
    <w:rsid w:val="004814A6"/>
    <w:rsid w:val="00482E8A"/>
    <w:rsid w:val="00483922"/>
    <w:rsid w:val="00485A21"/>
    <w:rsid w:val="00485B0B"/>
    <w:rsid w:val="00487AC7"/>
    <w:rsid w:val="00493F45"/>
    <w:rsid w:val="004967EE"/>
    <w:rsid w:val="0049698C"/>
    <w:rsid w:val="004A4F91"/>
    <w:rsid w:val="004A50C5"/>
    <w:rsid w:val="004A52BF"/>
    <w:rsid w:val="004B30EC"/>
    <w:rsid w:val="004B3501"/>
    <w:rsid w:val="004B5B7C"/>
    <w:rsid w:val="004C0919"/>
    <w:rsid w:val="004C1CA9"/>
    <w:rsid w:val="004C2F2E"/>
    <w:rsid w:val="004C58BD"/>
    <w:rsid w:val="004D310A"/>
    <w:rsid w:val="004D3333"/>
    <w:rsid w:val="004D39DC"/>
    <w:rsid w:val="004D3CD0"/>
    <w:rsid w:val="004D6823"/>
    <w:rsid w:val="004E0556"/>
    <w:rsid w:val="004E1400"/>
    <w:rsid w:val="004E2611"/>
    <w:rsid w:val="004E33B5"/>
    <w:rsid w:val="004E4527"/>
    <w:rsid w:val="004E4DF5"/>
    <w:rsid w:val="004E7D4D"/>
    <w:rsid w:val="004E7EEC"/>
    <w:rsid w:val="004F344D"/>
    <w:rsid w:val="004F572E"/>
    <w:rsid w:val="00502390"/>
    <w:rsid w:val="005044E5"/>
    <w:rsid w:val="00506577"/>
    <w:rsid w:val="005107B1"/>
    <w:rsid w:val="00511BFB"/>
    <w:rsid w:val="00511CF0"/>
    <w:rsid w:val="00514A3C"/>
    <w:rsid w:val="00515327"/>
    <w:rsid w:val="005153C5"/>
    <w:rsid w:val="00517661"/>
    <w:rsid w:val="0051768C"/>
    <w:rsid w:val="005176B9"/>
    <w:rsid w:val="00517907"/>
    <w:rsid w:val="0052177B"/>
    <w:rsid w:val="00521959"/>
    <w:rsid w:val="00521E96"/>
    <w:rsid w:val="00524917"/>
    <w:rsid w:val="00525CA4"/>
    <w:rsid w:val="00530F98"/>
    <w:rsid w:val="005311E6"/>
    <w:rsid w:val="005317FC"/>
    <w:rsid w:val="00532F05"/>
    <w:rsid w:val="00533465"/>
    <w:rsid w:val="0053386F"/>
    <w:rsid w:val="00536FAB"/>
    <w:rsid w:val="00537203"/>
    <w:rsid w:val="00537B51"/>
    <w:rsid w:val="00537E50"/>
    <w:rsid w:val="0054010E"/>
    <w:rsid w:val="005440E3"/>
    <w:rsid w:val="005442ED"/>
    <w:rsid w:val="0054468B"/>
    <w:rsid w:val="00550D40"/>
    <w:rsid w:val="00551241"/>
    <w:rsid w:val="00551558"/>
    <w:rsid w:val="0055190A"/>
    <w:rsid w:val="00552008"/>
    <w:rsid w:val="00553F65"/>
    <w:rsid w:val="005544EC"/>
    <w:rsid w:val="00554509"/>
    <w:rsid w:val="00555171"/>
    <w:rsid w:val="005566AB"/>
    <w:rsid w:val="00557080"/>
    <w:rsid w:val="00557109"/>
    <w:rsid w:val="005603DA"/>
    <w:rsid w:val="00561581"/>
    <w:rsid w:val="005616A7"/>
    <w:rsid w:val="00563A47"/>
    <w:rsid w:val="00566B62"/>
    <w:rsid w:val="00574D09"/>
    <w:rsid w:val="0057579E"/>
    <w:rsid w:val="00576BE5"/>
    <w:rsid w:val="005770B5"/>
    <w:rsid w:val="0058289F"/>
    <w:rsid w:val="00583FC7"/>
    <w:rsid w:val="00586098"/>
    <w:rsid w:val="00591024"/>
    <w:rsid w:val="0059391E"/>
    <w:rsid w:val="00594836"/>
    <w:rsid w:val="00595C31"/>
    <w:rsid w:val="005A4F27"/>
    <w:rsid w:val="005A5A1C"/>
    <w:rsid w:val="005A5BA1"/>
    <w:rsid w:val="005A645A"/>
    <w:rsid w:val="005A7A64"/>
    <w:rsid w:val="005B0366"/>
    <w:rsid w:val="005B0825"/>
    <w:rsid w:val="005B0DF8"/>
    <w:rsid w:val="005B2AE2"/>
    <w:rsid w:val="005C25EE"/>
    <w:rsid w:val="005D18E7"/>
    <w:rsid w:val="005D2CE8"/>
    <w:rsid w:val="005D3036"/>
    <w:rsid w:val="005D3314"/>
    <w:rsid w:val="005D419C"/>
    <w:rsid w:val="005D4E72"/>
    <w:rsid w:val="005D6384"/>
    <w:rsid w:val="005D75A1"/>
    <w:rsid w:val="005D7A8B"/>
    <w:rsid w:val="005E02EA"/>
    <w:rsid w:val="005E09C2"/>
    <w:rsid w:val="005F0F15"/>
    <w:rsid w:val="005F11BB"/>
    <w:rsid w:val="005F1D2C"/>
    <w:rsid w:val="005F4ADC"/>
    <w:rsid w:val="005F6E26"/>
    <w:rsid w:val="005F7CBC"/>
    <w:rsid w:val="00600870"/>
    <w:rsid w:val="00600F1B"/>
    <w:rsid w:val="00603ECE"/>
    <w:rsid w:val="006100AC"/>
    <w:rsid w:val="00610C2B"/>
    <w:rsid w:val="0061296B"/>
    <w:rsid w:val="00614A77"/>
    <w:rsid w:val="006160BD"/>
    <w:rsid w:val="0061678C"/>
    <w:rsid w:val="00623408"/>
    <w:rsid w:val="006253D1"/>
    <w:rsid w:val="00635564"/>
    <w:rsid w:val="0064082B"/>
    <w:rsid w:val="00640D4F"/>
    <w:rsid w:val="0064283E"/>
    <w:rsid w:val="00644C72"/>
    <w:rsid w:val="00647578"/>
    <w:rsid w:val="0065070E"/>
    <w:rsid w:val="00650C23"/>
    <w:rsid w:val="00654FB2"/>
    <w:rsid w:val="00661F4E"/>
    <w:rsid w:val="00664A52"/>
    <w:rsid w:val="00664CEA"/>
    <w:rsid w:val="006663E5"/>
    <w:rsid w:val="0066693D"/>
    <w:rsid w:val="00672307"/>
    <w:rsid w:val="00672B31"/>
    <w:rsid w:val="0067626B"/>
    <w:rsid w:val="00684B84"/>
    <w:rsid w:val="0068693C"/>
    <w:rsid w:val="00686A53"/>
    <w:rsid w:val="00687CC9"/>
    <w:rsid w:val="00695594"/>
    <w:rsid w:val="00697CB8"/>
    <w:rsid w:val="006A0459"/>
    <w:rsid w:val="006A22ED"/>
    <w:rsid w:val="006A3359"/>
    <w:rsid w:val="006A6A89"/>
    <w:rsid w:val="006B260D"/>
    <w:rsid w:val="006B436A"/>
    <w:rsid w:val="006B6ECD"/>
    <w:rsid w:val="006B793B"/>
    <w:rsid w:val="006B7EB6"/>
    <w:rsid w:val="006C3F72"/>
    <w:rsid w:val="006C43E2"/>
    <w:rsid w:val="006C685F"/>
    <w:rsid w:val="006C6B5F"/>
    <w:rsid w:val="006C7508"/>
    <w:rsid w:val="006D6E57"/>
    <w:rsid w:val="006D7963"/>
    <w:rsid w:val="006E15BA"/>
    <w:rsid w:val="006E2D29"/>
    <w:rsid w:val="006E474A"/>
    <w:rsid w:val="006E4DB0"/>
    <w:rsid w:val="006E739C"/>
    <w:rsid w:val="006F0442"/>
    <w:rsid w:val="006F5767"/>
    <w:rsid w:val="006F6891"/>
    <w:rsid w:val="006F71B3"/>
    <w:rsid w:val="00702B49"/>
    <w:rsid w:val="00703122"/>
    <w:rsid w:val="00703B84"/>
    <w:rsid w:val="0070763D"/>
    <w:rsid w:val="00711855"/>
    <w:rsid w:val="00712A1E"/>
    <w:rsid w:val="00712C2A"/>
    <w:rsid w:val="00713692"/>
    <w:rsid w:val="00713B5C"/>
    <w:rsid w:val="00715B65"/>
    <w:rsid w:val="007176EC"/>
    <w:rsid w:val="0072304E"/>
    <w:rsid w:val="00724267"/>
    <w:rsid w:val="00724C96"/>
    <w:rsid w:val="007252BB"/>
    <w:rsid w:val="00726D05"/>
    <w:rsid w:val="00730438"/>
    <w:rsid w:val="007356A4"/>
    <w:rsid w:val="00735BB5"/>
    <w:rsid w:val="00735D43"/>
    <w:rsid w:val="0073624C"/>
    <w:rsid w:val="00736EC4"/>
    <w:rsid w:val="00736FCF"/>
    <w:rsid w:val="0073701B"/>
    <w:rsid w:val="007376AE"/>
    <w:rsid w:val="00743C8C"/>
    <w:rsid w:val="007474C5"/>
    <w:rsid w:val="0075677E"/>
    <w:rsid w:val="007572F2"/>
    <w:rsid w:val="00761373"/>
    <w:rsid w:val="007659B4"/>
    <w:rsid w:val="0077001E"/>
    <w:rsid w:val="007709F0"/>
    <w:rsid w:val="0077220A"/>
    <w:rsid w:val="0077467F"/>
    <w:rsid w:val="00775D4B"/>
    <w:rsid w:val="0077741A"/>
    <w:rsid w:val="0077746C"/>
    <w:rsid w:val="00780AC0"/>
    <w:rsid w:val="007815BA"/>
    <w:rsid w:val="00781F2A"/>
    <w:rsid w:val="007828BB"/>
    <w:rsid w:val="00783FEB"/>
    <w:rsid w:val="00787338"/>
    <w:rsid w:val="0078768E"/>
    <w:rsid w:val="00787B76"/>
    <w:rsid w:val="00787E55"/>
    <w:rsid w:val="00793065"/>
    <w:rsid w:val="00794154"/>
    <w:rsid w:val="00795E48"/>
    <w:rsid w:val="00796F56"/>
    <w:rsid w:val="007A0EF5"/>
    <w:rsid w:val="007A2F09"/>
    <w:rsid w:val="007A7958"/>
    <w:rsid w:val="007B0722"/>
    <w:rsid w:val="007B0E2C"/>
    <w:rsid w:val="007B10FE"/>
    <w:rsid w:val="007B171E"/>
    <w:rsid w:val="007B1B58"/>
    <w:rsid w:val="007B1B89"/>
    <w:rsid w:val="007B40FF"/>
    <w:rsid w:val="007B4F06"/>
    <w:rsid w:val="007B5264"/>
    <w:rsid w:val="007B68C4"/>
    <w:rsid w:val="007C02D8"/>
    <w:rsid w:val="007C0879"/>
    <w:rsid w:val="007C49BE"/>
    <w:rsid w:val="007C61C2"/>
    <w:rsid w:val="007C69B1"/>
    <w:rsid w:val="007C717F"/>
    <w:rsid w:val="007D10A7"/>
    <w:rsid w:val="007D1F5A"/>
    <w:rsid w:val="007D5980"/>
    <w:rsid w:val="007E102F"/>
    <w:rsid w:val="007E26DE"/>
    <w:rsid w:val="007E6784"/>
    <w:rsid w:val="007E74A4"/>
    <w:rsid w:val="007F451A"/>
    <w:rsid w:val="007F59D6"/>
    <w:rsid w:val="00801151"/>
    <w:rsid w:val="0080290E"/>
    <w:rsid w:val="008058E0"/>
    <w:rsid w:val="00805F95"/>
    <w:rsid w:val="00806F70"/>
    <w:rsid w:val="00814185"/>
    <w:rsid w:val="0081746D"/>
    <w:rsid w:val="0082737B"/>
    <w:rsid w:val="008277B1"/>
    <w:rsid w:val="00827D36"/>
    <w:rsid w:val="00831202"/>
    <w:rsid w:val="00834433"/>
    <w:rsid w:val="008370E6"/>
    <w:rsid w:val="0083711F"/>
    <w:rsid w:val="008404DE"/>
    <w:rsid w:val="00840BBF"/>
    <w:rsid w:val="00842D8F"/>
    <w:rsid w:val="008506D6"/>
    <w:rsid w:val="00855DE8"/>
    <w:rsid w:val="008578F5"/>
    <w:rsid w:val="008634A5"/>
    <w:rsid w:val="00865822"/>
    <w:rsid w:val="00871C40"/>
    <w:rsid w:val="00872556"/>
    <w:rsid w:val="0087272C"/>
    <w:rsid w:val="00873330"/>
    <w:rsid w:val="00874826"/>
    <w:rsid w:val="008769C1"/>
    <w:rsid w:val="00876F06"/>
    <w:rsid w:val="00877A10"/>
    <w:rsid w:val="00883CA4"/>
    <w:rsid w:val="00883D2F"/>
    <w:rsid w:val="008878DC"/>
    <w:rsid w:val="00890EB6"/>
    <w:rsid w:val="008917E1"/>
    <w:rsid w:val="00891839"/>
    <w:rsid w:val="008956F4"/>
    <w:rsid w:val="00895B76"/>
    <w:rsid w:val="008A455D"/>
    <w:rsid w:val="008A6551"/>
    <w:rsid w:val="008B22FC"/>
    <w:rsid w:val="008B7A78"/>
    <w:rsid w:val="008C0764"/>
    <w:rsid w:val="008C0A48"/>
    <w:rsid w:val="008C5292"/>
    <w:rsid w:val="008C6DB5"/>
    <w:rsid w:val="008C7775"/>
    <w:rsid w:val="008D1B25"/>
    <w:rsid w:val="008D1F2A"/>
    <w:rsid w:val="008D4052"/>
    <w:rsid w:val="008D6103"/>
    <w:rsid w:val="008D6359"/>
    <w:rsid w:val="008D67E8"/>
    <w:rsid w:val="008E1F3F"/>
    <w:rsid w:val="008E6BA9"/>
    <w:rsid w:val="008F16BC"/>
    <w:rsid w:val="008F41D3"/>
    <w:rsid w:val="008F7A1F"/>
    <w:rsid w:val="00900270"/>
    <w:rsid w:val="009004C7"/>
    <w:rsid w:val="0090181E"/>
    <w:rsid w:val="0090219D"/>
    <w:rsid w:val="00902455"/>
    <w:rsid w:val="009041C9"/>
    <w:rsid w:val="009041D3"/>
    <w:rsid w:val="009045C5"/>
    <w:rsid w:val="009062D2"/>
    <w:rsid w:val="009110EE"/>
    <w:rsid w:val="00912DF6"/>
    <w:rsid w:val="00913D3D"/>
    <w:rsid w:val="00914B49"/>
    <w:rsid w:val="0091738F"/>
    <w:rsid w:val="009205E2"/>
    <w:rsid w:val="00922DA4"/>
    <w:rsid w:val="00925995"/>
    <w:rsid w:val="00925E14"/>
    <w:rsid w:val="0092664D"/>
    <w:rsid w:val="009270E8"/>
    <w:rsid w:val="00927693"/>
    <w:rsid w:val="0093423C"/>
    <w:rsid w:val="00934BE8"/>
    <w:rsid w:val="00935984"/>
    <w:rsid w:val="00941243"/>
    <w:rsid w:val="00943DAD"/>
    <w:rsid w:val="00944829"/>
    <w:rsid w:val="00944FA5"/>
    <w:rsid w:val="00951C6D"/>
    <w:rsid w:val="00954461"/>
    <w:rsid w:val="00964702"/>
    <w:rsid w:val="00967233"/>
    <w:rsid w:val="009679EF"/>
    <w:rsid w:val="00970FCF"/>
    <w:rsid w:val="00971162"/>
    <w:rsid w:val="0097274A"/>
    <w:rsid w:val="00975FB1"/>
    <w:rsid w:val="0098280D"/>
    <w:rsid w:val="009941D4"/>
    <w:rsid w:val="00997E3C"/>
    <w:rsid w:val="009A4E67"/>
    <w:rsid w:val="009A667A"/>
    <w:rsid w:val="009A7AAE"/>
    <w:rsid w:val="009B2F78"/>
    <w:rsid w:val="009C0D1D"/>
    <w:rsid w:val="009C111C"/>
    <w:rsid w:val="009C18A3"/>
    <w:rsid w:val="009C2DFA"/>
    <w:rsid w:val="009C32E3"/>
    <w:rsid w:val="009C4DEE"/>
    <w:rsid w:val="009C5FC7"/>
    <w:rsid w:val="009C7800"/>
    <w:rsid w:val="009D1810"/>
    <w:rsid w:val="009D271A"/>
    <w:rsid w:val="009D69CB"/>
    <w:rsid w:val="009D6D02"/>
    <w:rsid w:val="009D7FA6"/>
    <w:rsid w:val="009E2992"/>
    <w:rsid w:val="009E3EC8"/>
    <w:rsid w:val="009E5CF1"/>
    <w:rsid w:val="009F6514"/>
    <w:rsid w:val="009F6AD3"/>
    <w:rsid w:val="009F6CF8"/>
    <w:rsid w:val="00A0129F"/>
    <w:rsid w:val="00A038AB"/>
    <w:rsid w:val="00A060D5"/>
    <w:rsid w:val="00A065A5"/>
    <w:rsid w:val="00A117DD"/>
    <w:rsid w:val="00A1358F"/>
    <w:rsid w:val="00A16289"/>
    <w:rsid w:val="00A16816"/>
    <w:rsid w:val="00A20D67"/>
    <w:rsid w:val="00A218D6"/>
    <w:rsid w:val="00A228C6"/>
    <w:rsid w:val="00A252F6"/>
    <w:rsid w:val="00A25E64"/>
    <w:rsid w:val="00A26B4E"/>
    <w:rsid w:val="00A26D9E"/>
    <w:rsid w:val="00A27826"/>
    <w:rsid w:val="00A32E1A"/>
    <w:rsid w:val="00A371AC"/>
    <w:rsid w:val="00A41915"/>
    <w:rsid w:val="00A43C8E"/>
    <w:rsid w:val="00A47E43"/>
    <w:rsid w:val="00A501A4"/>
    <w:rsid w:val="00A52528"/>
    <w:rsid w:val="00A52825"/>
    <w:rsid w:val="00A55A46"/>
    <w:rsid w:val="00A55B5C"/>
    <w:rsid w:val="00A60CB5"/>
    <w:rsid w:val="00A61DD2"/>
    <w:rsid w:val="00A63849"/>
    <w:rsid w:val="00A65944"/>
    <w:rsid w:val="00A67F48"/>
    <w:rsid w:val="00A71E14"/>
    <w:rsid w:val="00A7272F"/>
    <w:rsid w:val="00A7380E"/>
    <w:rsid w:val="00A75C74"/>
    <w:rsid w:val="00A81D22"/>
    <w:rsid w:val="00A825E7"/>
    <w:rsid w:val="00A86907"/>
    <w:rsid w:val="00A87071"/>
    <w:rsid w:val="00A87C9B"/>
    <w:rsid w:val="00A911CA"/>
    <w:rsid w:val="00A9326E"/>
    <w:rsid w:val="00A9504C"/>
    <w:rsid w:val="00A95749"/>
    <w:rsid w:val="00A9673E"/>
    <w:rsid w:val="00A96BF1"/>
    <w:rsid w:val="00AA0A11"/>
    <w:rsid w:val="00AA0E61"/>
    <w:rsid w:val="00AA51FC"/>
    <w:rsid w:val="00AA7C55"/>
    <w:rsid w:val="00AA7E55"/>
    <w:rsid w:val="00AC18A1"/>
    <w:rsid w:val="00AC2FB3"/>
    <w:rsid w:val="00AC5A49"/>
    <w:rsid w:val="00AC5DE4"/>
    <w:rsid w:val="00AC714C"/>
    <w:rsid w:val="00AD17C9"/>
    <w:rsid w:val="00AD1B34"/>
    <w:rsid w:val="00AD3820"/>
    <w:rsid w:val="00AD4A64"/>
    <w:rsid w:val="00AD6CFF"/>
    <w:rsid w:val="00AE0BDB"/>
    <w:rsid w:val="00AE5F79"/>
    <w:rsid w:val="00AE788B"/>
    <w:rsid w:val="00AE7EC9"/>
    <w:rsid w:val="00AF031E"/>
    <w:rsid w:val="00AF03BD"/>
    <w:rsid w:val="00AF186B"/>
    <w:rsid w:val="00AF4138"/>
    <w:rsid w:val="00AF485A"/>
    <w:rsid w:val="00AF5236"/>
    <w:rsid w:val="00AF5550"/>
    <w:rsid w:val="00AF5DE8"/>
    <w:rsid w:val="00AF6DBE"/>
    <w:rsid w:val="00B013BA"/>
    <w:rsid w:val="00B02823"/>
    <w:rsid w:val="00B02AE8"/>
    <w:rsid w:val="00B0403B"/>
    <w:rsid w:val="00B055DE"/>
    <w:rsid w:val="00B11C2F"/>
    <w:rsid w:val="00B11DC9"/>
    <w:rsid w:val="00B13299"/>
    <w:rsid w:val="00B1340F"/>
    <w:rsid w:val="00B14B18"/>
    <w:rsid w:val="00B21236"/>
    <w:rsid w:val="00B214B1"/>
    <w:rsid w:val="00B215C2"/>
    <w:rsid w:val="00B23F7D"/>
    <w:rsid w:val="00B31F16"/>
    <w:rsid w:val="00B34633"/>
    <w:rsid w:val="00B34C7C"/>
    <w:rsid w:val="00B3567E"/>
    <w:rsid w:val="00B36D58"/>
    <w:rsid w:val="00B4174A"/>
    <w:rsid w:val="00B42079"/>
    <w:rsid w:val="00B522CE"/>
    <w:rsid w:val="00B52BDB"/>
    <w:rsid w:val="00B53BF0"/>
    <w:rsid w:val="00B5443F"/>
    <w:rsid w:val="00B57B06"/>
    <w:rsid w:val="00B6281A"/>
    <w:rsid w:val="00B62A5E"/>
    <w:rsid w:val="00B6325F"/>
    <w:rsid w:val="00B642A4"/>
    <w:rsid w:val="00B66353"/>
    <w:rsid w:val="00B675AC"/>
    <w:rsid w:val="00B70156"/>
    <w:rsid w:val="00B727CA"/>
    <w:rsid w:val="00B7281C"/>
    <w:rsid w:val="00B73845"/>
    <w:rsid w:val="00B75741"/>
    <w:rsid w:val="00B926D1"/>
    <w:rsid w:val="00B92D9B"/>
    <w:rsid w:val="00B953AB"/>
    <w:rsid w:val="00B958DC"/>
    <w:rsid w:val="00B9733B"/>
    <w:rsid w:val="00B97FEB"/>
    <w:rsid w:val="00BA0887"/>
    <w:rsid w:val="00BA1226"/>
    <w:rsid w:val="00BA3B17"/>
    <w:rsid w:val="00BA5022"/>
    <w:rsid w:val="00BA719C"/>
    <w:rsid w:val="00BA7CA7"/>
    <w:rsid w:val="00BB7C67"/>
    <w:rsid w:val="00BC2389"/>
    <w:rsid w:val="00BC3BDA"/>
    <w:rsid w:val="00BC53E0"/>
    <w:rsid w:val="00BC7705"/>
    <w:rsid w:val="00BD0233"/>
    <w:rsid w:val="00BD366C"/>
    <w:rsid w:val="00BD6AB7"/>
    <w:rsid w:val="00BE09A9"/>
    <w:rsid w:val="00BE3505"/>
    <w:rsid w:val="00BE3A08"/>
    <w:rsid w:val="00BE469D"/>
    <w:rsid w:val="00BE65D6"/>
    <w:rsid w:val="00BE7797"/>
    <w:rsid w:val="00BE7AE8"/>
    <w:rsid w:val="00BF0E02"/>
    <w:rsid w:val="00BF27EC"/>
    <w:rsid w:val="00BF29CE"/>
    <w:rsid w:val="00BF2D33"/>
    <w:rsid w:val="00BF3102"/>
    <w:rsid w:val="00BF48E1"/>
    <w:rsid w:val="00BF4D34"/>
    <w:rsid w:val="00BF5161"/>
    <w:rsid w:val="00BF6DE0"/>
    <w:rsid w:val="00C007F5"/>
    <w:rsid w:val="00C009F9"/>
    <w:rsid w:val="00C02BCE"/>
    <w:rsid w:val="00C05071"/>
    <w:rsid w:val="00C07706"/>
    <w:rsid w:val="00C07874"/>
    <w:rsid w:val="00C07F31"/>
    <w:rsid w:val="00C10033"/>
    <w:rsid w:val="00C102AC"/>
    <w:rsid w:val="00C15126"/>
    <w:rsid w:val="00C179DC"/>
    <w:rsid w:val="00C206CF"/>
    <w:rsid w:val="00C225EE"/>
    <w:rsid w:val="00C22F0B"/>
    <w:rsid w:val="00C2413E"/>
    <w:rsid w:val="00C2691A"/>
    <w:rsid w:val="00C27541"/>
    <w:rsid w:val="00C34F72"/>
    <w:rsid w:val="00C351C2"/>
    <w:rsid w:val="00C37FCA"/>
    <w:rsid w:val="00C423C6"/>
    <w:rsid w:val="00C44A42"/>
    <w:rsid w:val="00C50029"/>
    <w:rsid w:val="00C528D4"/>
    <w:rsid w:val="00C5307E"/>
    <w:rsid w:val="00C54D09"/>
    <w:rsid w:val="00C55B33"/>
    <w:rsid w:val="00C55EE6"/>
    <w:rsid w:val="00C564E6"/>
    <w:rsid w:val="00C5682D"/>
    <w:rsid w:val="00C5780B"/>
    <w:rsid w:val="00C57E77"/>
    <w:rsid w:val="00C6750C"/>
    <w:rsid w:val="00C700D0"/>
    <w:rsid w:val="00C717C4"/>
    <w:rsid w:val="00C7467B"/>
    <w:rsid w:val="00C75852"/>
    <w:rsid w:val="00C75B27"/>
    <w:rsid w:val="00C76CDC"/>
    <w:rsid w:val="00C83A70"/>
    <w:rsid w:val="00C873A5"/>
    <w:rsid w:val="00C9164B"/>
    <w:rsid w:val="00CA04F8"/>
    <w:rsid w:val="00CB0AFD"/>
    <w:rsid w:val="00CB792F"/>
    <w:rsid w:val="00CC1C14"/>
    <w:rsid w:val="00CC377A"/>
    <w:rsid w:val="00CC3E10"/>
    <w:rsid w:val="00CC5B14"/>
    <w:rsid w:val="00CC729D"/>
    <w:rsid w:val="00CD0409"/>
    <w:rsid w:val="00CD0956"/>
    <w:rsid w:val="00CD2B65"/>
    <w:rsid w:val="00CD3AB4"/>
    <w:rsid w:val="00CD4042"/>
    <w:rsid w:val="00CD4397"/>
    <w:rsid w:val="00CD49FD"/>
    <w:rsid w:val="00CD63BE"/>
    <w:rsid w:val="00CE047D"/>
    <w:rsid w:val="00CE5DC9"/>
    <w:rsid w:val="00CE6513"/>
    <w:rsid w:val="00CE6DA1"/>
    <w:rsid w:val="00CE6FF1"/>
    <w:rsid w:val="00CE7FC3"/>
    <w:rsid w:val="00CF2E0F"/>
    <w:rsid w:val="00CF2E55"/>
    <w:rsid w:val="00CF7097"/>
    <w:rsid w:val="00D001A4"/>
    <w:rsid w:val="00D00B24"/>
    <w:rsid w:val="00D00F33"/>
    <w:rsid w:val="00D0148D"/>
    <w:rsid w:val="00D03F52"/>
    <w:rsid w:val="00D0517D"/>
    <w:rsid w:val="00D05421"/>
    <w:rsid w:val="00D05D5B"/>
    <w:rsid w:val="00D06E28"/>
    <w:rsid w:val="00D07709"/>
    <w:rsid w:val="00D11D21"/>
    <w:rsid w:val="00D129A2"/>
    <w:rsid w:val="00D170FF"/>
    <w:rsid w:val="00D1769B"/>
    <w:rsid w:val="00D1789D"/>
    <w:rsid w:val="00D200D0"/>
    <w:rsid w:val="00D215CC"/>
    <w:rsid w:val="00D2385E"/>
    <w:rsid w:val="00D30FBC"/>
    <w:rsid w:val="00D31AD0"/>
    <w:rsid w:val="00D321ED"/>
    <w:rsid w:val="00D3234D"/>
    <w:rsid w:val="00D326FE"/>
    <w:rsid w:val="00D32D71"/>
    <w:rsid w:val="00D34578"/>
    <w:rsid w:val="00D375FE"/>
    <w:rsid w:val="00D42A7F"/>
    <w:rsid w:val="00D4348E"/>
    <w:rsid w:val="00D45BD0"/>
    <w:rsid w:val="00D46FF2"/>
    <w:rsid w:val="00D47E03"/>
    <w:rsid w:val="00D542B3"/>
    <w:rsid w:val="00D54DA9"/>
    <w:rsid w:val="00D557E9"/>
    <w:rsid w:val="00D55E6C"/>
    <w:rsid w:val="00D56550"/>
    <w:rsid w:val="00D636BB"/>
    <w:rsid w:val="00D6644D"/>
    <w:rsid w:val="00D71372"/>
    <w:rsid w:val="00D7225B"/>
    <w:rsid w:val="00D731E1"/>
    <w:rsid w:val="00D7365B"/>
    <w:rsid w:val="00D74D5B"/>
    <w:rsid w:val="00D76078"/>
    <w:rsid w:val="00D827D0"/>
    <w:rsid w:val="00D846E8"/>
    <w:rsid w:val="00D860A7"/>
    <w:rsid w:val="00D874AF"/>
    <w:rsid w:val="00D90B50"/>
    <w:rsid w:val="00D96AFC"/>
    <w:rsid w:val="00D96B68"/>
    <w:rsid w:val="00DA04CA"/>
    <w:rsid w:val="00DA1FA0"/>
    <w:rsid w:val="00DA2AC2"/>
    <w:rsid w:val="00DA3D4B"/>
    <w:rsid w:val="00DA5796"/>
    <w:rsid w:val="00DB0D61"/>
    <w:rsid w:val="00DB204B"/>
    <w:rsid w:val="00DB3CF6"/>
    <w:rsid w:val="00DB4314"/>
    <w:rsid w:val="00DB4F96"/>
    <w:rsid w:val="00DB66B4"/>
    <w:rsid w:val="00DC0EC3"/>
    <w:rsid w:val="00DD2930"/>
    <w:rsid w:val="00DD2C40"/>
    <w:rsid w:val="00DD6EE5"/>
    <w:rsid w:val="00DE3D48"/>
    <w:rsid w:val="00DE7031"/>
    <w:rsid w:val="00DE7168"/>
    <w:rsid w:val="00DF1DDB"/>
    <w:rsid w:val="00DF38C0"/>
    <w:rsid w:val="00DF3B37"/>
    <w:rsid w:val="00DF3DCD"/>
    <w:rsid w:val="00DF57C3"/>
    <w:rsid w:val="00DF65B0"/>
    <w:rsid w:val="00E01E62"/>
    <w:rsid w:val="00E04510"/>
    <w:rsid w:val="00E07309"/>
    <w:rsid w:val="00E17C2E"/>
    <w:rsid w:val="00E242B3"/>
    <w:rsid w:val="00E24F01"/>
    <w:rsid w:val="00E26586"/>
    <w:rsid w:val="00E31C7A"/>
    <w:rsid w:val="00E31FA5"/>
    <w:rsid w:val="00E40D11"/>
    <w:rsid w:val="00E413C8"/>
    <w:rsid w:val="00E417FC"/>
    <w:rsid w:val="00E43D46"/>
    <w:rsid w:val="00E44864"/>
    <w:rsid w:val="00E4652C"/>
    <w:rsid w:val="00E504AD"/>
    <w:rsid w:val="00E509C8"/>
    <w:rsid w:val="00E6237B"/>
    <w:rsid w:val="00E64F43"/>
    <w:rsid w:val="00E658C5"/>
    <w:rsid w:val="00E65A8C"/>
    <w:rsid w:val="00E666F9"/>
    <w:rsid w:val="00E742E5"/>
    <w:rsid w:val="00E74DF2"/>
    <w:rsid w:val="00E76A4E"/>
    <w:rsid w:val="00E7713A"/>
    <w:rsid w:val="00E80290"/>
    <w:rsid w:val="00E81CE9"/>
    <w:rsid w:val="00E831BF"/>
    <w:rsid w:val="00E84853"/>
    <w:rsid w:val="00E87106"/>
    <w:rsid w:val="00E87412"/>
    <w:rsid w:val="00E90871"/>
    <w:rsid w:val="00E91299"/>
    <w:rsid w:val="00E92945"/>
    <w:rsid w:val="00E938D6"/>
    <w:rsid w:val="00EA2371"/>
    <w:rsid w:val="00EA2BD1"/>
    <w:rsid w:val="00EA4799"/>
    <w:rsid w:val="00EA5ED2"/>
    <w:rsid w:val="00EA6987"/>
    <w:rsid w:val="00EB02DD"/>
    <w:rsid w:val="00EB2117"/>
    <w:rsid w:val="00EB2C76"/>
    <w:rsid w:val="00EB693F"/>
    <w:rsid w:val="00EC0B51"/>
    <w:rsid w:val="00EC4431"/>
    <w:rsid w:val="00EC7C4A"/>
    <w:rsid w:val="00EC7E51"/>
    <w:rsid w:val="00ED275A"/>
    <w:rsid w:val="00ED5395"/>
    <w:rsid w:val="00ED76F5"/>
    <w:rsid w:val="00EE0540"/>
    <w:rsid w:val="00EE12C3"/>
    <w:rsid w:val="00EE1B39"/>
    <w:rsid w:val="00EE1BA0"/>
    <w:rsid w:val="00EE260C"/>
    <w:rsid w:val="00EE5C37"/>
    <w:rsid w:val="00EE63F4"/>
    <w:rsid w:val="00EF044B"/>
    <w:rsid w:val="00EF1369"/>
    <w:rsid w:val="00F00198"/>
    <w:rsid w:val="00F0082C"/>
    <w:rsid w:val="00F03C38"/>
    <w:rsid w:val="00F0482F"/>
    <w:rsid w:val="00F06807"/>
    <w:rsid w:val="00F0689A"/>
    <w:rsid w:val="00F1233C"/>
    <w:rsid w:val="00F13128"/>
    <w:rsid w:val="00F1312E"/>
    <w:rsid w:val="00F13A0F"/>
    <w:rsid w:val="00F1532E"/>
    <w:rsid w:val="00F157ED"/>
    <w:rsid w:val="00F17B18"/>
    <w:rsid w:val="00F17B2C"/>
    <w:rsid w:val="00F17C41"/>
    <w:rsid w:val="00F202C2"/>
    <w:rsid w:val="00F20CA5"/>
    <w:rsid w:val="00F20E8B"/>
    <w:rsid w:val="00F23B59"/>
    <w:rsid w:val="00F2533D"/>
    <w:rsid w:val="00F2648B"/>
    <w:rsid w:val="00F31774"/>
    <w:rsid w:val="00F3448E"/>
    <w:rsid w:val="00F349A3"/>
    <w:rsid w:val="00F358E8"/>
    <w:rsid w:val="00F37B1D"/>
    <w:rsid w:val="00F41F87"/>
    <w:rsid w:val="00F44352"/>
    <w:rsid w:val="00F46310"/>
    <w:rsid w:val="00F46812"/>
    <w:rsid w:val="00F50133"/>
    <w:rsid w:val="00F501DD"/>
    <w:rsid w:val="00F50ED2"/>
    <w:rsid w:val="00F5171C"/>
    <w:rsid w:val="00F526B2"/>
    <w:rsid w:val="00F52ED5"/>
    <w:rsid w:val="00F5799F"/>
    <w:rsid w:val="00F62FD0"/>
    <w:rsid w:val="00F63167"/>
    <w:rsid w:val="00F63EC6"/>
    <w:rsid w:val="00F700C7"/>
    <w:rsid w:val="00F70E3B"/>
    <w:rsid w:val="00F767CD"/>
    <w:rsid w:val="00F820E7"/>
    <w:rsid w:val="00F8215E"/>
    <w:rsid w:val="00F845F1"/>
    <w:rsid w:val="00F8661C"/>
    <w:rsid w:val="00F87E7B"/>
    <w:rsid w:val="00F90806"/>
    <w:rsid w:val="00F916E7"/>
    <w:rsid w:val="00F933E9"/>
    <w:rsid w:val="00F93D3A"/>
    <w:rsid w:val="00F9471D"/>
    <w:rsid w:val="00F956CD"/>
    <w:rsid w:val="00F96520"/>
    <w:rsid w:val="00F96A53"/>
    <w:rsid w:val="00FA0019"/>
    <w:rsid w:val="00FA0A86"/>
    <w:rsid w:val="00FA13A5"/>
    <w:rsid w:val="00FA1A63"/>
    <w:rsid w:val="00FA1B50"/>
    <w:rsid w:val="00FA7001"/>
    <w:rsid w:val="00FB0ADF"/>
    <w:rsid w:val="00FB12CC"/>
    <w:rsid w:val="00FB2F3F"/>
    <w:rsid w:val="00FB3302"/>
    <w:rsid w:val="00FB4450"/>
    <w:rsid w:val="00FB5C74"/>
    <w:rsid w:val="00FB74E7"/>
    <w:rsid w:val="00FC71BA"/>
    <w:rsid w:val="00FD2065"/>
    <w:rsid w:val="00FD2900"/>
    <w:rsid w:val="00FD351E"/>
    <w:rsid w:val="00FD7498"/>
    <w:rsid w:val="00FD7FB0"/>
    <w:rsid w:val="00FE093D"/>
    <w:rsid w:val="00FE2C80"/>
    <w:rsid w:val="00FE2D00"/>
    <w:rsid w:val="00FE6B51"/>
    <w:rsid w:val="00FE6E79"/>
    <w:rsid w:val="00FF1511"/>
    <w:rsid w:val="00FF32FC"/>
    <w:rsid w:val="00FF38AC"/>
    <w:rsid w:val="00FF3D06"/>
    <w:rsid w:val="00FF7BFB"/>
    <w:rsid w:val="010E3934"/>
    <w:rsid w:val="010F6DCD"/>
    <w:rsid w:val="010F7F3F"/>
    <w:rsid w:val="0113454A"/>
    <w:rsid w:val="011D6260"/>
    <w:rsid w:val="012104EA"/>
    <w:rsid w:val="012339ED"/>
    <w:rsid w:val="01245DDC"/>
    <w:rsid w:val="012A7AF5"/>
    <w:rsid w:val="01341807"/>
    <w:rsid w:val="013620DB"/>
    <w:rsid w:val="013630CB"/>
    <w:rsid w:val="013779B0"/>
    <w:rsid w:val="01390402"/>
    <w:rsid w:val="013B2F68"/>
    <w:rsid w:val="01454250"/>
    <w:rsid w:val="01541A66"/>
    <w:rsid w:val="015754F6"/>
    <w:rsid w:val="015E6884"/>
    <w:rsid w:val="0179419D"/>
    <w:rsid w:val="017C4743"/>
    <w:rsid w:val="017E2A82"/>
    <w:rsid w:val="018207C5"/>
    <w:rsid w:val="018C5CB8"/>
    <w:rsid w:val="0192621F"/>
    <w:rsid w:val="019B1886"/>
    <w:rsid w:val="019B32C6"/>
    <w:rsid w:val="019C17CD"/>
    <w:rsid w:val="019E4ED3"/>
    <w:rsid w:val="019F1377"/>
    <w:rsid w:val="01A7043C"/>
    <w:rsid w:val="01A761C5"/>
    <w:rsid w:val="01A81CF3"/>
    <w:rsid w:val="01AF5351"/>
    <w:rsid w:val="01BD2958"/>
    <w:rsid w:val="01C012ED"/>
    <w:rsid w:val="01CB087B"/>
    <w:rsid w:val="01CF7B5F"/>
    <w:rsid w:val="01D41539"/>
    <w:rsid w:val="01D548B4"/>
    <w:rsid w:val="01D54D98"/>
    <w:rsid w:val="01F0403A"/>
    <w:rsid w:val="01F11015"/>
    <w:rsid w:val="01F228A7"/>
    <w:rsid w:val="01F33EE0"/>
    <w:rsid w:val="01FA01CD"/>
    <w:rsid w:val="02017020"/>
    <w:rsid w:val="02111211"/>
    <w:rsid w:val="0212648F"/>
    <w:rsid w:val="022A0D1C"/>
    <w:rsid w:val="022C641E"/>
    <w:rsid w:val="023006A7"/>
    <w:rsid w:val="02337D01"/>
    <w:rsid w:val="02385090"/>
    <w:rsid w:val="025832D3"/>
    <w:rsid w:val="025A5C68"/>
    <w:rsid w:val="025D2470"/>
    <w:rsid w:val="02671768"/>
    <w:rsid w:val="0272002F"/>
    <w:rsid w:val="02785D2C"/>
    <w:rsid w:val="02837E8F"/>
    <w:rsid w:val="02871152"/>
    <w:rsid w:val="029403CC"/>
    <w:rsid w:val="02985677"/>
    <w:rsid w:val="029D28A4"/>
    <w:rsid w:val="02A61AE1"/>
    <w:rsid w:val="02AF10E9"/>
    <w:rsid w:val="02B26125"/>
    <w:rsid w:val="02BC2F91"/>
    <w:rsid w:val="02BD239A"/>
    <w:rsid w:val="02CD5C0C"/>
    <w:rsid w:val="02D10325"/>
    <w:rsid w:val="02D12DE2"/>
    <w:rsid w:val="02DB029E"/>
    <w:rsid w:val="02DF1744"/>
    <w:rsid w:val="02E37041"/>
    <w:rsid w:val="02F9244A"/>
    <w:rsid w:val="02FA5D7F"/>
    <w:rsid w:val="02FD4578"/>
    <w:rsid w:val="03150AA3"/>
    <w:rsid w:val="03156E0E"/>
    <w:rsid w:val="031B0CF6"/>
    <w:rsid w:val="03211E3F"/>
    <w:rsid w:val="03213D9A"/>
    <w:rsid w:val="03267D09"/>
    <w:rsid w:val="0328290A"/>
    <w:rsid w:val="032B053F"/>
    <w:rsid w:val="032B6341"/>
    <w:rsid w:val="03315995"/>
    <w:rsid w:val="0338607D"/>
    <w:rsid w:val="034A5312"/>
    <w:rsid w:val="034D6BB0"/>
    <w:rsid w:val="0351077F"/>
    <w:rsid w:val="03556A3B"/>
    <w:rsid w:val="03604B36"/>
    <w:rsid w:val="03622291"/>
    <w:rsid w:val="0368458E"/>
    <w:rsid w:val="036F7D2F"/>
    <w:rsid w:val="0376109D"/>
    <w:rsid w:val="03844451"/>
    <w:rsid w:val="03844E12"/>
    <w:rsid w:val="038765F1"/>
    <w:rsid w:val="038B6AF1"/>
    <w:rsid w:val="038D4A2D"/>
    <w:rsid w:val="038E36F8"/>
    <w:rsid w:val="0394702E"/>
    <w:rsid w:val="03956033"/>
    <w:rsid w:val="03987F35"/>
    <w:rsid w:val="03A32AC2"/>
    <w:rsid w:val="03C2759E"/>
    <w:rsid w:val="03C5653F"/>
    <w:rsid w:val="03C97144"/>
    <w:rsid w:val="03CF064F"/>
    <w:rsid w:val="03DB1069"/>
    <w:rsid w:val="03DD1CE2"/>
    <w:rsid w:val="03E42B2C"/>
    <w:rsid w:val="03EF1A15"/>
    <w:rsid w:val="03F04AFA"/>
    <w:rsid w:val="03F23D0A"/>
    <w:rsid w:val="03F35D89"/>
    <w:rsid w:val="03F85710"/>
    <w:rsid w:val="040E7B36"/>
    <w:rsid w:val="041A2DDD"/>
    <w:rsid w:val="04240155"/>
    <w:rsid w:val="04243EB6"/>
    <w:rsid w:val="043210F1"/>
    <w:rsid w:val="043A1855"/>
    <w:rsid w:val="043A3568"/>
    <w:rsid w:val="043E3AAB"/>
    <w:rsid w:val="0441220D"/>
    <w:rsid w:val="04432C21"/>
    <w:rsid w:val="044363FB"/>
    <w:rsid w:val="04456850"/>
    <w:rsid w:val="04642403"/>
    <w:rsid w:val="046A6CCD"/>
    <w:rsid w:val="046B19E4"/>
    <w:rsid w:val="046E7A6F"/>
    <w:rsid w:val="04702B56"/>
    <w:rsid w:val="048E6B22"/>
    <w:rsid w:val="04916F90"/>
    <w:rsid w:val="04970029"/>
    <w:rsid w:val="049D6720"/>
    <w:rsid w:val="04A3012C"/>
    <w:rsid w:val="04AB31F5"/>
    <w:rsid w:val="04AC10D0"/>
    <w:rsid w:val="04B34754"/>
    <w:rsid w:val="04BC5192"/>
    <w:rsid w:val="04C44C81"/>
    <w:rsid w:val="04C66C1A"/>
    <w:rsid w:val="04C959CE"/>
    <w:rsid w:val="04CA48BF"/>
    <w:rsid w:val="04CC1D57"/>
    <w:rsid w:val="04D3719B"/>
    <w:rsid w:val="04DF0236"/>
    <w:rsid w:val="05097AD0"/>
    <w:rsid w:val="050A6C0A"/>
    <w:rsid w:val="050B1C57"/>
    <w:rsid w:val="051356AF"/>
    <w:rsid w:val="05177476"/>
    <w:rsid w:val="05192FFB"/>
    <w:rsid w:val="051A6F66"/>
    <w:rsid w:val="051F62F0"/>
    <w:rsid w:val="0520562E"/>
    <w:rsid w:val="0527524C"/>
    <w:rsid w:val="052B5A0B"/>
    <w:rsid w:val="05382B9E"/>
    <w:rsid w:val="053F27C6"/>
    <w:rsid w:val="05462813"/>
    <w:rsid w:val="054F5218"/>
    <w:rsid w:val="05524952"/>
    <w:rsid w:val="055C30DB"/>
    <w:rsid w:val="0563343C"/>
    <w:rsid w:val="05654966"/>
    <w:rsid w:val="0569336D"/>
    <w:rsid w:val="05696BF0"/>
    <w:rsid w:val="057666EE"/>
    <w:rsid w:val="05810D93"/>
    <w:rsid w:val="05872D82"/>
    <w:rsid w:val="058751C4"/>
    <w:rsid w:val="05882122"/>
    <w:rsid w:val="058B0F58"/>
    <w:rsid w:val="058D347C"/>
    <w:rsid w:val="05924D4E"/>
    <w:rsid w:val="05972365"/>
    <w:rsid w:val="05A131E3"/>
    <w:rsid w:val="05AA0535"/>
    <w:rsid w:val="05AD1B88"/>
    <w:rsid w:val="05B76525"/>
    <w:rsid w:val="05BA3B4E"/>
    <w:rsid w:val="05BE3D95"/>
    <w:rsid w:val="05C23DE8"/>
    <w:rsid w:val="05CD5D86"/>
    <w:rsid w:val="05D477B2"/>
    <w:rsid w:val="05E86709"/>
    <w:rsid w:val="05F67C50"/>
    <w:rsid w:val="05F72E03"/>
    <w:rsid w:val="05F81EA7"/>
    <w:rsid w:val="05FC5058"/>
    <w:rsid w:val="05FC7904"/>
    <w:rsid w:val="060A2051"/>
    <w:rsid w:val="061B1A58"/>
    <w:rsid w:val="0620235A"/>
    <w:rsid w:val="062C4179"/>
    <w:rsid w:val="062D43AF"/>
    <w:rsid w:val="062E2472"/>
    <w:rsid w:val="063D464A"/>
    <w:rsid w:val="06511AC7"/>
    <w:rsid w:val="0657780D"/>
    <w:rsid w:val="06587D46"/>
    <w:rsid w:val="06606BFB"/>
    <w:rsid w:val="066316B2"/>
    <w:rsid w:val="0666580E"/>
    <w:rsid w:val="066F5090"/>
    <w:rsid w:val="066F676C"/>
    <w:rsid w:val="067B3A34"/>
    <w:rsid w:val="0680186E"/>
    <w:rsid w:val="06911ED5"/>
    <w:rsid w:val="069873E3"/>
    <w:rsid w:val="06A628D7"/>
    <w:rsid w:val="06B74313"/>
    <w:rsid w:val="06B82BF1"/>
    <w:rsid w:val="06BA630B"/>
    <w:rsid w:val="06BE399A"/>
    <w:rsid w:val="06C56E1F"/>
    <w:rsid w:val="06D03D80"/>
    <w:rsid w:val="06D60267"/>
    <w:rsid w:val="06D90B4B"/>
    <w:rsid w:val="06D97F09"/>
    <w:rsid w:val="06DF1D4E"/>
    <w:rsid w:val="06E45A7E"/>
    <w:rsid w:val="06E55ABD"/>
    <w:rsid w:val="06F4329F"/>
    <w:rsid w:val="06FB7EA8"/>
    <w:rsid w:val="07035CA5"/>
    <w:rsid w:val="070C61D7"/>
    <w:rsid w:val="07312958"/>
    <w:rsid w:val="073562D9"/>
    <w:rsid w:val="073804C1"/>
    <w:rsid w:val="073857C6"/>
    <w:rsid w:val="073A01C8"/>
    <w:rsid w:val="073A38EF"/>
    <w:rsid w:val="07413B34"/>
    <w:rsid w:val="074778FA"/>
    <w:rsid w:val="074B1659"/>
    <w:rsid w:val="07537BDF"/>
    <w:rsid w:val="07544BD4"/>
    <w:rsid w:val="075873F6"/>
    <w:rsid w:val="07613C11"/>
    <w:rsid w:val="076B2515"/>
    <w:rsid w:val="07700D1A"/>
    <w:rsid w:val="07743731"/>
    <w:rsid w:val="07761BD8"/>
    <w:rsid w:val="0782145E"/>
    <w:rsid w:val="07872242"/>
    <w:rsid w:val="078D77EF"/>
    <w:rsid w:val="07A0301B"/>
    <w:rsid w:val="07A743CE"/>
    <w:rsid w:val="07AC7DAE"/>
    <w:rsid w:val="07B57EB1"/>
    <w:rsid w:val="07BA4A59"/>
    <w:rsid w:val="07BB42CC"/>
    <w:rsid w:val="07D64953"/>
    <w:rsid w:val="07D6751E"/>
    <w:rsid w:val="07D70FAB"/>
    <w:rsid w:val="07D72EEC"/>
    <w:rsid w:val="07E775D3"/>
    <w:rsid w:val="07F01A92"/>
    <w:rsid w:val="07F13153"/>
    <w:rsid w:val="07F5015C"/>
    <w:rsid w:val="07F901A3"/>
    <w:rsid w:val="08002443"/>
    <w:rsid w:val="0803635D"/>
    <w:rsid w:val="0806489A"/>
    <w:rsid w:val="080A5070"/>
    <w:rsid w:val="080E3A81"/>
    <w:rsid w:val="08116507"/>
    <w:rsid w:val="08187F7C"/>
    <w:rsid w:val="0822060B"/>
    <w:rsid w:val="08270ED8"/>
    <w:rsid w:val="08286317"/>
    <w:rsid w:val="082C76F8"/>
    <w:rsid w:val="08315D7E"/>
    <w:rsid w:val="08335AB5"/>
    <w:rsid w:val="08344D8C"/>
    <w:rsid w:val="083A4F48"/>
    <w:rsid w:val="085056E6"/>
    <w:rsid w:val="085207C5"/>
    <w:rsid w:val="08585E33"/>
    <w:rsid w:val="085B223E"/>
    <w:rsid w:val="086209E4"/>
    <w:rsid w:val="08631C80"/>
    <w:rsid w:val="08674270"/>
    <w:rsid w:val="0875198E"/>
    <w:rsid w:val="087879A4"/>
    <w:rsid w:val="087A7A37"/>
    <w:rsid w:val="087F5A5E"/>
    <w:rsid w:val="088017D6"/>
    <w:rsid w:val="08824EE7"/>
    <w:rsid w:val="088C5193"/>
    <w:rsid w:val="088D1D15"/>
    <w:rsid w:val="088F6118"/>
    <w:rsid w:val="0894259F"/>
    <w:rsid w:val="08961326"/>
    <w:rsid w:val="089839BA"/>
    <w:rsid w:val="08A615C0"/>
    <w:rsid w:val="08A6311E"/>
    <w:rsid w:val="08A814EB"/>
    <w:rsid w:val="08B6450A"/>
    <w:rsid w:val="08B704E5"/>
    <w:rsid w:val="08C6543B"/>
    <w:rsid w:val="08CD0180"/>
    <w:rsid w:val="08D12032"/>
    <w:rsid w:val="08D613F6"/>
    <w:rsid w:val="08D61A76"/>
    <w:rsid w:val="08D77758"/>
    <w:rsid w:val="08DC1E32"/>
    <w:rsid w:val="08F85B47"/>
    <w:rsid w:val="08FC6F0E"/>
    <w:rsid w:val="09012917"/>
    <w:rsid w:val="092630E1"/>
    <w:rsid w:val="09263232"/>
    <w:rsid w:val="09275279"/>
    <w:rsid w:val="09297259"/>
    <w:rsid w:val="092A3D98"/>
    <w:rsid w:val="09415207"/>
    <w:rsid w:val="094C4BE7"/>
    <w:rsid w:val="096402D3"/>
    <w:rsid w:val="09701252"/>
    <w:rsid w:val="09734E97"/>
    <w:rsid w:val="097645C6"/>
    <w:rsid w:val="097751E1"/>
    <w:rsid w:val="097C7051"/>
    <w:rsid w:val="097D0A60"/>
    <w:rsid w:val="098553AB"/>
    <w:rsid w:val="09860C2E"/>
    <w:rsid w:val="098943DF"/>
    <w:rsid w:val="098B0432"/>
    <w:rsid w:val="09902DEC"/>
    <w:rsid w:val="09952317"/>
    <w:rsid w:val="099A1942"/>
    <w:rsid w:val="099C263F"/>
    <w:rsid w:val="09A017D8"/>
    <w:rsid w:val="09A653F9"/>
    <w:rsid w:val="09AD448B"/>
    <w:rsid w:val="09AF3FF1"/>
    <w:rsid w:val="09B1630C"/>
    <w:rsid w:val="09B50431"/>
    <w:rsid w:val="09B554AF"/>
    <w:rsid w:val="09BC52EE"/>
    <w:rsid w:val="09C6146A"/>
    <w:rsid w:val="09D947CF"/>
    <w:rsid w:val="09DB051F"/>
    <w:rsid w:val="09E11F77"/>
    <w:rsid w:val="09F07868"/>
    <w:rsid w:val="09F8769A"/>
    <w:rsid w:val="09FA7742"/>
    <w:rsid w:val="09FB54F6"/>
    <w:rsid w:val="09FC40F0"/>
    <w:rsid w:val="0A062A93"/>
    <w:rsid w:val="0A0C4D82"/>
    <w:rsid w:val="0A154666"/>
    <w:rsid w:val="0A165A79"/>
    <w:rsid w:val="0A1B3564"/>
    <w:rsid w:val="0A1D15DD"/>
    <w:rsid w:val="0A2855DD"/>
    <w:rsid w:val="0A2F0DBE"/>
    <w:rsid w:val="0A3208AE"/>
    <w:rsid w:val="0A34424A"/>
    <w:rsid w:val="0A356EC2"/>
    <w:rsid w:val="0A466E25"/>
    <w:rsid w:val="0A4A0611"/>
    <w:rsid w:val="0A4D32FF"/>
    <w:rsid w:val="0A5B1BB3"/>
    <w:rsid w:val="0A5B53E2"/>
    <w:rsid w:val="0A5E78F5"/>
    <w:rsid w:val="0A7C3B61"/>
    <w:rsid w:val="0A7D7D7B"/>
    <w:rsid w:val="0A8C30EA"/>
    <w:rsid w:val="0A904C56"/>
    <w:rsid w:val="0A937AE7"/>
    <w:rsid w:val="0A94336A"/>
    <w:rsid w:val="0A9642EF"/>
    <w:rsid w:val="0A9A7C97"/>
    <w:rsid w:val="0A9C61F8"/>
    <w:rsid w:val="0AB0292F"/>
    <w:rsid w:val="0AB17A25"/>
    <w:rsid w:val="0AC06603"/>
    <w:rsid w:val="0AC7367C"/>
    <w:rsid w:val="0ACA5A42"/>
    <w:rsid w:val="0AD15708"/>
    <w:rsid w:val="0AD55A71"/>
    <w:rsid w:val="0ADC29A3"/>
    <w:rsid w:val="0ADF27E4"/>
    <w:rsid w:val="0AE020D6"/>
    <w:rsid w:val="0AE14BBD"/>
    <w:rsid w:val="0AE513B5"/>
    <w:rsid w:val="0AE83634"/>
    <w:rsid w:val="0AEC0884"/>
    <w:rsid w:val="0AED3231"/>
    <w:rsid w:val="0AFE1637"/>
    <w:rsid w:val="0B0E4E77"/>
    <w:rsid w:val="0B125344"/>
    <w:rsid w:val="0B2A6BD7"/>
    <w:rsid w:val="0B2C3CBE"/>
    <w:rsid w:val="0B2D79F3"/>
    <w:rsid w:val="0B3118B4"/>
    <w:rsid w:val="0B322557"/>
    <w:rsid w:val="0B37213B"/>
    <w:rsid w:val="0B3F14D4"/>
    <w:rsid w:val="0B404629"/>
    <w:rsid w:val="0B427292"/>
    <w:rsid w:val="0B45790A"/>
    <w:rsid w:val="0B600AC1"/>
    <w:rsid w:val="0B6158EF"/>
    <w:rsid w:val="0B6215DB"/>
    <w:rsid w:val="0B646E9D"/>
    <w:rsid w:val="0B6B1D48"/>
    <w:rsid w:val="0B6B6AC2"/>
    <w:rsid w:val="0B6E6550"/>
    <w:rsid w:val="0B714E70"/>
    <w:rsid w:val="0B727A06"/>
    <w:rsid w:val="0B752DD1"/>
    <w:rsid w:val="0B7E6194"/>
    <w:rsid w:val="0B856175"/>
    <w:rsid w:val="0B882E7B"/>
    <w:rsid w:val="0B950315"/>
    <w:rsid w:val="0B983326"/>
    <w:rsid w:val="0B9B3A70"/>
    <w:rsid w:val="0BA407BD"/>
    <w:rsid w:val="0BA62C3C"/>
    <w:rsid w:val="0BB21CA6"/>
    <w:rsid w:val="0BC47864"/>
    <w:rsid w:val="0BC55E7E"/>
    <w:rsid w:val="0BC66A92"/>
    <w:rsid w:val="0BCA3494"/>
    <w:rsid w:val="0BCD55D4"/>
    <w:rsid w:val="0BD1506D"/>
    <w:rsid w:val="0BD2782B"/>
    <w:rsid w:val="0BD5582F"/>
    <w:rsid w:val="0BDE6F44"/>
    <w:rsid w:val="0BEB474C"/>
    <w:rsid w:val="0BF90E1F"/>
    <w:rsid w:val="0BF95B27"/>
    <w:rsid w:val="0BFB31F1"/>
    <w:rsid w:val="0BFD70B9"/>
    <w:rsid w:val="0C005ABF"/>
    <w:rsid w:val="0C0727E4"/>
    <w:rsid w:val="0C087B18"/>
    <w:rsid w:val="0C0D528F"/>
    <w:rsid w:val="0C13055B"/>
    <w:rsid w:val="0C1A7E06"/>
    <w:rsid w:val="0C21578B"/>
    <w:rsid w:val="0C245DDA"/>
    <w:rsid w:val="0C253ECF"/>
    <w:rsid w:val="0C2C7C08"/>
    <w:rsid w:val="0C2F0660"/>
    <w:rsid w:val="0C39369B"/>
    <w:rsid w:val="0C454E33"/>
    <w:rsid w:val="0C463EB3"/>
    <w:rsid w:val="0C4D21E3"/>
    <w:rsid w:val="0C5A1B9F"/>
    <w:rsid w:val="0C5A226F"/>
    <w:rsid w:val="0C635F19"/>
    <w:rsid w:val="0C67555F"/>
    <w:rsid w:val="0C6E24B6"/>
    <w:rsid w:val="0C714BEC"/>
    <w:rsid w:val="0C760424"/>
    <w:rsid w:val="0C8616F9"/>
    <w:rsid w:val="0C923886"/>
    <w:rsid w:val="0C994C14"/>
    <w:rsid w:val="0CA12EF1"/>
    <w:rsid w:val="0CA535B9"/>
    <w:rsid w:val="0CB46CF7"/>
    <w:rsid w:val="0CB6550A"/>
    <w:rsid w:val="0CBB4B8B"/>
    <w:rsid w:val="0CBD16F5"/>
    <w:rsid w:val="0CCB001F"/>
    <w:rsid w:val="0CDF76AC"/>
    <w:rsid w:val="0CEB2A8C"/>
    <w:rsid w:val="0CF031C9"/>
    <w:rsid w:val="0CF12B59"/>
    <w:rsid w:val="0CF720C3"/>
    <w:rsid w:val="0CFA5CD7"/>
    <w:rsid w:val="0D072DEE"/>
    <w:rsid w:val="0D096CBC"/>
    <w:rsid w:val="0D1349C7"/>
    <w:rsid w:val="0D1F15BD"/>
    <w:rsid w:val="0D2D1616"/>
    <w:rsid w:val="0D320981"/>
    <w:rsid w:val="0D3D7AFE"/>
    <w:rsid w:val="0D411AEE"/>
    <w:rsid w:val="0D650A0F"/>
    <w:rsid w:val="0D654D56"/>
    <w:rsid w:val="0D7D2E14"/>
    <w:rsid w:val="0D83015D"/>
    <w:rsid w:val="0D866D86"/>
    <w:rsid w:val="0D902064"/>
    <w:rsid w:val="0D924314"/>
    <w:rsid w:val="0D9712BC"/>
    <w:rsid w:val="0D9848DC"/>
    <w:rsid w:val="0D9934D4"/>
    <w:rsid w:val="0D9D18AE"/>
    <w:rsid w:val="0D9E2EB7"/>
    <w:rsid w:val="0DA53BF1"/>
    <w:rsid w:val="0DAD7027"/>
    <w:rsid w:val="0DB53A2A"/>
    <w:rsid w:val="0DBC069B"/>
    <w:rsid w:val="0DC60991"/>
    <w:rsid w:val="0DC74A7B"/>
    <w:rsid w:val="0DE95727"/>
    <w:rsid w:val="0DF52076"/>
    <w:rsid w:val="0DF85D40"/>
    <w:rsid w:val="0DF90060"/>
    <w:rsid w:val="0E095E94"/>
    <w:rsid w:val="0E121122"/>
    <w:rsid w:val="0E134674"/>
    <w:rsid w:val="0E192820"/>
    <w:rsid w:val="0E19594F"/>
    <w:rsid w:val="0E1E7AC7"/>
    <w:rsid w:val="0E214D18"/>
    <w:rsid w:val="0E234A50"/>
    <w:rsid w:val="0E2A204E"/>
    <w:rsid w:val="0E302D01"/>
    <w:rsid w:val="0E317059"/>
    <w:rsid w:val="0E482AE0"/>
    <w:rsid w:val="0E493E38"/>
    <w:rsid w:val="0E4B47AE"/>
    <w:rsid w:val="0E532E33"/>
    <w:rsid w:val="0E5429BA"/>
    <w:rsid w:val="0E5805C3"/>
    <w:rsid w:val="0E581497"/>
    <w:rsid w:val="0E5977F5"/>
    <w:rsid w:val="0E664FCA"/>
    <w:rsid w:val="0E6A4ABA"/>
    <w:rsid w:val="0E6B376F"/>
    <w:rsid w:val="0E766AA0"/>
    <w:rsid w:val="0E794E6A"/>
    <w:rsid w:val="0E79524F"/>
    <w:rsid w:val="0E7F1E09"/>
    <w:rsid w:val="0E815652"/>
    <w:rsid w:val="0E825A60"/>
    <w:rsid w:val="0E8B7EEE"/>
    <w:rsid w:val="0E8C0E9F"/>
    <w:rsid w:val="0E8D4702"/>
    <w:rsid w:val="0E9870C6"/>
    <w:rsid w:val="0EB0119B"/>
    <w:rsid w:val="0EB63A2E"/>
    <w:rsid w:val="0ECB0381"/>
    <w:rsid w:val="0ED25C7C"/>
    <w:rsid w:val="0ED72AFD"/>
    <w:rsid w:val="0EDD4F42"/>
    <w:rsid w:val="0EE268CA"/>
    <w:rsid w:val="0EE27928"/>
    <w:rsid w:val="0EE62F86"/>
    <w:rsid w:val="0EEA5CA3"/>
    <w:rsid w:val="0EED21C5"/>
    <w:rsid w:val="0EF425D6"/>
    <w:rsid w:val="0EF8359E"/>
    <w:rsid w:val="0F0A6D3C"/>
    <w:rsid w:val="0F0C33BF"/>
    <w:rsid w:val="0F1007E9"/>
    <w:rsid w:val="0F184516"/>
    <w:rsid w:val="0F2130DE"/>
    <w:rsid w:val="0F310732"/>
    <w:rsid w:val="0F446A6B"/>
    <w:rsid w:val="0F4C1F84"/>
    <w:rsid w:val="0F5817DA"/>
    <w:rsid w:val="0F5A4B2F"/>
    <w:rsid w:val="0F5A68DD"/>
    <w:rsid w:val="0F68037E"/>
    <w:rsid w:val="0F6B5687"/>
    <w:rsid w:val="0F720EE8"/>
    <w:rsid w:val="0F772D10"/>
    <w:rsid w:val="0F7A0F91"/>
    <w:rsid w:val="0F7F21A3"/>
    <w:rsid w:val="0FB26719"/>
    <w:rsid w:val="0FB35805"/>
    <w:rsid w:val="0FBC757A"/>
    <w:rsid w:val="0FBF14C9"/>
    <w:rsid w:val="0FC11586"/>
    <w:rsid w:val="0FC82653"/>
    <w:rsid w:val="0FDD0C49"/>
    <w:rsid w:val="0FE33B68"/>
    <w:rsid w:val="0FE632D9"/>
    <w:rsid w:val="0FEA03AC"/>
    <w:rsid w:val="0FF43C9C"/>
    <w:rsid w:val="10060813"/>
    <w:rsid w:val="10093D90"/>
    <w:rsid w:val="100A4084"/>
    <w:rsid w:val="10106A15"/>
    <w:rsid w:val="10190C31"/>
    <w:rsid w:val="10267A24"/>
    <w:rsid w:val="102A1392"/>
    <w:rsid w:val="102F1353"/>
    <w:rsid w:val="103B1CEF"/>
    <w:rsid w:val="104018F0"/>
    <w:rsid w:val="10406B35"/>
    <w:rsid w:val="104D63B0"/>
    <w:rsid w:val="10540D81"/>
    <w:rsid w:val="105E1985"/>
    <w:rsid w:val="107D7D81"/>
    <w:rsid w:val="108701D7"/>
    <w:rsid w:val="10882803"/>
    <w:rsid w:val="108C6F6A"/>
    <w:rsid w:val="10912641"/>
    <w:rsid w:val="10952E26"/>
    <w:rsid w:val="109E2C9A"/>
    <w:rsid w:val="109E4EEF"/>
    <w:rsid w:val="109F789F"/>
    <w:rsid w:val="10A15B58"/>
    <w:rsid w:val="10A34519"/>
    <w:rsid w:val="10A54E6C"/>
    <w:rsid w:val="10B91AD6"/>
    <w:rsid w:val="10BA3BA4"/>
    <w:rsid w:val="10BC5375"/>
    <w:rsid w:val="10BE217D"/>
    <w:rsid w:val="10C546F0"/>
    <w:rsid w:val="10C6786D"/>
    <w:rsid w:val="10CD346F"/>
    <w:rsid w:val="10D1490E"/>
    <w:rsid w:val="10D95F27"/>
    <w:rsid w:val="10EC310F"/>
    <w:rsid w:val="10EF2B42"/>
    <w:rsid w:val="10FB1613"/>
    <w:rsid w:val="110C04BE"/>
    <w:rsid w:val="11115108"/>
    <w:rsid w:val="111E2F24"/>
    <w:rsid w:val="11286567"/>
    <w:rsid w:val="112A22DF"/>
    <w:rsid w:val="112E3E98"/>
    <w:rsid w:val="1131366D"/>
    <w:rsid w:val="11321BC4"/>
    <w:rsid w:val="113B273E"/>
    <w:rsid w:val="113C6D3D"/>
    <w:rsid w:val="115130F1"/>
    <w:rsid w:val="115E5F0B"/>
    <w:rsid w:val="115F2023"/>
    <w:rsid w:val="115F44C0"/>
    <w:rsid w:val="115F467E"/>
    <w:rsid w:val="11654990"/>
    <w:rsid w:val="11661D5F"/>
    <w:rsid w:val="11666B9B"/>
    <w:rsid w:val="118B2A74"/>
    <w:rsid w:val="118E286E"/>
    <w:rsid w:val="119F605A"/>
    <w:rsid w:val="11A31EC2"/>
    <w:rsid w:val="11A46680"/>
    <w:rsid w:val="11AF44AC"/>
    <w:rsid w:val="11C41133"/>
    <w:rsid w:val="11C47425"/>
    <w:rsid w:val="11C51083"/>
    <w:rsid w:val="11CD1BD5"/>
    <w:rsid w:val="11CD300A"/>
    <w:rsid w:val="11D174D7"/>
    <w:rsid w:val="11D973D2"/>
    <w:rsid w:val="11E15093"/>
    <w:rsid w:val="11E565DF"/>
    <w:rsid w:val="11EF65C7"/>
    <w:rsid w:val="11F016EB"/>
    <w:rsid w:val="11F1049F"/>
    <w:rsid w:val="11F1104F"/>
    <w:rsid w:val="11F67383"/>
    <w:rsid w:val="12047C63"/>
    <w:rsid w:val="12093C7E"/>
    <w:rsid w:val="12097BD4"/>
    <w:rsid w:val="120D5E88"/>
    <w:rsid w:val="121B093B"/>
    <w:rsid w:val="12267AD6"/>
    <w:rsid w:val="122D2087"/>
    <w:rsid w:val="123254A4"/>
    <w:rsid w:val="1235718D"/>
    <w:rsid w:val="124537CD"/>
    <w:rsid w:val="12492C39"/>
    <w:rsid w:val="124D3E1F"/>
    <w:rsid w:val="12504EBA"/>
    <w:rsid w:val="12575176"/>
    <w:rsid w:val="12696E37"/>
    <w:rsid w:val="126B2BC5"/>
    <w:rsid w:val="126F7EA4"/>
    <w:rsid w:val="12754739"/>
    <w:rsid w:val="1288647B"/>
    <w:rsid w:val="129C19BE"/>
    <w:rsid w:val="12A85843"/>
    <w:rsid w:val="12AC4F85"/>
    <w:rsid w:val="12AF5421"/>
    <w:rsid w:val="12B16D01"/>
    <w:rsid w:val="12C30C3D"/>
    <w:rsid w:val="12D5396D"/>
    <w:rsid w:val="12E03B1B"/>
    <w:rsid w:val="12E54EC4"/>
    <w:rsid w:val="12F42EFC"/>
    <w:rsid w:val="12F65DD1"/>
    <w:rsid w:val="12F9379A"/>
    <w:rsid w:val="12FE755B"/>
    <w:rsid w:val="130364B7"/>
    <w:rsid w:val="13083208"/>
    <w:rsid w:val="130B063D"/>
    <w:rsid w:val="13180760"/>
    <w:rsid w:val="1319085D"/>
    <w:rsid w:val="131A7605"/>
    <w:rsid w:val="131D02CE"/>
    <w:rsid w:val="131F3760"/>
    <w:rsid w:val="132C67E2"/>
    <w:rsid w:val="132F3C08"/>
    <w:rsid w:val="133726DD"/>
    <w:rsid w:val="133F63CC"/>
    <w:rsid w:val="1342017C"/>
    <w:rsid w:val="134C3473"/>
    <w:rsid w:val="13515A6A"/>
    <w:rsid w:val="13561AB1"/>
    <w:rsid w:val="1356298A"/>
    <w:rsid w:val="13564DC5"/>
    <w:rsid w:val="136C7D88"/>
    <w:rsid w:val="136E072C"/>
    <w:rsid w:val="136F49F2"/>
    <w:rsid w:val="13750189"/>
    <w:rsid w:val="137C641A"/>
    <w:rsid w:val="13864617"/>
    <w:rsid w:val="138709A6"/>
    <w:rsid w:val="138915E7"/>
    <w:rsid w:val="139B3662"/>
    <w:rsid w:val="139E25B3"/>
    <w:rsid w:val="13A15DD6"/>
    <w:rsid w:val="13AB612D"/>
    <w:rsid w:val="13AD0053"/>
    <w:rsid w:val="13AD1A16"/>
    <w:rsid w:val="13B642FE"/>
    <w:rsid w:val="13C702B9"/>
    <w:rsid w:val="13CF568D"/>
    <w:rsid w:val="13D07449"/>
    <w:rsid w:val="13E63CC6"/>
    <w:rsid w:val="13EA46D2"/>
    <w:rsid w:val="14013F61"/>
    <w:rsid w:val="140C6490"/>
    <w:rsid w:val="14101C60"/>
    <w:rsid w:val="14166B4E"/>
    <w:rsid w:val="141A230B"/>
    <w:rsid w:val="142179C9"/>
    <w:rsid w:val="14227ADF"/>
    <w:rsid w:val="142F2398"/>
    <w:rsid w:val="143533EF"/>
    <w:rsid w:val="14374EA6"/>
    <w:rsid w:val="143811B7"/>
    <w:rsid w:val="14546175"/>
    <w:rsid w:val="145A112D"/>
    <w:rsid w:val="145E685B"/>
    <w:rsid w:val="145E79B1"/>
    <w:rsid w:val="14681B4A"/>
    <w:rsid w:val="147815B3"/>
    <w:rsid w:val="148775B8"/>
    <w:rsid w:val="1497412F"/>
    <w:rsid w:val="14983A03"/>
    <w:rsid w:val="14A05457"/>
    <w:rsid w:val="14A0683B"/>
    <w:rsid w:val="14A11E37"/>
    <w:rsid w:val="14AF1479"/>
    <w:rsid w:val="14B64A01"/>
    <w:rsid w:val="14C315A5"/>
    <w:rsid w:val="14D14829"/>
    <w:rsid w:val="14ED4E63"/>
    <w:rsid w:val="14F86E1C"/>
    <w:rsid w:val="15057FB2"/>
    <w:rsid w:val="150C795D"/>
    <w:rsid w:val="150F3CC6"/>
    <w:rsid w:val="15104508"/>
    <w:rsid w:val="1511241E"/>
    <w:rsid w:val="15170DCC"/>
    <w:rsid w:val="15190FE8"/>
    <w:rsid w:val="151A2797"/>
    <w:rsid w:val="152D5C4C"/>
    <w:rsid w:val="153846F7"/>
    <w:rsid w:val="154371B0"/>
    <w:rsid w:val="154A2F50"/>
    <w:rsid w:val="155C11DB"/>
    <w:rsid w:val="155E0372"/>
    <w:rsid w:val="15632263"/>
    <w:rsid w:val="1565422D"/>
    <w:rsid w:val="156A53A0"/>
    <w:rsid w:val="157469EC"/>
    <w:rsid w:val="157601E9"/>
    <w:rsid w:val="159468F5"/>
    <w:rsid w:val="159469BC"/>
    <w:rsid w:val="159B3B44"/>
    <w:rsid w:val="15A5287C"/>
    <w:rsid w:val="15A81A5D"/>
    <w:rsid w:val="15AD7A58"/>
    <w:rsid w:val="15B7232D"/>
    <w:rsid w:val="15B7590B"/>
    <w:rsid w:val="15B957BA"/>
    <w:rsid w:val="15C319C3"/>
    <w:rsid w:val="15D31C5D"/>
    <w:rsid w:val="15D54E27"/>
    <w:rsid w:val="15D717D5"/>
    <w:rsid w:val="15DB20C4"/>
    <w:rsid w:val="15DD2016"/>
    <w:rsid w:val="15DE4647"/>
    <w:rsid w:val="15E4769E"/>
    <w:rsid w:val="15E50ECA"/>
    <w:rsid w:val="15E60903"/>
    <w:rsid w:val="15F138B4"/>
    <w:rsid w:val="160113A9"/>
    <w:rsid w:val="16056D1A"/>
    <w:rsid w:val="160C6457"/>
    <w:rsid w:val="16126306"/>
    <w:rsid w:val="16195ADA"/>
    <w:rsid w:val="162520E7"/>
    <w:rsid w:val="162738E6"/>
    <w:rsid w:val="16284729"/>
    <w:rsid w:val="162F62DE"/>
    <w:rsid w:val="16302145"/>
    <w:rsid w:val="163065E9"/>
    <w:rsid w:val="163D0008"/>
    <w:rsid w:val="16442095"/>
    <w:rsid w:val="16460CD3"/>
    <w:rsid w:val="164830F5"/>
    <w:rsid w:val="164F7029"/>
    <w:rsid w:val="166D5C6A"/>
    <w:rsid w:val="166F5CD4"/>
    <w:rsid w:val="1674297A"/>
    <w:rsid w:val="16743362"/>
    <w:rsid w:val="167E7043"/>
    <w:rsid w:val="16805045"/>
    <w:rsid w:val="168D0159"/>
    <w:rsid w:val="168D4B8D"/>
    <w:rsid w:val="1695401D"/>
    <w:rsid w:val="169675B8"/>
    <w:rsid w:val="169A31F0"/>
    <w:rsid w:val="169D18F7"/>
    <w:rsid w:val="16A37AA9"/>
    <w:rsid w:val="16AB30A9"/>
    <w:rsid w:val="16AD15B5"/>
    <w:rsid w:val="16AD1854"/>
    <w:rsid w:val="16AE4B64"/>
    <w:rsid w:val="16B07EDF"/>
    <w:rsid w:val="16B51994"/>
    <w:rsid w:val="16BF4D5E"/>
    <w:rsid w:val="16DB6033"/>
    <w:rsid w:val="16DE5A58"/>
    <w:rsid w:val="16FA7B24"/>
    <w:rsid w:val="16FC64CC"/>
    <w:rsid w:val="1706559C"/>
    <w:rsid w:val="170732E8"/>
    <w:rsid w:val="170B657F"/>
    <w:rsid w:val="17123F41"/>
    <w:rsid w:val="171C7676"/>
    <w:rsid w:val="17241AB6"/>
    <w:rsid w:val="17255C4D"/>
    <w:rsid w:val="17273B47"/>
    <w:rsid w:val="172E3A9E"/>
    <w:rsid w:val="17315BCD"/>
    <w:rsid w:val="17373CF4"/>
    <w:rsid w:val="173B1E2C"/>
    <w:rsid w:val="174775C1"/>
    <w:rsid w:val="174D6D27"/>
    <w:rsid w:val="17586DC3"/>
    <w:rsid w:val="17644487"/>
    <w:rsid w:val="17652F83"/>
    <w:rsid w:val="17826121"/>
    <w:rsid w:val="17836BED"/>
    <w:rsid w:val="17964597"/>
    <w:rsid w:val="17A41310"/>
    <w:rsid w:val="17A60A1F"/>
    <w:rsid w:val="17B2302E"/>
    <w:rsid w:val="17B62B1E"/>
    <w:rsid w:val="17B77E65"/>
    <w:rsid w:val="17BF6E60"/>
    <w:rsid w:val="17C74D2B"/>
    <w:rsid w:val="17CF3BE0"/>
    <w:rsid w:val="17D06270"/>
    <w:rsid w:val="17D86E86"/>
    <w:rsid w:val="17DC1085"/>
    <w:rsid w:val="17E44F2C"/>
    <w:rsid w:val="17E603C4"/>
    <w:rsid w:val="17F02970"/>
    <w:rsid w:val="180A53BF"/>
    <w:rsid w:val="180E721D"/>
    <w:rsid w:val="180F1F79"/>
    <w:rsid w:val="181E65EB"/>
    <w:rsid w:val="182076D6"/>
    <w:rsid w:val="18244C3B"/>
    <w:rsid w:val="18266C2F"/>
    <w:rsid w:val="182D487C"/>
    <w:rsid w:val="183323C1"/>
    <w:rsid w:val="18371EB1"/>
    <w:rsid w:val="1838605A"/>
    <w:rsid w:val="183D76EC"/>
    <w:rsid w:val="183F64D4"/>
    <w:rsid w:val="18420856"/>
    <w:rsid w:val="18425FEF"/>
    <w:rsid w:val="184A0362"/>
    <w:rsid w:val="184D38AB"/>
    <w:rsid w:val="185246A8"/>
    <w:rsid w:val="1853036D"/>
    <w:rsid w:val="185600EA"/>
    <w:rsid w:val="18584601"/>
    <w:rsid w:val="185D708E"/>
    <w:rsid w:val="185F6D12"/>
    <w:rsid w:val="187207A9"/>
    <w:rsid w:val="18735CDC"/>
    <w:rsid w:val="18736C61"/>
    <w:rsid w:val="187A7FF0"/>
    <w:rsid w:val="18816044"/>
    <w:rsid w:val="188A07D1"/>
    <w:rsid w:val="1890085C"/>
    <w:rsid w:val="18950986"/>
    <w:rsid w:val="189C0EA3"/>
    <w:rsid w:val="18A21A2D"/>
    <w:rsid w:val="18AE1A47"/>
    <w:rsid w:val="18AE2A8B"/>
    <w:rsid w:val="18B43502"/>
    <w:rsid w:val="18BE612E"/>
    <w:rsid w:val="18C3565C"/>
    <w:rsid w:val="18CE3E98"/>
    <w:rsid w:val="18D01769"/>
    <w:rsid w:val="18E66AE0"/>
    <w:rsid w:val="18E700E8"/>
    <w:rsid w:val="18F465E3"/>
    <w:rsid w:val="18F65ACB"/>
    <w:rsid w:val="1908553B"/>
    <w:rsid w:val="190A3EE8"/>
    <w:rsid w:val="190D7E26"/>
    <w:rsid w:val="19165379"/>
    <w:rsid w:val="19173FB9"/>
    <w:rsid w:val="19193725"/>
    <w:rsid w:val="19193C38"/>
    <w:rsid w:val="191A5087"/>
    <w:rsid w:val="191B29BF"/>
    <w:rsid w:val="19237145"/>
    <w:rsid w:val="19237DCB"/>
    <w:rsid w:val="192504C0"/>
    <w:rsid w:val="19284B2E"/>
    <w:rsid w:val="193006AE"/>
    <w:rsid w:val="19313CA6"/>
    <w:rsid w:val="19340412"/>
    <w:rsid w:val="193506E9"/>
    <w:rsid w:val="193A5CEB"/>
    <w:rsid w:val="19434886"/>
    <w:rsid w:val="194660D8"/>
    <w:rsid w:val="1955189F"/>
    <w:rsid w:val="19620BCB"/>
    <w:rsid w:val="196A733A"/>
    <w:rsid w:val="197138F4"/>
    <w:rsid w:val="197769FC"/>
    <w:rsid w:val="197C38F4"/>
    <w:rsid w:val="197E0E2C"/>
    <w:rsid w:val="19835643"/>
    <w:rsid w:val="19864EC0"/>
    <w:rsid w:val="19875993"/>
    <w:rsid w:val="198B5AE1"/>
    <w:rsid w:val="19921369"/>
    <w:rsid w:val="199B6D2B"/>
    <w:rsid w:val="199C0C32"/>
    <w:rsid w:val="19AC30BB"/>
    <w:rsid w:val="19B00E58"/>
    <w:rsid w:val="19B21C39"/>
    <w:rsid w:val="19B372A4"/>
    <w:rsid w:val="19BC6B61"/>
    <w:rsid w:val="19BF5C5A"/>
    <w:rsid w:val="19BF6247"/>
    <w:rsid w:val="19DF75E6"/>
    <w:rsid w:val="19E364EF"/>
    <w:rsid w:val="1A0865C6"/>
    <w:rsid w:val="1A0F1A8D"/>
    <w:rsid w:val="1A1276D4"/>
    <w:rsid w:val="1A183EC9"/>
    <w:rsid w:val="1A1B5DE5"/>
    <w:rsid w:val="1A2A15A2"/>
    <w:rsid w:val="1A3667F2"/>
    <w:rsid w:val="1A3D3083"/>
    <w:rsid w:val="1A420223"/>
    <w:rsid w:val="1A447AAA"/>
    <w:rsid w:val="1A4B17C9"/>
    <w:rsid w:val="1A573700"/>
    <w:rsid w:val="1A575EA3"/>
    <w:rsid w:val="1A656E07"/>
    <w:rsid w:val="1A6C2257"/>
    <w:rsid w:val="1A6C51C0"/>
    <w:rsid w:val="1A6C600C"/>
    <w:rsid w:val="1A6E148E"/>
    <w:rsid w:val="1A7226E2"/>
    <w:rsid w:val="1A78055F"/>
    <w:rsid w:val="1A7D367A"/>
    <w:rsid w:val="1A7D73CD"/>
    <w:rsid w:val="1A816ABA"/>
    <w:rsid w:val="1A872AB4"/>
    <w:rsid w:val="1A892685"/>
    <w:rsid w:val="1A8B76DB"/>
    <w:rsid w:val="1A900E41"/>
    <w:rsid w:val="1A952EBF"/>
    <w:rsid w:val="1A997D9D"/>
    <w:rsid w:val="1A9A7638"/>
    <w:rsid w:val="1A9D1836"/>
    <w:rsid w:val="1A9E04C4"/>
    <w:rsid w:val="1AA25184"/>
    <w:rsid w:val="1AA85649"/>
    <w:rsid w:val="1AB22196"/>
    <w:rsid w:val="1AB86BAD"/>
    <w:rsid w:val="1ABE55EE"/>
    <w:rsid w:val="1ACB2542"/>
    <w:rsid w:val="1AD93C19"/>
    <w:rsid w:val="1ADF238C"/>
    <w:rsid w:val="1AE41E88"/>
    <w:rsid w:val="1AE479A2"/>
    <w:rsid w:val="1AEA1935"/>
    <w:rsid w:val="1AED0649"/>
    <w:rsid w:val="1AF26A51"/>
    <w:rsid w:val="1AF73193"/>
    <w:rsid w:val="1AFA7627"/>
    <w:rsid w:val="1AFD005C"/>
    <w:rsid w:val="1B021AFC"/>
    <w:rsid w:val="1B1F4E7E"/>
    <w:rsid w:val="1B21302C"/>
    <w:rsid w:val="1B2600C5"/>
    <w:rsid w:val="1B2637FB"/>
    <w:rsid w:val="1B3645AB"/>
    <w:rsid w:val="1B4C7154"/>
    <w:rsid w:val="1B524B76"/>
    <w:rsid w:val="1B575FFF"/>
    <w:rsid w:val="1B602BF9"/>
    <w:rsid w:val="1B607376"/>
    <w:rsid w:val="1B6E7744"/>
    <w:rsid w:val="1B702E93"/>
    <w:rsid w:val="1B762DA7"/>
    <w:rsid w:val="1B8A4174"/>
    <w:rsid w:val="1B972C67"/>
    <w:rsid w:val="1B9907D4"/>
    <w:rsid w:val="1BA01EFA"/>
    <w:rsid w:val="1BA86054"/>
    <w:rsid w:val="1BA92C0D"/>
    <w:rsid w:val="1BAC221C"/>
    <w:rsid w:val="1BAE25A1"/>
    <w:rsid w:val="1BBA533C"/>
    <w:rsid w:val="1BC14B2B"/>
    <w:rsid w:val="1BC4709A"/>
    <w:rsid w:val="1BC54B1C"/>
    <w:rsid w:val="1BC64A2C"/>
    <w:rsid w:val="1BC702DA"/>
    <w:rsid w:val="1BC872C4"/>
    <w:rsid w:val="1BD9327F"/>
    <w:rsid w:val="1BDB3877"/>
    <w:rsid w:val="1BF155CF"/>
    <w:rsid w:val="1BF51851"/>
    <w:rsid w:val="1BF63E31"/>
    <w:rsid w:val="1C0B13A9"/>
    <w:rsid w:val="1C0C20F3"/>
    <w:rsid w:val="1C145E41"/>
    <w:rsid w:val="1C1F36B0"/>
    <w:rsid w:val="1C2362A8"/>
    <w:rsid w:val="1C384078"/>
    <w:rsid w:val="1C4850F5"/>
    <w:rsid w:val="1C4864E1"/>
    <w:rsid w:val="1C60279C"/>
    <w:rsid w:val="1C7D38EB"/>
    <w:rsid w:val="1C884927"/>
    <w:rsid w:val="1C89680B"/>
    <w:rsid w:val="1C8B7070"/>
    <w:rsid w:val="1C930EB9"/>
    <w:rsid w:val="1C9633EE"/>
    <w:rsid w:val="1C9D50CD"/>
    <w:rsid w:val="1CA215BD"/>
    <w:rsid w:val="1CA70C88"/>
    <w:rsid w:val="1CAA6E5D"/>
    <w:rsid w:val="1CB56179"/>
    <w:rsid w:val="1CB6582C"/>
    <w:rsid w:val="1CC87027"/>
    <w:rsid w:val="1CD23654"/>
    <w:rsid w:val="1CD470DD"/>
    <w:rsid w:val="1CD47E75"/>
    <w:rsid w:val="1CEB6DC6"/>
    <w:rsid w:val="1CEC328E"/>
    <w:rsid w:val="1CEE103C"/>
    <w:rsid w:val="1CF53055"/>
    <w:rsid w:val="1CF643E7"/>
    <w:rsid w:val="1CFD2F9D"/>
    <w:rsid w:val="1D0205B4"/>
    <w:rsid w:val="1D071D89"/>
    <w:rsid w:val="1D097B94"/>
    <w:rsid w:val="1D0F4BE6"/>
    <w:rsid w:val="1D1405B4"/>
    <w:rsid w:val="1D1E1BAC"/>
    <w:rsid w:val="1D231209"/>
    <w:rsid w:val="1D294F0B"/>
    <w:rsid w:val="1D3A2371"/>
    <w:rsid w:val="1D4630CE"/>
    <w:rsid w:val="1D4666F2"/>
    <w:rsid w:val="1D531643"/>
    <w:rsid w:val="1D5E26BE"/>
    <w:rsid w:val="1D5F1562"/>
    <w:rsid w:val="1D630D4A"/>
    <w:rsid w:val="1D664299"/>
    <w:rsid w:val="1D67197E"/>
    <w:rsid w:val="1D6B1328"/>
    <w:rsid w:val="1D725739"/>
    <w:rsid w:val="1D837940"/>
    <w:rsid w:val="1D905AF0"/>
    <w:rsid w:val="1D940B4D"/>
    <w:rsid w:val="1DB06D6D"/>
    <w:rsid w:val="1DB16262"/>
    <w:rsid w:val="1DC011C6"/>
    <w:rsid w:val="1DCE373B"/>
    <w:rsid w:val="1DCF05FC"/>
    <w:rsid w:val="1DD36DFA"/>
    <w:rsid w:val="1DD43E04"/>
    <w:rsid w:val="1DD82D5E"/>
    <w:rsid w:val="1DDD518B"/>
    <w:rsid w:val="1DDE4B7D"/>
    <w:rsid w:val="1DFD38B9"/>
    <w:rsid w:val="1DFE521F"/>
    <w:rsid w:val="1E012619"/>
    <w:rsid w:val="1E021B0F"/>
    <w:rsid w:val="1E03489D"/>
    <w:rsid w:val="1E0850D6"/>
    <w:rsid w:val="1E181AED"/>
    <w:rsid w:val="1E1E2AA8"/>
    <w:rsid w:val="1E266884"/>
    <w:rsid w:val="1E2702D2"/>
    <w:rsid w:val="1E2D620D"/>
    <w:rsid w:val="1E2E46BF"/>
    <w:rsid w:val="1E3561A8"/>
    <w:rsid w:val="1E3E516A"/>
    <w:rsid w:val="1E4A0EE7"/>
    <w:rsid w:val="1E4A684B"/>
    <w:rsid w:val="1E5D2EAF"/>
    <w:rsid w:val="1E652811"/>
    <w:rsid w:val="1E681FF2"/>
    <w:rsid w:val="1E697BF5"/>
    <w:rsid w:val="1E6C2675"/>
    <w:rsid w:val="1E7554E1"/>
    <w:rsid w:val="1E7E0BBD"/>
    <w:rsid w:val="1E876FC3"/>
    <w:rsid w:val="1E877BA2"/>
    <w:rsid w:val="1EA2746D"/>
    <w:rsid w:val="1EA30D88"/>
    <w:rsid w:val="1EA732A6"/>
    <w:rsid w:val="1EAF0A4E"/>
    <w:rsid w:val="1EB26790"/>
    <w:rsid w:val="1EB4768C"/>
    <w:rsid w:val="1EBD4792"/>
    <w:rsid w:val="1ECA5375"/>
    <w:rsid w:val="1ED10E06"/>
    <w:rsid w:val="1ED16D1D"/>
    <w:rsid w:val="1ED55F80"/>
    <w:rsid w:val="1EDF2C39"/>
    <w:rsid w:val="1EE16FB7"/>
    <w:rsid w:val="1EE67195"/>
    <w:rsid w:val="1EEB0B3D"/>
    <w:rsid w:val="1EFB4165"/>
    <w:rsid w:val="1EFC365C"/>
    <w:rsid w:val="1F010B23"/>
    <w:rsid w:val="1F0567F4"/>
    <w:rsid w:val="1F074C4F"/>
    <w:rsid w:val="1F125588"/>
    <w:rsid w:val="1F251B9A"/>
    <w:rsid w:val="1F2C5C3D"/>
    <w:rsid w:val="1F2D7B6A"/>
    <w:rsid w:val="1F3A70DE"/>
    <w:rsid w:val="1F3C5FFF"/>
    <w:rsid w:val="1F3D292C"/>
    <w:rsid w:val="1F426079"/>
    <w:rsid w:val="1F4315DA"/>
    <w:rsid w:val="1F4759CD"/>
    <w:rsid w:val="1F550E6F"/>
    <w:rsid w:val="1F5A11FF"/>
    <w:rsid w:val="1F684B15"/>
    <w:rsid w:val="1F692DE2"/>
    <w:rsid w:val="1F6A149A"/>
    <w:rsid w:val="1F6E09CB"/>
    <w:rsid w:val="1F7F4372"/>
    <w:rsid w:val="1F890B18"/>
    <w:rsid w:val="1F9B2E3F"/>
    <w:rsid w:val="1F9F20EA"/>
    <w:rsid w:val="1FA13B72"/>
    <w:rsid w:val="1FA616CA"/>
    <w:rsid w:val="1FAC709F"/>
    <w:rsid w:val="1FAE057F"/>
    <w:rsid w:val="1FAF3345"/>
    <w:rsid w:val="1FB76B8A"/>
    <w:rsid w:val="1FC05F53"/>
    <w:rsid w:val="1FC11EA9"/>
    <w:rsid w:val="1FE31116"/>
    <w:rsid w:val="1FE5125D"/>
    <w:rsid w:val="1FE733C2"/>
    <w:rsid w:val="1FE83A91"/>
    <w:rsid w:val="1FEE2904"/>
    <w:rsid w:val="1FEF7466"/>
    <w:rsid w:val="1FF42436"/>
    <w:rsid w:val="1FF8397B"/>
    <w:rsid w:val="1FFB1A16"/>
    <w:rsid w:val="200A7D1E"/>
    <w:rsid w:val="20106D53"/>
    <w:rsid w:val="20172D8A"/>
    <w:rsid w:val="2020252E"/>
    <w:rsid w:val="20281085"/>
    <w:rsid w:val="20304547"/>
    <w:rsid w:val="203778E9"/>
    <w:rsid w:val="20392DEC"/>
    <w:rsid w:val="20463C69"/>
    <w:rsid w:val="20486E36"/>
    <w:rsid w:val="204D7AB8"/>
    <w:rsid w:val="20592542"/>
    <w:rsid w:val="2061066F"/>
    <w:rsid w:val="206770AC"/>
    <w:rsid w:val="207A46F9"/>
    <w:rsid w:val="20825C93"/>
    <w:rsid w:val="208A1DA8"/>
    <w:rsid w:val="20957659"/>
    <w:rsid w:val="20971013"/>
    <w:rsid w:val="20975384"/>
    <w:rsid w:val="209776E0"/>
    <w:rsid w:val="20AB6E5A"/>
    <w:rsid w:val="20BA614C"/>
    <w:rsid w:val="20BB20C0"/>
    <w:rsid w:val="20C274CD"/>
    <w:rsid w:val="20CB2E6A"/>
    <w:rsid w:val="20CB5EB4"/>
    <w:rsid w:val="20CD4FA8"/>
    <w:rsid w:val="20D109C9"/>
    <w:rsid w:val="20D57965"/>
    <w:rsid w:val="20D64231"/>
    <w:rsid w:val="20DF0FFB"/>
    <w:rsid w:val="20E16423"/>
    <w:rsid w:val="20E41210"/>
    <w:rsid w:val="20E72AA0"/>
    <w:rsid w:val="20EF1C03"/>
    <w:rsid w:val="20FD17BE"/>
    <w:rsid w:val="21004DB3"/>
    <w:rsid w:val="210053E1"/>
    <w:rsid w:val="21026F8C"/>
    <w:rsid w:val="21031B0E"/>
    <w:rsid w:val="21061855"/>
    <w:rsid w:val="210A1607"/>
    <w:rsid w:val="210F05DB"/>
    <w:rsid w:val="21184C4B"/>
    <w:rsid w:val="211D59BC"/>
    <w:rsid w:val="212C61A7"/>
    <w:rsid w:val="21343345"/>
    <w:rsid w:val="213571AA"/>
    <w:rsid w:val="21481828"/>
    <w:rsid w:val="215F5963"/>
    <w:rsid w:val="21631D9B"/>
    <w:rsid w:val="21635AC5"/>
    <w:rsid w:val="216C7BE6"/>
    <w:rsid w:val="216D06F2"/>
    <w:rsid w:val="2186060A"/>
    <w:rsid w:val="218A6DA5"/>
    <w:rsid w:val="218D1687"/>
    <w:rsid w:val="219A3686"/>
    <w:rsid w:val="219E3CDC"/>
    <w:rsid w:val="21A110B9"/>
    <w:rsid w:val="21A956F4"/>
    <w:rsid w:val="21B95F6D"/>
    <w:rsid w:val="21BA3EF9"/>
    <w:rsid w:val="21BB54E6"/>
    <w:rsid w:val="21BE719F"/>
    <w:rsid w:val="21CE52E3"/>
    <w:rsid w:val="21CF4187"/>
    <w:rsid w:val="21D40771"/>
    <w:rsid w:val="21DE344B"/>
    <w:rsid w:val="21E93AF0"/>
    <w:rsid w:val="21EB24E4"/>
    <w:rsid w:val="21EE1107"/>
    <w:rsid w:val="21EF55AB"/>
    <w:rsid w:val="21F27457"/>
    <w:rsid w:val="21FD6BC4"/>
    <w:rsid w:val="22003977"/>
    <w:rsid w:val="22043119"/>
    <w:rsid w:val="220E56F7"/>
    <w:rsid w:val="22142B2B"/>
    <w:rsid w:val="221A31A1"/>
    <w:rsid w:val="22254547"/>
    <w:rsid w:val="222B119F"/>
    <w:rsid w:val="222C235B"/>
    <w:rsid w:val="222D60D3"/>
    <w:rsid w:val="223076A3"/>
    <w:rsid w:val="22371FD7"/>
    <w:rsid w:val="2255414F"/>
    <w:rsid w:val="226E4F8A"/>
    <w:rsid w:val="226F5E79"/>
    <w:rsid w:val="22760E93"/>
    <w:rsid w:val="22784371"/>
    <w:rsid w:val="229F5759"/>
    <w:rsid w:val="22A6197E"/>
    <w:rsid w:val="22AA2BC7"/>
    <w:rsid w:val="22AE7F72"/>
    <w:rsid w:val="22B234D0"/>
    <w:rsid w:val="22C0627C"/>
    <w:rsid w:val="22D00EE0"/>
    <w:rsid w:val="22D7693C"/>
    <w:rsid w:val="22E04EF3"/>
    <w:rsid w:val="22E826D5"/>
    <w:rsid w:val="22F76AA9"/>
    <w:rsid w:val="22FA342B"/>
    <w:rsid w:val="231132FF"/>
    <w:rsid w:val="2314201A"/>
    <w:rsid w:val="2315555B"/>
    <w:rsid w:val="231A1105"/>
    <w:rsid w:val="231D1CA3"/>
    <w:rsid w:val="231D7EF5"/>
    <w:rsid w:val="2321413F"/>
    <w:rsid w:val="23294AEC"/>
    <w:rsid w:val="23312A20"/>
    <w:rsid w:val="233A7FAB"/>
    <w:rsid w:val="23430BB5"/>
    <w:rsid w:val="234D674A"/>
    <w:rsid w:val="234F58FD"/>
    <w:rsid w:val="235D2694"/>
    <w:rsid w:val="23614286"/>
    <w:rsid w:val="2366520C"/>
    <w:rsid w:val="23696C97"/>
    <w:rsid w:val="23751ADF"/>
    <w:rsid w:val="2378266B"/>
    <w:rsid w:val="23810484"/>
    <w:rsid w:val="23867849"/>
    <w:rsid w:val="238A01F2"/>
    <w:rsid w:val="23932947"/>
    <w:rsid w:val="23A10B26"/>
    <w:rsid w:val="23A118A9"/>
    <w:rsid w:val="23BB00A6"/>
    <w:rsid w:val="23BF4C02"/>
    <w:rsid w:val="23C04937"/>
    <w:rsid w:val="23C20B70"/>
    <w:rsid w:val="23C40371"/>
    <w:rsid w:val="23CF68C3"/>
    <w:rsid w:val="23D23C82"/>
    <w:rsid w:val="23DB76DF"/>
    <w:rsid w:val="23E20CE9"/>
    <w:rsid w:val="23E54D6E"/>
    <w:rsid w:val="23E8122A"/>
    <w:rsid w:val="23E92278"/>
    <w:rsid w:val="23EA710C"/>
    <w:rsid w:val="23EB1EE6"/>
    <w:rsid w:val="23FE60B7"/>
    <w:rsid w:val="23FF0C5B"/>
    <w:rsid w:val="24002964"/>
    <w:rsid w:val="240C4656"/>
    <w:rsid w:val="24160AF9"/>
    <w:rsid w:val="24183A7C"/>
    <w:rsid w:val="241A3ABB"/>
    <w:rsid w:val="241C4FDE"/>
    <w:rsid w:val="241D18AE"/>
    <w:rsid w:val="24311EAA"/>
    <w:rsid w:val="24316936"/>
    <w:rsid w:val="243E5205"/>
    <w:rsid w:val="24452476"/>
    <w:rsid w:val="2446522A"/>
    <w:rsid w:val="244F40DF"/>
    <w:rsid w:val="244F675B"/>
    <w:rsid w:val="24604F82"/>
    <w:rsid w:val="24624BC6"/>
    <w:rsid w:val="24633A22"/>
    <w:rsid w:val="246358DE"/>
    <w:rsid w:val="2465451F"/>
    <w:rsid w:val="24697AEB"/>
    <w:rsid w:val="246F1448"/>
    <w:rsid w:val="246F516C"/>
    <w:rsid w:val="2476711E"/>
    <w:rsid w:val="24794C42"/>
    <w:rsid w:val="247C5A13"/>
    <w:rsid w:val="24843748"/>
    <w:rsid w:val="24994CEB"/>
    <w:rsid w:val="24A26904"/>
    <w:rsid w:val="24A85EE5"/>
    <w:rsid w:val="24A86E33"/>
    <w:rsid w:val="24AE34FB"/>
    <w:rsid w:val="24B05567"/>
    <w:rsid w:val="24BD2DEB"/>
    <w:rsid w:val="24BE74B6"/>
    <w:rsid w:val="24C05266"/>
    <w:rsid w:val="24C51392"/>
    <w:rsid w:val="24C62778"/>
    <w:rsid w:val="24C7122B"/>
    <w:rsid w:val="24C820E3"/>
    <w:rsid w:val="24CD14A7"/>
    <w:rsid w:val="24D0574E"/>
    <w:rsid w:val="24DB0907"/>
    <w:rsid w:val="24E76918"/>
    <w:rsid w:val="24EA2059"/>
    <w:rsid w:val="24F72435"/>
    <w:rsid w:val="24F95938"/>
    <w:rsid w:val="24FB109B"/>
    <w:rsid w:val="25010196"/>
    <w:rsid w:val="2501061C"/>
    <w:rsid w:val="250207C6"/>
    <w:rsid w:val="25041492"/>
    <w:rsid w:val="250709E3"/>
    <w:rsid w:val="251C72B3"/>
    <w:rsid w:val="25346A17"/>
    <w:rsid w:val="25396722"/>
    <w:rsid w:val="254856B7"/>
    <w:rsid w:val="254A0BBB"/>
    <w:rsid w:val="254F4E95"/>
    <w:rsid w:val="255305F4"/>
    <w:rsid w:val="255549CD"/>
    <w:rsid w:val="25566D9C"/>
    <w:rsid w:val="25640C0B"/>
    <w:rsid w:val="256462D4"/>
    <w:rsid w:val="256A1AC8"/>
    <w:rsid w:val="256E17D1"/>
    <w:rsid w:val="25733DFD"/>
    <w:rsid w:val="25804223"/>
    <w:rsid w:val="25826E47"/>
    <w:rsid w:val="25832019"/>
    <w:rsid w:val="25845C69"/>
    <w:rsid w:val="25890AC0"/>
    <w:rsid w:val="258C4EA7"/>
    <w:rsid w:val="2593449F"/>
    <w:rsid w:val="25991930"/>
    <w:rsid w:val="25994206"/>
    <w:rsid w:val="259C5142"/>
    <w:rsid w:val="259E1C56"/>
    <w:rsid w:val="25A8619C"/>
    <w:rsid w:val="25B432C7"/>
    <w:rsid w:val="25BA4C3B"/>
    <w:rsid w:val="25BB0A99"/>
    <w:rsid w:val="25BE30F8"/>
    <w:rsid w:val="25C342C7"/>
    <w:rsid w:val="25C42A83"/>
    <w:rsid w:val="25C50504"/>
    <w:rsid w:val="25C55BC2"/>
    <w:rsid w:val="25C67FD7"/>
    <w:rsid w:val="25CB1E8B"/>
    <w:rsid w:val="25CC5FE1"/>
    <w:rsid w:val="25CC7E8F"/>
    <w:rsid w:val="25D12171"/>
    <w:rsid w:val="25D80104"/>
    <w:rsid w:val="25DB26A8"/>
    <w:rsid w:val="25DE6039"/>
    <w:rsid w:val="25E278B0"/>
    <w:rsid w:val="25E53141"/>
    <w:rsid w:val="25E61693"/>
    <w:rsid w:val="25ED1906"/>
    <w:rsid w:val="25F0544D"/>
    <w:rsid w:val="25F62C69"/>
    <w:rsid w:val="25F8192E"/>
    <w:rsid w:val="25FD3E88"/>
    <w:rsid w:val="2604539D"/>
    <w:rsid w:val="26054B71"/>
    <w:rsid w:val="2613754D"/>
    <w:rsid w:val="26190E48"/>
    <w:rsid w:val="261941A3"/>
    <w:rsid w:val="261C4A88"/>
    <w:rsid w:val="261F01A1"/>
    <w:rsid w:val="262F2132"/>
    <w:rsid w:val="26410987"/>
    <w:rsid w:val="265667CD"/>
    <w:rsid w:val="26571970"/>
    <w:rsid w:val="265C0D35"/>
    <w:rsid w:val="265E2CFF"/>
    <w:rsid w:val="2663067D"/>
    <w:rsid w:val="26691012"/>
    <w:rsid w:val="267D552F"/>
    <w:rsid w:val="267F620B"/>
    <w:rsid w:val="26864004"/>
    <w:rsid w:val="26887041"/>
    <w:rsid w:val="2696201A"/>
    <w:rsid w:val="26981553"/>
    <w:rsid w:val="269F5B95"/>
    <w:rsid w:val="26AA1AA0"/>
    <w:rsid w:val="26AB47E4"/>
    <w:rsid w:val="26BC5C80"/>
    <w:rsid w:val="26CA3EF0"/>
    <w:rsid w:val="26D43568"/>
    <w:rsid w:val="26ED7BDF"/>
    <w:rsid w:val="26EE060F"/>
    <w:rsid w:val="26FC6074"/>
    <w:rsid w:val="27007912"/>
    <w:rsid w:val="2701248A"/>
    <w:rsid w:val="270361AC"/>
    <w:rsid w:val="270C4FC5"/>
    <w:rsid w:val="27137CF7"/>
    <w:rsid w:val="27140AED"/>
    <w:rsid w:val="271635D9"/>
    <w:rsid w:val="27165388"/>
    <w:rsid w:val="271813DF"/>
    <w:rsid w:val="27202D3F"/>
    <w:rsid w:val="272C0CD4"/>
    <w:rsid w:val="273264DD"/>
    <w:rsid w:val="27374DBF"/>
    <w:rsid w:val="27400126"/>
    <w:rsid w:val="27485159"/>
    <w:rsid w:val="27493F03"/>
    <w:rsid w:val="274E4B21"/>
    <w:rsid w:val="274E6BC9"/>
    <w:rsid w:val="27534744"/>
    <w:rsid w:val="27546BE2"/>
    <w:rsid w:val="27547C5E"/>
    <w:rsid w:val="27554BC9"/>
    <w:rsid w:val="27645FBB"/>
    <w:rsid w:val="27672245"/>
    <w:rsid w:val="276F4A98"/>
    <w:rsid w:val="277B51EB"/>
    <w:rsid w:val="277D341D"/>
    <w:rsid w:val="278B474B"/>
    <w:rsid w:val="2795508D"/>
    <w:rsid w:val="27A961FC"/>
    <w:rsid w:val="27B30F41"/>
    <w:rsid w:val="27B35B31"/>
    <w:rsid w:val="27B64475"/>
    <w:rsid w:val="27B841B7"/>
    <w:rsid w:val="27C14218"/>
    <w:rsid w:val="27C2034A"/>
    <w:rsid w:val="27C50B33"/>
    <w:rsid w:val="27C76682"/>
    <w:rsid w:val="27DF0714"/>
    <w:rsid w:val="27EC5A7D"/>
    <w:rsid w:val="27F206B2"/>
    <w:rsid w:val="27F5566A"/>
    <w:rsid w:val="2802590C"/>
    <w:rsid w:val="28066701"/>
    <w:rsid w:val="28070DA1"/>
    <w:rsid w:val="280B1269"/>
    <w:rsid w:val="281100C9"/>
    <w:rsid w:val="281C4C20"/>
    <w:rsid w:val="2824033B"/>
    <w:rsid w:val="282B672D"/>
    <w:rsid w:val="282F2EFC"/>
    <w:rsid w:val="28335AC5"/>
    <w:rsid w:val="283B4790"/>
    <w:rsid w:val="283D14DA"/>
    <w:rsid w:val="283D4410"/>
    <w:rsid w:val="2842411B"/>
    <w:rsid w:val="284420DC"/>
    <w:rsid w:val="284F6DA3"/>
    <w:rsid w:val="28593DFD"/>
    <w:rsid w:val="285A367B"/>
    <w:rsid w:val="2860321B"/>
    <w:rsid w:val="287205D3"/>
    <w:rsid w:val="28780D72"/>
    <w:rsid w:val="287845F5"/>
    <w:rsid w:val="28866DB6"/>
    <w:rsid w:val="288853AB"/>
    <w:rsid w:val="288B2446"/>
    <w:rsid w:val="288F1CB9"/>
    <w:rsid w:val="28A17304"/>
    <w:rsid w:val="28A361E4"/>
    <w:rsid w:val="28A52B3B"/>
    <w:rsid w:val="28AB2D5E"/>
    <w:rsid w:val="28B4212C"/>
    <w:rsid w:val="28B5111E"/>
    <w:rsid w:val="28B8721A"/>
    <w:rsid w:val="28BE04F0"/>
    <w:rsid w:val="28BF68E1"/>
    <w:rsid w:val="28C36E49"/>
    <w:rsid w:val="28DB1EAB"/>
    <w:rsid w:val="28DB78D6"/>
    <w:rsid w:val="28DF4BAD"/>
    <w:rsid w:val="28E71BD0"/>
    <w:rsid w:val="28E736B1"/>
    <w:rsid w:val="29006E37"/>
    <w:rsid w:val="290665CB"/>
    <w:rsid w:val="291753F8"/>
    <w:rsid w:val="291C7066"/>
    <w:rsid w:val="291D68CD"/>
    <w:rsid w:val="29333CB1"/>
    <w:rsid w:val="29340BF9"/>
    <w:rsid w:val="29361D11"/>
    <w:rsid w:val="293D1DB5"/>
    <w:rsid w:val="294044B5"/>
    <w:rsid w:val="294211EE"/>
    <w:rsid w:val="29477A7A"/>
    <w:rsid w:val="294F0DD5"/>
    <w:rsid w:val="29506857"/>
    <w:rsid w:val="29534671"/>
    <w:rsid w:val="2953641F"/>
    <w:rsid w:val="2954525D"/>
    <w:rsid w:val="2958576D"/>
    <w:rsid w:val="295C2DFA"/>
    <w:rsid w:val="29671ECA"/>
    <w:rsid w:val="29695C42"/>
    <w:rsid w:val="296E76E6"/>
    <w:rsid w:val="29747D10"/>
    <w:rsid w:val="29764525"/>
    <w:rsid w:val="297F51CF"/>
    <w:rsid w:val="298567F4"/>
    <w:rsid w:val="298F1421"/>
    <w:rsid w:val="299145CA"/>
    <w:rsid w:val="2993749F"/>
    <w:rsid w:val="2996107E"/>
    <w:rsid w:val="299730E8"/>
    <w:rsid w:val="299E3EA8"/>
    <w:rsid w:val="299E7928"/>
    <w:rsid w:val="29AC3D81"/>
    <w:rsid w:val="29AF73CD"/>
    <w:rsid w:val="29B05E47"/>
    <w:rsid w:val="29B86998"/>
    <w:rsid w:val="29CB047A"/>
    <w:rsid w:val="29CC5DC9"/>
    <w:rsid w:val="29DF5F05"/>
    <w:rsid w:val="29E7272C"/>
    <w:rsid w:val="29ED1E83"/>
    <w:rsid w:val="29F2365B"/>
    <w:rsid w:val="2A0B4F4C"/>
    <w:rsid w:val="2A0F01B7"/>
    <w:rsid w:val="2A144016"/>
    <w:rsid w:val="2A180101"/>
    <w:rsid w:val="2A1D79A4"/>
    <w:rsid w:val="2A201E47"/>
    <w:rsid w:val="2A22038D"/>
    <w:rsid w:val="2A233BBE"/>
    <w:rsid w:val="2A29653A"/>
    <w:rsid w:val="2A362444"/>
    <w:rsid w:val="2A3D1658"/>
    <w:rsid w:val="2A3F394C"/>
    <w:rsid w:val="2A411802"/>
    <w:rsid w:val="2A467204"/>
    <w:rsid w:val="2A482C60"/>
    <w:rsid w:val="2A4F5D06"/>
    <w:rsid w:val="2A5353B5"/>
    <w:rsid w:val="2A572EBE"/>
    <w:rsid w:val="2A573FBA"/>
    <w:rsid w:val="2A5B67F7"/>
    <w:rsid w:val="2A5D66AB"/>
    <w:rsid w:val="2A5F2BA2"/>
    <w:rsid w:val="2A617985"/>
    <w:rsid w:val="2A626AC1"/>
    <w:rsid w:val="2A6D1762"/>
    <w:rsid w:val="2A6D3510"/>
    <w:rsid w:val="2A7B2AC1"/>
    <w:rsid w:val="2A8049CB"/>
    <w:rsid w:val="2A847B4D"/>
    <w:rsid w:val="2A950CB9"/>
    <w:rsid w:val="2AA168EB"/>
    <w:rsid w:val="2AA44E13"/>
    <w:rsid w:val="2AA806E9"/>
    <w:rsid w:val="2AAD30A1"/>
    <w:rsid w:val="2AAD3775"/>
    <w:rsid w:val="2AB34EBF"/>
    <w:rsid w:val="2AB9682E"/>
    <w:rsid w:val="2AC76D9E"/>
    <w:rsid w:val="2ACD0453"/>
    <w:rsid w:val="2AE61515"/>
    <w:rsid w:val="2AE930F5"/>
    <w:rsid w:val="2AEB07F7"/>
    <w:rsid w:val="2AF53506"/>
    <w:rsid w:val="2AF852A3"/>
    <w:rsid w:val="2AFF7497"/>
    <w:rsid w:val="2B01079C"/>
    <w:rsid w:val="2B09654D"/>
    <w:rsid w:val="2B0A1E4D"/>
    <w:rsid w:val="2B0B2F40"/>
    <w:rsid w:val="2B1803C1"/>
    <w:rsid w:val="2B23002E"/>
    <w:rsid w:val="2B243355"/>
    <w:rsid w:val="2B363260"/>
    <w:rsid w:val="2B45638E"/>
    <w:rsid w:val="2B47568D"/>
    <w:rsid w:val="2B4939A8"/>
    <w:rsid w:val="2B4B29A2"/>
    <w:rsid w:val="2B4C75AE"/>
    <w:rsid w:val="2B4D3342"/>
    <w:rsid w:val="2B516A97"/>
    <w:rsid w:val="2B555CA8"/>
    <w:rsid w:val="2B5A7ECC"/>
    <w:rsid w:val="2B5C6E81"/>
    <w:rsid w:val="2B6142CE"/>
    <w:rsid w:val="2B65067F"/>
    <w:rsid w:val="2B6761B2"/>
    <w:rsid w:val="2B6A1F09"/>
    <w:rsid w:val="2B7804F2"/>
    <w:rsid w:val="2B7812FC"/>
    <w:rsid w:val="2B801021"/>
    <w:rsid w:val="2B911481"/>
    <w:rsid w:val="2B947B9B"/>
    <w:rsid w:val="2B9E3A12"/>
    <w:rsid w:val="2B9F6887"/>
    <w:rsid w:val="2BA056B8"/>
    <w:rsid w:val="2BA21030"/>
    <w:rsid w:val="2BA37A3D"/>
    <w:rsid w:val="2BBD4024"/>
    <w:rsid w:val="2BD04ED0"/>
    <w:rsid w:val="2BD923EC"/>
    <w:rsid w:val="2BE71B7A"/>
    <w:rsid w:val="2BE958D1"/>
    <w:rsid w:val="2BF008D2"/>
    <w:rsid w:val="2BF13CCD"/>
    <w:rsid w:val="2C057961"/>
    <w:rsid w:val="2C0F3ACE"/>
    <w:rsid w:val="2C1027F2"/>
    <w:rsid w:val="2C2A0595"/>
    <w:rsid w:val="2C30560B"/>
    <w:rsid w:val="2C31056E"/>
    <w:rsid w:val="2C3A7EFE"/>
    <w:rsid w:val="2C5030EA"/>
    <w:rsid w:val="2C542A30"/>
    <w:rsid w:val="2C5E0224"/>
    <w:rsid w:val="2C677A71"/>
    <w:rsid w:val="2C70553A"/>
    <w:rsid w:val="2C70607F"/>
    <w:rsid w:val="2C7E7BED"/>
    <w:rsid w:val="2C8D3F94"/>
    <w:rsid w:val="2C9805ED"/>
    <w:rsid w:val="2C9B7EB8"/>
    <w:rsid w:val="2CA74703"/>
    <w:rsid w:val="2CA90A4C"/>
    <w:rsid w:val="2CB04C5F"/>
    <w:rsid w:val="2CB05936"/>
    <w:rsid w:val="2CB3174D"/>
    <w:rsid w:val="2CB34429"/>
    <w:rsid w:val="2CBB2750"/>
    <w:rsid w:val="2CC3192C"/>
    <w:rsid w:val="2CC777C8"/>
    <w:rsid w:val="2CC81DD5"/>
    <w:rsid w:val="2CC96C0B"/>
    <w:rsid w:val="2CDA0C05"/>
    <w:rsid w:val="2CDA4CFA"/>
    <w:rsid w:val="2CDE6034"/>
    <w:rsid w:val="2CE5527B"/>
    <w:rsid w:val="2CE7515C"/>
    <w:rsid w:val="2CE91146"/>
    <w:rsid w:val="2CEA2043"/>
    <w:rsid w:val="2CEB50A7"/>
    <w:rsid w:val="2CF54280"/>
    <w:rsid w:val="2D031F0A"/>
    <w:rsid w:val="2D031F8E"/>
    <w:rsid w:val="2D067C4C"/>
    <w:rsid w:val="2D087520"/>
    <w:rsid w:val="2D0F4D53"/>
    <w:rsid w:val="2D11433C"/>
    <w:rsid w:val="2D1659A0"/>
    <w:rsid w:val="2D170271"/>
    <w:rsid w:val="2D1E4F96"/>
    <w:rsid w:val="2D214A86"/>
    <w:rsid w:val="2D287230"/>
    <w:rsid w:val="2D2E2024"/>
    <w:rsid w:val="2D3541DF"/>
    <w:rsid w:val="2D3775A8"/>
    <w:rsid w:val="2D4241CE"/>
    <w:rsid w:val="2D572346"/>
    <w:rsid w:val="2D5B4559"/>
    <w:rsid w:val="2D5B7AAC"/>
    <w:rsid w:val="2D5E59AD"/>
    <w:rsid w:val="2D604D17"/>
    <w:rsid w:val="2D636E4D"/>
    <w:rsid w:val="2D6E6317"/>
    <w:rsid w:val="2D7352E2"/>
    <w:rsid w:val="2D7453AC"/>
    <w:rsid w:val="2D753C5F"/>
    <w:rsid w:val="2D817A01"/>
    <w:rsid w:val="2D8E2BB9"/>
    <w:rsid w:val="2D963C58"/>
    <w:rsid w:val="2DA7715A"/>
    <w:rsid w:val="2DC25DA1"/>
    <w:rsid w:val="2DD12008"/>
    <w:rsid w:val="2DD64A42"/>
    <w:rsid w:val="2DE037F5"/>
    <w:rsid w:val="2DE941AF"/>
    <w:rsid w:val="2DE955A4"/>
    <w:rsid w:val="2DF07FD3"/>
    <w:rsid w:val="2DFA397D"/>
    <w:rsid w:val="2E0421ED"/>
    <w:rsid w:val="2E126473"/>
    <w:rsid w:val="2E1419DA"/>
    <w:rsid w:val="2E1503B1"/>
    <w:rsid w:val="2E18682A"/>
    <w:rsid w:val="2E213DF4"/>
    <w:rsid w:val="2E22255A"/>
    <w:rsid w:val="2E230EF7"/>
    <w:rsid w:val="2E291E44"/>
    <w:rsid w:val="2E293288"/>
    <w:rsid w:val="2E2C36E3"/>
    <w:rsid w:val="2E362C09"/>
    <w:rsid w:val="2E383E35"/>
    <w:rsid w:val="2E3C047D"/>
    <w:rsid w:val="2E5C5D76"/>
    <w:rsid w:val="2E61672B"/>
    <w:rsid w:val="2E627104"/>
    <w:rsid w:val="2E734670"/>
    <w:rsid w:val="2E7B108D"/>
    <w:rsid w:val="2E8A338C"/>
    <w:rsid w:val="2E8F1C72"/>
    <w:rsid w:val="2E945DCC"/>
    <w:rsid w:val="2E9D3186"/>
    <w:rsid w:val="2E9E10ED"/>
    <w:rsid w:val="2EA55A4A"/>
    <w:rsid w:val="2EAA4A5F"/>
    <w:rsid w:val="2EB20AE4"/>
    <w:rsid w:val="2ECE0C97"/>
    <w:rsid w:val="2ED42292"/>
    <w:rsid w:val="2ED7038E"/>
    <w:rsid w:val="2ED973A9"/>
    <w:rsid w:val="2EDB431F"/>
    <w:rsid w:val="2EE47B19"/>
    <w:rsid w:val="2EE92816"/>
    <w:rsid w:val="2F030D93"/>
    <w:rsid w:val="2F062BB5"/>
    <w:rsid w:val="2F0649DE"/>
    <w:rsid w:val="2F0E4FE6"/>
    <w:rsid w:val="2F0E71BF"/>
    <w:rsid w:val="2F104DB2"/>
    <w:rsid w:val="2F106B71"/>
    <w:rsid w:val="2F1C1962"/>
    <w:rsid w:val="2F1C6CD0"/>
    <w:rsid w:val="2F1F0B51"/>
    <w:rsid w:val="2F21002F"/>
    <w:rsid w:val="2F2B1FA0"/>
    <w:rsid w:val="2F2C4FE9"/>
    <w:rsid w:val="2F2D3E72"/>
    <w:rsid w:val="2F38266A"/>
    <w:rsid w:val="2F3D655A"/>
    <w:rsid w:val="2F4B2025"/>
    <w:rsid w:val="2F560A17"/>
    <w:rsid w:val="2F572ED3"/>
    <w:rsid w:val="2F577925"/>
    <w:rsid w:val="2F5A6DBC"/>
    <w:rsid w:val="2F61116A"/>
    <w:rsid w:val="2F745341"/>
    <w:rsid w:val="2F7D6077"/>
    <w:rsid w:val="2F8224FF"/>
    <w:rsid w:val="2F8B2E0E"/>
    <w:rsid w:val="2F9B23BE"/>
    <w:rsid w:val="2FA1291F"/>
    <w:rsid w:val="2FA234C9"/>
    <w:rsid w:val="2FAE58E9"/>
    <w:rsid w:val="2FB15841"/>
    <w:rsid w:val="2FB62DF7"/>
    <w:rsid w:val="2FB92D54"/>
    <w:rsid w:val="2FC040E2"/>
    <w:rsid w:val="2FC32F68"/>
    <w:rsid w:val="2FC74572"/>
    <w:rsid w:val="2FC751AB"/>
    <w:rsid w:val="2FD11661"/>
    <w:rsid w:val="2FD46B23"/>
    <w:rsid w:val="2FD528C3"/>
    <w:rsid w:val="2FDB4900"/>
    <w:rsid w:val="2FEC6B95"/>
    <w:rsid w:val="2FF14E6A"/>
    <w:rsid w:val="2FF344B8"/>
    <w:rsid w:val="30041A89"/>
    <w:rsid w:val="30051B8A"/>
    <w:rsid w:val="3017022E"/>
    <w:rsid w:val="30171A9B"/>
    <w:rsid w:val="301B7BF5"/>
    <w:rsid w:val="301D34C8"/>
    <w:rsid w:val="301D547D"/>
    <w:rsid w:val="30201025"/>
    <w:rsid w:val="30287DAE"/>
    <w:rsid w:val="302C14EA"/>
    <w:rsid w:val="30335589"/>
    <w:rsid w:val="30336FAA"/>
    <w:rsid w:val="303E4FB3"/>
    <w:rsid w:val="30446283"/>
    <w:rsid w:val="305054EA"/>
    <w:rsid w:val="30562C99"/>
    <w:rsid w:val="3057497A"/>
    <w:rsid w:val="306040EB"/>
    <w:rsid w:val="30670A02"/>
    <w:rsid w:val="30753DF0"/>
    <w:rsid w:val="307A0735"/>
    <w:rsid w:val="308603DF"/>
    <w:rsid w:val="30896BCA"/>
    <w:rsid w:val="30907F59"/>
    <w:rsid w:val="309917DB"/>
    <w:rsid w:val="30A2737F"/>
    <w:rsid w:val="30A92B58"/>
    <w:rsid w:val="30BD4AC6"/>
    <w:rsid w:val="30C45E54"/>
    <w:rsid w:val="30D5040C"/>
    <w:rsid w:val="30DA4EAA"/>
    <w:rsid w:val="30E03A94"/>
    <w:rsid w:val="30E072A6"/>
    <w:rsid w:val="30E97D2A"/>
    <w:rsid w:val="30EF26D5"/>
    <w:rsid w:val="30F229C1"/>
    <w:rsid w:val="30F948E2"/>
    <w:rsid w:val="30FC3A56"/>
    <w:rsid w:val="31000093"/>
    <w:rsid w:val="31005738"/>
    <w:rsid w:val="31093206"/>
    <w:rsid w:val="310C211D"/>
    <w:rsid w:val="311C4FA2"/>
    <w:rsid w:val="311F752F"/>
    <w:rsid w:val="3120620A"/>
    <w:rsid w:val="312B1A2F"/>
    <w:rsid w:val="312B4AB9"/>
    <w:rsid w:val="312F7772"/>
    <w:rsid w:val="313227C1"/>
    <w:rsid w:val="313935B7"/>
    <w:rsid w:val="314B289F"/>
    <w:rsid w:val="314B5320"/>
    <w:rsid w:val="315039F4"/>
    <w:rsid w:val="31551F9A"/>
    <w:rsid w:val="31607C0D"/>
    <w:rsid w:val="316D0DA5"/>
    <w:rsid w:val="317177AC"/>
    <w:rsid w:val="317470DC"/>
    <w:rsid w:val="3188571C"/>
    <w:rsid w:val="31945827"/>
    <w:rsid w:val="31946FAF"/>
    <w:rsid w:val="31A33AA5"/>
    <w:rsid w:val="31AA45E3"/>
    <w:rsid w:val="31B01BB4"/>
    <w:rsid w:val="31BA5C13"/>
    <w:rsid w:val="31D22CC8"/>
    <w:rsid w:val="31D26295"/>
    <w:rsid w:val="31D32E7B"/>
    <w:rsid w:val="31D574D0"/>
    <w:rsid w:val="31D73E68"/>
    <w:rsid w:val="31E617A6"/>
    <w:rsid w:val="31E7004C"/>
    <w:rsid w:val="31F2254D"/>
    <w:rsid w:val="31F462C5"/>
    <w:rsid w:val="32040A2C"/>
    <w:rsid w:val="32086126"/>
    <w:rsid w:val="32110C25"/>
    <w:rsid w:val="32117760"/>
    <w:rsid w:val="32184017"/>
    <w:rsid w:val="321F7140"/>
    <w:rsid w:val="322A300B"/>
    <w:rsid w:val="322E42D9"/>
    <w:rsid w:val="323B6E74"/>
    <w:rsid w:val="32454D73"/>
    <w:rsid w:val="32455934"/>
    <w:rsid w:val="3247650A"/>
    <w:rsid w:val="324C5100"/>
    <w:rsid w:val="325441B9"/>
    <w:rsid w:val="325B14B0"/>
    <w:rsid w:val="325D0C4A"/>
    <w:rsid w:val="326F3E4B"/>
    <w:rsid w:val="32712BD2"/>
    <w:rsid w:val="327238B8"/>
    <w:rsid w:val="32731157"/>
    <w:rsid w:val="327613D0"/>
    <w:rsid w:val="32771258"/>
    <w:rsid w:val="32874D38"/>
    <w:rsid w:val="328949F5"/>
    <w:rsid w:val="32925116"/>
    <w:rsid w:val="329527DC"/>
    <w:rsid w:val="32A412F7"/>
    <w:rsid w:val="32A7158A"/>
    <w:rsid w:val="32A813AE"/>
    <w:rsid w:val="32B05ACE"/>
    <w:rsid w:val="32B65A63"/>
    <w:rsid w:val="32BD2B5B"/>
    <w:rsid w:val="32C44BDA"/>
    <w:rsid w:val="32C539AB"/>
    <w:rsid w:val="32C63D92"/>
    <w:rsid w:val="32D90D57"/>
    <w:rsid w:val="32DB47FF"/>
    <w:rsid w:val="32DF6F75"/>
    <w:rsid w:val="32E5532C"/>
    <w:rsid w:val="32E71A40"/>
    <w:rsid w:val="32EB1476"/>
    <w:rsid w:val="32F75335"/>
    <w:rsid w:val="32F95CB7"/>
    <w:rsid w:val="33020E3C"/>
    <w:rsid w:val="331035D3"/>
    <w:rsid w:val="331D429D"/>
    <w:rsid w:val="3323081E"/>
    <w:rsid w:val="332718FB"/>
    <w:rsid w:val="332B3AC7"/>
    <w:rsid w:val="33340A26"/>
    <w:rsid w:val="333418BE"/>
    <w:rsid w:val="33424D5D"/>
    <w:rsid w:val="334943EF"/>
    <w:rsid w:val="334F2C2F"/>
    <w:rsid w:val="335453C3"/>
    <w:rsid w:val="33607A36"/>
    <w:rsid w:val="336359DD"/>
    <w:rsid w:val="33823918"/>
    <w:rsid w:val="338E42A3"/>
    <w:rsid w:val="33957E5B"/>
    <w:rsid w:val="33A30E9B"/>
    <w:rsid w:val="33A51F6D"/>
    <w:rsid w:val="33AE48EF"/>
    <w:rsid w:val="33B5249F"/>
    <w:rsid w:val="33B72771"/>
    <w:rsid w:val="33BF2691"/>
    <w:rsid w:val="33C1667B"/>
    <w:rsid w:val="33C31BAD"/>
    <w:rsid w:val="33CB4EA8"/>
    <w:rsid w:val="33D40119"/>
    <w:rsid w:val="33D771A3"/>
    <w:rsid w:val="33E3177F"/>
    <w:rsid w:val="33F9299F"/>
    <w:rsid w:val="33FE78CF"/>
    <w:rsid w:val="34025495"/>
    <w:rsid w:val="34172F02"/>
    <w:rsid w:val="341744ED"/>
    <w:rsid w:val="341B5C08"/>
    <w:rsid w:val="341B6453"/>
    <w:rsid w:val="341D2989"/>
    <w:rsid w:val="34257C99"/>
    <w:rsid w:val="34284CA8"/>
    <w:rsid w:val="342A2472"/>
    <w:rsid w:val="342A73B3"/>
    <w:rsid w:val="34321327"/>
    <w:rsid w:val="343230D5"/>
    <w:rsid w:val="343D4E57"/>
    <w:rsid w:val="343E023A"/>
    <w:rsid w:val="34401FA8"/>
    <w:rsid w:val="34454A2F"/>
    <w:rsid w:val="344A2B14"/>
    <w:rsid w:val="344C2BBE"/>
    <w:rsid w:val="344C6CCF"/>
    <w:rsid w:val="34572532"/>
    <w:rsid w:val="345E497B"/>
    <w:rsid w:val="346516EA"/>
    <w:rsid w:val="346D3C31"/>
    <w:rsid w:val="34711E4F"/>
    <w:rsid w:val="34725B9A"/>
    <w:rsid w:val="34726D60"/>
    <w:rsid w:val="3474301A"/>
    <w:rsid w:val="347C14F1"/>
    <w:rsid w:val="348744BB"/>
    <w:rsid w:val="348A3241"/>
    <w:rsid w:val="348F6ABA"/>
    <w:rsid w:val="349A73C6"/>
    <w:rsid w:val="349C219C"/>
    <w:rsid w:val="349C61FF"/>
    <w:rsid w:val="34A60418"/>
    <w:rsid w:val="34AC732B"/>
    <w:rsid w:val="34AE217C"/>
    <w:rsid w:val="34B37CA6"/>
    <w:rsid w:val="34BA7A93"/>
    <w:rsid w:val="34BE4ED1"/>
    <w:rsid w:val="34BF705E"/>
    <w:rsid w:val="34C12DD7"/>
    <w:rsid w:val="34C25B5B"/>
    <w:rsid w:val="34C26C1E"/>
    <w:rsid w:val="34CB5A03"/>
    <w:rsid w:val="34CE3E2A"/>
    <w:rsid w:val="34CF0B5D"/>
    <w:rsid w:val="34D16D92"/>
    <w:rsid w:val="34D2381B"/>
    <w:rsid w:val="34DA5C46"/>
    <w:rsid w:val="34E17AF3"/>
    <w:rsid w:val="34E75451"/>
    <w:rsid w:val="34E83B47"/>
    <w:rsid w:val="34E977CB"/>
    <w:rsid w:val="34F85BB4"/>
    <w:rsid w:val="34FA3BF3"/>
    <w:rsid w:val="34FB6BCB"/>
    <w:rsid w:val="34FF56AD"/>
    <w:rsid w:val="35151D9B"/>
    <w:rsid w:val="3518684B"/>
    <w:rsid w:val="35275D67"/>
    <w:rsid w:val="352C502F"/>
    <w:rsid w:val="352D28C8"/>
    <w:rsid w:val="352E7D00"/>
    <w:rsid w:val="35317CDE"/>
    <w:rsid w:val="353D2CE5"/>
    <w:rsid w:val="354613F6"/>
    <w:rsid w:val="35492DCC"/>
    <w:rsid w:val="354D27B9"/>
    <w:rsid w:val="3555351F"/>
    <w:rsid w:val="35605657"/>
    <w:rsid w:val="35633FD8"/>
    <w:rsid w:val="35645510"/>
    <w:rsid w:val="35650039"/>
    <w:rsid w:val="357331BF"/>
    <w:rsid w:val="357532E4"/>
    <w:rsid w:val="3585695C"/>
    <w:rsid w:val="358D5E88"/>
    <w:rsid w:val="35941EE7"/>
    <w:rsid w:val="359C114E"/>
    <w:rsid w:val="35AA3319"/>
    <w:rsid w:val="35AF55A2"/>
    <w:rsid w:val="35B463FB"/>
    <w:rsid w:val="35B55ED1"/>
    <w:rsid w:val="35BA5FA0"/>
    <w:rsid w:val="35BB5A78"/>
    <w:rsid w:val="35C04380"/>
    <w:rsid w:val="35C506A4"/>
    <w:rsid w:val="35C65F46"/>
    <w:rsid w:val="35D01EDB"/>
    <w:rsid w:val="35D43AA5"/>
    <w:rsid w:val="35D73F34"/>
    <w:rsid w:val="35D858A7"/>
    <w:rsid w:val="35E01551"/>
    <w:rsid w:val="35EA010B"/>
    <w:rsid w:val="35FC7B58"/>
    <w:rsid w:val="360C593C"/>
    <w:rsid w:val="361231BE"/>
    <w:rsid w:val="36133FC9"/>
    <w:rsid w:val="36170A05"/>
    <w:rsid w:val="36267C4F"/>
    <w:rsid w:val="362D524B"/>
    <w:rsid w:val="362D7FF8"/>
    <w:rsid w:val="36335007"/>
    <w:rsid w:val="363D5FAB"/>
    <w:rsid w:val="363F212F"/>
    <w:rsid w:val="364F00E6"/>
    <w:rsid w:val="36561EDA"/>
    <w:rsid w:val="3656754F"/>
    <w:rsid w:val="36710D10"/>
    <w:rsid w:val="367125DA"/>
    <w:rsid w:val="36756265"/>
    <w:rsid w:val="367631F3"/>
    <w:rsid w:val="367B39F1"/>
    <w:rsid w:val="36802077"/>
    <w:rsid w:val="36806379"/>
    <w:rsid w:val="36844301"/>
    <w:rsid w:val="36872866"/>
    <w:rsid w:val="369315A9"/>
    <w:rsid w:val="369508BA"/>
    <w:rsid w:val="36977A9E"/>
    <w:rsid w:val="369A15E0"/>
    <w:rsid w:val="369B67CB"/>
    <w:rsid w:val="369E56BC"/>
    <w:rsid w:val="36B52C04"/>
    <w:rsid w:val="36BA0F57"/>
    <w:rsid w:val="36C654C6"/>
    <w:rsid w:val="36C71D39"/>
    <w:rsid w:val="36CF2777"/>
    <w:rsid w:val="36D6068F"/>
    <w:rsid w:val="36E865A3"/>
    <w:rsid w:val="36EB05DD"/>
    <w:rsid w:val="36EB7CB7"/>
    <w:rsid w:val="36FA59B7"/>
    <w:rsid w:val="36FC46E4"/>
    <w:rsid w:val="36FE5C9E"/>
    <w:rsid w:val="370D0A8E"/>
    <w:rsid w:val="3710594F"/>
    <w:rsid w:val="371D1DF0"/>
    <w:rsid w:val="371E3A29"/>
    <w:rsid w:val="372975B4"/>
    <w:rsid w:val="372E6D18"/>
    <w:rsid w:val="373F246B"/>
    <w:rsid w:val="374452AD"/>
    <w:rsid w:val="375C3DD0"/>
    <w:rsid w:val="375F2433"/>
    <w:rsid w:val="376143FD"/>
    <w:rsid w:val="37627087"/>
    <w:rsid w:val="376B32F9"/>
    <w:rsid w:val="376F7781"/>
    <w:rsid w:val="37736187"/>
    <w:rsid w:val="37764CBD"/>
    <w:rsid w:val="377D39AF"/>
    <w:rsid w:val="377D40C0"/>
    <w:rsid w:val="37814AE6"/>
    <w:rsid w:val="37872A2C"/>
    <w:rsid w:val="37875062"/>
    <w:rsid w:val="378F162B"/>
    <w:rsid w:val="37907BFA"/>
    <w:rsid w:val="37990BFB"/>
    <w:rsid w:val="37A435E3"/>
    <w:rsid w:val="37A62DA4"/>
    <w:rsid w:val="37B24E1E"/>
    <w:rsid w:val="37B60206"/>
    <w:rsid w:val="37BD4B63"/>
    <w:rsid w:val="37C15798"/>
    <w:rsid w:val="37D54C68"/>
    <w:rsid w:val="37DE6F96"/>
    <w:rsid w:val="37DF4A44"/>
    <w:rsid w:val="37DF57D1"/>
    <w:rsid w:val="37E86146"/>
    <w:rsid w:val="37EE724E"/>
    <w:rsid w:val="37F50CDF"/>
    <w:rsid w:val="37F5541B"/>
    <w:rsid w:val="37F929F3"/>
    <w:rsid w:val="380354B4"/>
    <w:rsid w:val="380B7600"/>
    <w:rsid w:val="380C458D"/>
    <w:rsid w:val="380D6220"/>
    <w:rsid w:val="380F2C1E"/>
    <w:rsid w:val="381771B6"/>
    <w:rsid w:val="3824244C"/>
    <w:rsid w:val="3827344A"/>
    <w:rsid w:val="383E64EC"/>
    <w:rsid w:val="38402058"/>
    <w:rsid w:val="38515297"/>
    <w:rsid w:val="38632701"/>
    <w:rsid w:val="386374CD"/>
    <w:rsid w:val="38667E38"/>
    <w:rsid w:val="386A6306"/>
    <w:rsid w:val="386F66A6"/>
    <w:rsid w:val="38794BBC"/>
    <w:rsid w:val="388749CB"/>
    <w:rsid w:val="38A122FE"/>
    <w:rsid w:val="38A22DE6"/>
    <w:rsid w:val="38AC6AEC"/>
    <w:rsid w:val="38AD71CE"/>
    <w:rsid w:val="38B87F04"/>
    <w:rsid w:val="38BE7CAB"/>
    <w:rsid w:val="38BF2926"/>
    <w:rsid w:val="38C05153"/>
    <w:rsid w:val="38C26B5D"/>
    <w:rsid w:val="38C509BB"/>
    <w:rsid w:val="38CD161E"/>
    <w:rsid w:val="38CE09C2"/>
    <w:rsid w:val="38D53666"/>
    <w:rsid w:val="38E42F90"/>
    <w:rsid w:val="38E56B1B"/>
    <w:rsid w:val="38E64068"/>
    <w:rsid w:val="38F37AF9"/>
    <w:rsid w:val="390157DE"/>
    <w:rsid w:val="390B0AC4"/>
    <w:rsid w:val="390E4B1E"/>
    <w:rsid w:val="391334D5"/>
    <w:rsid w:val="39292CF8"/>
    <w:rsid w:val="39385333"/>
    <w:rsid w:val="393A5E6D"/>
    <w:rsid w:val="39454A2B"/>
    <w:rsid w:val="39486B0B"/>
    <w:rsid w:val="39557F91"/>
    <w:rsid w:val="39581830"/>
    <w:rsid w:val="396225C5"/>
    <w:rsid w:val="39684398"/>
    <w:rsid w:val="3969022D"/>
    <w:rsid w:val="3969084F"/>
    <w:rsid w:val="39694E01"/>
    <w:rsid w:val="3972099A"/>
    <w:rsid w:val="397C3A03"/>
    <w:rsid w:val="397C76EC"/>
    <w:rsid w:val="397D1296"/>
    <w:rsid w:val="398244FE"/>
    <w:rsid w:val="39950F55"/>
    <w:rsid w:val="39967178"/>
    <w:rsid w:val="399C2315"/>
    <w:rsid w:val="399D4513"/>
    <w:rsid w:val="399F5FCF"/>
    <w:rsid w:val="39A706A6"/>
    <w:rsid w:val="39AA61FB"/>
    <w:rsid w:val="39B81541"/>
    <w:rsid w:val="39BB2F17"/>
    <w:rsid w:val="39BE63D2"/>
    <w:rsid w:val="39BF7F5D"/>
    <w:rsid w:val="39C03DE5"/>
    <w:rsid w:val="39C26CD1"/>
    <w:rsid w:val="39C73159"/>
    <w:rsid w:val="39CD28CD"/>
    <w:rsid w:val="39CE38A0"/>
    <w:rsid w:val="39D4540A"/>
    <w:rsid w:val="39D81E29"/>
    <w:rsid w:val="39DB140D"/>
    <w:rsid w:val="39E5135D"/>
    <w:rsid w:val="39E61804"/>
    <w:rsid w:val="39E7368D"/>
    <w:rsid w:val="39ED125E"/>
    <w:rsid w:val="39EE0E01"/>
    <w:rsid w:val="39F07CBA"/>
    <w:rsid w:val="39F27754"/>
    <w:rsid w:val="39F31AC6"/>
    <w:rsid w:val="39F77379"/>
    <w:rsid w:val="39FB0D9D"/>
    <w:rsid w:val="39FC665F"/>
    <w:rsid w:val="3A0A0D7C"/>
    <w:rsid w:val="3A0B03CA"/>
    <w:rsid w:val="3A0F6DD0"/>
    <w:rsid w:val="3A105C66"/>
    <w:rsid w:val="3A1379D5"/>
    <w:rsid w:val="3A253ED3"/>
    <w:rsid w:val="3A274477"/>
    <w:rsid w:val="3A2A6E01"/>
    <w:rsid w:val="3A32028A"/>
    <w:rsid w:val="3A3C2EFF"/>
    <w:rsid w:val="3A476B70"/>
    <w:rsid w:val="3A496541"/>
    <w:rsid w:val="3A507D03"/>
    <w:rsid w:val="3A564FC6"/>
    <w:rsid w:val="3A6C5E1C"/>
    <w:rsid w:val="3A776D5D"/>
    <w:rsid w:val="3A7B34DA"/>
    <w:rsid w:val="3A7B60FF"/>
    <w:rsid w:val="3A832C4C"/>
    <w:rsid w:val="3A872622"/>
    <w:rsid w:val="3A887EF3"/>
    <w:rsid w:val="3A8E4DD5"/>
    <w:rsid w:val="3A8F74D3"/>
    <w:rsid w:val="3A900B55"/>
    <w:rsid w:val="3A916DA7"/>
    <w:rsid w:val="3A9B69B4"/>
    <w:rsid w:val="3A9C1EB7"/>
    <w:rsid w:val="3A9D40B6"/>
    <w:rsid w:val="3A9F50C7"/>
    <w:rsid w:val="3AA330E2"/>
    <w:rsid w:val="3AA35E85"/>
    <w:rsid w:val="3AAF57CC"/>
    <w:rsid w:val="3AB35737"/>
    <w:rsid w:val="3ABA6401"/>
    <w:rsid w:val="3AD038A8"/>
    <w:rsid w:val="3AD1108C"/>
    <w:rsid w:val="3AD153F6"/>
    <w:rsid w:val="3AD37E13"/>
    <w:rsid w:val="3AD81CD0"/>
    <w:rsid w:val="3ADF126B"/>
    <w:rsid w:val="3ADF67F8"/>
    <w:rsid w:val="3AE214AE"/>
    <w:rsid w:val="3AE53402"/>
    <w:rsid w:val="3AEC7003"/>
    <w:rsid w:val="3AF143FE"/>
    <w:rsid w:val="3B027CA5"/>
    <w:rsid w:val="3B2D45F6"/>
    <w:rsid w:val="3B355FF1"/>
    <w:rsid w:val="3B4429CF"/>
    <w:rsid w:val="3B4501F9"/>
    <w:rsid w:val="3B497682"/>
    <w:rsid w:val="3B5813BE"/>
    <w:rsid w:val="3B5E76EE"/>
    <w:rsid w:val="3B72617B"/>
    <w:rsid w:val="3B7B3AA4"/>
    <w:rsid w:val="3B8459FE"/>
    <w:rsid w:val="3B851070"/>
    <w:rsid w:val="3B895CD0"/>
    <w:rsid w:val="3B951F42"/>
    <w:rsid w:val="3BA60D10"/>
    <w:rsid w:val="3BB52984"/>
    <w:rsid w:val="3BBA619A"/>
    <w:rsid w:val="3BC27B48"/>
    <w:rsid w:val="3BD333EF"/>
    <w:rsid w:val="3BD75B04"/>
    <w:rsid w:val="3BDB5C4D"/>
    <w:rsid w:val="3BE803E2"/>
    <w:rsid w:val="3BF46599"/>
    <w:rsid w:val="3BF93F1A"/>
    <w:rsid w:val="3BFC05AD"/>
    <w:rsid w:val="3C0056A5"/>
    <w:rsid w:val="3C075E59"/>
    <w:rsid w:val="3C1031EB"/>
    <w:rsid w:val="3C167601"/>
    <w:rsid w:val="3C1E420F"/>
    <w:rsid w:val="3C277297"/>
    <w:rsid w:val="3C3E15E3"/>
    <w:rsid w:val="3C440355"/>
    <w:rsid w:val="3C5138B7"/>
    <w:rsid w:val="3C553E04"/>
    <w:rsid w:val="3C575DCE"/>
    <w:rsid w:val="3C613327"/>
    <w:rsid w:val="3C631823"/>
    <w:rsid w:val="3C6632B2"/>
    <w:rsid w:val="3C6A7681"/>
    <w:rsid w:val="3C6B32A8"/>
    <w:rsid w:val="3C6F492B"/>
    <w:rsid w:val="3C710B39"/>
    <w:rsid w:val="3C7437AD"/>
    <w:rsid w:val="3C7560DC"/>
    <w:rsid w:val="3C784CEF"/>
    <w:rsid w:val="3C8534DB"/>
    <w:rsid w:val="3C947E6B"/>
    <w:rsid w:val="3C9C6966"/>
    <w:rsid w:val="3CAC1415"/>
    <w:rsid w:val="3CB81533"/>
    <w:rsid w:val="3CBB23B1"/>
    <w:rsid w:val="3CC01BC6"/>
    <w:rsid w:val="3CC93DFD"/>
    <w:rsid w:val="3CD5085D"/>
    <w:rsid w:val="3CD71A19"/>
    <w:rsid w:val="3CDB3F2D"/>
    <w:rsid w:val="3CED04E1"/>
    <w:rsid w:val="3CF8135F"/>
    <w:rsid w:val="3CFB49AC"/>
    <w:rsid w:val="3D052131"/>
    <w:rsid w:val="3D057BD5"/>
    <w:rsid w:val="3D0B13F5"/>
    <w:rsid w:val="3D1C44F8"/>
    <w:rsid w:val="3D2A34E3"/>
    <w:rsid w:val="3D2F4655"/>
    <w:rsid w:val="3D352BF2"/>
    <w:rsid w:val="3D3A2CFD"/>
    <w:rsid w:val="3D457166"/>
    <w:rsid w:val="3D4D681C"/>
    <w:rsid w:val="3D4E1E57"/>
    <w:rsid w:val="3D50512E"/>
    <w:rsid w:val="3D5228D4"/>
    <w:rsid w:val="3D605787"/>
    <w:rsid w:val="3D65451B"/>
    <w:rsid w:val="3D7D1865"/>
    <w:rsid w:val="3D7E738B"/>
    <w:rsid w:val="3D807EFF"/>
    <w:rsid w:val="3D8263F7"/>
    <w:rsid w:val="3D827BF5"/>
    <w:rsid w:val="3D9B1F12"/>
    <w:rsid w:val="3D9D4A23"/>
    <w:rsid w:val="3D9E2898"/>
    <w:rsid w:val="3DB47ECB"/>
    <w:rsid w:val="3DB63561"/>
    <w:rsid w:val="3DC043D2"/>
    <w:rsid w:val="3DC2043F"/>
    <w:rsid w:val="3DD11700"/>
    <w:rsid w:val="3DD46556"/>
    <w:rsid w:val="3DDC47DD"/>
    <w:rsid w:val="3DDF5D4B"/>
    <w:rsid w:val="3DE25B6C"/>
    <w:rsid w:val="3DEF013E"/>
    <w:rsid w:val="3DF178FB"/>
    <w:rsid w:val="3DF510A0"/>
    <w:rsid w:val="3DF63860"/>
    <w:rsid w:val="3E01608A"/>
    <w:rsid w:val="3E057C97"/>
    <w:rsid w:val="3E06185A"/>
    <w:rsid w:val="3E091B54"/>
    <w:rsid w:val="3E0953D7"/>
    <w:rsid w:val="3E0E7B26"/>
    <w:rsid w:val="3E1F65B6"/>
    <w:rsid w:val="3E224C7C"/>
    <w:rsid w:val="3E2D6890"/>
    <w:rsid w:val="3E303A99"/>
    <w:rsid w:val="3E422FB2"/>
    <w:rsid w:val="3E4C1343"/>
    <w:rsid w:val="3E530817"/>
    <w:rsid w:val="3E5D7C33"/>
    <w:rsid w:val="3E605628"/>
    <w:rsid w:val="3E6070C0"/>
    <w:rsid w:val="3E6913AF"/>
    <w:rsid w:val="3E6A08F3"/>
    <w:rsid w:val="3E7C5655"/>
    <w:rsid w:val="3E7D3D36"/>
    <w:rsid w:val="3E88666E"/>
    <w:rsid w:val="3E8E5630"/>
    <w:rsid w:val="3E9D5356"/>
    <w:rsid w:val="3EA4471C"/>
    <w:rsid w:val="3EA61CCC"/>
    <w:rsid w:val="3EA80B63"/>
    <w:rsid w:val="3EAA3512"/>
    <w:rsid w:val="3EB730D5"/>
    <w:rsid w:val="3EC02494"/>
    <w:rsid w:val="3ECC70E8"/>
    <w:rsid w:val="3ECD2B96"/>
    <w:rsid w:val="3ECE24EA"/>
    <w:rsid w:val="3ECF60F0"/>
    <w:rsid w:val="3ED913F6"/>
    <w:rsid w:val="3EDE6333"/>
    <w:rsid w:val="3EE2354C"/>
    <w:rsid w:val="3EE524BD"/>
    <w:rsid w:val="3EF10A44"/>
    <w:rsid w:val="3EF618CF"/>
    <w:rsid w:val="3EFF6BE9"/>
    <w:rsid w:val="3F060B3B"/>
    <w:rsid w:val="3F0874F8"/>
    <w:rsid w:val="3F0A35CC"/>
    <w:rsid w:val="3F0F5BC1"/>
    <w:rsid w:val="3F115584"/>
    <w:rsid w:val="3F1767B1"/>
    <w:rsid w:val="3F3818EC"/>
    <w:rsid w:val="3F43088C"/>
    <w:rsid w:val="3F466B63"/>
    <w:rsid w:val="3F472639"/>
    <w:rsid w:val="3F4728A3"/>
    <w:rsid w:val="3F50493E"/>
    <w:rsid w:val="3F5130BA"/>
    <w:rsid w:val="3F53544D"/>
    <w:rsid w:val="3F5B4D58"/>
    <w:rsid w:val="3F604F9A"/>
    <w:rsid w:val="3F6154C5"/>
    <w:rsid w:val="3F877201"/>
    <w:rsid w:val="3F88629F"/>
    <w:rsid w:val="3F987964"/>
    <w:rsid w:val="3F9A755E"/>
    <w:rsid w:val="3FA449F7"/>
    <w:rsid w:val="3FA9033C"/>
    <w:rsid w:val="3FAB7C0B"/>
    <w:rsid w:val="3FB116AF"/>
    <w:rsid w:val="3FC1516B"/>
    <w:rsid w:val="3FD20E42"/>
    <w:rsid w:val="3FD76AD2"/>
    <w:rsid w:val="3FD97A92"/>
    <w:rsid w:val="3FEC3980"/>
    <w:rsid w:val="3FEE601B"/>
    <w:rsid w:val="3FF73E65"/>
    <w:rsid w:val="3FF868D6"/>
    <w:rsid w:val="3FF951DD"/>
    <w:rsid w:val="3FFA644F"/>
    <w:rsid w:val="40007A90"/>
    <w:rsid w:val="40181D19"/>
    <w:rsid w:val="401B0F1D"/>
    <w:rsid w:val="401F28CC"/>
    <w:rsid w:val="4021514C"/>
    <w:rsid w:val="404457C1"/>
    <w:rsid w:val="404963D9"/>
    <w:rsid w:val="40557893"/>
    <w:rsid w:val="405D23A8"/>
    <w:rsid w:val="405E2413"/>
    <w:rsid w:val="406C1ED0"/>
    <w:rsid w:val="407346AB"/>
    <w:rsid w:val="40750FE5"/>
    <w:rsid w:val="408234E1"/>
    <w:rsid w:val="40844CB8"/>
    <w:rsid w:val="40891C7B"/>
    <w:rsid w:val="40923879"/>
    <w:rsid w:val="40963FC7"/>
    <w:rsid w:val="409B649D"/>
    <w:rsid w:val="409C3422"/>
    <w:rsid w:val="40A42633"/>
    <w:rsid w:val="40A85D7C"/>
    <w:rsid w:val="40AB3370"/>
    <w:rsid w:val="40AF56BF"/>
    <w:rsid w:val="40B558C8"/>
    <w:rsid w:val="40B57AF2"/>
    <w:rsid w:val="40B77229"/>
    <w:rsid w:val="40C12583"/>
    <w:rsid w:val="40C15CEA"/>
    <w:rsid w:val="40C67957"/>
    <w:rsid w:val="40CB6D8B"/>
    <w:rsid w:val="40CD00DD"/>
    <w:rsid w:val="40CD6240"/>
    <w:rsid w:val="40CE27F9"/>
    <w:rsid w:val="40D72EBE"/>
    <w:rsid w:val="40DD1587"/>
    <w:rsid w:val="40DF41E9"/>
    <w:rsid w:val="40F45EFA"/>
    <w:rsid w:val="40FA4F7A"/>
    <w:rsid w:val="40FF07E3"/>
    <w:rsid w:val="41007769"/>
    <w:rsid w:val="41086360"/>
    <w:rsid w:val="410E6949"/>
    <w:rsid w:val="41274597"/>
    <w:rsid w:val="41297BA8"/>
    <w:rsid w:val="41355BA3"/>
    <w:rsid w:val="413D33EF"/>
    <w:rsid w:val="41401527"/>
    <w:rsid w:val="414B08D8"/>
    <w:rsid w:val="414E29EF"/>
    <w:rsid w:val="415154E2"/>
    <w:rsid w:val="415239B1"/>
    <w:rsid w:val="41584C76"/>
    <w:rsid w:val="41592B96"/>
    <w:rsid w:val="415D3AAA"/>
    <w:rsid w:val="416827FE"/>
    <w:rsid w:val="416A4B24"/>
    <w:rsid w:val="417B6F7C"/>
    <w:rsid w:val="418164EC"/>
    <w:rsid w:val="418772C7"/>
    <w:rsid w:val="41886CCF"/>
    <w:rsid w:val="418A792B"/>
    <w:rsid w:val="419249A3"/>
    <w:rsid w:val="41960F63"/>
    <w:rsid w:val="41963317"/>
    <w:rsid w:val="41965BEA"/>
    <w:rsid w:val="41A01FC6"/>
    <w:rsid w:val="41A1020F"/>
    <w:rsid w:val="41A2189A"/>
    <w:rsid w:val="41A9092E"/>
    <w:rsid w:val="41AE5FD7"/>
    <w:rsid w:val="41B15F81"/>
    <w:rsid w:val="41B343A0"/>
    <w:rsid w:val="41B63A51"/>
    <w:rsid w:val="41BD4CD3"/>
    <w:rsid w:val="41C4095E"/>
    <w:rsid w:val="41C41900"/>
    <w:rsid w:val="41C50675"/>
    <w:rsid w:val="41C537DA"/>
    <w:rsid w:val="41C97EEA"/>
    <w:rsid w:val="41CC4C17"/>
    <w:rsid w:val="41CD3503"/>
    <w:rsid w:val="41D02A92"/>
    <w:rsid w:val="41D67795"/>
    <w:rsid w:val="41D8023A"/>
    <w:rsid w:val="41D936D3"/>
    <w:rsid w:val="41E2438C"/>
    <w:rsid w:val="41E334F8"/>
    <w:rsid w:val="41EA09C0"/>
    <w:rsid w:val="41F14593"/>
    <w:rsid w:val="41F253F6"/>
    <w:rsid w:val="41F67E38"/>
    <w:rsid w:val="41F8770C"/>
    <w:rsid w:val="420662CD"/>
    <w:rsid w:val="420A743F"/>
    <w:rsid w:val="420E1FCC"/>
    <w:rsid w:val="421436BB"/>
    <w:rsid w:val="421E6786"/>
    <w:rsid w:val="42213106"/>
    <w:rsid w:val="42221DED"/>
    <w:rsid w:val="4225527B"/>
    <w:rsid w:val="422B7AE1"/>
    <w:rsid w:val="42310AA6"/>
    <w:rsid w:val="423170C2"/>
    <w:rsid w:val="423F5733"/>
    <w:rsid w:val="42404D69"/>
    <w:rsid w:val="424607E1"/>
    <w:rsid w:val="42482613"/>
    <w:rsid w:val="424C1853"/>
    <w:rsid w:val="425B29CD"/>
    <w:rsid w:val="426B25D4"/>
    <w:rsid w:val="426D00FA"/>
    <w:rsid w:val="426E780A"/>
    <w:rsid w:val="427D41CF"/>
    <w:rsid w:val="42814D75"/>
    <w:rsid w:val="42845443"/>
    <w:rsid w:val="428471F1"/>
    <w:rsid w:val="4286597A"/>
    <w:rsid w:val="42892A5A"/>
    <w:rsid w:val="428A713A"/>
    <w:rsid w:val="428D254A"/>
    <w:rsid w:val="42902EBA"/>
    <w:rsid w:val="42A930FC"/>
    <w:rsid w:val="42AB7020"/>
    <w:rsid w:val="42AC1F6D"/>
    <w:rsid w:val="42AE0712"/>
    <w:rsid w:val="42AF0581"/>
    <w:rsid w:val="42B60D1B"/>
    <w:rsid w:val="42B63A0B"/>
    <w:rsid w:val="42BF4020"/>
    <w:rsid w:val="42C05351"/>
    <w:rsid w:val="42C67AC2"/>
    <w:rsid w:val="42E371E5"/>
    <w:rsid w:val="42F9683F"/>
    <w:rsid w:val="43025813"/>
    <w:rsid w:val="43052C44"/>
    <w:rsid w:val="43056A83"/>
    <w:rsid w:val="43066A03"/>
    <w:rsid w:val="43081BD1"/>
    <w:rsid w:val="43176949"/>
    <w:rsid w:val="431A674E"/>
    <w:rsid w:val="43234379"/>
    <w:rsid w:val="432937C0"/>
    <w:rsid w:val="43370708"/>
    <w:rsid w:val="433B1FD0"/>
    <w:rsid w:val="433E7EE2"/>
    <w:rsid w:val="434065DE"/>
    <w:rsid w:val="434671E7"/>
    <w:rsid w:val="434A3EA1"/>
    <w:rsid w:val="43557B07"/>
    <w:rsid w:val="43571E00"/>
    <w:rsid w:val="43572B58"/>
    <w:rsid w:val="435B1A11"/>
    <w:rsid w:val="43661FA0"/>
    <w:rsid w:val="436A7CB3"/>
    <w:rsid w:val="43727FC1"/>
    <w:rsid w:val="43736DBA"/>
    <w:rsid w:val="43742F2D"/>
    <w:rsid w:val="43847352"/>
    <w:rsid w:val="43884EC8"/>
    <w:rsid w:val="43894F3C"/>
    <w:rsid w:val="438C286B"/>
    <w:rsid w:val="438D0328"/>
    <w:rsid w:val="438F69E7"/>
    <w:rsid w:val="43911BC6"/>
    <w:rsid w:val="4395506D"/>
    <w:rsid w:val="43A81F35"/>
    <w:rsid w:val="43AC0191"/>
    <w:rsid w:val="43B34232"/>
    <w:rsid w:val="43BB21BC"/>
    <w:rsid w:val="43C006FD"/>
    <w:rsid w:val="43C907B4"/>
    <w:rsid w:val="43C95142"/>
    <w:rsid w:val="43D26A18"/>
    <w:rsid w:val="43D43B28"/>
    <w:rsid w:val="43D94F30"/>
    <w:rsid w:val="43DB05D0"/>
    <w:rsid w:val="43DB3816"/>
    <w:rsid w:val="43DE2931"/>
    <w:rsid w:val="43E63B53"/>
    <w:rsid w:val="43E715F4"/>
    <w:rsid w:val="43E73EDC"/>
    <w:rsid w:val="43EB3E23"/>
    <w:rsid w:val="43ED3206"/>
    <w:rsid w:val="43FF691F"/>
    <w:rsid w:val="44000F64"/>
    <w:rsid w:val="44184936"/>
    <w:rsid w:val="442510D9"/>
    <w:rsid w:val="442515B3"/>
    <w:rsid w:val="442962A2"/>
    <w:rsid w:val="44323820"/>
    <w:rsid w:val="44352E99"/>
    <w:rsid w:val="443652E1"/>
    <w:rsid w:val="44586B88"/>
    <w:rsid w:val="445E3B7A"/>
    <w:rsid w:val="445F7FB9"/>
    <w:rsid w:val="446012BE"/>
    <w:rsid w:val="44616D40"/>
    <w:rsid w:val="446247C1"/>
    <w:rsid w:val="446450CD"/>
    <w:rsid w:val="4464614B"/>
    <w:rsid w:val="44721EAC"/>
    <w:rsid w:val="44753296"/>
    <w:rsid w:val="447B737A"/>
    <w:rsid w:val="448E1426"/>
    <w:rsid w:val="44925532"/>
    <w:rsid w:val="44934F90"/>
    <w:rsid w:val="44936BE1"/>
    <w:rsid w:val="449974D6"/>
    <w:rsid w:val="449D27EC"/>
    <w:rsid w:val="44A771C7"/>
    <w:rsid w:val="44A96FE4"/>
    <w:rsid w:val="44AE5C8E"/>
    <w:rsid w:val="44B46A99"/>
    <w:rsid w:val="44BB380A"/>
    <w:rsid w:val="44C34F81"/>
    <w:rsid w:val="44C55F08"/>
    <w:rsid w:val="44C56594"/>
    <w:rsid w:val="44E03C05"/>
    <w:rsid w:val="44E11690"/>
    <w:rsid w:val="44E155D9"/>
    <w:rsid w:val="44E421C9"/>
    <w:rsid w:val="44EE0B22"/>
    <w:rsid w:val="44F24FAA"/>
    <w:rsid w:val="45017834"/>
    <w:rsid w:val="45034D45"/>
    <w:rsid w:val="45064F13"/>
    <w:rsid w:val="45081FCE"/>
    <w:rsid w:val="450B59A8"/>
    <w:rsid w:val="450D34CE"/>
    <w:rsid w:val="451A1056"/>
    <w:rsid w:val="4522592E"/>
    <w:rsid w:val="45253639"/>
    <w:rsid w:val="452A4EDD"/>
    <w:rsid w:val="45390FA1"/>
    <w:rsid w:val="45451F97"/>
    <w:rsid w:val="454809AA"/>
    <w:rsid w:val="454D2734"/>
    <w:rsid w:val="454F7F8B"/>
    <w:rsid w:val="4550785F"/>
    <w:rsid w:val="455C6BD8"/>
    <w:rsid w:val="455F24CD"/>
    <w:rsid w:val="456033DF"/>
    <w:rsid w:val="45634690"/>
    <w:rsid w:val="45684415"/>
    <w:rsid w:val="456A10D7"/>
    <w:rsid w:val="45786067"/>
    <w:rsid w:val="458D3152"/>
    <w:rsid w:val="4595701E"/>
    <w:rsid w:val="45A176CC"/>
    <w:rsid w:val="45A22427"/>
    <w:rsid w:val="45B40A0C"/>
    <w:rsid w:val="45B95404"/>
    <w:rsid w:val="45C4705A"/>
    <w:rsid w:val="45D12790"/>
    <w:rsid w:val="45D2153D"/>
    <w:rsid w:val="45D31885"/>
    <w:rsid w:val="45DB12E6"/>
    <w:rsid w:val="45E45998"/>
    <w:rsid w:val="45E85CE9"/>
    <w:rsid w:val="45FA7D5B"/>
    <w:rsid w:val="46001A20"/>
    <w:rsid w:val="460264E5"/>
    <w:rsid w:val="4619146B"/>
    <w:rsid w:val="461D1E37"/>
    <w:rsid w:val="461F25EA"/>
    <w:rsid w:val="463351B6"/>
    <w:rsid w:val="46514E12"/>
    <w:rsid w:val="46596D35"/>
    <w:rsid w:val="46641988"/>
    <w:rsid w:val="466B0A0B"/>
    <w:rsid w:val="46726CE5"/>
    <w:rsid w:val="46731A57"/>
    <w:rsid w:val="4677696F"/>
    <w:rsid w:val="467852BF"/>
    <w:rsid w:val="467A653C"/>
    <w:rsid w:val="467D138A"/>
    <w:rsid w:val="468C7D56"/>
    <w:rsid w:val="46901553"/>
    <w:rsid w:val="469320F9"/>
    <w:rsid w:val="46951B6B"/>
    <w:rsid w:val="4696345C"/>
    <w:rsid w:val="46965D7B"/>
    <w:rsid w:val="469C7200"/>
    <w:rsid w:val="469D327F"/>
    <w:rsid w:val="46A14816"/>
    <w:rsid w:val="46AB4323"/>
    <w:rsid w:val="46B05AF3"/>
    <w:rsid w:val="46B20E4A"/>
    <w:rsid w:val="46B43DEC"/>
    <w:rsid w:val="46C277A4"/>
    <w:rsid w:val="46C50728"/>
    <w:rsid w:val="46C87FF5"/>
    <w:rsid w:val="46D149CF"/>
    <w:rsid w:val="46E25ADA"/>
    <w:rsid w:val="46E66846"/>
    <w:rsid w:val="46ED29BB"/>
    <w:rsid w:val="46FC4D99"/>
    <w:rsid w:val="47264BB4"/>
    <w:rsid w:val="472D1568"/>
    <w:rsid w:val="473B611B"/>
    <w:rsid w:val="473C2D8E"/>
    <w:rsid w:val="47502C34"/>
    <w:rsid w:val="4752380F"/>
    <w:rsid w:val="4760647F"/>
    <w:rsid w:val="47686E78"/>
    <w:rsid w:val="47773F8F"/>
    <w:rsid w:val="478353F3"/>
    <w:rsid w:val="479B7487"/>
    <w:rsid w:val="479D0E07"/>
    <w:rsid w:val="479E6FA7"/>
    <w:rsid w:val="47A100A1"/>
    <w:rsid w:val="47A26054"/>
    <w:rsid w:val="47A618FA"/>
    <w:rsid w:val="47AB0729"/>
    <w:rsid w:val="47B02837"/>
    <w:rsid w:val="47B468C0"/>
    <w:rsid w:val="47CB141F"/>
    <w:rsid w:val="47CB256B"/>
    <w:rsid w:val="47CB6788"/>
    <w:rsid w:val="47D330F7"/>
    <w:rsid w:val="47ED6E2E"/>
    <w:rsid w:val="47FC30E6"/>
    <w:rsid w:val="480232C8"/>
    <w:rsid w:val="480728E2"/>
    <w:rsid w:val="480D1D44"/>
    <w:rsid w:val="48147269"/>
    <w:rsid w:val="481D4BC7"/>
    <w:rsid w:val="482165F0"/>
    <w:rsid w:val="482E3E38"/>
    <w:rsid w:val="48326701"/>
    <w:rsid w:val="483545B2"/>
    <w:rsid w:val="4839282C"/>
    <w:rsid w:val="484935F6"/>
    <w:rsid w:val="484C255F"/>
    <w:rsid w:val="484C2B2E"/>
    <w:rsid w:val="48570EBF"/>
    <w:rsid w:val="485863AA"/>
    <w:rsid w:val="485D4FC6"/>
    <w:rsid w:val="486134B9"/>
    <w:rsid w:val="48651163"/>
    <w:rsid w:val="48692933"/>
    <w:rsid w:val="486E53C9"/>
    <w:rsid w:val="487B70F7"/>
    <w:rsid w:val="48847F4B"/>
    <w:rsid w:val="4887050A"/>
    <w:rsid w:val="488E0DCA"/>
    <w:rsid w:val="48942A2D"/>
    <w:rsid w:val="4894769F"/>
    <w:rsid w:val="489D2DBB"/>
    <w:rsid w:val="48A51E7D"/>
    <w:rsid w:val="48AF22C8"/>
    <w:rsid w:val="48B2693C"/>
    <w:rsid w:val="48C17349"/>
    <w:rsid w:val="48C40290"/>
    <w:rsid w:val="48C41AF5"/>
    <w:rsid w:val="48CA33FC"/>
    <w:rsid w:val="48CF053E"/>
    <w:rsid w:val="48D037EC"/>
    <w:rsid w:val="48D048C3"/>
    <w:rsid w:val="48E51A27"/>
    <w:rsid w:val="48F50E49"/>
    <w:rsid w:val="48F5521F"/>
    <w:rsid w:val="48F8513E"/>
    <w:rsid w:val="48FF1AD9"/>
    <w:rsid w:val="48FF5824"/>
    <w:rsid w:val="49025A13"/>
    <w:rsid w:val="49075444"/>
    <w:rsid w:val="49107A31"/>
    <w:rsid w:val="491141A5"/>
    <w:rsid w:val="491312CF"/>
    <w:rsid w:val="491405D0"/>
    <w:rsid w:val="491C3C79"/>
    <w:rsid w:val="49364CAA"/>
    <w:rsid w:val="49385DE9"/>
    <w:rsid w:val="49402A04"/>
    <w:rsid w:val="49423CA3"/>
    <w:rsid w:val="49465201"/>
    <w:rsid w:val="494A174C"/>
    <w:rsid w:val="4953515D"/>
    <w:rsid w:val="4953791E"/>
    <w:rsid w:val="49544399"/>
    <w:rsid w:val="495811F2"/>
    <w:rsid w:val="496164DE"/>
    <w:rsid w:val="496472BA"/>
    <w:rsid w:val="49663353"/>
    <w:rsid w:val="496D4E83"/>
    <w:rsid w:val="49880C1B"/>
    <w:rsid w:val="49880FF9"/>
    <w:rsid w:val="49884AB4"/>
    <w:rsid w:val="498C51DA"/>
    <w:rsid w:val="49935819"/>
    <w:rsid w:val="499E4045"/>
    <w:rsid w:val="49AD1724"/>
    <w:rsid w:val="49C354F8"/>
    <w:rsid w:val="49C55175"/>
    <w:rsid w:val="49C56A6D"/>
    <w:rsid w:val="49C63B2C"/>
    <w:rsid w:val="49CC2EDA"/>
    <w:rsid w:val="49D12082"/>
    <w:rsid w:val="49DB48E8"/>
    <w:rsid w:val="49E904E0"/>
    <w:rsid w:val="49EE4A0A"/>
    <w:rsid w:val="49F30BDF"/>
    <w:rsid w:val="4A070E34"/>
    <w:rsid w:val="4A072E04"/>
    <w:rsid w:val="4A080708"/>
    <w:rsid w:val="4A085002"/>
    <w:rsid w:val="4A0D3F70"/>
    <w:rsid w:val="4A0F0210"/>
    <w:rsid w:val="4A1043C2"/>
    <w:rsid w:val="4A201EF6"/>
    <w:rsid w:val="4A2304E5"/>
    <w:rsid w:val="4A2A2FB8"/>
    <w:rsid w:val="4A2C56C7"/>
    <w:rsid w:val="4A2E7440"/>
    <w:rsid w:val="4A33252C"/>
    <w:rsid w:val="4A337E5B"/>
    <w:rsid w:val="4A363AF9"/>
    <w:rsid w:val="4A3C1FD9"/>
    <w:rsid w:val="4A49144C"/>
    <w:rsid w:val="4A572534"/>
    <w:rsid w:val="4A5C2802"/>
    <w:rsid w:val="4A630034"/>
    <w:rsid w:val="4A641E98"/>
    <w:rsid w:val="4A65539B"/>
    <w:rsid w:val="4A6F5CAB"/>
    <w:rsid w:val="4A7224B3"/>
    <w:rsid w:val="4A776398"/>
    <w:rsid w:val="4A783AE0"/>
    <w:rsid w:val="4A791606"/>
    <w:rsid w:val="4A880F57"/>
    <w:rsid w:val="4A8E50B1"/>
    <w:rsid w:val="4A971E4C"/>
    <w:rsid w:val="4A974B69"/>
    <w:rsid w:val="4A9A657C"/>
    <w:rsid w:val="4AA94E4C"/>
    <w:rsid w:val="4AAA702A"/>
    <w:rsid w:val="4AAF6A94"/>
    <w:rsid w:val="4AB34B18"/>
    <w:rsid w:val="4AB368C6"/>
    <w:rsid w:val="4ABD3BF4"/>
    <w:rsid w:val="4AD21DA2"/>
    <w:rsid w:val="4AD41253"/>
    <w:rsid w:val="4AD80F17"/>
    <w:rsid w:val="4AD92EFB"/>
    <w:rsid w:val="4ADA044B"/>
    <w:rsid w:val="4AE20CAF"/>
    <w:rsid w:val="4AE82F89"/>
    <w:rsid w:val="4AF968BD"/>
    <w:rsid w:val="4AFC3310"/>
    <w:rsid w:val="4B0235C9"/>
    <w:rsid w:val="4B105AC6"/>
    <w:rsid w:val="4B1405F6"/>
    <w:rsid w:val="4B1D6488"/>
    <w:rsid w:val="4B2477C4"/>
    <w:rsid w:val="4B351526"/>
    <w:rsid w:val="4B49087A"/>
    <w:rsid w:val="4B4D43D6"/>
    <w:rsid w:val="4B4F2D9B"/>
    <w:rsid w:val="4B5B3293"/>
    <w:rsid w:val="4B6C0C65"/>
    <w:rsid w:val="4B7717C6"/>
    <w:rsid w:val="4B804BEF"/>
    <w:rsid w:val="4B8464B4"/>
    <w:rsid w:val="4B863FDA"/>
    <w:rsid w:val="4B9A581D"/>
    <w:rsid w:val="4B9B4B0A"/>
    <w:rsid w:val="4BA15123"/>
    <w:rsid w:val="4BA61E1E"/>
    <w:rsid w:val="4BB5666E"/>
    <w:rsid w:val="4BC15FAF"/>
    <w:rsid w:val="4BC24741"/>
    <w:rsid w:val="4BC61AE0"/>
    <w:rsid w:val="4BCD146B"/>
    <w:rsid w:val="4BCD3597"/>
    <w:rsid w:val="4BCD39B7"/>
    <w:rsid w:val="4BD023EF"/>
    <w:rsid w:val="4BE1725F"/>
    <w:rsid w:val="4BF73520"/>
    <w:rsid w:val="4BF93871"/>
    <w:rsid w:val="4C06437D"/>
    <w:rsid w:val="4C0C0983"/>
    <w:rsid w:val="4C0D6124"/>
    <w:rsid w:val="4C194750"/>
    <w:rsid w:val="4C1D7F6E"/>
    <w:rsid w:val="4C2717D2"/>
    <w:rsid w:val="4C2730B9"/>
    <w:rsid w:val="4C2D4A1A"/>
    <w:rsid w:val="4C3351E5"/>
    <w:rsid w:val="4C3B47B6"/>
    <w:rsid w:val="4C42325F"/>
    <w:rsid w:val="4C433C79"/>
    <w:rsid w:val="4C604C4C"/>
    <w:rsid w:val="4C626946"/>
    <w:rsid w:val="4C6A741D"/>
    <w:rsid w:val="4C6B1CFC"/>
    <w:rsid w:val="4C6C226D"/>
    <w:rsid w:val="4C6D62E2"/>
    <w:rsid w:val="4C721BF8"/>
    <w:rsid w:val="4C850C19"/>
    <w:rsid w:val="4C9A2FAF"/>
    <w:rsid w:val="4C9D5A7F"/>
    <w:rsid w:val="4C9F01B9"/>
    <w:rsid w:val="4CB535E7"/>
    <w:rsid w:val="4CB75756"/>
    <w:rsid w:val="4CBB4158"/>
    <w:rsid w:val="4CC53937"/>
    <w:rsid w:val="4CC55E9E"/>
    <w:rsid w:val="4CCB34F1"/>
    <w:rsid w:val="4CD511DE"/>
    <w:rsid w:val="4CD8513A"/>
    <w:rsid w:val="4CE00B35"/>
    <w:rsid w:val="4CE770FC"/>
    <w:rsid w:val="4CE95658"/>
    <w:rsid w:val="4CF136D5"/>
    <w:rsid w:val="4CF17B79"/>
    <w:rsid w:val="4D002F94"/>
    <w:rsid w:val="4D280422"/>
    <w:rsid w:val="4D294F02"/>
    <w:rsid w:val="4D2E060F"/>
    <w:rsid w:val="4D2E3396"/>
    <w:rsid w:val="4D383F61"/>
    <w:rsid w:val="4D3C516D"/>
    <w:rsid w:val="4D4128AF"/>
    <w:rsid w:val="4D422183"/>
    <w:rsid w:val="4D432D71"/>
    <w:rsid w:val="4D48080E"/>
    <w:rsid w:val="4D552021"/>
    <w:rsid w:val="4D570F71"/>
    <w:rsid w:val="4D583754"/>
    <w:rsid w:val="4D5C3245"/>
    <w:rsid w:val="4D5E08D8"/>
    <w:rsid w:val="4D5F074A"/>
    <w:rsid w:val="4D603DFF"/>
    <w:rsid w:val="4D62706D"/>
    <w:rsid w:val="4D647922"/>
    <w:rsid w:val="4D664FEE"/>
    <w:rsid w:val="4D701B8D"/>
    <w:rsid w:val="4D7A43DB"/>
    <w:rsid w:val="4D8A389F"/>
    <w:rsid w:val="4D937316"/>
    <w:rsid w:val="4D9B42F0"/>
    <w:rsid w:val="4D9C7C68"/>
    <w:rsid w:val="4DA26078"/>
    <w:rsid w:val="4DA41222"/>
    <w:rsid w:val="4DAA338D"/>
    <w:rsid w:val="4DAF1CC9"/>
    <w:rsid w:val="4DB33341"/>
    <w:rsid w:val="4DB65243"/>
    <w:rsid w:val="4DCA57BE"/>
    <w:rsid w:val="4DD57E07"/>
    <w:rsid w:val="4DD95A7F"/>
    <w:rsid w:val="4DDB077D"/>
    <w:rsid w:val="4DE428CA"/>
    <w:rsid w:val="4DEE3274"/>
    <w:rsid w:val="4DEF40B9"/>
    <w:rsid w:val="4DF521E1"/>
    <w:rsid w:val="4DFA2A5E"/>
    <w:rsid w:val="4E0007BA"/>
    <w:rsid w:val="4E0C2777"/>
    <w:rsid w:val="4E165AE9"/>
    <w:rsid w:val="4E1C6499"/>
    <w:rsid w:val="4E231FB4"/>
    <w:rsid w:val="4E2A34C8"/>
    <w:rsid w:val="4E300C55"/>
    <w:rsid w:val="4E34372F"/>
    <w:rsid w:val="4E3A1E87"/>
    <w:rsid w:val="4E3C637F"/>
    <w:rsid w:val="4E425692"/>
    <w:rsid w:val="4E5401B4"/>
    <w:rsid w:val="4E564125"/>
    <w:rsid w:val="4E634927"/>
    <w:rsid w:val="4E790B28"/>
    <w:rsid w:val="4E791C6C"/>
    <w:rsid w:val="4E7B73B0"/>
    <w:rsid w:val="4E850793"/>
    <w:rsid w:val="4E9A0C05"/>
    <w:rsid w:val="4E9C2668"/>
    <w:rsid w:val="4E9F6A0C"/>
    <w:rsid w:val="4EA053B3"/>
    <w:rsid w:val="4EA330F5"/>
    <w:rsid w:val="4EAA7D67"/>
    <w:rsid w:val="4ECC0AD3"/>
    <w:rsid w:val="4ECF5C98"/>
    <w:rsid w:val="4ED9613B"/>
    <w:rsid w:val="4EE3163C"/>
    <w:rsid w:val="4EE42689"/>
    <w:rsid w:val="4EE47996"/>
    <w:rsid w:val="4EE6274C"/>
    <w:rsid w:val="4EE655C7"/>
    <w:rsid w:val="4EEE230C"/>
    <w:rsid w:val="4EF61465"/>
    <w:rsid w:val="4F006719"/>
    <w:rsid w:val="4F070468"/>
    <w:rsid w:val="4F092F62"/>
    <w:rsid w:val="4F0C7551"/>
    <w:rsid w:val="4F0E78E1"/>
    <w:rsid w:val="4F105466"/>
    <w:rsid w:val="4F133DD7"/>
    <w:rsid w:val="4F203DE0"/>
    <w:rsid w:val="4F252466"/>
    <w:rsid w:val="4F2A0BE8"/>
    <w:rsid w:val="4F2B0726"/>
    <w:rsid w:val="4F2D43E9"/>
    <w:rsid w:val="4F2F4E3E"/>
    <w:rsid w:val="4F302BDB"/>
    <w:rsid w:val="4F455F5A"/>
    <w:rsid w:val="4F560168"/>
    <w:rsid w:val="4F56775D"/>
    <w:rsid w:val="4F5A37B4"/>
    <w:rsid w:val="4F5C4B3F"/>
    <w:rsid w:val="4F642F6E"/>
    <w:rsid w:val="4F653250"/>
    <w:rsid w:val="4F660CC2"/>
    <w:rsid w:val="4F6D6BF1"/>
    <w:rsid w:val="4F6F4D85"/>
    <w:rsid w:val="4F776199"/>
    <w:rsid w:val="4F77635D"/>
    <w:rsid w:val="4F7A5551"/>
    <w:rsid w:val="4F854C57"/>
    <w:rsid w:val="4F8C5937"/>
    <w:rsid w:val="4F94594A"/>
    <w:rsid w:val="4FA5581D"/>
    <w:rsid w:val="4FA61264"/>
    <w:rsid w:val="4FAC7D88"/>
    <w:rsid w:val="4FAD4920"/>
    <w:rsid w:val="4FB37368"/>
    <w:rsid w:val="4FC07820"/>
    <w:rsid w:val="4FC45480"/>
    <w:rsid w:val="4FC563E2"/>
    <w:rsid w:val="4FC7527F"/>
    <w:rsid w:val="4FC7694E"/>
    <w:rsid w:val="4FCA09F6"/>
    <w:rsid w:val="4FD32219"/>
    <w:rsid w:val="4FD73056"/>
    <w:rsid w:val="4FD80803"/>
    <w:rsid w:val="4FDD7D32"/>
    <w:rsid w:val="4FE90FDC"/>
    <w:rsid w:val="4FEB08B0"/>
    <w:rsid w:val="4FFE21F1"/>
    <w:rsid w:val="500556C3"/>
    <w:rsid w:val="500C4333"/>
    <w:rsid w:val="50110719"/>
    <w:rsid w:val="504F44D2"/>
    <w:rsid w:val="50582952"/>
    <w:rsid w:val="505A7B2E"/>
    <w:rsid w:val="505E3468"/>
    <w:rsid w:val="50642410"/>
    <w:rsid w:val="50666DD0"/>
    <w:rsid w:val="506A779B"/>
    <w:rsid w:val="5079410E"/>
    <w:rsid w:val="507974AB"/>
    <w:rsid w:val="5084761B"/>
    <w:rsid w:val="508820AE"/>
    <w:rsid w:val="508830D8"/>
    <w:rsid w:val="508B24DD"/>
    <w:rsid w:val="50AF393A"/>
    <w:rsid w:val="50B415EA"/>
    <w:rsid w:val="50BA3B81"/>
    <w:rsid w:val="50C04D6B"/>
    <w:rsid w:val="50D86F9C"/>
    <w:rsid w:val="50D9242D"/>
    <w:rsid w:val="50DA660C"/>
    <w:rsid w:val="50E4650C"/>
    <w:rsid w:val="50E5705E"/>
    <w:rsid w:val="50F04E0D"/>
    <w:rsid w:val="50F33A0B"/>
    <w:rsid w:val="50F424BD"/>
    <w:rsid w:val="50F72361"/>
    <w:rsid w:val="50F92314"/>
    <w:rsid w:val="50FC63BD"/>
    <w:rsid w:val="51002139"/>
    <w:rsid w:val="51076D65"/>
    <w:rsid w:val="511823B2"/>
    <w:rsid w:val="51193E9E"/>
    <w:rsid w:val="511F76F9"/>
    <w:rsid w:val="51226A29"/>
    <w:rsid w:val="5126524E"/>
    <w:rsid w:val="512A57DF"/>
    <w:rsid w:val="51372B3F"/>
    <w:rsid w:val="51411C3C"/>
    <w:rsid w:val="5153495F"/>
    <w:rsid w:val="5156444F"/>
    <w:rsid w:val="51592273"/>
    <w:rsid w:val="51621425"/>
    <w:rsid w:val="51632B1E"/>
    <w:rsid w:val="51654AD5"/>
    <w:rsid w:val="51663F84"/>
    <w:rsid w:val="516924D0"/>
    <w:rsid w:val="516E10A7"/>
    <w:rsid w:val="517078A1"/>
    <w:rsid w:val="517A638F"/>
    <w:rsid w:val="517B79A9"/>
    <w:rsid w:val="51833310"/>
    <w:rsid w:val="518965D2"/>
    <w:rsid w:val="518C7793"/>
    <w:rsid w:val="51935A63"/>
    <w:rsid w:val="51A0391C"/>
    <w:rsid w:val="51A105FC"/>
    <w:rsid w:val="51A346B0"/>
    <w:rsid w:val="51A5377F"/>
    <w:rsid w:val="51B227FA"/>
    <w:rsid w:val="51B318A1"/>
    <w:rsid w:val="51B36318"/>
    <w:rsid w:val="51B373A6"/>
    <w:rsid w:val="51B77120"/>
    <w:rsid w:val="51BA678C"/>
    <w:rsid w:val="51BE3185"/>
    <w:rsid w:val="51C07BA2"/>
    <w:rsid w:val="51C404BD"/>
    <w:rsid w:val="51D2149E"/>
    <w:rsid w:val="51D302B9"/>
    <w:rsid w:val="51DB33CC"/>
    <w:rsid w:val="51DD6BC9"/>
    <w:rsid w:val="51E27E6A"/>
    <w:rsid w:val="51E37852"/>
    <w:rsid w:val="51F46D81"/>
    <w:rsid w:val="51F52DE4"/>
    <w:rsid w:val="52002D2D"/>
    <w:rsid w:val="52043EAB"/>
    <w:rsid w:val="520F53AD"/>
    <w:rsid w:val="52312B91"/>
    <w:rsid w:val="523A6B73"/>
    <w:rsid w:val="52403F0D"/>
    <w:rsid w:val="524E7173"/>
    <w:rsid w:val="52642B9B"/>
    <w:rsid w:val="5265537D"/>
    <w:rsid w:val="5265565F"/>
    <w:rsid w:val="5266163F"/>
    <w:rsid w:val="5268443A"/>
    <w:rsid w:val="5269272A"/>
    <w:rsid w:val="526A6404"/>
    <w:rsid w:val="526B670D"/>
    <w:rsid w:val="527032EE"/>
    <w:rsid w:val="52741030"/>
    <w:rsid w:val="5276286C"/>
    <w:rsid w:val="52785CBF"/>
    <w:rsid w:val="5289067D"/>
    <w:rsid w:val="528A7F1B"/>
    <w:rsid w:val="528F15C5"/>
    <w:rsid w:val="529251A2"/>
    <w:rsid w:val="529E3976"/>
    <w:rsid w:val="52B85BC6"/>
    <w:rsid w:val="52C164D5"/>
    <w:rsid w:val="52C23856"/>
    <w:rsid w:val="52CD233F"/>
    <w:rsid w:val="52DB10B0"/>
    <w:rsid w:val="52EF4B5B"/>
    <w:rsid w:val="52F94FB6"/>
    <w:rsid w:val="52FD4B60"/>
    <w:rsid w:val="53056945"/>
    <w:rsid w:val="53254E69"/>
    <w:rsid w:val="53273367"/>
    <w:rsid w:val="53285BE5"/>
    <w:rsid w:val="533961B7"/>
    <w:rsid w:val="53453A94"/>
    <w:rsid w:val="5349426B"/>
    <w:rsid w:val="534E3B3B"/>
    <w:rsid w:val="53511372"/>
    <w:rsid w:val="535411DA"/>
    <w:rsid w:val="53591FD4"/>
    <w:rsid w:val="535D4D1B"/>
    <w:rsid w:val="535E63F5"/>
    <w:rsid w:val="53802164"/>
    <w:rsid w:val="53806FEA"/>
    <w:rsid w:val="538A5CD0"/>
    <w:rsid w:val="53A2397B"/>
    <w:rsid w:val="53A769A6"/>
    <w:rsid w:val="53AF39DE"/>
    <w:rsid w:val="53B47B7C"/>
    <w:rsid w:val="53D60A47"/>
    <w:rsid w:val="53D8739D"/>
    <w:rsid w:val="53DE15A7"/>
    <w:rsid w:val="53EC02DC"/>
    <w:rsid w:val="53F058C2"/>
    <w:rsid w:val="53FB308C"/>
    <w:rsid w:val="540B32CF"/>
    <w:rsid w:val="54140ADD"/>
    <w:rsid w:val="541B6E82"/>
    <w:rsid w:val="54211915"/>
    <w:rsid w:val="54256C07"/>
    <w:rsid w:val="542653CA"/>
    <w:rsid w:val="542F13F1"/>
    <w:rsid w:val="543A3BB4"/>
    <w:rsid w:val="54464BBC"/>
    <w:rsid w:val="545033D7"/>
    <w:rsid w:val="545253A1"/>
    <w:rsid w:val="54583FED"/>
    <w:rsid w:val="54613836"/>
    <w:rsid w:val="546314A0"/>
    <w:rsid w:val="546649A9"/>
    <w:rsid w:val="546B31A6"/>
    <w:rsid w:val="54705699"/>
    <w:rsid w:val="5472334E"/>
    <w:rsid w:val="547C34DE"/>
    <w:rsid w:val="54A92AE8"/>
    <w:rsid w:val="54AC4678"/>
    <w:rsid w:val="54B020C8"/>
    <w:rsid w:val="54BE2C11"/>
    <w:rsid w:val="54C74EEA"/>
    <w:rsid w:val="54C833A7"/>
    <w:rsid w:val="54CF0C98"/>
    <w:rsid w:val="54D6501D"/>
    <w:rsid w:val="54E2503F"/>
    <w:rsid w:val="54E570D4"/>
    <w:rsid w:val="54E61040"/>
    <w:rsid w:val="54E95974"/>
    <w:rsid w:val="54ED6258"/>
    <w:rsid w:val="54F07E40"/>
    <w:rsid w:val="54FB7079"/>
    <w:rsid w:val="54FD7731"/>
    <w:rsid w:val="54FD7F0A"/>
    <w:rsid w:val="54FE3FCD"/>
    <w:rsid w:val="550478CD"/>
    <w:rsid w:val="550A66F8"/>
    <w:rsid w:val="55102F81"/>
    <w:rsid w:val="55125C80"/>
    <w:rsid w:val="551F24AD"/>
    <w:rsid w:val="552A3B97"/>
    <w:rsid w:val="55314FB7"/>
    <w:rsid w:val="5532429E"/>
    <w:rsid w:val="553304D8"/>
    <w:rsid w:val="5537022C"/>
    <w:rsid w:val="553B4B8E"/>
    <w:rsid w:val="553E1482"/>
    <w:rsid w:val="554B5B7F"/>
    <w:rsid w:val="554D13E9"/>
    <w:rsid w:val="555E60BF"/>
    <w:rsid w:val="55681D6F"/>
    <w:rsid w:val="556919D2"/>
    <w:rsid w:val="556D43E3"/>
    <w:rsid w:val="55724863"/>
    <w:rsid w:val="557E6990"/>
    <w:rsid w:val="558D3D29"/>
    <w:rsid w:val="55923A90"/>
    <w:rsid w:val="559610A7"/>
    <w:rsid w:val="55964CF9"/>
    <w:rsid w:val="559B1181"/>
    <w:rsid w:val="559B68D4"/>
    <w:rsid w:val="559D264C"/>
    <w:rsid w:val="55A03EEB"/>
    <w:rsid w:val="55A13125"/>
    <w:rsid w:val="55A420CC"/>
    <w:rsid w:val="55B400D6"/>
    <w:rsid w:val="55B45321"/>
    <w:rsid w:val="55B92B06"/>
    <w:rsid w:val="55C45E2B"/>
    <w:rsid w:val="55C968EE"/>
    <w:rsid w:val="55D40D14"/>
    <w:rsid w:val="55D90C66"/>
    <w:rsid w:val="55E8347F"/>
    <w:rsid w:val="55EB08C4"/>
    <w:rsid w:val="55F54236"/>
    <w:rsid w:val="560721BC"/>
    <w:rsid w:val="56086DFC"/>
    <w:rsid w:val="561641AD"/>
    <w:rsid w:val="561843C9"/>
    <w:rsid w:val="56191C96"/>
    <w:rsid w:val="563867C7"/>
    <w:rsid w:val="564231F4"/>
    <w:rsid w:val="5649500D"/>
    <w:rsid w:val="564A47E7"/>
    <w:rsid w:val="565A35ED"/>
    <w:rsid w:val="565B5438"/>
    <w:rsid w:val="56674A08"/>
    <w:rsid w:val="56690780"/>
    <w:rsid w:val="566969D2"/>
    <w:rsid w:val="566B20F8"/>
    <w:rsid w:val="5671480D"/>
    <w:rsid w:val="567E4501"/>
    <w:rsid w:val="567F61F6"/>
    <w:rsid w:val="56804693"/>
    <w:rsid w:val="568D26C1"/>
    <w:rsid w:val="568E7055"/>
    <w:rsid w:val="568F3EF6"/>
    <w:rsid w:val="568F6378"/>
    <w:rsid w:val="569C5CEF"/>
    <w:rsid w:val="569F3243"/>
    <w:rsid w:val="56A11D40"/>
    <w:rsid w:val="56A47A0A"/>
    <w:rsid w:val="56A85BBC"/>
    <w:rsid w:val="56AB2B47"/>
    <w:rsid w:val="56B04601"/>
    <w:rsid w:val="56B2066F"/>
    <w:rsid w:val="56C27CD8"/>
    <w:rsid w:val="56C500AD"/>
    <w:rsid w:val="56C8194B"/>
    <w:rsid w:val="56CE6835"/>
    <w:rsid w:val="56E719BB"/>
    <w:rsid w:val="56EF1280"/>
    <w:rsid w:val="57032CEF"/>
    <w:rsid w:val="570420C4"/>
    <w:rsid w:val="570D2931"/>
    <w:rsid w:val="571F0565"/>
    <w:rsid w:val="57215938"/>
    <w:rsid w:val="57313656"/>
    <w:rsid w:val="573323BD"/>
    <w:rsid w:val="57490056"/>
    <w:rsid w:val="574A2CE6"/>
    <w:rsid w:val="574C326F"/>
    <w:rsid w:val="574C368E"/>
    <w:rsid w:val="574D0779"/>
    <w:rsid w:val="57517B92"/>
    <w:rsid w:val="575F4499"/>
    <w:rsid w:val="57614B66"/>
    <w:rsid w:val="57680A38"/>
    <w:rsid w:val="57715504"/>
    <w:rsid w:val="5776198C"/>
    <w:rsid w:val="577A52BE"/>
    <w:rsid w:val="577B5E13"/>
    <w:rsid w:val="57805D82"/>
    <w:rsid w:val="57806D5F"/>
    <w:rsid w:val="578A6709"/>
    <w:rsid w:val="57A316AD"/>
    <w:rsid w:val="57B1418D"/>
    <w:rsid w:val="57BB14B0"/>
    <w:rsid w:val="57BD385C"/>
    <w:rsid w:val="57BE3D28"/>
    <w:rsid w:val="57C202C3"/>
    <w:rsid w:val="57D6726A"/>
    <w:rsid w:val="57DF4DBD"/>
    <w:rsid w:val="57EA52A2"/>
    <w:rsid w:val="57F8282A"/>
    <w:rsid w:val="57FF5F43"/>
    <w:rsid w:val="580A43FE"/>
    <w:rsid w:val="580C5867"/>
    <w:rsid w:val="580E04B8"/>
    <w:rsid w:val="58242CBD"/>
    <w:rsid w:val="58243C1F"/>
    <w:rsid w:val="582726A1"/>
    <w:rsid w:val="58273D2E"/>
    <w:rsid w:val="582E5E38"/>
    <w:rsid w:val="583F3E8F"/>
    <w:rsid w:val="58472D43"/>
    <w:rsid w:val="584B107F"/>
    <w:rsid w:val="585A5FBA"/>
    <w:rsid w:val="585A70D6"/>
    <w:rsid w:val="585D3FE7"/>
    <w:rsid w:val="585E1BC1"/>
    <w:rsid w:val="586D0C1F"/>
    <w:rsid w:val="58743C33"/>
    <w:rsid w:val="587A0B5B"/>
    <w:rsid w:val="587C0C3F"/>
    <w:rsid w:val="588C4D06"/>
    <w:rsid w:val="589445D0"/>
    <w:rsid w:val="589820E5"/>
    <w:rsid w:val="589968A1"/>
    <w:rsid w:val="58A53B75"/>
    <w:rsid w:val="58A81767"/>
    <w:rsid w:val="58B035D2"/>
    <w:rsid w:val="58B2254D"/>
    <w:rsid w:val="58B3752B"/>
    <w:rsid w:val="58BE3C27"/>
    <w:rsid w:val="58C223CA"/>
    <w:rsid w:val="58C51124"/>
    <w:rsid w:val="58C9222B"/>
    <w:rsid w:val="58CD149A"/>
    <w:rsid w:val="58D65DEC"/>
    <w:rsid w:val="58E37B80"/>
    <w:rsid w:val="58ED7515"/>
    <w:rsid w:val="58EE483B"/>
    <w:rsid w:val="58F20F01"/>
    <w:rsid w:val="58F36D0F"/>
    <w:rsid w:val="58F60BD1"/>
    <w:rsid w:val="58FF15CB"/>
    <w:rsid w:val="59001493"/>
    <w:rsid w:val="5909492E"/>
    <w:rsid w:val="590C0B28"/>
    <w:rsid w:val="5918482C"/>
    <w:rsid w:val="591B0458"/>
    <w:rsid w:val="591F1D47"/>
    <w:rsid w:val="5923074E"/>
    <w:rsid w:val="59253085"/>
    <w:rsid w:val="59254F7C"/>
    <w:rsid w:val="592616D2"/>
    <w:rsid w:val="592A5D00"/>
    <w:rsid w:val="592E60A3"/>
    <w:rsid w:val="593D4460"/>
    <w:rsid w:val="594B5287"/>
    <w:rsid w:val="594D74FC"/>
    <w:rsid w:val="5955323E"/>
    <w:rsid w:val="59576FB6"/>
    <w:rsid w:val="595A5065"/>
    <w:rsid w:val="59610256"/>
    <w:rsid w:val="59615FA8"/>
    <w:rsid w:val="59635CB4"/>
    <w:rsid w:val="5970084D"/>
    <w:rsid w:val="59705E37"/>
    <w:rsid w:val="597933D0"/>
    <w:rsid w:val="597D20E1"/>
    <w:rsid w:val="598963D9"/>
    <w:rsid w:val="598D237B"/>
    <w:rsid w:val="598E0298"/>
    <w:rsid w:val="59922F80"/>
    <w:rsid w:val="59951986"/>
    <w:rsid w:val="59964D73"/>
    <w:rsid w:val="599E4814"/>
    <w:rsid w:val="59A4671D"/>
    <w:rsid w:val="59AB698A"/>
    <w:rsid w:val="59AE31FD"/>
    <w:rsid w:val="59AF731D"/>
    <w:rsid w:val="59B07FB1"/>
    <w:rsid w:val="59BD288A"/>
    <w:rsid w:val="59C74B3A"/>
    <w:rsid w:val="59C75EEA"/>
    <w:rsid w:val="59C77E38"/>
    <w:rsid w:val="59CD58D1"/>
    <w:rsid w:val="59D054D3"/>
    <w:rsid w:val="59D56ED0"/>
    <w:rsid w:val="59D937AC"/>
    <w:rsid w:val="59E13A61"/>
    <w:rsid w:val="59E578E9"/>
    <w:rsid w:val="59FD392A"/>
    <w:rsid w:val="5A130056"/>
    <w:rsid w:val="5A1A271B"/>
    <w:rsid w:val="5A205A79"/>
    <w:rsid w:val="5A276CF7"/>
    <w:rsid w:val="5A285F8C"/>
    <w:rsid w:val="5A2F0582"/>
    <w:rsid w:val="5A3B2434"/>
    <w:rsid w:val="5A411BCF"/>
    <w:rsid w:val="5A47502D"/>
    <w:rsid w:val="5A4A272E"/>
    <w:rsid w:val="5A4D04A2"/>
    <w:rsid w:val="5A504131"/>
    <w:rsid w:val="5A533C21"/>
    <w:rsid w:val="5A6E1669"/>
    <w:rsid w:val="5A776550"/>
    <w:rsid w:val="5A861016"/>
    <w:rsid w:val="5A8E6775"/>
    <w:rsid w:val="5A97219C"/>
    <w:rsid w:val="5A9A253D"/>
    <w:rsid w:val="5A9D0065"/>
    <w:rsid w:val="5A9F282B"/>
    <w:rsid w:val="5AA635C4"/>
    <w:rsid w:val="5AA86999"/>
    <w:rsid w:val="5AB04BD0"/>
    <w:rsid w:val="5AB53F94"/>
    <w:rsid w:val="5ABA5A4E"/>
    <w:rsid w:val="5ABA77FD"/>
    <w:rsid w:val="5ABB1768"/>
    <w:rsid w:val="5ABC0977"/>
    <w:rsid w:val="5ABD033C"/>
    <w:rsid w:val="5ABF610C"/>
    <w:rsid w:val="5ACE0DB9"/>
    <w:rsid w:val="5AD1778C"/>
    <w:rsid w:val="5AD34C11"/>
    <w:rsid w:val="5AD61FA7"/>
    <w:rsid w:val="5ADA34F9"/>
    <w:rsid w:val="5ADA5BF9"/>
    <w:rsid w:val="5ADE3706"/>
    <w:rsid w:val="5ADE798F"/>
    <w:rsid w:val="5ADF54B5"/>
    <w:rsid w:val="5AE8436A"/>
    <w:rsid w:val="5AE85DE5"/>
    <w:rsid w:val="5AF4569C"/>
    <w:rsid w:val="5B032FB5"/>
    <w:rsid w:val="5B0758B0"/>
    <w:rsid w:val="5B0942E0"/>
    <w:rsid w:val="5B0A0784"/>
    <w:rsid w:val="5B0B55AC"/>
    <w:rsid w:val="5B282ACA"/>
    <w:rsid w:val="5B294982"/>
    <w:rsid w:val="5B295620"/>
    <w:rsid w:val="5B2F7529"/>
    <w:rsid w:val="5B37464E"/>
    <w:rsid w:val="5B38147E"/>
    <w:rsid w:val="5B3B3BBF"/>
    <w:rsid w:val="5B417443"/>
    <w:rsid w:val="5B4A0298"/>
    <w:rsid w:val="5B4D4036"/>
    <w:rsid w:val="5B4E0CA6"/>
    <w:rsid w:val="5B527A35"/>
    <w:rsid w:val="5B5B72AF"/>
    <w:rsid w:val="5B5F0825"/>
    <w:rsid w:val="5B624BAD"/>
    <w:rsid w:val="5B7568A3"/>
    <w:rsid w:val="5B8206DA"/>
    <w:rsid w:val="5B8D7908"/>
    <w:rsid w:val="5B9042AD"/>
    <w:rsid w:val="5B9643EE"/>
    <w:rsid w:val="5BA0018C"/>
    <w:rsid w:val="5BA33638"/>
    <w:rsid w:val="5BA54F84"/>
    <w:rsid w:val="5BAF6C35"/>
    <w:rsid w:val="5BB31D00"/>
    <w:rsid w:val="5BB57758"/>
    <w:rsid w:val="5BBE5F8B"/>
    <w:rsid w:val="5BC240ED"/>
    <w:rsid w:val="5BCD0113"/>
    <w:rsid w:val="5BD542CA"/>
    <w:rsid w:val="5BEA43D9"/>
    <w:rsid w:val="5BEB1E5A"/>
    <w:rsid w:val="5BF13D64"/>
    <w:rsid w:val="5BFA524D"/>
    <w:rsid w:val="5BFF437E"/>
    <w:rsid w:val="5C1123EE"/>
    <w:rsid w:val="5C1761A2"/>
    <w:rsid w:val="5C1D6550"/>
    <w:rsid w:val="5C2018E1"/>
    <w:rsid w:val="5C2A6C04"/>
    <w:rsid w:val="5C2C297C"/>
    <w:rsid w:val="5C3C0960"/>
    <w:rsid w:val="5C4B1054"/>
    <w:rsid w:val="5C4F1BF5"/>
    <w:rsid w:val="5C4F7D15"/>
    <w:rsid w:val="5C522B03"/>
    <w:rsid w:val="5C531B52"/>
    <w:rsid w:val="5C6043D4"/>
    <w:rsid w:val="5C720E3A"/>
    <w:rsid w:val="5C7A11D9"/>
    <w:rsid w:val="5C922CA1"/>
    <w:rsid w:val="5C9238ED"/>
    <w:rsid w:val="5CA0231D"/>
    <w:rsid w:val="5CA34E8C"/>
    <w:rsid w:val="5CA37ECD"/>
    <w:rsid w:val="5CA54B48"/>
    <w:rsid w:val="5CAF2C65"/>
    <w:rsid w:val="5CB51E58"/>
    <w:rsid w:val="5CC63B1D"/>
    <w:rsid w:val="5CCB5CF1"/>
    <w:rsid w:val="5CCC49CC"/>
    <w:rsid w:val="5CCD3D1E"/>
    <w:rsid w:val="5CDE0E68"/>
    <w:rsid w:val="5CE33E78"/>
    <w:rsid w:val="5CE6611E"/>
    <w:rsid w:val="5CFE60C6"/>
    <w:rsid w:val="5D017424"/>
    <w:rsid w:val="5D046F90"/>
    <w:rsid w:val="5D064F7B"/>
    <w:rsid w:val="5D072AA1"/>
    <w:rsid w:val="5D0A2333"/>
    <w:rsid w:val="5D126A91"/>
    <w:rsid w:val="5D172E37"/>
    <w:rsid w:val="5D242E5C"/>
    <w:rsid w:val="5D2972E4"/>
    <w:rsid w:val="5D2D075A"/>
    <w:rsid w:val="5D33497E"/>
    <w:rsid w:val="5D40343E"/>
    <w:rsid w:val="5D476C55"/>
    <w:rsid w:val="5D4E0022"/>
    <w:rsid w:val="5D520385"/>
    <w:rsid w:val="5D5757D7"/>
    <w:rsid w:val="5D602E70"/>
    <w:rsid w:val="5D757640"/>
    <w:rsid w:val="5D83481E"/>
    <w:rsid w:val="5D8460C4"/>
    <w:rsid w:val="5D9613BC"/>
    <w:rsid w:val="5D96522B"/>
    <w:rsid w:val="5D9A1C06"/>
    <w:rsid w:val="5D9A411F"/>
    <w:rsid w:val="5D9C143B"/>
    <w:rsid w:val="5D9E6F62"/>
    <w:rsid w:val="5DA80EB7"/>
    <w:rsid w:val="5DAE37AA"/>
    <w:rsid w:val="5DB1138B"/>
    <w:rsid w:val="5DB65C4E"/>
    <w:rsid w:val="5DC02938"/>
    <w:rsid w:val="5DC5158A"/>
    <w:rsid w:val="5DCB1CAB"/>
    <w:rsid w:val="5DD01187"/>
    <w:rsid w:val="5DD13D0B"/>
    <w:rsid w:val="5DD60DF1"/>
    <w:rsid w:val="5DDB5A14"/>
    <w:rsid w:val="5DDE3B09"/>
    <w:rsid w:val="5DE20A52"/>
    <w:rsid w:val="5DE9008F"/>
    <w:rsid w:val="5DEA664B"/>
    <w:rsid w:val="5DF809C2"/>
    <w:rsid w:val="5DFC494A"/>
    <w:rsid w:val="5E02284A"/>
    <w:rsid w:val="5E051FE4"/>
    <w:rsid w:val="5E090D37"/>
    <w:rsid w:val="5E1861F6"/>
    <w:rsid w:val="5E3F63C8"/>
    <w:rsid w:val="5E4105E7"/>
    <w:rsid w:val="5E507EA5"/>
    <w:rsid w:val="5E544217"/>
    <w:rsid w:val="5E5B12F6"/>
    <w:rsid w:val="5E623438"/>
    <w:rsid w:val="5E803D30"/>
    <w:rsid w:val="5E81219F"/>
    <w:rsid w:val="5E867529"/>
    <w:rsid w:val="5E8E10DC"/>
    <w:rsid w:val="5E900C48"/>
    <w:rsid w:val="5E951A80"/>
    <w:rsid w:val="5E975CD9"/>
    <w:rsid w:val="5EA12E75"/>
    <w:rsid w:val="5EA147B7"/>
    <w:rsid w:val="5EA22A81"/>
    <w:rsid w:val="5EA76D9A"/>
    <w:rsid w:val="5EBB1C78"/>
    <w:rsid w:val="5EBB7A7A"/>
    <w:rsid w:val="5EBE53E1"/>
    <w:rsid w:val="5EBE63B1"/>
    <w:rsid w:val="5EBF6DC9"/>
    <w:rsid w:val="5EC057E6"/>
    <w:rsid w:val="5EC200EC"/>
    <w:rsid w:val="5EC32ACD"/>
    <w:rsid w:val="5EC925A8"/>
    <w:rsid w:val="5ED8702A"/>
    <w:rsid w:val="5EE63F77"/>
    <w:rsid w:val="5EFA17B4"/>
    <w:rsid w:val="5F076D88"/>
    <w:rsid w:val="5F1D035A"/>
    <w:rsid w:val="5F2C5DA3"/>
    <w:rsid w:val="5F2E1471"/>
    <w:rsid w:val="5F300950"/>
    <w:rsid w:val="5F311A1B"/>
    <w:rsid w:val="5F31221B"/>
    <w:rsid w:val="5F332C95"/>
    <w:rsid w:val="5F405377"/>
    <w:rsid w:val="5F4104EC"/>
    <w:rsid w:val="5F450803"/>
    <w:rsid w:val="5F522C73"/>
    <w:rsid w:val="5F5A62FF"/>
    <w:rsid w:val="5F5B4859"/>
    <w:rsid w:val="5F5C6BB1"/>
    <w:rsid w:val="5F661D01"/>
    <w:rsid w:val="5F6B1E1C"/>
    <w:rsid w:val="5F752121"/>
    <w:rsid w:val="5F7856A1"/>
    <w:rsid w:val="5F7C0787"/>
    <w:rsid w:val="5F802CBB"/>
    <w:rsid w:val="5F8913CC"/>
    <w:rsid w:val="5F8A3553"/>
    <w:rsid w:val="5F8B79B9"/>
    <w:rsid w:val="5F94195C"/>
    <w:rsid w:val="5F976FE5"/>
    <w:rsid w:val="5FA16C3A"/>
    <w:rsid w:val="5FA34D03"/>
    <w:rsid w:val="5FA35CEC"/>
    <w:rsid w:val="5FB104B5"/>
    <w:rsid w:val="5FBB6ADE"/>
    <w:rsid w:val="5FBD4249"/>
    <w:rsid w:val="5FBF7663"/>
    <w:rsid w:val="5FCD14AF"/>
    <w:rsid w:val="5FD07587"/>
    <w:rsid w:val="5FE07D05"/>
    <w:rsid w:val="5FED41D0"/>
    <w:rsid w:val="5FF160F1"/>
    <w:rsid w:val="5FF6617D"/>
    <w:rsid w:val="60005F36"/>
    <w:rsid w:val="601E3F25"/>
    <w:rsid w:val="6022663A"/>
    <w:rsid w:val="603114B2"/>
    <w:rsid w:val="60343A63"/>
    <w:rsid w:val="60363A23"/>
    <w:rsid w:val="60463A80"/>
    <w:rsid w:val="60464805"/>
    <w:rsid w:val="60483AFC"/>
    <w:rsid w:val="60491120"/>
    <w:rsid w:val="604A7C32"/>
    <w:rsid w:val="60510E15"/>
    <w:rsid w:val="60561D75"/>
    <w:rsid w:val="60583D40"/>
    <w:rsid w:val="60591866"/>
    <w:rsid w:val="605F08C6"/>
    <w:rsid w:val="6070010A"/>
    <w:rsid w:val="60756BDA"/>
    <w:rsid w:val="60784AA8"/>
    <w:rsid w:val="607A6756"/>
    <w:rsid w:val="608B4D11"/>
    <w:rsid w:val="608F14E9"/>
    <w:rsid w:val="60997EB4"/>
    <w:rsid w:val="60A11E99"/>
    <w:rsid w:val="60AB66E7"/>
    <w:rsid w:val="60B66CB8"/>
    <w:rsid w:val="60BE7457"/>
    <w:rsid w:val="60BF241E"/>
    <w:rsid w:val="60C12FA9"/>
    <w:rsid w:val="60E2750E"/>
    <w:rsid w:val="60F03F78"/>
    <w:rsid w:val="60F17A8F"/>
    <w:rsid w:val="60FA4DF7"/>
    <w:rsid w:val="61017934"/>
    <w:rsid w:val="610512C6"/>
    <w:rsid w:val="61065C77"/>
    <w:rsid w:val="610C082F"/>
    <w:rsid w:val="61123248"/>
    <w:rsid w:val="61134D9C"/>
    <w:rsid w:val="61151A0A"/>
    <w:rsid w:val="611539DF"/>
    <w:rsid w:val="611C5F5F"/>
    <w:rsid w:val="61207D1F"/>
    <w:rsid w:val="61227EAA"/>
    <w:rsid w:val="61243192"/>
    <w:rsid w:val="612C0D28"/>
    <w:rsid w:val="61380171"/>
    <w:rsid w:val="614222FA"/>
    <w:rsid w:val="61433C21"/>
    <w:rsid w:val="61494162"/>
    <w:rsid w:val="61575C95"/>
    <w:rsid w:val="61646714"/>
    <w:rsid w:val="61660A5D"/>
    <w:rsid w:val="616C642D"/>
    <w:rsid w:val="616C6A15"/>
    <w:rsid w:val="617321F1"/>
    <w:rsid w:val="617807F9"/>
    <w:rsid w:val="6182292A"/>
    <w:rsid w:val="618D5C6B"/>
    <w:rsid w:val="619463EE"/>
    <w:rsid w:val="619F73CE"/>
    <w:rsid w:val="61A34F3F"/>
    <w:rsid w:val="61A44830"/>
    <w:rsid w:val="61A65EC3"/>
    <w:rsid w:val="61AC0D34"/>
    <w:rsid w:val="61AE32D0"/>
    <w:rsid w:val="61BD30B0"/>
    <w:rsid w:val="61C21438"/>
    <w:rsid w:val="61C715BB"/>
    <w:rsid w:val="61C763F8"/>
    <w:rsid w:val="61CC1CA7"/>
    <w:rsid w:val="61D00CCA"/>
    <w:rsid w:val="61D60AF3"/>
    <w:rsid w:val="61E70CA6"/>
    <w:rsid w:val="61F13DAB"/>
    <w:rsid w:val="620713E0"/>
    <w:rsid w:val="620A2E3F"/>
    <w:rsid w:val="620B0B0A"/>
    <w:rsid w:val="62103235"/>
    <w:rsid w:val="62103E4E"/>
    <w:rsid w:val="62104898"/>
    <w:rsid w:val="62124D72"/>
    <w:rsid w:val="621576B3"/>
    <w:rsid w:val="621C3AD2"/>
    <w:rsid w:val="62230D10"/>
    <w:rsid w:val="622C4862"/>
    <w:rsid w:val="62325AA7"/>
    <w:rsid w:val="62447C21"/>
    <w:rsid w:val="624A6A82"/>
    <w:rsid w:val="624D53FA"/>
    <w:rsid w:val="624E5C5E"/>
    <w:rsid w:val="62540537"/>
    <w:rsid w:val="625422E5"/>
    <w:rsid w:val="625C694F"/>
    <w:rsid w:val="626F4FF4"/>
    <w:rsid w:val="62717A0D"/>
    <w:rsid w:val="62726C0F"/>
    <w:rsid w:val="6278621C"/>
    <w:rsid w:val="627C139F"/>
    <w:rsid w:val="628027D8"/>
    <w:rsid w:val="6286111B"/>
    <w:rsid w:val="62865532"/>
    <w:rsid w:val="628D5053"/>
    <w:rsid w:val="62913539"/>
    <w:rsid w:val="629503F7"/>
    <w:rsid w:val="62986BDB"/>
    <w:rsid w:val="62993AFA"/>
    <w:rsid w:val="62A770CD"/>
    <w:rsid w:val="62AA7CF0"/>
    <w:rsid w:val="62AD033D"/>
    <w:rsid w:val="62B66F33"/>
    <w:rsid w:val="62B90845"/>
    <w:rsid w:val="62BC3A45"/>
    <w:rsid w:val="62BC5F0F"/>
    <w:rsid w:val="62BD568B"/>
    <w:rsid w:val="62CB2D83"/>
    <w:rsid w:val="62CE6C0D"/>
    <w:rsid w:val="62D25FC2"/>
    <w:rsid w:val="62D578C9"/>
    <w:rsid w:val="62DB5DE4"/>
    <w:rsid w:val="62F87F28"/>
    <w:rsid w:val="62FB75F9"/>
    <w:rsid w:val="63071A4D"/>
    <w:rsid w:val="6313401C"/>
    <w:rsid w:val="6314164B"/>
    <w:rsid w:val="63184EF5"/>
    <w:rsid w:val="632F5430"/>
    <w:rsid w:val="633527B2"/>
    <w:rsid w:val="633E1F15"/>
    <w:rsid w:val="63433826"/>
    <w:rsid w:val="63462575"/>
    <w:rsid w:val="634F1570"/>
    <w:rsid w:val="63527E74"/>
    <w:rsid w:val="635527B8"/>
    <w:rsid w:val="63575A1B"/>
    <w:rsid w:val="635E1E8C"/>
    <w:rsid w:val="63666773"/>
    <w:rsid w:val="63731393"/>
    <w:rsid w:val="63752139"/>
    <w:rsid w:val="63773F4D"/>
    <w:rsid w:val="63793840"/>
    <w:rsid w:val="637C2FF0"/>
    <w:rsid w:val="637C5E5C"/>
    <w:rsid w:val="637F7AEF"/>
    <w:rsid w:val="6390559E"/>
    <w:rsid w:val="63975899"/>
    <w:rsid w:val="63976673"/>
    <w:rsid w:val="63A1155A"/>
    <w:rsid w:val="63A21872"/>
    <w:rsid w:val="63A86202"/>
    <w:rsid w:val="63AD2894"/>
    <w:rsid w:val="63B02EC3"/>
    <w:rsid w:val="63B92975"/>
    <w:rsid w:val="63C56A50"/>
    <w:rsid w:val="63CD083E"/>
    <w:rsid w:val="63CD1590"/>
    <w:rsid w:val="63D865B3"/>
    <w:rsid w:val="63DE16B9"/>
    <w:rsid w:val="63EB60FE"/>
    <w:rsid w:val="63F723D3"/>
    <w:rsid w:val="640C3047"/>
    <w:rsid w:val="640D3093"/>
    <w:rsid w:val="64124205"/>
    <w:rsid w:val="64135FBD"/>
    <w:rsid w:val="6420238B"/>
    <w:rsid w:val="64294B00"/>
    <w:rsid w:val="643F0C05"/>
    <w:rsid w:val="64406F36"/>
    <w:rsid w:val="645E54FB"/>
    <w:rsid w:val="64640684"/>
    <w:rsid w:val="646421C0"/>
    <w:rsid w:val="64657FC6"/>
    <w:rsid w:val="646D6DF1"/>
    <w:rsid w:val="64706357"/>
    <w:rsid w:val="6471344A"/>
    <w:rsid w:val="64732946"/>
    <w:rsid w:val="647A627A"/>
    <w:rsid w:val="647E189B"/>
    <w:rsid w:val="6485624F"/>
    <w:rsid w:val="64904F1C"/>
    <w:rsid w:val="64996E9C"/>
    <w:rsid w:val="64A34EF5"/>
    <w:rsid w:val="64AC114E"/>
    <w:rsid w:val="64AC2938"/>
    <w:rsid w:val="64AD03D2"/>
    <w:rsid w:val="64B05712"/>
    <w:rsid w:val="64CE6B12"/>
    <w:rsid w:val="64D67929"/>
    <w:rsid w:val="64DF440C"/>
    <w:rsid w:val="64E55FD0"/>
    <w:rsid w:val="64EF4547"/>
    <w:rsid w:val="64F24194"/>
    <w:rsid w:val="64FB5522"/>
    <w:rsid w:val="650049A6"/>
    <w:rsid w:val="650236C7"/>
    <w:rsid w:val="65030F77"/>
    <w:rsid w:val="651775A6"/>
    <w:rsid w:val="651C4271"/>
    <w:rsid w:val="651F307E"/>
    <w:rsid w:val="65283E8B"/>
    <w:rsid w:val="652B409B"/>
    <w:rsid w:val="6532302B"/>
    <w:rsid w:val="653463FD"/>
    <w:rsid w:val="65393A14"/>
    <w:rsid w:val="654621C9"/>
    <w:rsid w:val="654650B5"/>
    <w:rsid w:val="654D5232"/>
    <w:rsid w:val="654E3963"/>
    <w:rsid w:val="6551730A"/>
    <w:rsid w:val="655E136F"/>
    <w:rsid w:val="6565436A"/>
    <w:rsid w:val="656868EF"/>
    <w:rsid w:val="656E232E"/>
    <w:rsid w:val="65855DD0"/>
    <w:rsid w:val="658640AB"/>
    <w:rsid w:val="658A7CC2"/>
    <w:rsid w:val="658D45E1"/>
    <w:rsid w:val="658E469B"/>
    <w:rsid w:val="659B647C"/>
    <w:rsid w:val="65A3303A"/>
    <w:rsid w:val="65AC5AE1"/>
    <w:rsid w:val="65AE5912"/>
    <w:rsid w:val="65B33329"/>
    <w:rsid w:val="65B869C4"/>
    <w:rsid w:val="65C36BAD"/>
    <w:rsid w:val="65C94CE9"/>
    <w:rsid w:val="65D21085"/>
    <w:rsid w:val="65D458E0"/>
    <w:rsid w:val="65DB5DE4"/>
    <w:rsid w:val="65DD1F9C"/>
    <w:rsid w:val="65E10333"/>
    <w:rsid w:val="65E76E3D"/>
    <w:rsid w:val="6602326A"/>
    <w:rsid w:val="660340CC"/>
    <w:rsid w:val="6605219B"/>
    <w:rsid w:val="660D7AD6"/>
    <w:rsid w:val="66195E4F"/>
    <w:rsid w:val="661B018A"/>
    <w:rsid w:val="662338A2"/>
    <w:rsid w:val="66236C6D"/>
    <w:rsid w:val="66264400"/>
    <w:rsid w:val="662B5A52"/>
    <w:rsid w:val="662E109F"/>
    <w:rsid w:val="663526E8"/>
    <w:rsid w:val="66544FA9"/>
    <w:rsid w:val="66647A8B"/>
    <w:rsid w:val="66656911"/>
    <w:rsid w:val="66672D13"/>
    <w:rsid w:val="66673F75"/>
    <w:rsid w:val="666A3289"/>
    <w:rsid w:val="666F67A7"/>
    <w:rsid w:val="6673503F"/>
    <w:rsid w:val="667E037E"/>
    <w:rsid w:val="6682389D"/>
    <w:rsid w:val="66832A82"/>
    <w:rsid w:val="66872FA0"/>
    <w:rsid w:val="668B5DA6"/>
    <w:rsid w:val="668F2A3A"/>
    <w:rsid w:val="66A6130F"/>
    <w:rsid w:val="66B0415E"/>
    <w:rsid w:val="66B147DE"/>
    <w:rsid w:val="66B3741A"/>
    <w:rsid w:val="66B915E4"/>
    <w:rsid w:val="66BC5441"/>
    <w:rsid w:val="66BE31BC"/>
    <w:rsid w:val="66C258A6"/>
    <w:rsid w:val="66C537B1"/>
    <w:rsid w:val="66CF713A"/>
    <w:rsid w:val="66D02156"/>
    <w:rsid w:val="66D7263B"/>
    <w:rsid w:val="66D74547"/>
    <w:rsid w:val="66DC2BCD"/>
    <w:rsid w:val="66F478CD"/>
    <w:rsid w:val="6700318D"/>
    <w:rsid w:val="67152400"/>
    <w:rsid w:val="67192A32"/>
    <w:rsid w:val="671D539B"/>
    <w:rsid w:val="673B33CB"/>
    <w:rsid w:val="673E5189"/>
    <w:rsid w:val="673E5311"/>
    <w:rsid w:val="675253A3"/>
    <w:rsid w:val="67695728"/>
    <w:rsid w:val="676F0EFD"/>
    <w:rsid w:val="67707058"/>
    <w:rsid w:val="67707E12"/>
    <w:rsid w:val="67757CFC"/>
    <w:rsid w:val="677737F4"/>
    <w:rsid w:val="67780C90"/>
    <w:rsid w:val="677A17D2"/>
    <w:rsid w:val="677B4FEC"/>
    <w:rsid w:val="67846AE7"/>
    <w:rsid w:val="67873B24"/>
    <w:rsid w:val="67880492"/>
    <w:rsid w:val="6791161F"/>
    <w:rsid w:val="67980BDA"/>
    <w:rsid w:val="67A42409"/>
    <w:rsid w:val="67A91325"/>
    <w:rsid w:val="67A940EF"/>
    <w:rsid w:val="67B13EAA"/>
    <w:rsid w:val="67C225DD"/>
    <w:rsid w:val="67C427E5"/>
    <w:rsid w:val="67E625AF"/>
    <w:rsid w:val="67F55254"/>
    <w:rsid w:val="67FA33A5"/>
    <w:rsid w:val="68002D30"/>
    <w:rsid w:val="680E73DA"/>
    <w:rsid w:val="681066D2"/>
    <w:rsid w:val="681C38A5"/>
    <w:rsid w:val="6828049B"/>
    <w:rsid w:val="683B7691"/>
    <w:rsid w:val="68401612"/>
    <w:rsid w:val="684036A9"/>
    <w:rsid w:val="6842701C"/>
    <w:rsid w:val="68642A54"/>
    <w:rsid w:val="6872190E"/>
    <w:rsid w:val="6873052F"/>
    <w:rsid w:val="687D1E6A"/>
    <w:rsid w:val="687F3E33"/>
    <w:rsid w:val="688651C2"/>
    <w:rsid w:val="68976F63"/>
    <w:rsid w:val="68994EF5"/>
    <w:rsid w:val="689E7EA2"/>
    <w:rsid w:val="68AC2A8E"/>
    <w:rsid w:val="68B62A8E"/>
    <w:rsid w:val="68BB30BE"/>
    <w:rsid w:val="68BC1224"/>
    <w:rsid w:val="68CF1ACF"/>
    <w:rsid w:val="68D32C99"/>
    <w:rsid w:val="68E07229"/>
    <w:rsid w:val="68E8661E"/>
    <w:rsid w:val="68E90050"/>
    <w:rsid w:val="68EF720B"/>
    <w:rsid w:val="69025933"/>
    <w:rsid w:val="690833DF"/>
    <w:rsid w:val="69084D05"/>
    <w:rsid w:val="690B5EA0"/>
    <w:rsid w:val="69186322"/>
    <w:rsid w:val="691B0EFE"/>
    <w:rsid w:val="691E1E82"/>
    <w:rsid w:val="69272501"/>
    <w:rsid w:val="692A1518"/>
    <w:rsid w:val="692A78CC"/>
    <w:rsid w:val="692C53C1"/>
    <w:rsid w:val="692D1AE1"/>
    <w:rsid w:val="69306332"/>
    <w:rsid w:val="69315D61"/>
    <w:rsid w:val="69327457"/>
    <w:rsid w:val="693F690B"/>
    <w:rsid w:val="693F6DD2"/>
    <w:rsid w:val="69405D20"/>
    <w:rsid w:val="6943759D"/>
    <w:rsid w:val="694450D8"/>
    <w:rsid w:val="69470DF5"/>
    <w:rsid w:val="69496146"/>
    <w:rsid w:val="69517515"/>
    <w:rsid w:val="69524E67"/>
    <w:rsid w:val="695775DF"/>
    <w:rsid w:val="695E1F48"/>
    <w:rsid w:val="69794B1B"/>
    <w:rsid w:val="698062B8"/>
    <w:rsid w:val="69863E30"/>
    <w:rsid w:val="698A0EAB"/>
    <w:rsid w:val="69926789"/>
    <w:rsid w:val="69A51218"/>
    <w:rsid w:val="69A77054"/>
    <w:rsid w:val="69A97868"/>
    <w:rsid w:val="69AA7859"/>
    <w:rsid w:val="69AC2A06"/>
    <w:rsid w:val="69B45BF9"/>
    <w:rsid w:val="69C532D5"/>
    <w:rsid w:val="69C56C16"/>
    <w:rsid w:val="69CA4735"/>
    <w:rsid w:val="69D41F5D"/>
    <w:rsid w:val="69D41F76"/>
    <w:rsid w:val="69E16584"/>
    <w:rsid w:val="69EB57C5"/>
    <w:rsid w:val="69EC619F"/>
    <w:rsid w:val="69F73BD6"/>
    <w:rsid w:val="69F76B60"/>
    <w:rsid w:val="69FB573C"/>
    <w:rsid w:val="69FD72F2"/>
    <w:rsid w:val="6A055C48"/>
    <w:rsid w:val="6A110A6B"/>
    <w:rsid w:val="6A2A3A8D"/>
    <w:rsid w:val="6A2D0490"/>
    <w:rsid w:val="6A3E3148"/>
    <w:rsid w:val="6A46671D"/>
    <w:rsid w:val="6A4F4F0C"/>
    <w:rsid w:val="6A501F0C"/>
    <w:rsid w:val="6A511EFA"/>
    <w:rsid w:val="6A58493C"/>
    <w:rsid w:val="6A5C108F"/>
    <w:rsid w:val="6A6126D0"/>
    <w:rsid w:val="6A6E4FC2"/>
    <w:rsid w:val="6A721453"/>
    <w:rsid w:val="6A75729C"/>
    <w:rsid w:val="6A8A23D9"/>
    <w:rsid w:val="6AA26E5F"/>
    <w:rsid w:val="6AA47B81"/>
    <w:rsid w:val="6AAC0744"/>
    <w:rsid w:val="6AB84999"/>
    <w:rsid w:val="6ABE08EB"/>
    <w:rsid w:val="6AC04037"/>
    <w:rsid w:val="6AC36B8F"/>
    <w:rsid w:val="6ACD7102"/>
    <w:rsid w:val="6ACE3228"/>
    <w:rsid w:val="6AD211B7"/>
    <w:rsid w:val="6AD53752"/>
    <w:rsid w:val="6AE174FA"/>
    <w:rsid w:val="6AE6019A"/>
    <w:rsid w:val="6AEE74D1"/>
    <w:rsid w:val="6AFC1413"/>
    <w:rsid w:val="6AFE414A"/>
    <w:rsid w:val="6B0D0390"/>
    <w:rsid w:val="6B1B05A6"/>
    <w:rsid w:val="6B1F4E4B"/>
    <w:rsid w:val="6B252A70"/>
    <w:rsid w:val="6B2B746D"/>
    <w:rsid w:val="6B364C7D"/>
    <w:rsid w:val="6B453A84"/>
    <w:rsid w:val="6B4E646B"/>
    <w:rsid w:val="6B6162D1"/>
    <w:rsid w:val="6B767770"/>
    <w:rsid w:val="6B80414A"/>
    <w:rsid w:val="6B80746E"/>
    <w:rsid w:val="6B833867"/>
    <w:rsid w:val="6B8407D3"/>
    <w:rsid w:val="6B873722"/>
    <w:rsid w:val="6B9062F3"/>
    <w:rsid w:val="6B911ED4"/>
    <w:rsid w:val="6BA40927"/>
    <w:rsid w:val="6BA77061"/>
    <w:rsid w:val="6BAA42A1"/>
    <w:rsid w:val="6BAF228A"/>
    <w:rsid w:val="6BAF4A30"/>
    <w:rsid w:val="6BB2713A"/>
    <w:rsid w:val="6BB67B6C"/>
    <w:rsid w:val="6BB90E1E"/>
    <w:rsid w:val="6BBA1281"/>
    <w:rsid w:val="6BC009EB"/>
    <w:rsid w:val="6BC90CE4"/>
    <w:rsid w:val="6BE97F42"/>
    <w:rsid w:val="6BEE71EA"/>
    <w:rsid w:val="6BF64EAE"/>
    <w:rsid w:val="6C007039"/>
    <w:rsid w:val="6C122B4B"/>
    <w:rsid w:val="6C200ABC"/>
    <w:rsid w:val="6C270A6A"/>
    <w:rsid w:val="6C2B2CE1"/>
    <w:rsid w:val="6C2E1D16"/>
    <w:rsid w:val="6C30791F"/>
    <w:rsid w:val="6C3F1435"/>
    <w:rsid w:val="6C442D1C"/>
    <w:rsid w:val="6C4D6722"/>
    <w:rsid w:val="6C4F77F2"/>
    <w:rsid w:val="6C564F9A"/>
    <w:rsid w:val="6C5C4853"/>
    <w:rsid w:val="6C60046D"/>
    <w:rsid w:val="6C6214DB"/>
    <w:rsid w:val="6C6A090B"/>
    <w:rsid w:val="6C7034F3"/>
    <w:rsid w:val="6C757A27"/>
    <w:rsid w:val="6C776701"/>
    <w:rsid w:val="6C847C6A"/>
    <w:rsid w:val="6C8667DD"/>
    <w:rsid w:val="6C8B0FF9"/>
    <w:rsid w:val="6CAD3358"/>
    <w:rsid w:val="6CB33BB9"/>
    <w:rsid w:val="6CB674EB"/>
    <w:rsid w:val="6CC012AF"/>
    <w:rsid w:val="6CC232FE"/>
    <w:rsid w:val="6CCA070A"/>
    <w:rsid w:val="6CD1197B"/>
    <w:rsid w:val="6CDB1509"/>
    <w:rsid w:val="6CE21E28"/>
    <w:rsid w:val="6CE26F5F"/>
    <w:rsid w:val="6CE57756"/>
    <w:rsid w:val="6CE931BD"/>
    <w:rsid w:val="6CEA563B"/>
    <w:rsid w:val="6CF724D3"/>
    <w:rsid w:val="6CFF5543"/>
    <w:rsid w:val="6D085BF6"/>
    <w:rsid w:val="6D184DC4"/>
    <w:rsid w:val="6D18512F"/>
    <w:rsid w:val="6D1E2C9E"/>
    <w:rsid w:val="6D2806CC"/>
    <w:rsid w:val="6D282CEC"/>
    <w:rsid w:val="6D310546"/>
    <w:rsid w:val="6D344AE0"/>
    <w:rsid w:val="6D3978A6"/>
    <w:rsid w:val="6D3E1B43"/>
    <w:rsid w:val="6D4B1F5D"/>
    <w:rsid w:val="6D4B2536"/>
    <w:rsid w:val="6D4F1951"/>
    <w:rsid w:val="6D511020"/>
    <w:rsid w:val="6D543AE1"/>
    <w:rsid w:val="6D593DB5"/>
    <w:rsid w:val="6D5B3369"/>
    <w:rsid w:val="6D601C70"/>
    <w:rsid w:val="6D632F47"/>
    <w:rsid w:val="6D6967FB"/>
    <w:rsid w:val="6D6A50B2"/>
    <w:rsid w:val="6D71647C"/>
    <w:rsid w:val="6D7E3BF6"/>
    <w:rsid w:val="6D843218"/>
    <w:rsid w:val="6D9369C9"/>
    <w:rsid w:val="6D9C140F"/>
    <w:rsid w:val="6DA21282"/>
    <w:rsid w:val="6DAE40D0"/>
    <w:rsid w:val="6DB44F9A"/>
    <w:rsid w:val="6DB46464"/>
    <w:rsid w:val="6DBD40E5"/>
    <w:rsid w:val="6DCD73EF"/>
    <w:rsid w:val="6DD20F3C"/>
    <w:rsid w:val="6DDF4E95"/>
    <w:rsid w:val="6E0278D7"/>
    <w:rsid w:val="6E062690"/>
    <w:rsid w:val="6E0E3640"/>
    <w:rsid w:val="6E116027"/>
    <w:rsid w:val="6E123F12"/>
    <w:rsid w:val="6E1E2CAF"/>
    <w:rsid w:val="6E20714F"/>
    <w:rsid w:val="6E2617B0"/>
    <w:rsid w:val="6E2F5DF4"/>
    <w:rsid w:val="6E3277EF"/>
    <w:rsid w:val="6E34121C"/>
    <w:rsid w:val="6E3556C0"/>
    <w:rsid w:val="6E357F20"/>
    <w:rsid w:val="6E3A0A2D"/>
    <w:rsid w:val="6E512D78"/>
    <w:rsid w:val="6E543DDB"/>
    <w:rsid w:val="6E546682"/>
    <w:rsid w:val="6E625766"/>
    <w:rsid w:val="6E671FF6"/>
    <w:rsid w:val="6E7B00D0"/>
    <w:rsid w:val="6E7E2EFE"/>
    <w:rsid w:val="6E8541BB"/>
    <w:rsid w:val="6E8E068A"/>
    <w:rsid w:val="6EA02607"/>
    <w:rsid w:val="6EA1250E"/>
    <w:rsid w:val="6EA34723"/>
    <w:rsid w:val="6EA64798"/>
    <w:rsid w:val="6EA75E92"/>
    <w:rsid w:val="6EB611AF"/>
    <w:rsid w:val="6EB8275D"/>
    <w:rsid w:val="6EB93D06"/>
    <w:rsid w:val="6ED00A3C"/>
    <w:rsid w:val="6ED317D6"/>
    <w:rsid w:val="6ED85A05"/>
    <w:rsid w:val="6EDF4578"/>
    <w:rsid w:val="6EE81783"/>
    <w:rsid w:val="6EED2B79"/>
    <w:rsid w:val="6EF530A1"/>
    <w:rsid w:val="6F010796"/>
    <w:rsid w:val="6F025CE0"/>
    <w:rsid w:val="6F060D2C"/>
    <w:rsid w:val="6F1E43A6"/>
    <w:rsid w:val="6F1E78D9"/>
    <w:rsid w:val="6F23376B"/>
    <w:rsid w:val="6F2667AC"/>
    <w:rsid w:val="6F2E65E5"/>
    <w:rsid w:val="6F3109DA"/>
    <w:rsid w:val="6F332B95"/>
    <w:rsid w:val="6F375468"/>
    <w:rsid w:val="6F3C5A94"/>
    <w:rsid w:val="6F4910F2"/>
    <w:rsid w:val="6F5E4DBF"/>
    <w:rsid w:val="6F5F19C8"/>
    <w:rsid w:val="6F64054A"/>
    <w:rsid w:val="6F683873"/>
    <w:rsid w:val="6F7246F2"/>
    <w:rsid w:val="6F72492C"/>
    <w:rsid w:val="6F7400F2"/>
    <w:rsid w:val="6F7943E6"/>
    <w:rsid w:val="6F814935"/>
    <w:rsid w:val="6F8821FF"/>
    <w:rsid w:val="6FA87765"/>
    <w:rsid w:val="6FAC390D"/>
    <w:rsid w:val="6FB10D76"/>
    <w:rsid w:val="6FB64781"/>
    <w:rsid w:val="6FB72105"/>
    <w:rsid w:val="6FBE44A1"/>
    <w:rsid w:val="6FC7059A"/>
    <w:rsid w:val="6FC722F1"/>
    <w:rsid w:val="6FC815C1"/>
    <w:rsid w:val="6FC85B74"/>
    <w:rsid w:val="6FC9237A"/>
    <w:rsid w:val="6FD14F5F"/>
    <w:rsid w:val="6FD15B87"/>
    <w:rsid w:val="6FD26F3F"/>
    <w:rsid w:val="6FD72657"/>
    <w:rsid w:val="6FDA1311"/>
    <w:rsid w:val="6FDB4E2B"/>
    <w:rsid w:val="6FDC0F91"/>
    <w:rsid w:val="6FEE7FB2"/>
    <w:rsid w:val="6FF02146"/>
    <w:rsid w:val="6FF179AF"/>
    <w:rsid w:val="6FF40FD7"/>
    <w:rsid w:val="6FFB7A7F"/>
    <w:rsid w:val="70065659"/>
    <w:rsid w:val="70074E3A"/>
    <w:rsid w:val="700E61C9"/>
    <w:rsid w:val="70173375"/>
    <w:rsid w:val="70186B41"/>
    <w:rsid w:val="701B5E49"/>
    <w:rsid w:val="7026309C"/>
    <w:rsid w:val="702A1E44"/>
    <w:rsid w:val="702D3946"/>
    <w:rsid w:val="70380052"/>
    <w:rsid w:val="70380103"/>
    <w:rsid w:val="70394621"/>
    <w:rsid w:val="703F1C24"/>
    <w:rsid w:val="703F3234"/>
    <w:rsid w:val="70437B92"/>
    <w:rsid w:val="70460641"/>
    <w:rsid w:val="704C5BD1"/>
    <w:rsid w:val="704F233D"/>
    <w:rsid w:val="70577FA3"/>
    <w:rsid w:val="70621B6F"/>
    <w:rsid w:val="706C2EEF"/>
    <w:rsid w:val="70702A64"/>
    <w:rsid w:val="70753299"/>
    <w:rsid w:val="7078370F"/>
    <w:rsid w:val="70804E40"/>
    <w:rsid w:val="70814FA2"/>
    <w:rsid w:val="70871AD7"/>
    <w:rsid w:val="70892B38"/>
    <w:rsid w:val="708D10B1"/>
    <w:rsid w:val="709226BE"/>
    <w:rsid w:val="70974410"/>
    <w:rsid w:val="709E1D62"/>
    <w:rsid w:val="70A16AF3"/>
    <w:rsid w:val="70A247FB"/>
    <w:rsid w:val="70AB3BE8"/>
    <w:rsid w:val="70BB3E83"/>
    <w:rsid w:val="70C46D11"/>
    <w:rsid w:val="70C84A9F"/>
    <w:rsid w:val="70CA14DA"/>
    <w:rsid w:val="70CB230C"/>
    <w:rsid w:val="70D56FC7"/>
    <w:rsid w:val="70DA5030"/>
    <w:rsid w:val="70E90A8F"/>
    <w:rsid w:val="70F5125D"/>
    <w:rsid w:val="711D243B"/>
    <w:rsid w:val="7120731A"/>
    <w:rsid w:val="71327A74"/>
    <w:rsid w:val="713F5623"/>
    <w:rsid w:val="714A1482"/>
    <w:rsid w:val="71611CD1"/>
    <w:rsid w:val="71886E39"/>
    <w:rsid w:val="718976AD"/>
    <w:rsid w:val="71997D14"/>
    <w:rsid w:val="719B56EF"/>
    <w:rsid w:val="719C7804"/>
    <w:rsid w:val="71A15312"/>
    <w:rsid w:val="71A55FFE"/>
    <w:rsid w:val="71B30B97"/>
    <w:rsid w:val="71C0420A"/>
    <w:rsid w:val="71C55136"/>
    <w:rsid w:val="71CE166E"/>
    <w:rsid w:val="71D376CA"/>
    <w:rsid w:val="71D62D16"/>
    <w:rsid w:val="71D65064"/>
    <w:rsid w:val="71D923DB"/>
    <w:rsid w:val="71DF154D"/>
    <w:rsid w:val="71E41366"/>
    <w:rsid w:val="71E56119"/>
    <w:rsid w:val="71E656E8"/>
    <w:rsid w:val="71E9409C"/>
    <w:rsid w:val="71EB1DB8"/>
    <w:rsid w:val="71FE401B"/>
    <w:rsid w:val="720563F5"/>
    <w:rsid w:val="720D7FAC"/>
    <w:rsid w:val="721D075B"/>
    <w:rsid w:val="721F7B94"/>
    <w:rsid w:val="722103D4"/>
    <w:rsid w:val="722211A2"/>
    <w:rsid w:val="7225308B"/>
    <w:rsid w:val="72266E1E"/>
    <w:rsid w:val="722C0832"/>
    <w:rsid w:val="722D1ECD"/>
    <w:rsid w:val="722E23A1"/>
    <w:rsid w:val="723F448C"/>
    <w:rsid w:val="723F4A5C"/>
    <w:rsid w:val="726227FC"/>
    <w:rsid w:val="7265409A"/>
    <w:rsid w:val="72693A7D"/>
    <w:rsid w:val="726C5429"/>
    <w:rsid w:val="726D22F7"/>
    <w:rsid w:val="72757CBD"/>
    <w:rsid w:val="7282407A"/>
    <w:rsid w:val="72854C5B"/>
    <w:rsid w:val="728625D7"/>
    <w:rsid w:val="728743F3"/>
    <w:rsid w:val="72951471"/>
    <w:rsid w:val="72966949"/>
    <w:rsid w:val="729B1351"/>
    <w:rsid w:val="729D1625"/>
    <w:rsid w:val="72A542A8"/>
    <w:rsid w:val="72AD63E3"/>
    <w:rsid w:val="72B510B9"/>
    <w:rsid w:val="72BA2583"/>
    <w:rsid w:val="72BA2638"/>
    <w:rsid w:val="72C734DC"/>
    <w:rsid w:val="72D8187A"/>
    <w:rsid w:val="72D85172"/>
    <w:rsid w:val="72DE1CBC"/>
    <w:rsid w:val="72E651DB"/>
    <w:rsid w:val="72E66F89"/>
    <w:rsid w:val="72EB0A43"/>
    <w:rsid w:val="72EC70D5"/>
    <w:rsid w:val="72F531AE"/>
    <w:rsid w:val="72FB07CB"/>
    <w:rsid w:val="73007CA1"/>
    <w:rsid w:val="73090EC9"/>
    <w:rsid w:val="730B2E93"/>
    <w:rsid w:val="73193542"/>
    <w:rsid w:val="731B5C5D"/>
    <w:rsid w:val="731C0818"/>
    <w:rsid w:val="731F693F"/>
    <w:rsid w:val="732C1C57"/>
    <w:rsid w:val="73353469"/>
    <w:rsid w:val="733B34D6"/>
    <w:rsid w:val="734B1A82"/>
    <w:rsid w:val="734B1B9C"/>
    <w:rsid w:val="734B3B0C"/>
    <w:rsid w:val="734E740F"/>
    <w:rsid w:val="735B5DE3"/>
    <w:rsid w:val="735C724B"/>
    <w:rsid w:val="737407F8"/>
    <w:rsid w:val="737722D7"/>
    <w:rsid w:val="73792A82"/>
    <w:rsid w:val="737C5C05"/>
    <w:rsid w:val="737F2C09"/>
    <w:rsid w:val="737F70B1"/>
    <w:rsid w:val="73807E8E"/>
    <w:rsid w:val="73866EC6"/>
    <w:rsid w:val="73941757"/>
    <w:rsid w:val="73981CB2"/>
    <w:rsid w:val="73994C80"/>
    <w:rsid w:val="739A0A38"/>
    <w:rsid w:val="73CB43D1"/>
    <w:rsid w:val="73CD7F8D"/>
    <w:rsid w:val="73D20082"/>
    <w:rsid w:val="73D80710"/>
    <w:rsid w:val="73D87A15"/>
    <w:rsid w:val="73E73998"/>
    <w:rsid w:val="73EC3978"/>
    <w:rsid w:val="73F2454A"/>
    <w:rsid w:val="740238DF"/>
    <w:rsid w:val="740D49E9"/>
    <w:rsid w:val="74143FCA"/>
    <w:rsid w:val="741915E0"/>
    <w:rsid w:val="741E31AE"/>
    <w:rsid w:val="7420536D"/>
    <w:rsid w:val="7423539C"/>
    <w:rsid w:val="74244C1C"/>
    <w:rsid w:val="7439758C"/>
    <w:rsid w:val="743B786C"/>
    <w:rsid w:val="744217CA"/>
    <w:rsid w:val="744620EA"/>
    <w:rsid w:val="744A2D86"/>
    <w:rsid w:val="745474C0"/>
    <w:rsid w:val="745A1EF0"/>
    <w:rsid w:val="745E1854"/>
    <w:rsid w:val="745F3497"/>
    <w:rsid w:val="74686B9E"/>
    <w:rsid w:val="746E74A8"/>
    <w:rsid w:val="747D56C7"/>
    <w:rsid w:val="74800277"/>
    <w:rsid w:val="7482539B"/>
    <w:rsid w:val="748C3843"/>
    <w:rsid w:val="749502B9"/>
    <w:rsid w:val="74A71E6F"/>
    <w:rsid w:val="74AA5A49"/>
    <w:rsid w:val="74AB3F95"/>
    <w:rsid w:val="74B3656E"/>
    <w:rsid w:val="74B74192"/>
    <w:rsid w:val="74B843E7"/>
    <w:rsid w:val="74BF5390"/>
    <w:rsid w:val="74C552BF"/>
    <w:rsid w:val="74CC347F"/>
    <w:rsid w:val="74D30A66"/>
    <w:rsid w:val="74DA2B1D"/>
    <w:rsid w:val="74E372D5"/>
    <w:rsid w:val="74EB6AD9"/>
    <w:rsid w:val="74F1471D"/>
    <w:rsid w:val="74F750D9"/>
    <w:rsid w:val="74FE0089"/>
    <w:rsid w:val="75037221"/>
    <w:rsid w:val="750443A0"/>
    <w:rsid w:val="751122B7"/>
    <w:rsid w:val="751379B1"/>
    <w:rsid w:val="752E2E69"/>
    <w:rsid w:val="75324707"/>
    <w:rsid w:val="753819D1"/>
    <w:rsid w:val="754537ED"/>
    <w:rsid w:val="755C23E6"/>
    <w:rsid w:val="756158FE"/>
    <w:rsid w:val="756225A2"/>
    <w:rsid w:val="756C2951"/>
    <w:rsid w:val="75701CEC"/>
    <w:rsid w:val="7572283C"/>
    <w:rsid w:val="75742F72"/>
    <w:rsid w:val="757A1C0A"/>
    <w:rsid w:val="758A1F9C"/>
    <w:rsid w:val="758B11E8"/>
    <w:rsid w:val="758C3253"/>
    <w:rsid w:val="75970A0E"/>
    <w:rsid w:val="75A61EDE"/>
    <w:rsid w:val="75B639F4"/>
    <w:rsid w:val="75D67789"/>
    <w:rsid w:val="75D73A7B"/>
    <w:rsid w:val="75FC6AC3"/>
    <w:rsid w:val="75FD3DC3"/>
    <w:rsid w:val="76010C56"/>
    <w:rsid w:val="7605562E"/>
    <w:rsid w:val="76101441"/>
    <w:rsid w:val="761958C7"/>
    <w:rsid w:val="761C5254"/>
    <w:rsid w:val="76271701"/>
    <w:rsid w:val="7630040E"/>
    <w:rsid w:val="76382129"/>
    <w:rsid w:val="763952B0"/>
    <w:rsid w:val="763D4224"/>
    <w:rsid w:val="7641097A"/>
    <w:rsid w:val="7645046A"/>
    <w:rsid w:val="76475B8C"/>
    <w:rsid w:val="76531A15"/>
    <w:rsid w:val="765661D4"/>
    <w:rsid w:val="765B1A3C"/>
    <w:rsid w:val="76622145"/>
    <w:rsid w:val="76627381"/>
    <w:rsid w:val="76724FD8"/>
    <w:rsid w:val="767C06C4"/>
    <w:rsid w:val="76864343"/>
    <w:rsid w:val="768E6AE1"/>
    <w:rsid w:val="76944F4E"/>
    <w:rsid w:val="769A6A08"/>
    <w:rsid w:val="769F003F"/>
    <w:rsid w:val="76A038F3"/>
    <w:rsid w:val="76A30480"/>
    <w:rsid w:val="76BC5514"/>
    <w:rsid w:val="76C3238E"/>
    <w:rsid w:val="76CA658E"/>
    <w:rsid w:val="76CD34C8"/>
    <w:rsid w:val="76CE55D9"/>
    <w:rsid w:val="76D0242A"/>
    <w:rsid w:val="76D3491B"/>
    <w:rsid w:val="76F30966"/>
    <w:rsid w:val="76FF2D0F"/>
    <w:rsid w:val="7707393B"/>
    <w:rsid w:val="77084DE0"/>
    <w:rsid w:val="77163BB5"/>
    <w:rsid w:val="77204A34"/>
    <w:rsid w:val="772E3E17"/>
    <w:rsid w:val="772F4F14"/>
    <w:rsid w:val="77366005"/>
    <w:rsid w:val="773853D5"/>
    <w:rsid w:val="774C428A"/>
    <w:rsid w:val="775C4D16"/>
    <w:rsid w:val="775F47FF"/>
    <w:rsid w:val="776932F7"/>
    <w:rsid w:val="776A376D"/>
    <w:rsid w:val="7776200D"/>
    <w:rsid w:val="7779636D"/>
    <w:rsid w:val="77856D78"/>
    <w:rsid w:val="77866F8C"/>
    <w:rsid w:val="77894E9D"/>
    <w:rsid w:val="778A542A"/>
    <w:rsid w:val="778C092D"/>
    <w:rsid w:val="778D178F"/>
    <w:rsid w:val="778F27D1"/>
    <w:rsid w:val="77921842"/>
    <w:rsid w:val="779632CD"/>
    <w:rsid w:val="779D717A"/>
    <w:rsid w:val="779F578D"/>
    <w:rsid w:val="77A363DC"/>
    <w:rsid w:val="77A6448D"/>
    <w:rsid w:val="77BE4566"/>
    <w:rsid w:val="77BF226A"/>
    <w:rsid w:val="77C35AEB"/>
    <w:rsid w:val="77CB6225"/>
    <w:rsid w:val="77CE623E"/>
    <w:rsid w:val="77D62D81"/>
    <w:rsid w:val="77D965E5"/>
    <w:rsid w:val="77DD7433"/>
    <w:rsid w:val="77E43BD5"/>
    <w:rsid w:val="77E616E5"/>
    <w:rsid w:val="77E65B72"/>
    <w:rsid w:val="77F503B0"/>
    <w:rsid w:val="77F56221"/>
    <w:rsid w:val="77FC2429"/>
    <w:rsid w:val="77FE2759"/>
    <w:rsid w:val="78022363"/>
    <w:rsid w:val="78030628"/>
    <w:rsid w:val="780B4D75"/>
    <w:rsid w:val="7811406E"/>
    <w:rsid w:val="781B0C79"/>
    <w:rsid w:val="78287E4A"/>
    <w:rsid w:val="783365AA"/>
    <w:rsid w:val="78376DB4"/>
    <w:rsid w:val="783C6553"/>
    <w:rsid w:val="784D7AAA"/>
    <w:rsid w:val="785173F2"/>
    <w:rsid w:val="785206F6"/>
    <w:rsid w:val="785827DF"/>
    <w:rsid w:val="78601134"/>
    <w:rsid w:val="78686CA8"/>
    <w:rsid w:val="786E5D1C"/>
    <w:rsid w:val="786E6255"/>
    <w:rsid w:val="787A7F8E"/>
    <w:rsid w:val="788809AD"/>
    <w:rsid w:val="788A2AAC"/>
    <w:rsid w:val="788B28A3"/>
    <w:rsid w:val="788B412F"/>
    <w:rsid w:val="789E20B4"/>
    <w:rsid w:val="78A10475"/>
    <w:rsid w:val="78A56EEA"/>
    <w:rsid w:val="78BD6AB6"/>
    <w:rsid w:val="78C22CE8"/>
    <w:rsid w:val="78C23265"/>
    <w:rsid w:val="78DB6C4C"/>
    <w:rsid w:val="78E57161"/>
    <w:rsid w:val="78EE2AED"/>
    <w:rsid w:val="78EE5405"/>
    <w:rsid w:val="78EF16F3"/>
    <w:rsid w:val="78F2178F"/>
    <w:rsid w:val="78F46178"/>
    <w:rsid w:val="79030169"/>
    <w:rsid w:val="7905084A"/>
    <w:rsid w:val="79054B3F"/>
    <w:rsid w:val="790B20A3"/>
    <w:rsid w:val="790C526F"/>
    <w:rsid w:val="791B1DCC"/>
    <w:rsid w:val="79200D1B"/>
    <w:rsid w:val="79283B12"/>
    <w:rsid w:val="792A12A3"/>
    <w:rsid w:val="79314BFD"/>
    <w:rsid w:val="793331D2"/>
    <w:rsid w:val="793A1DDD"/>
    <w:rsid w:val="793E46BF"/>
    <w:rsid w:val="793F6293"/>
    <w:rsid w:val="7954379C"/>
    <w:rsid w:val="7956298E"/>
    <w:rsid w:val="79570D3D"/>
    <w:rsid w:val="795F1843"/>
    <w:rsid w:val="79621AEF"/>
    <w:rsid w:val="7962529D"/>
    <w:rsid w:val="7968243D"/>
    <w:rsid w:val="796E583F"/>
    <w:rsid w:val="797B7403"/>
    <w:rsid w:val="797C7883"/>
    <w:rsid w:val="798832C4"/>
    <w:rsid w:val="79997202"/>
    <w:rsid w:val="799A0330"/>
    <w:rsid w:val="799A7F88"/>
    <w:rsid w:val="79AC45AE"/>
    <w:rsid w:val="79B50757"/>
    <w:rsid w:val="79B6781E"/>
    <w:rsid w:val="79BB1C13"/>
    <w:rsid w:val="79C27504"/>
    <w:rsid w:val="79CB2992"/>
    <w:rsid w:val="79D12015"/>
    <w:rsid w:val="79D37799"/>
    <w:rsid w:val="79E20872"/>
    <w:rsid w:val="79E53808"/>
    <w:rsid w:val="79E82948"/>
    <w:rsid w:val="79E867D1"/>
    <w:rsid w:val="79F010BC"/>
    <w:rsid w:val="79F53F55"/>
    <w:rsid w:val="79F60F20"/>
    <w:rsid w:val="79FF5A0B"/>
    <w:rsid w:val="7A021059"/>
    <w:rsid w:val="7A054DFA"/>
    <w:rsid w:val="7A083387"/>
    <w:rsid w:val="7A0E5017"/>
    <w:rsid w:val="7A0E6783"/>
    <w:rsid w:val="7A141937"/>
    <w:rsid w:val="7A19518C"/>
    <w:rsid w:val="7A306E77"/>
    <w:rsid w:val="7A373D8F"/>
    <w:rsid w:val="7A3C564B"/>
    <w:rsid w:val="7A412120"/>
    <w:rsid w:val="7A450D97"/>
    <w:rsid w:val="7A5A0700"/>
    <w:rsid w:val="7A5A179A"/>
    <w:rsid w:val="7A6A3165"/>
    <w:rsid w:val="7A6F1DB1"/>
    <w:rsid w:val="7A712187"/>
    <w:rsid w:val="7A726172"/>
    <w:rsid w:val="7A752C31"/>
    <w:rsid w:val="7A7E03FB"/>
    <w:rsid w:val="7A8158F9"/>
    <w:rsid w:val="7A851910"/>
    <w:rsid w:val="7A8F2AF3"/>
    <w:rsid w:val="7A903B8C"/>
    <w:rsid w:val="7A95542D"/>
    <w:rsid w:val="7A956067"/>
    <w:rsid w:val="7A9E7619"/>
    <w:rsid w:val="7AA23522"/>
    <w:rsid w:val="7AA87C98"/>
    <w:rsid w:val="7AAE2997"/>
    <w:rsid w:val="7AD453B2"/>
    <w:rsid w:val="7AD51D81"/>
    <w:rsid w:val="7AD61FD9"/>
    <w:rsid w:val="7ADA1499"/>
    <w:rsid w:val="7ADD36DB"/>
    <w:rsid w:val="7AE12261"/>
    <w:rsid w:val="7AE244DA"/>
    <w:rsid w:val="7AEA7832"/>
    <w:rsid w:val="7AF4420D"/>
    <w:rsid w:val="7AF96877"/>
    <w:rsid w:val="7B0556E1"/>
    <w:rsid w:val="7B05641A"/>
    <w:rsid w:val="7B187EFC"/>
    <w:rsid w:val="7B255EE6"/>
    <w:rsid w:val="7B2A35F3"/>
    <w:rsid w:val="7B2D68A5"/>
    <w:rsid w:val="7B337EB1"/>
    <w:rsid w:val="7B356172"/>
    <w:rsid w:val="7B407452"/>
    <w:rsid w:val="7B4E1CB8"/>
    <w:rsid w:val="7B5829EE"/>
    <w:rsid w:val="7B5C00D2"/>
    <w:rsid w:val="7B610064"/>
    <w:rsid w:val="7B671EB8"/>
    <w:rsid w:val="7B78358A"/>
    <w:rsid w:val="7B7F7F7B"/>
    <w:rsid w:val="7B964A0D"/>
    <w:rsid w:val="7BA41809"/>
    <w:rsid w:val="7BB75966"/>
    <w:rsid w:val="7BCD2F2C"/>
    <w:rsid w:val="7BCF2427"/>
    <w:rsid w:val="7BD441CC"/>
    <w:rsid w:val="7BEA7C3C"/>
    <w:rsid w:val="7BF579FF"/>
    <w:rsid w:val="7BFA6EF3"/>
    <w:rsid w:val="7BFC781D"/>
    <w:rsid w:val="7C021760"/>
    <w:rsid w:val="7C061CDD"/>
    <w:rsid w:val="7C0641F8"/>
    <w:rsid w:val="7C0A51AA"/>
    <w:rsid w:val="7C307D70"/>
    <w:rsid w:val="7C366536"/>
    <w:rsid w:val="7C371C16"/>
    <w:rsid w:val="7C3E416F"/>
    <w:rsid w:val="7C45606D"/>
    <w:rsid w:val="7C4A1CB8"/>
    <w:rsid w:val="7C4C752A"/>
    <w:rsid w:val="7C50137B"/>
    <w:rsid w:val="7C5E3AB1"/>
    <w:rsid w:val="7C63164A"/>
    <w:rsid w:val="7C633CFD"/>
    <w:rsid w:val="7C651214"/>
    <w:rsid w:val="7C654C4A"/>
    <w:rsid w:val="7C694787"/>
    <w:rsid w:val="7C6D4277"/>
    <w:rsid w:val="7C776EA4"/>
    <w:rsid w:val="7C7970C0"/>
    <w:rsid w:val="7C7F45F0"/>
    <w:rsid w:val="7C8141C6"/>
    <w:rsid w:val="7C8211F2"/>
    <w:rsid w:val="7C98060C"/>
    <w:rsid w:val="7CA0464C"/>
    <w:rsid w:val="7CB55428"/>
    <w:rsid w:val="7CB6675C"/>
    <w:rsid w:val="7CB83F86"/>
    <w:rsid w:val="7CC34E09"/>
    <w:rsid w:val="7CC5373C"/>
    <w:rsid w:val="7CCC0DC9"/>
    <w:rsid w:val="7CD05010"/>
    <w:rsid w:val="7CD6006E"/>
    <w:rsid w:val="7CDB2B2C"/>
    <w:rsid w:val="7CE77205"/>
    <w:rsid w:val="7CEF4A11"/>
    <w:rsid w:val="7CF33FAE"/>
    <w:rsid w:val="7CF73485"/>
    <w:rsid w:val="7CF8312F"/>
    <w:rsid w:val="7CFB1DA1"/>
    <w:rsid w:val="7CFD109F"/>
    <w:rsid w:val="7D000522"/>
    <w:rsid w:val="7D0246F4"/>
    <w:rsid w:val="7D040A2A"/>
    <w:rsid w:val="7D1D1F93"/>
    <w:rsid w:val="7D2140DE"/>
    <w:rsid w:val="7D2221D8"/>
    <w:rsid w:val="7D2D3DED"/>
    <w:rsid w:val="7D2F59D0"/>
    <w:rsid w:val="7D3912CB"/>
    <w:rsid w:val="7D3B0266"/>
    <w:rsid w:val="7D3B0761"/>
    <w:rsid w:val="7D40198C"/>
    <w:rsid w:val="7D496A92"/>
    <w:rsid w:val="7D5316BF"/>
    <w:rsid w:val="7D55172E"/>
    <w:rsid w:val="7D594629"/>
    <w:rsid w:val="7D601AD6"/>
    <w:rsid w:val="7D60202E"/>
    <w:rsid w:val="7D676FBC"/>
    <w:rsid w:val="7D6B1552"/>
    <w:rsid w:val="7D6B38D1"/>
    <w:rsid w:val="7D7161A1"/>
    <w:rsid w:val="7D72364A"/>
    <w:rsid w:val="7D737B08"/>
    <w:rsid w:val="7D8476ED"/>
    <w:rsid w:val="7D8C697F"/>
    <w:rsid w:val="7D8E7309"/>
    <w:rsid w:val="7D9225A0"/>
    <w:rsid w:val="7D9F061D"/>
    <w:rsid w:val="7DA0666E"/>
    <w:rsid w:val="7DAE414F"/>
    <w:rsid w:val="7DB772EF"/>
    <w:rsid w:val="7DC00CE3"/>
    <w:rsid w:val="7DC070E5"/>
    <w:rsid w:val="7DC51E91"/>
    <w:rsid w:val="7DCE7AD4"/>
    <w:rsid w:val="7DD554FF"/>
    <w:rsid w:val="7DD60F5F"/>
    <w:rsid w:val="7DD91CD1"/>
    <w:rsid w:val="7DD93F05"/>
    <w:rsid w:val="7DE15CAB"/>
    <w:rsid w:val="7DE7259B"/>
    <w:rsid w:val="7DF0549B"/>
    <w:rsid w:val="7E1D1CCD"/>
    <w:rsid w:val="7E1E0447"/>
    <w:rsid w:val="7E247C35"/>
    <w:rsid w:val="7E2E5C88"/>
    <w:rsid w:val="7E2F0DA2"/>
    <w:rsid w:val="7E33111C"/>
    <w:rsid w:val="7E3A732C"/>
    <w:rsid w:val="7E3E41FE"/>
    <w:rsid w:val="7E45427D"/>
    <w:rsid w:val="7E490683"/>
    <w:rsid w:val="7E4D3181"/>
    <w:rsid w:val="7E543B89"/>
    <w:rsid w:val="7E607661"/>
    <w:rsid w:val="7E6A1C38"/>
    <w:rsid w:val="7E6D2359"/>
    <w:rsid w:val="7E6E7389"/>
    <w:rsid w:val="7E745D91"/>
    <w:rsid w:val="7E787B0C"/>
    <w:rsid w:val="7E7F7F16"/>
    <w:rsid w:val="7E903634"/>
    <w:rsid w:val="7E90631A"/>
    <w:rsid w:val="7E970E40"/>
    <w:rsid w:val="7E977B22"/>
    <w:rsid w:val="7E991353"/>
    <w:rsid w:val="7E9D74C6"/>
    <w:rsid w:val="7EA75857"/>
    <w:rsid w:val="7EA90D5A"/>
    <w:rsid w:val="7EAB3AD9"/>
    <w:rsid w:val="7EB023E4"/>
    <w:rsid w:val="7EB02B41"/>
    <w:rsid w:val="7EB625EF"/>
    <w:rsid w:val="7EB75C7D"/>
    <w:rsid w:val="7EC01C08"/>
    <w:rsid w:val="7ECB0608"/>
    <w:rsid w:val="7ECB789A"/>
    <w:rsid w:val="7ED75CC7"/>
    <w:rsid w:val="7ED8156D"/>
    <w:rsid w:val="7EE12CFA"/>
    <w:rsid w:val="7EE22BE3"/>
    <w:rsid w:val="7EEC7B19"/>
    <w:rsid w:val="7EF82FA4"/>
    <w:rsid w:val="7EFE2BAF"/>
    <w:rsid w:val="7F0709B3"/>
    <w:rsid w:val="7F0B11C0"/>
    <w:rsid w:val="7F1164B6"/>
    <w:rsid w:val="7F1508A3"/>
    <w:rsid w:val="7F156257"/>
    <w:rsid w:val="7F160BF6"/>
    <w:rsid w:val="7F197CD0"/>
    <w:rsid w:val="7F1D57C2"/>
    <w:rsid w:val="7F2C666B"/>
    <w:rsid w:val="7F4649BB"/>
    <w:rsid w:val="7F564EA4"/>
    <w:rsid w:val="7F58717F"/>
    <w:rsid w:val="7F5F6358"/>
    <w:rsid w:val="7F6000C3"/>
    <w:rsid w:val="7F637BB3"/>
    <w:rsid w:val="7F6852F2"/>
    <w:rsid w:val="7F6E55E7"/>
    <w:rsid w:val="7F791185"/>
    <w:rsid w:val="7F793660"/>
    <w:rsid w:val="7F79563E"/>
    <w:rsid w:val="7F8244DD"/>
    <w:rsid w:val="7F8F7D53"/>
    <w:rsid w:val="7F940A7E"/>
    <w:rsid w:val="7F9A06C8"/>
    <w:rsid w:val="7F9D4240"/>
    <w:rsid w:val="7F9D4E73"/>
    <w:rsid w:val="7FA347F6"/>
    <w:rsid w:val="7FA823CB"/>
    <w:rsid w:val="7FAE1BD0"/>
    <w:rsid w:val="7FB96DF8"/>
    <w:rsid w:val="7FC25F63"/>
    <w:rsid w:val="7FC527AC"/>
    <w:rsid w:val="7FC543B2"/>
    <w:rsid w:val="7FCD4C86"/>
    <w:rsid w:val="7FCE7ECF"/>
    <w:rsid w:val="7FD21AC2"/>
    <w:rsid w:val="7FD26E67"/>
    <w:rsid w:val="7FD33E5B"/>
    <w:rsid w:val="7FDB57D8"/>
    <w:rsid w:val="7FDD2C43"/>
    <w:rsid w:val="7FE72592"/>
    <w:rsid w:val="7FE74B3D"/>
    <w:rsid w:val="7FEA7B12"/>
    <w:rsid w:val="7FEC53FB"/>
    <w:rsid w:val="7FED520E"/>
    <w:rsid w:val="7FEE3921"/>
    <w:rsid w:val="7FF16AF3"/>
    <w:rsid w:val="7FF41316"/>
    <w:rsid w:val="7FF440B5"/>
    <w:rsid w:val="7FF74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qFormat/>
    <w:uiPriority w:val="0"/>
    <w:pPr>
      <w:tabs>
        <w:tab w:val="left" w:pos="420"/>
      </w:tabs>
      <w:jc w:val="center"/>
      <w:outlineLvl w:val="0"/>
    </w:pPr>
    <w:rPr>
      <w:rFonts w:ascii="仿宋_GB2312" w:eastAsia="仿宋_GB2312"/>
      <w:sz w:val="28"/>
    </w:rPr>
  </w:style>
  <w:style w:type="paragraph" w:styleId="3">
    <w:name w:val="heading 2"/>
    <w:basedOn w:val="1"/>
    <w:next w:val="1"/>
    <w:qFormat/>
    <w:uiPriority w:val="0"/>
    <w:pPr>
      <w:keepNext/>
      <w:tabs>
        <w:tab w:val="left" w:pos="420"/>
      </w:tabs>
      <w:spacing w:line="360" w:lineRule="auto"/>
      <w:ind w:left="330" w:hanging="330"/>
      <w:outlineLvl w:val="1"/>
    </w:pPr>
    <w:rPr>
      <w:b/>
      <w:sz w:val="24"/>
      <w:szCs w:val="24"/>
    </w:rPr>
  </w:style>
  <w:style w:type="paragraph" w:styleId="4">
    <w:name w:val="heading 3"/>
    <w:basedOn w:val="1"/>
    <w:next w:val="1"/>
    <w:qFormat/>
    <w:uiPriority w:val="0"/>
    <w:pPr>
      <w:keepNext/>
      <w:tabs>
        <w:tab w:val="left" w:pos="468"/>
      </w:tabs>
      <w:ind w:left="468" w:hanging="468"/>
      <w:outlineLvl w:val="2"/>
    </w:pPr>
    <w:rPr>
      <w:b/>
      <w:bCs/>
      <w:sz w:val="28"/>
      <w:szCs w:val="24"/>
    </w:rPr>
  </w:style>
  <w:style w:type="paragraph" w:styleId="5">
    <w:name w:val="heading 4"/>
    <w:basedOn w:val="1"/>
    <w:next w:val="1"/>
    <w:qFormat/>
    <w:uiPriority w:val="0"/>
    <w:pPr>
      <w:keepNext/>
      <w:tabs>
        <w:tab w:val="left" w:pos="435"/>
      </w:tabs>
      <w:ind w:left="435" w:hanging="435"/>
      <w:outlineLvl w:val="3"/>
    </w:pPr>
    <w:rPr>
      <w:b/>
      <w:color w:val="000000"/>
      <w:sz w:val="28"/>
      <w:szCs w:val="24"/>
      <w:u w:val="single"/>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qFormat/>
    <w:uiPriority w:val="0"/>
    <w:pPr>
      <w:keepNext/>
      <w:tabs>
        <w:tab w:val="left" w:pos="900"/>
      </w:tabs>
      <w:ind w:left="900" w:hanging="300"/>
      <w:outlineLvl w:val="6"/>
    </w:pPr>
    <w:rPr>
      <w:rFonts w:ascii="宋体" w:hAnsi="宋体"/>
      <w:b/>
      <w:sz w:val="28"/>
      <w:szCs w:val="24"/>
    </w:rPr>
  </w:style>
  <w:style w:type="paragraph" w:styleId="9">
    <w:name w:val="heading 8"/>
    <w:basedOn w:val="1"/>
    <w:next w:val="1"/>
    <w:qFormat/>
    <w:uiPriority w:val="0"/>
    <w:pPr>
      <w:keepNext/>
      <w:widowControl/>
      <w:tabs>
        <w:tab w:val="left" w:pos="1260"/>
        <w:tab w:val="left" w:pos="1995"/>
        <w:tab w:val="left" w:pos="2520"/>
        <w:tab w:val="left" w:pos="2730"/>
      </w:tabs>
      <w:spacing w:before="100" w:after="100" w:line="400" w:lineRule="exact"/>
      <w:ind w:left="600" w:hanging="600"/>
      <w:jc w:val="left"/>
      <w:outlineLvl w:val="7"/>
    </w:pPr>
    <w:rPr>
      <w:b/>
      <w:sz w:val="28"/>
      <w:szCs w:val="24"/>
      <w:u w:val="single"/>
    </w:rPr>
  </w:style>
  <w:style w:type="character" w:default="1" w:styleId="38">
    <w:name w:val="Default Paragraph Font"/>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link w:val="47"/>
    <w:qFormat/>
    <w:uiPriority w:val="0"/>
    <w:pPr>
      <w:ind w:firstLine="420"/>
    </w:pPr>
  </w:style>
  <w:style w:type="paragraph" w:styleId="11">
    <w:name w:val="caption"/>
    <w:next w:val="1"/>
    <w:qFormat/>
    <w:uiPriority w:val="0"/>
    <w:pPr>
      <w:widowControl w:val="0"/>
      <w:spacing w:before="152" w:after="160"/>
      <w:jc w:val="center"/>
    </w:pPr>
    <w:rPr>
      <w:rFonts w:ascii="Arial" w:hAnsi="Arial" w:eastAsia="黑体" w:cs="Arial"/>
      <w:kern w:val="2"/>
      <w:sz w:val="18"/>
      <w:szCs w:val="18"/>
      <w:lang w:val="en-US" w:eastAsia="zh-CN" w:bidi="ar-SA"/>
    </w:rPr>
  </w:style>
  <w:style w:type="paragraph" w:styleId="12">
    <w:name w:val="Document Map"/>
    <w:basedOn w:val="1"/>
    <w:semiHidden/>
    <w:qFormat/>
    <w:uiPriority w:val="0"/>
    <w:pPr>
      <w:shd w:val="clear" w:color="auto" w:fill="000080"/>
    </w:pPr>
  </w:style>
  <w:style w:type="paragraph" w:styleId="13">
    <w:name w:val="toa heading"/>
    <w:basedOn w:val="1"/>
    <w:next w:val="1"/>
    <w:qFormat/>
    <w:uiPriority w:val="0"/>
    <w:pPr>
      <w:spacing w:before="120"/>
    </w:pPr>
    <w:rPr>
      <w:rFonts w:ascii="Arial" w:hAnsi="Arial" w:eastAsia="仿宋"/>
      <w:sz w:val="24"/>
    </w:rPr>
  </w:style>
  <w:style w:type="paragraph" w:styleId="14">
    <w:name w:val="annotation text"/>
    <w:basedOn w:val="1"/>
    <w:semiHidden/>
    <w:qFormat/>
    <w:uiPriority w:val="0"/>
    <w:pPr>
      <w:jc w:val="left"/>
    </w:pPr>
  </w:style>
  <w:style w:type="paragraph" w:styleId="15">
    <w:name w:val="index 6"/>
    <w:basedOn w:val="1"/>
    <w:next w:val="1"/>
    <w:qFormat/>
    <w:uiPriority w:val="99"/>
    <w:pPr>
      <w:ind w:left="2100"/>
    </w:pPr>
  </w:style>
  <w:style w:type="paragraph" w:styleId="16">
    <w:name w:val="Body Text 3"/>
    <w:basedOn w:val="1"/>
    <w:next w:val="1"/>
    <w:qFormat/>
    <w:uiPriority w:val="0"/>
    <w:pPr>
      <w:spacing w:after="120"/>
    </w:pPr>
    <w:rPr>
      <w:sz w:val="16"/>
      <w:szCs w:val="16"/>
    </w:rPr>
  </w:style>
  <w:style w:type="paragraph" w:styleId="17">
    <w:name w:val="Body Text"/>
    <w:basedOn w:val="1"/>
    <w:next w:val="1"/>
    <w:qFormat/>
    <w:uiPriority w:val="0"/>
    <w:pPr>
      <w:spacing w:after="120"/>
    </w:pPr>
  </w:style>
  <w:style w:type="paragraph" w:styleId="18">
    <w:name w:val="Body Text Indent"/>
    <w:basedOn w:val="1"/>
    <w:next w:val="19"/>
    <w:qFormat/>
    <w:uiPriority w:val="0"/>
    <w:pPr>
      <w:spacing w:line="800" w:lineRule="exact"/>
      <w:ind w:left="315" w:leftChars="150" w:firstLine="664" w:firstLineChars="237"/>
    </w:pPr>
    <w:rPr>
      <w:rFonts w:ascii="仿宋_GB2312" w:eastAsia="仿宋_GB2312"/>
      <w:sz w:val="28"/>
    </w:rPr>
  </w:style>
  <w:style w:type="paragraph" w:customStyle="1" w:styleId="19">
    <w:name w:val="Default"/>
    <w:next w:val="20"/>
    <w:qFormat/>
    <w:uiPriority w:val="0"/>
    <w:pPr>
      <w:widowControl w:val="0"/>
      <w:autoSpaceDE w:val="0"/>
      <w:autoSpaceDN w:val="0"/>
      <w:adjustRightInd w:val="0"/>
    </w:pPr>
    <w:rPr>
      <w:rFonts w:ascii="楷体_GB2312" w:hAnsi="Times New Roman" w:eastAsia="楷体_GB2312" w:cs="Times New Roman"/>
      <w:color w:val="000000"/>
      <w:sz w:val="24"/>
      <w:lang w:val="en-US" w:eastAsia="zh-CN" w:bidi="ar-SA"/>
    </w:rPr>
  </w:style>
  <w:style w:type="paragraph" w:styleId="20">
    <w:name w:val="footer"/>
    <w:basedOn w:val="1"/>
    <w:link w:val="48"/>
    <w:qFormat/>
    <w:uiPriority w:val="0"/>
    <w:pPr>
      <w:tabs>
        <w:tab w:val="center" w:pos="4153"/>
        <w:tab w:val="right" w:pos="8306"/>
      </w:tabs>
      <w:snapToGrid w:val="0"/>
      <w:jc w:val="left"/>
    </w:pPr>
    <w:rPr>
      <w:sz w:val="18"/>
      <w:szCs w:val="18"/>
    </w:rPr>
  </w:style>
  <w:style w:type="paragraph" w:styleId="21">
    <w:name w:val="Plain Text"/>
    <w:basedOn w:val="1"/>
    <w:qFormat/>
    <w:uiPriority w:val="0"/>
    <w:rPr>
      <w:rFonts w:ascii="宋体" w:hAnsi="宋体"/>
    </w:rPr>
  </w:style>
  <w:style w:type="paragraph" w:styleId="22">
    <w:name w:val="Date"/>
    <w:basedOn w:val="1"/>
    <w:next w:val="1"/>
    <w:qFormat/>
    <w:uiPriority w:val="0"/>
    <w:rPr>
      <w:color w:val="000000"/>
      <w:kern w:val="0"/>
      <w:sz w:val="30"/>
    </w:rPr>
  </w:style>
  <w:style w:type="paragraph" w:styleId="23">
    <w:name w:val="Body Text Indent 2"/>
    <w:basedOn w:val="1"/>
    <w:qFormat/>
    <w:uiPriority w:val="0"/>
    <w:pPr>
      <w:spacing w:line="360" w:lineRule="auto"/>
      <w:ind w:firstLine="555"/>
    </w:pPr>
    <w:rPr>
      <w:rFonts w:ascii="仿宋_GB2312" w:eastAsia="仿宋_GB2312"/>
      <w:sz w:val="28"/>
    </w:rPr>
  </w:style>
  <w:style w:type="paragraph" w:styleId="24">
    <w:name w:val="Balloon Text"/>
    <w:basedOn w:val="1"/>
    <w:qFormat/>
    <w:uiPriority w:val="0"/>
    <w:rPr>
      <w:sz w:val="18"/>
      <w:szCs w:val="18"/>
    </w:rPr>
  </w:style>
  <w:style w:type="paragraph" w:styleId="25">
    <w:name w:val="header"/>
    <w:basedOn w:val="1"/>
    <w:link w:val="49"/>
    <w:qFormat/>
    <w:uiPriority w:val="0"/>
    <w:pPr>
      <w:pBdr>
        <w:bottom w:val="single" w:color="auto" w:sz="6" w:space="1"/>
      </w:pBdr>
      <w:tabs>
        <w:tab w:val="center" w:pos="4153"/>
        <w:tab w:val="right" w:pos="8306"/>
      </w:tabs>
      <w:snapToGrid w:val="0"/>
      <w:jc w:val="center"/>
    </w:pPr>
    <w:rPr>
      <w:sz w:val="18"/>
    </w:rPr>
  </w:style>
  <w:style w:type="paragraph" w:styleId="26">
    <w:name w:val="Subtitle"/>
    <w:basedOn w:val="1"/>
    <w:next w:val="1"/>
    <w:qFormat/>
    <w:uiPriority w:val="0"/>
    <w:pPr>
      <w:spacing w:before="240" w:after="60" w:line="312" w:lineRule="atLeast"/>
      <w:ind w:firstLine="482"/>
      <w:jc w:val="center"/>
      <w:outlineLvl w:val="1"/>
    </w:pPr>
    <w:rPr>
      <w:rFonts w:ascii="Calibri Light" w:hAnsi="Calibri Light"/>
      <w:b/>
      <w:bCs/>
      <w:color w:val="000000"/>
      <w:kern w:val="28"/>
      <w:sz w:val="32"/>
      <w:szCs w:val="32"/>
    </w:rPr>
  </w:style>
  <w:style w:type="paragraph" w:styleId="27">
    <w:name w:val="List"/>
    <w:basedOn w:val="1"/>
    <w:qFormat/>
    <w:uiPriority w:val="0"/>
    <w:pPr>
      <w:ind w:left="200" w:hanging="200" w:hangingChars="200"/>
    </w:pPr>
  </w:style>
  <w:style w:type="paragraph" w:styleId="28">
    <w:name w:val="footnote text"/>
    <w:basedOn w:val="1"/>
    <w:unhideWhenUsed/>
    <w:qFormat/>
    <w:uiPriority w:val="99"/>
    <w:pPr>
      <w:snapToGrid w:val="0"/>
      <w:jc w:val="left"/>
    </w:pPr>
    <w:rPr>
      <w:sz w:val="18"/>
      <w:szCs w:val="18"/>
    </w:rPr>
  </w:style>
  <w:style w:type="paragraph" w:styleId="29">
    <w:name w:val="toc 2"/>
    <w:basedOn w:val="1"/>
    <w:next w:val="1"/>
    <w:qFormat/>
    <w:uiPriority w:val="0"/>
    <w:pPr>
      <w:ind w:left="210"/>
      <w:jc w:val="left"/>
    </w:pPr>
    <w:rPr>
      <w:rFonts w:ascii="等线" w:eastAsia="等线"/>
      <w:smallCaps/>
      <w:sz w:val="20"/>
    </w:rPr>
  </w:style>
  <w:style w:type="paragraph" w:styleId="30">
    <w:name w:val="HTML Preformatted"/>
    <w:basedOn w:val="1"/>
    <w:link w:val="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1">
    <w:name w:val="Normal (Web)"/>
    <w:basedOn w:val="1"/>
    <w:link w:val="177"/>
    <w:qFormat/>
    <w:uiPriority w:val="0"/>
    <w:pPr>
      <w:widowControl/>
      <w:jc w:val="left"/>
    </w:pPr>
    <w:rPr>
      <w:rFonts w:ascii="宋体" w:hAnsi="宋体" w:cs="宋体"/>
      <w:kern w:val="0"/>
      <w:sz w:val="24"/>
      <w:szCs w:val="24"/>
    </w:rPr>
  </w:style>
  <w:style w:type="paragraph" w:styleId="32">
    <w:name w:val="Title"/>
    <w:basedOn w:val="1"/>
    <w:next w:val="1"/>
    <w:qFormat/>
    <w:uiPriority w:val="10"/>
    <w:pPr>
      <w:spacing w:before="240" w:after="60"/>
      <w:jc w:val="center"/>
      <w:outlineLvl w:val="0"/>
    </w:pPr>
    <w:rPr>
      <w:rFonts w:ascii="Cambria" w:hAnsi="Cambria"/>
      <w:b/>
      <w:bCs/>
      <w:sz w:val="32"/>
      <w:szCs w:val="32"/>
    </w:rPr>
  </w:style>
  <w:style w:type="paragraph" w:styleId="33">
    <w:name w:val="annotation subject"/>
    <w:basedOn w:val="14"/>
    <w:next w:val="14"/>
    <w:semiHidden/>
    <w:qFormat/>
    <w:uiPriority w:val="0"/>
    <w:rPr>
      <w:b/>
      <w:bCs/>
    </w:rPr>
  </w:style>
  <w:style w:type="paragraph" w:styleId="34">
    <w:name w:val="Body Text First Indent"/>
    <w:basedOn w:val="17"/>
    <w:qFormat/>
    <w:uiPriority w:val="0"/>
    <w:pPr>
      <w:ind w:firstLine="420" w:firstLineChars="100"/>
    </w:pPr>
  </w:style>
  <w:style w:type="paragraph" w:styleId="35">
    <w:name w:val="Body Text First Indent 2"/>
    <w:basedOn w:val="18"/>
    <w:next w:val="1"/>
    <w:qFormat/>
    <w:uiPriority w:val="0"/>
    <w:pPr>
      <w:ind w:firstLine="420" w:firstLineChars="2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bCs/>
    </w:rPr>
  </w:style>
  <w:style w:type="character" w:styleId="40">
    <w:name w:val="page number"/>
    <w:qFormat/>
    <w:uiPriority w:val="0"/>
  </w:style>
  <w:style w:type="character" w:styleId="41">
    <w:name w:val="FollowedHyperlink"/>
    <w:qFormat/>
    <w:uiPriority w:val="0"/>
    <w:rPr>
      <w:color w:val="800080"/>
      <w:u w:val="single"/>
    </w:rPr>
  </w:style>
  <w:style w:type="character" w:styleId="42">
    <w:name w:val="Emphasis"/>
    <w:qFormat/>
    <w:uiPriority w:val="0"/>
    <w:rPr>
      <w:i/>
    </w:rPr>
  </w:style>
  <w:style w:type="character" w:styleId="43">
    <w:name w:val="Hyperlink"/>
    <w:qFormat/>
    <w:uiPriority w:val="0"/>
    <w:rPr>
      <w:color w:val="0000FF"/>
      <w:u w:val="single"/>
    </w:rPr>
  </w:style>
  <w:style w:type="character" w:styleId="44">
    <w:name w:val="annotation reference"/>
    <w:semiHidden/>
    <w:qFormat/>
    <w:uiPriority w:val="0"/>
    <w:rPr>
      <w:sz w:val="21"/>
      <w:szCs w:val="21"/>
    </w:rPr>
  </w:style>
  <w:style w:type="character" w:styleId="45">
    <w:name w:val="footnote reference"/>
    <w:basedOn w:val="38"/>
    <w:unhideWhenUsed/>
    <w:qFormat/>
    <w:uiPriority w:val="99"/>
    <w:rPr>
      <w:vertAlign w:val="superscript"/>
    </w:rPr>
  </w:style>
  <w:style w:type="paragraph" w:customStyle="1" w:styleId="46">
    <w:name w:val="Heading4"/>
    <w:basedOn w:val="1"/>
    <w:next w:val="1"/>
    <w:qFormat/>
    <w:uiPriority w:val="0"/>
    <w:pPr>
      <w:keepNext/>
      <w:keepLines/>
      <w:spacing w:before="280" w:after="290" w:line="376" w:lineRule="atLeast"/>
      <w:ind w:left="-120"/>
      <w:jc w:val="left"/>
      <w:textAlignment w:val="baseline"/>
    </w:pPr>
    <w:rPr>
      <w:rFonts w:ascii="Arial" w:hAnsi="Arial" w:eastAsia="黑体"/>
      <w:b/>
      <w:bCs/>
      <w:kern w:val="0"/>
      <w:sz w:val="28"/>
      <w:szCs w:val="28"/>
    </w:rPr>
  </w:style>
  <w:style w:type="character" w:customStyle="1" w:styleId="47">
    <w:name w:val="正文缩进 字符"/>
    <w:link w:val="10"/>
    <w:qFormat/>
    <w:uiPriority w:val="0"/>
    <w:rPr>
      <w:rFonts w:eastAsia="宋体"/>
      <w:kern w:val="2"/>
      <w:sz w:val="21"/>
      <w:lang w:val="en-US" w:eastAsia="zh-CN" w:bidi="ar-SA"/>
    </w:rPr>
  </w:style>
  <w:style w:type="character" w:customStyle="1" w:styleId="48">
    <w:name w:val="页脚 字符"/>
    <w:link w:val="20"/>
    <w:qFormat/>
    <w:uiPriority w:val="0"/>
    <w:rPr>
      <w:kern w:val="2"/>
      <w:sz w:val="18"/>
      <w:szCs w:val="18"/>
    </w:rPr>
  </w:style>
  <w:style w:type="character" w:customStyle="1" w:styleId="49">
    <w:name w:val="页眉 字符"/>
    <w:link w:val="25"/>
    <w:qFormat/>
    <w:uiPriority w:val="0"/>
    <w:rPr>
      <w:rFonts w:eastAsia="宋体"/>
      <w:kern w:val="2"/>
      <w:sz w:val="18"/>
      <w:lang w:val="en-US" w:eastAsia="zh-CN" w:bidi="ar-SA"/>
    </w:rPr>
  </w:style>
  <w:style w:type="character" w:customStyle="1" w:styleId="50">
    <w:name w:val="HTML 预设格式 字符"/>
    <w:link w:val="30"/>
    <w:qFormat/>
    <w:uiPriority w:val="0"/>
    <w:rPr>
      <w:rFonts w:ascii="Arial" w:hAnsi="Arial" w:cs="Arial"/>
      <w:sz w:val="28"/>
      <w:szCs w:val="28"/>
    </w:rPr>
  </w:style>
  <w:style w:type="paragraph" w:customStyle="1" w:styleId="51">
    <w:name w:val="正文缩进2字符"/>
    <w:basedOn w:val="34"/>
    <w:qFormat/>
    <w:uiPriority w:val="0"/>
    <w:pPr>
      <w:spacing w:after="0" w:line="360" w:lineRule="auto"/>
      <w:ind w:firstLine="200" w:firstLineChars="200"/>
    </w:pPr>
    <w:rPr>
      <w:rFonts w:eastAsia="仿宋"/>
      <w:kern w:val="0"/>
      <w:sz w:val="28"/>
      <w:szCs w:val="24"/>
    </w:rPr>
  </w:style>
  <w:style w:type="paragraph" w:customStyle="1" w:styleId="52">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3">
    <w:name w:val="Plain Text1"/>
    <w:basedOn w:val="1"/>
    <w:qFormat/>
    <w:uiPriority w:val="99"/>
    <w:rPr>
      <w:rFonts w:hAnsi="Courier New" w:cs="Courier New"/>
      <w:szCs w:val="21"/>
    </w:rPr>
  </w:style>
  <w:style w:type="character" w:customStyle="1" w:styleId="54">
    <w:name w:val="THTF-BS-缩进两字正文 Char"/>
    <w:link w:val="55"/>
    <w:qFormat/>
    <w:uiPriority w:val="0"/>
    <w:rPr>
      <w:rFonts w:ascii="宋体"/>
      <w:kern w:val="2"/>
      <w:sz w:val="24"/>
      <w:szCs w:val="24"/>
    </w:rPr>
  </w:style>
  <w:style w:type="paragraph" w:customStyle="1" w:styleId="55">
    <w:name w:val="THTF-BS-缩进两字正文"/>
    <w:basedOn w:val="1"/>
    <w:link w:val="54"/>
    <w:qFormat/>
    <w:uiPriority w:val="0"/>
    <w:pPr>
      <w:wordWrap w:val="0"/>
      <w:topLinePunct/>
      <w:spacing w:line="360" w:lineRule="auto"/>
      <w:jc w:val="left"/>
    </w:pPr>
    <w:rPr>
      <w:rFonts w:ascii="宋体"/>
      <w:sz w:val="24"/>
      <w:szCs w:val="24"/>
    </w:rPr>
  </w:style>
  <w:style w:type="character" w:customStyle="1" w:styleId="56">
    <w:name w:val="outputtext"/>
    <w:qFormat/>
    <w:uiPriority w:val="0"/>
  </w:style>
  <w:style w:type="character" w:customStyle="1" w:styleId="57">
    <w:name w:val="样式1 Char"/>
    <w:link w:val="58"/>
    <w:qFormat/>
    <w:uiPriority w:val="0"/>
    <w:rPr>
      <w:rFonts w:ascii="宋体"/>
      <w:b/>
      <w:color w:val="0000FF"/>
      <w:spacing w:val="4"/>
      <w:sz w:val="24"/>
    </w:rPr>
  </w:style>
  <w:style w:type="paragraph" w:customStyle="1" w:styleId="58">
    <w:name w:val="样式1"/>
    <w:basedOn w:val="1"/>
    <w:link w:val="57"/>
    <w:qFormat/>
    <w:uiPriority w:val="0"/>
    <w:pPr>
      <w:tabs>
        <w:tab w:val="left" w:pos="425"/>
      </w:tabs>
      <w:adjustRightInd w:val="0"/>
      <w:spacing w:line="480" w:lineRule="exact"/>
      <w:ind w:left="330" w:hanging="330"/>
      <w:textAlignment w:val="baseline"/>
    </w:pPr>
    <w:rPr>
      <w:rFonts w:ascii="宋体"/>
      <w:b/>
      <w:color w:val="0000FF"/>
      <w:spacing w:val="4"/>
      <w:kern w:val="0"/>
      <w:sz w:val="24"/>
    </w:rPr>
  </w:style>
  <w:style w:type="character" w:customStyle="1" w:styleId="59">
    <w:name w:val="error"/>
    <w:qFormat/>
    <w:uiPriority w:val="0"/>
    <w:rPr>
      <w:color w:val="FF0000"/>
      <w:sz w:val="16"/>
      <w:szCs w:val="16"/>
    </w:rPr>
  </w:style>
  <w:style w:type="character" w:customStyle="1" w:styleId="60">
    <w:name w:val="三级大纲 Char Char"/>
    <w:link w:val="61"/>
    <w:qFormat/>
    <w:locked/>
    <w:uiPriority w:val="0"/>
    <w:rPr>
      <w:rFonts w:ascii="黑体" w:hAnsi="黑体" w:eastAsia="黑体"/>
      <w:b/>
      <w:bCs/>
      <w:sz w:val="28"/>
      <w:szCs w:val="28"/>
    </w:rPr>
  </w:style>
  <w:style w:type="paragraph" w:customStyle="1" w:styleId="61">
    <w:name w:val="三级大纲"/>
    <w:basedOn w:val="4"/>
    <w:link w:val="60"/>
    <w:qFormat/>
    <w:uiPriority w:val="0"/>
    <w:pPr>
      <w:keepLines/>
      <w:tabs>
        <w:tab w:val="clear" w:pos="468"/>
      </w:tabs>
      <w:spacing w:before="260" w:after="260" w:line="416" w:lineRule="auto"/>
      <w:ind w:left="709" w:hanging="709"/>
    </w:pPr>
    <w:rPr>
      <w:rFonts w:ascii="黑体" w:hAnsi="黑体" w:eastAsia="黑体"/>
      <w:kern w:val="0"/>
      <w:szCs w:val="28"/>
    </w:rPr>
  </w:style>
  <w:style w:type="character" w:customStyle="1" w:styleId="62">
    <w:name w:val="一级缩进 Char"/>
    <w:link w:val="63"/>
    <w:qFormat/>
    <w:uiPriority w:val="0"/>
    <w:rPr>
      <w:rFonts w:eastAsia="仿宋_GB2312"/>
      <w:kern w:val="2"/>
      <w:sz w:val="24"/>
      <w:szCs w:val="24"/>
      <w:lang w:val="en-US" w:eastAsia="zh-CN" w:bidi="ar-SA"/>
    </w:rPr>
  </w:style>
  <w:style w:type="paragraph" w:customStyle="1" w:styleId="63">
    <w:name w:val="一级缩进"/>
    <w:link w:val="62"/>
    <w:qFormat/>
    <w:uiPriority w:val="0"/>
    <w:pPr>
      <w:tabs>
        <w:tab w:val="left" w:pos="720"/>
      </w:tabs>
      <w:adjustRightInd w:val="0"/>
      <w:snapToGrid w:val="0"/>
      <w:spacing w:before="120" w:after="120" w:line="360" w:lineRule="auto"/>
      <w:ind w:left="970" w:hanging="250"/>
      <w:jc w:val="both"/>
    </w:pPr>
    <w:rPr>
      <w:rFonts w:ascii="Times New Roman" w:hAnsi="Times New Roman" w:eastAsia="仿宋_GB2312" w:cs="Times New Roman"/>
      <w:kern w:val="2"/>
      <w:sz w:val="24"/>
      <w:szCs w:val="24"/>
      <w:lang w:val="en-US" w:eastAsia="zh-CN" w:bidi="ar-SA"/>
    </w:rPr>
  </w:style>
  <w:style w:type="character" w:customStyle="1" w:styleId="64">
    <w:name w:val="Default Text Char"/>
    <w:link w:val="65"/>
    <w:qFormat/>
    <w:uiPriority w:val="0"/>
    <w:rPr>
      <w:color w:val="000000"/>
      <w:sz w:val="24"/>
      <w:szCs w:val="24"/>
      <w:lang w:val="en-US" w:eastAsia="zh-CN" w:bidi="ar-SA"/>
    </w:rPr>
  </w:style>
  <w:style w:type="paragraph" w:customStyle="1" w:styleId="65">
    <w:name w:val="Default Text"/>
    <w:link w:val="6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6">
    <w:name w:val="二级大纲 Char Char"/>
    <w:link w:val="67"/>
    <w:qFormat/>
    <w:locked/>
    <w:uiPriority w:val="0"/>
    <w:rPr>
      <w:rFonts w:ascii="黑体" w:hAnsi="黑体" w:eastAsia="黑体"/>
      <w:b/>
      <w:bCs/>
      <w:sz w:val="30"/>
      <w:szCs w:val="30"/>
    </w:rPr>
  </w:style>
  <w:style w:type="paragraph" w:customStyle="1" w:styleId="67">
    <w:name w:val="二级大纲"/>
    <w:basedOn w:val="3"/>
    <w:link w:val="66"/>
    <w:qFormat/>
    <w:uiPriority w:val="0"/>
    <w:pPr>
      <w:keepLines/>
      <w:tabs>
        <w:tab w:val="left" w:pos="330"/>
        <w:tab w:val="clear" w:pos="420"/>
      </w:tabs>
      <w:spacing w:before="260" w:after="260" w:line="416" w:lineRule="auto"/>
      <w:ind w:left="747" w:hanging="567"/>
    </w:pPr>
    <w:rPr>
      <w:rFonts w:ascii="黑体" w:hAnsi="黑体" w:eastAsia="黑体"/>
      <w:bCs/>
      <w:kern w:val="0"/>
      <w:sz w:val="30"/>
      <w:szCs w:val="30"/>
    </w:rPr>
  </w:style>
  <w:style w:type="character" w:customStyle="1" w:styleId="68">
    <w:name w:val="font31"/>
    <w:qFormat/>
    <w:uiPriority w:val="0"/>
    <w:rPr>
      <w:rFonts w:hint="default" w:ascii="Times New Roman" w:hAnsi="Times New Roman" w:cs="Times New Roman"/>
      <w:color w:val="FF0000"/>
      <w:sz w:val="24"/>
      <w:szCs w:val="24"/>
      <w:u w:val="none"/>
    </w:rPr>
  </w:style>
  <w:style w:type="character" w:customStyle="1" w:styleId="69">
    <w:name w:val="font41"/>
    <w:qFormat/>
    <w:uiPriority w:val="0"/>
    <w:rPr>
      <w:rFonts w:hint="default" w:ascii="等线" w:hAnsi="等线" w:eastAsia="等线" w:cs="等线"/>
      <w:color w:val="FF0000"/>
      <w:sz w:val="22"/>
      <w:szCs w:val="22"/>
      <w:u w:val="none"/>
    </w:rPr>
  </w:style>
  <w:style w:type="character" w:customStyle="1" w:styleId="70">
    <w:name w:val="SF正文 Char"/>
    <w:link w:val="71"/>
    <w:qFormat/>
    <w:uiPriority w:val="0"/>
    <w:rPr>
      <w:rFonts w:ascii="Century Gothic" w:hAnsi="Century Gothic" w:eastAsia="宋体"/>
      <w:kern w:val="2"/>
      <w:sz w:val="24"/>
      <w:szCs w:val="24"/>
      <w:lang w:val="en-US" w:eastAsia="zh-CN" w:bidi="ar-SA"/>
    </w:rPr>
  </w:style>
  <w:style w:type="paragraph" w:customStyle="1" w:styleId="71">
    <w:name w:val="SF正文"/>
    <w:basedOn w:val="1"/>
    <w:link w:val="70"/>
    <w:qFormat/>
    <w:uiPriority w:val="0"/>
    <w:pPr>
      <w:spacing w:line="460" w:lineRule="exact"/>
      <w:ind w:firstLine="200" w:firstLineChars="200"/>
    </w:pPr>
    <w:rPr>
      <w:rFonts w:ascii="Century Gothic" w:hAnsi="Century Gothic"/>
      <w:sz w:val="24"/>
      <w:szCs w:val="24"/>
    </w:rPr>
  </w:style>
  <w:style w:type="character" w:customStyle="1" w:styleId="72">
    <w:name w:val="A5"/>
    <w:qFormat/>
    <w:uiPriority w:val="0"/>
    <w:rPr>
      <w:rFonts w:cs="DFHeiW9-GB"/>
      <w:color w:val="000000"/>
      <w:sz w:val="22"/>
      <w:szCs w:val="22"/>
    </w:rPr>
  </w:style>
  <w:style w:type="character" w:customStyle="1" w:styleId="73">
    <w:name w:val="列出段落 Char"/>
    <w:link w:val="74"/>
    <w:qFormat/>
    <w:uiPriority w:val="0"/>
    <w:rPr>
      <w:rFonts w:eastAsia="宋体"/>
      <w:kern w:val="2"/>
      <w:sz w:val="21"/>
      <w:szCs w:val="24"/>
      <w:lang w:val="en-US" w:eastAsia="zh-CN" w:bidi="ar-SA"/>
    </w:rPr>
  </w:style>
  <w:style w:type="paragraph" w:customStyle="1" w:styleId="74">
    <w:name w:val="List Paragraph1"/>
    <w:basedOn w:val="1"/>
    <w:next w:val="25"/>
    <w:link w:val="73"/>
    <w:qFormat/>
    <w:uiPriority w:val="0"/>
    <w:pPr>
      <w:spacing w:before="100" w:beforeAutospacing="1" w:after="100" w:afterAutospacing="1" w:line="320" w:lineRule="exact"/>
      <w:ind w:firstLine="420" w:firstLineChars="200"/>
    </w:pPr>
  </w:style>
  <w:style w:type="character" w:customStyle="1" w:styleId="75">
    <w:name w:val="书籍标题1"/>
    <w:qFormat/>
    <w:uiPriority w:val="0"/>
    <w:rPr>
      <w:b/>
      <w:bCs/>
      <w:smallCaps/>
      <w:spacing w:val="5"/>
    </w:rPr>
  </w:style>
  <w:style w:type="character" w:customStyle="1" w:styleId="76">
    <w:name w:val="NormalCharacter"/>
    <w:link w:val="77"/>
    <w:semiHidden/>
    <w:qFormat/>
    <w:uiPriority w:val="0"/>
    <w:rPr>
      <w:szCs w:val="24"/>
    </w:rPr>
  </w:style>
  <w:style w:type="paragraph" w:customStyle="1" w:styleId="77">
    <w:name w:val="UserStyle_2"/>
    <w:basedOn w:val="1"/>
    <w:link w:val="76"/>
    <w:qFormat/>
    <w:uiPriority w:val="0"/>
    <w:pPr>
      <w:textAlignment w:val="baseline"/>
    </w:pPr>
    <w:rPr>
      <w:szCs w:val="24"/>
    </w:rPr>
  </w:style>
  <w:style w:type="character" w:customStyle="1" w:styleId="78">
    <w:name w:val="链接"/>
    <w:qFormat/>
    <w:uiPriority w:val="0"/>
    <w:rPr>
      <w:rFonts w:ascii="Times New Roman" w:eastAsia="宋体"/>
      <w:color w:val="0000FF"/>
      <w:sz w:val="21"/>
      <w:u w:val="single" w:color="0000FF"/>
      <w:vertAlign w:val="baseline"/>
      <w:lang w:val="en-US" w:eastAsia="zh-CN"/>
    </w:rPr>
  </w:style>
  <w:style w:type="character" w:customStyle="1" w:styleId="79">
    <w:name w:val="font21"/>
    <w:qFormat/>
    <w:uiPriority w:val="0"/>
    <w:rPr>
      <w:rFonts w:hint="default" w:ascii="Times New Roman" w:hAnsi="Times New Roman" w:cs="Times New Roman"/>
      <w:color w:val="000000"/>
      <w:sz w:val="24"/>
      <w:szCs w:val="24"/>
      <w:u w:val="none"/>
    </w:rPr>
  </w:style>
  <w:style w:type="character" w:customStyle="1" w:styleId="80">
    <w:name w:val="font01"/>
    <w:qFormat/>
    <w:uiPriority w:val="0"/>
    <w:rPr>
      <w:rFonts w:hint="eastAsia" w:ascii="宋体" w:hAnsi="宋体" w:eastAsia="宋体" w:cs="宋体"/>
      <w:color w:val="FF0000"/>
      <w:sz w:val="24"/>
      <w:szCs w:val="24"/>
      <w:u w:val="none"/>
    </w:rPr>
  </w:style>
  <w:style w:type="character" w:customStyle="1" w:styleId="81">
    <w:name w:val="font51"/>
    <w:qFormat/>
    <w:uiPriority w:val="0"/>
    <w:rPr>
      <w:rFonts w:hint="default" w:ascii="等线" w:hAnsi="等线" w:eastAsia="等线" w:cs="等线"/>
      <w:color w:val="000000"/>
      <w:sz w:val="22"/>
      <w:szCs w:val="22"/>
      <w:u w:val="none"/>
    </w:rPr>
  </w:style>
  <w:style w:type="character" w:customStyle="1" w:styleId="82">
    <w:name w:val="bg1"/>
    <w:qFormat/>
    <w:uiPriority w:val="0"/>
    <w:rPr>
      <w:rFonts w:hint="default"/>
      <w:color w:val="000000"/>
      <w:sz w:val="23"/>
      <w:szCs w:val="23"/>
      <w:shd w:val="clear" w:color="auto" w:fill="EC0101"/>
    </w:rPr>
  </w:style>
  <w:style w:type="character" w:customStyle="1" w:styleId="83">
    <w:name w:val="标题 2 Char1"/>
    <w:qFormat/>
    <w:uiPriority w:val="0"/>
    <w:rPr>
      <w:rFonts w:ascii="黑体" w:hAnsi="Arial" w:eastAsia="黑体"/>
      <w:b/>
      <w:kern w:val="2"/>
      <w:sz w:val="28"/>
      <w:lang w:val="en-US" w:eastAsia="zh-CN"/>
    </w:rPr>
  </w:style>
  <w:style w:type="paragraph" w:customStyle="1" w:styleId="8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85">
    <w:name w:val="MSG_EN_FONT_STYLE_NAME_TEMPLATE_ROLE_LEVEL MSG_EN_FONT_STYLE_NAME_BY_ROLE_HEADING 1"/>
    <w:basedOn w:val="1"/>
    <w:unhideWhenUsed/>
    <w:qFormat/>
    <w:uiPriority w:val="99"/>
    <w:pPr>
      <w:shd w:val="clear" w:color="auto" w:fill="FFFFFF"/>
      <w:spacing w:line="612" w:lineRule="exact"/>
      <w:outlineLvl w:val="0"/>
    </w:pPr>
    <w:rPr>
      <w:rFonts w:hint="eastAsia" w:ascii="PMingLiU" w:eastAsia="PMingLiU"/>
      <w:sz w:val="32"/>
    </w:rPr>
  </w:style>
  <w:style w:type="paragraph" w:customStyle="1" w:styleId="86">
    <w:name w:val="xl51"/>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8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89">
    <w:name w:val="1级大纲"/>
    <w:basedOn w:val="2"/>
    <w:qFormat/>
    <w:uiPriority w:val="0"/>
    <w:pPr>
      <w:keepLines/>
      <w:spacing w:before="340" w:after="330" w:line="578" w:lineRule="auto"/>
      <w:ind w:left="425" w:hanging="425"/>
      <w:jc w:val="both"/>
    </w:pPr>
    <w:rPr>
      <w:rFonts w:ascii="黑体" w:hAnsi="黑体" w:eastAsia="黑体"/>
      <w:kern w:val="44"/>
      <w:sz w:val="32"/>
    </w:rPr>
  </w:style>
  <w:style w:type="paragraph" w:customStyle="1" w:styleId="90">
    <w:name w:val="Quote1"/>
    <w:basedOn w:val="1"/>
    <w:next w:val="1"/>
    <w:qFormat/>
    <w:uiPriority w:val="29"/>
    <w:pPr>
      <w:spacing w:beforeLines="50" w:afterLines="50" w:line="360" w:lineRule="auto"/>
    </w:pPr>
    <w:rPr>
      <w:i/>
      <w:iCs/>
      <w:color w:val="000000"/>
      <w:szCs w:val="24"/>
      <w:lang w:val="zh-CN"/>
    </w:rPr>
  </w:style>
  <w:style w:type="paragraph" w:customStyle="1" w:styleId="91">
    <w:name w:val="默认"/>
    <w:qFormat/>
    <w:uiPriority w:val="0"/>
    <w:pPr>
      <w:framePr w:wrap="around" w:vAnchor="margin" w:hAnchor="text" w:yAlign="top"/>
      <w:spacing w:before="160" w:line="288" w:lineRule="auto"/>
    </w:pPr>
    <w:rPr>
      <w:rFonts w:ascii="PingFang SC Regular" w:hAnsi="PingFang SC Regular" w:eastAsia="Arial Unicode MS" w:cs="Arial Unicode MS"/>
      <w:color w:val="000000"/>
      <w:sz w:val="24"/>
      <w:szCs w:val="24"/>
      <w:lang w:val="zh-CN" w:eastAsia="zh-CN" w:bidi="ar-SA"/>
    </w:rPr>
  </w:style>
  <w:style w:type="paragraph" w:customStyle="1" w:styleId="92">
    <w:name w:val="xl45"/>
    <w:basedOn w:val="1"/>
    <w:qFormat/>
    <w:uiPriority w:val="0"/>
    <w:pPr>
      <w:widowControl/>
      <w:spacing w:before="100" w:beforeAutospacing="1" w:after="100" w:afterAutospacing="1"/>
      <w:jc w:val="left"/>
      <w:textAlignment w:val="center"/>
    </w:pPr>
    <w:rPr>
      <w:rFonts w:ascii="宋体" w:hAnsi="宋体"/>
      <w:kern w:val="0"/>
      <w:sz w:val="20"/>
    </w:rPr>
  </w:style>
  <w:style w:type="paragraph" w:customStyle="1" w:styleId="93">
    <w:name w:val="xl43"/>
    <w:basedOn w:val="1"/>
    <w:qFormat/>
    <w:uiPriority w:val="0"/>
    <w:pPr>
      <w:widowControl/>
      <w:spacing w:before="100" w:beforeAutospacing="1" w:after="100" w:afterAutospacing="1"/>
      <w:jc w:val="left"/>
    </w:pPr>
    <w:rPr>
      <w:rFonts w:ascii="宋体" w:hAnsi="宋体"/>
      <w:kern w:val="0"/>
      <w:sz w:val="20"/>
    </w:rPr>
  </w:style>
  <w:style w:type="paragraph" w:customStyle="1" w:styleId="94">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95">
    <w:name w:val="Heading2"/>
    <w:basedOn w:val="1"/>
    <w:next w:val="1"/>
    <w:qFormat/>
    <w:uiPriority w:val="0"/>
    <w:pPr>
      <w:keepNext/>
      <w:keepLines/>
      <w:numPr>
        <w:ilvl w:val="1"/>
        <w:numId w:val="1"/>
      </w:numPr>
      <w:tabs>
        <w:tab w:val="left" w:pos="432"/>
      </w:tabs>
      <w:spacing w:before="260" w:after="260" w:line="416" w:lineRule="auto"/>
    </w:pPr>
    <w:rPr>
      <w:rFonts w:ascii="宋体" w:hAnsi="宋体"/>
      <w:b/>
      <w:bCs/>
      <w:sz w:val="32"/>
      <w:szCs w:val="32"/>
    </w:rPr>
  </w:style>
  <w:style w:type="paragraph" w:customStyle="1" w:styleId="9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97">
    <w:name w:val="font13"/>
    <w:basedOn w:val="1"/>
    <w:qFormat/>
    <w:uiPriority w:val="0"/>
    <w:pPr>
      <w:widowControl/>
      <w:spacing w:before="100" w:beforeAutospacing="1" w:after="100" w:afterAutospacing="1"/>
      <w:jc w:val="left"/>
    </w:pPr>
    <w:rPr>
      <w:b/>
      <w:bCs/>
      <w:color w:val="FF0000"/>
      <w:kern w:val="0"/>
      <w:sz w:val="22"/>
      <w:szCs w:val="22"/>
    </w:rPr>
  </w:style>
  <w:style w:type="paragraph" w:customStyle="1" w:styleId="9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0000FF"/>
      <w:kern w:val="0"/>
      <w:sz w:val="20"/>
    </w:rPr>
  </w:style>
  <w:style w:type="paragraph" w:customStyle="1" w:styleId="99">
    <w:name w:val="UserStyle_9"/>
    <w:basedOn w:val="1"/>
    <w:qFormat/>
    <w:uiPriority w:val="0"/>
    <w:pPr>
      <w:spacing w:line="560" w:lineRule="exact"/>
      <w:ind w:firstLine="723" w:firstLineChars="200"/>
      <w:jc w:val="center"/>
      <w:textAlignment w:val="baseline"/>
    </w:pPr>
    <w:rPr>
      <w:rFonts w:ascii="仿宋_GB2312" w:eastAsia="仿宋_GB2312"/>
      <w:b/>
      <w:sz w:val="36"/>
    </w:rPr>
  </w:style>
  <w:style w:type="paragraph" w:customStyle="1" w:styleId="1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8000"/>
      <w:kern w:val="0"/>
      <w:sz w:val="20"/>
    </w:rPr>
  </w:style>
  <w:style w:type="paragraph" w:customStyle="1" w:styleId="101">
    <w:name w:val="font7"/>
    <w:basedOn w:val="1"/>
    <w:qFormat/>
    <w:uiPriority w:val="0"/>
    <w:pPr>
      <w:widowControl/>
      <w:spacing w:before="100" w:beforeAutospacing="1" w:after="100" w:afterAutospacing="1"/>
      <w:jc w:val="left"/>
    </w:pPr>
    <w:rPr>
      <w:rFonts w:hint="eastAsia" w:ascii="宋体" w:hAnsi="宋体"/>
      <w:color w:val="000000"/>
      <w:kern w:val="0"/>
      <w:sz w:val="20"/>
    </w:rPr>
  </w:style>
  <w:style w:type="paragraph" w:customStyle="1" w:styleId="10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styleId="103">
    <w:name w:val="No Spacing"/>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104">
    <w:name w:val="File1"/>
    <w:qFormat/>
    <w:uiPriority w:val="0"/>
    <w:pPr>
      <w:tabs>
        <w:tab w:val="left" w:pos="1134"/>
      </w:tabs>
      <w:spacing w:line="360" w:lineRule="exact"/>
      <w:ind w:left="540" w:leftChars="540"/>
    </w:pPr>
    <w:rPr>
      <w:rFonts w:ascii="Arial" w:hAnsi="Arial" w:eastAsia="宋体" w:cs="Times New Roman"/>
      <w:spacing w:val="10"/>
      <w:sz w:val="24"/>
      <w:lang w:val="en-US" w:eastAsia="zh-CN" w:bidi="ar-SA"/>
    </w:rPr>
  </w:style>
  <w:style w:type="paragraph" w:customStyle="1" w:styleId="10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10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FF"/>
      <w:kern w:val="0"/>
      <w:sz w:val="20"/>
    </w:rPr>
  </w:style>
  <w:style w:type="paragraph" w:customStyle="1" w:styleId="107">
    <w:name w:val="font10"/>
    <w:basedOn w:val="1"/>
    <w:qFormat/>
    <w:uiPriority w:val="0"/>
    <w:pPr>
      <w:widowControl/>
      <w:spacing w:before="100" w:beforeAutospacing="1" w:after="100" w:afterAutospacing="1"/>
      <w:jc w:val="left"/>
    </w:pPr>
    <w:rPr>
      <w:rFonts w:hint="eastAsia" w:ascii="宋体" w:hAnsi="宋体"/>
      <w:kern w:val="0"/>
      <w:sz w:val="22"/>
      <w:szCs w:val="22"/>
    </w:rPr>
  </w:style>
  <w:style w:type="paragraph" w:styleId="108">
    <w:name w:val="Quote"/>
    <w:basedOn w:val="1"/>
    <w:next w:val="1"/>
    <w:qFormat/>
    <w:uiPriority w:val="29"/>
    <w:pPr>
      <w:spacing w:beforeLines="50" w:afterLines="50" w:line="360" w:lineRule="auto"/>
    </w:pPr>
    <w:rPr>
      <w:i/>
      <w:iCs/>
      <w:color w:val="000000"/>
      <w:szCs w:val="24"/>
      <w:lang w:val="zh-CN"/>
    </w:rPr>
  </w:style>
  <w:style w:type="paragraph" w:customStyle="1" w:styleId="1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1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11">
    <w:name w:val="xl44"/>
    <w:basedOn w:val="1"/>
    <w:qFormat/>
    <w:uiPriority w:val="0"/>
    <w:pPr>
      <w:widowControl/>
      <w:spacing w:before="100" w:beforeAutospacing="1" w:after="100" w:afterAutospacing="1"/>
      <w:jc w:val="center"/>
      <w:textAlignment w:val="center"/>
    </w:pPr>
    <w:rPr>
      <w:rFonts w:ascii="宋体" w:hAnsi="宋体"/>
      <w:b/>
      <w:bCs/>
      <w:color w:val="0000FF"/>
      <w:kern w:val="0"/>
      <w:sz w:val="20"/>
    </w:rPr>
  </w:style>
  <w:style w:type="paragraph" w:customStyle="1" w:styleId="11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800000"/>
      <w:kern w:val="0"/>
      <w:sz w:val="20"/>
    </w:rPr>
  </w:style>
  <w:style w:type="paragraph" w:customStyle="1" w:styleId="113">
    <w:name w:val="UserStyle_11"/>
    <w:basedOn w:val="114"/>
    <w:next w:val="1"/>
    <w:qFormat/>
    <w:uiPriority w:val="0"/>
    <w:pPr>
      <w:tabs>
        <w:tab w:val="left" w:pos="480"/>
      </w:tabs>
    </w:pPr>
    <w:rPr>
      <w:rFonts w:ascii="Times New Roman" w:hAnsi="Times New Roman"/>
      <w:b/>
    </w:rPr>
  </w:style>
  <w:style w:type="paragraph" w:customStyle="1" w:styleId="114">
    <w:name w:val="UserStyle_10"/>
    <w:basedOn w:val="1"/>
    <w:qFormat/>
    <w:uiPriority w:val="0"/>
    <w:pPr>
      <w:tabs>
        <w:tab w:val="left" w:pos="480"/>
      </w:tabs>
      <w:jc w:val="center"/>
      <w:textAlignment w:val="baseline"/>
    </w:pPr>
    <w:rPr>
      <w:rFonts w:ascii="宋体" w:hAnsi="Tms Rmn"/>
      <w:color w:val="000000"/>
      <w:kern w:val="0"/>
    </w:rPr>
  </w:style>
  <w:style w:type="paragraph" w:customStyle="1" w:styleId="11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1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0000FF"/>
      <w:kern w:val="0"/>
      <w:sz w:val="20"/>
    </w:rPr>
  </w:style>
  <w:style w:type="paragraph" w:customStyle="1" w:styleId="117">
    <w:name w:val="列表段落1"/>
    <w:basedOn w:val="1"/>
    <w:qFormat/>
    <w:uiPriority w:val="34"/>
    <w:pPr>
      <w:ind w:firstLine="420" w:firstLineChars="200"/>
    </w:pPr>
  </w:style>
  <w:style w:type="paragraph" w:styleId="118">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19">
    <w:name w:val="Char1 Char Char Char"/>
    <w:basedOn w:val="1"/>
    <w:qFormat/>
    <w:uiPriority w:val="0"/>
    <w:rPr>
      <w:rFonts w:ascii="Tahoma" w:hAnsi="Tahoma"/>
      <w:sz w:val="24"/>
    </w:rPr>
  </w:style>
  <w:style w:type="paragraph" w:customStyle="1" w:styleId="120">
    <w:name w:val="[基本段落]"/>
    <w:basedOn w:val="1"/>
    <w:unhideWhenUsed/>
    <w:qFormat/>
    <w:uiPriority w:val="99"/>
    <w:pPr>
      <w:autoSpaceDE w:val="0"/>
      <w:autoSpaceDN w:val="0"/>
      <w:adjustRightInd w:val="0"/>
      <w:spacing w:line="288" w:lineRule="auto"/>
      <w:textAlignment w:val="center"/>
    </w:pPr>
    <w:rPr>
      <w:rFonts w:hint="eastAsia" w:ascii="Adobe 宋体 Std L" w:hAnsi="Adobe 宋体 Std L" w:eastAsia="Adobe 宋体 Std L"/>
      <w:color w:val="000000"/>
      <w:kern w:val="0"/>
      <w:sz w:val="24"/>
      <w:szCs w:val="22"/>
      <w:lang w:val="zh-CN"/>
    </w:rPr>
  </w:style>
  <w:style w:type="paragraph" w:customStyle="1" w:styleId="121">
    <w:name w:val="Char Char"/>
    <w:basedOn w:val="1"/>
    <w:qFormat/>
    <w:uiPriority w:val="0"/>
    <w:rPr>
      <w:szCs w:val="24"/>
    </w:rPr>
  </w:style>
  <w:style w:type="paragraph" w:customStyle="1" w:styleId="122">
    <w:name w:val="多级符号"/>
    <w:basedOn w:val="1"/>
    <w:qFormat/>
    <w:uiPriority w:val="0"/>
    <w:pPr>
      <w:tabs>
        <w:tab w:val="left" w:pos="1077"/>
      </w:tabs>
      <w:adjustRightInd w:val="0"/>
      <w:spacing w:line="360" w:lineRule="auto"/>
      <w:ind w:left="1272" w:hanging="705"/>
      <w:jc w:val="left"/>
      <w:textAlignment w:val="baseline"/>
    </w:pPr>
    <w:rPr>
      <w:rFonts w:ascii="宋体"/>
      <w:color w:val="0000FF"/>
      <w:kern w:val="0"/>
      <w:sz w:val="24"/>
    </w:rPr>
  </w:style>
  <w:style w:type="paragraph" w:customStyle="1" w:styleId="12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24">
    <w:name w:val="无间距"/>
    <w:qFormat/>
    <w:uiPriority w:val="1"/>
    <w:pPr>
      <w:adjustRightInd w:val="0"/>
      <w:snapToGrid w:val="0"/>
      <w:ind w:firstLine="200" w:firstLineChars="200"/>
      <w:jc w:val="both"/>
    </w:pPr>
    <w:rPr>
      <w:rFonts w:ascii="Tahoma" w:hAnsi="Tahoma" w:eastAsia="微软雅黑" w:cs="Times New Roman"/>
      <w:sz w:val="22"/>
      <w:szCs w:val="22"/>
      <w:lang w:val="en-US" w:eastAsia="zh-CN" w:bidi="ar-SA"/>
    </w:rPr>
  </w:style>
  <w:style w:type="paragraph" w:customStyle="1" w:styleId="12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800000"/>
      <w:kern w:val="0"/>
      <w:sz w:val="20"/>
    </w:rPr>
  </w:style>
  <w:style w:type="paragraph" w:customStyle="1" w:styleId="126">
    <w:name w:val="表名称"/>
    <w:qFormat/>
    <w:uiPriority w:val="0"/>
    <w:pPr>
      <w:widowControl w:val="0"/>
      <w:numPr>
        <w:ilvl w:val="0"/>
        <w:numId w:val="2"/>
      </w:numPr>
      <w:pBdr>
        <w:top w:val="none" w:color="000000" w:sz="0" w:space="3"/>
        <w:left w:val="none" w:color="000000" w:sz="0" w:space="3"/>
        <w:bottom w:val="none" w:color="000000" w:sz="0" w:space="3"/>
        <w:right w:val="none" w:color="000000" w:sz="0" w:space="3"/>
        <w:between w:val="none" w:color="000000" w:sz="0" w:space="0"/>
      </w:pBdr>
      <w:shd w:val="solid" w:color="auto" w:fill="auto"/>
      <w:adjustRightInd w:val="0"/>
      <w:ind w:left="900"/>
      <w:jc w:val="center"/>
      <w:textAlignment w:val="baseline"/>
    </w:pPr>
    <w:rPr>
      <w:rFonts w:ascii="Times New Roman" w:hAnsi="Times New Roman" w:eastAsia="宋体" w:cs="Times New Roman"/>
      <w:kern w:val="1"/>
      <w:sz w:val="21"/>
      <w:lang w:val="en-US" w:eastAsia="zh-CN" w:bidi="ar-SA"/>
    </w:rPr>
  </w:style>
  <w:style w:type="paragraph" w:customStyle="1" w:styleId="127">
    <w:name w:val="日期1"/>
    <w:basedOn w:val="1"/>
    <w:next w:val="1"/>
    <w:qFormat/>
    <w:uiPriority w:val="0"/>
    <w:pPr>
      <w:adjustRightInd w:val="0"/>
      <w:textAlignment w:val="baseline"/>
    </w:pPr>
    <w:rPr>
      <w:rFonts w:ascii="宋体"/>
      <w:kern w:val="0"/>
      <w:sz w:val="24"/>
    </w:rPr>
  </w:style>
  <w:style w:type="paragraph" w:customStyle="1" w:styleId="128">
    <w:name w:val="ÕýÎÄ"/>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zh-CN" w:bidi="ar-SA"/>
    </w:rPr>
  </w:style>
  <w:style w:type="paragraph" w:customStyle="1" w:styleId="12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800000"/>
      <w:kern w:val="0"/>
      <w:sz w:val="20"/>
    </w:rPr>
  </w:style>
  <w:style w:type="paragraph" w:customStyle="1" w:styleId="130">
    <w:name w:val="font11"/>
    <w:basedOn w:val="1"/>
    <w:qFormat/>
    <w:uiPriority w:val="0"/>
    <w:pPr>
      <w:widowControl/>
      <w:spacing w:before="100" w:beforeAutospacing="1" w:after="100" w:afterAutospacing="1"/>
      <w:jc w:val="left"/>
    </w:pPr>
    <w:rPr>
      <w:kern w:val="0"/>
      <w:sz w:val="22"/>
      <w:szCs w:val="22"/>
    </w:rPr>
  </w:style>
  <w:style w:type="paragraph" w:customStyle="1" w:styleId="13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132">
    <w:name w:val="Text"/>
    <w:basedOn w:val="1"/>
    <w:qFormat/>
    <w:uiPriority w:val="0"/>
    <w:pPr>
      <w:widowControl/>
      <w:jc w:val="left"/>
    </w:pPr>
    <w:rPr>
      <w:rFonts w:ascii="Arial" w:hAnsi="Arial" w:cs="Courier New"/>
      <w:kern w:val="0"/>
      <w:szCs w:val="21"/>
    </w:rPr>
  </w:style>
  <w:style w:type="paragraph" w:customStyle="1" w:styleId="133">
    <w:name w:val="THTF-BS-三级标题"/>
    <w:basedOn w:val="1"/>
    <w:next w:val="55"/>
    <w:qFormat/>
    <w:uiPriority w:val="0"/>
    <w:pPr>
      <w:spacing w:line="360" w:lineRule="auto"/>
      <w:outlineLvl w:val="2"/>
    </w:pPr>
    <w:rPr>
      <w:rFonts w:ascii="宋体"/>
      <w:b/>
      <w:sz w:val="30"/>
      <w:szCs w:val="30"/>
    </w:rPr>
  </w:style>
  <w:style w:type="paragraph" w:customStyle="1" w:styleId="134">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136">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37">
    <w:name w:val="正文缩进1"/>
    <w:basedOn w:val="1"/>
    <w:qFormat/>
    <w:uiPriority w:val="0"/>
    <w:pPr>
      <w:ind w:firstLine="420" w:firstLineChars="200"/>
    </w:pPr>
    <w:rPr>
      <w:rFonts w:ascii="Calibri" w:hAnsi="Calibri"/>
    </w:rPr>
  </w:style>
  <w:style w:type="paragraph" w:customStyle="1" w:styleId="13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140">
    <w:name w:val="*正文"/>
    <w:basedOn w:val="1"/>
    <w:qFormat/>
    <w:uiPriority w:val="0"/>
    <w:pPr>
      <w:widowControl/>
      <w:spacing w:line="360" w:lineRule="auto"/>
      <w:jc w:val="left"/>
    </w:pPr>
    <w:rPr>
      <w:rFonts w:ascii="仿宋_GB2312" w:eastAsia="仿宋_GB2312"/>
      <w:sz w:val="24"/>
      <w:szCs w:val="28"/>
    </w:rPr>
  </w:style>
  <w:style w:type="paragraph" w:customStyle="1" w:styleId="141">
    <w:name w:val="Char"/>
    <w:basedOn w:val="1"/>
    <w:qFormat/>
    <w:uiPriority w:val="0"/>
    <w:pPr>
      <w:spacing w:line="360" w:lineRule="auto"/>
    </w:pPr>
    <w:rPr>
      <w:rFonts w:ascii="新宋体" w:hAnsi="新宋体" w:eastAsia="新宋体"/>
      <w:b/>
      <w:sz w:val="24"/>
      <w:szCs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FF"/>
      <w:kern w:val="0"/>
      <w:sz w:val="20"/>
    </w:rPr>
  </w:style>
  <w:style w:type="paragraph" w:customStyle="1" w:styleId="143">
    <w:name w:val="页眉与页脚"/>
    <w:qFormat/>
    <w:uiPriority w:val="0"/>
    <w:pPr>
      <w:framePr w:wrap="around" w:vAnchor="margin" w:hAnchor="text" w:yAlign="top"/>
      <w:tabs>
        <w:tab w:val="right" w:pos="9020"/>
      </w:tabs>
    </w:pPr>
    <w:rPr>
      <w:rFonts w:ascii="PingFang SC Regular" w:hAnsi="PingFang SC Regular" w:eastAsia="Arial Unicode MS" w:cs="Arial Unicode MS"/>
      <w:color w:val="000000"/>
      <w:sz w:val="24"/>
      <w:szCs w:val="24"/>
      <w:lang w:val="en-US" w:eastAsia="zh-CN" w:bidi="ar-SA"/>
    </w:rPr>
  </w:style>
  <w:style w:type="paragraph" w:customStyle="1" w:styleId="144">
    <w:name w:val="font9"/>
    <w:basedOn w:val="1"/>
    <w:qFormat/>
    <w:uiPriority w:val="0"/>
    <w:pPr>
      <w:widowControl/>
      <w:spacing w:before="100" w:beforeAutospacing="1" w:after="100" w:afterAutospacing="1"/>
      <w:jc w:val="left"/>
    </w:pPr>
    <w:rPr>
      <w:rFonts w:hint="eastAsia" w:ascii="宋体" w:hAnsi="宋体"/>
      <w:b/>
      <w:bCs/>
      <w:color w:val="FF0000"/>
      <w:kern w:val="0"/>
      <w:sz w:val="20"/>
    </w:rPr>
  </w:style>
  <w:style w:type="paragraph" w:customStyle="1" w:styleId="145">
    <w:name w:val="MSG_EN_FONT_STYLE_NAME_TEMPLATE_ROLE_NUMBER MSG_EN_FONT_STYLE_NAME_BY_ROLE_TEXT 2"/>
    <w:basedOn w:val="1"/>
    <w:unhideWhenUsed/>
    <w:qFormat/>
    <w:uiPriority w:val="99"/>
    <w:pPr>
      <w:shd w:val="clear" w:color="auto" w:fill="FFFFFF"/>
    </w:pPr>
    <w:rPr>
      <w:rFonts w:hint="eastAsia"/>
      <w:sz w:val="20"/>
    </w:rPr>
  </w:style>
  <w:style w:type="paragraph" w:customStyle="1" w:styleId="146">
    <w:name w:val="正文缩进_0"/>
    <w:basedOn w:val="138"/>
    <w:qFormat/>
    <w:uiPriority w:val="0"/>
    <w:pPr>
      <w:ind w:firstLine="420" w:firstLineChars="200"/>
    </w:pPr>
    <w:rPr>
      <w:rFonts w:ascii="Times New Roman" w:hAnsi="Times New Roman"/>
    </w:rPr>
  </w:style>
  <w:style w:type="paragraph" w:customStyle="1" w:styleId="147">
    <w:name w:val="font12"/>
    <w:basedOn w:val="1"/>
    <w:qFormat/>
    <w:uiPriority w:val="0"/>
    <w:pPr>
      <w:widowControl/>
      <w:spacing w:before="100" w:beforeAutospacing="1" w:after="100" w:afterAutospacing="1"/>
      <w:jc w:val="left"/>
    </w:pPr>
    <w:rPr>
      <w:rFonts w:hint="eastAsia" w:ascii="楷体_GB2312" w:hAnsi="宋体" w:eastAsia="楷体_GB2312"/>
      <w:b/>
      <w:bCs/>
      <w:color w:val="FF0000"/>
      <w:kern w:val="0"/>
      <w:sz w:val="22"/>
      <w:szCs w:val="22"/>
    </w:rPr>
  </w:style>
  <w:style w:type="paragraph" w:customStyle="1" w:styleId="1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00FF"/>
      <w:kern w:val="0"/>
      <w:sz w:val="20"/>
    </w:rPr>
  </w:style>
  <w:style w:type="paragraph" w:customStyle="1" w:styleId="149">
    <w:name w:val="font8"/>
    <w:basedOn w:val="1"/>
    <w:qFormat/>
    <w:uiPriority w:val="0"/>
    <w:pPr>
      <w:widowControl/>
      <w:spacing w:before="100" w:beforeAutospacing="1" w:after="100" w:afterAutospacing="1"/>
      <w:jc w:val="left"/>
    </w:pPr>
    <w:rPr>
      <w:rFonts w:hint="eastAsia" w:ascii="宋体" w:hAnsi="宋体"/>
      <w:b/>
      <w:bCs/>
      <w:color w:val="0000FF"/>
      <w:kern w:val="0"/>
      <w:sz w:val="20"/>
    </w:rPr>
  </w:style>
  <w:style w:type="paragraph" w:customStyle="1" w:styleId="150">
    <w:name w:val="THTF-BS-二级标题"/>
    <w:next w:val="55"/>
    <w:qFormat/>
    <w:uiPriority w:val="0"/>
    <w:pPr>
      <w:widowControl w:val="0"/>
      <w:spacing w:line="360" w:lineRule="auto"/>
      <w:outlineLvl w:val="1"/>
    </w:pPr>
    <w:rPr>
      <w:rFonts w:ascii="宋体" w:hAnsi="Times New Roman" w:eastAsia="宋体" w:cs="Times New Roman"/>
      <w:b/>
      <w:kern w:val="2"/>
      <w:sz w:val="32"/>
      <w:szCs w:val="32"/>
      <w:lang w:val="en-US" w:eastAsia="zh-CN" w:bidi="ar-SA"/>
    </w:rPr>
  </w:style>
  <w:style w:type="paragraph" w:customStyle="1" w:styleId="151">
    <w:name w:val="È±Ê¡ÎÄ±¾"/>
    <w:basedOn w:val="1"/>
    <w:qFormat/>
    <w:uiPriority w:val="0"/>
    <w:pPr>
      <w:widowControl/>
      <w:overflowPunct w:val="0"/>
      <w:autoSpaceDE w:val="0"/>
      <w:autoSpaceDN w:val="0"/>
      <w:adjustRightInd w:val="0"/>
      <w:jc w:val="left"/>
    </w:pPr>
    <w:rPr>
      <w:kern w:val="0"/>
      <w:sz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FF"/>
      <w:kern w:val="0"/>
      <w:sz w:val="20"/>
    </w:rPr>
  </w:style>
  <w:style w:type="paragraph" w:customStyle="1" w:styleId="154">
    <w:name w:val="默认段落字体 Para Char Char Char Char Char Char Char"/>
    <w:basedOn w:val="1"/>
    <w:qFormat/>
    <w:uiPriority w:val="0"/>
  </w:style>
  <w:style w:type="paragraph" w:customStyle="1" w:styleId="155">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56">
    <w:name w:val="列出段落1"/>
    <w:basedOn w:val="1"/>
    <w:qFormat/>
    <w:uiPriority w:val="0"/>
    <w:pPr>
      <w:ind w:firstLine="420" w:firstLineChars="200"/>
    </w:pPr>
    <w:rPr>
      <w:rFonts w:ascii="Calibri" w:hAnsi="Calibri"/>
      <w:szCs w:val="22"/>
    </w:rPr>
  </w:style>
  <w:style w:type="paragraph" w:customStyle="1" w:styleId="157">
    <w:name w:val="xl50"/>
    <w:basedOn w:val="1"/>
    <w:qFormat/>
    <w:uiPriority w:val="0"/>
    <w:pPr>
      <w:widowControl/>
      <w:spacing w:before="100" w:beforeAutospacing="1" w:after="100" w:afterAutospacing="1"/>
      <w:jc w:val="left"/>
      <w:textAlignment w:val="center"/>
    </w:pPr>
    <w:rPr>
      <w:rFonts w:ascii="宋体" w:hAnsi="宋体"/>
      <w:b/>
      <w:bCs/>
      <w:color w:val="0000FF"/>
      <w:kern w:val="0"/>
      <w:sz w:val="32"/>
      <w:szCs w:val="32"/>
    </w:rPr>
  </w:style>
  <w:style w:type="paragraph" w:customStyle="1" w:styleId="158">
    <w:name w:val="_Style 1"/>
    <w:basedOn w:val="1"/>
    <w:qFormat/>
    <w:uiPriority w:val="0"/>
    <w:pPr>
      <w:ind w:firstLine="420" w:firstLineChars="200"/>
    </w:pPr>
    <w:rPr>
      <w:rFonts w:ascii="Calibri" w:hAnsi="Calibri"/>
      <w:szCs w:val="22"/>
    </w:rPr>
  </w:style>
  <w:style w:type="paragraph" w:customStyle="1" w:styleId="15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61">
    <w:name w:val="TOAHeading"/>
    <w:basedOn w:val="1"/>
    <w:next w:val="1"/>
    <w:qFormat/>
    <w:uiPriority w:val="0"/>
    <w:pPr>
      <w:spacing w:before="120"/>
      <w:textAlignment w:val="baseline"/>
    </w:pPr>
    <w:rPr>
      <w:rFonts w:ascii="Arial" w:hAnsi="Arial" w:eastAsia="仿宋"/>
      <w:sz w:val="24"/>
    </w:rPr>
  </w:style>
  <w:style w:type="character" w:customStyle="1" w:styleId="162">
    <w:name w:val="font61"/>
    <w:basedOn w:val="38"/>
    <w:qFormat/>
    <w:uiPriority w:val="0"/>
    <w:rPr>
      <w:rFonts w:hint="eastAsia" w:ascii="宋体" w:hAnsi="宋体" w:eastAsia="宋体" w:cs="宋体"/>
      <w:b/>
      <w:bCs/>
      <w:color w:val="000000"/>
      <w:sz w:val="20"/>
      <w:szCs w:val="20"/>
      <w:u w:val="none"/>
    </w:rPr>
  </w:style>
  <w:style w:type="paragraph" w:customStyle="1" w:styleId="163">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正文文本缩进_2"/>
    <w:basedOn w:val="164"/>
    <w:qFormat/>
    <w:uiPriority w:val="0"/>
    <w:pPr>
      <w:spacing w:line="500" w:lineRule="exact"/>
      <w:ind w:left="1588" w:leftChars="832" w:firstLine="433" w:firstLineChars="196"/>
    </w:pPr>
    <w:rPr>
      <w:rFonts w:ascii="Times New Roman" w:hAnsi="Times New Roman"/>
      <w:kern w:val="0"/>
      <w:sz w:val="24"/>
      <w:szCs w:val="24"/>
    </w:rPr>
  </w:style>
  <w:style w:type="paragraph" w:customStyle="1" w:styleId="166">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67">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68">
    <w:name w:val="BodyText1I2"/>
    <w:basedOn w:val="169"/>
    <w:qFormat/>
    <w:uiPriority w:val="0"/>
    <w:pPr>
      <w:ind w:firstLine="420" w:firstLineChars="200"/>
    </w:pPr>
  </w:style>
  <w:style w:type="paragraph" w:customStyle="1" w:styleId="169">
    <w:name w:val="BodyTextIndent"/>
    <w:basedOn w:val="1"/>
    <w:qFormat/>
    <w:uiPriority w:val="0"/>
    <w:pPr>
      <w:ind w:firstLine="480"/>
      <w:textAlignment w:val="baseline"/>
    </w:pPr>
    <w:rPr>
      <w:rFonts w:ascii="宋体" w:hAnsi="宋体"/>
      <w:sz w:val="24"/>
    </w:rPr>
  </w:style>
  <w:style w:type="paragraph" w:customStyle="1" w:styleId="170">
    <w:name w:val="正文文本_1"/>
    <w:basedOn w:val="171"/>
    <w:unhideWhenUsed/>
    <w:qFormat/>
    <w:uiPriority w:val="0"/>
    <w:pPr>
      <w:spacing w:after="120"/>
    </w:pPr>
    <w:rPr>
      <w:rFonts w:ascii="Calibri" w:hAnsi="Calibri" w:eastAsia="宋体" w:cs="Times New Roman"/>
    </w:rPr>
  </w:style>
  <w:style w:type="paragraph" w:customStyle="1" w:styleId="171">
    <w:name w:val="正文_1_0"/>
    <w:next w:val="172"/>
    <w:qFormat/>
    <w:uiPriority w:val="0"/>
    <w:pPr>
      <w:widowControl w:val="0"/>
      <w:jc w:val="both"/>
    </w:pPr>
    <w:rPr>
      <w:rFonts w:ascii="Times New Roman" w:hAnsi="Times New Roman" w:eastAsia="宋体" w:cs="Times New Roman"/>
      <w:lang w:val="en-US" w:eastAsia="zh-CN" w:bidi="ar-SA"/>
    </w:rPr>
  </w:style>
  <w:style w:type="paragraph" w:customStyle="1" w:styleId="172">
    <w:name w:val="正文首行缩进1"/>
    <w:basedOn w:val="173"/>
    <w:unhideWhenUsed/>
    <w:qFormat/>
    <w:uiPriority w:val="99"/>
    <w:pPr>
      <w:ind w:firstLine="420" w:firstLineChars="100"/>
    </w:pPr>
    <w:rPr>
      <w:szCs w:val="22"/>
    </w:rPr>
  </w:style>
  <w:style w:type="paragraph" w:customStyle="1" w:styleId="173">
    <w:name w:val="正文文本_0_0"/>
    <w:basedOn w:val="174"/>
    <w:qFormat/>
    <w:uiPriority w:val="99"/>
    <w:rPr>
      <w:rFonts w:ascii="Calibri" w:hAnsi="Calibri" w:eastAsia="黑体"/>
      <w:kern w:val="0"/>
      <w:sz w:val="36"/>
      <w:szCs w:val="24"/>
    </w:rPr>
  </w:style>
  <w:style w:type="paragraph" w:customStyle="1" w:styleId="174">
    <w:name w:val="正文_12_0"/>
    <w:basedOn w:val="175"/>
    <w:qFormat/>
    <w:uiPriority w:val="0"/>
    <w:rPr>
      <w:rFonts w:cs="Calibri"/>
      <w:szCs w:val="21"/>
    </w:rPr>
  </w:style>
  <w:style w:type="paragraph" w:customStyle="1" w:styleId="175">
    <w:name w:val="正文_1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Normal_1"/>
    <w:qFormat/>
    <w:uiPriority w:val="0"/>
    <w:pPr>
      <w:widowControl w:val="0"/>
      <w:jc w:val="both"/>
    </w:pPr>
    <w:rPr>
      <w:rFonts w:ascii="Calibri" w:hAnsi="Calibri" w:eastAsia="仿宋" w:cs="Calibri"/>
      <w:kern w:val="2"/>
      <w:sz w:val="21"/>
      <w:szCs w:val="24"/>
      <w:lang w:val="en-US" w:eastAsia="zh-CN" w:bidi="ar-SA"/>
    </w:rPr>
  </w:style>
  <w:style w:type="character" w:customStyle="1" w:styleId="177">
    <w:name w:val="普通(网站) Char"/>
    <w:link w:val="31"/>
    <w:qFormat/>
    <w:uiPriority w:val="0"/>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88</Pages>
  <Words>19590</Words>
  <Characters>21087</Characters>
  <Lines>510</Lines>
  <Paragraphs>143</Paragraphs>
  <TotalTime>20</TotalTime>
  <ScaleCrop>false</ScaleCrop>
  <LinksUpToDate>false</LinksUpToDate>
  <CharactersWithSpaces>21400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2017-12-11T10:56:00Z</dcterms:created>
  <dc:creator>s</dc:creator>
  <cp:lastModifiedBy>刘鑫龙</cp:lastModifiedBy>
  <cp:lastPrinted>2024-06-24T11:34:00Z</cp:lastPrinted>
  <dcterms:modified xsi:type="dcterms:W3CDTF">2025-06-05T09:52:05Z</dcterms:modified>
  <dc:title>投标人须知前附表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FDB1E36E26D745138130894F62C0E9EA_13</vt:lpwstr>
  </property>
  <property fmtid="{D5CDD505-2E9C-101B-9397-08002B2CF9AE}" pid="4" name="KSOTemplateDocerSaveRecord">
    <vt:lpwstr>eyJoZGlkIjoiMmE5MTkxYWU2N2EzMDNmMjg1OTk3MzA0ZWQwYmMxYTgiLCJ1c2VySWQiOiIxNDU4NTEzMzQ2In0=</vt:lpwstr>
  </property>
</Properties>
</file>