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p>
    <w:p>
      <w:pPr>
        <w:pStyle w:val="26"/>
        <w:jc w:val="center"/>
        <w:rPr>
          <w:rFonts w:hint="eastAsia"/>
          <w:sz w:val="20"/>
          <w:szCs w:val="22"/>
          <w:lang w:val="en-US" w:eastAsia="zh-CN"/>
        </w:rPr>
      </w:pPr>
      <w:r>
        <w:rPr>
          <w:rFonts w:hint="eastAsia" w:ascii="宋体" w:hAnsi="宋体" w:cs="宋体"/>
          <w:b/>
          <w:bCs/>
          <w:sz w:val="44"/>
          <w:szCs w:val="44"/>
          <w:lang w:val="en-US" w:eastAsia="zh-CN"/>
        </w:rPr>
        <w:t>2023年教育脱贫攻坚同乡村振兴有效衔接义务教育学校建设项目（设备采购）一包</w:t>
      </w:r>
    </w:p>
    <w:p>
      <w:pPr>
        <w:pStyle w:val="49"/>
        <w:rPr>
          <w:rFonts w:hint="default"/>
          <w:lang w:val="en-US" w:eastAsia="zh-CN"/>
        </w:rPr>
      </w:pPr>
    </w:p>
    <w:p>
      <w:pPr>
        <w:pStyle w:val="49"/>
        <w:rPr>
          <w:rFonts w:hint="default"/>
          <w:lang w:val="en-US" w:eastAsia="zh-CN"/>
        </w:rPr>
      </w:pPr>
    </w:p>
    <w:p>
      <w:pPr>
        <w:tabs>
          <w:tab w:val="center" w:pos="4215"/>
          <w:tab w:val="left" w:pos="6948"/>
        </w:tabs>
        <w:autoSpaceDE w:val="0"/>
        <w:autoSpaceDN w:val="0"/>
        <w:jc w:val="left"/>
        <w:rPr>
          <w:rFonts w:hint="eastAsia" w:ascii="宋体" w:hAnsi="宋体" w:eastAsia="宋体" w:cs="楷体"/>
          <w:b/>
          <w:bCs/>
          <w:sz w:val="72"/>
          <w:szCs w:val="72"/>
          <w:lang w:val="en-US" w:eastAsia="zh-CN"/>
        </w:rPr>
      </w:pPr>
      <w:r>
        <w:rPr>
          <w:rFonts w:hint="eastAsia" w:ascii="宋体" w:hAnsi="宋体" w:cs="楷体"/>
          <w:b/>
          <w:bCs/>
          <w:sz w:val="72"/>
          <w:szCs w:val="72"/>
          <w:lang w:val="en-US" w:eastAsia="zh-CN"/>
        </w:rPr>
        <w:tab/>
      </w:r>
      <w:r>
        <w:rPr>
          <w:rFonts w:hint="eastAsia" w:ascii="宋体" w:hAnsi="宋体" w:eastAsia="宋体" w:cs="楷体"/>
          <w:b/>
          <w:bCs/>
          <w:sz w:val="72"/>
          <w:szCs w:val="72"/>
          <w:lang w:val="en-US" w:eastAsia="zh-CN"/>
        </w:rPr>
        <w:t>招</w:t>
      </w:r>
      <w:r>
        <w:rPr>
          <w:rFonts w:hint="eastAsia" w:ascii="宋体" w:hAnsi="宋体" w:cs="楷体"/>
          <w:b/>
          <w:bCs/>
          <w:sz w:val="72"/>
          <w:szCs w:val="72"/>
          <w:lang w:val="en-US" w:eastAsia="zh-CN"/>
        </w:rPr>
        <w:tab/>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件</w:t>
      </w:r>
    </w:p>
    <w:p>
      <w:pPr>
        <w:pStyle w:val="49"/>
        <w:ind w:left="0" w:leftChars="0" w:firstLine="0" w:firstLineChars="0"/>
        <w:rPr>
          <w:rFonts w:hint="eastAsia"/>
          <w:lang w:val="zh-CN"/>
        </w:rPr>
      </w:pPr>
    </w:p>
    <w:p>
      <w:pPr>
        <w:pStyle w:val="49"/>
        <w:ind w:left="0" w:leftChars="0" w:firstLine="0" w:firstLineChars="0"/>
        <w:rPr>
          <w:rFonts w:hint="eastAsia"/>
          <w:lang w:val="zh-CN"/>
        </w:rPr>
      </w:pPr>
    </w:p>
    <w:p>
      <w:pPr>
        <w:widowControl/>
        <w:autoSpaceDE w:val="0"/>
        <w:autoSpaceDN w:val="0"/>
        <w:spacing w:line="600" w:lineRule="auto"/>
        <w:ind w:right="-28" w:firstLine="849" w:firstLineChars="300"/>
        <w:textAlignment w:val="bottom"/>
        <w:rPr>
          <w:rFonts w:hint="eastAsia" w:ascii="宋体" w:hAnsi="宋体" w:cs="宋体"/>
          <w:b/>
          <w:kern w:val="2"/>
          <w:sz w:val="28"/>
          <w:szCs w:val="22"/>
          <w:lang w:val="en-US" w:eastAsia="zh-CN" w:bidi="ar-SA"/>
        </w:rPr>
      </w:pPr>
      <w:r>
        <w:rPr>
          <w:rFonts w:hint="eastAsia" w:ascii="宋体" w:hAnsi="宋体"/>
          <w:b/>
          <w:sz w:val="28"/>
          <w:szCs w:val="22"/>
        </w:rPr>
        <w:t>采 购 人：</w:t>
      </w:r>
      <w:r>
        <w:rPr>
          <w:rFonts w:hint="eastAsia" w:ascii="宋体" w:hAnsi="宋体" w:cs="宋体"/>
          <w:b/>
          <w:kern w:val="2"/>
          <w:sz w:val="28"/>
          <w:szCs w:val="22"/>
          <w:lang w:val="en-US" w:eastAsia="zh-CN" w:bidi="ar-SA"/>
        </w:rPr>
        <w:t>阿图什市教育局（盖章）</w:t>
      </w:r>
    </w:p>
    <w:p>
      <w:pPr>
        <w:pStyle w:val="2"/>
        <w:spacing w:line="600" w:lineRule="auto"/>
        <w:ind w:firstLine="849" w:firstLineChars="300"/>
        <w:rPr>
          <w:rFonts w:hint="default"/>
          <w:lang w:val="en-US" w:eastAsia="zh-CN"/>
        </w:rPr>
      </w:pPr>
      <w:r>
        <w:rPr>
          <w:rFonts w:hint="eastAsia" w:ascii="宋体" w:hAnsi="宋体" w:cs="宋体"/>
          <w:b/>
          <w:kern w:val="2"/>
          <w:sz w:val="28"/>
          <w:szCs w:val="22"/>
          <w:lang w:val="en-US" w:eastAsia="zh-CN" w:bidi="ar-SA"/>
        </w:rPr>
        <w:t xml:space="preserve">法定代表人或授权人： </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lang w:val="en-US" w:eastAsia="zh-CN"/>
        </w:rPr>
        <w:t xml:space="preserve">沙先生            </w:t>
      </w:r>
      <w:r>
        <w:rPr>
          <w:rFonts w:hint="eastAsia" w:ascii="宋体" w:hAnsi="宋体"/>
          <w:b/>
          <w:sz w:val="28"/>
          <w:szCs w:val="22"/>
          <w:lang w:eastAsia="zh-CN"/>
        </w:rPr>
        <w:t>联系电话</w:t>
      </w:r>
      <w:r>
        <w:rPr>
          <w:rFonts w:hint="eastAsia" w:ascii="宋体" w:hAnsi="宋体"/>
          <w:b/>
          <w:sz w:val="28"/>
          <w:szCs w:val="22"/>
        </w:rPr>
        <w:t xml:space="preserve">   </w:t>
      </w:r>
      <w:r>
        <w:rPr>
          <w:rFonts w:hint="eastAsia" w:ascii="宋体" w:hAnsi="宋体"/>
          <w:b/>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中轩项目管理有限公司（盖章）</w:t>
      </w:r>
    </w:p>
    <w:p>
      <w:pPr>
        <w:pStyle w:val="2"/>
        <w:spacing w:line="600" w:lineRule="auto"/>
        <w:ind w:firstLine="849" w:firstLineChars="300"/>
        <w:rPr>
          <w:rFonts w:hint="eastAsia"/>
          <w:lang w:eastAsia="zh-CN"/>
        </w:rPr>
      </w:pPr>
      <w:r>
        <w:rPr>
          <w:rFonts w:hint="eastAsia" w:ascii="宋体" w:hAnsi="宋体" w:cs="宋体"/>
          <w:b/>
          <w:kern w:val="2"/>
          <w:sz w:val="28"/>
          <w:szCs w:val="22"/>
          <w:lang w:val="en-US" w:eastAsia="zh-CN" w:bidi="ar-SA"/>
        </w:rPr>
        <w:t>法定代表人或授权人：</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lang w:val="en-US" w:eastAsia="zh-CN"/>
        </w:rPr>
      </w:pPr>
    </w:p>
    <w:p>
      <w:pPr>
        <w:pStyle w:val="5"/>
        <w:numPr>
          <w:ilvl w:val="1"/>
          <w:numId w:val="0"/>
        </w:numPr>
        <w:rPr>
          <w:rFonts w:hint="default"/>
          <w:lang w:val="en-US" w:eastAsia="zh-CN"/>
        </w:rPr>
      </w:pPr>
    </w:p>
    <w:p>
      <w:pPr>
        <w:rPr>
          <w:rFonts w:hint="default"/>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sz w:val="32"/>
          <w:szCs w:val="32"/>
        </w:rPr>
      </w:pPr>
      <w:r>
        <w:rPr>
          <w:rFonts w:hint="eastAsia" w:ascii="宋体" w:hAnsi="宋体" w:cs="宋体"/>
          <w:b/>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rPr>
            </w:pPr>
            <w:bookmarkStart w:id="0" w:name="_Hlt10529670"/>
            <w:bookmarkEnd w:id="0"/>
            <w:bookmarkStart w:id="1" w:name="_Hlt10524010"/>
            <w:bookmarkEnd w:id="1"/>
            <w:bookmarkStart w:id="2" w:name="_Hlt10567911"/>
            <w:bookmarkEnd w:id="2"/>
            <w:bookmarkStart w:id="3" w:name="_Hlt42956379"/>
            <w:bookmarkEnd w:id="3"/>
            <w:bookmarkStart w:id="4" w:name="_Hlt10519329"/>
            <w:bookmarkEnd w:id="4"/>
            <w:bookmarkStart w:id="5" w:name="_Hlt10524029"/>
            <w:bookmarkEnd w:id="5"/>
            <w:bookmarkStart w:id="6" w:name="_Hlt10523642"/>
            <w:bookmarkEnd w:id="6"/>
            <w:bookmarkStart w:id="7" w:name="_Hlt10462525"/>
            <w:bookmarkEnd w:id="7"/>
            <w:bookmarkStart w:id="8" w:name="_Hlt42956360"/>
            <w:bookmarkEnd w:id="8"/>
            <w:bookmarkStart w:id="9" w:name="_Hlt10524018"/>
            <w:bookmarkEnd w:id="9"/>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sz w:val="30"/>
                <w:szCs w:val="30"/>
                <w:lang w:val="zh-CN"/>
              </w:rPr>
            </w:pPr>
            <w:r>
              <w:rPr>
                <w:rFonts w:hint="eastAsia" w:ascii="宋体" w:hAnsi="宋体" w:cs="宋体"/>
                <w:sz w:val="30"/>
                <w:szCs w:val="30"/>
              </w:rPr>
              <w:t>招 标 人:</w:t>
            </w:r>
            <w:r>
              <w:rPr>
                <w:rFonts w:hint="eastAsia" w:ascii="宋体" w:hAnsi="宋体" w:cs="宋体"/>
                <w:sz w:val="30"/>
                <w:szCs w:val="30"/>
                <w:lang w:eastAsia="zh-CN"/>
              </w:rPr>
              <w:t>阿图什市教育局</w:t>
            </w:r>
          </w:p>
          <w:p>
            <w:pPr>
              <w:pStyle w:val="5"/>
              <w:numPr>
                <w:ilvl w:val="0"/>
                <w:numId w:val="0"/>
              </w:numPr>
              <w:rPr>
                <w:rFonts w:hint="eastAsia" w:ascii="宋体" w:hAnsi="宋体" w:cs="宋体"/>
              </w:rPr>
            </w:pPr>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b/>
                <w:sz w:val="32"/>
              </w:rPr>
            </w:pPr>
          </w:p>
          <w:p>
            <w:pPr>
              <w:pStyle w:val="26"/>
              <w:ind w:left="0" w:leftChars="0" w:firstLine="0" w:firstLineChars="0"/>
              <w:jc w:val="both"/>
              <w:rPr>
                <w:rFonts w:hint="eastAsia" w:ascii="宋体" w:hAnsi="宋体" w:eastAsia="宋体" w:cs="宋体"/>
                <w:sz w:val="30"/>
                <w:szCs w:val="30"/>
                <w:lang w:val="en-US" w:eastAsia="zh-CN"/>
              </w:rPr>
            </w:pPr>
            <w:r>
              <w:rPr>
                <w:rFonts w:hint="eastAsia" w:ascii="宋体" w:hAnsi="宋体" w:eastAsia="宋体" w:cs="宋体"/>
                <w:sz w:val="30"/>
                <w:szCs w:val="30"/>
                <w:lang w:eastAsia="zh-CN"/>
              </w:rPr>
              <w:t>项目名称：</w:t>
            </w:r>
            <w:r>
              <w:rPr>
                <w:rFonts w:hint="eastAsia" w:ascii="宋体" w:hAnsi="宋体" w:eastAsia="宋体" w:cs="宋体"/>
                <w:sz w:val="30"/>
                <w:szCs w:val="30"/>
                <w:lang w:val="en-US" w:eastAsia="zh-CN"/>
              </w:rPr>
              <w:t>2023年教育脱贫攻坚同乡村振兴</w:t>
            </w:r>
            <w:r>
              <w:rPr>
                <w:rFonts w:hint="eastAsia" w:ascii="宋体" w:hAnsi="宋体" w:cs="宋体"/>
                <w:sz w:val="30"/>
                <w:szCs w:val="30"/>
                <w:lang w:val="en-US" w:eastAsia="zh-CN"/>
              </w:rPr>
              <w:t>有效</w:t>
            </w:r>
            <w:r>
              <w:rPr>
                <w:rFonts w:hint="eastAsia" w:ascii="宋体" w:hAnsi="宋体" w:eastAsia="宋体" w:cs="宋体"/>
                <w:sz w:val="30"/>
                <w:szCs w:val="30"/>
                <w:lang w:val="en-US" w:eastAsia="zh-CN"/>
              </w:rPr>
              <w:t>衔接义务教育学校建设项目（设备采购）一包</w:t>
            </w:r>
          </w:p>
          <w:p>
            <w:pPr>
              <w:widowControl/>
              <w:adjustRightInd w:val="0"/>
              <w:spacing w:before="100" w:after="100" w:line="360" w:lineRule="auto"/>
              <w:jc w:val="left"/>
              <w:rPr>
                <w:rFonts w:hint="eastAsia" w:ascii="宋体" w:hAnsi="宋体" w:eastAsia="宋体" w:cs="宋体"/>
                <w:sz w:val="30"/>
                <w:szCs w:val="30"/>
                <w:lang w:eastAsia="zh-CN"/>
              </w:rPr>
            </w:pPr>
          </w:p>
          <w:p>
            <w:pPr>
              <w:pStyle w:val="26"/>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26"/>
              <w:rPr>
                <w:rFonts w:hint="eastAsia"/>
                <w:lang w:eastAsia="zh-CN"/>
              </w:rPr>
            </w:pPr>
          </w:p>
          <w:p>
            <w:pPr>
              <w:widowControl/>
              <w:adjustRightInd w:val="0"/>
              <w:spacing w:before="100" w:after="100" w:line="360" w:lineRule="auto"/>
              <w:jc w:val="left"/>
              <w:rPr>
                <w:rFonts w:hint="eastAsia" w:ascii="宋体" w:hAnsi="宋体" w:eastAsia="宋体" w:cs="宋体"/>
                <w:sz w:val="30"/>
                <w:szCs w:val="30"/>
                <w:lang w:eastAsia="zh-CN"/>
              </w:rPr>
            </w:pPr>
          </w:p>
          <w:p>
            <w:pPr>
              <w:widowControl/>
              <w:adjustRightInd w:val="0"/>
              <w:spacing w:before="100" w:after="100" w:line="360" w:lineRule="auto"/>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招标代理机构：</w:t>
            </w:r>
            <w:r>
              <w:rPr>
                <w:rFonts w:hint="eastAsia" w:ascii="宋体" w:hAnsi="宋体" w:cs="宋体"/>
                <w:sz w:val="30"/>
                <w:szCs w:val="30"/>
                <w:lang w:val="zh-CN" w:eastAsia="zh-CN"/>
              </w:rPr>
              <w:t>中轩项目管理有限公司</w:t>
            </w:r>
          </w:p>
          <w:p>
            <w:pPr>
              <w:pStyle w:val="26"/>
              <w:ind w:left="0" w:leftChars="0" w:firstLine="0" w:firstLineChars="0"/>
              <w:rPr>
                <w:rFonts w:hint="eastAsia" w:ascii="宋体" w:hAnsi="宋体" w:eastAsia="宋体" w:cs="宋体"/>
                <w:sz w:val="30"/>
                <w:szCs w:val="30"/>
                <w:lang w:eastAsia="zh-CN"/>
              </w:rPr>
            </w:pPr>
          </w:p>
          <w:p>
            <w:pPr>
              <w:rPr>
                <w:rFonts w:hint="eastAsia"/>
                <w:lang w:eastAsia="zh-CN"/>
              </w:rPr>
            </w:pPr>
          </w:p>
          <w:p>
            <w:pPr>
              <w:pStyle w:val="26"/>
              <w:rPr>
                <w:rFonts w:hint="eastAsia"/>
                <w:lang w:eastAsia="zh-CN"/>
              </w:rPr>
            </w:pPr>
          </w:p>
          <w:p>
            <w:pPr>
              <w:widowControl/>
              <w:adjustRightInd w:val="0"/>
              <w:spacing w:before="100" w:after="100" w:line="360" w:lineRule="auto"/>
              <w:ind w:firstLine="2121" w:firstLineChars="700"/>
              <w:jc w:val="left"/>
              <w:rPr>
                <w:rFonts w:hint="eastAsia" w:ascii="宋体" w:hAnsi="宋体" w:cs="宋体"/>
                <w:sz w:val="32"/>
                <w:szCs w:val="32"/>
              </w:rPr>
            </w:pPr>
            <w:r>
              <w:rPr>
                <w:rFonts w:hint="eastAsia" w:ascii="宋体" w:hAnsi="宋体" w:eastAsia="宋体" w:cs="宋体"/>
                <w:sz w:val="30"/>
                <w:szCs w:val="30"/>
                <w:lang w:eastAsia="zh-CN"/>
              </w:rPr>
              <w:t>本采购项目招标文件已报备</w:t>
            </w:r>
          </w:p>
        </w:tc>
      </w:tr>
    </w:tbl>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kern w:val="2"/>
          <w:sz w:val="28"/>
          <w:szCs w:val="28"/>
          <w:lang w:val="en-US" w:eastAsia="zh-CN" w:bidi="ar-SA"/>
        </w:rPr>
      </w:pPr>
      <w:bookmarkStart w:id="10" w:name="_Toc469495721"/>
      <w:bookmarkStart w:id="11" w:name="_Toc469495723"/>
      <w:r>
        <w:rPr>
          <w:rFonts w:hint="eastAsia" w:ascii="宋体" w:hAnsi="宋体" w:eastAsia="宋体" w:cs="宋体"/>
          <w:b/>
          <w:bCs/>
          <w:kern w:val="2"/>
          <w:sz w:val="28"/>
          <w:szCs w:val="28"/>
          <w:lang w:val="en-US" w:eastAsia="zh-CN" w:bidi="ar-SA"/>
        </w:rPr>
        <w:t>2023年教育脱贫攻坚同乡村振兴</w:t>
      </w:r>
      <w:r>
        <w:rPr>
          <w:rFonts w:hint="eastAsia" w:ascii="宋体" w:hAnsi="宋体" w:cs="宋体"/>
          <w:b/>
          <w:bCs/>
          <w:kern w:val="2"/>
          <w:sz w:val="28"/>
          <w:szCs w:val="28"/>
          <w:lang w:val="en-US" w:eastAsia="zh-CN" w:bidi="ar-SA"/>
        </w:rPr>
        <w:t>有效</w:t>
      </w:r>
      <w:r>
        <w:rPr>
          <w:rFonts w:hint="eastAsia" w:ascii="宋体" w:hAnsi="宋体" w:eastAsia="宋体" w:cs="宋体"/>
          <w:b/>
          <w:bCs/>
          <w:kern w:val="2"/>
          <w:sz w:val="28"/>
          <w:szCs w:val="28"/>
          <w:lang w:val="en-US" w:eastAsia="zh-CN" w:bidi="ar-SA"/>
        </w:rPr>
        <w:t>衔接义务教育学校建设项目（设备采购）一包公开招标公告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kern w:val="2"/>
          <w:sz w:val="21"/>
          <w:szCs w:val="21"/>
          <w:lang w:val="en-US" w:eastAsia="zh-CN" w:bidi="ar-SA"/>
        </w:rPr>
        <w:t>06</w:t>
      </w:r>
      <w:r>
        <w:rPr>
          <w:rFonts w:hint="eastAsia" w:ascii="宋体" w:hAnsi="宋体" w:eastAsia="宋体" w:cs="宋体"/>
          <w:kern w:val="2"/>
          <w:sz w:val="21"/>
          <w:szCs w:val="21"/>
          <w:lang w:val="en-US" w:eastAsia="zh-CN" w:bidi="ar-SA"/>
        </w:rPr>
        <w:t>月</w:t>
      </w:r>
      <w:r>
        <w:rPr>
          <w:rFonts w:hint="eastAsia" w:cs="宋体"/>
          <w:kern w:val="2"/>
          <w:sz w:val="21"/>
          <w:szCs w:val="21"/>
          <w:lang w:val="en-US" w:eastAsia="zh-CN" w:bidi="ar-SA"/>
        </w:rPr>
        <w:t xml:space="preserve">19 </w:t>
      </w:r>
      <w:r>
        <w:rPr>
          <w:rFonts w:hint="eastAsia" w:ascii="宋体" w:hAnsi="宋体" w:eastAsia="宋体" w:cs="宋体"/>
          <w:kern w:val="2"/>
          <w:sz w:val="21"/>
          <w:szCs w:val="21"/>
          <w:lang w:val="en-US" w:eastAsia="zh-CN" w:bidi="ar-SA"/>
        </w:rPr>
        <w:t>日1</w:t>
      </w:r>
      <w:r>
        <w:rPr>
          <w:rFonts w:hint="eastAsia" w:cs="宋体"/>
          <w:kern w:val="2"/>
          <w:sz w:val="21"/>
          <w:szCs w:val="21"/>
          <w:lang w:val="en-US" w:eastAsia="zh-CN" w:bidi="ar-SA"/>
        </w:rPr>
        <w:t>0</w:t>
      </w: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最高限价（元）：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采购需求：信息技术及体育器材一批（数量及参数详见招标文件）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标项名称:2023年教育脱贫攻坚同乡村振兴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数量:1</w:t>
      </w:r>
      <w:r>
        <w:rPr>
          <w:rFonts w:hint="eastAsia" w:cs="宋体"/>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简要规格描述或项目基本概况介绍、用途：信息技术及体育器材一批（数量及参数详见招标文件）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合同履约期限：标项 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2.落实政府采购政策需满足的资格要求：标项1：供应商为中小企业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本项目的特定资格要求：标项1：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时间：2023年</w:t>
      </w:r>
      <w:r>
        <w:rPr>
          <w:rFonts w:hint="eastAsia"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 xml:space="preserve"> 29</w:t>
      </w:r>
      <w:r>
        <w:rPr>
          <w:rFonts w:hint="eastAsia" w:ascii="宋体" w:hAnsi="宋体" w:eastAsia="宋体" w:cs="宋体"/>
          <w:kern w:val="2"/>
          <w:sz w:val="21"/>
          <w:szCs w:val="21"/>
          <w:highlight w:val="none"/>
          <w:lang w:val="en-US" w:eastAsia="zh-CN" w:bidi="ar-SA"/>
        </w:rPr>
        <w:t>日至2023年</w:t>
      </w:r>
      <w:r>
        <w:rPr>
          <w:rFonts w:hint="eastAsia"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日，每天上午10:00至1</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0，下午16:</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0至</w:t>
      </w:r>
      <w:r>
        <w:rPr>
          <w:rFonts w:hint="eastAsia"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提交投标文件截止时间：202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 xml:space="preserve"> 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 xml:space="preserve">19 </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开标时间：202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19</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7"/>
          <w:szCs w:val="27"/>
          <w:lang w:val="en-US" w:eastAsia="zh-CN"/>
        </w:rPr>
        <w:t xml:space="preserve"> </w:t>
      </w:r>
      <w:r>
        <w:rPr>
          <w:rFonts w:hint="eastAsia" w:ascii="宋体" w:hAnsi="宋体" w:eastAsia="宋体" w:cs="宋体"/>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sz w:val="21"/>
          <w:szCs w:val="21"/>
          <w:lang w:eastAsia="zh-CN"/>
        </w:rPr>
        <w:t xml:space="preserve">95763 </w:t>
      </w:r>
      <w:r>
        <w:rPr>
          <w:rFonts w:hint="eastAsia" w:ascii="宋体" w:hAnsi="宋体" w:eastAsia="宋体" w:cs="宋体"/>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cs="宋体"/>
          <w:sz w:val="21"/>
          <w:szCs w:val="21"/>
          <w:lang w:val="en-US" w:eastAsia="zh-CN"/>
        </w:rPr>
        <w:t xml:space="preserve">    </w:t>
      </w:r>
      <w:r>
        <w:rPr>
          <w:rFonts w:hint="eastAsia" w:ascii="宋体" w:hAnsi="宋体" w:eastAsia="宋体" w:cs="宋体"/>
          <w:sz w:val="21"/>
          <w:szCs w:val="21"/>
        </w:rPr>
        <w:t>5.供应商在开标时须使用制作加密电子投标文件所使用的CA锁及电脑，电脑须提前配置好浏览器（建议使用谷歌浏览器），以便开标时解锁。</w:t>
      </w:r>
      <w:r>
        <w:rPr>
          <w:rFonts w:hint="eastAsia" w:cs="宋体"/>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rPr>
      </w:pPr>
      <w:r>
        <w:rPr>
          <w:rFonts w:hint="eastAsia" w:cs="宋体"/>
          <w:sz w:val="21"/>
          <w:szCs w:val="21"/>
          <w:lang w:val="en-US" w:eastAsia="zh-CN"/>
        </w:rPr>
        <w:t xml:space="preserve">   </w:t>
      </w:r>
      <w:r>
        <w:rPr>
          <w:rFonts w:hint="eastAsia" w:ascii="宋体" w:hAnsi="宋体" w:eastAsia="宋体" w:cs="宋体"/>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衔接义务教育学校建设项目（设备采购）一包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项目编号：ATSCG-2023032-1</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采购内容：信息技术及体育器材一批（数量及参数详见招标文件）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233</w:t>
            </w:r>
            <w:r>
              <w:rPr>
                <w:rFonts w:hint="eastAsia" w:ascii="Times New Roman" w:hAnsi="Times New Roman" w:eastAsia="宋体" w:cs="Times New Roman"/>
                <w:color w:val="auto"/>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233</w:t>
            </w:r>
            <w:r>
              <w:rPr>
                <w:rFonts w:hint="eastAsia" w:ascii="Times New Roman" w:hAnsi="Times New Roman" w:eastAsia="宋体" w:cs="Times New Roman"/>
                <w:b/>
                <w:bCs/>
                <w:color w:val="auto"/>
                <w:kern w:val="2"/>
                <w:sz w:val="21"/>
                <w:szCs w:val="21"/>
                <w:lang w:val="en-US" w:eastAsia="zh-CN" w:bidi="ar-SA"/>
              </w:rPr>
              <w:t>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46</w:t>
            </w:r>
            <w:r>
              <w:rPr>
                <w:rFonts w:hint="eastAsia" w:ascii="宋体" w:hAnsi="宋体" w:cs="宋体-18030"/>
                <w:b/>
                <w:bCs w:val="0"/>
                <w:color w:val="auto"/>
                <w:szCs w:val="21"/>
              </w:rPr>
              <w:t>000</w:t>
            </w:r>
            <w:r>
              <w:rPr>
                <w:rFonts w:hint="eastAsia" w:hAnsi="宋体" w:cs="宋体-18030"/>
                <w:b/>
                <w:bCs w:val="0"/>
                <w:color w:val="auto"/>
                <w:szCs w:val="21"/>
                <w:lang w:val="en-US" w:eastAsia="zh-CN"/>
              </w:rPr>
              <w:t>.00</w:t>
            </w:r>
            <w:r>
              <w:rPr>
                <w:rFonts w:hint="eastAsia" w:ascii="宋体" w:hAnsi="宋体" w:cs="宋体-18030"/>
                <w:b/>
                <w:bCs w:val="0"/>
                <w:color w:val="auto"/>
                <w:szCs w:val="21"/>
              </w:rPr>
              <w:t>元（</w:t>
            </w:r>
            <w:r>
              <w:rPr>
                <w:rFonts w:hint="eastAsia" w:hAnsi="宋体" w:cs="宋体-18030"/>
                <w:b/>
                <w:bCs w:val="0"/>
                <w:color w:val="auto"/>
                <w:szCs w:val="21"/>
                <w:lang w:eastAsia="zh-CN"/>
              </w:rPr>
              <w:t>肆万陆仟</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投标保证金的金额：46000元；（</w:t>
            </w:r>
            <w:r>
              <w:rPr>
                <w:rFonts w:hint="eastAsia" w:hAnsi="宋体" w:cs="宋体-18030"/>
                <w:b w:val="0"/>
                <w:bCs/>
                <w:color w:val="auto"/>
                <w:szCs w:val="21"/>
                <w:lang w:eastAsia="zh-CN"/>
              </w:rPr>
              <w:t>肆万陆仟</w:t>
            </w:r>
            <w:r>
              <w:rPr>
                <w:rFonts w:hint="eastAsia" w:ascii="宋体" w:hAnsi="宋体" w:cs="宋体-18030"/>
                <w:b w:val="0"/>
                <w:bCs/>
                <w:color w:val="auto"/>
                <w:szCs w:val="21"/>
              </w:rPr>
              <w:t>元</w:t>
            </w:r>
            <w:r>
              <w:rPr>
                <w:rFonts w:hint="eastAsia" w:ascii="宋体" w:hAnsi="宋体" w:eastAsia="宋体" w:cs="宋体"/>
                <w:b w:val="0"/>
                <w:bCs/>
                <w:color w:val="auto"/>
                <w:szCs w:val="21"/>
                <w:lang w:val="en-US" w:eastAsia="zh-CN"/>
              </w:rPr>
              <w:t>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投标保证金缴纳要求：1、投标保证金以电汇、网银等转账形式提交的，应在投标截止时间2023年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 xml:space="preserve"> 6</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 26 </w:t>
            </w:r>
            <w:r>
              <w:rPr>
                <w:rFonts w:hint="eastAsia" w:hAnsi="Times New Roman" w:cs="Times New Roman"/>
                <w:b w:val="0"/>
                <w:bCs/>
                <w:color w:val="auto"/>
                <w:sz w:val="21"/>
                <w:szCs w:val="21"/>
                <w:highlight w:val="none"/>
                <w:lang w:val="en-US" w:eastAsia="zh-CN"/>
              </w:rPr>
              <w:t>日19:30前提供纸质投标文件四份并承诺与纸质投标文件内容一致的承诺书至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 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152042315"/>
      <w:bookmarkStart w:id="15" w:name="_Toc247592876"/>
      <w:bookmarkStart w:id="16" w:name="_Toc247513962"/>
      <w:bookmarkStart w:id="17" w:name="_Toc152045539"/>
      <w:bookmarkStart w:id="18" w:name="_Toc296602429"/>
      <w:bookmarkStart w:id="19" w:name="_Toc247527563"/>
      <w:bookmarkStart w:id="20" w:name="_Toc144974507"/>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13963"/>
      <w:bookmarkStart w:id="22" w:name="_Toc296602430"/>
      <w:bookmarkStart w:id="23" w:name="_Toc152045540"/>
      <w:bookmarkStart w:id="24" w:name="_Toc247527564"/>
      <w:bookmarkStart w:id="25" w:name="_Toc144974508"/>
      <w:bookmarkStart w:id="26" w:name="_Toc247592877"/>
      <w:bookmarkStart w:id="27" w:name="_Toc152042316"/>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469495733"/>
      <w:bookmarkStart w:id="49" w:name="_Toc362983802"/>
      <w:bookmarkStart w:id="50" w:name="_Toc267320058"/>
      <w:bookmarkStart w:id="51"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投标企业须提供投标人（被授权人）投标截止时间前半年内任意1个月的社保证明；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投标保证金收据或保函等票据</w:t>
            </w:r>
            <w:r>
              <w:rPr>
                <w:rFonts w:hint="eastAsia" w:ascii="宋体" w:hAnsi="宋体" w:cs="宋体"/>
                <w:kern w:val="2"/>
                <w:sz w:val="21"/>
                <w:szCs w:val="21"/>
                <w:lang w:val="en-US" w:eastAsia="zh-CN" w:bidi="ar-SA"/>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rPr>
            </w:pPr>
          </w:p>
        </w:tc>
        <w:tc>
          <w:tcPr>
            <w:tcW w:w="7074" w:type="dxa"/>
            <w:gridSpan w:val="2"/>
            <w:tcBorders>
              <w:bottom w:val="single" w:color="auto" w:sz="4" w:space="0"/>
            </w:tcBorders>
            <w:noWrap w:val="0"/>
            <w:vAlign w:val="top"/>
          </w:tcPr>
          <w:p>
            <w:pPr>
              <w:rPr>
                <w:rFonts w:hint="eastAsia" w:ascii="宋体" w:hAnsi="宋体" w:cs="宋体"/>
              </w:rPr>
            </w:pPr>
          </w:p>
        </w:tc>
        <w:tc>
          <w:tcPr>
            <w:tcW w:w="753"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szCs w:val="21"/>
              </w:rPr>
            </w:pPr>
          </w:p>
        </w:tc>
        <w:tc>
          <w:tcPr>
            <w:tcW w:w="749"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szCs w:val="21"/>
              </w:rPr>
            </w:pPr>
          </w:p>
        </w:tc>
        <w:tc>
          <w:tcPr>
            <w:tcW w:w="749"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margin" w:tblpXSpec="center" w:tblpY="83"/>
        <w:tblW w:w="9038" w:type="dxa"/>
        <w:tblCellSpacing w:w="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392"/>
        <w:gridCol w:w="985"/>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序号</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评审项目</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标准分</w:t>
            </w:r>
          </w:p>
        </w:tc>
        <w:tc>
          <w:tcPr>
            <w:tcW w:w="5846"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30分</w:t>
            </w:r>
          </w:p>
        </w:tc>
        <w:tc>
          <w:tcPr>
            <w:tcW w:w="5846" w:type="dxa"/>
            <w:tcBorders>
              <w:tl2br w:val="nil"/>
              <w:tr2bl w:val="nil"/>
            </w:tcBorders>
            <w:noWrap w:val="0"/>
            <w:vAlign w:val="center"/>
          </w:tcPr>
          <w:p>
            <w:pPr>
              <w:widowControl/>
              <w:spacing w:line="240" w:lineRule="auto"/>
              <w:jc w:val="left"/>
              <w:rPr>
                <w:rFonts w:hint="eastAsia" w:asciiTheme="minorEastAsia" w:hAnsiTheme="minorEastAsia" w:eastAsiaTheme="minorEastAsia" w:cstheme="minorEastAsia"/>
                <w:color w:val="000000"/>
                <w:szCs w:val="21"/>
                <w:highlight w:val="none"/>
                <w:lang w:bidi="ar-SA"/>
              </w:rPr>
            </w:pPr>
            <w:r>
              <w:rPr>
                <w:rFonts w:hint="eastAsia" w:asciiTheme="minorEastAsia" w:hAnsiTheme="minorEastAsia" w:eastAsiaTheme="minorEastAsia" w:cstheme="minorEastAsia"/>
                <w:color w:val="000000"/>
                <w:szCs w:val="21"/>
                <w:highlight w:val="none"/>
                <w:lang w:bidi="ar-SA"/>
              </w:rPr>
              <w:t>满足文件要求且最低价格为基准价，其价格分为满分，其他投标人的价格分按公式计算：报价得分＝（基准价／报价）x价格权值x100。【说明：给予小型、微型企业的价格给予6％-10％的扣除，用扣除后的价格参与评审，本项目具体扣除比例为6％。（小数点后保留二位小数，第三位四舍五入）。</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szCs w:val="21"/>
                <w:highlight w:val="none"/>
                <w:lang w:bidi="ar-SA"/>
              </w:rPr>
              <w:t>（投标总报价超过采购预算价的按废标处理。）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blCellSpacing w:w="0" w:type="dxa"/>
        </w:trPr>
        <w:tc>
          <w:tcPr>
            <w:tcW w:w="815"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392" w:type="dxa"/>
            <w:tcBorders>
              <w:tl2br w:val="nil"/>
              <w:tr2bl w:val="nil"/>
            </w:tcBorders>
            <w:noWrap w:val="0"/>
            <w:vAlign w:val="center"/>
          </w:tcPr>
          <w:p>
            <w:pPr>
              <w:rPr>
                <w:rFonts w:hint="eastAsia" w:asciiTheme="minorEastAsia" w:hAnsiTheme="minorEastAsia" w:eastAsiaTheme="minorEastAsia" w:cstheme="minorEastAsia"/>
                <w:color w:val="auto"/>
                <w:szCs w:val="21"/>
                <w:shd w:val="clear" w:color="auto" w:fill="auto"/>
                <w:lang w:eastAsia="zh-CN"/>
              </w:rPr>
            </w:pPr>
            <w:r>
              <w:rPr>
                <w:rFonts w:hint="eastAsia" w:asciiTheme="minorEastAsia" w:hAnsiTheme="minorEastAsia" w:eastAsiaTheme="minorEastAsia" w:cstheme="minorEastAsia"/>
                <w:color w:val="auto"/>
                <w:szCs w:val="21"/>
                <w:shd w:val="clear" w:color="auto" w:fill="auto"/>
                <w:lang w:eastAsia="zh-CN"/>
              </w:rPr>
              <w:t>产品性能技术参数及相关要求</w:t>
            </w:r>
          </w:p>
        </w:tc>
        <w:tc>
          <w:tcPr>
            <w:tcW w:w="985" w:type="dxa"/>
            <w:tcBorders>
              <w:tl2br w:val="nil"/>
              <w:tr2bl w:val="nil"/>
            </w:tcBorders>
            <w:noWrap w:val="0"/>
            <w:vAlign w:val="center"/>
          </w:tcPr>
          <w:p>
            <w:pPr>
              <w:widowControl/>
              <w:spacing w:line="240" w:lineRule="auto"/>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35分</w:t>
            </w:r>
          </w:p>
        </w:tc>
        <w:tc>
          <w:tcPr>
            <w:tcW w:w="5846" w:type="dxa"/>
            <w:tcBorders>
              <w:tl2br w:val="nil"/>
              <w:tr2bl w:val="nil"/>
            </w:tcBorders>
            <w:noWrap w:val="0"/>
            <w:vAlign w:val="center"/>
          </w:tcPr>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1.技术指标、参数完全符合招</w:t>
            </w:r>
            <w:bookmarkStart w:id="155" w:name="_GoBack"/>
            <w:bookmarkEnd w:id="155"/>
            <w:r>
              <w:rPr>
                <w:rFonts w:hint="eastAsia" w:asciiTheme="minorEastAsia" w:hAnsiTheme="minorEastAsia" w:eastAsiaTheme="minorEastAsia" w:cstheme="minorEastAsia"/>
                <w:kern w:val="0"/>
                <w:sz w:val="21"/>
                <w:szCs w:val="21"/>
                <w:lang w:val="en-US" w:eastAsia="zh-CN"/>
              </w:rPr>
              <w:t>标文件技术指标、参数要求的得35分,每不满足一项扣一分。</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2.相关产品获得省级及以上相关奖项。</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3.工艺要求交互平板全贴合工艺技术，提供相关证明文件并加盖公章。</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4.接口拥有交互平板前置接口盖板。</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所有的相关证明材料需加盖公章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实施方案</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val="en-US" w:eastAsia="zh-CN"/>
              </w:rPr>
              <w:t>10分</w:t>
            </w:r>
          </w:p>
        </w:tc>
        <w:tc>
          <w:tcPr>
            <w:tcW w:w="5846" w:type="dxa"/>
            <w:tcBorders>
              <w:tl2br w:val="nil"/>
              <w:tr2bl w:val="nil"/>
            </w:tcBorders>
            <w:noWrap w:val="0"/>
            <w:vAlign w:val="center"/>
          </w:tcPr>
          <w:p>
            <w:pPr>
              <w:jc w:val="left"/>
              <w:rPr>
                <w:rFonts w:hint="eastAsia"/>
                <w:lang w:val="en-US" w:eastAsia="zh-CN"/>
              </w:rPr>
            </w:pPr>
          </w:p>
          <w:p>
            <w:pPr>
              <w:jc w:val="left"/>
              <w:rPr>
                <w:rFonts w:hint="eastAsia"/>
                <w:lang w:val="en-US" w:eastAsia="zh-CN"/>
              </w:rPr>
            </w:pPr>
            <w:r>
              <w:rPr>
                <w:rFonts w:hint="eastAsia"/>
                <w:lang w:val="en-US" w:eastAsia="zh-CN"/>
              </w:rPr>
              <w:t>1．投标单位有合理的、详细的、流程清晰的、切实可行的、完整的项目实施方案；进行评价打分，优得5分，一般得2分，</w:t>
            </w:r>
          </w:p>
          <w:p>
            <w:pPr>
              <w:jc w:val="left"/>
              <w:rPr>
                <w:rFonts w:hint="eastAsia"/>
                <w:lang w:val="en-US" w:eastAsia="zh-CN"/>
              </w:rPr>
            </w:pPr>
            <w:r>
              <w:rPr>
                <w:rFonts w:hint="eastAsia"/>
                <w:lang w:val="en-US" w:eastAsia="zh-CN"/>
              </w:rPr>
              <w:t>2．投标人在充分响应招标文件要求的前提下做出相关违约惩罚措施或服务承诺，措施或承诺可行、合理的，进行评价打分。（提供书面材料）优得5分，一般得2分。</w:t>
            </w:r>
          </w:p>
          <w:p>
            <w:pPr>
              <w:pStyle w:val="5"/>
              <w:numPr>
                <w:ilvl w:val="1"/>
                <w:numId w:val="0"/>
              </w:numP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blCellSpacing w:w="0" w:type="dxa"/>
        </w:trPr>
        <w:tc>
          <w:tcPr>
            <w:tcW w:w="815" w:type="dxa"/>
            <w:vMerge w:val="restart"/>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92"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质量保证及售后服务承诺</w:t>
            </w:r>
          </w:p>
        </w:tc>
        <w:tc>
          <w:tcPr>
            <w:tcW w:w="985"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对投标人根据本项目所提供的售后服务方案进行分，售后方案内容详实，科学合理的得10分，售后方案内容简单、科学合理性一般的得5分。（共10分）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blCellSpacing w:w="0" w:type="dxa"/>
        </w:trPr>
        <w:tc>
          <w:tcPr>
            <w:tcW w:w="815" w:type="dxa"/>
            <w:vMerge w:val="continue"/>
            <w:tcBorders>
              <w:tl2br w:val="nil"/>
              <w:tr2bl w:val="nil"/>
            </w:tcBorders>
            <w:noWrap w:val="0"/>
            <w:vAlign w:val="center"/>
          </w:tcPr>
          <w:p>
            <w:pPr>
              <w:jc w:val="left"/>
            </w:pPr>
          </w:p>
        </w:tc>
        <w:tc>
          <w:tcPr>
            <w:tcW w:w="1392" w:type="dxa"/>
            <w:vMerge w:val="continue"/>
            <w:tcBorders>
              <w:tl2br w:val="nil"/>
              <w:tr2bl w:val="nil"/>
            </w:tcBorders>
            <w:noWrap w:val="0"/>
            <w:vAlign w:val="center"/>
          </w:tcPr>
          <w:p>
            <w:pPr>
              <w:jc w:val="left"/>
            </w:pPr>
          </w:p>
        </w:tc>
        <w:tc>
          <w:tcPr>
            <w:tcW w:w="985" w:type="dxa"/>
            <w:vMerge w:val="continue"/>
            <w:tcBorders>
              <w:tl2br w:val="nil"/>
              <w:tr2bl w:val="nil"/>
            </w:tcBorders>
            <w:noWrap w:val="0"/>
            <w:vAlign w:val="center"/>
          </w:tcPr>
          <w:p>
            <w:pPr>
              <w:jc w:val="left"/>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质保期满足招标文件要求的得2分，每延长一年加1分，最多加2分。（共4分）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供应商要具备快速解决设备故障的服务能力，满足招标文件售后服务承诺响应时间并承诺出现产品质量问题和机械故障在4小时务承诺内排除故障的得2分。每提前1个小时派专业人员到达现场，加0.5分，最多加2分。（共4分）（提供加盖公章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根据实际情况，提供实质性的优惠措施（备品备件，零部件等）价格最低且备件、零部件最全的为第一名得3分，第二名得2分，第三名得0.5分。（共2分）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标书制作</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846" w:type="dxa"/>
            <w:tcBorders>
              <w:tl2br w:val="nil"/>
              <w:tr2bl w:val="nil"/>
            </w:tcBorders>
            <w:noWrap w:val="0"/>
            <w:vAlign w:val="top"/>
          </w:tcPr>
          <w:p>
            <w:pPr>
              <w:rPr>
                <w:rFonts w:hint="eastAsia"/>
                <w:lang w:val="en-US" w:eastAsia="zh-CN"/>
              </w:rPr>
            </w:pPr>
          </w:p>
          <w:p>
            <w:pPr>
              <w:rPr>
                <w:rFonts w:hint="eastAsia"/>
                <w:lang w:val="en-US" w:eastAsia="zh-CN"/>
              </w:rPr>
            </w:pPr>
            <w:r>
              <w:rPr>
                <w:rFonts w:hint="eastAsia"/>
                <w:lang w:val="en-US" w:eastAsia="zh-CN"/>
              </w:rPr>
              <w:t>投标文件按照招标文件要求的格式、内容及顺序填写（包括目录、页码、签字、总体编排等项目），整齐美观，优得5分，一般得2分。</w:t>
            </w:r>
          </w:p>
          <w:p>
            <w:pPr>
              <w:pStyle w:val="5"/>
              <w:numPr>
                <w:ilvl w:val="1"/>
                <w:numId w:val="0"/>
              </w:numPr>
              <w:rPr>
                <w:rFonts w:hint="eastAsia"/>
                <w:lang w:val="en-US" w:eastAsia="zh-CN"/>
              </w:rPr>
            </w:pPr>
          </w:p>
        </w:tc>
      </w:tr>
    </w:tbl>
    <w:p>
      <w:pPr>
        <w:rPr>
          <w:rFonts w:hint="eastAsia"/>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numPr>
          <w:ilvl w:val="0"/>
          <w:numId w:val="10"/>
        </w:numPr>
        <w:jc w:val="center"/>
        <w:rPr>
          <w:rFonts w:hint="eastAsia"/>
          <w:lang w:val="en-US" w:eastAsia="zh-CN"/>
        </w:rPr>
      </w:pPr>
      <w:r>
        <w:rPr>
          <w:rFonts w:hint="eastAsia" w:ascii="Times New Roman" w:hAnsi="Times New Roman" w:eastAsia="宋体" w:cs="Times New Roman"/>
          <w:b/>
          <w:bCs/>
          <w:sz w:val="32"/>
          <w:szCs w:val="40"/>
          <w:lang w:val="en-US" w:eastAsia="zh-CN"/>
        </w:rPr>
        <w:t>采购内容及技术要求</w:t>
      </w:r>
    </w:p>
    <w:tbl>
      <w:tblPr>
        <w:tblStyle w:val="28"/>
        <w:tblW w:w="10844"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1132"/>
        <w:gridCol w:w="7508"/>
        <w:gridCol w:w="746"/>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规格、教学性能要求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带储气罐/人工充气，适合给各种球类充气</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电动充气泵</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用于篮球、排球、足球充气</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10m，仿皮外壳，苎麻布卷尺，防水，防腐蚀；不锈钢卡扣和收放扣</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20m，仿皮外壳，苎麻布卷尺，防水，防腐蚀；不锈钢卡扣和收放扣</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50m，仿皮外壳，苎麻布卷尺，防水，防腐蚀；不锈钢卡扣和收放扣</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数字秒表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分辨率：0.01s，10min测量精度≤0.2s</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隔板厚度≥1 mm，立柱厚度≥1.2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柜体板材厚度≥1 mm，隔板可调</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篮球类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4号篮球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材质：PU材质；圆周长645mm～670mm；质量420g～480g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篮球车</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参考尺寸：长1712mm×宽520 mm×高1172mm；重量约25kg，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体操类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主要原材料采用木材或其它弹性材料，Ⅰ型长×宽×高为760mm×550mm×175mm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参考尺寸：Ⅱ型长900mm×宽500mm×高150mm。根据所配备的山羊和跳箱的实际需要选择合适的规格和数量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山羊全高：680mm～1080mm；山羊头长：420mm～460mm；头宽：280mm±5mm；头高：180mm～220mm，立轴升降间距：50mm±3mm，山羊腿外直径≥30mm，山羊腿壁厚≥3mm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箱长900mm～1000mm，箱高900mm，其余符合国家标准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单杠</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杠面高度：1200mm～2000mm，两立柱支点中心距：2000mm～2400mm，横杠材料：钢管，立柱材料：钢管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双杠</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木制钢筋加固杠面或其他同等强度及性能的材料，杠高1000mm～1300mm，杠长2700mm～3000mm，两杠内侧距离320mm～520mm，纵向立轴中心距1800mm～2000mm，升降间距50mm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小跳垫</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采用泡沫塑料和泡沫乳胶，帆布或人造革外皮，长1200mm±5mm,宽600mm±5mm,厚≥50mm。在长度方向可对半折叠，两侧应各有提手</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大跳垫</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采用泡沫塑料和泡沫乳胶，帆布或人造革外皮，长2000mm±5mm,宽1000mm±5mm,厚≥100mm。在长度方向可对半折叠，两侧应各有提手</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采用木质或塑料。塑料采用硬质塑料，壁厚不小于5mm。长1000mm，截面直径25mm～30mm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参考尺寸：Ⅰ型：长（3000±10）mm，宽 250~300 mm± 5 mm ，高 300～400 mm，板面厚度 50～70 mm，按需选择规格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Ⅱ型：长2000mm±10mm,宽200mm±5mm,高300mm，板面厚度50mm～70mm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球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小学生用篮球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材质：PU材质；圆周长645mm～670mm；质量420g～480g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小学用篮球架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篮圈高（2050±8）mm（1～3 年级）。包装尺寸 1m*2m*1m，材质 铝合金,钢,玻璃钢,铸铁可根据实际需求及场地选择规格和数量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小学用篮球架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篮圈高（2350±8）mm（4～6 年级）。包装尺寸 4416x1800x3950mm。材质 钢。可根据实际需求及场地选择规格和数量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篮网长 400～450 mm，网口直径 450 mm，网底直径 350 mm。可根据实际需求选择规格和数量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小学生用排球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圆周长600～620 mm，质量200～240 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3号：圆周长560～580 mm，质量170～220 g可根据实际需要选择规格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4号：圆周长600mm～620mm,质量200g～250g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圆周长为610mm～630mm，质量150g～170g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移动配重式，可调，网柱高度：1920mm±5mm，拉网中央高度1800mm±5mm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排球网长度9500mm～10000mm，宽度700mm±25mm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3号足球，重量 290～310 g，圆周 535～555 mm；机缝工艺，使用环保耐磨TPU，优质缠纱内胆；充气6磅情况下从1.8米高处自由落到地面，回弹高度1000～1300 mm可根据实际需求选择规格和数量。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4号，圆周长615mm～650mm；质量315g～405g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幼儿专用3号足球，重量300～320 g，圆周590～605 mm机缝工艺，使用环保耐磨 TPU，优质缠纱内胆，手持足球距离眼睛50cm平视需看不到缝线露出；低弹结构充气6 磅情况下，从1.8m 高处自由落到地面，回弹高度 550～650mm；其余未提及标准，均需符合国家 GB/ T22892-2008 标准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4号足球，重量 360～380 g，圆周 640～660mm；机缝工艺，使用环保耐磨 TPU，优质缠纱内胆，手持足球距离眼睛 50 cm 平视需看不到缝线露出；低弹结构，充气8 磅情况下，从2m高处自由落到地面，回弹高度550～650 mm；其余未提及标准，均需符合国家 GB/T 22892-2008 标准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足球门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号足球门：内口宽度（7320 ± 10）mm，高度（2440 ±10）mm，门柱及横梁直径≥120 mm。足球门应能承受的水平拉力 1000 N，足球门横梁应能承受 2700 N 的静负荷，可根据实际需要及场地选择规格和数量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足球门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3号足球门：门内口宽度（3000±10）mm，高度（2000±10）mm，门柱及横梁直径≥76 mm。足球门应能承受的水平拉力 1000 N，足球门横梁应能承受 2700 N 的静负荷，可根据实际需要及场地选择规格和数量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根据选定的球门，选择符合相应标准要求的足球网，可根据实际需要及场地选择规格和数量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直径40.4mm～43.4mm，质量2.20g～2.60g，弹跳220mm～250mm，圆度0.4mm，受冲击不小于700次无破裂</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1、2块为1副，直握拍，正反双胶，鲜红色或黑色，拍面平整；2、拍柄、拍面、拍身边缘均应光滑无光泽，拍身边缘不得呈白色；3、胶粒分布均匀，高度应不低于0.5mm；4、胶合部位牢固，不开裂。</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室外乒乓球网架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网架长度152.5mm±2mm，网架高度130mm±2mm，可夹厚度≥30mm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室外乒乓球台</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台面尺寸：2740mm×1525mm×760mm 台板厚度：15mm,台面采用SMC新型材料，背面加强筋,防晒、防水、弹性均匀.端边线宽度20mm，中线宽度10mm。台面与脚的连接点是10个,可以自由(微量)调节高度.结构特点：彩虹腿，螺栓连接牢固，台腿外边距两端台边不小于200mm,任何承挡离地面不小于300mm.台面采用SMC新型材料。桌腿采用新颖优质弧形金属脚架  管直径60的,厚2.0，表面进行打沙烤漆处理。各项指标需符合QB/T2700-2005的标准要求，球网框架采用20mm×15mm×2.5mm的优质不锈钢管焊接成型，球网采用菱形花网。知名品牌</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球口外径65mm～68mm，球头直径25mm～27mm，球头高度24mm～26mm，毛片插长63mm～64mm，质量4.50g～5.80g，毛片数量16片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1、产品整体铝合金制，（弦线除外）；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2、长度≤630mm，球拍宽度≤230mm，球拍弦面长度≤280mm；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3、整体重量：95-120g；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4、拍弦直径：0.9mm；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5、握柄直径：25mm；知名品牌</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（附羽毛球网），网柱高度为（1340±8）mm 拉网中央高度（1314±5）mm，数量根据实际需要定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1号软性球，质量 46.0～53.0 g，直径 62～68.58 mm，弹性1100～1400 mm。根据学生实际情况选择球的规格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2号软性球，质量 32.0～46.9 g，直径 68～80 mm，弹性900～1200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短式网球拍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小学：长度530～580 mm，质量200～230 g，拍弦面长度 290～300 mm，拍弦面宽度220～230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网柱高度：（1070±5）mm，拉网中央高度（914±5）mm附网球网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网球网长度（12800±30）mm，宽度（1070±25）mm，数量根据实际需要定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板羽球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1．又名毽球，三毛球。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2．三根禽类长翎毛。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3．羽毛长10～12厘米，高弹橡胶底座。</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板羽球拍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总长度≤580mm，宽度≤230mm，拍弦面长度≤280mm，质量≤80g,握柄直径23mm～25mm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圆周长195mm±10mm,质量80g±5g，1000mm高度自由落体落下，回弹高度应不小于300mm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乒乓球发球机</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可发任意旋球以及各种混合旋球，采用双轮驱动，速度旋转可调，也可发不转球；可上下调整出球俯仰角度 自动回收和供球系统，持续击打</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毽球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键毛应采用 4 支鹅翎，羽毛宽 32～35 mm，成十字形插在毛管内，插毛管高22～24mm，毽垫直径38～40mm厚度15～20mm，球高130～135 mm，球重13～15g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装球车</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不锈钢可四轮移动，可折叠；用于装篮球、排球、足球等球类物品，球车四角为圆角；尺寸为长 900 mm× 宽800 mm×高 800 mm。可根据学校场地及需要选择数量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体育活动类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短跳绳；绳长度2600～3000 mm，直径6～7 mm，质量60～ 80 g；柄（2 个）：长度140～170 mm，直径26～33 mm，质量70～90 g；可根据需要选择不同规格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 4000～6000 mm，直径 8～9 mm，质量140～235 g；柄（2个）：长度140～170 mm，直径26～33 mm，质量70～90 g；可根据需要选择不同规格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 9000～10000 mm，直径 8～9 mm，质量290～370 g；柄（2个）：长度140～170 mm，直径26～33 mm，质量70～90 g；可根据需要选择不同规格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竹节绳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短竹节绳；手柄长度210 mm，后端椭圆设计，有后盖；有效绳长（不含手柄）约 2600 mm；绳为串珠设计，大珠直径7.8 mm，长25 mm；小珠直径5.6 mm，长20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拔河绳 </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长30m,质量10kg左右,采用天然麻棕线绞制</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花毽</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键毛应采用 8～10 支彩色鸡羽，扎成圆形，毽垫直径30～32 mm，厚度3～4 mm，球高130～180 mm，球重13～15 g；根据地域至少选择两项运动项目为基本配备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塑料圈（呼啦圈）</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直径80cm，PVC管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小沙包</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帆布制作，质量约200g</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软式飞盘</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蹦蹦球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吸盘球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跳带</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身高体重测试仪</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网络智能型，可存储并实时或者集中批量传输至数据上报软件中；自动同时测量身高和体重；通用主机自带21 项测试项目，可连接任意外设，主机采用工控级别CPU，封闭加密操作系统。测试数据双重备份；身高量程：900～2100 mm；分辨率：1 mm；误差：±0.2%；体重量程：5～200 kg；分辨率：0.1 kg；误差：±0.3%；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肺活量测试仪</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网络智能型，可存储并实时或者集中批量传输至数据上报软件中；使用进口精密传感器，带有温度补偿；吹管优化设计，不积水；防补气功能；可拓展多外设；通用主机自带21 项测试项目，可连接任意外设，主机采用工控级别CPU，封闭加密操作系统。测试数据双重备份量程：100～9999 mL；分辨率：1 mL；误差：±2.5%；设备须通过NSCC国体认证。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坐位体前屈测试仪</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网络智能型，可存储并实时或者集中批量传输至数据上报软件中；测试综合身体素质和身体柔韧性；主机与外设同步显示测试数据；有绑腿，测试准确；推板可自动回位，无惯性和回弹力；通用主机自带 21 项测试项目，可连接任意外设，主机采用工控级别 CPU，封闭加密操作系统。测试数据双重备份；量程：-200～400 mm;分辨率：1 mm；误差：± 2 mm；设备须通过 NSCC 国体认证。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31F20"/>
                <w:sz w:val="20"/>
                <w:szCs w:val="20"/>
                <w:u w:val="none"/>
              </w:rPr>
            </w:pPr>
            <w:r>
              <w:rPr>
                <w:rFonts w:hint="eastAsia" w:ascii="宋体" w:hAnsi="宋体" w:eastAsia="宋体" w:cs="宋体"/>
                <w:b/>
                <w:bCs/>
                <w:i w:val="0"/>
                <w:iCs w:val="0"/>
                <w:color w:val="231F20"/>
                <w:kern w:val="0"/>
                <w:sz w:val="20"/>
                <w:szCs w:val="20"/>
                <w:u w:val="none"/>
                <w:lang w:val="en-US" w:eastAsia="zh-CN" w:bidi="ar"/>
              </w:rPr>
              <w:t>初中球类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初中生用篮球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7号；600-650克，名牌产品</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中学用篮球架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技术参数：1、箱体尺寸：长度200cm，宽度100cm，前高45cm,后高35cm，铁板厚度3.25毫米，在压板机上一次成型压制。配重800公斤/付。2、力臂有70*120mm的方管拼接而成，方管厚度3.25毫米，总高度1.98米。3、横梁有100*150mm和70*120mm的方管组成，厚度3.25毫米，臂长（支柱与篮板正面距离）2.25米。4、后梯形拉杆有40*60mm的方管组合而成，壁厚3.25毫米。5、外表经过抛丸机除锈，然后静电喷涂。6、篮板规格：1800×1050（㎜），篮板配用国际通用的高强度安全玻璃篮板（13mm厚双层夹胶玻璃），具有透明度高、耐侯性好、抗老化、耐腐蚀、不易模糊等特点，并在篮板下沿侧面覆盖EVA模压成型保护条，保护运动员扣篮时不受伤害。</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 xml:space="preserve">  篮球网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篮球网高400～450mm，网口直径（450±8）mm网底直径（350±8）mm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室外乒乓球台</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台面尺寸：2740mm×1525mm×760mm 台板厚度：15mm,台面采用SMC新型材料，背面加强筋,防晒、防水、弹性均匀.端边线宽度20mm，中线宽度10mm。台面与脚的连接点是10个,可以自由(微量)调节高度.   结构特点：彩虹腿，螺栓连接牢固，台腿外边距两端台边不小于200mm,任何承挡离地面不小于300mm.   台面采用SMC新型材料。桌腿采用新颖优质弧形金属脚架 管直径60的,厚2.0，表面进行打沙烤漆处理。各项指标需符合QB/T2700-2005的标准要求，球网框架采用20mm×15mm×2.5mm的优质不锈钢管焊接成型，球网采用菱形花网。知名比赛品牌</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室内</w:t>
            </w:r>
            <w:r>
              <w:rPr>
                <w:rFonts w:hint="eastAsia" w:ascii="宋体" w:hAnsi="宋体" w:eastAsia="宋体" w:cs="宋体"/>
                <w:i w:val="0"/>
                <w:iCs w:val="0"/>
                <w:color w:val="231F20"/>
                <w:kern w:val="0"/>
                <w:sz w:val="20"/>
                <w:szCs w:val="20"/>
                <w:u w:val="none"/>
                <w:lang w:val="en-US" w:eastAsia="zh-CN" w:bidi="ar"/>
              </w:rPr>
              <w:br w:type="textWrapping"/>
            </w:r>
            <w:r>
              <w:rPr>
                <w:rFonts w:hint="eastAsia" w:ascii="宋体" w:hAnsi="宋体" w:eastAsia="宋体" w:cs="宋体"/>
                <w:i w:val="0"/>
                <w:iCs w:val="0"/>
                <w:color w:val="231F20"/>
                <w:kern w:val="0"/>
                <w:sz w:val="20"/>
                <w:szCs w:val="20"/>
                <w:u w:val="none"/>
                <w:lang w:val="en-US" w:eastAsia="zh-CN" w:bidi="ar"/>
              </w:rPr>
              <w:t>乒乓球台及</w:t>
            </w:r>
            <w:r>
              <w:rPr>
                <w:rFonts w:hint="eastAsia" w:ascii="宋体" w:hAnsi="宋体" w:eastAsia="宋体" w:cs="宋体"/>
                <w:i w:val="0"/>
                <w:iCs w:val="0"/>
                <w:color w:val="231F20"/>
                <w:kern w:val="0"/>
                <w:sz w:val="20"/>
                <w:szCs w:val="20"/>
                <w:u w:val="none"/>
                <w:lang w:val="en-US" w:eastAsia="zh-CN" w:bidi="ar"/>
              </w:rPr>
              <w:br w:type="textWrapping"/>
            </w:r>
            <w:r>
              <w:rPr>
                <w:rFonts w:hint="eastAsia" w:ascii="宋体" w:hAnsi="宋体" w:eastAsia="宋体" w:cs="宋体"/>
                <w:i w:val="0"/>
                <w:iCs w:val="0"/>
                <w:color w:val="231F20"/>
                <w:kern w:val="0"/>
                <w:sz w:val="20"/>
                <w:szCs w:val="20"/>
                <w:u w:val="none"/>
                <w:lang w:val="en-US" w:eastAsia="zh-CN" w:bidi="ar"/>
              </w:rPr>
              <w:t>网架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球台长度 2740 mm，宽度 1525 mm，高度 760 mm，台面厚度 18 mm；带轮可折叠，附室内支架及网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球口外径65mm～68mm，球头直径25mm～27mm，球头高度24mm～26mm，毛片插长63mm～64mm，质量4.50g～5.80g，毛片数量16片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1、产品整体铝合金制，（弦线除外）；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2、长度≤630mm，球拍宽度≤230mm，球拍弦面长度≤280mm；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3、整体重量：95-120g；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4、拍弦直径：0.9mm；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5、握柄直径：25mm；知名品牌</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（附羽毛球网），网柱高度为（1340±8）mm 拉网中央高度（1314±5）mm，数量根据实际需要定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1号软性球，质量 46.0～53.0 g，直径 62～68.58 mm，弹性1100～1400 mm。根据学生实际情况选择球的规格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2号软性球，质量 32.0～46.9 g，直径 68～80 mm，弹性900～1200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短式网球拍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小学：长度530～580 mm，质量200～230 g，拍弦面长度 290～300 mm，拍弦面宽度220～230 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网柱高度：（1070±5）mm，拉网中央高度（914±5）mm附网球网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排球网柱</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移动配重式，可调，网柱高度：1920mm±5mm，拉网中央高度1800mm±5mm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排球网长度9500mm～10000mm，宽度700mm±25mm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网球网长度（12800±30）mm，宽度（1070±25）mm，数量根据实际需要定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初中生用排球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5号球，PU+丁基内胆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软式排球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5号：圆周长650～670 mm，质量220～310g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气排球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圆周长为610～630 mm，质量150～170g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气排球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圆周长为760～780 mm，质量150～170g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少年足球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4号：圆周长615～650 mm；质量315～405 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成年足球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比赛级5号球，颗粒纹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软式足球</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5号：圆周长 675～710 mm；质量 350～390 g，充气内胆填充柔性材料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乒乓球发球机</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可发任意旋球以及各种混合旋球，采用双轮驱动，速度旋转可调，也可发不转球；可上下调整出球俯仰角度 自动回收和供球系统，持续击打</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sectPr>
          <w:pgSz w:w="11906" w:h="16838"/>
          <w:pgMar w:top="1440" w:right="669" w:bottom="1440" w:left="669" w:header="851" w:footer="992" w:gutter="0"/>
          <w:cols w:space="0" w:num="1"/>
          <w:rtlGutter w:val="0"/>
          <w:docGrid w:type="lines" w:linePitch="312" w:charSpace="0"/>
        </w:sectPr>
      </w:pPr>
    </w:p>
    <w:tbl>
      <w:tblPr>
        <w:tblStyle w:val="28"/>
        <w:tblW w:w="10828" w:type="dxa"/>
        <w:tblInd w:w="-1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135"/>
        <w:gridCol w:w="7514"/>
        <w:gridCol w:w="766"/>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rPr>
        <w:tc>
          <w:tcPr>
            <w:tcW w:w="108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199" w:hRule="atLeast"/>
        </w:trPr>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w:t>
            </w:r>
          </w:p>
        </w:tc>
        <w:tc>
          <w:tcPr>
            <w:tcW w:w="75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处理器CPU系列 酷睿i7 10代系列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CPU频率 2.9GHz</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缓存L3 16MB</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内存容量 8GB</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内存类型 DDR4</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硬盘容量 256GB+1TB</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显卡类型 独立显卡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显存容量 2GB</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屏幕尺寸 ≥21.5英寸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屏幕分辨率 ≥1920x1080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屏幕描述 窄边框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摄像头 1080P高清摄像头（物理防窥）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麦克风 内置麦克风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音频系统 内置音箱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无线网卡 支持802.11ac无线协议，支持双频（2.4GHz+5GHz）</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有线网卡 1000Mbps以太网卡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数据接口 4×USB2.0，1×USB3.0，1×USB3.1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音频接口 耳机/麦克风两用接口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视频接口 2×HDMI</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网络接口 RJ45（网络接口）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其它接口 电源接口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注：  含耳麦、机房布线、稳压电源及一系列所需材料，确保机房正常运行：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注意：正版系统、同传软件；自带一键恢复系统；</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4" w:hRule="atLeast"/>
        </w:trPr>
        <w:tc>
          <w:tcPr>
            <w:tcW w:w="71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触控一体机（班班通）</w:t>
            </w:r>
          </w:p>
        </w:tc>
        <w:tc>
          <w:tcPr>
            <w:tcW w:w="7514" w:type="dxa"/>
            <w:vMerge w:val="restart"/>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一：整体设计：</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1.整机采用一体设计，外部无任何可见内部功能模块连接线。整机采用全金属外壳设计，边角采用弧形设计，表面无尖锐边缘或凸起。</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2.整机屏幕采用≥75英寸液晶显示器。整机采用UHD超高清LED液晶屏，显示比例≥16:9，分辨率3840（w）×2160(h)、钢化玻璃表面硬度≥9H。色域覆盖率（NTSC）≥72%；灰度等级≥256级。</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3.输入接口具备≥1路HDMI、1路RS232、1路USB接口；输出接口具备1路音频输出、1路触控USB输出；</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4.前置输入接口3路USB接口（包含1路Type-C、2路USB）。</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5.采用红外触控方式，支持Windows系统中进行20点或以上触控，支持Android系统中进行10点或以上触控。</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6.整机内置2.0声道扬声器，</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7.整机支持高级音效设置，可以调节左右声道平衡；</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8.整机内置非独立外扩展的4阵列麦克风，可用于对教室环境音频进行采集，拾音距离≥12m。整机内置扬声器采用缝隙发声技术，</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9.内置摄像头、麦克风无需外接线材连接，无任何可见外接线材及模块化拼接痕迹，未占用整机设备端口。</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10.整机支持色彩空间可选，包含标准模式和sRGB模式，</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主要功能：</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11.整机摄像头支持环境色温判断，根据环境调节合适的显示图像效果。</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12.支持可自定义图像设置，</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13.整机视网膜蓝光危害（蓝光加权辐射亮度LB）满足IEC TR 62778:2014蓝光危害RG0级别，</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15.整机具备至少6个前置按键，可实现老师开关机、调出中控菜单、音量+/-、护眼、录屏操作。</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16.设备支持一键启动录屏功能，可将屏幕中显示的课件、音频内容与人声同时录制。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17.前置 USB 接口具备防撞挡板设计，防撞挡板采用转轴式翻转。</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18.整机支持NFC功能，实现手机、平板与大屏的连接并同步手机、平板的画面到设备上，无需其它操作设置。</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19.整机支持蓝牙。</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20.整机支持主动发现蓝牙外设从而连接（无需整机进入发现模式），支持连接外部蓝牙音箱播放音频。</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21.Wi-Fi及AP热点支持频段2.4GHz/5GHz ；Wi-Fi制式支持IEEE 802.11 a/b/g/n/ac/ax；</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22.整机内置摄像头（非外扩），PC通道下支持通过视频展台软件调用摄像头进行二维码扫码识别。具备摄像头工作指示灯，摄像头运行时，有指示灯提示。整机内置非独立摄像头，拍摄照片像素数≥1300万。摄像头视场角≥135度。</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23.整机内置非独立的高清摄像头，可用于远程巡课，拍摄范围可以涵盖整机距离摄像头垂直法线左右水平距离≥4米，左右最边缘深度≥2.3米范围内，并且可以AI识别人像。</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24.整机摄像头支持大于等于10米距离时实现AI识别人像。整机摄像头支持人脸识别、快速点人数、随机抽人；识别所有学生，显示标记，然后随机抽选，</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25.支持Windows 7、Windows 8、Windows 10、Linux、Mac Os系统外置电脑操作系统接入时，无需安装触摸驱动。触摸分辨率32768×32768。触摸响应时间≤4ms。触摸最小识别物≤3mm。整机屏幕触摸有效识别高度不超过3.5mm,，即触摸物体距离玻璃外表面高度不超过3.5mm时，触摸屏识别为点击操作。</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26.支持同一支红外笔笔头、笔尾书写不同的颜色，且颜色可自定义。</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27.整机具备前置Type-C接口，通过Type-C接口实现音视频输入，外接电脑设备经双头Type-C线连接至整机，即可把外接电脑设备画面投到整机上，同时在整机上操作画面，可实现触摸电脑的操作，无需再连接触控USB线。</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28.外接电脑设备经双头Type-C线连接至整机，可调用整机内置的摄像头、麦克风、扬声器，在外接电脑即可控制整机拍摄教室画面。前置Type-C接口，支持通过不带转换转置的外部线缆，实现外接电脑HDMI信号的接入显示。</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29.嵌入式系统版本不低于Android 11，内存≥2GB，存储空间≥8GB。</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30.整机内置专业硬件自检维护工具（非第三方工具），支持对触摸框和PC模块进行检测，并针对不同模块给出问题代码提示。当整机处于黑暗环境中并无人操作，一分钟后整机将可以自动进入熄屏模式。</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31.采用全物理钢化玻璃，有效保护屏幕显示画面；整机采用防眩光玻璃，屏幕支持防眩光功能；机身具备防盐雾锈蚀特性，且满足防火要求。整机具备抗振动、防跌落特性，保证整机运输或使用过程中不易受损。整机表面覆盖玻璃选用国标优等品，光学变形、点状缺陷、尺寸偏差、弯曲度、透射比等均符合平板玻璃标准</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32.整机书写面板采用防眩光全钢化防爆玻璃面板，面板的碎片状态、抗冲击性、霰弹袋冲击性能、耐热冲击性能均通过国家强制玻璃标准，表面应力≥100Mpa,适应学校复杂环境，保障教学安全。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33.整机在0℃- 40℃环境下可正常工作，在-20℃—60℃的环境下可正常贮存且贮存后功能无损。</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34.整机具备供电保护模块，能够检测内置电脑是否插好在位，在内置电脑未在位的情况下，内置电脑无法上电工作。</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35.整机内置全通道侧边栏快捷菜单，实时显示天气情况、日期、小工具、快捷设置、应用软件、亮度/音量调节、教室物联入口，在任意显示通道下均可通过侧边栏一键进入该触摸菜单。</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36.提供专业的教师界面。整机设备教学桌面的教师登录账号后，可自动获取并在桌面显示最近使用的教学课件，点击任意课件可直接进入授课模式；并支持查看所有个人教学课件资源。</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电脑模块：</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37.PC模块可抽拉式插入整机，可实现无单独接线的插拔。采用按压式卡扣设计，无需工具即可快速拆卸PC模块。</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38.和整机的连接采用≤80pin接口，传输速率≥10Gbps。</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39.OPS插拔式电脑：intel标准接口，处理器:采用第十一代Intel I5 以上CPU， 内存≥8G DDR4 ，硬盘≥256G SSD，内置双频无线和蓝牙接收器，千兆有线模块及相关接口。</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教学软件：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40、能够为教师提供云存储空间，教师可在个人云空间中上传存储互动课件、云教案和其他教学资源。 </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41、可以移动调整文件及文件夹的层级，能够对文件进行重命名、删除操作。互动课件与其他教学资源的云空间相互独立。教师可新建课件组或素材文件夹对教学资源进行个性化分类与标记。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42、支持PPT的原生解析，教师可将pptx课件转化为互动教学课件，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二：集中控制平台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安全管理：</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 采用一校一码的认证机制，为学校提供专属识别码，通过学校代码进行设备与管理平台之间的关联，保证管理的私密和安全。</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 冰点还原：支持创设系统还原点，实现磁盘级的系统还原保护，</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 弹窗拦截：支持对软件应用弹窗进行无差别拦截，可自定义自动拦截、手动点选拦截、超级拦截，保证教学过程中无干扰。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设备管理平台：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系统采用B/S混合云架构设计，支持在Windows、Linux、Android、IOS等多种操作系统通过网页浏览器登录使用。</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系统支持对全校智慧教室的交互智能平板、交互智能录播、交互电子白板一体机设备进行集中运维管理和策略部署。</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支持根据实际使用场景按照产品类型、建筑物、班级、设备开关机状态分级管理，并可模糊搜索定位管理设备。</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支持实时查看指令执行状态，并且可监管指令发送日志，对发送失败的指令进行远程重发。</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 支持实时展示所有设备的使用状态及设备运行画面，并可监控单台设备的开机情况、软件使用情况、硬盘使用、内存使用率、设备ID等数据，便于远程定位及维护设备。</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 支持远程发送消息通知、文件传输、静默安装软件、倒计时。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 支持远程实时控制设备，可监测设备当前运行界面，并远程操作设备界面，适用于远程维护和修复设备软件问题。</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 支持教室的实时摄像头画面、设备屏幕画面；单台设备巡视时，发现有违规违纪行为时，可远程发消息，也可记录备注，事后教育。</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 支持查看并导出设备使用数据、软件活跃数据、教学应用数据、健康度分析数据。</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移动控制平台：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 移动系统采用Mini Program设计，无需下载单独安装APP即可使用；兼容Android、IOS等多种移动操作系统，便于远程管理及告警信息通知。</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 支持查看不同类型设备的在线率、异常指令数、异常设备数及设备详情。</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支持实时查看设备当前状态及实时画面，并可进行实时远程开机、关机、重启、锁屏、</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15、所有的相关证明材料需加盖公章</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2"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1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14"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70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4" w:hRule="atLeast"/>
        </w:trPr>
        <w:tc>
          <w:tcPr>
            <w:tcW w:w="71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14"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70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7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推拉黑板</w:t>
            </w:r>
          </w:p>
        </w:tc>
        <w:tc>
          <w:tcPr>
            <w:tcW w:w="7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结构：双层结构，内层为固定书写板，外层为滑动书写板，滑动板配装刻有黑板品牌LOGO标识的挂锁，开闭自如确保一体机的安全管理，支持电子产品居中和测面放置；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 规格：长度≥4000mm，高度1305mm.可根据所配电子产品适当调整，确保与电子产品的有效配套；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 板面：采用金属烤漆书写板面，亚光、墨绿色/，厚度≥0.3mm，光泽度≤12光泽单位，没有因黑板本身原因产生的眩光，书写流畅字迹清晰、色彩协调可视效果佳，有效的缓解学生视觉疲劳；板面表面附有一层透明保护膜，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背板：采用优质镀锌钢板，厚度≥0.2mm，机械化流水线一次成型，设有凹槽加强筋，增加板体强度；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覆板：采用环保型双组份聚氨酯胶水，自动化流水线覆板作业，确保粘接牢固板面平整，甲醛释放量≤0.2mg/L，符合GB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 包角：采用抗老化高强度ABS工程塑料注塑成型，采用双壁成腔流线型设计，黑板品牌标识与包角一次模具成型，无尖角毛刺，符合GB 21027-2007《学生用品的安全通用要求》；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 滑轮：双组高精度轴承上吊轮，下平滑动系统，上下均匀安装，滑动流畅、噪音小、前后定位精确；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10.安全性：一把锁实现对滑动黑板的锁定，钥匙通用，方便实用；</w:t>
            </w:r>
          </w:p>
        </w:tc>
        <w:tc>
          <w:tcPr>
            <w:tcW w:w="76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70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hint="eastAsia"/>
          <w:b/>
          <w:bCs/>
          <w:color w:val="auto"/>
          <w:sz w:val="22"/>
          <w:szCs w:val="28"/>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bookmarkStart w:id="58" w:name="_Toc340225290"/>
      <w:bookmarkStart w:id="59" w:name="_Toc267320049"/>
      <w:r>
        <w:rPr>
          <w:rFonts w:hint="eastAsia"/>
          <w:b/>
          <w:bCs/>
          <w:color w:val="auto"/>
          <w:sz w:val="22"/>
          <w:szCs w:val="28"/>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全部</w:t>
      </w:r>
      <w:r>
        <w:rPr>
          <w:rFonts w:hint="eastAsia" w:ascii="Times New Roman" w:hAnsi="Times New Roman" w:eastAsia="宋体" w:cs="Times New Roman"/>
          <w:b/>
          <w:bCs w:val="0"/>
          <w:color w:val="auto"/>
          <w:kern w:val="2"/>
          <w:sz w:val="21"/>
          <w:szCs w:val="21"/>
          <w:highlight w:val="none"/>
          <w:lang w:val="en-US" w:eastAsia="zh-CN" w:bidi="ar-SA"/>
        </w:rPr>
        <w:t>设备30日内到货安装并配合采购人完成验收工作，保证设备正常使用。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甲方指定地点。</w:t>
      </w:r>
      <w:r>
        <w:rPr>
          <w:rFonts w:hint="eastAsia" w:ascii="宋体" w:hAnsi="宋体" w:cs="宋体"/>
          <w:b/>
          <w:color w:val="auto"/>
          <w:szCs w:val="21"/>
          <w:highlight w:val="none"/>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1、自验收合格之日起计保修期，提供整机原厂</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highlight w:val="none"/>
          <w:lang w:val="en-US" w:eastAsia="zh-CN"/>
        </w:rPr>
      </w:pPr>
    </w:p>
    <w:p>
      <w:pPr>
        <w:widowControl/>
        <w:spacing w:line="360" w:lineRule="auto"/>
        <w:rPr>
          <w:rFonts w:hint="eastAsia" w:ascii="宋体" w:hAnsi="宋体" w:cs="宋体"/>
          <w:b/>
          <w:bCs/>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eastAsia="zh-CN"/>
        </w:rPr>
        <w:t>五</w:t>
      </w:r>
      <w:r>
        <w:rPr>
          <w:rFonts w:hint="eastAsia" w:ascii="宋体" w:hAnsi="宋体" w:cs="宋体"/>
          <w:b/>
          <w:bCs/>
          <w:color w:val="auto"/>
          <w:kern w:val="0"/>
          <w:szCs w:val="21"/>
        </w:rPr>
        <w:t>）</w:t>
      </w:r>
      <w:r>
        <w:rPr>
          <w:rFonts w:hint="eastAsia" w:ascii="宋体" w:hAnsi="宋体" w:cs="宋体"/>
          <w:b/>
          <w:bCs/>
          <w:color w:val="auto"/>
          <w:szCs w:val="21"/>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）知识产权</w:t>
      </w:r>
    </w:p>
    <w:p>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7"/>
      <w:bookmarkStart w:id="62" w:name="_Toc469495740"/>
    </w:p>
    <w:p>
      <w:pPr>
        <w:spacing w:line="360" w:lineRule="auto"/>
        <w:ind w:firstLine="426" w:firstLineChars="200"/>
        <w:rPr>
          <w:rFonts w:hint="eastAsia"/>
          <w:lang w:val="en-US" w:eastAsia="zh-CN"/>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96602498"/>
      <w:bookmarkStart w:id="66" w:name="_Toc246996996"/>
      <w:bookmarkStart w:id="67" w:name="_Toc246996253"/>
      <w:bookmarkStart w:id="68" w:name="_Toc179632628"/>
      <w:bookmarkStart w:id="69" w:name="_Toc152042388"/>
      <w:bookmarkStart w:id="70" w:name="_Toc247085768"/>
      <w:bookmarkStart w:id="71" w:name="_Toc144974578"/>
      <w:bookmarkStart w:id="72" w:name="_Toc469495742"/>
      <w:bookmarkStart w:id="73" w:name="_Toc152045610"/>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515647803"/>
      <w:bookmarkStart w:id="76" w:name="_Toc18974"/>
      <w:bookmarkStart w:id="77" w:name="_Toc18694"/>
      <w:bookmarkStart w:id="78" w:name="_Toc8919"/>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29899"/>
      <w:bookmarkStart w:id="81" w:name="_Toc17577"/>
      <w:bookmarkStart w:id="82" w:name="_Toc4844"/>
      <w:bookmarkStart w:id="83" w:name="_Ref467988698"/>
      <w:bookmarkStart w:id="84" w:name="_Toc216582813"/>
      <w:bookmarkStart w:id="85" w:name="_Toc520356217"/>
      <w:bookmarkStart w:id="86"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515647808"/>
      <w:bookmarkStart w:id="89" w:name="_Toc7039"/>
      <w:bookmarkStart w:id="90" w:name="_Toc32520"/>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22472"/>
      <w:bookmarkStart w:id="92" w:name="_Toc1083"/>
      <w:bookmarkStart w:id="93" w:name="_Toc515647807"/>
      <w:bookmarkStart w:id="94" w:name="_Toc2350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4866"/>
      <w:bookmarkStart w:id="98" w:name="_Toc28445"/>
      <w:bookmarkStart w:id="99" w:name="_Toc11047"/>
      <w:bookmarkStart w:id="100" w:name="_Toc515647809"/>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991"/>
      <w:bookmarkStart w:id="102" w:name="_Toc494296665"/>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5710"/>
      <w:bookmarkStart w:id="104" w:name="_Toc27021"/>
      <w:bookmarkStart w:id="105" w:name="_Toc515647810"/>
      <w:bookmarkStart w:id="106" w:name="_Toc18754"/>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32670"/>
      <w:bookmarkStart w:id="108" w:name="_Toc24428"/>
      <w:bookmarkStart w:id="109" w:name="_Toc515647811"/>
      <w:bookmarkStart w:id="110" w:name="_Toc4937"/>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5695"/>
      <w:bookmarkStart w:id="112" w:name="_Toc22967"/>
      <w:bookmarkStart w:id="113" w:name="_Toc515647816"/>
      <w:bookmarkStart w:id="114" w:name="_Toc11180"/>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1266"/>
      <w:bookmarkStart w:id="116" w:name="_Toc23473"/>
      <w:bookmarkStart w:id="117" w:name="_Toc10107"/>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1881"/>
      <w:bookmarkStart w:id="120" w:name="_Toc20897"/>
      <w:bookmarkStart w:id="121" w:name="_Toc216582815"/>
      <w:bookmarkStart w:id="122" w:name="_Toc515647818"/>
      <w:bookmarkStart w:id="123" w:name="_Toc10313"/>
      <w:bookmarkStart w:id="124" w:name="_Toc22563"/>
      <w:bookmarkStart w:id="125" w:name="_Toc216582817"/>
      <w:bookmarkStart w:id="126" w:name="_Toc28959"/>
      <w:bookmarkStart w:id="127" w:name="_Toc515647820"/>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1980"/>
      <w:bookmarkStart w:id="131" w:name="_Toc23"/>
      <w:bookmarkStart w:id="132" w:name="_Toc515647821"/>
      <w:bookmarkStart w:id="133" w:name="_Toc21391"/>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10725"/>
      <w:bookmarkStart w:id="136" w:name="_Toc515647823"/>
      <w:bookmarkStart w:id="137" w:name="_Toc2963"/>
      <w:bookmarkStart w:id="138" w:name="_Toc30795"/>
      <w:bookmarkStart w:id="139" w:name="_Toc28099"/>
      <w:bookmarkStart w:id="140" w:name="_Toc515647827"/>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pPr>
        <w:pStyle w:val="49"/>
        <w:kinsoku/>
        <w:topLinePunct w:val="0"/>
        <w:bidi w:val="0"/>
        <w:spacing w:line="380" w:lineRule="exact"/>
        <w:rPr>
          <w:rFonts w:hint="eastAsia" w:ascii="宋体" w:hAnsi="宋体" w:eastAsia="宋体" w:cs="宋体"/>
          <w:kern w:val="0"/>
          <w:sz w:val="24"/>
        </w:rPr>
      </w:pPr>
    </w:p>
    <w:p>
      <w:pPr>
        <w:pStyle w:val="49"/>
        <w:kinsoku/>
        <w:topLinePunct w:val="0"/>
        <w:bidi w:val="0"/>
        <w:spacing w:line="380" w:lineRule="exact"/>
        <w:rPr>
          <w:rFonts w:hint="eastAsia" w:ascii="宋体" w:hAnsi="宋体" w:eastAsia="宋体" w:cs="宋体"/>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pPr>
        <w:kinsoku/>
        <w:topLinePunct w:val="0"/>
        <w:bidi w:val="0"/>
        <w:spacing w:line="380" w:lineRule="exact"/>
        <w:rPr>
          <w:rFonts w:hint="eastAsia" w:ascii="宋体" w:hAnsi="宋体" w:eastAsia="宋体" w:cs="宋体"/>
        </w:rPr>
      </w:pPr>
      <w:bookmarkStart w:id="141" w:name="_Toc10977"/>
      <w:bookmarkStart w:id="142" w:name="_Toc10877"/>
      <w:bookmarkStart w:id="143" w:name="_Toc11803"/>
      <w:bookmarkStart w:id="144" w:name="_Toc515647824"/>
    </w:p>
    <w:p>
      <w:pPr>
        <w:pStyle w:val="26"/>
        <w:kinsoku/>
        <w:topLinePunct w:val="0"/>
        <w:bidi w:val="0"/>
        <w:spacing w:line="380" w:lineRule="exact"/>
        <w:rPr>
          <w:rFonts w:hint="eastAsia" w:ascii="宋体" w:hAnsi="宋体" w:eastAsia="宋体" w:cs="宋体"/>
        </w:rPr>
      </w:pPr>
    </w:p>
    <w:p>
      <w:pPr>
        <w:kinsoku/>
        <w:topLinePunct w:val="0"/>
        <w:bidi w:val="0"/>
        <w:spacing w:line="380" w:lineRule="exact"/>
        <w:rPr>
          <w:rFonts w:hint="eastAsia" w:ascii="宋体" w:hAnsi="宋体" w:eastAsia="宋体" w:cs="宋体"/>
        </w:rPr>
      </w:pPr>
    </w:p>
    <w:p>
      <w:pPr>
        <w:pStyle w:val="5"/>
        <w:numPr>
          <w:ilvl w:val="0"/>
          <w:numId w:val="0"/>
        </w:numPr>
        <w:kinsoku/>
        <w:topLinePunct w:val="0"/>
        <w:bidi w:val="0"/>
        <w:spacing w:line="380" w:lineRule="exact"/>
        <w:jc w:val="both"/>
        <w:rPr>
          <w:rFonts w:hint="eastAsia" w:ascii="宋体" w:hAnsi="宋体" w:eastAsia="宋体" w:cs="宋体"/>
          <w:b/>
          <w:bCs/>
        </w:rPr>
      </w:pPr>
    </w:p>
    <w:p>
      <w:pPr>
        <w:rPr>
          <w:rFonts w:hint="eastAsia" w:ascii="宋体" w:hAnsi="宋体" w:eastAsia="宋体" w:cs="宋体"/>
          <w:b/>
          <w:bCs/>
        </w:rPr>
      </w:pPr>
    </w:p>
    <w:p>
      <w:pPr>
        <w:pStyle w:val="2"/>
        <w:rPr>
          <w:rFonts w:hint="eastAsia"/>
        </w:rPr>
      </w:pPr>
    </w:p>
    <w:bookmarkEnd w:id="141"/>
    <w:bookmarkEnd w:id="142"/>
    <w:bookmarkEnd w:id="143"/>
    <w:bookmarkEnd w:id="144"/>
    <w:p>
      <w:pPr>
        <w:pStyle w:val="26"/>
        <w:kinsoku/>
        <w:topLinePunct w:val="0"/>
        <w:bidi w:val="0"/>
        <w:spacing w:line="380" w:lineRule="exact"/>
        <w:rPr>
          <w:rFonts w:hint="eastAsia" w:ascii="宋体" w:hAnsi="宋体" w:eastAsia="宋体" w:cs="宋体"/>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rPr>
      </w:pPr>
      <w:bookmarkStart w:id="145" w:name="_Toc8010"/>
      <w:bookmarkStart w:id="146" w:name="_Toc19284"/>
      <w:bookmarkStart w:id="147" w:name="_Toc515647825"/>
      <w:bookmarkStart w:id="148" w:name="_Toc23068"/>
      <w:bookmarkStart w:id="149" w:name="OLE_LINK13"/>
      <w:bookmarkStart w:id="150" w:name="OLE_LINK14"/>
      <w:r>
        <w:rPr>
          <w:rFonts w:hint="eastAsia" w:ascii="宋体" w:hAnsi="宋体" w:eastAsia="宋体" w:cs="宋体"/>
          <w:b/>
          <w:bCs/>
        </w:rPr>
        <w:t xml:space="preserve"> </w:t>
      </w:r>
      <w:r>
        <w:rPr>
          <w:rFonts w:hint="eastAsia" w:ascii="宋体" w:hAnsi="宋体" w:cs="宋体"/>
          <w:b/>
          <w:bCs/>
          <w:lang w:val="en-US" w:eastAsia="zh-CN"/>
        </w:rPr>
        <w:t>8</w:t>
      </w:r>
      <w:r>
        <w:rPr>
          <w:rFonts w:hint="eastAsia" w:ascii="宋体" w:hAnsi="宋体" w:eastAsia="宋体" w:cs="宋体"/>
          <w:b/>
          <w:bCs/>
          <w:lang w:val="en-US" w:eastAsia="zh-CN"/>
        </w:rPr>
        <w:t>、</w:t>
      </w:r>
      <w:r>
        <w:rPr>
          <w:rFonts w:hint="eastAsia" w:ascii="宋体" w:hAnsi="宋体" w:eastAsia="宋体" w:cs="宋体"/>
          <w:b/>
          <w:bCs/>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rPr>
          <w:rFonts w:hint="eastAsia" w:ascii="宋体" w:hAnsi="宋体" w:eastAsia="宋体" w:cs="宋体"/>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515647828"/>
      <w:bookmarkStart w:id="153" w:name="_Toc17333"/>
      <w:bookmarkStart w:id="154" w:name="_Toc7414"/>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sectPr>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TliN2Y3NjI2OTZmMzRkNDUzM2Y5YjM2Y2Q1ZTc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5B6051"/>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849B4"/>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AC2639"/>
    <w:rsid w:val="0FB2671F"/>
    <w:rsid w:val="0FBF4B97"/>
    <w:rsid w:val="10130368"/>
    <w:rsid w:val="102E514F"/>
    <w:rsid w:val="104C77C0"/>
    <w:rsid w:val="1061783B"/>
    <w:rsid w:val="107812BE"/>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20040C"/>
    <w:rsid w:val="172374C5"/>
    <w:rsid w:val="174E3C66"/>
    <w:rsid w:val="175005C5"/>
    <w:rsid w:val="17BA0860"/>
    <w:rsid w:val="17FF1CA5"/>
    <w:rsid w:val="186576DB"/>
    <w:rsid w:val="1870581D"/>
    <w:rsid w:val="18852DC4"/>
    <w:rsid w:val="18B43EE8"/>
    <w:rsid w:val="19940024"/>
    <w:rsid w:val="19B73F44"/>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10F6386"/>
    <w:rsid w:val="21543824"/>
    <w:rsid w:val="2197751D"/>
    <w:rsid w:val="21A6126D"/>
    <w:rsid w:val="21BA77C5"/>
    <w:rsid w:val="21CD2F3E"/>
    <w:rsid w:val="21E40288"/>
    <w:rsid w:val="220F1E76"/>
    <w:rsid w:val="223E3706"/>
    <w:rsid w:val="225D0766"/>
    <w:rsid w:val="227F3C44"/>
    <w:rsid w:val="22813E3B"/>
    <w:rsid w:val="22D14F53"/>
    <w:rsid w:val="22F4274D"/>
    <w:rsid w:val="22F95428"/>
    <w:rsid w:val="23447230"/>
    <w:rsid w:val="23DB0465"/>
    <w:rsid w:val="23DE59BA"/>
    <w:rsid w:val="240E27FB"/>
    <w:rsid w:val="2460453E"/>
    <w:rsid w:val="24613453"/>
    <w:rsid w:val="24A43F77"/>
    <w:rsid w:val="24C82820"/>
    <w:rsid w:val="24D16C22"/>
    <w:rsid w:val="24D740D4"/>
    <w:rsid w:val="25011339"/>
    <w:rsid w:val="256E3D48"/>
    <w:rsid w:val="25F50CB6"/>
    <w:rsid w:val="260D24A3"/>
    <w:rsid w:val="26163EB5"/>
    <w:rsid w:val="26251D06"/>
    <w:rsid w:val="26321F0A"/>
    <w:rsid w:val="26C568DA"/>
    <w:rsid w:val="26D905D7"/>
    <w:rsid w:val="26EA6665"/>
    <w:rsid w:val="2746688A"/>
    <w:rsid w:val="276B6060"/>
    <w:rsid w:val="27822A1D"/>
    <w:rsid w:val="278F23C0"/>
    <w:rsid w:val="27B2145C"/>
    <w:rsid w:val="27FA7131"/>
    <w:rsid w:val="281A0EA7"/>
    <w:rsid w:val="28435545"/>
    <w:rsid w:val="287C121A"/>
    <w:rsid w:val="28962D82"/>
    <w:rsid w:val="28C22024"/>
    <w:rsid w:val="28DA4193"/>
    <w:rsid w:val="28E76FDC"/>
    <w:rsid w:val="28FB2A87"/>
    <w:rsid w:val="290129D3"/>
    <w:rsid w:val="298D5275"/>
    <w:rsid w:val="29F56D48"/>
    <w:rsid w:val="2A0D0CC4"/>
    <w:rsid w:val="2A1B2201"/>
    <w:rsid w:val="2A51735C"/>
    <w:rsid w:val="2A613DAE"/>
    <w:rsid w:val="2A7B5BDE"/>
    <w:rsid w:val="2AC8240E"/>
    <w:rsid w:val="2AE474F4"/>
    <w:rsid w:val="2AE91610"/>
    <w:rsid w:val="2AF23A16"/>
    <w:rsid w:val="2B2D0EF2"/>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ED1FB8"/>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7C0898"/>
    <w:rsid w:val="341774EA"/>
    <w:rsid w:val="343C6007"/>
    <w:rsid w:val="3474525E"/>
    <w:rsid w:val="348231C8"/>
    <w:rsid w:val="349756CD"/>
    <w:rsid w:val="34BB1D0D"/>
    <w:rsid w:val="34DB703E"/>
    <w:rsid w:val="35115EF8"/>
    <w:rsid w:val="352B6080"/>
    <w:rsid w:val="352E7A4E"/>
    <w:rsid w:val="355D1BDD"/>
    <w:rsid w:val="358E0B37"/>
    <w:rsid w:val="35F273D0"/>
    <w:rsid w:val="35FF1075"/>
    <w:rsid w:val="36312BA6"/>
    <w:rsid w:val="363E3E80"/>
    <w:rsid w:val="364147F8"/>
    <w:rsid w:val="36AB0D07"/>
    <w:rsid w:val="36CA51EA"/>
    <w:rsid w:val="36F44901"/>
    <w:rsid w:val="371216F3"/>
    <w:rsid w:val="371562DB"/>
    <w:rsid w:val="37256F21"/>
    <w:rsid w:val="37321D6A"/>
    <w:rsid w:val="37555A58"/>
    <w:rsid w:val="37B26BC7"/>
    <w:rsid w:val="37BA272F"/>
    <w:rsid w:val="37DF7667"/>
    <w:rsid w:val="3810197F"/>
    <w:rsid w:val="382F7F59"/>
    <w:rsid w:val="3898459D"/>
    <w:rsid w:val="38A243F2"/>
    <w:rsid w:val="38B4677D"/>
    <w:rsid w:val="38D65532"/>
    <w:rsid w:val="39585248"/>
    <w:rsid w:val="39682C9F"/>
    <w:rsid w:val="39C0030D"/>
    <w:rsid w:val="39E15BEA"/>
    <w:rsid w:val="3A271963"/>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B0751"/>
    <w:rsid w:val="3CBC2B52"/>
    <w:rsid w:val="3CE753A4"/>
    <w:rsid w:val="3D094553"/>
    <w:rsid w:val="3D1F312E"/>
    <w:rsid w:val="3D6A7724"/>
    <w:rsid w:val="3DDC1163"/>
    <w:rsid w:val="3E3711E2"/>
    <w:rsid w:val="3E421533"/>
    <w:rsid w:val="3E4E44C1"/>
    <w:rsid w:val="3E8D5E6B"/>
    <w:rsid w:val="3ED01430"/>
    <w:rsid w:val="3EDC25BB"/>
    <w:rsid w:val="3F66594E"/>
    <w:rsid w:val="3F796D91"/>
    <w:rsid w:val="3F9733C2"/>
    <w:rsid w:val="3FA30497"/>
    <w:rsid w:val="3FD247CD"/>
    <w:rsid w:val="3FD414E4"/>
    <w:rsid w:val="40D45C40"/>
    <w:rsid w:val="40DB5220"/>
    <w:rsid w:val="40E81C84"/>
    <w:rsid w:val="40F94293"/>
    <w:rsid w:val="40FD34E0"/>
    <w:rsid w:val="4157061F"/>
    <w:rsid w:val="41662610"/>
    <w:rsid w:val="41921B27"/>
    <w:rsid w:val="41D75722"/>
    <w:rsid w:val="429E34F1"/>
    <w:rsid w:val="42AA6865"/>
    <w:rsid w:val="42C57F36"/>
    <w:rsid w:val="42D27F5D"/>
    <w:rsid w:val="42EA6221"/>
    <w:rsid w:val="434A46EC"/>
    <w:rsid w:val="435C7A89"/>
    <w:rsid w:val="43941B2C"/>
    <w:rsid w:val="43CB2F74"/>
    <w:rsid w:val="43E44935"/>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6B4A6E"/>
    <w:rsid w:val="577949F3"/>
    <w:rsid w:val="5781344E"/>
    <w:rsid w:val="578923D3"/>
    <w:rsid w:val="57C837F3"/>
    <w:rsid w:val="57D27E9C"/>
    <w:rsid w:val="58002426"/>
    <w:rsid w:val="584E6149"/>
    <w:rsid w:val="585A65D3"/>
    <w:rsid w:val="587873A1"/>
    <w:rsid w:val="587C29ED"/>
    <w:rsid w:val="587D598D"/>
    <w:rsid w:val="587F30BF"/>
    <w:rsid w:val="589F3852"/>
    <w:rsid w:val="58BB798B"/>
    <w:rsid w:val="58E77E9A"/>
    <w:rsid w:val="59154646"/>
    <w:rsid w:val="5935428B"/>
    <w:rsid w:val="59537423"/>
    <w:rsid w:val="59695434"/>
    <w:rsid w:val="59CA7788"/>
    <w:rsid w:val="59D06384"/>
    <w:rsid w:val="59EB363D"/>
    <w:rsid w:val="59F359C5"/>
    <w:rsid w:val="5A6E2A15"/>
    <w:rsid w:val="5AF54CD9"/>
    <w:rsid w:val="5B031BFE"/>
    <w:rsid w:val="5B105132"/>
    <w:rsid w:val="5B314FB8"/>
    <w:rsid w:val="5B395408"/>
    <w:rsid w:val="5B4B7040"/>
    <w:rsid w:val="5B5136E8"/>
    <w:rsid w:val="5B8542BD"/>
    <w:rsid w:val="5BB22788"/>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627289"/>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600A8C"/>
    <w:rsid w:val="6A7D7D3F"/>
    <w:rsid w:val="6A9C5931"/>
    <w:rsid w:val="6AD14FD7"/>
    <w:rsid w:val="6B327947"/>
    <w:rsid w:val="6BC92D5B"/>
    <w:rsid w:val="6BD20370"/>
    <w:rsid w:val="6BDC2A11"/>
    <w:rsid w:val="6BE85984"/>
    <w:rsid w:val="6C4179F9"/>
    <w:rsid w:val="6D2356D5"/>
    <w:rsid w:val="6D374CDD"/>
    <w:rsid w:val="6D4603CA"/>
    <w:rsid w:val="6D7A376E"/>
    <w:rsid w:val="6D924ED4"/>
    <w:rsid w:val="6D993497"/>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655D7"/>
    <w:rsid w:val="71C87C41"/>
    <w:rsid w:val="71C93E5C"/>
    <w:rsid w:val="722453CB"/>
    <w:rsid w:val="72365B57"/>
    <w:rsid w:val="725532CF"/>
    <w:rsid w:val="72611287"/>
    <w:rsid w:val="72BB5F8B"/>
    <w:rsid w:val="72BB6655"/>
    <w:rsid w:val="72C712E1"/>
    <w:rsid w:val="72FA1A10"/>
    <w:rsid w:val="73322ECF"/>
    <w:rsid w:val="73662167"/>
    <w:rsid w:val="73952CB3"/>
    <w:rsid w:val="73C55FFA"/>
    <w:rsid w:val="744A0A36"/>
    <w:rsid w:val="7501589A"/>
    <w:rsid w:val="75092F11"/>
    <w:rsid w:val="751C6001"/>
    <w:rsid w:val="752C54C6"/>
    <w:rsid w:val="75686957"/>
    <w:rsid w:val="761A4816"/>
    <w:rsid w:val="76772852"/>
    <w:rsid w:val="767C4B99"/>
    <w:rsid w:val="769D3F76"/>
    <w:rsid w:val="76C46426"/>
    <w:rsid w:val="76D36956"/>
    <w:rsid w:val="771D3195"/>
    <w:rsid w:val="7758241F"/>
    <w:rsid w:val="77644F04"/>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72753A"/>
    <w:rsid w:val="7A8377B3"/>
    <w:rsid w:val="7AF47429"/>
    <w:rsid w:val="7B0862D8"/>
    <w:rsid w:val="7B130B37"/>
    <w:rsid w:val="7B406A51"/>
    <w:rsid w:val="7B6B4CD9"/>
    <w:rsid w:val="7B9B00FB"/>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0D576E"/>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91</Pages>
  <Words>50816</Words>
  <Characters>55744</Characters>
  <Lines>310</Lines>
  <Paragraphs>87</Paragraphs>
  <TotalTime>0</TotalTime>
  <ScaleCrop>false</ScaleCrop>
  <LinksUpToDate>false</LinksUpToDate>
  <CharactersWithSpaces>59278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2023-03-09T03:48:00Z</cp:lastPrinted>
  <dcterms:modified xsi:type="dcterms:W3CDTF">2023-05-31T12:58:09Z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C5226FD990DA432B9C00A95E23232FEE</vt:lpwstr>
  </property>
</Properties>
</file>