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color w:val="auto"/>
        </w:rPr>
      </w:pPr>
    </w:p>
    <w:p>
      <w:pPr>
        <w:pStyle w:val="26"/>
        <w:jc w:val="center"/>
        <w:rPr>
          <w:rFonts w:hint="eastAsia"/>
          <w:color w:val="auto"/>
          <w:sz w:val="20"/>
          <w:szCs w:val="22"/>
          <w:lang w:val="en-US" w:eastAsia="zh-CN"/>
        </w:rPr>
      </w:pPr>
      <w:r>
        <w:rPr>
          <w:rFonts w:hint="eastAsia" w:ascii="宋体" w:hAnsi="宋体" w:cs="宋体"/>
          <w:b/>
          <w:bCs/>
          <w:color w:val="auto"/>
          <w:sz w:val="44"/>
          <w:szCs w:val="44"/>
          <w:lang w:val="en-US" w:eastAsia="zh-CN"/>
        </w:rPr>
        <w:t>2023年教育脱贫攻坚同乡村振兴有效衔接义务教育学校建设项目（设备采购）三包</w:t>
      </w:r>
    </w:p>
    <w:p>
      <w:pPr>
        <w:pStyle w:val="49"/>
        <w:rPr>
          <w:rFonts w:hint="default"/>
          <w:color w:val="auto"/>
          <w:lang w:val="en-US" w:eastAsia="zh-CN"/>
        </w:rPr>
      </w:pPr>
    </w:p>
    <w:p>
      <w:pPr>
        <w:pStyle w:val="49"/>
        <w:rPr>
          <w:rFonts w:hint="default"/>
          <w:color w:val="auto"/>
          <w:lang w:val="en-US" w:eastAsia="zh-CN"/>
        </w:rPr>
      </w:pPr>
    </w:p>
    <w:p>
      <w:pPr>
        <w:tabs>
          <w:tab w:val="center" w:pos="4215"/>
          <w:tab w:val="left" w:pos="6948"/>
        </w:tabs>
        <w:autoSpaceDE w:val="0"/>
        <w:autoSpaceDN w:val="0"/>
        <w:jc w:val="left"/>
        <w:rPr>
          <w:rFonts w:hint="eastAsia" w:ascii="宋体" w:hAnsi="宋体" w:eastAsia="宋体" w:cs="楷体"/>
          <w:b/>
          <w:bCs/>
          <w:color w:val="auto"/>
          <w:sz w:val="72"/>
          <w:szCs w:val="72"/>
          <w:lang w:val="en-US" w:eastAsia="zh-CN"/>
        </w:rPr>
      </w:pPr>
      <w:r>
        <w:rPr>
          <w:rFonts w:hint="eastAsia" w:ascii="宋体" w:hAnsi="宋体" w:cs="楷体"/>
          <w:b/>
          <w:bCs/>
          <w:color w:val="auto"/>
          <w:sz w:val="72"/>
          <w:szCs w:val="72"/>
          <w:lang w:val="en-US" w:eastAsia="zh-CN"/>
        </w:rPr>
        <w:tab/>
      </w:r>
      <w:r>
        <w:rPr>
          <w:rFonts w:hint="eastAsia" w:ascii="宋体" w:hAnsi="宋体" w:eastAsia="宋体" w:cs="楷体"/>
          <w:b/>
          <w:bCs/>
          <w:color w:val="auto"/>
          <w:sz w:val="72"/>
          <w:szCs w:val="72"/>
          <w:lang w:val="en-US" w:eastAsia="zh-CN"/>
        </w:rPr>
        <w:t>招</w:t>
      </w:r>
      <w:r>
        <w:rPr>
          <w:rFonts w:hint="eastAsia" w:ascii="宋体" w:hAnsi="宋体" w:cs="楷体"/>
          <w:b/>
          <w:bCs/>
          <w:color w:val="auto"/>
          <w:sz w:val="72"/>
          <w:szCs w:val="72"/>
          <w:lang w:val="en-US" w:eastAsia="zh-CN"/>
        </w:rPr>
        <w:tab/>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49"/>
        <w:ind w:left="0" w:leftChars="0" w:firstLine="0" w:firstLineChars="0"/>
        <w:rPr>
          <w:rFonts w:hint="eastAsia"/>
          <w:color w:val="auto"/>
          <w:lang w:val="zh-CN"/>
        </w:rPr>
      </w:pPr>
    </w:p>
    <w:p>
      <w:pPr>
        <w:pStyle w:val="49"/>
        <w:ind w:left="0" w:leftChars="0" w:firstLine="0" w:firstLineChars="0"/>
        <w:rPr>
          <w:rFonts w:hint="eastAsia"/>
          <w:color w:val="auto"/>
          <w:lang w:val="zh-CN"/>
        </w:rPr>
      </w:pPr>
    </w:p>
    <w:p>
      <w:pPr>
        <w:widowControl/>
        <w:autoSpaceDE w:val="0"/>
        <w:autoSpaceDN w:val="0"/>
        <w:spacing w:line="60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阿图什市教育局（盖章）</w:t>
      </w:r>
    </w:p>
    <w:p>
      <w:pPr>
        <w:pStyle w:val="2"/>
        <w:spacing w:line="600" w:lineRule="auto"/>
        <w:ind w:firstLine="849" w:firstLineChars="300"/>
        <w:rPr>
          <w:rFonts w:hint="default"/>
          <w:color w:val="auto"/>
          <w:lang w:val="en-US" w:eastAsia="zh-CN"/>
        </w:rPr>
      </w:pPr>
      <w:r>
        <w:rPr>
          <w:rFonts w:hint="eastAsia" w:ascii="宋体" w:hAnsi="宋体" w:cs="宋体"/>
          <w:b/>
          <w:color w:val="auto"/>
          <w:kern w:val="2"/>
          <w:sz w:val="28"/>
          <w:szCs w:val="22"/>
          <w:lang w:val="en-US" w:eastAsia="zh-CN" w:bidi="ar-SA"/>
        </w:rPr>
        <w:t xml:space="preserve">法定代表人或授权人： </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沙先生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中轩项目管理有限公司（盖章）</w:t>
      </w:r>
    </w:p>
    <w:p>
      <w:pPr>
        <w:pStyle w:val="2"/>
        <w:spacing w:line="600" w:lineRule="auto"/>
        <w:ind w:firstLine="849" w:firstLineChars="300"/>
        <w:rPr>
          <w:rFonts w:hint="eastAsia"/>
          <w:color w:val="auto"/>
          <w:lang w:eastAsia="zh-CN"/>
        </w:rPr>
      </w:pPr>
      <w:r>
        <w:rPr>
          <w:rFonts w:hint="eastAsia" w:ascii="宋体" w:hAnsi="宋体" w:cs="宋体"/>
          <w:b/>
          <w:color w:val="auto"/>
          <w:kern w:val="2"/>
          <w:sz w:val="28"/>
          <w:szCs w:val="22"/>
          <w:lang w:val="en-US" w:eastAsia="zh-CN" w:bidi="ar-SA"/>
        </w:rPr>
        <w:t>法定代表人或授权人：</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color w:val="auto"/>
          <w:lang w:val="en-US" w:eastAsia="zh-CN"/>
        </w:rPr>
      </w:pPr>
    </w:p>
    <w:p>
      <w:pPr>
        <w:rPr>
          <w:rFonts w:hint="default"/>
          <w:color w:val="auto"/>
          <w:lang w:val="en-US" w:eastAsia="zh-CN"/>
        </w:rPr>
      </w:pPr>
    </w:p>
    <w:p>
      <w:pPr>
        <w:pStyle w:val="5"/>
        <w:numPr>
          <w:numId w:val="0"/>
        </w:numPr>
        <w:ind w:left="431" w:leftChars="0"/>
        <w:rPr>
          <w:rFonts w:hint="default"/>
          <w:color w:val="auto"/>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color w:val="auto"/>
          <w:sz w:val="32"/>
          <w:szCs w:val="32"/>
        </w:rPr>
      </w:pPr>
      <w:r>
        <w:rPr>
          <w:rFonts w:hint="eastAsia" w:ascii="宋体" w:hAnsi="宋体" w:cs="宋体"/>
          <w:b/>
          <w:color w:val="auto"/>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color w:val="auto"/>
              </w:rPr>
            </w:pPr>
            <w:bookmarkStart w:id="0" w:name="_Hlt10567911"/>
            <w:bookmarkEnd w:id="0"/>
            <w:bookmarkStart w:id="1" w:name="_Hlt10519329"/>
            <w:bookmarkEnd w:id="1"/>
            <w:bookmarkStart w:id="2" w:name="_Hlt10462525"/>
            <w:bookmarkEnd w:id="2"/>
            <w:bookmarkStart w:id="3" w:name="_Hlt10529670"/>
            <w:bookmarkEnd w:id="3"/>
            <w:bookmarkStart w:id="4" w:name="_Hlt10524010"/>
            <w:bookmarkEnd w:id="4"/>
            <w:bookmarkStart w:id="5" w:name="_Hlt10523642"/>
            <w:bookmarkEnd w:id="5"/>
            <w:bookmarkStart w:id="6" w:name="_Hlt10524029"/>
            <w:bookmarkEnd w:id="6"/>
            <w:bookmarkStart w:id="7" w:name="_Hlt42956360"/>
            <w:bookmarkEnd w:id="7"/>
            <w:bookmarkStart w:id="8" w:name="_Hlt10524018"/>
            <w:bookmarkEnd w:id="8"/>
            <w:bookmarkStart w:id="9" w:name="_Hlt42956379"/>
            <w:bookmarkEnd w:id="9"/>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color w:val="auto"/>
                <w:sz w:val="30"/>
                <w:szCs w:val="30"/>
                <w:lang w:val="zh-CN"/>
              </w:rPr>
            </w:pPr>
            <w:r>
              <w:rPr>
                <w:rFonts w:hint="eastAsia" w:ascii="宋体" w:hAnsi="宋体" w:cs="宋体"/>
                <w:color w:val="auto"/>
                <w:sz w:val="30"/>
                <w:szCs w:val="30"/>
              </w:rPr>
              <w:t>招 标 人:</w:t>
            </w:r>
            <w:r>
              <w:rPr>
                <w:rFonts w:hint="eastAsia" w:ascii="宋体" w:hAnsi="宋体" w:cs="宋体"/>
                <w:color w:val="auto"/>
                <w:sz w:val="30"/>
                <w:szCs w:val="30"/>
                <w:lang w:eastAsia="zh-CN"/>
              </w:rPr>
              <w:t>阿图什市教育局</w:t>
            </w:r>
          </w:p>
          <w:p>
            <w:pPr>
              <w:pStyle w:val="5"/>
              <w:numPr>
                <w:ilvl w:val="0"/>
                <w:numId w:val="0"/>
              </w:numPr>
              <w:rPr>
                <w:rFonts w:hint="eastAsia" w:ascii="宋体" w:hAnsi="宋体" w:cs="宋体"/>
                <w:color w:val="auto"/>
              </w:rPr>
            </w:pPr>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b/>
                <w:color w:val="auto"/>
                <w:sz w:val="32"/>
              </w:rPr>
            </w:pPr>
          </w:p>
          <w:p>
            <w:pPr>
              <w:pStyle w:val="26"/>
              <w:ind w:left="0" w:leftChars="0" w:firstLine="0" w:firstLineChars="0"/>
              <w:jc w:val="both"/>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项目名称：</w:t>
            </w:r>
            <w:r>
              <w:rPr>
                <w:rFonts w:hint="eastAsia" w:ascii="宋体" w:hAnsi="宋体" w:eastAsia="宋体" w:cs="宋体"/>
                <w:color w:val="auto"/>
                <w:sz w:val="30"/>
                <w:szCs w:val="30"/>
                <w:lang w:val="en-US" w:eastAsia="zh-CN"/>
              </w:rPr>
              <w:t>2023年教育脱贫攻坚同乡村振兴</w:t>
            </w:r>
            <w:r>
              <w:rPr>
                <w:rFonts w:hint="eastAsia" w:ascii="宋体" w:hAnsi="宋体" w:cs="宋体"/>
                <w:color w:val="auto"/>
                <w:sz w:val="30"/>
                <w:szCs w:val="30"/>
                <w:lang w:val="en-US" w:eastAsia="zh-CN"/>
              </w:rPr>
              <w:t>有效</w:t>
            </w:r>
            <w:r>
              <w:rPr>
                <w:rFonts w:hint="eastAsia" w:ascii="宋体" w:hAnsi="宋体" w:eastAsia="宋体" w:cs="宋体"/>
                <w:color w:val="auto"/>
                <w:sz w:val="30"/>
                <w:szCs w:val="30"/>
                <w:lang w:val="en-US" w:eastAsia="zh-CN"/>
              </w:rPr>
              <w:t>衔接义务教育学校建设项目（设备采购）</w:t>
            </w:r>
            <w:r>
              <w:rPr>
                <w:rFonts w:hint="eastAsia" w:ascii="宋体" w:hAnsi="宋体" w:cs="宋体"/>
                <w:color w:val="auto"/>
                <w:sz w:val="30"/>
                <w:szCs w:val="30"/>
                <w:lang w:val="en-US" w:eastAsia="zh-CN"/>
              </w:rPr>
              <w:t>三包</w:t>
            </w:r>
          </w:p>
          <w:p>
            <w:pPr>
              <w:widowControl/>
              <w:adjustRightInd w:val="0"/>
              <w:spacing w:before="100" w:after="100" w:line="360" w:lineRule="auto"/>
              <w:jc w:val="left"/>
              <w:rPr>
                <w:rFonts w:hint="eastAsia" w:ascii="宋体" w:hAnsi="宋体" w:eastAsia="宋体" w:cs="宋体"/>
                <w:color w:val="auto"/>
                <w:sz w:val="30"/>
                <w:szCs w:val="30"/>
                <w:lang w:eastAsia="zh-CN"/>
              </w:rPr>
            </w:pPr>
          </w:p>
          <w:p>
            <w:pPr>
              <w:pStyle w:val="26"/>
              <w:rPr>
                <w:rFonts w:hint="eastAsia" w:ascii="宋体" w:hAnsi="宋体" w:eastAsia="宋体" w:cs="宋体"/>
                <w:color w:val="auto"/>
                <w:sz w:val="30"/>
                <w:szCs w:val="30"/>
                <w:lang w:eastAsia="zh-CN"/>
              </w:rPr>
            </w:pPr>
          </w:p>
          <w:p>
            <w:pPr>
              <w:rPr>
                <w:rFonts w:hint="eastAsia" w:ascii="宋体" w:hAnsi="宋体" w:eastAsia="宋体" w:cs="宋体"/>
                <w:color w:val="auto"/>
                <w:sz w:val="30"/>
                <w:szCs w:val="30"/>
                <w:lang w:eastAsia="zh-CN"/>
              </w:rPr>
            </w:pPr>
          </w:p>
          <w:p>
            <w:pPr>
              <w:pStyle w:val="26"/>
              <w:rPr>
                <w:rFonts w:hint="eastAsia"/>
                <w:color w:val="auto"/>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招标代理机构：</w:t>
            </w:r>
            <w:r>
              <w:rPr>
                <w:rFonts w:hint="eastAsia" w:ascii="宋体" w:hAnsi="宋体" w:cs="宋体"/>
                <w:color w:val="auto"/>
                <w:sz w:val="30"/>
                <w:szCs w:val="30"/>
                <w:lang w:val="zh-CN" w:eastAsia="zh-CN"/>
              </w:rPr>
              <w:t>中轩项目管理有限公司</w:t>
            </w:r>
          </w:p>
          <w:p>
            <w:pPr>
              <w:pStyle w:val="26"/>
              <w:ind w:left="0" w:leftChars="0" w:firstLine="0" w:firstLineChars="0"/>
              <w:rPr>
                <w:rFonts w:hint="eastAsia" w:ascii="宋体" w:hAnsi="宋体" w:eastAsia="宋体" w:cs="宋体"/>
                <w:color w:val="auto"/>
                <w:sz w:val="30"/>
                <w:szCs w:val="30"/>
                <w:lang w:eastAsia="zh-CN"/>
              </w:rPr>
            </w:pPr>
          </w:p>
          <w:p>
            <w:pPr>
              <w:rPr>
                <w:rFonts w:hint="eastAsia"/>
                <w:color w:val="auto"/>
                <w:lang w:eastAsia="zh-CN"/>
              </w:rPr>
            </w:pPr>
          </w:p>
          <w:p>
            <w:pPr>
              <w:pStyle w:val="26"/>
              <w:rPr>
                <w:rFonts w:hint="eastAsia"/>
                <w:color w:val="auto"/>
                <w:lang w:eastAsia="zh-CN"/>
              </w:rPr>
            </w:pPr>
          </w:p>
          <w:p>
            <w:pPr>
              <w:widowControl/>
              <w:adjustRightInd w:val="0"/>
              <w:spacing w:before="100" w:after="100" w:line="360" w:lineRule="auto"/>
              <w:ind w:firstLine="2121" w:firstLineChars="700"/>
              <w:jc w:val="left"/>
              <w:rPr>
                <w:rFonts w:hint="eastAsia" w:ascii="宋体" w:hAnsi="宋体" w:cs="宋体"/>
                <w:color w:val="auto"/>
                <w:sz w:val="32"/>
                <w:szCs w:val="32"/>
              </w:rPr>
            </w:pPr>
            <w:r>
              <w:rPr>
                <w:rFonts w:hint="eastAsia" w:ascii="宋体" w:hAnsi="宋体" w:eastAsia="宋体" w:cs="宋体"/>
                <w:color w:val="auto"/>
                <w:sz w:val="30"/>
                <w:szCs w:val="30"/>
                <w:lang w:eastAsia="zh-CN"/>
              </w:rPr>
              <w:t>本采购项目招标文件已报备</w:t>
            </w:r>
          </w:p>
        </w:tc>
      </w:tr>
    </w:tbl>
    <w:p>
      <w:pPr>
        <w:pStyle w:val="49"/>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color w:val="auto"/>
          <w:kern w:val="36"/>
          <w:sz w:val="36"/>
          <w:szCs w:val="36"/>
        </w:rPr>
      </w:pPr>
      <w:r>
        <w:rPr>
          <w:rFonts w:hint="eastAsia" w:ascii="宋体" w:hAnsi="宋体" w:cs="宋体"/>
          <w:color w:val="auto"/>
          <w:sz w:val="24"/>
          <w:highlight w:val="none"/>
        </w:rPr>
        <w:br w:type="page"/>
      </w:r>
      <w:r>
        <w:rPr>
          <w:rFonts w:ascii="宋体" w:hAnsi="宋体" w:cs="宋体"/>
          <w:b/>
          <w:bCs/>
          <w:color w:val="auto"/>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color w:val="auto"/>
          <w:kern w:val="2"/>
          <w:sz w:val="28"/>
          <w:szCs w:val="28"/>
          <w:lang w:val="en-US" w:eastAsia="zh-CN" w:bidi="ar-SA"/>
        </w:rPr>
      </w:pPr>
      <w:bookmarkStart w:id="10" w:name="_Toc469495721"/>
      <w:bookmarkStart w:id="11" w:name="_Toc469495723"/>
      <w:r>
        <w:rPr>
          <w:rFonts w:hint="eastAsia" w:ascii="宋体" w:hAnsi="宋体" w:eastAsia="宋体" w:cs="宋体"/>
          <w:b/>
          <w:bCs/>
          <w:color w:val="auto"/>
          <w:kern w:val="2"/>
          <w:sz w:val="28"/>
          <w:szCs w:val="28"/>
          <w:lang w:val="en-US" w:eastAsia="zh-CN" w:bidi="ar-SA"/>
        </w:rPr>
        <w:t>2023年教育脱贫攻坚同乡村振兴</w:t>
      </w:r>
      <w:r>
        <w:rPr>
          <w:rFonts w:hint="eastAsia" w:ascii="宋体" w:hAnsi="宋体" w:cs="宋体"/>
          <w:b/>
          <w:bCs/>
          <w:color w:val="auto"/>
          <w:kern w:val="2"/>
          <w:sz w:val="28"/>
          <w:szCs w:val="28"/>
          <w:lang w:val="en-US" w:eastAsia="zh-CN" w:bidi="ar-SA"/>
        </w:rPr>
        <w:t>有效</w:t>
      </w:r>
      <w:r>
        <w:rPr>
          <w:rFonts w:hint="eastAsia" w:ascii="宋体" w:hAnsi="宋体" w:eastAsia="宋体" w:cs="宋体"/>
          <w:b/>
          <w:bCs/>
          <w:color w:val="auto"/>
          <w:kern w:val="2"/>
          <w:sz w:val="28"/>
          <w:szCs w:val="28"/>
          <w:lang w:val="en-US" w:eastAsia="zh-CN" w:bidi="ar-SA"/>
        </w:rPr>
        <w:t>衔接义务教育学校建设项目（设备采购）</w:t>
      </w:r>
      <w:r>
        <w:rPr>
          <w:rFonts w:hint="eastAsia" w:ascii="宋体" w:hAnsi="宋体" w:cs="宋体"/>
          <w:b/>
          <w:bCs/>
          <w:color w:val="auto"/>
          <w:kern w:val="2"/>
          <w:sz w:val="28"/>
          <w:szCs w:val="28"/>
          <w:lang w:val="en-US" w:eastAsia="zh-CN" w:bidi="ar-SA"/>
        </w:rPr>
        <w:t>三包</w:t>
      </w:r>
      <w:r>
        <w:rPr>
          <w:rFonts w:hint="eastAsia" w:ascii="宋体" w:hAnsi="宋体" w:eastAsia="宋体" w:cs="宋体"/>
          <w:b/>
          <w:bCs/>
          <w:color w:val="auto"/>
          <w:kern w:val="2"/>
          <w:sz w:val="28"/>
          <w:szCs w:val="28"/>
          <w:lang w:val="en-US" w:eastAsia="zh-CN" w:bidi="ar-SA"/>
        </w:rPr>
        <w:t>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color w:val="auto"/>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r>
        <w:rPr>
          <w:rFonts w:hint="eastAsia" w:ascii="宋体" w:hAnsi="宋体" w:eastAsia="宋体" w:cs="宋体"/>
          <w:color w:val="auto"/>
          <w:kern w:val="2"/>
          <w:sz w:val="21"/>
          <w:szCs w:val="21"/>
          <w:lang w:val="en-US" w:eastAsia="zh-CN" w:bidi="ar-SA"/>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 xml:space="preserve">19 </w:t>
      </w:r>
      <w:r>
        <w:rPr>
          <w:rFonts w:hint="eastAsia" w:ascii="宋体" w:hAnsi="宋体" w:eastAsia="宋体" w:cs="宋体"/>
          <w:color w:val="auto"/>
          <w:kern w:val="2"/>
          <w:sz w:val="21"/>
          <w:szCs w:val="21"/>
          <w:lang w:val="en-US" w:eastAsia="zh-CN" w:bidi="ar-SA"/>
        </w:rPr>
        <w:t>日1</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1000000.00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1000000.00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w:t>
      </w:r>
      <w:r>
        <w:rPr>
          <w:rFonts w:hint="eastAsia" w:cs="宋体"/>
          <w:color w:val="auto"/>
          <w:kern w:val="2"/>
          <w:sz w:val="21"/>
          <w:szCs w:val="21"/>
          <w:lang w:val="en-US" w:eastAsia="zh-CN" w:bidi="ar-SA"/>
        </w:rPr>
        <w:t>校园文化</w:t>
      </w:r>
      <w:r>
        <w:rPr>
          <w:rFonts w:hint="eastAsia" w:ascii="宋体" w:hAnsi="宋体" w:eastAsia="宋体" w:cs="宋体"/>
          <w:color w:val="auto"/>
          <w:kern w:val="2"/>
          <w:sz w:val="21"/>
          <w:szCs w:val="21"/>
          <w:lang w:val="en-US" w:eastAsia="zh-CN" w:bidi="ar-SA"/>
        </w:rPr>
        <w:t>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r>
        <w:rPr>
          <w:rFonts w:hint="eastAsia" w:cs="宋体"/>
          <w:color w:val="auto"/>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1000000.00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w:t>
      </w:r>
      <w:r>
        <w:rPr>
          <w:rFonts w:hint="eastAsia" w:cs="宋体"/>
          <w:color w:val="auto"/>
          <w:kern w:val="2"/>
          <w:sz w:val="21"/>
          <w:szCs w:val="21"/>
          <w:lang w:val="en-US" w:eastAsia="zh-CN" w:bidi="ar-SA"/>
        </w:rPr>
        <w:t>校园文化</w:t>
      </w:r>
      <w:r>
        <w:rPr>
          <w:rFonts w:hint="eastAsia" w:ascii="宋体" w:hAnsi="宋体" w:eastAsia="宋体" w:cs="宋体"/>
          <w:color w:val="auto"/>
          <w:kern w:val="2"/>
          <w:sz w:val="21"/>
          <w:szCs w:val="21"/>
          <w:lang w:val="en-US" w:eastAsia="zh-CN" w:bidi="ar-SA"/>
        </w:rPr>
        <w:t>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合同履约期限：标项</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w:t>
      </w:r>
      <w:r>
        <w:rPr>
          <w:rFonts w:hint="eastAsia"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为中小企业</w:t>
      </w:r>
      <w:r>
        <w:rPr>
          <w:rFonts w:hint="eastAsia"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本项目的特定资格要求：标项</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时间：2023年</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 29</w:t>
      </w:r>
      <w:r>
        <w:rPr>
          <w:rFonts w:hint="eastAsia" w:ascii="宋体" w:hAnsi="宋体" w:eastAsia="宋体" w:cs="宋体"/>
          <w:color w:val="auto"/>
          <w:kern w:val="2"/>
          <w:sz w:val="21"/>
          <w:szCs w:val="21"/>
          <w:highlight w:val="none"/>
          <w:lang w:val="en-US" w:eastAsia="zh-CN" w:bidi="ar-SA"/>
        </w:rPr>
        <w:t>日至2023年</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9 </w:t>
      </w:r>
      <w:r>
        <w:rPr>
          <w:rFonts w:hint="eastAsia" w:ascii="宋体" w:hAnsi="宋体" w:eastAsia="宋体" w:cs="宋体"/>
          <w:color w:val="auto"/>
          <w:kern w:val="2"/>
          <w:sz w:val="21"/>
          <w:szCs w:val="21"/>
          <w:highlight w:val="none"/>
          <w:lang w:val="en-US" w:eastAsia="zh-CN" w:bidi="ar-SA"/>
        </w:rPr>
        <w:t>日，每天上午10:00至1</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0，下午16:</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0至</w:t>
      </w:r>
      <w:r>
        <w:rPr>
          <w:rFonts w:hint="eastAsia"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6 </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6 </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7"/>
          <w:szCs w:val="27"/>
          <w:lang w:val="en-US" w:eastAsia="zh-CN"/>
        </w:rPr>
        <w:t xml:space="preserve"> </w:t>
      </w:r>
      <w:r>
        <w:rPr>
          <w:rFonts w:hint="eastAsia" w:ascii="宋体" w:hAnsi="宋体" w:eastAsia="宋体" w:cs="宋体"/>
          <w:color w:val="auto"/>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color w:val="auto"/>
          <w:sz w:val="21"/>
          <w:szCs w:val="21"/>
          <w:lang w:eastAsia="zh-CN"/>
        </w:rPr>
        <w:t xml:space="preserve">95763 </w:t>
      </w:r>
      <w:r>
        <w:rPr>
          <w:rFonts w:hint="eastAsia" w:ascii="宋体" w:hAnsi="宋体" w:eastAsia="宋体" w:cs="宋体"/>
          <w:color w:val="auto"/>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5.供应商在开标时须使用制作加密电子投标文件所使用的CA锁及电脑，电脑须提前配置好浏览器（建议使用谷歌浏览器），以便开标时解锁。</w:t>
      </w:r>
      <w:r>
        <w:rPr>
          <w:rFonts w:hint="eastAsia" w:cs="宋体"/>
          <w:color w:val="auto"/>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color w:val="auto"/>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bookmarkEnd w:id="10"/>
      <w:r>
        <w:rPr>
          <w:rFonts w:hint="eastAsia" w:cs="宋体"/>
          <w:color w:val="auto"/>
          <w:sz w:val="21"/>
          <w:szCs w:val="21"/>
          <w:lang w:val="en-US" w:eastAsia="zh-CN"/>
        </w:rPr>
        <w:t>13809988058</w:t>
      </w:r>
    </w:p>
    <w:p>
      <w:pPr>
        <w:rPr>
          <w:rFonts w:hint="eastAsia"/>
          <w:color w:val="auto"/>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bookmarkEnd w:id="12"/>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项目编号：ATSCG-2023032-3</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采购内容：校园文化一批（数量及参数详见招标文件）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100</w:t>
            </w:r>
            <w:r>
              <w:rPr>
                <w:rFonts w:hint="eastAsia" w:ascii="Times New Roman" w:hAnsi="Times New Roman" w:eastAsia="宋体" w:cs="Times New Roman"/>
                <w:color w:val="auto"/>
                <w:kern w:val="2"/>
                <w:sz w:val="21"/>
                <w:szCs w:val="21"/>
                <w:lang w:val="en-US" w:eastAsia="zh-CN" w:bidi="ar-SA"/>
              </w:rPr>
              <w:t>0000.00元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100</w:t>
            </w:r>
            <w:r>
              <w:rPr>
                <w:rFonts w:hint="eastAsia" w:ascii="Times New Roman" w:hAnsi="Times New Roman" w:eastAsia="宋体" w:cs="Times New Roman"/>
                <w:b/>
                <w:bCs/>
                <w:color w:val="auto"/>
                <w:kern w:val="2"/>
                <w:sz w:val="21"/>
                <w:szCs w:val="21"/>
                <w:lang w:val="en-US" w:eastAsia="zh-CN" w:bidi="ar-SA"/>
              </w:rPr>
              <w:t>0000.00元，投标人的投标报价不得高于最高投标限价，否则其投标将被否决。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w:t>
            </w:r>
            <w:r>
              <w:rPr>
                <w:rFonts w:hint="eastAsia" w:cs="Times New Roman"/>
                <w:b w:val="0"/>
                <w:bCs/>
                <w:color w:val="auto"/>
                <w:sz w:val="21"/>
                <w:szCs w:val="21"/>
                <w:highlight w:val="none"/>
                <w:lang w:val="en-US" w:eastAsia="zh-CN"/>
              </w:rPr>
              <w:t>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w:t>
            </w:r>
            <w:r>
              <w:rPr>
                <w:rFonts w:hint="eastAsia" w:ascii="Times New Roman" w:hAnsi="Times New Roman" w:eastAsia="宋体" w:cs="Times New Roman"/>
                <w:b/>
                <w:bCs w:val="0"/>
                <w:color w:val="auto"/>
                <w:kern w:val="2"/>
                <w:sz w:val="22"/>
                <w:szCs w:val="28"/>
                <w:u w:val="single"/>
                <w:lang w:val="en-US" w:eastAsia="zh-CN" w:bidi="ar-SA"/>
              </w:rPr>
              <w:t xml:space="preserve">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20</w:t>
            </w:r>
            <w:r>
              <w:rPr>
                <w:rFonts w:hint="eastAsia" w:ascii="宋体" w:hAnsi="宋体" w:cs="宋体-18030"/>
                <w:b/>
                <w:bCs w:val="0"/>
                <w:color w:val="auto"/>
                <w:szCs w:val="21"/>
              </w:rPr>
              <w:t>000</w:t>
            </w:r>
            <w:r>
              <w:rPr>
                <w:rFonts w:hint="eastAsia" w:hAnsi="宋体" w:cs="宋体-18030"/>
                <w:b/>
                <w:bCs w:val="0"/>
                <w:color w:val="auto"/>
                <w:szCs w:val="21"/>
                <w:lang w:val="en-US" w:eastAsia="zh-CN"/>
              </w:rPr>
              <w:t>.00</w:t>
            </w:r>
            <w:r>
              <w:rPr>
                <w:rFonts w:hint="eastAsia" w:ascii="宋体" w:hAnsi="宋体" w:cs="宋体-18030"/>
                <w:b/>
                <w:bCs w:val="0"/>
                <w:color w:val="auto"/>
                <w:szCs w:val="21"/>
              </w:rPr>
              <w:t>元（</w:t>
            </w:r>
            <w:r>
              <w:rPr>
                <w:rFonts w:hint="eastAsia" w:hAnsi="宋体" w:cs="宋体-18030"/>
                <w:b/>
                <w:bCs w:val="0"/>
                <w:color w:val="auto"/>
                <w:szCs w:val="21"/>
                <w:lang w:eastAsia="zh-CN"/>
              </w:rPr>
              <w:t>贰万</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投标保证金的金额：20000.00元</w:t>
            </w:r>
            <w:r>
              <w:rPr>
                <w:rFonts w:hint="eastAsia" w:ascii="宋体" w:hAnsi="宋体" w:cs="宋体"/>
                <w:b w:val="0"/>
                <w:bCs/>
                <w:color w:val="auto"/>
                <w:szCs w:val="21"/>
                <w:lang w:val="en-US" w:eastAsia="zh-CN"/>
              </w:rPr>
              <w:t>；</w:t>
            </w:r>
            <w:r>
              <w:rPr>
                <w:rFonts w:hint="eastAsia" w:ascii="宋体" w:hAnsi="宋体" w:eastAsia="宋体" w:cs="宋体"/>
                <w:b w:val="0"/>
                <w:bCs/>
                <w:color w:val="auto"/>
                <w:szCs w:val="21"/>
                <w:lang w:val="en-US" w:eastAsia="zh-CN"/>
              </w:rPr>
              <w:t>（贰万元整）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投标保证金缴纳要求：1、投标保证金以电汇、网银等转账形式提交的，应在投标截止时间</w:t>
            </w:r>
            <w:r>
              <w:rPr>
                <w:rFonts w:hint="eastAsia" w:ascii="宋体" w:hAnsi="宋体" w:eastAsia="宋体" w:cs="宋体"/>
                <w:b w:val="0"/>
                <w:bCs/>
                <w:color w:val="auto"/>
                <w:szCs w:val="21"/>
                <w:lang w:val="en-US" w:eastAsia="zh-CN"/>
              </w:rPr>
              <w:t xml:space="preserve">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w:t>
            </w:r>
            <w:r>
              <w:rPr>
                <w:rFonts w:hint="eastAsia" w:ascii="宋体" w:hAnsi="宋体" w:eastAsia="宋体" w:cs="宋体"/>
                <w:b w:val="0"/>
                <w:bCs/>
                <w:color w:val="auto"/>
                <w:szCs w:val="21"/>
                <w:lang w:val="en-US" w:eastAsia="zh-CN"/>
              </w:rPr>
              <w:t>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w:t>
            </w:r>
            <w:r>
              <w:rPr>
                <w:rFonts w:hint="eastAsia" w:hAnsi="Times New Roman" w:cs="Times New Roman"/>
                <w:b w:val="0"/>
                <w:bCs/>
                <w:color w:val="auto"/>
                <w:sz w:val="21"/>
                <w:szCs w:val="21"/>
                <w:highlight w:val="none"/>
                <w:lang w:val="en-US" w:eastAsia="zh-CN"/>
              </w:rPr>
              <w:t>2023年</w:t>
            </w:r>
            <w:r>
              <w:rPr>
                <w:rFonts w:hint="eastAsia" w:cs="Times New Roman"/>
                <w:b w:val="0"/>
                <w:bCs/>
                <w:color w:val="auto"/>
                <w:sz w:val="21"/>
                <w:szCs w:val="21"/>
                <w:highlight w:val="none"/>
                <w:lang w:val="en-US" w:eastAsia="zh-CN"/>
              </w:rPr>
              <w:t xml:space="preserve"> 6</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26 </w:t>
            </w:r>
            <w:r>
              <w:rPr>
                <w:rFonts w:hint="eastAsia" w:hAnsi="Times New Roman" w:cs="Times New Roman"/>
                <w:b w:val="0"/>
                <w:bCs/>
                <w:color w:val="auto"/>
                <w:sz w:val="21"/>
                <w:szCs w:val="21"/>
                <w:highlight w:val="none"/>
                <w:lang w:val="en-US" w:eastAsia="zh-CN"/>
              </w:rPr>
              <w:t>日19:30</w:t>
            </w:r>
            <w:r>
              <w:rPr>
                <w:rFonts w:hint="eastAsia" w:hAnsi="Times New Roman" w:cs="Times New Roman"/>
                <w:b w:val="0"/>
                <w:bCs/>
                <w:color w:val="auto"/>
                <w:sz w:val="21"/>
                <w:szCs w:val="21"/>
                <w:highlight w:val="none"/>
                <w:lang w:val="en-US" w:eastAsia="zh-CN"/>
              </w:rPr>
              <w:t>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w:t>
            </w:r>
            <w:r>
              <w:rPr>
                <w:rFonts w:hint="eastAsia"/>
                <w:b w:val="0"/>
                <w:bCs/>
                <w:color w:val="auto"/>
                <w:lang w:val="en-US" w:eastAsia="zh-CN"/>
              </w:rPr>
              <w:t>内向采购人交纳中标价5%的履约保证金（本项目履约保证金接收保函形式；若以电</w:t>
            </w:r>
            <w:r>
              <w:rPr>
                <w:rFonts w:hint="eastAsia"/>
                <w:b w:val="0"/>
                <w:bCs/>
                <w:color w:val="auto"/>
                <w:lang w:val="en-US" w:eastAsia="zh-CN"/>
              </w:rPr>
              <w:t>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247592876"/>
      <w:bookmarkStart w:id="15" w:name="_Toc152045539"/>
      <w:bookmarkStart w:id="16" w:name="_Toc144974507"/>
      <w:bookmarkStart w:id="17" w:name="_Toc152042315"/>
      <w:bookmarkStart w:id="18" w:name="_Toc247513962"/>
      <w:bookmarkStart w:id="19" w:name="_Toc247527563"/>
      <w:bookmarkStart w:id="20" w:name="_Toc296602429"/>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152045540"/>
      <w:bookmarkStart w:id="22" w:name="_Toc247527564"/>
      <w:bookmarkStart w:id="23" w:name="_Toc296602430"/>
      <w:bookmarkStart w:id="24" w:name="_Toc247592877"/>
      <w:bookmarkStart w:id="25" w:name="_Toc152042316"/>
      <w:bookmarkStart w:id="26" w:name="_Toc144974508"/>
      <w:bookmarkStart w:id="27" w:name="_Toc247513963"/>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auto"/>
          <w:szCs w:val="21"/>
          <w:highlight w:val="none"/>
        </w:rPr>
        <w:t>均分</w:t>
      </w:r>
      <w:r>
        <w:rPr>
          <w:rFonts w:hint="eastAsia" w:ascii="宋体"/>
          <w:color w:val="auto"/>
          <w:szCs w:val="21"/>
          <w:highlight w:val="none"/>
          <w:lang w:val="en-US" w:eastAsia="zh-CN"/>
        </w:rPr>
        <w:t>30</w:t>
      </w:r>
      <w:r>
        <w:rPr>
          <w:rFonts w:hint="eastAsia" w:ascii="宋体"/>
          <w:color w:val="auto"/>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color w:val="auto"/>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362983802"/>
      <w:bookmarkStart w:id="49" w:name="_Toc469495733"/>
      <w:bookmarkStart w:id="50" w:name="_Toc363135205"/>
      <w:bookmarkStart w:id="51"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rPr>
              <w:t>具备</w:t>
            </w:r>
            <w:r>
              <w:rPr>
                <w:rFonts w:hint="eastAsia" w:ascii="宋体" w:hAnsi="宋体" w:eastAsia="宋体" w:cs="宋体"/>
                <w:color w:val="auto"/>
                <w:szCs w:val="21"/>
                <w:lang w:val="en-US" w:eastAsia="zh-CN"/>
              </w:rPr>
              <w:t>合格有效的</w:t>
            </w:r>
            <w:r>
              <w:rPr>
                <w:rFonts w:hint="eastAsia" w:ascii="宋体" w:hAnsi="宋体" w:eastAsia="宋体" w:cs="宋体"/>
                <w:color w:val="auto"/>
                <w:szCs w:val="21"/>
              </w:rPr>
              <w:t>三证合一营业执照</w:t>
            </w:r>
            <w:r>
              <w:rPr>
                <w:rFonts w:hint="eastAsia" w:ascii="宋体" w:hAnsi="宋体" w:eastAsia="宋体" w:cs="宋体"/>
                <w:color w:val="auto"/>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5542"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auto"/>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color w:val="auto"/>
                <w:kern w:val="2"/>
                <w:sz w:val="21"/>
                <w:szCs w:val="21"/>
                <w:lang w:val="en-US" w:eastAsia="zh-CN" w:bidi="ar-SA"/>
              </w:rPr>
            </w:pPr>
            <w:r>
              <w:rPr>
                <w:rFonts w:hint="eastAsia" w:cs="Times New Roman"/>
                <w:b w:val="0"/>
                <w:bCs/>
                <w:color w:val="auto"/>
                <w:sz w:val="21"/>
                <w:szCs w:val="21"/>
                <w:highlight w:val="none"/>
                <w:lang w:val="en-US" w:eastAsia="zh-CN"/>
              </w:rPr>
              <w:t>投标保证金收据或保函等票据；</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074" w:type="dxa"/>
            <w:gridSpan w:val="2"/>
            <w:tcBorders>
              <w:bottom w:val="single" w:color="auto" w:sz="4" w:space="0"/>
            </w:tcBorders>
            <w:noWrap w:val="0"/>
            <w:vAlign w:val="top"/>
          </w:tcPr>
          <w:p>
            <w:pPr>
              <w:rPr>
                <w:rFonts w:hint="eastAsia" w:ascii="宋体" w:hAnsi="宋体" w:cs="宋体"/>
                <w:color w:val="auto"/>
              </w:rPr>
            </w:pPr>
          </w:p>
        </w:tc>
        <w:tc>
          <w:tcPr>
            <w:tcW w:w="753"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469495734"/>
      <w:bookmarkStart w:id="53" w:name="_Toc362983803"/>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bookmarkStart w:id="54"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469495736"/>
      <w:bookmarkStart w:id="56"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page" w:tblpX="1706" w:tblpY="260"/>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74"/>
        <w:gridCol w:w="769"/>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评分因素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及权重</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分值</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投标报价</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标基准价=有效投标报价的最低值，有效投标报价等于基准值的得满分30分，投标报价得分=（评标基准价/投标报价）×价格权重×100；有效投标报价为通过资格性和符合性审查的供应商报价。计算分数时四舍五入取小数点后两位,分数最高不超过30分。对小型和微型企业产品的价格给予 10% 的扣除【即:投标报价-（投标报价× 10% ）】，用扣除后的价格参与评审。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配置及性能技术指标</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根据所投产品的配置与性能指标的响应程度打分，全部响应招标文件的得25分。每有一项指标高于招标文件规定的相应技术指标、参数的加0.5分，此项最高得5分。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设计理念、设计方案及效果图</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出的学校理念先进齐全、符合学校设计特点、符合新时代中国特色社会主义的宣传思想及自治区宣传工作重点内容，彰显克州地区教育的特点，形式新颖、主题鲜明、立场正确、内容详细；符合：一、项目总体概述及理解：对项目实施内容有总体认识，以及项目所在地点的特殊性有清晰、全案、完整的理解，校园文化建设设计方案的整体创意、风格、表现形式和内容能理解和满足整体需求。二、合理化建议： 投标人对校园文化进行内涵解读，针对学校文化现状分析、文化理念主题提炼阐述，能突出学校文化特色。投标人围绕文化主题，对学校环境文化系统建设、整体布局规划有独到的见解。三、项目施工关键施工技术分析及解决方案：针对学校环境特点，作业现场工作难点、重点，列明关键施工技术措施的要求；出具的效果图全面展现设计理念及方案的实地实施效果图优得（20分）、良得（10分）、一般得（5分）设计方案、效果图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374"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性能要求</w:t>
            </w:r>
          </w:p>
        </w:tc>
        <w:tc>
          <w:tcPr>
            <w:tcW w:w="769"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8分</w:t>
            </w:r>
          </w:p>
        </w:tc>
        <w:tc>
          <w:tcPr>
            <w:tcW w:w="6150" w:type="dxa"/>
            <w:vAlign w:val="center"/>
          </w:tcPr>
          <w:p>
            <w:pPr>
              <w:pStyle w:val="62"/>
              <w:widowControl/>
              <w:numPr>
                <w:ilvl w:val="0"/>
                <w:numId w:val="0"/>
              </w:numPr>
              <w:spacing w:line="240" w:lineRule="auto"/>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所投校园发布系统需对如下参数提供相关功能的产品检测报告，少提供一项减2分；最高得8分，最低得分0分。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1、后台管理系统支持云图库功能，系统内置不少于180份的正版宣传内容。（提供国家权威质量监督检验中心的检测报告复印件加盖原厂公章及投标人公章）；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支持通过网页管理后台将图库资源（卫生健康、党建文化、科普知识、社会主义核心价值观等主题内容）发布到云屏设备上进行展示。（提供国家权威质量监督检验中心的检测报告复印件加盖原厂公章及投标人公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3、支持通过微信小程序将图库资源（卫生健康、党建文化、科普知识、社会主义核心价值观等主题内容）发布到设备上进行展示（提供截图证明加盖原厂公章及投标人公章）；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支持通过微信小程序将校园海报模板（100套以上含100套，卫生健康、荣誉表扬、倒计时、校园风采、欢迎模式、公告通知、诗词鉴赏、节日活动、手抄报和科普知识等主题内容）发布到设备上进行展示。（提供国家权威质量监督检验中心的检测报告复印件加盖原厂公章及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374"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履约能力</w:t>
            </w:r>
          </w:p>
        </w:tc>
        <w:tc>
          <w:tcPr>
            <w:tcW w:w="769"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项目施工组织计划的完整性、合理性。应包含完善可行的实施计划、工期管理、人员组织、技术措施等</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1、完善的供货组织方案，确保文明、安全施工的技术组织措施。2分；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2、产品安装、调试的施工安全保障措施。1分；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3、主要材料使用计划。1分；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4、提供项目班子人员配备的得1分；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5、提供工期进度计划表及施工进度保证措施的1分；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374" w:type="dxa"/>
            <w:vAlign w:val="center"/>
          </w:tcPr>
          <w:p>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质量保证措施</w:t>
            </w:r>
            <w:r>
              <w:rPr>
                <w:rFonts w:hint="eastAsia" w:ascii="仿宋" w:hAnsi="仿宋" w:eastAsia="仿宋" w:cs="仿宋"/>
                <w:color w:val="auto"/>
                <w:sz w:val="21"/>
                <w:szCs w:val="21"/>
                <w:lang w:val="en-US" w:eastAsia="zh-CN"/>
              </w:rPr>
              <w:t xml:space="preserve">  </w:t>
            </w:r>
          </w:p>
        </w:tc>
        <w:tc>
          <w:tcPr>
            <w:tcW w:w="769" w:type="dxa"/>
            <w:vAlign w:val="center"/>
          </w:tcPr>
          <w:p>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1.根据供应商提供的售后服务方案（如服务体系、服务内容、故障解决方案、响应时间、专业技术人员保障及服务电话等）评分，优的得3分，良得2分，一般得1分；</w:t>
            </w:r>
          </w:p>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2.在质保期内或承诺能在质保期外，定期对产品进行维护的，加1分。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374" w:type="dxa"/>
            <w:vAlign w:val="center"/>
          </w:tcPr>
          <w:p>
            <w:pPr>
              <w:spacing w:line="500" w:lineRule="exact"/>
              <w:jc w:val="cente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培训计划及应用技术支持</w:t>
            </w:r>
          </w:p>
        </w:tc>
        <w:tc>
          <w:tcPr>
            <w:tcW w:w="769" w:type="dxa"/>
            <w:vAlign w:val="center"/>
          </w:tcPr>
          <w:p>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2分</w:t>
            </w:r>
          </w:p>
        </w:tc>
        <w:tc>
          <w:tcPr>
            <w:tcW w:w="6150" w:type="dxa"/>
            <w:vAlign w:val="center"/>
          </w:tcPr>
          <w:p>
            <w:pPr>
              <w:spacing w:line="500" w:lineRule="exact"/>
              <w:jc w:val="lef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按投标人的培训计划承诺培训、优惠条件好和应用技术支持方案，技术人员配置等完全满足并优于招标文件要求，得2分；基本满足培训要求，得1分； 培训水平低或无培训，得0分</w:t>
            </w: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
        <w:rPr>
          <w:rFonts w:hint="eastAsia"/>
          <w:color w:val="auto"/>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3"/>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ascii="Times New Roman" w:hAnsi="Times New Roman" w:eastAsia="宋体" w:cs="Times New Roman"/>
          <w:b/>
          <w:bCs/>
          <w:color w:val="auto"/>
          <w:sz w:val="32"/>
          <w:szCs w:val="40"/>
          <w:lang w:val="en-US" w:eastAsia="zh-CN"/>
        </w:rPr>
        <w:t>采购内容及技术要求</w:t>
      </w:r>
    </w:p>
    <w:tbl>
      <w:tblPr>
        <w:tblStyle w:val="28"/>
        <w:tblpPr w:leftFromText="180" w:rightFromText="180" w:vertAnchor="text" w:horzAnchor="page" w:tblpX="981" w:tblpY="692"/>
        <w:tblOverlap w:val="never"/>
        <w:tblW w:w="10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754"/>
        <w:gridCol w:w="693"/>
        <w:gridCol w:w="807"/>
        <w:gridCol w:w="6352"/>
        <w:gridCol w:w="625"/>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7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第五小学（校园文化）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项目名称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材料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内容</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规格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宣传栏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铁皮造型+烤漆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室外造型宣传栏</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文化造型：底板为20mm铁板雕刻造型，画面部分高清喷绘图案+5mm透明亚克力异形雕刻（定制镂空雕刻饰面）（按效果图方案造型实施）宣传栏整体高2.6米，长12.6米。画面规格高1.6米，长2.6米。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国学长廊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防腐木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室外文化长廊</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定做成品</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1、材质：防腐木宣传栏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2、成型尺寸：3240*2400mm*30000mm，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3、其中：净画面尺寸为2000*1000mm，数量12组，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4、两侧镂空木雕刻500*1200mm*20mm厚，立柱尺寸：160*160mm，异形造型仿古房檐双边，琉璃瓦廊顶，长廊内容定制（按效果图方案造型实施）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UV喷绘+雕刻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室内校园文化</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UV喷绘厚度11-20mm，指定点位（内容为甲方确认）楼道间文化；</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1、不少于800平方，文化造型：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2、底板为20mmpvc板雕刻造型，画面部分高清喷绘图案（定制镂空雕刻饰面）透明亚克力异形雕刻（按效果图方案实施、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3、包含班级牌、守则、日常行为规范，眼保健操、社会主义核心价值观、班级评比栏，规格60*80cm、数量9套，（按效果图方案造型实施）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钛金字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外墙校园文化</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1、墙面基础：墙面粉刷（剔除原有墙面，专用外墙腻子粉， 外墙乳胶漆饰面颜色按照效果图方案实施）不少于200平米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2、文化造型：艺术字、实际尺寸根据现场定制（定制镂空雕刻饰面）（按效果图方案造型实施）钛金字规格60cm*80cm*数量80组。</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读书长椅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读书长椅</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定制，厚度：30mm材质为防腐木（成品样式按效果图方案造型实施）规格30cm*160cm*数量10组</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校园文化发布系统</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校园文化发布系统</w:t>
            </w:r>
          </w:p>
        </w:tc>
        <w:tc>
          <w:tcPr>
            <w:tcW w:w="6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硬件要求：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1.整机边框采用高强度铝合金边框，坚固可靠。角部采用圆角设计。外边框采用喷涂环保木纹工艺。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2.整机采用高雾度蛾眼液晶屏体，表面偏光纳米涂层增益屏体漫反射形成真实视感。屏体雾度≥25%，无需防眩光钢化玻璃或磨砂防眩光贴膜，全方位可视角度≥178°。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3.液晶屏显示尺寸≥32寸，显示比例16:9，支持横、竖安装方式。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4.整机对比度≥4000：1，色彩度≥16.7M（8bit），色域≥72%。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5.工作温度0℃~40℃，工作湿度10%~90%RH，存储温度-20℃~60℃，存储湿度10%~90%RH，工作高度5000米以下。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6.整机最大功耗≤138W，待机功耗≤0.5W。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7.整机最大显示亮度≥350nit。整机具备光线感应功能，根据环境光强度自动调整显示亮度。(提供国家认可的检测机构出具的检测报告复印件并加盖公章)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8.整机安装到墙面后无任何外置、外露、外挂的线材、天线及元器件模块。(提供国家认可的检测机构出具的检测报告复印件并加盖公章)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9.内置2.0声道环绕功放，功率为2*8w，支持音视频声音外放。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10.整机采用壁挂安装，整机与壁挂连接采用教育定制安全设计，须用专用工具锁定、解锁。(提供国家认可的检测机构出具的检测报告复印件并加盖公章)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11.整机采用超薄设计。整机厚度≤46mm。(提供国家认可的检测机构出具的检测报告复印件并加盖公章)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12.整机背部与墙面微距全贴合，背部与平整墙面间隙最大处≤2mm，边框边缘与平整墙面间隙最大处≤7mm。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13.整机接口：USB2.0*2，HDMI-IN*1,RJ45*1，内置Wi-Fi模块（10M/100M/1000M），内置蓝牙模块（支持蓝牙4.0、BLE）。全部端口采用隐藏设计，无可见外露端口。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14.基于Android9.0系统或其以上为基础的原生态版本或定制版本，采用4核CPU，工作频率≥1.9GHz。运行内存2G，存储空间8G。支持最大64G的TF卡扩展存储。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15.兼容主流多媒体格式。视频格式：MPEG1、MPEG2、MPEG4、H.263、H.264等；音频格式：MP3等；图片格式：JPG、JPEG、BMP、PNG、GIF等。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16.支持后台远程设置整机自动开关机。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17..信息发布系统与设备一体化集成，无需外接任何信息发布设备即可完成信息发布。(提供国家认可的检测机构出具的检测报告复印件并加盖公章)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18.整机带有三个实体按键，可以对播放的节目进行前后翻页和暂停/播放控制。(提供国家认可的检测机构出具的检测报告复印件并加盖公章)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19.支持手机通过蓝牙连接整机，对整机进行遥控控制。(提供国家认可的检测机构出具的检测报告复印件并加盖公章)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20.信息发布系统一体化，无需外接任何设备如发布盒子等。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软件要求：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1.后台管理系统采用“B/S”架构，支持跨平台应用操作的能力。后台管理系统采用SaaS服务方式，支持分布式区域管理技术，可以高效快速的实现跨区域的管理和内容分发，实现对设备的远程控制与管理。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2.设备支持web端后台管理系统进行设备管理、内容管理和发布，也可支持通过移动端小程序进行内容管理和发布。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3.后台管理系统支持微信扫码登录和账号登录。</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4.支持手动单个增加场地信息，也可用EXCEL批量导入不同场地信息。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5.支持手动单个增加班级信息，也可用EXCEL批量导入不同班级的课表信息。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6.支持使用EXCEL批量导入管理员等其他各类基础数据。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7.支持聚合信息订阅展示，使用者可订阅并将相应内容加入到节目单中进行定制化展示。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8.支持通过网页端管理后台发布相册、视频、新闻、公告等无需额外安装应用。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9.后台管理系统支持云图库功能，系统内置不少于180份的正版宣传内容。（提供国家权威质量监督检验中心的检测报告）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10.支持通过网页管理后台将图库资源（卫生健康、党建文化、科普知识、社会主义核心价值观等主题内容）发布到云屏设备上进行展示。（提供国家权威质量监督检验中心的检测报告）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11.（提供国家权威质量监督检验中心的检测报告）网页端管理后台支持图片相册轮播展示设置，轮播间隔可自由设置5~9999秒/张图片。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12.支持网页端管理后台，设置多图集节目轮播或逐级逐个轮播。（提供国家权威质量监督检验中心的检测报告）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13.支持通过网页端管理权限分配，指定场地设备管理员。（提供国家权威质量监督检验中心的检测报告）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14.支持通过网页管理后台，设置多组定时开关机计划。（提供国家权威质量监督检验中心的检测报告）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15.支持远程设备重启、接触与场地绑定、更新数据等功能。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16.支持在设备上生成二维码，通过微信扫码方式将设备与场地关联。（提供国家权威质量监督检验中心的检测报告）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17.支持通过遥控器或微信小程序对云屏数据进行手动更新。（提供国家权威质量监督检验中心的检测报告）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18.应用软件和系统软件支持远程OTA静默升级。（提供国家权威质量监督检验中心的检测报告）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19.支持通过网页管理后台，设置图片、视频、倒数日、课表、公告和通知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20.在设备上展示。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21.支持在设备端展示图片、视频、通知、公告等内容。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22.支持微信小程序创建校园海报，并快速发布至设备端上展示。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23.小程序内集成图库资源，支持通过微信小程序将图库内图片一键发送到设备上展示；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24.小程序内提供常用的校园海报模板和校园场景相关的图片资源。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25.支持通过微信小程序将图库资源（卫生健康、党建文化、科普知识、社会主义核心价值观等主题内容）发布到设备上进行展示。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26.支持通过微信小程序将校园海报模板（100余套，卫生健康、荣誉表扬、倒计时、校园风采、欢迎模式、公告通知、诗词鉴赏、节日活动、手抄报和科普知识等主题内容）发布到设备上进行展示。（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27.（提供国家权威质量监督检验中心的检测报告）支持通过小程序对校园海报模板内容进行字体修改（不低于10种字体）、支持对字号大小修改（20px~600px）、支持字体颜色修改（24种颜色）、支持对文本对齐方式修改（右对齐、居中对齐、左对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28.支持对校园海报模板插入的图片进行自由剪裁。</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29.（提供国家权威质量监督检验中心的检测报告）支持对文字元素框进行复制、删除、移动、拉伸。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30.支持对图片框进行复制、放大、删除和移动。（提供国家权威质量监督检验中心的检测报告）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31.支持替换原海报模板上图片元素，并支持多种常用格式。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32.支持通过小程序将发布的校园海报设置为临时霸屏模式，也可设置为插入播放模式，与原节目一起播放。（提供国家权威质量监督检验中心的检测报告）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33.支持对编辑后的校园海报进行下载和分享，可直接下载到本地相册；也可分享给微信好友和微信群，或生成分享大图保存到相册。（提供国家权威质量监督检验中心的检测报告）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支持对图库资源进行分享和生成分享大图，可分享给微信好友和微信群，或生成分享大图保存到相册。</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5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新城学校（校园文化）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54"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项目名称</w:t>
            </w:r>
          </w:p>
        </w:tc>
        <w:tc>
          <w:tcPr>
            <w:tcW w:w="693"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材料</w:t>
            </w:r>
          </w:p>
        </w:tc>
        <w:tc>
          <w:tcPr>
            <w:tcW w:w="807"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内容</w:t>
            </w:r>
          </w:p>
        </w:tc>
        <w:tc>
          <w:tcPr>
            <w:tcW w:w="6352"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规格</w:t>
            </w:r>
          </w:p>
        </w:tc>
        <w:tc>
          <w:tcPr>
            <w:tcW w:w="625"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宣传栏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铁皮造型+烤漆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室外造型宣传栏</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文化造型：底板为20mm铁板雕刻造型，画面部分高清喷绘图案+5mm透明亚克力异形雕刻（定制镂空雕刻饰面）（按效果图方案造型实施）宣传栏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1、整体高2.6米，长12.6米。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2、画面规格高1.6米，长2.6米。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国学长廊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防腐木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室外文化长廊</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1、材质：防腐木宣传栏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2、成型尺寸：3240*2400mm*30000mm，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3、其中：净画面尺寸为2000*1000mm，数量12组，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4、两侧镂空木雕刻500*1200mm*20mm厚，立柱尺寸：160*160mm，异形造型仿古房檐双边，琉璃瓦廊顶，长廊内容定制（按效果图方案造型实施）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UV喷绘+雕刻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室内校园文化</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UV喷绘厚度11-20mm，指定点位（内容为甲方确认）楼道间文化；</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1、不少于800平方，文化造型：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2、底板为20mmpvc板雕刻造型，画面部分高清喷绘图案（定制镂空雕刻饰面）透明亚克力异形雕刻（按效果图方案实施、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3、包含班级牌、守则、日常行为规范，眼保健操、社会主义核心价值观、班级评比栏，规格60*80cm、数量9套，（按效果图方案造型实施）</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钛金字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外墙校园文化</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1、墙面基础：墙面粉刷（剔除原有墙面，专用外墙腻子粉， 外墙乳胶漆饰面颜色按照效果图方案实施）不少于200平米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2、文化造型：艺术字、实际尺寸根据现场定制（定制镂空雕刻饰面）（按效果图方案造型实施）钛金字规格60cm*80cm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3、数量80组。</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读书长椅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防腐木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读书长椅</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定制，厚度：30mm材质为防腐木（成品样式按效果图方案造型实施）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1、规格高50cm*长160cm*宽30cm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2、数量10组</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校园文化发布系统</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校园文化发布系统</w:t>
            </w:r>
          </w:p>
        </w:tc>
        <w:tc>
          <w:tcPr>
            <w:tcW w:w="6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硬件要求：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1.整机边框采用高强度铝合金边框，坚固可靠。角部采用圆角设计。外边框采用喷涂环保木纹工艺。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2.整机采用高雾度蛾眼液晶屏体，表面偏光纳米涂层增益屏体漫反射形成真实视感。屏体雾度≥25%，无需防眩光钢化玻璃或磨砂防眩光贴膜，全方位可视角度≥178°。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3.液晶屏显示尺寸≥32寸，显示比例16:9，支持横、竖安装方式。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4.整机对比度≥4000：1，色彩度≥16.7M（8bit），色域≥72%。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5.工作温度0℃~40℃，工作湿度10%~90%RH，存储温度-20℃~60℃，存储湿度10%~90%RH，工作高度5000米以下。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6.整机最大功耗≤138W，待机功耗≤0.5W。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7.整机最大显示亮度≥350nit。整机具备光线感应功能，根据环境光强度自动调整显示亮度。(提供国家认可的检测机构出具的检测报告复印件并加盖公章)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8.整机安装到墙面后无任何外置、外露、外挂的线材、天线及元器件模块。(提供国家认可的检测机构出具的检测报告复印件并加盖公章)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9.内置2.0声道环绕功放，功率为2*8w，支持音视频声音外放。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10.整机采用壁挂安装，整机与壁挂连接采用教育定制安全设计，须用专用工具锁定、解锁。(提供国家认可的检测机构出具的检测报告复印件并加盖公章)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11.整机采用超薄设计。整机厚度≤46mm。(提供国家认可的检测机构出具的检测报告复印件并加盖公章)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12.整机背部与墙面微距全贴合，背部与平整墙面间隙最大处≤2mm，边框边缘与平整墙面间隙最大处≤7mm。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13.整机接口：USB2.0*2，HDMI-IN*1,RJ45*1，内置Wi-Fi模块（10M/100M/1000M），内置蓝牙模块（支持蓝牙4.0、BLE）。全部端口采用隐藏设计，无可见外露端口。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14.基于Android9.0系统或其以上为基础的原生态版本或定制版本，采用4核CPU，工作频率≥1.9GHz。运行内存2G，存储空间8G。支持最大64G的TF卡扩展存储。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15.兼容主流多媒体格式。视频格式：MPEG1、MPEG2、MPEG4、H.263、H.264等；音频格式：MP3等；图片格式：JPG、JPEG、BMP、PNG、GIF等。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16.支持后台远程设置整机自动开关机。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17.信息发布系统与设备一体化集成，无需外接任何信息发布设备即可完成信息发布。(提供国家认可的检测机构出具的检测报告复印件并加盖公章)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18.整机带有三个实体按键，可以对播放的节目进行前后翻页和暂停/播放控制。(提供国家认可的检测机构出具的检测报告复印件并加盖公章)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19.支持手机通过蓝牙连接整机，对整机进行遥控控制。(提供国家认可的检测机构出具的检测报告复印件并加盖公章)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20.信息发布系统一体化，无需外接任何设备如发布盒子等。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软件要求：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1.后台管理系统采用“B/S”架构，支持跨平台应用操作的能力。后台管理系统采用SaaS服务方式，支持分布式区域管理技术，可以高效快速的实现跨区域的管理和内容分发，实现对设备的远程控制与管理。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2.设备支持web端后台管理系统进行设备管理、内容管理和发布，也可支持通过移动端小程序进行内容管理和发布。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3.后台管理系统支持微信扫码登录和账号登录。</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4.支持手动单个增加场地信息，也可用EXCEL批量导入不同场地信息。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5.支持手动单个增加班级信息，也可用EXCEL批量导入不同班级的课表信息。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6.支持使用EXCEL批量导入管理员等其他各类基础数据。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7.支持聚合信息订阅展示，使用者可订阅并将相应内容加入到节目单中进行定制化展示。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8.支持通过网页端管理后台发布相册、视频、新闻、公告等无需额外安装应用。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9.后台管理系统支持云图库功能，系统内置不少于180份的正版宣传内容。（提供国家权威质量监督检验中心的检测报告）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10.支持通过网页管理后台将图库资源（卫生健康、党建文化、科普知识、社会主义核心价值观等主题内容）发布到云屏设备上进行展示。（提供国家权威质量监督检验中心的检测报告）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11.（提供国家权威质量监督检验中心的检测报告）网页端管理后台支持图片相册轮播展示设置，轮播间隔可自由设置5~9999秒/张图片。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12.支持网页端管理后台，设置多图集节目轮播或逐级逐个轮播。（提供国家权威质量监督检验中心的检测报告）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13.支持通过网页端管理权限分配，指定场地设备管理员。（提供国家权威质量监督检验中心的检测报告）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14.支持通过网页管理后台，设置多组定时开关机计划。（提供国家权威质量监督检验中心的检测报告）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15.支持远程设备重启、接触与场地绑定、更新数据等功能。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16.支持在设备上生成二维码，通过微信扫码方式将设备与场地关联。（提供国家权威质量监督检验中心的检测报告）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17.支持通过遥控器或微信小程序对云屏数据进行手动更新。（提供国家权威质量监督检验中心的检测报告）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18.应用软件和系统软件支持远程OTA静默升级。（提供国家权威质量监督检验中心的检测报告）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19.支持通过网页管理后台，设置图片、视频、倒数日、课表、公告和通知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20.在设备上展示。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21.支持在设备端展示图片、视频、通知、公告等内容。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22.支持微信小程序创建校园海报，并快速发布至设备端上展示。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23.小程序内集成图库资源，支持通过微信小程序将图库内图片一键发送到设备上展示；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24.小程序内提供常用的校园海报模板和校园场景相关的图片资源。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25.支持通过微信小程序将图库资源（卫生健康、党建文化、科普知识、社会主义核心价值观等主题内容）发布到设备上进行展示。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26.支持通过微信小程序将校园海报模板（100余套，卫生健康、荣誉表扬、倒计时、校园风采、欢迎模式、公告通知、诗词鉴赏、节日活动、手抄报和科普知识等主题内容）发布到设备上进行展示。（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27.（提供国家权威质量监督检验中心的检测报告）支持通过小程序对校园海报模板内容进行字体修改（不低于10种字体）、支持对字号大小修改（20px~600px）、支持字体颜色修改（24种颜色）、支持对文本对齐方式修改（右对齐、居中对齐、左对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28.支持对校园海报模板插入的图片进行自由剪裁。</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29.（提供国家权威质量监督检验中心的检测报告）支持对文字元素框进行复制、删除、移动、拉伸。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30.支持对图片框进行复制、放大、删除和移动。（提供国家权威质量监督检验中心的检测报告）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31.支持替换原海报模板上图片元素，并支持多种常用格式。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32.支持通过小程序将发布的校园海报设置为临时霸屏模式，也可设置为插入播放模式，与原节目一起播放。（提供国家权威质量监督检验中心的检测报告）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33.支持对编辑后的校园海报进行下载和分享，可直接下载到本地相册；也可分享给微信好友和微信群，或生成分享大图保存到相册。（提供国家权威质量监督检验中心的检测报告）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支持对图库资源进行分享和生成分享大图，可分享给微信好友和微信群，或生成分享大图保存到相册。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1"/>
                <w:szCs w:val="21"/>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1"/>
                <w:szCs w:val="21"/>
                <w:u w:val="none"/>
              </w:rPr>
            </w:pPr>
          </w:p>
        </w:tc>
      </w:tr>
    </w:tbl>
    <w:p>
      <w:pPr>
        <w:spacing w:line="360" w:lineRule="auto"/>
        <w:rPr>
          <w:rFonts w:hint="eastAsia" w:ascii="宋体" w:hAnsi="宋体" w:eastAsia="宋体" w:cs="宋体"/>
          <w:b/>
          <w:bCs/>
          <w:color w:val="auto"/>
          <w:sz w:val="21"/>
          <w:szCs w:val="21"/>
          <w:lang w:val="en-US" w:eastAsia="zh-CN"/>
        </w:rPr>
      </w:pPr>
    </w:p>
    <w:p>
      <w:pPr>
        <w:spacing w:line="240" w:lineRule="auto"/>
        <w:rPr>
          <w:rFonts w:hint="eastAsia"/>
          <w:b/>
          <w:bCs/>
          <w:color w:val="auto"/>
          <w:sz w:val="24"/>
          <w:szCs w:val="32"/>
          <w:lang w:val="en-US" w:eastAsia="zh-CN"/>
        </w:rPr>
      </w:pPr>
      <w:r>
        <w:rPr>
          <w:rFonts w:hint="eastAsia"/>
          <w:b/>
          <w:bCs/>
          <w:color w:val="auto"/>
          <w:sz w:val="24"/>
          <w:szCs w:val="32"/>
          <w:lang w:val="en-US" w:eastAsia="zh-CN"/>
        </w:rPr>
        <w:t>二、</w:t>
      </w:r>
      <w:bookmarkStart w:id="58" w:name="_Toc340225290"/>
      <w:bookmarkStart w:id="59" w:name="_Toc267320049"/>
      <w:r>
        <w:rPr>
          <w:rFonts w:hint="eastAsia"/>
          <w:b/>
          <w:bCs/>
          <w:color w:val="auto"/>
          <w:sz w:val="22"/>
          <w:szCs w:val="28"/>
          <w:lang w:val="en-US" w:eastAsia="zh-CN"/>
        </w:rPr>
        <w:t>项目验收、质保、售后服务等要求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ascii="Times New Roman" w:hAnsi="Times New Roman" w:eastAsia="宋体" w:cs="Times New Roman"/>
          <w:b/>
          <w:bCs w:val="0"/>
          <w:color w:val="auto"/>
          <w:kern w:val="2"/>
          <w:sz w:val="21"/>
          <w:szCs w:val="21"/>
          <w:highlight w:val="none"/>
          <w:lang w:val="en-US" w:eastAsia="zh-CN" w:bidi="ar-SA"/>
        </w:rPr>
        <w:t>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甲方指定地点。</w:t>
      </w:r>
      <w:r>
        <w:rPr>
          <w:rFonts w:hint="eastAsia" w:ascii="宋体" w:hAnsi="宋体" w:cs="宋体"/>
          <w:b/>
          <w:color w:val="auto"/>
          <w:szCs w:val="21"/>
          <w:highlight w:val="none"/>
          <w:lang w:val="en-US" w:eastAsia="zh-CN"/>
        </w:rPr>
        <w:t xml:space="preserve">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color w:val="auto"/>
          <w:highlight w:val="none"/>
          <w:lang w:val="en-US" w:eastAsia="zh-CN"/>
        </w:rPr>
      </w:pPr>
    </w:p>
    <w:p>
      <w:pPr>
        <w:widowControl/>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五</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color w:val="auto"/>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八</w:t>
      </w:r>
      <w:r>
        <w:rPr>
          <w:rFonts w:hint="eastAsia" w:ascii="宋体" w:hAnsi="宋体" w:cs="宋体"/>
          <w:b/>
          <w:color w:val="auto"/>
          <w:szCs w:val="21"/>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九</w:t>
      </w:r>
      <w:r>
        <w:rPr>
          <w:rFonts w:hint="eastAsia" w:ascii="宋体" w:hAnsi="宋体" w:cs="宋体"/>
          <w:b/>
          <w:color w:val="auto"/>
          <w:szCs w:val="21"/>
        </w:rPr>
        <w:t>）其他</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2、其他未尽事宜由供需双方在采购合同中详细约定。</w:t>
      </w:r>
      <w:bookmarkEnd w:id="57"/>
      <w:bookmarkStart w:id="62" w:name="_Toc469495740"/>
    </w:p>
    <w:p>
      <w:pPr>
        <w:spacing w:line="360" w:lineRule="auto"/>
        <w:ind w:firstLine="426" w:firstLineChars="200"/>
        <w:rPr>
          <w:rFonts w:hint="eastAsia"/>
          <w:color w:val="auto"/>
          <w:sz w:val="20"/>
          <w:szCs w:val="22"/>
          <w:lang w:val="en-US" w:eastAsia="zh-CN"/>
        </w:rPr>
      </w:pPr>
      <w:r>
        <w:rPr>
          <w:rFonts w:hint="eastAsia" w:ascii="宋体" w:hAnsi="宋体" w:cs="宋体"/>
          <w:bCs/>
          <w:color w:val="auto"/>
          <w:szCs w:val="21"/>
          <w:lang w:val="en-US" w:eastAsia="zh-CN"/>
        </w:rPr>
        <w:t>3、</w:t>
      </w:r>
      <w:r>
        <w:rPr>
          <w:rFonts w:hint="eastAsia" w:ascii="宋体" w:hAnsi="宋体" w:cs="宋体"/>
          <w:bCs/>
          <w:color w:val="auto"/>
          <w:sz w:val="20"/>
          <w:szCs w:val="20"/>
          <w:lang w:val="en-US" w:eastAsia="zh-CN"/>
        </w:rPr>
        <w:t>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color w:val="auto"/>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296602498"/>
      <w:bookmarkStart w:id="66" w:name="_Toc246996253"/>
      <w:bookmarkStart w:id="67" w:name="_Toc469495742"/>
      <w:bookmarkStart w:id="68" w:name="_Toc144974578"/>
      <w:bookmarkStart w:id="69" w:name="_Toc247085768"/>
      <w:bookmarkStart w:id="70" w:name="_Toc246996996"/>
      <w:bookmarkStart w:id="71" w:name="_Toc152045610"/>
      <w:bookmarkStart w:id="72" w:name="_Toc152042388"/>
      <w:bookmarkStart w:id="73" w:name="_Toc179632628"/>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color w:val="auto"/>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color w:val="auto"/>
          <w:sz w:val="24"/>
        </w:rPr>
      </w:pPr>
      <w:r>
        <w:rPr>
          <w:rFonts w:hint="eastAsia" w:ascii="宋体" w:cs="宋体"/>
          <w:b/>
          <w:color w:val="auto"/>
          <w:szCs w:val="21"/>
          <w:highlight w:val="none"/>
        </w:rPr>
        <w:t xml:space="preserve">三. </w:t>
      </w:r>
      <w:r>
        <w:rPr>
          <w:rFonts w:hint="eastAsia" w:ascii="宋体" w:hAnsi="宋体" w:eastAsia="宋体" w:cs="宋体"/>
          <w:b/>
          <w:color w:val="auto"/>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8919"/>
      <w:bookmarkStart w:id="76" w:name="_Toc515647803"/>
      <w:bookmarkStart w:id="77" w:name="_Toc18974"/>
      <w:bookmarkStart w:id="78" w:name="_Toc18694"/>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29899"/>
      <w:bookmarkStart w:id="81" w:name="_Toc17577"/>
      <w:bookmarkStart w:id="82" w:name="_Toc4844"/>
      <w:bookmarkStart w:id="83" w:name="_Ref467988698"/>
      <w:bookmarkStart w:id="84" w:name="_Toc480942349"/>
      <w:bookmarkStart w:id="85" w:name="_Toc216582813"/>
      <w:bookmarkStart w:id="86" w:name="_Toc520356217"/>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7039"/>
      <w:bookmarkStart w:id="89" w:name="_Toc32520"/>
      <w:bookmarkStart w:id="90" w:name="_Toc515647808"/>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1083"/>
      <w:bookmarkStart w:id="92" w:name="_Toc23503"/>
      <w:bookmarkStart w:id="93" w:name="_Toc515647807"/>
      <w:bookmarkStart w:id="94" w:name="_Toc22472"/>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bookmarkStart w:id="95" w:name="_Toc30244"/>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28445"/>
      <w:bookmarkStart w:id="98" w:name="_Toc4866"/>
      <w:bookmarkStart w:id="99" w:name="_Toc515647809"/>
      <w:bookmarkStart w:id="100" w:name="_Toc11047"/>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991"/>
      <w:bookmarkStart w:id="102" w:name="_Toc494296665"/>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color w:val="auto"/>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color w:val="auto"/>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27021"/>
      <w:bookmarkStart w:id="104" w:name="_Toc515647810"/>
      <w:bookmarkStart w:id="105" w:name="_Toc5710"/>
      <w:bookmarkStart w:id="106" w:name="_Toc18754"/>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2"/>
        <w:rPr>
          <w:rFonts w:hint="eastAsia"/>
          <w:color w:val="auto"/>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jc w:val="center"/>
        <w:rPr>
          <w:rFonts w:hint="eastAsia"/>
          <w:color w:val="auto"/>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515647811"/>
      <w:bookmarkStart w:id="108" w:name="_Toc24428"/>
      <w:bookmarkStart w:id="109" w:name="_Toc4937"/>
      <w:bookmarkStart w:id="110" w:name="_Toc32670"/>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color w:val="auto"/>
          <w:lang w:val="en-US" w:eastAsia="zh-CN"/>
        </w:rPr>
      </w:pPr>
    </w:p>
    <w:bookmarkEnd w:id="107"/>
    <w:bookmarkEnd w:id="108"/>
    <w:bookmarkEnd w:id="109"/>
    <w:bookmarkEnd w:id="110"/>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515647816"/>
      <w:bookmarkStart w:id="112" w:name="_Toc5695"/>
      <w:bookmarkStart w:id="113" w:name="_Toc22967"/>
      <w:bookmarkStart w:id="114" w:name="_Toc11180"/>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13、投标人认为有必要提供的其他证明材料（格式自拟）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23473"/>
      <w:bookmarkStart w:id="116" w:name="_Toc10107"/>
      <w:bookmarkStart w:id="117" w:name="_Toc1266"/>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color w:val="auto"/>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18" w:name="_Toc494296984"/>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color w:val="auto"/>
        </w:rPr>
      </w:pPr>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20897"/>
      <w:bookmarkStart w:id="120" w:name="_Toc10313"/>
      <w:bookmarkStart w:id="121" w:name="_Toc1881"/>
      <w:bookmarkStart w:id="122" w:name="_Toc515647818"/>
      <w:bookmarkStart w:id="123" w:name="_Toc216582815"/>
      <w:bookmarkStart w:id="124" w:name="_Toc28959"/>
      <w:bookmarkStart w:id="125" w:name="_Toc22563"/>
      <w:bookmarkStart w:id="126" w:name="_Toc515647820"/>
      <w:bookmarkStart w:id="127" w:name="_Toc216582817"/>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21391"/>
      <w:bookmarkStart w:id="131" w:name="_Toc515647821"/>
      <w:bookmarkStart w:id="132" w:name="_Toc23"/>
      <w:bookmarkStart w:id="133" w:name="_Toc198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21312"/>
      <w:bookmarkStart w:id="135" w:name="_Toc515647823"/>
      <w:bookmarkStart w:id="136" w:name="_Toc2963"/>
      <w:bookmarkStart w:id="137" w:name="_Toc10725"/>
      <w:bookmarkStart w:id="138" w:name="_Toc30795"/>
      <w:bookmarkStart w:id="139" w:name="_Toc28099"/>
      <w:bookmarkStart w:id="140" w:name="_Toc515647827"/>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color w:val="auto"/>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bookmarkEnd w:id="134"/>
    <w:bookmarkEnd w:id="135"/>
    <w:bookmarkEnd w:id="136"/>
    <w:bookmarkEnd w:id="137"/>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49"/>
        <w:kinsoku/>
        <w:topLinePunct w:val="0"/>
        <w:bidi w:val="0"/>
        <w:spacing w:line="380" w:lineRule="exact"/>
        <w:rPr>
          <w:rFonts w:hint="eastAsia" w:ascii="宋体" w:hAnsi="宋体" w:eastAsia="宋体" w:cs="宋体"/>
          <w:color w:val="auto"/>
          <w:kern w:val="0"/>
          <w:sz w:val="24"/>
        </w:rPr>
      </w:pPr>
    </w:p>
    <w:p>
      <w:pPr>
        <w:pStyle w:val="49"/>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bookmarkStart w:id="141" w:name="_Toc10877"/>
      <w:bookmarkStart w:id="142" w:name="_Toc11803"/>
      <w:bookmarkStart w:id="143" w:name="_Toc515647824"/>
      <w:bookmarkStart w:id="144" w:name="_Toc10977"/>
    </w:p>
    <w:p>
      <w:pPr>
        <w:pStyle w:val="26"/>
        <w:kinsoku/>
        <w:topLinePunct w:val="0"/>
        <w:bidi w:val="0"/>
        <w:spacing w:line="380" w:lineRule="exact"/>
        <w:rPr>
          <w:rFonts w:hint="eastAsia" w:ascii="宋体" w:hAnsi="宋体" w:eastAsia="宋体" w:cs="宋体"/>
          <w:color w:val="auto"/>
        </w:rPr>
      </w:pPr>
    </w:p>
    <w:p>
      <w:pPr>
        <w:kinsoku/>
        <w:topLinePunct w:val="0"/>
        <w:bidi w:val="0"/>
        <w:spacing w:line="380" w:lineRule="exact"/>
        <w:rPr>
          <w:rFonts w:hint="eastAsia" w:ascii="宋体" w:hAnsi="宋体" w:eastAsia="宋体" w:cs="宋体"/>
          <w:color w:val="auto"/>
        </w:rPr>
      </w:pPr>
    </w:p>
    <w:p>
      <w:pPr>
        <w:pStyle w:val="5"/>
        <w:numPr>
          <w:ilvl w:val="0"/>
          <w:numId w:val="0"/>
        </w:numPr>
        <w:kinsoku/>
        <w:topLinePunct w:val="0"/>
        <w:bidi w:val="0"/>
        <w:spacing w:line="380" w:lineRule="exact"/>
        <w:jc w:val="both"/>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color w:val="auto"/>
        </w:rPr>
      </w:pPr>
    </w:p>
    <w:bookmarkEnd w:id="141"/>
    <w:bookmarkEnd w:id="142"/>
    <w:bookmarkEnd w:id="143"/>
    <w:bookmarkEnd w:id="144"/>
    <w:p>
      <w:pPr>
        <w:pStyle w:val="26"/>
        <w:kinsoku/>
        <w:topLinePunct w:val="0"/>
        <w:bidi w:val="0"/>
        <w:spacing w:line="380" w:lineRule="exact"/>
        <w:rPr>
          <w:rFonts w:hint="eastAsia" w:ascii="宋体" w:hAnsi="宋体" w:eastAsia="宋体" w:cs="宋体"/>
          <w:color w:val="auto"/>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color w:val="auto"/>
        </w:rPr>
      </w:pPr>
      <w:bookmarkStart w:id="145" w:name="_Toc8010"/>
      <w:bookmarkStart w:id="146" w:name="_Toc23068"/>
      <w:bookmarkStart w:id="147" w:name="_Toc515647825"/>
      <w:bookmarkStart w:id="148" w:name="_Toc19284"/>
      <w:bookmarkStart w:id="149" w:name="OLE_LINK14"/>
      <w:bookmarkStart w:id="150" w:name="OLE_LINK13"/>
      <w:r>
        <w:rPr>
          <w:rFonts w:hint="eastAsia" w:ascii="宋体" w:hAnsi="宋体" w:eastAsia="宋体" w:cs="宋体"/>
          <w:b/>
          <w:bCs/>
          <w:color w:val="auto"/>
        </w:rPr>
        <w:t xml:space="preserve"> </w:t>
      </w:r>
      <w:r>
        <w:rPr>
          <w:rFonts w:hint="eastAsia" w:ascii="宋体" w:hAnsi="宋体" w:cs="宋体"/>
          <w:b/>
          <w:bCs/>
          <w:color w:val="auto"/>
          <w:lang w:val="en-US" w:eastAsia="zh-CN"/>
        </w:rPr>
        <w:t>8</w:t>
      </w:r>
      <w:r>
        <w:rPr>
          <w:rFonts w:hint="eastAsia" w:ascii="宋体" w:hAnsi="宋体" w:eastAsia="宋体" w:cs="宋体"/>
          <w:b/>
          <w:bCs/>
          <w:color w:val="auto"/>
          <w:lang w:val="en-US" w:eastAsia="zh-CN"/>
        </w:rPr>
        <w:t>、</w:t>
      </w:r>
      <w:r>
        <w:rPr>
          <w:rFonts w:hint="eastAsia" w:ascii="宋体" w:hAnsi="宋体" w:eastAsia="宋体" w:cs="宋体"/>
          <w:b/>
          <w:bCs/>
          <w:color w:val="auto"/>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49"/>
        <w:kinsoku/>
        <w:topLinePunct w:val="0"/>
        <w:bidi w:val="0"/>
        <w:spacing w:line="380" w:lineRule="exact"/>
        <w:ind w:left="0" w:leftChars="0" w:firstLine="0" w:firstLineChars="0"/>
        <w:rPr>
          <w:rFonts w:hint="eastAsia" w:ascii="宋体" w:hAnsi="宋体" w:eastAsia="宋体" w:cs="宋体"/>
          <w:color w:val="auto"/>
        </w:rPr>
      </w:pPr>
    </w:p>
    <w:p>
      <w:pPr>
        <w:pStyle w:val="49"/>
        <w:kinsoku/>
        <w:topLinePunct w:val="0"/>
        <w:bidi w:val="0"/>
        <w:spacing w:line="380" w:lineRule="exact"/>
        <w:rPr>
          <w:rFonts w:hint="eastAsia" w:ascii="宋体" w:hAnsi="宋体" w:eastAsia="宋体" w:cs="宋体"/>
          <w:color w:val="auto"/>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bookmarkStart w:id="152" w:name="_Toc7414"/>
      <w:bookmarkStart w:id="153" w:name="_Toc515647828"/>
      <w:bookmarkStart w:id="154" w:name="_Toc17333"/>
    </w:p>
    <w:bookmarkEnd w:id="152"/>
    <w:bookmarkEnd w:id="153"/>
    <w:bookmarkEnd w:id="154"/>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color w:val="auto"/>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bookmarkStart w:id="155" w:name="_GoBack"/>
      <w:bookmarkEnd w:id="155"/>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sectPr>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A676287"/>
    <w:multiLevelType w:val="singleLevel"/>
    <w:tmpl w:val="6A676287"/>
    <w:lvl w:ilvl="0" w:tentative="0">
      <w:start w:val="1"/>
      <w:numFmt w:val="decimal"/>
      <w:suff w:val="nothing"/>
      <w:lvlText w:val="（%1）"/>
      <w:lvlJc w:val="left"/>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1FE02A4"/>
    <w:multiLevelType w:val="singleLevel"/>
    <w:tmpl w:val="71FE02A4"/>
    <w:lvl w:ilvl="0" w:tentative="0">
      <w:start w:val="4"/>
      <w:numFmt w:val="chineseCounting"/>
      <w:suff w:val="nothing"/>
      <w:lvlText w:val="第%1章、"/>
      <w:lvlJc w:val="left"/>
      <w:rPr>
        <w:rFonts w:hint="eastAsia"/>
      </w:rPr>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4"/>
  </w:num>
  <w:num w:numId="9">
    <w:abstractNumId w:val="12"/>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jdiODNhMTc2ZWE2OTliODc0NjMzNTU0NWNkOT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3F545DA"/>
    <w:rsid w:val="04552530"/>
    <w:rsid w:val="0465519A"/>
    <w:rsid w:val="04B05277"/>
    <w:rsid w:val="04B14A54"/>
    <w:rsid w:val="05087233"/>
    <w:rsid w:val="050D4295"/>
    <w:rsid w:val="05371AF0"/>
    <w:rsid w:val="0548574A"/>
    <w:rsid w:val="05544350"/>
    <w:rsid w:val="05D02834"/>
    <w:rsid w:val="05E64C20"/>
    <w:rsid w:val="05ED6429"/>
    <w:rsid w:val="064A0705"/>
    <w:rsid w:val="06897EFF"/>
    <w:rsid w:val="06A04F45"/>
    <w:rsid w:val="06AF7AFE"/>
    <w:rsid w:val="06B04F83"/>
    <w:rsid w:val="06D500D3"/>
    <w:rsid w:val="074143D2"/>
    <w:rsid w:val="07443158"/>
    <w:rsid w:val="074E6108"/>
    <w:rsid w:val="07D41F0B"/>
    <w:rsid w:val="07EF451C"/>
    <w:rsid w:val="080A62FE"/>
    <w:rsid w:val="082779D0"/>
    <w:rsid w:val="08305869"/>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EF05BA"/>
    <w:rsid w:val="0F0F11BE"/>
    <w:rsid w:val="0F2203CF"/>
    <w:rsid w:val="0F272863"/>
    <w:rsid w:val="0F2C78B5"/>
    <w:rsid w:val="0F49256A"/>
    <w:rsid w:val="0F6256F4"/>
    <w:rsid w:val="0FAC2639"/>
    <w:rsid w:val="0FB2671F"/>
    <w:rsid w:val="0FBF4B97"/>
    <w:rsid w:val="10130368"/>
    <w:rsid w:val="102E514F"/>
    <w:rsid w:val="104C77C0"/>
    <w:rsid w:val="1061783B"/>
    <w:rsid w:val="10BF71E9"/>
    <w:rsid w:val="10D241D0"/>
    <w:rsid w:val="11105DEF"/>
    <w:rsid w:val="111123A7"/>
    <w:rsid w:val="1132247A"/>
    <w:rsid w:val="11511AAD"/>
    <w:rsid w:val="11714438"/>
    <w:rsid w:val="117C475F"/>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9C77DB"/>
    <w:rsid w:val="16CD208A"/>
    <w:rsid w:val="170A6E3A"/>
    <w:rsid w:val="1720040C"/>
    <w:rsid w:val="174E3C66"/>
    <w:rsid w:val="175005C5"/>
    <w:rsid w:val="17BA0860"/>
    <w:rsid w:val="17FF1CA5"/>
    <w:rsid w:val="186576DB"/>
    <w:rsid w:val="1870581D"/>
    <w:rsid w:val="18852DC4"/>
    <w:rsid w:val="18B43EE8"/>
    <w:rsid w:val="19940024"/>
    <w:rsid w:val="19B73F44"/>
    <w:rsid w:val="1A1C0075"/>
    <w:rsid w:val="1A2235E4"/>
    <w:rsid w:val="1A304E0A"/>
    <w:rsid w:val="1A943AF7"/>
    <w:rsid w:val="1ADC3C25"/>
    <w:rsid w:val="1B2C68C9"/>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C41FC5"/>
    <w:rsid w:val="1EE42889"/>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0C97592"/>
    <w:rsid w:val="20F55158"/>
    <w:rsid w:val="210F6386"/>
    <w:rsid w:val="21543824"/>
    <w:rsid w:val="2197751D"/>
    <w:rsid w:val="21A6126D"/>
    <w:rsid w:val="21BA77C5"/>
    <w:rsid w:val="21CD2F3E"/>
    <w:rsid w:val="21E40288"/>
    <w:rsid w:val="220F1E76"/>
    <w:rsid w:val="223E3706"/>
    <w:rsid w:val="225D0766"/>
    <w:rsid w:val="227F3C44"/>
    <w:rsid w:val="22813E3B"/>
    <w:rsid w:val="22D14F53"/>
    <w:rsid w:val="22F4274D"/>
    <w:rsid w:val="23447230"/>
    <w:rsid w:val="23DB0465"/>
    <w:rsid w:val="23DE59BA"/>
    <w:rsid w:val="240E27FB"/>
    <w:rsid w:val="2460453E"/>
    <w:rsid w:val="24613453"/>
    <w:rsid w:val="24A43F77"/>
    <w:rsid w:val="24C82820"/>
    <w:rsid w:val="24D16C22"/>
    <w:rsid w:val="24D740D4"/>
    <w:rsid w:val="25011339"/>
    <w:rsid w:val="256E3D48"/>
    <w:rsid w:val="25F50CB6"/>
    <w:rsid w:val="26163EB5"/>
    <w:rsid w:val="26251D06"/>
    <w:rsid w:val="26321F0A"/>
    <w:rsid w:val="26C568DA"/>
    <w:rsid w:val="26D905D7"/>
    <w:rsid w:val="26EA6665"/>
    <w:rsid w:val="2746688A"/>
    <w:rsid w:val="276B6060"/>
    <w:rsid w:val="27822A1D"/>
    <w:rsid w:val="278F23C0"/>
    <w:rsid w:val="27B2145C"/>
    <w:rsid w:val="27F56E06"/>
    <w:rsid w:val="27FA7131"/>
    <w:rsid w:val="281A0EA7"/>
    <w:rsid w:val="28435545"/>
    <w:rsid w:val="287C121A"/>
    <w:rsid w:val="28962D82"/>
    <w:rsid w:val="28C22024"/>
    <w:rsid w:val="28DA4193"/>
    <w:rsid w:val="28E76FDC"/>
    <w:rsid w:val="28FB2A87"/>
    <w:rsid w:val="290129D3"/>
    <w:rsid w:val="298D5275"/>
    <w:rsid w:val="29D67000"/>
    <w:rsid w:val="29F56D48"/>
    <w:rsid w:val="2A0D0CC4"/>
    <w:rsid w:val="2A1B2201"/>
    <w:rsid w:val="2A613DAE"/>
    <w:rsid w:val="2AC8240E"/>
    <w:rsid w:val="2AE474F4"/>
    <w:rsid w:val="2AE91610"/>
    <w:rsid w:val="2AF23A16"/>
    <w:rsid w:val="2B2D0EF2"/>
    <w:rsid w:val="2B345657"/>
    <w:rsid w:val="2B69661F"/>
    <w:rsid w:val="2BA271EA"/>
    <w:rsid w:val="2BAE7D76"/>
    <w:rsid w:val="2BCD7395"/>
    <w:rsid w:val="2BCE4856"/>
    <w:rsid w:val="2BEC2B5B"/>
    <w:rsid w:val="2C0B1EB7"/>
    <w:rsid w:val="2C3708A1"/>
    <w:rsid w:val="2C740C6A"/>
    <w:rsid w:val="2C8F5842"/>
    <w:rsid w:val="2CBA5B43"/>
    <w:rsid w:val="2CFE750E"/>
    <w:rsid w:val="2D05394C"/>
    <w:rsid w:val="2D0F7889"/>
    <w:rsid w:val="2D874C30"/>
    <w:rsid w:val="2DF42E5B"/>
    <w:rsid w:val="2E0D4939"/>
    <w:rsid w:val="2E734E6D"/>
    <w:rsid w:val="2EA27501"/>
    <w:rsid w:val="2EE46E89"/>
    <w:rsid w:val="2F3C2100"/>
    <w:rsid w:val="2F3E7857"/>
    <w:rsid w:val="2F5E167A"/>
    <w:rsid w:val="2F624773"/>
    <w:rsid w:val="2F9060E8"/>
    <w:rsid w:val="2FC67558"/>
    <w:rsid w:val="2FE00F3D"/>
    <w:rsid w:val="2FEC4067"/>
    <w:rsid w:val="2FF02C24"/>
    <w:rsid w:val="2FF40230"/>
    <w:rsid w:val="30246A80"/>
    <w:rsid w:val="305C0CAD"/>
    <w:rsid w:val="307325D9"/>
    <w:rsid w:val="30B11ABF"/>
    <w:rsid w:val="30C51EF2"/>
    <w:rsid w:val="30F44F72"/>
    <w:rsid w:val="318750EF"/>
    <w:rsid w:val="318C73AC"/>
    <w:rsid w:val="31A639F2"/>
    <w:rsid w:val="31E71DFA"/>
    <w:rsid w:val="31F2015C"/>
    <w:rsid w:val="31F67EDC"/>
    <w:rsid w:val="325D5CAE"/>
    <w:rsid w:val="32E53E60"/>
    <w:rsid w:val="333E257D"/>
    <w:rsid w:val="337C0898"/>
    <w:rsid w:val="341774EA"/>
    <w:rsid w:val="343C6007"/>
    <w:rsid w:val="3474525E"/>
    <w:rsid w:val="348231C8"/>
    <w:rsid w:val="349756CD"/>
    <w:rsid w:val="34BB1D0D"/>
    <w:rsid w:val="34DB703E"/>
    <w:rsid w:val="352B6080"/>
    <w:rsid w:val="352E7A4E"/>
    <w:rsid w:val="355D1BDD"/>
    <w:rsid w:val="358E0B37"/>
    <w:rsid w:val="35F273D0"/>
    <w:rsid w:val="35FF1075"/>
    <w:rsid w:val="36312BA6"/>
    <w:rsid w:val="363E3E80"/>
    <w:rsid w:val="364147F8"/>
    <w:rsid w:val="36AB0D07"/>
    <w:rsid w:val="36CA51EA"/>
    <w:rsid w:val="36F44901"/>
    <w:rsid w:val="371216F3"/>
    <w:rsid w:val="371562DB"/>
    <w:rsid w:val="37256F21"/>
    <w:rsid w:val="37321D6A"/>
    <w:rsid w:val="37555A58"/>
    <w:rsid w:val="37B26BC7"/>
    <w:rsid w:val="37BA272F"/>
    <w:rsid w:val="37DF7667"/>
    <w:rsid w:val="3810197F"/>
    <w:rsid w:val="382F7F59"/>
    <w:rsid w:val="3898459D"/>
    <w:rsid w:val="38B4677D"/>
    <w:rsid w:val="38D65532"/>
    <w:rsid w:val="39585248"/>
    <w:rsid w:val="39682C9F"/>
    <w:rsid w:val="39C0030D"/>
    <w:rsid w:val="39E15BEA"/>
    <w:rsid w:val="3A271963"/>
    <w:rsid w:val="3AF96F3C"/>
    <w:rsid w:val="3AFF6407"/>
    <w:rsid w:val="3B4E1274"/>
    <w:rsid w:val="3B6A75F8"/>
    <w:rsid w:val="3B8A2759"/>
    <w:rsid w:val="3BA20BFD"/>
    <w:rsid w:val="3BA42B0A"/>
    <w:rsid w:val="3BC40B50"/>
    <w:rsid w:val="3BD01B51"/>
    <w:rsid w:val="3C003D8D"/>
    <w:rsid w:val="3C3917A1"/>
    <w:rsid w:val="3C5C2847"/>
    <w:rsid w:val="3C925059"/>
    <w:rsid w:val="3CB5559F"/>
    <w:rsid w:val="3CBC2B52"/>
    <w:rsid w:val="3CE753A4"/>
    <w:rsid w:val="3D094553"/>
    <w:rsid w:val="3D1F312E"/>
    <w:rsid w:val="3D6A7724"/>
    <w:rsid w:val="3DDC1163"/>
    <w:rsid w:val="3E3711E2"/>
    <w:rsid w:val="3E421533"/>
    <w:rsid w:val="3E4E44C1"/>
    <w:rsid w:val="3E8D5E6B"/>
    <w:rsid w:val="3ED01430"/>
    <w:rsid w:val="3EDC25BB"/>
    <w:rsid w:val="3F66594E"/>
    <w:rsid w:val="3F796D91"/>
    <w:rsid w:val="3F9733C2"/>
    <w:rsid w:val="3FA30497"/>
    <w:rsid w:val="3FD247CD"/>
    <w:rsid w:val="3FD414E4"/>
    <w:rsid w:val="40D45C40"/>
    <w:rsid w:val="40DB5220"/>
    <w:rsid w:val="40E81C84"/>
    <w:rsid w:val="40F94293"/>
    <w:rsid w:val="4157061F"/>
    <w:rsid w:val="41662610"/>
    <w:rsid w:val="41921B27"/>
    <w:rsid w:val="41D75722"/>
    <w:rsid w:val="429E34F1"/>
    <w:rsid w:val="42AA6865"/>
    <w:rsid w:val="42C57F36"/>
    <w:rsid w:val="42D27F5D"/>
    <w:rsid w:val="42EA6221"/>
    <w:rsid w:val="434A46EC"/>
    <w:rsid w:val="435C7A89"/>
    <w:rsid w:val="43941B2C"/>
    <w:rsid w:val="43CB2F74"/>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C02140"/>
    <w:rsid w:val="4BE40D01"/>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B22195"/>
    <w:rsid w:val="4FFE3062"/>
    <w:rsid w:val="500372D1"/>
    <w:rsid w:val="50C01628"/>
    <w:rsid w:val="50C65FDD"/>
    <w:rsid w:val="50C77758"/>
    <w:rsid w:val="50E028B4"/>
    <w:rsid w:val="5119769F"/>
    <w:rsid w:val="51271000"/>
    <w:rsid w:val="517D674F"/>
    <w:rsid w:val="51B11960"/>
    <w:rsid w:val="5200468D"/>
    <w:rsid w:val="520B596A"/>
    <w:rsid w:val="5226253D"/>
    <w:rsid w:val="522D7877"/>
    <w:rsid w:val="526D37FE"/>
    <w:rsid w:val="52C728C5"/>
    <w:rsid w:val="52CC2C1B"/>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23C34"/>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4E6149"/>
    <w:rsid w:val="585A65D3"/>
    <w:rsid w:val="587873A1"/>
    <w:rsid w:val="587C29ED"/>
    <w:rsid w:val="587D598D"/>
    <w:rsid w:val="589F3852"/>
    <w:rsid w:val="58BB798B"/>
    <w:rsid w:val="58E77E9A"/>
    <w:rsid w:val="59154646"/>
    <w:rsid w:val="5935428B"/>
    <w:rsid w:val="59537423"/>
    <w:rsid w:val="59695434"/>
    <w:rsid w:val="59CA7788"/>
    <w:rsid w:val="59D06384"/>
    <w:rsid w:val="59EB363D"/>
    <w:rsid w:val="59F359C5"/>
    <w:rsid w:val="5A6E2A15"/>
    <w:rsid w:val="5AF54CD9"/>
    <w:rsid w:val="5B105132"/>
    <w:rsid w:val="5B314FB8"/>
    <w:rsid w:val="5B395408"/>
    <w:rsid w:val="5B5136E8"/>
    <w:rsid w:val="5B8542BD"/>
    <w:rsid w:val="5BB22788"/>
    <w:rsid w:val="5BEF0AD5"/>
    <w:rsid w:val="5C0E64BD"/>
    <w:rsid w:val="5C0F3B78"/>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1A0BDC"/>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7D7D3F"/>
    <w:rsid w:val="6A9C5931"/>
    <w:rsid w:val="6AD14FD7"/>
    <w:rsid w:val="6B327947"/>
    <w:rsid w:val="6BC92D5B"/>
    <w:rsid w:val="6BD20370"/>
    <w:rsid w:val="6BDC2A11"/>
    <w:rsid w:val="6BE85984"/>
    <w:rsid w:val="6C4179F9"/>
    <w:rsid w:val="6D2356D5"/>
    <w:rsid w:val="6D374CDD"/>
    <w:rsid w:val="6D4603CA"/>
    <w:rsid w:val="6D7A376E"/>
    <w:rsid w:val="6D924ED4"/>
    <w:rsid w:val="6E1F559C"/>
    <w:rsid w:val="6E74415F"/>
    <w:rsid w:val="6E9A3775"/>
    <w:rsid w:val="6EC425A0"/>
    <w:rsid w:val="6F155591"/>
    <w:rsid w:val="6F564781"/>
    <w:rsid w:val="6F771567"/>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87C41"/>
    <w:rsid w:val="71C93E5C"/>
    <w:rsid w:val="722453CB"/>
    <w:rsid w:val="72365B57"/>
    <w:rsid w:val="72611287"/>
    <w:rsid w:val="72BB5F8B"/>
    <w:rsid w:val="72BB6655"/>
    <w:rsid w:val="72C712E1"/>
    <w:rsid w:val="72FA1A10"/>
    <w:rsid w:val="73322ECF"/>
    <w:rsid w:val="73662167"/>
    <w:rsid w:val="73952CB3"/>
    <w:rsid w:val="73C55FFA"/>
    <w:rsid w:val="744A0A36"/>
    <w:rsid w:val="74D95880"/>
    <w:rsid w:val="7501589A"/>
    <w:rsid w:val="75092F11"/>
    <w:rsid w:val="751C6001"/>
    <w:rsid w:val="752C54C6"/>
    <w:rsid w:val="75597FE3"/>
    <w:rsid w:val="75686957"/>
    <w:rsid w:val="761A4816"/>
    <w:rsid w:val="76772852"/>
    <w:rsid w:val="767C4B99"/>
    <w:rsid w:val="769D3F76"/>
    <w:rsid w:val="76D36956"/>
    <w:rsid w:val="771D3195"/>
    <w:rsid w:val="7758241F"/>
    <w:rsid w:val="77CE2B0A"/>
    <w:rsid w:val="77F838AE"/>
    <w:rsid w:val="780E7E28"/>
    <w:rsid w:val="781B0555"/>
    <w:rsid w:val="784E07A8"/>
    <w:rsid w:val="78533409"/>
    <w:rsid w:val="78705799"/>
    <w:rsid w:val="78774B27"/>
    <w:rsid w:val="787765F1"/>
    <w:rsid w:val="78D26A7E"/>
    <w:rsid w:val="78F9553C"/>
    <w:rsid w:val="79940026"/>
    <w:rsid w:val="79AD77FF"/>
    <w:rsid w:val="7A162C99"/>
    <w:rsid w:val="7A173ECC"/>
    <w:rsid w:val="7A1C5986"/>
    <w:rsid w:val="7A72753A"/>
    <w:rsid w:val="7A8377B3"/>
    <w:rsid w:val="7AF47429"/>
    <w:rsid w:val="7B0862D8"/>
    <w:rsid w:val="7B130B37"/>
    <w:rsid w:val="7B406A51"/>
    <w:rsid w:val="7B6B4CD9"/>
    <w:rsid w:val="7B9B00FB"/>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C02801"/>
    <w:rsid w:val="7ED96E19"/>
    <w:rsid w:val="7F1F491B"/>
    <w:rsid w:val="7F245858"/>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3"/>
    <w:qFormat/>
    <w:uiPriority w:val="0"/>
    <w:pPr>
      <w:spacing w:after="120"/>
    </w:p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font111"/>
    <w:basedOn w:val="30"/>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30"/>
    <w:qFormat/>
    <w:uiPriority w:val="0"/>
    <w:rPr>
      <w:rFonts w:hint="default" w:ascii="Calibri" w:hAnsi="Calibri" w:cs="Calibri"/>
      <w:b/>
      <w:bCs/>
      <w:color w:val="000000"/>
      <w:sz w:val="21"/>
      <w:szCs w:val="21"/>
      <w:u w:val="none"/>
    </w:rPr>
  </w:style>
  <w:style w:type="character" w:customStyle="1" w:styleId="68">
    <w:name w:val="font61"/>
    <w:basedOn w:val="30"/>
    <w:qFormat/>
    <w:uiPriority w:val="0"/>
    <w:rPr>
      <w:rFonts w:hint="eastAsia" w:ascii="华文仿宋" w:hAnsi="华文仿宋" w:eastAsia="华文仿宋" w:cs="华文仿宋"/>
      <w:color w:val="000000"/>
      <w:sz w:val="21"/>
      <w:szCs w:val="21"/>
      <w:u w:val="none"/>
    </w:rPr>
  </w:style>
  <w:style w:type="character" w:customStyle="1" w:styleId="69">
    <w:name w:val="font91"/>
    <w:basedOn w:val="30"/>
    <w:qFormat/>
    <w:uiPriority w:val="0"/>
    <w:rPr>
      <w:rFonts w:hint="default" w:ascii="Calibri" w:hAnsi="Calibri" w:cs="Calibri"/>
      <w:b/>
      <w:bCs/>
      <w:color w:val="FF0000"/>
      <w:sz w:val="21"/>
      <w:szCs w:val="21"/>
      <w:u w:val="none"/>
    </w:rPr>
  </w:style>
  <w:style w:type="character" w:customStyle="1" w:styleId="70">
    <w:name w:val="font101"/>
    <w:basedOn w:val="30"/>
    <w:qFormat/>
    <w:uiPriority w:val="0"/>
    <w:rPr>
      <w:rFonts w:hint="eastAsia" w:ascii="宋体" w:hAnsi="宋体" w:eastAsia="宋体" w:cs="宋体"/>
      <w:color w:val="000000"/>
      <w:sz w:val="21"/>
      <w:szCs w:val="21"/>
      <w:u w:val="none"/>
    </w:rPr>
  </w:style>
  <w:style w:type="character" w:customStyle="1" w:styleId="71">
    <w:name w:val="font81"/>
    <w:basedOn w:val="30"/>
    <w:qFormat/>
    <w:uiPriority w:val="0"/>
    <w:rPr>
      <w:rFonts w:hint="default" w:ascii="Calibri" w:hAnsi="Calibri" w:cs="Calibri"/>
      <w:color w:val="000000"/>
      <w:sz w:val="21"/>
      <w:szCs w:val="21"/>
      <w:u w:val="none"/>
    </w:rPr>
  </w:style>
  <w:style w:type="character" w:customStyle="1" w:styleId="72">
    <w:name w:val="first-child"/>
    <w:basedOn w:val="30"/>
    <w:qFormat/>
    <w:uiPriority w:val="0"/>
  </w:style>
  <w:style w:type="character" w:customStyle="1" w:styleId="73">
    <w:name w:val="layui-layer-tabnow"/>
    <w:basedOn w:val="30"/>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89</Pages>
  <Words>48729</Words>
  <Characters>52320</Characters>
  <Lines>310</Lines>
  <Paragraphs>87</Paragraphs>
  <TotalTime>4</TotalTime>
  <ScaleCrop>false</ScaleCrop>
  <LinksUpToDate>false</LinksUpToDate>
  <CharactersWithSpaces>55714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Administrator</cp:lastModifiedBy>
  <cp:lastPrinted>2023-03-09T03:48:00Z</cp:lastPrinted>
  <dcterms:modified xsi:type="dcterms:W3CDTF">2023-05-25T12:02:41Z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C5226FD990DA432B9C00A95E23232FEE</vt:lpwstr>
  </property>
</Properties>
</file>