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仿宋" w:hAnsi="仿宋" w:eastAsia="仿宋" w:cs="仿宋"/>
          <w:b/>
          <w:bCs/>
          <w:color w:val="000000"/>
          <w:kern w:val="0"/>
          <w:sz w:val="32"/>
          <w:szCs w:val="32"/>
        </w:rPr>
      </w:pPr>
      <w:r>
        <w:rPr>
          <w:rFonts w:ascii="宋体" w:hAnsi="宋体"/>
          <w:b/>
          <w:sz w:val="48"/>
          <w:szCs w:val="48"/>
        </w:rPr>
        <w:drawing>
          <wp:inline distT="0" distB="0" distL="0" distR="0">
            <wp:extent cx="1285875" cy="1195705"/>
            <wp:effectExtent l="0" t="0" r="9525" b="4445"/>
            <wp:docPr id="1026" name="图片 4" descr="说明: 公司标志"/>
            <wp:cNvGraphicFramePr/>
            <a:graphic xmlns:a="http://schemas.openxmlformats.org/drawingml/2006/main">
              <a:graphicData uri="http://schemas.openxmlformats.org/drawingml/2006/picture">
                <pic:pic xmlns:pic="http://schemas.openxmlformats.org/drawingml/2006/picture">
                  <pic:nvPicPr>
                    <pic:cNvPr id="1026" name="图片 4" descr="说明: 公司标志"/>
                    <pic:cNvPicPr/>
                  </pic:nvPicPr>
                  <pic:blipFill>
                    <a:blip r:embed="rId8" cstate="print"/>
                    <a:srcRect/>
                    <a:stretch>
                      <a:fillRect/>
                    </a:stretch>
                  </pic:blipFill>
                  <pic:spPr>
                    <a:xfrm>
                      <a:off x="0" y="0"/>
                      <a:ext cx="1285875" cy="1195705"/>
                    </a:xfrm>
                    <a:prstGeom prst="rect">
                      <a:avLst/>
                    </a:prstGeom>
                    <a:ln>
                      <a:noFill/>
                    </a:ln>
                  </pic:spPr>
                </pic:pic>
              </a:graphicData>
            </a:graphic>
          </wp:inline>
        </w:drawing>
      </w:r>
    </w:p>
    <w:p>
      <w:pPr>
        <w:pStyle w:val="44"/>
        <w:rPr>
          <w:rFonts w:ascii="仿宋" w:hAnsi="仿宋" w:eastAsia="仿宋" w:cs="仿宋"/>
        </w:rPr>
      </w:pPr>
    </w:p>
    <w:p>
      <w:pPr>
        <w:pStyle w:val="44"/>
        <w:rPr>
          <w:rFonts w:ascii="仿宋" w:hAnsi="仿宋" w:eastAsia="仿宋" w:cs="仿宋"/>
        </w:rPr>
      </w:pPr>
    </w:p>
    <w:p>
      <w:pPr>
        <w:widowControl/>
        <w:jc w:val="left"/>
        <w:rPr>
          <w:rFonts w:ascii="仿宋" w:hAnsi="仿宋" w:eastAsia="仿宋" w:cs="仿宋"/>
          <w:b/>
          <w:bCs/>
          <w:color w:val="000000"/>
          <w:kern w:val="0"/>
          <w:sz w:val="32"/>
          <w:szCs w:val="32"/>
        </w:rPr>
      </w:pPr>
    </w:p>
    <w:p>
      <w:pPr>
        <w:widowControl/>
        <w:jc w:val="center"/>
        <w:rPr>
          <w:rFonts w:ascii="仿宋" w:hAnsi="仿宋" w:eastAsia="仿宋" w:cs="仿宋"/>
          <w:b/>
          <w:bCs/>
          <w:color w:val="000000"/>
          <w:kern w:val="0"/>
          <w:sz w:val="32"/>
          <w:szCs w:val="32"/>
        </w:rPr>
      </w:pPr>
    </w:p>
    <w:p>
      <w:pPr>
        <w:widowControl/>
        <w:jc w:val="center"/>
        <w:rPr>
          <w:rFonts w:ascii="仿宋" w:hAnsi="仿宋" w:eastAsia="仿宋" w:cs="仿宋"/>
          <w:b/>
          <w:bCs/>
          <w:color w:val="000000"/>
          <w:kern w:val="0"/>
          <w:sz w:val="44"/>
          <w:szCs w:val="44"/>
        </w:rPr>
      </w:pPr>
    </w:p>
    <w:p>
      <w:pPr>
        <w:widowControl/>
        <w:adjustRightInd w:val="0"/>
        <w:snapToGrid w:val="0"/>
        <w:spacing w:line="360" w:lineRule="auto"/>
        <w:jc w:val="center"/>
        <w:rPr>
          <w:rFonts w:ascii="仿宋" w:hAnsi="仿宋" w:eastAsia="仿宋" w:cs="仿宋"/>
          <w:b/>
          <w:bCs/>
          <w:sz w:val="32"/>
          <w:szCs w:val="32"/>
        </w:rPr>
      </w:pPr>
      <w:r>
        <w:rPr>
          <w:rFonts w:hint="eastAsia" w:ascii="仿宋" w:hAnsi="仿宋" w:eastAsia="仿宋" w:cs="仿宋"/>
          <w:b/>
          <w:bCs/>
          <w:color w:val="000000"/>
          <w:kern w:val="0"/>
          <w:sz w:val="44"/>
          <w:szCs w:val="44"/>
        </w:rPr>
        <w:t>公开招标文件</w:t>
      </w:r>
    </w:p>
    <w:p>
      <w:pPr>
        <w:rPr>
          <w:rFonts w:ascii="仿宋" w:hAnsi="仿宋" w:eastAsia="仿宋" w:cs="仿宋"/>
        </w:rPr>
      </w:pPr>
    </w:p>
    <w:p>
      <w:pPr>
        <w:pStyle w:val="44"/>
        <w:rPr>
          <w:rFonts w:ascii="仿宋" w:hAnsi="仿宋" w:eastAsia="仿宋" w:cs="仿宋"/>
        </w:rPr>
      </w:pPr>
    </w:p>
    <w:p>
      <w:pPr>
        <w:pStyle w:val="44"/>
        <w:rPr>
          <w:rFonts w:ascii="仿宋" w:hAnsi="仿宋" w:eastAsia="仿宋" w:cs="仿宋"/>
        </w:rPr>
      </w:pPr>
    </w:p>
    <w:p>
      <w:pPr>
        <w:rPr>
          <w:rFonts w:ascii="仿宋" w:hAnsi="仿宋" w:eastAsia="仿宋" w:cs="仿宋"/>
        </w:rPr>
      </w:pPr>
    </w:p>
    <w:p>
      <w:pPr>
        <w:pStyle w:val="44"/>
        <w:rPr>
          <w:rFonts w:ascii="仿宋" w:hAnsi="仿宋" w:eastAsia="仿宋" w:cs="仿宋"/>
        </w:rPr>
      </w:pPr>
    </w:p>
    <w:tbl>
      <w:tblPr>
        <w:tblStyle w:val="28"/>
        <w:tblW w:w="8522" w:type="dxa"/>
        <w:tblInd w:w="0" w:type="dxa"/>
        <w:tblLayout w:type="fixed"/>
        <w:tblCellMar>
          <w:top w:w="0" w:type="dxa"/>
          <w:left w:w="108" w:type="dxa"/>
          <w:bottom w:w="0" w:type="dxa"/>
          <w:right w:w="108" w:type="dxa"/>
        </w:tblCellMar>
      </w:tblPr>
      <w:tblGrid>
        <w:gridCol w:w="2088"/>
        <w:gridCol w:w="356"/>
        <w:gridCol w:w="6078"/>
      </w:tblGrid>
      <w:tr>
        <w:tblPrEx>
          <w:tblCellMar>
            <w:top w:w="0" w:type="dxa"/>
            <w:left w:w="108" w:type="dxa"/>
            <w:bottom w:w="0" w:type="dxa"/>
            <w:right w:w="108" w:type="dxa"/>
          </w:tblCellMar>
        </w:tblPrEx>
        <w:trPr>
          <w:trHeight w:val="579" w:hRule="atLeast"/>
        </w:trPr>
        <w:tc>
          <w:tcPr>
            <w:tcW w:w="2088"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项目名称</w:t>
            </w:r>
          </w:p>
        </w:tc>
        <w:tc>
          <w:tcPr>
            <w:tcW w:w="356"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w:t>
            </w:r>
          </w:p>
        </w:tc>
        <w:tc>
          <w:tcPr>
            <w:tcW w:w="6078" w:type="dxa"/>
            <w:tcBorders>
              <w:tl2br w:val="nil"/>
              <w:tr2bl w:val="nil"/>
            </w:tcBorders>
          </w:tcPr>
          <w:p>
            <w:pPr>
              <w:keepNext w:val="0"/>
              <w:keepLines w:val="0"/>
              <w:suppressLineNumbers w:val="0"/>
              <w:spacing w:before="0" w:beforeAutospacing="0" w:after="0" w:afterAutospacing="0"/>
              <w:ind w:left="0" w:right="0"/>
              <w:rPr>
                <w:rFonts w:hint="default" w:ascii="仿宋" w:hAnsi="仿宋" w:eastAsia="仿宋" w:cs="仿宋"/>
                <w:sz w:val="28"/>
                <w:szCs w:val="28"/>
              </w:rPr>
            </w:pPr>
            <w:r>
              <w:rPr>
                <w:rFonts w:hint="eastAsia" w:ascii="仿宋" w:hAnsi="仿宋" w:eastAsia="仿宋" w:cs="仿宋"/>
                <w:sz w:val="28"/>
                <w:szCs w:val="28"/>
                <w:lang w:eastAsia="zh-CN"/>
              </w:rPr>
              <w:t>2024年新疆大学“双一流”建设（第二批）分析测试中心（进口）共享仪器平台检测能力提升（2期）</w:t>
            </w:r>
          </w:p>
        </w:tc>
      </w:tr>
      <w:tr>
        <w:tblPrEx>
          <w:tblCellMar>
            <w:top w:w="0" w:type="dxa"/>
            <w:left w:w="108" w:type="dxa"/>
            <w:bottom w:w="0" w:type="dxa"/>
            <w:right w:w="108" w:type="dxa"/>
          </w:tblCellMar>
        </w:tblPrEx>
        <w:tc>
          <w:tcPr>
            <w:tcW w:w="2088"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招标编号</w:t>
            </w:r>
          </w:p>
        </w:tc>
        <w:tc>
          <w:tcPr>
            <w:tcW w:w="356"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w:t>
            </w:r>
          </w:p>
        </w:tc>
        <w:tc>
          <w:tcPr>
            <w:tcW w:w="6078" w:type="dxa"/>
            <w:tcBorders>
              <w:tl2br w:val="nil"/>
              <w:tr2bl w:val="nil"/>
            </w:tcBorders>
          </w:tcPr>
          <w:p>
            <w:pPr>
              <w:keepNext w:val="0"/>
              <w:keepLines w:val="0"/>
              <w:suppressLineNumbers w:val="0"/>
              <w:spacing w:before="0" w:beforeAutospacing="0" w:after="0" w:afterAutospacing="0"/>
              <w:ind w:left="0" w:right="0"/>
              <w:rPr>
                <w:rFonts w:hint="default" w:ascii="仿宋" w:hAnsi="仿宋" w:eastAsia="仿宋" w:cs="仿宋"/>
                <w:sz w:val="28"/>
                <w:szCs w:val="28"/>
                <w:lang w:val="en-US" w:eastAsia="zh-CN"/>
              </w:rPr>
            </w:pPr>
            <w:r>
              <w:rPr>
                <w:rFonts w:hint="eastAsia" w:ascii="仿宋" w:hAnsi="仿宋" w:eastAsia="仿宋" w:cs="仿宋"/>
                <w:sz w:val="28"/>
                <w:szCs w:val="28"/>
                <w:lang w:eastAsia="zh-CN"/>
              </w:rPr>
              <w:t>xsj2024106-</w:t>
            </w:r>
            <w:r>
              <w:rPr>
                <w:rFonts w:hint="eastAsia" w:ascii="仿宋" w:hAnsi="仿宋" w:eastAsia="仿宋" w:cs="仿宋"/>
                <w:sz w:val="28"/>
                <w:szCs w:val="28"/>
                <w:lang w:val="en-US" w:eastAsia="zh-CN"/>
              </w:rPr>
              <w:t>7</w:t>
            </w:r>
          </w:p>
        </w:tc>
      </w:tr>
      <w:tr>
        <w:tblPrEx>
          <w:tblCellMar>
            <w:top w:w="0" w:type="dxa"/>
            <w:left w:w="108" w:type="dxa"/>
            <w:bottom w:w="0" w:type="dxa"/>
            <w:right w:w="108" w:type="dxa"/>
          </w:tblCellMar>
        </w:tblPrEx>
        <w:tc>
          <w:tcPr>
            <w:tcW w:w="2088"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采购人</w:t>
            </w:r>
          </w:p>
        </w:tc>
        <w:tc>
          <w:tcPr>
            <w:tcW w:w="356"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w:t>
            </w:r>
          </w:p>
        </w:tc>
        <w:tc>
          <w:tcPr>
            <w:tcW w:w="6078" w:type="dxa"/>
            <w:tcBorders>
              <w:tl2br w:val="nil"/>
              <w:tr2bl w:val="nil"/>
            </w:tcBorders>
          </w:tcPr>
          <w:p>
            <w:pPr>
              <w:keepNext w:val="0"/>
              <w:keepLines w:val="0"/>
              <w:suppressLineNumbers w:val="0"/>
              <w:spacing w:before="0" w:beforeAutospacing="0" w:after="0" w:afterAutospacing="0"/>
              <w:ind w:left="0" w:right="0"/>
              <w:rPr>
                <w:rFonts w:hint="default" w:ascii="仿宋" w:hAnsi="仿宋" w:eastAsia="仿宋" w:cs="仿宋"/>
                <w:sz w:val="28"/>
                <w:szCs w:val="28"/>
              </w:rPr>
            </w:pPr>
            <w:r>
              <w:rPr>
                <w:rFonts w:hint="eastAsia" w:ascii="仿宋" w:hAnsi="仿宋" w:eastAsia="仿宋" w:cs="仿宋"/>
                <w:sz w:val="28"/>
                <w:szCs w:val="28"/>
              </w:rPr>
              <w:t>新疆大学</w:t>
            </w:r>
          </w:p>
        </w:tc>
      </w:tr>
      <w:tr>
        <w:tblPrEx>
          <w:tblCellMar>
            <w:top w:w="0" w:type="dxa"/>
            <w:left w:w="108" w:type="dxa"/>
            <w:bottom w:w="0" w:type="dxa"/>
            <w:right w:w="108" w:type="dxa"/>
          </w:tblCellMar>
        </w:tblPrEx>
        <w:tc>
          <w:tcPr>
            <w:tcW w:w="2088"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采购代理机构</w:t>
            </w:r>
          </w:p>
        </w:tc>
        <w:tc>
          <w:tcPr>
            <w:tcW w:w="356"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w:t>
            </w:r>
          </w:p>
        </w:tc>
        <w:tc>
          <w:tcPr>
            <w:tcW w:w="6078" w:type="dxa"/>
            <w:tcBorders>
              <w:tl2br w:val="nil"/>
              <w:tr2bl w:val="nil"/>
            </w:tcBorders>
          </w:tcPr>
          <w:p>
            <w:pPr>
              <w:keepNext w:val="0"/>
              <w:keepLines w:val="0"/>
              <w:suppressLineNumbers w:val="0"/>
              <w:spacing w:before="0" w:beforeAutospacing="0" w:after="0" w:afterAutospacing="0"/>
              <w:ind w:left="0" w:right="0"/>
              <w:rPr>
                <w:rFonts w:hint="default" w:ascii="仿宋" w:hAnsi="仿宋" w:eastAsia="仿宋" w:cs="仿宋"/>
                <w:sz w:val="28"/>
                <w:szCs w:val="28"/>
              </w:rPr>
            </w:pPr>
            <w:r>
              <w:rPr>
                <w:rFonts w:hint="eastAsia" w:ascii="仿宋" w:hAnsi="仿宋" w:eastAsia="仿宋" w:cs="仿宋"/>
                <w:sz w:val="28"/>
                <w:szCs w:val="28"/>
              </w:rPr>
              <w:t>新疆新世纪招标有限公司</w:t>
            </w:r>
          </w:p>
        </w:tc>
      </w:tr>
      <w:tr>
        <w:tblPrEx>
          <w:tblCellMar>
            <w:top w:w="0" w:type="dxa"/>
            <w:left w:w="108" w:type="dxa"/>
            <w:bottom w:w="0" w:type="dxa"/>
            <w:right w:w="108" w:type="dxa"/>
          </w:tblCellMar>
        </w:tblPrEx>
        <w:tc>
          <w:tcPr>
            <w:tcW w:w="2088"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时间</w:t>
            </w:r>
          </w:p>
        </w:tc>
        <w:tc>
          <w:tcPr>
            <w:tcW w:w="356" w:type="dxa"/>
            <w:tcBorders>
              <w:tl2br w:val="nil"/>
              <w:tr2bl w:val="nil"/>
            </w:tcBorders>
          </w:tcPr>
          <w:p>
            <w:pPr>
              <w:keepNext w:val="0"/>
              <w:keepLines w:val="0"/>
              <w:suppressLineNumbers w:val="0"/>
              <w:spacing w:before="0" w:beforeAutospacing="0" w:after="0" w:afterAutospacing="0"/>
              <w:ind w:left="0" w:right="0"/>
              <w:jc w:val="distribute"/>
              <w:rPr>
                <w:rFonts w:hint="default" w:ascii="仿宋" w:hAnsi="仿宋" w:eastAsia="仿宋" w:cs="仿宋"/>
              </w:rPr>
            </w:pPr>
            <w:r>
              <w:rPr>
                <w:rFonts w:hint="eastAsia" w:ascii="仿宋" w:hAnsi="仿宋" w:eastAsia="仿宋" w:cs="仿宋"/>
                <w:color w:val="000000"/>
                <w:kern w:val="0"/>
                <w:sz w:val="28"/>
                <w:szCs w:val="28"/>
              </w:rPr>
              <w:t>:</w:t>
            </w:r>
          </w:p>
        </w:tc>
        <w:tc>
          <w:tcPr>
            <w:tcW w:w="6078" w:type="dxa"/>
            <w:tcBorders>
              <w:tl2br w:val="nil"/>
              <w:tr2bl w:val="nil"/>
            </w:tcBorders>
          </w:tcPr>
          <w:p>
            <w:pPr>
              <w:keepNext w:val="0"/>
              <w:keepLines w:val="0"/>
              <w:suppressLineNumbers w:val="0"/>
              <w:spacing w:before="0" w:beforeAutospacing="0" w:after="0" w:afterAutospacing="0"/>
              <w:ind w:left="0" w:right="0"/>
              <w:rPr>
                <w:rFonts w:hint="default" w:ascii="仿宋" w:hAnsi="仿宋" w:eastAsia="仿宋" w:cs="仿宋"/>
                <w:sz w:val="28"/>
                <w:szCs w:val="28"/>
              </w:rPr>
            </w:pPr>
            <w:r>
              <w:rPr>
                <w:rFonts w:hint="eastAsia" w:ascii="仿宋" w:hAnsi="仿宋" w:eastAsia="仿宋" w:cs="仿宋"/>
                <w:sz w:val="28"/>
                <w:szCs w:val="28"/>
              </w:rPr>
              <w:t>二零二</w:t>
            </w:r>
            <w:r>
              <w:rPr>
                <w:rFonts w:hint="eastAsia" w:ascii="仿宋" w:hAnsi="仿宋" w:eastAsia="仿宋" w:cs="仿宋"/>
                <w:sz w:val="28"/>
                <w:szCs w:val="28"/>
                <w:lang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三</w:t>
            </w:r>
            <w:r>
              <w:rPr>
                <w:rFonts w:hint="eastAsia" w:ascii="仿宋" w:hAnsi="仿宋" w:eastAsia="仿宋" w:cs="仿宋"/>
                <w:sz w:val="28"/>
                <w:szCs w:val="28"/>
              </w:rPr>
              <w:t>月</w:t>
            </w:r>
          </w:p>
        </w:tc>
      </w:tr>
    </w:tbl>
    <w:p>
      <w:pPr>
        <w:rPr>
          <w:rFonts w:ascii="仿宋" w:hAnsi="仿宋" w:eastAsia="仿宋" w:cs="仿宋"/>
        </w:rPr>
      </w:pPr>
    </w:p>
    <w:p>
      <w:pPr>
        <w:rPr>
          <w:rFonts w:ascii="仿宋" w:hAnsi="仿宋" w:eastAsia="仿宋" w:cs="仿宋"/>
          <w:b/>
          <w:bCs/>
          <w:sz w:val="32"/>
          <w:szCs w:val="32"/>
        </w:rPr>
      </w:pPr>
      <w:r>
        <w:rPr>
          <w:rFonts w:hint="eastAsia" w:ascii="仿宋" w:hAnsi="仿宋" w:eastAsia="仿宋" w:cs="仿宋"/>
          <w:b/>
          <w:bCs/>
          <w:sz w:val="32"/>
          <w:szCs w:val="32"/>
        </w:rPr>
        <w:br w:type="page"/>
      </w:r>
    </w:p>
    <w:p>
      <w:pPr>
        <w:jc w:val="center"/>
        <w:rPr>
          <w:rFonts w:ascii="仿宋" w:hAnsi="仿宋" w:eastAsia="仿宋" w:cs="仿宋"/>
          <w:b/>
          <w:bCs/>
          <w:sz w:val="32"/>
          <w:szCs w:val="32"/>
        </w:rPr>
      </w:pPr>
      <w:r>
        <w:rPr>
          <w:rFonts w:hint="eastAsia" w:ascii="仿宋" w:hAnsi="仿宋" w:eastAsia="仿宋" w:cs="仿宋"/>
          <w:b/>
          <w:bCs/>
          <w:sz w:val="32"/>
          <w:szCs w:val="32"/>
        </w:rPr>
        <w:t>目  录</w:t>
      </w:r>
    </w:p>
    <w:p>
      <w:pPr>
        <w:jc w:val="center"/>
      </w:pPr>
    </w:p>
    <w:p>
      <w:pPr>
        <w:pStyle w:val="56"/>
        <w:tabs>
          <w:tab w:val="right" w:leader="dot" w:pos="8306"/>
        </w:tabs>
        <w:spacing w:line="360" w:lineRule="auto"/>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"1-1" \h \u </w:instrText>
      </w:r>
      <w:r>
        <w:rPr>
          <w:rFonts w:hint="eastAsia" w:ascii="仿宋" w:hAnsi="仿宋" w:eastAsia="仿宋" w:cs="仿宋"/>
          <w:sz w:val="24"/>
          <w:szCs w:val="24"/>
        </w:rPr>
        <w:fldChar w:fldCharType="separate"/>
      </w:r>
      <w:r>
        <w:fldChar w:fldCharType="begin"/>
      </w:r>
      <w:r>
        <w:instrText xml:space="preserve"> HYPERLINK \l "_Toc32601" </w:instrText>
      </w:r>
      <w:r>
        <w:fldChar w:fldCharType="separate"/>
      </w:r>
      <w:r>
        <w:rPr>
          <w:rFonts w:hint="eastAsia" w:ascii="仿宋" w:hAnsi="仿宋" w:eastAsia="仿宋" w:cs="仿宋"/>
          <w:bCs/>
          <w:sz w:val="24"/>
          <w:szCs w:val="24"/>
        </w:rPr>
        <w:t>第一章  招标公告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_Toc32601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56"/>
        <w:tabs>
          <w:tab w:val="right" w:leader="dot" w:pos="8306"/>
        </w:tabs>
        <w:spacing w:line="360" w:lineRule="auto"/>
        <w:rPr>
          <w:rFonts w:ascii="仿宋" w:hAnsi="仿宋" w:eastAsia="仿宋" w:cs="仿宋"/>
          <w:sz w:val="24"/>
          <w:szCs w:val="24"/>
        </w:rPr>
      </w:pPr>
      <w:r>
        <w:fldChar w:fldCharType="begin"/>
      </w:r>
      <w:r>
        <w:instrText xml:space="preserve"> HYPERLINK \l "_Toc14253" </w:instrText>
      </w:r>
      <w:r>
        <w:fldChar w:fldCharType="separate"/>
      </w:r>
      <w:r>
        <w:rPr>
          <w:rFonts w:hint="eastAsia" w:ascii="仿宋" w:hAnsi="仿宋" w:eastAsia="仿宋" w:cs="仿宋"/>
          <w:bCs/>
          <w:sz w:val="24"/>
          <w:szCs w:val="24"/>
        </w:rPr>
        <w:t>第二章  投标须知前附表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_Toc14253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56"/>
        <w:tabs>
          <w:tab w:val="right" w:leader="dot" w:pos="8306"/>
        </w:tabs>
        <w:spacing w:line="360" w:lineRule="auto"/>
        <w:rPr>
          <w:rFonts w:ascii="仿宋" w:hAnsi="仿宋" w:eastAsia="仿宋" w:cs="仿宋"/>
          <w:sz w:val="24"/>
          <w:szCs w:val="24"/>
        </w:rPr>
      </w:pPr>
      <w:r>
        <w:fldChar w:fldCharType="begin"/>
      </w:r>
      <w:r>
        <w:instrText xml:space="preserve"> HYPERLINK \l "_Toc3899" </w:instrText>
      </w:r>
      <w:r>
        <w:fldChar w:fldCharType="separate"/>
      </w:r>
      <w:r>
        <w:rPr>
          <w:rFonts w:hint="eastAsia" w:ascii="仿宋" w:hAnsi="仿宋" w:eastAsia="仿宋" w:cs="仿宋"/>
          <w:bCs/>
          <w:sz w:val="24"/>
          <w:szCs w:val="24"/>
        </w:rPr>
        <w:t>第三章  投标人须知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_Toc3899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56"/>
        <w:tabs>
          <w:tab w:val="right" w:leader="dot" w:pos="8306"/>
        </w:tabs>
        <w:spacing w:line="360" w:lineRule="auto"/>
        <w:rPr>
          <w:rFonts w:ascii="仿宋" w:hAnsi="仿宋" w:eastAsia="仿宋" w:cs="仿宋"/>
          <w:sz w:val="24"/>
          <w:szCs w:val="24"/>
        </w:rPr>
      </w:pPr>
      <w:r>
        <w:fldChar w:fldCharType="begin"/>
      </w:r>
      <w:r>
        <w:instrText xml:space="preserve"> HYPERLINK \l "_Toc4000" </w:instrText>
      </w:r>
      <w:r>
        <w:fldChar w:fldCharType="separate"/>
      </w:r>
      <w:r>
        <w:rPr>
          <w:rFonts w:hint="eastAsia" w:ascii="仿宋" w:hAnsi="仿宋" w:eastAsia="仿宋" w:cs="仿宋"/>
          <w:sz w:val="24"/>
          <w:szCs w:val="24"/>
        </w:rPr>
        <w:t>第四章  政府采购合同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_Toc4000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56"/>
        <w:tabs>
          <w:tab w:val="right" w:leader="dot" w:pos="8306"/>
        </w:tabs>
        <w:spacing w:line="360" w:lineRule="auto"/>
        <w:rPr>
          <w:rFonts w:ascii="仿宋" w:hAnsi="仿宋" w:eastAsia="仿宋" w:cs="仿宋"/>
          <w:sz w:val="24"/>
          <w:szCs w:val="24"/>
        </w:rPr>
      </w:pPr>
      <w:r>
        <w:fldChar w:fldCharType="begin"/>
      </w:r>
      <w:r>
        <w:instrText xml:space="preserve"> HYPERLINK \l "_Toc7984" </w:instrText>
      </w:r>
      <w:r>
        <w:fldChar w:fldCharType="separate"/>
      </w:r>
      <w:r>
        <w:rPr>
          <w:rFonts w:hint="eastAsia" w:ascii="仿宋" w:hAnsi="仿宋" w:eastAsia="仿宋" w:cs="仿宋"/>
          <w:bCs/>
          <w:kern w:val="2"/>
          <w:sz w:val="24"/>
          <w:szCs w:val="24"/>
        </w:rPr>
        <w:t>第五章  采购需求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_Toc7984 \h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56"/>
        <w:tabs>
          <w:tab w:val="right" w:leader="dot" w:pos="8306"/>
        </w:tabs>
        <w:spacing w:line="360" w:lineRule="auto"/>
        <w:rPr>
          <w:rFonts w:ascii="仿宋" w:hAnsi="仿宋" w:eastAsia="仿宋" w:cs="仿宋"/>
          <w:sz w:val="24"/>
          <w:szCs w:val="24"/>
        </w:rPr>
      </w:pPr>
      <w:r>
        <w:fldChar w:fldCharType="begin"/>
      </w:r>
      <w:r>
        <w:instrText xml:space="preserve"> HYPERLINK \l "_Toc3191" </w:instrText>
      </w:r>
      <w:r>
        <w:fldChar w:fldCharType="separate"/>
      </w:r>
      <w:r>
        <w:rPr>
          <w:rFonts w:hint="eastAsia" w:ascii="仿宋" w:hAnsi="仿宋" w:eastAsia="仿宋" w:cs="仿宋"/>
          <w:bCs/>
          <w:sz w:val="24"/>
          <w:szCs w:val="24"/>
        </w:rPr>
        <w:t>第六章  评标方法和标准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_Toc3191 \h </w:instrText>
      </w:r>
      <w:r>
        <w:rPr>
          <w:rFonts w:hint="eastAsia" w:ascii="仿宋" w:hAnsi="仿宋" w:eastAsia="仿宋" w:cs="仿宋"/>
          <w:sz w:val="24"/>
          <w:szCs w:val="24"/>
        </w:rPr>
        <w:fldChar w:fldCharType="separate"/>
      </w:r>
      <w:r>
        <w:rPr>
          <w:rFonts w:hint="eastAsia" w:ascii="仿宋" w:hAnsi="仿宋" w:eastAsia="仿宋" w:cs="仿宋"/>
          <w:sz w:val="24"/>
          <w:szCs w:val="24"/>
        </w:rPr>
        <w:t>63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56"/>
        <w:tabs>
          <w:tab w:val="right" w:leader="dot" w:pos="8306"/>
        </w:tabs>
        <w:spacing w:line="360" w:lineRule="auto"/>
        <w:rPr>
          <w:rFonts w:ascii="仿宋" w:hAnsi="仿宋" w:eastAsia="仿宋" w:cs="仿宋"/>
          <w:sz w:val="24"/>
          <w:szCs w:val="24"/>
        </w:rPr>
      </w:pPr>
      <w:r>
        <w:fldChar w:fldCharType="begin"/>
      </w:r>
      <w:r>
        <w:instrText xml:space="preserve"> HYPERLINK \l "_Toc17967" </w:instrText>
      </w:r>
      <w:r>
        <w:fldChar w:fldCharType="separate"/>
      </w:r>
      <w:r>
        <w:rPr>
          <w:rFonts w:hint="eastAsia" w:ascii="仿宋" w:hAnsi="仿宋" w:eastAsia="仿宋" w:cs="仿宋"/>
          <w:bCs/>
          <w:sz w:val="24"/>
          <w:szCs w:val="24"/>
        </w:rPr>
        <w:t>第七章  投标文件格式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_Toc17967 \h </w:instrText>
      </w:r>
      <w:r>
        <w:rPr>
          <w:rFonts w:hint="eastAsia" w:ascii="仿宋" w:hAnsi="仿宋" w:eastAsia="仿宋" w:cs="仿宋"/>
          <w:sz w:val="24"/>
          <w:szCs w:val="24"/>
        </w:rPr>
        <w:fldChar w:fldCharType="separate"/>
      </w:r>
      <w:r>
        <w:rPr>
          <w:rFonts w:hint="eastAsia" w:ascii="仿宋" w:hAnsi="仿宋" w:eastAsia="仿宋" w:cs="仿宋"/>
          <w:sz w:val="24"/>
          <w:szCs w:val="24"/>
        </w:rPr>
        <w:t>68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44"/>
        <w:spacing w:line="360" w:lineRule="auto"/>
        <w:rPr>
          <w:rFonts w:ascii="仿宋" w:hAnsi="仿宋" w:eastAsia="仿宋" w:cs="仿宋"/>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24"/>
          <w:szCs w:val="24"/>
        </w:rPr>
        <w:fldChar w:fldCharType="end"/>
      </w:r>
    </w:p>
    <w:p>
      <w:pPr>
        <w:jc w:val="center"/>
        <w:outlineLvl w:val="0"/>
        <w:rPr>
          <w:rFonts w:ascii="仿宋" w:hAnsi="仿宋" w:eastAsia="仿宋" w:cs="仿宋"/>
          <w:b/>
          <w:bCs/>
          <w:sz w:val="32"/>
          <w:szCs w:val="32"/>
        </w:rPr>
      </w:pPr>
      <w:bookmarkStart w:id="0" w:name="_Toc32601"/>
      <w:r>
        <w:rPr>
          <w:rFonts w:hint="eastAsia" w:ascii="仿宋" w:hAnsi="仿宋" w:eastAsia="仿宋" w:cs="仿宋"/>
          <w:b/>
          <w:bCs/>
          <w:sz w:val="32"/>
          <w:szCs w:val="32"/>
        </w:rPr>
        <w:t xml:space="preserve">第一章  </w:t>
      </w:r>
      <w:bookmarkEnd w:id="0"/>
      <w:r>
        <w:rPr>
          <w:rFonts w:hint="eastAsia" w:ascii="仿宋" w:hAnsi="仿宋" w:eastAsia="仿宋" w:cs="仿宋"/>
          <w:b/>
          <w:bCs/>
          <w:sz w:val="32"/>
          <w:szCs w:val="32"/>
        </w:rPr>
        <w:t>招标公告</w:t>
      </w:r>
    </w:p>
    <w:p>
      <w:pPr>
        <w:adjustRightInd w:val="0"/>
        <w:snapToGrid w:val="0"/>
        <w:spacing w:line="440" w:lineRule="exact"/>
        <w:ind w:firstLine="480" w:firstLineChars="200"/>
        <w:rPr>
          <w:rFonts w:ascii="仿宋" w:hAnsi="仿宋" w:eastAsia="仿宋" w:cs="仿宋"/>
          <w:sz w:val="24"/>
        </w:rPr>
      </w:pPr>
    </w:p>
    <w:p>
      <w:pPr>
        <w:pBdr>
          <w:top w:val="single" w:color="auto" w:sz="4" w:space="1"/>
          <w:left w:val="single" w:color="auto" w:sz="4" w:space="4"/>
          <w:bottom w:val="single" w:color="auto" w:sz="4" w:space="1"/>
          <w:right w:val="single" w:color="auto" w:sz="4" w:space="4"/>
        </w:pBdr>
        <w:spacing w:line="276" w:lineRule="auto"/>
        <w:ind w:firstLine="480" w:firstLineChars="200"/>
        <w:rPr>
          <w:rFonts w:ascii="仿宋" w:hAnsi="仿宋" w:eastAsia="仿宋"/>
          <w:sz w:val="24"/>
        </w:rPr>
      </w:pPr>
      <w:bookmarkStart w:id="1" w:name="_Toc35393621"/>
      <w:bookmarkStart w:id="2" w:name="_Hlk24379207"/>
      <w:bookmarkStart w:id="3" w:name="_Toc28359002"/>
      <w:bookmarkStart w:id="4" w:name="_Toc35393790"/>
      <w:bookmarkStart w:id="5" w:name="_Toc28359079"/>
      <w:r>
        <w:rPr>
          <w:rFonts w:hint="eastAsia" w:ascii="仿宋" w:hAnsi="仿宋" w:eastAsia="仿宋"/>
          <w:sz w:val="24"/>
        </w:rPr>
        <w:t>项目概况</w:t>
      </w:r>
    </w:p>
    <w:p>
      <w:pPr>
        <w:pBdr>
          <w:top w:val="single" w:color="auto" w:sz="4" w:space="1"/>
          <w:left w:val="single" w:color="auto" w:sz="4" w:space="4"/>
          <w:bottom w:val="single" w:color="auto" w:sz="4" w:space="1"/>
          <w:right w:val="single" w:color="auto" w:sz="4" w:space="4"/>
        </w:pBdr>
        <w:spacing w:line="276" w:lineRule="auto"/>
        <w:ind w:firstLine="480" w:firstLineChars="200"/>
        <w:rPr>
          <w:rFonts w:ascii="仿宋" w:hAnsi="仿宋" w:eastAsia="仿宋"/>
          <w:b/>
          <w:bCs/>
          <w:sz w:val="24"/>
        </w:rPr>
      </w:pPr>
      <w:r>
        <w:rPr>
          <w:rFonts w:hint="eastAsia" w:ascii="仿宋" w:hAnsi="仿宋" w:eastAsia="仿宋"/>
          <w:sz w:val="24"/>
          <w:lang w:eastAsia="zh-CN"/>
        </w:rPr>
        <w:t>2024年新疆大学“双一流”建设（第二批）分析测试中心（进口）共享仪器平台检测能力提升（2期）</w:t>
      </w:r>
      <w:r>
        <w:rPr>
          <w:rFonts w:hint="eastAsia" w:ascii="仿宋" w:hAnsi="仿宋" w:eastAsia="仿宋"/>
          <w:sz w:val="24"/>
        </w:rPr>
        <w:t xml:space="preserve"> 招标项目的潜在投标人应在政采云平台http://www.zcygov.cn/获取招标文件，并于</w:t>
      </w:r>
      <w:r>
        <w:rPr>
          <w:rFonts w:hint="eastAsia" w:ascii="仿宋" w:hAnsi="仿宋" w:eastAsia="仿宋"/>
          <w:color w:val="FF0000"/>
          <w:sz w:val="24"/>
        </w:rPr>
        <w:t>202</w:t>
      </w:r>
      <w:r>
        <w:rPr>
          <w:rFonts w:hint="eastAsia" w:ascii="仿宋" w:hAnsi="仿宋" w:eastAsia="仿宋"/>
          <w:color w:val="FF0000"/>
          <w:sz w:val="24"/>
          <w:lang w:val="en-US" w:eastAsia="zh-CN"/>
        </w:rPr>
        <w:t>4</w:t>
      </w:r>
      <w:r>
        <w:rPr>
          <w:rFonts w:hint="eastAsia" w:ascii="仿宋" w:hAnsi="仿宋" w:eastAsia="仿宋"/>
          <w:color w:val="FF0000"/>
          <w:sz w:val="24"/>
        </w:rPr>
        <w:t>年</w:t>
      </w:r>
      <w:r>
        <w:rPr>
          <w:rFonts w:hint="eastAsia" w:ascii="仿宋" w:hAnsi="仿宋" w:eastAsia="仿宋"/>
          <w:color w:val="FF0000"/>
          <w:sz w:val="24"/>
          <w:lang w:val="en-US" w:eastAsia="zh-CN"/>
        </w:rPr>
        <w:t>03</w:t>
      </w:r>
      <w:r>
        <w:rPr>
          <w:rFonts w:hint="eastAsia" w:ascii="仿宋" w:hAnsi="仿宋" w:eastAsia="仿宋"/>
          <w:color w:val="FF0000"/>
          <w:sz w:val="24"/>
        </w:rPr>
        <w:t>月</w:t>
      </w:r>
      <w:r>
        <w:rPr>
          <w:rFonts w:hint="eastAsia" w:ascii="仿宋" w:hAnsi="仿宋" w:eastAsia="仿宋"/>
          <w:color w:val="FF0000"/>
          <w:sz w:val="24"/>
          <w:lang w:val="en-US" w:eastAsia="zh-CN"/>
        </w:rPr>
        <w:t>27</w:t>
      </w:r>
      <w:r>
        <w:rPr>
          <w:rFonts w:ascii="仿宋" w:hAnsi="仿宋" w:eastAsia="仿宋"/>
          <w:color w:val="FF0000"/>
          <w:sz w:val="24"/>
        </w:rPr>
        <w:t>日</w:t>
      </w:r>
      <w:r>
        <w:rPr>
          <w:rFonts w:hint="eastAsia" w:ascii="仿宋" w:hAnsi="仿宋" w:eastAsia="仿宋"/>
          <w:color w:val="FF0000"/>
          <w:sz w:val="24"/>
        </w:rPr>
        <w:t xml:space="preserve"> 1</w:t>
      </w:r>
      <w:r>
        <w:rPr>
          <w:rFonts w:ascii="仿宋" w:hAnsi="仿宋" w:eastAsia="仿宋"/>
          <w:color w:val="FF0000"/>
          <w:sz w:val="24"/>
        </w:rPr>
        <w:t>1</w:t>
      </w:r>
      <w:r>
        <w:rPr>
          <w:rFonts w:hint="eastAsia" w:ascii="仿宋" w:hAnsi="仿宋" w:eastAsia="仿宋"/>
          <w:color w:val="FF0000"/>
          <w:sz w:val="24"/>
        </w:rPr>
        <w:t>:00（北京时间）</w:t>
      </w:r>
      <w:r>
        <w:rPr>
          <w:rFonts w:hint="eastAsia" w:ascii="仿宋" w:hAnsi="仿宋" w:eastAsia="仿宋"/>
          <w:sz w:val="24"/>
        </w:rPr>
        <w:t>前递交投标文件。</w:t>
      </w:r>
    </w:p>
    <w:bookmarkEnd w:id="1"/>
    <w:bookmarkEnd w:id="2"/>
    <w:bookmarkEnd w:id="3"/>
    <w:bookmarkEnd w:id="4"/>
    <w:bookmarkEnd w:id="5"/>
    <w:p>
      <w:pPr>
        <w:spacing w:line="360" w:lineRule="auto"/>
        <w:rPr>
          <w:rFonts w:ascii="仿宋" w:hAnsi="仿宋" w:eastAsia="仿宋"/>
          <w:b/>
          <w:sz w:val="24"/>
        </w:rPr>
      </w:pPr>
      <w:r>
        <w:rPr>
          <w:rFonts w:hint="eastAsia" w:ascii="仿宋" w:hAnsi="仿宋" w:eastAsia="仿宋"/>
          <w:b/>
          <w:sz w:val="24"/>
        </w:rPr>
        <w:t>一、项目基本情况</w:t>
      </w:r>
    </w:p>
    <w:p>
      <w:pPr>
        <w:widowControl/>
        <w:spacing w:line="276" w:lineRule="auto"/>
        <w:ind w:firstLine="480"/>
        <w:jc w:val="left"/>
        <w:rPr>
          <w:rFonts w:hint="default" w:ascii="仿宋" w:hAnsi="仿宋" w:eastAsia="仿宋"/>
          <w:kern w:val="0"/>
          <w:sz w:val="24"/>
          <w:lang w:val="en-US" w:eastAsia="zh-CN"/>
        </w:rPr>
      </w:pPr>
      <w:r>
        <w:rPr>
          <w:rFonts w:ascii="仿宋" w:hAnsi="仿宋" w:eastAsia="仿宋"/>
          <w:kern w:val="0"/>
          <w:sz w:val="24"/>
        </w:rPr>
        <w:t>项目编号：</w:t>
      </w:r>
      <w:r>
        <w:rPr>
          <w:rFonts w:hint="eastAsia" w:ascii="仿宋" w:hAnsi="仿宋" w:eastAsia="仿宋"/>
          <w:kern w:val="0"/>
          <w:sz w:val="24"/>
          <w:lang w:eastAsia="zh-CN"/>
        </w:rPr>
        <w:t>xsj2024106-</w:t>
      </w:r>
      <w:r>
        <w:rPr>
          <w:rFonts w:hint="eastAsia" w:ascii="仿宋" w:hAnsi="仿宋" w:eastAsia="仿宋"/>
          <w:kern w:val="0"/>
          <w:sz w:val="24"/>
          <w:lang w:val="en-US" w:eastAsia="zh-CN"/>
        </w:rPr>
        <w:t>7</w:t>
      </w:r>
    </w:p>
    <w:p>
      <w:pPr>
        <w:widowControl/>
        <w:spacing w:line="276" w:lineRule="auto"/>
        <w:ind w:firstLine="480"/>
        <w:jc w:val="left"/>
        <w:rPr>
          <w:rFonts w:hint="eastAsia" w:ascii="仿宋" w:hAnsi="仿宋" w:eastAsia="仿宋"/>
          <w:kern w:val="0"/>
          <w:sz w:val="24"/>
          <w:lang w:eastAsia="zh-CN"/>
        </w:rPr>
      </w:pPr>
      <w:r>
        <w:rPr>
          <w:rFonts w:ascii="仿宋" w:hAnsi="仿宋" w:eastAsia="仿宋"/>
          <w:kern w:val="0"/>
          <w:sz w:val="24"/>
        </w:rPr>
        <w:t>项目名称</w:t>
      </w:r>
      <w:r>
        <w:rPr>
          <w:rFonts w:hint="eastAsia" w:ascii="仿宋" w:hAnsi="仿宋" w:eastAsia="仿宋"/>
          <w:kern w:val="0"/>
          <w:sz w:val="24"/>
          <w:lang w:eastAsia="zh-CN"/>
        </w:rPr>
        <w:t>：2024年新疆大学“双一流”建设（第二批）分析测试中心（进口）共享仪器平台检测能力提升（2期）</w:t>
      </w:r>
    </w:p>
    <w:p>
      <w:pPr>
        <w:widowControl/>
        <w:spacing w:line="276" w:lineRule="auto"/>
        <w:ind w:firstLine="480"/>
        <w:jc w:val="left"/>
        <w:rPr>
          <w:rFonts w:ascii="仿宋" w:hAnsi="仿宋" w:eastAsia="仿宋"/>
          <w:kern w:val="0"/>
          <w:sz w:val="24"/>
        </w:rPr>
      </w:pPr>
      <w:r>
        <w:rPr>
          <w:rFonts w:ascii="仿宋" w:hAnsi="仿宋" w:eastAsia="仿宋"/>
          <w:kern w:val="0"/>
          <w:sz w:val="24"/>
        </w:rPr>
        <w:t>采购方式：公开招标</w:t>
      </w:r>
    </w:p>
    <w:p>
      <w:pPr>
        <w:widowControl/>
        <w:spacing w:line="276" w:lineRule="auto"/>
        <w:ind w:firstLine="480"/>
        <w:jc w:val="left"/>
        <w:rPr>
          <w:rFonts w:hint="default" w:ascii="仿宋" w:hAnsi="仿宋" w:eastAsia="仿宋"/>
          <w:kern w:val="0"/>
          <w:sz w:val="24"/>
          <w:lang w:val="en-US" w:eastAsia="zh-CN"/>
        </w:rPr>
      </w:pPr>
      <w:r>
        <w:rPr>
          <w:rFonts w:ascii="仿宋" w:hAnsi="仿宋" w:eastAsia="仿宋"/>
          <w:kern w:val="0"/>
          <w:sz w:val="24"/>
        </w:rPr>
        <w:t>预算金额（元）：</w:t>
      </w:r>
      <w:r>
        <w:rPr>
          <w:rFonts w:hint="eastAsia" w:ascii="仿宋" w:hAnsi="仿宋" w:eastAsia="仿宋"/>
          <w:kern w:val="0"/>
          <w:sz w:val="24"/>
          <w:lang w:val="en-US" w:eastAsia="zh-CN"/>
        </w:rPr>
        <w:t>5360000</w:t>
      </w:r>
    </w:p>
    <w:p>
      <w:pPr>
        <w:widowControl/>
        <w:spacing w:line="276" w:lineRule="auto"/>
        <w:ind w:firstLine="480"/>
        <w:jc w:val="left"/>
        <w:rPr>
          <w:rFonts w:hint="default" w:ascii="仿宋" w:hAnsi="仿宋" w:eastAsia="仿宋"/>
          <w:kern w:val="0"/>
          <w:sz w:val="24"/>
          <w:lang w:val="en-US" w:eastAsia="zh-CN"/>
        </w:rPr>
      </w:pPr>
      <w:r>
        <w:rPr>
          <w:rFonts w:ascii="仿宋" w:hAnsi="仿宋" w:eastAsia="仿宋"/>
          <w:kern w:val="0"/>
          <w:sz w:val="24"/>
        </w:rPr>
        <w:t>最高限价（元）：</w:t>
      </w:r>
      <w:r>
        <w:rPr>
          <w:rFonts w:hint="eastAsia" w:ascii="仿宋" w:hAnsi="仿宋" w:eastAsia="仿宋"/>
          <w:kern w:val="0"/>
          <w:sz w:val="24"/>
          <w:lang w:val="en-US" w:eastAsia="zh-CN"/>
        </w:rPr>
        <w:t>1960000、2470000、930000</w:t>
      </w:r>
    </w:p>
    <w:p>
      <w:pPr>
        <w:widowControl/>
        <w:spacing w:line="276" w:lineRule="auto"/>
        <w:ind w:firstLine="480"/>
        <w:jc w:val="left"/>
        <w:rPr>
          <w:rFonts w:ascii="仿宋" w:hAnsi="仿宋" w:eastAsia="仿宋"/>
          <w:kern w:val="0"/>
          <w:sz w:val="24"/>
        </w:rPr>
      </w:pPr>
      <w:r>
        <w:rPr>
          <w:rFonts w:ascii="仿宋" w:hAnsi="仿宋" w:eastAsia="仿宋"/>
          <w:kern w:val="0"/>
          <w:sz w:val="24"/>
        </w:rPr>
        <w:t>采购需求：</w:t>
      </w:r>
    </w:p>
    <w:p>
      <w:pPr>
        <w:widowControl/>
        <w:spacing w:line="276" w:lineRule="auto"/>
        <w:jc w:val="left"/>
        <w:rPr>
          <w:rFonts w:ascii="仿宋" w:hAnsi="仿宋" w:eastAsia="仿宋"/>
          <w:kern w:val="0"/>
          <w:sz w:val="24"/>
        </w:rPr>
      </w:pPr>
      <w:r>
        <w:rPr>
          <w:rFonts w:ascii="仿宋" w:hAnsi="仿宋" w:eastAsia="仿宋"/>
          <w:kern w:val="0"/>
          <w:sz w:val="24"/>
        </w:rPr>
        <w:t>标项一</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标项名称:</w:t>
      </w:r>
      <w:r>
        <w:rPr>
          <w:rFonts w:hint="eastAsia" w:ascii="仿宋" w:hAnsi="仿宋" w:eastAsia="仿宋"/>
          <w:kern w:val="0"/>
          <w:sz w:val="24"/>
          <w:lang w:eastAsia="zh-CN"/>
        </w:rPr>
        <w:t>2024年新疆大学“双一流”建设（第二批）分析测试中心（进口）共享仪器平台检测能力提升（2期）（</w:t>
      </w:r>
      <w:r>
        <w:rPr>
          <w:rFonts w:hint="eastAsia" w:ascii="仿宋" w:hAnsi="仿宋" w:eastAsia="仿宋"/>
          <w:kern w:val="0"/>
          <w:sz w:val="24"/>
          <w:lang w:val="en-US" w:eastAsia="zh-CN"/>
        </w:rPr>
        <w:t>第一包</w:t>
      </w:r>
      <w:r>
        <w:rPr>
          <w:rFonts w:hint="eastAsia" w:ascii="仿宋" w:hAnsi="仿宋" w:eastAsia="仿宋"/>
          <w:kern w:val="0"/>
          <w:sz w:val="24"/>
          <w:lang w:eastAsia="zh-CN"/>
        </w:rPr>
        <w:t>）</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数量:不限</w:t>
      </w:r>
    </w:p>
    <w:p>
      <w:pPr>
        <w:widowControl/>
        <w:spacing w:line="276" w:lineRule="auto"/>
        <w:jc w:val="left"/>
        <w:rPr>
          <w:rFonts w:hint="default" w:ascii="仿宋" w:hAnsi="仿宋" w:eastAsia="仿宋"/>
          <w:kern w:val="0"/>
          <w:sz w:val="24"/>
          <w:lang w:val="en-US" w:eastAsia="zh-CN"/>
        </w:rPr>
      </w:pPr>
      <w:r>
        <w:rPr>
          <w:rFonts w:hint="eastAsia" w:ascii="宋体" w:hAnsi="宋体"/>
          <w:kern w:val="0"/>
          <w:sz w:val="24"/>
        </w:rPr>
        <w:t>  </w:t>
      </w:r>
      <w:r>
        <w:rPr>
          <w:rFonts w:ascii="仿宋" w:hAnsi="仿宋" w:eastAsia="仿宋"/>
          <w:kern w:val="0"/>
          <w:sz w:val="24"/>
        </w:rPr>
        <w:t>预算金额（元）:</w:t>
      </w:r>
      <w:r>
        <w:rPr>
          <w:rFonts w:hint="eastAsia" w:ascii="仿宋" w:hAnsi="仿宋" w:eastAsia="仿宋"/>
          <w:kern w:val="0"/>
          <w:sz w:val="24"/>
          <w:lang w:val="en-US" w:eastAsia="zh-CN"/>
        </w:rPr>
        <w:t>1960000</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简要规格描述或项目基本概况介绍、用途：具体采购要求详见招标文件</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备注：</w:t>
      </w:r>
    </w:p>
    <w:p>
      <w:pPr>
        <w:widowControl/>
        <w:spacing w:line="276" w:lineRule="auto"/>
        <w:jc w:val="left"/>
        <w:rPr>
          <w:rFonts w:hint="eastAsia" w:ascii="仿宋" w:hAnsi="仿宋" w:eastAsia="仿宋"/>
          <w:kern w:val="0"/>
          <w:sz w:val="24"/>
          <w:lang w:eastAsia="zh-CN"/>
        </w:rPr>
      </w:pPr>
      <w:r>
        <w:rPr>
          <w:rFonts w:ascii="仿宋" w:hAnsi="仿宋" w:eastAsia="仿宋"/>
          <w:kern w:val="0"/>
          <w:sz w:val="24"/>
        </w:rPr>
        <w:t>标项</w:t>
      </w:r>
      <w:r>
        <w:rPr>
          <w:rFonts w:hint="eastAsia" w:ascii="仿宋" w:hAnsi="仿宋" w:eastAsia="仿宋"/>
          <w:kern w:val="0"/>
          <w:sz w:val="24"/>
          <w:lang w:val="en-US" w:eastAsia="zh-CN"/>
        </w:rPr>
        <w:t>二</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标项名称:</w:t>
      </w:r>
      <w:r>
        <w:rPr>
          <w:rFonts w:hint="eastAsia" w:ascii="仿宋" w:hAnsi="仿宋" w:eastAsia="仿宋"/>
          <w:kern w:val="0"/>
          <w:sz w:val="24"/>
          <w:lang w:eastAsia="zh-CN"/>
        </w:rPr>
        <w:t>2024年新疆大学“双一流”建设（第二批）分析测试中心（进口）共享仪器平台检测能力提升（2期）（</w:t>
      </w:r>
      <w:r>
        <w:rPr>
          <w:rFonts w:hint="eastAsia" w:ascii="仿宋" w:hAnsi="仿宋" w:eastAsia="仿宋"/>
          <w:kern w:val="0"/>
          <w:sz w:val="24"/>
          <w:lang w:val="en-US" w:eastAsia="zh-CN"/>
        </w:rPr>
        <w:t>第二包</w:t>
      </w:r>
      <w:r>
        <w:rPr>
          <w:rFonts w:hint="eastAsia" w:ascii="仿宋" w:hAnsi="仿宋" w:eastAsia="仿宋"/>
          <w:kern w:val="0"/>
          <w:sz w:val="24"/>
          <w:lang w:eastAsia="zh-CN"/>
        </w:rPr>
        <w:t>）</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数量:不限</w:t>
      </w:r>
    </w:p>
    <w:p>
      <w:pPr>
        <w:widowControl/>
        <w:spacing w:line="276" w:lineRule="auto"/>
        <w:jc w:val="left"/>
        <w:rPr>
          <w:rFonts w:hint="default" w:ascii="仿宋" w:hAnsi="仿宋" w:eastAsia="仿宋"/>
          <w:kern w:val="0"/>
          <w:sz w:val="24"/>
          <w:lang w:val="en-US" w:eastAsia="zh-CN"/>
        </w:rPr>
      </w:pPr>
      <w:r>
        <w:rPr>
          <w:rFonts w:hint="eastAsia" w:ascii="宋体" w:hAnsi="宋体"/>
          <w:kern w:val="0"/>
          <w:sz w:val="24"/>
        </w:rPr>
        <w:t>  </w:t>
      </w:r>
      <w:r>
        <w:rPr>
          <w:rFonts w:ascii="仿宋" w:hAnsi="仿宋" w:eastAsia="仿宋"/>
          <w:kern w:val="0"/>
          <w:sz w:val="24"/>
        </w:rPr>
        <w:t>预算金额（元）:</w:t>
      </w:r>
      <w:r>
        <w:rPr>
          <w:rFonts w:hint="eastAsia" w:ascii="仿宋" w:hAnsi="仿宋" w:eastAsia="仿宋"/>
          <w:kern w:val="0"/>
          <w:sz w:val="24"/>
          <w:lang w:val="en-US" w:eastAsia="zh-CN"/>
        </w:rPr>
        <w:t>2470000</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简要规格描述或项目基本概况介绍、用途：具体采购要求详见招标文件</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备注：</w:t>
      </w:r>
    </w:p>
    <w:p>
      <w:pPr>
        <w:widowControl/>
        <w:spacing w:line="276" w:lineRule="auto"/>
        <w:jc w:val="left"/>
        <w:rPr>
          <w:rFonts w:hint="eastAsia" w:ascii="仿宋" w:hAnsi="仿宋" w:eastAsia="仿宋"/>
          <w:kern w:val="0"/>
          <w:sz w:val="24"/>
          <w:lang w:eastAsia="zh-CN"/>
        </w:rPr>
      </w:pPr>
      <w:r>
        <w:rPr>
          <w:rFonts w:ascii="仿宋" w:hAnsi="仿宋" w:eastAsia="仿宋"/>
          <w:kern w:val="0"/>
          <w:sz w:val="24"/>
        </w:rPr>
        <w:t>标项</w:t>
      </w:r>
      <w:r>
        <w:rPr>
          <w:rFonts w:hint="eastAsia" w:ascii="仿宋" w:hAnsi="仿宋" w:eastAsia="仿宋"/>
          <w:kern w:val="0"/>
          <w:sz w:val="24"/>
          <w:lang w:val="en-US" w:eastAsia="zh-CN"/>
        </w:rPr>
        <w:t>三</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标项名称:</w:t>
      </w:r>
      <w:r>
        <w:rPr>
          <w:rFonts w:hint="eastAsia" w:ascii="仿宋" w:hAnsi="仿宋" w:eastAsia="仿宋"/>
          <w:kern w:val="0"/>
          <w:sz w:val="24"/>
          <w:lang w:eastAsia="zh-CN"/>
        </w:rPr>
        <w:t>2024年新疆大学“双一流”建设（第二批）分析测试中心（进口）共享仪器平台检测能力提升（2期）（</w:t>
      </w:r>
      <w:r>
        <w:rPr>
          <w:rFonts w:hint="eastAsia" w:ascii="仿宋" w:hAnsi="仿宋" w:eastAsia="仿宋"/>
          <w:kern w:val="0"/>
          <w:sz w:val="24"/>
          <w:lang w:val="en-US" w:eastAsia="zh-CN"/>
        </w:rPr>
        <w:t>第三包</w:t>
      </w:r>
      <w:r>
        <w:rPr>
          <w:rFonts w:hint="eastAsia" w:ascii="仿宋" w:hAnsi="仿宋" w:eastAsia="仿宋"/>
          <w:kern w:val="0"/>
          <w:sz w:val="24"/>
          <w:lang w:eastAsia="zh-CN"/>
        </w:rPr>
        <w:t>）</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数量:不限</w:t>
      </w:r>
    </w:p>
    <w:p>
      <w:pPr>
        <w:widowControl/>
        <w:spacing w:line="276" w:lineRule="auto"/>
        <w:jc w:val="left"/>
        <w:rPr>
          <w:rFonts w:hint="default" w:ascii="仿宋" w:hAnsi="仿宋" w:eastAsia="仿宋"/>
          <w:kern w:val="0"/>
          <w:sz w:val="24"/>
          <w:lang w:val="en-US" w:eastAsia="zh-CN"/>
        </w:rPr>
      </w:pPr>
      <w:r>
        <w:rPr>
          <w:rFonts w:hint="eastAsia" w:ascii="宋体" w:hAnsi="宋体"/>
          <w:kern w:val="0"/>
          <w:sz w:val="24"/>
        </w:rPr>
        <w:t>  </w:t>
      </w:r>
      <w:r>
        <w:rPr>
          <w:rFonts w:ascii="仿宋" w:hAnsi="仿宋" w:eastAsia="仿宋"/>
          <w:kern w:val="0"/>
          <w:sz w:val="24"/>
        </w:rPr>
        <w:t>预算金额（元）:</w:t>
      </w:r>
      <w:r>
        <w:rPr>
          <w:rFonts w:hint="eastAsia" w:ascii="仿宋" w:hAnsi="仿宋" w:eastAsia="仿宋"/>
          <w:kern w:val="0"/>
          <w:sz w:val="24"/>
          <w:lang w:val="en-US" w:eastAsia="zh-CN"/>
        </w:rPr>
        <w:t>930000</w:t>
      </w:r>
    </w:p>
    <w:p>
      <w:pPr>
        <w:widowControl/>
        <w:spacing w:line="276" w:lineRule="auto"/>
        <w:jc w:val="left"/>
        <w:rPr>
          <w:rFonts w:ascii="仿宋" w:hAnsi="仿宋" w:eastAsia="仿宋"/>
          <w:kern w:val="0"/>
          <w:sz w:val="24"/>
        </w:rPr>
      </w:pPr>
      <w:r>
        <w:rPr>
          <w:rFonts w:hint="eastAsia" w:ascii="宋体" w:hAnsi="宋体"/>
          <w:kern w:val="0"/>
          <w:sz w:val="24"/>
        </w:rPr>
        <w:t>  </w:t>
      </w:r>
      <w:r>
        <w:rPr>
          <w:rFonts w:ascii="仿宋" w:hAnsi="仿宋" w:eastAsia="仿宋"/>
          <w:kern w:val="0"/>
          <w:sz w:val="24"/>
        </w:rPr>
        <w:t>简要规格描述或项目基本概况介绍、用途：具体采购要求详见招标文件</w:t>
      </w:r>
    </w:p>
    <w:p>
      <w:pPr>
        <w:widowControl/>
        <w:spacing w:line="276" w:lineRule="auto"/>
        <w:jc w:val="left"/>
      </w:pPr>
      <w:r>
        <w:rPr>
          <w:rFonts w:hint="eastAsia" w:ascii="宋体" w:hAnsi="宋体"/>
          <w:kern w:val="0"/>
          <w:sz w:val="24"/>
        </w:rPr>
        <w:t>  </w:t>
      </w:r>
      <w:r>
        <w:rPr>
          <w:rFonts w:ascii="仿宋" w:hAnsi="仿宋" w:eastAsia="仿宋"/>
          <w:kern w:val="0"/>
          <w:sz w:val="24"/>
        </w:rPr>
        <w:t>备注：</w:t>
      </w:r>
    </w:p>
    <w:p>
      <w:pPr>
        <w:widowControl/>
        <w:spacing w:line="276" w:lineRule="auto"/>
        <w:jc w:val="left"/>
        <w:rPr>
          <w:rFonts w:ascii="仿宋" w:hAnsi="仿宋" w:eastAsia="仿宋"/>
          <w:kern w:val="0"/>
          <w:sz w:val="24"/>
        </w:rPr>
      </w:pPr>
    </w:p>
    <w:p>
      <w:pPr>
        <w:widowControl/>
        <w:spacing w:line="276" w:lineRule="auto"/>
        <w:ind w:firstLine="480"/>
        <w:jc w:val="left"/>
        <w:rPr>
          <w:rFonts w:ascii="仿宋" w:hAnsi="仿宋" w:eastAsia="仿宋"/>
          <w:kern w:val="0"/>
          <w:sz w:val="24"/>
        </w:rPr>
      </w:pPr>
      <w:r>
        <w:rPr>
          <w:rFonts w:ascii="仿宋" w:hAnsi="仿宋" w:eastAsia="仿宋"/>
          <w:kern w:val="0"/>
          <w:sz w:val="24"/>
        </w:rPr>
        <w:t>合同履约期限：详见招标文件“第五章采购需求”</w:t>
      </w:r>
    </w:p>
    <w:p>
      <w:pPr>
        <w:widowControl/>
        <w:spacing w:line="276" w:lineRule="auto"/>
        <w:ind w:firstLine="480"/>
        <w:jc w:val="left"/>
        <w:rPr>
          <w:rFonts w:ascii="仿宋" w:hAnsi="仿宋" w:eastAsia="仿宋"/>
          <w:kern w:val="0"/>
          <w:sz w:val="24"/>
        </w:rPr>
      </w:pPr>
      <w:r>
        <w:rPr>
          <w:rFonts w:ascii="仿宋" w:hAnsi="仿宋" w:eastAsia="仿宋"/>
          <w:kern w:val="0"/>
          <w:sz w:val="24"/>
        </w:rPr>
        <w:t>本项目（否）接受联合体投标。</w:t>
      </w:r>
    </w:p>
    <w:p>
      <w:pPr>
        <w:widowControl/>
        <w:spacing w:line="276" w:lineRule="auto"/>
        <w:jc w:val="left"/>
        <w:rPr>
          <w:rFonts w:ascii="仿宋" w:hAnsi="仿宋" w:eastAsia="仿宋"/>
          <w:kern w:val="0"/>
          <w:sz w:val="24"/>
        </w:rPr>
      </w:pPr>
    </w:p>
    <w:p>
      <w:pPr>
        <w:spacing w:line="360" w:lineRule="auto"/>
        <w:rPr>
          <w:rFonts w:ascii="仿宋" w:hAnsi="仿宋" w:eastAsia="仿宋"/>
          <w:b/>
          <w:sz w:val="24"/>
        </w:rPr>
      </w:pPr>
      <w:r>
        <w:rPr>
          <w:rFonts w:hint="eastAsia" w:ascii="仿宋" w:hAnsi="仿宋" w:eastAsia="仿宋"/>
          <w:b/>
          <w:sz w:val="24"/>
        </w:rPr>
        <w:t>二、申请人的资格要求：</w:t>
      </w:r>
    </w:p>
    <w:p>
      <w:pPr>
        <w:widowControl/>
        <w:spacing w:line="276" w:lineRule="auto"/>
        <w:ind w:firstLine="480"/>
        <w:jc w:val="left"/>
        <w:rPr>
          <w:rFonts w:ascii="仿宋" w:hAnsi="仿宋" w:eastAsia="仿宋"/>
          <w:kern w:val="0"/>
          <w:sz w:val="24"/>
        </w:rPr>
      </w:pPr>
      <w:r>
        <w:rPr>
          <w:rFonts w:ascii="仿宋" w:hAnsi="仿宋" w:eastAsia="仿宋"/>
          <w:kern w:val="0"/>
          <w:sz w:val="24"/>
        </w:rPr>
        <w:t>1.满足《中华人民共和国政府采购法》第二十二条规定；</w:t>
      </w:r>
    </w:p>
    <w:p>
      <w:pPr>
        <w:widowControl/>
        <w:spacing w:line="276" w:lineRule="auto"/>
        <w:ind w:firstLine="480"/>
        <w:jc w:val="left"/>
        <w:rPr>
          <w:rFonts w:ascii="仿宋" w:hAnsi="仿宋" w:eastAsia="仿宋"/>
          <w:kern w:val="0"/>
          <w:sz w:val="24"/>
        </w:rPr>
      </w:pPr>
      <w:r>
        <w:rPr>
          <w:rFonts w:ascii="仿宋" w:hAnsi="仿宋" w:eastAsia="仿宋"/>
          <w:kern w:val="0"/>
          <w:sz w:val="24"/>
        </w:rPr>
        <w:t>2.落实政府采购政策需满足的资格要求：符合政府采购优先（节约能源、保护环境）采购政策及促进中小企业（监狱企业、残疾人福利性单位）发展政策的，依据规定给予评审优惠。</w:t>
      </w:r>
    </w:p>
    <w:p>
      <w:pPr>
        <w:widowControl/>
        <w:spacing w:line="276" w:lineRule="auto"/>
        <w:ind w:firstLine="480"/>
        <w:jc w:val="left"/>
        <w:rPr>
          <w:rFonts w:ascii="仿宋" w:hAnsi="仿宋" w:eastAsia="仿宋"/>
          <w:kern w:val="0"/>
          <w:sz w:val="24"/>
        </w:rPr>
      </w:pPr>
      <w:r>
        <w:rPr>
          <w:rFonts w:ascii="仿宋" w:hAnsi="仿宋" w:eastAsia="仿宋"/>
          <w:kern w:val="0"/>
          <w:sz w:val="24"/>
        </w:rPr>
        <w:t>3.本项目的特定资格要求：</w:t>
      </w:r>
    </w:p>
    <w:p>
      <w:pPr>
        <w:widowControl/>
        <w:spacing w:line="276" w:lineRule="auto"/>
        <w:ind w:firstLine="480"/>
        <w:jc w:val="left"/>
        <w:rPr>
          <w:rFonts w:ascii="仿宋" w:hAnsi="仿宋" w:eastAsia="仿宋"/>
          <w:kern w:val="0"/>
          <w:sz w:val="24"/>
        </w:rPr>
      </w:pPr>
      <w:r>
        <w:rPr>
          <w:rFonts w:ascii="仿宋" w:hAnsi="仿宋" w:eastAsia="仿宋"/>
          <w:kern w:val="0"/>
          <w:sz w:val="24"/>
        </w:rPr>
        <w:t>（</w:t>
      </w:r>
      <w:r>
        <w:rPr>
          <w:rFonts w:hint="eastAsia" w:ascii="仿宋" w:hAnsi="仿宋" w:eastAsia="仿宋"/>
          <w:kern w:val="0"/>
          <w:sz w:val="24"/>
        </w:rPr>
        <w:t>1</w:t>
      </w:r>
      <w:r>
        <w:rPr>
          <w:rFonts w:ascii="仿宋" w:hAnsi="仿宋" w:eastAsia="仿宋"/>
          <w:kern w:val="0"/>
          <w:sz w:val="24"/>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w:t>
      </w:r>
      <w:r>
        <w:rPr>
          <w:rFonts w:hint="eastAsia" w:ascii="仿宋" w:hAnsi="仿宋" w:eastAsia="仿宋"/>
          <w:kern w:val="0"/>
          <w:sz w:val="24"/>
          <w:lang w:eastAsia="zh-CN"/>
        </w:rPr>
        <w:t>新疆税务局</w:t>
      </w:r>
      <w:r>
        <w:rPr>
          <w:rFonts w:ascii="仿宋" w:hAnsi="仿宋" w:eastAsia="仿宋"/>
          <w:kern w:val="0"/>
          <w:sz w:val="24"/>
        </w:rPr>
        <w:t>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p>
      <w:pPr>
        <w:widowControl/>
        <w:spacing w:line="276" w:lineRule="auto"/>
        <w:ind w:firstLine="480"/>
        <w:jc w:val="left"/>
        <w:rPr>
          <w:rFonts w:ascii="仿宋" w:hAnsi="仿宋" w:eastAsia="仿宋"/>
          <w:kern w:val="0"/>
          <w:sz w:val="24"/>
        </w:rPr>
      </w:pPr>
      <w:r>
        <w:rPr>
          <w:rFonts w:ascii="仿宋" w:hAnsi="仿宋" w:eastAsia="仿宋"/>
          <w:kern w:val="0"/>
          <w:sz w:val="24"/>
        </w:rPr>
        <w:t>（2）其他说明：（A）与采购人存在利害关系可能影响招标公正性的法人、其他组织或者个人，不得参加投标。（B）单位负责人为同一人或者存在控股、管理关系的不同单位，不得参加同一标段投标或者未划分标段的同一招标项目投标。违反前两款规定的，相关投标均无效；</w:t>
      </w:r>
    </w:p>
    <w:p>
      <w:pPr>
        <w:spacing w:line="360" w:lineRule="auto"/>
        <w:rPr>
          <w:rFonts w:ascii="仿宋" w:hAnsi="仿宋" w:eastAsia="仿宋"/>
          <w:b/>
        </w:rPr>
      </w:pPr>
      <w:r>
        <w:rPr>
          <w:rFonts w:hint="eastAsia" w:ascii="仿宋" w:hAnsi="仿宋" w:eastAsia="仿宋"/>
          <w:b/>
          <w:sz w:val="24"/>
        </w:rPr>
        <w:t>三、获取招标文件</w:t>
      </w:r>
    </w:p>
    <w:p>
      <w:pPr>
        <w:widowControl/>
        <w:spacing w:line="276" w:lineRule="auto"/>
        <w:ind w:firstLine="480"/>
        <w:jc w:val="left"/>
        <w:rPr>
          <w:rFonts w:ascii="仿宋" w:hAnsi="仿宋" w:eastAsia="仿宋"/>
          <w:color w:val="FF0000"/>
          <w:kern w:val="0"/>
          <w:sz w:val="24"/>
        </w:rPr>
      </w:pPr>
      <w:r>
        <w:rPr>
          <w:rFonts w:ascii="仿宋" w:hAnsi="仿宋" w:eastAsia="仿宋"/>
          <w:color w:val="FF0000"/>
          <w:kern w:val="0"/>
          <w:sz w:val="24"/>
        </w:rPr>
        <w:t>时间：202</w:t>
      </w:r>
      <w:r>
        <w:rPr>
          <w:rFonts w:hint="eastAsia" w:ascii="仿宋" w:hAnsi="仿宋" w:eastAsia="仿宋"/>
          <w:color w:val="FF0000"/>
          <w:kern w:val="0"/>
          <w:sz w:val="24"/>
          <w:lang w:val="en-US" w:eastAsia="zh-CN"/>
        </w:rPr>
        <w:t>4</w:t>
      </w:r>
      <w:r>
        <w:rPr>
          <w:rFonts w:ascii="仿宋" w:hAnsi="仿宋" w:eastAsia="仿宋"/>
          <w:color w:val="FF0000"/>
          <w:kern w:val="0"/>
          <w:sz w:val="24"/>
        </w:rPr>
        <w:t>年</w:t>
      </w:r>
      <w:r>
        <w:rPr>
          <w:rFonts w:hint="eastAsia" w:ascii="仿宋" w:hAnsi="仿宋" w:eastAsia="仿宋"/>
          <w:color w:val="FF0000"/>
          <w:kern w:val="0"/>
          <w:sz w:val="24"/>
          <w:lang w:val="en-US" w:eastAsia="zh-CN"/>
        </w:rPr>
        <w:t>03</w:t>
      </w:r>
      <w:r>
        <w:rPr>
          <w:rFonts w:ascii="仿宋" w:hAnsi="仿宋" w:eastAsia="仿宋"/>
          <w:color w:val="FF0000"/>
          <w:kern w:val="0"/>
          <w:sz w:val="24"/>
        </w:rPr>
        <w:t>月</w:t>
      </w:r>
      <w:r>
        <w:rPr>
          <w:rFonts w:hint="eastAsia" w:ascii="仿宋" w:hAnsi="仿宋" w:eastAsia="仿宋"/>
          <w:color w:val="FF0000"/>
          <w:kern w:val="0"/>
          <w:sz w:val="24"/>
          <w:lang w:val="en-US" w:eastAsia="zh-CN"/>
        </w:rPr>
        <w:t>05</w:t>
      </w:r>
      <w:r>
        <w:rPr>
          <w:rFonts w:ascii="仿宋" w:hAnsi="仿宋" w:eastAsia="仿宋"/>
          <w:color w:val="FF0000"/>
          <w:kern w:val="0"/>
          <w:sz w:val="24"/>
        </w:rPr>
        <w:t>日至202</w:t>
      </w:r>
      <w:r>
        <w:rPr>
          <w:rFonts w:hint="eastAsia" w:ascii="仿宋" w:hAnsi="仿宋" w:eastAsia="仿宋"/>
          <w:color w:val="FF0000"/>
          <w:kern w:val="0"/>
          <w:sz w:val="24"/>
          <w:lang w:val="en-US" w:eastAsia="zh-CN"/>
        </w:rPr>
        <w:t>4</w:t>
      </w:r>
      <w:r>
        <w:rPr>
          <w:rFonts w:ascii="仿宋" w:hAnsi="仿宋" w:eastAsia="仿宋"/>
          <w:color w:val="FF0000"/>
          <w:kern w:val="0"/>
          <w:sz w:val="24"/>
        </w:rPr>
        <w:t>年</w:t>
      </w:r>
      <w:r>
        <w:rPr>
          <w:rFonts w:hint="eastAsia" w:ascii="仿宋" w:hAnsi="仿宋" w:eastAsia="仿宋"/>
          <w:color w:val="FF0000"/>
          <w:kern w:val="0"/>
          <w:sz w:val="24"/>
          <w:lang w:val="en-US" w:eastAsia="zh-CN"/>
        </w:rPr>
        <w:t>03</w:t>
      </w:r>
      <w:r>
        <w:rPr>
          <w:rFonts w:ascii="仿宋" w:hAnsi="仿宋" w:eastAsia="仿宋"/>
          <w:color w:val="FF0000"/>
          <w:kern w:val="0"/>
          <w:sz w:val="24"/>
        </w:rPr>
        <w:t>月</w:t>
      </w:r>
      <w:r>
        <w:rPr>
          <w:rFonts w:hint="eastAsia" w:ascii="仿宋" w:hAnsi="仿宋" w:eastAsia="仿宋"/>
          <w:color w:val="FF0000"/>
          <w:kern w:val="0"/>
          <w:sz w:val="24"/>
          <w:lang w:val="en-US" w:eastAsia="zh-CN"/>
        </w:rPr>
        <w:t>26</w:t>
      </w:r>
      <w:r>
        <w:rPr>
          <w:rFonts w:ascii="仿宋" w:hAnsi="仿宋" w:eastAsia="仿宋"/>
          <w:color w:val="FF0000"/>
          <w:kern w:val="0"/>
          <w:sz w:val="24"/>
        </w:rPr>
        <w:t>日，每天上午</w:t>
      </w:r>
      <w:r>
        <w:rPr>
          <w:rFonts w:hint="eastAsia" w:ascii="仿宋" w:hAnsi="仿宋" w:eastAsia="仿宋"/>
          <w:color w:val="FF0000"/>
          <w:kern w:val="0"/>
          <w:sz w:val="24"/>
        </w:rPr>
        <w:t>0</w:t>
      </w:r>
      <w:r>
        <w:rPr>
          <w:rFonts w:ascii="仿宋" w:hAnsi="仿宋" w:eastAsia="仿宋"/>
          <w:color w:val="FF0000"/>
          <w:kern w:val="0"/>
          <w:sz w:val="24"/>
        </w:rPr>
        <w:t>0:00至12:00，下午</w:t>
      </w:r>
      <w:r>
        <w:rPr>
          <w:rFonts w:hint="eastAsia" w:ascii="仿宋" w:hAnsi="仿宋" w:eastAsia="仿宋"/>
          <w:color w:val="FF0000"/>
          <w:kern w:val="0"/>
          <w:sz w:val="24"/>
        </w:rPr>
        <w:t>1</w:t>
      </w:r>
      <w:r>
        <w:rPr>
          <w:rFonts w:ascii="仿宋" w:hAnsi="仿宋" w:eastAsia="仿宋"/>
          <w:color w:val="FF0000"/>
          <w:kern w:val="0"/>
          <w:sz w:val="24"/>
        </w:rPr>
        <w:t>2:00至</w:t>
      </w:r>
      <w:r>
        <w:rPr>
          <w:rFonts w:hint="eastAsia" w:ascii="仿宋" w:hAnsi="仿宋" w:eastAsia="仿宋"/>
          <w:color w:val="FF0000"/>
          <w:kern w:val="0"/>
          <w:sz w:val="24"/>
        </w:rPr>
        <w:t>2</w:t>
      </w:r>
      <w:r>
        <w:rPr>
          <w:rFonts w:ascii="仿宋" w:hAnsi="仿宋" w:eastAsia="仿宋"/>
          <w:color w:val="FF0000"/>
          <w:kern w:val="0"/>
          <w:sz w:val="24"/>
        </w:rPr>
        <w:t>3:59（北京时间，法定节假日除外）</w:t>
      </w:r>
    </w:p>
    <w:p>
      <w:pPr>
        <w:widowControl/>
        <w:spacing w:line="276" w:lineRule="auto"/>
        <w:ind w:firstLine="480"/>
        <w:jc w:val="left"/>
        <w:rPr>
          <w:rFonts w:ascii="仿宋" w:hAnsi="仿宋" w:eastAsia="仿宋"/>
          <w:kern w:val="0"/>
          <w:sz w:val="24"/>
        </w:rPr>
      </w:pPr>
      <w:r>
        <w:rPr>
          <w:rFonts w:ascii="仿宋" w:hAnsi="仿宋" w:eastAsia="仿宋"/>
          <w:kern w:val="0"/>
          <w:sz w:val="24"/>
        </w:rPr>
        <w:t>地点：</w:t>
      </w:r>
      <w:r>
        <w:rPr>
          <w:rFonts w:hint="eastAsia" w:ascii="仿宋" w:hAnsi="仿宋" w:eastAsia="仿宋"/>
          <w:kern w:val="0"/>
          <w:sz w:val="24"/>
        </w:rPr>
        <w:t>政采云平台http://www.zcygov.cn/</w:t>
      </w:r>
    </w:p>
    <w:p>
      <w:pPr>
        <w:pStyle w:val="114"/>
        <w:spacing w:line="276" w:lineRule="auto"/>
        <w:ind w:firstLine="480" w:firstLineChars="200"/>
        <w:rPr>
          <w:rFonts w:ascii="仿宋" w:hAnsi="仿宋" w:eastAsia="仿宋"/>
          <w:sz w:val="24"/>
        </w:rPr>
      </w:pPr>
      <w:r>
        <w:rPr>
          <w:rFonts w:ascii="仿宋" w:hAnsi="仿宋" w:eastAsia="仿宋"/>
          <w:sz w:val="24"/>
        </w:rPr>
        <w:t>方式：</w:t>
      </w:r>
      <w:r>
        <w:rPr>
          <w:rFonts w:hint="eastAsia" w:ascii="仿宋" w:hAnsi="仿宋" w:eastAsia="仿宋"/>
          <w:sz w:val="24"/>
        </w:rPr>
        <w:t>供应商登陆政采云账户（网址：https://www.zcygov.cn/）,在线申请获取采购文件（登录政府采购云平台→采购项目→获取采购文件→申请，审核通过后可下载招标文件，如有操作性问题，可与政采云在线客服进行咨询，咨询电话</w:t>
      </w:r>
      <w:r>
        <w:rPr>
          <w:rFonts w:ascii="仿宋" w:hAnsi="仿宋" w:eastAsia="仿宋"/>
          <w:sz w:val="24"/>
        </w:rPr>
        <w:t>95763</w:t>
      </w:r>
      <w:r>
        <w:rPr>
          <w:rFonts w:hint="eastAsia" w:ascii="仿宋" w:hAnsi="仿宋" w:eastAsia="仿宋"/>
          <w:sz w:val="24"/>
        </w:rPr>
        <w:t>）。</w:t>
      </w:r>
    </w:p>
    <w:p>
      <w:pPr>
        <w:pStyle w:val="114"/>
        <w:spacing w:line="276" w:lineRule="auto"/>
        <w:ind w:firstLine="480" w:firstLineChars="200"/>
        <w:rPr>
          <w:rFonts w:ascii="仿宋" w:hAnsi="仿宋" w:eastAsia="仿宋"/>
          <w:sz w:val="24"/>
        </w:rPr>
      </w:pPr>
      <w:r>
        <w:rPr>
          <w:rFonts w:ascii="仿宋" w:hAnsi="仿宋" w:eastAsia="仿宋"/>
          <w:sz w:val="24"/>
        </w:rPr>
        <w:t>售价（元）：0</w:t>
      </w:r>
    </w:p>
    <w:p>
      <w:pPr>
        <w:spacing w:line="360" w:lineRule="auto"/>
        <w:rPr>
          <w:rFonts w:ascii="仿宋" w:hAnsi="仿宋" w:eastAsia="仿宋"/>
          <w:b/>
          <w:sz w:val="24"/>
        </w:rPr>
      </w:pPr>
      <w:r>
        <w:rPr>
          <w:rFonts w:hint="eastAsia" w:ascii="仿宋" w:hAnsi="仿宋" w:eastAsia="仿宋"/>
          <w:b/>
          <w:sz w:val="24"/>
        </w:rPr>
        <w:t>四、提交投标文件截止时间、开标时间和地点</w:t>
      </w:r>
    </w:p>
    <w:p>
      <w:pPr>
        <w:widowControl/>
        <w:spacing w:line="276" w:lineRule="auto"/>
        <w:ind w:firstLine="480"/>
        <w:jc w:val="left"/>
        <w:rPr>
          <w:rFonts w:ascii="仿宋" w:hAnsi="仿宋" w:eastAsia="仿宋"/>
          <w:kern w:val="0"/>
          <w:sz w:val="24"/>
        </w:rPr>
      </w:pPr>
      <w:r>
        <w:rPr>
          <w:rFonts w:ascii="仿宋" w:hAnsi="仿宋" w:eastAsia="仿宋"/>
          <w:kern w:val="0"/>
          <w:sz w:val="24"/>
        </w:rPr>
        <w:t>提交投标文件截止时间：</w:t>
      </w:r>
      <w:r>
        <w:rPr>
          <w:rFonts w:hint="eastAsia" w:ascii="仿宋" w:hAnsi="仿宋" w:eastAsia="仿宋"/>
          <w:color w:val="FF0000"/>
          <w:sz w:val="24"/>
        </w:rPr>
        <w:t>202</w:t>
      </w:r>
      <w:r>
        <w:rPr>
          <w:rFonts w:hint="eastAsia" w:ascii="仿宋" w:hAnsi="仿宋" w:eastAsia="仿宋"/>
          <w:color w:val="FF0000"/>
          <w:sz w:val="24"/>
          <w:lang w:val="en-US" w:eastAsia="zh-CN"/>
        </w:rPr>
        <w:t>4</w:t>
      </w:r>
      <w:r>
        <w:rPr>
          <w:rFonts w:hint="eastAsia" w:ascii="仿宋" w:hAnsi="仿宋" w:eastAsia="仿宋"/>
          <w:color w:val="FF0000"/>
          <w:sz w:val="24"/>
        </w:rPr>
        <w:t>年</w:t>
      </w:r>
      <w:r>
        <w:rPr>
          <w:rFonts w:hint="eastAsia" w:ascii="仿宋" w:hAnsi="仿宋" w:eastAsia="仿宋"/>
          <w:color w:val="FF0000"/>
          <w:sz w:val="24"/>
          <w:lang w:val="en-US" w:eastAsia="zh-CN"/>
        </w:rPr>
        <w:t>03</w:t>
      </w:r>
      <w:r>
        <w:rPr>
          <w:rFonts w:hint="eastAsia" w:ascii="仿宋" w:hAnsi="仿宋" w:eastAsia="仿宋"/>
          <w:color w:val="FF0000"/>
          <w:sz w:val="24"/>
        </w:rPr>
        <w:t>月</w:t>
      </w:r>
      <w:r>
        <w:rPr>
          <w:rFonts w:hint="eastAsia" w:ascii="仿宋" w:hAnsi="仿宋" w:eastAsia="仿宋"/>
          <w:color w:val="FF0000"/>
          <w:sz w:val="24"/>
          <w:lang w:val="en-US" w:eastAsia="zh-CN"/>
        </w:rPr>
        <w:t>27</w:t>
      </w:r>
      <w:r>
        <w:rPr>
          <w:rFonts w:ascii="仿宋" w:hAnsi="仿宋" w:eastAsia="仿宋"/>
          <w:color w:val="FF0000"/>
          <w:sz w:val="24"/>
        </w:rPr>
        <w:t>日</w:t>
      </w:r>
      <w:r>
        <w:rPr>
          <w:rFonts w:hint="eastAsia" w:ascii="仿宋" w:hAnsi="仿宋" w:eastAsia="仿宋"/>
          <w:color w:val="FF0000"/>
          <w:sz w:val="24"/>
        </w:rPr>
        <w:t xml:space="preserve"> 1</w:t>
      </w:r>
      <w:r>
        <w:rPr>
          <w:rFonts w:ascii="仿宋" w:hAnsi="仿宋" w:eastAsia="仿宋"/>
          <w:color w:val="FF0000"/>
          <w:sz w:val="24"/>
        </w:rPr>
        <w:t>1</w:t>
      </w:r>
      <w:r>
        <w:rPr>
          <w:rFonts w:hint="eastAsia" w:ascii="仿宋" w:hAnsi="仿宋" w:eastAsia="仿宋"/>
          <w:color w:val="FF0000"/>
          <w:sz w:val="24"/>
        </w:rPr>
        <w:t>:00</w:t>
      </w:r>
      <w:r>
        <w:rPr>
          <w:rFonts w:ascii="仿宋" w:hAnsi="仿宋" w:eastAsia="仿宋"/>
          <w:color w:val="FF0000"/>
          <w:kern w:val="0"/>
          <w:sz w:val="24"/>
        </w:rPr>
        <w:t>（北京时间）</w:t>
      </w:r>
    </w:p>
    <w:p>
      <w:pPr>
        <w:widowControl/>
        <w:spacing w:line="276" w:lineRule="auto"/>
        <w:ind w:firstLine="480"/>
        <w:jc w:val="left"/>
        <w:rPr>
          <w:rFonts w:ascii="仿宋" w:hAnsi="仿宋" w:eastAsia="仿宋"/>
          <w:kern w:val="0"/>
          <w:sz w:val="24"/>
        </w:rPr>
      </w:pPr>
      <w:r>
        <w:rPr>
          <w:rFonts w:ascii="仿宋" w:hAnsi="仿宋" w:eastAsia="仿宋"/>
          <w:kern w:val="0"/>
          <w:sz w:val="24"/>
        </w:rPr>
        <w:t>投标地点：</w:t>
      </w:r>
      <w:r>
        <w:rPr>
          <w:rFonts w:hint="eastAsia" w:ascii="仿宋" w:hAnsi="仿宋" w:eastAsia="仿宋"/>
          <w:kern w:val="0"/>
          <w:sz w:val="24"/>
        </w:rPr>
        <w:t>供应商应在此之前将加密的投标文件上传至政采云平台对应位置 (逾期送达或不符合规定的投标文件将被拒绝接收)。</w:t>
      </w:r>
    </w:p>
    <w:p>
      <w:pPr>
        <w:widowControl/>
        <w:spacing w:line="276" w:lineRule="auto"/>
        <w:ind w:firstLine="480"/>
        <w:jc w:val="left"/>
        <w:rPr>
          <w:rFonts w:ascii="仿宋" w:hAnsi="仿宋" w:eastAsia="仿宋"/>
          <w:kern w:val="0"/>
          <w:sz w:val="24"/>
        </w:rPr>
      </w:pPr>
      <w:r>
        <w:rPr>
          <w:rFonts w:ascii="仿宋" w:hAnsi="仿宋" w:eastAsia="仿宋"/>
          <w:kern w:val="0"/>
          <w:sz w:val="24"/>
        </w:rPr>
        <w:t>开标时间：</w:t>
      </w:r>
      <w:r>
        <w:rPr>
          <w:rFonts w:hint="eastAsia" w:ascii="仿宋" w:hAnsi="仿宋" w:eastAsia="仿宋"/>
          <w:color w:val="FF0000"/>
          <w:sz w:val="24"/>
        </w:rPr>
        <w:t>202</w:t>
      </w:r>
      <w:r>
        <w:rPr>
          <w:rFonts w:hint="eastAsia" w:ascii="仿宋" w:hAnsi="仿宋" w:eastAsia="仿宋"/>
          <w:color w:val="FF0000"/>
          <w:sz w:val="24"/>
          <w:lang w:val="en-US" w:eastAsia="zh-CN"/>
        </w:rPr>
        <w:t>4</w:t>
      </w:r>
      <w:r>
        <w:rPr>
          <w:rFonts w:hint="eastAsia" w:ascii="仿宋" w:hAnsi="仿宋" w:eastAsia="仿宋"/>
          <w:color w:val="FF0000"/>
          <w:sz w:val="24"/>
        </w:rPr>
        <w:t>年</w:t>
      </w:r>
      <w:r>
        <w:rPr>
          <w:rFonts w:hint="eastAsia" w:ascii="仿宋" w:hAnsi="仿宋" w:eastAsia="仿宋"/>
          <w:color w:val="FF0000"/>
          <w:sz w:val="24"/>
          <w:lang w:val="en-US" w:eastAsia="zh-CN"/>
        </w:rPr>
        <w:t>03</w:t>
      </w:r>
      <w:r>
        <w:rPr>
          <w:rFonts w:hint="eastAsia" w:ascii="仿宋" w:hAnsi="仿宋" w:eastAsia="仿宋"/>
          <w:color w:val="FF0000"/>
          <w:sz w:val="24"/>
        </w:rPr>
        <w:t>月</w:t>
      </w:r>
      <w:r>
        <w:rPr>
          <w:rFonts w:hint="eastAsia" w:ascii="仿宋" w:hAnsi="仿宋" w:eastAsia="仿宋"/>
          <w:color w:val="FF0000"/>
          <w:sz w:val="24"/>
          <w:lang w:val="en-US" w:eastAsia="zh-CN"/>
        </w:rPr>
        <w:t>27</w:t>
      </w:r>
      <w:r>
        <w:rPr>
          <w:rFonts w:ascii="仿宋" w:hAnsi="仿宋" w:eastAsia="仿宋"/>
          <w:color w:val="FF0000"/>
          <w:sz w:val="24"/>
        </w:rPr>
        <w:t>日</w:t>
      </w:r>
      <w:r>
        <w:rPr>
          <w:rFonts w:hint="eastAsia" w:ascii="仿宋" w:hAnsi="仿宋" w:eastAsia="仿宋"/>
          <w:color w:val="FF0000"/>
          <w:sz w:val="24"/>
        </w:rPr>
        <w:t xml:space="preserve"> 1</w:t>
      </w:r>
      <w:r>
        <w:rPr>
          <w:rFonts w:ascii="仿宋" w:hAnsi="仿宋" w:eastAsia="仿宋"/>
          <w:color w:val="FF0000"/>
          <w:sz w:val="24"/>
        </w:rPr>
        <w:t>1</w:t>
      </w:r>
      <w:r>
        <w:rPr>
          <w:rFonts w:hint="eastAsia" w:ascii="仿宋" w:hAnsi="仿宋" w:eastAsia="仿宋"/>
          <w:color w:val="FF0000"/>
          <w:sz w:val="24"/>
        </w:rPr>
        <w:t>:00</w:t>
      </w:r>
    </w:p>
    <w:p>
      <w:pPr>
        <w:widowControl/>
        <w:spacing w:line="276" w:lineRule="auto"/>
        <w:ind w:firstLine="480"/>
        <w:jc w:val="left"/>
        <w:rPr>
          <w:rFonts w:ascii="仿宋" w:hAnsi="仿宋" w:eastAsia="仿宋"/>
          <w:kern w:val="0"/>
          <w:sz w:val="24"/>
        </w:rPr>
      </w:pPr>
      <w:r>
        <w:rPr>
          <w:rFonts w:ascii="仿宋" w:hAnsi="仿宋" w:eastAsia="仿宋"/>
          <w:kern w:val="0"/>
          <w:sz w:val="24"/>
        </w:rPr>
        <w:t>开标地点：</w:t>
      </w:r>
      <w:r>
        <w:rPr>
          <w:rFonts w:hint="eastAsia" w:ascii="仿宋" w:hAnsi="仿宋" w:eastAsia="仿宋"/>
          <w:kern w:val="0"/>
          <w:sz w:val="24"/>
        </w:rPr>
        <w:t>政采云平台https://www.zcygov.cn/</w:t>
      </w:r>
    </w:p>
    <w:p>
      <w:pPr>
        <w:spacing w:line="360" w:lineRule="auto"/>
        <w:rPr>
          <w:rFonts w:ascii="仿宋" w:hAnsi="仿宋" w:eastAsia="仿宋"/>
          <w:b/>
          <w:sz w:val="24"/>
        </w:rPr>
      </w:pPr>
      <w:r>
        <w:rPr>
          <w:rFonts w:hint="eastAsia" w:ascii="仿宋" w:hAnsi="仿宋" w:eastAsia="仿宋"/>
          <w:b/>
          <w:sz w:val="24"/>
        </w:rPr>
        <w:t>五、公告期限</w:t>
      </w:r>
    </w:p>
    <w:p>
      <w:pPr>
        <w:widowControl/>
        <w:spacing w:line="276" w:lineRule="auto"/>
        <w:ind w:firstLine="480"/>
        <w:jc w:val="left"/>
        <w:rPr>
          <w:rFonts w:ascii="仿宋" w:hAnsi="仿宋" w:eastAsia="仿宋"/>
          <w:kern w:val="0"/>
          <w:sz w:val="24"/>
        </w:rPr>
      </w:pPr>
      <w:r>
        <w:rPr>
          <w:rFonts w:ascii="仿宋" w:hAnsi="仿宋" w:eastAsia="仿宋"/>
          <w:kern w:val="0"/>
          <w:sz w:val="24"/>
        </w:rPr>
        <w:t>自本公告发布之日起5个工作日。</w:t>
      </w:r>
    </w:p>
    <w:p>
      <w:pPr>
        <w:spacing w:line="360" w:lineRule="auto"/>
        <w:rPr>
          <w:rFonts w:ascii="仿宋" w:hAnsi="仿宋" w:eastAsia="仿宋"/>
          <w:b/>
          <w:sz w:val="24"/>
        </w:rPr>
      </w:pPr>
      <w:r>
        <w:rPr>
          <w:rFonts w:hint="eastAsia" w:ascii="仿宋" w:hAnsi="仿宋" w:eastAsia="仿宋"/>
          <w:b/>
          <w:sz w:val="24"/>
        </w:rPr>
        <w:t>六、其他补充事宜</w:t>
      </w:r>
    </w:p>
    <w:p>
      <w:pPr>
        <w:pStyle w:val="114"/>
        <w:spacing w:line="276" w:lineRule="auto"/>
        <w:ind w:firstLine="480" w:firstLineChars="200"/>
        <w:rPr>
          <w:rFonts w:ascii="仿宋" w:hAnsi="仿宋" w:eastAsia="仿宋" w:cs="宋体"/>
          <w:sz w:val="24"/>
        </w:rPr>
      </w:pPr>
      <w:r>
        <w:rPr>
          <w:rFonts w:hint="eastAsia" w:ascii="仿宋" w:hAnsi="仿宋" w:eastAsia="仿宋" w:cs="宋体"/>
          <w:sz w:val="24"/>
        </w:rPr>
        <w:t>1.本项目实行电子招投标，供应商须登录政采云平台申请获取采购文件，并需要使用CA锁，登录政采云电子投标客户端制作投标文件，若供应商参与投标,自行承担与投标有关的一切费用。</w:t>
      </w:r>
    </w:p>
    <w:p>
      <w:pPr>
        <w:pStyle w:val="114"/>
        <w:spacing w:line="276" w:lineRule="auto"/>
        <w:ind w:firstLine="480" w:firstLineChars="200"/>
        <w:rPr>
          <w:rFonts w:ascii="仿宋" w:hAnsi="仿宋" w:eastAsia="仿宋" w:cs="宋体"/>
          <w:sz w:val="24"/>
        </w:rPr>
      </w:pPr>
      <w:r>
        <w:rPr>
          <w:rFonts w:hint="eastAsia" w:ascii="仿宋" w:hAnsi="仿宋" w:eastAsia="仿宋" w:cs="宋体"/>
          <w:sz w:val="24"/>
        </w:rPr>
        <w:t>2.各供应商应在开标前确保是新疆维吾尔自治区政府采购网正式注册入库的供应商，并完成CA数字证书申领。因未注册入库、未办理CA数字证书等原因造成无法投标或投标失败等后果的由供应商自行承担</w:t>
      </w:r>
    </w:p>
    <w:p>
      <w:pPr>
        <w:pStyle w:val="114"/>
        <w:spacing w:line="276" w:lineRule="auto"/>
        <w:ind w:firstLine="480" w:firstLineChars="200"/>
        <w:rPr>
          <w:rFonts w:ascii="仿宋" w:hAnsi="仿宋" w:eastAsia="仿宋" w:cs="宋体"/>
          <w:sz w:val="24"/>
        </w:rPr>
      </w:pPr>
      <w:r>
        <w:rPr>
          <w:rFonts w:hint="eastAsia" w:ascii="仿宋" w:hAnsi="仿宋" w:eastAsia="仿宋" w:cs="宋体"/>
          <w:sz w:val="24"/>
        </w:rPr>
        <w:t>3.供应商可前往新疆政府采购网（http://www.ccgp-xinjiang.gov.cn/）下载专区，下载政采云电子投标客户端，安装完成后，可通过账号密码或CA登录客户端进行投标文件制作。</w:t>
      </w:r>
    </w:p>
    <w:p>
      <w:pPr>
        <w:pStyle w:val="114"/>
        <w:spacing w:line="276" w:lineRule="auto"/>
        <w:ind w:firstLine="480" w:firstLineChars="200"/>
        <w:rPr>
          <w:rFonts w:ascii="仿宋" w:hAnsi="仿宋" w:eastAsia="仿宋" w:cs="宋体"/>
          <w:sz w:val="24"/>
        </w:rPr>
      </w:pPr>
      <w:r>
        <w:rPr>
          <w:rFonts w:hint="eastAsia" w:ascii="仿宋" w:hAnsi="仿宋" w:eastAsia="仿宋" w:cs="宋体"/>
          <w:sz w:val="24"/>
        </w:rPr>
        <w:t>4.供应商在开标时须携带制作加密电子投标文件所使用的CA锁，电脑须提前配置好浏览器，以便开标时在线解密。</w:t>
      </w:r>
    </w:p>
    <w:p>
      <w:pPr>
        <w:pStyle w:val="114"/>
        <w:spacing w:line="276" w:lineRule="auto"/>
        <w:ind w:firstLine="480" w:firstLineChars="200"/>
        <w:rPr>
          <w:rFonts w:ascii="仿宋" w:hAnsi="仿宋" w:eastAsia="仿宋" w:cs="宋体"/>
          <w:sz w:val="24"/>
        </w:rPr>
      </w:pPr>
      <w:r>
        <w:rPr>
          <w:rFonts w:hint="eastAsia" w:ascii="仿宋" w:hAnsi="仿宋" w:eastAsia="仿宋" w:cs="宋体"/>
          <w:sz w:val="24"/>
        </w:rPr>
        <w:t>5.投标供应商应当在投标截止时间前，将生成的“电子加密投标文件”上传递交至“政府采购云平台”，投标截止时间以后上传递交的投标文件将被“政府采购云平台”拒收。</w:t>
      </w:r>
    </w:p>
    <w:p>
      <w:pPr>
        <w:spacing w:line="360" w:lineRule="auto"/>
        <w:rPr>
          <w:rFonts w:ascii="仿宋" w:hAnsi="仿宋" w:eastAsia="仿宋"/>
          <w:b/>
          <w:sz w:val="24"/>
        </w:rPr>
      </w:pPr>
      <w:r>
        <w:rPr>
          <w:rFonts w:hint="eastAsia" w:ascii="仿宋" w:hAnsi="仿宋" w:eastAsia="仿宋"/>
          <w:b/>
          <w:sz w:val="24"/>
        </w:rPr>
        <w:t>七、对本次采购提出询问，请按以下方式联系</w:t>
      </w:r>
    </w:p>
    <w:p>
      <w:pPr>
        <w:widowControl/>
        <w:spacing w:line="276" w:lineRule="auto"/>
        <w:ind w:firstLine="480"/>
        <w:jc w:val="left"/>
        <w:rPr>
          <w:rFonts w:ascii="仿宋" w:hAnsi="仿宋" w:eastAsia="仿宋"/>
          <w:kern w:val="0"/>
          <w:sz w:val="24"/>
        </w:rPr>
      </w:pPr>
      <w:r>
        <w:rPr>
          <w:rFonts w:ascii="仿宋" w:hAnsi="仿宋" w:eastAsia="仿宋"/>
          <w:kern w:val="0"/>
          <w:sz w:val="24"/>
        </w:rPr>
        <w:t>1.采购人信息</w:t>
      </w:r>
    </w:p>
    <w:p>
      <w:pPr>
        <w:widowControl/>
        <w:spacing w:line="276" w:lineRule="auto"/>
        <w:ind w:firstLine="480"/>
        <w:jc w:val="left"/>
        <w:rPr>
          <w:rFonts w:ascii="仿宋" w:hAnsi="仿宋" w:eastAsia="仿宋"/>
          <w:kern w:val="0"/>
          <w:sz w:val="24"/>
        </w:rPr>
      </w:pPr>
      <w:r>
        <w:rPr>
          <w:rFonts w:ascii="仿宋" w:hAnsi="仿宋" w:eastAsia="仿宋"/>
          <w:kern w:val="0"/>
          <w:sz w:val="24"/>
        </w:rPr>
        <w:t>名 称：新疆大学</w:t>
      </w:r>
    </w:p>
    <w:p>
      <w:pPr>
        <w:widowControl/>
        <w:spacing w:line="276" w:lineRule="auto"/>
        <w:ind w:firstLine="480"/>
        <w:jc w:val="left"/>
        <w:rPr>
          <w:rFonts w:ascii="仿宋" w:hAnsi="仿宋" w:eastAsia="仿宋"/>
          <w:kern w:val="0"/>
          <w:sz w:val="24"/>
        </w:rPr>
      </w:pPr>
      <w:r>
        <w:rPr>
          <w:rFonts w:ascii="仿宋" w:hAnsi="仿宋" w:eastAsia="仿宋"/>
          <w:kern w:val="0"/>
          <w:sz w:val="24"/>
        </w:rPr>
        <w:t>地 址：乌鲁木齐市胜利路666号</w:t>
      </w:r>
    </w:p>
    <w:p>
      <w:pPr>
        <w:widowControl/>
        <w:spacing w:line="276" w:lineRule="auto"/>
        <w:ind w:firstLine="480"/>
        <w:jc w:val="left"/>
        <w:rPr>
          <w:rFonts w:ascii="仿宋" w:hAnsi="仿宋" w:eastAsia="仿宋"/>
          <w:kern w:val="0"/>
          <w:sz w:val="24"/>
        </w:rPr>
      </w:pPr>
      <w:r>
        <w:rPr>
          <w:rFonts w:hint="eastAsia" w:ascii="仿宋" w:hAnsi="仿宋" w:eastAsia="仿宋"/>
          <w:kern w:val="0"/>
          <w:sz w:val="24"/>
        </w:rPr>
        <w:t>联系人:</w:t>
      </w:r>
      <w:r>
        <w:rPr>
          <w:rFonts w:hint="eastAsia" w:ascii="仿宋" w:hAnsi="仿宋" w:eastAsia="仿宋"/>
          <w:kern w:val="0"/>
          <w:sz w:val="24"/>
          <w:lang w:eastAsia="zh-CN"/>
        </w:rPr>
        <w:t>刘老师</w:t>
      </w:r>
    </w:p>
    <w:p>
      <w:pPr>
        <w:widowControl/>
        <w:spacing w:line="276" w:lineRule="auto"/>
        <w:ind w:firstLine="480"/>
        <w:jc w:val="left"/>
        <w:rPr>
          <w:rFonts w:ascii="仿宋" w:hAnsi="仿宋" w:eastAsia="仿宋"/>
          <w:kern w:val="0"/>
          <w:sz w:val="24"/>
        </w:rPr>
      </w:pPr>
      <w:r>
        <w:rPr>
          <w:rFonts w:ascii="仿宋" w:hAnsi="仿宋" w:eastAsia="仿宋"/>
          <w:kern w:val="0"/>
          <w:sz w:val="24"/>
        </w:rPr>
        <w:t>联系方式：</w:t>
      </w:r>
      <w:r>
        <w:rPr>
          <w:rFonts w:hint="eastAsia" w:ascii="仿宋" w:hAnsi="仿宋" w:eastAsia="仿宋"/>
          <w:kern w:val="0"/>
          <w:sz w:val="24"/>
        </w:rPr>
        <w:t>0991-8580035</w:t>
      </w:r>
    </w:p>
    <w:p>
      <w:pPr>
        <w:widowControl/>
        <w:spacing w:line="276" w:lineRule="auto"/>
        <w:ind w:firstLine="480"/>
        <w:jc w:val="left"/>
        <w:rPr>
          <w:rFonts w:ascii="仿宋" w:hAnsi="仿宋" w:eastAsia="仿宋"/>
          <w:kern w:val="0"/>
          <w:sz w:val="24"/>
        </w:rPr>
      </w:pPr>
      <w:r>
        <w:rPr>
          <w:rFonts w:ascii="仿宋" w:hAnsi="仿宋" w:eastAsia="仿宋"/>
          <w:kern w:val="0"/>
          <w:sz w:val="24"/>
        </w:rPr>
        <w:t>2.采购代理机构信息</w:t>
      </w:r>
    </w:p>
    <w:p>
      <w:pPr>
        <w:widowControl/>
        <w:spacing w:line="276" w:lineRule="auto"/>
        <w:ind w:firstLine="480"/>
        <w:jc w:val="left"/>
        <w:rPr>
          <w:rFonts w:ascii="仿宋" w:hAnsi="仿宋" w:eastAsia="仿宋"/>
          <w:kern w:val="0"/>
          <w:sz w:val="24"/>
        </w:rPr>
      </w:pPr>
      <w:r>
        <w:rPr>
          <w:rFonts w:ascii="仿宋" w:hAnsi="仿宋" w:eastAsia="仿宋"/>
          <w:kern w:val="0"/>
          <w:sz w:val="24"/>
        </w:rPr>
        <w:t>名 称：新疆新世纪招标有限公司</w:t>
      </w:r>
    </w:p>
    <w:p>
      <w:pPr>
        <w:widowControl/>
        <w:spacing w:line="276" w:lineRule="auto"/>
        <w:ind w:firstLine="480"/>
        <w:jc w:val="left"/>
        <w:rPr>
          <w:rFonts w:ascii="仿宋" w:hAnsi="仿宋" w:eastAsia="仿宋"/>
          <w:kern w:val="0"/>
          <w:sz w:val="24"/>
        </w:rPr>
      </w:pPr>
      <w:r>
        <w:rPr>
          <w:rFonts w:ascii="仿宋" w:hAnsi="仿宋" w:eastAsia="仿宋"/>
          <w:kern w:val="0"/>
          <w:sz w:val="24"/>
        </w:rPr>
        <w:t>地 址：新疆乌鲁木齐市水磨沟区新兴街20号凤凰科技大厦五楼</w:t>
      </w:r>
    </w:p>
    <w:p>
      <w:pPr>
        <w:widowControl/>
        <w:spacing w:line="276" w:lineRule="auto"/>
        <w:ind w:firstLine="480"/>
        <w:jc w:val="left"/>
        <w:rPr>
          <w:rFonts w:ascii="仿宋" w:hAnsi="仿宋" w:eastAsia="仿宋"/>
          <w:kern w:val="0"/>
          <w:sz w:val="24"/>
        </w:rPr>
      </w:pPr>
      <w:r>
        <w:rPr>
          <w:rFonts w:ascii="仿宋" w:hAnsi="仿宋" w:eastAsia="仿宋"/>
          <w:kern w:val="0"/>
          <w:sz w:val="24"/>
        </w:rPr>
        <w:t>联系方式：18799185025、13109969229</w:t>
      </w:r>
    </w:p>
    <w:p>
      <w:pPr>
        <w:widowControl/>
        <w:spacing w:line="276" w:lineRule="auto"/>
        <w:ind w:firstLine="480"/>
        <w:jc w:val="left"/>
        <w:rPr>
          <w:rFonts w:ascii="仿宋" w:hAnsi="仿宋" w:eastAsia="仿宋"/>
          <w:kern w:val="0"/>
          <w:sz w:val="24"/>
        </w:rPr>
      </w:pPr>
      <w:r>
        <w:rPr>
          <w:rFonts w:ascii="仿宋" w:hAnsi="仿宋" w:eastAsia="仿宋"/>
          <w:kern w:val="0"/>
          <w:sz w:val="24"/>
        </w:rPr>
        <w:t>3.项目联系方式</w:t>
      </w:r>
    </w:p>
    <w:p>
      <w:pPr>
        <w:widowControl/>
        <w:spacing w:line="276" w:lineRule="auto"/>
        <w:ind w:firstLine="480"/>
        <w:jc w:val="left"/>
        <w:rPr>
          <w:rFonts w:ascii="仿宋" w:hAnsi="仿宋" w:eastAsia="仿宋"/>
          <w:kern w:val="0"/>
          <w:sz w:val="24"/>
        </w:rPr>
      </w:pPr>
      <w:r>
        <w:rPr>
          <w:rFonts w:ascii="仿宋" w:hAnsi="仿宋" w:eastAsia="仿宋"/>
          <w:kern w:val="0"/>
          <w:sz w:val="24"/>
        </w:rPr>
        <w:t>项目联系人：周志伟、宋金龙</w:t>
      </w:r>
    </w:p>
    <w:p>
      <w:pPr>
        <w:widowControl/>
        <w:spacing w:line="276" w:lineRule="auto"/>
        <w:ind w:firstLine="480"/>
        <w:jc w:val="left"/>
        <w:rPr>
          <w:rFonts w:ascii="仿宋" w:hAnsi="仿宋" w:eastAsia="仿宋"/>
          <w:kern w:val="0"/>
          <w:sz w:val="24"/>
        </w:rPr>
      </w:pPr>
      <w:r>
        <w:rPr>
          <w:rFonts w:ascii="仿宋" w:hAnsi="仿宋" w:eastAsia="仿宋"/>
          <w:kern w:val="0"/>
          <w:sz w:val="24"/>
        </w:rPr>
        <w:t>电 话：18799185025、13109969229</w:t>
      </w:r>
    </w:p>
    <w:p>
      <w:pPr>
        <w:adjustRightInd w:val="0"/>
        <w:snapToGrid w:val="0"/>
        <w:spacing w:line="276" w:lineRule="auto"/>
        <w:ind w:firstLine="480" w:firstLineChars="200"/>
        <w:rPr>
          <w:rFonts w:ascii="仿宋" w:hAnsi="仿宋" w:eastAsia="仿宋" w:cs="仿宋"/>
          <w:sz w:val="24"/>
        </w:rPr>
      </w:pPr>
    </w:p>
    <w:p>
      <w:pPr>
        <w:widowControl/>
        <w:jc w:val="left"/>
        <w:rPr>
          <w:rFonts w:ascii="仿宋" w:hAnsi="仿宋" w:eastAsia="仿宋" w:cs="仿宋"/>
          <w:sz w:val="24"/>
        </w:rPr>
      </w:pPr>
      <w:bookmarkStart w:id="6" w:name="_Toc14253"/>
      <w:bookmarkStart w:id="7" w:name="_Toc19959"/>
      <w:r>
        <w:rPr>
          <w:rFonts w:ascii="仿宋" w:hAnsi="仿宋" w:eastAsia="仿宋" w:cs="仿宋"/>
          <w:sz w:val="24"/>
        </w:rPr>
        <w:br w:type="page"/>
      </w:r>
    </w:p>
    <w:p>
      <w:pPr>
        <w:adjustRightInd w:val="0"/>
        <w:snapToGrid w:val="0"/>
        <w:spacing w:line="360" w:lineRule="auto"/>
        <w:jc w:val="center"/>
        <w:outlineLvl w:val="0"/>
        <w:rPr>
          <w:rFonts w:ascii="仿宋" w:hAnsi="仿宋" w:eastAsia="仿宋" w:cs="仿宋"/>
          <w:b/>
          <w:bCs/>
          <w:sz w:val="32"/>
          <w:szCs w:val="32"/>
        </w:rPr>
      </w:pPr>
      <w:r>
        <w:rPr>
          <w:rFonts w:hint="eastAsia" w:ascii="仿宋" w:hAnsi="仿宋" w:eastAsia="仿宋" w:cs="仿宋"/>
          <w:b/>
          <w:bCs/>
          <w:sz w:val="32"/>
          <w:szCs w:val="32"/>
        </w:rPr>
        <w:t>第二章  投标须知前附表</w:t>
      </w:r>
      <w:bookmarkEnd w:id="6"/>
      <w:bookmarkEnd w:id="7"/>
    </w:p>
    <w:p>
      <w:pPr>
        <w:adjustRightInd w:val="0"/>
        <w:snapToGrid w:val="0"/>
        <w:spacing w:line="360" w:lineRule="auto"/>
        <w:ind w:right="-313" w:rightChars="-149"/>
        <w:jc w:val="center"/>
        <w:rPr>
          <w:rFonts w:ascii="仿宋" w:hAnsi="仿宋" w:eastAsia="仿宋" w:cs="仿宋"/>
          <w:sz w:val="24"/>
        </w:rPr>
      </w:pPr>
      <w:r>
        <w:rPr>
          <w:rFonts w:hint="eastAsia" w:ascii="仿宋" w:hAnsi="仿宋" w:eastAsia="仿宋" w:cs="仿宋"/>
          <w:sz w:val="24"/>
        </w:rPr>
        <w:t>本表是本招标项目的具体资料，是对投标人须知的具体补充和修改，如有矛盾，应以本前附表为准。</w:t>
      </w:r>
    </w:p>
    <w:tbl>
      <w:tblPr>
        <w:tblStyle w:val="28"/>
        <w:tblW w:w="852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3"/>
        <w:gridCol w:w="766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5" w:hRule="atLeast"/>
          <w:jc w:val="center"/>
        </w:trPr>
        <w:tc>
          <w:tcPr>
            <w:tcW w:w="853" w:type="dxa"/>
            <w:tcBorders>
              <w:tl2br w:val="nil"/>
              <w:tr2bl w:val="nil"/>
            </w:tcBorders>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b/>
                <w:bCs/>
                <w:color w:val="000000"/>
                <w:kern w:val="0"/>
                <w:sz w:val="24"/>
              </w:rPr>
            </w:pPr>
            <w:r>
              <w:rPr>
                <w:rFonts w:hint="eastAsia" w:ascii="仿宋" w:hAnsi="仿宋" w:eastAsia="仿宋" w:cs="仿宋"/>
                <w:b/>
                <w:bCs/>
                <w:color w:val="000000"/>
                <w:kern w:val="0"/>
                <w:sz w:val="24"/>
              </w:rPr>
              <w:t>条款号</w:t>
            </w:r>
          </w:p>
        </w:tc>
        <w:tc>
          <w:tcPr>
            <w:tcW w:w="7669" w:type="dxa"/>
            <w:tcBorders>
              <w:tl2br w:val="nil"/>
              <w:tr2bl w:val="nil"/>
            </w:tcBorders>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b/>
                <w:bCs/>
                <w:color w:val="000000"/>
                <w:kern w:val="0"/>
                <w:sz w:val="24"/>
              </w:rPr>
            </w:pPr>
            <w:r>
              <w:rPr>
                <w:rFonts w:hint="eastAsia" w:ascii="仿宋" w:hAnsi="仿宋" w:eastAsia="仿宋" w:cs="仿宋"/>
                <w:b/>
                <w:bCs/>
                <w:color w:val="000000"/>
                <w:kern w:val="0"/>
                <w:sz w:val="24"/>
              </w:rPr>
              <w:t>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1.1</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采购人：</w:t>
            </w:r>
            <w:r>
              <w:rPr>
                <w:rFonts w:hint="eastAsia" w:ascii="仿宋" w:hAnsi="仿宋" w:eastAsia="仿宋"/>
                <w:sz w:val="24"/>
              </w:rPr>
              <w:t>新疆大学</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地  址：</w:t>
            </w:r>
            <w:r>
              <w:rPr>
                <w:rFonts w:hint="eastAsia" w:ascii="仿宋" w:hAnsi="仿宋" w:eastAsia="仿宋"/>
                <w:sz w:val="24"/>
              </w:rPr>
              <w:t>乌鲁木齐市胜利路666号</w:t>
            </w:r>
          </w:p>
          <w:p>
            <w:pPr>
              <w:keepNext w:val="0"/>
              <w:keepLines w:val="0"/>
              <w:suppressLineNumbers w:val="0"/>
              <w:spacing w:before="0" w:beforeAutospacing="0" w:after="0" w:afterAutospacing="0" w:line="440" w:lineRule="exact"/>
              <w:ind w:left="0" w:right="0"/>
              <w:rPr>
                <w:rFonts w:hint="default" w:ascii="仿宋" w:hAnsi="仿宋" w:eastAsia="仿宋"/>
                <w:sz w:val="24"/>
              </w:rPr>
            </w:pPr>
            <w:r>
              <w:rPr>
                <w:rFonts w:hint="eastAsia" w:ascii="仿宋" w:hAnsi="仿宋" w:eastAsia="仿宋"/>
                <w:sz w:val="24"/>
              </w:rPr>
              <w:t>联系人：</w:t>
            </w:r>
            <w:r>
              <w:rPr>
                <w:rFonts w:hint="eastAsia" w:ascii="仿宋" w:hAnsi="仿宋" w:eastAsia="仿宋"/>
                <w:kern w:val="0"/>
                <w:sz w:val="24"/>
                <w:lang w:eastAsia="zh-CN"/>
              </w:rPr>
              <w:t>刘老师</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sz w:val="24"/>
              </w:rPr>
              <w:t>联系方式：</w:t>
            </w:r>
            <w:r>
              <w:rPr>
                <w:rFonts w:hint="eastAsia" w:ascii="仿宋" w:hAnsi="仿宋" w:eastAsia="仿宋"/>
                <w:kern w:val="0"/>
                <w:sz w:val="24"/>
              </w:rPr>
              <w:t>0991-8580035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67"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1.2</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采购代理机构：</w:t>
            </w:r>
            <w:r>
              <w:rPr>
                <w:rFonts w:hint="eastAsia" w:ascii="仿宋" w:hAnsi="仿宋" w:eastAsia="仿宋"/>
                <w:sz w:val="24"/>
              </w:rPr>
              <w:t>新疆新世纪招标有限公司</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地址：</w:t>
            </w:r>
            <w:r>
              <w:rPr>
                <w:rFonts w:hint="eastAsia" w:ascii="仿宋" w:hAnsi="仿宋" w:eastAsia="仿宋"/>
                <w:sz w:val="24"/>
              </w:rPr>
              <w:t>乌鲁木齐市水磨沟区新兴街20号凤凰科技大厦5楼</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sz w:val="24"/>
              </w:rPr>
            </w:pPr>
            <w:r>
              <w:rPr>
                <w:rFonts w:hint="eastAsia" w:ascii="仿宋" w:hAnsi="仿宋" w:eastAsia="仿宋" w:cs="仿宋"/>
                <w:color w:val="000000"/>
                <w:kern w:val="0"/>
                <w:sz w:val="24"/>
              </w:rPr>
              <w:t>项目联系人：</w:t>
            </w:r>
            <w:r>
              <w:rPr>
                <w:rFonts w:hint="default" w:ascii="仿宋" w:hAnsi="仿宋" w:eastAsia="仿宋"/>
                <w:kern w:val="0"/>
                <w:sz w:val="24"/>
              </w:rPr>
              <w:t>周志伟、宋金龙</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电话：</w:t>
            </w:r>
            <w:r>
              <w:rPr>
                <w:rFonts w:hint="default" w:ascii="仿宋" w:hAnsi="仿宋" w:eastAsia="仿宋"/>
                <w:sz w:val="24"/>
              </w:rPr>
              <w:t>18799185025</w:t>
            </w:r>
            <w:r>
              <w:rPr>
                <w:rFonts w:hint="eastAsia" w:ascii="仿宋" w:hAnsi="仿宋" w:eastAsia="仿宋"/>
                <w:sz w:val="24"/>
              </w:rPr>
              <w:t>、13109969229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4" w:hRule="atLeast"/>
          <w:jc w:val="center"/>
        </w:trPr>
        <w:tc>
          <w:tcPr>
            <w:tcW w:w="853" w:type="dxa"/>
            <w:tcBorders>
              <w:bottom w:val="single" w:color="auto" w:sz="4" w:space="0"/>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1.3.4 </w:t>
            </w:r>
          </w:p>
        </w:tc>
        <w:tc>
          <w:tcPr>
            <w:tcW w:w="7669" w:type="dxa"/>
            <w:tcBorders>
              <w:bottom w:val="single" w:color="auto" w:sz="4" w:space="0"/>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合格投标人的其他资格要求：无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5" w:hRule="atLeast"/>
          <w:jc w:val="center"/>
        </w:trPr>
        <w:tc>
          <w:tcPr>
            <w:tcW w:w="853" w:type="dxa"/>
            <w:tcBorders>
              <w:top w:val="single" w:color="auto" w:sz="4" w:space="0"/>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1.4 </w:t>
            </w:r>
          </w:p>
        </w:tc>
        <w:tc>
          <w:tcPr>
            <w:tcW w:w="7669" w:type="dxa"/>
            <w:tcBorders>
              <w:top w:val="single" w:color="auto" w:sz="4" w:space="0"/>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是否允许采购进口产品：允许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1.5.1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所属行业：工业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1.5.2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是否为专门面向中小企业采购：否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28"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kern w:val="0"/>
                <w:sz w:val="24"/>
              </w:rPr>
            </w:pPr>
            <w:r>
              <w:rPr>
                <w:rFonts w:hint="eastAsia" w:ascii="仿宋" w:hAnsi="仿宋" w:eastAsia="仿宋" w:cs="仿宋"/>
                <w:kern w:val="0"/>
                <w:sz w:val="24"/>
              </w:rPr>
              <w:t xml:space="preserve">1.5.3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b/>
                <w:bCs/>
                <w:kern w:val="0"/>
                <w:sz w:val="24"/>
              </w:rPr>
            </w:pPr>
            <w:r>
              <w:rPr>
                <w:rFonts w:hint="eastAsia" w:ascii="仿宋" w:hAnsi="仿宋" w:eastAsia="仿宋" w:cs="仿宋"/>
                <w:kern w:val="0"/>
                <w:sz w:val="24"/>
              </w:rPr>
              <w:t>①是否为本项目面向中小企业采购预留份额：</w:t>
            </w:r>
            <w:r>
              <w:rPr>
                <w:rFonts w:hint="eastAsia" w:ascii="仿宋" w:hAnsi="仿宋" w:eastAsia="仿宋" w:cs="仿宋"/>
                <w:b/>
                <w:bCs/>
                <w:kern w:val="0"/>
                <w:sz w:val="24"/>
              </w:rPr>
              <w:t>否</w:t>
            </w:r>
          </w:p>
          <w:p>
            <w:pPr>
              <w:pStyle w:val="20"/>
              <w:keepNext w:val="0"/>
              <w:keepLines w:val="0"/>
              <w:suppressLineNumbers w:val="0"/>
              <w:spacing w:before="0" w:beforeAutospacing="0" w:after="0" w:afterAutospacing="0"/>
              <w:ind w:left="0" w:right="0"/>
              <w:rPr>
                <w:rFonts w:hint="default"/>
              </w:rPr>
            </w:pPr>
            <w:r>
              <w:rPr>
                <w:rFonts w:hint="eastAsia" w:ascii="仿宋" w:hAnsi="仿宋" w:eastAsia="仿宋" w:cs="仿宋"/>
                <w:kern w:val="0"/>
                <w:sz w:val="24"/>
                <w:szCs w:val="24"/>
              </w:rPr>
              <w:t>②根据《政府采购促进中小企业发展管理办法》财库〔2020〕46号、《财政部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六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1.6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1.6.8 </w:t>
            </w:r>
          </w:p>
        </w:tc>
        <w:tc>
          <w:tcPr>
            <w:tcW w:w="7669" w:type="dxa"/>
            <w:tcBorders>
              <w:tl2br w:val="nil"/>
              <w:tr2bl w:val="nil"/>
            </w:tcBorders>
            <w:vAlign w:val="center"/>
          </w:tcPr>
          <w:p>
            <w:pPr>
              <w:keepNext w:val="0"/>
              <w:keepLines w:val="0"/>
              <w:widowControl/>
              <w:suppressLineNumbers w:val="0"/>
              <w:spacing w:before="0" w:beforeAutospacing="0" w:after="0" w:afterAutospacing="0" w:line="276" w:lineRule="auto"/>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2.2 </w:t>
            </w:r>
          </w:p>
        </w:tc>
        <w:tc>
          <w:tcPr>
            <w:tcW w:w="7669" w:type="dxa"/>
            <w:tcBorders>
              <w:tl2br w:val="nil"/>
              <w:tr2bl w:val="nil"/>
            </w:tcBorders>
            <w:vAlign w:val="center"/>
          </w:tcPr>
          <w:p>
            <w:pPr>
              <w:keepNext w:val="0"/>
              <w:keepLines w:val="0"/>
              <w:widowControl/>
              <w:suppressLineNumbers w:val="0"/>
              <w:spacing w:before="0" w:beforeAutospacing="0" w:after="0" w:afterAutospacing="0" w:line="276" w:lineRule="auto"/>
              <w:ind w:left="0" w:right="0"/>
              <w:jc w:val="left"/>
              <w:rPr>
                <w:rFonts w:hint="eastAsia" w:ascii="仿宋" w:hAnsi="仿宋" w:eastAsia="仿宋" w:cs="仿宋"/>
                <w:color w:val="000000"/>
                <w:kern w:val="0"/>
                <w:sz w:val="24"/>
                <w:lang w:eastAsia="zh-CN"/>
              </w:rPr>
            </w:pPr>
            <w:r>
              <w:rPr>
                <w:rFonts w:hint="eastAsia" w:ascii="仿宋" w:hAnsi="仿宋" w:eastAsia="仿宋" w:cs="仿宋"/>
                <w:color w:val="000000"/>
                <w:kern w:val="0"/>
                <w:sz w:val="24"/>
              </w:rPr>
              <w:t>项目预算金额：</w:t>
            </w:r>
            <w:r>
              <w:rPr>
                <w:rFonts w:hint="eastAsia" w:ascii="仿宋" w:hAnsi="仿宋" w:eastAsia="仿宋"/>
                <w:kern w:val="0"/>
                <w:sz w:val="24"/>
                <w:lang w:val="en-US" w:eastAsia="zh-CN"/>
              </w:rPr>
              <w:t>5360000</w:t>
            </w:r>
            <w:r>
              <w:rPr>
                <w:rFonts w:hint="eastAsia" w:ascii="仿宋" w:hAnsi="仿宋" w:eastAsia="仿宋" w:cs="仿宋"/>
                <w:color w:val="000000"/>
                <w:kern w:val="0"/>
                <w:sz w:val="24"/>
              </w:rPr>
              <w:t>元</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(标项一:</w:t>
            </w:r>
            <w:r>
              <w:rPr>
                <w:rFonts w:hint="eastAsia" w:ascii="仿宋" w:hAnsi="仿宋" w:eastAsia="仿宋"/>
                <w:kern w:val="0"/>
                <w:sz w:val="24"/>
                <w:lang w:val="en-US" w:eastAsia="zh-CN"/>
              </w:rPr>
              <w:t>1960000</w:t>
            </w:r>
            <w:r>
              <w:rPr>
                <w:rFonts w:hint="eastAsia" w:ascii="仿宋" w:hAnsi="仿宋" w:eastAsia="仿宋" w:cs="仿宋"/>
                <w:color w:val="000000"/>
                <w:kern w:val="0"/>
                <w:sz w:val="24"/>
              </w:rPr>
              <w:t>元、标项二:</w:t>
            </w:r>
            <w:r>
              <w:rPr>
                <w:rFonts w:hint="eastAsia" w:ascii="仿宋" w:hAnsi="仿宋" w:eastAsia="仿宋"/>
                <w:kern w:val="0"/>
                <w:sz w:val="24"/>
                <w:lang w:val="en-US" w:eastAsia="zh-CN"/>
              </w:rPr>
              <w:t>2470000</w:t>
            </w:r>
            <w:r>
              <w:rPr>
                <w:rFonts w:hint="eastAsia" w:ascii="仿宋" w:hAnsi="仿宋" w:eastAsia="仿宋" w:cs="仿宋"/>
                <w:color w:val="000000"/>
                <w:kern w:val="0"/>
                <w:sz w:val="24"/>
              </w:rPr>
              <w:t>元、标项</w:t>
            </w:r>
            <w:r>
              <w:rPr>
                <w:rFonts w:hint="eastAsia" w:ascii="仿宋" w:hAnsi="仿宋" w:eastAsia="仿宋" w:cs="仿宋"/>
                <w:color w:val="000000"/>
                <w:kern w:val="0"/>
                <w:sz w:val="24"/>
                <w:lang w:val="en-US" w:eastAsia="zh-CN"/>
              </w:rPr>
              <w:t>三</w:t>
            </w:r>
            <w:r>
              <w:rPr>
                <w:rFonts w:hint="eastAsia" w:ascii="仿宋" w:hAnsi="仿宋" w:eastAsia="仿宋" w:cs="仿宋"/>
                <w:color w:val="000000"/>
                <w:kern w:val="0"/>
                <w:sz w:val="24"/>
              </w:rPr>
              <w:t>:</w:t>
            </w:r>
            <w:r>
              <w:rPr>
                <w:rFonts w:hint="eastAsia" w:ascii="仿宋" w:hAnsi="仿宋" w:eastAsia="仿宋"/>
                <w:kern w:val="0"/>
                <w:sz w:val="24"/>
                <w:lang w:val="en-US" w:eastAsia="zh-CN"/>
              </w:rPr>
              <w:t>930000</w:t>
            </w:r>
            <w:r>
              <w:rPr>
                <w:rFonts w:hint="eastAsia" w:ascii="仿宋" w:hAnsi="仿宋" w:eastAsia="仿宋" w:cs="仿宋"/>
                <w:color w:val="000000"/>
                <w:kern w:val="0"/>
                <w:sz w:val="24"/>
              </w:rPr>
              <w:t>元)</w:t>
            </w:r>
          </w:p>
          <w:p>
            <w:pPr>
              <w:keepNext w:val="0"/>
              <w:keepLines w:val="0"/>
              <w:widowControl/>
              <w:suppressLineNumbers w:val="0"/>
              <w:spacing w:before="0" w:beforeAutospacing="0" w:after="0" w:afterAutospacing="0" w:line="276" w:lineRule="auto"/>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最高限价：</w:t>
            </w:r>
            <w:r>
              <w:rPr>
                <w:rFonts w:hint="eastAsia" w:ascii="仿宋" w:hAnsi="仿宋" w:eastAsia="仿宋"/>
                <w:kern w:val="0"/>
                <w:sz w:val="24"/>
                <w:lang w:val="en-US" w:eastAsia="zh-CN"/>
              </w:rPr>
              <w:t>5360000</w:t>
            </w:r>
            <w:r>
              <w:rPr>
                <w:rFonts w:hint="eastAsia" w:ascii="仿宋" w:hAnsi="仿宋" w:eastAsia="仿宋" w:cs="仿宋"/>
                <w:color w:val="000000"/>
                <w:kern w:val="0"/>
                <w:sz w:val="24"/>
              </w:rPr>
              <w:t>元</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(标项一:</w:t>
            </w:r>
            <w:r>
              <w:rPr>
                <w:rFonts w:hint="eastAsia" w:ascii="仿宋" w:hAnsi="仿宋" w:eastAsia="仿宋"/>
                <w:kern w:val="0"/>
                <w:sz w:val="24"/>
                <w:lang w:val="en-US" w:eastAsia="zh-CN"/>
              </w:rPr>
              <w:t>1960000</w:t>
            </w:r>
            <w:r>
              <w:rPr>
                <w:rFonts w:hint="eastAsia" w:ascii="仿宋" w:hAnsi="仿宋" w:eastAsia="仿宋" w:cs="仿宋"/>
                <w:color w:val="000000"/>
                <w:kern w:val="0"/>
                <w:sz w:val="24"/>
              </w:rPr>
              <w:t>元、标项二:</w:t>
            </w:r>
            <w:r>
              <w:rPr>
                <w:rFonts w:hint="eastAsia" w:ascii="仿宋" w:hAnsi="仿宋" w:eastAsia="仿宋"/>
                <w:kern w:val="0"/>
                <w:sz w:val="24"/>
                <w:lang w:val="en-US" w:eastAsia="zh-CN"/>
              </w:rPr>
              <w:t>2470000</w:t>
            </w:r>
            <w:r>
              <w:rPr>
                <w:rFonts w:hint="eastAsia" w:ascii="仿宋" w:hAnsi="仿宋" w:eastAsia="仿宋" w:cs="仿宋"/>
                <w:color w:val="000000"/>
                <w:kern w:val="0"/>
                <w:sz w:val="24"/>
              </w:rPr>
              <w:t>元、标项</w:t>
            </w:r>
            <w:r>
              <w:rPr>
                <w:rFonts w:hint="eastAsia" w:ascii="仿宋" w:hAnsi="仿宋" w:eastAsia="仿宋" w:cs="仿宋"/>
                <w:color w:val="000000"/>
                <w:kern w:val="0"/>
                <w:sz w:val="24"/>
                <w:lang w:val="en-US" w:eastAsia="zh-CN"/>
              </w:rPr>
              <w:t>三</w:t>
            </w:r>
            <w:r>
              <w:rPr>
                <w:rFonts w:hint="eastAsia" w:ascii="仿宋" w:hAnsi="仿宋" w:eastAsia="仿宋" w:cs="仿宋"/>
                <w:color w:val="000000"/>
                <w:kern w:val="0"/>
                <w:sz w:val="24"/>
              </w:rPr>
              <w:t>:</w:t>
            </w:r>
            <w:r>
              <w:rPr>
                <w:rFonts w:hint="eastAsia" w:ascii="仿宋" w:hAnsi="仿宋" w:eastAsia="仿宋"/>
                <w:kern w:val="0"/>
                <w:sz w:val="24"/>
                <w:lang w:val="en-US" w:eastAsia="zh-CN"/>
              </w:rPr>
              <w:t>930000</w:t>
            </w:r>
            <w:r>
              <w:rPr>
                <w:rFonts w:hint="eastAsia" w:ascii="仿宋" w:hAnsi="仿宋" w:eastAsia="仿宋" w:cs="仿宋"/>
                <w:color w:val="000000"/>
                <w:kern w:val="0"/>
                <w:sz w:val="24"/>
              </w:rPr>
              <w:t>元)</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b/>
                <w:bCs/>
                <w:sz w:val="24"/>
              </w:rPr>
            </w:pPr>
            <w:r>
              <w:rPr>
                <w:rFonts w:hint="eastAsia" w:ascii="仿宋" w:hAnsi="仿宋" w:eastAsia="仿宋"/>
                <w:b/>
                <w:sz w:val="24"/>
              </w:rPr>
              <w:t>注：</w:t>
            </w:r>
            <w:r>
              <w:rPr>
                <w:rFonts w:hint="eastAsia" w:ascii="仿宋" w:hAnsi="仿宋" w:eastAsia="仿宋"/>
                <w:b/>
                <w:bCs/>
                <w:sz w:val="24"/>
              </w:rPr>
              <w:t>投标人投标报价不得高于最高限价，高于最高限价作废标处理。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5.4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是否组织现场考察或者召开答疑会：</w:t>
            </w:r>
            <w:r>
              <w:rPr>
                <w:rFonts w:hint="eastAsia" w:ascii="仿宋" w:hAnsi="仿宋" w:eastAsia="仿宋" w:cs="仿宋"/>
                <w:b/>
                <w:bCs/>
                <w:color w:val="000000"/>
                <w:kern w:val="0"/>
                <w:sz w:val="24"/>
              </w:rPr>
              <w:t>否</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组织现场考察或者召开答疑会相关要求：</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 xml:space="preserve"> </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□将在招标文件提供期限截止后以书面形式通知所有获取招标文件的潜在投标人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5"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5.5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是否需要提供样品：</w:t>
            </w:r>
            <w:r>
              <w:rPr>
                <w:rFonts w:hint="eastAsia" w:ascii="仿宋" w:hAnsi="仿宋" w:eastAsia="仿宋" w:cs="仿宋"/>
                <w:b/>
                <w:bCs/>
                <w:color w:val="000000"/>
                <w:kern w:val="0"/>
                <w:sz w:val="24"/>
              </w:rPr>
              <w:t>否</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8.1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如投标人对多个包进行投标，可以中标</w:t>
            </w:r>
            <w:r>
              <w:rPr>
                <w:rFonts w:hint="eastAsia" w:ascii="仿宋" w:hAnsi="仿宋" w:eastAsia="仿宋" w:cs="仿宋"/>
                <w:b/>
                <w:bCs/>
                <w:color w:val="000000"/>
                <w:kern w:val="0"/>
                <w:sz w:val="24"/>
                <w:u w:val="single"/>
              </w:rPr>
              <w:t>多</w:t>
            </w:r>
            <w:r>
              <w:rPr>
                <w:rFonts w:hint="eastAsia" w:ascii="仿宋" w:hAnsi="仿宋" w:eastAsia="仿宋" w:cs="仿宋"/>
                <w:color w:val="000000"/>
                <w:kern w:val="0"/>
                <w:sz w:val="24"/>
              </w:rPr>
              <w:t>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9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12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 xml:space="preserve">保证金形式：电汇或银行转账 </w:t>
            </w:r>
          </w:p>
          <w:p>
            <w:pPr>
              <w:keepNext w:val="0"/>
              <w:keepLines w:val="0"/>
              <w:widowControl/>
              <w:suppressLineNumbers w:val="0"/>
              <w:adjustRightInd w:val="0"/>
              <w:snapToGrid w:val="0"/>
              <w:spacing w:before="0" w:beforeAutospacing="0" w:after="0" w:afterAutospacing="0" w:line="440" w:lineRule="exact"/>
              <w:ind w:left="0" w:right="0"/>
              <w:rPr>
                <w:rFonts w:hint="eastAsia" w:ascii="仿宋" w:hAnsi="仿宋" w:eastAsia="仿宋" w:cs="仿宋"/>
                <w:color w:val="000000"/>
                <w:kern w:val="0"/>
                <w:sz w:val="24"/>
                <w:lang w:eastAsia="zh-CN"/>
              </w:rPr>
            </w:pPr>
            <w:r>
              <w:rPr>
                <w:rFonts w:hint="eastAsia" w:ascii="仿宋" w:hAnsi="仿宋" w:eastAsia="仿宋" w:cs="仿宋"/>
                <w:color w:val="000000"/>
                <w:kern w:val="0"/>
                <w:sz w:val="24"/>
              </w:rPr>
              <w:t>保证金数额：(标项一:</w:t>
            </w:r>
            <w:r>
              <w:rPr>
                <w:rFonts w:hint="eastAsia" w:ascii="仿宋" w:hAnsi="仿宋" w:eastAsia="仿宋" w:cs="仿宋"/>
                <w:color w:val="000000"/>
                <w:kern w:val="0"/>
                <w:sz w:val="24"/>
                <w:lang w:val="en-US" w:eastAsia="zh-CN"/>
              </w:rPr>
              <w:t>19600</w:t>
            </w:r>
            <w:r>
              <w:rPr>
                <w:rFonts w:hint="eastAsia" w:ascii="仿宋" w:hAnsi="仿宋" w:eastAsia="仿宋" w:cs="仿宋"/>
                <w:color w:val="000000"/>
                <w:kern w:val="0"/>
                <w:sz w:val="24"/>
              </w:rPr>
              <w:t>元</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标项</w:t>
            </w:r>
            <w:r>
              <w:rPr>
                <w:rFonts w:hint="eastAsia" w:ascii="仿宋" w:hAnsi="仿宋" w:eastAsia="仿宋" w:cs="仿宋"/>
                <w:color w:val="000000"/>
                <w:kern w:val="0"/>
                <w:sz w:val="24"/>
                <w:lang w:val="en-US" w:eastAsia="zh-CN"/>
              </w:rPr>
              <w:t>二：24700元</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标项</w:t>
            </w:r>
            <w:r>
              <w:rPr>
                <w:rFonts w:hint="eastAsia" w:ascii="仿宋" w:hAnsi="仿宋" w:eastAsia="仿宋" w:cs="仿宋"/>
                <w:color w:val="000000"/>
                <w:kern w:val="0"/>
                <w:sz w:val="24"/>
                <w:lang w:val="en-US" w:eastAsia="zh-CN"/>
              </w:rPr>
              <w:t>三：9300元</w:t>
            </w:r>
            <w:r>
              <w:rPr>
                <w:rFonts w:hint="eastAsia" w:ascii="仿宋" w:hAnsi="仿宋" w:eastAsia="仿宋" w:cs="仿宋"/>
                <w:color w:val="000000"/>
                <w:kern w:val="0"/>
                <w:sz w:val="24"/>
                <w:lang w:eastAsia="zh-CN"/>
              </w:rPr>
              <w:t>）</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采购代理机构名称：新疆新世纪招标有限公司</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纳税人识别号：91650100726988855F</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开户行：中国农业银行乌鲁木齐新民西街支行</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账号：30014701040000595</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以电汇或银行转账形式缴纳保证金的投标人注意事项：</w:t>
            </w:r>
          </w:p>
          <w:p>
            <w:pPr>
              <w:keepNext w:val="0"/>
              <w:keepLines w:val="0"/>
              <w:suppressLineNumbers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特别提示：无论以任何形式递交保证金，都必须从投标人基本户支出，且在投标文件提交截止时间前到达我公司账户，以我公司到账信息为准，不用开收据，若在投标截止时间前未查到账，将视为不响应招标文件。在汇款附言（或银行摘要）中，标明项目编号。</w:t>
            </w:r>
          </w:p>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default" w:ascii="仿宋" w:hAnsi="仿宋" w:eastAsia="仿宋" w:cs="仿宋"/>
                <w:color w:val="000000"/>
                <w:kern w:val="0"/>
                <w:sz w:val="24"/>
              </w:rPr>
              <w:t>投标保证金</w:t>
            </w:r>
            <w:r>
              <w:rPr>
                <w:rFonts w:hint="eastAsia" w:ascii="仿宋" w:hAnsi="仿宋" w:eastAsia="仿宋" w:cs="仿宋"/>
                <w:color w:val="000000"/>
                <w:kern w:val="0"/>
                <w:sz w:val="24"/>
              </w:rPr>
              <w:t>有效期同响应有效期</w:t>
            </w:r>
            <w:r>
              <w:rPr>
                <w:rFonts w:hint="default" w:ascii="仿宋" w:hAnsi="仿宋" w:eastAsia="仿宋" w:cs="仿宋"/>
                <w:color w:val="000000"/>
                <w:kern w:val="0"/>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13.1</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 xml:space="preserve">投标有效期：90日历日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14.1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投标文件：加密的电子响应文件（.jmbs格式）应在投标文件递交截止时间前通过政采云平台上传完成。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kern w:val="0"/>
                <w:sz w:val="24"/>
              </w:rPr>
            </w:pPr>
            <w:r>
              <w:rPr>
                <w:rFonts w:hint="eastAsia" w:ascii="仿宋" w:hAnsi="仿宋" w:eastAsia="仿宋" w:cs="仿宋"/>
                <w:kern w:val="0"/>
                <w:sz w:val="24"/>
              </w:rPr>
              <w:t>16.1</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kern w:val="0"/>
                <w:sz w:val="24"/>
              </w:rPr>
            </w:pPr>
            <w:r>
              <w:rPr>
                <w:rFonts w:hint="eastAsia" w:ascii="仿宋" w:hAnsi="仿宋" w:eastAsia="仿宋" w:cs="仿宋"/>
                <w:kern w:val="0"/>
                <w:sz w:val="24"/>
              </w:rPr>
              <w:t>投标截止时间：</w:t>
            </w:r>
            <w:r>
              <w:rPr>
                <w:rFonts w:hint="eastAsia" w:ascii="仿宋" w:hAnsi="仿宋" w:eastAsia="仿宋"/>
                <w:color w:val="FF0000"/>
                <w:sz w:val="24"/>
              </w:rPr>
              <w:t>20</w:t>
            </w:r>
            <w:r>
              <w:rPr>
                <w:rFonts w:hint="default" w:ascii="仿宋" w:hAnsi="仿宋" w:eastAsia="仿宋"/>
                <w:color w:val="FF0000"/>
                <w:sz w:val="24"/>
              </w:rPr>
              <w:t>2</w:t>
            </w:r>
            <w:r>
              <w:rPr>
                <w:rFonts w:hint="eastAsia" w:ascii="仿宋" w:hAnsi="仿宋" w:eastAsia="仿宋"/>
                <w:color w:val="FF0000"/>
                <w:sz w:val="24"/>
                <w:lang w:val="en-US" w:eastAsia="zh-CN"/>
              </w:rPr>
              <w:t>4</w:t>
            </w:r>
            <w:r>
              <w:rPr>
                <w:rFonts w:hint="eastAsia" w:ascii="仿宋" w:hAnsi="仿宋" w:eastAsia="仿宋"/>
                <w:color w:val="FF0000"/>
                <w:sz w:val="24"/>
              </w:rPr>
              <w:t>年</w:t>
            </w:r>
            <w:r>
              <w:rPr>
                <w:rFonts w:hint="eastAsia" w:ascii="仿宋" w:hAnsi="仿宋" w:eastAsia="仿宋"/>
                <w:color w:val="FF0000"/>
                <w:sz w:val="24"/>
                <w:lang w:val="en-US" w:eastAsia="zh-CN"/>
              </w:rPr>
              <w:t>03</w:t>
            </w:r>
            <w:r>
              <w:rPr>
                <w:rFonts w:hint="eastAsia" w:ascii="仿宋" w:hAnsi="仿宋" w:eastAsia="仿宋"/>
                <w:color w:val="FF0000"/>
                <w:sz w:val="24"/>
              </w:rPr>
              <w:t>月</w:t>
            </w:r>
            <w:r>
              <w:rPr>
                <w:rFonts w:hint="eastAsia" w:ascii="仿宋" w:hAnsi="仿宋" w:eastAsia="仿宋"/>
                <w:color w:val="FF0000"/>
                <w:sz w:val="24"/>
                <w:lang w:val="en-US" w:eastAsia="zh-CN"/>
              </w:rPr>
              <w:t>27</w:t>
            </w:r>
            <w:r>
              <w:rPr>
                <w:rFonts w:hint="default" w:ascii="仿宋" w:hAnsi="仿宋" w:eastAsia="仿宋"/>
                <w:color w:val="FF0000"/>
                <w:sz w:val="24"/>
              </w:rPr>
              <w:t>日</w:t>
            </w:r>
            <w:r>
              <w:rPr>
                <w:rFonts w:hint="eastAsia" w:ascii="仿宋" w:hAnsi="仿宋" w:eastAsia="仿宋"/>
                <w:color w:val="FF0000"/>
                <w:sz w:val="24"/>
              </w:rPr>
              <w:t>1</w:t>
            </w:r>
            <w:r>
              <w:rPr>
                <w:rFonts w:hint="default" w:ascii="仿宋" w:hAnsi="仿宋" w:eastAsia="仿宋"/>
                <w:color w:val="FF0000"/>
                <w:sz w:val="24"/>
              </w:rPr>
              <w:t>1</w:t>
            </w:r>
            <w:r>
              <w:rPr>
                <w:rFonts w:hint="eastAsia" w:ascii="仿宋" w:hAnsi="仿宋" w:eastAsia="仿宋"/>
                <w:color w:val="FF0000"/>
                <w:sz w:val="24"/>
              </w:rPr>
              <w:t>时00分</w:t>
            </w:r>
            <w:r>
              <w:rPr>
                <w:rFonts w:hint="eastAsia" w:ascii="仿宋" w:hAnsi="仿宋" w:eastAsia="仿宋" w:cs="仿宋"/>
                <w:color w:val="FF0000"/>
                <w:kern w:val="0"/>
                <w:sz w:val="24"/>
              </w:rPr>
              <w:t>（北京时间）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18.1 </w:t>
            </w:r>
          </w:p>
        </w:tc>
        <w:tc>
          <w:tcPr>
            <w:tcW w:w="7669" w:type="dxa"/>
            <w:tcBorders>
              <w:tl2br w:val="nil"/>
              <w:tr2bl w:val="nil"/>
            </w:tcBorders>
          </w:tcPr>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 xml:space="preserve">开标时间：同投标截止时间 </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开标地点：政采云平台https://www.zcygov.cn/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9" w:hRule="atLeast"/>
          <w:jc w:val="center"/>
        </w:trPr>
        <w:tc>
          <w:tcPr>
            <w:tcW w:w="853" w:type="dxa"/>
            <w:tcBorders>
              <w:bottom w:val="single" w:color="auto" w:sz="4" w:space="0"/>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19.2 </w:t>
            </w:r>
          </w:p>
        </w:tc>
        <w:tc>
          <w:tcPr>
            <w:tcW w:w="7669" w:type="dxa"/>
            <w:tcBorders>
              <w:bottom w:val="single" w:color="auto" w:sz="4" w:space="0"/>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信用查询时间: 递交投标截止时间前一天至资格核对工作结束前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23.2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评标方法：综合评分法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23.4</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left"/>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核心产品：</w:t>
            </w:r>
          </w:p>
          <w:p>
            <w:pPr>
              <w:keepNext w:val="0"/>
              <w:keepLines w:val="0"/>
              <w:widowControl/>
              <w:suppressLineNumbers w:val="0"/>
              <w:adjustRightInd w:val="0"/>
              <w:snapToGrid w:val="0"/>
              <w:spacing w:before="0" w:beforeAutospacing="0" w:after="0" w:afterAutospacing="0" w:line="440" w:lineRule="exact"/>
              <w:ind w:left="0" w:right="0"/>
              <w:jc w:val="left"/>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标项一：</w:t>
            </w:r>
            <w:r>
              <w:rPr>
                <w:rFonts w:hint="eastAsia" w:ascii="仿宋" w:hAnsi="仿宋" w:eastAsia="仿宋" w:cs="仿宋"/>
                <w:color w:val="000000"/>
                <w:sz w:val="24"/>
                <w:szCs w:val="24"/>
              </w:rPr>
              <w:t>气相色谱三重四级杆串联质谱仪</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rPr>
            </w:pPr>
            <w:r>
              <w:rPr>
                <w:rFonts w:hint="eastAsia" w:ascii="仿宋" w:hAnsi="仿宋" w:eastAsia="仿宋" w:cs="仿宋"/>
                <w:color w:val="000000"/>
                <w:kern w:val="0"/>
                <w:sz w:val="24"/>
                <w:lang w:val="en-US" w:eastAsia="zh-CN"/>
              </w:rPr>
              <w:t>标项二：原位红外测量系统</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eastAsia="宋体"/>
                <w:lang w:val="en-US" w:eastAsia="zh-CN"/>
              </w:rPr>
            </w:pPr>
            <w:r>
              <w:rPr>
                <w:rFonts w:hint="eastAsia" w:ascii="仿宋" w:hAnsi="仿宋" w:eastAsia="仿宋" w:cs="仿宋"/>
                <w:color w:val="000000"/>
                <w:kern w:val="0"/>
                <w:sz w:val="24"/>
                <w:lang w:val="en-US" w:eastAsia="zh-CN"/>
              </w:rPr>
              <w:t>标项三：STEM扫描透射附件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27.1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推荐中标候选投标人的数量：3名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27.2 </w:t>
            </w:r>
          </w:p>
        </w:tc>
        <w:tc>
          <w:tcPr>
            <w:tcW w:w="7669"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 xml:space="preserve">招标人是否委托评标委员会直接确定中标人：否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31.1 </w:t>
            </w:r>
          </w:p>
        </w:tc>
        <w:tc>
          <w:tcPr>
            <w:tcW w:w="7669" w:type="dxa"/>
            <w:tcBorders>
              <w:tl2br w:val="nil"/>
              <w:tr2bl w:val="nil"/>
            </w:tcBorders>
          </w:tcPr>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(第一中标供应商收到中标通知书后10日内(签订合同前)向采购人缴纳履约保证金。否则视为自动放弃中标，由第二候选人中标，以此类推。收取履约保证金比例如下:</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货物类服务类：中标价*2％</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履约保证金递交:中标单位收到中标通知书后10日内(签订合同前)向采购人缴纳履约保证金形式:转账</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中标单位未按本文件规定纳履约保证金的，其投标保证金将不予退还。</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履约保证金缴纳账户信息:</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单位名称：新疆大学</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纳税人识别号:12650000457601471G</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地址:新疆乌鲁木齐市天山区胜利路666号</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联系电话:0991-8585360</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开户行:中国农业银行股份有限公司乌鲁木齐胜利路(兵团)支行</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账号:30704301040002348</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行号:103881070432</w:t>
            </w:r>
          </w:p>
          <w:p>
            <w:pPr>
              <w:keepNext w:val="0"/>
              <w:keepLines w:val="0"/>
              <w:suppressLineNumbers w:val="0"/>
              <w:autoSpaceDE w:val="0"/>
              <w:autoSpaceDN w:val="0"/>
              <w:spacing w:before="0" w:beforeAutospacing="0" w:after="0" w:afterAutospacing="0" w:line="46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统一社会信用代码:12650000457601471G</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 xml:space="preserve">32.1 </w:t>
            </w:r>
          </w:p>
        </w:tc>
        <w:tc>
          <w:tcPr>
            <w:tcW w:w="7669" w:type="dxa"/>
            <w:tcBorders>
              <w:tl2br w:val="nil"/>
              <w:tr2bl w:val="nil"/>
            </w:tcBorders>
          </w:tcPr>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是否由中标人缴纳招标代理费：</w:t>
            </w:r>
            <w:r>
              <w:rPr>
                <w:rFonts w:hint="eastAsia" w:ascii="仿宋" w:hAnsi="仿宋" w:eastAsia="仿宋" w:cs="仿宋"/>
                <w:color w:val="000000"/>
                <w:kern w:val="0"/>
                <w:sz w:val="24"/>
                <w:u w:val="single"/>
              </w:rPr>
              <w:t>是</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招标代理费：</w:t>
            </w:r>
            <w:r>
              <w:rPr>
                <w:rFonts w:hint="eastAsia" w:ascii="仿宋" w:hAnsi="仿宋" w:eastAsia="仿宋" w:cs="仿宋"/>
                <w:color w:val="000000"/>
                <w:kern w:val="0"/>
                <w:sz w:val="24"/>
              </w:rPr>
              <w:sym w:font="Wingdings 2" w:char="0052"/>
            </w:r>
            <w:r>
              <w:rPr>
                <w:rFonts w:hint="eastAsia" w:ascii="仿宋" w:hAnsi="仿宋" w:eastAsia="仿宋" w:cs="仿宋"/>
                <w:color w:val="000000"/>
                <w:kern w:val="0"/>
                <w:sz w:val="24"/>
              </w:rPr>
              <w:t xml:space="preserve">发改价格[2011]534号及计价格[2002]1980号文件计算的招标代理服务收费标准下浮45%，代理服务费由中标人支付。  </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 xml:space="preserve">支付形式：转账、电汇等形式 </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支付时间：领取中标通知书的同时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color w:val="000000"/>
                <w:kern w:val="0"/>
                <w:sz w:val="24"/>
              </w:rPr>
            </w:pPr>
            <w:r>
              <w:rPr>
                <w:rFonts w:hint="eastAsia" w:ascii="仿宋" w:hAnsi="仿宋" w:eastAsia="仿宋" w:cs="仿宋"/>
                <w:color w:val="000000"/>
                <w:kern w:val="0"/>
                <w:sz w:val="24"/>
              </w:rPr>
              <w:t>35.2</w:t>
            </w:r>
          </w:p>
        </w:tc>
        <w:tc>
          <w:tcPr>
            <w:tcW w:w="7669" w:type="dxa"/>
            <w:tcBorders>
              <w:tl2br w:val="nil"/>
              <w:tr2bl w:val="nil"/>
            </w:tcBorders>
          </w:tcPr>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t xml:space="preserve">针对同一采购程序环节的质疑次数： </w:t>
            </w:r>
          </w:p>
          <w:p>
            <w:pPr>
              <w:keepNext w:val="0"/>
              <w:keepLines w:val="0"/>
              <w:widowControl/>
              <w:suppressLineNumbers w:val="0"/>
              <w:adjustRightInd w:val="0"/>
              <w:snapToGrid w:val="0"/>
              <w:spacing w:before="0" w:beforeAutospacing="0" w:after="0" w:afterAutospacing="0" w:line="440" w:lineRule="exact"/>
              <w:ind w:left="0" w:right="0"/>
              <w:jc w:val="left"/>
              <w:rPr>
                <w:rFonts w:hint="default" w:ascii="仿宋" w:hAnsi="仿宋" w:eastAsia="仿宋" w:cs="仿宋"/>
                <w:color w:val="000000"/>
                <w:kern w:val="0"/>
                <w:sz w:val="24"/>
              </w:rPr>
            </w:pPr>
            <w:r>
              <w:rPr>
                <w:rFonts w:hint="eastAsia" w:ascii="仿宋" w:hAnsi="仿宋" w:eastAsia="仿宋" w:cs="仿宋"/>
                <w:color w:val="000000"/>
                <w:kern w:val="0"/>
                <w:sz w:val="24"/>
              </w:rPr>
              <w:sym w:font="Wingdings 2" w:char="0052"/>
            </w:r>
            <w:r>
              <w:rPr>
                <w:rFonts w:hint="eastAsia" w:ascii="仿宋" w:hAnsi="仿宋" w:eastAsia="仿宋" w:cs="仿宋"/>
                <w:color w:val="000000"/>
                <w:kern w:val="0"/>
                <w:sz w:val="24"/>
              </w:rPr>
              <w:t xml:space="preserve">一次性提出 </w:t>
            </w:r>
            <w:r>
              <w:rPr>
                <w:rFonts w:hint="eastAsia" w:ascii="仿宋" w:hAnsi="仿宋" w:eastAsia="仿宋" w:cs="仿宋"/>
                <w:color w:val="000000"/>
                <w:kern w:val="0"/>
                <w:sz w:val="24"/>
              </w:rPr>
              <w:sym w:font="Wingdings 2" w:char="00A3"/>
            </w:r>
            <w:r>
              <w:rPr>
                <w:rFonts w:hint="eastAsia" w:ascii="仿宋" w:hAnsi="仿宋" w:eastAsia="仿宋" w:cs="仿宋"/>
                <w:color w:val="000000"/>
                <w:kern w:val="0"/>
                <w:sz w:val="24"/>
              </w:rPr>
              <w:t>多次提出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jc w:val="center"/>
        </w:trPr>
        <w:tc>
          <w:tcPr>
            <w:tcW w:w="853" w:type="dxa"/>
            <w:tcBorders>
              <w:tl2br w:val="nil"/>
              <w:tr2bl w:val="nil"/>
            </w:tcBorders>
            <w:vAlign w:val="center"/>
          </w:tcPr>
          <w:p>
            <w:pPr>
              <w:keepNext w:val="0"/>
              <w:keepLines w:val="0"/>
              <w:widowControl/>
              <w:suppressLineNumbers w:val="0"/>
              <w:adjustRightInd w:val="0"/>
              <w:snapToGrid w:val="0"/>
              <w:spacing w:before="0" w:beforeAutospacing="0" w:after="0" w:afterAutospacing="0" w:line="440" w:lineRule="exact"/>
              <w:ind w:left="0" w:right="0"/>
              <w:jc w:val="center"/>
              <w:rPr>
                <w:rFonts w:hint="default" w:ascii="仿宋" w:hAnsi="仿宋" w:eastAsia="仿宋" w:cs="仿宋"/>
                <w:kern w:val="0"/>
                <w:sz w:val="24"/>
              </w:rPr>
            </w:pPr>
            <w:r>
              <w:rPr>
                <w:rFonts w:hint="eastAsia" w:ascii="仿宋" w:hAnsi="仿宋" w:eastAsia="仿宋" w:cs="仿宋"/>
                <w:kern w:val="0"/>
                <w:sz w:val="24"/>
              </w:rPr>
              <w:t>36</w:t>
            </w:r>
          </w:p>
        </w:tc>
        <w:tc>
          <w:tcPr>
            <w:tcW w:w="7669" w:type="dxa"/>
            <w:tcBorders>
              <w:tl2br w:val="nil"/>
              <w:tr2bl w:val="nil"/>
            </w:tcBorders>
          </w:tcPr>
          <w:p>
            <w:pPr>
              <w:keepNext w:val="0"/>
              <w:keepLines w:val="0"/>
              <w:suppressLineNumbers w:val="0"/>
              <w:spacing w:before="0" w:beforeAutospacing="0" w:after="0" w:afterAutospacing="0" w:line="360" w:lineRule="auto"/>
              <w:ind w:left="0" w:right="0"/>
              <w:rPr>
                <w:rFonts w:hint="eastAsia" w:ascii="仿宋" w:hAnsi="仿宋" w:eastAsia="仿宋" w:cs="仿宋"/>
                <w:sz w:val="24"/>
                <w:szCs w:val="32"/>
              </w:rPr>
            </w:pPr>
            <w:r>
              <w:rPr>
                <w:rFonts w:hint="eastAsia" w:ascii="仿宋" w:hAnsi="仿宋" w:eastAsia="仿宋" w:cs="仿宋"/>
                <w:sz w:val="24"/>
                <w:szCs w:val="32"/>
              </w:rPr>
              <w:t>付款方式：甲乙双方合同签订后，甲方向乙方支付合同总金额40%的预付款，金额为¥</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元（人民币大写：</w:t>
            </w:r>
            <w:r>
              <w:rPr>
                <w:rFonts w:hint="eastAsia" w:ascii="仿宋" w:hAnsi="仿宋" w:eastAsia="仿宋" w:cs="仿宋"/>
                <w:i/>
                <w:iCs/>
                <w:sz w:val="24"/>
                <w:szCs w:val="32"/>
                <w:u w:val="single"/>
              </w:rPr>
              <w:t xml:space="preserve">     </w:t>
            </w:r>
            <w:r>
              <w:rPr>
                <w:rFonts w:hint="eastAsia" w:ascii="仿宋" w:hAnsi="仿宋" w:eastAsia="仿宋" w:cs="仿宋"/>
                <w:sz w:val="24"/>
                <w:szCs w:val="32"/>
              </w:rPr>
              <w:t>元整），乙方在合同约定的时间内将所供合同标的物运至甲方指定地点，乙方在甲方收到合同标的物5日内对合同标的物进行安装调试，经甲方书面验收合格后，甲方向乙方支付合同总金额55%的货款，金额为¥</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元（人民币大写：</w:t>
            </w:r>
            <w:r>
              <w:rPr>
                <w:rFonts w:hint="eastAsia" w:ascii="仿宋" w:hAnsi="仿宋" w:eastAsia="仿宋" w:cs="仿宋"/>
                <w:i/>
                <w:iCs/>
                <w:sz w:val="24"/>
                <w:szCs w:val="32"/>
                <w:u w:val="single"/>
              </w:rPr>
              <w:t xml:space="preserve">     </w:t>
            </w:r>
            <w:r>
              <w:rPr>
                <w:rFonts w:hint="eastAsia" w:ascii="仿宋" w:hAnsi="仿宋" w:eastAsia="仿宋" w:cs="仿宋"/>
                <w:sz w:val="24"/>
                <w:szCs w:val="32"/>
              </w:rPr>
              <w:t>元整）。剩余的合同总金额5%的货款，金额为¥</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元（人民币大写：</w:t>
            </w:r>
            <w:r>
              <w:rPr>
                <w:rFonts w:hint="eastAsia" w:ascii="仿宋" w:hAnsi="仿宋" w:eastAsia="仿宋" w:cs="仿宋"/>
                <w:i/>
                <w:iCs/>
                <w:sz w:val="24"/>
                <w:szCs w:val="32"/>
                <w:u w:val="single"/>
              </w:rPr>
              <w:t xml:space="preserve">     </w:t>
            </w:r>
            <w:r>
              <w:rPr>
                <w:rFonts w:hint="eastAsia" w:ascii="仿宋" w:hAnsi="仿宋" w:eastAsia="仿宋" w:cs="仿宋"/>
                <w:sz w:val="24"/>
                <w:szCs w:val="32"/>
              </w:rPr>
              <w:t>元整）自甲方书面验收合格之日起满壹年，经甲方再次验收，无质量问题后，甲方无息支付给乙方。</w:t>
            </w:r>
          </w:p>
          <w:p>
            <w:pPr>
              <w:keepNext w:val="0"/>
              <w:keepLines w:val="0"/>
              <w:suppressLineNumbers w:val="0"/>
              <w:spacing w:before="0" w:beforeAutospacing="0" w:after="0" w:afterAutospacing="0" w:line="360" w:lineRule="auto"/>
              <w:ind w:left="0" w:right="0"/>
              <w:rPr>
                <w:rFonts w:hint="default" w:ascii="仿宋" w:hAnsi="仿宋" w:eastAsia="仿宋" w:cs="仿宋"/>
                <w:sz w:val="24"/>
                <w:szCs w:val="32"/>
              </w:rPr>
            </w:pPr>
            <w:r>
              <w:rPr>
                <w:rFonts w:hint="default" w:ascii="仿宋" w:hAnsi="仿宋" w:eastAsia="仿宋" w:cs="仿宋"/>
                <w:sz w:val="24"/>
                <w:szCs w:val="32"/>
              </w:rPr>
              <w:t>★中标后中标单位在首次申请预付款支付时，应开具预付款保函，具体以新疆大学要求为准。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85" w:hRule="atLeast"/>
          <w:jc w:val="center"/>
        </w:trPr>
        <w:tc>
          <w:tcPr>
            <w:tcW w:w="8522" w:type="dxa"/>
            <w:gridSpan w:val="2"/>
            <w:tcBorders>
              <w:tl2br w:val="nil"/>
              <w:tr2bl w:val="nil"/>
            </w:tcBorders>
          </w:tcPr>
          <w:p>
            <w:pPr>
              <w:keepNext w:val="0"/>
              <w:keepLines w:val="0"/>
              <w:suppressLineNumbers w:val="0"/>
              <w:spacing w:before="0" w:beforeAutospacing="0" w:after="0" w:afterAutospacing="0" w:line="440" w:lineRule="exact"/>
              <w:ind w:left="0" w:right="0"/>
              <w:rPr>
                <w:rFonts w:hint="default" w:ascii="仿宋" w:hAnsi="仿宋" w:eastAsia="仿宋" w:cs="仿宋"/>
                <w:color w:val="000000"/>
                <w:kern w:val="0"/>
                <w:sz w:val="24"/>
              </w:rPr>
            </w:pPr>
            <w:r>
              <w:rPr>
                <w:rFonts w:hint="eastAsia" w:ascii="仿宋" w:hAnsi="仿宋" w:eastAsia="仿宋" w:cs="仿宋"/>
                <w:color w:val="000000"/>
                <w:kern w:val="0"/>
                <w:sz w:val="24"/>
              </w:rPr>
              <w:t>备注：</w:t>
            </w:r>
          </w:p>
          <w:p>
            <w:pPr>
              <w:pStyle w:val="44"/>
              <w:keepNext w:val="0"/>
              <w:keepLines w:val="0"/>
              <w:widowControl/>
              <w:suppressLineNumbers w:val="0"/>
              <w:spacing w:beforeAutospacing="0" w:afterAutospacing="0" w:line="440" w:lineRule="exact"/>
              <w:ind w:left="0" w:right="0"/>
              <w:rPr>
                <w:rFonts w:hint="default" w:ascii="仿宋" w:hAnsi="仿宋" w:eastAsia="仿宋" w:cs="仿宋"/>
                <w:color w:val="000000"/>
                <w:sz w:val="24"/>
              </w:rPr>
            </w:pPr>
            <w:r>
              <w:rPr>
                <w:rFonts w:hint="default" w:ascii="仿宋" w:hAnsi="仿宋" w:eastAsia="仿宋" w:cs="仿宋"/>
                <w:color w:val="000000"/>
                <w:sz w:val="24"/>
              </w:rPr>
              <w:t>1</w:t>
            </w:r>
            <w:r>
              <w:rPr>
                <w:rFonts w:hint="eastAsia" w:ascii="仿宋" w:hAnsi="仿宋" w:eastAsia="仿宋" w:cs="仿宋"/>
                <w:color w:val="000000"/>
                <w:sz w:val="24"/>
              </w:rPr>
              <w:t>.质保期：详见“第五章 采购需求”。</w:t>
            </w:r>
          </w:p>
          <w:p>
            <w:pPr>
              <w:pStyle w:val="44"/>
              <w:keepNext w:val="0"/>
              <w:keepLines w:val="0"/>
              <w:widowControl/>
              <w:suppressLineNumbers w:val="0"/>
              <w:spacing w:beforeAutospacing="0" w:afterAutospacing="0" w:line="440" w:lineRule="exact"/>
              <w:ind w:left="0" w:right="0"/>
              <w:rPr>
                <w:rFonts w:hint="default" w:eastAsia="仿宋"/>
              </w:rPr>
            </w:pPr>
            <w:r>
              <w:rPr>
                <w:rFonts w:hint="default" w:ascii="仿宋" w:hAnsi="仿宋" w:eastAsia="仿宋" w:cs="仿宋"/>
                <w:color w:val="000000"/>
                <w:sz w:val="24"/>
              </w:rPr>
              <w:t>2</w:t>
            </w:r>
            <w:r>
              <w:rPr>
                <w:rFonts w:hint="eastAsia" w:ascii="仿宋" w:hAnsi="仿宋" w:eastAsia="仿宋" w:cs="仿宋"/>
                <w:color w:val="000000"/>
                <w:sz w:val="24"/>
              </w:rPr>
              <w:t>.报价构成：包含完成本项目采购需求，并达到验收合格所需要的全部费用，包括但不限于各项服务以及其他有关费用等。</w:t>
            </w:r>
          </w:p>
        </w:tc>
      </w:tr>
    </w:tbl>
    <w:p>
      <w:pPr>
        <w:adjustRightInd w:val="0"/>
        <w:snapToGrid w:val="0"/>
        <w:spacing w:line="360" w:lineRule="auto"/>
        <w:rPr>
          <w:rFonts w:ascii="仿宋" w:hAnsi="仿宋" w:eastAsia="仿宋" w:cs="仿宋"/>
          <w:sz w:val="24"/>
        </w:rPr>
      </w:pPr>
    </w:p>
    <w:p>
      <w:pPr>
        <w:adjustRightInd w:val="0"/>
        <w:snapToGrid w:val="0"/>
        <w:spacing w:line="360" w:lineRule="auto"/>
        <w:rPr>
          <w:rFonts w:ascii="仿宋" w:hAnsi="仿宋" w:eastAsia="仿宋" w:cs="仿宋"/>
          <w:sz w:val="24"/>
        </w:rPr>
      </w:pPr>
    </w:p>
    <w:p>
      <w:pPr>
        <w:adjustRightInd w:val="0"/>
        <w:snapToGrid w:val="0"/>
        <w:spacing w:line="360" w:lineRule="auto"/>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adjustRightInd w:val="0"/>
        <w:snapToGrid w:val="0"/>
        <w:spacing w:line="440" w:lineRule="exact"/>
        <w:jc w:val="center"/>
        <w:outlineLvl w:val="0"/>
        <w:rPr>
          <w:rFonts w:ascii="仿宋" w:hAnsi="仿宋" w:eastAsia="仿宋" w:cs="仿宋"/>
          <w:b/>
          <w:bCs/>
          <w:sz w:val="32"/>
          <w:szCs w:val="32"/>
        </w:rPr>
      </w:pPr>
      <w:bookmarkStart w:id="8" w:name="_Toc3899"/>
      <w:r>
        <w:rPr>
          <w:rFonts w:hint="eastAsia" w:ascii="仿宋" w:hAnsi="仿宋" w:eastAsia="仿宋" w:cs="仿宋"/>
          <w:b/>
          <w:bCs/>
          <w:sz w:val="32"/>
          <w:szCs w:val="32"/>
        </w:rPr>
        <w:t>第三章  投标人须知</w:t>
      </w:r>
      <w:bookmarkEnd w:id="8"/>
    </w:p>
    <w:p>
      <w:pPr>
        <w:adjustRightInd w:val="0"/>
        <w:snapToGrid w:val="0"/>
        <w:spacing w:line="440" w:lineRule="exact"/>
        <w:jc w:val="center"/>
        <w:rPr>
          <w:rFonts w:ascii="仿宋" w:hAnsi="仿宋" w:eastAsia="仿宋" w:cs="仿宋"/>
          <w:b/>
          <w:bCs/>
          <w:sz w:val="28"/>
          <w:szCs w:val="28"/>
        </w:rPr>
      </w:pPr>
    </w:p>
    <w:p>
      <w:pPr>
        <w:adjustRightInd w:val="0"/>
        <w:snapToGrid w:val="0"/>
        <w:spacing w:line="440" w:lineRule="exact"/>
        <w:jc w:val="center"/>
        <w:rPr>
          <w:rFonts w:ascii="仿宋" w:hAnsi="仿宋" w:eastAsia="仿宋" w:cs="仿宋"/>
          <w:b/>
          <w:bCs/>
          <w:sz w:val="28"/>
          <w:szCs w:val="28"/>
        </w:rPr>
      </w:pPr>
      <w:bookmarkStart w:id="9" w:name="_Toc507399488"/>
      <w:bookmarkStart w:id="10" w:name="_Toc4000"/>
      <w:r>
        <w:rPr>
          <w:rFonts w:hint="eastAsia" w:ascii="仿宋" w:hAnsi="仿宋" w:eastAsia="仿宋" w:cs="仿宋"/>
          <w:b/>
          <w:bCs/>
          <w:sz w:val="28"/>
          <w:szCs w:val="28"/>
        </w:rPr>
        <w:t>一、说 明</w:t>
      </w:r>
    </w:p>
    <w:p>
      <w:pPr>
        <w:adjustRightInd w:val="0"/>
        <w:snapToGrid w:val="0"/>
        <w:spacing w:line="440" w:lineRule="exact"/>
        <w:rPr>
          <w:rFonts w:ascii="仿宋" w:hAnsi="仿宋" w:eastAsia="仿宋" w:cs="仿宋"/>
          <w:b/>
          <w:bCs/>
          <w:sz w:val="24"/>
        </w:rPr>
      </w:pPr>
    </w:p>
    <w:p>
      <w:pPr>
        <w:adjustRightInd w:val="0"/>
        <w:snapToGrid w:val="0"/>
        <w:spacing w:line="360" w:lineRule="auto"/>
        <w:ind w:left="638" w:hanging="638" w:hangingChars="265"/>
        <w:rPr>
          <w:rFonts w:ascii="仿宋" w:hAnsi="仿宋" w:eastAsia="仿宋" w:cs="仿宋"/>
          <w:b/>
          <w:bCs/>
          <w:sz w:val="24"/>
        </w:rPr>
      </w:pPr>
      <w:r>
        <w:rPr>
          <w:rFonts w:hint="eastAsia" w:ascii="仿宋" w:hAnsi="仿宋" w:eastAsia="仿宋" w:cs="仿宋"/>
          <w:b/>
          <w:bCs/>
          <w:sz w:val="24"/>
        </w:rPr>
        <w:t xml:space="preserve">1.  采购人、采购代理机构及投标人 </w:t>
      </w:r>
    </w:p>
    <w:p>
      <w:pPr>
        <w:adjustRightInd w:val="0"/>
        <w:snapToGrid w:val="0"/>
        <w:spacing w:line="360" w:lineRule="auto"/>
        <w:ind w:left="660" w:hanging="660" w:hangingChars="275"/>
        <w:rPr>
          <w:rFonts w:ascii="仿宋" w:hAnsi="仿宋" w:eastAsia="仿宋" w:cs="仿宋"/>
          <w:sz w:val="24"/>
        </w:rPr>
      </w:pPr>
      <w:r>
        <w:rPr>
          <w:rFonts w:hint="eastAsia" w:ascii="仿宋" w:hAnsi="仿宋" w:eastAsia="仿宋" w:cs="仿宋"/>
          <w:sz w:val="24"/>
        </w:rPr>
        <w:t>1.1 采购人：是指依法进行政府采购的国家机构、事业单位、团体组织。</w:t>
      </w:r>
    </w:p>
    <w:p>
      <w:pPr>
        <w:adjustRightInd w:val="0"/>
        <w:snapToGrid w:val="0"/>
        <w:spacing w:line="360" w:lineRule="auto"/>
        <w:ind w:left="660" w:hanging="660" w:hangingChars="275"/>
        <w:rPr>
          <w:rFonts w:ascii="仿宋" w:hAnsi="仿宋" w:eastAsia="仿宋" w:cs="仿宋"/>
          <w:sz w:val="24"/>
        </w:rPr>
      </w:pPr>
      <w:r>
        <w:rPr>
          <w:rFonts w:hint="eastAsia" w:ascii="仿宋" w:hAnsi="仿宋" w:eastAsia="仿宋" w:cs="仿宋"/>
          <w:sz w:val="24"/>
        </w:rPr>
        <w:t>1.2 采购代理机构：本次招标的采购代理机构为</w:t>
      </w:r>
      <w:r>
        <w:rPr>
          <w:rFonts w:hint="eastAsia" w:ascii="仿宋" w:hAnsi="仿宋" w:eastAsia="仿宋" w:cs="仿宋"/>
          <w:sz w:val="24"/>
          <w:u w:val="single"/>
        </w:rPr>
        <w:t>新疆新世纪招标有限公司</w:t>
      </w:r>
      <w:r>
        <w:rPr>
          <w:rFonts w:hint="eastAsia" w:ascii="仿宋" w:hAnsi="仿宋" w:eastAsia="仿宋" w:cs="仿宋"/>
          <w:sz w:val="24"/>
        </w:rPr>
        <w:t>。</w:t>
      </w:r>
    </w:p>
    <w:p>
      <w:pPr>
        <w:adjustRightInd w:val="0"/>
        <w:snapToGrid w:val="0"/>
        <w:spacing w:line="360" w:lineRule="auto"/>
        <w:ind w:left="682" w:hanging="681" w:hangingChars="284"/>
        <w:rPr>
          <w:rFonts w:ascii="仿宋" w:hAnsi="仿宋" w:eastAsia="仿宋" w:cs="仿宋"/>
          <w:sz w:val="24"/>
        </w:rPr>
      </w:pPr>
      <w:r>
        <w:rPr>
          <w:rFonts w:hint="eastAsia" w:ascii="仿宋" w:hAnsi="仿宋" w:eastAsia="仿宋" w:cs="仿宋"/>
          <w:sz w:val="24"/>
        </w:rPr>
        <w:t>1.3 投标人：是指响应招标、参加投标竞争的法人、非法人组织或者自然人。潜</w:t>
      </w:r>
    </w:p>
    <w:p>
      <w:pPr>
        <w:adjustRightInd w:val="0"/>
        <w:snapToGrid w:val="0"/>
        <w:spacing w:line="360" w:lineRule="auto"/>
        <w:ind w:left="682" w:hanging="681" w:hangingChars="284"/>
        <w:rPr>
          <w:rFonts w:ascii="仿宋" w:hAnsi="仿宋" w:eastAsia="仿宋" w:cs="仿宋"/>
          <w:sz w:val="24"/>
        </w:rPr>
      </w:pPr>
      <w:r>
        <w:rPr>
          <w:rFonts w:hint="eastAsia" w:ascii="仿宋" w:hAnsi="仿宋" w:eastAsia="仿宋" w:cs="仿宋"/>
          <w:sz w:val="24"/>
        </w:rPr>
        <w:t>在投标人：以招标文件规定的方式获取本项目招标文件的法人、非法人组织或者</w:t>
      </w:r>
    </w:p>
    <w:p>
      <w:pPr>
        <w:adjustRightInd w:val="0"/>
        <w:snapToGrid w:val="0"/>
        <w:spacing w:line="360" w:lineRule="auto"/>
        <w:ind w:left="682" w:hanging="681" w:hangingChars="284"/>
        <w:rPr>
          <w:rFonts w:ascii="仿宋" w:hAnsi="仿宋" w:eastAsia="仿宋" w:cs="仿宋"/>
          <w:sz w:val="24"/>
        </w:rPr>
      </w:pPr>
      <w:r>
        <w:rPr>
          <w:rFonts w:hint="eastAsia" w:ascii="仿宋" w:hAnsi="仿宋" w:eastAsia="仿宋" w:cs="仿宋"/>
          <w:sz w:val="24"/>
        </w:rPr>
        <w:t>自然人。</w:t>
      </w:r>
    </w:p>
    <w:p>
      <w:pPr>
        <w:adjustRightInd w:val="0"/>
        <w:snapToGrid w:val="0"/>
        <w:spacing w:line="360" w:lineRule="auto"/>
        <w:rPr>
          <w:rFonts w:ascii="仿宋" w:hAnsi="仿宋" w:eastAsia="仿宋" w:cs="仿宋"/>
          <w:b/>
          <w:bCs/>
          <w:sz w:val="24"/>
        </w:rPr>
      </w:pPr>
      <w:r>
        <w:rPr>
          <w:rFonts w:hint="eastAsia" w:ascii="仿宋" w:hAnsi="仿宋" w:eastAsia="仿宋" w:cs="仿宋"/>
          <w:b/>
          <w:bCs/>
          <w:sz w:val="24"/>
        </w:rPr>
        <w:t xml:space="preserve">投标人须满足以下条件： </w:t>
      </w:r>
    </w:p>
    <w:p>
      <w:pPr>
        <w:adjustRightInd w:val="0"/>
        <w:snapToGrid w:val="0"/>
        <w:spacing w:line="360" w:lineRule="auto"/>
        <w:ind w:left="658" w:hanging="657" w:hangingChars="274"/>
        <w:rPr>
          <w:rFonts w:ascii="仿宋" w:hAnsi="仿宋" w:eastAsia="仿宋" w:cs="仿宋"/>
          <w:sz w:val="24"/>
        </w:rPr>
      </w:pPr>
      <w:r>
        <w:rPr>
          <w:rFonts w:hint="eastAsia" w:ascii="仿宋" w:hAnsi="仿宋" w:eastAsia="仿宋" w:cs="仿宋"/>
          <w:sz w:val="24"/>
        </w:rPr>
        <w:t>1.3.1 在中华人民共和国境内注册，能够独立承担民事责任，有生产或供应能力</w:t>
      </w:r>
    </w:p>
    <w:p>
      <w:pPr>
        <w:adjustRightInd w:val="0"/>
        <w:snapToGrid w:val="0"/>
        <w:spacing w:line="360" w:lineRule="auto"/>
        <w:ind w:left="658" w:hanging="657" w:hangingChars="274"/>
        <w:rPr>
          <w:rFonts w:ascii="仿宋" w:hAnsi="仿宋" w:eastAsia="仿宋" w:cs="仿宋"/>
          <w:sz w:val="24"/>
        </w:rPr>
      </w:pPr>
      <w:r>
        <w:rPr>
          <w:rFonts w:hint="eastAsia" w:ascii="仿宋" w:hAnsi="仿宋" w:eastAsia="仿宋" w:cs="仿宋"/>
          <w:sz w:val="24"/>
        </w:rPr>
        <w:t xml:space="preserve">的本国投标人，包括法人、非法人组织或者自然人。 </w:t>
      </w:r>
    </w:p>
    <w:p>
      <w:pPr>
        <w:adjustRightInd w:val="0"/>
        <w:snapToGrid w:val="0"/>
        <w:spacing w:line="360" w:lineRule="auto"/>
        <w:ind w:left="641" w:leftChars="-9" w:hanging="660" w:hangingChars="275"/>
        <w:rPr>
          <w:rFonts w:ascii="仿宋" w:hAnsi="仿宋" w:eastAsia="仿宋" w:cs="仿宋"/>
          <w:sz w:val="24"/>
        </w:rPr>
      </w:pPr>
      <w:r>
        <w:rPr>
          <w:rFonts w:hint="eastAsia" w:ascii="仿宋" w:hAnsi="仿宋" w:eastAsia="仿宋" w:cs="仿宋"/>
          <w:sz w:val="24"/>
        </w:rPr>
        <w:t>1.3.2 具备《中华人民共和国政府采购法》第二十二条关于投标人条件的规定，</w:t>
      </w:r>
    </w:p>
    <w:p>
      <w:pPr>
        <w:adjustRightInd w:val="0"/>
        <w:snapToGrid w:val="0"/>
        <w:spacing w:line="360" w:lineRule="auto"/>
        <w:ind w:left="641" w:leftChars="-9" w:hanging="660" w:hangingChars="275"/>
        <w:rPr>
          <w:rFonts w:ascii="仿宋" w:hAnsi="仿宋" w:eastAsia="仿宋" w:cs="仿宋"/>
          <w:sz w:val="24"/>
        </w:rPr>
      </w:pPr>
      <w:r>
        <w:rPr>
          <w:rFonts w:hint="eastAsia" w:ascii="仿宋" w:hAnsi="仿宋" w:eastAsia="仿宋" w:cs="仿宋"/>
          <w:sz w:val="24"/>
        </w:rPr>
        <w:t xml:space="preserve">遵守国家、本项目采购人本级和上级财政部门政府采购的有关规定。 </w:t>
      </w:r>
    </w:p>
    <w:p>
      <w:pPr>
        <w:adjustRightInd w:val="0"/>
        <w:snapToGrid w:val="0"/>
        <w:spacing w:line="360" w:lineRule="auto"/>
        <w:ind w:left="660" w:hanging="660" w:hangingChars="275"/>
        <w:rPr>
          <w:rFonts w:ascii="仿宋" w:hAnsi="仿宋" w:eastAsia="仿宋" w:cs="仿宋"/>
          <w:sz w:val="24"/>
        </w:rPr>
      </w:pPr>
      <w:r>
        <w:rPr>
          <w:rFonts w:hint="eastAsia" w:ascii="仿宋" w:hAnsi="仿宋" w:eastAsia="仿宋" w:cs="仿宋"/>
          <w:sz w:val="24"/>
        </w:rPr>
        <w:t xml:space="preserve">1.3.3 以招标文件规定的方式获得了本项目的招标文件。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1.3.4 符合</w:t>
      </w:r>
      <w:r>
        <w:rPr>
          <w:rFonts w:hint="eastAsia" w:ascii="仿宋" w:hAnsi="仿宋" w:eastAsia="仿宋" w:cs="仿宋"/>
          <w:sz w:val="24"/>
          <w:u w:val="single"/>
        </w:rPr>
        <w:t>投标须知前附表</w:t>
      </w:r>
      <w:r>
        <w:rPr>
          <w:rFonts w:hint="eastAsia" w:ascii="仿宋" w:hAnsi="仿宋" w:eastAsia="仿宋" w:cs="仿宋"/>
          <w:sz w:val="24"/>
        </w:rPr>
        <w:t>中规定的其他资格要求。</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1.4如经财政主管部门批准可以采购进口产品，将在</w:t>
      </w:r>
      <w:r>
        <w:rPr>
          <w:rFonts w:hint="eastAsia" w:ascii="仿宋" w:hAnsi="仿宋" w:eastAsia="仿宋" w:cs="仿宋"/>
          <w:sz w:val="24"/>
          <w:u w:val="single"/>
        </w:rPr>
        <w:t>投标须知前附表</w:t>
      </w:r>
      <w:r>
        <w:rPr>
          <w:rFonts w:hint="eastAsia" w:ascii="仿宋" w:hAnsi="仿宋" w:eastAsia="仿宋" w:cs="仿宋"/>
          <w:sz w:val="24"/>
        </w:rPr>
        <w:t>中写明。但</w:t>
      </w:r>
    </w:p>
    <w:p>
      <w:pPr>
        <w:adjustRightInd w:val="0"/>
        <w:snapToGrid w:val="0"/>
        <w:spacing w:line="360" w:lineRule="auto"/>
        <w:ind w:left="636" w:hanging="636" w:hangingChars="265"/>
        <w:rPr>
          <w:rFonts w:ascii="仿宋" w:hAnsi="仿宋" w:eastAsia="仿宋" w:cs="仿宋"/>
          <w:sz w:val="24"/>
          <w:u w:val="single"/>
        </w:rPr>
      </w:pPr>
      <w:r>
        <w:rPr>
          <w:rFonts w:hint="eastAsia" w:ascii="仿宋" w:hAnsi="仿宋" w:eastAsia="仿宋" w:cs="仿宋"/>
          <w:sz w:val="24"/>
        </w:rPr>
        <w:t>投标人应保证所投产品可履行合法报通关手续进入中国关境内。若</w:t>
      </w:r>
      <w:r>
        <w:rPr>
          <w:rFonts w:hint="eastAsia" w:ascii="仿宋" w:hAnsi="仿宋" w:eastAsia="仿宋" w:cs="仿宋"/>
          <w:sz w:val="24"/>
          <w:u w:val="single"/>
        </w:rPr>
        <w:t>投标须知前附</w:t>
      </w:r>
    </w:p>
    <w:p>
      <w:pPr>
        <w:adjustRightInd w:val="0"/>
        <w:snapToGrid w:val="0"/>
        <w:spacing w:line="360" w:lineRule="auto"/>
        <w:ind w:left="636" w:hanging="636" w:hangingChars="265"/>
        <w:rPr>
          <w:rFonts w:ascii="仿宋" w:hAnsi="仿宋" w:eastAsia="仿宋" w:cs="仿宋"/>
          <w:b/>
          <w:bCs/>
          <w:sz w:val="24"/>
        </w:rPr>
      </w:pPr>
      <w:r>
        <w:rPr>
          <w:rFonts w:hint="eastAsia" w:ascii="仿宋" w:hAnsi="仿宋" w:eastAsia="仿宋" w:cs="仿宋"/>
          <w:sz w:val="24"/>
          <w:u w:val="single"/>
        </w:rPr>
        <w:t>表</w:t>
      </w:r>
      <w:r>
        <w:rPr>
          <w:rFonts w:hint="eastAsia" w:ascii="仿宋" w:hAnsi="仿宋" w:eastAsia="仿宋" w:cs="仿宋"/>
          <w:sz w:val="24"/>
        </w:rPr>
        <w:t>中未写明允许采购进口产品，如投标人所投产品为进口产品，其投标将作为</w:t>
      </w:r>
      <w:r>
        <w:rPr>
          <w:rFonts w:hint="eastAsia" w:ascii="仿宋" w:hAnsi="仿宋" w:eastAsia="仿宋" w:cs="仿宋"/>
          <w:b/>
          <w:bCs/>
          <w:sz w:val="24"/>
        </w:rPr>
        <w:t>无</w:t>
      </w:r>
    </w:p>
    <w:p>
      <w:pPr>
        <w:adjustRightInd w:val="0"/>
        <w:snapToGrid w:val="0"/>
        <w:spacing w:line="360" w:lineRule="auto"/>
        <w:ind w:left="638" w:hanging="638" w:hangingChars="265"/>
        <w:rPr>
          <w:rFonts w:ascii="仿宋" w:hAnsi="仿宋" w:eastAsia="仿宋" w:cs="仿宋"/>
          <w:sz w:val="24"/>
        </w:rPr>
      </w:pPr>
      <w:r>
        <w:rPr>
          <w:rFonts w:hint="eastAsia" w:ascii="仿宋" w:hAnsi="仿宋" w:eastAsia="仿宋" w:cs="仿宋"/>
          <w:b/>
          <w:bCs/>
          <w:sz w:val="24"/>
        </w:rPr>
        <w:t>效投标</w:t>
      </w:r>
      <w:r>
        <w:rPr>
          <w:rFonts w:hint="eastAsia" w:ascii="仿宋" w:hAnsi="仿宋" w:eastAsia="仿宋" w:cs="仿宋"/>
          <w:sz w:val="24"/>
        </w:rPr>
        <w:t>被拒绝。</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1.5 投标人提供的货物由中小企业制造，货物由中小企业生产且使用该中小企业</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商号或者注册商标，享受中小企业扶持政策。投标人根据《工业和信息化部、国</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家统计局、国家发展和改革委员会、财政部关于印发中小企业划型标准规定的通</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知》（工信部联企业[2011]300 号）确定企业类型；也可在工业和信息化部网站</w:t>
      </w:r>
    </w:p>
    <w:p>
      <w:pPr>
        <w:adjustRightInd w:val="0"/>
        <w:snapToGrid w:val="0"/>
        <w:spacing w:line="360" w:lineRule="auto"/>
        <w:ind w:left="14" w:hanging="14" w:hangingChars="6"/>
        <w:rPr>
          <w:rFonts w:ascii="仿宋" w:hAnsi="仿宋" w:eastAsia="仿宋" w:cs="仿宋"/>
          <w:sz w:val="24"/>
        </w:rPr>
      </w:pPr>
      <w:r>
        <w:rPr>
          <w:rFonts w:hint="eastAsia" w:ascii="仿宋" w:hAnsi="仿宋" w:eastAsia="仿宋" w:cs="仿宋"/>
          <w:sz w:val="24"/>
        </w:rPr>
        <w:t xml:space="preserve">（https://www.miit.gov.cn/）的“中小企业规模类型自测小程序”自助查询到企业类型。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1.5.1 投标标的所属行业见</w:t>
      </w:r>
      <w:r>
        <w:rPr>
          <w:rFonts w:hint="eastAsia" w:ascii="仿宋" w:hAnsi="仿宋" w:eastAsia="仿宋" w:cs="仿宋"/>
          <w:sz w:val="24"/>
          <w:u w:val="single"/>
        </w:rPr>
        <w:t>投标人须知前附表</w:t>
      </w:r>
      <w:r>
        <w:rPr>
          <w:rFonts w:hint="eastAsia" w:ascii="仿宋" w:hAnsi="仿宋" w:eastAsia="仿宋" w:cs="仿宋"/>
          <w:sz w:val="24"/>
        </w:rPr>
        <w:t xml:space="preserve">。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1.5.2 若</w:t>
      </w:r>
      <w:r>
        <w:rPr>
          <w:rFonts w:hint="eastAsia" w:ascii="仿宋" w:hAnsi="仿宋" w:eastAsia="仿宋" w:cs="仿宋"/>
          <w:sz w:val="24"/>
          <w:u w:val="single"/>
        </w:rPr>
        <w:t>投标须知前附表</w:t>
      </w:r>
      <w:r>
        <w:rPr>
          <w:rFonts w:hint="eastAsia" w:ascii="仿宋" w:hAnsi="仿宋" w:eastAsia="仿宋" w:cs="仿宋"/>
          <w:sz w:val="24"/>
        </w:rPr>
        <w:t>中写明专门面向中小企业采购的，如投标人所提供的货</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物为非中小企业制造，其投标将被认定为</w:t>
      </w:r>
      <w:r>
        <w:rPr>
          <w:rFonts w:hint="eastAsia" w:ascii="仿宋" w:hAnsi="仿宋" w:eastAsia="仿宋" w:cs="仿宋"/>
          <w:b/>
          <w:bCs/>
          <w:sz w:val="24"/>
        </w:rPr>
        <w:t>投标无效</w:t>
      </w:r>
      <w:r>
        <w:rPr>
          <w:rFonts w:hint="eastAsia" w:ascii="仿宋" w:hAnsi="仿宋" w:eastAsia="仿宋" w:cs="仿宋"/>
          <w:sz w:val="24"/>
        </w:rPr>
        <w:t>。承接企业如为监狱企业或残</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疾人福利性单位的，视同为小型、微型企业。</w:t>
      </w:r>
      <w:r>
        <w:rPr>
          <w:rFonts w:hint="eastAsia" w:ascii="仿宋" w:hAnsi="仿宋" w:eastAsia="仿宋" w:cs="仿宋"/>
          <w:color w:val="000000"/>
          <w:sz w:val="24"/>
        </w:rPr>
        <w:t>（本项目不适用）</w:t>
      </w:r>
    </w:p>
    <w:p>
      <w:pPr>
        <w:adjustRightInd w:val="0"/>
        <w:snapToGrid w:val="0"/>
        <w:spacing w:line="360" w:lineRule="auto"/>
        <w:ind w:left="-2" w:right="-48" w:rightChars="-23"/>
        <w:rPr>
          <w:rFonts w:ascii="仿宋" w:hAnsi="仿宋" w:eastAsia="仿宋" w:cs="仿宋"/>
          <w:sz w:val="24"/>
        </w:rPr>
      </w:pPr>
      <w:r>
        <w:rPr>
          <w:rFonts w:hint="eastAsia" w:ascii="仿宋" w:hAnsi="仿宋" w:eastAsia="仿宋" w:cs="仿宋"/>
          <w:sz w:val="24"/>
        </w:rPr>
        <w:t>1.5.3 本项目是否面向中小企业采购预留份额、供应商根据《政府采购促进中小企业发展管理办法》落实政策。</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1.5.4 享受中小企业扶持政策获得政府采购合同的，小微企业不得将合同分包给</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大中型企业，中型企业不得将合同分包给大型企业。</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1.6 如</w:t>
      </w:r>
      <w:r>
        <w:rPr>
          <w:rFonts w:hint="eastAsia" w:ascii="仿宋" w:hAnsi="仿宋" w:eastAsia="仿宋" w:cs="仿宋"/>
          <w:sz w:val="24"/>
          <w:u w:val="single"/>
        </w:rPr>
        <w:t>投标须知前附表</w:t>
      </w:r>
      <w:r>
        <w:rPr>
          <w:rFonts w:hint="eastAsia" w:ascii="仿宋" w:hAnsi="仿宋" w:eastAsia="仿宋" w:cs="仿宋"/>
          <w:sz w:val="24"/>
        </w:rPr>
        <w:t xml:space="preserve">中允许联合体投标，对联合体规定如下：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 xml:space="preserve">1.6.1 两个以上投标人可以组成一个投标联合体，以一个投标人的身份投标。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1.6.2 联合体各方均应符合《中华人民共和国政府采购法》第二十二条规定的条</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件，遵守国家、本项目采购人本级和上级财政部门政府采购的有关规定。</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1.6.3 采购人根据采购项目对投标人的特殊要求，联合体中至少应当有一方符合</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相关规定。</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1.6.4 联合体各方应签订共同投标协议，明确约定联合体各方承担的工作和相应</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 xml:space="preserve">的责任，并将共同投标协议连同投标文件一并提交采购人或采购代理机构。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1.6.5 大中型企业、其他自然人、法人或者非法人组织与小型、微型企业组成联</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合体共同参加投标，共同投标协议中应写明小型、微型企业的协议合同金额占到</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共同投标协议投标总金额的比例。联合体各方均为中小企业的，联合体视同中小</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 xml:space="preserve">企业。其中，联合体各方均为小微企业的，联合体视同小微企业。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1.6.6 联合体中有同类资质的投标人按照联合体分工承担相同工作的，按照资质</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等级较低的投标人确定资质等级。</w:t>
      </w:r>
      <w:r>
        <w:rPr>
          <w:rFonts w:hint="eastAsia" w:ascii="仿宋" w:hAnsi="仿宋" w:eastAsia="仿宋" w:cs="仿宋"/>
          <w:color w:val="000000"/>
          <w:sz w:val="24"/>
        </w:rPr>
        <w:t>（本项目不适用）</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1.6.7 以联合体形式参加政府采购活动的，联合体各方不得再单独参加或者与其</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他投标人另外组成联合体参加本项目投标，否则相关投标将被认定为</w:t>
      </w:r>
      <w:r>
        <w:rPr>
          <w:rFonts w:hint="eastAsia" w:ascii="仿宋" w:hAnsi="仿宋" w:eastAsia="仿宋" w:cs="仿宋"/>
          <w:b/>
          <w:bCs/>
          <w:sz w:val="24"/>
        </w:rPr>
        <w:t>投标无效</w:t>
      </w:r>
      <w:r>
        <w:rPr>
          <w:rFonts w:hint="eastAsia" w:ascii="仿宋" w:hAnsi="仿宋" w:eastAsia="仿宋" w:cs="仿宋"/>
          <w:sz w:val="24"/>
        </w:rPr>
        <w:t xml:space="preserve">。 </w:t>
      </w:r>
    </w:p>
    <w:p>
      <w:pPr>
        <w:adjustRightInd w:val="0"/>
        <w:snapToGrid w:val="0"/>
        <w:spacing w:line="360" w:lineRule="auto"/>
        <w:rPr>
          <w:rFonts w:ascii="仿宋" w:hAnsi="仿宋" w:eastAsia="仿宋" w:cs="仿宋"/>
          <w:sz w:val="24"/>
        </w:rPr>
      </w:pPr>
      <w:r>
        <w:rPr>
          <w:rFonts w:hint="eastAsia" w:ascii="仿宋" w:hAnsi="仿宋" w:eastAsia="仿宋" w:cs="仿宋"/>
          <w:sz w:val="24"/>
        </w:rPr>
        <w:t>1.6.8 对联合体投标的其他资格要求见</w:t>
      </w:r>
      <w:r>
        <w:rPr>
          <w:rFonts w:hint="eastAsia" w:ascii="仿宋" w:hAnsi="仿宋" w:eastAsia="仿宋" w:cs="仿宋"/>
          <w:sz w:val="24"/>
          <w:u w:val="single"/>
        </w:rPr>
        <w:t>投标须知前附表</w:t>
      </w:r>
      <w:r>
        <w:rPr>
          <w:rFonts w:hint="eastAsia" w:ascii="仿宋" w:hAnsi="仿宋" w:eastAsia="仿宋" w:cs="仿宋"/>
          <w:sz w:val="24"/>
        </w:rPr>
        <w:t xml:space="preserve">。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1.7 单位负责人为同一人或者存在直接控股、管理关系的不同投标人，其投标将被认定为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spacing w:val="0"/>
          <w:kern w:val="2"/>
          <w:sz w:val="24"/>
          <w:szCs w:val="24"/>
        </w:rPr>
        <w:t>1.8 为本项目提供整体设计、规范编制或者项目管理、监理、检测等服务的投标人，其投标将被认定为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w:t>
      </w:r>
    </w:p>
    <w:p>
      <w:pPr>
        <w:adjustRightInd w:val="0"/>
        <w:snapToGrid w:val="0"/>
        <w:spacing w:line="360" w:lineRule="auto"/>
        <w:ind w:left="638" w:hanging="638" w:hangingChars="265"/>
        <w:rPr>
          <w:rFonts w:ascii="仿宋" w:hAnsi="仿宋" w:eastAsia="仿宋" w:cs="仿宋"/>
          <w:b/>
          <w:bCs/>
          <w:sz w:val="24"/>
        </w:rPr>
      </w:pPr>
      <w:r>
        <w:rPr>
          <w:rFonts w:hint="eastAsia" w:ascii="仿宋" w:hAnsi="仿宋" w:eastAsia="仿宋" w:cs="仿宋"/>
          <w:b/>
          <w:bCs/>
          <w:sz w:val="24"/>
        </w:rPr>
        <w:t xml:space="preserve">2．资金来源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2.1 本项目的采购人已获得足以支付本次招标后所签订的合同项下的资金（包括</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 xml:space="preserve">财政性资金和本项目采购中无法与财政性资金分割的非财政性资金）。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2.2 项目预算金额和最高限价见</w:t>
      </w:r>
      <w:r>
        <w:rPr>
          <w:rFonts w:hint="eastAsia" w:ascii="仿宋" w:hAnsi="仿宋" w:eastAsia="仿宋" w:cs="仿宋"/>
          <w:sz w:val="24"/>
          <w:u w:val="single"/>
        </w:rPr>
        <w:t>投标须知前附表</w:t>
      </w:r>
      <w:r>
        <w:rPr>
          <w:rFonts w:hint="eastAsia" w:ascii="仿宋" w:hAnsi="仿宋" w:eastAsia="仿宋" w:cs="仿宋"/>
          <w:sz w:val="24"/>
        </w:rPr>
        <w:t xml:space="preserve">。 </w:t>
      </w:r>
    </w:p>
    <w:p>
      <w:pPr>
        <w:adjustRightInd w:val="0"/>
        <w:snapToGrid w:val="0"/>
        <w:spacing w:line="360" w:lineRule="auto"/>
        <w:ind w:left="660" w:hanging="660" w:hangingChars="275"/>
        <w:rPr>
          <w:rFonts w:ascii="仿宋" w:hAnsi="仿宋" w:eastAsia="仿宋" w:cs="仿宋"/>
          <w:sz w:val="24"/>
        </w:rPr>
      </w:pPr>
      <w:r>
        <w:rPr>
          <w:rFonts w:hint="eastAsia" w:ascii="仿宋" w:hAnsi="仿宋" w:eastAsia="仿宋" w:cs="仿宋"/>
          <w:sz w:val="24"/>
        </w:rPr>
        <w:t>2.3 投标人报价超过招标文件规定的预算金额或者最高限价的，其投标将被认定</w:t>
      </w:r>
    </w:p>
    <w:p>
      <w:pPr>
        <w:adjustRightInd w:val="0"/>
        <w:snapToGrid w:val="0"/>
        <w:spacing w:line="360" w:lineRule="auto"/>
        <w:ind w:left="660" w:hanging="660" w:hangingChars="275"/>
        <w:rPr>
          <w:rFonts w:ascii="仿宋" w:hAnsi="仿宋" w:eastAsia="仿宋" w:cs="仿宋"/>
          <w:b/>
          <w:bCs/>
          <w:sz w:val="24"/>
        </w:rPr>
      </w:pPr>
      <w:r>
        <w:rPr>
          <w:rFonts w:hint="eastAsia" w:ascii="仿宋" w:hAnsi="仿宋" w:eastAsia="仿宋" w:cs="仿宋"/>
          <w:sz w:val="24"/>
        </w:rPr>
        <w:t>为</w:t>
      </w:r>
      <w:r>
        <w:rPr>
          <w:rFonts w:hint="eastAsia" w:ascii="仿宋" w:hAnsi="仿宋" w:eastAsia="仿宋" w:cs="仿宋"/>
          <w:b/>
          <w:bCs/>
          <w:sz w:val="24"/>
        </w:rPr>
        <w:t>投标无效</w:t>
      </w:r>
      <w:r>
        <w:rPr>
          <w:rFonts w:hint="eastAsia" w:ascii="仿宋" w:hAnsi="仿宋" w:eastAsia="仿宋" w:cs="仿宋"/>
          <w:sz w:val="24"/>
        </w:rPr>
        <w:t>。</w:t>
      </w:r>
    </w:p>
    <w:p>
      <w:pPr>
        <w:adjustRightInd w:val="0"/>
        <w:snapToGrid w:val="0"/>
        <w:spacing w:line="360" w:lineRule="auto"/>
        <w:ind w:left="638" w:hanging="638" w:hangingChars="265"/>
        <w:rPr>
          <w:rFonts w:ascii="仿宋" w:hAnsi="仿宋" w:eastAsia="仿宋" w:cs="仿宋"/>
          <w:b/>
          <w:bCs/>
          <w:sz w:val="24"/>
        </w:rPr>
      </w:pPr>
      <w:r>
        <w:rPr>
          <w:rFonts w:hint="eastAsia" w:ascii="仿宋" w:hAnsi="仿宋" w:eastAsia="仿宋" w:cs="仿宋"/>
          <w:b/>
          <w:bCs/>
          <w:sz w:val="24"/>
        </w:rPr>
        <w:t xml:space="preserve">3. 投标费用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不论投标的结果如何，投标人应承担所有与投标有关的费用。 </w:t>
      </w:r>
    </w:p>
    <w:p>
      <w:pPr>
        <w:adjustRightInd w:val="0"/>
        <w:snapToGrid w:val="0"/>
        <w:spacing w:line="360" w:lineRule="auto"/>
        <w:ind w:left="638" w:hanging="638" w:hangingChars="265"/>
        <w:rPr>
          <w:rFonts w:ascii="仿宋" w:hAnsi="仿宋" w:eastAsia="仿宋" w:cs="仿宋"/>
          <w:b/>
          <w:bCs/>
          <w:sz w:val="24"/>
        </w:rPr>
      </w:pPr>
      <w:r>
        <w:rPr>
          <w:rFonts w:hint="eastAsia" w:ascii="仿宋" w:hAnsi="仿宋" w:eastAsia="仿宋" w:cs="仿宋"/>
          <w:b/>
          <w:bCs/>
          <w:sz w:val="24"/>
        </w:rPr>
        <w:t xml:space="preserve">4. 适用法律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本项目采购人、采购代理机构、投标人、评标委员会的相关行为均受《中华人民共和国政府采购法》、《中华人民共和国政府采购法实施条例》及本项目本级和上级财政部门政府采购有关规定的约束，其权利受到上述法律法规的保护。 </w:t>
      </w:r>
    </w:p>
    <w:p>
      <w:pPr>
        <w:adjustRightInd w:val="0"/>
        <w:snapToGrid w:val="0"/>
        <w:spacing w:line="360" w:lineRule="auto"/>
        <w:ind w:left="638" w:hanging="638" w:hangingChars="265"/>
        <w:rPr>
          <w:rFonts w:ascii="仿宋" w:hAnsi="仿宋" w:eastAsia="仿宋" w:cs="仿宋"/>
          <w:b/>
          <w:bCs/>
          <w:sz w:val="24"/>
        </w:rPr>
      </w:pPr>
    </w:p>
    <w:p>
      <w:pPr>
        <w:pStyle w:val="44"/>
        <w:widowControl w:val="0"/>
        <w:adjustRightInd w:val="0"/>
        <w:snapToGrid w:val="0"/>
        <w:spacing w:before="0" w:after="0" w:line="360" w:lineRule="auto"/>
        <w:ind w:left="745" w:hanging="745" w:hangingChars="265"/>
        <w:jc w:val="center"/>
        <w:rPr>
          <w:rFonts w:ascii="仿宋" w:hAnsi="仿宋" w:eastAsia="仿宋" w:cs="仿宋"/>
          <w:bCs w:val="0"/>
          <w:color w:val="000000"/>
          <w:spacing w:val="0"/>
          <w:kern w:val="2"/>
          <w:sz w:val="28"/>
          <w:szCs w:val="28"/>
        </w:rPr>
      </w:pPr>
      <w:r>
        <w:rPr>
          <w:rFonts w:hint="eastAsia" w:ascii="仿宋" w:hAnsi="仿宋" w:eastAsia="仿宋" w:cs="仿宋"/>
          <w:b/>
          <w:color w:val="000000"/>
          <w:spacing w:val="0"/>
          <w:kern w:val="2"/>
          <w:sz w:val="28"/>
          <w:szCs w:val="28"/>
        </w:rPr>
        <w:t>二 招标文件</w:t>
      </w:r>
    </w:p>
    <w:p>
      <w:pPr>
        <w:adjustRightInd w:val="0"/>
        <w:snapToGrid w:val="0"/>
        <w:spacing w:line="360" w:lineRule="auto"/>
        <w:ind w:left="636" w:hanging="636" w:hangingChars="265"/>
        <w:rPr>
          <w:rFonts w:ascii="仿宋" w:hAnsi="仿宋" w:eastAsia="仿宋" w:cs="仿宋"/>
          <w:sz w:val="24"/>
        </w:rPr>
      </w:pPr>
    </w:p>
    <w:p>
      <w:pPr>
        <w:adjustRightInd w:val="0"/>
        <w:snapToGrid w:val="0"/>
        <w:spacing w:line="360" w:lineRule="auto"/>
        <w:ind w:left="638" w:hanging="638" w:hangingChars="265"/>
        <w:rPr>
          <w:rFonts w:ascii="仿宋" w:hAnsi="仿宋" w:eastAsia="仿宋" w:cs="仿宋"/>
          <w:b/>
          <w:bCs/>
          <w:sz w:val="24"/>
        </w:rPr>
      </w:pPr>
      <w:r>
        <w:rPr>
          <w:rFonts w:hint="eastAsia" w:ascii="仿宋" w:hAnsi="仿宋" w:eastAsia="仿宋" w:cs="仿宋"/>
          <w:b/>
          <w:bCs/>
          <w:sz w:val="24"/>
        </w:rPr>
        <w:t xml:space="preserve">5.  招标文件构成 </w:t>
      </w:r>
    </w:p>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5.1要求提供货物及伴随服务的内容及详细技术需求、投标须知和合同条件等在招标文件中均有说明。 </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 xml:space="preserve">招标文件共七章。各册的内容如下： </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 xml:space="preserve">第一章 招标公告 </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 xml:space="preserve">第二章 投标须知前附表 </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第三章 投标人须知</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 xml:space="preserve">第四章 政府采购合同 </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 xml:space="preserve">第五章 采购需求 </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第六章 评标方法和标准</w:t>
      </w:r>
    </w:p>
    <w:p>
      <w:pPr>
        <w:adjustRightInd w:val="0"/>
        <w:snapToGrid w:val="0"/>
        <w:spacing w:line="360" w:lineRule="auto"/>
        <w:ind w:left="634" w:leftChars="302" w:firstLine="4"/>
        <w:rPr>
          <w:rFonts w:ascii="仿宋" w:hAnsi="仿宋" w:eastAsia="仿宋" w:cs="仿宋"/>
          <w:sz w:val="24"/>
        </w:rPr>
      </w:pPr>
      <w:r>
        <w:rPr>
          <w:rFonts w:hint="eastAsia" w:ascii="仿宋" w:hAnsi="仿宋" w:eastAsia="仿宋" w:cs="仿宋"/>
          <w:sz w:val="24"/>
        </w:rPr>
        <w:t xml:space="preserve">第七章 投标文件格式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5.2  招标文件中有不一致的，有澄清的部分以最终的澄清更正内容为准；未澄</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清的，以</w:t>
      </w:r>
      <w:r>
        <w:rPr>
          <w:rFonts w:hint="eastAsia" w:ascii="仿宋" w:hAnsi="仿宋" w:eastAsia="仿宋" w:cs="仿宋"/>
          <w:sz w:val="24"/>
          <w:u w:val="single"/>
        </w:rPr>
        <w:t>投标须知前附表</w:t>
      </w:r>
      <w:r>
        <w:rPr>
          <w:rFonts w:hint="eastAsia" w:ascii="仿宋" w:hAnsi="仿宋" w:eastAsia="仿宋" w:cs="仿宋"/>
          <w:sz w:val="24"/>
        </w:rPr>
        <w:t>为准；</w:t>
      </w:r>
      <w:r>
        <w:rPr>
          <w:rFonts w:hint="eastAsia" w:ascii="仿宋" w:hAnsi="仿宋" w:eastAsia="仿宋" w:cs="仿宋"/>
          <w:sz w:val="24"/>
          <w:u w:val="single"/>
        </w:rPr>
        <w:t>投标须知前附表</w:t>
      </w:r>
      <w:r>
        <w:rPr>
          <w:rFonts w:hint="eastAsia" w:ascii="仿宋" w:hAnsi="仿宋" w:eastAsia="仿宋" w:cs="仿宋"/>
          <w:sz w:val="24"/>
        </w:rPr>
        <w:t>不涉及的内容，以编排在后的最</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 xml:space="preserve">后描述为准。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5.3 投标人应认真阅读招标文件所有的事项、格式、条款和技术规范等。如投标</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人没有按照招标文件要求提交全部资料，或者投标文件没有对招标文件在各方面</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都做出实质性响应是投标人的风险，</w:t>
      </w:r>
      <w:r>
        <w:rPr>
          <w:rFonts w:hint="eastAsia" w:ascii="仿宋" w:hAnsi="仿宋" w:eastAsia="仿宋" w:cs="仿宋"/>
          <w:color w:val="000000"/>
          <w:sz w:val="24"/>
        </w:rPr>
        <w:t>其投标将被认定为</w:t>
      </w:r>
      <w:r>
        <w:rPr>
          <w:rFonts w:hint="eastAsia" w:ascii="仿宋" w:hAnsi="仿宋" w:eastAsia="仿宋" w:cs="仿宋"/>
          <w:b/>
          <w:color w:val="000000"/>
          <w:sz w:val="24"/>
        </w:rPr>
        <w:t>投标无效</w:t>
      </w:r>
      <w:r>
        <w:rPr>
          <w:rFonts w:hint="eastAsia" w:ascii="仿宋" w:hAnsi="仿宋" w:eastAsia="仿宋" w:cs="仿宋"/>
          <w:color w:val="000000"/>
          <w:sz w:val="24"/>
        </w:rPr>
        <w:t>。</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5.4 现场考察或者答疑会及相关事项见</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5.5 原则上采购人、采购代理机构不要求投标人提供样品。除仅凭书面方式不能准确描述采购需求，或者需要对样品进行主观判断以确认是否满足采购需求等特殊情况除外。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如需提供样品，对样品相关要求见</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 xml:space="preserve">，对样品的评审方法及评审标准见招标文件第六章。 </w:t>
      </w:r>
    </w:p>
    <w:p>
      <w:pPr>
        <w:adjustRightInd w:val="0"/>
        <w:snapToGrid w:val="0"/>
        <w:spacing w:line="360" w:lineRule="auto"/>
        <w:ind w:left="638" w:hanging="638" w:hangingChars="265"/>
        <w:rPr>
          <w:rFonts w:ascii="仿宋" w:hAnsi="仿宋" w:eastAsia="仿宋" w:cs="仿宋"/>
          <w:b/>
          <w:bCs/>
          <w:sz w:val="24"/>
        </w:rPr>
      </w:pPr>
      <w:r>
        <w:rPr>
          <w:rFonts w:hint="eastAsia" w:ascii="仿宋" w:hAnsi="仿宋" w:eastAsia="仿宋" w:cs="仿宋"/>
          <w:b/>
          <w:bCs/>
          <w:sz w:val="24"/>
        </w:rPr>
        <w:t xml:space="preserve">6. 招标文件的澄清与修改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6.1 采购人可主动地或在解答投标人提出的澄清问题时对招标文件进行澄清或</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修改。采购代理机构将以发布澄清（更正）公告的方式，澄清或修改招标文件，</w:t>
      </w:r>
    </w:p>
    <w:p>
      <w:pPr>
        <w:adjustRightInd w:val="0"/>
        <w:snapToGrid w:val="0"/>
        <w:spacing w:line="360" w:lineRule="auto"/>
        <w:ind w:left="636" w:hanging="636" w:hangingChars="265"/>
        <w:rPr>
          <w:rFonts w:hint="eastAsia" w:ascii="仿宋" w:hAnsi="仿宋" w:eastAsia="仿宋" w:cs="仿宋"/>
          <w:sz w:val="24"/>
          <w:lang w:val="en-US" w:eastAsia="zh-CN"/>
        </w:rPr>
      </w:pPr>
      <w:r>
        <w:rPr>
          <w:rFonts w:hint="eastAsia" w:ascii="仿宋" w:hAnsi="仿宋" w:eastAsia="仿宋" w:cs="仿宋"/>
          <w:sz w:val="24"/>
        </w:rPr>
        <w:t xml:space="preserve">澄清或修改内容作为招标文件的组成部分。 </w:t>
      </w:r>
      <w:r>
        <w:rPr>
          <w:rFonts w:hint="eastAsia" w:ascii="仿宋" w:hAnsi="仿宋" w:eastAsia="仿宋" w:cs="仿宋"/>
          <w:sz w:val="24"/>
          <w:lang w:val="en-US" w:eastAsia="zh-CN"/>
        </w:rPr>
        <w:t xml:space="preserve"> </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6.2 澄清或者修改的内容可能影响投标文件编制的，采购代理机构将以书面形式</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通知所有获取招标文件的潜在投标人，并对其具有约束力。投标人在收到上述通</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知后，应及时向采购代理机构确认。投标人未回复的，视同已知晓澄清或者修改</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 xml:space="preserve">的内容。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因潜在投标人原因或通讯线路故障导致通知逾期送达或无法送达，采购代理机构不因此承担任何责任，有关的招标采购活动可以继续有效进行。</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6.3  为了保证对招标文件的澄清和修改满足法律的时限要求，任何要求对招标</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文件进行澄清的投标人，均应在投标截止期十五日前，以书面形式将澄清要求通</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知采购代理机构，否则采购人不作任何解释。采购人或采购代理机构将发布澄清</w:t>
      </w:r>
    </w:p>
    <w:p>
      <w:pPr>
        <w:adjustRightInd w:val="0"/>
        <w:snapToGrid w:val="0"/>
        <w:spacing w:line="360" w:lineRule="auto"/>
        <w:ind w:left="636" w:hanging="636" w:hangingChars="265"/>
        <w:rPr>
          <w:rFonts w:ascii="仿宋" w:hAnsi="仿宋" w:eastAsia="仿宋" w:cs="仿宋"/>
          <w:sz w:val="24"/>
        </w:rPr>
      </w:pPr>
      <w:r>
        <w:rPr>
          <w:rFonts w:hint="eastAsia" w:ascii="仿宋" w:hAnsi="仿宋" w:eastAsia="仿宋" w:cs="仿宋"/>
          <w:sz w:val="24"/>
        </w:rPr>
        <w:t xml:space="preserve">公告或澄清通知，澄清内容为招标文件的组成部分。 </w:t>
      </w:r>
    </w:p>
    <w:p>
      <w:pPr>
        <w:adjustRightInd w:val="0"/>
        <w:snapToGrid w:val="0"/>
        <w:spacing w:line="360" w:lineRule="auto"/>
        <w:ind w:left="638" w:hanging="638" w:hangingChars="265"/>
        <w:rPr>
          <w:rFonts w:ascii="仿宋" w:hAnsi="仿宋" w:eastAsia="仿宋" w:cs="仿宋"/>
          <w:b/>
          <w:bCs/>
          <w:sz w:val="24"/>
        </w:rPr>
      </w:pPr>
      <w:r>
        <w:rPr>
          <w:rFonts w:hint="eastAsia" w:ascii="仿宋" w:hAnsi="仿宋" w:eastAsia="仿宋" w:cs="仿宋"/>
          <w:b/>
          <w:bCs/>
          <w:sz w:val="24"/>
        </w:rPr>
        <w:t xml:space="preserve">7. 投标截止时间的顺延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为使投标人有足够的时间对招标文件的澄清或者修改部分进行研究而准备投标或因其他原因，采购人将依法决定是否顺延投标截止时间。</w:t>
      </w:r>
    </w:p>
    <w:p>
      <w:pPr>
        <w:adjustRightInd w:val="0"/>
        <w:snapToGrid w:val="0"/>
        <w:spacing w:line="360" w:lineRule="auto"/>
        <w:ind w:left="636" w:hanging="636" w:hangingChars="265"/>
        <w:rPr>
          <w:rFonts w:ascii="仿宋" w:hAnsi="仿宋" w:eastAsia="仿宋" w:cs="仿宋"/>
          <w:sz w:val="24"/>
        </w:rPr>
      </w:pPr>
    </w:p>
    <w:p>
      <w:pPr>
        <w:pStyle w:val="44"/>
        <w:widowControl w:val="0"/>
        <w:adjustRightInd w:val="0"/>
        <w:snapToGrid w:val="0"/>
        <w:spacing w:before="0" w:after="0" w:line="360" w:lineRule="auto"/>
        <w:ind w:left="745" w:hanging="745" w:hangingChars="265"/>
        <w:jc w:val="center"/>
        <w:rPr>
          <w:rFonts w:ascii="仿宋" w:hAnsi="仿宋" w:eastAsia="仿宋" w:cs="仿宋"/>
          <w:b/>
          <w:color w:val="000000"/>
          <w:spacing w:val="0"/>
          <w:kern w:val="2"/>
          <w:sz w:val="28"/>
          <w:szCs w:val="28"/>
        </w:rPr>
      </w:pPr>
      <w:r>
        <w:rPr>
          <w:rFonts w:hint="eastAsia" w:ascii="仿宋" w:hAnsi="仿宋" w:eastAsia="仿宋" w:cs="仿宋"/>
          <w:b/>
          <w:color w:val="000000"/>
          <w:spacing w:val="0"/>
          <w:kern w:val="2"/>
          <w:sz w:val="28"/>
          <w:szCs w:val="28"/>
        </w:rPr>
        <w:t>三 投标文件的编制</w:t>
      </w:r>
    </w:p>
    <w:p>
      <w:pPr>
        <w:adjustRightInd w:val="0"/>
        <w:snapToGrid w:val="0"/>
        <w:spacing w:line="360" w:lineRule="auto"/>
        <w:ind w:left="636" w:hanging="636" w:hangingChars="265"/>
        <w:rPr>
          <w:rFonts w:ascii="仿宋" w:hAnsi="仿宋" w:eastAsia="仿宋" w:cs="仿宋"/>
          <w:sz w:val="24"/>
        </w:rPr>
      </w:pP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8. 投标范围及投标文件中标准和计量单位的使用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u w:val="single"/>
        </w:rPr>
      </w:pPr>
      <w:r>
        <w:rPr>
          <w:rFonts w:hint="eastAsia" w:ascii="仿宋" w:hAnsi="仿宋" w:eastAsia="仿宋" w:cs="仿宋"/>
          <w:bCs w:val="0"/>
          <w:color w:val="000000"/>
          <w:spacing w:val="0"/>
          <w:kern w:val="2"/>
          <w:sz w:val="24"/>
          <w:szCs w:val="24"/>
        </w:rPr>
        <w:t>8.1 投标人可对招标文件中一个或几个分包货物进行投标，除非在</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 xml:space="preserve">中另有规定。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8.2 投标人应当对所投分包招标文件采购需求中“采购需求一览表”所列的所有内容进行投标，如仅响应分包中的部分内容，其该包投标将被认定为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8.3 无论招标文件中是否要求，投标人所投货物及其伴随的服务和工程均应符合国家强制性标准。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8.4 除招标文件中有特殊要求外，投标文件中所使用的计量单位，应采用中华人民共和国法定计量单位。 </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9.  投标文件组成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9.1 投标文件由“资格证明文件、经济、商务及技术文件”组成。投标人应完整地按照招标文件提供的投标文件格式及要求编写投标文件。投标文件中资格审查和符合性审查涉及的事项不满足招标文件要求的，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9.2 上述文件应按照招标文件的规定签署和盖电子公章。 </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10. 证明投标标的的合格性和符合招标文件规定的技术文件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10.1 投标人应提交证明文件，证明其投标标的符合招标文件规定。该证明文件</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是投标文件的技术文件。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10.2 上款所述的证明文件，可以是文字资料、图纸和数据，它包括：</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（1）货物主要技术指标和性能的详细说明。 </w:t>
      </w:r>
    </w:p>
    <w:p>
      <w:pPr>
        <w:pStyle w:val="44"/>
        <w:widowControl w:val="0"/>
        <w:adjustRightInd w:val="0"/>
        <w:snapToGrid w:val="0"/>
        <w:spacing w:before="0" w:after="0" w:line="360" w:lineRule="auto"/>
        <w:ind w:right="-48" w:rightChars="-2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（2）货物从买方开始使用至招标文件规定的保质期内正常、连续地使用所必须的备件和专用工具清单，包括备件和专用工具的货源及现行价格。 </w:t>
      </w:r>
    </w:p>
    <w:p>
      <w:pPr>
        <w:pStyle w:val="44"/>
        <w:widowControl w:val="0"/>
        <w:adjustRightInd w:val="0"/>
        <w:snapToGrid w:val="0"/>
        <w:spacing w:before="0" w:after="0" w:line="360" w:lineRule="auto"/>
        <w:ind w:right="-48" w:rightChars="-2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（3）对照招标文件技术规格，逐条说明所提供货物和服务已对招标文件的技术规格做出了实质性的响应，或申明与技术规格条文的偏差和例外。</w:t>
      </w:r>
    </w:p>
    <w:p>
      <w:pPr>
        <w:pStyle w:val="44"/>
        <w:widowControl w:val="0"/>
        <w:adjustRightInd w:val="0"/>
        <w:snapToGrid w:val="0"/>
        <w:spacing w:before="0" w:after="0" w:line="360" w:lineRule="auto"/>
        <w:ind w:right="-48" w:rightChars="-2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10.3 投标人应注意采购人在技术规格中指出的工艺、材料和设备的参照品牌、牌号或分类号仅起说明作用，并没有任何限制性。投标人在投标中可以选用替代品牌、牌号或分类号，但这些替代要实质上相当于技术规格的要求。</w:t>
      </w:r>
      <w:r>
        <w:rPr>
          <w:rFonts w:hint="eastAsia" w:ascii="仿宋" w:hAnsi="仿宋" w:eastAsia="仿宋" w:cs="仿宋"/>
          <w:b/>
          <w:color w:val="000000"/>
          <w:spacing w:val="0"/>
          <w:kern w:val="2"/>
          <w:sz w:val="24"/>
          <w:szCs w:val="24"/>
        </w:rPr>
        <w:t>采购人、采购代理机构承诺不以上述参考品牌、牌号或分类号作为评标时判定其投标是否有效的标准</w:t>
      </w:r>
      <w:r>
        <w:rPr>
          <w:rFonts w:hint="eastAsia" w:ascii="仿宋" w:hAnsi="仿宋" w:eastAsia="仿宋" w:cs="仿宋"/>
          <w:bCs w:val="0"/>
          <w:color w:val="000000"/>
          <w:spacing w:val="0"/>
          <w:kern w:val="2"/>
          <w:sz w:val="24"/>
          <w:szCs w:val="24"/>
        </w:rPr>
        <w:t xml:space="preserve">。 </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10.4 本条所指证明文件不包括对招标文件相关部分的文字、图标的复制。</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11. 投标报价 </w:t>
      </w:r>
    </w:p>
    <w:p>
      <w:pPr>
        <w:pStyle w:val="44"/>
        <w:widowControl w:val="0"/>
        <w:adjustRightInd w:val="0"/>
        <w:snapToGrid w:val="0"/>
        <w:spacing w:before="0" w:after="0" w:line="360" w:lineRule="auto"/>
        <w:ind w:left="636" w:hanging="636" w:hangingChars="265"/>
        <w:rPr>
          <w:rFonts w:ascii="仿宋" w:hAnsi="仿宋" w:eastAsia="仿宋" w:cs="仿宋"/>
          <w:b/>
          <w:color w:val="000000"/>
          <w:spacing w:val="0"/>
          <w:kern w:val="2"/>
          <w:sz w:val="24"/>
          <w:szCs w:val="24"/>
        </w:rPr>
      </w:pPr>
      <w:r>
        <w:rPr>
          <w:rFonts w:hint="eastAsia" w:ascii="仿宋" w:hAnsi="仿宋" w:eastAsia="仿宋" w:cs="仿宋"/>
          <w:bCs w:val="0"/>
          <w:color w:val="000000"/>
          <w:spacing w:val="0"/>
          <w:kern w:val="2"/>
          <w:sz w:val="24"/>
          <w:szCs w:val="24"/>
        </w:rPr>
        <w:t>11.1 投标人的报价应当包括满足本次招标全部采购需求所应提供的货物以及伴</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随的服务和工程。所有投标均以人民币报价。投标人的投标报价应遵守《中华人民共和国价格法》。同时，根据《中华人民共和国政府采购法》及相关配套法律、法规的规定，为保证公平竞争，如投标人有货物主体部分的赠与行为，将导致其</w:t>
      </w:r>
      <w:r>
        <w:rPr>
          <w:rFonts w:hint="eastAsia" w:ascii="仿宋" w:hAnsi="仿宋" w:eastAsia="仿宋" w:cs="仿宋"/>
          <w:b/>
          <w:color w:val="000000"/>
          <w:spacing w:val="0"/>
          <w:kern w:val="2"/>
          <w:sz w:val="24"/>
          <w:szCs w:val="24"/>
        </w:rPr>
        <w:t>投标被拒绝</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11.2 投标人应在投标分项报价表上标明货物及伴随的服务和工程的单价（如适</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用）和总价，并由法定代表人或委托代理人签字或盖章。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11.3 投标人所报的各分项投标单价在合同履行过程中是固定不变的，不得以任何理由予以变更。任何包含价格调整要求的投标，其投标将被认定为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11.4 每种货物及伴随的服务只能有一个投标报价，否则其投标将被认定为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，采购人不接受具有附加条件的报价。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11.5 投标分项报价表上的价格应按下列方式填写：</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投标货物（包括备品备件、专用工具等）的出厂价（包括已在中国国内的进口货物完税后的仓库交货价、展室交货价或货架交货价），投标货物安装、调试、检验、技术服务、培训和招标文件要求提供的所有伴随服务、工程等费用，货物运至最终目的地的运输费和保险费用。</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12. 投标保证金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12.1 投标人应提交</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中规定的投标保证金，并作为其投标的一部</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分。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12.2 投标保证金是为了保护采购人和采购代理机构免遭因投标人的行为蒙受损</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失而要求的。 </w:t>
      </w:r>
    </w:p>
    <w:p>
      <w:pPr>
        <w:pStyle w:val="44"/>
        <w:widowControl w:val="0"/>
        <w:adjustRightInd w:val="0"/>
        <w:snapToGrid w:val="0"/>
        <w:spacing w:before="0" w:after="0" w:line="360" w:lineRule="auto"/>
        <w:ind w:firstLine="482" w:firstLineChars="200"/>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下列任何情况发生，投标保证金不予退还： </w:t>
      </w:r>
    </w:p>
    <w:p>
      <w:pPr>
        <w:pStyle w:val="44"/>
        <w:widowControl w:val="0"/>
        <w:adjustRightInd w:val="0"/>
        <w:snapToGrid w:val="0"/>
        <w:spacing w:before="0" w:after="0" w:line="360" w:lineRule="auto"/>
        <w:ind w:left="636" w:leftChars="30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（1）在投标有效期内，投标人撤回投标的； </w:t>
      </w:r>
    </w:p>
    <w:p>
      <w:pPr>
        <w:pStyle w:val="44"/>
        <w:widowControl w:val="0"/>
        <w:adjustRightInd w:val="0"/>
        <w:snapToGrid w:val="0"/>
        <w:spacing w:before="0" w:after="0" w:line="360" w:lineRule="auto"/>
        <w:ind w:left="636" w:leftChars="30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（2）中标人不按本招标文件的规定与采购人签订合同的； </w:t>
      </w:r>
    </w:p>
    <w:p>
      <w:pPr>
        <w:pStyle w:val="44"/>
        <w:widowControl w:val="0"/>
        <w:adjustRightInd w:val="0"/>
        <w:snapToGrid w:val="0"/>
        <w:spacing w:before="0" w:after="0" w:line="360" w:lineRule="auto"/>
        <w:ind w:left="636" w:leftChars="30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（3）中标人不按本招标文件的规定提交履约保证金的； </w:t>
      </w:r>
    </w:p>
    <w:p>
      <w:pPr>
        <w:pStyle w:val="44"/>
        <w:widowControl w:val="0"/>
        <w:adjustRightInd w:val="0"/>
        <w:snapToGrid w:val="0"/>
        <w:spacing w:before="0" w:after="0" w:line="360" w:lineRule="auto"/>
        <w:ind w:left="636" w:leftChars="30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（4）中标人不按本招标文件的规定缴纳中标服务费的； </w:t>
      </w:r>
    </w:p>
    <w:p>
      <w:pPr>
        <w:pStyle w:val="44"/>
        <w:widowControl w:val="0"/>
        <w:adjustRightInd w:val="0"/>
        <w:snapToGrid w:val="0"/>
        <w:spacing w:before="0" w:after="0" w:line="360" w:lineRule="auto"/>
        <w:ind w:left="636" w:leftChars="30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（5）存在的串通投标情形的； </w:t>
      </w:r>
    </w:p>
    <w:p>
      <w:pPr>
        <w:pStyle w:val="44"/>
        <w:widowControl w:val="0"/>
        <w:adjustRightInd w:val="0"/>
        <w:snapToGrid w:val="0"/>
        <w:spacing w:before="0" w:after="0" w:line="360" w:lineRule="auto"/>
        <w:ind w:left="636" w:leftChars="30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（6）存在向采购人、代理机构或评标专家行贿事实的； </w:t>
      </w:r>
    </w:p>
    <w:p>
      <w:pPr>
        <w:pStyle w:val="44"/>
        <w:widowControl w:val="0"/>
        <w:adjustRightInd w:val="0"/>
        <w:snapToGrid w:val="0"/>
        <w:spacing w:before="0" w:after="0" w:line="360" w:lineRule="auto"/>
        <w:ind w:left="636" w:leftChars="303"/>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（7）法律、法规规定的其它情况。</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12.3 投标保证金可采用下列形式之一： </w:t>
      </w:r>
    </w:p>
    <w:p>
      <w:pPr>
        <w:pStyle w:val="44"/>
        <w:widowControl w:val="0"/>
        <w:adjustRightInd w:val="0"/>
        <w:snapToGrid w:val="0"/>
        <w:spacing w:before="0" w:after="0" w:line="360" w:lineRule="auto"/>
        <w:ind w:firstLine="720" w:firstLineChars="3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电汇、转账，以及</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 xml:space="preserve">中可接受的其他形式；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12.4 投标人没有根据本须知 12.1 和第 12.3 条规定提交投标保证金的，其投</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采用电汇、转账等形式提交投标保证金的，投标人则应充分考虑入账时间，以确保投标保证金能按时进入指定账户。根据银行信息交换和付款时间，建议投标人投标截止日前 2-3 个工作日提交投标保证金。如投标人未及时提交投标保证，导致投标保证金不能按时进入指定账户的，将按照招标文件的第 22.2 条相关规定处理。</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12.5 联合体投标的，可以由联合体中的一方或者共同提交投标保证金，以一方</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名义提交投标保证金的，对联合体各方均具有约束力。（本项目不适用）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12.6 中标人应在与采购人签订合同之日起 5 个工作日内及时联系采购代理机</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构办理投标保证金无息退还手续。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未中标投标人的投标保证金将在中标通知书发出之日暨中标结果公告公布之日起 5 个工作日内，及时联系采购人或采购代理机构办理无息退还投标保证金手续，因投标人自身原因导致无法及时退还的，采购人或采购代理机构将不承担资金占用费。 </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13. 投标有效期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13.1 投标应在规定的提交投标文件截止之日起，按照</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中规定时</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间内保持有效。投标有效期不满足要求的投标，其投标将被认定为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。13.2 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其投标保证金将无息退还。上述要求和答复都应以书面形式提交。 </w:t>
      </w:r>
    </w:p>
    <w:p>
      <w:pPr>
        <w:pStyle w:val="44"/>
        <w:widowControl w:val="0"/>
        <w:adjustRightInd w:val="0"/>
        <w:snapToGrid w:val="0"/>
        <w:spacing w:before="0" w:after="0" w:line="360" w:lineRule="auto"/>
        <w:ind w:left="638" w:hanging="638" w:hangingChars="265"/>
        <w:rPr>
          <w:rFonts w:ascii="仿宋" w:hAnsi="仿宋" w:eastAsia="仿宋" w:cs="仿宋"/>
          <w:bCs w:val="0"/>
          <w:color w:val="000000"/>
          <w:spacing w:val="0"/>
          <w:kern w:val="2"/>
          <w:sz w:val="24"/>
          <w:szCs w:val="24"/>
        </w:rPr>
      </w:pPr>
      <w:r>
        <w:rPr>
          <w:rFonts w:hint="eastAsia" w:ascii="仿宋" w:hAnsi="仿宋" w:eastAsia="仿宋" w:cs="仿宋"/>
          <w:b/>
          <w:color w:val="000000"/>
          <w:spacing w:val="0"/>
          <w:kern w:val="2"/>
          <w:sz w:val="24"/>
          <w:szCs w:val="24"/>
        </w:rPr>
        <w:t>14. 投标文件的制作</w:t>
      </w:r>
    </w:p>
    <w:p>
      <w:pPr>
        <w:pStyle w:val="44"/>
        <w:adjustRightInd w:val="0"/>
        <w:snapToGrid w:val="0"/>
        <w:spacing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14.1 电子投标文件使用政采云平台响应文件制作工具以及招标文件要求进行制作编制。投标文件制作时，按照招标文件中明确的投标文件目录和格式进行编制，保证目录清晰、内容完整。</w:t>
      </w:r>
    </w:p>
    <w:p>
      <w:pPr>
        <w:pStyle w:val="44"/>
        <w:adjustRightInd w:val="0"/>
        <w:snapToGrid w:val="0"/>
        <w:spacing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14.2 电子投标文件须使用投标人电子公章及法定代表人的电子签名。若无电子签章和签名，则视为无效响应。</w:t>
      </w:r>
    </w:p>
    <w:p>
      <w:pPr>
        <w:pStyle w:val="44"/>
        <w:adjustRightInd w:val="0"/>
        <w:snapToGrid w:val="0"/>
        <w:spacing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14.3 电子招投标文件具有法律效力，与其他形式的招投标文件在内容和格式上等同，若投标文件与招标文件要求不一致，其内容影响中标结果时，责任由投标人自行承担。投标人递交的电子响应文件因投标人自身原因而导致无法导入电子辅助评标系统，该投标文件视为无效投标文件，将导致其投标被拒绝。</w:t>
      </w:r>
    </w:p>
    <w:p>
      <w:pPr>
        <w:pStyle w:val="44"/>
        <w:adjustRightInd w:val="0"/>
        <w:snapToGrid w:val="0"/>
        <w:spacing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14.4 未按招标文件要求签署和盖章的投标文件，其投标将被认定为投标无效。</w:t>
      </w:r>
    </w:p>
    <w:p>
      <w:pPr>
        <w:pStyle w:val="44"/>
        <w:widowControl w:val="0"/>
        <w:adjustRightInd w:val="0"/>
        <w:snapToGrid w:val="0"/>
        <w:spacing w:before="0" w:after="0" w:line="360" w:lineRule="auto"/>
        <w:ind w:left="745" w:hanging="745" w:hangingChars="265"/>
        <w:jc w:val="center"/>
        <w:rPr>
          <w:rFonts w:ascii="仿宋" w:hAnsi="仿宋" w:eastAsia="仿宋" w:cs="仿宋"/>
          <w:b/>
          <w:color w:val="000000"/>
          <w:spacing w:val="0"/>
          <w:kern w:val="2"/>
          <w:sz w:val="28"/>
          <w:szCs w:val="28"/>
        </w:rPr>
      </w:pPr>
      <w:r>
        <w:rPr>
          <w:rFonts w:hint="eastAsia" w:ascii="仿宋" w:hAnsi="仿宋" w:eastAsia="仿宋" w:cs="仿宋"/>
          <w:b/>
          <w:color w:val="000000"/>
          <w:spacing w:val="0"/>
          <w:kern w:val="2"/>
          <w:sz w:val="28"/>
          <w:szCs w:val="28"/>
        </w:rPr>
        <w:t>四  投标文件的递交</w:t>
      </w:r>
    </w:p>
    <w:p>
      <w:pPr>
        <w:adjustRightInd w:val="0"/>
        <w:snapToGrid w:val="0"/>
        <w:spacing w:line="360" w:lineRule="auto"/>
        <w:ind w:left="745" w:hanging="745" w:hangingChars="265"/>
        <w:jc w:val="center"/>
        <w:rPr>
          <w:rFonts w:ascii="仿宋" w:hAnsi="仿宋" w:eastAsia="仿宋" w:cs="仿宋"/>
          <w:b/>
          <w:bCs/>
          <w:color w:val="000000"/>
          <w:sz w:val="28"/>
          <w:szCs w:val="28"/>
        </w:rPr>
      </w:pP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15. 投标文件的密封和标记 </w:t>
      </w:r>
    </w:p>
    <w:p>
      <w:pPr>
        <w:pStyle w:val="44"/>
        <w:adjustRightInd w:val="0"/>
        <w:snapToGrid w:val="0"/>
        <w:spacing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w:t>
      </w:r>
      <w:r>
        <w:rPr>
          <w:rFonts w:ascii="仿宋" w:hAnsi="仿宋" w:eastAsia="仿宋" w:cs="仿宋"/>
          <w:bCs w:val="0"/>
          <w:color w:val="000000"/>
          <w:spacing w:val="0"/>
          <w:kern w:val="2"/>
          <w:sz w:val="24"/>
          <w:szCs w:val="24"/>
        </w:rPr>
        <w:t>5.1</w:t>
      </w:r>
      <w:r>
        <w:rPr>
          <w:rFonts w:hint="eastAsia" w:ascii="仿宋" w:hAnsi="仿宋" w:eastAsia="仿宋" w:cs="仿宋"/>
          <w:bCs w:val="0"/>
          <w:color w:val="000000"/>
          <w:spacing w:val="0"/>
          <w:kern w:val="2"/>
          <w:sz w:val="24"/>
          <w:szCs w:val="24"/>
        </w:rPr>
        <w:t>加密的电子响应文件（.jmbs格式）应在响应文件递交截止时间前通过政采云平台上传完成。</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15.2 逾期上传或者未上传指定地点的响应文件，采购人不予受理。 </w:t>
      </w:r>
    </w:p>
    <w:p>
      <w:pPr>
        <w:pStyle w:val="44"/>
        <w:widowControl w:val="0"/>
        <w:adjustRightInd w:val="0"/>
        <w:snapToGrid w:val="0"/>
        <w:spacing w:before="0" w:after="0" w:line="360" w:lineRule="auto"/>
        <w:ind w:left="638" w:hanging="638" w:hangingChars="265"/>
        <w:rPr>
          <w:rFonts w:ascii="仿宋" w:hAnsi="仿宋" w:eastAsia="仿宋" w:cs="仿宋"/>
          <w:bCs w:val="0"/>
          <w:color w:val="000000"/>
          <w:spacing w:val="0"/>
          <w:kern w:val="2"/>
          <w:sz w:val="24"/>
          <w:szCs w:val="24"/>
        </w:rPr>
      </w:pPr>
      <w:r>
        <w:rPr>
          <w:rFonts w:hint="eastAsia" w:ascii="仿宋" w:hAnsi="仿宋" w:eastAsia="仿宋" w:cs="仿宋"/>
          <w:b/>
          <w:color w:val="000000"/>
          <w:spacing w:val="0"/>
          <w:kern w:val="2"/>
          <w:sz w:val="24"/>
          <w:szCs w:val="24"/>
        </w:rPr>
        <w:t>16. 投标截止</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16.1 投标人应在</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中规定的截止时间前，将投标文件递交到政采云平台。</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16.</w:t>
      </w:r>
      <w:r>
        <w:rPr>
          <w:rFonts w:ascii="仿宋" w:hAnsi="仿宋" w:eastAsia="仿宋" w:cs="仿宋"/>
          <w:bCs w:val="0"/>
          <w:color w:val="000000"/>
          <w:spacing w:val="0"/>
          <w:kern w:val="2"/>
          <w:sz w:val="24"/>
          <w:szCs w:val="24"/>
        </w:rPr>
        <w:t>2</w:t>
      </w:r>
      <w:r>
        <w:rPr>
          <w:rFonts w:hint="eastAsia" w:ascii="仿宋" w:hAnsi="仿宋" w:eastAsia="仿宋" w:cs="仿宋"/>
          <w:bCs w:val="0"/>
          <w:color w:val="000000"/>
          <w:spacing w:val="0"/>
          <w:kern w:val="2"/>
          <w:sz w:val="24"/>
          <w:szCs w:val="24"/>
        </w:rPr>
        <w:t xml:space="preserve"> 采购人和采购代理机构有权按本须知的规定，通过修改招标文件，延长投</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标截止期。在此情况下，采购人、采购代理机构和投标人受投标截止期制约的所有权利和义务均应延长至新的截止期。 </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17. 投标文件的接收、修改与撤回 </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1</w:t>
      </w:r>
      <w:r>
        <w:rPr>
          <w:rFonts w:ascii="仿宋" w:hAnsi="仿宋" w:eastAsia="仿宋" w:cs="仿宋"/>
          <w:color w:val="000000"/>
          <w:sz w:val="24"/>
        </w:rPr>
        <w:t>7.1</w:t>
      </w:r>
      <w:r>
        <w:rPr>
          <w:rFonts w:hint="eastAsia" w:ascii="仿宋" w:hAnsi="仿宋" w:eastAsia="仿宋" w:cs="仿宋"/>
          <w:color w:val="000000"/>
          <w:sz w:val="24"/>
        </w:rPr>
        <w:t>投标人应在投标须知前附表中规定的截止时间前，可以撤回已上传的投标文件。如要修改，必须在撤回并修改后在规定的投标文件递交截止时间之前将修改后的投标文件再重新上传。在投标文件递交截止时间之后，投标人不得对上传的投标文件撤销或修改。</w:t>
      </w:r>
    </w:p>
    <w:p>
      <w:pPr>
        <w:widowControl/>
        <w:spacing w:line="360" w:lineRule="auto"/>
        <w:jc w:val="center"/>
        <w:rPr>
          <w:rFonts w:ascii="仿宋" w:hAnsi="仿宋" w:eastAsia="仿宋" w:cs="仿宋"/>
          <w:color w:val="000000"/>
          <w:sz w:val="24"/>
        </w:rPr>
      </w:pPr>
      <w:r>
        <w:rPr>
          <w:rFonts w:hint="eastAsia" w:ascii="仿宋" w:hAnsi="仿宋" w:eastAsia="仿宋" w:cs="仿宋"/>
          <w:b/>
          <w:color w:val="000000"/>
          <w:sz w:val="28"/>
          <w:szCs w:val="28"/>
        </w:rPr>
        <w:t>五 开标及评标</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18. 开标 </w:t>
      </w:r>
    </w:p>
    <w:p>
      <w:pPr>
        <w:pStyle w:val="44"/>
        <w:widowControl w:val="0"/>
        <w:adjustRightInd w:val="0"/>
        <w:snapToGrid w:val="0"/>
        <w:spacing w:before="0" w:after="0" w:line="360" w:lineRule="auto"/>
        <w:ind w:left="660" w:hanging="660" w:hangingChars="27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18.1 采购人和采购代理机构将按</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中规定的开标时间组织</w:t>
      </w:r>
    </w:p>
    <w:p>
      <w:pPr>
        <w:pStyle w:val="44"/>
        <w:widowControl w:val="0"/>
        <w:adjustRightInd w:val="0"/>
        <w:snapToGrid w:val="0"/>
        <w:spacing w:before="0" w:after="0" w:line="360" w:lineRule="auto"/>
        <w:ind w:left="660" w:hanging="660" w:hangingChars="27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公开开标并邀请所有投标人代表参加。投标人不足 3 家的，不予开标。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18.2 开标前，采购代理机构将会同监督人员或公证人员进行验标（检查网上招标系统正常与否，检查未加密的电子投标文件，检查投标人保证金交纳情况），确认无误后开标。开标时，各投标人应对本单位的加密的电子投标文件现场解密，采购代理机构工作人员在监督人员或公证人员监督下解密所有投标文件。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18.3 采购人或采购代理机构将对开标过程进行记录，并存档备查。投标人未派代表参加开标的，视同投标人认可开标结果。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18.4 投标人代表对开标过程和开标记录有疑义，以及认为开标现场采购人、采购代理机构相关工作人员有需要回避的情形的，应当场提出询问或者回避申请。 </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19. 资格审查及组建评标委员会 </w:t>
      </w:r>
    </w:p>
    <w:p>
      <w:pPr>
        <w:pStyle w:val="44"/>
        <w:widowControl w:val="0"/>
        <w:adjustRightInd w:val="0"/>
        <w:snapToGrid w:val="0"/>
        <w:spacing w:before="0" w:after="0" w:line="360" w:lineRule="auto"/>
        <w:rPr>
          <w:rFonts w:ascii="仿宋" w:hAnsi="仿宋" w:eastAsia="仿宋" w:cs="仿宋"/>
          <w:b/>
          <w:color w:val="000000"/>
          <w:spacing w:val="0"/>
          <w:kern w:val="2"/>
          <w:sz w:val="24"/>
          <w:szCs w:val="24"/>
        </w:rPr>
      </w:pPr>
      <w:r>
        <w:rPr>
          <w:rFonts w:hint="eastAsia" w:ascii="仿宋" w:hAnsi="仿宋" w:eastAsia="仿宋" w:cs="仿宋"/>
          <w:bCs w:val="0"/>
          <w:color w:val="000000"/>
          <w:spacing w:val="0"/>
          <w:kern w:val="2"/>
          <w:sz w:val="24"/>
          <w:szCs w:val="24"/>
        </w:rPr>
        <w:t>19.1 采购人或采购代理机构依据法律法规和招标文件中规定的内容，对投标人及其投标货物及服务的资格进行审查，未通过资格审查的投标人不进入评标；资格证明文件未装在“投标文件”中的，将被认定为未通过资格审查；通过资格审查的投标人少于三家的，不进行评标。</w:t>
      </w:r>
    </w:p>
    <w:p>
      <w:pPr>
        <w:pStyle w:val="44"/>
        <w:widowControl w:val="0"/>
        <w:adjustRightInd w:val="0"/>
        <w:snapToGrid w:val="0"/>
        <w:spacing w:before="0" w:after="0" w:line="360" w:lineRule="auto"/>
        <w:ind w:left="660" w:hanging="660" w:hangingChars="27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19.2 采购代理机构将按</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 xml:space="preserve">中规定的时间查询投标人的信用记录。 </w:t>
      </w:r>
    </w:p>
    <w:p>
      <w:pPr>
        <w:pStyle w:val="44"/>
        <w:widowControl w:val="0"/>
        <w:adjustRightInd w:val="0"/>
        <w:snapToGrid w:val="0"/>
        <w:spacing w:before="0" w:after="0" w:line="360" w:lineRule="auto"/>
        <w:ind w:left="-1"/>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19.2.1投标人在中国政府采购网（www.ccgp.gov.cn）被列入政府采购严重违法失信行为记录名单，在“信用中国”网站（www.creditchina.gov.cn）被列入失信被执行人、重大税收违法案件当事人名单，</w:t>
      </w:r>
      <w:r>
        <w:rPr>
          <w:rFonts w:ascii="仿宋" w:hAnsi="仿宋" w:eastAsia="仿宋"/>
          <w:kern w:val="0"/>
          <w:sz w:val="24"/>
        </w:rPr>
        <w:t>被列入</w:t>
      </w:r>
      <w:r>
        <w:rPr>
          <w:rFonts w:hint="eastAsia" w:ascii="仿宋" w:hAnsi="仿宋" w:eastAsia="仿宋"/>
          <w:kern w:val="0"/>
          <w:sz w:val="24"/>
          <w:lang w:eastAsia="zh-CN"/>
        </w:rPr>
        <w:t>新疆税务局</w:t>
      </w:r>
      <w:r>
        <w:rPr>
          <w:rFonts w:ascii="仿宋" w:hAnsi="仿宋" w:eastAsia="仿宋"/>
          <w:kern w:val="0"/>
          <w:sz w:val="24"/>
        </w:rPr>
        <w:t>失信惩戒企业名单</w:t>
      </w:r>
      <w:r>
        <w:rPr>
          <w:rFonts w:hint="eastAsia" w:ascii="仿宋" w:hAnsi="仿宋" w:eastAsia="仿宋" w:cs="仿宋"/>
          <w:bCs w:val="0"/>
          <w:color w:val="000000"/>
          <w:spacing w:val="0"/>
          <w:kern w:val="2"/>
          <w:sz w:val="24"/>
          <w:szCs w:val="24"/>
        </w:rPr>
        <w:t>以及存在《中华人民共和国政府采购法实施条例》第十九条规定的行政处罚记录，投标将被认定为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以联合体形式参加投标的，联合体任何成员存在以上不良信用记录的，联合体投标将被认定为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。（本项目不适用） </w:t>
      </w:r>
    </w:p>
    <w:p>
      <w:pPr>
        <w:pStyle w:val="44"/>
        <w:widowControl w:val="0"/>
        <w:adjustRightInd w:val="0"/>
        <w:snapToGrid w:val="0"/>
        <w:spacing w:before="0" w:after="0" w:line="360" w:lineRule="auto"/>
        <w:ind w:left="-1"/>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19.2.2 采购代理机构经办人将查询网页打印并存档备查。投标人不良信用记录以采购人或采购代理机构查询结果为准。投标人自行提供的与网站信息不一致的其他证明材料亦不作为资格审查依据。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在本招标文件规定的查询时间之外，网站信息发生的任何变更均不作为资格审查依据。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19.3 按照《中华人民共和国政府采购法》、《中华人民共和国政府采购法实施</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条例》及本项目本级和上级财政部门的有关规定依法组建的评标委员会，负责评标工作。 </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20. 投标文件的符合性审查与澄清 </w:t>
      </w:r>
    </w:p>
    <w:p>
      <w:pPr>
        <w:pStyle w:val="44"/>
        <w:widowControl w:val="0"/>
        <w:adjustRightInd w:val="0"/>
        <w:snapToGrid w:val="0"/>
        <w:spacing w:before="0" w:after="0" w:line="360" w:lineRule="auto"/>
        <w:rPr>
          <w:rFonts w:ascii="仿宋" w:hAnsi="仿宋" w:eastAsia="仿宋" w:cs="仿宋"/>
          <w:b/>
          <w:color w:val="000000"/>
          <w:spacing w:val="0"/>
          <w:kern w:val="2"/>
          <w:sz w:val="24"/>
          <w:szCs w:val="24"/>
        </w:rPr>
      </w:pPr>
      <w:r>
        <w:rPr>
          <w:rFonts w:hint="eastAsia" w:ascii="仿宋" w:hAnsi="仿宋" w:eastAsia="仿宋" w:cs="仿宋"/>
          <w:bCs w:val="0"/>
          <w:color w:val="000000"/>
          <w:spacing w:val="0"/>
          <w:kern w:val="2"/>
          <w:sz w:val="24"/>
          <w:szCs w:val="24"/>
        </w:rPr>
        <w:t xml:space="preserve">20.1 符合性检查是指依据招标文件的规定，从投标文件的有效性、完整性和对招标文件的响应程度进行审查，以确定是否对招标文件的实质性要求做出响应。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20.2 投标文件的澄清 </w:t>
      </w:r>
    </w:p>
    <w:p>
      <w:pPr>
        <w:pStyle w:val="44"/>
        <w:widowControl w:val="0"/>
        <w:adjustRightInd w:val="0"/>
        <w:snapToGrid w:val="0"/>
        <w:spacing w:before="0" w:after="0" w:line="360" w:lineRule="auto"/>
        <w:ind w:left="-1"/>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20.2.2 投标人的澄清、说明或补正将作为投标文件的一部分。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20.2.3 投标文件报价出现前后不一致的，按照下列规定修正：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（一）投标文件中开标一览表（报价表）内容与投标文件中相应内容不一致的，以开标一览表（报价表）为准；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（二）大写金额和小写金额不一致的，以大写金额为准；</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（三）单价金额小数点或者百分比有明显错位的，以开标一览表的总价为准，并修改单价；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（四）总价金额与按单价汇总金额不一致的，以单价金额计算结果为准。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同时出现两种以上不一致的，按照前款规定的顺序修正。修正后的报价经投标人确认后产生约束力，投标人不确认的，其投标将被认定为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对不同文字文本投标文件的解释发生异议的，以汉语语言文本为准。 </w:t>
      </w:r>
    </w:p>
    <w:p>
      <w:pPr>
        <w:pStyle w:val="44"/>
        <w:widowControl w:val="0"/>
        <w:adjustRightInd w:val="0"/>
        <w:snapToGrid w:val="0"/>
        <w:spacing w:before="0" w:after="0" w:line="360" w:lineRule="auto"/>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20.3 投标人所投货物所伴随的服务如被列入财政部与国家主管部门颁发的节能产品或环境标志产品品目清单或无线局域网产品清单，应提供处于有效期之内认证证书等相关证明，在评标时予以优先采购，具体优先采购办法见第六章评标方法和标准。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如采购货物为政府强制采购的产品，投标人所投产品应属于品目清单的强制采购部分。投标人应提供有效期内的认证证书，否则其投标将被认定为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如采购货物属于信息安全产品的，投标人所投产品应为经国家认证的信息安全产品，并提供由中国信息安全认证中心按国家标准认证颁发的有效认证证书，否则其投标将被认定为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20.4 政府采购货物或服务项目中涉及商品包装和快递包装的，投标人提供产品及相关快递服务的具体包装要求请详见《商品包装政府采购需求标准（试行）》、《快递包装政府采购需求标准（试行）》。</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21. 投标偏离 </w:t>
      </w:r>
    </w:p>
    <w:p>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对于投标文件中不构成实质性偏差的不正规、不一致或不规则，评标委员会可以接受，但这种接受不能损坏或影响任何投标人的相对排序。 </w:t>
      </w:r>
    </w:p>
    <w:p>
      <w:pPr>
        <w:pStyle w:val="44"/>
        <w:widowControl w:val="0"/>
        <w:adjustRightInd w:val="0"/>
        <w:snapToGrid w:val="0"/>
        <w:spacing w:before="0" w:after="0" w:line="360" w:lineRule="auto"/>
        <w:ind w:left="638" w:hanging="638" w:hangingChars="265"/>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 xml:space="preserve">22. 无效投标 </w:t>
      </w:r>
    </w:p>
    <w:p>
      <w:pPr>
        <w:pStyle w:val="44"/>
        <w:widowControl w:val="0"/>
        <w:adjustRightInd w:val="0"/>
        <w:snapToGrid w:val="0"/>
        <w:spacing w:before="0" w:after="0" w:line="360" w:lineRule="auto"/>
        <w:rPr>
          <w:rFonts w:ascii="仿宋" w:hAnsi="仿宋" w:eastAsia="仿宋" w:cs="仿宋"/>
          <w:b/>
          <w:color w:val="000000"/>
          <w:spacing w:val="0"/>
          <w:kern w:val="2"/>
          <w:sz w:val="24"/>
          <w:szCs w:val="24"/>
        </w:rPr>
      </w:pPr>
      <w:r>
        <w:rPr>
          <w:rFonts w:hint="eastAsia" w:ascii="仿宋" w:hAnsi="仿宋" w:eastAsia="仿宋" w:cs="仿宋"/>
          <w:bCs w:val="0"/>
          <w:color w:val="000000"/>
          <w:spacing w:val="0"/>
          <w:kern w:val="2"/>
          <w:sz w:val="24"/>
          <w:szCs w:val="24"/>
        </w:rPr>
        <w:t>22.1 在比较与评价之前，根据招标文件的规定，评标委员会要审查每份投标文件是否实质上响应了招标文件的要求。实质上响应的投标应该是与招标文件要求的全部条款、条件和规格相符，没有重大偏离的投标。 对关键条款的偏离、保留和反对，将被认为是实质上的偏离，其投标将被认定为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。评标委员会决定投标的响应性只根据招标文件要求、投标文件内容及财政主管部门指定相关信息发布媒体。 </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22.2 实质上没有响应招标文件要求的投标将被认定为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。投标人不得通</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过修正或撤销不符合要求的偏离或保留从而使其投标成为实质上响应的投标。如发现下列情况之一的，其投标将被认定为</w:t>
      </w:r>
      <w:r>
        <w:rPr>
          <w:rFonts w:hint="eastAsia" w:ascii="仿宋" w:hAnsi="仿宋" w:eastAsia="仿宋" w:cs="仿宋"/>
          <w:b/>
          <w:color w:val="000000"/>
          <w:spacing w:val="0"/>
          <w:kern w:val="2"/>
          <w:sz w:val="24"/>
          <w:szCs w:val="24"/>
        </w:rPr>
        <w:t>投标无效</w:t>
      </w:r>
      <w:r>
        <w:rPr>
          <w:rFonts w:hint="eastAsia" w:ascii="仿宋" w:hAnsi="仿宋" w:eastAsia="仿宋" w:cs="仿宋"/>
          <w:bCs w:val="0"/>
          <w:color w:val="000000"/>
          <w:spacing w:val="0"/>
          <w:kern w:val="2"/>
          <w:sz w:val="24"/>
          <w:szCs w:val="24"/>
        </w:rPr>
        <w:t xml:space="preserve">：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（1） 未按招标文件规定的形式和金额交纳投标保证金的；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（2） 未按照招标文件规定要求加盖电子章的；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（3） 未满足招标文件中技术条款的实质性要求；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（4） 属于串通投标，或者依法被视为串通投标；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（5） 投标文件含有采购人不能接受的附加条件的；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（6） 评标委员会认为投标人的报价明显低于其他通过符合性检查投标人的报价，有可能影响履约的，且投标人未按照规定证明其报价合理性的；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（7） 属于招标文件规定的其他无效投标情形； </w:t>
      </w:r>
    </w:p>
    <w:p>
      <w:pPr>
        <w:pStyle w:val="44"/>
        <w:widowControl w:val="0"/>
        <w:adjustRightInd w:val="0"/>
        <w:snapToGrid w:val="0"/>
        <w:spacing w:before="0" w:after="0" w:line="360" w:lineRule="auto"/>
        <w:ind w:left="634" w:leftChars="302" w:firstLine="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（8） 不符合法规和招标文件中规定的其他实质性要求的。 </w:t>
      </w:r>
    </w:p>
    <w:p>
      <w:pPr>
        <w:adjustRightInd w:val="0"/>
        <w:snapToGrid w:val="0"/>
        <w:spacing w:line="360" w:lineRule="auto"/>
        <w:ind w:left="638" w:hanging="638" w:hangingChars="265"/>
        <w:rPr>
          <w:rFonts w:ascii="仿宋" w:hAnsi="仿宋" w:eastAsia="仿宋" w:cs="仿宋"/>
          <w:b/>
          <w:bCs/>
          <w:color w:val="000000"/>
          <w:sz w:val="24"/>
        </w:rPr>
      </w:pPr>
      <w:bookmarkStart w:id="11" w:name="_Toc507399470"/>
      <w:r>
        <w:rPr>
          <w:rFonts w:hint="eastAsia" w:ascii="仿宋" w:hAnsi="仿宋" w:eastAsia="仿宋" w:cs="仿宋"/>
          <w:b/>
          <w:bCs/>
          <w:color w:val="000000"/>
          <w:sz w:val="24"/>
        </w:rPr>
        <w:t>23.  比较与评价</w:t>
      </w:r>
      <w:bookmarkEnd w:id="11"/>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23.1 经符合性检查合格的投标文件，评标委员会将根据招标文件确定的评标方</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法和标准，对其技术部分和商务部分作进一步的比较和评价。</w:t>
      </w:r>
    </w:p>
    <w:p>
      <w:pPr>
        <w:adjustRightInd w:val="0"/>
        <w:snapToGrid w:val="0"/>
        <w:spacing w:line="360" w:lineRule="auto"/>
        <w:ind w:left="660" w:hanging="660" w:hangingChars="275"/>
        <w:rPr>
          <w:rFonts w:ascii="仿宋" w:hAnsi="仿宋" w:eastAsia="仿宋" w:cs="仿宋"/>
          <w:color w:val="000000"/>
          <w:sz w:val="24"/>
          <w:u w:val="single"/>
        </w:rPr>
      </w:pPr>
      <w:r>
        <w:rPr>
          <w:rFonts w:hint="eastAsia" w:ascii="仿宋" w:hAnsi="仿宋" w:eastAsia="仿宋" w:cs="仿宋"/>
          <w:color w:val="000000"/>
          <w:sz w:val="24"/>
        </w:rPr>
        <w:t>23.2 评标严格按照招标文件的要求和条件进行。根据实际情况，在</w:t>
      </w:r>
      <w:r>
        <w:rPr>
          <w:rFonts w:hint="eastAsia" w:ascii="仿宋" w:hAnsi="仿宋" w:eastAsia="仿宋" w:cs="仿宋"/>
          <w:color w:val="000000"/>
          <w:sz w:val="24"/>
          <w:u w:val="single"/>
        </w:rPr>
        <w:t>投标人须知</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u w:val="single"/>
        </w:rPr>
        <w:t>前附表</w:t>
      </w:r>
      <w:r>
        <w:rPr>
          <w:rFonts w:hint="eastAsia" w:ascii="仿宋" w:hAnsi="仿宋" w:eastAsia="仿宋" w:cs="仿宋"/>
          <w:color w:val="000000"/>
          <w:sz w:val="24"/>
        </w:rPr>
        <w:t>中规定采用下列一种评标方法，详细评标标准见招标文件第六章：</w:t>
      </w:r>
    </w:p>
    <w:p>
      <w:pPr>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（1） 最低评标价法，是指投标文件满足招标文件全部实质性要求，且投标报价最低的投标人为中标候选人的评标方法。</w:t>
      </w:r>
    </w:p>
    <w:p>
      <w:pPr>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（2） 综合评分法，是指投标文件满足招标文件全部实质性要求，且按照评审因素的量化指标评审得分最高的投标人为中标候选人的评标方法。</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23.3 根据《政府采购促进中小企业发展管理办法》财库〔2020〕46号、《财政</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部 司法部关于政府采购支持监狱企业发展有关问题的通知》（财库〔2014〕68</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号）和《三部门联合发布关于促进残疾人就业政府采购政策的通知》（</w:t>
      </w:r>
      <w:bookmarkStart w:id="12" w:name="sendNo"/>
      <w:r>
        <w:rPr>
          <w:rFonts w:hint="eastAsia" w:ascii="仿宋" w:hAnsi="仿宋" w:eastAsia="仿宋" w:cs="仿宋"/>
          <w:color w:val="000000"/>
          <w:sz w:val="24"/>
        </w:rPr>
        <w:t>财库〔</w:t>
      </w:r>
      <w:bookmarkEnd w:id="12"/>
      <w:r>
        <w:rPr>
          <w:rFonts w:hint="eastAsia" w:ascii="仿宋" w:hAnsi="仿宋" w:eastAsia="仿宋" w:cs="仿宋"/>
          <w:color w:val="000000"/>
          <w:sz w:val="24"/>
        </w:rPr>
        <w:t>2017〕</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141号）的规定，对满足价格扣除条件且在投标文件中提交了《投标人企业类型</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声明函》或省级以上监狱管理局、戒毒管理局（含新疆生产建设兵团）出具的属</w:t>
      </w:r>
    </w:p>
    <w:p>
      <w:pPr>
        <w:adjustRightInd w:val="0"/>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rPr>
        <w:t>于监狱企业的证明文件的投标人，其投标报价扣除10%后参与评审。具体办法详见招标文件第六章。</w:t>
      </w:r>
    </w:p>
    <w:p>
      <w:pPr>
        <w:adjustRightInd w:val="0"/>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lang w:val="en-US" w:eastAsia="zh-CN"/>
        </w:rPr>
        <w:t>23</w:t>
      </w:r>
      <w:r>
        <w:rPr>
          <w:rFonts w:hint="eastAsia" w:ascii="仿宋" w:hAnsi="仿宋" w:eastAsia="仿宋" w:cs="仿宋"/>
          <w:color w:val="000000"/>
          <w:sz w:val="24"/>
        </w:rPr>
        <w:t>.4　同品牌多家</w:t>
      </w:r>
      <w:r>
        <w:rPr>
          <w:rFonts w:hint="eastAsia" w:ascii="仿宋" w:hAnsi="仿宋" w:eastAsia="仿宋" w:cs="仿宋"/>
          <w:color w:val="000000"/>
          <w:sz w:val="24"/>
          <w:lang w:eastAsia="zh-CN"/>
        </w:rPr>
        <w:t>投标人</w:t>
      </w:r>
      <w:r>
        <w:rPr>
          <w:rFonts w:hint="eastAsia" w:ascii="仿宋" w:hAnsi="仿宋" w:eastAsia="仿宋" w:cs="仿宋"/>
          <w:color w:val="000000"/>
          <w:sz w:val="24"/>
        </w:rPr>
        <w:t>处理原则</w:t>
      </w:r>
    </w:p>
    <w:p>
      <w:pPr>
        <w:adjustRightInd w:val="0"/>
        <w:snapToGrid w:val="0"/>
        <w:spacing w:line="360" w:lineRule="auto"/>
        <w:rPr>
          <w:rFonts w:hint="eastAsia" w:ascii="仿宋" w:hAnsi="仿宋" w:eastAsia="仿宋" w:cs="仿宋"/>
          <w:color w:val="000000"/>
          <w:sz w:val="24"/>
        </w:rPr>
      </w:pPr>
      <w:r>
        <w:rPr>
          <w:rFonts w:hint="eastAsia" w:ascii="仿宋" w:hAnsi="仿宋" w:eastAsia="仿宋" w:cs="仿宋"/>
          <w:color w:val="000000"/>
          <w:sz w:val="24"/>
          <w:lang w:val="en-US" w:eastAsia="zh-CN"/>
        </w:rPr>
        <w:t>23</w:t>
      </w:r>
      <w:r>
        <w:rPr>
          <w:rFonts w:hint="eastAsia" w:ascii="仿宋" w:hAnsi="仿宋" w:eastAsia="仿宋" w:cs="仿宋"/>
          <w:color w:val="000000"/>
          <w:sz w:val="24"/>
        </w:rPr>
        <w:t>.4.1　提供相同品牌产品且通过资格审查、符合性审查的不同</w:t>
      </w:r>
      <w:r>
        <w:rPr>
          <w:rFonts w:hint="eastAsia" w:ascii="仿宋" w:hAnsi="仿宋" w:eastAsia="仿宋" w:cs="仿宋"/>
          <w:color w:val="000000"/>
          <w:sz w:val="24"/>
          <w:lang w:eastAsia="zh-CN"/>
        </w:rPr>
        <w:t>投标人</w:t>
      </w:r>
      <w:r>
        <w:rPr>
          <w:rFonts w:hint="eastAsia" w:ascii="仿宋" w:hAnsi="仿宋" w:eastAsia="仿宋" w:cs="仿宋"/>
          <w:color w:val="000000"/>
          <w:sz w:val="24"/>
        </w:rPr>
        <w:t>参加同一合同项下投标的，按一家</w:t>
      </w:r>
      <w:r>
        <w:rPr>
          <w:rFonts w:hint="eastAsia" w:ascii="仿宋" w:hAnsi="仿宋" w:eastAsia="仿宋" w:cs="仿宋"/>
          <w:color w:val="000000"/>
          <w:sz w:val="24"/>
          <w:lang w:eastAsia="zh-CN"/>
        </w:rPr>
        <w:t>投标人</w:t>
      </w:r>
      <w:r>
        <w:rPr>
          <w:rFonts w:hint="eastAsia" w:ascii="仿宋" w:hAnsi="仿宋" w:eastAsia="仿宋" w:cs="仿宋"/>
          <w:color w:val="000000"/>
          <w:sz w:val="24"/>
        </w:rPr>
        <w:t>计算，评审后得分最高的同品牌</w:t>
      </w:r>
      <w:r>
        <w:rPr>
          <w:rFonts w:hint="eastAsia" w:ascii="仿宋" w:hAnsi="仿宋" w:eastAsia="仿宋" w:cs="仿宋"/>
          <w:color w:val="000000"/>
          <w:sz w:val="24"/>
          <w:lang w:eastAsia="zh-CN"/>
        </w:rPr>
        <w:t>投标人</w:t>
      </w:r>
      <w:r>
        <w:rPr>
          <w:rFonts w:hint="eastAsia" w:ascii="仿宋" w:hAnsi="仿宋" w:eastAsia="仿宋" w:cs="仿宋"/>
          <w:color w:val="000000"/>
          <w:sz w:val="24"/>
        </w:rPr>
        <w:t>获得中标人推荐资格；评审得分相同的，由采购人或者采购人委托评标委员会按照招标文件规定的方式确定一个</w:t>
      </w:r>
      <w:r>
        <w:rPr>
          <w:rFonts w:hint="eastAsia" w:ascii="仿宋" w:hAnsi="仿宋" w:eastAsia="仿宋" w:cs="仿宋"/>
          <w:color w:val="000000"/>
          <w:sz w:val="24"/>
          <w:lang w:eastAsia="zh-CN"/>
        </w:rPr>
        <w:t>投标人</w:t>
      </w:r>
      <w:r>
        <w:rPr>
          <w:rFonts w:hint="eastAsia" w:ascii="仿宋" w:hAnsi="仿宋" w:eastAsia="仿宋" w:cs="仿宋"/>
          <w:color w:val="000000"/>
          <w:sz w:val="24"/>
        </w:rPr>
        <w:t>获得中标人推荐资格，招标文件未规定的采取随机抽取方式确定，其他同品牌</w:t>
      </w:r>
      <w:r>
        <w:rPr>
          <w:rFonts w:hint="eastAsia" w:ascii="仿宋" w:hAnsi="仿宋" w:eastAsia="仿宋" w:cs="仿宋"/>
          <w:color w:val="000000"/>
          <w:sz w:val="24"/>
          <w:lang w:eastAsia="zh-CN"/>
        </w:rPr>
        <w:t>投标人</w:t>
      </w:r>
      <w:r>
        <w:rPr>
          <w:rFonts w:hint="eastAsia" w:ascii="仿宋" w:hAnsi="仿宋" w:eastAsia="仿宋" w:cs="仿宋"/>
          <w:color w:val="000000"/>
          <w:sz w:val="24"/>
        </w:rPr>
        <w:t>不作为中标候选人。</w:t>
      </w:r>
    </w:p>
    <w:p>
      <w:pPr>
        <w:adjustRightInd w:val="0"/>
        <w:snapToGrid w:val="0"/>
        <w:spacing w:line="360" w:lineRule="auto"/>
      </w:pPr>
      <w:r>
        <w:rPr>
          <w:rFonts w:hint="eastAsia" w:ascii="仿宋" w:hAnsi="仿宋" w:eastAsia="仿宋" w:cs="仿宋"/>
          <w:color w:val="000000"/>
          <w:sz w:val="24"/>
          <w:lang w:val="en-US" w:eastAsia="zh-CN"/>
        </w:rPr>
        <w:t>23</w:t>
      </w:r>
      <w:r>
        <w:rPr>
          <w:rFonts w:hint="eastAsia" w:ascii="仿宋" w:hAnsi="仿宋" w:eastAsia="仿宋" w:cs="仿宋"/>
          <w:color w:val="000000"/>
          <w:sz w:val="24"/>
        </w:rPr>
        <w:t>.4.2  非单一产品采购项目，采购人应当根据采购项目技术构成、产品价格比重等合理确定核心产品，并在招标文件中载明。多家</w:t>
      </w:r>
      <w:r>
        <w:rPr>
          <w:rFonts w:hint="eastAsia" w:ascii="仿宋" w:hAnsi="仿宋" w:eastAsia="仿宋" w:cs="仿宋"/>
          <w:color w:val="000000"/>
          <w:sz w:val="24"/>
          <w:lang w:eastAsia="zh-CN"/>
        </w:rPr>
        <w:t>投标人</w:t>
      </w:r>
      <w:r>
        <w:rPr>
          <w:rFonts w:hint="eastAsia" w:ascii="仿宋" w:hAnsi="仿宋" w:eastAsia="仿宋" w:cs="仿宋"/>
          <w:color w:val="000000"/>
          <w:sz w:val="24"/>
        </w:rPr>
        <w:t>提供的核心产品品牌型号相同的，按前款规定处理。</w:t>
      </w:r>
    </w:p>
    <w:p>
      <w:pPr>
        <w:adjustRightInd w:val="0"/>
        <w:snapToGrid w:val="0"/>
        <w:spacing w:line="360" w:lineRule="auto"/>
        <w:ind w:left="638" w:hanging="638" w:hangingChars="265"/>
        <w:rPr>
          <w:rFonts w:ascii="仿宋" w:hAnsi="仿宋" w:eastAsia="仿宋" w:cs="仿宋"/>
          <w:b/>
          <w:bCs/>
          <w:color w:val="000000"/>
          <w:sz w:val="24"/>
        </w:rPr>
      </w:pPr>
      <w:bookmarkStart w:id="13" w:name="_Toc520356168"/>
      <w:bookmarkStart w:id="14" w:name="_Toc507399471"/>
      <w:r>
        <w:rPr>
          <w:rFonts w:hint="eastAsia" w:ascii="仿宋" w:hAnsi="仿宋" w:eastAsia="仿宋" w:cs="仿宋"/>
          <w:b/>
          <w:bCs/>
          <w:color w:val="000000"/>
          <w:sz w:val="24"/>
        </w:rPr>
        <w:t>24</w:t>
      </w:r>
      <w:bookmarkEnd w:id="13"/>
      <w:r>
        <w:rPr>
          <w:rFonts w:hint="eastAsia" w:ascii="仿宋" w:hAnsi="仿宋" w:eastAsia="仿宋" w:cs="仿宋"/>
          <w:b/>
          <w:bCs/>
          <w:color w:val="000000"/>
          <w:sz w:val="24"/>
        </w:rPr>
        <w:t>.  废标</w:t>
      </w:r>
      <w:bookmarkEnd w:id="14"/>
    </w:p>
    <w:p>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出现下列情形之一，将导致项目废标即本项目的所有投标被拒绝： </w:t>
      </w:r>
    </w:p>
    <w:p>
      <w:pPr>
        <w:adjustRightInd w:val="0"/>
        <w:snapToGrid w:val="0"/>
        <w:spacing w:line="360" w:lineRule="auto"/>
        <w:ind w:left="634" w:leftChars="302" w:firstLine="4"/>
        <w:rPr>
          <w:rFonts w:ascii="仿宋" w:hAnsi="仿宋" w:eastAsia="仿宋" w:cs="仿宋"/>
          <w:color w:val="000000"/>
          <w:sz w:val="24"/>
        </w:rPr>
      </w:pPr>
      <w:r>
        <w:rPr>
          <w:rFonts w:hint="eastAsia" w:ascii="仿宋" w:hAnsi="仿宋" w:eastAsia="仿宋" w:cs="仿宋"/>
          <w:color w:val="000000"/>
          <w:sz w:val="24"/>
        </w:rPr>
        <w:t>（1）符合专业条件的投标人或者对招标文件做实质性响应的投标人不足三家；</w:t>
      </w:r>
    </w:p>
    <w:p>
      <w:pPr>
        <w:adjustRightInd w:val="0"/>
        <w:snapToGrid w:val="0"/>
        <w:spacing w:line="360" w:lineRule="auto"/>
        <w:ind w:left="634" w:leftChars="302" w:firstLine="4"/>
        <w:rPr>
          <w:rFonts w:ascii="仿宋" w:hAnsi="仿宋" w:eastAsia="仿宋" w:cs="仿宋"/>
          <w:color w:val="000000"/>
          <w:sz w:val="24"/>
        </w:rPr>
      </w:pPr>
      <w:r>
        <w:rPr>
          <w:rFonts w:hint="eastAsia" w:ascii="仿宋" w:hAnsi="仿宋" w:eastAsia="仿宋" w:cs="仿宋"/>
          <w:color w:val="000000"/>
          <w:sz w:val="24"/>
        </w:rPr>
        <w:t>（2）出现影响采购公正的违法、违规行为的；</w:t>
      </w:r>
    </w:p>
    <w:p>
      <w:pPr>
        <w:adjustRightInd w:val="0"/>
        <w:snapToGrid w:val="0"/>
        <w:spacing w:line="360" w:lineRule="auto"/>
        <w:ind w:left="634" w:leftChars="302" w:firstLine="4"/>
        <w:rPr>
          <w:rFonts w:ascii="仿宋" w:hAnsi="仿宋" w:eastAsia="仿宋" w:cs="仿宋"/>
          <w:color w:val="000000"/>
          <w:sz w:val="24"/>
        </w:rPr>
      </w:pPr>
      <w:r>
        <w:rPr>
          <w:rFonts w:hint="eastAsia" w:ascii="仿宋" w:hAnsi="仿宋" w:eastAsia="仿宋" w:cs="仿宋"/>
          <w:color w:val="000000"/>
          <w:sz w:val="24"/>
        </w:rPr>
        <w:t>（3）投标人的报价均超过了采购预算，采购人不能支付的；</w:t>
      </w:r>
    </w:p>
    <w:p>
      <w:pPr>
        <w:adjustRightInd w:val="0"/>
        <w:snapToGrid w:val="0"/>
        <w:spacing w:line="360" w:lineRule="auto"/>
        <w:ind w:left="634" w:leftChars="302" w:firstLine="4"/>
        <w:rPr>
          <w:rFonts w:ascii="仿宋" w:hAnsi="仿宋" w:eastAsia="仿宋" w:cs="仿宋"/>
          <w:color w:val="000000"/>
          <w:sz w:val="24"/>
        </w:rPr>
      </w:pPr>
      <w:r>
        <w:rPr>
          <w:rFonts w:hint="eastAsia" w:ascii="仿宋" w:hAnsi="仿宋" w:eastAsia="仿宋" w:cs="仿宋"/>
          <w:color w:val="000000"/>
          <w:sz w:val="24"/>
        </w:rPr>
        <w:t>（4）因重大变故，采购任务取消的。</w:t>
      </w:r>
    </w:p>
    <w:p>
      <w:pPr>
        <w:adjustRightInd w:val="0"/>
        <w:snapToGrid w:val="0"/>
        <w:spacing w:line="360" w:lineRule="auto"/>
        <w:ind w:left="638" w:hanging="638" w:hangingChars="265"/>
        <w:rPr>
          <w:rFonts w:ascii="仿宋" w:hAnsi="仿宋" w:eastAsia="仿宋" w:cs="仿宋"/>
          <w:color w:val="000000"/>
          <w:sz w:val="24"/>
        </w:rPr>
      </w:pPr>
      <w:r>
        <w:rPr>
          <w:rFonts w:hint="eastAsia" w:ascii="仿宋" w:hAnsi="仿宋" w:eastAsia="仿宋" w:cs="仿宋"/>
          <w:b/>
          <w:bCs/>
          <w:color w:val="000000"/>
          <w:sz w:val="24"/>
        </w:rPr>
        <w:t>25.  保密原则</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25.1 评标将在严格保密的情况下进行。</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25.2 政府采购评审专家应当遵守评审工作纪律，不得泄露评审文件、评审情况</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和评审中获悉的商业秘密。</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25.3 投标人试图影响采购人、采购代理机构和评标委员会的任何活动，将导致</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其</w:t>
      </w:r>
      <w:r>
        <w:rPr>
          <w:rFonts w:hint="eastAsia" w:ascii="仿宋" w:hAnsi="仿宋" w:eastAsia="仿宋" w:cs="仿宋"/>
          <w:b/>
          <w:bCs/>
          <w:color w:val="000000"/>
          <w:sz w:val="24"/>
        </w:rPr>
        <w:t>投标被拒绝</w:t>
      </w:r>
      <w:r>
        <w:rPr>
          <w:rFonts w:hint="eastAsia" w:ascii="仿宋" w:hAnsi="仿宋" w:eastAsia="仿宋" w:cs="仿宋"/>
          <w:color w:val="000000"/>
          <w:sz w:val="24"/>
        </w:rPr>
        <w:t>，并承担相应的法律责任。</w:t>
      </w:r>
    </w:p>
    <w:p>
      <w:pPr>
        <w:adjustRightInd w:val="0"/>
        <w:snapToGrid w:val="0"/>
        <w:spacing w:line="360" w:lineRule="auto"/>
        <w:ind w:left="638" w:hanging="638" w:hangingChars="265"/>
        <w:jc w:val="center"/>
        <w:rPr>
          <w:rFonts w:ascii="仿宋" w:hAnsi="仿宋" w:eastAsia="仿宋" w:cs="仿宋"/>
          <w:b/>
          <w:bCs/>
          <w:color w:val="000000"/>
          <w:sz w:val="24"/>
        </w:rPr>
      </w:pPr>
      <w:bookmarkStart w:id="15" w:name="_Toc507399473"/>
      <w:bookmarkStart w:id="16" w:name="_Toc216582810"/>
      <w:r>
        <w:rPr>
          <w:rFonts w:hint="eastAsia" w:ascii="仿宋" w:hAnsi="仿宋" w:eastAsia="仿宋" w:cs="仿宋"/>
          <w:b/>
          <w:bCs/>
          <w:color w:val="000000"/>
          <w:sz w:val="24"/>
        </w:rPr>
        <w:t>六   确定中标</w:t>
      </w:r>
      <w:bookmarkEnd w:id="15"/>
      <w:bookmarkEnd w:id="16"/>
    </w:p>
    <w:p>
      <w:pPr>
        <w:adjustRightInd w:val="0"/>
        <w:snapToGrid w:val="0"/>
        <w:spacing w:line="360" w:lineRule="auto"/>
        <w:ind w:left="638" w:hanging="638" w:hangingChars="265"/>
        <w:rPr>
          <w:rFonts w:ascii="仿宋" w:hAnsi="仿宋" w:eastAsia="仿宋" w:cs="仿宋"/>
          <w:b/>
          <w:bCs/>
          <w:color w:val="000000"/>
          <w:sz w:val="24"/>
        </w:rPr>
      </w:pPr>
      <w:bookmarkStart w:id="17" w:name="_Toc520356170"/>
      <w:bookmarkStart w:id="18" w:name="_Ref467307010"/>
      <w:bookmarkStart w:id="19" w:name="_Toc507399474"/>
      <w:r>
        <w:rPr>
          <w:rFonts w:hint="eastAsia" w:ascii="仿宋" w:hAnsi="仿宋" w:eastAsia="仿宋" w:cs="仿宋"/>
          <w:b/>
          <w:bCs/>
          <w:color w:val="000000"/>
          <w:sz w:val="24"/>
        </w:rPr>
        <w:t>26.  中标候选人的确定原则及标准</w:t>
      </w:r>
      <w:bookmarkEnd w:id="17"/>
      <w:bookmarkEnd w:id="18"/>
      <w:bookmarkEnd w:id="19"/>
    </w:p>
    <w:p>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 xml:space="preserve">除评标委员会受采购人委托直接确定中标人的情形外，对实质上响应招标文件的投标人按下列方法进行排序，确定中标候选人： </w:t>
      </w:r>
    </w:p>
    <w:p>
      <w:pPr>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1）采用最低评标价法的，除了算数修正和落实政府采购政策需进行的价格扣除外，不对投标人的投标价格进行任何调整。评标结果按投标报价由低到高顺序排列。报价相同的由评标委员会现场采取随机抽取方式确定（详见招标文件第六章）。</w:t>
      </w:r>
    </w:p>
    <w:p>
      <w:pPr>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（2）采用综合评分法的，评标结果按评审后得分由高到低顺序排列。得分相同的，按投标报价由低到高顺序排列。（详见招标文件第六章）</w:t>
      </w:r>
    </w:p>
    <w:p>
      <w:pPr>
        <w:adjustRightInd w:val="0"/>
        <w:snapToGrid w:val="0"/>
        <w:spacing w:line="360" w:lineRule="auto"/>
        <w:ind w:left="638" w:hanging="638" w:hangingChars="265"/>
        <w:rPr>
          <w:rFonts w:ascii="仿宋" w:hAnsi="仿宋" w:eastAsia="仿宋" w:cs="仿宋"/>
          <w:b/>
          <w:bCs/>
          <w:color w:val="000000"/>
          <w:sz w:val="24"/>
        </w:rPr>
      </w:pPr>
      <w:r>
        <w:rPr>
          <w:rFonts w:hint="eastAsia" w:ascii="仿宋" w:hAnsi="仿宋" w:eastAsia="仿宋" w:cs="仿宋"/>
          <w:b/>
          <w:bCs/>
          <w:color w:val="000000"/>
          <w:sz w:val="24"/>
        </w:rPr>
        <w:t>27.  确定中标候选人和中标人</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27.1 评标委员会将根据评标标准，按</w:t>
      </w:r>
      <w:r>
        <w:rPr>
          <w:rFonts w:hint="eastAsia" w:ascii="仿宋" w:hAnsi="仿宋" w:eastAsia="仿宋" w:cs="仿宋"/>
          <w:bCs w:val="0"/>
          <w:color w:val="000000"/>
          <w:spacing w:val="0"/>
          <w:kern w:val="2"/>
          <w:sz w:val="24"/>
          <w:szCs w:val="24"/>
          <w:u w:val="single"/>
        </w:rPr>
        <w:t>投标须知前附表</w:t>
      </w:r>
      <w:r>
        <w:rPr>
          <w:rFonts w:hint="eastAsia" w:ascii="仿宋" w:hAnsi="仿宋" w:eastAsia="仿宋" w:cs="仿宋"/>
          <w:bCs w:val="0"/>
          <w:color w:val="000000"/>
          <w:spacing w:val="0"/>
          <w:kern w:val="2"/>
          <w:sz w:val="24"/>
          <w:szCs w:val="24"/>
        </w:rPr>
        <w:t>中规定数量推荐中标候选</w:t>
      </w:r>
    </w:p>
    <w:p>
      <w:pPr>
        <w:pStyle w:val="44"/>
        <w:widowControl w:val="0"/>
        <w:adjustRightInd w:val="0"/>
        <w:snapToGrid w:val="0"/>
        <w:spacing w:before="0" w:after="0" w:line="360" w:lineRule="auto"/>
        <w:ind w:left="636" w:hanging="636" w:hangingChars="265"/>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人。 </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27.2 按投标须知前附表中规定，由评标委员会直接确定中标人。</w:t>
      </w:r>
    </w:p>
    <w:p>
      <w:pPr>
        <w:adjustRightInd w:val="0"/>
        <w:snapToGrid w:val="0"/>
        <w:spacing w:line="360" w:lineRule="auto"/>
        <w:ind w:left="638" w:hanging="638" w:hangingChars="265"/>
        <w:rPr>
          <w:rFonts w:ascii="仿宋" w:hAnsi="仿宋" w:eastAsia="仿宋" w:cs="仿宋"/>
          <w:b/>
          <w:bCs/>
          <w:color w:val="000000"/>
          <w:sz w:val="24"/>
        </w:rPr>
      </w:pPr>
      <w:r>
        <w:rPr>
          <w:rFonts w:hint="eastAsia" w:ascii="仿宋" w:hAnsi="仿宋" w:eastAsia="仿宋" w:cs="仿宋"/>
          <w:b/>
          <w:bCs/>
          <w:color w:val="000000"/>
          <w:sz w:val="24"/>
        </w:rPr>
        <w:t>28.  采购任务取消</w:t>
      </w:r>
    </w:p>
    <w:p>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当采购任务取消时，为维护国家和社会公共利益，采购人有权拒绝任何投标人中标，且对受影响的投标人不承担任何责任。</w:t>
      </w:r>
    </w:p>
    <w:p>
      <w:pPr>
        <w:adjustRightInd w:val="0"/>
        <w:snapToGrid w:val="0"/>
        <w:spacing w:line="360" w:lineRule="auto"/>
        <w:ind w:left="638" w:hanging="638" w:hangingChars="265"/>
        <w:rPr>
          <w:rFonts w:ascii="仿宋" w:hAnsi="仿宋" w:eastAsia="仿宋" w:cs="仿宋"/>
          <w:b/>
          <w:bCs/>
          <w:color w:val="000000"/>
          <w:sz w:val="24"/>
        </w:rPr>
      </w:pPr>
      <w:r>
        <w:rPr>
          <w:rFonts w:hint="eastAsia" w:ascii="仿宋" w:hAnsi="仿宋" w:eastAsia="仿宋" w:cs="仿宋"/>
          <w:b/>
          <w:bCs/>
          <w:color w:val="000000"/>
          <w:sz w:val="24"/>
        </w:rPr>
        <w:t>29.  中标通知书</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29.1 在投标有效期内，中标人确定后，采购人或者采购代理机构发布中标公告</w:t>
      </w:r>
    </w:p>
    <w:p>
      <w:pPr>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后向中标人发出中标通知书。</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29.2 中标通知书是合同的组成部分。</w:t>
      </w:r>
    </w:p>
    <w:p>
      <w:pPr>
        <w:adjustRightInd w:val="0"/>
        <w:snapToGrid w:val="0"/>
        <w:spacing w:line="360" w:lineRule="auto"/>
        <w:ind w:left="638" w:hanging="638" w:hangingChars="265"/>
        <w:rPr>
          <w:rFonts w:ascii="仿宋" w:hAnsi="仿宋" w:eastAsia="仿宋" w:cs="仿宋"/>
          <w:b/>
          <w:bCs/>
          <w:color w:val="000000"/>
          <w:sz w:val="24"/>
        </w:rPr>
      </w:pPr>
      <w:r>
        <w:rPr>
          <w:rFonts w:hint="eastAsia" w:ascii="仿宋" w:hAnsi="仿宋" w:eastAsia="仿宋" w:cs="仿宋"/>
          <w:b/>
          <w:bCs/>
          <w:color w:val="000000"/>
          <w:sz w:val="24"/>
        </w:rPr>
        <w:t>30.  签订合同</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30.1 中标人应当自发出中标通知书之日起30日内，与采购人签订合同。</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30.2 招标文件、中标人的投标文件及其澄清文件等，均为签订合同的依据。</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30.3 中标人拒绝与采购人签订合同的，采购人可以按照评审报告推荐的中标候</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选人名单排序，确定下一候选人为中标人，也可以重新开展政府采购活动。</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30.4 当出现法规规定的中标无效情形时，采购人可与排名下一位的中标候选人</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另行签订合同，或依法重新开展采购活动。</w:t>
      </w:r>
    </w:p>
    <w:p>
      <w:pPr>
        <w:adjustRightInd w:val="0"/>
        <w:snapToGrid w:val="0"/>
        <w:spacing w:line="360" w:lineRule="auto"/>
        <w:ind w:left="638" w:hanging="638" w:hangingChars="265"/>
        <w:rPr>
          <w:rFonts w:ascii="仿宋" w:hAnsi="仿宋" w:eastAsia="仿宋" w:cs="仿宋"/>
          <w:b/>
          <w:bCs/>
          <w:color w:val="000000"/>
          <w:sz w:val="24"/>
        </w:rPr>
      </w:pPr>
      <w:bookmarkStart w:id="20" w:name="_Toc507399479"/>
      <w:r>
        <w:rPr>
          <w:rFonts w:hint="eastAsia" w:ascii="仿宋" w:hAnsi="仿宋" w:eastAsia="仿宋" w:cs="仿宋"/>
          <w:b/>
          <w:bCs/>
          <w:color w:val="000000"/>
          <w:sz w:val="24"/>
        </w:rPr>
        <w:t>31.  履约保证金</w:t>
      </w:r>
      <w:bookmarkEnd w:id="20"/>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31.1 中标人应按照</w:t>
      </w:r>
      <w:r>
        <w:rPr>
          <w:rFonts w:hint="eastAsia" w:ascii="仿宋" w:hAnsi="仿宋" w:eastAsia="仿宋" w:cs="仿宋"/>
          <w:color w:val="000000"/>
          <w:sz w:val="24"/>
          <w:u w:val="single"/>
        </w:rPr>
        <w:t>投标人须知前附表</w:t>
      </w:r>
      <w:r>
        <w:rPr>
          <w:rFonts w:hint="eastAsia" w:ascii="仿宋" w:hAnsi="仿宋" w:eastAsia="仿宋" w:cs="仿宋"/>
          <w:color w:val="000000"/>
          <w:sz w:val="24"/>
        </w:rPr>
        <w:t>规定的金额、形式和时间向采购人缴纳履</w:t>
      </w:r>
    </w:p>
    <w:p>
      <w:pPr>
        <w:adjustRightInd w:val="0"/>
        <w:snapToGrid w:val="0"/>
        <w:spacing w:line="360" w:lineRule="auto"/>
        <w:ind w:left="660" w:hanging="660" w:hangingChars="275"/>
        <w:rPr>
          <w:rFonts w:ascii="仿宋" w:hAnsi="仿宋" w:eastAsia="仿宋" w:cs="仿宋"/>
          <w:color w:val="000000"/>
          <w:sz w:val="24"/>
        </w:rPr>
      </w:pPr>
      <w:r>
        <w:rPr>
          <w:rFonts w:hint="eastAsia" w:ascii="仿宋" w:hAnsi="仿宋" w:eastAsia="仿宋" w:cs="仿宋"/>
          <w:color w:val="000000"/>
          <w:sz w:val="24"/>
        </w:rPr>
        <w:t>约保证金。</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31.2 经采购人同意，中标人也可以自愿采用其他履约保证金的提供方式。</w:t>
      </w:r>
    </w:p>
    <w:p>
      <w:pPr>
        <w:adjustRightInd w:val="0"/>
        <w:snapToGrid w:val="0"/>
        <w:spacing w:line="360" w:lineRule="auto"/>
        <w:ind w:left="-1"/>
        <w:rPr>
          <w:rFonts w:ascii="仿宋" w:hAnsi="仿宋" w:eastAsia="仿宋" w:cs="仿宋"/>
          <w:color w:val="000000"/>
          <w:sz w:val="24"/>
        </w:rPr>
      </w:pPr>
      <w:r>
        <w:rPr>
          <w:rFonts w:hint="eastAsia" w:ascii="仿宋" w:hAnsi="仿宋" w:eastAsia="仿宋" w:cs="仿宋"/>
          <w:color w:val="000000"/>
          <w:sz w:val="24"/>
        </w:rPr>
        <w:t>31.3 如果中标人没有按照上述第30条或31.1条的规定执行，将视为放弃中标资格，中标人的投标保证金将被没收。在此情况下，采购人可确定下一候选人为中标人，也可以重新开展政府采购活动。</w:t>
      </w:r>
    </w:p>
    <w:p>
      <w:pPr>
        <w:adjustRightInd w:val="0"/>
        <w:snapToGrid w:val="0"/>
        <w:spacing w:line="360" w:lineRule="auto"/>
        <w:ind w:left="638" w:hanging="638" w:hangingChars="265"/>
        <w:rPr>
          <w:rFonts w:ascii="仿宋" w:hAnsi="仿宋" w:eastAsia="仿宋" w:cs="仿宋"/>
          <w:b/>
          <w:bCs/>
          <w:color w:val="000000"/>
          <w:sz w:val="24"/>
        </w:rPr>
      </w:pPr>
      <w:bookmarkStart w:id="21" w:name="_Toc507399480"/>
      <w:r>
        <w:rPr>
          <w:rFonts w:hint="eastAsia" w:ascii="仿宋" w:hAnsi="仿宋" w:eastAsia="仿宋" w:cs="仿宋"/>
          <w:b/>
          <w:bCs/>
          <w:color w:val="000000"/>
          <w:sz w:val="24"/>
        </w:rPr>
        <w:t>32.  招标代理费</w:t>
      </w:r>
      <w:bookmarkEnd w:id="21"/>
    </w:p>
    <w:p>
      <w:pPr>
        <w:adjustRightInd w:val="0"/>
        <w:snapToGrid w:val="0"/>
        <w:spacing w:line="360" w:lineRule="auto"/>
        <w:ind w:firstLine="480" w:firstLineChars="200"/>
        <w:rPr>
          <w:rFonts w:ascii="仿宋" w:hAnsi="仿宋" w:eastAsia="仿宋" w:cs="仿宋"/>
          <w:color w:val="000000"/>
          <w:sz w:val="24"/>
        </w:rPr>
      </w:pPr>
      <w:bookmarkStart w:id="22" w:name="_Toc507399482"/>
      <w:r>
        <w:rPr>
          <w:rFonts w:hint="eastAsia" w:ascii="仿宋" w:hAnsi="仿宋" w:eastAsia="仿宋" w:cs="仿宋"/>
          <w:color w:val="000000"/>
          <w:sz w:val="24"/>
        </w:rPr>
        <w:t>中标人须按照投标须知前附表中规定的时间、形式、金额，向招标代理机构支付中标服务费。</w:t>
      </w:r>
    </w:p>
    <w:p>
      <w:pPr>
        <w:adjustRightInd w:val="0"/>
        <w:snapToGrid w:val="0"/>
        <w:spacing w:line="360" w:lineRule="auto"/>
        <w:ind w:left="638" w:hanging="638" w:hangingChars="265"/>
        <w:rPr>
          <w:rFonts w:ascii="仿宋" w:hAnsi="仿宋" w:eastAsia="仿宋" w:cs="仿宋"/>
          <w:b/>
          <w:bCs/>
          <w:color w:val="000000"/>
          <w:sz w:val="24"/>
        </w:rPr>
      </w:pPr>
      <w:r>
        <w:rPr>
          <w:rFonts w:hint="eastAsia" w:ascii="仿宋" w:hAnsi="仿宋" w:eastAsia="仿宋" w:cs="仿宋"/>
          <w:b/>
          <w:bCs/>
          <w:color w:val="000000"/>
          <w:sz w:val="24"/>
        </w:rPr>
        <w:t>33.  廉洁自律规定</w:t>
      </w:r>
      <w:bookmarkEnd w:id="22"/>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33.1 采购代理机构工作人员不得以不正当手段获取政府采购代理业务，不得与</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采购人、投标人恶意串通操纵政府采购活动。</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33.2 采购代理机构工作人员不得接受采购人或者投标人组织的宴请、旅游、娱</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乐，不得收受礼品、现金、有价证券等，不得向采购人或者投标人报销应当由个</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人承担的费用。</w:t>
      </w:r>
    </w:p>
    <w:p>
      <w:pPr>
        <w:adjustRightInd w:val="0"/>
        <w:snapToGrid w:val="0"/>
        <w:spacing w:line="360" w:lineRule="auto"/>
        <w:ind w:left="638" w:hanging="638" w:hangingChars="265"/>
        <w:rPr>
          <w:rFonts w:ascii="仿宋" w:hAnsi="仿宋" w:eastAsia="仿宋" w:cs="仿宋"/>
          <w:b/>
          <w:bCs/>
          <w:color w:val="000000"/>
          <w:sz w:val="24"/>
        </w:rPr>
      </w:pPr>
      <w:bookmarkStart w:id="23" w:name="_Toc507399483"/>
      <w:r>
        <w:rPr>
          <w:rFonts w:hint="eastAsia" w:ascii="仿宋" w:hAnsi="仿宋" w:eastAsia="仿宋" w:cs="仿宋"/>
          <w:b/>
          <w:bCs/>
          <w:color w:val="000000"/>
          <w:sz w:val="24"/>
        </w:rPr>
        <w:t>34.  人员回避</w:t>
      </w:r>
      <w:bookmarkEnd w:id="23"/>
    </w:p>
    <w:p>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潜在投标人认为招标文件使自己的权益受到损害的，投标人认为采购人员及其相关人员有法律法规所列与其他投标人有利害关系的，均可以向采购人或采购代理机构书面提出回避申请，并说明理由。</w:t>
      </w:r>
    </w:p>
    <w:p>
      <w:pPr>
        <w:adjustRightInd w:val="0"/>
        <w:snapToGrid w:val="0"/>
        <w:spacing w:line="360" w:lineRule="auto"/>
        <w:ind w:left="638" w:hanging="638" w:hangingChars="265"/>
        <w:rPr>
          <w:rFonts w:ascii="仿宋" w:hAnsi="仿宋" w:eastAsia="仿宋" w:cs="仿宋"/>
          <w:b/>
          <w:bCs/>
          <w:color w:val="000000"/>
          <w:sz w:val="24"/>
        </w:rPr>
      </w:pPr>
      <w:bookmarkStart w:id="24" w:name="_Toc507399484"/>
      <w:r>
        <w:rPr>
          <w:rFonts w:hint="eastAsia" w:ascii="仿宋" w:hAnsi="仿宋" w:eastAsia="仿宋" w:cs="仿宋"/>
          <w:b/>
          <w:bCs/>
          <w:color w:val="000000"/>
          <w:sz w:val="24"/>
        </w:rPr>
        <w:t>35.  质疑与接收</w:t>
      </w:r>
      <w:bookmarkEnd w:id="24"/>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35.1 投标人认为采购文件、采购过程和中标结果使自己的权益受到损害的，根</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据《政府采购法》、《政府采购法实施条例》和《政府采购质疑和投诉办法》的</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有关规定，可以依法向采购人或采购代理机构提出质疑。</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35.2 投标人应按照财政部制定的《政府采购质疑函范本》格式（可从财政部官</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方网站下载）和《政府采购质疑和投诉办法》的要求，在法定质疑期内以纸质形</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式提出质疑，针对同一采购程序环节的质疑次数见</w:t>
      </w:r>
      <w:r>
        <w:rPr>
          <w:rFonts w:hint="eastAsia" w:ascii="仿宋" w:hAnsi="仿宋" w:eastAsia="仿宋" w:cs="仿宋"/>
          <w:color w:val="000000"/>
          <w:sz w:val="24"/>
          <w:u w:val="single"/>
        </w:rPr>
        <w:t>投标须知前附表</w:t>
      </w:r>
      <w:r>
        <w:rPr>
          <w:rFonts w:hint="eastAsia" w:ascii="仿宋" w:hAnsi="仿宋" w:eastAsia="仿宋" w:cs="仿宋"/>
          <w:color w:val="000000"/>
          <w:sz w:val="24"/>
        </w:rPr>
        <w:t>。</w:t>
      </w:r>
    </w:p>
    <w:p>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超出法定质疑期的、重复提出的、分次提出的或内容、形式不符合《政府采购质疑和投诉办法》的，投标人将依法承担不利后果。</w:t>
      </w:r>
    </w:p>
    <w:p>
      <w:pPr>
        <w:adjustRightInd w:val="0"/>
        <w:snapToGrid w:val="0"/>
        <w:spacing w:line="360" w:lineRule="auto"/>
        <w:ind w:left="636" w:hanging="636" w:hangingChars="265"/>
        <w:rPr>
          <w:rFonts w:ascii="仿宋" w:hAnsi="仿宋" w:eastAsia="仿宋" w:cs="仿宋"/>
          <w:color w:val="000000"/>
          <w:sz w:val="24"/>
        </w:rPr>
      </w:pPr>
      <w:r>
        <w:rPr>
          <w:rFonts w:hint="eastAsia" w:ascii="仿宋" w:hAnsi="仿宋" w:eastAsia="仿宋" w:cs="仿宋"/>
          <w:color w:val="000000"/>
          <w:sz w:val="24"/>
        </w:rPr>
        <w:t>35.3 采购代理机构质疑函接收部门、联系电话和通讯地址</w:t>
      </w:r>
    </w:p>
    <w:p>
      <w:pPr>
        <w:pStyle w:val="44"/>
        <w:widowControl w:val="0"/>
        <w:adjustRightInd w:val="0"/>
        <w:snapToGrid w:val="0"/>
        <w:spacing w:before="0" w:after="0" w:line="360" w:lineRule="auto"/>
        <w:ind w:left="638" w:leftChars="30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联系部门：新疆新世纪招标有限公司 </w:t>
      </w:r>
    </w:p>
    <w:p>
      <w:pPr>
        <w:pStyle w:val="44"/>
        <w:widowControl w:val="0"/>
        <w:adjustRightInd w:val="0"/>
        <w:snapToGrid w:val="0"/>
        <w:spacing w:before="0" w:after="0" w:line="360" w:lineRule="auto"/>
        <w:ind w:left="638" w:leftChars="30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联系电话：18799185025</w:t>
      </w:r>
    </w:p>
    <w:p>
      <w:pPr>
        <w:pStyle w:val="44"/>
        <w:widowControl w:val="0"/>
        <w:adjustRightInd w:val="0"/>
        <w:snapToGrid w:val="0"/>
        <w:spacing w:before="0" w:after="0" w:line="360" w:lineRule="auto"/>
        <w:ind w:left="638" w:leftChars="304"/>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通讯地址：乌鲁木齐市水磨沟区新兴街20号凤凰科技大厦5楼</w:t>
      </w:r>
    </w:p>
    <w:p>
      <w:pPr>
        <w:widowControl/>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lang w:val="en-US" w:eastAsia="zh-CN"/>
        </w:rPr>
        <w:t xml:space="preserve"> </w:t>
      </w:r>
      <w:r>
        <w:rPr>
          <w:rFonts w:hint="eastAsia" w:ascii="仿宋" w:hAnsi="仿宋" w:eastAsia="仿宋" w:cs="仿宋"/>
          <w:b/>
          <w:bCs/>
          <w:sz w:val="24"/>
        </w:rPr>
        <w:t>支付方式</w:t>
      </w:r>
    </w:p>
    <w:p>
      <w:pPr>
        <w:spacing w:line="360" w:lineRule="auto"/>
        <w:ind w:firstLine="480" w:firstLineChars="200"/>
        <w:rPr>
          <w:rFonts w:hint="eastAsia" w:ascii="仿宋" w:hAnsi="仿宋" w:eastAsia="仿宋" w:cs="仿宋"/>
          <w:sz w:val="24"/>
          <w:szCs w:val="32"/>
        </w:rPr>
      </w:pPr>
      <w:r>
        <w:rPr>
          <w:rFonts w:hint="eastAsia" w:ascii="仿宋" w:hAnsi="仿宋" w:eastAsia="仿宋" w:cs="仿宋"/>
          <w:sz w:val="24"/>
          <w:szCs w:val="32"/>
        </w:rPr>
        <w:t>甲乙双方合同签订后，甲方向乙方支付合同总金额40%的预付款，金额为¥</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元（人民币大写：</w:t>
      </w:r>
      <w:r>
        <w:rPr>
          <w:rFonts w:hint="eastAsia" w:ascii="仿宋" w:hAnsi="仿宋" w:eastAsia="仿宋" w:cs="仿宋"/>
          <w:i/>
          <w:iCs/>
          <w:sz w:val="24"/>
          <w:szCs w:val="32"/>
          <w:u w:val="single"/>
        </w:rPr>
        <w:t xml:space="preserve">     </w:t>
      </w:r>
      <w:r>
        <w:rPr>
          <w:rFonts w:hint="eastAsia" w:ascii="仿宋" w:hAnsi="仿宋" w:eastAsia="仿宋" w:cs="仿宋"/>
          <w:sz w:val="24"/>
          <w:szCs w:val="32"/>
        </w:rPr>
        <w:t>元整），乙方在合同约定的时间内将所供合同标的物运至甲方指定地点，乙方在甲方收到合同标的物5日内对合同标的物进行安装调试，经甲方书面验收合格后，甲方向乙方支付合同总金额55%的货款，金额为¥</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元（人民币大写：</w:t>
      </w:r>
      <w:r>
        <w:rPr>
          <w:rFonts w:hint="eastAsia" w:ascii="仿宋" w:hAnsi="仿宋" w:eastAsia="仿宋" w:cs="仿宋"/>
          <w:i/>
          <w:iCs/>
          <w:sz w:val="24"/>
          <w:szCs w:val="32"/>
          <w:u w:val="single"/>
        </w:rPr>
        <w:t xml:space="preserve">     </w:t>
      </w:r>
      <w:r>
        <w:rPr>
          <w:rFonts w:hint="eastAsia" w:ascii="仿宋" w:hAnsi="仿宋" w:eastAsia="仿宋" w:cs="仿宋"/>
          <w:sz w:val="24"/>
          <w:szCs w:val="32"/>
        </w:rPr>
        <w:t>元整）。剩余的合同总金额5%的货款，金额为¥</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元（人民币大写：</w:t>
      </w:r>
      <w:r>
        <w:rPr>
          <w:rFonts w:hint="eastAsia" w:ascii="仿宋" w:hAnsi="仿宋" w:eastAsia="仿宋" w:cs="仿宋"/>
          <w:i/>
          <w:iCs/>
          <w:sz w:val="24"/>
          <w:szCs w:val="32"/>
          <w:u w:val="single"/>
        </w:rPr>
        <w:t xml:space="preserve">     </w:t>
      </w:r>
      <w:r>
        <w:rPr>
          <w:rFonts w:hint="eastAsia" w:ascii="仿宋" w:hAnsi="仿宋" w:eastAsia="仿宋" w:cs="仿宋"/>
          <w:sz w:val="24"/>
          <w:szCs w:val="32"/>
        </w:rPr>
        <w:t>元整）自甲方书面验收合格之日起满壹年，经甲方再次验收，无质量问题后，甲方无息支付给乙方。</w:t>
      </w:r>
    </w:p>
    <w:p>
      <w:pPr>
        <w:spacing w:line="360" w:lineRule="auto"/>
        <w:ind w:firstLine="480" w:firstLineChars="200"/>
        <w:rPr>
          <w:rFonts w:hint="eastAsia" w:ascii="仿宋" w:hAnsi="仿宋" w:eastAsia="仿宋" w:cs="仿宋"/>
          <w:sz w:val="24"/>
          <w:szCs w:val="32"/>
        </w:rPr>
      </w:pPr>
      <w:r>
        <w:rPr>
          <w:rFonts w:hint="default" w:ascii="仿宋" w:hAnsi="仿宋" w:eastAsia="仿宋" w:cs="仿宋"/>
          <w:sz w:val="24"/>
          <w:szCs w:val="32"/>
        </w:rPr>
        <w:t>★中标后中标单位在首次申请预付款支付时，应开具预付款保函，具体以新疆大学要求为准。</w:t>
      </w:r>
    </w:p>
    <w:p>
      <w:pPr>
        <w:widowControl/>
        <w:spacing w:line="360" w:lineRule="auto"/>
        <w:jc w:val="center"/>
        <w:outlineLvl w:val="0"/>
        <w:rPr>
          <w:rFonts w:ascii="仿宋" w:hAnsi="仿宋" w:eastAsia="仿宋"/>
          <w:b/>
          <w:sz w:val="32"/>
          <w:szCs w:val="32"/>
        </w:rPr>
      </w:pPr>
      <w:r>
        <w:rPr>
          <w:rFonts w:ascii="仿宋" w:hAnsi="仿宋" w:eastAsia="仿宋"/>
          <w:b/>
          <w:sz w:val="32"/>
          <w:szCs w:val="32"/>
        </w:rPr>
        <w:br w:type="page"/>
      </w:r>
      <w:r>
        <w:rPr>
          <w:rFonts w:hint="eastAsia" w:ascii="仿宋" w:hAnsi="仿宋" w:eastAsia="仿宋"/>
          <w:b/>
          <w:sz w:val="32"/>
          <w:szCs w:val="32"/>
        </w:rPr>
        <w:t xml:space="preserve">第四章  </w:t>
      </w:r>
      <w:bookmarkEnd w:id="9"/>
      <w:r>
        <w:rPr>
          <w:rFonts w:hint="eastAsia" w:ascii="仿宋" w:hAnsi="仿宋" w:eastAsia="仿宋"/>
          <w:b/>
          <w:sz w:val="32"/>
          <w:szCs w:val="32"/>
        </w:rPr>
        <w:t>政府采购合同</w:t>
      </w:r>
      <w:bookmarkEnd w:id="10"/>
    </w:p>
    <w:p>
      <w:pPr>
        <w:jc w:val="center"/>
        <w:rPr>
          <w:rFonts w:ascii="仿宋" w:hAnsi="仿宋" w:eastAsia="仿宋"/>
          <w:b/>
          <w:sz w:val="24"/>
        </w:rPr>
      </w:pPr>
      <w:r>
        <w:rPr>
          <w:rFonts w:hint="eastAsia" w:ascii="仿宋" w:hAnsi="仿宋" w:eastAsia="仿宋"/>
          <w:b/>
          <w:sz w:val="24"/>
        </w:rPr>
        <w:t>（本合同仅供参考，具体以实际签订为准）</w:t>
      </w:r>
    </w:p>
    <w:p>
      <w:pPr>
        <w:rPr>
          <w:rFonts w:ascii="宋体" w:hAnsi="宋体" w:cs="宋体"/>
          <w:color w:val="000000"/>
        </w:rPr>
      </w:pPr>
    </w:p>
    <w:p>
      <w:pPr>
        <w:jc w:val="center"/>
        <w:rPr>
          <w:rFonts w:hint="eastAsia"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新  疆  大  学</w:t>
      </w:r>
    </w:p>
    <w:p>
      <w:pPr>
        <w:jc w:val="center"/>
        <w:rPr>
          <w:rFonts w:ascii="宋体" w:hAnsi="宋体" w:cs="宋体"/>
          <w:color w:val="000000"/>
          <w:sz w:val="48"/>
          <w:szCs w:val="48"/>
        </w:rPr>
      </w:pPr>
      <w:r>
        <w:rPr>
          <w:rFonts w:hint="eastAsia" w:ascii="宋体" w:hAnsi="宋体" w:cs="宋体"/>
          <w:color w:val="000000"/>
          <w:sz w:val="48"/>
          <w:szCs w:val="48"/>
        </w:rPr>
        <w:t>（</w:t>
      </w:r>
      <w:r>
        <w:rPr>
          <w:rFonts w:hint="eastAsia" w:ascii="宋体" w:hAnsi="宋体" w:cs="宋体"/>
          <w:b/>
          <w:bCs/>
          <w:color w:val="000000"/>
          <w:sz w:val="48"/>
          <w:szCs w:val="48"/>
        </w:rPr>
        <w:t>进口设备类招标采购</w:t>
      </w:r>
      <w:r>
        <w:rPr>
          <w:rFonts w:hint="eastAsia" w:ascii="宋体" w:hAnsi="宋体" w:cs="宋体"/>
          <w:color w:val="000000"/>
          <w:sz w:val="48"/>
          <w:szCs w:val="48"/>
        </w:rPr>
        <w:t>）</w:t>
      </w:r>
    </w:p>
    <w:p>
      <w:pPr>
        <w:jc w:val="center"/>
        <w:rPr>
          <w:rFonts w:ascii="宋体" w:hAnsi="宋体" w:cs="宋体"/>
          <w:color w:val="000000"/>
          <w:sz w:val="44"/>
          <w:szCs w:val="44"/>
        </w:rPr>
      </w:pPr>
    </w:p>
    <w:p>
      <w:pPr>
        <w:jc w:val="center"/>
        <w:rPr>
          <w:rFonts w:ascii="宋体" w:hAnsi="宋体" w:cs="宋体"/>
          <w:color w:val="000000"/>
          <w:sz w:val="84"/>
          <w:szCs w:val="84"/>
        </w:rPr>
      </w:pPr>
      <w:r>
        <w:rPr>
          <w:rFonts w:hint="eastAsia" w:ascii="宋体" w:hAnsi="宋体" w:cs="宋体"/>
          <w:color w:val="000000"/>
          <w:sz w:val="84"/>
          <w:szCs w:val="84"/>
        </w:rPr>
        <w:t>供</w:t>
      </w:r>
    </w:p>
    <w:p>
      <w:pPr>
        <w:jc w:val="center"/>
        <w:rPr>
          <w:rFonts w:ascii="宋体" w:hAnsi="宋体" w:cs="宋体"/>
          <w:color w:val="000000"/>
          <w:sz w:val="84"/>
          <w:szCs w:val="84"/>
        </w:rPr>
      </w:pPr>
      <w:r>
        <w:rPr>
          <w:rFonts w:hint="eastAsia" w:ascii="宋体" w:hAnsi="宋体" w:cs="宋体"/>
          <w:color w:val="000000"/>
          <w:sz w:val="84"/>
          <w:szCs w:val="84"/>
        </w:rPr>
        <w:t>货</w:t>
      </w:r>
    </w:p>
    <w:p>
      <w:pPr>
        <w:jc w:val="center"/>
        <w:rPr>
          <w:rFonts w:ascii="宋体" w:hAnsi="宋体" w:cs="宋体"/>
          <w:color w:val="000000"/>
          <w:sz w:val="84"/>
          <w:szCs w:val="84"/>
        </w:rPr>
      </w:pPr>
      <w:r>
        <w:rPr>
          <w:rFonts w:hint="eastAsia" w:ascii="宋体" w:hAnsi="宋体" w:cs="宋体"/>
          <w:color w:val="000000"/>
          <w:sz w:val="84"/>
          <w:szCs w:val="84"/>
        </w:rPr>
        <w:t>合</w:t>
      </w:r>
    </w:p>
    <w:p>
      <w:pPr>
        <w:jc w:val="center"/>
        <w:rPr>
          <w:rFonts w:ascii="宋体" w:hAnsi="宋体" w:cs="宋体"/>
          <w:color w:val="000000"/>
          <w:sz w:val="84"/>
          <w:szCs w:val="84"/>
        </w:rPr>
      </w:pPr>
      <w:r>
        <w:rPr>
          <w:rFonts w:hint="eastAsia" w:ascii="宋体" w:hAnsi="宋体" w:cs="宋体"/>
          <w:color w:val="000000"/>
          <w:sz w:val="84"/>
          <w:szCs w:val="84"/>
        </w:rPr>
        <w:t>同</w:t>
      </w:r>
    </w:p>
    <w:p>
      <w:pPr>
        <w:rPr>
          <w:rFonts w:ascii="宋体" w:hAnsi="宋体" w:cs="宋体"/>
          <w:color w:val="000000"/>
          <w:sz w:val="36"/>
          <w:szCs w:val="36"/>
        </w:rPr>
      </w:pPr>
    </w:p>
    <w:p>
      <w:pPr>
        <w:rPr>
          <w:rFonts w:ascii="宋体" w:hAnsi="宋体" w:cs="宋体"/>
          <w:color w:val="000000"/>
          <w:sz w:val="36"/>
          <w:szCs w:val="36"/>
        </w:rPr>
      </w:pPr>
    </w:p>
    <w:p>
      <w:pPr>
        <w:rPr>
          <w:rFonts w:ascii="宋体" w:hAnsi="宋体" w:cs="宋体"/>
          <w:color w:val="000000"/>
          <w:sz w:val="36"/>
          <w:szCs w:val="36"/>
        </w:rPr>
      </w:pPr>
    </w:p>
    <w:p>
      <w:pPr>
        <w:ind w:firstLine="1280" w:firstLineChars="400"/>
        <w:rPr>
          <w:rFonts w:ascii="宋体" w:hAnsi="宋体" w:cs="宋体"/>
          <w:color w:val="000000"/>
          <w:spacing w:val="54"/>
          <w:kern w:val="4"/>
          <w:sz w:val="32"/>
          <w:szCs w:val="32"/>
        </w:rPr>
      </w:pPr>
      <w:r>
        <w:rPr>
          <w:rFonts w:hint="eastAsia" w:ascii="宋体" w:hAnsi="宋体" w:cs="宋体"/>
          <w:color w:val="000000"/>
          <w:sz w:val="32"/>
          <w:szCs w:val="32"/>
        </w:rPr>
        <w:t>招标项目名称：</w:t>
      </w:r>
    </w:p>
    <w:p>
      <w:pPr>
        <w:ind w:firstLine="1280" w:firstLineChars="400"/>
        <w:rPr>
          <w:rFonts w:ascii="宋体" w:hAnsi="宋体" w:cs="宋体"/>
          <w:color w:val="000000"/>
          <w:sz w:val="32"/>
          <w:szCs w:val="32"/>
        </w:rPr>
      </w:pPr>
      <w:r>
        <w:rPr>
          <w:rFonts w:hint="eastAsia" w:ascii="宋体" w:hAnsi="宋体" w:cs="宋体"/>
          <w:color w:val="000000"/>
          <w:sz w:val="32"/>
          <w:szCs w:val="32"/>
        </w:rPr>
        <w:t>招标文件编号：</w:t>
      </w:r>
    </w:p>
    <w:p>
      <w:pPr>
        <w:rPr>
          <w:rFonts w:ascii="宋体" w:hAnsi="宋体" w:cs="宋体"/>
          <w:color w:val="000000"/>
          <w:sz w:val="30"/>
          <w:szCs w:val="30"/>
        </w:rPr>
      </w:pPr>
    </w:p>
    <w:p>
      <w:pPr>
        <w:jc w:val="center"/>
        <w:rPr>
          <w:rFonts w:ascii="宋体" w:hAnsi="宋体" w:cs="宋体"/>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p>
    <w:p>
      <w:pPr>
        <w:rPr>
          <w:rFonts w:hint="eastAsia" w:ascii="宋体" w:hAnsi="宋体" w:cs="宋体"/>
          <w:b/>
          <w:bCs/>
          <w:color w:val="000000"/>
          <w:sz w:val="32"/>
          <w:szCs w:val="32"/>
        </w:rPr>
      </w:pPr>
      <w:r>
        <w:rPr>
          <w:rFonts w:hint="eastAsia" w:ascii="宋体" w:hAnsi="宋体" w:cs="宋体"/>
          <w:b/>
          <w:bCs/>
          <w:color w:val="000000"/>
          <w:sz w:val="32"/>
          <w:szCs w:val="32"/>
        </w:rPr>
        <w:br w:type="page"/>
      </w:r>
    </w:p>
    <w:p>
      <w:pPr>
        <w:numPr>
          <w:ilvl w:val="0"/>
          <w:numId w:val="0"/>
        </w:numPr>
        <w:spacing w:line="560" w:lineRule="exact"/>
        <w:ind w:firstLine="643" w:firstLineChars="200"/>
        <w:rPr>
          <w:rFonts w:ascii="宋体" w:hAnsi="宋体" w:cs="宋体"/>
          <w:b/>
          <w:bCs/>
          <w:color w:val="000000"/>
          <w:sz w:val="32"/>
          <w:szCs w:val="32"/>
        </w:rPr>
      </w:pPr>
      <w:r>
        <w:rPr>
          <w:rFonts w:hint="eastAsia" w:ascii="宋体" w:hAnsi="宋体" w:cs="宋体"/>
          <w:b/>
          <w:bCs/>
          <w:color w:val="000000"/>
          <w:sz w:val="32"/>
          <w:szCs w:val="32"/>
        </w:rPr>
        <w:t>新疆大学合同填写说明：</w:t>
      </w:r>
    </w:p>
    <w:p>
      <w:pPr>
        <w:numPr>
          <w:ilvl w:val="0"/>
          <w:numId w:val="0"/>
        </w:numPr>
        <w:spacing w:line="560" w:lineRule="exact"/>
        <w:ind w:firstLine="640" w:firstLineChars="200"/>
        <w:rPr>
          <w:rFonts w:ascii="宋体" w:hAnsi="宋体" w:cs="宋体"/>
          <w:color w:val="000000"/>
          <w:sz w:val="32"/>
          <w:szCs w:val="32"/>
        </w:rPr>
      </w:pPr>
      <w:r>
        <w:rPr>
          <w:rFonts w:hint="eastAsia" w:ascii="宋体" w:hAnsi="宋体" w:cs="宋体"/>
          <w:color w:val="000000"/>
          <w:sz w:val="32"/>
          <w:szCs w:val="32"/>
        </w:rPr>
        <w:t>1.本合同为限制性编辑的制式合同模板，未经合同签订双方同意不得对限制编辑内容进行修改。</w:t>
      </w:r>
    </w:p>
    <w:p>
      <w:pPr>
        <w:numPr>
          <w:ilvl w:val="0"/>
          <w:numId w:val="0"/>
        </w:numPr>
        <w:spacing w:line="560" w:lineRule="exact"/>
        <w:ind w:firstLine="640" w:firstLineChars="200"/>
        <w:rPr>
          <w:rFonts w:ascii="宋体" w:hAnsi="宋体" w:cs="宋体"/>
          <w:color w:val="000000"/>
          <w:sz w:val="32"/>
          <w:szCs w:val="32"/>
        </w:rPr>
      </w:pPr>
      <w:r>
        <w:rPr>
          <w:rFonts w:hint="eastAsia" w:ascii="宋体" w:hAnsi="宋体" w:cs="宋体"/>
          <w:color w:val="000000"/>
          <w:sz w:val="32"/>
          <w:szCs w:val="32"/>
        </w:rPr>
        <w:t>2.合同信息内容电话、传真、开户行号等如无使用“/”代替。</w:t>
      </w:r>
    </w:p>
    <w:p>
      <w:pPr>
        <w:numPr>
          <w:ilvl w:val="0"/>
          <w:numId w:val="0"/>
        </w:numPr>
        <w:spacing w:line="560" w:lineRule="exact"/>
        <w:ind w:firstLine="640" w:firstLineChars="200"/>
        <w:rPr>
          <w:rFonts w:ascii="宋体" w:hAnsi="宋体" w:cs="宋体"/>
          <w:color w:val="000000"/>
          <w:sz w:val="32"/>
          <w:szCs w:val="32"/>
        </w:rPr>
      </w:pPr>
      <w:r>
        <w:rPr>
          <w:rFonts w:hint="eastAsia" w:ascii="宋体" w:hAnsi="宋体" w:cs="宋体"/>
          <w:color w:val="000000"/>
          <w:sz w:val="32"/>
          <w:szCs w:val="32"/>
        </w:rPr>
        <w:t>3.合同标的物参数必须详细列出。</w:t>
      </w:r>
    </w:p>
    <w:p>
      <w:pPr>
        <w:numPr>
          <w:ilvl w:val="0"/>
          <w:numId w:val="0"/>
        </w:numPr>
        <w:spacing w:line="560" w:lineRule="exact"/>
        <w:ind w:firstLine="640" w:firstLineChars="200"/>
        <w:rPr>
          <w:rFonts w:ascii="宋体" w:hAnsi="宋体" w:cs="宋体"/>
          <w:color w:val="000000"/>
          <w:sz w:val="32"/>
          <w:szCs w:val="32"/>
        </w:rPr>
      </w:pPr>
      <w:r>
        <w:rPr>
          <w:rFonts w:hint="eastAsia" w:ascii="宋体" w:hAnsi="宋体" w:cs="宋体"/>
          <w:color w:val="000000"/>
          <w:sz w:val="32"/>
          <w:szCs w:val="32"/>
        </w:rPr>
        <w:t>4.合同打印方式双面打印。</w:t>
      </w:r>
    </w:p>
    <w:p>
      <w:pPr>
        <w:numPr>
          <w:ilvl w:val="0"/>
          <w:numId w:val="0"/>
        </w:numPr>
        <w:spacing w:line="560" w:lineRule="exact"/>
        <w:ind w:firstLine="640" w:firstLineChars="200"/>
        <w:rPr>
          <w:rFonts w:ascii="宋体" w:hAnsi="宋体" w:cs="宋体"/>
          <w:color w:val="000000"/>
          <w:sz w:val="32"/>
          <w:szCs w:val="32"/>
        </w:rPr>
      </w:pPr>
      <w:r>
        <w:rPr>
          <w:rFonts w:hint="eastAsia" w:ascii="宋体" w:hAnsi="宋体" w:cs="宋体"/>
          <w:color w:val="000000"/>
          <w:sz w:val="32"/>
          <w:szCs w:val="32"/>
        </w:rPr>
        <w:t>5.合同签订需双方加盖骑缝章。</w:t>
      </w:r>
    </w:p>
    <w:p>
      <w:pPr>
        <w:rPr>
          <w:rFonts w:ascii="宋体" w:hAnsi="宋体" w:cs="宋体"/>
          <w:color w:val="000000"/>
          <w:sz w:val="32"/>
          <w:szCs w:val="32"/>
        </w:rPr>
      </w:pPr>
      <w:r>
        <w:rPr>
          <w:rFonts w:hint="eastAsia" w:ascii="宋体" w:hAnsi="宋体" w:cs="宋体"/>
          <w:color w:val="000000"/>
          <w:sz w:val="32"/>
          <w:szCs w:val="32"/>
        </w:rPr>
        <w:br w:type="page"/>
      </w:r>
    </w:p>
    <w:p>
      <w:pPr>
        <w:jc w:val="center"/>
        <w:rPr>
          <w:rFonts w:ascii="宋体" w:hAnsi="宋体" w:cs="宋体"/>
          <w:b/>
          <w:bCs/>
          <w:color w:val="000000"/>
          <w:sz w:val="44"/>
          <w:szCs w:val="44"/>
        </w:rPr>
      </w:pPr>
      <w:r>
        <w:rPr>
          <w:rFonts w:hint="eastAsia" w:ascii="宋体" w:hAnsi="宋体" w:cs="宋体"/>
          <w:b/>
          <w:bCs/>
          <w:color w:val="000000"/>
          <w:sz w:val="44"/>
          <w:szCs w:val="44"/>
        </w:rPr>
        <w:t>新疆大学(进口设备类招标采购）供货合同</w:t>
      </w:r>
    </w:p>
    <w:p>
      <w:pPr>
        <w:spacing w:line="560" w:lineRule="exact"/>
        <w:rPr>
          <w:rFonts w:ascii="宋体" w:hAnsi="宋体" w:cs="宋体"/>
          <w:b/>
          <w:bCs/>
          <w:color w:val="000000"/>
          <w:sz w:val="28"/>
          <w:szCs w:val="28"/>
        </w:rPr>
      </w:pPr>
      <w:r>
        <w:rPr>
          <w:rFonts w:hint="eastAsia" w:ascii="宋体" w:hAnsi="宋体" w:cs="宋体"/>
          <w:color w:val="000000"/>
          <w:sz w:val="28"/>
          <w:szCs w:val="28"/>
        </w:rPr>
        <w:t>甲   方：</w:t>
      </w:r>
      <w:r>
        <w:rPr>
          <w:rFonts w:hint="eastAsia" w:ascii="宋体" w:hAnsi="宋体" w:cs="宋体"/>
          <w:b/>
          <w:bCs/>
          <w:color w:val="000000"/>
          <w:sz w:val="28"/>
          <w:szCs w:val="28"/>
        </w:rPr>
        <w:t>新疆大学</w:t>
      </w:r>
    </w:p>
    <w:p>
      <w:pPr>
        <w:spacing w:line="560" w:lineRule="exact"/>
        <w:rPr>
          <w:rFonts w:ascii="宋体" w:hAnsi="宋体" w:cs="宋体"/>
          <w:color w:val="000000"/>
          <w:sz w:val="28"/>
          <w:szCs w:val="28"/>
        </w:rPr>
      </w:pPr>
      <w:r>
        <w:rPr>
          <w:rFonts w:hint="eastAsia" w:ascii="宋体" w:hAnsi="宋体" w:cs="宋体"/>
          <w:color w:val="000000"/>
          <w:sz w:val="28"/>
          <w:szCs w:val="28"/>
        </w:rPr>
        <w:t xml:space="preserve">乙   方：   </w:t>
      </w:r>
    </w:p>
    <w:p>
      <w:pPr>
        <w:numPr>
          <w:ilvl w:val="0"/>
          <w:numId w:val="0"/>
        </w:numPr>
        <w:spacing w:line="560" w:lineRule="exact"/>
        <w:ind w:firstLine="560" w:firstLineChars="200"/>
        <w:rPr>
          <w:rFonts w:ascii="宋体" w:hAnsi="宋体" w:cs="宋体"/>
          <w:b/>
          <w:color w:val="000000"/>
          <w:sz w:val="28"/>
          <w:szCs w:val="28"/>
        </w:rPr>
      </w:pPr>
      <w:r>
        <w:rPr>
          <w:rFonts w:hint="eastAsia" w:ascii="宋体" w:hAnsi="宋体" w:cs="宋体"/>
          <w:color w:val="000000"/>
          <w:sz w:val="28"/>
          <w:szCs w:val="28"/>
        </w:rPr>
        <w:t>按照20  年  月   日组织招标的项目，项目编号为，采购计划号为，经评定，乙方为第包中标方。根据《中华人民共和国政府采购法》和《中华人民共和国民法典》的规定，按照公平、公正、平等自愿和诚实信用、协商一致的原则，甲、乙双方授权代表就所供合同标的物的运费、购销、安装、调试和售后服务等事宜达成如下条款。</w:t>
      </w:r>
    </w:p>
    <w:p>
      <w:pPr>
        <w:numPr>
          <w:ilvl w:val="0"/>
          <w:numId w:val="0"/>
        </w:num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一、合同标的物名称、型号、数量、质保期及价格（单位：元）</w:t>
      </w:r>
    </w:p>
    <w:tbl>
      <w:tblPr>
        <w:tblStyle w:val="28"/>
        <w:tblW w:w="8755" w:type="dxa"/>
        <w:jc w:val="center"/>
        <w:tblLayout w:type="fixed"/>
        <w:tblCellMar>
          <w:top w:w="0" w:type="dxa"/>
          <w:left w:w="108" w:type="dxa"/>
          <w:bottom w:w="0" w:type="dxa"/>
          <w:right w:w="108" w:type="dxa"/>
        </w:tblCellMar>
      </w:tblPr>
      <w:tblGrid>
        <w:gridCol w:w="1059"/>
        <w:gridCol w:w="1068"/>
        <w:gridCol w:w="1099"/>
        <w:gridCol w:w="978"/>
        <w:gridCol w:w="1719"/>
        <w:gridCol w:w="940"/>
        <w:gridCol w:w="862"/>
        <w:gridCol w:w="1030"/>
      </w:tblGrid>
      <w:tr>
        <w:tblPrEx>
          <w:tblCellMar>
            <w:top w:w="0" w:type="dxa"/>
            <w:left w:w="108" w:type="dxa"/>
            <w:bottom w:w="0" w:type="dxa"/>
            <w:right w:w="108" w:type="dxa"/>
          </w:tblCellMar>
        </w:tblPrEx>
        <w:trPr>
          <w:trHeight w:val="778" w:hRule="exact"/>
          <w:jc w:val="center"/>
        </w:trPr>
        <w:tc>
          <w:tcPr>
            <w:tcW w:w="105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8"/>
                <w:szCs w:val="28"/>
              </w:rPr>
            </w:pPr>
            <w:r>
              <w:rPr>
                <w:rFonts w:hint="eastAsia" w:ascii="宋体" w:hAnsi="宋体" w:cs="宋体"/>
                <w:color w:val="000000"/>
                <w:sz w:val="28"/>
                <w:szCs w:val="28"/>
              </w:rPr>
              <w:t>序号</w:t>
            </w:r>
          </w:p>
        </w:tc>
        <w:tc>
          <w:tcPr>
            <w:tcW w:w="1068"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4"/>
              </w:rPr>
            </w:pPr>
            <w:r>
              <w:rPr>
                <w:rFonts w:hint="eastAsia" w:ascii="宋体" w:hAnsi="宋体" w:cs="宋体"/>
                <w:color w:val="000000"/>
                <w:sz w:val="24"/>
                <w:szCs w:val="24"/>
              </w:rPr>
              <w:t xml:space="preserve"> 名称</w:t>
            </w:r>
          </w:p>
        </w:tc>
        <w:tc>
          <w:tcPr>
            <w:tcW w:w="1099"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4"/>
              </w:rPr>
            </w:pPr>
            <w:r>
              <w:rPr>
                <w:rFonts w:hint="eastAsia" w:ascii="宋体" w:hAnsi="宋体" w:cs="宋体"/>
                <w:color w:val="000000"/>
                <w:sz w:val="24"/>
                <w:szCs w:val="24"/>
              </w:rPr>
              <w:t>型号</w:t>
            </w:r>
          </w:p>
        </w:tc>
        <w:tc>
          <w:tcPr>
            <w:tcW w:w="978"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4"/>
              </w:rPr>
            </w:pPr>
            <w:r>
              <w:rPr>
                <w:rFonts w:hint="eastAsia" w:ascii="宋体" w:hAnsi="宋体" w:cs="宋体"/>
                <w:color w:val="000000"/>
                <w:sz w:val="24"/>
                <w:szCs w:val="24"/>
              </w:rPr>
              <w:t xml:space="preserve"> 数量</w:t>
            </w:r>
          </w:p>
        </w:tc>
        <w:tc>
          <w:tcPr>
            <w:tcW w:w="1719"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4"/>
              </w:rPr>
            </w:pPr>
            <w:r>
              <w:rPr>
                <w:rFonts w:hint="eastAsia" w:ascii="宋体" w:hAnsi="宋体" w:cs="宋体"/>
                <w:color w:val="000000"/>
                <w:sz w:val="24"/>
                <w:szCs w:val="24"/>
              </w:rPr>
              <w:t xml:space="preserve">质保期（年） </w:t>
            </w:r>
          </w:p>
        </w:tc>
        <w:tc>
          <w:tcPr>
            <w:tcW w:w="94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4"/>
              </w:rPr>
            </w:pPr>
            <w:r>
              <w:rPr>
                <w:rFonts w:hint="eastAsia" w:ascii="宋体" w:hAnsi="宋体" w:cs="宋体"/>
                <w:color w:val="000000"/>
                <w:sz w:val="24"/>
                <w:szCs w:val="24"/>
              </w:rPr>
              <w:t>单价（元）</w:t>
            </w:r>
          </w:p>
        </w:tc>
        <w:tc>
          <w:tcPr>
            <w:tcW w:w="862"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4"/>
              </w:rPr>
            </w:pPr>
            <w:r>
              <w:rPr>
                <w:rFonts w:hint="eastAsia" w:ascii="宋体" w:hAnsi="宋体" w:cs="宋体"/>
                <w:color w:val="000000"/>
                <w:sz w:val="24"/>
                <w:szCs w:val="24"/>
              </w:rPr>
              <w:t>总价（元）</w:t>
            </w:r>
          </w:p>
        </w:tc>
        <w:tc>
          <w:tcPr>
            <w:tcW w:w="1030"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4"/>
                <w:szCs w:val="24"/>
              </w:rPr>
            </w:pPr>
            <w:r>
              <w:rPr>
                <w:rFonts w:hint="eastAsia" w:ascii="宋体" w:hAnsi="宋体" w:cs="宋体"/>
                <w:color w:val="000000"/>
                <w:sz w:val="24"/>
                <w:szCs w:val="24"/>
              </w:rPr>
              <w:t xml:space="preserve">备注 </w:t>
            </w:r>
          </w:p>
        </w:tc>
      </w:tr>
      <w:tr>
        <w:tblPrEx>
          <w:tblCellMar>
            <w:top w:w="0" w:type="dxa"/>
            <w:left w:w="108" w:type="dxa"/>
            <w:bottom w:w="0" w:type="dxa"/>
            <w:right w:w="108" w:type="dxa"/>
          </w:tblCellMar>
        </w:tblPrEx>
        <w:trPr>
          <w:trHeight w:val="689" w:hRule="exact"/>
          <w:jc w:val="center"/>
        </w:trPr>
        <w:tc>
          <w:tcPr>
            <w:tcW w:w="1059"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r>
              <w:rPr>
                <w:rFonts w:hint="eastAsia" w:ascii="宋体" w:hAnsi="宋体" w:cs="宋体"/>
                <w:color w:val="000000"/>
                <w:kern w:val="0"/>
                <w:sz w:val="28"/>
                <w:szCs w:val="28"/>
              </w:rPr>
              <w:t>1</w:t>
            </w:r>
          </w:p>
        </w:tc>
        <w:tc>
          <w:tcPr>
            <w:tcW w:w="1068"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1099"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978"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1719"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940"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862"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1030"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r>
      <w:tr>
        <w:tblPrEx>
          <w:tblCellMar>
            <w:top w:w="0" w:type="dxa"/>
            <w:left w:w="108" w:type="dxa"/>
            <w:bottom w:w="0" w:type="dxa"/>
            <w:right w:w="108" w:type="dxa"/>
          </w:tblCellMar>
        </w:tblPrEx>
        <w:trPr>
          <w:trHeight w:val="689" w:hRule="exact"/>
          <w:jc w:val="center"/>
        </w:trPr>
        <w:tc>
          <w:tcPr>
            <w:tcW w:w="1059"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1068"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1099"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978"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1719"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940"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862"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c>
          <w:tcPr>
            <w:tcW w:w="1030" w:type="dxa"/>
            <w:tcBorders>
              <w:top w:val="nil"/>
              <w:left w:val="nil"/>
              <w:bottom w:val="single" w:color="auto" w:sz="4" w:space="0"/>
              <w:right w:val="single" w:color="auto" w:sz="4" w:space="0"/>
            </w:tcBorders>
            <w:noWrap/>
            <w:vAlign w:val="center"/>
          </w:tcPr>
          <w:p>
            <w:pPr>
              <w:keepNext w:val="0"/>
              <w:keepLines w:val="0"/>
              <w:widowControl/>
              <w:suppressLineNumbers w:val="0"/>
              <w:adjustRightInd w:val="0"/>
              <w:snapToGrid w:val="0"/>
              <w:spacing w:before="0" w:beforeAutospacing="0" w:after="0" w:afterAutospacing="0"/>
              <w:ind w:left="-105" w:leftChars="-50" w:right="-105" w:rightChars="-50"/>
              <w:jc w:val="center"/>
              <w:rPr>
                <w:rFonts w:hint="default" w:ascii="宋体" w:hAnsi="宋体" w:cs="宋体"/>
                <w:color w:val="000000"/>
                <w:kern w:val="0"/>
                <w:sz w:val="28"/>
                <w:szCs w:val="28"/>
              </w:rPr>
            </w:pPr>
          </w:p>
        </w:tc>
      </w:tr>
      <w:tr>
        <w:tblPrEx>
          <w:tblCellMar>
            <w:top w:w="0" w:type="dxa"/>
            <w:left w:w="108" w:type="dxa"/>
            <w:bottom w:w="0" w:type="dxa"/>
            <w:right w:w="108" w:type="dxa"/>
          </w:tblCellMar>
        </w:tblPrEx>
        <w:trPr>
          <w:trHeight w:val="1358" w:hRule="exact"/>
          <w:jc w:val="center"/>
        </w:trPr>
        <w:tc>
          <w:tcPr>
            <w:tcW w:w="8755"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default" w:ascii="宋体" w:hAnsi="宋体" w:cs="宋体"/>
                <w:color w:val="000000"/>
                <w:sz w:val="28"/>
                <w:szCs w:val="28"/>
              </w:rPr>
            </w:pPr>
            <w:r>
              <w:rPr>
                <w:rFonts w:hint="eastAsia" w:ascii="宋体" w:hAnsi="宋体" w:cs="宋体"/>
                <w:color w:val="000000"/>
                <w:sz w:val="24"/>
                <w:szCs w:val="24"/>
              </w:rPr>
              <w:t>总计：人民币大写</w:t>
            </w:r>
            <w:r>
              <w:rPr>
                <w:rFonts w:hint="eastAsia" w:ascii="宋体" w:hAnsi="宋体" w:cs="宋体"/>
                <w:color w:val="000000"/>
                <w:kern w:val="0"/>
                <w:sz w:val="24"/>
                <w:szCs w:val="24"/>
              </w:rPr>
              <w:t xml:space="preserve">  元整</w:t>
            </w:r>
            <w:r>
              <w:rPr>
                <w:rFonts w:hint="eastAsia" w:ascii="宋体" w:hAnsi="宋体" w:cs="宋体"/>
                <w:color w:val="000000"/>
                <w:sz w:val="24"/>
                <w:szCs w:val="24"/>
              </w:rPr>
              <w:t>，小写¥</w:t>
            </w:r>
            <w:r>
              <w:rPr>
                <w:rFonts w:hint="eastAsia" w:ascii="宋体" w:hAnsi="宋体" w:cs="宋体"/>
                <w:color w:val="000000"/>
                <w:kern w:val="0"/>
                <w:sz w:val="24"/>
                <w:szCs w:val="24"/>
              </w:rPr>
              <w:t>元</w:t>
            </w:r>
            <w:r>
              <w:rPr>
                <w:rFonts w:hint="eastAsia" w:ascii="宋体" w:hAnsi="宋体" w:cs="宋体"/>
                <w:color w:val="000000"/>
                <w:sz w:val="24"/>
                <w:szCs w:val="24"/>
              </w:rPr>
              <w:t>（包括但不限于运输费、保险费及所配套的土建、吊装就位，培训、安装、调试等所有相关费用）</w:t>
            </w:r>
          </w:p>
        </w:tc>
      </w:tr>
    </w:tbl>
    <w:p>
      <w:pPr>
        <w:spacing w:line="560" w:lineRule="exact"/>
        <w:ind w:firstLine="560" w:firstLineChars="200"/>
        <w:rPr>
          <w:rFonts w:ascii="宋体" w:hAnsi="宋体" w:cs="宋体"/>
          <w:color w:val="000000"/>
          <w:sz w:val="28"/>
          <w:szCs w:val="28"/>
        </w:rPr>
      </w:pPr>
      <w:r>
        <w:rPr>
          <w:rFonts w:hint="eastAsia" w:ascii="宋体" w:hAnsi="宋体" w:cs="宋体"/>
          <w:bCs/>
          <w:color w:val="000000"/>
          <w:sz w:val="28"/>
          <w:szCs w:val="28"/>
        </w:rPr>
        <w:t>二、报价币种、合同总价</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本合同总金额为人民币大写</w:t>
      </w:r>
      <w:r>
        <w:rPr>
          <w:rFonts w:hint="eastAsia" w:ascii="宋体" w:hAnsi="宋体" w:cs="宋体"/>
          <w:color w:val="000000"/>
          <w:kern w:val="0"/>
          <w:sz w:val="28"/>
          <w:szCs w:val="28"/>
        </w:rPr>
        <w:t xml:space="preserve">       元整，小写</w:t>
      </w:r>
      <w:r>
        <w:rPr>
          <w:rFonts w:hint="eastAsia" w:ascii="宋体" w:hAnsi="宋体" w:cs="宋体"/>
          <w:color w:val="000000"/>
          <w:sz w:val="28"/>
          <w:szCs w:val="28"/>
        </w:rPr>
        <w:t>¥    元，含税及运费、安装、调试等所有相关费用。</w:t>
      </w:r>
    </w:p>
    <w:p>
      <w:p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三、付款方式</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1、进口合同标的物需要办理委托代理进口，应当由甲乙双方与合同标的物的外贸代理公司（以下称“外贸代理”）签订《委托代理进口协议》，支付方式参照《委托代理进口协议》执行。</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2、合同签订后，</w:t>
      </w:r>
      <w:r>
        <w:rPr>
          <w:rFonts w:hint="eastAsia" w:ascii="宋体" w:hAnsi="宋体" w:cs="宋体"/>
          <w:color w:val="000000"/>
          <w:kern w:val="0"/>
          <w:sz w:val="28"/>
          <w:szCs w:val="28"/>
        </w:rPr>
        <w:t>甲方</w:t>
      </w:r>
      <w:r>
        <w:rPr>
          <w:rFonts w:hint="eastAsia" w:ascii="宋体" w:hAnsi="宋体" w:cs="宋体"/>
          <w:color w:val="000000"/>
          <w:sz w:val="28"/>
          <w:szCs w:val="28"/>
        </w:rPr>
        <w:t>向外贸代理</w:t>
      </w:r>
      <w:r>
        <w:rPr>
          <w:rFonts w:hint="eastAsia" w:ascii="宋体" w:hAnsi="宋体" w:cs="宋体"/>
          <w:color w:val="000000"/>
          <w:kern w:val="0"/>
          <w:sz w:val="28"/>
          <w:szCs w:val="28"/>
        </w:rPr>
        <w:t>支付合同总金额40%的预付款，</w:t>
      </w:r>
      <w:r>
        <w:rPr>
          <w:rFonts w:hint="eastAsia" w:ascii="宋体" w:hAnsi="宋体" w:cs="宋体"/>
          <w:color w:val="000000"/>
          <w:sz w:val="28"/>
          <w:szCs w:val="28"/>
        </w:rPr>
        <w:t>金额为¥元（人民币大写：元整），进口合同标的物的外贸代理应在起天内交货，乙方安装调试完毕并通过甲方书面验收。经甲方书面验收合格后，甲方向外贸代理支付合同总金额55%的货款，金额为¥元（大写人民币为），后按照乙方和外贸代理双方自行约定内容由外贸代理向乙方支付货款。甲方付款前，外贸代理需提供符合甲方财务做账需求的合格全套相关单据，经甲方财务人员审核后支付，否则甲方有权不予支付且不承担任何违约责任。</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3、剩余的合同总金额5%的货款，金额为¥元（大写人民币），验收合格使用期满壹年经甲方再次验收，无质量问题后，甲方无息支付给外贸代理，后按照乙方和外贸代理双方自行约定内容由外贸代理向乙方支付剩余货款。</w:t>
      </w:r>
    </w:p>
    <w:p>
      <w:pPr>
        <w:spacing w:line="56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4、进口委托代理费由乙方与外贸代理自行协商，甲方不向外贸代理支付外贸代理费用。</w:t>
      </w:r>
    </w:p>
    <w:p>
      <w:pPr>
        <w:spacing w:line="560" w:lineRule="exact"/>
        <w:ind w:firstLine="560" w:firstLineChars="200"/>
        <w:rPr>
          <w:rFonts w:hint="eastAsia" w:ascii="宋体" w:hAnsi="宋体" w:cs="宋体"/>
          <w:color w:val="000000"/>
          <w:sz w:val="28"/>
          <w:szCs w:val="28"/>
        </w:rPr>
      </w:pPr>
      <w:r>
        <w:rPr>
          <w:rFonts w:hint="eastAsia" w:ascii="宋体" w:hAnsi="宋体" w:cs="宋体"/>
          <w:color w:val="000000"/>
          <w:sz w:val="28"/>
          <w:szCs w:val="28"/>
        </w:rPr>
        <w:t>★中标后中标单位在首次申请预付款支付时，应开具预付款保函，具体以新疆大学要求为准。</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四、交付地点、时间</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1.乙方应当与外贸代理沟通运输方式等事宜，并最终承担本合同约定的交货义务，如未按期交货，甲方有权追究乙方与外贸代理的违约责任。</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 xml:space="preserve">2.甲方指定的地点：乌鲁木齐市胜利路666号新疆大学（单位名称：    ）；具体以甲方通知时指定地点为准。 </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3.时间：自后   天内交付、安装调试完毕并通过甲方书面验收。</w:t>
      </w:r>
    </w:p>
    <w:p>
      <w:p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五、产品质量保证</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1.乙方保证合同标的物为全新产品。</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2.乙方保证合同标的物的名称、型号、数量、规格及技术、质量标准、售后服务必须满足招标文件要求。</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3.乙方保证合同标的物按国家标准要求制作，质量完全满足用户的要求并能满足甲方的使用需求。</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4.乙方的安装调试人员有义务对甲方维修人员及使用人员进行免费培训，确保维修人员能对合同标的物进行日常维护和一般性故障的查找及故障的排除，确保使用人员能够熟练掌握合同标的物的各项功能和操作。</w:t>
      </w:r>
    </w:p>
    <w:p>
      <w:p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六、质量保证期</w:t>
      </w:r>
    </w:p>
    <w:p>
      <w:pPr>
        <w:spacing w:line="560" w:lineRule="exact"/>
        <w:ind w:firstLine="560" w:firstLineChars="200"/>
        <w:jc w:val="left"/>
        <w:rPr>
          <w:rFonts w:ascii="宋体" w:hAnsi="宋体" w:cs="宋体"/>
          <w:color w:val="000000"/>
          <w:sz w:val="28"/>
          <w:szCs w:val="28"/>
        </w:rPr>
      </w:pPr>
      <w:r>
        <w:rPr>
          <w:rFonts w:hint="eastAsia" w:ascii="宋体" w:hAnsi="宋体" w:cs="宋体"/>
          <w:color w:val="000000"/>
          <w:sz w:val="28"/>
          <w:szCs w:val="28"/>
        </w:rPr>
        <w:t>1.合同标的物质保期见合同标的物明细表，具体质保期以生产厂家提供的质保期为准。生产厂家提供的质保期少于明细表中质保期的，以明细表中质保期为准；生产厂家提供的质保期长于明细表中质保期的，以生产厂家提供的质保期为准。在质量保证期内，因产品质量出现问题，乙方负责免费维修或更换新合同标的物，并承担与维修和更换相关的运费、安装、调试、保险等一切费用。超过质保期后只收取更换部件成本费用，不收取服务费。</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2.质保期自甲方书面验收合格之日起计算，质保期内，如合同标的物发生质量问题，乙方应在小时内到场进行维修。乙方接到甲方通知后未依照约定时间到场的，甲方有权另行聘请专业人员进行维修，产生的合理费用在剩余的合同总金额的5%货款中予以扣除，不足部分，乙方应予以补足。</w:t>
      </w:r>
    </w:p>
    <w:p>
      <w:p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七、技术资料</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乙方需向甲方提供下述资料：所供合同标的物的型号、规格、数量及生产厂家的产品检验证书、出厂检验报告、使用说明书等。</w:t>
      </w:r>
    </w:p>
    <w:p>
      <w:p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八、包装及验收</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1.所提供合同标的物必须进行合理包装，免收包装费，包装物不回收。</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2.因包装原因造成合同标的物在运输过程中丢失、损坏，乙方承担全部责任。</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3.验收标准：按甲方规定的名称、型号、技术参数、数量、生产日期、产地，并根据制造商的《产品合格证》《出厂清单》《技术文件》等进行现场验收，并由甲、乙双方签署验收报告。如有异议，各方应当在验收后七天内以书面形式通知对方。验收合格后由甲方提供合同标的物存放地点，并负责合同标的物的保管和安全。</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4.验收期限：甲方需在进口合同标的物的外贸代理交货、乙方安装调试完毕后日内完成验收，如遇特殊情况，双方应另行协商确定验收时间。</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5.合同标的物风险自通过甲方书面验收并交付甲方之后转移。</w:t>
      </w:r>
    </w:p>
    <w:p>
      <w:p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九、甲、乙双方的权利及义务</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若甲方对合同标的物有任何更改，包括合同标的物名称、型号、品种、规格、数量、颜色、交付时间等事宜，应书面通知乙方，交付时间从变更之日起顺延。若乙方接到通知后不予更改，由此造成的甲方损失，由乙方承担。</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2.若乙方与外贸代理在交付时，由于甲方的原因或要求，不能及时将合同标的物送达指定地点和验收时，则乙方与外贸代理可按甲方要求延期交货，甲方向乙方与外贸代理出具书面确认书。</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3.若甲方在验收后的质量保证期内，发现合同标的物出现质量问题，应及时通知乙方，若需要更换时，乙方应在接到通知后天内给予更换。</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4.合同标的物需安装调试的，乙方提供免费的安装调试。</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5.乙方对售予甲方的合同标的物提供的质量保证期的质量保证范围，不包括意外事件、不可抗力原因及甲方的违规使用。</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6、乙方须告知外贸代理本合同的具体内容，外贸代理严格根据甲方与乙方签订的采购合同审定、核实《委托代理进口协议》并对招、投标文件中的相关内容负责。合同执行过程中如发生对外索赔，外贸代理负责处理对外联络等商务活动，具体技术协议及索赔方案协商确定。</w:t>
      </w:r>
    </w:p>
    <w:p>
      <w:pPr>
        <w:spacing w:line="560" w:lineRule="exact"/>
        <w:ind w:firstLine="560" w:firstLineChars="200"/>
        <w:rPr>
          <w:rFonts w:ascii="宋体" w:hAnsi="宋体" w:cs="宋体"/>
          <w:bCs/>
          <w:color w:val="000000"/>
          <w:sz w:val="28"/>
          <w:szCs w:val="28"/>
        </w:rPr>
      </w:pPr>
      <w:r>
        <w:rPr>
          <w:rFonts w:hint="eastAsia" w:ascii="宋体" w:hAnsi="宋体" w:cs="宋体"/>
          <w:bCs/>
          <w:color w:val="000000"/>
          <w:sz w:val="28"/>
          <w:szCs w:val="28"/>
        </w:rPr>
        <w:t>十、合同变更、违约及其它</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1.合同经甲、乙双方法定代表人或授权代理人签字（盖章）并加盖单位公章后立即生效。</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合同的变更需甲、乙双方协商一致签订补充协议，并由法定代表人或授权代理人签字（盖章）且加盖单位公章后立即生效。补充协议与本合同具有同等法律效力，补充协议与本合同内容不一致的，以补充协议为准。</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2.乙方与外贸代理必须在本合同规定的时间内按时交货，否则由乙方与外贸代理负责承担全部责任。乙方与外贸代理逾期交货的，按日承担合同总额千分之五的违约金；逾期交货超过7天的，甲方有权单方解除合同，乙方与外贸代理除退还全部货款（包含预付款）外还应当另行承担合同总额20%的违约金。</w:t>
      </w:r>
      <w:r>
        <w:rPr>
          <w:rFonts w:hint="eastAsia" w:ascii="宋体" w:hAnsi="宋体" w:cs="宋体"/>
          <w:color w:val="000000"/>
          <w:sz w:val="28"/>
        </w:rPr>
        <w:t>甲方选择要求重新供货的，乙方</w:t>
      </w:r>
      <w:r>
        <w:rPr>
          <w:rFonts w:hint="eastAsia" w:ascii="宋体" w:hAnsi="宋体" w:cs="宋体"/>
          <w:color w:val="000000"/>
          <w:sz w:val="28"/>
          <w:szCs w:val="28"/>
        </w:rPr>
        <w:t>与外贸代理</w:t>
      </w:r>
      <w:r>
        <w:rPr>
          <w:rFonts w:hint="eastAsia" w:ascii="宋体" w:hAnsi="宋体" w:cs="宋体"/>
          <w:color w:val="000000"/>
          <w:sz w:val="28"/>
        </w:rPr>
        <w:t>逾期送达的，按日承担合同金额千分之五的违约金；逾期超过7天的，甲方有权单方面解除合同；甲方选择单方解除合同的，乙方</w:t>
      </w:r>
      <w:r>
        <w:rPr>
          <w:rFonts w:hint="eastAsia" w:ascii="宋体" w:hAnsi="宋体" w:cs="宋体"/>
          <w:color w:val="000000"/>
          <w:sz w:val="28"/>
          <w:szCs w:val="28"/>
        </w:rPr>
        <w:t>与外贸代理除退还全部货款（包含预付款）外还应当</w:t>
      </w:r>
      <w:r>
        <w:rPr>
          <w:rFonts w:hint="eastAsia" w:ascii="宋体" w:hAnsi="宋体" w:cs="宋体"/>
          <w:color w:val="000000"/>
          <w:sz w:val="28"/>
        </w:rPr>
        <w:t>另行承担合同总额20%的违约金。</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3.乙方与外贸代理提供的产品或服务不符合合同约定的，甲方有权选择要求乙方重新供货或单方解除合同。甲方选择要求重新供货的，乙方逾期送达的，按照本条上一款承担违约责任；甲方选择单方解除合同的，按照本条上一款承担违约责任。合同生效后，乙方中途废止合同（不可抗力原因除外），应按给甲方造成的损失向甲方支付赔偿金，并向甲方支付合同总金额20%的违约金；甲方中途废止合同（不可抗力原因除外），应按实际损失向乙方支付赔偿金，向乙方支付合同总金额10%的违约金。</w:t>
      </w:r>
    </w:p>
    <w:p>
      <w:pPr>
        <w:autoSpaceDE w:val="0"/>
        <w:autoSpaceDN w:val="0"/>
        <w:adjustRightInd w:val="0"/>
        <w:spacing w:line="56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w:t>
      </w:r>
      <w:r>
        <w:rPr>
          <w:rFonts w:hint="eastAsia" w:ascii="宋体" w:hAnsi="宋体" w:cs="宋体"/>
          <w:color w:val="000000"/>
          <w:kern w:val="0"/>
          <w:sz w:val="28"/>
        </w:rPr>
        <w:t>违约金数额不得超过应付未付金额的10%</w:t>
      </w:r>
      <w:r>
        <w:rPr>
          <w:rFonts w:hint="eastAsia" w:ascii="宋体" w:hAnsi="宋体" w:cs="宋体"/>
          <w:color w:val="000000"/>
          <w:kern w:val="0"/>
          <w:sz w:val="28"/>
          <w:szCs w:val="28"/>
        </w:rPr>
        <w:t>。</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5.合同文本不得涂改，如需修改应在合同附件中注明。经甲、乙双方协商达成一致修改意见，需经甲、乙双方代表共同签署此附件，方能生效。</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6.</w:t>
      </w:r>
      <w:r>
        <w:rPr>
          <w:rFonts w:hint="eastAsia" w:ascii="宋体" w:hAnsi="宋体" w:cs="宋体"/>
          <w:color w:val="000000"/>
          <w:sz w:val="28"/>
        </w:rPr>
        <w:t>本合同根据20  年  月   日由         组织的招标文件编号为         招标会的招投标结果签订。招标文件、投标文件、询价文件、报价文件及谈判会议上的答疑记录等均作为合同的附件，是本合同不可分割的组成部分，均与本合同具有同等法律效力，本合同未述及和不详之处，以附件为准。</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7.甲、乙双方发生争议时，应先协商解决，经协商不能达成一致时，任何一方均可向甲方所在地人民法院提起诉讼。</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8.合同一式陆份，甲方执叁份，乙方执叁份。</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9.乙方向甲方提供专业的售后服务工程师并提供专人长期驻扎甲方（发生的所有相关费用均由乙方自行承担），保证第一时间解决问题。</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10.一方违约，还应赔偿守约方因此遭受的其他损失，包括为主张权益所支付的律师费、交通费、公证费、保全费、保全保险费、鉴定费、评估费等全部费用。</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11.乙方违约的，甲方有权将相应违约金从应给乙方支付的货款中直接予以扣除。</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12.本合同尾部载明的双方地址、电话等信息，系双方有效联系方式，如发生变更，应提前书面通知另一方，否则依该联系方式送达相关文书的，视为送达成功。</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13.本协议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pPr>
        <w:spacing w:line="560" w:lineRule="exact"/>
        <w:ind w:firstLine="560" w:firstLineChars="200"/>
        <w:rPr>
          <w:rFonts w:ascii="宋体" w:hAnsi="宋体" w:cs="宋体"/>
          <w:color w:val="000000"/>
          <w:sz w:val="28"/>
          <w:szCs w:val="28"/>
        </w:rPr>
      </w:pPr>
      <w:r>
        <w:rPr>
          <w:rFonts w:hint="eastAsia" w:ascii="宋体" w:hAnsi="宋体" w:cs="宋体"/>
          <w:color w:val="000000"/>
          <w:sz w:val="28"/>
          <w:szCs w:val="28"/>
        </w:rPr>
        <w:t>14.未经另外一方的事先书面同意，任何一方均不得向第三方或其关联企业转让本协议项下的权利义务。</w:t>
      </w:r>
    </w:p>
    <w:tbl>
      <w:tblPr>
        <w:tblStyle w:val="28"/>
        <w:tblW w:w="10431" w:type="dxa"/>
        <w:jc w:val="center"/>
        <w:tblLayout w:type="fixed"/>
        <w:tblCellMar>
          <w:top w:w="0" w:type="dxa"/>
          <w:left w:w="108" w:type="dxa"/>
          <w:bottom w:w="0" w:type="dxa"/>
          <w:right w:w="108" w:type="dxa"/>
        </w:tblCellMar>
      </w:tblPr>
      <w:tblGrid>
        <w:gridCol w:w="1504"/>
        <w:gridCol w:w="3112"/>
        <w:gridCol w:w="1665"/>
        <w:gridCol w:w="4150"/>
      </w:tblGrid>
      <w:tr>
        <w:tblPrEx>
          <w:tblCellMar>
            <w:top w:w="0" w:type="dxa"/>
            <w:left w:w="108" w:type="dxa"/>
            <w:bottom w:w="0" w:type="dxa"/>
            <w:right w:w="108" w:type="dxa"/>
          </w:tblCellMar>
        </w:tblPrEx>
        <w:trPr>
          <w:trHeight w:val="590" w:hRule="atLeast"/>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甲方：</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乙方:</w:t>
            </w:r>
          </w:p>
        </w:tc>
        <w:tc>
          <w:tcPr>
            <w:tcW w:w="4150"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单位名称：</w:t>
            </w:r>
          </w:p>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260" w:rightChars="-124" w:firstLine="560" w:firstLineChars="200"/>
              <w:jc w:val="left"/>
              <w:rPr>
                <w:rFonts w:hint="default" w:ascii="宋体" w:hAnsi="宋体" w:cs="宋体"/>
                <w:color w:val="000000"/>
                <w:kern w:val="0"/>
                <w:sz w:val="28"/>
                <w:szCs w:val="28"/>
              </w:rPr>
            </w:pPr>
            <w:r>
              <w:rPr>
                <w:rFonts w:hint="eastAsia" w:ascii="宋体" w:hAnsi="宋体" w:cs="宋体"/>
                <w:color w:val="000000"/>
                <w:kern w:val="0"/>
                <w:sz w:val="28"/>
                <w:szCs w:val="28"/>
              </w:rPr>
              <w:t>新疆大学</w:t>
            </w: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单位名称:</w:t>
            </w:r>
          </w:p>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p>
        </w:tc>
        <w:tc>
          <w:tcPr>
            <w:tcW w:w="4150" w:type="dxa"/>
            <w:noWrap/>
            <w:vAlign w:val="center"/>
          </w:tcPr>
          <w:p>
            <w:pPr>
              <w:keepNext w:val="0"/>
              <w:keepLines w:val="0"/>
              <w:suppressLineNumbers w:val="0"/>
              <w:autoSpaceDE w:val="0"/>
              <w:autoSpaceDN w:val="0"/>
              <w:adjustRightInd w:val="0"/>
              <w:spacing w:before="0" w:beforeAutospacing="0" w:after="0" w:afterAutospacing="0" w:line="560" w:lineRule="exact"/>
              <w:ind w:left="0" w:right="-260" w:rightChars="-124"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公章：</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公章:</w:t>
            </w:r>
          </w:p>
        </w:tc>
        <w:tc>
          <w:tcPr>
            <w:tcW w:w="4150"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4616" w:type="dxa"/>
            <w:gridSpan w:val="2"/>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法定代表人或授权代理人签字：</w:t>
            </w:r>
          </w:p>
        </w:tc>
        <w:tc>
          <w:tcPr>
            <w:tcW w:w="5815" w:type="dxa"/>
            <w:gridSpan w:val="2"/>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法定代表人或授权代理人签字：</w:t>
            </w: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电话：</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电话:</w:t>
            </w:r>
          </w:p>
        </w:tc>
        <w:tc>
          <w:tcPr>
            <w:tcW w:w="4150" w:type="dxa"/>
            <w:noWrap/>
            <w:vAlign w:val="top"/>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传真：</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传真:</w:t>
            </w:r>
          </w:p>
        </w:tc>
        <w:tc>
          <w:tcPr>
            <w:tcW w:w="4150" w:type="dxa"/>
            <w:noWrap/>
            <w:vAlign w:val="top"/>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联系人：</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 xml:space="preserve">联系人: </w:t>
            </w:r>
          </w:p>
        </w:tc>
        <w:tc>
          <w:tcPr>
            <w:tcW w:w="4150"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 xml:space="preserve">通讯地址:    </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新疆乌鲁木齐市天山区胜利路666号新疆大学</w:t>
            </w: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通讯地址:</w:t>
            </w:r>
          </w:p>
        </w:tc>
        <w:tc>
          <w:tcPr>
            <w:tcW w:w="4150" w:type="dxa"/>
            <w:noWrap/>
            <w:vAlign w:val="top"/>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 xml:space="preserve">开户银行:                  </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中国农业银行乌鲁木齐胜利路（兵团）支行</w:t>
            </w: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开户银行:</w:t>
            </w:r>
          </w:p>
        </w:tc>
        <w:tc>
          <w:tcPr>
            <w:tcW w:w="4150"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r>
        <w:tblPrEx>
          <w:tblCellMar>
            <w:top w:w="0" w:type="dxa"/>
            <w:left w:w="108" w:type="dxa"/>
            <w:bottom w:w="0" w:type="dxa"/>
            <w:right w:w="108" w:type="dxa"/>
          </w:tblCellMar>
        </w:tblPrEx>
        <w:trPr>
          <w:jc w:val="center"/>
        </w:trPr>
        <w:tc>
          <w:tcPr>
            <w:tcW w:w="1504"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distribute"/>
              <w:rPr>
                <w:rFonts w:hint="default" w:ascii="宋体" w:hAnsi="宋体" w:cs="宋体"/>
                <w:color w:val="000000"/>
                <w:kern w:val="0"/>
                <w:sz w:val="28"/>
                <w:szCs w:val="28"/>
              </w:rPr>
            </w:pPr>
            <w:r>
              <w:rPr>
                <w:rFonts w:hint="eastAsia" w:ascii="宋体" w:hAnsi="宋体" w:cs="宋体"/>
                <w:color w:val="000000"/>
                <w:kern w:val="0"/>
                <w:sz w:val="28"/>
                <w:szCs w:val="28"/>
              </w:rPr>
              <w:t xml:space="preserve">帐  号：            </w:t>
            </w:r>
          </w:p>
        </w:tc>
        <w:tc>
          <w:tcPr>
            <w:tcW w:w="3112"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 xml:space="preserve">30704301040002348 </w:t>
            </w:r>
          </w:p>
        </w:tc>
        <w:tc>
          <w:tcPr>
            <w:tcW w:w="1665"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jc w:val="left"/>
              <w:rPr>
                <w:rFonts w:hint="default" w:ascii="宋体" w:hAnsi="宋体" w:cs="宋体"/>
                <w:color w:val="000000"/>
                <w:kern w:val="0"/>
                <w:sz w:val="28"/>
                <w:szCs w:val="28"/>
              </w:rPr>
            </w:pPr>
            <w:r>
              <w:rPr>
                <w:rFonts w:hint="eastAsia" w:ascii="宋体" w:hAnsi="宋体" w:cs="宋体"/>
                <w:color w:val="000000"/>
                <w:kern w:val="0"/>
                <w:sz w:val="28"/>
                <w:szCs w:val="28"/>
              </w:rPr>
              <w:t>帐    号：</w:t>
            </w:r>
          </w:p>
        </w:tc>
        <w:tc>
          <w:tcPr>
            <w:tcW w:w="4150" w:type="dxa"/>
            <w:noWrap/>
            <w:vAlign w:val="center"/>
          </w:tcPr>
          <w:p>
            <w:pPr>
              <w:keepNext w:val="0"/>
              <w:keepLines w:val="0"/>
              <w:suppressLineNumbers w:val="0"/>
              <w:autoSpaceDE w:val="0"/>
              <w:autoSpaceDN w:val="0"/>
              <w:adjustRightInd w:val="0"/>
              <w:spacing w:before="0" w:beforeAutospacing="0" w:after="0" w:afterAutospacing="0" w:line="560" w:lineRule="exact"/>
              <w:ind w:left="0" w:right="0" w:firstLine="560" w:firstLineChars="200"/>
              <w:jc w:val="left"/>
              <w:rPr>
                <w:rFonts w:hint="default" w:ascii="宋体" w:hAnsi="宋体" w:cs="宋体"/>
                <w:color w:val="000000"/>
                <w:kern w:val="0"/>
                <w:sz w:val="28"/>
                <w:szCs w:val="28"/>
              </w:rPr>
            </w:pPr>
          </w:p>
        </w:tc>
      </w:tr>
    </w:tbl>
    <w:p>
      <w:pPr>
        <w:autoSpaceDE w:val="0"/>
        <w:autoSpaceDN w:val="0"/>
        <w:adjustRightInd w:val="0"/>
        <w:spacing w:line="560" w:lineRule="exact"/>
        <w:ind w:firstLine="560" w:firstLineChars="200"/>
        <w:jc w:val="left"/>
        <w:rPr>
          <w:rFonts w:ascii="宋体" w:hAnsi="宋体" w:cs="宋体"/>
          <w:color w:val="000000"/>
          <w:kern w:val="0"/>
          <w:sz w:val="28"/>
          <w:szCs w:val="28"/>
        </w:rPr>
      </w:pPr>
    </w:p>
    <w:p>
      <w:pPr>
        <w:spacing w:line="560" w:lineRule="exact"/>
        <w:rPr>
          <w:rFonts w:ascii="宋体" w:hAnsi="宋体" w:cs="宋体"/>
          <w:color w:val="000000"/>
          <w:sz w:val="28"/>
          <w:szCs w:val="28"/>
        </w:rPr>
      </w:pPr>
    </w:p>
    <w:p>
      <w:pPr>
        <w:spacing w:line="560" w:lineRule="exact"/>
        <w:ind w:right="-105" w:firstLine="4480" w:firstLineChars="1600"/>
        <w:rPr>
          <w:rFonts w:ascii="宋体" w:hAnsi="宋体" w:cs="宋体"/>
          <w:color w:val="000000"/>
          <w:sz w:val="28"/>
          <w:szCs w:val="28"/>
        </w:rPr>
      </w:pPr>
      <w:r>
        <w:rPr>
          <w:rFonts w:hint="eastAsia" w:ascii="宋体" w:hAnsi="宋体" w:cs="宋体"/>
          <w:color w:val="000000"/>
          <w:sz w:val="28"/>
          <w:szCs w:val="28"/>
        </w:rPr>
        <w:t>二〇 年   月   日</w:t>
      </w:r>
    </w:p>
    <w:p>
      <w:pPr>
        <w:spacing w:line="560" w:lineRule="exact"/>
        <w:ind w:right="-105" w:firstLine="560" w:firstLineChars="200"/>
        <w:rPr>
          <w:rFonts w:ascii="宋体" w:hAnsi="宋体" w:cs="宋体"/>
          <w:color w:val="000000"/>
          <w:sz w:val="28"/>
          <w:szCs w:val="28"/>
        </w:rPr>
      </w:pPr>
      <w:r>
        <w:rPr>
          <w:rFonts w:hint="eastAsia" w:ascii="宋体" w:hAnsi="宋体" w:cs="宋体"/>
          <w:color w:val="000000"/>
          <w:sz w:val="28"/>
          <w:szCs w:val="28"/>
        </w:rPr>
        <w:t>合同签订地点：新疆乌鲁木齐市天山区胜利路666号新疆大学</w:t>
      </w:r>
    </w:p>
    <w:p>
      <w:pPr>
        <w:spacing w:line="560" w:lineRule="exact"/>
        <w:ind w:left="-105" w:right="-105" w:firstLine="562" w:firstLineChars="200"/>
        <w:jc w:val="center"/>
        <w:rPr>
          <w:rFonts w:ascii="宋体" w:hAnsi="宋体" w:cs="宋体"/>
          <w:b/>
          <w:color w:val="000000"/>
          <w:sz w:val="28"/>
          <w:szCs w:val="28"/>
        </w:rPr>
      </w:pPr>
    </w:p>
    <w:p>
      <w:pPr>
        <w:widowControl/>
        <w:spacing w:line="560" w:lineRule="exact"/>
        <w:ind w:firstLine="560" w:firstLineChars="200"/>
        <w:jc w:val="left"/>
        <w:rPr>
          <w:rFonts w:ascii="宋体" w:hAnsi="宋体" w:cs="宋体"/>
          <w:color w:val="000000"/>
          <w:sz w:val="28"/>
          <w:szCs w:val="28"/>
        </w:rPr>
      </w:pPr>
    </w:p>
    <w:p>
      <w:pPr>
        <w:spacing w:line="560" w:lineRule="exact"/>
        <w:rPr>
          <w:rFonts w:ascii="宋体" w:hAnsi="宋体" w:cs="宋体"/>
          <w:color w:val="000000"/>
          <w:sz w:val="28"/>
          <w:szCs w:val="28"/>
        </w:rPr>
      </w:pPr>
    </w:p>
    <w:p>
      <w:pPr>
        <w:spacing w:line="560" w:lineRule="exact"/>
        <w:rPr>
          <w:rFonts w:ascii="宋体" w:hAnsi="宋体" w:cs="宋体"/>
          <w:color w:val="000000"/>
          <w:sz w:val="28"/>
          <w:szCs w:val="28"/>
        </w:rPr>
      </w:pPr>
      <w:r>
        <w:rPr>
          <w:rFonts w:hint="eastAsia" w:ascii="宋体" w:hAnsi="宋体" w:cs="宋体"/>
          <w:color w:val="000000"/>
          <w:sz w:val="28"/>
          <w:szCs w:val="28"/>
        </w:rPr>
        <w:t>附件：开票信息</w:t>
      </w:r>
    </w:p>
    <w:p>
      <w:pPr>
        <w:spacing w:line="560" w:lineRule="exact"/>
        <w:ind w:firstLine="560" w:firstLineChars="200"/>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drawing>
          <wp:inline distT="0" distB="0" distL="114300" distR="114300">
            <wp:extent cx="5377815" cy="3875405"/>
            <wp:effectExtent l="0" t="0" r="8890" b="0"/>
            <wp:docPr id="2" name="图片 1" descr="微信图片_20211109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11109110043"/>
                    <pic:cNvPicPr>
                      <a:picLocks noChangeAspect="1"/>
                    </pic:cNvPicPr>
                  </pic:nvPicPr>
                  <pic:blipFill>
                    <a:blip r:embed="rId9"/>
                    <a:stretch>
                      <a:fillRect/>
                    </a:stretch>
                  </pic:blipFill>
                  <pic:spPr>
                    <a:xfrm>
                      <a:off x="0" y="0"/>
                      <a:ext cx="5377815" cy="3875405"/>
                    </a:xfrm>
                    <a:prstGeom prst="rect">
                      <a:avLst/>
                    </a:prstGeom>
                    <a:noFill/>
                    <a:ln>
                      <a:noFill/>
                    </a:ln>
                  </pic:spPr>
                </pic:pic>
              </a:graphicData>
            </a:graphic>
          </wp:inline>
        </w:drawing>
      </w:r>
    </w:p>
    <w:p>
      <w:pPr>
        <w:rPr>
          <w:rFonts w:ascii="宋体" w:hAnsi="宋体" w:cs="宋体"/>
          <w:color w:val="000000"/>
          <w:sz w:val="28"/>
          <w:szCs w:val="28"/>
        </w:rPr>
      </w:pPr>
    </w:p>
    <w:p>
      <w:pPr>
        <w:rPr>
          <w:rFonts w:ascii="宋体" w:hAnsi="宋体" w:cs="宋体"/>
          <w:color w:val="000000"/>
          <w:sz w:val="28"/>
          <w:szCs w:val="28"/>
        </w:rPr>
      </w:pPr>
    </w:p>
    <w:p>
      <w:pPr>
        <w:rPr>
          <w:rFonts w:ascii="宋体" w:hAnsi="宋体" w:cs="宋体"/>
          <w:color w:val="000000"/>
          <w:sz w:val="28"/>
          <w:szCs w:val="28"/>
        </w:rPr>
      </w:pPr>
    </w:p>
    <w:p>
      <w:pPr>
        <w:rPr>
          <w:rFonts w:ascii="宋体" w:hAnsi="宋体" w:cs="宋体"/>
          <w:color w:val="000000"/>
          <w:sz w:val="28"/>
          <w:szCs w:val="28"/>
        </w:rPr>
      </w:pPr>
    </w:p>
    <w:p>
      <w:pPr>
        <w:rPr>
          <w:rFonts w:ascii="宋体" w:hAnsi="宋体" w:cs="宋体"/>
          <w:color w:val="000000"/>
          <w:sz w:val="28"/>
          <w:szCs w:val="28"/>
        </w:rPr>
      </w:pPr>
    </w:p>
    <w:p>
      <w:pPr>
        <w:spacing w:line="360" w:lineRule="auto"/>
        <w:ind w:right="-105"/>
        <w:rPr>
          <w:rFonts w:ascii="宋体" w:hAnsi="宋体" w:cs="宋体"/>
          <w:color w:val="000000"/>
          <w:sz w:val="28"/>
          <w:szCs w:val="28"/>
        </w:rPr>
      </w:pPr>
    </w:p>
    <w:p>
      <w:pPr>
        <w:spacing w:line="360" w:lineRule="auto"/>
        <w:ind w:right="-105"/>
        <w:rPr>
          <w:rFonts w:ascii="宋体" w:hAnsi="宋体" w:cs="宋体"/>
          <w:color w:val="000000"/>
          <w:sz w:val="28"/>
          <w:szCs w:val="28"/>
        </w:rPr>
      </w:pPr>
    </w:p>
    <w:p>
      <w:pPr>
        <w:spacing w:line="360" w:lineRule="auto"/>
        <w:ind w:right="-105"/>
        <w:rPr>
          <w:rFonts w:ascii="宋体" w:hAnsi="宋体" w:cs="宋体"/>
          <w:color w:val="000000"/>
          <w:sz w:val="28"/>
          <w:szCs w:val="28"/>
        </w:rPr>
      </w:pPr>
    </w:p>
    <w:p>
      <w:pPr>
        <w:spacing w:line="360" w:lineRule="auto"/>
        <w:ind w:right="-105"/>
        <w:rPr>
          <w:rFonts w:ascii="宋体" w:hAnsi="宋体" w:cs="宋体"/>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p>
    <w:p>
      <w:pPr>
        <w:spacing w:line="360" w:lineRule="auto"/>
        <w:ind w:left="-2" w:leftChars="-1" w:right="-105" w:firstLine="1"/>
        <w:jc w:val="center"/>
        <w:rPr>
          <w:rFonts w:ascii="宋体" w:hAnsi="宋体" w:cs="宋体"/>
          <w:b/>
          <w:color w:val="000000"/>
          <w:sz w:val="28"/>
          <w:szCs w:val="28"/>
        </w:rPr>
      </w:pPr>
      <w:r>
        <w:rPr>
          <w:rFonts w:hint="eastAsia" w:ascii="宋体" w:hAnsi="宋体" w:cs="宋体"/>
          <w:b/>
          <w:color w:val="000000"/>
          <w:sz w:val="28"/>
          <w:szCs w:val="28"/>
        </w:rPr>
        <w:t>详细参数</w:t>
      </w:r>
    </w:p>
    <w:p>
      <w:pPr>
        <w:spacing w:line="360" w:lineRule="auto"/>
        <w:ind w:left="-105" w:right="-105" w:firstLine="420" w:firstLineChars="150"/>
        <w:rPr>
          <w:rFonts w:ascii="宋体" w:hAnsi="宋体" w:cs="宋体"/>
          <w:color w:val="000000"/>
          <w:sz w:val="28"/>
          <w:szCs w:val="28"/>
        </w:rPr>
      </w:pPr>
    </w:p>
    <w:p>
      <w:pPr>
        <w:spacing w:line="360" w:lineRule="auto"/>
        <w:ind w:left="-105" w:right="-105" w:firstLine="420" w:firstLineChars="150"/>
        <w:rPr>
          <w:rFonts w:ascii="宋体" w:hAnsi="宋体" w:cs="宋体"/>
          <w:color w:val="000000"/>
          <w:sz w:val="28"/>
          <w:szCs w:val="28"/>
        </w:rPr>
      </w:pPr>
    </w:p>
    <w:p>
      <w:pPr>
        <w:spacing w:line="360" w:lineRule="auto"/>
        <w:ind w:left="-105" w:right="-105" w:firstLine="420" w:firstLineChars="150"/>
        <w:rPr>
          <w:rFonts w:ascii="宋体" w:hAnsi="宋体" w:cs="宋体"/>
          <w:color w:val="000000"/>
          <w:sz w:val="28"/>
          <w:szCs w:val="28"/>
        </w:rPr>
      </w:pPr>
    </w:p>
    <w:p>
      <w:pPr>
        <w:spacing w:line="360" w:lineRule="auto"/>
        <w:ind w:left="-105" w:right="-105" w:firstLine="420" w:firstLineChars="150"/>
        <w:rPr>
          <w:rFonts w:ascii="宋体" w:hAnsi="宋体" w:cs="宋体"/>
          <w:color w:val="000000"/>
          <w:sz w:val="28"/>
          <w:szCs w:val="28"/>
        </w:rPr>
      </w:pPr>
    </w:p>
    <w:p>
      <w:pPr>
        <w:spacing w:line="360" w:lineRule="auto"/>
        <w:ind w:left="-105" w:right="-105" w:firstLine="420" w:firstLineChars="150"/>
        <w:rPr>
          <w:rFonts w:ascii="宋体" w:hAnsi="宋体" w:cs="宋体"/>
          <w:color w:val="000000"/>
          <w:sz w:val="28"/>
          <w:szCs w:val="28"/>
        </w:rPr>
      </w:pPr>
    </w:p>
    <w:p>
      <w:pPr>
        <w:spacing w:line="360" w:lineRule="auto"/>
        <w:ind w:left="109" w:right="-105" w:hanging="109" w:hangingChars="39"/>
        <w:rPr>
          <w:rFonts w:ascii="宋体" w:hAnsi="宋体" w:cs="宋体"/>
          <w:color w:val="000000"/>
          <w:sz w:val="28"/>
          <w:szCs w:val="28"/>
        </w:rPr>
      </w:pPr>
      <w:r>
        <w:rPr>
          <w:rFonts w:hint="eastAsia" w:ascii="宋体" w:hAnsi="宋体" w:cs="宋体"/>
          <w:color w:val="000000"/>
          <w:sz w:val="28"/>
          <w:szCs w:val="28"/>
        </w:rPr>
        <w:t>以下空白    以下空白    以下空白    以下空白    以下空白    以下空白</w:t>
      </w:r>
    </w:p>
    <w:p>
      <w:pPr>
        <w:spacing w:line="360" w:lineRule="auto"/>
        <w:ind w:left="109" w:right="-105" w:hanging="109" w:hangingChars="39"/>
        <w:rPr>
          <w:rFonts w:ascii="宋体" w:hAnsi="宋体" w:cs="仿宋_GB2312"/>
          <w:color w:val="000000"/>
          <w:sz w:val="28"/>
          <w:szCs w:val="28"/>
        </w:rPr>
      </w:pPr>
    </w:p>
    <w:p>
      <w:pPr>
        <w:jc w:val="center"/>
        <w:rPr>
          <w:rFonts w:ascii="宋体" w:hAnsi="宋体"/>
          <w:b/>
          <w:bCs/>
          <w:color w:val="000000"/>
          <w:sz w:val="32"/>
          <w:szCs w:val="32"/>
        </w:rPr>
      </w:pPr>
      <w:r>
        <w:rPr>
          <w:rFonts w:hint="eastAsia" w:ascii="宋体" w:hAnsi="宋体"/>
          <w:b/>
          <w:bCs/>
          <w:color w:val="000000"/>
          <w:sz w:val="32"/>
          <w:szCs w:val="32"/>
        </w:rPr>
        <w:t>（以上合同仅供参考，具体以新疆大学提供合同为准）</w:t>
      </w:r>
    </w:p>
    <w:p>
      <w:pPr>
        <w:jc w:val="center"/>
        <w:rPr>
          <w:rFonts w:ascii="宋体" w:hAnsi="宋体"/>
          <w:b/>
          <w:bCs/>
          <w:color w:val="000000"/>
          <w:sz w:val="32"/>
          <w:szCs w:val="32"/>
        </w:rPr>
      </w:pPr>
    </w:p>
    <w:p>
      <w:pPr>
        <w:rPr>
          <w:color w:val="000000"/>
        </w:rPr>
      </w:pPr>
      <w:r>
        <w:rPr>
          <w:rFonts w:hint="eastAsia" w:ascii="宋体" w:hAnsi="宋体"/>
          <w:b/>
          <w:bCs/>
          <w:color w:val="000000"/>
          <w:sz w:val="32"/>
          <w:szCs w:val="32"/>
        </w:rPr>
        <w:br w:type="page"/>
      </w:r>
    </w:p>
    <w:p>
      <w:pPr>
        <w:autoSpaceDE w:val="0"/>
        <w:autoSpaceDN w:val="0"/>
        <w:adjustRightInd w:val="0"/>
        <w:ind w:firstLine="1687" w:firstLineChars="200"/>
        <w:jc w:val="center"/>
        <w:rPr>
          <w:rFonts w:ascii="宋体" w:hAnsi="宋体" w:cs="宋体"/>
          <w:b/>
          <w:color w:val="000000"/>
          <w:sz w:val="84"/>
        </w:rPr>
      </w:pPr>
    </w:p>
    <w:p>
      <w:pPr>
        <w:autoSpaceDE w:val="0"/>
        <w:autoSpaceDN w:val="0"/>
        <w:adjustRightInd w:val="0"/>
        <w:ind w:firstLine="1687" w:firstLineChars="200"/>
        <w:jc w:val="center"/>
        <w:rPr>
          <w:rFonts w:ascii="宋体" w:hAnsi="宋体" w:cs="宋体"/>
          <w:b/>
          <w:color w:val="000000"/>
          <w:sz w:val="84"/>
        </w:rPr>
      </w:pPr>
    </w:p>
    <w:p>
      <w:pPr>
        <w:autoSpaceDE w:val="0"/>
        <w:autoSpaceDN w:val="0"/>
        <w:adjustRightInd w:val="0"/>
        <w:jc w:val="center"/>
        <w:textAlignment w:val="baseline"/>
        <w:rPr>
          <w:rFonts w:ascii="宋体" w:hAnsi="宋体" w:cs="宋体"/>
          <w:b/>
          <w:color w:val="000000"/>
          <w:sz w:val="84"/>
        </w:rPr>
      </w:pPr>
      <w:r>
        <w:rPr>
          <w:rFonts w:hint="eastAsia" w:ascii="宋体" w:hAnsi="宋体" w:cs="宋体"/>
          <w:b/>
          <w:color w:val="000000"/>
          <w:sz w:val="84"/>
        </w:rPr>
        <w:t>委托代理进口协议书</w:t>
      </w:r>
    </w:p>
    <w:p>
      <w:pPr>
        <w:autoSpaceDE w:val="0"/>
        <w:autoSpaceDN w:val="0"/>
        <w:adjustRightInd w:val="0"/>
        <w:textAlignment w:val="baseline"/>
        <w:rPr>
          <w:rFonts w:ascii="宋体" w:hAnsi="宋体" w:cs="宋体"/>
          <w:b/>
          <w:color w:val="000000"/>
          <w:sz w:val="84"/>
        </w:rPr>
      </w:pPr>
    </w:p>
    <w:p>
      <w:pPr>
        <w:autoSpaceDE w:val="0"/>
        <w:autoSpaceDN w:val="0"/>
        <w:adjustRightInd w:val="0"/>
        <w:textAlignment w:val="baseline"/>
        <w:rPr>
          <w:rFonts w:ascii="宋体" w:hAnsi="宋体" w:cs="宋体"/>
          <w:b/>
          <w:color w:val="000000"/>
          <w:sz w:val="84"/>
        </w:rPr>
      </w:pPr>
    </w:p>
    <w:p>
      <w:pPr>
        <w:widowControl/>
        <w:autoSpaceDE w:val="0"/>
        <w:autoSpaceDN w:val="0"/>
        <w:adjustRightInd w:val="0"/>
        <w:spacing w:line="360" w:lineRule="auto"/>
        <w:textAlignment w:val="baseline"/>
        <w:rPr>
          <w:rFonts w:ascii="宋体" w:hAnsi="宋体" w:cs="宋体"/>
          <w:color w:val="000000"/>
          <w:sz w:val="36"/>
          <w:szCs w:val="36"/>
        </w:rPr>
      </w:pPr>
      <w:r>
        <w:rPr>
          <w:rFonts w:hint="eastAsia" w:ascii="宋体" w:hAnsi="宋体" w:cs="宋体"/>
          <w:b/>
          <w:color w:val="000000"/>
          <w:sz w:val="36"/>
        </w:rPr>
        <w:t xml:space="preserve">   委 托 单 位 </w:t>
      </w:r>
      <w:r>
        <w:rPr>
          <w:rFonts w:hint="eastAsia" w:ascii="宋体" w:hAnsi="宋体" w:cs="宋体"/>
          <w:color w:val="000000"/>
          <w:sz w:val="36"/>
        </w:rPr>
        <w:t>：新疆大学</w:t>
      </w:r>
    </w:p>
    <w:p>
      <w:pPr>
        <w:widowControl/>
        <w:autoSpaceDE w:val="0"/>
        <w:autoSpaceDN w:val="0"/>
        <w:adjustRightInd w:val="0"/>
        <w:spacing w:line="360" w:lineRule="auto"/>
        <w:textAlignment w:val="baseline"/>
        <w:rPr>
          <w:rFonts w:ascii="宋体" w:hAnsi="宋体" w:cs="宋体"/>
          <w:b/>
          <w:color w:val="000000"/>
          <w:sz w:val="36"/>
        </w:rPr>
      </w:pPr>
      <w:r>
        <w:rPr>
          <w:rFonts w:hint="eastAsia" w:ascii="宋体" w:hAnsi="宋体" w:cs="宋体"/>
          <w:b/>
          <w:color w:val="000000"/>
          <w:sz w:val="36"/>
        </w:rPr>
        <w:t xml:space="preserve">   受 托 单 位 ：</w:t>
      </w:r>
    </w:p>
    <w:p>
      <w:pPr>
        <w:widowControl/>
        <w:autoSpaceDE w:val="0"/>
        <w:autoSpaceDN w:val="0"/>
        <w:adjustRightInd w:val="0"/>
        <w:spacing w:line="360" w:lineRule="auto"/>
        <w:textAlignment w:val="baseline"/>
        <w:rPr>
          <w:rFonts w:ascii="宋体" w:hAnsi="宋体" w:cs="宋体"/>
          <w:color w:val="000000"/>
          <w:sz w:val="36"/>
        </w:rPr>
      </w:pPr>
      <w:r>
        <w:rPr>
          <w:rFonts w:hint="eastAsia" w:ascii="宋体" w:hAnsi="宋体" w:cs="宋体"/>
          <w:b/>
          <w:color w:val="000000"/>
          <w:sz w:val="36"/>
        </w:rPr>
        <w:t>中 标 单 位 ：</w:t>
      </w:r>
    </w:p>
    <w:p>
      <w:pPr>
        <w:widowControl/>
        <w:autoSpaceDE w:val="0"/>
        <w:autoSpaceDN w:val="0"/>
        <w:adjustRightInd w:val="0"/>
        <w:spacing w:line="360" w:lineRule="auto"/>
        <w:ind w:left="525" w:leftChars="250"/>
        <w:textAlignment w:val="baseline"/>
        <w:rPr>
          <w:rFonts w:ascii="宋体" w:hAnsi="宋体" w:cs="宋体"/>
          <w:color w:val="000000"/>
          <w:sz w:val="36"/>
          <w:szCs w:val="36"/>
        </w:rPr>
      </w:pPr>
      <w:r>
        <w:rPr>
          <w:rFonts w:hint="eastAsia" w:ascii="宋体" w:hAnsi="宋体" w:cs="宋体"/>
          <w:b/>
          <w:color w:val="000000"/>
          <w:sz w:val="36"/>
          <w:szCs w:val="36"/>
        </w:rPr>
        <w:t>委托项目名称</w:t>
      </w:r>
      <w:r>
        <w:rPr>
          <w:rFonts w:hint="eastAsia" w:ascii="宋体" w:hAnsi="宋体" w:cs="宋体"/>
          <w:b/>
          <w:color w:val="000000"/>
          <w:sz w:val="36"/>
        </w:rPr>
        <w:t>：</w:t>
      </w:r>
    </w:p>
    <w:p>
      <w:pPr>
        <w:widowControl/>
        <w:autoSpaceDE w:val="0"/>
        <w:autoSpaceDN w:val="0"/>
        <w:adjustRightInd w:val="0"/>
        <w:spacing w:line="360" w:lineRule="auto"/>
        <w:ind w:left="544" w:leftChars="259"/>
        <w:textAlignment w:val="baseline"/>
        <w:rPr>
          <w:rFonts w:ascii="宋体" w:hAnsi="宋体" w:cs="宋体"/>
          <w:b/>
          <w:bCs/>
          <w:color w:val="000000"/>
          <w:sz w:val="36"/>
          <w:szCs w:val="36"/>
        </w:rPr>
      </w:pPr>
    </w:p>
    <w:p>
      <w:pPr>
        <w:widowControl/>
        <w:autoSpaceDE w:val="0"/>
        <w:autoSpaceDN w:val="0"/>
        <w:adjustRightInd w:val="0"/>
        <w:spacing w:line="360" w:lineRule="auto"/>
        <w:ind w:left="544" w:leftChars="259"/>
        <w:textAlignment w:val="baseline"/>
        <w:rPr>
          <w:rFonts w:ascii="宋体" w:hAnsi="宋体" w:cs="宋体"/>
          <w:b/>
          <w:color w:val="000000"/>
          <w:sz w:val="36"/>
        </w:rPr>
      </w:pPr>
      <w:r>
        <w:rPr>
          <w:rFonts w:hint="eastAsia" w:ascii="宋体" w:hAnsi="宋体" w:cs="宋体"/>
          <w:b/>
          <w:bCs/>
          <w:color w:val="000000"/>
          <w:sz w:val="36"/>
          <w:szCs w:val="36"/>
        </w:rPr>
        <w:t>招标文件编号：</w:t>
      </w:r>
    </w:p>
    <w:p>
      <w:pPr>
        <w:widowControl/>
        <w:autoSpaceDE w:val="0"/>
        <w:autoSpaceDN w:val="0"/>
        <w:adjustRightInd w:val="0"/>
        <w:spacing w:line="360" w:lineRule="auto"/>
        <w:textAlignment w:val="baseline"/>
        <w:rPr>
          <w:rFonts w:ascii="宋体" w:hAnsi="宋体" w:cs="宋体"/>
          <w:color w:val="000000"/>
          <w:sz w:val="36"/>
        </w:rPr>
      </w:pPr>
    </w:p>
    <w:p>
      <w:pPr>
        <w:autoSpaceDE w:val="0"/>
        <w:autoSpaceDN w:val="0"/>
        <w:adjustRightInd w:val="0"/>
        <w:textAlignment w:val="baseline"/>
        <w:rPr>
          <w:rFonts w:ascii="宋体" w:hAnsi="宋体" w:cs="宋体"/>
          <w:b/>
          <w:color w:val="000000"/>
          <w:sz w:val="36"/>
        </w:rPr>
      </w:pPr>
    </w:p>
    <w:p>
      <w:pPr>
        <w:autoSpaceDE w:val="0"/>
        <w:autoSpaceDN w:val="0"/>
        <w:adjustRightInd w:val="0"/>
        <w:snapToGrid w:val="0"/>
        <w:spacing w:line="360" w:lineRule="auto"/>
        <w:ind w:right="-1134" w:rightChars="-540"/>
        <w:textAlignment w:val="baseline"/>
        <w:rPr>
          <w:rFonts w:ascii="宋体" w:hAnsi="宋体" w:cs="宋体"/>
          <w:bCs/>
          <w:color w:val="000000"/>
        </w:rPr>
      </w:pPr>
    </w:p>
    <w:p>
      <w:pPr>
        <w:autoSpaceDE w:val="0"/>
        <w:autoSpaceDN w:val="0"/>
        <w:adjustRightInd w:val="0"/>
        <w:snapToGrid w:val="0"/>
        <w:spacing w:line="360" w:lineRule="auto"/>
        <w:ind w:right="-1134" w:rightChars="-540"/>
        <w:textAlignment w:val="baseline"/>
        <w:rPr>
          <w:rFonts w:ascii="宋体" w:hAnsi="宋体" w:cs="宋体"/>
          <w:bCs/>
          <w:color w:val="000000"/>
        </w:rPr>
      </w:pPr>
    </w:p>
    <w:p>
      <w:pPr>
        <w:autoSpaceDE w:val="0"/>
        <w:autoSpaceDN w:val="0"/>
        <w:adjustRightInd w:val="0"/>
        <w:snapToGrid w:val="0"/>
        <w:spacing w:line="360" w:lineRule="auto"/>
        <w:ind w:right="-1134" w:rightChars="-540"/>
        <w:textAlignment w:val="baseline"/>
        <w:rPr>
          <w:rFonts w:ascii="宋体" w:hAnsi="宋体" w:cs="宋体"/>
          <w:bCs/>
          <w:color w:val="000000"/>
        </w:rPr>
      </w:pPr>
    </w:p>
    <w:p>
      <w:pPr>
        <w:autoSpaceDE w:val="0"/>
        <w:autoSpaceDN w:val="0"/>
        <w:adjustRightInd w:val="0"/>
        <w:snapToGrid w:val="0"/>
        <w:spacing w:line="360" w:lineRule="auto"/>
        <w:ind w:right="-1134" w:rightChars="-540"/>
        <w:textAlignment w:val="baseline"/>
        <w:rPr>
          <w:rFonts w:ascii="宋体" w:hAnsi="宋体" w:cs="宋体"/>
          <w:bCs/>
          <w:color w:val="000000"/>
        </w:rPr>
      </w:pPr>
    </w:p>
    <w:p>
      <w:pPr>
        <w:autoSpaceDE w:val="0"/>
        <w:autoSpaceDN w:val="0"/>
        <w:adjustRightInd w:val="0"/>
        <w:snapToGrid w:val="0"/>
        <w:spacing w:line="360" w:lineRule="auto"/>
        <w:ind w:right="-1134" w:rightChars="-540"/>
        <w:textAlignment w:val="baseline"/>
        <w:rPr>
          <w:rFonts w:ascii="宋体" w:hAnsi="宋体" w:cs="宋体"/>
          <w:bCs/>
          <w:color w:val="000000"/>
        </w:rPr>
      </w:pPr>
    </w:p>
    <w:p>
      <w:pPr>
        <w:autoSpaceDE w:val="0"/>
        <w:autoSpaceDN w:val="0"/>
        <w:adjustRightInd w:val="0"/>
        <w:snapToGrid w:val="0"/>
        <w:spacing w:line="360" w:lineRule="auto"/>
        <w:ind w:right="-1134" w:rightChars="-540"/>
        <w:jc w:val="center"/>
        <w:textAlignment w:val="baseline"/>
        <w:rPr>
          <w:rFonts w:ascii="宋体" w:hAnsi="宋体" w:cs="宋体"/>
          <w:bCs/>
          <w:color w:val="000000"/>
        </w:rPr>
        <w:sectPr>
          <w:headerReference r:id="rId3" w:type="default"/>
          <w:footerReference r:id="rId4" w:type="default"/>
          <w:pgSz w:w="11907" w:h="16840"/>
          <w:pgMar w:top="1134" w:right="1134" w:bottom="1134" w:left="1134" w:header="851" w:footer="992" w:gutter="0"/>
          <w:pgNumType w:start="1"/>
          <w:cols w:space="720" w:num="1"/>
          <w:docGrid w:linePitch="285" w:charSpace="0"/>
        </w:sectPr>
      </w:pPr>
      <w:r>
        <w:rPr>
          <w:rFonts w:hint="eastAsia" w:ascii="宋体" w:hAnsi="宋体" w:cs="宋体"/>
          <w:b/>
          <w:color w:val="000000"/>
          <w:sz w:val="36"/>
        </w:rPr>
        <w:t>日  期：二O年月</w:t>
      </w:r>
    </w:p>
    <w:p>
      <w:pPr>
        <w:autoSpaceDE w:val="0"/>
        <w:autoSpaceDN w:val="0"/>
        <w:adjustRightInd w:val="0"/>
        <w:snapToGrid w:val="0"/>
        <w:spacing w:line="360" w:lineRule="auto"/>
        <w:ind w:right="-1134" w:rightChars="-540"/>
        <w:jc w:val="center"/>
        <w:textAlignment w:val="baseline"/>
        <w:rPr>
          <w:rFonts w:ascii="Times New Roman" w:hAnsi="Times New Roman"/>
          <w:b/>
          <w:color w:val="000000"/>
          <w:sz w:val="44"/>
          <w:szCs w:val="44"/>
        </w:rPr>
      </w:pPr>
      <w:r>
        <w:rPr>
          <w:rFonts w:ascii="Times New Roman" w:hAnsi="Times New Roman"/>
          <w:b/>
          <w:color w:val="000000"/>
          <w:sz w:val="44"/>
          <w:szCs w:val="44"/>
        </w:rPr>
        <w:t>委托代理进口协议</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r>
        <w:rPr>
          <w:rFonts w:hint="eastAsia" w:ascii="宋体" w:hAnsi="宋体" w:cs="宋体"/>
          <w:color w:val="000000"/>
          <w:sz w:val="24"/>
          <w:szCs w:val="24"/>
        </w:rPr>
        <w:tab/>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甲方（委托单位）：新疆大学                       </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地址: 乌鲁木齐市胜利路666号 </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电话: 0991-8587525          传真：0991-8586368</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乙方（受托单位）：</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地址:</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电话:           传真：</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丙方（中标单位）：</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地址:</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电话: 传真：</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甲、乙、丙三方依据《中华人民共和国民法典》就乙方作为外贸代理公司代理甲方进口下列合同标的物，经友好协商达成如下协议：    </w:t>
      </w:r>
    </w:p>
    <w:p>
      <w:pPr>
        <w:shd w:val="clear" w:color="auto" w:fill="FFFFFF"/>
        <w:autoSpaceDE w:val="0"/>
        <w:autoSpaceDN w:val="0"/>
        <w:adjustRightInd w:val="0"/>
        <w:spacing w:line="360" w:lineRule="auto"/>
        <w:ind w:firstLine="482" w:firstLineChars="200"/>
        <w:rPr>
          <w:rFonts w:ascii="宋体" w:hAnsi="宋体" w:cs="宋体"/>
          <w:b/>
          <w:bCs/>
          <w:color w:val="000000"/>
          <w:sz w:val="24"/>
          <w:szCs w:val="24"/>
        </w:rPr>
      </w:pPr>
      <w:r>
        <w:rPr>
          <w:rFonts w:hint="eastAsia" w:ascii="宋体" w:hAnsi="宋体" w:cs="宋体"/>
          <w:b/>
          <w:bCs/>
          <w:color w:val="000000"/>
          <w:sz w:val="24"/>
          <w:szCs w:val="24"/>
        </w:rPr>
        <w:t>第一条 代理进口合同标的物详细如下：</w:t>
      </w:r>
    </w:p>
    <w:tbl>
      <w:tblPr>
        <w:tblStyle w:val="28"/>
        <w:tblW w:w="10048" w:type="dxa"/>
        <w:jc w:val="center"/>
        <w:tblLayout w:type="fixed"/>
        <w:tblCellMar>
          <w:top w:w="0" w:type="dxa"/>
          <w:left w:w="108" w:type="dxa"/>
          <w:bottom w:w="0" w:type="dxa"/>
          <w:right w:w="108" w:type="dxa"/>
        </w:tblCellMar>
      </w:tblPr>
      <w:tblGrid>
        <w:gridCol w:w="508"/>
        <w:gridCol w:w="2205"/>
        <w:gridCol w:w="1272"/>
        <w:gridCol w:w="1728"/>
        <w:gridCol w:w="925"/>
        <w:gridCol w:w="695"/>
        <w:gridCol w:w="1359"/>
        <w:gridCol w:w="1356"/>
      </w:tblGrid>
      <w:tr>
        <w:tblPrEx>
          <w:tblCellMar>
            <w:top w:w="0" w:type="dxa"/>
            <w:left w:w="108" w:type="dxa"/>
            <w:bottom w:w="0" w:type="dxa"/>
            <w:right w:w="108" w:type="dxa"/>
          </w:tblCellMar>
        </w:tblPrEx>
        <w:trPr>
          <w:trHeight w:val="449"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序号</w:t>
            </w:r>
          </w:p>
        </w:tc>
        <w:tc>
          <w:tcPr>
            <w:tcW w:w="2205"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产品名称</w:t>
            </w:r>
          </w:p>
        </w:tc>
        <w:tc>
          <w:tcPr>
            <w:tcW w:w="1272"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规格型号</w:t>
            </w:r>
          </w:p>
        </w:tc>
        <w:tc>
          <w:tcPr>
            <w:tcW w:w="1728"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制造商、品牌及产地</w:t>
            </w:r>
          </w:p>
        </w:tc>
        <w:tc>
          <w:tcPr>
            <w:tcW w:w="925" w:type="dxa"/>
            <w:tcBorders>
              <w:top w:val="single" w:color="000000" w:sz="4" w:space="0"/>
              <w:left w:val="nil"/>
              <w:bottom w:val="single" w:color="000000" w:sz="4" w:space="0"/>
              <w:right w:val="single" w:color="auto"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质保期</w:t>
            </w:r>
          </w:p>
        </w:tc>
        <w:tc>
          <w:tcPr>
            <w:tcW w:w="69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数量</w:t>
            </w:r>
          </w:p>
        </w:tc>
        <w:tc>
          <w:tcPr>
            <w:tcW w:w="1359"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单价（元）</w:t>
            </w:r>
          </w:p>
        </w:tc>
        <w:tc>
          <w:tcPr>
            <w:tcW w:w="1356"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b/>
                <w:color w:val="000000"/>
                <w:sz w:val="24"/>
              </w:rPr>
            </w:pPr>
            <w:r>
              <w:rPr>
                <w:rFonts w:hint="eastAsia" w:ascii="宋体" w:hAnsi="宋体" w:cs="宋体"/>
                <w:b/>
                <w:color w:val="000000"/>
                <w:sz w:val="24"/>
              </w:rPr>
              <w:t>总价（元）</w:t>
            </w:r>
          </w:p>
        </w:tc>
      </w:tr>
      <w:tr>
        <w:tblPrEx>
          <w:tblCellMar>
            <w:top w:w="0" w:type="dxa"/>
            <w:left w:w="108" w:type="dxa"/>
            <w:bottom w:w="0" w:type="dxa"/>
            <w:right w:w="108" w:type="dxa"/>
          </w:tblCellMar>
        </w:tblPrEx>
        <w:trPr>
          <w:trHeight w:val="397"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r>
              <w:rPr>
                <w:rFonts w:hint="eastAsia" w:ascii="宋体" w:hAnsi="宋体" w:cs="宋体"/>
                <w:color w:val="000000"/>
                <w:sz w:val="24"/>
                <w:szCs w:val="24"/>
              </w:rPr>
              <w:t>1</w:t>
            </w:r>
          </w:p>
        </w:tc>
        <w:tc>
          <w:tcPr>
            <w:tcW w:w="2205"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line="360" w:lineRule="auto"/>
              <w:ind w:left="0" w:right="0"/>
              <w:jc w:val="center"/>
              <w:outlineLvl w:val="0"/>
              <w:rPr>
                <w:rFonts w:hint="default" w:ascii="宋体" w:hAnsi="宋体" w:cs="宋体"/>
                <w:bCs/>
                <w:color w:val="000000"/>
                <w:sz w:val="24"/>
              </w:rPr>
            </w:pPr>
          </w:p>
        </w:tc>
        <w:tc>
          <w:tcPr>
            <w:tcW w:w="1272"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line="360" w:lineRule="auto"/>
              <w:ind w:left="0" w:right="0"/>
              <w:jc w:val="center"/>
              <w:outlineLvl w:val="0"/>
              <w:rPr>
                <w:rFonts w:hint="default" w:ascii="宋体" w:hAnsi="宋体" w:cs="宋体"/>
                <w:bCs/>
                <w:color w:val="000000"/>
                <w:sz w:val="24"/>
              </w:rPr>
            </w:pPr>
          </w:p>
        </w:tc>
        <w:tc>
          <w:tcPr>
            <w:tcW w:w="1728" w:type="dxa"/>
            <w:tcBorders>
              <w:top w:val="single" w:color="000000" w:sz="4" w:space="0"/>
              <w:left w:val="nil"/>
              <w:bottom w:val="single" w:color="000000" w:sz="4" w:space="0"/>
              <w:right w:val="single" w:color="000000" w:sz="4" w:space="0"/>
            </w:tcBorders>
            <w:noWrap/>
            <w:vAlign w:val="center"/>
          </w:tcPr>
          <w:p>
            <w:pPr>
              <w:keepNext w:val="0"/>
              <w:keepLines w:val="0"/>
              <w:suppressLineNumbers w:val="0"/>
              <w:tabs>
                <w:tab w:val="left" w:pos="614"/>
              </w:tabs>
              <w:spacing w:before="0" w:beforeAutospacing="0" w:after="0" w:afterAutospacing="0" w:line="360" w:lineRule="auto"/>
              <w:ind w:left="0" w:right="0"/>
              <w:jc w:val="center"/>
              <w:outlineLvl w:val="0"/>
              <w:rPr>
                <w:rFonts w:hint="default" w:ascii="宋体" w:hAnsi="宋体" w:cs="宋体"/>
                <w:bCs/>
                <w:color w:val="000000"/>
                <w:sz w:val="24"/>
              </w:rPr>
            </w:pPr>
          </w:p>
        </w:tc>
        <w:tc>
          <w:tcPr>
            <w:tcW w:w="925" w:type="dxa"/>
            <w:tcBorders>
              <w:top w:val="single" w:color="000000" w:sz="4" w:space="0"/>
              <w:left w:val="nil"/>
              <w:bottom w:val="single" w:color="000000"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outlineLvl w:val="0"/>
              <w:rPr>
                <w:rFonts w:hint="default" w:ascii="宋体" w:hAnsi="宋体" w:cs="宋体"/>
                <w:bCs/>
                <w:color w:val="000000"/>
                <w:sz w:val="24"/>
              </w:rPr>
            </w:pPr>
          </w:p>
        </w:tc>
        <w:tc>
          <w:tcPr>
            <w:tcW w:w="69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line="360" w:lineRule="auto"/>
              <w:ind w:left="0" w:right="0"/>
              <w:jc w:val="center"/>
              <w:outlineLvl w:val="0"/>
              <w:rPr>
                <w:rFonts w:hint="default" w:ascii="宋体" w:hAnsi="宋体" w:cs="宋体"/>
                <w:bCs/>
                <w:color w:val="000000"/>
                <w:sz w:val="24"/>
              </w:rPr>
            </w:pPr>
          </w:p>
        </w:tc>
        <w:tc>
          <w:tcPr>
            <w:tcW w:w="1359"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line="360" w:lineRule="auto"/>
              <w:ind w:left="0" w:right="0"/>
              <w:jc w:val="center"/>
              <w:outlineLvl w:val="0"/>
              <w:rPr>
                <w:rFonts w:hint="default" w:ascii="宋体" w:hAnsi="宋体" w:cs="宋体"/>
                <w:bCs/>
                <w:color w:val="000000"/>
                <w:sz w:val="24"/>
              </w:rPr>
            </w:pPr>
          </w:p>
        </w:tc>
        <w:tc>
          <w:tcPr>
            <w:tcW w:w="1356"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line="360" w:lineRule="auto"/>
              <w:ind w:left="0" w:right="0"/>
              <w:jc w:val="center"/>
              <w:outlineLvl w:val="0"/>
              <w:rPr>
                <w:rFonts w:hint="default" w:ascii="宋体" w:hAnsi="宋体" w:cs="宋体"/>
                <w:bCs/>
                <w:color w:val="000000"/>
                <w:sz w:val="24"/>
              </w:rPr>
            </w:pPr>
          </w:p>
        </w:tc>
      </w:tr>
      <w:tr>
        <w:tblPrEx>
          <w:tblCellMar>
            <w:top w:w="0" w:type="dxa"/>
            <w:left w:w="108" w:type="dxa"/>
            <w:bottom w:w="0" w:type="dxa"/>
            <w:right w:w="108" w:type="dxa"/>
          </w:tblCellMar>
        </w:tblPrEx>
        <w:trPr>
          <w:trHeight w:val="397"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r>
              <w:rPr>
                <w:rFonts w:hint="eastAsia" w:ascii="宋体" w:hAnsi="宋体" w:cs="宋体"/>
                <w:color w:val="000000"/>
                <w:sz w:val="24"/>
                <w:szCs w:val="24"/>
              </w:rPr>
              <w:t>2</w:t>
            </w:r>
          </w:p>
        </w:tc>
        <w:tc>
          <w:tcPr>
            <w:tcW w:w="2205"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2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72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925" w:type="dxa"/>
            <w:tcBorders>
              <w:top w:val="single" w:color="000000" w:sz="4" w:space="0"/>
              <w:left w:val="nil"/>
              <w:bottom w:val="single" w:color="000000" w:sz="4" w:space="0"/>
              <w:right w:val="single" w:color="auto"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69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359"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c>
          <w:tcPr>
            <w:tcW w:w="1356"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r>
      <w:tr>
        <w:tblPrEx>
          <w:tblCellMar>
            <w:top w:w="0" w:type="dxa"/>
            <w:left w:w="108" w:type="dxa"/>
            <w:bottom w:w="0" w:type="dxa"/>
            <w:right w:w="108" w:type="dxa"/>
          </w:tblCellMar>
        </w:tblPrEx>
        <w:trPr>
          <w:trHeight w:val="397"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r>
              <w:rPr>
                <w:rFonts w:hint="eastAsia" w:ascii="宋体" w:hAnsi="宋体" w:cs="宋体"/>
                <w:color w:val="000000"/>
                <w:sz w:val="24"/>
                <w:szCs w:val="24"/>
              </w:rPr>
              <w:t>3</w:t>
            </w:r>
          </w:p>
        </w:tc>
        <w:tc>
          <w:tcPr>
            <w:tcW w:w="2205"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2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0" w:right="-105" w:rightChars="-50"/>
              <w:jc w:val="center"/>
              <w:rPr>
                <w:rFonts w:hint="default" w:ascii="宋体" w:hAnsi="宋体" w:cs="宋体"/>
                <w:color w:val="000000"/>
                <w:sz w:val="24"/>
                <w:szCs w:val="24"/>
              </w:rPr>
            </w:pPr>
          </w:p>
        </w:tc>
        <w:tc>
          <w:tcPr>
            <w:tcW w:w="172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925" w:type="dxa"/>
            <w:tcBorders>
              <w:top w:val="single" w:color="000000" w:sz="4" w:space="0"/>
              <w:left w:val="nil"/>
              <w:bottom w:val="single" w:color="000000" w:sz="4" w:space="0"/>
              <w:right w:val="single" w:color="auto"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69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359"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c>
          <w:tcPr>
            <w:tcW w:w="1356"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r>
      <w:tr>
        <w:tblPrEx>
          <w:tblCellMar>
            <w:top w:w="0" w:type="dxa"/>
            <w:left w:w="108" w:type="dxa"/>
            <w:bottom w:w="0" w:type="dxa"/>
            <w:right w:w="108" w:type="dxa"/>
          </w:tblCellMar>
        </w:tblPrEx>
        <w:trPr>
          <w:trHeight w:val="397"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r>
              <w:rPr>
                <w:rFonts w:hint="eastAsia" w:ascii="宋体" w:hAnsi="宋体" w:cs="宋体"/>
                <w:color w:val="000000"/>
                <w:sz w:val="24"/>
                <w:szCs w:val="24"/>
              </w:rPr>
              <w:t>4</w:t>
            </w:r>
          </w:p>
        </w:tc>
        <w:tc>
          <w:tcPr>
            <w:tcW w:w="2205"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2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72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925" w:type="dxa"/>
            <w:tcBorders>
              <w:top w:val="single" w:color="000000" w:sz="4" w:space="0"/>
              <w:left w:val="nil"/>
              <w:bottom w:val="single" w:color="000000" w:sz="4" w:space="0"/>
              <w:right w:val="single" w:color="auto"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69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359"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c>
          <w:tcPr>
            <w:tcW w:w="1356"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r>
      <w:tr>
        <w:tblPrEx>
          <w:tblCellMar>
            <w:top w:w="0" w:type="dxa"/>
            <w:left w:w="108" w:type="dxa"/>
            <w:bottom w:w="0" w:type="dxa"/>
            <w:right w:w="108" w:type="dxa"/>
          </w:tblCellMar>
        </w:tblPrEx>
        <w:trPr>
          <w:trHeight w:val="397" w:hRule="atLeast"/>
          <w:jc w:val="center"/>
        </w:trPr>
        <w:tc>
          <w:tcPr>
            <w:tcW w:w="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r>
              <w:rPr>
                <w:rFonts w:hint="eastAsia" w:ascii="宋体" w:hAnsi="宋体" w:cs="宋体"/>
                <w:color w:val="000000"/>
                <w:sz w:val="24"/>
                <w:szCs w:val="24"/>
              </w:rPr>
              <w:t>5</w:t>
            </w:r>
          </w:p>
        </w:tc>
        <w:tc>
          <w:tcPr>
            <w:tcW w:w="2205"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27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728"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925" w:type="dxa"/>
            <w:tcBorders>
              <w:top w:val="single" w:color="000000" w:sz="4" w:space="0"/>
              <w:left w:val="nil"/>
              <w:bottom w:val="single" w:color="000000" w:sz="4" w:space="0"/>
              <w:right w:val="single" w:color="auto"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69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center"/>
              <w:rPr>
                <w:rFonts w:hint="default" w:ascii="宋体" w:hAnsi="宋体" w:cs="宋体"/>
                <w:color w:val="000000"/>
                <w:sz w:val="24"/>
                <w:szCs w:val="24"/>
              </w:rPr>
            </w:pPr>
          </w:p>
        </w:tc>
        <w:tc>
          <w:tcPr>
            <w:tcW w:w="1359"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c>
          <w:tcPr>
            <w:tcW w:w="1356" w:type="dxa"/>
            <w:tcBorders>
              <w:top w:val="single" w:color="000000" w:sz="4" w:space="0"/>
              <w:left w:val="nil"/>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 w:val="22"/>
              </w:rPr>
            </w:pPr>
          </w:p>
        </w:tc>
      </w:tr>
      <w:tr>
        <w:tblPrEx>
          <w:tblCellMar>
            <w:top w:w="0" w:type="dxa"/>
            <w:left w:w="108" w:type="dxa"/>
            <w:bottom w:w="0" w:type="dxa"/>
            <w:right w:w="108" w:type="dxa"/>
          </w:tblCellMar>
        </w:tblPrEx>
        <w:trPr>
          <w:trHeight w:val="397" w:hRule="atLeast"/>
          <w:jc w:val="center"/>
        </w:trPr>
        <w:tc>
          <w:tcPr>
            <w:tcW w:w="271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105" w:leftChars="-50" w:right="-105" w:rightChars="-50"/>
              <w:jc w:val="center"/>
              <w:rPr>
                <w:rFonts w:hint="default" w:ascii="宋体" w:hAnsi="宋体" w:cs="宋体"/>
                <w:color w:val="000000"/>
              </w:rPr>
            </w:pPr>
            <w:r>
              <w:rPr>
                <w:rFonts w:hint="eastAsia" w:ascii="宋体" w:hAnsi="宋体" w:cs="宋体"/>
                <w:b/>
                <w:color w:val="000000"/>
                <w:sz w:val="24"/>
              </w:rPr>
              <w:t>合同金额</w:t>
            </w:r>
          </w:p>
        </w:tc>
        <w:tc>
          <w:tcPr>
            <w:tcW w:w="7335" w:type="dxa"/>
            <w:gridSpan w:val="6"/>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snapToGrid w:val="0"/>
              <w:spacing w:before="0" w:beforeAutospacing="0" w:after="0" w:afterAutospacing="0"/>
              <w:ind w:left="-105" w:leftChars="-50" w:right="-105" w:rightChars="-50"/>
              <w:jc w:val="left"/>
              <w:rPr>
                <w:rFonts w:hint="default" w:ascii="宋体" w:hAnsi="宋体" w:cs="宋体"/>
                <w:color w:val="000000"/>
                <w:sz w:val="24"/>
              </w:rPr>
            </w:pPr>
            <w:r>
              <w:rPr>
                <w:rFonts w:hint="eastAsia" w:ascii="宋体" w:hAnsi="宋体" w:cs="宋体"/>
                <w:color w:val="000000"/>
                <w:sz w:val="24"/>
              </w:rPr>
              <w:t>小写：</w:t>
            </w:r>
            <w:r>
              <w:rPr>
                <w:rFonts w:hint="eastAsia" w:ascii="宋体" w:hAnsi="宋体" w:cs="宋体"/>
                <w:color w:val="000000"/>
                <w:sz w:val="24"/>
                <w:szCs w:val="24"/>
              </w:rPr>
              <w:t xml:space="preserve"> ¥  </w:t>
            </w:r>
          </w:p>
          <w:p>
            <w:pPr>
              <w:keepNext w:val="0"/>
              <w:keepLines w:val="0"/>
              <w:widowControl/>
              <w:suppressLineNumbers w:val="0"/>
              <w:snapToGrid w:val="0"/>
              <w:spacing w:before="0" w:beforeAutospacing="0" w:after="0" w:afterAutospacing="0"/>
              <w:ind w:left="-105" w:leftChars="-50" w:right="-105" w:rightChars="-50"/>
              <w:jc w:val="left"/>
              <w:rPr>
                <w:rFonts w:hint="default" w:ascii="宋体" w:hAnsi="宋体" w:cs="宋体"/>
                <w:color w:val="000000"/>
                <w:sz w:val="24"/>
              </w:rPr>
            </w:pPr>
            <w:r>
              <w:rPr>
                <w:rFonts w:hint="eastAsia" w:ascii="宋体" w:hAnsi="宋体" w:cs="宋体"/>
                <w:color w:val="000000"/>
                <w:sz w:val="24"/>
              </w:rPr>
              <w:t>人民币大写：</w:t>
            </w:r>
          </w:p>
        </w:tc>
      </w:tr>
    </w:tbl>
    <w:p>
      <w:pPr>
        <w:autoSpaceDE w:val="0"/>
        <w:autoSpaceDN w:val="0"/>
        <w:adjustRightInd w:val="0"/>
        <w:spacing w:line="360" w:lineRule="auto"/>
        <w:ind w:firstLine="482" w:firstLineChars="200"/>
        <w:rPr>
          <w:rFonts w:ascii="宋体" w:hAnsi="宋体" w:cs="宋体"/>
          <w:b/>
          <w:color w:val="000000"/>
          <w:sz w:val="24"/>
          <w:szCs w:val="24"/>
        </w:rPr>
      </w:pPr>
    </w:p>
    <w:p>
      <w:pPr>
        <w:shd w:val="clear" w:color="auto" w:fill="FFFFFF"/>
        <w:autoSpaceDE w:val="0"/>
        <w:autoSpaceDN w:val="0"/>
        <w:adjustRightInd w:val="0"/>
        <w:spacing w:line="360" w:lineRule="auto"/>
        <w:ind w:firstLine="482" w:firstLineChars="200"/>
        <w:rPr>
          <w:rFonts w:ascii="宋体" w:hAnsi="宋体" w:cs="宋体"/>
          <w:b/>
          <w:bCs/>
          <w:color w:val="000000"/>
          <w:sz w:val="24"/>
          <w:szCs w:val="24"/>
        </w:rPr>
      </w:pPr>
      <w:r>
        <w:rPr>
          <w:rFonts w:hint="eastAsia" w:ascii="宋体" w:hAnsi="宋体" w:cs="宋体"/>
          <w:b/>
          <w:bCs/>
          <w:color w:val="000000"/>
          <w:sz w:val="24"/>
          <w:szCs w:val="24"/>
        </w:rPr>
        <w:t>第二条 付款方式</w:t>
      </w:r>
    </w:p>
    <w:p>
      <w:pPr>
        <w:shd w:val="clear" w:color="auto" w:fill="FFFFFF"/>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本合同签订后，甲方向乙方支付合同总金额40%的预付款，金额为¥元（人民币大写：元整），乙方应在起天内交货、丙方安装调试完毕并通过甲方书面验收。经甲方书面验收合格后，甲方向乙方支付合同总金额55%的货款，金额为¥元（大写人民币为），后按照乙丙双方自行约定内容由乙方向丙方支付货款，双方在此过程中出现的任何争议与甲方无关。甲方付款前，乙方单位需提供符合甲方财务做账需求合格的全套相关单据，经甲方财务人员审核后支付，否则甲方有权不予支付且不承担任何违约责任。</w:t>
      </w:r>
    </w:p>
    <w:p>
      <w:pPr>
        <w:shd w:val="clear" w:color="auto" w:fill="FFFFFF"/>
        <w:autoSpaceDE w:val="0"/>
        <w:autoSpaceDN w:val="0"/>
        <w:adjustRightInd w:val="0"/>
        <w:spacing w:line="400" w:lineRule="exac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2、剩余的合同总金额5%的货款，金额为¥元（大写人民币），验收合格使用期满壹年经甲方再次验收，无质量问题后，甲方无息支付给乙方，后按照乙丙双方自行约定内容由乙方向丙方支付货款。</w:t>
      </w:r>
    </w:p>
    <w:p>
      <w:pPr>
        <w:autoSpaceDE w:val="0"/>
        <w:autoSpaceDN w:val="0"/>
        <w:adjustRightInd w:val="0"/>
        <w:spacing w:line="400" w:lineRule="exact"/>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3、本合同委托代理费由乙方与丙方自行协商，甲方无需支付乙方代理费用。</w:t>
      </w:r>
    </w:p>
    <w:p>
      <w:pPr>
        <w:autoSpaceDE w:val="0"/>
        <w:autoSpaceDN w:val="0"/>
        <w:adjustRightInd w:val="0"/>
        <w:spacing w:line="400" w:lineRule="exact"/>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★中标后中标单位在首次申请预付款支付时，应开具预付款保函，具体以新疆大学要求为准。</w:t>
      </w:r>
    </w:p>
    <w:p>
      <w:pPr>
        <w:widowControl/>
        <w:autoSpaceDE w:val="0"/>
        <w:autoSpaceDN w:val="0"/>
        <w:adjustRightInd w:val="0"/>
        <w:spacing w:line="520" w:lineRule="exact"/>
        <w:ind w:firstLine="482" w:firstLineChars="200"/>
        <w:rPr>
          <w:rFonts w:ascii="宋体" w:hAnsi="宋体" w:cs="宋体"/>
          <w:b/>
          <w:color w:val="000000"/>
          <w:sz w:val="24"/>
          <w:szCs w:val="24"/>
        </w:rPr>
      </w:pPr>
      <w:r>
        <w:rPr>
          <w:rFonts w:hint="eastAsia" w:ascii="宋体" w:hAnsi="宋体" w:cs="宋体"/>
          <w:b/>
          <w:color w:val="000000"/>
          <w:sz w:val="24"/>
          <w:szCs w:val="24"/>
        </w:rPr>
        <w:t xml:space="preserve">乙方账户信息如下：           </w:t>
      </w:r>
    </w:p>
    <w:p>
      <w:pPr>
        <w:widowControl/>
        <w:autoSpaceDE w:val="0"/>
        <w:autoSpaceDN w:val="0"/>
        <w:adjustRightInd w:val="0"/>
        <w:spacing w:line="520" w:lineRule="exact"/>
        <w:ind w:firstLine="482" w:firstLineChars="200"/>
        <w:rPr>
          <w:rFonts w:ascii="宋体" w:hAnsi="宋体" w:cs="宋体"/>
          <w:b/>
          <w:color w:val="000000"/>
          <w:sz w:val="24"/>
          <w:szCs w:val="24"/>
        </w:rPr>
      </w:pPr>
      <w:r>
        <w:rPr>
          <w:rFonts w:hint="eastAsia" w:ascii="宋体" w:hAnsi="宋体" w:cs="宋体"/>
          <w:b/>
          <w:color w:val="000000"/>
          <w:sz w:val="24"/>
          <w:szCs w:val="24"/>
        </w:rPr>
        <w:t>开户名称：</w:t>
      </w:r>
    </w:p>
    <w:p>
      <w:pPr>
        <w:widowControl/>
        <w:autoSpaceDE w:val="0"/>
        <w:autoSpaceDN w:val="0"/>
        <w:adjustRightInd w:val="0"/>
        <w:spacing w:line="520" w:lineRule="exact"/>
        <w:ind w:firstLine="482" w:firstLineChars="200"/>
        <w:rPr>
          <w:rFonts w:ascii="宋体" w:hAnsi="宋体" w:cs="宋体"/>
          <w:b/>
          <w:color w:val="000000"/>
          <w:sz w:val="24"/>
          <w:szCs w:val="24"/>
        </w:rPr>
      </w:pPr>
      <w:r>
        <w:rPr>
          <w:rFonts w:hint="eastAsia" w:ascii="宋体" w:hAnsi="宋体" w:cs="宋体"/>
          <w:b/>
          <w:color w:val="000000"/>
          <w:sz w:val="24"/>
          <w:szCs w:val="24"/>
        </w:rPr>
        <w:t>账    号：</w:t>
      </w:r>
    </w:p>
    <w:p>
      <w:pPr>
        <w:widowControl/>
        <w:autoSpaceDE w:val="0"/>
        <w:autoSpaceDN w:val="0"/>
        <w:adjustRightInd w:val="0"/>
        <w:spacing w:line="520" w:lineRule="exact"/>
        <w:ind w:firstLine="482" w:firstLineChars="200"/>
        <w:rPr>
          <w:rFonts w:ascii="宋体" w:hAnsi="宋体" w:cs="宋体"/>
          <w:b/>
          <w:color w:val="000000"/>
          <w:sz w:val="24"/>
          <w:szCs w:val="24"/>
        </w:rPr>
      </w:pPr>
      <w:r>
        <w:rPr>
          <w:rFonts w:hint="eastAsia" w:ascii="宋体" w:hAnsi="宋体" w:cs="宋体"/>
          <w:b/>
          <w:color w:val="000000"/>
          <w:sz w:val="24"/>
          <w:szCs w:val="24"/>
        </w:rPr>
        <w:t>开 户 行：</w:t>
      </w:r>
    </w:p>
    <w:p>
      <w:pPr>
        <w:widowControl/>
        <w:autoSpaceDE w:val="0"/>
        <w:autoSpaceDN w:val="0"/>
        <w:adjustRightInd w:val="0"/>
        <w:spacing w:line="520" w:lineRule="exact"/>
        <w:ind w:firstLine="482" w:firstLineChars="200"/>
        <w:rPr>
          <w:rFonts w:ascii="宋体" w:hAnsi="宋体" w:cs="宋体"/>
          <w:b/>
          <w:color w:val="000000"/>
          <w:sz w:val="24"/>
          <w:szCs w:val="24"/>
        </w:rPr>
      </w:pPr>
      <w:r>
        <w:rPr>
          <w:rFonts w:hint="eastAsia" w:ascii="宋体" w:hAnsi="宋体" w:cs="宋体"/>
          <w:b/>
          <w:color w:val="000000"/>
          <w:sz w:val="24"/>
          <w:szCs w:val="24"/>
        </w:rPr>
        <w:t xml:space="preserve">丙方账户信息如下：              </w:t>
      </w:r>
    </w:p>
    <w:p>
      <w:pPr>
        <w:widowControl/>
        <w:autoSpaceDE w:val="0"/>
        <w:autoSpaceDN w:val="0"/>
        <w:adjustRightInd w:val="0"/>
        <w:spacing w:line="520" w:lineRule="exact"/>
        <w:ind w:firstLine="482" w:firstLineChars="200"/>
        <w:rPr>
          <w:rFonts w:ascii="宋体" w:hAnsi="宋体" w:cs="宋体"/>
          <w:color w:val="000000"/>
          <w:sz w:val="36"/>
        </w:rPr>
      </w:pPr>
      <w:r>
        <w:rPr>
          <w:rFonts w:hint="eastAsia" w:ascii="宋体" w:hAnsi="宋体" w:cs="宋体"/>
          <w:b/>
          <w:color w:val="000000"/>
          <w:sz w:val="24"/>
          <w:szCs w:val="24"/>
        </w:rPr>
        <w:t>开户名称：</w:t>
      </w:r>
    </w:p>
    <w:p>
      <w:pPr>
        <w:widowControl/>
        <w:autoSpaceDE w:val="0"/>
        <w:autoSpaceDN w:val="0"/>
        <w:adjustRightInd w:val="0"/>
        <w:spacing w:line="520" w:lineRule="exact"/>
        <w:ind w:firstLine="482" w:firstLineChars="200"/>
        <w:rPr>
          <w:rFonts w:ascii="宋体" w:hAnsi="宋体" w:cs="宋体"/>
          <w:color w:val="000000"/>
          <w:sz w:val="36"/>
        </w:rPr>
      </w:pPr>
      <w:r>
        <w:rPr>
          <w:rFonts w:hint="eastAsia" w:ascii="宋体" w:hAnsi="宋体" w:cs="宋体"/>
          <w:b/>
          <w:color w:val="000000"/>
          <w:sz w:val="24"/>
          <w:szCs w:val="24"/>
        </w:rPr>
        <w:t>账    号：</w:t>
      </w:r>
    </w:p>
    <w:p>
      <w:pPr>
        <w:widowControl/>
        <w:autoSpaceDE w:val="0"/>
        <w:autoSpaceDN w:val="0"/>
        <w:adjustRightInd w:val="0"/>
        <w:spacing w:line="520" w:lineRule="exact"/>
        <w:ind w:firstLine="482" w:firstLineChars="200"/>
        <w:rPr>
          <w:rFonts w:ascii="宋体" w:hAnsi="宋体" w:cs="宋体"/>
          <w:b/>
          <w:color w:val="000000"/>
          <w:sz w:val="24"/>
        </w:rPr>
      </w:pPr>
      <w:r>
        <w:rPr>
          <w:rFonts w:hint="eastAsia" w:ascii="宋体" w:hAnsi="宋体" w:cs="宋体"/>
          <w:b/>
          <w:color w:val="000000"/>
          <w:sz w:val="24"/>
          <w:szCs w:val="24"/>
        </w:rPr>
        <w:t>开 户 行：</w:t>
      </w:r>
    </w:p>
    <w:p>
      <w:pPr>
        <w:autoSpaceDE w:val="0"/>
        <w:autoSpaceDN w:val="0"/>
        <w:adjustRightInd w:val="0"/>
        <w:ind w:firstLine="482" w:firstLineChars="200"/>
        <w:rPr>
          <w:rFonts w:ascii="宋体" w:hAnsi="宋体" w:cs="宋体"/>
          <w:b/>
          <w:color w:val="000000"/>
          <w:sz w:val="24"/>
          <w:szCs w:val="24"/>
        </w:rPr>
      </w:pPr>
      <w:r>
        <w:rPr>
          <w:rFonts w:hint="eastAsia" w:ascii="宋体" w:hAnsi="宋体" w:cs="宋体"/>
          <w:b/>
          <w:color w:val="000000"/>
          <w:sz w:val="24"/>
        </w:rPr>
        <w:t>第三条</w:t>
      </w:r>
      <w:r>
        <w:rPr>
          <w:rFonts w:hint="eastAsia" w:ascii="宋体" w:hAnsi="宋体" w:cs="宋体"/>
          <w:bCs/>
          <w:color w:val="000000"/>
          <w:sz w:val="24"/>
        </w:rPr>
        <w:t xml:space="preserve"> 交货地：</w:t>
      </w:r>
      <w:r>
        <w:rPr>
          <w:rFonts w:hint="eastAsia" w:ascii="宋体" w:hAnsi="宋体" w:cs="宋体"/>
          <w:color w:val="000000"/>
          <w:sz w:val="24"/>
          <w:szCs w:val="24"/>
        </w:rPr>
        <w:t>乌鲁木齐市胜利路666号新疆大学（学院/部门名称：）</w:t>
      </w:r>
    </w:p>
    <w:p>
      <w:pPr>
        <w:autoSpaceDE w:val="0"/>
        <w:autoSpaceDN w:val="0"/>
        <w:adjustRightInd w:val="0"/>
        <w:ind w:firstLine="482" w:firstLineChars="200"/>
        <w:rPr>
          <w:rFonts w:ascii="宋体" w:hAnsi="宋体" w:cs="宋体"/>
          <w:color w:val="000000"/>
          <w:sz w:val="24"/>
          <w:szCs w:val="24"/>
        </w:rPr>
      </w:pPr>
      <w:r>
        <w:rPr>
          <w:rFonts w:hint="eastAsia" w:ascii="宋体" w:hAnsi="宋体" w:cs="宋体"/>
          <w:b/>
          <w:bCs/>
          <w:color w:val="000000"/>
          <w:sz w:val="24"/>
          <w:szCs w:val="24"/>
        </w:rPr>
        <w:t xml:space="preserve">第四条 </w:t>
      </w:r>
      <w:r>
        <w:rPr>
          <w:rFonts w:hint="eastAsia" w:ascii="宋体" w:hAnsi="宋体" w:cs="宋体"/>
          <w:color w:val="000000"/>
          <w:sz w:val="24"/>
          <w:szCs w:val="24"/>
        </w:rPr>
        <w:t>产品质量保证</w:t>
      </w:r>
    </w:p>
    <w:p>
      <w:pPr>
        <w:autoSpaceDE w:val="0"/>
        <w:autoSpaceDN w:val="0"/>
        <w:adjustRightInd w:val="0"/>
        <w:spacing w:line="360" w:lineRule="auto"/>
        <w:ind w:left="420" w:leftChars="200" w:firstLine="480" w:firstLineChars="200"/>
        <w:textAlignment w:val="baseline"/>
        <w:rPr>
          <w:rFonts w:ascii="宋体" w:hAnsi="宋体" w:cs="宋体"/>
          <w:bCs/>
          <w:color w:val="000000"/>
          <w:sz w:val="24"/>
        </w:rPr>
      </w:pPr>
      <w:r>
        <w:rPr>
          <w:rFonts w:hint="eastAsia" w:ascii="宋体" w:hAnsi="宋体" w:cs="宋体"/>
          <w:bCs/>
          <w:color w:val="000000"/>
          <w:sz w:val="24"/>
        </w:rPr>
        <w:t>1、丙方保证提供的合同内全部产品为全新的产品。</w:t>
      </w:r>
    </w:p>
    <w:p>
      <w:pPr>
        <w:autoSpaceDE w:val="0"/>
        <w:autoSpaceDN w:val="0"/>
        <w:adjustRightInd w:val="0"/>
        <w:spacing w:line="360" w:lineRule="auto"/>
        <w:ind w:left="420" w:leftChars="200" w:firstLine="480" w:firstLineChars="200"/>
        <w:textAlignment w:val="baseline"/>
        <w:rPr>
          <w:rFonts w:ascii="宋体" w:hAnsi="宋体" w:cs="宋体"/>
          <w:bCs/>
          <w:color w:val="000000"/>
          <w:sz w:val="24"/>
        </w:rPr>
      </w:pPr>
      <w:r>
        <w:rPr>
          <w:rFonts w:hint="eastAsia" w:ascii="宋体" w:hAnsi="宋体" w:cs="宋体"/>
          <w:bCs/>
          <w:color w:val="000000"/>
          <w:sz w:val="24"/>
        </w:rPr>
        <w:t>2、丙方所提供的合同内全部产品的型号、数量、规格及技术、质量标准、售后服务必须满足招标文件要求。</w:t>
      </w:r>
    </w:p>
    <w:p>
      <w:pPr>
        <w:autoSpaceDE w:val="0"/>
        <w:autoSpaceDN w:val="0"/>
        <w:adjustRightInd w:val="0"/>
        <w:spacing w:line="360" w:lineRule="auto"/>
        <w:ind w:left="420" w:leftChars="200" w:firstLine="480" w:firstLineChars="200"/>
        <w:textAlignment w:val="baseline"/>
        <w:rPr>
          <w:rFonts w:ascii="宋体" w:hAnsi="宋体" w:cs="宋体"/>
          <w:bCs/>
          <w:color w:val="000000"/>
          <w:sz w:val="24"/>
        </w:rPr>
      </w:pPr>
      <w:r>
        <w:rPr>
          <w:rFonts w:hint="eastAsia" w:ascii="宋体" w:hAnsi="宋体" w:cs="宋体"/>
          <w:bCs/>
          <w:color w:val="000000"/>
          <w:sz w:val="24"/>
        </w:rPr>
        <w:t>3、丙方保证提供的合同内全部产品合同标的物按国家标准要求制作，质量完全满足用户的要求并能满足甲方的使用需求。</w:t>
      </w:r>
    </w:p>
    <w:p>
      <w:pPr>
        <w:autoSpaceDE w:val="0"/>
        <w:autoSpaceDN w:val="0"/>
        <w:adjustRightInd w:val="0"/>
        <w:spacing w:line="360" w:lineRule="auto"/>
        <w:ind w:left="420" w:leftChars="200" w:firstLine="480" w:firstLineChars="200"/>
        <w:textAlignment w:val="baseline"/>
        <w:rPr>
          <w:rFonts w:ascii="宋体" w:hAnsi="宋体" w:cs="宋体"/>
          <w:bCs/>
          <w:color w:val="000000"/>
          <w:sz w:val="24"/>
        </w:rPr>
      </w:pPr>
      <w:r>
        <w:rPr>
          <w:rFonts w:hint="eastAsia" w:ascii="宋体" w:hAnsi="宋体" w:cs="宋体"/>
          <w:bCs/>
          <w:color w:val="000000"/>
          <w:sz w:val="24"/>
        </w:rPr>
        <w:t>4、丙方的安装调试人员有义务对甲方的合同标的物维修人员及使用人员进行免费培训，确保维修人员能对合同标的物进行日常维护和一般性故障的查找及故障的排除，确保使用人员能够熟练掌握合同标的物的各项功能和操作。</w:t>
      </w:r>
    </w:p>
    <w:p>
      <w:pPr>
        <w:autoSpaceDE w:val="0"/>
        <w:autoSpaceDN w:val="0"/>
        <w:adjustRightInd w:val="0"/>
        <w:ind w:firstLine="482" w:firstLineChars="200"/>
        <w:jc w:val="center"/>
        <w:rPr>
          <w:rFonts w:ascii="宋体" w:hAnsi="宋体" w:cs="宋体"/>
          <w:b/>
          <w:bCs/>
          <w:color w:val="000000"/>
          <w:sz w:val="24"/>
          <w:szCs w:val="24"/>
        </w:rPr>
      </w:pPr>
      <w:r>
        <w:rPr>
          <w:rFonts w:hint="eastAsia" w:ascii="宋体" w:hAnsi="宋体" w:cs="宋体"/>
          <w:b/>
          <w:bCs/>
          <w:color w:val="000000"/>
          <w:sz w:val="24"/>
          <w:szCs w:val="24"/>
        </w:rPr>
        <w:t>第五条 质量保证期</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1.合同标的物质保期见合同标的物明细表，具体质保期以生产厂家提供的质保期为准。生产厂家提供的质保期少于明细表中质保期的，以明细表中质保期为准；生产厂家提供的质保期长于明细表中质保期的，以生产厂家提供的质保期为准。在质量保证期内，因产品质量出现问题，丙方负责免费维修或更换新合同标的物，并承担与维修和更换相关的运费、安装、调试、保险等一切费用。超过质保期后只收取更换部件成本费用，不收取服务费。</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2.质保期自甲方书面验收合格之日起计算，质保期内，如合同标的物发生质量问题，丙方应在小时内到场进行维修。丙方接到甲方通知后未依照约定时间到场的，甲方有权另行聘请专业人员进行维修，产生的合理费用在剩余的合同总金额的5%货款中予以扣除，不足部分，丙方应予以补足。</w:t>
      </w:r>
    </w:p>
    <w:p>
      <w:pPr>
        <w:autoSpaceDE w:val="0"/>
        <w:autoSpaceDN w:val="0"/>
        <w:adjustRightInd w:val="0"/>
        <w:spacing w:line="360" w:lineRule="auto"/>
        <w:ind w:firstLine="482" w:firstLineChars="200"/>
        <w:rPr>
          <w:rFonts w:ascii="宋体" w:hAnsi="宋体" w:cs="宋体"/>
          <w:bCs/>
          <w:color w:val="000000"/>
          <w:sz w:val="24"/>
        </w:rPr>
      </w:pPr>
      <w:r>
        <w:rPr>
          <w:rFonts w:hint="eastAsia" w:ascii="宋体" w:hAnsi="宋体" w:cs="宋体"/>
          <w:b/>
          <w:color w:val="000000"/>
          <w:sz w:val="24"/>
        </w:rPr>
        <w:t xml:space="preserve">第六条 </w:t>
      </w:r>
      <w:r>
        <w:rPr>
          <w:rFonts w:hint="eastAsia" w:ascii="宋体" w:hAnsi="宋体" w:cs="宋体"/>
          <w:bCs/>
          <w:color w:val="000000"/>
          <w:sz w:val="24"/>
        </w:rPr>
        <w:t>甲、乙、丙三方的责任与权利</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lang w:val="zh-TW"/>
        </w:rPr>
        <w:t>（</w:t>
      </w:r>
      <w:r>
        <w:rPr>
          <w:rFonts w:hint="eastAsia" w:ascii="宋体" w:hAnsi="宋体" w:cs="宋体"/>
          <w:bCs/>
          <w:color w:val="000000"/>
          <w:sz w:val="24"/>
        </w:rPr>
        <w:t>一</w:t>
      </w:r>
      <w:r>
        <w:rPr>
          <w:rFonts w:hint="eastAsia" w:ascii="宋体" w:hAnsi="宋体" w:cs="宋体"/>
          <w:bCs/>
          <w:color w:val="000000"/>
          <w:sz w:val="24"/>
          <w:lang w:val="zh-TW"/>
        </w:rPr>
        <w:t>）甲方的责任与权利：</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lang w:val="zh-TW"/>
        </w:rPr>
        <w:t>1、甲方负责确定仪器合同标的物的规格、型号及数量。</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lang w:val="zh-TW"/>
        </w:rPr>
        <w:t>2、甲方负责及时提供办理各项进口合同标的物的免税手续和证明文件，以便乙方及时办理免税及安排订货和报关清关。</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lang w:val="zh-TW"/>
        </w:rPr>
        <w:t>3、甲方负责对外技术谈判合同标的物选型、配置及技术条件等，即对本协议所指标的物的名称、规格、数量、付款方式、价格、技术指标及其他技术工作负责。甲方负责及时提供仪器安调所需的各项基础设施建设。</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lang w:val="zh-TW"/>
        </w:rPr>
        <w:t>（</w:t>
      </w:r>
      <w:r>
        <w:rPr>
          <w:rFonts w:hint="eastAsia" w:ascii="宋体" w:hAnsi="宋体" w:cs="宋体"/>
          <w:bCs/>
          <w:color w:val="000000"/>
          <w:sz w:val="24"/>
        </w:rPr>
        <w:t>二</w:t>
      </w:r>
      <w:r>
        <w:rPr>
          <w:rFonts w:hint="eastAsia" w:ascii="宋体" w:hAnsi="宋体" w:cs="宋体"/>
          <w:bCs/>
          <w:color w:val="000000"/>
          <w:sz w:val="24"/>
          <w:lang w:val="zh-TW"/>
        </w:rPr>
        <w:t>）乙方的责任与权利：</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rPr>
        <w:t>1、</w:t>
      </w:r>
      <w:r>
        <w:rPr>
          <w:rFonts w:hint="eastAsia" w:ascii="宋体" w:hAnsi="宋体" w:cs="宋体"/>
          <w:bCs/>
          <w:color w:val="000000"/>
          <w:sz w:val="24"/>
          <w:lang w:val="zh-TW"/>
        </w:rPr>
        <w:t>乙方严格根据甲方与</w:t>
      </w:r>
      <w:r>
        <w:rPr>
          <w:rFonts w:hint="eastAsia" w:ascii="宋体" w:hAnsi="宋体" w:cs="宋体"/>
          <w:bCs/>
          <w:color w:val="000000"/>
          <w:sz w:val="24"/>
        </w:rPr>
        <w:t>丙方</w:t>
      </w:r>
      <w:r>
        <w:rPr>
          <w:rFonts w:hint="eastAsia" w:ascii="宋体" w:hAnsi="宋体" w:cs="宋体"/>
          <w:bCs/>
          <w:color w:val="000000"/>
          <w:sz w:val="24"/>
          <w:lang w:val="zh-TW"/>
        </w:rPr>
        <w:t>签订的采购合同审定、核实《委托代理进口协议》并对</w:t>
      </w:r>
      <w:r>
        <w:rPr>
          <w:rFonts w:hint="eastAsia" w:ascii="宋体" w:hAnsi="宋体" w:cs="宋体"/>
          <w:bCs/>
          <w:color w:val="000000"/>
          <w:sz w:val="24"/>
        </w:rPr>
        <w:t>招、投标文件中的相关内容</w:t>
      </w:r>
      <w:r>
        <w:rPr>
          <w:rFonts w:hint="eastAsia" w:ascii="宋体" w:hAnsi="宋体" w:cs="宋体"/>
          <w:bCs/>
          <w:color w:val="000000"/>
          <w:sz w:val="24"/>
          <w:lang w:val="zh-TW"/>
        </w:rPr>
        <w:t>负责。合同执行过程中如发生对外索赔，乙方负责处理对外联络等商务活动，具体技术协议及索赔方案协商确定。</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rPr>
        <w:t>2、</w:t>
      </w:r>
      <w:r>
        <w:rPr>
          <w:rFonts w:hint="eastAsia" w:ascii="宋体" w:hAnsi="宋体" w:cs="宋体"/>
          <w:bCs/>
          <w:color w:val="000000"/>
          <w:sz w:val="24"/>
          <w:lang w:val="zh-TW"/>
        </w:rPr>
        <w:t>乙方应将对外开展工作进度及时通知甲方；在甲方授权的情况下，协助甲方办理机电批文及其他特别证批复、免税证明。</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rPr>
        <w:t>3、</w:t>
      </w:r>
      <w:r>
        <w:rPr>
          <w:rFonts w:hint="eastAsia" w:ascii="宋体" w:hAnsi="宋体" w:cs="宋体"/>
          <w:bCs/>
          <w:color w:val="000000"/>
          <w:sz w:val="24"/>
          <w:lang w:val="zh-TW"/>
        </w:rPr>
        <w:t>及时准确的向甲方提供合同标的物运输情况及相关信息反馈；做好海关查验、放行、商检工作。</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rPr>
        <w:t>4、</w:t>
      </w:r>
      <w:r>
        <w:rPr>
          <w:rFonts w:hint="eastAsia" w:ascii="宋体" w:hAnsi="宋体" w:cs="宋体"/>
          <w:bCs/>
          <w:color w:val="000000"/>
          <w:sz w:val="24"/>
          <w:lang w:val="zh-TW"/>
        </w:rPr>
        <w:t>负责审单议付，向银行进行外汇及配套人民币结算；负责外汇核销工作。</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rPr>
        <w:t>5、</w:t>
      </w:r>
      <w:r>
        <w:rPr>
          <w:rFonts w:hint="eastAsia" w:ascii="宋体" w:hAnsi="宋体" w:cs="宋体"/>
          <w:bCs/>
          <w:color w:val="000000"/>
          <w:sz w:val="24"/>
          <w:lang w:val="zh-TW"/>
        </w:rPr>
        <w:t>合同执行完毕后向甲方提供全套进口程序的相关单据。</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lang w:val="zh-TW"/>
        </w:rPr>
        <w:t>（如：外汇购汇凭证、报关单、国外发票、箱单、原产国证明等）</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lang w:val="zh-TW"/>
        </w:rPr>
        <w:t>6、乙方还需向甲方提供下述资料：所供合同标的物的型号、规格、数量及生产厂家的产品检验证书、出厂检验报告、使用说明书等。合同标的物风险自通过甲方书面验收并交付甲方之后转移至甲方。</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rPr>
        <w:t>7、</w:t>
      </w:r>
      <w:r>
        <w:rPr>
          <w:rFonts w:hint="eastAsia" w:ascii="宋体" w:hAnsi="宋体" w:cs="宋体"/>
          <w:bCs/>
          <w:color w:val="000000"/>
          <w:sz w:val="24"/>
          <w:lang w:val="zh-TW"/>
        </w:rPr>
        <w:t>乙方负责在清关后将合同标的物运至甲方指定的地点。</w:t>
      </w:r>
    </w:p>
    <w:p>
      <w:pPr>
        <w:tabs>
          <w:tab w:val="left" w:pos="3075"/>
        </w:tabs>
        <w:adjustRightInd w:val="0"/>
        <w:snapToGrid w:val="0"/>
        <w:spacing w:line="420" w:lineRule="exact"/>
        <w:ind w:firstLine="440" w:firstLineChars="200"/>
        <w:rPr>
          <w:rFonts w:ascii="宋体" w:hAnsi="宋体" w:cs="宋体"/>
          <w:bCs/>
          <w:color w:val="000000"/>
          <w:spacing w:val="-10"/>
          <w:sz w:val="24"/>
          <w:szCs w:val="24"/>
        </w:rPr>
      </w:pPr>
      <w:r>
        <w:rPr>
          <w:rFonts w:hint="eastAsia" w:ascii="宋体" w:hAnsi="宋体" w:cs="宋体"/>
          <w:bCs/>
          <w:color w:val="000000"/>
          <w:spacing w:val="-10"/>
          <w:sz w:val="24"/>
          <w:szCs w:val="24"/>
        </w:rPr>
        <w:t>8、若乙方在交货时，由于甲方的原因或要求，不能及时将合同标的物送达指定地点和验收时，则乙方可按甲方要求延期交货，甲方向乙方出具书面确认书。</w:t>
      </w:r>
    </w:p>
    <w:p>
      <w:pPr>
        <w:autoSpaceDE w:val="0"/>
        <w:autoSpaceDN w:val="0"/>
        <w:adjustRightInd w:val="0"/>
        <w:spacing w:line="360" w:lineRule="auto"/>
        <w:ind w:firstLine="480" w:firstLineChars="200"/>
        <w:rPr>
          <w:rFonts w:ascii="宋体" w:hAnsi="宋体" w:cs="宋体"/>
          <w:bCs/>
          <w:color w:val="000000"/>
          <w:sz w:val="24"/>
          <w:lang w:val="zh-TW"/>
        </w:rPr>
      </w:pPr>
      <w:r>
        <w:rPr>
          <w:rFonts w:hint="eastAsia" w:ascii="宋体" w:hAnsi="宋体" w:cs="宋体"/>
          <w:bCs/>
          <w:color w:val="000000"/>
          <w:sz w:val="24"/>
        </w:rPr>
        <w:t>（三）丙</w:t>
      </w:r>
      <w:r>
        <w:rPr>
          <w:rFonts w:hint="eastAsia" w:ascii="宋体" w:hAnsi="宋体" w:cs="宋体"/>
          <w:bCs/>
          <w:color w:val="000000"/>
          <w:sz w:val="24"/>
          <w:lang w:val="zh-TW"/>
        </w:rPr>
        <w:t>方的责任与权利：</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1、若甲方对订购的合同标的物有任何更改，包括合同标的物的型号、品种、规格、数量、颜色、交货期等事宜，应书面通知丙方，交货期从变更之日起顺延。若丙方接到通知后不予更改，由此造成的甲方损失，由丙方承担。</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2、若甲方在验收后的质量保证期内，发现合同标的物内有部分出现质量问题，应及时通知丙方，若需要更换时，丙方应在接到通知后天内给予更换。</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3、丙方须按合同要求提供质量合格的合同标的物，协同乙方如期交付至甲方指定的交货地点。合同标的物需安装调试的，丙方提供免费的安装调试。</w:t>
      </w:r>
    </w:p>
    <w:p>
      <w:pPr>
        <w:spacing w:line="360" w:lineRule="auto"/>
        <w:ind w:firstLine="480" w:firstLineChars="200"/>
        <w:rPr>
          <w:rFonts w:ascii="宋体" w:hAnsi="宋体" w:cs="宋体"/>
          <w:color w:val="000000"/>
        </w:rPr>
      </w:pPr>
      <w:r>
        <w:rPr>
          <w:rFonts w:hint="eastAsia" w:ascii="宋体" w:hAnsi="宋体" w:cs="宋体"/>
          <w:bCs/>
          <w:color w:val="000000"/>
          <w:sz w:val="24"/>
        </w:rPr>
        <w:t>4、丙方对售予甲方的合同标的物提供的质量保证期的质量保证范围，不包括意外事件、不可抗力原因及甲方的违规使用。</w:t>
      </w:r>
    </w:p>
    <w:p>
      <w:pPr>
        <w:autoSpaceDE w:val="0"/>
        <w:autoSpaceDN w:val="0"/>
        <w:adjustRightInd w:val="0"/>
        <w:spacing w:line="360" w:lineRule="auto"/>
        <w:ind w:firstLine="482" w:firstLineChars="200"/>
        <w:rPr>
          <w:rFonts w:ascii="宋体" w:hAnsi="宋体" w:cs="宋体"/>
          <w:bCs/>
          <w:color w:val="000000"/>
          <w:sz w:val="24"/>
        </w:rPr>
      </w:pPr>
      <w:r>
        <w:rPr>
          <w:rFonts w:hint="eastAsia" w:ascii="宋体" w:hAnsi="宋体" w:cs="宋体"/>
          <w:b/>
          <w:color w:val="000000"/>
          <w:sz w:val="24"/>
        </w:rPr>
        <w:t xml:space="preserve">第七条 </w:t>
      </w:r>
      <w:r>
        <w:rPr>
          <w:rFonts w:hint="eastAsia" w:ascii="宋体" w:hAnsi="宋体" w:cs="宋体"/>
          <w:bCs/>
          <w:color w:val="000000"/>
          <w:sz w:val="24"/>
          <w:lang w:val="zh-TW"/>
        </w:rPr>
        <w:t>本合同一经签订，即具有法律效力，对签约</w:t>
      </w:r>
      <w:r>
        <w:rPr>
          <w:rFonts w:hint="eastAsia" w:ascii="宋体" w:hAnsi="宋体" w:cs="宋体"/>
          <w:bCs/>
          <w:color w:val="000000"/>
          <w:sz w:val="24"/>
        </w:rPr>
        <w:t>三方</w:t>
      </w:r>
      <w:r>
        <w:rPr>
          <w:rFonts w:hint="eastAsia" w:ascii="宋体" w:hAnsi="宋体" w:cs="宋体"/>
          <w:bCs/>
          <w:color w:val="000000"/>
          <w:sz w:val="24"/>
          <w:lang w:val="zh-TW"/>
        </w:rPr>
        <w:t>均有约束力，任何一方不得违约。如有争议</w:t>
      </w:r>
      <w:r>
        <w:rPr>
          <w:rFonts w:hint="eastAsia" w:ascii="宋体" w:hAnsi="宋体" w:cs="宋体"/>
          <w:bCs/>
          <w:color w:val="000000"/>
          <w:sz w:val="24"/>
        </w:rPr>
        <w:t>三</w:t>
      </w:r>
      <w:r>
        <w:rPr>
          <w:rFonts w:hint="eastAsia" w:ascii="宋体" w:hAnsi="宋体" w:cs="宋体"/>
          <w:bCs/>
          <w:color w:val="000000"/>
          <w:sz w:val="24"/>
          <w:lang w:val="zh-TW"/>
        </w:rPr>
        <w:t>方应通过友好协商解决。协商不能解决，</w:t>
      </w:r>
      <w:r>
        <w:rPr>
          <w:rFonts w:hint="eastAsia" w:ascii="宋体" w:hAnsi="宋体" w:cs="宋体"/>
          <w:bCs/>
          <w:color w:val="000000"/>
          <w:sz w:val="24"/>
        </w:rPr>
        <w:t>三</w:t>
      </w:r>
      <w:r>
        <w:rPr>
          <w:rFonts w:hint="eastAsia" w:ascii="宋体" w:hAnsi="宋体" w:cs="宋体"/>
          <w:bCs/>
          <w:color w:val="000000"/>
          <w:sz w:val="24"/>
          <w:lang w:val="zh-TW"/>
        </w:rPr>
        <w:t>方同意将争议提交</w:t>
      </w:r>
      <w:r>
        <w:rPr>
          <w:rFonts w:hint="eastAsia" w:ascii="宋体" w:hAnsi="宋体" w:cs="宋体"/>
          <w:bCs/>
          <w:color w:val="000000"/>
          <w:sz w:val="24"/>
        </w:rPr>
        <w:t>甲方</w:t>
      </w:r>
      <w:r>
        <w:rPr>
          <w:rFonts w:hint="eastAsia" w:ascii="宋体" w:hAnsi="宋体" w:cs="宋体"/>
          <w:bCs/>
          <w:color w:val="000000"/>
          <w:sz w:val="24"/>
          <w:lang w:val="zh-TW"/>
        </w:rPr>
        <w:t>住所地有管辖权的法院</w:t>
      </w:r>
      <w:r>
        <w:rPr>
          <w:rFonts w:hint="eastAsia" w:ascii="宋体" w:hAnsi="宋体" w:cs="宋体"/>
          <w:bCs/>
          <w:color w:val="000000"/>
          <w:sz w:val="24"/>
        </w:rPr>
        <w:t>管辖</w:t>
      </w:r>
      <w:r>
        <w:rPr>
          <w:rFonts w:hint="eastAsia" w:ascii="宋体" w:hAnsi="宋体" w:cs="宋体"/>
          <w:bCs/>
          <w:color w:val="000000"/>
          <w:sz w:val="24"/>
          <w:lang w:val="zh-TW"/>
        </w:rPr>
        <w:t>。由此产生的诉讼费、律师费、保全费、保全保险费等费用由败诉方承担。</w:t>
      </w:r>
    </w:p>
    <w:p>
      <w:pPr>
        <w:autoSpaceDE w:val="0"/>
        <w:autoSpaceDN w:val="0"/>
        <w:adjustRightInd w:val="0"/>
        <w:spacing w:line="360" w:lineRule="auto"/>
        <w:ind w:firstLine="482" w:firstLineChars="200"/>
        <w:rPr>
          <w:rFonts w:ascii="宋体" w:hAnsi="宋体" w:cs="宋体"/>
          <w:b/>
          <w:color w:val="000000"/>
          <w:sz w:val="24"/>
        </w:rPr>
      </w:pPr>
      <w:r>
        <w:rPr>
          <w:rFonts w:hint="eastAsia" w:ascii="宋体" w:hAnsi="宋体" w:cs="宋体"/>
          <w:b/>
          <w:color w:val="000000"/>
          <w:sz w:val="24"/>
        </w:rPr>
        <w:t>第八条 违约责任</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1、乙方与丙方逾期交货或交货后逾期安装，均构成违约，每逾期一日向甲方支付合同总金额千分之五的违约金，乙方与丙方逾期超过15日，甲方有权选择解除本合同，乙方与丙方除退还货款（包含预付款）外还需另行向甲方支付合同总金额20%的违约金。</w:t>
      </w:r>
    </w:p>
    <w:p>
      <w:pPr>
        <w:autoSpaceDE w:val="0"/>
        <w:autoSpaceDN w:val="0"/>
        <w:adjustRightInd w:val="0"/>
        <w:spacing w:line="360" w:lineRule="auto"/>
        <w:ind w:firstLine="480" w:firstLineChars="200"/>
        <w:rPr>
          <w:rFonts w:ascii="宋体" w:hAnsi="宋体" w:cs="宋体"/>
          <w:color w:val="000000"/>
          <w:sz w:val="24"/>
          <w:szCs w:val="24"/>
        </w:rPr>
      </w:pPr>
      <w:r>
        <w:rPr>
          <w:rFonts w:hint="eastAsia" w:ascii="宋体" w:hAnsi="宋体" w:cs="宋体"/>
          <w:bCs/>
          <w:color w:val="000000"/>
          <w:sz w:val="24"/>
        </w:rPr>
        <w:t>2、</w:t>
      </w:r>
      <w:r>
        <w:rPr>
          <w:rFonts w:hint="eastAsia" w:ascii="宋体" w:hAnsi="宋体" w:cs="宋体"/>
          <w:color w:val="000000"/>
          <w:sz w:val="24"/>
          <w:szCs w:val="24"/>
        </w:rPr>
        <w:t>乙方</w:t>
      </w:r>
      <w:r>
        <w:rPr>
          <w:rFonts w:hint="eastAsia" w:ascii="宋体" w:hAnsi="宋体" w:cs="宋体"/>
          <w:bCs/>
          <w:color w:val="000000"/>
          <w:sz w:val="24"/>
        </w:rPr>
        <w:t>与丙方</w:t>
      </w:r>
      <w:r>
        <w:rPr>
          <w:rFonts w:hint="eastAsia" w:ascii="宋体" w:hAnsi="宋体" w:cs="宋体"/>
          <w:color w:val="000000"/>
          <w:sz w:val="24"/>
          <w:szCs w:val="24"/>
        </w:rPr>
        <w:t>提供的合同标的物不符合甲方要求的规格、型号、数量及质量标准，甲方有权选择要求乙方</w:t>
      </w:r>
      <w:r>
        <w:rPr>
          <w:rFonts w:hint="eastAsia" w:ascii="宋体" w:hAnsi="宋体" w:cs="宋体"/>
          <w:bCs/>
          <w:color w:val="000000"/>
          <w:sz w:val="24"/>
        </w:rPr>
        <w:t>与丙方</w:t>
      </w:r>
      <w:r>
        <w:rPr>
          <w:rFonts w:hint="eastAsia" w:ascii="宋体" w:hAnsi="宋体" w:cs="宋体"/>
          <w:color w:val="000000"/>
          <w:sz w:val="24"/>
          <w:szCs w:val="24"/>
        </w:rPr>
        <w:t>重新供货或解除本合同，甲方选择解除合同的，乙方</w:t>
      </w:r>
      <w:r>
        <w:rPr>
          <w:rFonts w:hint="eastAsia" w:ascii="宋体" w:hAnsi="宋体" w:cs="宋体"/>
          <w:bCs/>
          <w:color w:val="000000"/>
          <w:sz w:val="24"/>
        </w:rPr>
        <w:t>与丙方</w:t>
      </w:r>
      <w:r>
        <w:rPr>
          <w:rFonts w:hint="eastAsia" w:ascii="宋体" w:hAnsi="宋体" w:cs="宋体"/>
          <w:color w:val="000000"/>
          <w:sz w:val="24"/>
          <w:szCs w:val="24"/>
        </w:rPr>
        <w:t>除退还货款（包含预付款）外，还应向甲方支付合同总金额20%的违约金；甲方选择重新供货的，逾期交货按上一款承担违约责任。</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3、合同执行完毕后乙方向甲方提供全套进口程序的相关单据。若乙方未提供或少提供均构成违约，乙方向甲方支付合同总金额10%的违约金。</w:t>
      </w:r>
    </w:p>
    <w:p>
      <w:pPr>
        <w:autoSpaceDE w:val="0"/>
        <w:autoSpaceDN w:val="0"/>
        <w:adjustRightInd w:val="0"/>
        <w:spacing w:line="360" w:lineRule="auto"/>
        <w:ind w:firstLine="480" w:firstLineChars="200"/>
        <w:textAlignment w:val="baseline"/>
        <w:rPr>
          <w:rFonts w:ascii="宋体" w:hAnsi="宋体" w:cs="宋体"/>
          <w:color w:val="000000"/>
          <w:sz w:val="24"/>
          <w:szCs w:val="24"/>
        </w:rPr>
      </w:pPr>
      <w:r>
        <w:rPr>
          <w:rFonts w:hint="eastAsia" w:ascii="宋体" w:hAnsi="宋体" w:cs="宋体"/>
          <w:bCs/>
          <w:color w:val="000000"/>
          <w:sz w:val="24"/>
        </w:rPr>
        <w:t>4、</w:t>
      </w:r>
      <w:r>
        <w:rPr>
          <w:rFonts w:hint="eastAsia" w:ascii="宋体" w:hAnsi="宋体" w:cs="宋体"/>
          <w:color w:val="000000"/>
          <w:sz w:val="24"/>
          <w:szCs w:val="24"/>
        </w:rPr>
        <w:t>除不可抗力外，如果甲方没有按照约定的付款方式付款，那么丙方可要求甲方支付违约金，每迟延付款一日，违约金就应付未付款按全国银行间同业拆借中心公布的贷款市场报价利率计算，违约金数额不得超过应付未付金额的10%。</w:t>
      </w:r>
    </w:p>
    <w:p>
      <w:pPr>
        <w:autoSpaceDE w:val="0"/>
        <w:autoSpaceDN w:val="0"/>
        <w:adjustRightInd w:val="0"/>
        <w:spacing w:line="360" w:lineRule="auto"/>
        <w:ind w:firstLine="480" w:firstLineChars="200"/>
        <w:textAlignment w:val="baseline"/>
        <w:rPr>
          <w:rFonts w:ascii="宋体" w:hAnsi="宋体" w:cs="宋体"/>
          <w:color w:val="000000"/>
          <w:sz w:val="24"/>
          <w:szCs w:val="24"/>
        </w:rPr>
      </w:pPr>
      <w:r>
        <w:rPr>
          <w:rFonts w:hint="eastAsia" w:ascii="宋体" w:hAnsi="宋体" w:cs="宋体"/>
          <w:bCs/>
          <w:color w:val="000000"/>
          <w:sz w:val="24"/>
        </w:rPr>
        <w:t xml:space="preserve"> 5、丙方对乙方的行为承担全部责任，如因乙方未履行或未完全履行义务导致甲方损失，</w:t>
      </w:r>
      <w:r>
        <w:rPr>
          <w:rFonts w:hint="eastAsia" w:ascii="宋体" w:hAnsi="宋体" w:cs="宋体"/>
          <w:color w:val="000000"/>
          <w:sz w:val="24"/>
          <w:szCs w:val="24"/>
        </w:rPr>
        <w:t>乙方履行本合同的任何行为及就本项目所有合同的违约金和赔偿金与丙方共同向甲方承担连带责任。</w:t>
      </w:r>
    </w:p>
    <w:p>
      <w:pPr>
        <w:autoSpaceDE w:val="0"/>
        <w:autoSpaceDN w:val="0"/>
        <w:adjustRightInd w:val="0"/>
        <w:spacing w:line="360" w:lineRule="auto"/>
        <w:ind w:firstLine="482" w:firstLineChars="200"/>
        <w:rPr>
          <w:rFonts w:ascii="宋体" w:hAnsi="宋体" w:cs="宋体"/>
          <w:b/>
          <w:bCs/>
          <w:color w:val="000000"/>
          <w:sz w:val="24"/>
        </w:rPr>
      </w:pPr>
      <w:r>
        <w:rPr>
          <w:rFonts w:hint="eastAsia" w:ascii="宋体" w:hAnsi="宋体" w:cs="宋体"/>
          <w:b/>
          <w:bCs/>
          <w:color w:val="000000"/>
          <w:sz w:val="24"/>
        </w:rPr>
        <w:t>第九条 其他</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1、本合同首部载明的三方地址、电话等信息，系三方有效联系方式，如发生变更，应提前书面通知另一方，否则依该联系方式送达相关文书的，视为送达成功。</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2、本协议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pPr>
        <w:autoSpaceDE w:val="0"/>
        <w:autoSpaceDN w:val="0"/>
        <w:adjustRightInd w:val="0"/>
        <w:spacing w:line="360" w:lineRule="auto"/>
        <w:ind w:firstLine="480" w:firstLineChars="200"/>
        <w:rPr>
          <w:rFonts w:ascii="宋体" w:hAnsi="宋体" w:cs="宋体"/>
          <w:bCs/>
          <w:color w:val="000000"/>
          <w:sz w:val="24"/>
        </w:rPr>
      </w:pPr>
      <w:r>
        <w:rPr>
          <w:rFonts w:hint="eastAsia" w:ascii="宋体" w:hAnsi="宋体" w:cs="宋体"/>
          <w:bCs/>
          <w:color w:val="000000"/>
          <w:sz w:val="24"/>
        </w:rPr>
        <w:t>3、未经另外一方的事先书面同意，任何一方均不得向第三方或其关联企业转让本协议项下的权利义务。</w:t>
      </w:r>
    </w:p>
    <w:p>
      <w:pPr>
        <w:autoSpaceDE w:val="0"/>
        <w:autoSpaceDN w:val="0"/>
        <w:adjustRightInd w:val="0"/>
        <w:spacing w:line="360" w:lineRule="auto"/>
        <w:ind w:firstLine="482" w:firstLineChars="200"/>
        <w:rPr>
          <w:rFonts w:ascii="宋体" w:hAnsi="宋体" w:cs="宋体"/>
          <w:bCs/>
          <w:color w:val="000000"/>
          <w:sz w:val="24"/>
        </w:rPr>
      </w:pPr>
      <w:r>
        <w:rPr>
          <w:rFonts w:hint="eastAsia" w:ascii="宋体" w:hAnsi="宋体" w:cs="宋体"/>
          <w:b/>
          <w:bCs/>
          <w:color w:val="000000"/>
          <w:sz w:val="24"/>
        </w:rPr>
        <w:t xml:space="preserve">第十条 </w:t>
      </w:r>
      <w:r>
        <w:rPr>
          <w:rFonts w:hint="eastAsia" w:ascii="宋体" w:hAnsi="宋体" w:cs="宋体"/>
          <w:bCs/>
          <w:color w:val="000000"/>
          <w:sz w:val="24"/>
        </w:rPr>
        <w:t>本合同一式陆份，甲持贰份,乙、丙双方各持贰份。未尽事宜，三方可签订补充协议。合同执行完毕，此协议书即告终止。</w:t>
      </w:r>
    </w:p>
    <w:p>
      <w:pPr>
        <w:autoSpaceDE w:val="0"/>
        <w:autoSpaceDN w:val="0"/>
        <w:adjustRightInd w:val="0"/>
        <w:spacing w:line="360" w:lineRule="auto"/>
        <w:ind w:left="630" w:firstLine="480" w:firstLineChars="200"/>
        <w:rPr>
          <w:rFonts w:ascii="宋体" w:hAnsi="宋体" w:cs="宋体"/>
          <w:bCs/>
          <w:color w:val="000000"/>
          <w:sz w:val="24"/>
        </w:rPr>
      </w:pP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rPr>
        <w:t xml:space="preserve">甲方：新疆大学     </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rPr>
        <w:t xml:space="preserve">签字（盖章）：                       </w:t>
      </w:r>
    </w:p>
    <w:p>
      <w:pPr>
        <w:autoSpaceDE w:val="0"/>
        <w:autoSpaceDN w:val="0"/>
        <w:adjustRightInd w:val="0"/>
        <w:spacing w:line="360" w:lineRule="auto"/>
        <w:ind w:left="630" w:firstLine="480" w:firstLineChars="200"/>
        <w:rPr>
          <w:rFonts w:ascii="宋体" w:hAnsi="宋体" w:cs="宋体"/>
          <w:bCs/>
          <w:color w:val="000000"/>
          <w:sz w:val="24"/>
        </w:rPr>
      </w:pPr>
    </w:p>
    <w:p>
      <w:pPr>
        <w:autoSpaceDE w:val="0"/>
        <w:autoSpaceDN w:val="0"/>
        <w:adjustRightInd w:val="0"/>
        <w:spacing w:line="360" w:lineRule="auto"/>
        <w:ind w:left="630" w:firstLine="480" w:firstLineChars="200"/>
        <w:rPr>
          <w:rFonts w:ascii="宋体" w:hAnsi="宋体" w:cs="宋体"/>
          <w:bCs/>
          <w:color w:val="000000"/>
          <w:sz w:val="24"/>
        </w:rPr>
      </w:pP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rPr>
        <w:t>乙方：</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rPr>
        <w:t xml:space="preserve">签字（盖章）：     </w:t>
      </w:r>
    </w:p>
    <w:p>
      <w:pPr>
        <w:autoSpaceDE w:val="0"/>
        <w:autoSpaceDN w:val="0"/>
        <w:adjustRightInd w:val="0"/>
        <w:spacing w:line="360" w:lineRule="auto"/>
        <w:ind w:left="630" w:firstLine="480" w:firstLineChars="200"/>
        <w:rPr>
          <w:rFonts w:ascii="宋体" w:hAnsi="宋体" w:cs="宋体"/>
          <w:bCs/>
          <w:color w:val="000000"/>
          <w:sz w:val="24"/>
        </w:rPr>
      </w:pPr>
    </w:p>
    <w:p>
      <w:pPr>
        <w:autoSpaceDE w:val="0"/>
        <w:autoSpaceDN w:val="0"/>
        <w:adjustRightInd w:val="0"/>
        <w:spacing w:line="360" w:lineRule="auto"/>
        <w:ind w:left="630" w:firstLine="480" w:firstLineChars="200"/>
        <w:rPr>
          <w:rFonts w:ascii="宋体" w:hAnsi="宋体" w:cs="宋体"/>
          <w:bCs/>
          <w:color w:val="000000"/>
          <w:sz w:val="24"/>
        </w:rPr>
      </w:pP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rPr>
        <w:t>丙方（中标单位）：</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rPr>
        <w:t xml:space="preserve">签字（盖章）：    </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szCs w:val="24"/>
        </w:rPr>
        <w:t>乙方银行资料：                                经  办 人：</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szCs w:val="24"/>
        </w:rPr>
        <w:t>名  称：                 电话/传真：</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szCs w:val="24"/>
        </w:rPr>
        <w:t>开户行：                 手     机：</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szCs w:val="24"/>
        </w:rPr>
        <w:t>帐  号：</w:t>
      </w:r>
    </w:p>
    <w:p>
      <w:pPr>
        <w:autoSpaceDE w:val="0"/>
        <w:autoSpaceDN w:val="0"/>
        <w:adjustRightInd w:val="0"/>
        <w:spacing w:line="360" w:lineRule="auto"/>
        <w:rPr>
          <w:rFonts w:ascii="宋体" w:hAnsi="宋体" w:cs="宋体"/>
          <w:bCs/>
          <w:color w:val="000000"/>
          <w:sz w:val="24"/>
        </w:rPr>
      </w:pPr>
      <w:r>
        <w:rPr>
          <w:rFonts w:hint="eastAsia" w:ascii="宋体" w:hAnsi="宋体" w:cs="宋体"/>
          <w:bCs/>
          <w:color w:val="000000"/>
          <w:sz w:val="24"/>
          <w:szCs w:val="24"/>
        </w:rPr>
        <w:t>行  号：</w:t>
      </w:r>
    </w:p>
    <w:p>
      <w:pPr>
        <w:widowControl/>
        <w:autoSpaceDE w:val="0"/>
        <w:autoSpaceDN w:val="0"/>
        <w:adjustRightInd w:val="0"/>
        <w:spacing w:line="0" w:lineRule="atLeast"/>
        <w:ind w:firstLine="420" w:firstLineChars="200"/>
        <w:rPr>
          <w:rFonts w:ascii="宋体" w:hAnsi="宋体" w:cs="宋体"/>
          <w:color w:val="000000"/>
        </w:rPr>
      </w:pP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spacing w:line="360" w:lineRule="auto"/>
        <w:ind w:right="-105"/>
        <w:jc w:val="both"/>
        <w:rPr>
          <w:rFonts w:hint="eastAsia" w:ascii="仿宋_GB2312" w:hAnsi="仿宋_GB2312" w:eastAsia="仿宋_GB2312" w:cs="仿宋_GB2312"/>
          <w:sz w:val="28"/>
          <w:szCs w:val="28"/>
        </w:rPr>
      </w:pPr>
    </w:p>
    <w:p>
      <w:pPr>
        <w:spacing w:line="360" w:lineRule="auto"/>
        <w:ind w:right="-105"/>
        <w:jc w:val="both"/>
        <w:rPr>
          <w:rFonts w:hint="eastAsia" w:ascii="仿宋_GB2312" w:hAnsi="仿宋_GB2312" w:eastAsia="仿宋_GB2312" w:cs="仿宋_GB2312"/>
          <w:sz w:val="28"/>
          <w:szCs w:val="28"/>
        </w:rPr>
      </w:pPr>
    </w:p>
    <w:p>
      <w:pPr>
        <w:spacing w:line="360" w:lineRule="auto"/>
        <w:ind w:right="-105"/>
        <w:jc w:val="both"/>
        <w:rPr>
          <w:rFonts w:hint="eastAsia" w:ascii="仿宋_GB2312" w:hAnsi="仿宋_GB2312" w:eastAsia="仿宋_GB2312" w:cs="仿宋_GB2312"/>
          <w:sz w:val="28"/>
          <w:szCs w:val="28"/>
        </w:rPr>
      </w:pPr>
    </w:p>
    <w:p>
      <w:pPr>
        <w:rPr>
          <w:rFonts w:hint="eastAsia" w:ascii="仿宋" w:hAnsi="仿宋" w:eastAsia="仿宋" w:cs="仿宋"/>
          <w:b/>
          <w:bCs/>
          <w:color w:val="000000"/>
          <w:sz w:val="32"/>
          <w:szCs w:val="32"/>
        </w:rPr>
      </w:pPr>
      <w:bookmarkStart w:id="25" w:name="_Toc7984"/>
      <w:r>
        <w:rPr>
          <w:rFonts w:hint="eastAsia" w:ascii="仿宋" w:hAnsi="仿宋" w:eastAsia="仿宋" w:cs="仿宋"/>
          <w:b/>
          <w:bCs/>
          <w:color w:val="000000"/>
          <w:sz w:val="32"/>
          <w:szCs w:val="32"/>
        </w:rPr>
        <w:br w:type="page"/>
      </w:r>
    </w:p>
    <w:p>
      <w:pPr>
        <w:adjustRightInd w:val="0"/>
        <w:snapToGrid w:val="0"/>
        <w:spacing w:line="360" w:lineRule="auto"/>
        <w:jc w:val="center"/>
        <w:outlineLvl w:val="0"/>
        <w:rPr>
          <w:rFonts w:ascii="仿宋" w:hAnsi="仿宋" w:eastAsia="仿宋" w:cs="仿宋"/>
          <w:b/>
          <w:bCs/>
          <w:color w:val="000000"/>
          <w:sz w:val="32"/>
          <w:szCs w:val="32"/>
        </w:rPr>
      </w:pPr>
      <w:r>
        <w:rPr>
          <w:rFonts w:hint="eastAsia" w:ascii="仿宋" w:hAnsi="仿宋" w:eastAsia="仿宋" w:cs="仿宋"/>
          <w:b/>
          <w:bCs/>
          <w:color w:val="000000"/>
          <w:sz w:val="32"/>
          <w:szCs w:val="32"/>
        </w:rPr>
        <w:t>第五章  采购需求</w:t>
      </w:r>
      <w:bookmarkEnd w:id="25"/>
    </w:p>
    <w:p>
      <w:pPr>
        <w:spacing w:line="360" w:lineRule="auto"/>
        <w:rPr>
          <w:rFonts w:hint="eastAsia" w:ascii="仿宋" w:hAnsi="仿宋" w:eastAsia="仿宋" w:cs="仿宋"/>
          <w:b/>
          <w:bCs/>
          <w:color w:val="auto"/>
          <w:sz w:val="24"/>
          <w:highlight w:val="none"/>
          <w:lang w:val="en-US" w:eastAsia="zh-CN"/>
        </w:rPr>
      </w:pPr>
      <w:r>
        <w:rPr>
          <w:rFonts w:hint="eastAsia" w:ascii="仿宋" w:hAnsi="仿宋" w:eastAsia="仿宋" w:cs="仿宋"/>
          <w:b/>
          <w:bCs/>
          <w:sz w:val="24"/>
          <w:highlight w:val="none"/>
        </w:rPr>
        <w:t>注</w:t>
      </w:r>
      <w:r>
        <w:rPr>
          <w:rFonts w:hint="eastAsia" w:ascii="仿宋" w:hAnsi="仿宋" w:eastAsia="仿宋" w:cs="仿宋"/>
          <w:b/>
          <w:bCs/>
          <w:sz w:val="24"/>
          <w:highlight w:val="none"/>
          <w:lang w:eastAsia="zh-CN"/>
        </w:rPr>
        <w:t>：</w:t>
      </w:r>
      <w:r>
        <w:rPr>
          <w:rFonts w:hint="eastAsia" w:ascii="仿宋" w:hAnsi="仿宋" w:eastAsia="仿宋" w:cs="仿宋"/>
          <w:b/>
          <w:bCs/>
          <w:color w:val="auto"/>
          <w:sz w:val="24"/>
          <w:highlight w:val="none"/>
          <w:lang w:val="en-US" w:eastAsia="zh-CN"/>
        </w:rPr>
        <w:t>1、本采购需求中中如出现设备品牌（参考品牌）或指向某个品牌，仅作为参考该设备所需达到的具体技术要求，不作为该设备的品牌要求。投标人可以选用替代品牌，但这些替代品牌要实质上满足或超过招标文件的要求。标“★”为实质性参数，其他条款要求为重要参数。</w:t>
      </w:r>
    </w:p>
    <w:p>
      <w:pPr>
        <w:widowControl/>
        <w:numPr>
          <w:ilvl w:val="0"/>
          <w:numId w:val="0"/>
        </w:numPr>
        <w:snapToGrid w:val="0"/>
        <w:spacing w:line="360" w:lineRule="auto"/>
        <w:jc w:val="left"/>
        <w:rPr>
          <w:b/>
          <w:bCs/>
          <w:highlight w:val="none"/>
        </w:rPr>
      </w:pPr>
      <w:r>
        <w:rPr>
          <w:rFonts w:hint="eastAsia" w:ascii="宋体" w:hAnsi="宋体" w:eastAsia="宋体" w:cs="宋体"/>
          <w:b/>
          <w:bCs/>
          <w:sz w:val="24"/>
          <w:highlight w:val="none"/>
          <w:lang w:val="en-US" w:eastAsia="zh-CN"/>
        </w:rPr>
        <w:t>★</w:t>
      </w:r>
      <w:r>
        <w:rPr>
          <w:rFonts w:hint="eastAsia" w:ascii="仿宋" w:hAnsi="仿宋" w:eastAsia="仿宋" w:cs="仿宋"/>
          <w:b/>
          <w:bCs/>
          <w:sz w:val="24"/>
          <w:highlight w:val="none"/>
          <w:lang w:val="en-US" w:eastAsia="zh-CN"/>
        </w:rPr>
        <w:t>2、</w:t>
      </w:r>
      <w:r>
        <w:rPr>
          <w:rFonts w:hint="eastAsia" w:ascii="仿宋" w:hAnsi="仿宋" w:eastAsia="仿宋" w:cs="仿宋"/>
          <w:b/>
          <w:bCs/>
          <w:sz w:val="24"/>
          <w:highlight w:val="none"/>
        </w:rPr>
        <w:t>本项目为</w:t>
      </w:r>
      <w:r>
        <w:rPr>
          <w:rFonts w:hint="eastAsia" w:ascii="仿宋" w:hAnsi="仿宋" w:eastAsia="仿宋" w:cs="仿宋"/>
          <w:b/>
          <w:bCs/>
          <w:color w:val="auto"/>
          <w:sz w:val="24"/>
          <w:highlight w:val="none"/>
        </w:rPr>
        <w:t>交钥匙工程</w:t>
      </w:r>
      <w:r>
        <w:rPr>
          <w:rFonts w:hint="eastAsia" w:ascii="仿宋" w:hAnsi="仿宋" w:eastAsia="仿宋" w:cs="仿宋"/>
          <w:b/>
          <w:bCs/>
          <w:color w:val="auto"/>
          <w:sz w:val="24"/>
          <w:highlight w:val="none"/>
          <w:lang w:eastAsia="zh-CN"/>
        </w:rPr>
        <w:t>，产品</w:t>
      </w:r>
      <w:r>
        <w:rPr>
          <w:rFonts w:hint="eastAsia" w:ascii="仿宋" w:hAnsi="仿宋" w:eastAsia="仿宋" w:cs="仿宋"/>
          <w:b/>
          <w:bCs/>
          <w:color w:val="auto"/>
          <w:sz w:val="24"/>
          <w:highlight w:val="none"/>
          <w:lang w:val="en-US" w:eastAsia="zh-CN"/>
        </w:rPr>
        <w:t>须满足甲方最终正常使用要求，甲方不再支付额外任何额外费用</w:t>
      </w:r>
      <w:r>
        <w:rPr>
          <w:rFonts w:hint="eastAsia" w:ascii="仿宋" w:hAnsi="仿宋" w:eastAsia="仿宋" w:cs="仿宋"/>
          <w:b/>
          <w:bCs/>
          <w:color w:val="auto"/>
          <w:sz w:val="24"/>
          <w:highlight w:val="none"/>
          <w:lang w:eastAsia="zh-CN"/>
        </w:rPr>
        <w:t>。</w:t>
      </w:r>
      <w:r>
        <w:rPr>
          <w:rFonts w:hint="eastAsia" w:ascii="仿宋" w:hAnsi="仿宋" w:eastAsia="仿宋" w:cs="仿宋"/>
          <w:b/>
          <w:bCs/>
          <w:sz w:val="24"/>
          <w:highlight w:val="none"/>
        </w:rPr>
        <w:t>项目所需运输费、保险、税费、安装调试费、培训费等</w:t>
      </w:r>
      <w:r>
        <w:rPr>
          <w:rFonts w:hint="eastAsia" w:ascii="仿宋" w:hAnsi="仿宋" w:eastAsia="仿宋" w:cs="仿宋"/>
          <w:b/>
          <w:bCs/>
          <w:sz w:val="24"/>
          <w:highlight w:val="none"/>
          <w:lang w:eastAsia="zh-CN"/>
        </w:rPr>
        <w:t>一切费用</w:t>
      </w:r>
      <w:r>
        <w:rPr>
          <w:rFonts w:hint="eastAsia" w:ascii="仿宋" w:hAnsi="仿宋" w:eastAsia="仿宋" w:cs="仿宋"/>
          <w:b/>
          <w:bCs/>
          <w:sz w:val="24"/>
          <w:highlight w:val="none"/>
        </w:rPr>
        <w:t>均包含在单台货物</w:t>
      </w:r>
      <w:r>
        <w:rPr>
          <w:rFonts w:hint="eastAsia" w:ascii="仿宋" w:hAnsi="仿宋" w:eastAsia="仿宋" w:cs="仿宋"/>
          <w:b/>
          <w:bCs/>
          <w:sz w:val="24"/>
          <w:highlight w:val="none"/>
          <w:lang w:eastAsia="zh-CN"/>
        </w:rPr>
        <w:t>或服务</w:t>
      </w:r>
      <w:r>
        <w:rPr>
          <w:rFonts w:hint="eastAsia" w:ascii="仿宋" w:hAnsi="仿宋" w:eastAsia="仿宋" w:cs="仿宋"/>
          <w:b/>
          <w:bCs/>
          <w:sz w:val="24"/>
          <w:highlight w:val="none"/>
        </w:rPr>
        <w:t>（设备）的报价中，不得单列。投标人在填报投标报价明细表（或分项报价表）时上述运输、保险、安装、税费、伴随服务等</w:t>
      </w:r>
      <w:r>
        <w:rPr>
          <w:rFonts w:hint="eastAsia" w:ascii="仿宋" w:hAnsi="仿宋" w:eastAsia="仿宋" w:cs="仿宋"/>
          <w:b/>
          <w:bCs/>
          <w:sz w:val="24"/>
          <w:highlight w:val="none"/>
          <w:lang w:val="en-US" w:eastAsia="zh-CN"/>
        </w:rPr>
        <w:t>所有</w:t>
      </w:r>
      <w:r>
        <w:rPr>
          <w:rFonts w:hint="eastAsia" w:ascii="仿宋" w:hAnsi="仿宋" w:eastAsia="仿宋" w:cs="仿宋"/>
          <w:b/>
          <w:bCs/>
          <w:sz w:val="24"/>
          <w:highlight w:val="none"/>
        </w:rPr>
        <w:t>费用须包含在货物（或设备）单价中，不得将运输、保险、安装、税费、伴随服务等相关费用单独填报</w:t>
      </w:r>
      <w:r>
        <w:rPr>
          <w:rFonts w:hint="eastAsia" w:ascii="仿宋" w:hAnsi="仿宋" w:eastAsia="仿宋" w:cs="仿宋"/>
          <w:b/>
          <w:bCs/>
          <w:sz w:val="24"/>
          <w:highlight w:val="none"/>
          <w:lang w:eastAsia="zh-CN"/>
        </w:rPr>
        <w:t>。</w:t>
      </w:r>
    </w:p>
    <w:p>
      <w:pPr>
        <w:spacing w:line="360" w:lineRule="auto"/>
        <w:rPr>
          <w:rFonts w:hint="eastAsia" w:ascii="仿宋" w:hAnsi="仿宋" w:eastAsia="仿宋" w:cs="仿宋"/>
          <w:b/>
          <w:bCs/>
          <w:sz w:val="24"/>
          <w:highlight w:val="none"/>
        </w:rPr>
      </w:pPr>
      <w:r>
        <w:rPr>
          <w:rFonts w:hint="eastAsia"/>
          <w:b/>
          <w:bCs/>
          <w:highlight w:val="none"/>
          <w:lang w:val="en-US" w:eastAsia="zh-CN"/>
        </w:rPr>
        <w:t>3、</w:t>
      </w:r>
      <w:r>
        <w:rPr>
          <w:rFonts w:hint="eastAsia" w:ascii="仿宋" w:hAnsi="仿宋" w:eastAsia="仿宋" w:cs="仿宋"/>
          <w:b/>
          <w:bCs/>
          <w:sz w:val="24"/>
          <w:highlight w:val="none"/>
        </w:rPr>
        <w:t>如存在某个产品质保期或供货期存在上下表述不一致之处，以有利于采购人的表述为准，即：以质保期时限长的为准、供货期短的为准。</w:t>
      </w:r>
    </w:p>
    <w:p>
      <w:pPr>
        <w:pStyle w:val="59"/>
        <w:snapToGrid w:val="0"/>
        <w:spacing w:line="360" w:lineRule="auto"/>
        <w:rPr>
          <w:rFonts w:ascii="仿宋" w:hAnsi="仿宋" w:eastAsia="仿宋" w:cs="仿宋"/>
          <w:b/>
          <w:bCs/>
          <w:sz w:val="24"/>
          <w:szCs w:val="24"/>
          <w:highlight w:val="yellow"/>
        </w:rPr>
      </w:pPr>
    </w:p>
    <w:p>
      <w:pPr>
        <w:pStyle w:val="20"/>
        <w:spacing w:line="360" w:lineRule="auto"/>
        <w:jc w:val="both"/>
        <w:rPr>
          <w:rFonts w:ascii="仿宋" w:hAnsi="仿宋" w:eastAsia="仿宋" w:cs="仿宋"/>
          <w:b/>
          <w:bCs/>
          <w:sz w:val="24"/>
          <w:szCs w:val="24"/>
        </w:rPr>
      </w:pPr>
      <w:r>
        <w:rPr>
          <w:rFonts w:hint="eastAsia" w:ascii="仿宋" w:hAnsi="仿宋" w:eastAsia="仿宋" w:cs="仿宋"/>
          <w:b/>
          <w:bCs/>
          <w:sz w:val="24"/>
          <w:szCs w:val="24"/>
        </w:rPr>
        <w:t>一、采购需实现的目标，以及为落实政府采购政策需满足的要求：</w:t>
      </w:r>
    </w:p>
    <w:p>
      <w:pPr>
        <w:pStyle w:val="20"/>
        <w:spacing w:line="360" w:lineRule="auto"/>
        <w:jc w:val="both"/>
        <w:rPr>
          <w:rFonts w:ascii="仿宋" w:hAnsi="仿宋" w:eastAsia="仿宋" w:cs="仿宋"/>
          <w:b/>
          <w:bCs/>
          <w:sz w:val="24"/>
          <w:szCs w:val="24"/>
        </w:rPr>
      </w:pPr>
      <w:r>
        <w:rPr>
          <w:rFonts w:hint="eastAsia" w:ascii="仿宋" w:hAnsi="仿宋" w:eastAsia="仿宋" w:cs="仿宋"/>
          <w:b/>
          <w:bCs/>
          <w:sz w:val="24"/>
          <w:szCs w:val="24"/>
        </w:rPr>
        <w:t xml:space="preserve">1、采购需实现的目标 </w:t>
      </w:r>
    </w:p>
    <w:p>
      <w:pPr>
        <w:pStyle w:val="20"/>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投标人应根据招标文件所提出的设备技术规格和服务要求，综合考虑设备的适用性，选择需要最佳性能价格比的设备前来投标。投标人应以技术先进的设备、优良的服务和优惠的价格，充分显示自己的竞争实力。</w:t>
      </w:r>
    </w:p>
    <w:p>
      <w:pPr>
        <w:pStyle w:val="20"/>
        <w:spacing w:line="360" w:lineRule="auto"/>
        <w:jc w:val="both"/>
        <w:rPr>
          <w:rFonts w:ascii="仿宋" w:hAnsi="仿宋" w:eastAsia="仿宋" w:cs="仿宋"/>
          <w:b/>
          <w:bCs/>
          <w:sz w:val="24"/>
          <w:szCs w:val="24"/>
        </w:rPr>
      </w:pPr>
      <w:r>
        <w:rPr>
          <w:rFonts w:hint="eastAsia" w:ascii="仿宋" w:hAnsi="仿宋" w:eastAsia="仿宋" w:cs="仿宋"/>
          <w:b/>
          <w:bCs/>
          <w:sz w:val="24"/>
          <w:szCs w:val="24"/>
        </w:rPr>
        <w:t>2、为落实政府采购政策需满足的要求</w:t>
      </w:r>
    </w:p>
    <w:p>
      <w:pPr>
        <w:pStyle w:val="20"/>
        <w:spacing w:line="360" w:lineRule="auto"/>
        <w:jc w:val="both"/>
        <w:rPr>
          <w:rFonts w:ascii="仿宋" w:hAnsi="仿宋" w:eastAsia="仿宋" w:cs="仿宋"/>
          <w:sz w:val="24"/>
          <w:szCs w:val="24"/>
        </w:rPr>
      </w:pPr>
      <w:r>
        <w:rPr>
          <w:rFonts w:hint="eastAsia" w:ascii="仿宋" w:hAnsi="仿宋" w:eastAsia="仿宋" w:cs="仿宋"/>
          <w:b/>
          <w:bCs/>
          <w:sz w:val="24"/>
          <w:szCs w:val="24"/>
        </w:rPr>
        <w:t>2.1 促进中小企业发展政策：</w:t>
      </w:r>
      <w:r>
        <w:rPr>
          <w:rFonts w:hint="eastAsia" w:ascii="仿宋" w:hAnsi="仿宋" w:eastAsia="仿宋" w:cs="仿宋"/>
          <w:sz w:val="24"/>
          <w:szCs w:val="24"/>
        </w:rPr>
        <w:t>根据《政府采购促进中小企业发展管理办法》财库财库〔2020〕46号文件规定，本项目投标人为小型或微型企业且所投产品为小型或微型企业生产的，投标人应出具财库〔2020〕46号文件要求的《中小企业声明函》给予证明，否则评标时不予认可。投标人应对提交的中小企业声明函的真实性负责，提交的中小企业声明函不真实的，应承担相应的法律责任。中标、成交供应商为小型或微型企业的，采购代理机构将随中标结果同时公告其《中小企业声明函》，接受社会监督。</w:t>
      </w:r>
    </w:p>
    <w:p>
      <w:pPr>
        <w:pStyle w:val="20"/>
        <w:spacing w:line="360" w:lineRule="auto"/>
        <w:jc w:val="both"/>
        <w:rPr>
          <w:rFonts w:ascii="仿宋" w:hAnsi="仿宋" w:eastAsia="仿宋" w:cs="仿宋"/>
          <w:b/>
          <w:bCs/>
          <w:sz w:val="24"/>
          <w:szCs w:val="24"/>
        </w:rPr>
      </w:pPr>
      <w:r>
        <w:rPr>
          <w:rFonts w:hint="eastAsia" w:ascii="仿宋" w:hAnsi="仿宋" w:eastAsia="仿宋" w:cs="仿宋"/>
          <w:b/>
          <w:bCs/>
          <w:sz w:val="24"/>
          <w:szCs w:val="24"/>
        </w:rPr>
        <w:t>2.2 监狱企业扶持政策：</w:t>
      </w:r>
      <w:r>
        <w:rPr>
          <w:rFonts w:hint="eastAsia" w:ascii="仿宋" w:hAnsi="仿宋" w:eastAsia="仿宋" w:cs="仿宋"/>
          <w:sz w:val="24"/>
          <w:szCs w:val="24"/>
        </w:rPr>
        <w:t>投标人如为监狱企业将视同为小型或微型企业，且所投产品为监狱企业生产的，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pPr>
        <w:pStyle w:val="20"/>
        <w:spacing w:line="360" w:lineRule="auto"/>
        <w:jc w:val="both"/>
        <w:rPr>
          <w:rFonts w:ascii="仿宋" w:hAnsi="仿宋" w:eastAsia="仿宋" w:cs="仿宋"/>
          <w:sz w:val="24"/>
          <w:szCs w:val="24"/>
        </w:rPr>
      </w:pPr>
      <w:r>
        <w:rPr>
          <w:rFonts w:hint="eastAsia" w:ascii="仿宋" w:hAnsi="仿宋" w:eastAsia="仿宋" w:cs="仿宋"/>
          <w:b/>
          <w:bCs/>
          <w:sz w:val="24"/>
          <w:szCs w:val="24"/>
        </w:rPr>
        <w:t>2.3 促进残疾人就业政府采购政策：</w:t>
      </w:r>
      <w:r>
        <w:rPr>
          <w:rFonts w:hint="eastAsia" w:ascii="仿宋" w:hAnsi="仿宋" w:eastAsia="仿宋" w:cs="仿宋"/>
          <w:sz w:val="24"/>
          <w:szCs w:val="24"/>
        </w:rPr>
        <w:t>根据《三部门联合发布关于促进残疾人就业政府采购政策的通知》（财库〔2017〕141 号）规定，符合条件的残疾人福利性单位在参加本项目政府采购活动时，投标人应出具《三部门联合发布关于促进残疾人就业政府采购政策的通知》（财库〔2017〕141 号）要求的《残疾人福利性单位声明函》，否则评标时不予认可，投标人应对提交的残疾人福利性单位声明函的真实性承担法律责任。中标、成交供应商为残疾人福利性单位的，采购代理机构将随中标结果同时公告其《残疾人福利性单位声明函》，接受社会监督。残疾人福利性单位视同小型、微型企业。</w:t>
      </w:r>
    </w:p>
    <w:p>
      <w:pPr>
        <w:pStyle w:val="20"/>
        <w:spacing w:line="360" w:lineRule="auto"/>
        <w:jc w:val="both"/>
        <w:rPr>
          <w:rFonts w:ascii="仿宋" w:hAnsi="仿宋" w:eastAsia="仿宋" w:cs="仿宋"/>
          <w:sz w:val="24"/>
          <w:szCs w:val="24"/>
        </w:rPr>
      </w:pPr>
      <w:r>
        <w:rPr>
          <w:rFonts w:hint="eastAsia" w:ascii="仿宋" w:hAnsi="仿宋" w:eastAsia="仿宋" w:cs="仿宋"/>
          <w:b/>
          <w:bCs/>
          <w:sz w:val="24"/>
          <w:szCs w:val="24"/>
        </w:rPr>
        <w:t>2.4 鼓励节能政策：</w:t>
      </w:r>
      <w:r>
        <w:rPr>
          <w:rFonts w:hint="eastAsia" w:ascii="仿宋" w:hAnsi="仿宋" w:eastAsia="仿宋" w:cs="仿宋"/>
          <w:sz w:val="24"/>
          <w:szCs w:val="24"/>
        </w:rPr>
        <w:t>投标人的投标产品属于财政部、发展改革委公布的“节能产品政府采购品目清单”范围的，投标人需提供国家确定的认证机构出具的、处于有效期之内的节能产品认证证书。国家确定的认证机构和节能产品获证产品信息可从市场监管总局组建的节能产品、环境标志产品认证结果信息发布平台或中国政府采购网建立的认证结果信息发布平台链接中查询下载。</w:t>
      </w:r>
    </w:p>
    <w:p>
      <w:pPr>
        <w:pStyle w:val="20"/>
        <w:spacing w:line="360" w:lineRule="auto"/>
        <w:jc w:val="both"/>
        <w:rPr>
          <w:rFonts w:ascii="仿宋" w:hAnsi="仿宋" w:eastAsia="仿宋" w:cs="仿宋"/>
          <w:sz w:val="24"/>
          <w:szCs w:val="24"/>
        </w:rPr>
      </w:pPr>
      <w:r>
        <w:rPr>
          <w:rFonts w:hint="eastAsia" w:ascii="仿宋" w:hAnsi="仿宋" w:eastAsia="仿宋" w:cs="仿宋"/>
          <w:b/>
          <w:bCs/>
          <w:sz w:val="24"/>
          <w:szCs w:val="24"/>
        </w:rPr>
        <w:t>2.5 鼓励环保政策：</w:t>
      </w:r>
      <w:r>
        <w:rPr>
          <w:rFonts w:hint="eastAsia" w:ascii="仿宋" w:hAnsi="仿宋" w:eastAsia="仿宋" w:cs="仿宋"/>
          <w:sz w:val="24"/>
          <w:szCs w:val="24"/>
        </w:rPr>
        <w:t>投标人的投标产品属于财政部、生态环境部公布的“环境标志产品政府采购品目清单”范围的，投标人需提供国家确定的认证机构出具的、处于有效期之内的环境标志产品认证证书。国家确定的认证机构和环境标志产品获证产品信息可从市场监管总局组建的节能产品、环境标志产品认证结果信息发布平台或中国政府采购网建立的认证结果信息发布平台链接中查询下载。</w:t>
      </w:r>
    </w:p>
    <w:p>
      <w:pPr>
        <w:pStyle w:val="20"/>
        <w:spacing w:line="360" w:lineRule="auto"/>
        <w:jc w:val="both"/>
        <w:rPr>
          <w:rFonts w:ascii="仿宋" w:hAnsi="仿宋" w:eastAsia="仿宋" w:cs="仿宋"/>
          <w:b/>
          <w:bCs/>
          <w:sz w:val="24"/>
          <w:szCs w:val="24"/>
        </w:rPr>
      </w:pPr>
      <w:r>
        <w:rPr>
          <w:rFonts w:hint="eastAsia" w:ascii="仿宋" w:hAnsi="仿宋" w:eastAsia="仿宋" w:cs="仿宋"/>
          <w:b/>
          <w:bCs/>
          <w:sz w:val="24"/>
          <w:szCs w:val="24"/>
        </w:rPr>
        <w:t>二、采购标的需执行的国家相关标准、行业标准、地方标准或者其他标准、规范：</w:t>
      </w:r>
    </w:p>
    <w:p>
      <w:pPr>
        <w:pStyle w:val="20"/>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投标产品及制造商应符合国家有关部门规定的相应技术、计量、节能、安全和环保法规及标准，如国家有关部门对投标产品或其制造商有强制性规定或要求的，投标产品或其制造商必须符合相应规定或要求。</w:t>
      </w:r>
    </w:p>
    <w:p>
      <w:pPr>
        <w:pStyle w:val="20"/>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投标产品的包装应符合《财政部等三部门联合印发商品包装和快递包装政府采购需求标准（试行）》（财办库〔2020〕123号）的规定。</w:t>
      </w:r>
    </w:p>
    <w:p>
      <w:pPr>
        <w:pStyle w:val="20"/>
        <w:spacing w:line="240" w:lineRule="atLeast"/>
        <w:jc w:val="both"/>
        <w:rPr>
          <w:rFonts w:ascii="仿宋" w:hAnsi="仿宋" w:eastAsia="仿宋" w:cs="仿宋"/>
          <w:b/>
          <w:bCs/>
          <w:sz w:val="24"/>
          <w:szCs w:val="24"/>
        </w:rPr>
      </w:pPr>
      <w:r>
        <w:rPr>
          <w:rFonts w:hint="eastAsia" w:ascii="仿宋" w:hAnsi="仿宋" w:eastAsia="仿宋" w:cs="仿宋"/>
          <w:b/>
          <w:bCs/>
          <w:sz w:val="24"/>
          <w:szCs w:val="24"/>
        </w:rPr>
        <w:t>三、采购标的的数量、采购项目交付或者实施的时间和地点及付款方式：</w:t>
      </w:r>
    </w:p>
    <w:p>
      <w:pPr>
        <w:pStyle w:val="20"/>
        <w:spacing w:line="240" w:lineRule="atLeast"/>
        <w:jc w:val="both"/>
        <w:rPr>
          <w:rFonts w:ascii="仿宋" w:hAnsi="仿宋" w:eastAsia="仿宋" w:cs="仿宋"/>
          <w:b/>
          <w:bCs/>
          <w:sz w:val="24"/>
          <w:szCs w:val="24"/>
        </w:rPr>
      </w:pPr>
      <w:r>
        <w:rPr>
          <w:rFonts w:hint="eastAsia" w:ascii="仿宋" w:hAnsi="仿宋" w:eastAsia="仿宋" w:cs="仿宋"/>
          <w:b/>
          <w:bCs/>
          <w:sz w:val="24"/>
          <w:szCs w:val="24"/>
        </w:rPr>
        <w:t>3.1 采购标的的数量、质保期限、交货日期</w:t>
      </w:r>
    </w:p>
    <w:p>
      <w:pPr>
        <w:spacing w:line="276" w:lineRule="auto"/>
        <w:rPr>
          <w:b/>
          <w:sz w:val="24"/>
        </w:rPr>
      </w:pPr>
      <w:r>
        <w:rPr>
          <w:rFonts w:hint="eastAsia"/>
          <w:b/>
          <w:sz w:val="24"/>
        </w:rPr>
        <w:t>标项1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780"/>
        <w:gridCol w:w="559"/>
        <w:gridCol w:w="764"/>
        <w:gridCol w:w="1543"/>
        <w:gridCol w:w="1780"/>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质保期限</w:t>
            </w:r>
          </w:p>
        </w:tc>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交货日期</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子项目名称</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b/>
                <w:bCs/>
                <w:color w:val="000000"/>
                <w:sz w:val="24"/>
              </w:rPr>
              <w:t>项目库编号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rPr>
            </w:pPr>
            <w:r>
              <w:rPr>
                <w:rFonts w:hint="eastAsia" w:ascii="仿宋" w:hAnsi="仿宋" w:eastAsia="仿宋" w:cs="仿宋"/>
                <w:color w:val="000000"/>
                <w:sz w:val="24"/>
                <w:szCs w:val="24"/>
              </w:rPr>
              <w:t>气相色谱三重四级杆串联质谱仪</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自</w:t>
            </w:r>
            <w:r>
              <w:rPr>
                <w:rFonts w:hint="eastAsia" w:ascii="仿宋" w:hAnsi="仿宋" w:eastAsia="仿宋" w:cs="仿宋"/>
                <w:color w:val="000000"/>
                <w:kern w:val="2"/>
                <w:sz w:val="24"/>
                <w:szCs w:val="24"/>
              </w:rPr>
              <w:t>合同签订后</w:t>
            </w:r>
            <w:r>
              <w:rPr>
                <w:rFonts w:hint="eastAsia" w:ascii="仿宋" w:hAnsi="仿宋" w:eastAsia="仿宋" w:cs="仿宋"/>
                <w:color w:val="000000"/>
                <w:kern w:val="2"/>
                <w:sz w:val="24"/>
                <w:szCs w:val="24"/>
                <w:lang w:val="en-US" w:eastAsia="zh-CN"/>
              </w:rPr>
              <w:t>13</w:t>
            </w:r>
            <w:r>
              <w:rPr>
                <w:rFonts w:hint="eastAsia" w:ascii="仿宋" w:hAnsi="仿宋" w:eastAsia="仿宋" w:cs="仿宋"/>
                <w:color w:val="000000"/>
                <w:kern w:val="2"/>
                <w:sz w:val="24"/>
                <w:szCs w:val="24"/>
              </w:rPr>
              <w:t>0</w:t>
            </w:r>
            <w:r>
              <w:rPr>
                <w:rFonts w:hint="eastAsia" w:ascii="仿宋" w:hAnsi="仿宋" w:eastAsia="仿宋" w:cs="仿宋"/>
                <w:color w:val="000000"/>
                <w:kern w:val="2"/>
                <w:sz w:val="24"/>
                <w:szCs w:val="24"/>
                <w:lang w:val="en-US" w:eastAsia="zh-CN"/>
              </w:rPr>
              <w:t>日历日</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gridSpan w:val="7"/>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left"/>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总价中包括但不限于税费、运输费、保险费及所配套的土建、吊装就位，培训、安装、调试等所有相关费用。</w:t>
            </w:r>
          </w:p>
        </w:tc>
      </w:tr>
    </w:tbl>
    <w:p>
      <w:pPr>
        <w:pStyle w:val="20"/>
        <w:spacing w:line="276" w:lineRule="auto"/>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标项2</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1424"/>
        <w:gridCol w:w="557"/>
        <w:gridCol w:w="804"/>
        <w:gridCol w:w="1672"/>
        <w:gridCol w:w="195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424"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557"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质保期限</w:t>
            </w:r>
          </w:p>
        </w:tc>
        <w:tc>
          <w:tcPr>
            <w:tcW w:w="0" w:type="auto"/>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交货日期</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子项目名称</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仿宋" w:hAnsi="仿宋" w:eastAsia="仿宋" w:cs="仿宋"/>
                <w:b/>
                <w:bCs/>
                <w:color w:val="000000"/>
                <w:sz w:val="24"/>
                <w:szCs w:val="24"/>
              </w:rPr>
            </w:pPr>
            <w:r>
              <w:rPr>
                <w:rFonts w:hint="eastAsia" w:ascii="仿宋" w:hAnsi="仿宋" w:eastAsia="仿宋"/>
                <w:b/>
                <w:bCs/>
                <w:color w:val="000000"/>
                <w:sz w:val="24"/>
              </w:rPr>
              <w:t>项目库编号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4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原位红外测量系统</w:t>
            </w:r>
          </w:p>
        </w:tc>
        <w:tc>
          <w:tcPr>
            <w:tcW w:w="5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自</w:t>
            </w:r>
            <w:r>
              <w:rPr>
                <w:rFonts w:hint="eastAsia" w:ascii="仿宋" w:hAnsi="仿宋" w:eastAsia="仿宋" w:cs="仿宋"/>
                <w:color w:val="000000"/>
                <w:kern w:val="2"/>
                <w:sz w:val="24"/>
                <w:szCs w:val="24"/>
              </w:rPr>
              <w:t>合同签订后</w:t>
            </w:r>
            <w:r>
              <w:rPr>
                <w:rFonts w:hint="eastAsia" w:ascii="仿宋" w:hAnsi="仿宋" w:eastAsia="仿宋" w:cs="仿宋"/>
                <w:color w:val="000000"/>
                <w:kern w:val="2"/>
                <w:sz w:val="24"/>
                <w:szCs w:val="24"/>
                <w:lang w:val="en-US" w:eastAsia="zh-CN"/>
              </w:rPr>
              <w:t>15</w:t>
            </w:r>
            <w:r>
              <w:rPr>
                <w:rFonts w:hint="eastAsia" w:ascii="仿宋" w:hAnsi="仿宋" w:eastAsia="仿宋" w:cs="仿宋"/>
                <w:color w:val="000000"/>
                <w:kern w:val="2"/>
                <w:sz w:val="24"/>
                <w:szCs w:val="24"/>
              </w:rPr>
              <w:t>0</w:t>
            </w:r>
            <w:r>
              <w:rPr>
                <w:rFonts w:hint="eastAsia" w:ascii="仿宋" w:hAnsi="仿宋" w:eastAsia="仿宋" w:cs="仿宋"/>
                <w:color w:val="000000"/>
                <w:kern w:val="2"/>
                <w:sz w:val="24"/>
                <w:szCs w:val="24"/>
                <w:lang w:val="en-US" w:eastAsia="zh-CN"/>
              </w:rPr>
              <w:t>日历日</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4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同步热分析仪</w:t>
            </w:r>
          </w:p>
        </w:tc>
        <w:tc>
          <w:tcPr>
            <w:tcW w:w="5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2年</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自</w:t>
            </w:r>
            <w:r>
              <w:rPr>
                <w:rFonts w:hint="eastAsia" w:ascii="仿宋" w:hAnsi="仿宋" w:eastAsia="仿宋" w:cs="仿宋"/>
                <w:color w:val="000000"/>
                <w:kern w:val="2"/>
                <w:sz w:val="24"/>
                <w:szCs w:val="24"/>
              </w:rPr>
              <w:t>合同签订后</w:t>
            </w:r>
            <w:r>
              <w:rPr>
                <w:rFonts w:hint="eastAsia" w:ascii="仿宋" w:hAnsi="仿宋" w:eastAsia="仿宋" w:cs="仿宋"/>
                <w:color w:val="000000"/>
                <w:kern w:val="2"/>
                <w:sz w:val="24"/>
                <w:szCs w:val="24"/>
                <w:lang w:val="en-US" w:eastAsia="zh-CN"/>
              </w:rPr>
              <w:t>12</w:t>
            </w:r>
            <w:r>
              <w:rPr>
                <w:rFonts w:hint="eastAsia" w:ascii="仿宋" w:hAnsi="仿宋" w:eastAsia="仿宋" w:cs="仿宋"/>
                <w:color w:val="000000"/>
                <w:kern w:val="2"/>
                <w:sz w:val="24"/>
                <w:szCs w:val="24"/>
              </w:rPr>
              <w:t>0</w:t>
            </w:r>
            <w:r>
              <w:rPr>
                <w:rFonts w:hint="eastAsia" w:ascii="仿宋" w:hAnsi="仿宋" w:eastAsia="仿宋" w:cs="仿宋"/>
                <w:color w:val="000000"/>
                <w:kern w:val="2"/>
                <w:sz w:val="24"/>
                <w:szCs w:val="24"/>
                <w:lang w:val="en-US" w:eastAsia="zh-CN"/>
              </w:rPr>
              <w:t>日历日</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42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rPr>
              <w:t>高分辨成像系统</w:t>
            </w:r>
          </w:p>
        </w:tc>
        <w:tc>
          <w:tcPr>
            <w:tcW w:w="5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自</w:t>
            </w:r>
            <w:r>
              <w:rPr>
                <w:rFonts w:hint="eastAsia" w:ascii="仿宋" w:hAnsi="仿宋" w:eastAsia="仿宋" w:cs="仿宋"/>
                <w:color w:val="000000"/>
                <w:kern w:val="2"/>
                <w:sz w:val="24"/>
                <w:szCs w:val="24"/>
              </w:rPr>
              <w:t>合同签订后</w:t>
            </w:r>
            <w:r>
              <w:rPr>
                <w:rFonts w:hint="eastAsia" w:ascii="仿宋" w:hAnsi="仿宋" w:eastAsia="仿宋" w:cs="仿宋"/>
                <w:color w:val="000000"/>
                <w:kern w:val="2"/>
                <w:sz w:val="24"/>
                <w:szCs w:val="24"/>
                <w:lang w:val="en-US" w:eastAsia="zh-CN"/>
              </w:rPr>
              <w:t>210日历日</w:t>
            </w:r>
          </w:p>
        </w:tc>
        <w:tc>
          <w:tcPr>
            <w:tcW w:w="0" w:type="auto"/>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0" w:type="auto"/>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gridSpan w:val="7"/>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left"/>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总价中包括但不限于税费、运输费、保险费及所配套的土建、吊装就位，培训、安装、调试等所有相关费用。</w:t>
            </w:r>
          </w:p>
        </w:tc>
      </w:tr>
    </w:tbl>
    <w:p>
      <w:pPr>
        <w:pStyle w:val="20"/>
        <w:spacing w:line="276" w:lineRule="auto"/>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标项3</w:t>
      </w:r>
    </w:p>
    <w:tbl>
      <w:tblPr>
        <w:tblStyle w:val="28"/>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950"/>
        <w:gridCol w:w="641"/>
        <w:gridCol w:w="782"/>
        <w:gridCol w:w="1179"/>
        <w:gridCol w:w="1986"/>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7"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950"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641"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782"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质保期限</w:t>
            </w:r>
          </w:p>
        </w:tc>
        <w:tc>
          <w:tcPr>
            <w:tcW w:w="1179"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交货日期</w:t>
            </w: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子项目名称</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b/>
                <w:bCs/>
                <w:color w:val="000000"/>
                <w:sz w:val="24"/>
              </w:rPr>
              <w:t>项目库编号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9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电感耦合等离子体质谱仪有机进样系统配件</w:t>
            </w:r>
          </w:p>
        </w:tc>
        <w:tc>
          <w:tcPr>
            <w:tcW w:w="6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p>
        </w:tc>
        <w:tc>
          <w:tcPr>
            <w:tcW w:w="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1年</w:t>
            </w:r>
          </w:p>
        </w:tc>
        <w:tc>
          <w:tcPr>
            <w:tcW w:w="11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kern w:val="2"/>
                <w:sz w:val="24"/>
                <w:szCs w:val="24"/>
                <w:lang w:val="en-US" w:eastAsia="zh-CN"/>
              </w:rPr>
              <w:t>自</w:t>
            </w:r>
            <w:r>
              <w:rPr>
                <w:rFonts w:hint="eastAsia" w:ascii="仿宋" w:hAnsi="仿宋" w:eastAsia="仿宋" w:cs="仿宋"/>
                <w:color w:val="000000"/>
                <w:sz w:val="24"/>
                <w:szCs w:val="24"/>
                <w:lang w:val="en-US" w:eastAsia="zh-CN"/>
              </w:rPr>
              <w:t>合同签订后60日历日</w:t>
            </w: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kern w:val="2"/>
                <w:sz w:val="24"/>
                <w:szCs w:val="24"/>
              </w:rPr>
              <w:t>大型仪器共享平台能力提升项目</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9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STEM扫描透射附件</w:t>
            </w:r>
          </w:p>
        </w:tc>
        <w:tc>
          <w:tcPr>
            <w:tcW w:w="6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7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117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auto"/>
                <w:kern w:val="2"/>
                <w:sz w:val="24"/>
                <w:szCs w:val="24"/>
                <w:lang w:val="en-US" w:eastAsia="zh-CN"/>
              </w:rPr>
              <w:t>自</w:t>
            </w:r>
            <w:r>
              <w:rPr>
                <w:rFonts w:hint="eastAsia" w:ascii="仿宋" w:hAnsi="仿宋" w:eastAsia="仿宋" w:cs="仿宋"/>
                <w:color w:val="auto"/>
                <w:sz w:val="24"/>
                <w:szCs w:val="24"/>
                <w:lang w:val="en-US" w:eastAsia="zh-CN"/>
              </w:rPr>
              <w:t>合同签订后180日历日</w:t>
            </w:r>
          </w:p>
        </w:tc>
        <w:tc>
          <w:tcPr>
            <w:tcW w:w="198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kern w:val="2"/>
                <w:sz w:val="24"/>
                <w:szCs w:val="24"/>
              </w:rPr>
              <w:t>大型仪器共享平台能力提升项目</w:t>
            </w:r>
          </w:p>
        </w:tc>
        <w:tc>
          <w:tcPr>
            <w:tcW w:w="16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45" w:type="dxa"/>
            <w:gridSpan w:val="7"/>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left"/>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总价中包括但不限于税费、运输费、保险费及所配套的土建、吊装就位，培训、安装、调试等所有相关费用。</w:t>
            </w:r>
          </w:p>
        </w:tc>
      </w:tr>
    </w:tbl>
    <w:p>
      <w:pPr>
        <w:pStyle w:val="20"/>
        <w:spacing w:line="276" w:lineRule="auto"/>
        <w:jc w:val="both"/>
        <w:rPr>
          <w:rFonts w:hint="default" w:ascii="仿宋" w:hAnsi="仿宋" w:eastAsia="仿宋" w:cs="仿宋"/>
          <w:b/>
          <w:bCs/>
          <w:sz w:val="24"/>
          <w:szCs w:val="24"/>
          <w:lang w:val="en-US" w:eastAsia="zh-CN"/>
        </w:rPr>
      </w:pPr>
    </w:p>
    <w:p>
      <w:pPr>
        <w:pStyle w:val="20"/>
        <w:spacing w:line="276" w:lineRule="auto"/>
        <w:jc w:val="both"/>
        <w:rPr>
          <w:rFonts w:ascii="仿宋" w:hAnsi="仿宋" w:eastAsia="仿宋" w:cs="仿宋"/>
          <w:b/>
          <w:bCs/>
          <w:sz w:val="24"/>
          <w:szCs w:val="24"/>
        </w:rPr>
      </w:pPr>
      <w:r>
        <w:rPr>
          <w:rFonts w:hint="eastAsia" w:ascii="仿宋" w:hAnsi="仿宋" w:eastAsia="仿宋" w:cs="仿宋"/>
          <w:b/>
          <w:bCs/>
          <w:sz w:val="24"/>
          <w:szCs w:val="24"/>
        </w:rPr>
        <w:t>3.2 采购项目交付或者实施的时间和地点</w:t>
      </w:r>
    </w:p>
    <w:p>
      <w:pPr>
        <w:pStyle w:val="20"/>
        <w:spacing w:line="276" w:lineRule="auto"/>
        <w:jc w:val="both"/>
        <w:rPr>
          <w:rFonts w:ascii="仿宋" w:hAnsi="仿宋" w:eastAsia="仿宋" w:cs="仿宋"/>
          <w:sz w:val="24"/>
          <w:szCs w:val="24"/>
        </w:rPr>
      </w:pPr>
      <w:r>
        <w:rPr>
          <w:rFonts w:hint="eastAsia" w:ascii="仿宋" w:hAnsi="仿宋" w:eastAsia="仿宋" w:cs="仿宋"/>
          <w:sz w:val="24"/>
          <w:szCs w:val="24"/>
        </w:rPr>
        <w:t>（1）采购项目（标的）交付的时间：详见“第五章采购需求3.1”</w:t>
      </w:r>
    </w:p>
    <w:p>
      <w:pPr>
        <w:pStyle w:val="20"/>
        <w:spacing w:line="276" w:lineRule="auto"/>
        <w:jc w:val="both"/>
        <w:rPr>
          <w:rFonts w:ascii="仿宋" w:hAnsi="仿宋" w:eastAsia="仿宋" w:cs="仿宋"/>
          <w:sz w:val="24"/>
          <w:szCs w:val="24"/>
        </w:rPr>
      </w:pPr>
      <w:r>
        <w:rPr>
          <w:rFonts w:hint="eastAsia" w:ascii="仿宋" w:hAnsi="仿宋" w:eastAsia="仿宋" w:cs="仿宋"/>
          <w:sz w:val="24"/>
          <w:szCs w:val="24"/>
        </w:rPr>
        <w:t>（2）采购项目（标的）交付的地点：采购人指定地点</w:t>
      </w:r>
    </w:p>
    <w:p>
      <w:pPr>
        <w:pStyle w:val="20"/>
        <w:spacing w:line="276" w:lineRule="auto"/>
        <w:jc w:val="both"/>
        <w:rPr>
          <w:rFonts w:ascii="仿宋" w:hAnsi="仿宋" w:eastAsia="仿宋" w:cs="仿宋"/>
          <w:b/>
          <w:bCs/>
          <w:sz w:val="24"/>
          <w:szCs w:val="24"/>
        </w:rPr>
      </w:pPr>
      <w:r>
        <w:rPr>
          <w:rFonts w:hint="eastAsia" w:ascii="仿宋" w:hAnsi="仿宋" w:eastAsia="仿宋" w:cs="仿宋"/>
          <w:b/>
          <w:bCs/>
          <w:sz w:val="24"/>
          <w:szCs w:val="24"/>
        </w:rPr>
        <w:t>3.3 付款方式</w:t>
      </w:r>
    </w:p>
    <w:p>
      <w:pPr>
        <w:pStyle w:val="61"/>
        <w:snapToGrid w:val="0"/>
        <w:spacing w:line="276" w:lineRule="auto"/>
        <w:rPr>
          <w:rFonts w:ascii="仿宋" w:hAnsi="仿宋" w:eastAsia="仿宋" w:cs="仿宋"/>
          <w:bCs/>
          <w:kern w:val="0"/>
          <w:sz w:val="24"/>
          <w:szCs w:val="24"/>
          <w:highlight w:val="yellow"/>
        </w:rPr>
      </w:pPr>
      <w:r>
        <w:rPr>
          <w:rFonts w:hint="eastAsia" w:ascii="仿宋" w:hAnsi="仿宋" w:eastAsia="仿宋" w:cs="仿宋"/>
          <w:sz w:val="24"/>
          <w:szCs w:val="24"/>
        </w:rPr>
        <w:t>*3.3.1 付款方式：详见第四章政府采购合同</w:t>
      </w:r>
    </w:p>
    <w:p>
      <w:pPr>
        <w:widowControl/>
        <w:snapToGrid w:val="0"/>
        <w:spacing w:line="276" w:lineRule="auto"/>
        <w:jc w:val="left"/>
        <w:rPr>
          <w:rFonts w:ascii="仿宋" w:hAnsi="仿宋" w:eastAsia="仿宋" w:cs="仿宋"/>
          <w:sz w:val="24"/>
        </w:rPr>
      </w:pPr>
      <w:r>
        <w:rPr>
          <w:rFonts w:hint="eastAsia" w:ascii="仿宋" w:hAnsi="仿宋" w:eastAsia="仿宋" w:cs="仿宋"/>
          <w:sz w:val="24"/>
        </w:rPr>
        <w:t>3.3.2 报价要求：本项目为交钥匙工程，项目所需合理的运输费、保险、税费、安装调试费、培训费等均包含在单台货物（设备）的报价中，不得单列。投标人在填报投标报价明细表（或分项报价表）时上述运输、保险、安装、税费、伴随服务等相关费用须包含在货物（或设备）单价中，不得将运输、保险、安装、税费、伴随服务等相关费用单独填报。</w:t>
      </w:r>
    </w:p>
    <w:p>
      <w:pPr>
        <w:pStyle w:val="20"/>
        <w:spacing w:line="276" w:lineRule="auto"/>
        <w:jc w:val="both"/>
        <w:rPr>
          <w:rFonts w:ascii="仿宋" w:hAnsi="仿宋" w:eastAsia="仿宋" w:cs="仿宋"/>
          <w:b/>
          <w:bCs/>
          <w:sz w:val="24"/>
          <w:szCs w:val="24"/>
        </w:rPr>
      </w:pPr>
      <w:r>
        <w:rPr>
          <w:rFonts w:ascii="仿宋" w:hAnsi="仿宋" w:eastAsia="仿宋" w:cs="仿宋"/>
          <w:b/>
          <w:bCs/>
          <w:sz w:val="24"/>
          <w:szCs w:val="24"/>
        </w:rPr>
        <w:t>四、采购标的需满足的质量、安全、技术规格、物理特性等要求</w:t>
      </w:r>
    </w:p>
    <w:p>
      <w:pPr>
        <w:spacing w:line="276" w:lineRule="auto"/>
        <w:rPr>
          <w:b/>
          <w:sz w:val="24"/>
        </w:rPr>
      </w:pPr>
      <w:r>
        <w:rPr>
          <w:rFonts w:hint="eastAsia"/>
          <w:b/>
          <w:sz w:val="24"/>
        </w:rPr>
        <w:t>标项1</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38"/>
        <w:gridCol w:w="654"/>
        <w:gridCol w:w="1070"/>
        <w:gridCol w:w="1234"/>
        <w:gridCol w:w="2159"/>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36"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038"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654"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1070"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质保期限</w:t>
            </w:r>
          </w:p>
        </w:tc>
        <w:tc>
          <w:tcPr>
            <w:tcW w:w="1234"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交货</w:t>
            </w:r>
          </w:p>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日期</w:t>
            </w:r>
          </w:p>
        </w:tc>
        <w:tc>
          <w:tcPr>
            <w:tcW w:w="215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子项目名称</w:t>
            </w:r>
          </w:p>
        </w:tc>
        <w:tc>
          <w:tcPr>
            <w:tcW w:w="13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bCs/>
                <w:color w:val="000000"/>
                <w:sz w:val="24"/>
                <w:szCs w:val="24"/>
              </w:rPr>
            </w:pPr>
            <w:r>
              <w:rPr>
                <w:rFonts w:hint="eastAsia" w:ascii="仿宋" w:hAnsi="仿宋" w:eastAsia="仿宋"/>
                <w:b/>
                <w:bCs/>
                <w:color w:val="000000"/>
                <w:sz w:val="24"/>
              </w:rPr>
              <w:t>项目库编号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rPr>
            </w:pPr>
            <w:r>
              <w:rPr>
                <w:rFonts w:hint="eastAsia" w:ascii="仿宋" w:hAnsi="仿宋" w:eastAsia="仿宋" w:cs="仿宋"/>
                <w:color w:val="000000"/>
                <w:sz w:val="24"/>
                <w:szCs w:val="24"/>
              </w:rPr>
              <w:t>气相色谱三重四级杆串联质谱仪</w:t>
            </w:r>
          </w:p>
        </w:tc>
        <w:tc>
          <w:tcPr>
            <w:tcW w:w="65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0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1234" w:type="dxa"/>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自</w:t>
            </w:r>
            <w:r>
              <w:rPr>
                <w:rFonts w:hint="eastAsia" w:ascii="仿宋" w:hAnsi="仿宋" w:eastAsia="仿宋" w:cs="仿宋"/>
                <w:color w:val="000000"/>
                <w:kern w:val="2"/>
                <w:sz w:val="24"/>
                <w:szCs w:val="24"/>
              </w:rPr>
              <w:t>合同签订后</w:t>
            </w:r>
            <w:r>
              <w:rPr>
                <w:rFonts w:hint="eastAsia" w:ascii="仿宋" w:hAnsi="仿宋" w:eastAsia="仿宋" w:cs="仿宋"/>
                <w:color w:val="000000"/>
                <w:kern w:val="2"/>
                <w:sz w:val="24"/>
                <w:szCs w:val="24"/>
                <w:lang w:val="en-US" w:eastAsia="zh-CN"/>
              </w:rPr>
              <w:t>130日历日</w:t>
            </w:r>
          </w:p>
        </w:tc>
        <w:tc>
          <w:tcPr>
            <w:tcW w:w="2159" w:type="dxa"/>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1346" w:type="dxa"/>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leftChars="0" w:right="0" w:rightChars="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bl>
    <w:p>
      <w:pPr>
        <w:rPr>
          <w:rFonts w:hint="eastAsia" w:ascii="Times New Roman" w:hAnsi="Times New Roman" w:eastAsia="宋体" w:cs="宋体"/>
          <w:b/>
          <w:bCs w:val="0"/>
          <w:color w:val="000000"/>
          <w:kern w:val="0"/>
          <w:sz w:val="24"/>
          <w:szCs w:val="24"/>
          <w:lang w:val="en-US" w:eastAsia="zh-CN" w:bidi="ar"/>
        </w:rPr>
      </w:pPr>
    </w:p>
    <w:p>
      <w:pPr>
        <w:pStyle w:val="24"/>
        <w:keepNext w:val="0"/>
        <w:keepLines w:val="0"/>
        <w:widowControl w:val="0"/>
        <w:suppressLineNumbers w:val="0"/>
        <w:autoSpaceDE w:val="0"/>
        <w:autoSpaceDN w:val="0"/>
        <w:adjustRightInd w:val="0"/>
        <w:spacing w:before="0" w:beforeAutospacing="0" w:after="0" w:afterAutospacing="0"/>
        <w:ind w:left="0" w:right="0"/>
        <w:jc w:val="both"/>
        <w:rPr>
          <w:b/>
          <w:color w:val="000000" w:themeColor="text1"/>
          <w14:textFill>
            <w14:solidFill>
              <w14:schemeClr w14:val="tx1"/>
            </w14:solidFill>
          </w14:textFill>
        </w:rPr>
      </w:pPr>
      <w:r>
        <w:rPr>
          <w:rFonts w:hint="eastAsia" w:cs="宋体"/>
          <w:b/>
          <w:bCs w:val="0"/>
          <w:color w:val="000000"/>
          <w:kern w:val="0"/>
          <w:sz w:val="24"/>
          <w:szCs w:val="24"/>
          <w:lang w:val="en-US" w:eastAsia="zh-CN" w:bidi="ar"/>
        </w:rPr>
        <w:t>标项一</w:t>
      </w:r>
      <w:r>
        <w:rPr>
          <w:rFonts w:hint="eastAsia" w:ascii="Times New Roman" w:hAnsi="Times New Roman" w:eastAsia="宋体" w:cs="宋体"/>
          <w:b/>
          <w:bCs w:val="0"/>
          <w:color w:val="000000"/>
          <w:kern w:val="0"/>
          <w:sz w:val="24"/>
          <w:szCs w:val="24"/>
          <w:lang w:val="en-US" w:eastAsia="zh-CN" w:bidi="ar"/>
        </w:rPr>
        <w:t>：</w:t>
      </w:r>
    </w:p>
    <w:p>
      <w:pPr>
        <w:numPr>
          <w:ilvl w:val="0"/>
          <w:numId w:val="0"/>
        </w:numPr>
        <w:spacing w:line="360" w:lineRule="auto"/>
        <w:rPr>
          <w:rFonts w:hint="eastAsia" w:ascii="仿宋" w:hAnsi="仿宋" w:eastAsia="仿宋" w:cs="仿宋"/>
          <w:color w:val="000000"/>
          <w:sz w:val="24"/>
          <w:szCs w:val="24"/>
        </w:rPr>
      </w:pPr>
      <w:r>
        <w:rPr>
          <w:rFonts w:hint="eastAsia" w:ascii="仿宋" w:hAnsi="仿宋" w:eastAsia="仿宋" w:cs="仿宋"/>
          <w:b/>
          <w:color w:val="000000"/>
          <w:sz w:val="24"/>
          <w:szCs w:val="24"/>
          <w:lang w:val="en-US" w:eastAsia="zh-CN"/>
        </w:rPr>
        <w:t>1</w:t>
      </w:r>
      <w:r>
        <w:rPr>
          <w:rFonts w:hint="eastAsia" w:ascii="仿宋" w:hAnsi="仿宋" w:eastAsia="仿宋" w:cs="仿宋"/>
          <w:b/>
          <w:color w:val="000000"/>
          <w:sz w:val="24"/>
          <w:szCs w:val="24"/>
        </w:rPr>
        <w:t>、品目名称：气相色谱三重四级杆串联质谱仪（进口）</w:t>
      </w:r>
    </w:p>
    <w:p>
      <w:pPr>
        <w:numPr>
          <w:ilvl w:val="0"/>
          <w:numId w:val="2"/>
        </w:numPr>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规格</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1．电源：220V，50Hz</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2．温度：操作环境15˚C-35˚C</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3．湿度：操作状态25-50%，非操作状态10-90%</w:t>
      </w:r>
    </w:p>
    <w:p>
      <w:pPr>
        <w:numPr>
          <w:ilvl w:val="0"/>
          <w:numId w:val="2"/>
        </w:numPr>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详细参数</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（一）气相色谱</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 主机性能</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1.1 电子流量控制（EPC）：所有流量、压力均可以电子控制，以提高重现性，18路电子流量控制。</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1.2 压力调节：0.001psi</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1.3 保留时间重现性：&lt;0.0008min，峰面积的重现性：&lt;0.5%RSD</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 可同时固定安装四个检测器，可随应用选择不同检测器使用，无需用户更改硬件配置和调试，保证数据的可靠性和稳定性。</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1.5 主机带7英寸电容式触摸屏，可实时控制仪器，进行方法设置，同时显示色谱系统和质谱系统的数据信息</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1.5.1触摸屏可实现：系统配置及流路连接状态、仪器实时状态界面、实时查看色谱图采集状态，保存仪器方法等</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1.5.2触摸屏具有引导式界面，帮助使用人员排除故障，更换部件，方便使用。</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1.6 具备局域网控制功能，实现移动智能化（例如手机，平板电脑，笔记本电脑等）对设备进行远程控制、操作、及数据处理，真正实现远程监控。</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1.7 仪器可利用电子流量控制实现自动检漏，无需人工，具有早期预防性维护提示功能。</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1.8 具有不低于3个色谱柱智能钥匙接口，可记录色谱柱使用情况，反馈色谱柱使用信息，满足数据完整性需求，需提供主机实物截图</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1.9 具有保留时间锁定功能，该功能需具有使待测物保留时间完全一致的保留时间锁定效果，如只能提供使用正构烷烃等混标进行保留时间自动调整功能等类似功能，厂家应免费派遣全职驻场应用工程师1年以上配合仪器方法调整工作（应用工程师需在仪器生产厂家入职一年以上，由人事部门提供正式文件证明身份）。</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w:t>
      </w:r>
      <w:r>
        <w:rPr>
          <w:rFonts w:hint="eastAsia" w:ascii="仿宋" w:hAnsi="仿宋" w:eastAsia="仿宋" w:cs="仿宋"/>
          <w:sz w:val="24"/>
          <w:szCs w:val="24"/>
        </w:rPr>
        <w:t>1.10 具有柱中和柱后反吹功能，增加色谱柱寿命，降低仪器维护频率，且反吹条件的优化和自由设定都由内嵌工作站的窗口直接完成，无需独立的软件进行，反吹功能需按应用方法现场验收。（需提供软件中反吹条件优化和设定窗口的截屏证明文件以及反吹功能在农残分析项目中的应用文章）</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2.柱温箱</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2.1操作温度：室温以上4˚C至430˚C</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2.2温度设定：1˚C，程序升温间隔0.1˚C</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2.3升温速度：不小于100˚C/min</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2.4程序升温：不小于20阶,21个温度平台</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2.5稳定性：&lt;0.01˚C</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2.6温度准确度：±1%</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2.7炉箱冷却速度：450˚C到50˚C，3.5min</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2.8最大运行时间：999.99分钟</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3.惰性毛细柱分流/不分流进样口（具有电子压力控制功能）</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3.1最高使用温度：400˚C</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3.2电子参数设定压力，流速和分流比,分流比可达12000：1</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3.3最大载气流量：1000ml/min</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3.4流量范围：0-200mL/分钟N2,0-1250mL/minH2orHe</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w:t>
      </w:r>
      <w:r>
        <w:rPr>
          <w:rFonts w:hint="eastAsia" w:ascii="仿宋" w:hAnsi="仿宋" w:eastAsia="仿宋" w:cs="仿宋"/>
          <w:sz w:val="24"/>
          <w:szCs w:val="24"/>
        </w:rPr>
        <w:t>3.5快速维护进样口设计，无需拆卸进样口，无需工具，即可更换进样口衬管及色谱柱。（请提供设计证明以及相应的样机更换流程照片予以证明）</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4.三合一进样器1</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4.1 多功能在线进样系统:120cm导轨，自动换针，具备自动液体进样、自动顶空进样和SPME固相微萃取3种功能。</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4.2 控制软件必需内嵌到质谱工作站，无需单独软件控制。产品由质谱厂家提供，以保障售后维修的一致性。</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4.3 液体进样功能</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4.3.1液体进样位≥160位，2ml样品瓶 (可升级到 648位)</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4.3.2 进样体积：1.2 μL 到 to 10,000 μL。</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4.4 顶空进样</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4.4.1 顶空样品处理量：45位10/20ml样品容量。</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4.4.2 配2.5ml注射器，注射体积 250－2500µl。</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4.4.3 顶空注射器加热温度：40-150℃。</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4.4.4 6位加热搅拌器：35-200℃，1℃温度增量。</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4.4.5 可以采用2mL,10mL and 20mL 顶空瓶。</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 SPME固相微萃取模块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4.5.1 具备最大 15.3 µL 吸附相。</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4.5.2纤维萃取头的老化：配备专用萃取头老化装置。</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4.5.3样品瓶容量：10ml/20ml样品瓶45个。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4.5.4萃取时间范围：0~999min，1s增量可调。</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4.5.5萃取头穿刺深度可调，可根据需要采用顶空萃取或液体萃取模式，在萃取进行时可以给样品加热和振荡。</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4.5.6同一个序列表可以调用不同的SPME方法，方便SPME方法开发和技术参数优化，可重叠进样功能。</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4.5.7可智能识别和追溯记录萃取头使用时间和次数等历史信息，确保准确记录每支进样针的使用信息以便进行耗材的更换和维护安排。</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4.6配置要求：</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① 120cm主机 1套；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② 10μL液体进样针座1个；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③ 10μL液体进样针 5支；</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④ 样品托盘支架 2个；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⑤ 54位2mL样品瓶托盘5个；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⑥ 30位2mL、4mL和10mL多规格混合样品盘1套；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⑦ 15位10/20mL样品瓶托盘6个；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⑧ 固相微萃取模块1套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⑨ 顶空进样针 5支</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⑩ 三相萃取头5支</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⑪ 6位振荡加热孵化器1个；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⑫ 2mL样品瓶套装（含盖垫100个/盒）5盒；</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⑬ 20mL样品瓶套装（含盖垫100个/盒）5盒；</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5.三合一进样器2</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5.1 总体指标</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5.1.1  采用伺服马达控制运动单元的运动，主轴长度85cm，精度0.1mm；</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5.1.2  在同一个平台上可同时实现液体进样、固相微萃取进样等功能；配置三位进样工具切换支架。上述模块之间可实现完全自动切换。</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5.1.3  可升级箭形固相微萃取、配标、涡旋混合、分层液面自动识别、动态顶空、热脱附等功能。</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5.1.4  最新版的IL SII智能主机系统，运行更稳定快捷，可智能识别和追溯进样针、萃取头等消耗品的使用信息。</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 液体进样模块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5.2.1  软件上可实现进样量、取样速度、进样速度、进样前/后的停滞时间、进样针进样前/后洗针次数、样品润针次数等值的设定；</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5.2.2  样品瓶瓶底探测功能，样品极微量也能进行取样分析，配合尖底的2ml样品瓶，5ul液体样品可以实现3次1ul的进样；</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5.2.3  2mL样品瓶容量：288位，可扩充；</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5.2.4  液体进样针类型：标配10μL进样针。0.5μL、1.2μL、5μL、10μL、100μL、250μL、500μL、1000μL、5000μL、10000μL等进样针类型可选。</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5.2.5  配合大体积进样口可进行大体积进样，无需通过溶剂蒸发浓缩样品，可显著节省分析时间。</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5.2.6  进样针清洗： 同时兼容2ml标准瓶存放18位，4ml洗针7位，10mL/20mL洗针5位，适用于液体进样和配置标准曲线方法。（需提供技术白皮书和图片）</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5.2.7  可智能识别和追溯记录进样针使用时间和次数等历史信息，确保准确记录每支进样针的使用信息以便进行耗材的更换和维护安排。</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5.3、固相微萃取模块：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5.3.1  样品瓶容量： 10ml/20ml样品瓶90位，可扩充；</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5.3.2  萃取时间范围：0~999min，1s增量可调；</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5.3.3  萃取头穿刺深度可调，可根据需要采用顶空萃取或液体萃取模式；</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5.3.4  在萃取进行时可以给样品加热和振荡。</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5.3.5  可选配固相微萃取头自动更换模块，可以完全在线完成10支以上萃取头的自动更换。</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5.3.6  同一个序列表可以调用不同的SPME方法，方便SPME方法开发和技术参数优化。</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5.3.7  可选配控温样品槽模块，可实现-4~90℃的样品低温萃取，适用于2mL、10mL和20mL三种样品瓶。</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5.3.8  可智能识别和追溯记录萃取头使用时间和次数等历史信息，确保准确记录每支进样针的使用信息以便进行耗材的更换和维护安排。</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5.4．软件控制</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5.4.1  系统所配置的所有功能只需一套控制软件，并且可以与色谱仪或色谱质谱仪软件实现同步通讯，实现液体进样批处理和定位步骤的全面控制；</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5.4.2  可同时兼容不同品牌色谱质谱仪器的工作站，可实现不同品牌的色谱仪器工作站的同步通信。</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5.4.3  支持宏命令，具有可扩展的功能模块开发空间，可对控制过程进行自定义，可根据用户要求进行二次开发，为以后添加新的模块提供足可能性。</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5.4.4  控制软件具备操作员、主管、管理员三级权限管理功能；</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5.4.5  仪器运行日志文件可自动存档，存档日期1天~1年可设置，并且日志可被其它系统抓取，便于审计追踪。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5.4.6可升级或可选配模块，验收时根据用户需求提供模块进行现场验证，以保证后期升级的真实性。</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5.5配置要求：</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① 85cm主机一套；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② 10μL液体进样针座1个；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③ 10μL液体进样针5支；</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④ 样品托盘支架2个；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⑤ 54位2mL样品瓶托盘5个；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⑥ 30位2mL、4mL和10mL多规格混合样品盘1套；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⑦ 15位10/20mL样品瓶托盘6个；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⑧ 固相微萃取模块1套</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⑨ 顶空进样针 5支</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⑩ 三相萃取头5支</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⑪ 6位振荡加热孵化器1个；</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⑫ 2mL样品瓶套装（含盖垫100个/盒）5盒；</w:t>
      </w:r>
    </w:p>
    <w:p>
      <w:pPr>
        <w:snapToGrid w:val="0"/>
        <w:spacing w:line="460" w:lineRule="exact"/>
        <w:jc w:val="left"/>
        <w:rPr>
          <w:rFonts w:hint="eastAsia" w:ascii="仿宋" w:hAnsi="仿宋" w:eastAsia="仿宋" w:cs="仿宋"/>
          <w:sz w:val="24"/>
        </w:rPr>
      </w:pPr>
      <w:r>
        <w:rPr>
          <w:rFonts w:hint="eastAsia" w:ascii="仿宋" w:hAnsi="仿宋" w:eastAsia="仿宋" w:cs="仿宋"/>
          <w:sz w:val="24"/>
        </w:rPr>
        <w:t>⑬ 20mL样品瓶套装（含盖垫100个/盒）5盒；</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（二）质谱基本性能</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 质量数范围: 10-1000m/z</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 灵敏度：</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2.1 EI MRM模式：100fg 八氟奈,信/噪比≥15000:1(272—222 )(测试的柱子规格为30mx0.25mmx0.25um）</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2.2 EI MRM模式：10fg 八氟奈, 信/噪比≥1450:1(272—222 )(测试的柱子规格为30mx0.25mmx0.25um，)</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3仪器检测限指标 (为仪器安装指标)：</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3.1 EI源测试和验收指标：(测试的柱子规格为30mx0.25mmx0.25um)仪器检测限指标(EI MRM IDL)：小于4.0fg  八氟奈 (OFN),10fg OFN进样8次 （需要提供安装验收报告作为证明文件）</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 xml:space="preserve">3.2 PCI MRM信噪比：1μL 100 fg/μL 苯甲酮对 m/z 183→105(CH4) 离子对的信噪比大于 50:1 (RMS)；NCI SIM信噪比：1μL 100 fg/μL 八氟萘对 m/z 272 (CH4)的信噪比大于 2000:1 (RMS) </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4 分辨率： 0.4-4amu 可调</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5 扫描速度：≥19000 Da/秒</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6 MRM扫描速率：780个MRM/秒</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7 最小SRM扫描时间：0.5ms</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8 质量轴稳定性：+/- 0.1amu 48 hours.</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9 离子源</w:t>
      </w:r>
    </w:p>
    <w:p>
      <w:pPr>
        <w:snapToGrid w:val="0"/>
        <w:spacing w:line="460" w:lineRule="exact"/>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rPr>
        <w:t>9.1 EI源和CI</w:t>
      </w:r>
      <w:r>
        <w:rPr>
          <w:rFonts w:hint="eastAsia" w:ascii="仿宋" w:hAnsi="仿宋" w:eastAsia="仿宋" w:cs="仿宋"/>
          <w:sz w:val="24"/>
          <w:szCs w:val="24"/>
          <w:highlight w:val="none"/>
        </w:rPr>
        <w:t>源</w:t>
      </w:r>
      <w:r>
        <w:rPr>
          <w:rFonts w:hint="eastAsia" w:ascii="仿宋" w:hAnsi="仿宋" w:eastAsia="仿宋" w:cs="仿宋"/>
          <w:sz w:val="24"/>
          <w:szCs w:val="24"/>
          <w:highlight w:val="none"/>
          <w:lang w:eastAsia="zh-CN"/>
        </w:rPr>
        <w:t>，</w:t>
      </w:r>
      <w:r>
        <w:rPr>
          <w:rFonts w:hint="eastAsia" w:ascii="仿宋" w:hAnsi="仿宋" w:eastAsia="仿宋" w:cs="仿宋"/>
          <w:sz w:val="24"/>
          <w:highlight w:val="none"/>
        </w:rPr>
        <w:t>惰性化离子源</w:t>
      </w:r>
    </w:p>
    <w:p>
      <w:pPr>
        <w:snapToGrid w:val="0"/>
        <w:spacing w:line="46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9.2 离子源电子能量：最大能量≥260eV</w:t>
      </w:r>
    </w:p>
    <w:p>
      <w:pPr>
        <w:snapToGrid w:val="0"/>
        <w:spacing w:line="46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9.3 离子源温度：独立加热，最大温度可达340℃</w:t>
      </w:r>
    </w:p>
    <w:p>
      <w:pPr>
        <w:snapToGrid w:val="0"/>
        <w:spacing w:line="46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9.4  接口传输线温度：可控温，最高达350℃</w:t>
      </w:r>
    </w:p>
    <w:p>
      <w:pPr>
        <w:snapToGrid w:val="0"/>
        <w:spacing w:line="46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9.5 无损双灯丝设计，且具有灯丝透镜，保护灯丝，提高灯丝寿命，灯丝电流：0-260uA</w:t>
      </w:r>
    </w:p>
    <w:p>
      <w:pPr>
        <w:snapToGrid w:val="0"/>
        <w:spacing w:line="46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9.6  一体化的带拉伸极的离子源设计,惰性化材质，保证质谱的灵敏度。</w:t>
      </w:r>
    </w:p>
    <w:p>
      <w:pPr>
        <w:snapToGrid w:val="0"/>
        <w:spacing w:line="460" w:lineRule="exact"/>
        <w:jc w:val="left"/>
        <w:rPr>
          <w:rFonts w:hint="eastAsia" w:ascii="仿宋" w:hAnsi="仿宋" w:eastAsia="仿宋" w:cs="仿宋"/>
          <w:sz w:val="24"/>
          <w:szCs w:val="24"/>
          <w:highlight w:val="none"/>
          <w:lang w:val="en-US" w:eastAsia="zh-CN"/>
        </w:rPr>
      </w:pPr>
      <w:r>
        <w:rPr>
          <w:rFonts w:hint="eastAsia" w:ascii="仿宋" w:hAnsi="仿宋" w:eastAsia="仿宋" w:cs="仿宋"/>
          <w:sz w:val="24"/>
          <w:highlight w:val="none"/>
        </w:rPr>
        <w:t>★</w:t>
      </w:r>
      <w:r>
        <w:rPr>
          <w:rFonts w:hint="eastAsia" w:ascii="仿宋" w:hAnsi="仿宋" w:eastAsia="仿宋" w:cs="仿宋"/>
          <w:sz w:val="24"/>
          <w:szCs w:val="24"/>
          <w:highlight w:val="none"/>
        </w:rPr>
        <w:t>9.7</w:t>
      </w:r>
      <w:r>
        <w:rPr>
          <w:rFonts w:hint="eastAsia" w:ascii="仿宋" w:hAnsi="仿宋" w:eastAsia="仿宋" w:cs="仿宋"/>
          <w:sz w:val="24"/>
          <w:highlight w:val="none"/>
        </w:rPr>
        <w:t>离子源智清洁功能：利用软件控制的氢气流来减少或防止污染物积聚并消除离子源中的基质沉积物。如不能满足则需提供备用EI源和CI源各一套。</w:t>
      </w:r>
    </w:p>
    <w:p>
      <w:pPr>
        <w:snapToGrid w:val="0"/>
        <w:spacing w:line="46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10质量分析器</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highlight w:val="none"/>
        </w:rPr>
        <w:t>★</w:t>
      </w:r>
      <w:r>
        <w:rPr>
          <w:rFonts w:hint="eastAsia" w:ascii="仿宋" w:hAnsi="仿宋" w:eastAsia="仿宋" w:cs="仿宋"/>
          <w:sz w:val="24"/>
          <w:szCs w:val="24"/>
          <w:highlight w:val="none"/>
        </w:rPr>
        <w:t>10.1质量分析器：石英镀金共轭双曲面四极杆，能独立温控为优， 温度可达 190℃以上，消除中性干扰，保证稳定性和重现性</w:t>
      </w:r>
      <w:r>
        <w:rPr>
          <w:rFonts w:hint="eastAsia" w:ascii="仿宋" w:hAnsi="仿宋" w:eastAsia="仿宋" w:cs="仿宋"/>
          <w:sz w:val="24"/>
          <w:szCs w:val="24"/>
        </w:rPr>
        <w:t>，终身免维护。如不能满足则需提供备用四极杆一套或GPC净化系统一套（提供官网可查证明材料）</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10.2 采用线性加速高压碰撞，氦气淬灭消除中性噪音的碰撞池装置设计，消除“记忆效应”和“交叉污染”</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10.3 碰撞能量：0-60eV</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10.4 CI气和CID碰撞气流量均为电子流量控制器控制</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11扫描功能</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提供全扫描(Full Scan)、子离子扫描( Product Ion Scan)、母离子扫描(Precursor Ion Scan)、中性丢失扫描(Neutral Loss Scan)、选择离子扫描模式(SIM)、选择反应扫描模式(SRM)、多反应扫描模式（MRM）等多种模式。质谱工作站同时具有分段扫描功能和dMRM功能，可实现dMRM、SCAN及tMRM、SCAN同时扫描，提供官方资料证明。</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12 检测系统</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12.1检测器：三重离轴电子倍增器检测器,长寿命检测器，最大限度地降低中性粒子的干扰。</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13 真空系统</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13.1 真空系统：两级分子涡轮泵高真空系统, 空气冷却，无需水冷，源区和分析区形成差分抽气系统,分子涡轮泵和质谱为同一厂家生产,确保维护方便.</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13.2 具有自动检漏功能,如果出现泄漏会自动报警和预处理。</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14工作站系统</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14.1 气相色谱, 质谱, 质谱工作站之间的数据传输全部由内置的网卡实现</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14.2 软件 气质串接软件应该同时包含中文和英文两种软件，用户可根据自己需要安装不同语言版本的软件</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14.3 可手动/自动调谐, 批量化数据采集, 数据检索, 分析结果报告,具备批处理解卷积和谱库检索的定性功能。</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14.4 数据分析软件应包括常规数据和符合EPA要求的专用环境数据处理等多种分析模式。两种模式通过软件配置互相转换,均能独立工作</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14.5扫描模式：全扫描（SCAN）、选择离子扫描（SIM）、多反应监测（MRM）、动态多反应监测（dMRM）、母离子扫描、子离子扫描、中性丢失扫描。</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14.6串联质谱可直接导入并执行相同品牌单杆气质方法，无需转换</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14.7 操作环境：Windows 10或更高</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14.8 谱库 NIST23谱库和化学结构式库</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rPr>
        <w:t>★</w:t>
      </w:r>
      <w:r>
        <w:rPr>
          <w:rFonts w:hint="eastAsia" w:ascii="仿宋" w:hAnsi="仿宋" w:eastAsia="仿宋" w:cs="仿宋"/>
          <w:sz w:val="24"/>
          <w:szCs w:val="24"/>
        </w:rPr>
        <w:t>14.9 MRM数据库：超过1100种农药和环境污染物的MRM数据库(具有保留时间锁定功能),每个化合物包含不少7个MRM离子对数据，并提供数据库化合物列表和离子对证明文件，同时需要提供该MRM数据库的中文和英文应用文章作为证明文件。</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14.10 一针进样可以用二级扫描同时检测1000种以上化合物，投标时提供一针二级扫描进样同时检测1000种以上化合物的应用文献。</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14.11质谱数据处理软件可依据保留时间锁定谱库当中标准保留时间和质谱信息对样品当中可能存在的目标化合物进行自动搜寻, 并显示搜寻结果.搜寻结果应显示每个化合物的实测保留时间与谱库当中其标准保留时间的偏差, 定量及确认离子之间的标准丰度比与实测丰度比等以供使用者准确定性。定性软件可自动计算保留指数。</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14.12 i5/8G内存或以上/500G硬盘或以上/19”LCD /激光打印机</w:t>
      </w:r>
    </w:p>
    <w:p>
      <w:pPr>
        <w:snapToGrid w:val="0"/>
        <w:spacing w:line="460" w:lineRule="exact"/>
        <w:jc w:val="left"/>
        <w:rPr>
          <w:rFonts w:hint="eastAsia" w:ascii="仿宋" w:hAnsi="仿宋" w:eastAsia="仿宋" w:cs="仿宋"/>
          <w:b/>
          <w:bCs/>
          <w:sz w:val="24"/>
          <w:szCs w:val="24"/>
        </w:rPr>
      </w:pPr>
      <w:r>
        <w:rPr>
          <w:rFonts w:hint="eastAsia" w:ascii="仿宋" w:hAnsi="仿宋" w:eastAsia="仿宋" w:cs="仿宋"/>
          <w:b/>
          <w:bCs/>
          <w:sz w:val="24"/>
          <w:szCs w:val="24"/>
        </w:rPr>
        <w:t>（三）仪器配置</w:t>
      </w:r>
    </w:p>
    <w:tbl>
      <w:tblPr>
        <w:tblStyle w:val="28"/>
        <w:tblW w:w="4998" w:type="pct"/>
        <w:tblInd w:w="0" w:type="dxa"/>
        <w:tblLayout w:type="autofit"/>
        <w:tblCellMar>
          <w:top w:w="0" w:type="dxa"/>
          <w:left w:w="108" w:type="dxa"/>
          <w:bottom w:w="0" w:type="dxa"/>
          <w:right w:w="108" w:type="dxa"/>
        </w:tblCellMar>
      </w:tblPr>
      <w:tblGrid>
        <w:gridCol w:w="7682"/>
        <w:gridCol w:w="837"/>
      </w:tblGrid>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1.气相色谱系统（包含全电子气路控制的惰性分流/无分流毛细柱进样口）</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2.多功能进样器系统（具备液体进样、顶空进样、固相微萃取功能）</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2套</w:t>
            </w:r>
          </w:p>
        </w:tc>
      </w:tr>
      <w:tr>
        <w:tblPrEx>
          <w:tblCellMar>
            <w:top w:w="0" w:type="dxa"/>
            <w:left w:w="108" w:type="dxa"/>
            <w:bottom w:w="0" w:type="dxa"/>
            <w:right w:w="108" w:type="dxa"/>
          </w:tblCellMar>
        </w:tblPrEx>
        <w:trPr>
          <w:trHeight w:val="81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highlight w:val="none"/>
                <w:lang w:bidi="ar"/>
              </w:rPr>
              <w:t>三重四级杆质谱仪系统(包括 MS/MS 主机， EI、CI离子源、离子源带</w:t>
            </w:r>
            <w:r>
              <w:rPr>
                <w:rFonts w:hint="eastAsia" w:ascii="仿宋" w:hAnsi="仿宋" w:eastAsia="仿宋" w:cs="仿宋"/>
                <w:color w:val="000000"/>
                <w:kern w:val="0"/>
                <w:sz w:val="24"/>
                <w:szCs w:val="24"/>
                <w:highlight w:val="none"/>
                <w:lang w:val="en-US" w:eastAsia="zh-CN" w:bidi="ar"/>
              </w:rPr>
              <w:t>智</w:t>
            </w:r>
            <w:r>
              <w:rPr>
                <w:rFonts w:hint="eastAsia" w:ascii="仿宋" w:hAnsi="仿宋" w:eastAsia="仿宋" w:cs="仿宋"/>
                <w:color w:val="000000"/>
                <w:kern w:val="0"/>
                <w:sz w:val="24"/>
                <w:szCs w:val="24"/>
                <w:highlight w:val="none"/>
                <w:lang w:bidi="ar"/>
              </w:rPr>
              <w:t>清洁功能、机械泵、</w:t>
            </w:r>
            <w:r>
              <w:rPr>
                <w:rFonts w:hint="eastAsia" w:ascii="仿宋" w:hAnsi="仿宋" w:eastAsia="仿宋" w:cs="仿宋"/>
                <w:color w:val="000000"/>
                <w:kern w:val="0"/>
                <w:sz w:val="24"/>
                <w:szCs w:val="24"/>
                <w:highlight w:val="none"/>
                <w:lang w:val="en-US" w:eastAsia="zh-CN" w:bidi="ar"/>
              </w:rPr>
              <w:t>操作及数据处理</w:t>
            </w:r>
            <w:r>
              <w:rPr>
                <w:rFonts w:hint="eastAsia" w:ascii="仿宋" w:hAnsi="仿宋" w:eastAsia="仿宋" w:cs="仿宋"/>
                <w:color w:val="000000"/>
                <w:kern w:val="0"/>
                <w:sz w:val="24"/>
                <w:szCs w:val="24"/>
                <w:highlight w:val="none"/>
                <w:lang w:bidi="ar"/>
              </w:rPr>
              <w:t>软件、CPU、显示器、安装与现场培训、1 年的软件支持和用户培训课程。）</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4.原装质谱工作站</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5.NIST 23标准谱库</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6.进样口隔垫，50个/包</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1包</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7.离子源灯丝</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2盒</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8.样品瓶（带盖、垫，透明和棕色瓶各200个）</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2包</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lang w:val="en-US" w:eastAsia="zh-CN" w:bidi="ar"/>
              </w:rPr>
              <w:t>9</w:t>
            </w:r>
            <w:r>
              <w:rPr>
                <w:rFonts w:hint="default" w:ascii="仿宋" w:hAnsi="仿宋" w:eastAsia="仿宋" w:cs="仿宋"/>
                <w:color w:val="000000"/>
                <w:kern w:val="0"/>
                <w:sz w:val="24"/>
                <w:lang w:val="en-US" w:eastAsia="zh-CN" w:bidi="ar"/>
              </w:rPr>
              <w:t>.</w:t>
            </w:r>
            <w:r>
              <w:rPr>
                <w:rFonts w:hint="eastAsia" w:ascii="仿宋" w:hAnsi="仿宋" w:eastAsia="仿宋" w:cs="仿宋"/>
                <w:color w:val="000000"/>
                <w:kern w:val="0"/>
                <w:sz w:val="24"/>
                <w:lang w:val="en-US" w:eastAsia="zh-CN" w:bidi="ar"/>
              </w:rPr>
              <w:t>螺纹口顶空</w:t>
            </w:r>
            <w:r>
              <w:rPr>
                <w:rFonts w:hint="default" w:ascii="仿宋" w:hAnsi="仿宋" w:eastAsia="仿宋" w:cs="仿宋"/>
                <w:color w:val="000000"/>
                <w:kern w:val="0"/>
                <w:sz w:val="24"/>
                <w:lang w:val="en-US" w:eastAsia="zh-CN" w:bidi="ar"/>
              </w:rPr>
              <w:t>样品瓶</w:t>
            </w:r>
            <w:r>
              <w:rPr>
                <w:rFonts w:hint="eastAsia" w:ascii="仿宋" w:hAnsi="仿宋" w:eastAsia="仿宋" w:cs="仿宋"/>
                <w:color w:val="000000"/>
                <w:kern w:val="0"/>
                <w:sz w:val="24"/>
                <w:lang w:val="en-US" w:eastAsia="zh-CN" w:bidi="ar"/>
              </w:rPr>
              <w:t>20ml</w:t>
            </w:r>
            <w:r>
              <w:rPr>
                <w:rFonts w:hint="default" w:ascii="仿宋" w:hAnsi="仿宋" w:eastAsia="仿宋" w:cs="仿宋"/>
                <w:color w:val="000000"/>
                <w:kern w:val="0"/>
                <w:sz w:val="24"/>
                <w:lang w:val="en-US" w:eastAsia="zh-CN" w:bidi="ar"/>
              </w:rPr>
              <w:t>（带盖、垫</w:t>
            </w:r>
            <w:r>
              <w:rPr>
                <w:rFonts w:hint="eastAsia" w:ascii="仿宋" w:hAnsi="仿宋" w:eastAsia="仿宋" w:cs="仿宋"/>
                <w:color w:val="000000"/>
                <w:kern w:val="0"/>
                <w:sz w:val="24"/>
                <w:lang w:val="en-US" w:eastAsia="zh-CN" w:bidi="ar"/>
              </w:rPr>
              <w:t>1</w:t>
            </w:r>
            <w:r>
              <w:rPr>
                <w:rFonts w:hint="default" w:ascii="仿宋" w:hAnsi="仿宋" w:eastAsia="仿宋" w:cs="仿宋"/>
                <w:color w:val="000000"/>
                <w:kern w:val="0"/>
                <w:sz w:val="24"/>
                <w:lang w:val="en-US" w:eastAsia="zh-CN" w:bidi="ar"/>
              </w:rPr>
              <w:t>00个）</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lang w:val="en-US" w:eastAsia="zh-CN" w:bidi="ar"/>
              </w:rPr>
              <w:t>10</w:t>
            </w:r>
            <w:r>
              <w:rPr>
                <w:rFonts w:hint="default" w:ascii="仿宋" w:hAnsi="仿宋" w:eastAsia="仿宋" w:cs="仿宋"/>
                <w:color w:val="000000"/>
                <w:kern w:val="0"/>
                <w:sz w:val="24"/>
                <w:lang w:val="en-US" w:eastAsia="zh-CN" w:bidi="ar"/>
              </w:rPr>
              <w:t>包</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bidi="ar"/>
              </w:rPr>
              <w:t>10</w:t>
            </w:r>
            <w:r>
              <w:rPr>
                <w:rFonts w:hint="eastAsia" w:ascii="仿宋" w:hAnsi="仿宋" w:eastAsia="仿宋" w:cs="仿宋"/>
                <w:color w:val="000000"/>
                <w:kern w:val="0"/>
                <w:sz w:val="24"/>
                <w:szCs w:val="24"/>
                <w:lang w:bidi="ar"/>
              </w:rPr>
              <w:t>.HP-5ms 15m，0.25 mm,0.25μm</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2根</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.VF-1701ms  15m，0.25 mm,0.25μm</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2根</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.DB-WAX 柱，30 m，0.25 mm，0.25 um</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2根</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.HP-PONA 柱，50 m，0.20 mm，0.50 um柱，</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1根</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.0.25mm色谱柱石墨密封垫圈，10个/包</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2包</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bidi="ar"/>
              </w:rPr>
              <w:t>.超高惰性不分流衬管，5个/包</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1包</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bidi="ar"/>
              </w:rPr>
              <w:t>.进样口衬管O形圈，10个/包</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1包</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7</w:t>
            </w:r>
            <w:r>
              <w:rPr>
                <w:rFonts w:hint="eastAsia" w:ascii="仿宋" w:hAnsi="仿宋" w:eastAsia="仿宋" w:cs="仿宋"/>
                <w:color w:val="000000"/>
                <w:kern w:val="0"/>
                <w:sz w:val="24"/>
                <w:szCs w:val="24"/>
                <w:lang w:bidi="ar"/>
              </w:rPr>
              <w:t>.钳口透明顶空瓶，100个/包</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1包</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8</w:t>
            </w:r>
            <w:r>
              <w:rPr>
                <w:rFonts w:hint="eastAsia" w:ascii="仿宋" w:hAnsi="仿宋" w:eastAsia="仿宋" w:cs="仿宋"/>
                <w:color w:val="000000"/>
                <w:kern w:val="0"/>
                <w:sz w:val="24"/>
                <w:szCs w:val="24"/>
                <w:lang w:bidi="ar"/>
              </w:rPr>
              <w:t>.液体进样针</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lang w:val="en-US" w:eastAsia="zh-CN" w:bidi="ar"/>
              </w:rPr>
              <w:t>10</w:t>
            </w:r>
            <w:r>
              <w:rPr>
                <w:rFonts w:hint="eastAsia" w:ascii="仿宋" w:hAnsi="仿宋" w:eastAsia="仿宋" w:cs="仿宋"/>
                <w:color w:val="000000"/>
                <w:kern w:val="0"/>
                <w:sz w:val="24"/>
                <w:lang w:bidi="ar"/>
              </w:rPr>
              <w:t>支</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r>
              <w:rPr>
                <w:rFonts w:hint="eastAsia" w:ascii="仿宋" w:hAnsi="仿宋" w:eastAsia="仿宋" w:cs="仿宋"/>
                <w:color w:val="000000"/>
                <w:kern w:val="0"/>
                <w:sz w:val="24"/>
                <w:szCs w:val="24"/>
                <w:lang w:val="en-US" w:eastAsia="zh-CN" w:bidi="ar"/>
              </w:rPr>
              <w:t>9</w:t>
            </w:r>
            <w:r>
              <w:rPr>
                <w:rFonts w:hint="eastAsia" w:ascii="仿宋" w:hAnsi="仿宋" w:eastAsia="仿宋" w:cs="仿宋"/>
                <w:color w:val="000000"/>
                <w:kern w:val="0"/>
                <w:sz w:val="24"/>
                <w:szCs w:val="24"/>
                <w:lang w:bidi="ar"/>
              </w:rPr>
              <w:t>.顶空进样针</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lang w:val="en-US" w:eastAsia="zh-CN" w:bidi="ar"/>
              </w:rPr>
              <w:t>10</w:t>
            </w:r>
            <w:r>
              <w:rPr>
                <w:rFonts w:hint="eastAsia" w:ascii="仿宋" w:hAnsi="仿宋" w:eastAsia="仿宋" w:cs="仿宋"/>
                <w:color w:val="000000"/>
                <w:kern w:val="0"/>
                <w:sz w:val="24"/>
                <w:lang w:bidi="ar"/>
              </w:rPr>
              <w:t>支</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val="en-US" w:eastAsia="zh-CN" w:bidi="ar"/>
              </w:rPr>
              <w:t>20</w:t>
            </w:r>
            <w:r>
              <w:rPr>
                <w:rFonts w:hint="eastAsia" w:ascii="仿宋" w:hAnsi="仿宋" w:eastAsia="仿宋" w:cs="仿宋"/>
                <w:color w:val="000000"/>
                <w:kern w:val="0"/>
                <w:sz w:val="24"/>
                <w:szCs w:val="24"/>
                <w:lang w:bidi="ar"/>
              </w:rPr>
              <w:t>.固相微萃取头</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lang w:val="en-US" w:eastAsia="zh-CN" w:bidi="ar"/>
              </w:rPr>
              <w:t>10</w:t>
            </w:r>
            <w:r>
              <w:rPr>
                <w:rFonts w:hint="eastAsia" w:ascii="仿宋" w:hAnsi="仿宋" w:eastAsia="仿宋" w:cs="仿宋"/>
                <w:color w:val="000000"/>
                <w:kern w:val="0"/>
                <w:sz w:val="24"/>
                <w:lang w:bidi="ar"/>
              </w:rPr>
              <w:t>支</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.真空泵油（45 Gold， 1L/瓶）</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2瓶</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.原装计算机</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国内采购部分</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.高纯氦气（含钢瓶及减压阀）</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.高纯氮气（含钢瓶及减压阀）</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bidi="ar"/>
              </w:rPr>
              <w:t>.高纯氢气（含钢瓶及减压阀）</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bidi="ar"/>
              </w:rPr>
              <w:t>.甲烷气体（含钢瓶及减压阀）</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7</w:t>
            </w:r>
            <w:r>
              <w:rPr>
                <w:rFonts w:hint="eastAsia" w:ascii="仿宋" w:hAnsi="仿宋" w:eastAsia="仿宋" w:cs="仿宋"/>
                <w:color w:val="000000"/>
                <w:kern w:val="0"/>
                <w:sz w:val="24"/>
                <w:szCs w:val="24"/>
                <w:lang w:bidi="ar"/>
              </w:rPr>
              <w:t>.ups电源（10kvA，2小时）</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8</w:t>
            </w:r>
            <w:r>
              <w:rPr>
                <w:rFonts w:hint="eastAsia" w:ascii="仿宋" w:hAnsi="仿宋" w:eastAsia="仿宋" w:cs="仿宋"/>
                <w:color w:val="000000"/>
                <w:kern w:val="0"/>
                <w:sz w:val="24"/>
                <w:szCs w:val="24"/>
                <w:lang w:bidi="ar"/>
              </w:rPr>
              <w:t>.ups电池（原10kvA，2小时ups更换电池）</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r>
        <w:tblPrEx>
          <w:tblCellMar>
            <w:top w:w="0" w:type="dxa"/>
            <w:left w:w="108" w:type="dxa"/>
            <w:bottom w:w="0" w:type="dxa"/>
            <w:right w:w="108" w:type="dxa"/>
          </w:tblCellMar>
        </w:tblPrEx>
        <w:trPr>
          <w:trHeight w:val="270" w:hRule="atLeast"/>
        </w:trPr>
        <w:tc>
          <w:tcPr>
            <w:tcW w:w="4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val="en-US" w:eastAsia="zh-CN" w:bidi="ar"/>
              </w:rPr>
              <w:t>9</w:t>
            </w:r>
            <w:r>
              <w:rPr>
                <w:rFonts w:hint="eastAsia" w:ascii="仿宋" w:hAnsi="仿宋" w:eastAsia="仿宋" w:cs="仿宋"/>
                <w:color w:val="000000"/>
                <w:kern w:val="0"/>
                <w:sz w:val="24"/>
                <w:szCs w:val="24"/>
                <w:lang w:bidi="ar"/>
              </w:rPr>
              <w:t>.激光打印机</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1套</w:t>
            </w:r>
          </w:p>
        </w:tc>
      </w:tr>
    </w:tbl>
    <w:p>
      <w:pPr>
        <w:snapToGrid w:val="0"/>
        <w:spacing w:line="460" w:lineRule="exact"/>
        <w:jc w:val="left"/>
        <w:rPr>
          <w:rFonts w:hint="eastAsia" w:ascii="仿宋" w:hAnsi="仿宋" w:eastAsia="仿宋" w:cs="仿宋"/>
          <w:b/>
          <w:bCs/>
          <w:sz w:val="24"/>
          <w:szCs w:val="24"/>
        </w:rPr>
      </w:pPr>
    </w:p>
    <w:p>
      <w:pPr>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3)服务要求</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1.厂家售后服务通过ISO质量体系认证，需提供证书</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2.供应商提供仪器的现场安装调试并达到投标书指标要求的技术性能，并同时在现场对用户进行操作培训。如果现场安装测试指标未通过，用户有权要求退货并要求赔偿损失。</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3.仪器在调试通过后提供保修服务，在保修期内，所有服务及配件全部免费。供应商在中国需设有保税库，能更及时地为用户提供备品备件。</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4.供应商设有分析仪器教育培训中心和应用实验室，为用户提供仪器的基本原理、操作、日常维护及基础分析仪器理论课程，并为用户提供上机培训。</w:t>
      </w:r>
    </w:p>
    <w:p>
      <w:pPr>
        <w:snapToGrid w:val="0"/>
        <w:spacing w:line="460" w:lineRule="exact"/>
        <w:jc w:val="left"/>
        <w:rPr>
          <w:rFonts w:hint="eastAsia" w:ascii="仿宋" w:hAnsi="仿宋" w:eastAsia="仿宋" w:cs="仿宋"/>
          <w:sz w:val="24"/>
          <w:szCs w:val="24"/>
        </w:rPr>
      </w:pPr>
      <w:r>
        <w:rPr>
          <w:rFonts w:hint="eastAsia" w:ascii="仿宋" w:hAnsi="仿宋" w:eastAsia="仿宋" w:cs="仿宋"/>
          <w:sz w:val="24"/>
          <w:szCs w:val="24"/>
        </w:rPr>
        <w:t>5.厂商在国内应设有专业的维修站，具备非常完善的售后服务体系，具备培训中心和厂家应用实验室,有专职的维修工程师及应用工程师有效保证售后维修的及时、快捷，并负责提供技术支持，保证仪器的正常操作，并协助用户进行方法开发。</w:t>
      </w:r>
    </w:p>
    <w:p>
      <w:pPr>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4)质保要求</w:t>
      </w:r>
    </w:p>
    <w:p>
      <w:pPr>
        <w:snapToGrid w:val="0"/>
        <w:spacing w:line="46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安装验收完成后，整机质保 1年。</w:t>
      </w:r>
    </w:p>
    <w:p>
      <w:pPr>
        <w:spacing w:line="276" w:lineRule="auto"/>
        <w:rPr>
          <w:rFonts w:hint="eastAsia"/>
          <w:b/>
          <w:sz w:val="24"/>
        </w:rPr>
      </w:pPr>
    </w:p>
    <w:p>
      <w:pPr>
        <w:spacing w:line="276" w:lineRule="auto"/>
        <w:rPr>
          <w:rFonts w:hint="eastAsia" w:eastAsia="宋体"/>
          <w:b/>
          <w:sz w:val="24"/>
          <w:lang w:eastAsia="zh-CN"/>
        </w:rPr>
      </w:pPr>
      <w:r>
        <w:rPr>
          <w:rFonts w:hint="eastAsia"/>
          <w:b/>
          <w:sz w:val="24"/>
        </w:rPr>
        <w:t>标项</w:t>
      </w:r>
      <w:r>
        <w:rPr>
          <w:rFonts w:hint="eastAsia"/>
          <w:b/>
          <w:sz w:val="24"/>
          <w:lang w:val="en-US" w:eastAsia="zh-CN"/>
        </w:rPr>
        <w:t>2</w:t>
      </w:r>
    </w:p>
    <w:tbl>
      <w:tblPr>
        <w:tblStyle w:val="28"/>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87"/>
        <w:gridCol w:w="659"/>
        <w:gridCol w:w="1282"/>
        <w:gridCol w:w="1191"/>
        <w:gridCol w:w="1421"/>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27"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818"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388"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756"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质保期限</w:t>
            </w:r>
          </w:p>
        </w:tc>
        <w:tc>
          <w:tcPr>
            <w:tcW w:w="702"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交货</w:t>
            </w:r>
          </w:p>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日期</w:t>
            </w:r>
          </w:p>
        </w:tc>
        <w:tc>
          <w:tcPr>
            <w:tcW w:w="8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子项目名称</w:t>
            </w:r>
          </w:p>
        </w:tc>
        <w:tc>
          <w:tcPr>
            <w:tcW w:w="10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b/>
                <w:bCs/>
                <w:color w:val="000000"/>
                <w:sz w:val="24"/>
                <w:szCs w:val="24"/>
              </w:rPr>
            </w:pPr>
            <w:r>
              <w:rPr>
                <w:rFonts w:hint="eastAsia" w:ascii="仿宋" w:hAnsi="仿宋" w:eastAsia="仿宋"/>
                <w:b/>
                <w:bCs/>
                <w:color w:val="000000"/>
                <w:sz w:val="24"/>
              </w:rPr>
              <w:t>项目库编号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8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原位红外测量系统</w:t>
            </w:r>
          </w:p>
        </w:tc>
        <w:tc>
          <w:tcPr>
            <w:tcW w:w="38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75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1191" w:type="dxa"/>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自</w:t>
            </w:r>
            <w:r>
              <w:rPr>
                <w:rFonts w:hint="eastAsia" w:ascii="仿宋" w:hAnsi="仿宋" w:eastAsia="仿宋" w:cs="仿宋"/>
                <w:color w:val="000000"/>
                <w:kern w:val="2"/>
                <w:sz w:val="24"/>
                <w:szCs w:val="24"/>
                <w:highlight w:val="none"/>
              </w:rPr>
              <w:t>合同签订后</w:t>
            </w:r>
            <w:r>
              <w:rPr>
                <w:rFonts w:hint="eastAsia" w:ascii="仿宋" w:hAnsi="仿宋" w:eastAsia="仿宋" w:cs="仿宋"/>
                <w:color w:val="000000"/>
                <w:kern w:val="2"/>
                <w:sz w:val="24"/>
                <w:szCs w:val="24"/>
                <w:highlight w:val="none"/>
                <w:lang w:val="en-US" w:eastAsia="zh-CN"/>
              </w:rPr>
              <w:t>15</w:t>
            </w:r>
            <w:r>
              <w:rPr>
                <w:rFonts w:hint="eastAsia" w:ascii="仿宋" w:hAnsi="仿宋" w:eastAsia="仿宋" w:cs="仿宋"/>
                <w:color w:val="000000"/>
                <w:kern w:val="2"/>
                <w:sz w:val="24"/>
                <w:szCs w:val="24"/>
                <w:highlight w:val="none"/>
              </w:rPr>
              <w:t>0</w:t>
            </w:r>
            <w:r>
              <w:rPr>
                <w:rFonts w:hint="eastAsia" w:ascii="仿宋" w:hAnsi="仿宋" w:eastAsia="仿宋" w:cs="仿宋"/>
                <w:color w:val="000000"/>
                <w:kern w:val="2"/>
                <w:sz w:val="24"/>
                <w:szCs w:val="24"/>
                <w:highlight w:val="none"/>
                <w:lang w:val="en-US" w:eastAsia="zh-CN"/>
              </w:rPr>
              <w:t>日历日</w:t>
            </w:r>
          </w:p>
        </w:tc>
        <w:tc>
          <w:tcPr>
            <w:tcW w:w="8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1068" w:type="pct"/>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leftChars="0" w:right="0" w:rightChars="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8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同步热分析仪</w:t>
            </w:r>
          </w:p>
        </w:tc>
        <w:tc>
          <w:tcPr>
            <w:tcW w:w="38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75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2年</w:t>
            </w:r>
          </w:p>
        </w:tc>
        <w:tc>
          <w:tcPr>
            <w:tcW w:w="1191" w:type="dxa"/>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自</w:t>
            </w:r>
            <w:r>
              <w:rPr>
                <w:rFonts w:hint="eastAsia" w:ascii="仿宋" w:hAnsi="仿宋" w:eastAsia="仿宋" w:cs="仿宋"/>
                <w:color w:val="000000"/>
                <w:kern w:val="2"/>
                <w:sz w:val="24"/>
                <w:szCs w:val="24"/>
                <w:highlight w:val="none"/>
              </w:rPr>
              <w:t>合同签订后</w:t>
            </w:r>
            <w:r>
              <w:rPr>
                <w:rFonts w:hint="eastAsia" w:ascii="仿宋" w:hAnsi="仿宋" w:eastAsia="仿宋" w:cs="仿宋"/>
                <w:color w:val="000000"/>
                <w:kern w:val="2"/>
                <w:sz w:val="24"/>
                <w:szCs w:val="24"/>
                <w:highlight w:val="none"/>
                <w:lang w:val="en-US" w:eastAsia="zh-CN"/>
              </w:rPr>
              <w:t>12</w:t>
            </w:r>
            <w:r>
              <w:rPr>
                <w:rFonts w:hint="eastAsia" w:ascii="仿宋" w:hAnsi="仿宋" w:eastAsia="仿宋" w:cs="仿宋"/>
                <w:color w:val="000000"/>
                <w:kern w:val="2"/>
                <w:sz w:val="24"/>
                <w:szCs w:val="24"/>
                <w:highlight w:val="none"/>
              </w:rPr>
              <w:t>0</w:t>
            </w:r>
            <w:r>
              <w:rPr>
                <w:rFonts w:hint="eastAsia" w:ascii="仿宋" w:hAnsi="仿宋" w:eastAsia="仿宋" w:cs="仿宋"/>
                <w:color w:val="000000"/>
                <w:kern w:val="2"/>
                <w:sz w:val="24"/>
                <w:szCs w:val="24"/>
                <w:highlight w:val="none"/>
                <w:lang w:val="en-US" w:eastAsia="zh-CN"/>
              </w:rPr>
              <w:t>日历日</w:t>
            </w:r>
          </w:p>
        </w:tc>
        <w:tc>
          <w:tcPr>
            <w:tcW w:w="8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10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42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81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rPr>
              <w:t>高分辨成像系统</w:t>
            </w:r>
          </w:p>
        </w:tc>
        <w:tc>
          <w:tcPr>
            <w:tcW w:w="38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75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1191" w:type="dxa"/>
            <w:tcBorders>
              <w:top w:val="single" w:color="auto" w:sz="4" w:space="0"/>
              <w:left w:val="single" w:color="auto" w:sz="4" w:space="0"/>
              <w:bottom w:val="single" w:color="auto" w:sz="4" w:space="0"/>
              <w:right w:val="single" w:color="auto" w:sz="4" w:space="0"/>
            </w:tcBorders>
            <w:vAlign w:val="center"/>
          </w:tcPr>
          <w:p>
            <w:pPr>
              <w:pStyle w:val="63"/>
              <w:keepNext w:val="0"/>
              <w:keepLines w:val="0"/>
              <w:suppressLineNumbers w:val="0"/>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自</w:t>
            </w:r>
            <w:r>
              <w:rPr>
                <w:rFonts w:hint="eastAsia" w:ascii="仿宋" w:hAnsi="仿宋" w:eastAsia="仿宋" w:cs="仿宋"/>
                <w:color w:val="000000"/>
                <w:kern w:val="2"/>
                <w:sz w:val="24"/>
                <w:szCs w:val="24"/>
                <w:highlight w:val="none"/>
              </w:rPr>
              <w:t>合同签订后</w:t>
            </w:r>
            <w:r>
              <w:rPr>
                <w:rFonts w:hint="eastAsia" w:ascii="仿宋" w:hAnsi="仿宋" w:eastAsia="仿宋" w:cs="仿宋"/>
                <w:color w:val="auto"/>
                <w:kern w:val="2"/>
                <w:sz w:val="24"/>
                <w:szCs w:val="24"/>
                <w:highlight w:val="none"/>
                <w:lang w:val="en-US" w:eastAsia="zh-CN"/>
              </w:rPr>
              <w:t>210</w:t>
            </w:r>
            <w:r>
              <w:rPr>
                <w:rFonts w:hint="eastAsia" w:ascii="仿宋" w:hAnsi="仿宋" w:eastAsia="仿宋" w:cs="仿宋"/>
                <w:color w:val="000000"/>
                <w:kern w:val="2"/>
                <w:sz w:val="24"/>
                <w:szCs w:val="24"/>
                <w:highlight w:val="none"/>
                <w:lang w:val="en-US" w:eastAsia="zh-CN"/>
              </w:rPr>
              <w:t>日历日</w:t>
            </w:r>
          </w:p>
        </w:tc>
        <w:tc>
          <w:tcPr>
            <w:tcW w:w="83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rPr>
              <w:t>大型仪器共享平台能力提升项目</w:t>
            </w:r>
          </w:p>
        </w:tc>
        <w:tc>
          <w:tcPr>
            <w:tcW w:w="1068"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kern w:val="2"/>
                <w:sz w:val="24"/>
                <w:szCs w:val="24"/>
                <w:lang w:eastAsia="zh-CN"/>
              </w:rPr>
            </w:pPr>
            <w:r>
              <w:rPr>
                <w:rFonts w:hint="eastAsia" w:ascii="仿宋" w:hAnsi="仿宋" w:eastAsia="仿宋" w:cs="仿宋"/>
                <w:color w:val="000000"/>
                <w:kern w:val="2"/>
                <w:sz w:val="24"/>
                <w:szCs w:val="24"/>
                <w:lang w:eastAsia="zh-CN"/>
              </w:rPr>
              <w:t>51192401102</w:t>
            </w:r>
          </w:p>
        </w:tc>
      </w:tr>
    </w:tbl>
    <w:p>
      <w:pPr>
        <w:pStyle w:val="24"/>
        <w:keepNext w:val="0"/>
        <w:keepLines w:val="0"/>
        <w:widowControl w:val="0"/>
        <w:suppressLineNumbers w:val="0"/>
        <w:autoSpaceDE w:val="0"/>
        <w:autoSpaceDN w:val="0"/>
        <w:adjustRightInd w:val="0"/>
        <w:spacing w:before="0" w:beforeAutospacing="0" w:after="0" w:afterAutospacing="0"/>
        <w:ind w:left="0" w:right="0"/>
        <w:jc w:val="both"/>
        <w:rPr>
          <w:rFonts w:hint="eastAsia" w:cs="宋体"/>
          <w:b/>
          <w:bCs w:val="0"/>
          <w:color w:val="000000"/>
          <w:kern w:val="0"/>
          <w:sz w:val="24"/>
          <w:szCs w:val="24"/>
          <w:lang w:val="en-US" w:eastAsia="zh-CN" w:bidi="ar"/>
        </w:rPr>
      </w:pPr>
    </w:p>
    <w:p>
      <w:pPr>
        <w:pStyle w:val="24"/>
        <w:keepNext w:val="0"/>
        <w:keepLines w:val="0"/>
        <w:widowControl w:val="0"/>
        <w:suppressLineNumbers w:val="0"/>
        <w:autoSpaceDE w:val="0"/>
        <w:autoSpaceDN w:val="0"/>
        <w:adjustRightInd w:val="0"/>
        <w:spacing w:before="0" w:beforeAutospacing="0" w:after="0" w:afterAutospacing="0"/>
        <w:ind w:left="0" w:right="0"/>
        <w:jc w:val="both"/>
        <w:rPr>
          <w:b/>
          <w:color w:val="000000" w:themeColor="text1"/>
          <w14:textFill>
            <w14:solidFill>
              <w14:schemeClr w14:val="tx1"/>
            </w14:solidFill>
          </w14:textFill>
        </w:rPr>
      </w:pPr>
      <w:r>
        <w:rPr>
          <w:rFonts w:hint="eastAsia" w:cs="宋体"/>
          <w:b/>
          <w:bCs w:val="0"/>
          <w:color w:val="000000"/>
          <w:kern w:val="0"/>
          <w:sz w:val="24"/>
          <w:szCs w:val="24"/>
          <w:lang w:val="en-US" w:eastAsia="zh-CN" w:bidi="ar"/>
        </w:rPr>
        <w:t>标项二</w:t>
      </w:r>
      <w:r>
        <w:rPr>
          <w:rFonts w:hint="eastAsia" w:ascii="Times New Roman" w:hAnsi="Times New Roman" w:eastAsia="宋体" w:cs="宋体"/>
          <w:b/>
          <w:bCs w:val="0"/>
          <w:color w:val="000000"/>
          <w:kern w:val="0"/>
          <w:sz w:val="24"/>
          <w:szCs w:val="24"/>
          <w:lang w:val="en-US" w:eastAsia="zh-CN" w:bidi="ar"/>
        </w:rPr>
        <w:t>：</w:t>
      </w:r>
    </w:p>
    <w:p>
      <w:pPr>
        <w:numPr>
          <w:ilvl w:val="0"/>
          <w:numId w:val="0"/>
        </w:numPr>
        <w:spacing w:line="360" w:lineRule="auto"/>
        <w:rPr>
          <w:rFonts w:hint="eastAsia" w:ascii="仿宋" w:hAnsi="仿宋" w:eastAsia="仿宋" w:cs="仿宋"/>
          <w:color w:val="000000"/>
          <w:sz w:val="24"/>
          <w:szCs w:val="24"/>
        </w:rPr>
      </w:pPr>
      <w:r>
        <w:rPr>
          <w:rFonts w:hint="eastAsia" w:ascii="仿宋" w:hAnsi="仿宋" w:eastAsia="仿宋" w:cs="仿宋"/>
          <w:b/>
          <w:color w:val="000000"/>
          <w:sz w:val="24"/>
          <w:szCs w:val="24"/>
        </w:rPr>
        <w:t>1、品目名称：原位红外测量系统（进口）</w:t>
      </w:r>
    </w:p>
    <w:p>
      <w:pPr>
        <w:numPr>
          <w:ilvl w:val="0"/>
          <w:numId w:val="3"/>
        </w:num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规格</w:t>
      </w:r>
    </w:p>
    <w:p>
      <w:pPr>
        <w:spacing w:line="360" w:lineRule="auto"/>
        <w:rPr>
          <w:rFonts w:ascii="仿宋" w:hAnsi="仿宋" w:eastAsia="仿宋" w:cs="仿宋"/>
          <w:color w:val="000000"/>
          <w:sz w:val="24"/>
        </w:rPr>
      </w:pPr>
      <w:r>
        <w:rPr>
          <w:rFonts w:hint="eastAsia" w:ascii="仿宋" w:hAnsi="仿宋" w:eastAsia="仿宋" w:cs="仿宋"/>
          <w:color w:val="000000"/>
          <w:sz w:val="24"/>
        </w:rPr>
        <w:t>1.1弱相互作用的研究、单原子催化剂的鉴定以及探针分子吸附表征。</w:t>
      </w:r>
    </w:p>
    <w:p>
      <w:pPr>
        <w:spacing w:line="360" w:lineRule="auto"/>
        <w:rPr>
          <w:rFonts w:ascii="仿宋" w:hAnsi="仿宋" w:eastAsia="仿宋" w:cs="仿宋"/>
          <w:color w:val="000000"/>
          <w:sz w:val="24"/>
        </w:rPr>
      </w:pPr>
      <w:r>
        <w:rPr>
          <w:rFonts w:hint="eastAsia" w:ascii="仿宋" w:hAnsi="仿宋" w:eastAsia="仿宋" w:cs="仿宋"/>
          <w:color w:val="000000"/>
          <w:sz w:val="24"/>
        </w:rPr>
        <w:t>1.2材料原位分析，吡啶吸附测酸及其它催化原位表征；用于固体、液体-糊状涂覆膜及气体样品的原位红外测量、化学反应动力学研究、以及其它原位红外分析。</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rPr>
        <w:t>1.3表面增强ATR 或外反射测量模式的电催化原位表征系统，应用包括深度剖面、单分子膜和超薄膜分析、聚合物取向测定和光谱电化学原位表征。</w:t>
      </w:r>
    </w:p>
    <w:p>
      <w:pPr>
        <w:numPr>
          <w:ilvl w:val="0"/>
          <w:numId w:val="3"/>
        </w:num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详细参数</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rPr>
        <w:t>2.1光谱范</w:t>
      </w:r>
      <w:r>
        <w:rPr>
          <w:rFonts w:hint="eastAsia" w:ascii="仿宋" w:hAnsi="仿宋" w:eastAsia="仿宋" w:cs="仿宋"/>
          <w:color w:val="000000"/>
          <w:sz w:val="24"/>
          <w:highlight w:val="none"/>
        </w:rPr>
        <w:t>围： 8,000</w:t>
      </w:r>
      <w:r>
        <w:rPr>
          <w:highlight w:val="none"/>
        </w:rPr>
        <w:t xml:space="preserve"> </w:t>
      </w:r>
      <w:r>
        <w:rPr>
          <w:rFonts w:ascii="仿宋" w:hAnsi="仿宋" w:eastAsia="仿宋" w:cs="仿宋"/>
          <w:color w:val="000000"/>
          <w:sz w:val="24"/>
          <w:highlight w:val="none"/>
        </w:rPr>
        <w:t>cm-1</w:t>
      </w:r>
      <w:r>
        <w:rPr>
          <w:rFonts w:hint="eastAsia" w:ascii="仿宋" w:hAnsi="仿宋" w:eastAsia="仿宋" w:cs="仿宋"/>
          <w:color w:val="000000"/>
          <w:sz w:val="24"/>
          <w:highlight w:val="none"/>
        </w:rPr>
        <w:t>–350</w:t>
      </w:r>
      <w:bookmarkStart w:id="26" w:name="_Hlk156080754"/>
      <w:r>
        <w:rPr>
          <w:rFonts w:hint="eastAsia" w:ascii="仿宋" w:hAnsi="仿宋" w:eastAsia="仿宋" w:cs="仿宋"/>
          <w:color w:val="000000"/>
          <w:sz w:val="24"/>
          <w:highlight w:val="none"/>
        </w:rPr>
        <w:t>cm-1</w:t>
      </w:r>
      <w:bookmarkEnd w:id="26"/>
      <w:r>
        <w:rPr>
          <w:rFonts w:hint="eastAsia" w:ascii="仿宋" w:hAnsi="仿宋" w:eastAsia="仿宋" w:cs="仿宋"/>
          <w:color w:val="000000"/>
          <w:sz w:val="24"/>
          <w:highlight w:val="none"/>
        </w:rPr>
        <w:t>。</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★2.2光谱分辨率：≤0.20cm-1，间隔连续可调。</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2.3 波数准确度：&lt; 0.005 cm-1。</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2.4 透光率准度：优于0.07%T；</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★2.5 波数重复性：&lt; 0.0005 cm-1</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2.6信噪比：优于60,000:1(峰-峰值，1分钟测试，分辨率4cm-1,DTGS检测器，@2100cm-1)。</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★2.7光谱扫描速度：≥ 70 张/秒</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lang w:val="en-US" w:eastAsia="zh-CN"/>
        </w:rPr>
        <w:t>分辨率</w:t>
      </w:r>
      <w:r>
        <w:rPr>
          <w:rFonts w:hint="eastAsia" w:ascii="仿宋" w:hAnsi="仿宋" w:eastAsia="仿宋" w:cs="仿宋"/>
          <w:color w:val="000000"/>
          <w:sz w:val="24"/>
          <w:highlight w:val="none"/>
        </w:rPr>
        <w:t>16 cm</w:t>
      </w:r>
      <w:r>
        <w:rPr>
          <w:rFonts w:hint="eastAsia" w:ascii="仿宋" w:hAnsi="仿宋" w:eastAsia="仿宋" w:cs="仿宋"/>
          <w:color w:val="000000"/>
          <w:sz w:val="24"/>
          <w:highlight w:val="none"/>
          <w:vertAlign w:val="superscript"/>
        </w:rPr>
        <w:t>-1</w:t>
      </w:r>
      <w:r>
        <w:rPr>
          <w:rFonts w:hint="eastAsia" w:ascii="仿宋" w:hAnsi="仿宋" w:eastAsia="仿宋" w:cs="仿宋"/>
          <w:color w:val="000000"/>
          <w:sz w:val="24"/>
          <w:highlight w:val="none"/>
          <w:lang w:val="en-US" w:eastAsia="zh-CN"/>
        </w:rPr>
        <w:t>测试）</w:t>
      </w:r>
      <w:r>
        <w:rPr>
          <w:rFonts w:hint="eastAsia" w:ascii="仿宋" w:hAnsi="仿宋" w:eastAsia="仿宋" w:cs="仿宋"/>
          <w:color w:val="000000"/>
          <w:sz w:val="24"/>
          <w:highlight w:val="none"/>
        </w:rPr>
        <w:t>。</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2.8 光阑级数：固态光阑12级可自动选择。</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2.9干涉仪：光路永久准直、无需被动式动态调整，质保10年。</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2.10检测器：高灵敏度的中红外DLATGS检测器和MCT检测器（范围：12,000-600cm-1，液氮制冷，液氮保持时间：8小时）。各检测器均由软件控制自动切换，无需任何手动插拔或其他手动更换检测器的操作。</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2.11光源：带有预准直、高能量的中、远红外光源，支持热插拔，即插即用。高功率、高能量MIR/FIR光源，计算机控制光圈，质保五年。</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w:t>
      </w:r>
      <w:r>
        <w:rPr>
          <w:rFonts w:ascii="仿宋" w:hAnsi="仿宋" w:eastAsia="仿宋" w:cs="仿宋"/>
          <w:color w:val="000000"/>
          <w:sz w:val="24"/>
          <w:highlight w:val="none"/>
        </w:rPr>
        <w:t>2</w:t>
      </w:r>
      <w:r>
        <w:rPr>
          <w:rFonts w:hint="eastAsia" w:ascii="仿宋" w:hAnsi="仿宋" w:eastAsia="仿宋" w:cs="仿宋"/>
          <w:color w:val="000000"/>
          <w:sz w:val="24"/>
          <w:highlight w:val="none"/>
        </w:rPr>
        <w:t>高反全镀金反射镜光学系统</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w:t>
      </w:r>
      <w:r>
        <w:rPr>
          <w:rFonts w:ascii="仿宋" w:hAnsi="仿宋" w:eastAsia="仿宋" w:cs="仿宋"/>
          <w:color w:val="000000"/>
          <w:sz w:val="24"/>
          <w:highlight w:val="none"/>
        </w:rPr>
        <w:t>3</w:t>
      </w:r>
      <w:r>
        <w:rPr>
          <w:rFonts w:hint="eastAsia" w:ascii="仿宋" w:hAnsi="仿宋" w:eastAsia="仿宋" w:cs="仿宋"/>
          <w:color w:val="000000"/>
          <w:sz w:val="24"/>
          <w:highlight w:val="none"/>
        </w:rPr>
        <w:t>仪器内置包含各种标准物质的自动校验系统，对仪器的各项指标随时进行验证，并给出验证报告。</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w:t>
      </w:r>
      <w:r>
        <w:rPr>
          <w:rFonts w:ascii="仿宋" w:hAnsi="仿宋" w:eastAsia="仿宋" w:cs="仿宋"/>
          <w:color w:val="000000"/>
          <w:sz w:val="24"/>
          <w:highlight w:val="none"/>
        </w:rPr>
        <w:t>4</w:t>
      </w:r>
      <w:r>
        <w:rPr>
          <w:rFonts w:hint="eastAsia" w:ascii="仿宋" w:hAnsi="仿宋" w:eastAsia="仿宋" w:cs="仿宋"/>
          <w:color w:val="000000"/>
          <w:sz w:val="24"/>
          <w:highlight w:val="none"/>
        </w:rPr>
        <w:t xml:space="preserve">红外控制软件 </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是专门为实验室和工业在线环境下设计的集成化软件，用于红外数据的采集、处理、评价和报告，全中文操作界面。</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w:t>
      </w:r>
      <w:r>
        <w:rPr>
          <w:rFonts w:ascii="仿宋" w:hAnsi="仿宋" w:eastAsia="仿宋" w:cs="仿宋"/>
          <w:color w:val="000000"/>
          <w:sz w:val="24"/>
          <w:highlight w:val="none"/>
        </w:rPr>
        <w:t>4</w:t>
      </w:r>
      <w:r>
        <w:rPr>
          <w:rFonts w:hint="eastAsia" w:ascii="仿宋" w:hAnsi="仿宋" w:eastAsia="仿宋" w:cs="仿宋"/>
          <w:color w:val="000000"/>
          <w:sz w:val="24"/>
          <w:highlight w:val="none"/>
        </w:rPr>
        <w:t>.1 包括：红外光谱仪控制、数据采集、谱图处理、数据转换、多组分定量化学计量学(中文界面)等操作软件；曲线分峰拟合软件；聚类分析，欧氏距离算法，可根据晶体材质及入射角度进行高级ATR校正，比尔定律定量(中文界面)，油含量分析软件。</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w:t>
      </w:r>
      <w:r>
        <w:rPr>
          <w:rFonts w:ascii="仿宋" w:hAnsi="仿宋" w:eastAsia="仿宋" w:cs="仿宋"/>
          <w:color w:val="000000"/>
          <w:sz w:val="24"/>
          <w:highlight w:val="none"/>
        </w:rPr>
        <w:t>4</w:t>
      </w:r>
      <w:r>
        <w:rPr>
          <w:rFonts w:hint="eastAsia" w:ascii="仿宋" w:hAnsi="仿宋" w:eastAsia="仿宋" w:cs="仿宋"/>
          <w:color w:val="000000"/>
          <w:sz w:val="24"/>
          <w:highlight w:val="none"/>
        </w:rPr>
        <w:t>.2 实时监测光谱仪中各硬件光源、激光器、干涉仪、检测器、电子元件、自动化单元的状态</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w:t>
      </w:r>
      <w:r>
        <w:rPr>
          <w:rFonts w:ascii="仿宋" w:hAnsi="仿宋" w:eastAsia="仿宋" w:cs="仿宋"/>
          <w:color w:val="000000"/>
          <w:sz w:val="24"/>
          <w:highlight w:val="none"/>
        </w:rPr>
        <w:t>4</w:t>
      </w:r>
      <w:r>
        <w:rPr>
          <w:rFonts w:hint="eastAsia" w:ascii="仿宋" w:hAnsi="仿宋" w:eastAsia="仿宋" w:cs="仿宋"/>
          <w:color w:val="000000"/>
          <w:sz w:val="24"/>
          <w:highlight w:val="none"/>
        </w:rPr>
        <w:t>.3 H2O/CO2 自动补偿软件</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2.1</w:t>
      </w:r>
      <w:r>
        <w:rPr>
          <w:rFonts w:ascii="仿宋" w:hAnsi="仿宋" w:eastAsia="仿宋" w:cs="仿宋"/>
          <w:color w:val="000000"/>
          <w:sz w:val="24"/>
          <w:highlight w:val="none"/>
        </w:rPr>
        <w:t>4</w:t>
      </w:r>
      <w:r>
        <w:rPr>
          <w:rFonts w:hint="eastAsia" w:ascii="仿宋" w:hAnsi="仿宋" w:eastAsia="仿宋" w:cs="仿宋"/>
          <w:color w:val="000000"/>
          <w:sz w:val="24"/>
          <w:highlight w:val="none"/>
        </w:rPr>
        <w:t>.4混合物谱库检索模块，可对混合物进行谱库检索给出单一组分谱图及合成光谱和残差光谱，并给出每一组分百分比。</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3、配置要求：</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3.1红外光谱仪主机1台（包括DTGS检测器和MCT检测器，软件自动切换）。</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3.2、金刚石晶体ATR附件 1套（测量光谱范围：10000 cm</w:t>
      </w:r>
      <w:r>
        <w:rPr>
          <w:rFonts w:hint="eastAsia" w:ascii="仿宋" w:hAnsi="仿宋" w:eastAsia="仿宋" w:cs="仿宋"/>
          <w:color w:val="000000"/>
          <w:sz w:val="24"/>
          <w:highlight w:val="none"/>
          <w:vertAlign w:val="superscript"/>
        </w:rPr>
        <w:t>-1</w:t>
      </w:r>
      <w:r>
        <w:rPr>
          <w:rFonts w:hint="eastAsia" w:ascii="仿宋" w:hAnsi="仿宋" w:eastAsia="仿宋" w:cs="仿宋"/>
          <w:color w:val="000000"/>
          <w:sz w:val="24"/>
          <w:highlight w:val="none"/>
        </w:rPr>
        <w:t>-40cm</w:t>
      </w:r>
      <w:r>
        <w:rPr>
          <w:rFonts w:hint="eastAsia" w:ascii="仿宋" w:hAnsi="仿宋" w:eastAsia="仿宋" w:cs="仿宋"/>
          <w:color w:val="000000"/>
          <w:sz w:val="24"/>
          <w:highlight w:val="none"/>
          <w:vertAlign w:val="superscript"/>
        </w:rPr>
        <w:t>-1</w:t>
      </w:r>
      <w:r>
        <w:rPr>
          <w:rFonts w:hint="eastAsia" w:ascii="仿宋" w:hAnsi="仿宋" w:eastAsia="仿宋" w:cs="仿宋"/>
          <w:color w:val="000000"/>
          <w:sz w:val="24"/>
          <w:highlight w:val="none"/>
        </w:rPr>
        <w:t>）。</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3.3、红外压片机模具硬质合金钨钢压头6个，柱直径Φ13mm×13mm。氯化钠窗片Φ13mm×2mm，10片；溴化钾窗片Φ13mm×2mm，10片。低温漫反射系统穹顶窗片1套（硒化锌）。</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3.4、低温漫反射原位系统 1套</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3.4.1、需提供包含漫反射光路、液氮流量及温度控制单元、液氮杜瓦、恒压控制、配气装置，水冷循环，配套阀门管线等全套的高低温漫反射原位系统，可进行-150℃至600℃的原位红外光谱表征；</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3.4.2、漫反射光路应具备镜反射抑制和漫反射增强机制，椭球面反射镜镀金，光路附件的光谱透过率在中红外波段应优于70%，附件的顶部有惰性吹扫气接入口，可对原位池窗体进行干气吹扫；</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3.4.3、高低温一体原位池应采用流动态液氮制冷，可控温度范围：-150℃-600℃，控温精度：±1℃，要求环境湿度在60%以下时原位池窗体无冷凝； </w:t>
      </w:r>
    </w:p>
    <w:p>
      <w:pPr>
        <w:spacing w:line="360" w:lineRule="auto"/>
        <w:ind w:left="240" w:hanging="240" w:hangingChars="100"/>
        <w:rPr>
          <w:rFonts w:ascii="仿宋" w:hAnsi="仿宋" w:eastAsia="仿宋" w:cs="仿宋"/>
          <w:color w:val="000000"/>
          <w:sz w:val="24"/>
        </w:rPr>
      </w:pPr>
      <w:r>
        <w:rPr>
          <w:rFonts w:hint="eastAsia" w:ascii="仿宋" w:hAnsi="仿宋" w:eastAsia="仿宋" w:cs="仿宋"/>
          <w:color w:val="000000"/>
          <w:sz w:val="24"/>
          <w:highlight w:val="none"/>
        </w:rPr>
        <w:t>3.4.4、温度控制系统包含液氮质量流量控制机制，确保精确稳定的低温区控</w:t>
      </w:r>
      <w:r>
        <w:rPr>
          <w:rFonts w:hint="eastAsia" w:ascii="仿宋" w:hAnsi="仿宋" w:eastAsia="仿宋" w:cs="仿宋"/>
          <w:color w:val="000000"/>
          <w:sz w:val="24"/>
        </w:rPr>
        <w:t>温性能；通过液氮制冷与加热控制，在宽温度范围内，采用AI智能控制调控原位池温度，含温度控制及液氮质量流量控制单元，允许用户进行制冷参数修正；</w:t>
      </w:r>
    </w:p>
    <w:p>
      <w:pPr>
        <w:spacing w:line="360" w:lineRule="auto"/>
        <w:ind w:left="240" w:hanging="240" w:hangingChars="100"/>
        <w:rPr>
          <w:rFonts w:ascii="仿宋" w:hAnsi="仿宋" w:eastAsia="仿宋" w:cs="仿宋"/>
          <w:color w:val="000000"/>
          <w:sz w:val="24"/>
        </w:rPr>
      </w:pPr>
      <w:r>
        <w:rPr>
          <w:rFonts w:hint="eastAsia" w:ascii="仿宋" w:hAnsi="仿宋" w:eastAsia="仿宋" w:cs="仿宋"/>
          <w:color w:val="000000"/>
          <w:sz w:val="24"/>
        </w:rPr>
        <w:t>3.4.5、原位池腔体内绝对压强可在5Pa-5Kpa范围内连续精确可控；</w:t>
      </w:r>
    </w:p>
    <w:p>
      <w:pPr>
        <w:spacing w:line="360" w:lineRule="auto"/>
        <w:ind w:left="240" w:hanging="240" w:hangingChars="100"/>
        <w:rPr>
          <w:rFonts w:ascii="仿宋" w:hAnsi="仿宋" w:eastAsia="仿宋" w:cs="仿宋"/>
          <w:color w:val="000000"/>
          <w:sz w:val="24"/>
        </w:rPr>
      </w:pPr>
      <w:r>
        <w:rPr>
          <w:rFonts w:hint="eastAsia" w:ascii="仿宋" w:hAnsi="仿宋" w:eastAsia="仿宋" w:cs="仿宋"/>
          <w:color w:val="000000"/>
          <w:sz w:val="24"/>
        </w:rPr>
        <w:t>3.4.6、提供能进行5Pa-5Kpa范围内恒压控制的所有部件，包括但不限于真空获得设备、精密压力传感器、电磁比例阀、压强控制仪表；</w:t>
      </w:r>
    </w:p>
    <w:p>
      <w:pPr>
        <w:spacing w:line="360" w:lineRule="auto"/>
        <w:ind w:left="240" w:hanging="240" w:hangingChars="100"/>
        <w:rPr>
          <w:rFonts w:ascii="仿宋" w:hAnsi="仿宋" w:eastAsia="仿宋" w:cs="仿宋"/>
          <w:color w:val="000000"/>
          <w:sz w:val="24"/>
        </w:rPr>
      </w:pPr>
      <w:r>
        <w:rPr>
          <w:rFonts w:hint="eastAsia" w:ascii="仿宋" w:hAnsi="仿宋" w:eastAsia="仿宋" w:cs="仿宋"/>
          <w:color w:val="000000"/>
          <w:sz w:val="24"/>
        </w:rPr>
        <w:t>3.4.7、提供带压缩制冷功能的冷却循环泵，为原位池提供水冷保护；</w:t>
      </w:r>
    </w:p>
    <w:p>
      <w:pPr>
        <w:spacing w:line="360" w:lineRule="auto"/>
        <w:ind w:left="240" w:hanging="240" w:hangingChars="100"/>
        <w:rPr>
          <w:rFonts w:ascii="仿宋" w:hAnsi="仿宋" w:eastAsia="仿宋" w:cs="仿宋"/>
          <w:color w:val="000000"/>
          <w:sz w:val="24"/>
        </w:rPr>
      </w:pPr>
      <w:r>
        <w:rPr>
          <w:rFonts w:hint="eastAsia" w:ascii="仿宋" w:hAnsi="仿宋" w:eastAsia="仿宋" w:cs="仿宋"/>
          <w:color w:val="000000"/>
          <w:sz w:val="24"/>
        </w:rPr>
        <w:t>3.4.8、提供包含至少2路质量流量控制计的配气单元，可进行4路反应气体的切换控制。</w:t>
      </w:r>
    </w:p>
    <w:p>
      <w:pPr>
        <w:spacing w:line="360" w:lineRule="auto"/>
        <w:ind w:left="240" w:hanging="240" w:hangingChars="100"/>
        <w:rPr>
          <w:rFonts w:ascii="仿宋" w:hAnsi="仿宋" w:eastAsia="仿宋" w:cs="仿宋"/>
          <w:color w:val="000000"/>
          <w:sz w:val="24"/>
        </w:rPr>
      </w:pPr>
      <w:r>
        <w:rPr>
          <w:rFonts w:hint="eastAsia" w:ascii="仿宋" w:hAnsi="仿宋" w:eastAsia="仿宋" w:cs="仿宋"/>
          <w:color w:val="000000"/>
          <w:sz w:val="24"/>
        </w:rPr>
        <w:t>3.4.9、提供与用户实验室配气系统相匹配的接口和连接管线</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rPr>
        <w:t>3.5.10、低温漫反射原位系统配置要求但不限于：漫反射附件1套；原位漫反射-拉曼池1个 ；液氮质量流量与温度控制系统1套；10L液氮杜瓦1个；低温管线</w:t>
      </w:r>
      <w:r>
        <w:rPr>
          <w:rFonts w:hint="eastAsia" w:ascii="仿宋" w:hAnsi="仿宋" w:eastAsia="仿宋" w:cs="仿宋"/>
          <w:color w:val="000000"/>
          <w:sz w:val="24"/>
        </w:rPr>
        <w:tab/>
      </w:r>
      <w:r>
        <w:rPr>
          <w:rFonts w:hint="eastAsia" w:ascii="仿宋" w:hAnsi="仿宋" w:eastAsia="仿宋" w:cs="仿宋"/>
          <w:color w:val="000000"/>
          <w:sz w:val="24"/>
        </w:rPr>
        <w:t>1根；1/4卡套直通球阀3个；高温金属筛网20个；粉末烧结铜滤片5个；微孔不锈</w:t>
      </w:r>
      <w:r>
        <w:rPr>
          <w:rFonts w:hint="eastAsia" w:ascii="仿宋" w:hAnsi="仿宋" w:eastAsia="仿宋" w:cs="仿宋"/>
          <w:color w:val="000000"/>
          <w:sz w:val="24"/>
          <w:highlight w:val="none"/>
        </w:rPr>
        <w:t>钢坩埚</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3个；红外漫反射仓帽1个；拉曼仓帽</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2个；全氟聚醚O型圈1个；原位池操作工具</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1套；原位池恒压控制系统</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1套；真空机械泵1个；漫反射配气系统1套；管线接头套装1套。</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3.5、高温漫反射原位系统 1套；</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5</w:t>
      </w:r>
      <w:r>
        <w:rPr>
          <w:rFonts w:hint="eastAsia" w:ascii="仿宋" w:hAnsi="仿宋" w:eastAsia="仿宋" w:cs="仿宋"/>
          <w:color w:val="000000"/>
          <w:sz w:val="24"/>
          <w:highlight w:val="none"/>
        </w:rPr>
        <w:t>.1、可用于红外漫反射、紫外-可见漫反射、拉曼光谱的原位测量，加热器采用36V低压加热，具有更高的安全性和更长的使用寿命。</w:t>
      </w:r>
    </w:p>
    <w:p>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5</w:t>
      </w:r>
      <w:r>
        <w:rPr>
          <w:rFonts w:hint="eastAsia" w:ascii="仿宋" w:hAnsi="仿宋" w:eastAsia="仿宋" w:cs="仿宋"/>
          <w:color w:val="000000"/>
          <w:sz w:val="24"/>
          <w:highlight w:val="none"/>
        </w:rPr>
        <w:t>.2、温度控制系统可控温度：室温至800℃；</w:t>
      </w:r>
    </w:p>
    <w:p>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5</w:t>
      </w:r>
      <w:r>
        <w:rPr>
          <w:rFonts w:hint="eastAsia" w:ascii="仿宋" w:hAnsi="仿宋" w:eastAsia="仿宋" w:cs="仿宋"/>
          <w:color w:val="000000"/>
          <w:sz w:val="24"/>
          <w:highlight w:val="none"/>
        </w:rPr>
        <w:t>.3、高温漫反射原位系统配置要求但不限于：可用于红外漫反射、紫外-可见漫反射、拉曼光谱的原位测量，36V低压加热系统1套，温度程序升温控制系统1套，水冷快速接头，K型热电偶，三路带控制阀的反应气接口，气路系统连接需要的卡套、快插、KF真空接头等，并可与真空、配气系统相连接，兼容拉曼和红外漫反射测量。</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3.6、电化学原位表征系统 1套；</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电化学原位表征系统，包含连续变角附件和用于实施内反射测量和外反射测量的电化学原位池；</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3.6.1、变角反射附件，入射角度30-80°连续可调；</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3.6.2、电化学原位池，兼容连续可变角度的外反射测量、ATR测量和表面增强ATR测量三种测量模式，池体为PEEK材质，包含电极引入口，气体/液体出入口，可进行静态或流动态的电化学原位测量；</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3.6.3、提供楔形硅和薄片硅两种ATR晶体，提供铠装两种硅晶体的ATR底座和原位池，可获得包含中红外全波段信息的红外谱图；</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3.6.4、提供工作电极、对电极和参比电极，提供硅晶体镀金培训。</w:t>
      </w:r>
    </w:p>
    <w:p>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配置清单：连续变角反射附件1套；样品仓底座1个；楔形硅晶体原位池1个；薄片硅晶体原位池1个；楔形硅晶体底座1个；薄片硅晶体底座1个；原位池顶盖1个；楔形硅晶体3个；薄片硅晶体4个；化学镀腔体1个；对电极1对；参比电极1个；玻碳工作电极1个；电化学密封件套装1套；电化学管线套装1套。金镀液:</w:t>
      </w:r>
      <w:r>
        <w:rPr>
          <w:rFonts w:ascii="仿宋" w:hAnsi="仿宋" w:eastAsia="仿宋" w:cs="仿宋"/>
          <w:color w:val="000000"/>
          <w:sz w:val="24"/>
          <w:highlight w:val="none"/>
        </w:rPr>
        <w:t>1</w:t>
      </w:r>
      <w:r>
        <w:rPr>
          <w:rFonts w:hint="eastAsia" w:ascii="仿宋" w:hAnsi="仿宋" w:eastAsia="仿宋" w:cs="仿宋"/>
          <w:color w:val="000000"/>
          <w:sz w:val="24"/>
          <w:highlight w:val="none"/>
        </w:rPr>
        <w:t>瓶（100 mL/瓶）；镀金专业工具:专业镀金工具1套。</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3.7电化学红外原位联机用工作站</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★3.7.1 EIS频率测试范围：10μHz-7MHz；</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★3.7.2</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EIS频率分辨率：&lt;0.001%；</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3.7.3</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 xml:space="preserve">EIS最高测试精度：&lt;0.3%； </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3.7.4</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测量电流量程：+/-10nA~500mA；</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3.7.5</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电流测试精度：&lt;0.1%所选量程；</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3.7.6</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施加电流精度：&lt;0.1%所选量程；</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3.7.7</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最大工作电压：+/-10V；</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3.7.8</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电压测试精度：&lt;1mV±0.03%测量值；</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3.7.9</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施加电压精度：&lt;1mV±0.03%设定值；</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3.7.10 THD谐波计算：支持阻抗EIS的总谐波计算功能计算线性符合性；</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3.7.11无线控制：用户可通过WIFI网络控制实验室里的设备进行测试；</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3.7.12软件升级：免费安装不限电脑台数，免费升级新版软件；</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3.7.13功能：支持循环伏安、电化学交流阻抗、极化曲线、恒电位、恒电流、脉冲伏安、恒定加载放电、恒功率放电、电位滴定、电流滴定、恒电流充放电等70种电化学测试功能</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3.8、原位吡啶及催化剂原位测试系统1套</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3.8</w:t>
      </w:r>
      <w:r>
        <w:rPr>
          <w:rFonts w:ascii="仿宋" w:hAnsi="仿宋" w:eastAsia="仿宋" w:cs="仿宋"/>
          <w:color w:val="000000"/>
          <w:sz w:val="24"/>
          <w:highlight w:val="none"/>
        </w:rPr>
        <w:t>.1</w:t>
      </w:r>
      <w:r>
        <w:rPr>
          <w:rFonts w:hint="eastAsia" w:ascii="仿宋" w:hAnsi="仿宋" w:eastAsia="仿宋" w:cs="仿宋"/>
          <w:color w:val="000000"/>
          <w:sz w:val="24"/>
          <w:highlight w:val="none"/>
        </w:rPr>
        <w:t>、原位红外透射池 1套</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8</w:t>
      </w:r>
      <w:r>
        <w:rPr>
          <w:rFonts w:hint="eastAsia" w:ascii="仿宋" w:hAnsi="仿宋" w:eastAsia="仿宋" w:cs="仿宋"/>
          <w:color w:val="000000"/>
          <w:sz w:val="24"/>
          <w:highlight w:val="none"/>
        </w:rPr>
        <w:t>.2、红外透射池可控温度范围室温-900℃，控温精度±1℃，升温速率大于100℃/min，可在高温、真空、高压或反应气氛下进行原位红外光谱测量。</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8</w:t>
      </w:r>
      <w:r>
        <w:rPr>
          <w:rFonts w:hint="eastAsia" w:ascii="仿宋" w:hAnsi="仿宋" w:eastAsia="仿宋" w:cs="仿宋"/>
          <w:color w:val="000000"/>
          <w:sz w:val="24"/>
          <w:highlight w:val="none"/>
        </w:rPr>
        <w:t>.3、采用36V低压加热，具有更高的安全性和更长的使用寿命。</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8</w:t>
      </w:r>
      <w:r>
        <w:rPr>
          <w:rFonts w:hint="eastAsia" w:ascii="仿宋" w:hAnsi="仿宋" w:eastAsia="仿宋" w:cs="仿宋"/>
          <w:color w:val="000000"/>
          <w:sz w:val="24"/>
          <w:highlight w:val="none"/>
        </w:rPr>
        <w:t>.4、压力范围：真空-500PSI(配备高压窗体)。</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8</w:t>
      </w:r>
      <w:r>
        <w:rPr>
          <w:rFonts w:hint="eastAsia" w:ascii="仿宋" w:hAnsi="仿宋" w:eastAsia="仿宋" w:cs="仿宋"/>
          <w:color w:val="000000"/>
          <w:sz w:val="24"/>
          <w:highlight w:val="none"/>
        </w:rPr>
        <w:t>.5、系统包含水冷快速接头，两路K型热电偶，四路反应气接口，可通过卡套、快插、KF真空接头等方式与真空、配气系统相连接。</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w:t>
      </w:r>
      <w:r>
        <w:rPr>
          <w:rFonts w:ascii="仿宋" w:hAnsi="仿宋" w:eastAsia="仿宋" w:cs="仿宋"/>
          <w:color w:val="000000"/>
          <w:sz w:val="24"/>
          <w:highlight w:val="none"/>
        </w:rPr>
        <w:t>8</w:t>
      </w:r>
      <w:r>
        <w:rPr>
          <w:rFonts w:hint="eastAsia" w:ascii="仿宋" w:hAnsi="仿宋" w:eastAsia="仿宋" w:cs="仿宋"/>
          <w:color w:val="000000"/>
          <w:sz w:val="24"/>
          <w:highlight w:val="none"/>
        </w:rPr>
        <w:t>.6、原位吡啶及催化剂原位测试系统配置要求但不限于：高温原位红外透射池1个 ；样品仓底座1个；13mm样品架2个；红外窗体套件2套；常压BaF2窗体套件</w:t>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2套；高压窗体套件1套；窗片拆卸紧固工具1个；1/4卡套三通球阀2个；双路程序控温仪1个；液态探针分子吸附附件2套 ；真空配件套装1套；真空机械泵1个；循环水冷机1个。</w:t>
      </w:r>
    </w:p>
    <w:p>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3.9电化学原位联机用电池测试系统1套，电化学原位拉曼池1个（聚四氟乙烯材质）</w:t>
      </w:r>
    </w:p>
    <w:p>
      <w:pPr>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3.10仪器控制电脑（I5-13600/</w:t>
      </w:r>
      <w:r>
        <w:rPr>
          <w:rFonts w:ascii="仿宋" w:hAnsi="仿宋" w:eastAsia="仿宋" w:cs="仿宋"/>
          <w:color w:val="000000"/>
          <w:sz w:val="24"/>
          <w:highlight w:val="none"/>
        </w:rPr>
        <w:t>32</w:t>
      </w:r>
      <w:r>
        <w:rPr>
          <w:rFonts w:hint="eastAsia" w:ascii="仿宋" w:hAnsi="仿宋" w:eastAsia="仿宋" w:cs="仿宋"/>
          <w:color w:val="000000"/>
          <w:sz w:val="24"/>
          <w:highlight w:val="none"/>
        </w:rPr>
        <w:t>G/1TSSD/27寸显示器和彩色打印机各1套</w:t>
      </w:r>
    </w:p>
    <w:p>
      <w:pPr>
        <w:numPr>
          <w:ilvl w:val="0"/>
          <w:numId w:val="3"/>
        </w:numPr>
        <w:spacing w:line="360" w:lineRule="auto"/>
        <w:ind w:firstLine="240"/>
        <w:rPr>
          <w:rFonts w:ascii="仿宋" w:hAnsi="仿宋" w:eastAsia="仿宋" w:cs="仿宋"/>
          <w:color w:val="000000"/>
          <w:sz w:val="24"/>
          <w:highlight w:val="none"/>
        </w:rPr>
      </w:pPr>
      <w:r>
        <w:rPr>
          <w:rFonts w:hint="eastAsia" w:ascii="仿宋" w:hAnsi="仿宋" w:eastAsia="仿宋" w:cs="仿宋"/>
          <w:color w:val="000000"/>
          <w:sz w:val="24"/>
          <w:highlight w:val="none"/>
        </w:rPr>
        <w:t>服务要求</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1 供应商必须提供仪器的现场安装调试并达到投标书指标要求的技术性能，并同时在现场对用户进行操作培训；</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2 仪器在安装调试合格后提供一年保修服务。在保修期内，所有服务及配件全部免费；保修期外，用户可用人民币结算，供应商应及时为用户提供备品备件。</w:t>
      </w:r>
    </w:p>
    <w:p>
      <w:pPr>
        <w:spacing w:line="360" w:lineRule="auto"/>
        <w:ind w:left="240" w:hanging="240" w:hangingChars="100"/>
        <w:rPr>
          <w:rFonts w:ascii="仿宋" w:hAnsi="仿宋" w:eastAsia="仿宋" w:cs="仿宋"/>
          <w:color w:val="000000"/>
          <w:sz w:val="24"/>
          <w:highlight w:val="none"/>
        </w:rPr>
      </w:pPr>
      <w:r>
        <w:rPr>
          <w:rFonts w:hint="eastAsia" w:ascii="仿宋" w:hAnsi="仿宋" w:eastAsia="仿宋" w:cs="仿宋"/>
          <w:color w:val="000000"/>
          <w:sz w:val="24"/>
          <w:highlight w:val="none"/>
        </w:rPr>
        <w:t>3 供应商在国内必须设有专业的维修站和零配件仓库，有强大的专职维修工程师及应用工程师队伍，有效保证售后维修的及时、快捷，并负责提供技术支持，24小时响应，72小时到场，保证仪器的正常使用；</w:t>
      </w:r>
    </w:p>
    <w:p>
      <w:pPr>
        <w:numPr>
          <w:ilvl w:val="0"/>
          <w:numId w:val="3"/>
        </w:numPr>
        <w:spacing w:line="360" w:lineRule="auto"/>
        <w:ind w:firstLine="240"/>
        <w:rPr>
          <w:rFonts w:ascii="仿宋" w:hAnsi="仿宋" w:eastAsia="仿宋" w:cs="仿宋"/>
          <w:color w:val="000000"/>
          <w:sz w:val="24"/>
          <w:highlight w:val="none"/>
        </w:rPr>
      </w:pPr>
      <w:r>
        <w:rPr>
          <w:rFonts w:hint="eastAsia" w:ascii="仿宋" w:hAnsi="仿宋" w:eastAsia="仿宋" w:cs="仿宋"/>
          <w:color w:val="000000"/>
          <w:sz w:val="24"/>
          <w:highlight w:val="none"/>
        </w:rPr>
        <w:t>质保要求</w:t>
      </w:r>
    </w:p>
    <w:p>
      <w:pPr>
        <w:spacing w:line="360" w:lineRule="auto"/>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签订验收报告后整机质保1年，其中主机干涉仪质保10年，光源质保5年。</w:t>
      </w:r>
    </w:p>
    <w:p>
      <w:pPr>
        <w:numPr>
          <w:ilvl w:val="0"/>
          <w:numId w:val="4"/>
        </w:numPr>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rPr>
        <w:t>2、品目名称：同步热分析仪（进口）</w:t>
      </w:r>
    </w:p>
    <w:p>
      <w:pPr>
        <w:rPr>
          <w:rFonts w:hint="eastAsia" w:ascii="仿宋" w:hAnsi="仿宋" w:eastAsia="仿宋" w:cs="仿宋"/>
          <w:sz w:val="24"/>
          <w:szCs w:val="24"/>
          <w:highlight w:val="none"/>
        </w:rPr>
      </w:pPr>
    </w:p>
    <w:p>
      <w:pPr>
        <w:numPr>
          <w:ilvl w:val="0"/>
          <w:numId w:val="5"/>
        </w:num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规格</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1.1 TGA/DSC仪器主机1台</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1.2 热分析操作软件 1套</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1.3 TGA-DSC样品支架备件：2件</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1.4 样品坩埚：随机原装氧化铝坩埚：20个（带盖）；国内配套500个（带盖）</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1.5 随机操作工具盒（含镊子、加样漏斗等），标准样品：金属In、Zn、Al、Au、Pd五种各一盒</w:t>
      </w:r>
    </w:p>
    <w:p>
      <w:pPr>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1.6 冷却系统一套；</w:t>
      </w:r>
    </w:p>
    <w:p>
      <w:pPr>
        <w:snapToGrid w:val="0"/>
        <w:spacing w:line="460" w:lineRule="exact"/>
        <w:jc w:val="left"/>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1.7 商用计算机: I5、8G内存、1T硬盘、网络功能，21.5’LCD、Win10及以上系统；</w:t>
      </w:r>
    </w:p>
    <w:p>
      <w:pPr>
        <w:snapToGrid w:val="0"/>
        <w:spacing w:line="460" w:lineRule="exact"/>
        <w:jc w:val="left"/>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1.8</w:t>
      </w:r>
      <w:r>
        <w:rPr>
          <w:rFonts w:hint="eastAsia" w:ascii="仿宋" w:hAnsi="仿宋" w:eastAsia="仿宋" w:cs="仿宋"/>
          <w:bCs/>
          <w:color w:val="000000"/>
          <w:sz w:val="24"/>
          <w:szCs w:val="24"/>
          <w:highlight w:val="none"/>
          <w:lang w:val="en-US" w:eastAsia="zh-CN"/>
        </w:rPr>
        <w:t>彩色</w:t>
      </w:r>
      <w:r>
        <w:rPr>
          <w:rFonts w:hint="eastAsia" w:ascii="仿宋" w:hAnsi="仿宋" w:eastAsia="仿宋" w:cs="仿宋"/>
          <w:bCs/>
          <w:color w:val="000000"/>
          <w:sz w:val="24"/>
          <w:szCs w:val="24"/>
          <w:highlight w:val="none"/>
        </w:rPr>
        <w:t>打印机一个</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1.9 十万分之一电子天平一台（0.01mg/41g）</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1.10 其他配套：气瓶柜（2个气瓶）1件，2个气瓶，3个减压阀，天平台1个。</w:t>
      </w:r>
    </w:p>
    <w:p>
      <w:pPr>
        <w:numPr>
          <w:ilvl w:val="0"/>
          <w:numId w:val="5"/>
        </w:num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详细参数</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2.1 温度范围：室温～1500℃或以上</w:t>
      </w:r>
    </w:p>
    <w:p>
      <w:pPr>
        <w:spacing w:line="360" w:lineRule="auto"/>
        <w:rPr>
          <w:rFonts w:hint="eastAsia" w:ascii="仿宋" w:hAnsi="仿宋" w:eastAsia="仿宋" w:cs="仿宋"/>
          <w:color w:val="0000FF"/>
          <w:sz w:val="24"/>
          <w:szCs w:val="24"/>
          <w:highlight w:val="none"/>
        </w:rPr>
      </w:pPr>
      <w:r>
        <w:rPr>
          <w:rFonts w:hint="eastAsia" w:ascii="仿宋" w:hAnsi="仿宋" w:eastAsia="仿宋" w:cs="仿宋"/>
          <w:color w:val="000000"/>
          <w:sz w:val="24"/>
          <w:szCs w:val="24"/>
          <w:highlight w:val="none"/>
        </w:rPr>
        <w:t>2.2 加热炉的炉管材质：</w:t>
      </w:r>
      <w:r>
        <w:rPr>
          <w:rFonts w:hint="eastAsia" w:ascii="仿宋" w:hAnsi="仿宋" w:eastAsia="仿宋" w:cs="仿宋"/>
          <w:color w:val="000000"/>
          <w:sz w:val="24"/>
          <w:highlight w:val="none"/>
        </w:rPr>
        <w:t>铂/铑合金，优异的抗氧化性能；</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 加热方式：铂/铑合金金属丝加热；</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2.4 加热炉结构：水平式或垂直式；</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2.5 温度准确度：单点温度:≤±0.1℃；多点温度≤±0.5℃（In、Zn、AL、Au、Pd标样熔点验证）；</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2.6 温度精密度：≤±0.3℃；</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2.7 同步DSC热量热精密度：≤±1%；</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2.8 温度调制功能：具备温度调制DSC功能，可进行比热容测量；</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2.9 DSC测量范围：±800mW或以上；</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2.10升温速率：0.01℃～100℃/min；</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2.11 冷却方式：主机自带风扇冷却或外接冷却循环水；</w:t>
      </w:r>
    </w:p>
    <w:p>
      <w:pPr>
        <w:spacing w:line="360" w:lineRule="auto"/>
        <w:rPr>
          <w:rFonts w:hint="eastAsia" w:ascii="仿宋" w:hAnsi="仿宋" w:eastAsia="仿宋" w:cs="仿宋"/>
          <w:color w:val="000000"/>
          <w:sz w:val="24"/>
          <w:szCs w:val="24"/>
          <w:highlight w:val="none"/>
          <w:lang w:eastAsia="ja-JP"/>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eastAsia="ja-JP"/>
        </w:rPr>
        <w:t>2.12 冷却速率：由1000゜C降到50゜C小于20min；</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2.13 天平类型：先进平行导向超微量电子天平；</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2.14 TG范围：±400mg或以上；</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2.15  天平分度值：0.1µg；</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2.16  天平分辨率：0.1µg；</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2.17 天平灵敏度：0.01µg；</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2.18</w:t>
      </w:r>
      <w:r>
        <w:rPr>
          <w:rFonts w:hint="eastAsia"/>
          <w:highlight w:val="none"/>
          <w:lang w:val="en-US" w:eastAsia="zh-CN"/>
        </w:rPr>
        <w:t xml:space="preserve"> </w:t>
      </w:r>
      <w:r>
        <w:rPr>
          <w:rFonts w:hint="eastAsia" w:ascii="仿宋" w:hAnsi="仿宋" w:eastAsia="仿宋" w:cs="仿宋"/>
          <w:color w:val="000000"/>
          <w:sz w:val="24"/>
          <w:szCs w:val="24"/>
          <w:highlight w:val="none"/>
        </w:rPr>
        <w:t xml:space="preserve">最小称量值：0.16mg； </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2.19 TG精度：0.1%；</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2.20 TG空白曲线重复性：±10ug（10℃/min升温，全程温度）；</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2.21 TG再现性：±10ug（40℃/min升温，室温~1000℃）</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2.22 天平重复性： &lt;0.001mg；称量准确度：0.005%；</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2.23 天平校准：内置差动式双天平实时校准或开机自动校准功能。</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2.24 测量中最大气体流量：测量中最大载气流量200 ml/min。</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2.25 允许实验气体：空气、氧气、氮气、氩气、真空、少量还原气体等；质量流量计，自动切换3种不同气体。</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2.26 液晶显示：实时显示仪器状态；</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2.27 操作按钮：可以控制加热炉开闭；</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2.28 有特殊加热接口，利于和红外、质谱联用；</w:t>
      </w:r>
    </w:p>
    <w:p>
      <w:pPr>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2.29 热分析专业中/英文操作软件，包含基本的实验及数据处理功能，另外配置纯度软件、动力学分析软件功能等，适合Win10及以上操作系统</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囊括所有热分析功能：</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差减分析软件、峰/曲线分离软件、实验向导功能</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CRTA功能实现转变速率控制功能</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专利高速公路软件用于超高或超低升降温速率研究</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动力学软件：可进行反应动力学研究、活化能、寿命预估等分析</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 xml:space="preserve">预校正功能：能够修正天平自身漂移和温度漂移，确保实验结果的准确性 </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实验过程中可随时调整未进行的后续实验程序，无需等待实验结束即可进行结果分析</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2.30基本配置：</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1.热重－差热同步热分析仪主机；</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rPr>
        <w:t>2.陶瓷坩埚（含</w:t>
      </w:r>
      <w:r>
        <w:rPr>
          <w:rFonts w:hint="eastAsia" w:ascii="仿宋" w:hAnsi="仿宋" w:eastAsia="仿宋" w:cs="仿宋"/>
          <w:color w:val="000000"/>
          <w:sz w:val="24"/>
          <w:szCs w:val="24"/>
          <w:highlight w:val="none"/>
        </w:rPr>
        <w:t>盖子），</w:t>
      </w:r>
      <w:r>
        <w:rPr>
          <w:rFonts w:hint="eastAsia" w:ascii="仿宋" w:hAnsi="仿宋" w:eastAsia="仿宋" w:cs="仿宋"/>
          <w:color w:val="000000"/>
          <w:sz w:val="24"/>
          <w:szCs w:val="24"/>
          <w:highlight w:val="none"/>
          <w:lang w:val="en-US" w:eastAsia="zh-CN"/>
        </w:rPr>
        <w:t>原装20套，国产</w:t>
      </w:r>
      <w:r>
        <w:rPr>
          <w:rFonts w:hint="eastAsia" w:ascii="仿宋" w:hAnsi="仿宋" w:eastAsia="仿宋" w:cs="仿宋"/>
          <w:color w:val="000000"/>
          <w:sz w:val="24"/>
          <w:szCs w:val="24"/>
          <w:highlight w:val="none"/>
        </w:rPr>
        <w:t>500套；</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3.气体质量流量计，一套；</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4.标准样品（ In、Zn、AL、Au、Pd标样)一套；</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5.样品支架系统，2套；</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6.热分析测试分析软件，一套；</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7.参比氧化铝粉末，一套；</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8.铂金坩埚，2套；</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9.实验室制样专用工具，一套。</w:t>
      </w:r>
    </w:p>
    <w:p>
      <w:pPr>
        <w:numPr>
          <w:ilvl w:val="0"/>
          <w:numId w:val="5"/>
        </w:num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服务要求</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3.1 新疆大学指定地点安装调试，</w:t>
      </w:r>
      <w:r>
        <w:rPr>
          <w:rFonts w:hint="eastAsia" w:ascii="仿宋" w:hAnsi="仿宋" w:eastAsia="仿宋" w:cs="仿宋"/>
          <w:bCs/>
          <w:color w:val="000000"/>
          <w:sz w:val="24"/>
          <w:szCs w:val="24"/>
          <w:highlight w:val="none"/>
          <w:lang w:val="en-US" w:eastAsia="zh-CN"/>
        </w:rPr>
        <w:t>到货</w:t>
      </w:r>
      <w:r>
        <w:rPr>
          <w:rFonts w:hint="eastAsia" w:ascii="仿宋" w:hAnsi="仿宋" w:eastAsia="仿宋" w:cs="仿宋"/>
          <w:bCs/>
          <w:color w:val="000000"/>
          <w:sz w:val="24"/>
          <w:szCs w:val="24"/>
          <w:highlight w:val="none"/>
        </w:rPr>
        <w:t>一个月内完成安装验收工作；</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3.2 调试与培训：在现场完成调试与培训，使用户熟练掌握仪器操作及日常维护；</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3.3 其他服务要求：具有一定的售后服务能力，当地具有专业的维修工程师，设备终身维护，设备报修应在4小时之内响应。</w:t>
      </w:r>
    </w:p>
    <w:p>
      <w:pPr>
        <w:spacing w:line="360" w:lineRule="auto"/>
        <w:rPr>
          <w:rFonts w:hint="eastAsia" w:ascii="仿宋" w:hAnsi="仿宋" w:eastAsia="仿宋" w:cs="仿宋"/>
          <w:bCs/>
          <w:color w:val="000000"/>
          <w:sz w:val="24"/>
          <w:szCs w:val="24"/>
          <w:highlight w:val="none"/>
        </w:rPr>
      </w:pPr>
      <w:r>
        <w:rPr>
          <w:rFonts w:hint="eastAsia" w:ascii="仿宋" w:hAnsi="仿宋" w:eastAsia="仿宋" w:cs="仿宋"/>
          <w:color w:val="000000"/>
          <w:sz w:val="24"/>
          <w:szCs w:val="24"/>
          <w:highlight w:val="none"/>
        </w:rPr>
        <w:t>3.4在不涉及硬件升级的情况下终生免费升级控制</w:t>
      </w:r>
      <w:bookmarkStart w:id="140" w:name="_GoBack"/>
      <w:bookmarkEnd w:id="140"/>
      <w:r>
        <w:rPr>
          <w:rFonts w:hint="eastAsia" w:ascii="仿宋" w:hAnsi="仿宋" w:eastAsia="仿宋" w:cs="仿宋"/>
          <w:color w:val="000000"/>
          <w:sz w:val="24"/>
          <w:szCs w:val="24"/>
          <w:highlight w:val="none"/>
        </w:rPr>
        <w:t>和数据处理软件</w:t>
      </w:r>
    </w:p>
    <w:p>
      <w:pPr>
        <w:numPr>
          <w:ilvl w:val="0"/>
          <w:numId w:val="5"/>
        </w:num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质保要求</w:t>
      </w:r>
    </w:p>
    <w:p>
      <w:pPr>
        <w:keepNext w:val="0"/>
        <w:keepLines w:val="0"/>
        <w:widowControl/>
        <w:suppressLineNumbers w:val="0"/>
        <w:spacing w:before="0" w:beforeAutospacing="0" w:after="0" w:afterAutospacing="0"/>
        <w:ind w:right="0"/>
        <w:jc w:val="left"/>
        <w:rPr>
          <w:rFonts w:hint="eastAsia" w:ascii="仿宋" w:hAnsi="仿宋" w:eastAsia="仿宋" w:cs="仿宋"/>
          <w:bCs/>
          <w:sz w:val="24"/>
          <w:szCs w:val="24"/>
          <w:highlight w:val="none"/>
        </w:rPr>
      </w:pPr>
      <w:r>
        <w:rPr>
          <w:rFonts w:hint="eastAsia" w:ascii="仿宋" w:hAnsi="仿宋" w:eastAsia="仿宋" w:cs="仿宋"/>
          <w:bCs/>
          <w:sz w:val="24"/>
          <w:szCs w:val="24"/>
          <w:highlight w:val="none"/>
        </w:rPr>
        <w:t>供方向用户提供2年的免费保修服务，在保修期内，所有服务及配件全部免费；厂家终身提供服务。</w:t>
      </w:r>
    </w:p>
    <w:p>
      <w:pPr>
        <w:numPr>
          <w:ilvl w:val="0"/>
          <w:numId w:val="4"/>
        </w:numPr>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rPr>
        <w:t>3、品目名称：高分辨成像系统（进口）</w:t>
      </w:r>
    </w:p>
    <w:p>
      <w:pPr>
        <w:numPr>
          <w:ilvl w:val="0"/>
          <w:numId w:val="6"/>
        </w:num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规格</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1.底装CCD相机</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2.成像软件基于windows系统</w:t>
      </w:r>
    </w:p>
    <w:p>
      <w:pPr>
        <w:numPr>
          <w:ilvl w:val="0"/>
          <w:numId w:val="6"/>
        </w:numPr>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详细参数</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 CCD相机需适配</w:t>
      </w:r>
      <w:r>
        <w:rPr>
          <w:rFonts w:hint="eastAsia" w:ascii="仿宋" w:hAnsi="仿宋" w:eastAsia="仿宋" w:cs="仿宋"/>
          <w:color w:val="000000"/>
          <w:sz w:val="24"/>
          <w:szCs w:val="24"/>
          <w:highlight w:val="none"/>
          <w:lang w:val="en-US" w:eastAsia="zh-CN"/>
        </w:rPr>
        <w:t>新疆大学分析测试中心现有的</w:t>
      </w:r>
      <w:r>
        <w:rPr>
          <w:rFonts w:hint="eastAsia" w:ascii="仿宋" w:hAnsi="仿宋" w:eastAsia="仿宋" w:cs="仿宋"/>
          <w:color w:val="000000"/>
          <w:sz w:val="24"/>
          <w:szCs w:val="24"/>
          <w:highlight w:val="none"/>
        </w:rPr>
        <w:t>JEOL-2100型透射电子显微镜</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000000"/>
          <w:sz w:val="24"/>
          <w:szCs w:val="24"/>
          <w:highlight w:val="none"/>
        </w:rPr>
        <w:t>1.2像素数量＞500万</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000000"/>
          <w:sz w:val="24"/>
          <w:szCs w:val="24"/>
          <w:highlight w:val="none"/>
        </w:rPr>
        <w:t>1.3传感器芯片：高速CCD</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1.4工作电压≤200 kV</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1.5图像尺寸：（最大2752 x 2192 像素）</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1.6有效像素尺寸＞15 x 15 μm²</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000000"/>
          <w:sz w:val="24"/>
          <w:szCs w:val="24"/>
          <w:highlight w:val="none"/>
        </w:rPr>
        <w:t>1.7制冷：空气冷却</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000000"/>
          <w:sz w:val="24"/>
          <w:szCs w:val="24"/>
          <w:highlight w:val="none"/>
        </w:rPr>
        <w:t>1.8帧速率：全分辨率＞28 fps，最高速度≥ 70 fps</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color w:val="000000"/>
          <w:sz w:val="24"/>
          <w:szCs w:val="24"/>
          <w:highlight w:val="none"/>
        </w:rPr>
        <w:t>1.9相机耦合：光纤</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1.10安装位置：底部中轴安装</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2.1成像软件需基于windows系统</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2.2通过成像软件可将相机功能在实时观察模式下设置，比如曝光时间、图像分辨率、相机选择、图像平均等；</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2.3可实时显示亮度直方图、实时阴影矫正、自动曝光等；</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2.4可实现动态图像平均与智能漂移矫正；</w:t>
      </w:r>
    </w:p>
    <w:p>
      <w:pPr>
        <w:spacing w:line="360" w:lineRule="auto"/>
        <w:ind w:left="425"/>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2.5可以使用鼠标滑轮将动态图像实时放大缩小，在拍摄图像之前确保其锐度和衬度；</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2.6具备一定的兼容性，可以控制电子束、快门偏转，改变倍率，切换成像模式和衍射模式，电镜参数的校准等；</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2.7从电镜读取到的信息可以自动添加并显示在软件界面里；</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2.8对放大倍率和加速电压信息可以更方便的输入，对拍到的图像能够自动的校准，确保标尺正确；</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2.9能控制电镜的自动样品台和图像偏转；</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2.10需有傅里叶变换功能，包括傅里叶倒易空间里的滤镜和所见即所得的图像实时过滤；</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2.11可以对任意大小的长方形做傅里叶变换，完全没有图像形状和大小的限制，并且可以在动态图像中实时使用。不管是倒易空间还是在原始图像中，所有的处理结果都可以实时看到。并且支持对多个区域同时进行操作；</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3.1透射电镜底装CCD相机包括：透射电镜专用600万像素CCD主机、透射电镜CCD连接法兰和辐射防护板、CCD安装和调试工具包、CCD运输专用保护罩、windows 系统计算机及CCD成像软件。</w:t>
      </w:r>
    </w:p>
    <w:p>
      <w:pPr>
        <w:numPr>
          <w:ilvl w:val="0"/>
          <w:numId w:val="6"/>
        </w:num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服务要求</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1、应对仪器设备的质量、规格、性能、数量进行详细和全面的检查，如有缺失，应负责赔偿。</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2、仪器设备的保修期为1年，保修期自验收合格签字之日起计算。保修期间维修及零件更换费用由厂家负担。</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3、在保修期内，供货厂商在接到用户要求对所购仪器设备进行维修时，应在24小时之内给予答复，并派出维修人员在三日内到达用户现场进行维修服务。</w:t>
      </w:r>
    </w:p>
    <w:p>
      <w:pPr>
        <w:spacing w:line="360" w:lineRule="auto"/>
        <w:ind w:left="425"/>
        <w:rPr>
          <w:rFonts w:hint="eastAsia" w:ascii="仿宋" w:hAnsi="仿宋" w:eastAsia="仿宋" w:cs="仿宋"/>
          <w:color w:val="000000"/>
          <w:sz w:val="24"/>
          <w:szCs w:val="24"/>
        </w:rPr>
      </w:pPr>
      <w:r>
        <w:rPr>
          <w:rFonts w:hint="eastAsia" w:ascii="仿宋" w:hAnsi="仿宋" w:eastAsia="仿宋" w:cs="仿宋"/>
          <w:color w:val="000000"/>
          <w:sz w:val="24"/>
          <w:szCs w:val="24"/>
        </w:rPr>
        <w:t>4、软件升级：保修期内免费软件升级，超过保修期在版本允许的情况下免费升级。</w:t>
      </w:r>
    </w:p>
    <w:p>
      <w:pPr>
        <w:numPr>
          <w:ilvl w:val="0"/>
          <w:numId w:val="6"/>
        </w:num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质保要求</w:t>
      </w:r>
    </w:p>
    <w:p>
      <w:pPr>
        <w:spacing w:line="360" w:lineRule="auto"/>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验收合格签字起质保1年</w:t>
      </w:r>
    </w:p>
    <w:p>
      <w:pPr>
        <w:pStyle w:val="20"/>
        <w:spacing w:line="276" w:lineRule="auto"/>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标项3</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798"/>
        <w:gridCol w:w="666"/>
        <w:gridCol w:w="1208"/>
        <w:gridCol w:w="1040"/>
        <w:gridCol w:w="1438"/>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66"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798"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666"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1208"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质保期限</w:t>
            </w:r>
          </w:p>
        </w:tc>
        <w:tc>
          <w:tcPr>
            <w:tcW w:w="1040"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suppressLineNumbers w:val="0"/>
              <w:spacing w:before="0" w:beforeAutospacing="0" w:after="0" w:afterAutospacing="0"/>
              <w:ind w:left="0" w:right="0"/>
              <w:jc w:val="center"/>
              <w:rPr>
                <w:rFonts w:hint="eastAsia" w:ascii="仿宋" w:hAnsi="仿宋" w:eastAsia="仿宋" w:cs="仿宋"/>
                <w:b/>
                <w:bCs/>
                <w:sz w:val="24"/>
                <w:szCs w:val="24"/>
              </w:rPr>
            </w:pPr>
            <w:r>
              <w:rPr>
                <w:rFonts w:hint="eastAsia" w:ascii="仿宋" w:hAnsi="仿宋" w:eastAsia="仿宋" w:cs="仿宋"/>
                <w:b/>
                <w:bCs/>
                <w:sz w:val="24"/>
                <w:szCs w:val="24"/>
              </w:rPr>
              <w:t>交货日期</w:t>
            </w:r>
          </w:p>
        </w:tc>
        <w:tc>
          <w:tcPr>
            <w:tcW w:w="14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子项目名称</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rPr>
            </w:pPr>
            <w:r>
              <w:rPr>
                <w:rFonts w:hint="eastAsia" w:ascii="仿宋" w:hAnsi="仿宋" w:eastAsia="仿宋"/>
                <w:b/>
                <w:bCs/>
                <w:color w:val="000000"/>
                <w:sz w:val="24"/>
              </w:rPr>
              <w:t>项目库编号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6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7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电感耦合等离子体质谱仪有机进样系统配件</w:t>
            </w:r>
          </w:p>
        </w:tc>
        <w:tc>
          <w:tcPr>
            <w:tcW w:w="6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p>
        </w:tc>
        <w:tc>
          <w:tcPr>
            <w:tcW w:w="12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1年</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自合同签订后60日历日</w:t>
            </w:r>
          </w:p>
        </w:tc>
        <w:tc>
          <w:tcPr>
            <w:tcW w:w="14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kern w:val="2"/>
                <w:sz w:val="24"/>
                <w:szCs w:val="24"/>
              </w:rPr>
              <w:t>大型仪器共享平台能力提升项目</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51192401102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6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79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STEM扫描透射附件</w:t>
            </w:r>
          </w:p>
        </w:tc>
        <w:tc>
          <w:tcPr>
            <w:tcW w:w="66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1年</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自合同签订后180日历日</w:t>
            </w:r>
          </w:p>
        </w:tc>
        <w:tc>
          <w:tcPr>
            <w:tcW w:w="143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kern w:val="2"/>
                <w:sz w:val="24"/>
                <w:szCs w:val="24"/>
              </w:rPr>
              <w:t>大型仪器共享平台能力提升项目</w:t>
            </w:r>
          </w:p>
        </w:tc>
        <w:tc>
          <w:tcPr>
            <w:tcW w:w="13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51192401102</w:t>
            </w:r>
          </w:p>
        </w:tc>
      </w:tr>
    </w:tbl>
    <w:p>
      <w:pPr>
        <w:pStyle w:val="24"/>
        <w:keepNext w:val="0"/>
        <w:keepLines w:val="0"/>
        <w:widowControl w:val="0"/>
        <w:suppressLineNumbers w:val="0"/>
        <w:autoSpaceDE w:val="0"/>
        <w:autoSpaceDN w:val="0"/>
        <w:adjustRightInd w:val="0"/>
        <w:spacing w:before="0" w:beforeAutospacing="0" w:after="0" w:afterAutospacing="0"/>
        <w:ind w:left="0" w:right="0"/>
        <w:jc w:val="both"/>
        <w:rPr>
          <w:rFonts w:hint="eastAsia" w:cs="宋体"/>
          <w:b/>
          <w:bCs w:val="0"/>
          <w:color w:val="000000"/>
          <w:kern w:val="0"/>
          <w:sz w:val="24"/>
          <w:szCs w:val="24"/>
          <w:lang w:val="en-US" w:eastAsia="zh-CN" w:bidi="ar"/>
        </w:rPr>
      </w:pPr>
    </w:p>
    <w:p>
      <w:pPr>
        <w:pStyle w:val="24"/>
        <w:keepNext w:val="0"/>
        <w:keepLines w:val="0"/>
        <w:widowControl w:val="0"/>
        <w:suppressLineNumbers w:val="0"/>
        <w:autoSpaceDE w:val="0"/>
        <w:autoSpaceDN w:val="0"/>
        <w:adjustRightInd w:val="0"/>
        <w:spacing w:before="0" w:beforeAutospacing="0" w:after="0" w:afterAutospacing="0"/>
        <w:ind w:left="0" w:right="0"/>
        <w:jc w:val="both"/>
        <w:rPr>
          <w:b/>
          <w:color w:val="000000" w:themeColor="text1"/>
          <w14:textFill>
            <w14:solidFill>
              <w14:schemeClr w14:val="tx1"/>
            </w14:solidFill>
          </w14:textFill>
        </w:rPr>
      </w:pPr>
      <w:r>
        <w:rPr>
          <w:rFonts w:hint="eastAsia" w:cs="宋体"/>
          <w:b/>
          <w:bCs w:val="0"/>
          <w:color w:val="000000"/>
          <w:kern w:val="0"/>
          <w:sz w:val="24"/>
          <w:szCs w:val="24"/>
          <w:lang w:val="en-US" w:eastAsia="zh-CN" w:bidi="ar"/>
        </w:rPr>
        <w:t>标项三</w:t>
      </w:r>
      <w:r>
        <w:rPr>
          <w:rFonts w:hint="eastAsia" w:ascii="Times New Roman" w:hAnsi="Times New Roman" w:eastAsia="宋体" w:cs="宋体"/>
          <w:b/>
          <w:bCs w:val="0"/>
          <w:color w:val="000000"/>
          <w:kern w:val="0"/>
          <w:sz w:val="24"/>
          <w:szCs w:val="24"/>
          <w:lang w:val="en-US" w:eastAsia="zh-CN" w:bidi="ar"/>
        </w:rPr>
        <w:t>：</w:t>
      </w:r>
    </w:p>
    <w:p>
      <w:pPr>
        <w:numPr>
          <w:ilvl w:val="0"/>
          <w:numId w:val="0"/>
        </w:numPr>
        <w:spacing w:line="360" w:lineRule="auto"/>
        <w:ind w:left="420" w:leftChars="0" w:hanging="420" w:firstLineChars="0"/>
        <w:rPr>
          <w:rFonts w:ascii="仿宋" w:hAnsi="仿宋" w:eastAsia="仿宋" w:cs="仿宋"/>
          <w:color w:val="000000"/>
          <w:sz w:val="24"/>
          <w:szCs w:val="24"/>
        </w:rPr>
      </w:pPr>
      <w:r>
        <w:rPr>
          <w:rFonts w:hint="default" w:ascii="Symbol" w:hAnsi="Symbol" w:eastAsia="仿宋" w:cs="仿宋"/>
          <w:color w:val="auto"/>
          <w:kern w:val="2"/>
          <w:sz w:val="24"/>
          <w:szCs w:val="24"/>
          <w:lang w:val="en-US" w:eastAsia="zh-CN" w:bidi="ar-SA"/>
        </w:rPr>
        <w:t></w:t>
      </w:r>
      <w:r>
        <w:rPr>
          <w:rFonts w:hint="eastAsia" w:ascii="仿宋" w:hAnsi="仿宋" w:eastAsia="仿宋" w:cs="仿宋"/>
          <w:b/>
          <w:color w:val="000000"/>
          <w:sz w:val="24"/>
          <w:szCs w:val="24"/>
        </w:rPr>
        <w:t>1、品目名称：电感耦合等离子体质谱仪有机进样系统（</w:t>
      </w:r>
      <w:r>
        <w:rPr>
          <w:rFonts w:hint="eastAsia" w:ascii="仿宋" w:hAnsi="仿宋" w:eastAsia="仿宋" w:cs="仿宋"/>
          <w:b/>
          <w:color w:val="000000"/>
          <w:sz w:val="24"/>
          <w:szCs w:val="24"/>
          <w:lang w:eastAsia="zh-CN"/>
        </w:rPr>
        <w:t>进口</w:t>
      </w:r>
      <w:r>
        <w:rPr>
          <w:rFonts w:hint="eastAsia" w:ascii="仿宋" w:hAnsi="仿宋" w:eastAsia="仿宋" w:cs="仿宋"/>
          <w:b/>
          <w:color w:val="000000"/>
          <w:sz w:val="24"/>
          <w:szCs w:val="24"/>
        </w:rPr>
        <w:t>）</w:t>
      </w:r>
    </w:p>
    <w:p>
      <w:pPr>
        <w:numPr>
          <w:ilvl w:val="0"/>
          <w:numId w:val="0"/>
        </w:numPr>
        <w:spacing w:line="360" w:lineRule="auto"/>
        <w:ind w:left="425" w:leftChars="0" w:hanging="425" w:firstLineChars="0"/>
        <w:rPr>
          <w:rFonts w:ascii="仿宋" w:hAnsi="仿宋" w:eastAsia="仿宋" w:cs="仿宋"/>
          <w:color w:val="000000"/>
          <w:sz w:val="24"/>
          <w:szCs w:val="24"/>
        </w:rPr>
      </w:pPr>
      <w:r>
        <w:rPr>
          <w:rFonts w:hint="default" w:ascii="仿宋" w:hAnsi="仿宋" w:eastAsia="仿宋" w:cs="仿宋"/>
          <w:color w:val="000000"/>
          <w:kern w:val="2"/>
          <w:sz w:val="24"/>
          <w:szCs w:val="24"/>
          <w:lang w:val="en-US" w:eastAsia="zh-CN" w:bidi="ar-SA"/>
        </w:rPr>
        <w:t>5)</w:t>
      </w:r>
      <w:r>
        <w:rPr>
          <w:rFonts w:hint="eastAsia" w:ascii="仿宋" w:hAnsi="仿宋" w:eastAsia="仿宋" w:cs="仿宋"/>
          <w:color w:val="000000"/>
          <w:sz w:val="24"/>
          <w:szCs w:val="24"/>
        </w:rPr>
        <w:t>规格</w:t>
      </w:r>
    </w:p>
    <w:p>
      <w:pPr>
        <w:numPr>
          <w:ilvl w:val="0"/>
          <w:numId w:val="0"/>
        </w:numPr>
        <w:spacing w:line="360" w:lineRule="auto"/>
        <w:ind w:leftChars="0"/>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能够匹配中心现有的</w:t>
      </w:r>
      <w:r>
        <w:rPr>
          <w:rFonts w:hint="eastAsia" w:ascii="仿宋" w:hAnsi="仿宋" w:eastAsia="仿宋" w:cs="仿宋"/>
          <w:color w:val="000000"/>
          <w:sz w:val="24"/>
          <w:szCs w:val="24"/>
          <w:lang w:eastAsia="zh-CN"/>
        </w:rPr>
        <w:t>安捷伦</w:t>
      </w:r>
      <w:r>
        <w:rPr>
          <w:rFonts w:hint="eastAsia" w:ascii="仿宋" w:hAnsi="仿宋" w:eastAsia="仿宋" w:cs="仿宋"/>
          <w:color w:val="000000"/>
          <w:sz w:val="24"/>
          <w:szCs w:val="24"/>
          <w:lang w:val="en-US" w:eastAsia="zh-CN"/>
        </w:rPr>
        <w:t>7900设备的有机加氧系统，包括：</w:t>
      </w:r>
      <w:r>
        <w:rPr>
          <w:rFonts w:hint="eastAsia" w:ascii="仿宋" w:hAnsi="仿宋" w:eastAsia="仿宋" w:cs="仿宋"/>
          <w:color w:val="000000"/>
          <w:sz w:val="24"/>
          <w:szCs w:val="24"/>
        </w:rPr>
        <w:t>有机加氧气路</w:t>
      </w:r>
      <w:r>
        <w:rPr>
          <w:rFonts w:hint="eastAsia" w:ascii="仿宋" w:hAnsi="仿宋" w:eastAsia="仿宋" w:cs="仿宋"/>
          <w:color w:val="000000"/>
          <w:sz w:val="24"/>
          <w:szCs w:val="24"/>
          <w:lang w:val="en-US" w:eastAsia="zh-CN"/>
        </w:rPr>
        <w:t>1套</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包括气路管线、气瓶、气瓶柜</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加氧质量流控制器</w:t>
      </w:r>
      <w:r>
        <w:rPr>
          <w:rFonts w:hint="eastAsia" w:ascii="仿宋" w:hAnsi="仿宋" w:eastAsia="仿宋" w:cs="仿宋"/>
          <w:color w:val="000000"/>
          <w:sz w:val="24"/>
          <w:szCs w:val="24"/>
          <w:lang w:val="en-US" w:eastAsia="zh-CN"/>
        </w:rPr>
        <w:t>1套；</w:t>
      </w:r>
      <w:r>
        <w:rPr>
          <w:rFonts w:hint="eastAsia" w:ascii="仿宋" w:hAnsi="仿宋" w:eastAsia="仿宋" w:cs="仿宋"/>
          <w:color w:val="000000"/>
          <w:sz w:val="24"/>
          <w:szCs w:val="24"/>
        </w:rPr>
        <w:t>铂材质采样锥孔、截取锥锥孔</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套</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黄铜基座</w:t>
      </w:r>
      <w:r>
        <w:rPr>
          <w:rFonts w:hint="eastAsia" w:ascii="仿宋" w:hAnsi="仿宋" w:eastAsia="仿宋" w:cs="仿宋"/>
          <w:color w:val="000000"/>
          <w:sz w:val="24"/>
          <w:szCs w:val="24"/>
          <w:lang w:val="en-US" w:eastAsia="zh-CN"/>
        </w:rPr>
        <w:t>1个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有机溶剂专用一体式炬管，中心管内径1.5mm，2个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专用挥发有机石英炬管（中心喷射管内径1.0mm，适合汽油、石脑油等强挥发有机物进样），2个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控制软件模块</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4个移液枪：1毫升，5毫升，10毫升，0.1毫升。</w:t>
      </w:r>
    </w:p>
    <w:p>
      <w:pPr>
        <w:numPr>
          <w:ilvl w:val="0"/>
          <w:numId w:val="0"/>
        </w:numPr>
        <w:spacing w:line="360" w:lineRule="auto"/>
        <w:ind w:left="425" w:leftChars="0" w:hanging="425" w:firstLineChars="0"/>
        <w:rPr>
          <w:rFonts w:ascii="仿宋" w:hAnsi="仿宋" w:eastAsia="仿宋" w:cs="仿宋"/>
          <w:color w:val="000000"/>
          <w:sz w:val="24"/>
          <w:szCs w:val="24"/>
        </w:rPr>
      </w:pPr>
      <w:r>
        <w:rPr>
          <w:rFonts w:hint="default" w:ascii="仿宋" w:hAnsi="仿宋" w:eastAsia="仿宋" w:cs="仿宋"/>
          <w:color w:val="000000"/>
          <w:kern w:val="2"/>
          <w:sz w:val="24"/>
          <w:szCs w:val="24"/>
          <w:lang w:val="en-US" w:eastAsia="zh-CN" w:bidi="ar-SA"/>
        </w:rPr>
        <w:t>6)</w:t>
      </w:r>
      <w:r>
        <w:rPr>
          <w:rFonts w:hint="eastAsia" w:ascii="仿宋" w:hAnsi="仿宋" w:eastAsia="仿宋" w:cs="仿宋"/>
          <w:color w:val="000000"/>
          <w:sz w:val="24"/>
          <w:szCs w:val="24"/>
        </w:rPr>
        <w:t>详细参数</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2.1、有机加氧气路，用于直接分析有机溶液时加入氧气，或在激光剥蚀中引入氦气，包括加氧质量流控制器、气路管线、氩氧混合气、气瓶、减压阀、气瓶柜。</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2.2、软件的高级采集功能（例如激光剥蚀或液相联机时TRA瞬时信号分析、高精度同位素比值分析等）</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2.3、铂材质采样锥、截取锥两套，黄铜基座一套</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 xml:space="preserve">  Pt采样锥(镀镍 长寿命) ，Pt锥尖-铜基座-基座镀镍，尖端直径12mm，锥孔1.0mm，推荐用于分析强酸（尤其是 HCl、HF 和 HClO</w:t>
      </w:r>
      <w:r>
        <w:rPr>
          <w:rFonts w:hint="eastAsia" w:ascii="仿宋" w:hAnsi="仿宋" w:eastAsia="仿宋" w:cs="仿宋"/>
          <w:color w:val="000000"/>
          <w:sz w:val="24"/>
          <w:szCs w:val="24"/>
          <w:vertAlign w:val="subscript"/>
          <w:lang w:val="en-US" w:eastAsia="zh-CN"/>
        </w:rPr>
        <w:t>4</w:t>
      </w:r>
      <w:r>
        <w:rPr>
          <w:rFonts w:hint="eastAsia" w:ascii="仿宋" w:hAnsi="仿宋" w:eastAsia="仿宋" w:cs="仿宋"/>
          <w:color w:val="000000"/>
          <w:sz w:val="24"/>
          <w:szCs w:val="24"/>
          <w:lang w:val="en-US" w:eastAsia="zh-CN"/>
        </w:rPr>
        <w:t>）和高基质样品。与铂截取锥和黄铜截取锥基座配套使用。配备 x 透镜的截取锥，铂尖，带有铜基座。用于强酸消化液（包括 HF），与铂采样锥和黄铜截取锥基座配套使用。</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2.4、常规有机石英炬管2个</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一体式石英炬管，内径 1.5 mm 的锥形中心管，用于通过 Agilent 7900 ICP-MS 进行有机溶剂分析。适用于有机溶剂，但是对含氢氟酸 (HF) 的样品无惰性。</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2.5、挥发有机石英炬管2个</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一体式石英炬管，中心喷射管内径1.0mm,适合汽油、石脑油等强挥发有机物进样。但是对含氢氟酸 (HF) 的样品无惰性。</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2.6、蠕动泵管线1包，硅橡胶，3 卡头，白色/白色接头，内径1.02mm，6/包。</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2.7、标准样品：75 cSt烃油基体 500ppm A21 + K 磨损金属标准样品1瓶，500 ug/g，100 g，含有 Ag、Al、B、Ba、Ca、Cd、Cr、Cu、Fe、Mg、Mn、Mo、Na、Ni、P、Pb、Si、Sn、Ti、V、Zn、K</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2.8、测试标样1瓶,基础烃油空白，2 ppm，1/2 加仑</w:t>
      </w:r>
    </w:p>
    <w:p>
      <w:pPr>
        <w:numPr>
          <w:ilvl w:val="0"/>
          <w:numId w:val="0"/>
        </w:numPr>
        <w:spacing w:line="360" w:lineRule="auto"/>
        <w:ind w:leftChars="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2.9、钴 (Co) 内标1瓶，5000 ug/g，200 g，含有 5000ppm Co。</w:t>
      </w:r>
    </w:p>
    <w:p>
      <w:pPr>
        <w:numPr>
          <w:ilvl w:val="0"/>
          <w:numId w:val="0"/>
        </w:numPr>
        <w:spacing w:line="360" w:lineRule="auto"/>
        <w:ind w:leftChars="0"/>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2.10、6、安装完成后，中心自有的安捷伦7900型电感耦合等离子体质谱仪具备直接有机进样测试能力，检出限满足Ag＜2ppt，Cd＜1.8ppt，Cu＜2ppt。</w:t>
      </w:r>
    </w:p>
    <w:p>
      <w:pPr>
        <w:numPr>
          <w:ilvl w:val="0"/>
          <w:numId w:val="0"/>
        </w:numPr>
        <w:spacing w:line="360" w:lineRule="auto"/>
        <w:ind w:left="425" w:leftChars="0" w:hanging="425" w:firstLineChars="0"/>
        <w:rPr>
          <w:rFonts w:ascii="仿宋" w:hAnsi="仿宋" w:eastAsia="仿宋" w:cs="仿宋"/>
          <w:color w:val="000000"/>
          <w:sz w:val="24"/>
          <w:szCs w:val="24"/>
        </w:rPr>
      </w:pPr>
      <w:r>
        <w:rPr>
          <w:rFonts w:hint="default" w:ascii="仿宋" w:hAnsi="仿宋" w:eastAsia="仿宋" w:cs="仿宋"/>
          <w:color w:val="000000"/>
          <w:kern w:val="2"/>
          <w:sz w:val="24"/>
          <w:szCs w:val="24"/>
          <w:lang w:val="en-US" w:eastAsia="zh-CN" w:bidi="ar-SA"/>
        </w:rPr>
        <w:t>7)</w:t>
      </w:r>
      <w:r>
        <w:rPr>
          <w:rFonts w:hint="eastAsia" w:ascii="仿宋" w:hAnsi="仿宋" w:eastAsia="仿宋" w:cs="仿宋"/>
          <w:color w:val="000000"/>
          <w:sz w:val="24"/>
          <w:szCs w:val="24"/>
        </w:rPr>
        <w:t>服务要求</w:t>
      </w:r>
    </w:p>
    <w:p>
      <w:pPr>
        <w:numPr>
          <w:ilvl w:val="0"/>
          <w:numId w:val="0"/>
        </w:numPr>
        <w:spacing w:line="360" w:lineRule="auto"/>
        <w:ind w:leftChars="0"/>
        <w:rPr>
          <w:rFonts w:hint="eastAsia" w:ascii="仿宋" w:hAnsi="仿宋" w:eastAsia="仿宋" w:cs="仿宋"/>
          <w:color w:val="000000"/>
          <w:sz w:val="24"/>
          <w:szCs w:val="24"/>
        </w:rPr>
      </w:pPr>
      <w:r>
        <w:rPr>
          <w:rFonts w:hint="eastAsia" w:ascii="仿宋" w:hAnsi="仿宋" w:eastAsia="仿宋" w:cs="仿宋"/>
          <w:color w:val="000000"/>
          <w:sz w:val="24"/>
          <w:szCs w:val="24"/>
        </w:rPr>
        <w:t>3.1 新疆大学指定地点安装调试，</w:t>
      </w:r>
      <w:r>
        <w:rPr>
          <w:rFonts w:hint="eastAsia" w:ascii="仿宋" w:hAnsi="仿宋" w:eastAsia="仿宋" w:cs="仿宋"/>
          <w:color w:val="000000"/>
          <w:sz w:val="24"/>
          <w:szCs w:val="24"/>
          <w:lang w:eastAsia="zh-CN"/>
        </w:rPr>
        <w:t>到货</w:t>
      </w:r>
      <w:r>
        <w:rPr>
          <w:rFonts w:hint="eastAsia" w:ascii="仿宋" w:hAnsi="仿宋" w:eastAsia="仿宋" w:cs="仿宋"/>
          <w:color w:val="000000"/>
          <w:sz w:val="24"/>
          <w:szCs w:val="24"/>
        </w:rPr>
        <w:t>一个月内完成安装验收工作。</w:t>
      </w:r>
    </w:p>
    <w:p>
      <w:pPr>
        <w:numPr>
          <w:ilvl w:val="0"/>
          <w:numId w:val="0"/>
        </w:numPr>
        <w:spacing w:line="360" w:lineRule="auto"/>
        <w:ind w:leftChars="0"/>
        <w:rPr>
          <w:rFonts w:hint="eastAsia" w:ascii="仿宋" w:hAnsi="仿宋" w:eastAsia="仿宋" w:cs="仿宋"/>
          <w:color w:val="000000"/>
          <w:sz w:val="24"/>
          <w:szCs w:val="24"/>
        </w:rPr>
      </w:pPr>
      <w:r>
        <w:rPr>
          <w:rFonts w:hint="eastAsia" w:ascii="仿宋" w:hAnsi="仿宋" w:eastAsia="仿宋" w:cs="仿宋"/>
          <w:color w:val="000000"/>
          <w:sz w:val="24"/>
          <w:szCs w:val="24"/>
        </w:rPr>
        <w:t>3.2 调试与培训：在现场完成调试与培训，使用户熟练掌握仪器操作及日常维护。</w:t>
      </w:r>
    </w:p>
    <w:p>
      <w:pPr>
        <w:numPr>
          <w:ilvl w:val="0"/>
          <w:numId w:val="0"/>
        </w:numPr>
        <w:spacing w:line="360" w:lineRule="auto"/>
        <w:ind w:leftChars="0"/>
        <w:rPr>
          <w:rFonts w:ascii="仿宋" w:hAnsi="仿宋" w:eastAsia="仿宋" w:cs="仿宋"/>
          <w:color w:val="000000"/>
          <w:sz w:val="24"/>
          <w:szCs w:val="24"/>
        </w:rPr>
      </w:pPr>
      <w:r>
        <w:rPr>
          <w:rFonts w:hint="eastAsia" w:ascii="仿宋" w:hAnsi="仿宋" w:eastAsia="仿宋" w:cs="仿宋"/>
          <w:color w:val="000000"/>
          <w:sz w:val="24"/>
          <w:szCs w:val="24"/>
        </w:rPr>
        <w:t>3.3 其他服务要求：具有一定的售后服务能力，当地具有专业的维修工程师，设备终身维护，设备报修应在4小时之内响应。</w:t>
      </w:r>
    </w:p>
    <w:p>
      <w:pPr>
        <w:numPr>
          <w:ilvl w:val="0"/>
          <w:numId w:val="0"/>
        </w:numPr>
        <w:spacing w:line="360" w:lineRule="auto"/>
        <w:ind w:left="425" w:leftChars="0" w:hanging="425" w:firstLineChars="0"/>
        <w:rPr>
          <w:rFonts w:ascii="仿宋" w:hAnsi="仿宋" w:eastAsia="仿宋" w:cs="仿宋"/>
          <w:color w:val="000000"/>
          <w:sz w:val="24"/>
          <w:szCs w:val="24"/>
        </w:rPr>
      </w:pPr>
      <w:r>
        <w:rPr>
          <w:rFonts w:hint="default" w:ascii="仿宋" w:hAnsi="仿宋" w:eastAsia="仿宋" w:cs="仿宋"/>
          <w:color w:val="000000"/>
          <w:kern w:val="2"/>
          <w:sz w:val="24"/>
          <w:szCs w:val="24"/>
          <w:lang w:val="en-US" w:eastAsia="zh-CN" w:bidi="ar-SA"/>
        </w:rPr>
        <w:t>8)</w:t>
      </w:r>
      <w:r>
        <w:rPr>
          <w:rFonts w:hint="eastAsia" w:ascii="仿宋" w:hAnsi="仿宋" w:eastAsia="仿宋" w:cs="仿宋"/>
          <w:color w:val="000000"/>
          <w:sz w:val="24"/>
          <w:szCs w:val="24"/>
        </w:rPr>
        <w:t>质保要求</w:t>
      </w:r>
    </w:p>
    <w:p>
      <w:pPr>
        <w:numPr>
          <w:ilvl w:val="0"/>
          <w:numId w:val="0"/>
        </w:numPr>
        <w:spacing w:line="360" w:lineRule="auto"/>
        <w:ind w:leftChars="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供方向用户提供一年的免费保修服务，在保修期内，所服务及配件全部免费。</w:t>
      </w:r>
    </w:p>
    <w:p>
      <w:pPr>
        <w:spacing w:line="360" w:lineRule="auto"/>
        <w:rPr>
          <w:rFonts w:ascii="仿宋" w:hAnsi="仿宋" w:eastAsia="仿宋" w:cs="仿宋"/>
          <w:color w:val="000000"/>
          <w:sz w:val="24"/>
          <w:szCs w:val="24"/>
        </w:rPr>
      </w:pPr>
      <w:r>
        <w:rPr>
          <w:rFonts w:hint="default" w:ascii="Symbol" w:hAnsi="Symbol" w:eastAsia="仿宋" w:cs="仿宋"/>
          <w:color w:val="auto"/>
          <w:kern w:val="2"/>
          <w:sz w:val="24"/>
          <w:szCs w:val="24"/>
          <w:lang w:val="en-US" w:eastAsia="zh-CN" w:bidi="ar-SA"/>
        </w:rPr>
        <w:t></w:t>
      </w:r>
      <w:r>
        <w:rPr>
          <w:rFonts w:hint="eastAsia" w:ascii="仿宋" w:hAnsi="仿宋" w:eastAsia="仿宋" w:cs="仿宋"/>
          <w:b/>
          <w:color w:val="000000"/>
          <w:sz w:val="24"/>
          <w:szCs w:val="24"/>
          <w:lang w:val="en-US" w:eastAsia="zh-CN"/>
        </w:rPr>
        <w:t>2</w:t>
      </w:r>
      <w:r>
        <w:rPr>
          <w:rFonts w:hint="eastAsia" w:ascii="仿宋" w:hAnsi="仿宋" w:eastAsia="仿宋" w:cs="仿宋"/>
          <w:b/>
          <w:color w:val="000000"/>
          <w:sz w:val="24"/>
          <w:szCs w:val="24"/>
        </w:rPr>
        <w:t>、品目名称：超高分辨冷场发射扫描电镜</w:t>
      </w:r>
      <w:r>
        <w:rPr>
          <w:rFonts w:ascii="仿宋" w:hAnsi="仿宋" w:eastAsia="仿宋" w:cs="仿宋"/>
          <w:b/>
          <w:color w:val="000000"/>
          <w:sz w:val="24"/>
          <w:szCs w:val="24"/>
        </w:rPr>
        <w:t>STEM</w:t>
      </w:r>
      <w:r>
        <w:rPr>
          <w:rFonts w:hint="eastAsia" w:ascii="仿宋" w:hAnsi="仿宋" w:eastAsia="仿宋" w:cs="仿宋"/>
          <w:b/>
          <w:color w:val="000000"/>
          <w:sz w:val="24"/>
          <w:szCs w:val="24"/>
        </w:rPr>
        <w:t>扫描透射附件（进口）</w:t>
      </w:r>
    </w:p>
    <w:p>
      <w:pPr>
        <w:numPr>
          <w:ilvl w:val="0"/>
          <w:numId w:val="0"/>
        </w:numPr>
        <w:spacing w:line="360" w:lineRule="auto"/>
        <w:ind w:left="425" w:leftChars="0" w:hanging="425" w:firstLineChars="0"/>
        <w:rPr>
          <w:rFonts w:ascii="仿宋" w:hAnsi="仿宋" w:eastAsia="仿宋" w:cs="仿宋"/>
          <w:color w:val="000000"/>
          <w:sz w:val="24"/>
          <w:szCs w:val="24"/>
        </w:rPr>
      </w:pPr>
      <w:r>
        <w:rPr>
          <w:rFonts w:hint="eastAsia" w:ascii="仿宋" w:hAnsi="仿宋" w:eastAsia="仿宋" w:cs="仿宋"/>
          <w:color w:val="000000"/>
          <w:kern w:val="2"/>
          <w:sz w:val="24"/>
          <w:szCs w:val="24"/>
          <w:lang w:val="en-US" w:eastAsia="zh-CN" w:bidi="ar-SA"/>
        </w:rPr>
        <w:t>1</w:t>
      </w:r>
      <w:r>
        <w:rPr>
          <w:rFonts w:hint="default" w:ascii="仿宋" w:hAnsi="仿宋" w:eastAsia="仿宋" w:cs="仿宋"/>
          <w:color w:val="000000"/>
          <w:kern w:val="2"/>
          <w:sz w:val="24"/>
          <w:szCs w:val="24"/>
          <w:lang w:val="en-US" w:eastAsia="zh-CN" w:bidi="ar-SA"/>
        </w:rPr>
        <w:t>)</w:t>
      </w:r>
      <w:r>
        <w:rPr>
          <w:rFonts w:hint="eastAsia" w:ascii="仿宋" w:hAnsi="仿宋" w:eastAsia="仿宋" w:cs="仿宋"/>
          <w:color w:val="000000"/>
          <w:sz w:val="24"/>
          <w:szCs w:val="24"/>
        </w:rPr>
        <w:t>规格</w:t>
      </w:r>
    </w:p>
    <w:p>
      <w:pPr>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.1</w:t>
      </w:r>
      <w:r>
        <w:rPr>
          <w:rFonts w:hint="eastAsia" w:ascii="仿宋" w:hAnsi="仿宋" w:eastAsia="仿宋" w:cs="仿宋"/>
          <w:color w:val="000000"/>
          <w:sz w:val="24"/>
          <w:szCs w:val="24"/>
        </w:rPr>
        <w:t>、能与日立S</w:t>
      </w:r>
      <w:r>
        <w:rPr>
          <w:rFonts w:ascii="仿宋" w:hAnsi="仿宋" w:eastAsia="仿宋" w:cs="仿宋"/>
          <w:color w:val="000000"/>
          <w:sz w:val="24"/>
          <w:szCs w:val="24"/>
        </w:rPr>
        <w:t>U8600</w:t>
      </w:r>
      <w:r>
        <w:rPr>
          <w:rFonts w:hint="eastAsia" w:ascii="仿宋" w:hAnsi="仿宋" w:eastAsia="仿宋" w:cs="仿宋"/>
          <w:color w:val="000000"/>
          <w:sz w:val="24"/>
          <w:szCs w:val="24"/>
        </w:rPr>
        <w:t>超高分辨冷场发射扫描电镜兼容的STEM扫描透射探测器和2个暗场STEM样品台（包含4个暗场信号转换片，100-700 mrad，200-700 mrad，300-700 mrad，400-700 mrad），实现STEM明场像和暗场像。</w:t>
      </w:r>
    </w:p>
    <w:p>
      <w:pPr>
        <w:spacing w:line="360" w:lineRule="auto"/>
        <w:rPr>
          <w:rFonts w:ascii="仿宋" w:hAnsi="仿宋" w:eastAsia="仿宋" w:cs="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2、视频放大单元（探头附件）</w:t>
      </w:r>
    </w:p>
    <w:p>
      <w:pPr>
        <w:spacing w:line="360" w:lineRule="auto"/>
        <w:rPr>
          <w:rFonts w:hint="eastAsia" w:ascii="仿宋" w:hAnsi="仿宋" w:eastAsia="仿宋" w:cs="仿宋"/>
          <w:color w:val="000000"/>
          <w:sz w:val="24"/>
          <w:szCs w:val="24"/>
        </w:rPr>
      </w:pPr>
      <w:r>
        <w:rPr>
          <w:rFonts w:ascii="仿宋" w:hAnsi="仿宋" w:eastAsia="仿宋" w:cs="仿宋"/>
          <w:color w:val="000000"/>
          <w:sz w:val="24"/>
          <w:szCs w:val="24"/>
        </w:rPr>
        <w:t>1.</w:t>
      </w:r>
      <w:r>
        <w:rPr>
          <w:rFonts w:hint="eastAsia" w:ascii="仿宋" w:hAnsi="仿宋" w:eastAsia="仿宋" w:cs="仿宋"/>
          <w:color w:val="000000"/>
          <w:sz w:val="24"/>
          <w:szCs w:val="24"/>
        </w:rPr>
        <w:t>3、光电倍增管电源单元（探头附件）</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w:t>
      </w:r>
      <w:r>
        <w:rPr>
          <w:rFonts w:ascii="仿宋" w:hAnsi="仿宋" w:eastAsia="仿宋" w:cs="仿宋"/>
          <w:color w:val="000000"/>
          <w:sz w:val="24"/>
          <w:szCs w:val="24"/>
        </w:rPr>
        <w:t>.</w:t>
      </w:r>
      <w:r>
        <w:rPr>
          <w:rFonts w:hint="eastAsia" w:ascii="仿宋" w:hAnsi="仿宋" w:eastAsia="仿宋" w:cs="仿宋"/>
          <w:color w:val="000000"/>
          <w:sz w:val="24"/>
          <w:szCs w:val="24"/>
        </w:rPr>
        <w:t>功能要求：无需单独设备，依托现有的场发射扫描电镜，搭配STEM扫描透射模块不仅可以实现扫描电子显微镜图像，观察样品的表面形貌和成分像，还可以观察样品样品表面和内部的细节结构。在低加速电压（</w:t>
      </w:r>
      <w:r>
        <w:rPr>
          <w:rFonts w:ascii="仿宋" w:hAnsi="仿宋" w:eastAsia="仿宋" w:cs="仿宋"/>
          <w:color w:val="000000"/>
          <w:sz w:val="24"/>
          <w:szCs w:val="24"/>
        </w:rPr>
        <w:t>10-30kV</w:t>
      </w:r>
      <w:r>
        <w:rPr>
          <w:rFonts w:hint="eastAsia" w:ascii="仿宋" w:hAnsi="仿宋" w:eastAsia="仿宋" w:cs="仿宋"/>
          <w:color w:val="000000"/>
          <w:sz w:val="24"/>
          <w:szCs w:val="24"/>
        </w:rPr>
        <w:t>）观察低衬度的样品，包括生物样品和评价材料样品的结构和晶体取向信息。</w:t>
      </w:r>
    </w:p>
    <w:p>
      <w:pPr>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3</w:t>
      </w:r>
      <w:r>
        <w:rPr>
          <w:rFonts w:ascii="仿宋" w:hAnsi="仿宋" w:eastAsia="仿宋" w:cs="仿宋"/>
          <w:color w:val="000000"/>
          <w:sz w:val="24"/>
          <w:szCs w:val="24"/>
        </w:rPr>
        <w:t>.</w:t>
      </w:r>
      <w:r>
        <w:rPr>
          <w:rFonts w:hint="eastAsia" w:ascii="仿宋" w:hAnsi="仿宋" w:eastAsia="仿宋" w:cs="仿宋"/>
          <w:color w:val="000000"/>
          <w:sz w:val="24"/>
          <w:szCs w:val="24"/>
        </w:rPr>
        <w:t>服务要求</w:t>
      </w:r>
    </w:p>
    <w:p>
      <w:pPr>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3.1 新疆大学指定地点安装调试，到货一个月内完成安装验收工作。</w:t>
      </w:r>
    </w:p>
    <w:p>
      <w:pPr>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3.2 调试与培训：在现场完成调试与培训，使用户熟练掌握仪器操作及日常维护。</w:t>
      </w:r>
    </w:p>
    <w:p>
      <w:pPr>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3.3 其他服务要求：具有一定的售后服务能力，当地具有专业的维修工程师，设备终身维护，设备报修应在4小时之内响应。</w:t>
      </w:r>
    </w:p>
    <w:p>
      <w:pPr>
        <w:numPr>
          <w:ilvl w:val="0"/>
          <w:numId w:val="0"/>
        </w:numPr>
        <w:spacing w:line="360" w:lineRule="auto"/>
        <w:ind w:left="425" w:leftChars="0" w:hanging="425" w:firstLineChars="0"/>
        <w:rPr>
          <w:rFonts w:ascii="仿宋" w:hAnsi="仿宋" w:eastAsia="仿宋" w:cs="仿宋"/>
          <w:color w:val="000000"/>
          <w:sz w:val="24"/>
          <w:szCs w:val="24"/>
        </w:rPr>
      </w:pPr>
      <w:r>
        <w:rPr>
          <w:rFonts w:hint="eastAsia" w:ascii="仿宋" w:hAnsi="仿宋" w:eastAsia="仿宋" w:cs="仿宋"/>
          <w:color w:val="000000"/>
          <w:kern w:val="2"/>
          <w:sz w:val="24"/>
          <w:szCs w:val="24"/>
          <w:lang w:val="en-US" w:eastAsia="zh-CN" w:bidi="ar-SA"/>
        </w:rPr>
        <w:t>2</w:t>
      </w:r>
      <w:r>
        <w:rPr>
          <w:rFonts w:hint="default" w:ascii="仿宋" w:hAnsi="仿宋" w:eastAsia="仿宋" w:cs="仿宋"/>
          <w:color w:val="000000"/>
          <w:kern w:val="2"/>
          <w:sz w:val="24"/>
          <w:szCs w:val="24"/>
          <w:lang w:val="en-US" w:eastAsia="zh-CN" w:bidi="ar-SA"/>
        </w:rPr>
        <w:t>)</w:t>
      </w:r>
      <w:r>
        <w:rPr>
          <w:rFonts w:hint="eastAsia" w:ascii="仿宋" w:hAnsi="仿宋" w:eastAsia="仿宋" w:cs="仿宋"/>
          <w:color w:val="000000"/>
          <w:sz w:val="24"/>
          <w:szCs w:val="24"/>
        </w:rPr>
        <w:t>质保要求</w:t>
      </w:r>
    </w:p>
    <w:p>
      <w:pPr>
        <w:spacing w:line="360" w:lineRule="auto"/>
        <w:ind w:firstLine="480" w:firstLineChars="200"/>
        <w:rPr>
          <w:rFonts w:hint="eastAsia" w:ascii="仿宋" w:hAnsi="仿宋" w:eastAsia="仿宋" w:cs="仿宋"/>
          <w:color w:val="000000"/>
          <w:sz w:val="24"/>
          <w:szCs w:val="24"/>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color w:val="000000"/>
          <w:sz w:val="24"/>
          <w:szCs w:val="24"/>
        </w:rPr>
        <w:t>供方向用户提供一年的免费保修服务，在保修期内，所服务及配件全部免费。</w:t>
      </w:r>
    </w:p>
    <w:p>
      <w:pPr>
        <w:pStyle w:val="20"/>
        <w:spacing w:line="360" w:lineRule="auto"/>
        <w:jc w:val="both"/>
        <w:rPr>
          <w:rFonts w:ascii="仿宋" w:hAnsi="仿宋" w:eastAsia="仿宋" w:cs="仿宋"/>
          <w:b/>
          <w:bCs/>
          <w:sz w:val="24"/>
          <w:szCs w:val="24"/>
        </w:rPr>
      </w:pPr>
      <w:r>
        <w:rPr>
          <w:rFonts w:hint="eastAsia" w:ascii="仿宋" w:hAnsi="仿宋" w:eastAsia="仿宋" w:cs="仿宋"/>
          <w:b/>
          <w:bCs/>
          <w:sz w:val="24"/>
          <w:szCs w:val="24"/>
        </w:rPr>
        <w:t>五、</w:t>
      </w:r>
      <w:r>
        <w:rPr>
          <w:rFonts w:ascii="仿宋" w:hAnsi="仿宋" w:eastAsia="仿宋" w:cs="仿宋"/>
          <w:b/>
          <w:bCs/>
          <w:sz w:val="24"/>
          <w:szCs w:val="24"/>
        </w:rPr>
        <w:t>采购标的的其他技术、服务等要求</w:t>
      </w:r>
    </w:p>
    <w:p>
      <w:pPr>
        <w:pStyle w:val="20"/>
        <w:spacing w:line="360" w:lineRule="auto"/>
        <w:jc w:val="both"/>
        <w:rPr>
          <w:rFonts w:ascii="仿宋" w:hAnsi="仿宋" w:eastAsia="仿宋" w:cs="仿宋"/>
          <w:sz w:val="24"/>
          <w:szCs w:val="24"/>
        </w:rPr>
      </w:pPr>
      <w:r>
        <w:rPr>
          <w:rFonts w:hint="eastAsia" w:ascii="仿宋" w:hAnsi="仿宋" w:eastAsia="仿宋" w:cs="仿宋"/>
          <w:sz w:val="24"/>
          <w:szCs w:val="24"/>
        </w:rPr>
        <w:t>1、</w:t>
      </w:r>
      <w:r>
        <w:rPr>
          <w:rFonts w:ascii="仿宋" w:hAnsi="仿宋" w:eastAsia="仿宋" w:cs="仿宋"/>
          <w:sz w:val="24"/>
          <w:szCs w:val="24"/>
        </w:rPr>
        <w:t>投标人需要提供投标产品技术支持资料（或证明材料），并需要同时加盖投标人</w:t>
      </w:r>
      <w:r>
        <w:rPr>
          <w:rFonts w:hint="eastAsia" w:ascii="仿宋" w:hAnsi="仿宋" w:eastAsia="仿宋" w:cs="仿宋"/>
          <w:sz w:val="24"/>
          <w:szCs w:val="24"/>
        </w:rPr>
        <w:t>电子</w:t>
      </w:r>
      <w:r>
        <w:rPr>
          <w:rFonts w:ascii="仿宋" w:hAnsi="仿宋" w:eastAsia="仿宋" w:cs="仿宋"/>
          <w:sz w:val="24"/>
          <w:szCs w:val="24"/>
        </w:rPr>
        <w:t>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中标注</w:t>
      </w:r>
      <w:r>
        <w:rPr>
          <w:rFonts w:hint="eastAsia" w:ascii="仿宋" w:hAnsi="仿宋" w:eastAsia="仿宋" w:cs="仿宋"/>
          <w:sz w:val="24"/>
          <w:szCs w:val="24"/>
        </w:rPr>
        <w:t>“★”</w:t>
      </w:r>
      <w:r>
        <w:rPr>
          <w:rFonts w:ascii="仿宋" w:hAnsi="仿宋" w:eastAsia="仿宋" w:cs="仿宋"/>
          <w:sz w:val="24"/>
          <w:szCs w:val="24"/>
        </w:rPr>
        <w:t>号的技术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w:t>
      </w:r>
      <w:r>
        <w:rPr>
          <w:rFonts w:hint="eastAsia" w:ascii="仿宋" w:hAnsi="仿宋" w:eastAsia="仿宋" w:cs="仿宋"/>
          <w:sz w:val="24"/>
          <w:szCs w:val="24"/>
        </w:rPr>
        <w:t>电子</w:t>
      </w:r>
      <w:r>
        <w:rPr>
          <w:rFonts w:ascii="仿宋" w:hAnsi="仿宋" w:eastAsia="仿宋" w:cs="仿宋"/>
          <w:sz w:val="24"/>
          <w:szCs w:val="24"/>
        </w:rPr>
        <w:t>公章的，评标委员会可不予承认，并可认为该技术应答不符合招标文件要求。由此产生的评标风险，由投标人承担。</w:t>
      </w:r>
    </w:p>
    <w:p>
      <w:pPr>
        <w:pStyle w:val="20"/>
        <w:spacing w:line="360" w:lineRule="auto"/>
        <w:jc w:val="both"/>
        <w:rPr>
          <w:rFonts w:ascii="仿宋" w:hAnsi="仿宋" w:eastAsia="仿宋" w:cs="仿宋"/>
          <w:color w:val="000000"/>
          <w:sz w:val="24"/>
          <w:szCs w:val="24"/>
        </w:rPr>
      </w:pPr>
      <w:r>
        <w:rPr>
          <w:rFonts w:hint="eastAsia" w:ascii="仿宋" w:hAnsi="仿宋" w:eastAsia="仿宋" w:cs="仿宋"/>
          <w:sz w:val="24"/>
          <w:szCs w:val="24"/>
        </w:rPr>
        <w:t>2、投标人所供货物为全新未使用且具有产品质量合格证明文件的合格产品，免费培训并提供相关培训资料（使用/操作手册）及维修手册和维修密码（如果有）。</w:t>
      </w:r>
      <w:r>
        <w:rPr>
          <w:rFonts w:hint="eastAsia" w:ascii="仿宋" w:hAnsi="仿宋" w:eastAsia="仿宋" w:cs="仿宋"/>
          <w:color w:val="000000"/>
          <w:sz w:val="24"/>
          <w:szCs w:val="24"/>
        </w:rPr>
        <w:t xml:space="preserve">3、工作条件：除了在技术规格中另有规定外，投标人提供的一切仪器、设备和系统，应符合下列条件： </w:t>
      </w:r>
    </w:p>
    <w:p>
      <w:pPr>
        <w:pStyle w:val="20"/>
        <w:spacing w:line="360" w:lineRule="auto"/>
        <w:jc w:val="both"/>
        <w:rPr>
          <w:rFonts w:ascii="仿宋" w:hAnsi="仿宋" w:eastAsia="仿宋" w:cs="仿宋"/>
          <w:color w:val="000000"/>
          <w:sz w:val="24"/>
          <w:szCs w:val="24"/>
        </w:rPr>
      </w:pPr>
      <w:r>
        <w:rPr>
          <w:rFonts w:hint="eastAsia" w:ascii="仿宋" w:hAnsi="仿宋" w:eastAsia="仿宋" w:cs="仿宋"/>
          <w:color w:val="000000"/>
          <w:sz w:val="24"/>
          <w:szCs w:val="24"/>
        </w:rPr>
        <w:t>（1）仪器设备的插头要符合中国电工标准。如不符合，则应提供适合仪器插头的插座，必须要有接地。</w:t>
      </w:r>
    </w:p>
    <w:p>
      <w:pPr>
        <w:pStyle w:val="20"/>
        <w:spacing w:line="360" w:lineRule="auto"/>
        <w:jc w:val="both"/>
        <w:rPr>
          <w:rFonts w:ascii="仿宋" w:hAnsi="仿宋" w:eastAsia="仿宋" w:cs="仿宋"/>
          <w:color w:val="000000"/>
          <w:sz w:val="24"/>
          <w:szCs w:val="24"/>
        </w:rPr>
      </w:pPr>
      <w:r>
        <w:rPr>
          <w:rFonts w:hint="eastAsia" w:ascii="仿宋" w:hAnsi="仿宋" w:eastAsia="仿宋" w:cs="仿宋"/>
          <w:color w:val="000000"/>
          <w:sz w:val="24"/>
          <w:szCs w:val="24"/>
        </w:rPr>
        <w:t>（2）如果仪器设备需特殊的工作条件（如：水、电源、磁场强度、特殊温度、湿度、震动强度等），投标人应在有关投标文件中加以说明。</w:t>
      </w:r>
    </w:p>
    <w:p>
      <w:pPr>
        <w:pStyle w:val="20"/>
        <w:spacing w:line="360" w:lineRule="auto"/>
        <w:jc w:val="both"/>
        <w:rPr>
          <w:rFonts w:hint="eastAsia" w:ascii="仿宋" w:hAnsi="仿宋" w:eastAsia="仿宋" w:cs="仿宋"/>
          <w:color w:val="000000"/>
          <w:sz w:val="24"/>
          <w:szCs w:val="24"/>
        </w:rPr>
      </w:pPr>
      <w:r>
        <w:rPr>
          <w:rFonts w:hint="eastAsia" w:ascii="仿宋" w:hAnsi="仿宋" w:eastAsia="仿宋" w:cs="仿宋"/>
          <w:color w:val="000000"/>
          <w:sz w:val="24"/>
          <w:szCs w:val="24"/>
        </w:rPr>
        <w:t>4、投标人所提供的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pPr>
        <w:pStyle w:val="20"/>
        <w:spacing w:line="360" w:lineRule="auto"/>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如</w:t>
      </w:r>
      <w:r>
        <w:rPr>
          <w:rFonts w:hint="eastAsia" w:ascii="仿宋" w:hAnsi="仿宋" w:eastAsia="仿宋" w:cs="仿宋"/>
          <w:color w:val="000000"/>
          <w:sz w:val="24"/>
          <w:szCs w:val="24"/>
        </w:rPr>
        <w:t>投标单位所投产品，虽满足负偏离要求，但综合由于负偏离参数使得所供产品或服务无法满足甲方正常使用要求（满足不了教学科研等任务），可属于甲方不能接受的条件情形，投标单位作无效标处理。</w:t>
      </w:r>
    </w:p>
    <w:p>
      <w:pPr>
        <w:pStyle w:val="20"/>
        <w:spacing w:line="360" w:lineRule="auto"/>
        <w:jc w:val="both"/>
        <w:rPr>
          <w:rFonts w:ascii="仿宋" w:hAnsi="仿宋" w:eastAsia="仿宋" w:cs="仿宋"/>
          <w:color w:val="000000"/>
          <w:sz w:val="24"/>
          <w:szCs w:val="24"/>
        </w:rPr>
      </w:pPr>
      <w:r>
        <w:rPr>
          <w:rFonts w:hint="eastAsia" w:ascii="仿宋" w:hAnsi="仿宋" w:eastAsia="仿宋" w:cs="仿宋"/>
          <w:color w:val="000000"/>
          <w:sz w:val="24"/>
          <w:szCs w:val="24"/>
        </w:rPr>
        <w:t>5、投标人发运货物时，每台设备要提供一整套中文的技术资料，包括安装、操作手册、使用说明、维修保养手册、电路图、零配件清单等，这些资料费应包括在投标报价内。如果采购人确认投标人提供的技术资料不完整或在运输过程中丢失，投标人需保证在收到采</w:t>
      </w:r>
      <w:bookmarkStart w:id="27" w:name="_Toc24298_WPSOffice_Level1"/>
      <w:r>
        <w:rPr>
          <w:rFonts w:hint="eastAsia" w:ascii="仿宋" w:hAnsi="仿宋" w:eastAsia="仿宋" w:cs="仿宋"/>
          <w:color w:val="000000"/>
          <w:sz w:val="24"/>
          <w:szCs w:val="24"/>
        </w:rPr>
        <w:t>购人通</w:t>
      </w:r>
      <w:bookmarkEnd w:id="27"/>
      <w:r>
        <w:rPr>
          <w:rFonts w:hint="eastAsia" w:ascii="仿宋" w:hAnsi="仿宋" w:eastAsia="仿宋" w:cs="仿宋"/>
          <w:color w:val="000000"/>
          <w:sz w:val="24"/>
          <w:szCs w:val="24"/>
        </w:rPr>
        <w:t>知后3天内将这些资料免费寄给采购人。</w:t>
      </w:r>
    </w:p>
    <w:p>
      <w:pPr>
        <w:pStyle w:val="20"/>
        <w:spacing w:line="360" w:lineRule="auto"/>
        <w:jc w:val="both"/>
        <w:rPr>
          <w:rFonts w:ascii="仿宋" w:hAnsi="仿宋" w:eastAsia="仿宋" w:cs="仿宋"/>
          <w:b/>
          <w:bCs/>
          <w:color w:val="000000"/>
          <w:sz w:val="24"/>
          <w:szCs w:val="24"/>
        </w:rPr>
      </w:pPr>
      <w:r>
        <w:rPr>
          <w:rFonts w:hint="eastAsia" w:ascii="仿宋" w:hAnsi="仿宋" w:eastAsia="仿宋" w:cs="仿宋"/>
          <w:b/>
          <w:bCs/>
          <w:color w:val="000000"/>
          <w:sz w:val="24"/>
          <w:szCs w:val="24"/>
        </w:rPr>
        <w:t>6、投标人所提供的部件之间及设备之间的连线或接插件均视为设备内部部件，应包含在相应的配置中。达到用户使用功能所必须的各类线材（包含但不限于电线、网线、音视频线等）、辅材（包含但不限于开关、插座、漏电保护器、托架、铁线槽、螺丝钉、涨塞、固定件、线路护套、绑扎带、绝缘胶布等）应包含在相应的配置中，上述费用须包含在投标报价中。</w:t>
      </w:r>
    </w:p>
    <w:p>
      <w:pPr>
        <w:pStyle w:val="20"/>
        <w:spacing w:line="360" w:lineRule="auto"/>
        <w:jc w:val="both"/>
        <w:rPr>
          <w:rFonts w:ascii="仿宋" w:hAnsi="仿宋" w:eastAsia="仿宋" w:cs="仿宋"/>
          <w:color w:val="000000"/>
          <w:sz w:val="24"/>
          <w:szCs w:val="24"/>
          <w:lang w:val="zh-TW"/>
        </w:rPr>
      </w:pPr>
      <w:r>
        <w:rPr>
          <w:rFonts w:hint="eastAsia" w:ascii="仿宋" w:hAnsi="仿宋" w:eastAsia="仿宋" w:cs="仿宋"/>
          <w:color w:val="000000"/>
          <w:sz w:val="24"/>
          <w:szCs w:val="24"/>
        </w:rPr>
        <w:t>7、</w:t>
      </w:r>
      <w:r>
        <w:rPr>
          <w:rFonts w:hint="eastAsia" w:ascii="仿宋" w:hAnsi="仿宋" w:eastAsia="仿宋" w:cs="仿宋"/>
          <w:color w:val="000000"/>
          <w:sz w:val="24"/>
          <w:szCs w:val="24"/>
          <w:lang w:val="zh-TW"/>
        </w:rPr>
        <w:t>随机的必备品、配件、工具数量及供应办法：按生产厂家标准执行。</w:t>
      </w:r>
    </w:p>
    <w:p>
      <w:pPr>
        <w:pStyle w:val="20"/>
        <w:spacing w:line="360" w:lineRule="auto"/>
        <w:rPr>
          <w:rFonts w:hint="eastAsia" w:ascii="仿宋" w:hAnsi="仿宋" w:eastAsia="仿宋" w:cs="仿宋"/>
          <w:b/>
          <w:color w:val="000000"/>
          <w:sz w:val="24"/>
          <w:szCs w:val="24"/>
          <w:lang w:val="zh-TW"/>
        </w:rPr>
      </w:pPr>
    </w:p>
    <w:p>
      <w:pPr>
        <w:pStyle w:val="20"/>
        <w:spacing w:line="360" w:lineRule="auto"/>
        <w:rPr>
          <w:rFonts w:ascii="仿宋" w:hAnsi="仿宋" w:eastAsia="仿宋" w:cs="仿宋"/>
          <w:b/>
          <w:color w:val="000000"/>
          <w:sz w:val="24"/>
          <w:szCs w:val="24"/>
          <w:lang w:val="zh-TW"/>
        </w:rPr>
      </w:pPr>
      <w:r>
        <w:rPr>
          <w:rFonts w:hint="eastAsia" w:ascii="仿宋" w:hAnsi="仿宋" w:eastAsia="仿宋" w:cs="仿宋"/>
          <w:b/>
          <w:color w:val="000000"/>
          <w:sz w:val="24"/>
          <w:szCs w:val="24"/>
          <w:lang w:val="zh-TW"/>
        </w:rPr>
        <w:t>注：1、以上“项目采购需求”中参数出现的品牌型号仅作为参考可选用相当质量产品，不作为约束性要求；</w:t>
      </w:r>
    </w:p>
    <w:p>
      <w:pPr>
        <w:pStyle w:val="20"/>
        <w:spacing w:line="360" w:lineRule="auto"/>
        <w:rPr>
          <w:rFonts w:ascii="仿宋" w:hAnsi="仿宋" w:eastAsia="仿宋" w:cs="仿宋"/>
          <w:b/>
          <w:color w:val="000000"/>
          <w:sz w:val="24"/>
          <w:szCs w:val="24"/>
          <w:lang w:val="zh-TW"/>
        </w:rPr>
      </w:pPr>
      <w:r>
        <w:rPr>
          <w:rFonts w:hint="eastAsia" w:ascii="仿宋" w:hAnsi="仿宋" w:eastAsia="仿宋" w:cs="仿宋"/>
          <w:b/>
          <w:color w:val="000000"/>
          <w:sz w:val="24"/>
          <w:szCs w:val="24"/>
          <w:lang w:val="zh-TW"/>
        </w:rPr>
        <w:t>2、标注国产设备的产品若用进口的产品部件参与投标，不享受免税补贴政策。</w:t>
      </w:r>
    </w:p>
    <w:p>
      <w:pPr>
        <w:pStyle w:val="20"/>
        <w:spacing w:line="360" w:lineRule="auto"/>
        <w:jc w:val="both"/>
        <w:rPr>
          <w:rFonts w:ascii="仿宋" w:hAnsi="仿宋" w:eastAsia="仿宋" w:cs="仿宋"/>
          <w:b/>
          <w:color w:val="000000"/>
          <w:sz w:val="24"/>
          <w:szCs w:val="24"/>
          <w:lang w:val="zh-TW"/>
        </w:rPr>
      </w:pPr>
      <w:r>
        <w:rPr>
          <w:rFonts w:hint="eastAsia" w:ascii="仿宋" w:hAnsi="仿宋" w:eastAsia="仿宋" w:cs="仿宋"/>
          <w:b/>
          <w:color w:val="000000"/>
          <w:sz w:val="24"/>
          <w:szCs w:val="24"/>
          <w:lang w:val="zh-TW"/>
        </w:rPr>
        <w:t>3、如产品质保期和供货期存在上下表述不一致之处，以有利于采购人的表述为准，即：质保期时限长的有利、供货期短的有利。</w:t>
      </w:r>
    </w:p>
    <w:p>
      <w:pPr>
        <w:pStyle w:val="20"/>
        <w:snapToGrid/>
        <w:spacing w:line="360" w:lineRule="auto"/>
        <w:jc w:val="both"/>
        <w:rPr>
          <w:rFonts w:ascii="仿宋" w:hAnsi="仿宋" w:eastAsia="仿宋" w:cs="仿宋"/>
          <w:b/>
          <w:bCs/>
          <w:color w:val="000000"/>
          <w:sz w:val="24"/>
          <w:szCs w:val="24"/>
        </w:rPr>
      </w:pPr>
      <w:r>
        <w:rPr>
          <w:rFonts w:hint="eastAsia" w:ascii="仿宋" w:hAnsi="仿宋" w:eastAsia="仿宋" w:cs="仿宋"/>
          <w:b/>
          <w:bCs/>
          <w:color w:val="000000"/>
          <w:sz w:val="24"/>
          <w:szCs w:val="24"/>
        </w:rPr>
        <w:t>六、</w:t>
      </w:r>
      <w:r>
        <w:rPr>
          <w:rFonts w:ascii="仿宋" w:hAnsi="仿宋" w:eastAsia="仿宋" w:cs="仿宋"/>
          <w:b/>
          <w:bCs/>
          <w:color w:val="000000"/>
          <w:sz w:val="24"/>
          <w:szCs w:val="24"/>
        </w:rPr>
        <w:t>采购标的需满足的服务标准、期限、效率等要求</w:t>
      </w:r>
    </w:p>
    <w:p>
      <w:pPr>
        <w:pStyle w:val="20"/>
        <w:snapToGrid/>
        <w:spacing w:line="360" w:lineRule="auto"/>
        <w:jc w:val="both"/>
        <w:rPr>
          <w:rFonts w:ascii="仿宋" w:hAnsi="仿宋" w:eastAsia="仿宋" w:cs="仿宋"/>
          <w:b/>
          <w:bCs/>
          <w:color w:val="000000"/>
          <w:sz w:val="24"/>
          <w:szCs w:val="24"/>
        </w:rPr>
      </w:pPr>
      <w:r>
        <w:rPr>
          <w:rFonts w:hint="eastAsia" w:ascii="仿宋" w:hAnsi="仿宋" w:eastAsia="仿宋" w:cs="仿宋"/>
          <w:b/>
          <w:bCs/>
          <w:color w:val="000000"/>
          <w:sz w:val="24"/>
          <w:szCs w:val="24"/>
        </w:rPr>
        <w:t>1、</w:t>
      </w:r>
      <w:r>
        <w:rPr>
          <w:rFonts w:ascii="仿宋" w:hAnsi="仿宋" w:eastAsia="仿宋" w:cs="仿宋"/>
          <w:b/>
          <w:bCs/>
          <w:color w:val="000000"/>
          <w:sz w:val="24"/>
          <w:szCs w:val="24"/>
        </w:rPr>
        <w:t>采购标的需满足的服务标准、效率要求</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1）投标人应有能力做好售后服务工作和提供技术保障。投标人或投标产品制造商应设有专业的售后服务维修机构，有充足的零件储备和能力相当的技术服务人员，并保证投标产品至少十年的零配件供应及维修、保养。投标时须提供有关其投标产品新疆地区或西北地区或中国境内专业的售后服务（维修站）的信息，包括售后服务机构名称、服务人员的数量和水平、联系人和联系方式、零备件的储备等。质量保证期内的免费售后维修及服务包括所有投标产品及配件，并含第三方产品，同时投标人应每年定期对所有投标产品提供维护保养服务。</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（2）投标人应在保证在接到采购人通知的一周内，自付费用在采购人指定所在地对设备进行安装、调试和试运行，直到该产品的技术指标完全符合合同要求为止。投标人技术人员的费用，如： 差旅费、住宿费等应计入投标报价。投标人安装人员应自备必要的专用工具、量具及调试用的材料等。</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（3）投标人应负责投标货物质量保证期内的免费维修和配件供应，投标人售后服务维修机构应备有所购货物及时维修所需的关键零部件。</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（4）投标人应保证在质量保证期内提供投标货物专用的软件、软件产品和相应数据库资料的免费升级服务。如果是软件系统安全漏洞或程序 BUG成交供应商须提供软件终生的免费升级和维护。</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5）在合同执行期和质量保证期内，设备出现故障后，投标人应保证完全满足技术参数中品目号的具体要求响应。质保期内如内无法排除故障修复，投标人应保证免费提供同类备用设备，供采购人使用。质保期内如出现现场无法修复的故障，供应商负责提供备用设备并将产品运回厂家修理，由维修产生的一切费用由卖方负担。</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6）培训要求：培训是指涉及产品基本原理、安装、调试、操作使用和保养维修等有关内容的学习。投标人应保证在采购人指定交货地点对每包所有产品最终用户设备操作人员提供不少于1天的免费培训，至用户设备操作人员可独立操作为止。投标人投标时应提供详细的培训方案。培训教员的差旅费、食宿费、培训教材等费用，应计入投标报价。</w:t>
      </w:r>
    </w:p>
    <w:p>
      <w:pPr>
        <w:pStyle w:val="20"/>
        <w:snapToGrid/>
        <w:spacing w:line="360" w:lineRule="auto"/>
        <w:jc w:val="both"/>
        <w:rPr>
          <w:rFonts w:ascii="仿宋" w:hAnsi="仿宋" w:eastAsia="仿宋" w:cs="仿宋"/>
          <w:b/>
          <w:bCs/>
          <w:color w:val="000000"/>
          <w:sz w:val="24"/>
          <w:szCs w:val="24"/>
        </w:rPr>
      </w:pPr>
      <w:r>
        <w:rPr>
          <w:rFonts w:hint="eastAsia" w:ascii="仿宋" w:hAnsi="仿宋" w:eastAsia="仿宋" w:cs="仿宋"/>
          <w:b/>
          <w:bCs/>
          <w:color w:val="000000"/>
          <w:sz w:val="24"/>
          <w:szCs w:val="24"/>
        </w:rPr>
        <w:t>2、</w:t>
      </w:r>
      <w:r>
        <w:rPr>
          <w:rFonts w:ascii="仿宋" w:hAnsi="仿宋" w:eastAsia="仿宋" w:cs="仿宋"/>
          <w:b/>
          <w:bCs/>
          <w:color w:val="000000"/>
          <w:sz w:val="24"/>
          <w:szCs w:val="24"/>
        </w:rPr>
        <w:t>采购标的需满足的服务期限要求</w:t>
      </w:r>
    </w:p>
    <w:p>
      <w:pPr>
        <w:pStyle w:val="20"/>
        <w:snapToGrid/>
        <w:spacing w:line="360" w:lineRule="auto"/>
        <w:jc w:val="both"/>
        <w:rPr>
          <w:rFonts w:ascii="仿宋" w:hAnsi="仿宋" w:eastAsia="仿宋" w:cs="仿宋"/>
          <w:color w:val="000000"/>
          <w:sz w:val="24"/>
          <w:szCs w:val="24"/>
        </w:rPr>
      </w:pPr>
      <w:r>
        <w:rPr>
          <w:rFonts w:hint="eastAsia" w:ascii="仿宋" w:hAnsi="仿宋" w:eastAsia="仿宋" w:cs="仿宋"/>
          <w:color w:val="000000"/>
          <w:sz w:val="24"/>
          <w:szCs w:val="24"/>
        </w:rPr>
        <w:t>（1）</w:t>
      </w:r>
      <w:r>
        <w:rPr>
          <w:rFonts w:hint="eastAsia" w:ascii="仿宋" w:hAnsi="仿宋" w:eastAsia="仿宋" w:cs="仿宋"/>
          <w:b/>
          <w:bCs/>
          <w:color w:val="000000"/>
          <w:sz w:val="24"/>
          <w:szCs w:val="24"/>
        </w:rPr>
        <w:t>本项目质保要求：</w:t>
      </w:r>
      <w:r>
        <w:rPr>
          <w:rFonts w:hint="eastAsia" w:ascii="仿宋" w:hAnsi="仿宋" w:eastAsia="仿宋" w:cs="仿宋"/>
          <w:color w:val="000000"/>
          <w:sz w:val="24"/>
          <w:szCs w:val="24"/>
        </w:rPr>
        <w:t>详见“第五章采购需求 3.1”</w:t>
      </w:r>
    </w:p>
    <w:p>
      <w:pPr>
        <w:pStyle w:val="20"/>
        <w:snapToGrid/>
        <w:spacing w:line="360" w:lineRule="auto"/>
        <w:jc w:val="both"/>
        <w:rPr>
          <w:rFonts w:ascii="仿宋" w:hAnsi="仿宋" w:eastAsia="仿宋" w:cs="仿宋"/>
          <w:color w:val="000000"/>
          <w:sz w:val="24"/>
          <w:szCs w:val="24"/>
        </w:rPr>
      </w:pPr>
      <w:r>
        <w:rPr>
          <w:rFonts w:hint="eastAsia" w:ascii="仿宋" w:hAnsi="仿宋" w:eastAsia="仿宋" w:cs="仿宋"/>
          <w:color w:val="000000"/>
          <w:sz w:val="24"/>
          <w:szCs w:val="24"/>
        </w:rPr>
        <w:t>质量保证期内由于设备本身原因而引起的零配件的更换，其费用由厂家承担，对损坏所更换的零部件，自更换之日起保修延长3个月。保修范围应包括提供的所有设备（含第三方设备或配件）和安装调试服务。在质量保证期内应提供维修和技术咨询服务，矫正和免费更换有缺陷的设备或部件、排除系统出现的故障。质量保证期内，投标人应对由于设计、工艺或材料的缺陷而发生的任何不足或故障负责，费用由投标人负担。</w:t>
      </w:r>
    </w:p>
    <w:p>
      <w:pPr>
        <w:pStyle w:val="20"/>
        <w:numPr>
          <w:ilvl w:val="0"/>
          <w:numId w:val="7"/>
        </w:numPr>
        <w:snapToGrid/>
        <w:spacing w:line="360" w:lineRule="auto"/>
        <w:jc w:val="both"/>
        <w:rPr>
          <w:rFonts w:ascii="仿宋" w:hAnsi="仿宋" w:eastAsia="仿宋" w:cs="仿宋"/>
          <w:b/>
          <w:bCs/>
          <w:color w:val="000000"/>
          <w:sz w:val="24"/>
          <w:szCs w:val="24"/>
        </w:rPr>
      </w:pPr>
      <w:r>
        <w:rPr>
          <w:rFonts w:hint="eastAsia" w:ascii="仿宋" w:hAnsi="仿宋" w:eastAsia="仿宋" w:cs="仿宋"/>
          <w:color w:val="000000"/>
          <w:sz w:val="24"/>
          <w:szCs w:val="24"/>
        </w:rPr>
        <w:t>质保期内</w:t>
      </w:r>
      <w:r>
        <w:rPr>
          <w:rFonts w:hint="eastAsia" w:ascii="仿宋" w:hAnsi="仿宋" w:eastAsia="仿宋" w:cs="仿宋"/>
          <w:color w:val="000000"/>
          <w:sz w:val="24"/>
          <w:szCs w:val="24"/>
          <w:lang w:val="zh-TW"/>
        </w:rPr>
        <w:t>，</w:t>
      </w:r>
      <w:r>
        <w:rPr>
          <w:rFonts w:hint="eastAsia" w:ascii="仿宋" w:hAnsi="仿宋" w:eastAsia="仿宋" w:cs="仿宋"/>
          <w:color w:val="000000"/>
          <w:sz w:val="24"/>
          <w:szCs w:val="24"/>
        </w:rPr>
        <w:t>软件免费提供升级、维护，硬件设备质保期内免费提供定期维护、保养、设备搬迁重装、故障解决处理、配件损坏更换等服务；质量保证期满后，投标人仍应负责提供终身免费维修服务，硬件设备只能收取零配件费（零部件应保证按采购人设备安装地市场最低价供应），免人工费、交通费等。软件产品市场最低价收费，免人工费、交通费等。</w:t>
      </w:r>
    </w:p>
    <w:p>
      <w:pPr>
        <w:pStyle w:val="20"/>
        <w:snapToGrid/>
        <w:spacing w:line="360" w:lineRule="auto"/>
        <w:jc w:val="both"/>
        <w:rPr>
          <w:rFonts w:ascii="仿宋" w:hAnsi="仿宋" w:eastAsia="仿宋" w:cs="仿宋"/>
          <w:b/>
          <w:bCs/>
          <w:color w:val="000000"/>
          <w:sz w:val="24"/>
          <w:szCs w:val="24"/>
        </w:rPr>
      </w:pPr>
      <w:r>
        <w:rPr>
          <w:rFonts w:hint="eastAsia" w:ascii="仿宋" w:hAnsi="仿宋" w:eastAsia="仿宋" w:cs="仿宋"/>
          <w:b/>
          <w:bCs/>
          <w:color w:val="000000"/>
          <w:sz w:val="24"/>
          <w:szCs w:val="24"/>
        </w:rPr>
        <w:t>七、</w:t>
      </w:r>
      <w:r>
        <w:rPr>
          <w:rFonts w:ascii="仿宋" w:hAnsi="仿宋" w:eastAsia="仿宋" w:cs="仿宋"/>
          <w:b/>
          <w:bCs/>
          <w:color w:val="000000"/>
          <w:sz w:val="24"/>
          <w:szCs w:val="24"/>
        </w:rPr>
        <w:t>采购标的的验收标准</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1、投标人应保证在出厂前对货物的质量、规格、性能和数量等进行准确而全面的检验，并出具出厂合格证书。</w:t>
      </w:r>
    </w:p>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2、货物运抵采购项目交付的地点并安装、调试完成后，采购人将组织验收，由采购人组织验收小组，对货物的数量、外观、质量、安全、功能及性能等进行验收，项目验收依据为采购合同、招标文件、投标文件和国家或行业相关验收规范。经验收小组测试验收合格的，双方签署质量验收报告，视为产品验收合格，验收合格时间以质量验收报告上记载的时间为准。如验收时需要测试样品、验收专用仪器或工具的,由中标人提供并承担相关费用。</w:t>
      </w:r>
    </w:p>
    <w:p>
      <w:pPr>
        <w:widowControl/>
        <w:spacing w:line="360" w:lineRule="auto"/>
        <w:jc w:val="left"/>
        <w:rPr>
          <w:rFonts w:hint="eastAsia" w:ascii="仿宋" w:hAnsi="仿宋" w:eastAsia="仿宋" w:cs="仿宋"/>
          <w:color w:val="000000"/>
          <w:sz w:val="24"/>
        </w:rPr>
      </w:pPr>
      <w:r>
        <w:rPr>
          <w:rFonts w:hint="eastAsia" w:ascii="仿宋" w:hAnsi="仿宋" w:eastAsia="仿宋" w:cs="仿宋"/>
          <w:color w:val="000000"/>
          <w:sz w:val="24"/>
        </w:rPr>
        <w:t>3、投标人应负责使所供计量仪器通过计量部门的验收，并承担相关费用（包括运费）。</w:t>
      </w:r>
    </w:p>
    <w:p>
      <w:pPr>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投标产品涉及预装操作系统的须预装正版操作系统并提供授权书或投标单位承诺函（承诺产品内预装系统均为正版操作系统），如本包内不涉及预装操作系统的可不提供，但涉及服务器、台式计算机、笔记本、平板电脑等须预装正版操作系统的产品必须提供。</w:t>
      </w:r>
    </w:p>
    <w:p>
      <w:pPr>
        <w:widowControl/>
        <w:spacing w:line="360" w:lineRule="auto"/>
        <w:jc w:val="left"/>
        <w:rPr>
          <w:rFonts w:hint="eastAsia" w:ascii="仿宋" w:hAnsi="仿宋" w:eastAsia="仿宋" w:cs="仿宋"/>
          <w:color w:val="000000"/>
          <w:sz w:val="24"/>
        </w:rPr>
      </w:pPr>
    </w:p>
    <w:p>
      <w:pPr>
        <w:rPr>
          <w:rFonts w:hint="eastAsia" w:ascii="仿宋" w:hAnsi="仿宋" w:eastAsia="仿宋" w:cs="仿宋"/>
          <w:b/>
          <w:bCs/>
          <w:color w:val="000000"/>
          <w:sz w:val="32"/>
          <w:szCs w:val="32"/>
        </w:rPr>
      </w:pPr>
      <w:bookmarkStart w:id="28" w:name="_Toc3191"/>
      <w:r>
        <w:rPr>
          <w:rFonts w:hint="eastAsia" w:ascii="仿宋" w:hAnsi="仿宋" w:eastAsia="仿宋" w:cs="仿宋"/>
          <w:b/>
          <w:bCs/>
          <w:color w:val="000000"/>
          <w:sz w:val="32"/>
          <w:szCs w:val="32"/>
        </w:rPr>
        <w:br w:type="page"/>
      </w:r>
    </w:p>
    <w:p>
      <w:pPr>
        <w:jc w:val="center"/>
        <w:outlineLvl w:val="0"/>
        <w:rPr>
          <w:rFonts w:ascii="仿宋" w:hAnsi="仿宋" w:eastAsia="仿宋" w:cs="仿宋"/>
          <w:b/>
          <w:bCs/>
          <w:color w:val="000000"/>
          <w:sz w:val="32"/>
          <w:szCs w:val="32"/>
        </w:rPr>
      </w:pPr>
      <w:r>
        <w:rPr>
          <w:rFonts w:hint="eastAsia" w:ascii="仿宋" w:hAnsi="仿宋" w:eastAsia="仿宋" w:cs="仿宋"/>
          <w:b/>
          <w:bCs/>
          <w:color w:val="000000"/>
          <w:sz w:val="32"/>
          <w:szCs w:val="32"/>
        </w:rPr>
        <w:t>第六章  评标方法和标准</w:t>
      </w:r>
      <w:bookmarkEnd w:id="28"/>
    </w:p>
    <w:p>
      <w:pPr>
        <w:pStyle w:val="44"/>
        <w:spacing w:line="440" w:lineRule="exact"/>
        <w:ind w:right="199" w:rightChars="95"/>
        <w:jc w:val="both"/>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一、评标方法</w:t>
      </w:r>
    </w:p>
    <w:p>
      <w:pPr>
        <w:spacing w:line="440" w:lineRule="exact"/>
        <w:ind w:firstLine="480" w:firstLineChars="200"/>
        <w:rPr>
          <w:rFonts w:ascii="仿宋" w:hAnsi="仿宋" w:eastAsia="仿宋" w:cs="仿宋"/>
          <w:color w:val="000000"/>
        </w:rPr>
      </w:pPr>
      <w:r>
        <w:rPr>
          <w:rFonts w:hint="eastAsia" w:ascii="仿宋" w:hAnsi="仿宋" w:eastAsia="仿宋" w:cs="仿宋"/>
          <w:color w:val="000000"/>
          <w:sz w:val="24"/>
        </w:rPr>
        <w:t>本项目采用综合评分法是指投标文件满足招标文件全部实质性要求，且按照评审因素的量化指标评审得分最高的投标人为中标候选人的评标方法。</w:t>
      </w:r>
    </w:p>
    <w:p>
      <w:pPr>
        <w:pStyle w:val="44"/>
        <w:spacing w:line="440" w:lineRule="exact"/>
        <w:rPr>
          <w:rFonts w:ascii="仿宋" w:hAnsi="仿宋" w:eastAsia="仿宋" w:cs="仿宋"/>
          <w:b/>
          <w:color w:val="000000"/>
          <w:spacing w:val="0"/>
          <w:kern w:val="2"/>
          <w:sz w:val="24"/>
          <w:szCs w:val="24"/>
        </w:rPr>
      </w:pPr>
      <w:bookmarkStart w:id="29" w:name="_Toc386"/>
      <w:bookmarkStart w:id="30" w:name="_Toc22445"/>
      <w:bookmarkStart w:id="31" w:name="_Toc509318020"/>
      <w:bookmarkStart w:id="32" w:name="_Toc19513"/>
      <w:bookmarkStart w:id="33" w:name="_Toc492286392"/>
      <w:bookmarkStart w:id="34" w:name="_Toc26426"/>
      <w:r>
        <w:rPr>
          <w:rFonts w:hint="eastAsia" w:ascii="仿宋" w:hAnsi="仿宋" w:eastAsia="仿宋" w:cs="仿宋"/>
          <w:b/>
          <w:color w:val="000000"/>
          <w:spacing w:val="0"/>
          <w:kern w:val="2"/>
          <w:sz w:val="24"/>
          <w:szCs w:val="24"/>
        </w:rPr>
        <w:t>二、资格审查</w:t>
      </w:r>
      <w:bookmarkEnd w:id="29"/>
      <w:bookmarkEnd w:id="30"/>
      <w:bookmarkEnd w:id="31"/>
      <w:bookmarkEnd w:id="32"/>
      <w:bookmarkEnd w:id="33"/>
      <w:bookmarkEnd w:id="34"/>
    </w:p>
    <w:p>
      <w:pPr>
        <w:pStyle w:val="44"/>
        <w:spacing w:line="440" w:lineRule="exact"/>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采购人或采购代理机构依据招标文件，对投标文件中的资格证明文件进行审查，以确定投标人是否具备投标资格，未通过资格审查的投标不进入符合性审查。审查内容如下：</w:t>
      </w:r>
    </w:p>
    <w:tbl>
      <w:tblPr>
        <w:tblStyle w:val="28"/>
        <w:tblpPr w:leftFromText="180" w:rightFromText="180" w:vertAnchor="text" w:horzAnchor="page" w:tblpX="1815" w:tblpY="46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097"/>
        <w:gridCol w:w="4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
                <w:color w:val="000000"/>
                <w:spacing w:val="0"/>
                <w:kern w:val="2"/>
              </w:rPr>
            </w:pPr>
            <w:r>
              <w:rPr>
                <w:rFonts w:hint="eastAsia" w:ascii="仿宋" w:hAnsi="仿宋" w:eastAsia="仿宋" w:cs="仿宋"/>
                <w:b/>
                <w:color w:val="000000"/>
                <w:spacing w:val="0"/>
                <w:kern w:val="2"/>
              </w:rPr>
              <w:t>序号</w:t>
            </w:r>
          </w:p>
        </w:tc>
        <w:tc>
          <w:tcPr>
            <w:tcW w:w="3097"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
                <w:color w:val="000000"/>
                <w:spacing w:val="0"/>
                <w:kern w:val="2"/>
              </w:rPr>
            </w:pPr>
            <w:r>
              <w:rPr>
                <w:rFonts w:hint="eastAsia" w:ascii="仿宋" w:hAnsi="仿宋" w:eastAsia="仿宋" w:cs="仿宋"/>
                <w:b/>
                <w:color w:val="000000"/>
              </w:rPr>
              <w:t>资格条件</w:t>
            </w:r>
          </w:p>
        </w:tc>
        <w:tc>
          <w:tcPr>
            <w:tcW w:w="4777"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
                <w:color w:val="000000"/>
                <w:spacing w:val="0"/>
                <w:kern w:val="2"/>
              </w:rPr>
            </w:pPr>
            <w:r>
              <w:rPr>
                <w:rFonts w:hint="eastAsia" w:ascii="仿宋" w:hAnsi="仿宋" w:eastAsia="仿宋" w:cs="仿宋"/>
                <w:b/>
                <w:color w:val="000000"/>
              </w:rPr>
              <w:t>审查内容和审查标准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1</w:t>
            </w:r>
          </w:p>
        </w:tc>
        <w:tc>
          <w:tcPr>
            <w:tcW w:w="309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具有独立承担民事责任的能力</w:t>
            </w:r>
          </w:p>
        </w:tc>
        <w:tc>
          <w:tcPr>
            <w:tcW w:w="477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须提供在中华人民共和国境内注册的法人或其他组织或自然人的营业执照副本或事业法人登记证或执业许可证或身份证等相关证明扫描件（除身份证外其余证件须加盖电子公章）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2</w:t>
            </w:r>
          </w:p>
        </w:tc>
        <w:tc>
          <w:tcPr>
            <w:tcW w:w="309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具有良好的商业信誉和健全的财务会计制度</w:t>
            </w:r>
          </w:p>
        </w:tc>
        <w:tc>
          <w:tcPr>
            <w:tcW w:w="477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须提供本单位上一年度由会计师事务所出具的财务审计报告（当上一年度审计报告未出来时，可提供前一年度审计报告），审计报告须包括资产负债表、利润表、现金流量表、所有者权益变动（如有）及其附注（扫描件并加盖本单位电子公章）。如投标人无法提供上年度审计报告，则需提供开标日前三个月内银行出具的资信证明。银行资信证明可提供原件扫描件加盖电子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3</w:t>
            </w:r>
          </w:p>
        </w:tc>
        <w:tc>
          <w:tcPr>
            <w:tcW w:w="309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具有履行合同所必需的设备和专业技术能力</w:t>
            </w:r>
          </w:p>
        </w:tc>
        <w:tc>
          <w:tcPr>
            <w:tcW w:w="477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须提供具备履行合同所必需的设备和专业技术能力的证明材料或书面声明原件扫描件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4</w:t>
            </w:r>
          </w:p>
        </w:tc>
        <w:tc>
          <w:tcPr>
            <w:tcW w:w="309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有依法缴纳税收和依法缴纳社会保障资金的记录</w:t>
            </w:r>
          </w:p>
        </w:tc>
        <w:tc>
          <w:tcPr>
            <w:tcW w:w="477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color w:val="000000"/>
              </w:rPr>
            </w:pPr>
            <w:r>
              <w:rPr>
                <w:rFonts w:hint="eastAsia" w:ascii="仿宋" w:hAnsi="仿宋" w:eastAsia="仿宋" w:cs="仿宋"/>
                <w:color w:val="000000"/>
              </w:rPr>
              <w:t>须提供响应文件递交截止日期之前六个月内任何一期的纳税记录或证明文件原件扫描件加盖电子公章（依法免税的应提供相应文件说明）</w:t>
            </w:r>
          </w:p>
          <w:p>
            <w:pPr>
              <w:pStyle w:val="44"/>
              <w:keepNext w:val="0"/>
              <w:keepLines w:val="0"/>
              <w:widowControl/>
              <w:suppressLineNumbers w:val="0"/>
              <w:spacing w:beforeAutospacing="0" w:afterAutospacing="0"/>
              <w:ind w:left="0" w:right="0"/>
              <w:jc w:val="both"/>
              <w:rPr>
                <w:rFonts w:hint="default" w:ascii="仿宋" w:hAnsi="仿宋" w:eastAsia="仿宋" w:cs="仿宋"/>
                <w:color w:val="000000"/>
              </w:rPr>
            </w:pPr>
            <w:r>
              <w:rPr>
                <w:rFonts w:hint="eastAsia" w:ascii="仿宋" w:hAnsi="仿宋" w:eastAsia="仿宋" w:cs="仿宋"/>
                <w:color w:val="000000"/>
              </w:rPr>
              <w:t>须提供响应文件递交截止日期之前六个月内为员工缴纳社会保障资金的证明材料原件扫描件加盖电子公章（任意一个月即可），证明材料是社会保险登记证和缴纳社会保险的凭据（专用收据或社会保险缴纳清单）（依法不需要缴纳社会保障资金的应提供相应文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5</w:t>
            </w:r>
          </w:p>
        </w:tc>
        <w:tc>
          <w:tcPr>
            <w:tcW w:w="309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参加政府采购活动前三年内，在经营活动中没有重大违法记录</w:t>
            </w:r>
          </w:p>
        </w:tc>
        <w:tc>
          <w:tcPr>
            <w:tcW w:w="477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须提供声明函原件扫描件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6</w:t>
            </w:r>
          </w:p>
        </w:tc>
        <w:tc>
          <w:tcPr>
            <w:tcW w:w="309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color w:val="000000"/>
              </w:rPr>
              <w:t>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w:t>
            </w:r>
            <w:r>
              <w:rPr>
                <w:rFonts w:hint="eastAsia" w:ascii="仿宋" w:hAnsi="仿宋" w:eastAsia="仿宋" w:cs="仿宋"/>
                <w:color w:val="000000"/>
                <w:lang w:eastAsia="zh-CN"/>
              </w:rPr>
              <w:t>新疆税务局</w:t>
            </w:r>
            <w:r>
              <w:rPr>
                <w:rFonts w:hint="eastAsia" w:ascii="仿宋" w:hAnsi="仿宋" w:eastAsia="仿宋" w:cs="仿宋"/>
                <w:color w:val="000000"/>
              </w:rPr>
              <w:t>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tc>
        <w:tc>
          <w:tcPr>
            <w:tcW w:w="477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以采购代理机构在“信用中国”网站及“中国政府采购网”、</w:t>
            </w:r>
            <w:r>
              <w:rPr>
                <w:rFonts w:hint="eastAsia" w:ascii="仿宋" w:hAnsi="仿宋" w:eastAsia="仿宋" w:cs="仿宋"/>
                <w:color w:val="000000"/>
                <w:lang w:eastAsia="zh-CN"/>
              </w:rPr>
              <w:t>新疆税务局</w:t>
            </w:r>
            <w:r>
              <w:rPr>
                <w:rFonts w:hint="eastAsia" w:ascii="仿宋" w:hAnsi="仿宋" w:eastAsia="仿宋" w:cs="仿宋"/>
                <w:color w:val="000000"/>
              </w:rPr>
              <w:t>失信惩戒企业名单截图</w:t>
            </w:r>
            <w:r>
              <w:rPr>
                <w:rFonts w:hint="eastAsia" w:ascii="仿宋" w:hAnsi="仿宋" w:eastAsia="仿宋" w:cs="仿宋"/>
                <w:bCs w:val="0"/>
                <w:color w:val="000000"/>
                <w:spacing w:val="0"/>
                <w:kern w:val="2"/>
              </w:rPr>
              <w:t>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Style w:val="44"/>
              <w:keepNext w:val="0"/>
              <w:keepLines w:val="0"/>
              <w:widowControl/>
              <w:suppressLineNumbers w:val="0"/>
              <w:spacing w:beforeAutospacing="0" w:afterAutospacing="0"/>
              <w:ind w:left="0" w:right="0"/>
              <w:jc w:val="center"/>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7</w:t>
            </w:r>
          </w:p>
        </w:tc>
        <w:tc>
          <w:tcPr>
            <w:tcW w:w="309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法定代表人授权委托书</w:t>
            </w:r>
          </w:p>
        </w:tc>
        <w:tc>
          <w:tcPr>
            <w:tcW w:w="4777" w:type="dxa"/>
            <w:vAlign w:val="center"/>
          </w:tcPr>
          <w:p>
            <w:pPr>
              <w:pStyle w:val="44"/>
              <w:keepNext w:val="0"/>
              <w:keepLines w:val="0"/>
              <w:widowControl/>
              <w:suppressLineNumbers w:val="0"/>
              <w:spacing w:beforeAutospacing="0" w:afterAutospacing="0"/>
              <w:ind w:left="0" w:right="0"/>
              <w:jc w:val="both"/>
              <w:rPr>
                <w:rFonts w:hint="default" w:ascii="仿宋" w:hAnsi="仿宋" w:eastAsia="仿宋" w:cs="仿宋"/>
                <w:bCs w:val="0"/>
                <w:color w:val="000000"/>
                <w:spacing w:val="0"/>
                <w:kern w:val="2"/>
              </w:rPr>
            </w:pPr>
            <w:r>
              <w:rPr>
                <w:rFonts w:hint="eastAsia" w:ascii="仿宋" w:hAnsi="仿宋" w:eastAsia="仿宋" w:cs="仿宋"/>
                <w:bCs w:val="0"/>
                <w:color w:val="000000"/>
                <w:spacing w:val="0"/>
                <w:kern w:val="2"/>
              </w:rPr>
              <w:t>授权人代表签字的须提供法定代表人授权委托书原件扫描件及委托人身份证原件扫描件</w:t>
            </w:r>
          </w:p>
        </w:tc>
      </w:tr>
    </w:tbl>
    <w:p>
      <w:pPr>
        <w:pStyle w:val="44"/>
        <w:spacing w:line="440" w:lineRule="exact"/>
        <w:rPr>
          <w:rFonts w:ascii="仿宋" w:hAnsi="仿宋" w:eastAsia="仿宋" w:cs="仿宋"/>
          <w:b/>
          <w:color w:val="000000"/>
          <w:spacing w:val="0"/>
          <w:kern w:val="2"/>
          <w:sz w:val="24"/>
          <w:szCs w:val="24"/>
        </w:rPr>
      </w:pPr>
      <w:bookmarkStart w:id="35" w:name="_Toc31761"/>
      <w:bookmarkStart w:id="36" w:name="_Toc492286395"/>
      <w:bookmarkStart w:id="37" w:name="_Toc509318023"/>
      <w:r>
        <w:rPr>
          <w:rFonts w:hint="eastAsia" w:ascii="仿宋" w:hAnsi="仿宋" w:eastAsia="仿宋" w:cs="仿宋"/>
          <w:b/>
          <w:color w:val="000000"/>
          <w:spacing w:val="0"/>
          <w:kern w:val="2"/>
          <w:sz w:val="24"/>
          <w:szCs w:val="24"/>
        </w:rPr>
        <w:t>三、符合性审查</w:t>
      </w:r>
      <w:bookmarkEnd w:id="35"/>
      <w:bookmarkEnd w:id="36"/>
      <w:bookmarkEnd w:id="37"/>
    </w:p>
    <w:p>
      <w:pPr>
        <w:pStyle w:val="44"/>
        <w:spacing w:line="440" w:lineRule="exact"/>
        <w:ind w:firstLine="480" w:firstLineChars="200"/>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评标委员会对通过资格审查的合格投标人的投标文件进行符合性审查，未通过符合性审查的投标不进入详细评审。符合性审查记录表如下：</w:t>
      </w:r>
    </w:p>
    <w:tbl>
      <w:tblPr>
        <w:tblStyle w:val="28"/>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69"/>
        <w:gridCol w:w="3343"/>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6" w:type="dxa"/>
            <w:vAlign w:val="center"/>
          </w:tcPr>
          <w:p>
            <w:pPr>
              <w:pStyle w:val="20"/>
              <w:keepNext w:val="0"/>
              <w:keepLines w:val="0"/>
              <w:suppressLineNumbers w:val="0"/>
              <w:spacing w:before="0" w:beforeAutospacing="0" w:after="0" w:afterAutospacing="0"/>
              <w:ind w:left="0" w:right="-1"/>
              <w:jc w:val="center"/>
              <w:rPr>
                <w:rFonts w:hint="default" w:ascii="仿宋" w:hAnsi="仿宋" w:eastAsia="仿宋" w:cs="仿宋"/>
                <w:b/>
                <w:bCs/>
                <w:color w:val="000000"/>
                <w:sz w:val="21"/>
                <w:szCs w:val="21"/>
              </w:rPr>
            </w:pPr>
            <w:r>
              <w:rPr>
                <w:rFonts w:hint="eastAsia" w:ascii="仿宋" w:hAnsi="仿宋" w:eastAsia="仿宋" w:cs="仿宋"/>
                <w:b/>
                <w:bCs/>
                <w:color w:val="000000"/>
                <w:sz w:val="21"/>
                <w:szCs w:val="21"/>
              </w:rPr>
              <w:t>序号</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b/>
                <w:bCs/>
                <w:color w:val="000000"/>
                <w:sz w:val="21"/>
                <w:szCs w:val="21"/>
              </w:rPr>
            </w:pPr>
            <w:r>
              <w:rPr>
                <w:rFonts w:hint="eastAsia" w:ascii="仿宋" w:hAnsi="仿宋" w:eastAsia="仿宋" w:cs="仿宋"/>
                <w:b/>
                <w:bCs/>
                <w:color w:val="000000"/>
                <w:sz w:val="21"/>
                <w:szCs w:val="21"/>
              </w:rPr>
              <w:t>评审因素</w:t>
            </w:r>
          </w:p>
        </w:tc>
        <w:tc>
          <w:tcPr>
            <w:tcW w:w="3343" w:type="dxa"/>
            <w:vAlign w:val="center"/>
          </w:tcPr>
          <w:p>
            <w:pPr>
              <w:pStyle w:val="20"/>
              <w:keepNext w:val="0"/>
              <w:keepLines w:val="0"/>
              <w:suppressLineNumbers w:val="0"/>
              <w:spacing w:before="0" w:beforeAutospacing="0" w:after="0" w:afterAutospacing="0"/>
              <w:ind w:left="0" w:right="-73" w:rightChars="-35"/>
              <w:jc w:val="center"/>
              <w:rPr>
                <w:rFonts w:hint="default" w:ascii="仿宋" w:hAnsi="仿宋" w:eastAsia="仿宋" w:cs="仿宋"/>
                <w:b/>
                <w:bCs/>
                <w:color w:val="000000"/>
                <w:sz w:val="21"/>
                <w:szCs w:val="21"/>
              </w:rPr>
            </w:pPr>
            <w:r>
              <w:rPr>
                <w:rFonts w:hint="eastAsia" w:ascii="仿宋" w:hAnsi="仿宋" w:eastAsia="仿宋" w:cs="仿宋"/>
                <w:b/>
                <w:bCs/>
                <w:color w:val="000000"/>
                <w:sz w:val="21"/>
                <w:szCs w:val="21"/>
              </w:rPr>
              <w:t>审查内容和审查标准</w:t>
            </w:r>
          </w:p>
        </w:tc>
        <w:tc>
          <w:tcPr>
            <w:tcW w:w="3082" w:type="dxa"/>
            <w:vAlign w:val="center"/>
          </w:tcPr>
          <w:p>
            <w:pPr>
              <w:pStyle w:val="20"/>
              <w:keepNext w:val="0"/>
              <w:keepLines w:val="0"/>
              <w:suppressLineNumbers w:val="0"/>
              <w:spacing w:before="0" w:beforeAutospacing="0" w:after="0" w:afterAutospacing="0"/>
              <w:ind w:left="0" w:right="-73" w:rightChars="-35"/>
              <w:jc w:val="center"/>
              <w:rPr>
                <w:rFonts w:hint="default" w:ascii="仿宋" w:hAnsi="仿宋" w:eastAsia="仿宋" w:cs="仿宋"/>
                <w:b/>
                <w:bCs/>
                <w:color w:val="000000"/>
                <w:sz w:val="21"/>
                <w:szCs w:val="21"/>
              </w:rPr>
            </w:pPr>
            <w:r>
              <w:rPr>
                <w:rFonts w:hint="eastAsia" w:ascii="仿宋" w:hAnsi="仿宋" w:eastAsia="仿宋" w:cs="仿宋"/>
                <w:b/>
                <w:bCs/>
                <w:color w:val="000000"/>
                <w:sz w:val="21"/>
                <w:szCs w:val="21"/>
              </w:rPr>
              <w:t>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rPr>
            </w:pPr>
            <w:r>
              <w:rPr>
                <w:rFonts w:hint="eastAsia" w:ascii="仿宋" w:hAnsi="仿宋" w:eastAsia="仿宋" w:cs="仿宋"/>
                <w:color w:val="000000"/>
                <w:sz w:val="21"/>
                <w:szCs w:val="21"/>
              </w:rPr>
              <w:t>1</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rPr>
            </w:pPr>
            <w:r>
              <w:rPr>
                <w:rFonts w:hint="eastAsia" w:ascii="仿宋" w:hAnsi="仿宋" w:eastAsia="仿宋" w:cs="仿宋"/>
                <w:color w:val="000000"/>
                <w:sz w:val="21"/>
                <w:szCs w:val="21"/>
              </w:rPr>
              <w:t>投标文件签章</w:t>
            </w:r>
          </w:p>
        </w:tc>
        <w:tc>
          <w:tcPr>
            <w:tcW w:w="3343" w:type="dxa"/>
            <w:vAlign w:val="center"/>
          </w:tcPr>
          <w:p>
            <w:pPr>
              <w:pStyle w:val="20"/>
              <w:keepNext w:val="0"/>
              <w:keepLines w:val="0"/>
              <w:suppressLineNumbers w:val="0"/>
              <w:spacing w:before="0" w:beforeAutospacing="0" w:after="0" w:afterAutospacing="0"/>
              <w:ind w:left="0" w:right="-73" w:rightChars="-35"/>
              <w:rPr>
                <w:rFonts w:hint="default" w:ascii="仿宋" w:hAnsi="仿宋" w:eastAsia="仿宋" w:cs="仿宋"/>
                <w:color w:val="000000"/>
                <w:sz w:val="21"/>
                <w:szCs w:val="21"/>
              </w:rPr>
            </w:pPr>
            <w:r>
              <w:rPr>
                <w:rFonts w:hint="eastAsia" w:ascii="仿宋" w:hAnsi="仿宋" w:eastAsia="仿宋" w:cs="仿宋"/>
                <w:color w:val="000000"/>
                <w:sz w:val="21"/>
                <w:szCs w:val="21"/>
              </w:rPr>
              <w:t>是否按照规定在应由企业法人或法人授权代表在所有规定签字处逐一盖电子章或签字及加盖单位电子公章</w:t>
            </w:r>
          </w:p>
        </w:tc>
        <w:tc>
          <w:tcPr>
            <w:tcW w:w="3082" w:type="dxa"/>
            <w:vAlign w:val="center"/>
          </w:tcPr>
          <w:p>
            <w:pPr>
              <w:pStyle w:val="20"/>
              <w:keepNext w:val="0"/>
              <w:keepLines w:val="0"/>
              <w:suppressLineNumbers w:val="0"/>
              <w:spacing w:before="0" w:beforeAutospacing="0" w:after="0" w:afterAutospacing="0"/>
              <w:ind w:left="0" w:right="-73" w:rightChars="-35"/>
              <w:rPr>
                <w:rFonts w:hint="default" w:ascii="仿宋" w:hAnsi="仿宋" w:eastAsia="仿宋" w:cs="仿宋"/>
                <w:color w:val="000000"/>
                <w:sz w:val="21"/>
                <w:szCs w:val="21"/>
              </w:rPr>
            </w:pPr>
            <w:r>
              <w:rPr>
                <w:rFonts w:hint="eastAsia" w:ascii="仿宋" w:hAnsi="仿宋" w:eastAsia="仿宋" w:cs="仿宋"/>
                <w:color w:val="000000"/>
                <w:sz w:val="21"/>
                <w:szCs w:val="21"/>
              </w:rPr>
              <w:t>按照规定在应由企业法人或法人授权代表在所有规定签字处逐一盖电子章或签字及加盖单位电子公章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rPr>
            </w:pPr>
            <w:r>
              <w:rPr>
                <w:rFonts w:hint="eastAsia" w:ascii="仿宋" w:hAnsi="仿宋" w:eastAsia="仿宋" w:cs="仿宋"/>
                <w:color w:val="000000"/>
                <w:sz w:val="21"/>
                <w:szCs w:val="21"/>
              </w:rPr>
              <w:t>2</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rPr>
            </w:pPr>
            <w:r>
              <w:rPr>
                <w:rFonts w:hint="eastAsia" w:ascii="仿宋" w:hAnsi="仿宋" w:eastAsia="仿宋" w:cs="仿宋"/>
                <w:color w:val="000000"/>
                <w:sz w:val="21"/>
                <w:szCs w:val="21"/>
              </w:rPr>
              <w:t>报价</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投标文件是否针对同一种货物出现了两个或两个以上的报价；报价是否超过项目预算或最高限价或经评标委员会认定低于成本的</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针对同一种货物未出现了两个或两个以上的报价；报价未超过项目预算或最高限价，经评标委员会认定报价未低于成本的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rPr>
            </w:pPr>
            <w:r>
              <w:rPr>
                <w:rFonts w:hint="eastAsia" w:ascii="仿宋" w:hAnsi="仿宋" w:eastAsia="仿宋" w:cs="仿宋"/>
                <w:color w:val="000000"/>
                <w:sz w:val="21"/>
                <w:szCs w:val="21"/>
              </w:rPr>
              <w:t>3</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rPr>
            </w:pPr>
            <w:r>
              <w:rPr>
                <w:rFonts w:hint="eastAsia" w:ascii="仿宋" w:hAnsi="仿宋" w:eastAsia="仿宋" w:cs="仿宋"/>
                <w:color w:val="000000"/>
                <w:sz w:val="21"/>
                <w:szCs w:val="21"/>
              </w:rPr>
              <w:t>投标文件内容</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是否按照投标文件规定的内容填写</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按照投标文件规定的内容填写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rPr>
            </w:pPr>
            <w:r>
              <w:rPr>
                <w:rFonts w:hint="eastAsia" w:ascii="仿宋" w:hAnsi="仿宋" w:eastAsia="仿宋" w:cs="仿宋"/>
                <w:color w:val="000000"/>
                <w:sz w:val="21"/>
                <w:szCs w:val="21"/>
              </w:rPr>
              <w:t>4</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rPr>
            </w:pPr>
            <w:r>
              <w:rPr>
                <w:rFonts w:hint="eastAsia" w:ascii="仿宋" w:hAnsi="仿宋" w:eastAsia="仿宋" w:cs="仿宋"/>
                <w:color w:val="000000"/>
                <w:sz w:val="21"/>
                <w:szCs w:val="21"/>
              </w:rPr>
              <w:t>投标保证金</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是否按招标文件规定递交保证金、保证金金额、保证金形式是否符合招标文件规定的</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按招标文件规定递交保证金、保证金金额、保证金形式符合招标文件规定的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rPr>
            </w:pPr>
            <w:r>
              <w:rPr>
                <w:rFonts w:hint="eastAsia" w:ascii="仿宋" w:hAnsi="仿宋" w:eastAsia="仿宋" w:cs="仿宋"/>
                <w:color w:val="000000"/>
                <w:sz w:val="21"/>
                <w:szCs w:val="21"/>
              </w:rPr>
              <w:t>5</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rPr>
            </w:pPr>
            <w:r>
              <w:rPr>
                <w:rFonts w:hint="eastAsia" w:ascii="仿宋" w:hAnsi="仿宋" w:eastAsia="仿宋" w:cs="仿宋"/>
                <w:color w:val="000000"/>
                <w:sz w:val="21"/>
                <w:szCs w:val="21"/>
              </w:rPr>
              <w:t>投标有效期</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投标有效期是否满足投标文件要求</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投标有效期满足投标文件要求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rPr>
            </w:pPr>
            <w:r>
              <w:rPr>
                <w:rFonts w:hint="eastAsia" w:ascii="仿宋" w:hAnsi="仿宋" w:eastAsia="仿宋" w:cs="仿宋"/>
                <w:color w:val="000000"/>
                <w:sz w:val="21"/>
                <w:szCs w:val="21"/>
              </w:rPr>
              <w:t>6</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rPr>
            </w:pPr>
            <w:r>
              <w:rPr>
                <w:rFonts w:hint="eastAsia" w:ascii="仿宋" w:hAnsi="仿宋" w:eastAsia="仿宋" w:cs="仿宋"/>
                <w:color w:val="000000"/>
                <w:sz w:val="21"/>
                <w:szCs w:val="21"/>
              </w:rPr>
              <w:t>实质性响应</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default" w:ascii="仿宋" w:hAnsi="仿宋" w:eastAsia="仿宋" w:cs="仿宋"/>
                <w:color w:val="000000"/>
                <w:sz w:val="21"/>
                <w:szCs w:val="21"/>
              </w:rPr>
              <w:t>投标文件</w:t>
            </w:r>
            <w:r>
              <w:rPr>
                <w:rFonts w:hint="default" w:ascii="仿宋" w:hAnsi="仿宋" w:eastAsia="仿宋" w:cs="仿宋"/>
                <w:color w:val="000000"/>
                <w:sz w:val="21"/>
                <w:szCs w:val="21"/>
                <w:lang w:eastAsia="zh-CN"/>
              </w:rPr>
              <w:t>是否</w:t>
            </w:r>
            <w:r>
              <w:rPr>
                <w:rFonts w:hint="default" w:ascii="仿宋" w:hAnsi="仿宋" w:eastAsia="仿宋" w:cs="仿宋"/>
                <w:color w:val="000000"/>
                <w:sz w:val="21"/>
                <w:szCs w:val="21"/>
              </w:rPr>
              <w:t>满足招标文件中“★”实质性条款的要求</w:t>
            </w:r>
            <w:r>
              <w:rPr>
                <w:rFonts w:hint="default" w:ascii="仿宋" w:hAnsi="仿宋" w:eastAsia="仿宋" w:cs="仿宋"/>
                <w:color w:val="000000"/>
                <w:sz w:val="21"/>
                <w:szCs w:val="21"/>
                <w:lang w:eastAsia="zh-CN"/>
              </w:rPr>
              <w:t>和明确的商务要求（如，付款方式、质保、供货期）。</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default" w:ascii="仿宋" w:hAnsi="仿宋" w:eastAsia="仿宋" w:cs="仿宋"/>
                <w:color w:val="000000"/>
                <w:sz w:val="21"/>
                <w:szCs w:val="21"/>
              </w:rPr>
              <w:t>投标文件</w:t>
            </w:r>
            <w:r>
              <w:rPr>
                <w:rFonts w:hint="default" w:ascii="仿宋" w:hAnsi="仿宋" w:eastAsia="仿宋" w:cs="仿宋"/>
                <w:color w:val="000000"/>
                <w:sz w:val="21"/>
                <w:szCs w:val="21"/>
                <w:lang w:eastAsia="zh-CN"/>
              </w:rPr>
              <w:t>是否</w:t>
            </w:r>
            <w:r>
              <w:rPr>
                <w:rFonts w:hint="default" w:ascii="仿宋" w:hAnsi="仿宋" w:eastAsia="仿宋" w:cs="仿宋"/>
                <w:color w:val="000000"/>
                <w:sz w:val="21"/>
                <w:szCs w:val="21"/>
              </w:rPr>
              <w:t>满足招标文件中“★”实质性条款的要求</w:t>
            </w:r>
            <w:r>
              <w:rPr>
                <w:rFonts w:hint="default" w:ascii="仿宋" w:hAnsi="仿宋" w:eastAsia="仿宋" w:cs="仿宋"/>
                <w:color w:val="000000"/>
                <w:sz w:val="21"/>
                <w:szCs w:val="21"/>
                <w:lang w:eastAsia="zh-CN"/>
              </w:rPr>
              <w:t>和明确的商务要求（如，付款方式、质保、供货期）。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7</w:t>
            </w:r>
          </w:p>
        </w:tc>
        <w:tc>
          <w:tcPr>
            <w:tcW w:w="1669" w:type="dxa"/>
            <w:vAlign w:val="center"/>
          </w:tcPr>
          <w:p>
            <w:pPr>
              <w:pStyle w:val="20"/>
              <w:keepNext w:val="0"/>
              <w:keepLines w:val="0"/>
              <w:suppressLineNumbers w:val="0"/>
              <w:spacing w:before="0" w:beforeAutospacing="0" w:after="0" w:afterAutospacing="0"/>
              <w:ind w:left="0" w:leftChars="0" w:right="65" w:rightChars="31"/>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参数响应</w:t>
            </w:r>
          </w:p>
        </w:tc>
        <w:tc>
          <w:tcPr>
            <w:tcW w:w="3343" w:type="dxa"/>
            <w:vAlign w:val="center"/>
          </w:tcPr>
          <w:p>
            <w:pPr>
              <w:pStyle w:val="20"/>
              <w:keepNext w:val="0"/>
              <w:keepLines w:val="0"/>
              <w:suppressLineNumbers w:val="0"/>
              <w:spacing w:before="0" w:beforeAutospacing="0" w:after="0" w:afterAutospacing="0"/>
              <w:ind w:left="0" w:leftChars="0" w:right="-73" w:rightChars="-35"/>
              <w:jc w:val="both"/>
              <w:rPr>
                <w:rFonts w:hint="default" w:ascii="仿宋" w:hAnsi="仿宋" w:eastAsia="仿宋" w:cs="仿宋"/>
                <w:color w:val="000000"/>
                <w:sz w:val="21"/>
                <w:szCs w:val="21"/>
              </w:rPr>
            </w:pPr>
            <w:r>
              <w:rPr>
                <w:rFonts w:hint="default" w:ascii="仿宋" w:hAnsi="仿宋" w:eastAsia="仿宋" w:cs="仿宋"/>
                <w:color w:val="000000"/>
                <w:sz w:val="21"/>
                <w:szCs w:val="21"/>
              </w:rPr>
              <w:t>允许负偏离参数项是否大于5项（不含本数）</w:t>
            </w:r>
          </w:p>
        </w:tc>
        <w:tc>
          <w:tcPr>
            <w:tcW w:w="3082" w:type="dxa"/>
            <w:vAlign w:val="center"/>
          </w:tcPr>
          <w:p>
            <w:pPr>
              <w:pStyle w:val="20"/>
              <w:keepNext w:val="0"/>
              <w:keepLines w:val="0"/>
              <w:suppressLineNumbers w:val="0"/>
              <w:spacing w:before="0" w:beforeAutospacing="0" w:after="0" w:afterAutospacing="0"/>
              <w:ind w:left="0" w:leftChars="0" w:right="-73" w:rightChars="-35"/>
              <w:jc w:val="both"/>
              <w:rPr>
                <w:rFonts w:hint="default" w:ascii="仿宋" w:hAnsi="仿宋" w:eastAsia="仿宋" w:cs="仿宋"/>
                <w:color w:val="000000"/>
                <w:sz w:val="21"/>
                <w:szCs w:val="21"/>
              </w:rPr>
            </w:pPr>
            <w:r>
              <w:rPr>
                <w:rFonts w:hint="default" w:ascii="仿宋" w:hAnsi="仿宋" w:eastAsia="仿宋" w:cs="仿宋"/>
                <w:color w:val="000000"/>
                <w:sz w:val="21"/>
                <w:szCs w:val="21"/>
              </w:rPr>
              <w:t>允许负偏离参数项是否大于5项（不含本数）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leftChars="0" w:right="-71" w:rightChars="-34"/>
              <w:jc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8</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设备数量</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default" w:ascii="仿宋" w:hAnsi="仿宋" w:eastAsia="仿宋" w:cs="仿宋"/>
                <w:color w:val="000000"/>
                <w:sz w:val="21"/>
                <w:szCs w:val="21"/>
                <w:lang w:eastAsia="zh-CN"/>
              </w:rPr>
              <w:t>投标文件所供产品或服务是否满足招标文件中明确的采购量（设备或软件等的台套件数）</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default" w:ascii="仿宋" w:hAnsi="仿宋" w:eastAsia="仿宋" w:cs="仿宋"/>
                <w:color w:val="000000"/>
                <w:sz w:val="21"/>
                <w:szCs w:val="21"/>
                <w:lang w:eastAsia="zh-CN"/>
              </w:rPr>
              <w:t>投标文件所供产品或服务是否满足招标文件中明确的采购量（设备或软件等的台套件数）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leftChars="0" w:right="-71" w:rightChars="-34"/>
              <w:jc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9</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rPr>
            </w:pPr>
            <w:r>
              <w:rPr>
                <w:rFonts w:hint="eastAsia" w:ascii="仿宋" w:hAnsi="仿宋" w:eastAsia="仿宋" w:cs="仿宋"/>
                <w:color w:val="000000"/>
                <w:sz w:val="21"/>
                <w:szCs w:val="21"/>
              </w:rPr>
              <w:t>附加条件</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响应文件是否含有采购人不能接受的附加条件的</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10</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投标产品明细</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所供产品是否</w:t>
            </w:r>
            <w:r>
              <w:rPr>
                <w:rFonts w:hint="eastAsia" w:ascii="仿宋" w:hAnsi="仿宋" w:eastAsia="仿宋" w:cs="仿宋"/>
                <w:color w:val="000000"/>
                <w:sz w:val="21"/>
                <w:szCs w:val="21"/>
                <w:lang w:eastAsia="zh-CN"/>
              </w:rPr>
              <w:t>具有明确的</w:t>
            </w:r>
            <w:r>
              <w:rPr>
                <w:rFonts w:hint="eastAsia" w:ascii="仿宋" w:hAnsi="仿宋" w:eastAsia="仿宋" w:cs="仿宋"/>
                <w:color w:val="000000"/>
                <w:sz w:val="21"/>
                <w:szCs w:val="21"/>
              </w:rPr>
              <w:t xml:space="preserve"> 品牌、型号、数量、单价、产地</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default" w:ascii="仿宋" w:hAnsi="仿宋" w:eastAsia="仿宋" w:cs="仿宋"/>
                <w:color w:val="000000"/>
                <w:sz w:val="21"/>
                <w:szCs w:val="21"/>
              </w:rPr>
            </w:pPr>
            <w:r>
              <w:rPr>
                <w:rFonts w:hint="eastAsia" w:ascii="仿宋" w:hAnsi="仿宋" w:eastAsia="仿宋" w:cs="仿宋"/>
                <w:color w:val="000000"/>
                <w:sz w:val="21"/>
                <w:szCs w:val="21"/>
              </w:rPr>
              <w:t>所供产品是否</w:t>
            </w:r>
            <w:r>
              <w:rPr>
                <w:rFonts w:hint="eastAsia" w:ascii="仿宋" w:hAnsi="仿宋" w:eastAsia="仿宋" w:cs="仿宋"/>
                <w:color w:val="000000"/>
                <w:sz w:val="21"/>
                <w:szCs w:val="21"/>
                <w:lang w:eastAsia="zh-CN"/>
              </w:rPr>
              <w:t>具有明确的</w:t>
            </w:r>
            <w:r>
              <w:rPr>
                <w:rFonts w:hint="eastAsia" w:ascii="仿宋" w:hAnsi="仿宋" w:eastAsia="仿宋" w:cs="仿宋"/>
                <w:color w:val="000000"/>
                <w:sz w:val="21"/>
                <w:szCs w:val="21"/>
              </w:rPr>
              <w:t xml:space="preserve"> 品牌、型号、数量、单价、产地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11</w:t>
            </w:r>
          </w:p>
        </w:tc>
        <w:tc>
          <w:tcPr>
            <w:tcW w:w="1669" w:type="dxa"/>
            <w:vAlign w:val="center"/>
          </w:tcPr>
          <w:p>
            <w:pPr>
              <w:pStyle w:val="20"/>
              <w:keepNext w:val="0"/>
              <w:keepLines w:val="0"/>
              <w:suppressLineNumbers w:val="0"/>
              <w:spacing w:before="0" w:beforeAutospacing="0" w:after="0" w:afterAutospacing="0"/>
              <w:ind w:left="0" w:leftChars="0" w:right="65" w:rightChars="31"/>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rPr>
              <w:t>进口产品的授权书</w:t>
            </w:r>
          </w:p>
        </w:tc>
        <w:tc>
          <w:tcPr>
            <w:tcW w:w="3343" w:type="dxa"/>
            <w:vAlign w:val="center"/>
          </w:tcPr>
          <w:p>
            <w:pPr>
              <w:pStyle w:val="20"/>
              <w:keepNext w:val="0"/>
              <w:keepLines w:val="0"/>
              <w:suppressLineNumbers w:val="0"/>
              <w:spacing w:before="0" w:beforeAutospacing="0" w:after="0" w:afterAutospacing="0"/>
              <w:ind w:left="0" w:leftChars="0" w:right="-73" w:rightChars="-35"/>
              <w:jc w:val="both"/>
              <w:rPr>
                <w:rFonts w:hint="eastAsia" w:ascii="仿宋" w:hAnsi="仿宋" w:eastAsia="仿宋" w:cs="仿宋"/>
                <w:color w:val="000000"/>
                <w:sz w:val="21"/>
                <w:szCs w:val="21"/>
              </w:rPr>
            </w:pPr>
            <w:r>
              <w:rPr>
                <w:rFonts w:hint="eastAsia" w:ascii="仿宋" w:hAnsi="仿宋" w:eastAsia="仿宋" w:cs="仿宋"/>
                <w:color w:val="000000"/>
                <w:sz w:val="21"/>
                <w:szCs w:val="21"/>
              </w:rPr>
              <w:t>本项目产品设备为进口产品，供应商为非所投产品制造厂家的，需提供产品制造厂家对所投进口产品的授权书，或具有授权权限的代理商对所投进口产品的授权书</w:t>
            </w:r>
          </w:p>
        </w:tc>
        <w:tc>
          <w:tcPr>
            <w:tcW w:w="3082" w:type="dxa"/>
            <w:vAlign w:val="center"/>
          </w:tcPr>
          <w:p>
            <w:pPr>
              <w:pStyle w:val="20"/>
              <w:keepNext w:val="0"/>
              <w:keepLines w:val="0"/>
              <w:suppressLineNumbers w:val="0"/>
              <w:spacing w:before="0" w:beforeAutospacing="0" w:after="0" w:afterAutospacing="0"/>
              <w:ind w:left="0" w:leftChars="0" w:right="-73" w:rightChars="-35"/>
              <w:jc w:val="both"/>
              <w:rPr>
                <w:rFonts w:hint="eastAsia" w:ascii="仿宋" w:hAnsi="仿宋" w:eastAsia="仿宋" w:cs="仿宋"/>
                <w:color w:val="000000"/>
                <w:sz w:val="21"/>
                <w:szCs w:val="21"/>
              </w:rPr>
            </w:pPr>
            <w:r>
              <w:rPr>
                <w:rFonts w:hint="eastAsia" w:ascii="仿宋" w:hAnsi="仿宋" w:eastAsia="仿宋" w:cs="仿宋"/>
                <w:color w:val="000000"/>
                <w:sz w:val="21"/>
                <w:szCs w:val="21"/>
              </w:rPr>
              <w:t>需提供该代理商具有有效授权权限的相关证明文件，证明文件需能显示设备制造厂家对所投产品授权链条的完整性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6" w:type="dxa"/>
            <w:vAlign w:val="center"/>
          </w:tcPr>
          <w:p>
            <w:pPr>
              <w:pStyle w:val="20"/>
              <w:keepNext w:val="0"/>
              <w:keepLines w:val="0"/>
              <w:suppressLineNumbers w:val="0"/>
              <w:spacing w:before="0" w:beforeAutospacing="0" w:after="0" w:afterAutospacing="0"/>
              <w:ind w:left="0" w:right="-71" w:rightChars="-34"/>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12</w:t>
            </w:r>
          </w:p>
        </w:tc>
        <w:tc>
          <w:tcPr>
            <w:tcW w:w="1669" w:type="dxa"/>
            <w:vAlign w:val="center"/>
          </w:tcPr>
          <w:p>
            <w:pPr>
              <w:pStyle w:val="20"/>
              <w:keepNext w:val="0"/>
              <w:keepLines w:val="0"/>
              <w:suppressLineNumbers w:val="0"/>
              <w:spacing w:before="0" w:beforeAutospacing="0" w:after="0" w:afterAutospacing="0"/>
              <w:ind w:left="0" w:right="65" w:rightChars="31"/>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其他</w:t>
            </w:r>
          </w:p>
        </w:tc>
        <w:tc>
          <w:tcPr>
            <w:tcW w:w="3343" w:type="dxa"/>
            <w:vAlign w:val="center"/>
          </w:tcPr>
          <w:p>
            <w:pPr>
              <w:pStyle w:val="20"/>
              <w:keepNext w:val="0"/>
              <w:keepLines w:val="0"/>
              <w:suppressLineNumbers w:val="0"/>
              <w:spacing w:before="0" w:beforeAutospacing="0" w:after="0" w:afterAutospacing="0"/>
              <w:ind w:left="0" w:right="-73" w:rightChars="-35"/>
              <w:jc w:val="both"/>
              <w:rPr>
                <w:rFonts w:hint="eastAsia" w:ascii="仿宋" w:hAnsi="仿宋" w:eastAsia="仿宋" w:cs="仿宋"/>
                <w:color w:val="000000"/>
                <w:sz w:val="21"/>
                <w:szCs w:val="21"/>
              </w:rPr>
            </w:pPr>
            <w:r>
              <w:rPr>
                <w:rFonts w:hint="eastAsia" w:ascii="仿宋" w:hAnsi="仿宋" w:eastAsia="仿宋" w:cs="仿宋"/>
                <w:color w:val="000000"/>
                <w:sz w:val="21"/>
                <w:szCs w:val="21"/>
              </w:rPr>
              <w:t>投标文件中是否存在违反国家法律、法规和招标文件规定的其他无效情形</w:t>
            </w:r>
          </w:p>
        </w:tc>
        <w:tc>
          <w:tcPr>
            <w:tcW w:w="3082" w:type="dxa"/>
            <w:vAlign w:val="center"/>
          </w:tcPr>
          <w:p>
            <w:pPr>
              <w:pStyle w:val="20"/>
              <w:keepNext w:val="0"/>
              <w:keepLines w:val="0"/>
              <w:suppressLineNumbers w:val="0"/>
              <w:spacing w:before="0" w:beforeAutospacing="0" w:after="0" w:afterAutospacing="0"/>
              <w:ind w:left="0" w:right="-73" w:rightChars="-35"/>
              <w:jc w:val="both"/>
              <w:rPr>
                <w:rFonts w:hint="eastAsia" w:ascii="仿宋" w:hAnsi="仿宋" w:eastAsia="仿宋" w:cs="仿宋"/>
                <w:color w:val="000000"/>
                <w:sz w:val="21"/>
                <w:szCs w:val="21"/>
              </w:rPr>
            </w:pPr>
            <w:r>
              <w:rPr>
                <w:rFonts w:hint="eastAsia" w:ascii="仿宋" w:hAnsi="仿宋" w:eastAsia="仿宋" w:cs="仿宋"/>
                <w:color w:val="000000"/>
                <w:sz w:val="21"/>
                <w:szCs w:val="21"/>
              </w:rPr>
              <w:t>投标文件中不存在违反国家法律、法规和招标文件规定的其他无效情形</w:t>
            </w:r>
          </w:p>
        </w:tc>
      </w:tr>
    </w:tbl>
    <w:p>
      <w:pPr>
        <w:pStyle w:val="44"/>
        <w:spacing w:line="440" w:lineRule="exact"/>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四、详细评审</w:t>
      </w:r>
    </w:p>
    <w:p>
      <w:pPr>
        <w:jc w:val="center"/>
        <w:rPr>
          <w:rFonts w:ascii="仿宋" w:hAnsi="仿宋" w:eastAsia="仿宋" w:cs="Arial"/>
          <w:b/>
          <w:color w:val="000000"/>
          <w:kern w:val="0"/>
          <w:sz w:val="24"/>
        </w:rPr>
      </w:pPr>
      <w:r>
        <w:rPr>
          <w:rFonts w:hint="eastAsia" w:ascii="仿宋" w:hAnsi="仿宋" w:eastAsia="仿宋" w:cs="Arial"/>
          <w:b/>
          <w:color w:val="000000"/>
          <w:kern w:val="0"/>
          <w:sz w:val="24"/>
        </w:rPr>
        <w:t>《详细评审标准》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993"/>
        <w:gridCol w:w="709"/>
        <w:gridCol w:w="5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5"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31" w:rightChars="-15"/>
              <w:jc w:val="center"/>
              <w:rPr>
                <w:rFonts w:hint="default" w:ascii="仿宋" w:hAnsi="仿宋" w:eastAsia="仿宋" w:cs="仿宋"/>
                <w:b/>
                <w:color w:val="000000"/>
                <w:kern w:val="0"/>
                <w:szCs w:val="21"/>
              </w:rPr>
            </w:pPr>
            <w:r>
              <w:rPr>
                <w:rFonts w:hint="eastAsia" w:ascii="仿宋" w:hAnsi="仿宋" w:eastAsia="仿宋" w:cs="仿宋"/>
                <w:b/>
                <w:color w:val="000000"/>
                <w:kern w:val="0"/>
                <w:szCs w:val="21"/>
              </w:rPr>
              <w:t>评分因素</w:t>
            </w:r>
          </w:p>
        </w:tc>
        <w:tc>
          <w:tcPr>
            <w:tcW w:w="41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31" w:rightChars="-15"/>
              <w:jc w:val="center"/>
              <w:rPr>
                <w:rFonts w:hint="default" w:ascii="仿宋" w:hAnsi="仿宋" w:eastAsia="仿宋" w:cs="仿宋"/>
                <w:b/>
                <w:color w:val="000000"/>
                <w:kern w:val="0"/>
                <w:szCs w:val="21"/>
              </w:rPr>
            </w:pPr>
            <w:r>
              <w:rPr>
                <w:rFonts w:hint="eastAsia" w:ascii="仿宋" w:hAnsi="仿宋" w:eastAsia="仿宋" w:cs="仿宋"/>
                <w:b/>
                <w:color w:val="000000"/>
                <w:kern w:val="0"/>
                <w:szCs w:val="21"/>
              </w:rPr>
              <w:t>分值</w:t>
            </w:r>
          </w:p>
        </w:tc>
        <w:tc>
          <w:tcPr>
            <w:tcW w:w="343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31" w:rightChars="-15"/>
              <w:jc w:val="center"/>
              <w:rPr>
                <w:rFonts w:hint="default" w:ascii="仿宋" w:hAnsi="仿宋" w:eastAsia="仿宋" w:cs="仿宋"/>
                <w:b/>
                <w:color w:val="000000"/>
                <w:szCs w:val="21"/>
              </w:rPr>
            </w:pPr>
            <w:r>
              <w:rPr>
                <w:rFonts w:hint="eastAsia" w:ascii="仿宋" w:hAnsi="仿宋" w:eastAsia="仿宋" w:cs="仿宋"/>
                <w:b/>
                <w:color w:val="000000"/>
                <w:kern w:val="0"/>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5" w:type="pct"/>
            <w:gridSpan w:val="2"/>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8"/>
              <w:jc w:val="center"/>
              <w:rPr>
                <w:rFonts w:hint="default" w:ascii="仿宋" w:hAnsi="仿宋" w:eastAsia="仿宋" w:cs="仿宋"/>
                <w:color w:val="000000"/>
                <w:sz w:val="21"/>
                <w:szCs w:val="21"/>
              </w:rPr>
            </w:pPr>
            <w:r>
              <w:rPr>
                <w:rFonts w:hint="eastAsia" w:ascii="仿宋" w:hAnsi="仿宋" w:eastAsia="仿宋" w:cs="仿宋"/>
                <w:color w:val="000000"/>
                <w:sz w:val="21"/>
                <w:szCs w:val="21"/>
              </w:rPr>
              <w:t>价格部分（40分）</w:t>
            </w:r>
          </w:p>
        </w:tc>
        <w:tc>
          <w:tcPr>
            <w:tcW w:w="416"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rPr>
            </w:pPr>
            <w:r>
              <w:rPr>
                <w:rFonts w:hint="eastAsia" w:ascii="仿宋" w:hAnsi="仿宋" w:eastAsia="仿宋" w:cs="仿宋"/>
                <w:color w:val="000000"/>
                <w:sz w:val="21"/>
                <w:szCs w:val="21"/>
              </w:rPr>
              <w:t>40</w:t>
            </w:r>
          </w:p>
        </w:tc>
        <w:tc>
          <w:tcPr>
            <w:tcW w:w="3439"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eastAsia" w:ascii="仿宋" w:hAnsi="仿宋" w:eastAsia="仿宋" w:cs="仿宋"/>
                <w:color w:val="000000"/>
                <w:sz w:val="21"/>
                <w:szCs w:val="21"/>
              </w:rPr>
              <w:t>满足招标文件要求且投标价格最低的有效投标报价（即除低于成本报价以外的报价）为评标基准价。其他投标人的价格分统一按照下列公式计算：</w:t>
            </w:r>
          </w:p>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eastAsia" w:ascii="仿宋" w:hAnsi="仿宋" w:eastAsia="仿宋" w:cs="仿宋"/>
                <w:color w:val="000000"/>
                <w:sz w:val="21"/>
                <w:szCs w:val="21"/>
              </w:rPr>
              <w:t>投标报价得分=（评标基准价/投标报价）×价格满分分值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restar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19" w:rightChars="-9"/>
              <w:jc w:val="center"/>
              <w:rPr>
                <w:rFonts w:hint="default" w:ascii="仿宋" w:hAnsi="仿宋" w:eastAsia="仿宋" w:cs="仿宋"/>
                <w:color w:val="000000"/>
                <w:sz w:val="21"/>
                <w:szCs w:val="21"/>
              </w:rPr>
            </w:pPr>
            <w:r>
              <w:rPr>
                <w:rFonts w:hint="eastAsia" w:ascii="仿宋" w:hAnsi="仿宋" w:eastAsia="仿宋" w:cs="仿宋"/>
                <w:color w:val="000000"/>
                <w:sz w:val="21"/>
                <w:szCs w:val="21"/>
              </w:rPr>
              <w:t>商务部分(10分)</w:t>
            </w:r>
          </w:p>
        </w:tc>
        <w:tc>
          <w:tcPr>
            <w:tcW w:w="583"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jc w:val="center"/>
              <w:rPr>
                <w:rFonts w:hint="default" w:ascii="仿宋" w:hAnsi="仿宋" w:eastAsia="仿宋" w:cs="仿宋"/>
                <w:color w:val="000000"/>
                <w:sz w:val="21"/>
                <w:szCs w:val="21"/>
              </w:rPr>
            </w:pPr>
            <w:r>
              <w:rPr>
                <w:rFonts w:hint="eastAsia" w:ascii="仿宋" w:hAnsi="仿宋" w:eastAsia="仿宋" w:cs="仿宋"/>
                <w:color w:val="000000"/>
                <w:sz w:val="21"/>
                <w:szCs w:val="21"/>
              </w:rPr>
              <w:t>类似项目业绩</w:t>
            </w:r>
          </w:p>
        </w:tc>
        <w:tc>
          <w:tcPr>
            <w:tcW w:w="416"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7</w:t>
            </w:r>
          </w:p>
        </w:tc>
        <w:tc>
          <w:tcPr>
            <w:tcW w:w="3439"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eastAsia" w:ascii="仿宋" w:hAnsi="仿宋" w:eastAsia="仿宋" w:cs="仿宋"/>
                <w:color w:val="000000"/>
                <w:sz w:val="21"/>
                <w:szCs w:val="21"/>
              </w:rPr>
              <w:t>投标人所投产品业绩应根据采购文件中的要求，提供近三年以来（2021年1月1日至今）类似产品的项目业绩（时间以合同签订时间为准）</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每提供1项得1分，满分</w:t>
            </w:r>
            <w:r>
              <w:rPr>
                <w:rFonts w:hint="eastAsia" w:ascii="仿宋" w:hAnsi="仿宋" w:eastAsia="仿宋" w:cs="仿宋"/>
                <w:color w:val="000000"/>
                <w:sz w:val="21"/>
                <w:szCs w:val="21"/>
                <w:lang w:val="en-US" w:eastAsia="zh-CN"/>
              </w:rPr>
              <w:t>7</w:t>
            </w:r>
            <w:r>
              <w:rPr>
                <w:rFonts w:hint="eastAsia" w:ascii="仿宋" w:hAnsi="仿宋" w:eastAsia="仿宋" w:cs="仿宋"/>
                <w:color w:val="000000"/>
                <w:sz w:val="21"/>
                <w:szCs w:val="21"/>
              </w:rPr>
              <w:t>分；</w:t>
            </w:r>
          </w:p>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eastAsia" w:ascii="仿宋" w:hAnsi="仿宋" w:eastAsia="仿宋" w:cs="仿宋"/>
                <w:color w:val="000000"/>
                <w:sz w:val="21"/>
                <w:szCs w:val="21"/>
              </w:rPr>
              <w:t>注：1.须提供中标通知书（成交通知书）及合同扫描件，未提供相关证明材料或提供证明材料不全者不得分。</w:t>
            </w:r>
          </w:p>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eastAsia" w:ascii="仿宋" w:hAnsi="仿宋" w:eastAsia="仿宋" w:cs="仿宋"/>
                <w:color w:val="000000"/>
                <w:sz w:val="21"/>
                <w:szCs w:val="21"/>
              </w:rPr>
              <w:t>2.投标人提供虚假合同的，按虚假投标处理。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仿宋" w:hAnsi="仿宋" w:eastAsia="仿宋" w:cs="仿宋"/>
                <w:color w:val="000000"/>
                <w:szCs w:val="21"/>
              </w:rPr>
            </w:pPr>
          </w:p>
        </w:tc>
        <w:tc>
          <w:tcPr>
            <w:tcW w:w="583"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jc w:val="center"/>
              <w:rPr>
                <w:rFonts w:hint="default" w:ascii="仿宋" w:hAnsi="仿宋" w:eastAsia="仿宋" w:cs="仿宋"/>
                <w:color w:val="000000"/>
                <w:sz w:val="21"/>
                <w:szCs w:val="21"/>
              </w:rPr>
            </w:pPr>
            <w:r>
              <w:rPr>
                <w:rFonts w:hint="eastAsia" w:ascii="仿宋" w:hAnsi="仿宋" w:eastAsia="仿宋" w:cs="仿宋"/>
                <w:color w:val="000000"/>
                <w:sz w:val="21"/>
                <w:szCs w:val="21"/>
              </w:rPr>
              <w:t>质量、安全管理体系证书</w:t>
            </w:r>
          </w:p>
        </w:tc>
        <w:tc>
          <w:tcPr>
            <w:tcW w:w="416"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0"/>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3</w:t>
            </w:r>
          </w:p>
        </w:tc>
        <w:tc>
          <w:tcPr>
            <w:tcW w:w="3439"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default" w:ascii="仿宋" w:hAnsi="仿宋" w:eastAsia="仿宋" w:cs="仿宋"/>
                <w:color w:val="000000"/>
                <w:sz w:val="21"/>
                <w:szCs w:val="21"/>
              </w:rPr>
              <w:t>投标人或厂家具有ISO质量体系、ISO环境管理体系、ISO职业健康安全管理体系资质认证证书，每提供一项得1分，满分3分，不提供不得分。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restar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19" w:rightChars="-9"/>
              <w:jc w:val="center"/>
              <w:rPr>
                <w:rFonts w:hint="default" w:ascii="仿宋" w:hAnsi="仿宋" w:eastAsia="仿宋" w:cs="仿宋"/>
                <w:color w:val="000000"/>
                <w:sz w:val="21"/>
                <w:szCs w:val="21"/>
              </w:rPr>
            </w:pPr>
            <w:r>
              <w:rPr>
                <w:rFonts w:hint="eastAsia" w:ascii="仿宋" w:hAnsi="仿宋" w:eastAsia="仿宋" w:cs="仿宋"/>
                <w:color w:val="000000"/>
                <w:sz w:val="21"/>
                <w:szCs w:val="21"/>
              </w:rPr>
              <w:t>技术部分 (50分)</w:t>
            </w:r>
          </w:p>
        </w:tc>
        <w:tc>
          <w:tcPr>
            <w:tcW w:w="583"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jc w:val="center"/>
              <w:rPr>
                <w:rFonts w:hint="default" w:ascii="仿宋" w:hAnsi="仿宋" w:eastAsia="仿宋" w:cs="仿宋"/>
                <w:color w:val="000000"/>
                <w:sz w:val="21"/>
                <w:szCs w:val="21"/>
              </w:rPr>
            </w:pPr>
            <w:r>
              <w:rPr>
                <w:rFonts w:hint="eastAsia" w:ascii="仿宋" w:hAnsi="仿宋" w:eastAsia="仿宋" w:cs="仿宋"/>
                <w:color w:val="000000"/>
                <w:sz w:val="21"/>
                <w:szCs w:val="21"/>
              </w:rPr>
              <w:t>对投标文件技术规格要求的响应程度</w:t>
            </w:r>
          </w:p>
        </w:tc>
        <w:tc>
          <w:tcPr>
            <w:tcW w:w="416"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20</w:t>
            </w:r>
          </w:p>
        </w:tc>
        <w:tc>
          <w:tcPr>
            <w:tcW w:w="3439"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lang w:val="en-US" w:eastAsia="zh-CN"/>
              </w:rPr>
            </w:pPr>
            <w:r>
              <w:rPr>
                <w:rFonts w:hint="default" w:ascii="仿宋" w:hAnsi="仿宋" w:eastAsia="仿宋" w:cs="仿宋"/>
                <w:color w:val="000000"/>
                <w:sz w:val="21"/>
                <w:szCs w:val="21"/>
              </w:rPr>
              <w:t>所投</w:t>
            </w:r>
            <w:r>
              <w:rPr>
                <w:rFonts w:hint="default" w:ascii="仿宋" w:hAnsi="仿宋" w:eastAsia="仿宋" w:cs="仿宋"/>
                <w:color w:val="000000"/>
                <w:sz w:val="21"/>
                <w:szCs w:val="21"/>
                <w:lang w:eastAsia="zh-CN"/>
              </w:rPr>
              <w:t>产品</w:t>
            </w:r>
            <w:r>
              <w:rPr>
                <w:rFonts w:hint="default" w:ascii="仿宋" w:hAnsi="仿宋" w:eastAsia="仿宋" w:cs="仿宋"/>
                <w:color w:val="000000"/>
                <w:sz w:val="21"/>
                <w:szCs w:val="21"/>
              </w:rPr>
              <w:t>的性能、</w:t>
            </w:r>
            <w:r>
              <w:rPr>
                <w:rFonts w:hint="default" w:ascii="仿宋" w:hAnsi="仿宋" w:eastAsia="仿宋" w:cs="仿宋"/>
                <w:color w:val="000000"/>
                <w:sz w:val="21"/>
                <w:szCs w:val="21"/>
                <w:lang w:eastAsia="zh-CN"/>
              </w:rPr>
              <w:t>参数和</w:t>
            </w:r>
            <w:r>
              <w:rPr>
                <w:rFonts w:hint="default" w:ascii="仿宋" w:hAnsi="仿宋" w:eastAsia="仿宋" w:cs="仿宋"/>
                <w:color w:val="000000"/>
                <w:sz w:val="21"/>
                <w:szCs w:val="21"/>
              </w:rPr>
              <w:t>特点</w:t>
            </w:r>
            <w:r>
              <w:rPr>
                <w:rFonts w:hint="default" w:ascii="仿宋" w:hAnsi="仿宋" w:eastAsia="仿宋" w:cs="仿宋"/>
                <w:color w:val="000000"/>
                <w:sz w:val="21"/>
                <w:szCs w:val="21"/>
                <w:lang w:eastAsia="zh-CN"/>
              </w:rPr>
              <w:t>全部</w:t>
            </w:r>
            <w:r>
              <w:rPr>
                <w:rFonts w:hint="default" w:ascii="仿宋" w:hAnsi="仿宋" w:eastAsia="仿宋" w:cs="仿宋"/>
                <w:color w:val="000000"/>
                <w:sz w:val="21"/>
                <w:szCs w:val="21"/>
              </w:rPr>
              <w:t>满足采购需求，</w:t>
            </w:r>
            <w:r>
              <w:rPr>
                <w:rFonts w:hint="default" w:ascii="仿宋" w:hAnsi="仿宋" w:eastAsia="仿宋" w:cs="仿宋"/>
                <w:color w:val="000000"/>
                <w:sz w:val="21"/>
                <w:szCs w:val="21"/>
                <w:lang w:eastAsia="zh-CN"/>
              </w:rPr>
              <w:t>得基础分</w:t>
            </w:r>
            <w:r>
              <w:rPr>
                <w:rFonts w:hint="default" w:ascii="仿宋" w:hAnsi="仿宋" w:eastAsia="仿宋" w:cs="仿宋"/>
                <w:color w:val="000000"/>
                <w:sz w:val="21"/>
                <w:szCs w:val="21"/>
                <w:lang w:val="en-US" w:eastAsia="zh-CN"/>
              </w:rPr>
              <w:t>20</w:t>
            </w:r>
            <w:r>
              <w:rPr>
                <w:rFonts w:hint="default" w:ascii="仿宋" w:hAnsi="仿宋" w:eastAsia="仿宋" w:cs="仿宋"/>
                <w:color w:val="000000"/>
                <w:sz w:val="21"/>
                <w:szCs w:val="21"/>
              </w:rPr>
              <w:t>分</w:t>
            </w:r>
            <w:r>
              <w:rPr>
                <w:rFonts w:hint="default" w:ascii="仿宋" w:hAnsi="仿宋" w:eastAsia="仿宋" w:cs="仿宋"/>
                <w:color w:val="000000"/>
                <w:sz w:val="21"/>
                <w:szCs w:val="21"/>
                <w:lang w:eastAsia="zh-CN"/>
              </w:rPr>
              <w:t>。除标“</w:t>
            </w:r>
            <w:r>
              <w:rPr>
                <w:rFonts w:hint="default" w:ascii="仿宋" w:hAnsi="仿宋" w:eastAsia="仿宋" w:cs="仿宋"/>
                <w:color w:val="000000"/>
                <w:sz w:val="21"/>
                <w:szCs w:val="21"/>
              </w:rPr>
              <w:t>★</w:t>
            </w:r>
            <w:r>
              <w:rPr>
                <w:rFonts w:hint="default" w:ascii="仿宋" w:hAnsi="仿宋" w:eastAsia="仿宋" w:cs="仿宋"/>
                <w:color w:val="000000"/>
                <w:sz w:val="21"/>
                <w:szCs w:val="21"/>
                <w:lang w:eastAsia="zh-CN"/>
              </w:rPr>
              <w:t>”参数外，其他参数为重要参数，本次接受重要参数偏离项数最多为</w:t>
            </w:r>
            <w:r>
              <w:rPr>
                <w:rFonts w:hint="default" w:ascii="仿宋" w:hAnsi="仿宋" w:eastAsia="仿宋" w:cs="仿宋"/>
                <w:color w:val="000000"/>
                <w:sz w:val="21"/>
                <w:szCs w:val="21"/>
                <w:lang w:val="en-US" w:eastAsia="zh-CN"/>
              </w:rPr>
              <w:t>5项。</w:t>
            </w:r>
          </w:p>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lang w:val="en-US" w:eastAsia="zh-CN"/>
              </w:rPr>
            </w:pPr>
            <w:r>
              <w:rPr>
                <w:rFonts w:hint="default" w:ascii="仿宋" w:hAnsi="仿宋" w:eastAsia="仿宋" w:cs="仿宋"/>
                <w:color w:val="000000"/>
                <w:sz w:val="21"/>
                <w:szCs w:val="21"/>
                <w:lang w:eastAsia="zh-CN"/>
              </w:rPr>
              <w:t>当负偏离参数小于等于</w:t>
            </w:r>
            <w:r>
              <w:rPr>
                <w:rFonts w:hint="default" w:ascii="仿宋" w:hAnsi="仿宋" w:eastAsia="仿宋" w:cs="仿宋"/>
                <w:color w:val="000000"/>
                <w:sz w:val="21"/>
                <w:szCs w:val="21"/>
                <w:lang w:val="en-US" w:eastAsia="zh-CN"/>
              </w:rPr>
              <w:t>5项，每负偏离一项扣4分；</w:t>
            </w:r>
          </w:p>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当负偏离参数大于5项时，作无效标处理。</w:t>
            </w:r>
          </w:p>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default" w:ascii="仿宋" w:hAnsi="仿宋" w:eastAsia="仿宋" w:cs="仿宋"/>
                <w:color w:val="000000"/>
                <w:sz w:val="21"/>
                <w:szCs w:val="21"/>
              </w:rPr>
              <w:t>注：</w:t>
            </w:r>
            <w:r>
              <w:rPr>
                <w:rFonts w:hint="default" w:ascii="仿宋" w:hAnsi="仿宋" w:eastAsia="仿宋" w:cs="仿宋"/>
                <w:color w:val="000000"/>
                <w:sz w:val="21"/>
                <w:szCs w:val="21"/>
                <w:lang w:eastAsia="zh-CN"/>
              </w:rPr>
              <w:t>完全照抄招标参数本项不得分。</w:t>
            </w:r>
            <w:r>
              <w:rPr>
                <w:rFonts w:hint="default" w:ascii="仿宋" w:hAnsi="仿宋" w:eastAsia="仿宋" w:cs="仿宋"/>
                <w:color w:val="000000"/>
                <w:sz w:val="21"/>
                <w:szCs w:val="21"/>
              </w:rPr>
              <w:t>投标人须对本招标文件技术要求进行点对点应答，必须在引用本招标文件的基础上,进行逐条逐项答复、说明和解释,特别对有具体参数要求的指标，投标人必须提供所投货物的具体参数值。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仿宋" w:hAnsi="仿宋" w:eastAsia="仿宋" w:cs="仿宋"/>
                <w:color w:val="000000"/>
                <w:szCs w:val="21"/>
              </w:rPr>
            </w:pPr>
          </w:p>
        </w:tc>
        <w:tc>
          <w:tcPr>
            <w:tcW w:w="583"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jc w:val="center"/>
              <w:rPr>
                <w:rFonts w:hint="default" w:ascii="仿宋" w:hAnsi="仿宋" w:eastAsia="仿宋" w:cs="仿宋"/>
                <w:color w:val="000000"/>
                <w:sz w:val="21"/>
                <w:szCs w:val="21"/>
              </w:rPr>
            </w:pPr>
            <w:r>
              <w:rPr>
                <w:rFonts w:hint="eastAsia" w:ascii="仿宋" w:hAnsi="仿宋" w:eastAsia="仿宋" w:cs="仿宋"/>
                <w:color w:val="000000"/>
                <w:sz w:val="21"/>
                <w:szCs w:val="21"/>
              </w:rPr>
              <w:t>实施方案</w:t>
            </w:r>
          </w:p>
        </w:tc>
        <w:tc>
          <w:tcPr>
            <w:tcW w:w="416"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15</w:t>
            </w:r>
          </w:p>
        </w:tc>
        <w:tc>
          <w:tcPr>
            <w:tcW w:w="3439"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rPr>
                <w:rFonts w:hint="default" w:ascii="仿宋" w:hAnsi="仿宋" w:eastAsia="仿宋" w:cs="仿宋"/>
                <w:color w:val="000000"/>
                <w:sz w:val="21"/>
                <w:szCs w:val="21"/>
              </w:rPr>
            </w:pPr>
            <w:r>
              <w:rPr>
                <w:rFonts w:hint="eastAsia" w:ascii="仿宋" w:hAnsi="仿宋" w:eastAsia="仿宋" w:cs="仿宋"/>
                <w:color w:val="000000"/>
                <w:sz w:val="21"/>
                <w:szCs w:val="21"/>
              </w:rPr>
              <w:t>提供详细的（项目实施方案、质量保证措施、风险管理措施、项目进度方案、所供产品对接方案等）。根据投标人提供方案进行评分，全部满足要求得</w:t>
            </w:r>
            <w:r>
              <w:rPr>
                <w:rFonts w:hint="eastAsia" w:ascii="仿宋" w:hAnsi="仿宋" w:eastAsia="仿宋" w:cs="仿宋"/>
                <w:color w:val="000000"/>
                <w:sz w:val="21"/>
                <w:szCs w:val="21"/>
                <w:lang w:val="en-US" w:eastAsia="zh-CN"/>
              </w:rPr>
              <w:t>15</w:t>
            </w:r>
            <w:r>
              <w:rPr>
                <w:rFonts w:hint="eastAsia" w:ascii="仿宋" w:hAnsi="仿宋" w:eastAsia="仿宋" w:cs="仿宋"/>
                <w:color w:val="000000"/>
                <w:sz w:val="21"/>
                <w:szCs w:val="21"/>
              </w:rPr>
              <w:t>分，若有一项不满足扣</w:t>
            </w:r>
            <w:r>
              <w:rPr>
                <w:rFonts w:hint="eastAsia" w:ascii="仿宋" w:hAnsi="仿宋" w:eastAsia="仿宋" w:cs="仿宋"/>
                <w:color w:val="000000"/>
                <w:sz w:val="21"/>
                <w:szCs w:val="21"/>
                <w:lang w:val="en-US" w:eastAsia="zh-CN"/>
              </w:rPr>
              <w:t>3</w:t>
            </w:r>
            <w:r>
              <w:rPr>
                <w:rFonts w:hint="eastAsia" w:ascii="仿宋" w:hAnsi="仿宋" w:eastAsia="仿宋" w:cs="仿宋"/>
                <w:color w:val="000000"/>
                <w:sz w:val="21"/>
                <w:szCs w:val="21"/>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仿宋" w:hAnsi="仿宋" w:eastAsia="仿宋" w:cs="仿宋"/>
                <w:color w:val="000000"/>
                <w:szCs w:val="21"/>
              </w:rPr>
            </w:pPr>
          </w:p>
        </w:tc>
        <w:tc>
          <w:tcPr>
            <w:tcW w:w="583"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jc w:val="center"/>
              <w:rPr>
                <w:rFonts w:hint="default" w:ascii="仿宋" w:hAnsi="仿宋" w:eastAsia="仿宋" w:cs="仿宋"/>
                <w:color w:val="000000"/>
                <w:sz w:val="21"/>
                <w:szCs w:val="21"/>
              </w:rPr>
            </w:pPr>
            <w:r>
              <w:rPr>
                <w:rFonts w:hint="eastAsia" w:ascii="仿宋" w:hAnsi="仿宋" w:eastAsia="仿宋" w:cs="仿宋"/>
                <w:color w:val="000000"/>
                <w:sz w:val="21"/>
                <w:szCs w:val="21"/>
              </w:rPr>
              <w:t>售后服务方案</w:t>
            </w:r>
          </w:p>
        </w:tc>
        <w:tc>
          <w:tcPr>
            <w:tcW w:w="416"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10</w:t>
            </w:r>
          </w:p>
        </w:tc>
        <w:tc>
          <w:tcPr>
            <w:tcW w:w="3439"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仿宋" w:hAnsi="仿宋" w:eastAsia="仿宋" w:cs="仿宋"/>
                <w:color w:val="000000"/>
                <w:szCs w:val="21"/>
              </w:rPr>
            </w:pPr>
            <w:r>
              <w:rPr>
                <w:rFonts w:hint="eastAsia" w:ascii="仿宋" w:hAnsi="仿宋" w:eastAsia="仿宋" w:cs="仿宋"/>
                <w:color w:val="000000"/>
                <w:szCs w:val="21"/>
              </w:rPr>
              <w:t>提供详细的售后服务方案（服务内容、遇到问题迅速响应、解决问题的流程、人员售后服务保障、其他资源保障等）。根据投标人提供方案进行评分，全部满足要求得</w:t>
            </w:r>
            <w:r>
              <w:rPr>
                <w:rFonts w:hint="eastAsia" w:ascii="仿宋" w:hAnsi="仿宋" w:eastAsia="仿宋" w:cs="仿宋"/>
                <w:color w:val="000000"/>
                <w:szCs w:val="21"/>
                <w:lang w:val="en-US" w:eastAsia="zh-CN"/>
              </w:rPr>
              <w:t>10</w:t>
            </w:r>
            <w:r>
              <w:rPr>
                <w:rFonts w:hint="eastAsia" w:ascii="仿宋" w:hAnsi="仿宋" w:eastAsia="仿宋" w:cs="仿宋"/>
                <w:color w:val="000000"/>
                <w:szCs w:val="21"/>
              </w:rPr>
              <w:t>分，若有一项不满足扣</w:t>
            </w:r>
            <w:r>
              <w:rPr>
                <w:rFonts w:hint="eastAsia" w:ascii="仿宋" w:hAnsi="仿宋" w:eastAsia="仿宋" w:cs="仿宋"/>
                <w:color w:val="000000"/>
                <w:szCs w:val="21"/>
                <w:lang w:val="en-US" w:eastAsia="zh-CN"/>
              </w:rPr>
              <w:t>2</w:t>
            </w:r>
            <w:r>
              <w:rPr>
                <w:rFonts w:hint="eastAsia" w:ascii="仿宋" w:hAnsi="仿宋" w:eastAsia="仿宋" w:cs="仿宋"/>
                <w:color w:val="000000"/>
                <w:szCs w:val="21"/>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仿宋" w:hAnsi="仿宋" w:eastAsia="仿宋" w:cs="仿宋"/>
                <w:color w:val="000000"/>
                <w:szCs w:val="21"/>
              </w:rPr>
            </w:pP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培训方案</w:t>
            </w:r>
          </w:p>
        </w:tc>
        <w:tc>
          <w:tcPr>
            <w:tcW w:w="41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3</w:t>
            </w:r>
          </w:p>
        </w:tc>
        <w:tc>
          <w:tcPr>
            <w:tcW w:w="3439" w:type="pct"/>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仿宋" w:hAnsi="仿宋" w:eastAsia="仿宋" w:cs="仿宋"/>
                <w:color w:val="000000"/>
                <w:szCs w:val="21"/>
              </w:rPr>
            </w:pPr>
            <w:r>
              <w:rPr>
                <w:rFonts w:hint="eastAsia" w:ascii="仿宋" w:hAnsi="仿宋" w:eastAsia="仿宋" w:cs="仿宋"/>
                <w:color w:val="000000"/>
                <w:szCs w:val="21"/>
              </w:rPr>
              <w:t>根据培训方案（包括培训方案、培训计划等）方面进行综合评审，全部满足要求得2分，若有一项不满足扣1分，扣完为止。</w:t>
            </w:r>
          </w:p>
          <w:p>
            <w:pPr>
              <w:pStyle w:val="11"/>
              <w:keepNext w:val="0"/>
              <w:keepLines w:val="0"/>
              <w:suppressLineNumbers w:val="0"/>
              <w:spacing w:before="0" w:beforeAutospacing="0" w:after="0" w:afterAutospacing="0"/>
              <w:ind w:left="0" w:right="0" w:firstLine="0"/>
              <w:rPr>
                <w:rFonts w:hint="default" w:ascii="仿宋" w:hAnsi="仿宋" w:eastAsia="仿宋" w:cs="仿宋"/>
                <w:color w:val="000000"/>
                <w:kern w:val="2"/>
                <w:sz w:val="21"/>
                <w:szCs w:val="21"/>
              </w:rPr>
            </w:pPr>
            <w:r>
              <w:rPr>
                <w:rFonts w:hint="eastAsia" w:ascii="仿宋" w:hAnsi="仿宋" w:eastAsia="仿宋" w:cs="仿宋"/>
                <w:color w:val="000000"/>
                <w:kern w:val="2"/>
                <w:sz w:val="21"/>
                <w:szCs w:val="21"/>
              </w:rPr>
              <w:t>提供可将甲方人员培训熟练承诺函并加盖电子公章，加1分，不提供不得分。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仿宋" w:hAnsi="仿宋" w:eastAsia="仿宋" w:cs="仿宋"/>
                <w:color w:val="000000"/>
                <w:szCs w:val="21"/>
              </w:rPr>
            </w:pPr>
          </w:p>
        </w:tc>
        <w:tc>
          <w:tcPr>
            <w:tcW w:w="583" w:type="pct"/>
            <w:tcBorders>
              <w:top w:val="single" w:color="auto" w:sz="4" w:space="0"/>
              <w:left w:val="single" w:color="auto" w:sz="4" w:space="0"/>
              <w:bottom w:val="single" w:color="auto" w:sz="4" w:space="0"/>
              <w:right w:val="single" w:color="auto" w:sz="4" w:space="0"/>
            </w:tcBorders>
            <w:vAlign w:val="center"/>
          </w:tcPr>
          <w:p>
            <w:pPr>
              <w:pStyle w:val="20"/>
              <w:keepNext w:val="0"/>
              <w:keepLines w:val="0"/>
              <w:suppressLineNumbers w:val="0"/>
              <w:spacing w:before="0" w:beforeAutospacing="0" w:after="0" w:afterAutospacing="0"/>
              <w:ind w:left="0" w:right="31" w:rightChars="15"/>
              <w:jc w:val="center"/>
              <w:rPr>
                <w:rFonts w:hint="default" w:ascii="仿宋" w:hAnsi="仿宋" w:eastAsia="仿宋" w:cs="仿宋"/>
                <w:color w:val="000000"/>
                <w:sz w:val="21"/>
                <w:szCs w:val="21"/>
              </w:rPr>
            </w:pPr>
            <w:r>
              <w:rPr>
                <w:rFonts w:hint="eastAsia" w:ascii="仿宋" w:hAnsi="仿宋" w:eastAsia="仿宋" w:cs="仿宋"/>
                <w:color w:val="000000"/>
                <w:sz w:val="21"/>
                <w:szCs w:val="21"/>
              </w:rPr>
              <w:t>质保期后的维修</w:t>
            </w:r>
          </w:p>
        </w:tc>
        <w:tc>
          <w:tcPr>
            <w:tcW w:w="41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2</w:t>
            </w:r>
          </w:p>
        </w:tc>
        <w:tc>
          <w:tcPr>
            <w:tcW w:w="343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仿宋" w:hAnsi="仿宋" w:eastAsia="仿宋" w:cs="仿宋"/>
                <w:color w:val="000000"/>
                <w:szCs w:val="21"/>
              </w:rPr>
            </w:pPr>
            <w:r>
              <w:rPr>
                <w:rFonts w:hint="default" w:ascii="仿宋" w:hAnsi="仿宋" w:eastAsia="仿宋" w:cs="仿宋"/>
                <w:color w:val="000000"/>
                <w:szCs w:val="21"/>
              </w:rPr>
              <w:t>1.质保期结束后硬件设备能够提供终身维修且明确承诺只能收取零配件费（零部件保证按采购人设备安装地市场最低价供应），免人工费、交通费等的，可得1分；能够提供终身维修服务，但承诺收费标准完全参照市场价格的，可得0.5分；不能提供终身维修服务的，得0分；上述不提供承诺（须盖公章）不得分</w:t>
            </w:r>
          </w:p>
          <w:p>
            <w:pPr>
              <w:keepNext w:val="0"/>
              <w:keepLines w:val="0"/>
              <w:suppressLineNumbers w:val="0"/>
              <w:spacing w:before="0" w:beforeAutospacing="0" w:after="0" w:afterAutospacing="0"/>
              <w:ind w:left="0" w:right="0"/>
              <w:jc w:val="left"/>
              <w:rPr>
                <w:rFonts w:hint="eastAsia" w:ascii="仿宋" w:hAnsi="仿宋" w:eastAsia="仿宋" w:cs="仿宋"/>
                <w:color w:val="000000"/>
                <w:szCs w:val="21"/>
                <w:lang w:eastAsia="zh-CN"/>
              </w:rPr>
            </w:pPr>
            <w:r>
              <w:rPr>
                <w:rFonts w:hint="default" w:ascii="仿宋" w:hAnsi="仿宋" w:eastAsia="仿宋" w:cs="仿宋"/>
                <w:color w:val="000000"/>
                <w:szCs w:val="21"/>
              </w:rPr>
              <w:t>2.质保期结束后软件提供永久无偿升级，维护和技术支持服务明确承诺按市场最低价收费的，可得1分，不能提供承诺（须盖公章）得0分。</w:t>
            </w:r>
          </w:p>
        </w:tc>
      </w:tr>
    </w:tbl>
    <w:p>
      <w:pPr>
        <w:pStyle w:val="44"/>
        <w:spacing w:line="440" w:lineRule="exact"/>
        <w:rPr>
          <w:rFonts w:ascii="仿宋" w:hAnsi="仿宋" w:eastAsia="仿宋" w:cs="仿宋"/>
          <w:b/>
          <w:color w:val="000000"/>
          <w:spacing w:val="0"/>
          <w:kern w:val="2"/>
          <w:sz w:val="24"/>
          <w:szCs w:val="24"/>
        </w:rPr>
      </w:pPr>
      <w:r>
        <w:rPr>
          <w:rFonts w:hint="eastAsia" w:ascii="仿宋" w:hAnsi="仿宋" w:eastAsia="仿宋" w:cs="仿宋"/>
          <w:b/>
          <w:color w:val="000000"/>
          <w:spacing w:val="0"/>
          <w:kern w:val="2"/>
          <w:sz w:val="24"/>
          <w:szCs w:val="24"/>
        </w:rPr>
        <w:t>详细评审中应考虑下列因素：</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1.  评标委员会每位成员独立对每个有效投标人的投标文件进行评价、打分；然后汇总每个投标人的得分，计算得分平均值，以平均值由高到低进行排序，按排序顺序推荐中标候选人。分值计算保留小数点后一位，第二位四舍五入。</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2.  根据《政府采购促进中小企业发展暂行办法》（财库[2011]181号）、《财政部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仿宋" w:hAnsi="仿宋" w:eastAsia="仿宋" w:cs="仿宋"/>
          <w:bCs w:val="0"/>
          <w:color w:val="000000"/>
          <w:spacing w:val="0"/>
          <w:kern w:val="2"/>
          <w:sz w:val="24"/>
          <w:szCs w:val="24"/>
          <w:u w:val="single"/>
        </w:rPr>
        <w:t xml:space="preserve"> 10% </w:t>
      </w:r>
      <w:r>
        <w:rPr>
          <w:rFonts w:hint="eastAsia" w:ascii="仿宋" w:hAnsi="仿宋" w:eastAsia="仿宋" w:cs="仿宋"/>
          <w:bCs w:val="0"/>
          <w:color w:val="000000"/>
          <w:spacing w:val="0"/>
          <w:kern w:val="2"/>
          <w:sz w:val="24"/>
          <w:szCs w:val="24"/>
        </w:rPr>
        <w:t>后参与评审。对于同时属于小微企业、监狱企业或残疾人福利性单位的，不重复进行投标报价扣除。</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3.  联合协议中约定，小型、微型企业和监狱企业的协议合同金额占到联合体协议合同总金额30%以上的，可给予联合体</w:t>
      </w:r>
      <w:r>
        <w:rPr>
          <w:rFonts w:hint="eastAsia" w:ascii="仿宋" w:hAnsi="仿宋" w:eastAsia="仿宋" w:cs="仿宋"/>
          <w:bCs w:val="0"/>
          <w:color w:val="000000"/>
          <w:spacing w:val="0"/>
          <w:kern w:val="2"/>
          <w:sz w:val="24"/>
          <w:szCs w:val="24"/>
          <w:u w:val="single"/>
        </w:rPr>
        <w:t xml:space="preserve"> 2 %</w:t>
      </w:r>
      <w:r>
        <w:rPr>
          <w:rFonts w:hint="eastAsia" w:ascii="仿宋" w:hAnsi="仿宋" w:eastAsia="仿宋" w:cs="仿宋"/>
          <w:bCs w:val="0"/>
          <w:color w:val="000000"/>
          <w:spacing w:val="0"/>
          <w:kern w:val="2"/>
          <w:sz w:val="24"/>
          <w:szCs w:val="24"/>
        </w:rPr>
        <w:t xml:space="preserve"> 的价格扣除。联合体各方均为小型、微型企业和监狱企业的，联合体视同为小型、微型企业和监狱企业。（本项目不使用）</w:t>
      </w:r>
    </w:p>
    <w:p>
      <w:pPr>
        <w:pStyle w:val="44"/>
        <w:spacing w:line="440" w:lineRule="exact"/>
        <w:rPr>
          <w:rFonts w:ascii="仿宋" w:hAnsi="仿宋" w:eastAsia="仿宋" w:cs="仿宋"/>
          <w:bCs w:val="0"/>
          <w:color w:val="000000"/>
          <w:spacing w:val="0"/>
          <w:kern w:val="2"/>
          <w:sz w:val="24"/>
          <w:szCs w:val="24"/>
          <w:u w:val="single"/>
        </w:rPr>
      </w:pPr>
      <w:r>
        <w:rPr>
          <w:rFonts w:hint="eastAsia" w:ascii="仿宋" w:hAnsi="仿宋" w:eastAsia="仿宋" w:cs="仿宋"/>
          <w:bCs w:val="0"/>
          <w:color w:val="000000"/>
          <w:spacing w:val="0"/>
          <w:kern w:val="2"/>
          <w:sz w:val="24"/>
          <w:szCs w:val="24"/>
        </w:rPr>
        <w:t>4.  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
          <w:bCs w:val="0"/>
          <w:color w:val="000000"/>
          <w:spacing w:val="0"/>
          <w:kern w:val="2"/>
          <w:sz w:val="24"/>
          <w:szCs w:val="24"/>
          <w:u w:val="single"/>
        </w:rPr>
        <w:t>采购人采购产品属于节能产品、环境标志产品品目清单范围内，且投标人所投产品具有节能产品、环境标志产品认证证书，在评标时予以优先采购，具体优惠措施为：在技术部分打分项中加1分。</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z w:val="24"/>
          <w:szCs w:val="24"/>
        </w:rPr>
        <w:t>投标人所投产品列入无线局域网产品清单，应提供相关证明，在评标时予以优先采购，具体优惠措施为：</w:t>
      </w:r>
      <w:r>
        <w:rPr>
          <w:rFonts w:hint="eastAsia" w:ascii="仿宋" w:hAnsi="仿宋" w:eastAsia="仿宋" w:cs="仿宋"/>
          <w:bCs w:val="0"/>
          <w:color w:val="000000"/>
          <w:sz w:val="24"/>
          <w:szCs w:val="24"/>
          <w:u w:val="single"/>
        </w:rPr>
        <w:t>在技术部分打分项中加 0.5 分 。</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如采购人所采购产品为政府强制采购的节能产品，投标人所投产品的品牌及型号必须为清单中有效期内产品并提供证明文件，否则其投标将作为</w:t>
      </w:r>
      <w:r>
        <w:rPr>
          <w:rFonts w:hint="eastAsia" w:ascii="仿宋" w:hAnsi="仿宋" w:eastAsia="仿宋" w:cs="仿宋"/>
          <w:b/>
          <w:color w:val="000000"/>
          <w:spacing w:val="0"/>
          <w:kern w:val="2"/>
          <w:sz w:val="24"/>
          <w:szCs w:val="24"/>
        </w:rPr>
        <w:t>无效投标</w:t>
      </w:r>
      <w:r>
        <w:rPr>
          <w:rFonts w:hint="eastAsia" w:ascii="仿宋" w:hAnsi="仿宋" w:eastAsia="仿宋" w:cs="仿宋"/>
          <w:bCs w:val="0"/>
          <w:color w:val="000000"/>
          <w:spacing w:val="0"/>
          <w:kern w:val="2"/>
          <w:sz w:val="24"/>
          <w:szCs w:val="24"/>
        </w:rPr>
        <w:t>被拒绝。</w:t>
      </w:r>
    </w:p>
    <w:p>
      <w:pPr>
        <w:pStyle w:val="44"/>
        <w:widowControl w:val="0"/>
        <w:adjustRightInd w:val="0"/>
        <w:snapToGrid w:val="0"/>
        <w:spacing w:line="440" w:lineRule="exact"/>
        <w:jc w:val="both"/>
        <w:rPr>
          <w:rFonts w:ascii="仿宋" w:hAnsi="仿宋" w:eastAsia="仿宋" w:cs="仿宋"/>
          <w:bCs w:val="0"/>
          <w:color w:val="000000"/>
          <w:sz w:val="24"/>
          <w:szCs w:val="24"/>
        </w:rPr>
      </w:pPr>
      <w:r>
        <w:rPr>
          <w:rFonts w:hint="eastAsia" w:ascii="仿宋" w:hAnsi="仿宋" w:eastAsia="仿宋" w:cs="仿宋"/>
          <w:bCs w:val="0"/>
          <w:color w:val="000000"/>
          <w:spacing w:val="0"/>
          <w:kern w:val="2"/>
          <w:sz w:val="24"/>
          <w:szCs w:val="24"/>
        </w:rPr>
        <w:t xml:space="preserve">5. </w:t>
      </w:r>
      <w:r>
        <w:rPr>
          <w:rFonts w:hint="eastAsia" w:ascii="仿宋" w:hAnsi="仿宋" w:eastAsia="仿宋" w:cs="仿宋"/>
          <w:bCs w:val="0"/>
          <w:color w:val="000000"/>
          <w:sz w:val="24"/>
          <w:szCs w:val="24"/>
        </w:rPr>
        <w:t xml:space="preserve">根据《关于运用政府采购政策支持脱贫攻坚的通知》（财库〔2019〕27 </w:t>
      </w:r>
    </w:p>
    <w:p>
      <w:pPr>
        <w:pStyle w:val="44"/>
        <w:widowControl w:val="0"/>
        <w:adjustRightInd w:val="0"/>
        <w:snapToGrid w:val="0"/>
        <w:spacing w:line="440" w:lineRule="exact"/>
        <w:jc w:val="both"/>
        <w:rPr>
          <w:rFonts w:ascii="仿宋" w:hAnsi="仿宋" w:eastAsia="仿宋" w:cs="仿宋"/>
          <w:bCs w:val="0"/>
          <w:color w:val="000000"/>
          <w:sz w:val="24"/>
          <w:szCs w:val="24"/>
        </w:rPr>
      </w:pPr>
      <w:r>
        <w:rPr>
          <w:rFonts w:hint="eastAsia" w:ascii="仿宋" w:hAnsi="仿宋" w:eastAsia="仿宋" w:cs="仿宋"/>
          <w:bCs w:val="0"/>
          <w:color w:val="000000"/>
          <w:sz w:val="24"/>
          <w:szCs w:val="24"/>
        </w:rPr>
        <w:t>号）的规定，采购人采购农副产品的，对产地在国家级贫困地区的农副产品的优先采购措施：</w:t>
      </w:r>
      <w:r>
        <w:rPr>
          <w:rFonts w:hint="eastAsia" w:ascii="仿宋" w:hAnsi="仿宋" w:eastAsia="仿宋" w:cs="仿宋"/>
          <w:bCs w:val="0"/>
          <w:color w:val="000000"/>
          <w:sz w:val="24"/>
          <w:szCs w:val="24"/>
          <w:u w:val="single"/>
        </w:rPr>
        <w:t xml:space="preserve">  /   </w:t>
      </w:r>
      <w:r>
        <w:rPr>
          <w:rFonts w:hint="eastAsia" w:ascii="仿宋" w:hAnsi="仿宋" w:eastAsia="仿宋" w:cs="仿宋"/>
          <w:bCs w:val="0"/>
          <w:color w:val="000000"/>
          <w:sz w:val="24"/>
          <w:szCs w:val="24"/>
        </w:rPr>
        <w:t xml:space="preserve">。 </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6.中标候选人并列式时的处理方式：   </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如采用最低评标办法，则：由评标委员会随机抽取的方式确定；</w:t>
      </w:r>
    </w:p>
    <w:p>
      <w:pPr>
        <w:pStyle w:val="44"/>
        <w:spacing w:line="440" w:lineRule="exact"/>
        <w:rPr>
          <w:rFonts w:ascii="仿宋" w:hAnsi="仿宋" w:eastAsia="仿宋" w:cs="仿宋"/>
          <w:bCs w:val="0"/>
          <w:color w:val="000000"/>
          <w:spacing w:val="0"/>
          <w:kern w:val="2"/>
          <w:sz w:val="24"/>
          <w:szCs w:val="24"/>
        </w:rPr>
      </w:pPr>
      <w:r>
        <w:rPr>
          <w:rFonts w:hint="eastAsia" w:ascii="仿宋" w:hAnsi="仿宋" w:eastAsia="仿宋" w:cs="仿宋"/>
          <w:bCs w:val="0"/>
          <w:color w:val="000000"/>
          <w:spacing w:val="0"/>
          <w:kern w:val="2"/>
          <w:sz w:val="24"/>
          <w:szCs w:val="24"/>
        </w:rPr>
        <w:t xml:space="preserve">如采用综合评标法，则：综合评审得分相同的,投标报价最低优先，如报价相同则技术部分得分最高优先，投标报价相同且技术部分得分也相同的，由评标委员会现场采取随机抽取方式确定。 </w:t>
      </w:r>
    </w:p>
    <w:p>
      <w:pPr>
        <w:pStyle w:val="44"/>
        <w:spacing w:line="440" w:lineRule="exact"/>
        <w:ind w:firstLine="480" w:firstLineChars="200"/>
        <w:rPr>
          <w:rFonts w:ascii="仿宋" w:hAnsi="仿宋" w:eastAsia="仿宋" w:cs="仿宋"/>
          <w:bCs w:val="0"/>
          <w:color w:val="000000"/>
          <w:spacing w:val="0"/>
          <w:kern w:val="2"/>
          <w:sz w:val="24"/>
          <w:szCs w:val="24"/>
        </w:rPr>
        <w:sectPr>
          <w:footerReference r:id="rId5" w:type="default"/>
          <w:pgSz w:w="11906" w:h="16838"/>
          <w:pgMar w:top="1440" w:right="1800" w:bottom="1441" w:left="1800" w:header="851" w:footer="992" w:gutter="0"/>
          <w:cols w:space="425" w:num="1"/>
          <w:docGrid w:type="lines" w:linePitch="312" w:charSpace="0"/>
        </w:sectPr>
      </w:pPr>
    </w:p>
    <w:p>
      <w:pPr>
        <w:pStyle w:val="44"/>
        <w:spacing w:line="440" w:lineRule="exact"/>
        <w:jc w:val="center"/>
        <w:outlineLvl w:val="0"/>
        <w:rPr>
          <w:rFonts w:ascii="仿宋" w:hAnsi="仿宋" w:eastAsia="仿宋" w:cs="仿宋"/>
          <w:b/>
          <w:color w:val="000000"/>
          <w:sz w:val="32"/>
          <w:szCs w:val="32"/>
        </w:rPr>
      </w:pPr>
      <w:bookmarkStart w:id="38" w:name="_Toc17967"/>
      <w:r>
        <w:rPr>
          <w:rFonts w:hint="eastAsia" w:ascii="仿宋" w:hAnsi="仿宋" w:eastAsia="仿宋" w:cs="仿宋"/>
          <w:b/>
          <w:color w:val="000000"/>
          <w:sz w:val="32"/>
          <w:szCs w:val="32"/>
        </w:rPr>
        <w:t>第七章  投标文件格式</w:t>
      </w:r>
      <w:bookmarkEnd w:id="38"/>
    </w:p>
    <w:p>
      <w:pPr>
        <w:rPr>
          <w:color w:val="000000"/>
        </w:rPr>
      </w:pPr>
      <w:bookmarkStart w:id="39" w:name="_Toc507399516"/>
    </w:p>
    <w:bookmarkEnd w:id="39"/>
    <w:p>
      <w:pPr>
        <w:pStyle w:val="44"/>
        <w:spacing w:line="360" w:lineRule="auto"/>
        <w:jc w:val="center"/>
        <w:rPr>
          <w:rFonts w:ascii="仿宋" w:hAnsi="仿宋" w:eastAsia="仿宋" w:cs="仿宋"/>
          <w:b/>
          <w:color w:val="000000"/>
          <w:sz w:val="24"/>
          <w:szCs w:val="24"/>
        </w:rPr>
      </w:pPr>
      <w:bookmarkStart w:id="40" w:name="_Toc507399517"/>
    </w:p>
    <w:p>
      <w:pPr>
        <w:pStyle w:val="44"/>
        <w:spacing w:line="360" w:lineRule="auto"/>
        <w:jc w:val="center"/>
        <w:rPr>
          <w:rFonts w:ascii="仿宋" w:hAnsi="仿宋" w:eastAsia="仿宋" w:cs="仿宋"/>
          <w:b/>
          <w:color w:val="000000"/>
          <w:sz w:val="24"/>
          <w:szCs w:val="24"/>
        </w:rPr>
      </w:pPr>
    </w:p>
    <w:p>
      <w:pPr>
        <w:pStyle w:val="44"/>
        <w:spacing w:before="0" w:after="0" w:line="440" w:lineRule="exact"/>
        <w:ind w:firstLine="522" w:firstLineChars="200"/>
        <w:jc w:val="center"/>
        <w:rPr>
          <w:rFonts w:ascii="仿宋" w:hAnsi="仿宋" w:eastAsia="仿宋" w:cs="仿宋"/>
          <w:b/>
          <w:color w:val="000000"/>
          <w:sz w:val="24"/>
          <w:szCs w:val="24"/>
        </w:rPr>
      </w:pPr>
    </w:p>
    <w:p>
      <w:pPr>
        <w:pStyle w:val="14"/>
        <w:spacing w:line="440" w:lineRule="exact"/>
        <w:ind w:firstLine="452" w:firstLineChars="200"/>
        <w:rPr>
          <w:rFonts w:ascii="仿宋" w:hAnsi="仿宋" w:eastAsia="仿宋" w:cs="仿宋"/>
          <w:color w:val="000000"/>
        </w:rPr>
      </w:pPr>
      <w:r>
        <w:rPr>
          <w:rFonts w:hint="eastAsia" w:ascii="仿宋" w:hAnsi="仿宋" w:eastAsia="仿宋" w:cs="仿宋"/>
          <w:color w:val="000000"/>
          <w:spacing w:val="-7"/>
        </w:rPr>
        <w:t>为保证</w:t>
      </w:r>
      <w:r>
        <w:rPr>
          <w:rFonts w:hint="eastAsia" w:ascii="仿宋" w:hAnsi="仿宋" w:eastAsia="仿宋" w:cs="仿宋"/>
          <w:color w:val="000000"/>
          <w:spacing w:val="-7"/>
          <w:lang w:val="en-US"/>
        </w:rPr>
        <w:t>评标</w:t>
      </w:r>
      <w:r>
        <w:rPr>
          <w:rFonts w:hint="eastAsia" w:ascii="仿宋" w:hAnsi="仿宋" w:eastAsia="仿宋" w:cs="仿宋"/>
          <w:color w:val="000000"/>
          <w:spacing w:val="-7"/>
        </w:rPr>
        <w:t>工作的顺利进行，各</w:t>
      </w:r>
      <w:r>
        <w:rPr>
          <w:rFonts w:hint="eastAsia" w:ascii="仿宋" w:hAnsi="仿宋" w:eastAsia="仿宋" w:cs="仿宋"/>
          <w:color w:val="000000"/>
          <w:spacing w:val="-7"/>
          <w:lang w:val="en-US"/>
        </w:rPr>
        <w:t>投标人</w:t>
      </w:r>
      <w:r>
        <w:rPr>
          <w:rFonts w:hint="eastAsia" w:ascii="仿宋" w:hAnsi="仿宋" w:eastAsia="仿宋" w:cs="仿宋"/>
          <w:color w:val="000000"/>
          <w:spacing w:val="-7"/>
        </w:rPr>
        <w:t>需参照如下的格式，认真进行</w:t>
      </w:r>
      <w:r>
        <w:rPr>
          <w:rFonts w:hint="eastAsia" w:ascii="仿宋" w:hAnsi="仿宋" w:eastAsia="仿宋" w:cs="仿宋"/>
          <w:color w:val="000000"/>
          <w:spacing w:val="-7"/>
          <w:lang w:val="en-US"/>
        </w:rPr>
        <w:t>投标</w:t>
      </w:r>
      <w:r>
        <w:rPr>
          <w:rFonts w:hint="eastAsia" w:ascii="仿宋" w:hAnsi="仿宋" w:eastAsia="仿宋" w:cs="仿宋"/>
          <w:color w:val="000000"/>
          <w:spacing w:val="-7"/>
        </w:rPr>
        <w:t>文件的编</w:t>
      </w:r>
      <w:r>
        <w:rPr>
          <w:rFonts w:hint="eastAsia" w:ascii="仿宋" w:hAnsi="仿宋" w:eastAsia="仿宋" w:cs="仿宋"/>
          <w:color w:val="000000"/>
          <w:spacing w:val="-6"/>
        </w:rPr>
        <w:t>写工作。</w:t>
      </w:r>
      <w:r>
        <w:rPr>
          <w:rFonts w:hint="eastAsia" w:ascii="仿宋" w:hAnsi="仿宋" w:eastAsia="仿宋" w:cs="仿宋"/>
          <w:color w:val="000000"/>
          <w:u w:val="single"/>
        </w:rPr>
        <w:t>需建立详细的目录。</w:t>
      </w:r>
    </w:p>
    <w:p>
      <w:pPr>
        <w:pStyle w:val="14"/>
        <w:spacing w:line="440" w:lineRule="exact"/>
        <w:ind w:firstLine="456" w:firstLineChars="200"/>
        <w:rPr>
          <w:rFonts w:ascii="仿宋" w:hAnsi="仿宋" w:eastAsia="仿宋" w:cs="仿宋"/>
          <w:color w:val="000000"/>
        </w:rPr>
      </w:pPr>
      <w:r>
        <w:rPr>
          <w:rFonts w:hint="eastAsia" w:ascii="仿宋" w:hAnsi="仿宋" w:eastAsia="仿宋" w:cs="仿宋"/>
          <w:color w:val="000000"/>
          <w:spacing w:val="-6"/>
        </w:rPr>
        <w:t>各</w:t>
      </w:r>
      <w:r>
        <w:rPr>
          <w:rFonts w:hint="eastAsia" w:ascii="仿宋" w:hAnsi="仿宋" w:eastAsia="仿宋" w:cs="仿宋"/>
          <w:color w:val="000000"/>
          <w:spacing w:val="-6"/>
          <w:lang w:val="en-US"/>
        </w:rPr>
        <w:t>投标人</w:t>
      </w:r>
      <w:r>
        <w:rPr>
          <w:rFonts w:hint="eastAsia" w:ascii="仿宋" w:hAnsi="仿宋" w:eastAsia="仿宋" w:cs="仿宋"/>
          <w:color w:val="000000"/>
          <w:spacing w:val="-6"/>
        </w:rPr>
        <w:t>提交文件中涉及商业机密的，应明确标明，采购人及最终用户将给予保密</w:t>
      </w:r>
      <w:r>
        <w:rPr>
          <w:rFonts w:hint="eastAsia" w:ascii="仿宋" w:hAnsi="仿宋" w:eastAsia="仿宋" w:cs="仿宋"/>
          <w:color w:val="000000"/>
        </w:rPr>
        <w:t>处理，否则视为公开资料。</w:t>
      </w:r>
    </w:p>
    <w:p>
      <w:pPr>
        <w:pStyle w:val="44"/>
        <w:spacing w:before="0" w:after="0" w:line="440" w:lineRule="exact"/>
        <w:ind w:firstLine="522" w:firstLineChars="200"/>
        <w:jc w:val="center"/>
        <w:rPr>
          <w:rFonts w:ascii="仿宋" w:hAnsi="仿宋" w:eastAsia="仿宋" w:cs="仿宋"/>
          <w:b/>
          <w:color w:val="000000"/>
          <w:sz w:val="24"/>
          <w:szCs w:val="24"/>
        </w:rPr>
        <w:sectPr>
          <w:pgSz w:w="11910" w:h="16850"/>
          <w:pgMar w:top="1440" w:right="1800" w:bottom="1440" w:left="1800" w:header="720" w:footer="720" w:gutter="0"/>
          <w:cols w:space="720" w:num="1"/>
        </w:sectPr>
      </w:pPr>
    </w:p>
    <w:p>
      <w:pPr>
        <w:rPr>
          <w:rFonts w:ascii="仿宋" w:hAnsi="仿宋" w:eastAsia="仿宋"/>
          <w:color w:val="000000"/>
          <w:sz w:val="28"/>
        </w:rPr>
      </w:pPr>
      <w:r>
        <w:rPr>
          <w:rFonts w:hint="eastAsia" w:ascii="仿宋" w:hAnsi="仿宋" w:eastAsia="仿宋"/>
          <w:color w:val="000000"/>
          <w:sz w:val="28"/>
        </w:rPr>
        <w:t>封面格式</w:t>
      </w:r>
    </w:p>
    <w:p>
      <w:pPr>
        <w:rPr>
          <w:rFonts w:ascii="仿宋" w:hAnsi="仿宋" w:eastAsia="仿宋"/>
          <w:color w:val="000000"/>
          <w:sz w:val="32"/>
        </w:rPr>
      </w:pPr>
    </w:p>
    <w:p>
      <w:pPr>
        <w:rPr>
          <w:rFonts w:ascii="仿宋" w:hAnsi="仿宋" w:eastAsia="仿宋"/>
          <w:color w:val="000000"/>
          <w:sz w:val="32"/>
        </w:rPr>
      </w:pPr>
    </w:p>
    <w:p>
      <w:pPr>
        <w:rPr>
          <w:rFonts w:ascii="仿宋" w:hAnsi="仿宋" w:eastAsia="仿宋"/>
          <w:color w:val="000000"/>
          <w:sz w:val="32"/>
        </w:rPr>
      </w:pPr>
    </w:p>
    <w:p>
      <w:pPr>
        <w:rPr>
          <w:rFonts w:ascii="仿宋" w:hAnsi="仿宋" w:eastAsia="仿宋"/>
          <w:color w:val="000000"/>
          <w:sz w:val="32"/>
        </w:rPr>
      </w:pPr>
    </w:p>
    <w:p>
      <w:pPr>
        <w:rPr>
          <w:rFonts w:ascii="仿宋" w:hAnsi="仿宋" w:eastAsia="仿宋"/>
          <w:color w:val="000000"/>
          <w:sz w:val="32"/>
        </w:rPr>
      </w:pPr>
    </w:p>
    <w:p>
      <w:pPr>
        <w:rPr>
          <w:rFonts w:ascii="仿宋" w:hAnsi="仿宋" w:eastAsia="仿宋"/>
          <w:color w:val="000000"/>
          <w:sz w:val="32"/>
        </w:rPr>
      </w:pPr>
    </w:p>
    <w:p>
      <w:pPr>
        <w:rPr>
          <w:rFonts w:ascii="仿宋" w:hAnsi="仿宋" w:eastAsia="仿宋"/>
          <w:color w:val="000000"/>
          <w:sz w:val="32"/>
        </w:rPr>
      </w:pPr>
    </w:p>
    <w:p>
      <w:pPr>
        <w:jc w:val="center"/>
        <w:rPr>
          <w:rFonts w:ascii="仿宋" w:hAnsi="仿宋" w:eastAsia="仿宋"/>
          <w:b/>
          <w:color w:val="000000"/>
          <w:sz w:val="44"/>
        </w:rPr>
      </w:pPr>
      <w:bookmarkStart w:id="41" w:name="_Toc13737"/>
      <w:bookmarkStart w:id="42" w:name="_Toc21522"/>
      <w:r>
        <w:rPr>
          <w:rFonts w:hint="eastAsia" w:ascii="仿宋" w:hAnsi="仿宋" w:eastAsia="仿宋"/>
          <w:b/>
          <w:color w:val="000000"/>
          <w:sz w:val="44"/>
        </w:rPr>
        <w:t>投标文件</w:t>
      </w:r>
      <w:bookmarkEnd w:id="41"/>
      <w:bookmarkEnd w:id="42"/>
    </w:p>
    <w:p>
      <w:pPr>
        <w:rPr>
          <w:rFonts w:ascii="仿宋" w:hAnsi="仿宋" w:eastAsia="仿宋"/>
          <w:color w:val="000000"/>
          <w:sz w:val="32"/>
        </w:rPr>
      </w:pPr>
    </w:p>
    <w:p>
      <w:pPr>
        <w:rPr>
          <w:rFonts w:ascii="仿宋" w:hAnsi="仿宋" w:eastAsia="仿宋"/>
          <w:color w:val="000000"/>
          <w:sz w:val="32"/>
        </w:rPr>
      </w:pPr>
    </w:p>
    <w:p>
      <w:pPr>
        <w:rPr>
          <w:rFonts w:ascii="仿宋" w:hAnsi="仿宋" w:eastAsia="仿宋"/>
          <w:color w:val="000000"/>
          <w:sz w:val="32"/>
        </w:rPr>
      </w:pPr>
      <w:r>
        <w:rPr>
          <w:rFonts w:hint="eastAsia" w:ascii="仿宋" w:hAnsi="仿宋" w:eastAsia="仿宋"/>
          <w:color w:val="000000"/>
          <w:sz w:val="32"/>
        </w:rPr>
        <w:t>招标编号：</w:t>
      </w:r>
    </w:p>
    <w:p>
      <w:pPr>
        <w:rPr>
          <w:rFonts w:ascii="仿宋" w:hAnsi="仿宋" w:eastAsia="仿宋"/>
          <w:color w:val="000000"/>
          <w:sz w:val="32"/>
        </w:rPr>
      </w:pPr>
      <w:r>
        <w:rPr>
          <w:rFonts w:hint="eastAsia" w:ascii="仿宋" w:hAnsi="仿宋" w:eastAsia="仿宋"/>
          <w:color w:val="000000"/>
          <w:sz w:val="32"/>
        </w:rPr>
        <w:t>项目名称：</w:t>
      </w:r>
    </w:p>
    <w:p>
      <w:pPr>
        <w:rPr>
          <w:rFonts w:ascii="仿宋" w:hAnsi="仿宋" w:eastAsia="仿宋"/>
          <w:color w:val="000000"/>
          <w:sz w:val="32"/>
        </w:rPr>
      </w:pPr>
      <w:r>
        <w:rPr>
          <w:rFonts w:hint="eastAsia" w:ascii="仿宋" w:hAnsi="仿宋" w:eastAsia="仿宋"/>
          <w:color w:val="000000"/>
          <w:sz w:val="32"/>
        </w:rPr>
        <w:t>包号/包名称：</w:t>
      </w:r>
    </w:p>
    <w:p>
      <w:pPr>
        <w:rPr>
          <w:rFonts w:ascii="仿宋" w:hAnsi="仿宋" w:eastAsia="仿宋"/>
          <w:color w:val="000000"/>
          <w:sz w:val="32"/>
        </w:rPr>
      </w:pPr>
      <w:r>
        <w:rPr>
          <w:rFonts w:hint="eastAsia" w:ascii="仿宋" w:hAnsi="仿宋" w:eastAsia="仿宋"/>
          <w:color w:val="000000"/>
          <w:sz w:val="32"/>
        </w:rPr>
        <w:t>投标人名称（盖电子公章）：</w:t>
      </w:r>
    </w:p>
    <w:p>
      <w:pPr>
        <w:rPr>
          <w:rFonts w:ascii="仿宋" w:hAnsi="仿宋" w:eastAsia="仿宋"/>
          <w:color w:val="000000"/>
          <w:sz w:val="32"/>
        </w:rPr>
      </w:pPr>
      <w:r>
        <w:rPr>
          <w:rFonts w:hint="eastAsia" w:ascii="仿宋" w:hAnsi="仿宋" w:eastAsia="仿宋"/>
          <w:color w:val="000000"/>
          <w:sz w:val="32"/>
        </w:rPr>
        <w:t>法定代表人或其授权代表签字（或盖电子章）：</w:t>
      </w:r>
    </w:p>
    <w:p>
      <w:pPr>
        <w:pStyle w:val="14"/>
        <w:adjustRightInd w:val="0"/>
        <w:snapToGrid w:val="0"/>
        <w:spacing w:line="360" w:lineRule="auto"/>
        <w:rPr>
          <w:rFonts w:ascii="仿宋" w:hAnsi="仿宋" w:eastAsia="仿宋" w:cs="仿宋"/>
          <w:color w:val="000000"/>
          <w:sz w:val="32"/>
          <w:szCs w:val="32"/>
        </w:rPr>
      </w:pPr>
    </w:p>
    <w:p>
      <w:pPr>
        <w:pStyle w:val="14"/>
        <w:adjustRightInd w:val="0"/>
        <w:snapToGrid w:val="0"/>
        <w:spacing w:line="360" w:lineRule="auto"/>
        <w:rPr>
          <w:rFonts w:ascii="仿宋" w:hAnsi="仿宋" w:eastAsia="仿宋" w:cs="仿宋"/>
          <w:color w:val="000000"/>
          <w:sz w:val="20"/>
        </w:rPr>
      </w:pPr>
    </w:p>
    <w:p>
      <w:pPr>
        <w:pStyle w:val="14"/>
        <w:adjustRightInd w:val="0"/>
        <w:snapToGrid w:val="0"/>
        <w:spacing w:line="360" w:lineRule="auto"/>
        <w:rPr>
          <w:rFonts w:ascii="仿宋" w:hAnsi="仿宋" w:eastAsia="仿宋" w:cs="仿宋"/>
          <w:color w:val="000000"/>
          <w:sz w:val="20"/>
        </w:rPr>
      </w:pPr>
    </w:p>
    <w:p>
      <w:pPr>
        <w:pStyle w:val="14"/>
        <w:adjustRightInd w:val="0"/>
        <w:snapToGrid w:val="0"/>
        <w:spacing w:line="360" w:lineRule="auto"/>
        <w:rPr>
          <w:rFonts w:ascii="仿宋" w:hAnsi="仿宋" w:eastAsia="仿宋" w:cs="仿宋"/>
          <w:color w:val="000000"/>
          <w:sz w:val="20"/>
        </w:rPr>
      </w:pPr>
    </w:p>
    <w:p>
      <w:pPr>
        <w:pStyle w:val="20"/>
        <w:adjustRightInd w:val="0"/>
        <w:spacing w:line="360" w:lineRule="auto"/>
        <w:jc w:val="center"/>
        <w:rPr>
          <w:rFonts w:ascii="仿宋" w:hAnsi="仿宋" w:eastAsia="仿宋" w:cs="仿宋"/>
          <w:color w:val="000000"/>
          <w:sz w:val="28"/>
          <w:szCs w:val="28"/>
        </w:rPr>
      </w:pPr>
      <w:bookmarkStart w:id="43" w:name="_Toc31285"/>
      <w:bookmarkStart w:id="44" w:name="_Toc20449"/>
      <w:r>
        <w:rPr>
          <w:rFonts w:hint="eastAsia" w:ascii="仿宋" w:hAnsi="仿宋" w:eastAsia="仿宋" w:cs="仿宋"/>
          <w:color w:val="000000"/>
          <w:sz w:val="28"/>
          <w:szCs w:val="28"/>
        </w:rPr>
        <w:t>年   月</w:t>
      </w:r>
      <w:bookmarkEnd w:id="43"/>
      <w:bookmarkEnd w:id="44"/>
    </w:p>
    <w:p>
      <w:pPr>
        <w:pStyle w:val="44"/>
        <w:adjustRightInd w:val="0"/>
        <w:snapToGrid w:val="0"/>
        <w:spacing w:before="0" w:after="0" w:line="360" w:lineRule="auto"/>
        <w:jc w:val="both"/>
        <w:rPr>
          <w:rFonts w:ascii="仿宋" w:hAnsi="仿宋" w:eastAsia="仿宋" w:cs="仿宋"/>
          <w:b/>
          <w:color w:val="000000"/>
          <w:sz w:val="24"/>
          <w:szCs w:val="24"/>
        </w:rPr>
        <w:sectPr>
          <w:pgSz w:w="11910" w:h="16850"/>
          <w:pgMar w:top="1440" w:right="1800" w:bottom="1440" w:left="1800" w:header="720" w:footer="720" w:gutter="0"/>
          <w:cols w:space="720" w:num="1"/>
        </w:sectPr>
      </w:pPr>
    </w:p>
    <w:p>
      <w:pPr>
        <w:spacing w:before="91"/>
        <w:ind w:left="360"/>
        <w:jc w:val="left"/>
        <w:rPr>
          <w:rFonts w:ascii="仿宋" w:hAnsi="仿宋" w:eastAsia="仿宋" w:cs="仿宋"/>
          <w:b/>
          <w:color w:val="000000"/>
          <w:sz w:val="28"/>
          <w:szCs w:val="28"/>
        </w:rPr>
      </w:pPr>
      <w:bookmarkStart w:id="45" w:name="_Toc21908"/>
      <w:bookmarkStart w:id="46" w:name="_Toc31589"/>
      <w:r>
        <w:rPr>
          <w:rFonts w:hint="eastAsia" w:ascii="仿宋" w:hAnsi="仿宋" w:eastAsia="仿宋" w:cs="仿宋"/>
          <w:b/>
          <w:color w:val="000000"/>
          <w:sz w:val="28"/>
          <w:szCs w:val="28"/>
        </w:rPr>
        <w:t>投标文件目录及索引</w:t>
      </w:r>
      <w:bookmarkEnd w:id="45"/>
      <w:bookmarkEnd w:id="46"/>
    </w:p>
    <w:p>
      <w:pPr>
        <w:pStyle w:val="14"/>
        <w:spacing w:before="9"/>
        <w:rPr>
          <w:rFonts w:ascii="仿宋" w:hAnsi="仿宋" w:eastAsia="仿宋" w:cs="仿宋"/>
          <w:b/>
          <w:color w:val="000000"/>
          <w:sz w:val="10"/>
        </w:rPr>
      </w:pPr>
    </w:p>
    <w:tbl>
      <w:tblPr>
        <w:tblStyle w:val="28"/>
        <w:tblW w:w="83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4956"/>
        <w:gridCol w:w="782"/>
        <w:gridCol w:w="19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25" w:beforeAutospacing="0" w:after="0" w:afterAutospacing="0"/>
              <w:ind w:left="124" w:right="0"/>
              <w:rPr>
                <w:rFonts w:hint="default" w:ascii="仿宋" w:hAnsi="仿宋" w:eastAsia="仿宋" w:cs="仿宋"/>
                <w:b/>
                <w:color w:val="000000"/>
              </w:rPr>
            </w:pPr>
            <w:r>
              <w:rPr>
                <w:rFonts w:hint="eastAsia" w:ascii="仿宋" w:hAnsi="仿宋" w:eastAsia="仿宋" w:cs="仿宋"/>
                <w:b/>
                <w:color w:val="000000"/>
              </w:rPr>
              <w:t>序号</w:t>
            </w:r>
          </w:p>
        </w:tc>
        <w:tc>
          <w:tcPr>
            <w:tcW w:w="4956" w:type="dxa"/>
          </w:tcPr>
          <w:p>
            <w:pPr>
              <w:pStyle w:val="55"/>
              <w:keepNext w:val="0"/>
              <w:keepLines w:val="0"/>
              <w:suppressLineNumbers w:val="0"/>
              <w:spacing w:before="25" w:beforeAutospacing="0" w:after="0" w:afterAutospacing="0"/>
              <w:ind w:left="2254" w:right="2246"/>
              <w:jc w:val="center"/>
              <w:rPr>
                <w:rFonts w:hint="default" w:ascii="仿宋" w:hAnsi="仿宋" w:eastAsia="仿宋" w:cs="仿宋"/>
                <w:b/>
                <w:color w:val="000000"/>
              </w:rPr>
            </w:pPr>
            <w:r>
              <w:rPr>
                <w:rFonts w:hint="eastAsia" w:ascii="仿宋" w:hAnsi="仿宋" w:eastAsia="仿宋" w:cs="仿宋"/>
                <w:b/>
                <w:color w:val="000000"/>
              </w:rPr>
              <w:t>文件名称</w:t>
            </w:r>
          </w:p>
        </w:tc>
        <w:tc>
          <w:tcPr>
            <w:tcW w:w="782" w:type="dxa"/>
          </w:tcPr>
          <w:p>
            <w:pPr>
              <w:pStyle w:val="55"/>
              <w:keepNext w:val="0"/>
              <w:keepLines w:val="0"/>
              <w:suppressLineNumbers w:val="0"/>
              <w:spacing w:before="25" w:beforeAutospacing="0" w:after="0" w:afterAutospacing="0"/>
              <w:ind w:left="213" w:right="0"/>
              <w:rPr>
                <w:rFonts w:hint="default" w:ascii="仿宋" w:hAnsi="仿宋" w:eastAsia="仿宋" w:cs="仿宋"/>
                <w:b/>
                <w:color w:val="000000"/>
              </w:rPr>
            </w:pPr>
            <w:r>
              <w:rPr>
                <w:rFonts w:hint="eastAsia" w:ascii="仿宋" w:hAnsi="仿宋" w:eastAsia="仿宋" w:cs="仿宋"/>
                <w:b/>
                <w:color w:val="000000"/>
              </w:rPr>
              <w:t>页码</w:t>
            </w:r>
          </w:p>
        </w:tc>
        <w:tc>
          <w:tcPr>
            <w:tcW w:w="1956" w:type="dxa"/>
          </w:tcPr>
          <w:p>
            <w:pPr>
              <w:pStyle w:val="55"/>
              <w:keepNext w:val="0"/>
              <w:keepLines w:val="0"/>
              <w:suppressLineNumbers w:val="0"/>
              <w:spacing w:before="25" w:beforeAutospacing="0" w:after="0" w:afterAutospacing="0"/>
              <w:ind w:left="430" w:right="0"/>
              <w:rPr>
                <w:rFonts w:hint="default" w:ascii="仿宋" w:hAnsi="仿宋" w:eastAsia="仿宋" w:cs="仿宋"/>
                <w:b/>
                <w:color w:val="000000"/>
              </w:rPr>
            </w:pPr>
            <w:r>
              <w:rPr>
                <w:rFonts w:hint="eastAsia" w:ascii="仿宋" w:hAnsi="仿宋" w:eastAsia="仿宋" w:cs="仿宋"/>
                <w:b/>
                <w:color w:val="000000"/>
              </w:rPr>
              <w:t>该文件总页数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4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782"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c>
          <w:tcPr>
            <w:tcW w:w="1956" w:type="dxa"/>
          </w:tcPr>
          <w:p>
            <w:pPr>
              <w:pStyle w:val="55"/>
              <w:keepNext w:val="0"/>
              <w:keepLines w:val="0"/>
              <w:suppressLineNumbers w:val="0"/>
              <w:spacing w:before="0" w:beforeAutospacing="0" w:after="0" w:afterAutospacing="0"/>
              <w:ind w:left="0" w:right="0"/>
              <w:rPr>
                <w:rFonts w:hint="default" w:ascii="仿宋" w:hAnsi="仿宋" w:eastAsia="仿宋" w:cs="仿宋"/>
                <w:color w:val="000000"/>
                <w:sz w:val="20"/>
              </w:rPr>
            </w:pPr>
          </w:p>
        </w:tc>
      </w:tr>
    </w:tbl>
    <w:p>
      <w:pPr>
        <w:spacing w:before="1"/>
        <w:ind w:left="360" w:right="449" w:rightChars="214"/>
        <w:jc w:val="left"/>
        <w:rPr>
          <w:rFonts w:ascii="仿宋" w:hAnsi="仿宋" w:eastAsia="仿宋" w:cs="仿宋"/>
          <w:color w:val="000000"/>
          <w:sz w:val="28"/>
          <w:szCs w:val="28"/>
        </w:rPr>
      </w:pPr>
      <w:r>
        <w:rPr>
          <w:rFonts w:hint="eastAsia" w:ascii="仿宋" w:hAnsi="仿宋" w:eastAsia="仿宋" w:cs="仿宋"/>
          <w:b/>
          <w:color w:val="000000"/>
        </w:rPr>
        <w:t>注：</w:t>
      </w:r>
      <w:r>
        <w:rPr>
          <w:rFonts w:hint="eastAsia" w:ascii="仿宋" w:hAnsi="仿宋" w:eastAsia="仿宋" w:cs="仿宋"/>
          <w:color w:val="000000"/>
          <w:spacing w:val="-1"/>
        </w:rPr>
        <w:t>该目录为方便评标委员会查找相关证明文件及评审条件，应尽可能的详细、清晰，投标人可根据</w:t>
      </w:r>
      <w:r>
        <w:rPr>
          <w:rFonts w:hint="eastAsia" w:ascii="仿宋" w:hAnsi="仿宋" w:eastAsia="仿宋" w:cs="仿宋"/>
          <w:color w:val="000000"/>
          <w:spacing w:val="-3"/>
        </w:rPr>
        <w:t>自身情况补充完善；</w:t>
      </w:r>
      <w:r>
        <w:rPr>
          <w:rFonts w:hint="eastAsia" w:ascii="仿宋" w:hAnsi="仿宋" w:eastAsia="仿宋" w:cs="仿宋"/>
          <w:color w:val="000000"/>
          <w:spacing w:val="-7"/>
        </w:rPr>
        <w:t>投标文件的编制顺序应按此表顺序，并连续编排页码</w:t>
      </w:r>
    </w:p>
    <w:p>
      <w:pPr>
        <w:pStyle w:val="46"/>
        <w:tabs>
          <w:tab w:val="left" w:pos="682"/>
        </w:tabs>
        <w:autoSpaceDE w:val="0"/>
        <w:autoSpaceDN w:val="0"/>
        <w:spacing w:before="2" w:line="244" w:lineRule="auto"/>
        <w:ind w:right="519" w:firstLine="0" w:firstLineChars="0"/>
        <w:jc w:val="left"/>
        <w:rPr>
          <w:rFonts w:ascii="仿宋" w:hAnsi="仿宋" w:eastAsia="仿宋" w:cs="仿宋"/>
          <w:color w:val="000000"/>
          <w:spacing w:val="-7"/>
        </w:rPr>
      </w:pPr>
    </w:p>
    <w:p>
      <w:pPr>
        <w:pStyle w:val="44"/>
        <w:spacing w:line="360" w:lineRule="auto"/>
        <w:jc w:val="center"/>
        <w:rPr>
          <w:rFonts w:ascii="仿宋" w:hAnsi="仿宋" w:eastAsia="仿宋" w:cs="仿宋"/>
          <w:b/>
          <w:color w:val="000000"/>
          <w:sz w:val="24"/>
          <w:szCs w:val="24"/>
        </w:rPr>
        <w:sectPr>
          <w:pgSz w:w="11910" w:h="16850"/>
          <w:pgMar w:top="1440" w:right="1800" w:bottom="1440" w:left="1800" w:header="720" w:footer="720" w:gutter="0"/>
          <w:cols w:space="720" w:num="1"/>
        </w:sectPr>
      </w:pPr>
    </w:p>
    <w:p>
      <w:pPr>
        <w:pStyle w:val="44"/>
        <w:spacing w:line="360" w:lineRule="auto"/>
        <w:jc w:val="center"/>
        <w:rPr>
          <w:rFonts w:ascii="仿宋" w:hAnsi="仿宋" w:eastAsia="仿宋" w:cs="仿宋"/>
          <w:b/>
          <w:color w:val="000000"/>
          <w:sz w:val="24"/>
          <w:szCs w:val="24"/>
        </w:rPr>
      </w:pPr>
      <w:r>
        <w:rPr>
          <w:rFonts w:hint="eastAsia" w:ascii="仿宋" w:hAnsi="仿宋" w:eastAsia="仿宋" w:cs="仿宋"/>
          <w:b/>
          <w:color w:val="000000"/>
          <w:sz w:val="24"/>
          <w:szCs w:val="24"/>
        </w:rPr>
        <w:t>1  开标一览表（投标文件格式一）</w:t>
      </w:r>
      <w:bookmarkEnd w:id="40"/>
    </w:p>
    <w:p>
      <w:pPr>
        <w:pStyle w:val="44"/>
        <w:spacing w:line="360" w:lineRule="auto"/>
        <w:rPr>
          <w:rFonts w:ascii="仿宋" w:hAnsi="仿宋" w:eastAsia="仿宋" w:cs="仿宋"/>
          <w:bCs w:val="0"/>
          <w:color w:val="000000"/>
          <w:sz w:val="24"/>
          <w:szCs w:val="24"/>
        </w:rPr>
      </w:pPr>
    </w:p>
    <w:p>
      <w:pPr>
        <w:pStyle w:val="44"/>
        <w:spacing w:line="360" w:lineRule="auto"/>
        <w:rPr>
          <w:rFonts w:ascii="仿宋" w:hAnsi="仿宋" w:eastAsia="仿宋" w:cs="仿宋"/>
          <w:bCs w:val="0"/>
          <w:color w:val="000000"/>
          <w:sz w:val="24"/>
          <w:szCs w:val="24"/>
        </w:rPr>
      </w:pPr>
    </w:p>
    <w:p>
      <w:pPr>
        <w:tabs>
          <w:tab w:val="left" w:pos="2986"/>
          <w:tab w:val="left" w:pos="5974"/>
        </w:tabs>
        <w:spacing w:after="18"/>
        <w:ind w:left="360"/>
        <w:jc w:val="left"/>
        <w:rPr>
          <w:rFonts w:ascii="仿宋" w:hAnsi="仿宋" w:eastAsia="仿宋" w:cs="仿宋"/>
          <w:color w:val="000000"/>
          <w:szCs w:val="21"/>
        </w:rPr>
      </w:pPr>
      <w:r>
        <w:rPr>
          <w:rFonts w:hint="eastAsia" w:ascii="仿宋" w:hAnsi="仿宋" w:eastAsia="仿宋" w:cs="仿宋"/>
          <w:color w:val="000000"/>
          <w:szCs w:val="21"/>
        </w:rPr>
        <w:t>招</w:t>
      </w:r>
      <w:r>
        <w:rPr>
          <w:rFonts w:hint="eastAsia" w:ascii="仿宋" w:hAnsi="仿宋" w:eastAsia="仿宋" w:cs="仿宋"/>
          <w:color w:val="000000"/>
          <w:spacing w:val="-3"/>
          <w:szCs w:val="21"/>
        </w:rPr>
        <w:t>标</w:t>
      </w:r>
      <w:r>
        <w:rPr>
          <w:rFonts w:hint="eastAsia" w:ascii="仿宋" w:hAnsi="仿宋" w:eastAsia="仿宋" w:cs="仿宋"/>
          <w:color w:val="000000"/>
          <w:szCs w:val="21"/>
        </w:rPr>
        <w:t>编</w:t>
      </w:r>
      <w:r>
        <w:rPr>
          <w:rFonts w:hint="eastAsia" w:ascii="仿宋" w:hAnsi="仿宋" w:eastAsia="仿宋" w:cs="仿宋"/>
          <w:color w:val="000000"/>
          <w:spacing w:val="-3"/>
          <w:szCs w:val="21"/>
        </w:rPr>
        <w:t>号</w:t>
      </w:r>
      <w:r>
        <w:rPr>
          <w:rFonts w:hint="eastAsia" w:ascii="仿宋" w:hAnsi="仿宋" w:eastAsia="仿宋" w:cs="仿宋"/>
          <w:color w:val="000000"/>
          <w:szCs w:val="21"/>
        </w:rPr>
        <w:t>：</w:t>
      </w:r>
      <w:r>
        <w:rPr>
          <w:rFonts w:hint="eastAsia" w:ascii="仿宋" w:hAnsi="仿宋" w:eastAsia="仿宋" w:cs="仿宋"/>
          <w:color w:val="000000"/>
          <w:szCs w:val="21"/>
          <w:u w:val="single"/>
        </w:rPr>
        <w:tab/>
      </w:r>
      <w:r>
        <w:rPr>
          <w:rFonts w:hint="eastAsia" w:ascii="仿宋" w:hAnsi="仿宋" w:eastAsia="仿宋" w:cs="仿宋"/>
          <w:color w:val="000000"/>
          <w:spacing w:val="-3"/>
          <w:szCs w:val="21"/>
        </w:rPr>
        <w:t>报价单位：</w:t>
      </w:r>
      <w:r>
        <w:rPr>
          <w:rFonts w:hint="eastAsia" w:ascii="仿宋" w:hAnsi="仿宋" w:eastAsia="仿宋" w:cs="仿宋"/>
          <w:color w:val="000000"/>
          <w:szCs w:val="21"/>
        </w:rPr>
        <w:t>人</w:t>
      </w:r>
      <w:r>
        <w:rPr>
          <w:rFonts w:hint="eastAsia" w:ascii="仿宋" w:hAnsi="仿宋" w:eastAsia="仿宋" w:cs="仿宋"/>
          <w:color w:val="000000"/>
          <w:spacing w:val="-3"/>
          <w:szCs w:val="21"/>
        </w:rPr>
        <w:t>民</w:t>
      </w:r>
      <w:r>
        <w:rPr>
          <w:rFonts w:hint="eastAsia" w:ascii="仿宋" w:hAnsi="仿宋" w:eastAsia="仿宋" w:cs="仿宋"/>
          <w:color w:val="000000"/>
          <w:szCs w:val="21"/>
        </w:rPr>
        <w:t>币元</w:t>
      </w:r>
    </w:p>
    <w:tbl>
      <w:tblPr>
        <w:tblStyle w:val="28"/>
        <w:tblW w:w="8323" w:type="dxa"/>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1970"/>
        <w:gridCol w:w="1141"/>
        <w:gridCol w:w="1201"/>
        <w:gridCol w:w="2008"/>
        <w:gridCol w:w="2003"/>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43" w:hRule="atLeast"/>
        </w:trPr>
        <w:tc>
          <w:tcPr>
            <w:tcW w:w="3111" w:type="dxa"/>
            <w:gridSpan w:val="2"/>
            <w:tcBorders>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项目名称</w:t>
            </w:r>
          </w:p>
        </w:tc>
        <w:tc>
          <w:tcPr>
            <w:tcW w:w="1201"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lang w:val="en-US"/>
              </w:rPr>
              <w:t>包号</w:t>
            </w:r>
          </w:p>
        </w:tc>
        <w:tc>
          <w:tcPr>
            <w:tcW w:w="2008"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lang w:val="en-US"/>
              </w:rPr>
            </w:pPr>
            <w:r>
              <w:rPr>
                <w:rFonts w:hint="eastAsia" w:ascii="仿宋" w:hAnsi="仿宋" w:eastAsia="仿宋" w:cs="仿宋"/>
                <w:color w:val="000000"/>
                <w:szCs w:val="21"/>
                <w:lang w:val="en-US"/>
              </w:rPr>
              <w:t>合同履行期限</w:t>
            </w:r>
          </w:p>
        </w:tc>
        <w:tc>
          <w:tcPr>
            <w:tcW w:w="2003" w:type="dxa"/>
            <w:tcBorders>
              <w:left w:val="single" w:color="000000" w:sz="6" w:space="0"/>
              <w:bottom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lang w:val="en-US"/>
              </w:rPr>
            </w:pPr>
            <w:r>
              <w:rPr>
                <w:rFonts w:hint="eastAsia" w:ascii="仿宋" w:hAnsi="仿宋" w:eastAsia="仿宋" w:cs="仿宋"/>
                <w:color w:val="000000"/>
                <w:szCs w:val="21"/>
                <w:lang w:val="en-US"/>
              </w:rPr>
              <w:t>交货地点</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336" w:hRule="atLeast"/>
        </w:trPr>
        <w:tc>
          <w:tcPr>
            <w:tcW w:w="3111" w:type="dxa"/>
            <w:gridSpan w:val="2"/>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201"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008" w:type="dxa"/>
            <w:tcBorders>
              <w:top w:val="single" w:color="000000" w:sz="6" w:space="0"/>
              <w:left w:val="single" w:color="000000" w:sz="6" w:space="0"/>
              <w:bottom w:val="single" w:color="000000" w:sz="6" w:space="0"/>
              <w:right w:val="single" w:color="000000" w:sz="6" w:space="0"/>
            </w:tcBorders>
            <w:vAlign w:val="center"/>
          </w:tcPr>
          <w:p>
            <w:pPr>
              <w:pStyle w:val="55"/>
              <w:keepNext w:val="0"/>
              <w:keepLines w:val="0"/>
              <w:suppressLineNumbers w:val="0"/>
              <w:spacing w:before="5" w:beforeAutospacing="0" w:after="0" w:afterAutospacing="0"/>
              <w:ind w:left="8" w:right="0"/>
              <w:jc w:val="center"/>
              <w:rPr>
                <w:rFonts w:hint="default" w:ascii="仿宋" w:hAnsi="仿宋" w:eastAsia="仿宋" w:cs="仿宋"/>
                <w:color w:val="000000"/>
                <w:szCs w:val="21"/>
              </w:rPr>
            </w:pPr>
            <w:r>
              <w:rPr>
                <w:rFonts w:hint="eastAsia" w:ascii="仿宋" w:hAnsi="仿宋" w:eastAsia="仿宋" w:cs="仿宋"/>
                <w:color w:val="000000"/>
                <w:szCs w:val="21"/>
              </w:rPr>
              <w:t>详见“货物说明一览表”</w:t>
            </w:r>
          </w:p>
        </w:tc>
        <w:tc>
          <w:tcPr>
            <w:tcW w:w="2003"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53" w:hRule="atLeast"/>
        </w:trPr>
        <w:tc>
          <w:tcPr>
            <w:tcW w:w="1970" w:type="dxa"/>
            <w:tcBorders>
              <w:top w:val="single" w:color="000000" w:sz="6" w:space="0"/>
              <w:bottom w:val="single" w:color="000000" w:sz="6" w:space="0"/>
              <w:right w:val="single" w:color="000000" w:sz="6" w:space="0"/>
            </w:tcBorders>
          </w:tcPr>
          <w:p>
            <w:pPr>
              <w:pStyle w:val="55"/>
              <w:keepNext w:val="0"/>
              <w:keepLines w:val="0"/>
              <w:suppressLineNumbers w:val="0"/>
              <w:spacing w:before="142" w:beforeAutospacing="0" w:after="0" w:afterAutospacing="0"/>
              <w:ind w:left="92" w:right="0"/>
              <w:rPr>
                <w:rFonts w:hint="default" w:ascii="仿宋" w:hAnsi="仿宋" w:eastAsia="仿宋" w:cs="仿宋"/>
                <w:color w:val="000000"/>
                <w:szCs w:val="21"/>
              </w:rPr>
            </w:pPr>
            <w:r>
              <w:rPr>
                <w:rFonts w:hint="eastAsia" w:ascii="仿宋" w:hAnsi="仿宋" w:eastAsia="仿宋" w:cs="仿宋"/>
                <w:color w:val="000000"/>
                <w:szCs w:val="21"/>
                <w:lang w:val="en-US"/>
              </w:rPr>
              <w:t>投标</w:t>
            </w:r>
            <w:r>
              <w:rPr>
                <w:rFonts w:hint="eastAsia" w:ascii="仿宋" w:hAnsi="仿宋" w:eastAsia="仿宋" w:cs="仿宋"/>
                <w:color w:val="000000"/>
                <w:szCs w:val="21"/>
              </w:rPr>
              <w:t>总价：</w:t>
            </w:r>
          </w:p>
        </w:tc>
        <w:tc>
          <w:tcPr>
            <w:tcW w:w="6353" w:type="dxa"/>
            <w:gridSpan w:val="4"/>
            <w:tcBorders>
              <w:top w:val="single" w:color="000000" w:sz="6" w:space="0"/>
              <w:left w:val="single" w:color="000000" w:sz="6" w:space="0"/>
              <w:bottom w:val="single" w:color="000000" w:sz="6" w:space="0"/>
            </w:tcBorders>
          </w:tcPr>
          <w:p>
            <w:pPr>
              <w:pStyle w:val="55"/>
              <w:keepNext w:val="0"/>
              <w:keepLines w:val="0"/>
              <w:suppressLineNumbers w:val="0"/>
              <w:tabs>
                <w:tab w:val="left" w:pos="1837"/>
                <w:tab w:val="left" w:pos="2313"/>
                <w:tab w:val="left" w:pos="4040"/>
              </w:tabs>
              <w:spacing w:before="142"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大写</w:t>
            </w:r>
            <w:r>
              <w:rPr>
                <w:rFonts w:hint="eastAsia" w:ascii="仿宋" w:hAnsi="仿宋" w:eastAsia="仿宋" w:cs="仿宋"/>
                <w:color w:val="000000"/>
                <w:spacing w:val="-3"/>
                <w:szCs w:val="21"/>
              </w:rPr>
              <w:t>：</w:t>
            </w:r>
            <w:r>
              <w:rPr>
                <w:rFonts w:hint="eastAsia" w:ascii="仿宋" w:hAnsi="仿宋" w:eastAsia="仿宋" w:cs="仿宋"/>
                <w:color w:val="000000"/>
                <w:spacing w:val="-3"/>
                <w:szCs w:val="21"/>
                <w:u w:val="single"/>
              </w:rPr>
              <w:tab/>
            </w:r>
            <w:r>
              <w:rPr>
                <w:rFonts w:hint="eastAsia" w:ascii="仿宋" w:hAnsi="仿宋" w:eastAsia="仿宋" w:cs="仿宋"/>
                <w:color w:val="000000"/>
                <w:spacing w:val="-3"/>
                <w:szCs w:val="21"/>
              </w:rPr>
              <w:tab/>
            </w:r>
            <w:r>
              <w:rPr>
                <w:rFonts w:hint="eastAsia" w:ascii="仿宋" w:hAnsi="仿宋" w:eastAsia="仿宋" w:cs="仿宋"/>
                <w:color w:val="000000"/>
                <w:spacing w:val="-3"/>
                <w:szCs w:val="21"/>
              </w:rPr>
              <w:t>小</w:t>
            </w:r>
            <w:r>
              <w:rPr>
                <w:rFonts w:hint="eastAsia" w:ascii="仿宋" w:hAnsi="仿宋" w:eastAsia="仿宋" w:cs="仿宋"/>
                <w:color w:val="000000"/>
                <w:spacing w:val="-1"/>
                <w:szCs w:val="21"/>
              </w:rPr>
              <w:t>写</w:t>
            </w:r>
            <w:r>
              <w:rPr>
                <w:rFonts w:hint="eastAsia" w:ascii="仿宋" w:hAnsi="仿宋" w:eastAsia="仿宋" w:cs="仿宋"/>
                <w:color w:val="000000"/>
                <w:szCs w:val="21"/>
              </w:rPr>
              <w:t>：</w:t>
            </w:r>
            <w:r>
              <w:rPr>
                <w:rFonts w:hint="eastAsia" w:ascii="仿宋" w:hAnsi="仿宋" w:eastAsia="仿宋" w:cs="仿宋"/>
                <w:color w:val="000000"/>
                <w:szCs w:val="21"/>
                <w:u w:val="single"/>
              </w:rPr>
              <w:tab/>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53" w:hRule="atLeast"/>
        </w:trPr>
        <w:tc>
          <w:tcPr>
            <w:tcW w:w="1970" w:type="dxa"/>
            <w:tcBorders>
              <w:top w:val="single" w:color="000000" w:sz="6" w:space="0"/>
              <w:right w:val="single" w:color="000000" w:sz="6" w:space="0"/>
            </w:tcBorders>
          </w:tcPr>
          <w:p>
            <w:pPr>
              <w:pStyle w:val="55"/>
              <w:keepNext w:val="0"/>
              <w:keepLines w:val="0"/>
              <w:suppressLineNumbers w:val="0"/>
              <w:spacing w:before="142" w:beforeAutospacing="0" w:after="0" w:afterAutospacing="0"/>
              <w:ind w:left="92" w:right="0"/>
              <w:rPr>
                <w:rFonts w:hint="default" w:ascii="仿宋" w:hAnsi="仿宋" w:eastAsia="仿宋" w:cs="仿宋"/>
                <w:color w:val="000000"/>
                <w:szCs w:val="21"/>
                <w:lang w:val="en-US"/>
              </w:rPr>
            </w:pPr>
            <w:r>
              <w:rPr>
                <w:rFonts w:hint="eastAsia" w:ascii="仿宋" w:hAnsi="仿宋" w:eastAsia="仿宋" w:cs="仿宋"/>
                <w:color w:val="000000"/>
                <w:szCs w:val="21"/>
                <w:lang w:val="en-US"/>
              </w:rPr>
              <w:t>备注：</w:t>
            </w:r>
          </w:p>
        </w:tc>
        <w:tc>
          <w:tcPr>
            <w:tcW w:w="6353" w:type="dxa"/>
            <w:gridSpan w:val="4"/>
            <w:tcBorders>
              <w:top w:val="single" w:color="000000" w:sz="6" w:space="0"/>
              <w:left w:val="single" w:color="000000" w:sz="6" w:space="0"/>
            </w:tcBorders>
          </w:tcPr>
          <w:p>
            <w:pPr>
              <w:pStyle w:val="55"/>
              <w:keepNext w:val="0"/>
              <w:keepLines w:val="0"/>
              <w:suppressLineNumbers w:val="0"/>
              <w:tabs>
                <w:tab w:val="left" w:pos="1837"/>
                <w:tab w:val="left" w:pos="2313"/>
                <w:tab w:val="left" w:pos="4040"/>
              </w:tabs>
              <w:spacing w:before="142" w:beforeAutospacing="0" w:after="0" w:afterAutospacing="0"/>
              <w:ind w:left="107" w:right="0"/>
              <w:rPr>
                <w:rFonts w:hint="default" w:ascii="仿宋" w:hAnsi="仿宋" w:eastAsia="仿宋" w:cs="仿宋"/>
                <w:color w:val="000000"/>
                <w:szCs w:val="21"/>
              </w:rPr>
            </w:pPr>
          </w:p>
        </w:tc>
      </w:tr>
    </w:tbl>
    <w:p>
      <w:pPr>
        <w:spacing w:before="15"/>
        <w:ind w:left="360"/>
        <w:jc w:val="left"/>
        <w:rPr>
          <w:rFonts w:ascii="仿宋" w:hAnsi="仿宋" w:eastAsia="仿宋" w:cs="仿宋"/>
          <w:color w:val="000000"/>
          <w:szCs w:val="21"/>
        </w:rPr>
      </w:pPr>
      <w:r>
        <w:rPr>
          <w:rFonts w:hint="eastAsia" w:ascii="仿宋" w:hAnsi="仿宋" w:eastAsia="仿宋" w:cs="仿宋"/>
          <w:color w:val="000000"/>
          <w:szCs w:val="21"/>
        </w:rPr>
        <w:t>注 1：本表中的总价应与分项报价表中的相应报价完全一致。</w:t>
      </w:r>
    </w:p>
    <w:p>
      <w:pPr>
        <w:spacing w:before="2" w:line="244" w:lineRule="auto"/>
        <w:ind w:left="640" w:right="554"/>
        <w:jc w:val="left"/>
        <w:rPr>
          <w:rFonts w:ascii="仿宋" w:hAnsi="仿宋" w:eastAsia="仿宋" w:cs="仿宋"/>
          <w:color w:val="000000"/>
          <w:szCs w:val="21"/>
        </w:rPr>
      </w:pPr>
      <w:r>
        <w:rPr>
          <w:rFonts w:hint="eastAsia" w:ascii="仿宋" w:hAnsi="仿宋" w:eastAsia="仿宋" w:cs="仿宋"/>
          <w:color w:val="000000"/>
          <w:spacing w:val="-22"/>
          <w:szCs w:val="21"/>
        </w:rPr>
        <w:t>2</w:t>
      </w:r>
      <w:r>
        <w:rPr>
          <w:rFonts w:hint="eastAsia" w:ascii="仿宋" w:hAnsi="仿宋" w:eastAsia="仿宋" w:cs="仿宋"/>
          <w:color w:val="000000"/>
          <w:spacing w:val="-14"/>
          <w:szCs w:val="21"/>
        </w:rPr>
        <w:t>：此表中，总价应是所投货物和服务的费用总和，包括本项目采购需求和采购合同中要求的全部内容</w:t>
      </w:r>
      <w:r>
        <w:rPr>
          <w:rFonts w:hint="eastAsia" w:ascii="仿宋" w:hAnsi="仿宋" w:eastAsia="仿宋" w:cs="仿宋"/>
          <w:color w:val="000000"/>
          <w:spacing w:val="-7"/>
          <w:szCs w:val="21"/>
        </w:rPr>
        <w:t>。</w:t>
      </w:r>
    </w:p>
    <w:p>
      <w:pPr>
        <w:spacing w:line="244" w:lineRule="auto"/>
        <w:ind w:left="640" w:right="497"/>
        <w:jc w:val="left"/>
        <w:rPr>
          <w:rFonts w:ascii="仿宋" w:hAnsi="仿宋" w:eastAsia="仿宋" w:cs="仿宋"/>
          <w:color w:val="000000"/>
          <w:szCs w:val="21"/>
        </w:rPr>
      </w:pPr>
      <w:r>
        <w:rPr>
          <w:rFonts w:hint="eastAsia" w:ascii="仿宋" w:hAnsi="仿宋" w:eastAsia="仿宋" w:cs="仿宋"/>
          <w:color w:val="000000"/>
          <w:szCs w:val="21"/>
        </w:rPr>
        <w:t>3：如有优惠折扣申明，请在此表中列出。</w:t>
      </w:r>
    </w:p>
    <w:p>
      <w:pPr>
        <w:pStyle w:val="14"/>
        <w:rPr>
          <w:rFonts w:ascii="仿宋" w:hAnsi="仿宋" w:eastAsia="仿宋" w:cs="仿宋"/>
          <w:color w:val="000000"/>
          <w:sz w:val="21"/>
          <w:szCs w:val="21"/>
        </w:rPr>
      </w:pPr>
    </w:p>
    <w:p>
      <w:pPr>
        <w:pStyle w:val="14"/>
        <w:rPr>
          <w:rFonts w:ascii="仿宋" w:hAnsi="仿宋" w:eastAsia="仿宋" w:cs="仿宋"/>
          <w:color w:val="000000"/>
          <w:sz w:val="21"/>
          <w:szCs w:val="21"/>
        </w:rPr>
      </w:pPr>
    </w:p>
    <w:p>
      <w:pPr>
        <w:pStyle w:val="14"/>
        <w:spacing w:before="11"/>
        <w:rPr>
          <w:rFonts w:ascii="仿宋" w:hAnsi="仿宋" w:eastAsia="仿宋" w:cs="仿宋"/>
          <w:color w:val="000000"/>
          <w:sz w:val="21"/>
          <w:szCs w:val="21"/>
        </w:rPr>
      </w:pPr>
    </w:p>
    <w:p>
      <w:pPr>
        <w:pStyle w:val="14"/>
        <w:tabs>
          <w:tab w:val="left" w:pos="1920"/>
          <w:tab w:val="left" w:pos="3840"/>
        </w:tabs>
        <w:ind w:left="360"/>
        <w:rPr>
          <w:rFonts w:ascii="仿宋" w:hAnsi="仿宋" w:eastAsia="仿宋" w:cs="仿宋"/>
          <w:color w:val="000000"/>
          <w:sz w:val="21"/>
          <w:szCs w:val="21"/>
        </w:rPr>
      </w:pPr>
      <w:r>
        <w:rPr>
          <w:rFonts w:hint="eastAsia" w:ascii="仿宋" w:hAnsi="仿宋" w:eastAsia="仿宋" w:cs="仿宋"/>
          <w:color w:val="000000"/>
          <w:sz w:val="21"/>
          <w:szCs w:val="21"/>
          <w:lang w:val="en-US"/>
        </w:rPr>
        <w:t>投标人</w:t>
      </w:r>
      <w:r>
        <w:rPr>
          <w:rFonts w:hint="eastAsia" w:ascii="仿宋" w:hAnsi="仿宋" w:eastAsia="仿宋" w:cs="仿宋"/>
          <w:color w:val="000000"/>
          <w:sz w:val="21"/>
          <w:szCs w:val="21"/>
        </w:rPr>
        <w:t>：</w:t>
      </w:r>
      <w:r>
        <w:rPr>
          <w:rFonts w:hint="eastAsia" w:ascii="仿宋" w:hAnsi="仿宋" w:eastAsia="仿宋" w:cs="仿宋"/>
          <w:color w:val="000000"/>
          <w:sz w:val="21"/>
          <w:szCs w:val="21"/>
          <w:u w:val="single"/>
        </w:rPr>
        <w:tab/>
      </w:r>
      <w:r>
        <w:rPr>
          <w:rFonts w:hint="eastAsia" w:ascii="仿宋" w:hAnsi="仿宋" w:eastAsia="仿宋" w:cs="仿宋"/>
          <w:color w:val="000000"/>
          <w:sz w:val="21"/>
          <w:szCs w:val="21"/>
          <w:u w:val="single"/>
        </w:rPr>
        <w:t>（电子公章）</w:t>
      </w:r>
      <w:r>
        <w:rPr>
          <w:rFonts w:hint="eastAsia" w:ascii="仿宋" w:hAnsi="仿宋" w:eastAsia="仿宋" w:cs="仿宋"/>
          <w:color w:val="000000"/>
          <w:sz w:val="21"/>
          <w:szCs w:val="21"/>
          <w:u w:val="single"/>
        </w:rPr>
        <w:tab/>
      </w:r>
    </w:p>
    <w:p>
      <w:pPr>
        <w:pStyle w:val="14"/>
        <w:tabs>
          <w:tab w:val="left" w:pos="1560"/>
          <w:tab w:val="left" w:pos="2160"/>
          <w:tab w:val="left" w:pos="4320"/>
          <w:tab w:val="left" w:pos="6841"/>
        </w:tabs>
        <w:spacing w:before="161" w:line="362" w:lineRule="auto"/>
        <w:ind w:left="360" w:right="3062"/>
        <w:rPr>
          <w:rFonts w:ascii="仿宋" w:hAnsi="仿宋" w:eastAsia="仿宋" w:cs="仿宋"/>
          <w:color w:val="000000"/>
          <w:sz w:val="21"/>
          <w:szCs w:val="21"/>
          <w:u w:val="single"/>
        </w:rPr>
      </w:pPr>
      <w:r>
        <w:rPr>
          <w:rFonts w:hint="eastAsia" w:ascii="仿宋" w:hAnsi="仿宋" w:eastAsia="仿宋" w:cs="仿宋"/>
          <w:color w:val="000000"/>
          <w:sz w:val="21"/>
          <w:szCs w:val="21"/>
        </w:rPr>
        <w:t>法定代表人或其授权代理人：</w:t>
      </w:r>
      <w:r>
        <w:rPr>
          <w:rFonts w:hint="eastAsia" w:ascii="仿宋" w:hAnsi="仿宋" w:eastAsia="仿宋" w:cs="仿宋"/>
          <w:color w:val="000000"/>
          <w:sz w:val="21"/>
          <w:szCs w:val="21"/>
          <w:u w:val="single"/>
        </w:rPr>
        <w:t xml:space="preserve"> （签字或盖电子章）</w:t>
      </w:r>
      <w:r>
        <w:rPr>
          <w:rFonts w:hint="eastAsia" w:ascii="仿宋" w:hAnsi="仿宋" w:eastAsia="仿宋" w:cs="仿宋"/>
          <w:color w:val="000000"/>
          <w:sz w:val="21"/>
          <w:szCs w:val="21"/>
          <w:u w:val="single"/>
        </w:rPr>
        <w:tab/>
      </w:r>
    </w:p>
    <w:p>
      <w:pPr>
        <w:pStyle w:val="14"/>
        <w:tabs>
          <w:tab w:val="left" w:pos="1560"/>
          <w:tab w:val="left" w:pos="2160"/>
          <w:tab w:val="left" w:pos="4320"/>
          <w:tab w:val="left" w:pos="6841"/>
        </w:tabs>
        <w:spacing w:before="161" w:line="362" w:lineRule="auto"/>
        <w:ind w:left="360" w:right="3062"/>
        <w:rPr>
          <w:rFonts w:ascii="仿宋" w:hAnsi="仿宋" w:eastAsia="仿宋" w:cs="仿宋"/>
          <w:color w:val="000000"/>
          <w:sz w:val="21"/>
          <w:szCs w:val="21"/>
        </w:rPr>
      </w:pPr>
      <w:r>
        <w:rPr>
          <w:rFonts w:hint="eastAsia" w:ascii="仿宋" w:hAnsi="仿宋" w:eastAsia="仿宋" w:cs="仿宋"/>
          <w:color w:val="000000"/>
          <w:sz w:val="21"/>
          <w:szCs w:val="21"/>
        </w:rPr>
        <w:t>日期：</w:t>
      </w:r>
      <w:r>
        <w:rPr>
          <w:rFonts w:hint="eastAsia" w:ascii="仿宋" w:hAnsi="仿宋" w:eastAsia="仿宋" w:cs="仿宋"/>
          <w:color w:val="000000"/>
          <w:sz w:val="21"/>
          <w:szCs w:val="21"/>
          <w:u w:val="single"/>
        </w:rPr>
        <w:tab/>
      </w:r>
      <w:r>
        <w:rPr>
          <w:rFonts w:hint="eastAsia" w:ascii="仿宋" w:hAnsi="仿宋" w:eastAsia="仿宋" w:cs="仿宋"/>
          <w:color w:val="000000"/>
          <w:sz w:val="21"/>
          <w:szCs w:val="21"/>
        </w:rPr>
        <w:t>年</w:t>
      </w:r>
      <w:r>
        <w:rPr>
          <w:rFonts w:hint="eastAsia" w:ascii="仿宋" w:hAnsi="仿宋" w:eastAsia="仿宋" w:cs="仿宋"/>
          <w:color w:val="000000"/>
          <w:sz w:val="21"/>
          <w:szCs w:val="21"/>
          <w:u w:val="single"/>
        </w:rPr>
        <w:tab/>
      </w:r>
      <w:r>
        <w:rPr>
          <w:rFonts w:hint="eastAsia" w:ascii="仿宋" w:hAnsi="仿宋" w:eastAsia="仿宋" w:cs="仿宋"/>
          <w:color w:val="000000"/>
          <w:sz w:val="21"/>
          <w:szCs w:val="21"/>
        </w:rPr>
        <w:t>月</w:t>
      </w:r>
      <w:r>
        <w:rPr>
          <w:rFonts w:hint="eastAsia" w:ascii="仿宋" w:hAnsi="仿宋" w:eastAsia="仿宋" w:cs="仿宋"/>
          <w:color w:val="000000"/>
          <w:sz w:val="21"/>
          <w:szCs w:val="21"/>
          <w:u w:val="single"/>
        </w:rPr>
        <w:t xml:space="preserve"> </w:t>
      </w:r>
      <w:r>
        <w:rPr>
          <w:rFonts w:ascii="仿宋" w:hAnsi="仿宋" w:eastAsia="仿宋" w:cs="仿宋"/>
          <w:color w:val="000000"/>
          <w:sz w:val="21"/>
          <w:szCs w:val="21"/>
          <w:u w:val="single"/>
        </w:rPr>
        <w:t xml:space="preserve">    </w:t>
      </w:r>
      <w:r>
        <w:rPr>
          <w:rFonts w:hint="eastAsia" w:ascii="仿宋" w:hAnsi="仿宋" w:eastAsia="仿宋" w:cs="仿宋"/>
          <w:color w:val="000000"/>
          <w:sz w:val="21"/>
          <w:szCs w:val="21"/>
        </w:rPr>
        <w:t>日</w:t>
      </w:r>
    </w:p>
    <w:p>
      <w:pPr>
        <w:spacing w:line="362" w:lineRule="auto"/>
        <w:rPr>
          <w:rFonts w:ascii="仿宋" w:hAnsi="仿宋" w:eastAsia="仿宋" w:cs="仿宋"/>
          <w:color w:val="000000"/>
          <w:szCs w:val="21"/>
        </w:rPr>
      </w:pPr>
    </w:p>
    <w:p>
      <w:pPr>
        <w:pStyle w:val="44"/>
        <w:rPr>
          <w:rFonts w:ascii="仿宋" w:hAnsi="仿宋" w:eastAsia="仿宋" w:cs="仿宋"/>
          <w:color w:val="000000"/>
        </w:rPr>
      </w:pPr>
    </w:p>
    <w:p>
      <w:pPr>
        <w:pStyle w:val="44"/>
        <w:rPr>
          <w:rFonts w:ascii="仿宋" w:hAnsi="仿宋" w:eastAsia="仿宋" w:cs="仿宋"/>
          <w:color w:val="000000"/>
        </w:rPr>
      </w:pPr>
    </w:p>
    <w:p>
      <w:pPr>
        <w:pStyle w:val="44"/>
        <w:rPr>
          <w:rFonts w:ascii="仿宋" w:hAnsi="仿宋" w:eastAsia="仿宋" w:cs="仿宋"/>
          <w:color w:val="000000"/>
        </w:rPr>
        <w:sectPr>
          <w:pgSz w:w="11910" w:h="16850"/>
          <w:pgMar w:top="1440" w:right="1800" w:bottom="1440" w:left="1800" w:header="720" w:footer="720" w:gutter="0"/>
          <w:cols w:space="720" w:num="1"/>
        </w:sectPr>
      </w:pPr>
    </w:p>
    <w:p>
      <w:pPr>
        <w:pStyle w:val="44"/>
        <w:spacing w:line="360" w:lineRule="auto"/>
        <w:rPr>
          <w:rFonts w:ascii="仿宋" w:hAnsi="仿宋" w:eastAsia="仿宋" w:cs="仿宋"/>
          <w:b/>
          <w:color w:val="000000"/>
          <w:sz w:val="24"/>
          <w:szCs w:val="24"/>
        </w:rPr>
      </w:pPr>
      <w:bookmarkStart w:id="47" w:name="_Toc507399518"/>
      <w:bookmarkStart w:id="48" w:name="_Toc25232"/>
      <w:bookmarkStart w:id="49" w:name="_Toc14919"/>
      <w:r>
        <w:rPr>
          <w:rFonts w:hint="eastAsia" w:ascii="仿宋" w:hAnsi="仿宋" w:eastAsia="仿宋" w:cs="仿宋"/>
          <w:b/>
          <w:color w:val="000000"/>
          <w:sz w:val="24"/>
          <w:szCs w:val="24"/>
        </w:rPr>
        <w:t xml:space="preserve">2    </w:t>
      </w:r>
      <w:bookmarkEnd w:id="47"/>
      <w:r>
        <w:rPr>
          <w:rFonts w:hint="eastAsia" w:ascii="仿宋" w:hAnsi="仿宋" w:eastAsia="仿宋" w:cs="仿宋"/>
          <w:b/>
          <w:color w:val="000000"/>
          <w:sz w:val="24"/>
          <w:szCs w:val="24"/>
        </w:rPr>
        <w:t>资格、资信证明文件</w:t>
      </w:r>
      <w:bookmarkEnd w:id="48"/>
      <w:bookmarkEnd w:id="49"/>
    </w:p>
    <w:p>
      <w:pPr>
        <w:pStyle w:val="44"/>
        <w:spacing w:line="360" w:lineRule="auto"/>
        <w:rPr>
          <w:rFonts w:ascii="仿宋" w:hAnsi="仿宋" w:eastAsia="仿宋" w:cs="仿宋"/>
          <w:bCs w:val="0"/>
          <w:color w:val="000000"/>
          <w:sz w:val="24"/>
          <w:szCs w:val="24"/>
        </w:rPr>
      </w:pPr>
    </w:p>
    <w:p>
      <w:pPr>
        <w:rPr>
          <w:rFonts w:ascii="仿宋" w:hAnsi="仿宋" w:eastAsia="仿宋" w:cs="仿宋"/>
          <w:b/>
          <w:color w:val="000000"/>
          <w:szCs w:val="21"/>
          <w:lang w:val="zh-CN" w:bidi="zh-CN"/>
        </w:rPr>
      </w:pPr>
      <w:bookmarkStart w:id="50" w:name="_Toc507399520"/>
      <w:r>
        <w:rPr>
          <w:rFonts w:hint="eastAsia" w:ascii="仿宋" w:hAnsi="仿宋" w:eastAsia="仿宋" w:cs="仿宋"/>
          <w:b/>
          <w:color w:val="000000"/>
          <w:szCs w:val="21"/>
          <w:lang w:val="zh-CN" w:bidi="zh-CN"/>
        </w:rPr>
        <w:t>附件 2-1 法人或者非法人组织的营业执照等证明文件或自然人的身份证明扫描件;</w:t>
      </w:r>
    </w:p>
    <w:p>
      <w:pPr>
        <w:pStyle w:val="14"/>
        <w:rPr>
          <w:rFonts w:ascii="仿宋" w:hAnsi="仿宋" w:eastAsia="仿宋" w:cs="仿宋"/>
          <w:b/>
          <w:color w:val="000000"/>
          <w:sz w:val="21"/>
          <w:szCs w:val="21"/>
        </w:rPr>
      </w:pPr>
    </w:p>
    <w:p>
      <w:pPr>
        <w:pStyle w:val="14"/>
        <w:spacing w:before="12"/>
        <w:rPr>
          <w:rFonts w:ascii="仿宋" w:hAnsi="仿宋" w:eastAsia="仿宋" w:cs="仿宋"/>
          <w:b/>
          <w:color w:val="000000"/>
          <w:sz w:val="21"/>
          <w:szCs w:val="21"/>
        </w:rPr>
      </w:pPr>
    </w:p>
    <w:p>
      <w:pPr>
        <w:pStyle w:val="14"/>
        <w:spacing w:line="374" w:lineRule="auto"/>
        <w:ind w:right="1145"/>
        <w:rPr>
          <w:rFonts w:ascii="仿宋" w:hAnsi="仿宋" w:eastAsia="仿宋" w:cs="仿宋"/>
          <w:color w:val="000000"/>
          <w:sz w:val="21"/>
          <w:szCs w:val="21"/>
        </w:rPr>
      </w:pPr>
      <w:r>
        <w:rPr>
          <w:rFonts w:hint="eastAsia" w:ascii="仿宋" w:hAnsi="仿宋" w:eastAsia="仿宋" w:cs="仿宋"/>
          <w:color w:val="000000"/>
          <w:sz w:val="21"/>
          <w:szCs w:val="21"/>
        </w:rPr>
        <w:t>说明：1.提供有效的营业执照等证明文件扫描件，扫描件上应加盖本单位电子公章。</w:t>
      </w:r>
    </w:p>
    <w:p>
      <w:pPr>
        <w:pStyle w:val="14"/>
        <w:spacing w:line="374" w:lineRule="auto"/>
        <w:ind w:right="1145" w:firstLine="630" w:firstLineChars="300"/>
        <w:rPr>
          <w:rFonts w:ascii="仿宋" w:hAnsi="仿宋" w:eastAsia="仿宋" w:cs="仿宋"/>
          <w:color w:val="000000"/>
          <w:sz w:val="21"/>
          <w:szCs w:val="21"/>
        </w:rPr>
      </w:pPr>
      <w:bookmarkStart w:id="51" w:name="_Toc27013"/>
      <w:bookmarkStart w:id="52" w:name="_Toc1278"/>
      <w:r>
        <w:rPr>
          <w:rFonts w:hint="eastAsia" w:ascii="仿宋" w:hAnsi="仿宋" w:eastAsia="仿宋" w:cs="仿宋"/>
          <w:color w:val="000000"/>
          <w:sz w:val="21"/>
          <w:szCs w:val="21"/>
        </w:rPr>
        <w:t>2.投标人为自然人的，应提供身份证明的扫描件。</w:t>
      </w:r>
      <w:bookmarkEnd w:id="51"/>
      <w:bookmarkEnd w:id="52"/>
    </w:p>
    <w:p>
      <w:pPr>
        <w:pStyle w:val="44"/>
        <w:spacing w:line="360" w:lineRule="auto"/>
        <w:rPr>
          <w:rFonts w:ascii="仿宋" w:hAnsi="仿宋" w:eastAsia="仿宋" w:cs="仿宋"/>
          <w:b/>
          <w:color w:val="000000"/>
          <w:sz w:val="24"/>
          <w:szCs w:val="24"/>
        </w:rPr>
      </w:pPr>
    </w:p>
    <w:p>
      <w:pPr>
        <w:pStyle w:val="44"/>
        <w:spacing w:line="360" w:lineRule="auto"/>
        <w:rPr>
          <w:rFonts w:ascii="仿宋" w:hAnsi="仿宋" w:eastAsia="仿宋" w:cs="仿宋"/>
          <w:b/>
          <w:color w:val="000000"/>
          <w:sz w:val="24"/>
          <w:szCs w:val="24"/>
        </w:rPr>
        <w:sectPr>
          <w:pgSz w:w="11906" w:h="16838"/>
          <w:pgMar w:top="1440" w:right="1800" w:bottom="1440" w:left="1800" w:header="851" w:footer="992" w:gutter="0"/>
          <w:cols w:space="425" w:num="1"/>
          <w:docGrid w:type="lines" w:linePitch="312" w:charSpace="0"/>
        </w:sectPr>
      </w:pPr>
    </w:p>
    <w:bookmarkEnd w:id="50"/>
    <w:p>
      <w:pPr>
        <w:rPr>
          <w:rFonts w:ascii="仿宋" w:hAnsi="仿宋" w:eastAsia="仿宋"/>
          <w:b/>
          <w:color w:val="000000"/>
        </w:rPr>
      </w:pPr>
      <w:bookmarkStart w:id="53" w:name="_Toc211"/>
      <w:bookmarkStart w:id="54" w:name="_Toc7147"/>
      <w:r>
        <w:rPr>
          <w:rFonts w:hint="eastAsia" w:ascii="仿宋" w:hAnsi="仿宋" w:eastAsia="仿宋"/>
          <w:b/>
          <w:color w:val="000000"/>
        </w:rPr>
        <w:t>附件 2-2 法定代表人授权书(统一格式，自然人投标的无需提供)</w:t>
      </w:r>
      <w:bookmarkEnd w:id="53"/>
      <w:bookmarkEnd w:id="54"/>
    </w:p>
    <w:p>
      <w:pPr>
        <w:rPr>
          <w:rFonts w:ascii="仿宋" w:hAnsi="仿宋" w:eastAsia="仿宋"/>
          <w:b/>
          <w:color w:val="000000"/>
        </w:rPr>
      </w:pPr>
    </w:p>
    <w:p>
      <w:pPr>
        <w:pStyle w:val="20"/>
        <w:spacing w:line="360" w:lineRule="auto"/>
        <w:jc w:val="center"/>
        <w:rPr>
          <w:rFonts w:ascii="仿宋" w:hAnsi="仿宋" w:eastAsia="仿宋" w:cs="仿宋"/>
          <w:color w:val="000000"/>
          <w:sz w:val="24"/>
          <w:szCs w:val="24"/>
        </w:rPr>
      </w:pPr>
      <w:r>
        <w:rPr>
          <w:rFonts w:hint="eastAsia" w:ascii="仿宋" w:hAnsi="仿宋" w:eastAsia="仿宋" w:cs="仿宋"/>
          <w:b/>
          <w:bCs/>
          <w:color w:val="000000"/>
          <w:sz w:val="32"/>
          <w:szCs w:val="32"/>
        </w:rPr>
        <w:t>法定代表人身份证明</w:t>
      </w:r>
    </w:p>
    <w:p>
      <w:pPr>
        <w:pStyle w:val="20"/>
        <w:spacing w:line="360" w:lineRule="auto"/>
        <w:rPr>
          <w:rFonts w:ascii="仿宋" w:hAnsi="仿宋" w:eastAsia="仿宋" w:cs="仿宋"/>
          <w:color w:val="000000"/>
          <w:sz w:val="24"/>
          <w:szCs w:val="24"/>
        </w:rPr>
      </w:pPr>
    </w:p>
    <w:p>
      <w:pPr>
        <w:pStyle w:val="20"/>
        <w:spacing w:line="360" w:lineRule="auto"/>
        <w:rPr>
          <w:rFonts w:ascii="仿宋" w:hAnsi="仿宋" w:eastAsia="仿宋" w:cs="仿宋"/>
          <w:color w:val="000000"/>
          <w:sz w:val="24"/>
          <w:szCs w:val="24"/>
          <w:u w:val="single"/>
        </w:rPr>
      </w:pPr>
      <w:r>
        <w:rPr>
          <w:rFonts w:hint="eastAsia" w:ascii="仿宋" w:hAnsi="仿宋" w:eastAsia="仿宋" w:cs="仿宋"/>
          <w:color w:val="000000"/>
          <w:sz w:val="24"/>
          <w:szCs w:val="24"/>
        </w:rPr>
        <w:t>投标人名称：</w:t>
      </w:r>
    </w:p>
    <w:p>
      <w:pPr>
        <w:pStyle w:val="20"/>
        <w:spacing w:line="360" w:lineRule="auto"/>
        <w:rPr>
          <w:rFonts w:ascii="仿宋" w:hAnsi="仿宋" w:eastAsia="仿宋" w:cs="仿宋"/>
          <w:color w:val="000000"/>
          <w:sz w:val="24"/>
          <w:szCs w:val="24"/>
          <w:u w:val="single"/>
        </w:rPr>
      </w:pPr>
      <w:r>
        <w:rPr>
          <w:rFonts w:hint="eastAsia" w:ascii="仿宋" w:hAnsi="仿宋" w:eastAsia="仿宋" w:cs="仿宋"/>
          <w:color w:val="000000"/>
          <w:sz w:val="24"/>
          <w:szCs w:val="24"/>
        </w:rPr>
        <w:t>姓名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性别：年龄：职务：</w:t>
      </w:r>
    </w:p>
    <w:p>
      <w:pPr>
        <w:pStyle w:val="20"/>
        <w:spacing w:line="360" w:lineRule="auto"/>
        <w:rPr>
          <w:rFonts w:ascii="仿宋" w:hAnsi="仿宋" w:eastAsia="仿宋" w:cs="仿宋"/>
          <w:color w:val="000000"/>
          <w:sz w:val="24"/>
          <w:szCs w:val="24"/>
          <w:u w:val="single"/>
        </w:rPr>
      </w:pPr>
      <w:r>
        <w:rPr>
          <w:rFonts w:hint="eastAsia" w:ascii="仿宋" w:hAnsi="仿宋" w:eastAsia="仿宋" w:cs="仿宋"/>
          <w:color w:val="000000"/>
          <w:sz w:val="24"/>
          <w:szCs w:val="24"/>
        </w:rPr>
        <w:t xml:space="preserve">系（投标人名称）的法定代表人。 </w:t>
      </w:r>
    </w:p>
    <w:p>
      <w:pPr>
        <w:pStyle w:val="20"/>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特此证明。</w:t>
      </w:r>
    </w:p>
    <w:p>
      <w:pPr>
        <w:pStyle w:val="20"/>
        <w:spacing w:line="360" w:lineRule="auto"/>
        <w:rPr>
          <w:rFonts w:ascii="仿宋" w:hAnsi="仿宋" w:eastAsia="仿宋" w:cs="仿宋"/>
          <w:color w:val="000000"/>
          <w:sz w:val="24"/>
          <w:szCs w:val="24"/>
        </w:rPr>
      </w:pPr>
    </w:p>
    <w:p>
      <w:pPr>
        <w:pStyle w:val="20"/>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附：法定代表人身份证复印件。</w:t>
      </w:r>
    </w:p>
    <w:tbl>
      <w:tblPr>
        <w:tblStyle w:val="28"/>
        <w:tblW w:w="8440" w:type="dxa"/>
        <w:jc w:val="center"/>
        <w:tblLayout w:type="fixed"/>
        <w:tblCellMar>
          <w:top w:w="0" w:type="dxa"/>
          <w:left w:w="108" w:type="dxa"/>
          <w:bottom w:w="0" w:type="dxa"/>
          <w:right w:w="108" w:type="dxa"/>
        </w:tblCellMar>
      </w:tblPr>
      <w:tblGrid>
        <w:gridCol w:w="8440"/>
      </w:tblGrid>
      <w:tr>
        <w:tblPrEx>
          <w:tblCellMar>
            <w:top w:w="0" w:type="dxa"/>
            <w:left w:w="108" w:type="dxa"/>
            <w:bottom w:w="0" w:type="dxa"/>
            <w:right w:w="108" w:type="dxa"/>
          </w:tblCellMar>
        </w:tblPrEx>
        <w:trPr>
          <w:trHeight w:val="3284" w:hRule="atLeast"/>
          <w:jc w:val="center"/>
        </w:trPr>
        <w:tc>
          <w:tcPr>
            <w:tcW w:w="8440" w:type="dxa"/>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color w:val="000000"/>
                <w:sz w:val="20"/>
              </w:rPr>
            </w:pPr>
            <w:r>
              <w:rPr>
                <w:rFonts w:hint="eastAsia" w:ascii="仿宋" w:hAnsi="仿宋" w:eastAsia="仿宋" w:cs="仿宋"/>
                <w:color w:val="000000"/>
                <w:spacing w:val="-3"/>
                <w:sz w:val="28"/>
                <w:szCs w:val="28"/>
              </w:rPr>
              <w:t>法</w:t>
            </w:r>
            <w:r>
              <w:rPr>
                <w:rFonts w:hint="eastAsia" w:ascii="仿宋" w:hAnsi="仿宋" w:eastAsia="仿宋" w:cs="仿宋"/>
                <w:color w:val="000000"/>
                <w:sz w:val="28"/>
                <w:szCs w:val="28"/>
              </w:rPr>
              <w:t>定</w:t>
            </w:r>
            <w:r>
              <w:rPr>
                <w:rFonts w:hint="eastAsia" w:ascii="仿宋" w:hAnsi="仿宋" w:eastAsia="仿宋" w:cs="仿宋"/>
                <w:color w:val="000000"/>
                <w:spacing w:val="-3"/>
                <w:sz w:val="28"/>
                <w:szCs w:val="28"/>
              </w:rPr>
              <w:t>代</w:t>
            </w:r>
            <w:r>
              <w:rPr>
                <w:rFonts w:hint="eastAsia" w:ascii="仿宋" w:hAnsi="仿宋" w:eastAsia="仿宋" w:cs="仿宋"/>
                <w:color w:val="000000"/>
                <w:sz w:val="28"/>
                <w:szCs w:val="28"/>
              </w:rPr>
              <w:t>表</w:t>
            </w:r>
            <w:r>
              <w:rPr>
                <w:rFonts w:hint="eastAsia" w:ascii="仿宋" w:hAnsi="仿宋" w:eastAsia="仿宋" w:cs="仿宋"/>
                <w:color w:val="000000"/>
                <w:spacing w:val="-3"/>
                <w:sz w:val="28"/>
                <w:szCs w:val="28"/>
              </w:rPr>
              <w:t>人</w:t>
            </w:r>
            <w:r>
              <w:rPr>
                <w:rFonts w:hint="eastAsia" w:ascii="仿宋" w:hAnsi="仿宋" w:eastAsia="仿宋" w:cs="仿宋"/>
                <w:color w:val="000000"/>
                <w:sz w:val="28"/>
                <w:szCs w:val="28"/>
              </w:rPr>
              <w:t>身</w:t>
            </w:r>
            <w:r>
              <w:rPr>
                <w:rFonts w:hint="eastAsia" w:ascii="仿宋" w:hAnsi="仿宋" w:eastAsia="仿宋" w:cs="仿宋"/>
                <w:color w:val="000000"/>
                <w:spacing w:val="-3"/>
                <w:sz w:val="28"/>
                <w:szCs w:val="28"/>
              </w:rPr>
              <w:t>份</w:t>
            </w:r>
            <w:r>
              <w:rPr>
                <w:rFonts w:hint="eastAsia" w:ascii="仿宋" w:hAnsi="仿宋" w:eastAsia="仿宋" w:cs="仿宋"/>
                <w:color w:val="000000"/>
                <w:sz w:val="28"/>
                <w:szCs w:val="28"/>
              </w:rPr>
              <w:t>证</w:t>
            </w:r>
            <w:r>
              <w:rPr>
                <w:rFonts w:hint="eastAsia" w:ascii="仿宋" w:hAnsi="仿宋" w:eastAsia="仿宋" w:cs="仿宋"/>
                <w:color w:val="000000"/>
                <w:spacing w:val="-3"/>
                <w:sz w:val="28"/>
                <w:szCs w:val="28"/>
              </w:rPr>
              <w:t>正反面</w:t>
            </w:r>
          </w:p>
        </w:tc>
      </w:tr>
    </w:tbl>
    <w:p>
      <w:pPr>
        <w:pStyle w:val="20"/>
        <w:spacing w:line="360" w:lineRule="auto"/>
        <w:rPr>
          <w:rFonts w:ascii="仿宋" w:hAnsi="仿宋" w:eastAsia="仿宋" w:cs="仿宋"/>
          <w:color w:val="000000"/>
          <w:sz w:val="24"/>
          <w:szCs w:val="24"/>
          <w:u w:val="single"/>
        </w:rPr>
      </w:pPr>
    </w:p>
    <w:p>
      <w:pPr>
        <w:pStyle w:val="20"/>
        <w:spacing w:line="360" w:lineRule="auto"/>
        <w:rPr>
          <w:rFonts w:ascii="仿宋" w:hAnsi="仿宋" w:eastAsia="仿宋" w:cs="仿宋"/>
          <w:color w:val="000000"/>
          <w:sz w:val="24"/>
          <w:szCs w:val="24"/>
          <w:u w:val="single"/>
        </w:rPr>
      </w:pPr>
    </w:p>
    <w:p>
      <w:pPr>
        <w:pStyle w:val="20"/>
        <w:spacing w:line="360" w:lineRule="auto"/>
        <w:rPr>
          <w:rFonts w:ascii="仿宋" w:hAnsi="仿宋" w:eastAsia="仿宋" w:cs="仿宋"/>
          <w:color w:val="000000"/>
          <w:sz w:val="24"/>
          <w:szCs w:val="24"/>
          <w:u w:val="single"/>
        </w:rPr>
      </w:pPr>
    </w:p>
    <w:p>
      <w:pPr>
        <w:pStyle w:val="20"/>
        <w:spacing w:line="360" w:lineRule="auto"/>
        <w:rPr>
          <w:rFonts w:ascii="仿宋" w:hAnsi="仿宋" w:eastAsia="仿宋" w:cs="仿宋"/>
          <w:color w:val="000000"/>
          <w:sz w:val="24"/>
          <w:szCs w:val="24"/>
          <w:u w:val="single"/>
        </w:rPr>
      </w:pPr>
    </w:p>
    <w:p>
      <w:pPr>
        <w:widowControl/>
        <w:spacing w:line="360" w:lineRule="auto"/>
        <w:jc w:val="right"/>
        <w:rPr>
          <w:rFonts w:ascii="仿宋" w:hAnsi="仿宋" w:eastAsia="仿宋" w:cs="仿宋"/>
          <w:color w:val="000000"/>
          <w:sz w:val="24"/>
        </w:rPr>
      </w:pPr>
      <w:r>
        <w:rPr>
          <w:rFonts w:hint="eastAsia" w:ascii="仿宋" w:hAnsi="仿宋" w:eastAsia="仿宋" w:cs="仿宋"/>
          <w:color w:val="000000"/>
          <w:kern w:val="0"/>
          <w:sz w:val="24"/>
        </w:rPr>
        <w:t>投标人： （盖单位章）</w:t>
      </w:r>
    </w:p>
    <w:p>
      <w:pPr>
        <w:widowControl/>
        <w:spacing w:line="360" w:lineRule="auto"/>
        <w:ind w:firstLine="4560" w:firstLineChars="1900"/>
        <w:jc w:val="left"/>
        <w:rPr>
          <w:rFonts w:ascii="仿宋" w:hAnsi="仿宋" w:eastAsia="仿宋" w:cs="仿宋"/>
          <w:color w:val="000000"/>
          <w:sz w:val="24"/>
          <w:u w:val="single"/>
        </w:rPr>
      </w:pPr>
      <w:r>
        <w:rPr>
          <w:rFonts w:hint="eastAsia" w:ascii="仿宋" w:hAnsi="仿宋" w:eastAsia="仿宋" w:cs="仿宋"/>
          <w:color w:val="000000"/>
          <w:kern w:val="0"/>
          <w:sz w:val="24"/>
          <w:u w:val="single"/>
        </w:rPr>
        <w:t xml:space="preserve">      年     月     日</w:t>
      </w:r>
    </w:p>
    <w:p>
      <w:pPr>
        <w:rPr>
          <w:rFonts w:ascii="仿宋" w:hAnsi="仿宋" w:eastAsia="仿宋" w:cs="仿宋"/>
          <w:color w:val="000000"/>
          <w:spacing w:val="-5"/>
          <w:w w:val="95"/>
          <w:szCs w:val="21"/>
        </w:rPr>
      </w:pPr>
      <w:r>
        <w:rPr>
          <w:rFonts w:hint="eastAsia" w:ascii="仿宋" w:hAnsi="仿宋" w:eastAsia="仿宋" w:cs="仿宋"/>
          <w:color w:val="000000"/>
          <w:spacing w:val="-5"/>
          <w:w w:val="95"/>
          <w:szCs w:val="21"/>
        </w:rPr>
        <w:br w:type="page"/>
      </w:r>
    </w:p>
    <w:p>
      <w:pPr>
        <w:spacing w:line="360" w:lineRule="auto"/>
        <w:ind w:right="106" w:firstLine="480"/>
        <w:jc w:val="center"/>
        <w:rPr>
          <w:rFonts w:ascii="仿宋" w:hAnsi="仿宋" w:eastAsia="仿宋" w:cs="仿宋"/>
          <w:b/>
          <w:bCs/>
          <w:color w:val="000000"/>
          <w:spacing w:val="-5"/>
          <w:w w:val="95"/>
          <w:sz w:val="32"/>
          <w:szCs w:val="32"/>
        </w:rPr>
      </w:pPr>
      <w:r>
        <w:rPr>
          <w:rFonts w:hint="eastAsia" w:ascii="仿宋" w:hAnsi="仿宋" w:eastAsia="仿宋" w:cs="仿宋"/>
          <w:b/>
          <w:bCs/>
          <w:color w:val="000000"/>
          <w:sz w:val="32"/>
          <w:szCs w:val="32"/>
        </w:rPr>
        <w:t>法定代表人授权书</w:t>
      </w:r>
    </w:p>
    <w:p>
      <w:pPr>
        <w:spacing w:line="360" w:lineRule="auto"/>
        <w:ind w:right="106" w:firstLine="480"/>
        <w:rPr>
          <w:rFonts w:ascii="仿宋" w:hAnsi="仿宋" w:eastAsia="仿宋" w:cs="仿宋"/>
          <w:color w:val="000000"/>
          <w:spacing w:val="-5"/>
          <w:w w:val="95"/>
          <w:szCs w:val="21"/>
        </w:rPr>
      </w:pPr>
    </w:p>
    <w:p>
      <w:pPr>
        <w:spacing w:line="360" w:lineRule="auto"/>
        <w:ind w:right="106" w:firstLine="480"/>
        <w:rPr>
          <w:rFonts w:ascii="仿宋" w:hAnsi="仿宋" w:eastAsia="仿宋" w:cs="仿宋"/>
          <w:color w:val="000000"/>
          <w:sz w:val="24"/>
        </w:rPr>
      </w:pPr>
      <w:r>
        <w:rPr>
          <w:rFonts w:hint="eastAsia" w:ascii="仿宋" w:hAnsi="仿宋" w:eastAsia="仿宋" w:cs="仿宋"/>
          <w:color w:val="000000"/>
          <w:spacing w:val="-5"/>
          <w:w w:val="95"/>
          <w:sz w:val="24"/>
        </w:rPr>
        <w:t>本授权书声明：注册于</w:t>
      </w:r>
      <w:r>
        <w:rPr>
          <w:rFonts w:hint="eastAsia" w:ascii="仿宋" w:hAnsi="仿宋" w:eastAsia="仿宋" w:cs="仿宋"/>
          <w:color w:val="000000"/>
          <w:w w:val="95"/>
          <w:sz w:val="24"/>
          <w:u w:val="single"/>
        </w:rPr>
        <w:t>（国家或地区的名称</w:t>
      </w:r>
      <w:r>
        <w:rPr>
          <w:rFonts w:hint="eastAsia" w:ascii="仿宋" w:hAnsi="仿宋" w:eastAsia="仿宋" w:cs="仿宋"/>
          <w:color w:val="000000"/>
          <w:spacing w:val="-17"/>
          <w:w w:val="95"/>
          <w:sz w:val="24"/>
          <w:u w:val="single"/>
        </w:rPr>
        <w:t>）</w:t>
      </w:r>
      <w:r>
        <w:rPr>
          <w:rFonts w:hint="eastAsia" w:ascii="仿宋" w:hAnsi="仿宋" w:eastAsia="仿宋" w:cs="仿宋"/>
          <w:color w:val="000000"/>
          <w:spacing w:val="-15"/>
          <w:w w:val="95"/>
          <w:sz w:val="24"/>
        </w:rPr>
        <w:t>的</w:t>
      </w:r>
      <w:r>
        <w:rPr>
          <w:rFonts w:hint="eastAsia" w:ascii="仿宋" w:hAnsi="仿宋" w:eastAsia="仿宋" w:cs="仿宋"/>
          <w:color w:val="000000"/>
          <w:w w:val="95"/>
          <w:sz w:val="24"/>
          <w:u w:val="single"/>
        </w:rPr>
        <w:t>（</w:t>
      </w:r>
      <w:r>
        <w:rPr>
          <w:rFonts w:hint="eastAsia" w:ascii="仿宋" w:hAnsi="仿宋" w:eastAsia="仿宋" w:cs="仿宋"/>
          <w:i/>
          <w:color w:val="000000"/>
          <w:w w:val="95"/>
          <w:sz w:val="24"/>
          <w:u w:val="single"/>
        </w:rPr>
        <w:t>投标人名称</w:t>
      </w:r>
      <w:r>
        <w:rPr>
          <w:rFonts w:hint="eastAsia" w:ascii="仿宋" w:hAnsi="仿宋" w:eastAsia="仿宋" w:cs="仿宋"/>
          <w:color w:val="000000"/>
          <w:spacing w:val="-15"/>
          <w:w w:val="95"/>
          <w:sz w:val="24"/>
          <w:u w:val="single"/>
        </w:rPr>
        <w:t>）</w:t>
      </w:r>
      <w:r>
        <w:rPr>
          <w:rFonts w:hint="eastAsia" w:ascii="仿宋" w:hAnsi="仿宋" w:eastAsia="仿宋" w:cs="仿宋"/>
          <w:color w:val="000000"/>
          <w:spacing w:val="-3"/>
          <w:w w:val="95"/>
          <w:sz w:val="24"/>
        </w:rPr>
        <w:t>的在下面签字的</w:t>
      </w:r>
      <w:r>
        <w:rPr>
          <w:rFonts w:hint="eastAsia" w:ascii="仿宋" w:hAnsi="仿宋" w:eastAsia="仿宋" w:cs="仿宋"/>
          <w:color w:val="000000"/>
          <w:w w:val="95"/>
          <w:sz w:val="24"/>
        </w:rPr>
        <w:t>（</w:t>
      </w:r>
      <w:r>
        <w:rPr>
          <w:rFonts w:hint="eastAsia" w:ascii="仿宋" w:hAnsi="仿宋" w:eastAsia="仿宋" w:cs="仿宋"/>
          <w:i/>
          <w:color w:val="000000"/>
          <w:spacing w:val="-7"/>
          <w:w w:val="95"/>
          <w:sz w:val="24"/>
          <w:u w:val="single"/>
        </w:rPr>
        <w:t>法人代表姓名</w:t>
      </w:r>
      <w:r>
        <w:rPr>
          <w:rFonts w:hint="eastAsia" w:ascii="仿宋" w:hAnsi="仿宋" w:eastAsia="仿宋" w:cs="仿宋"/>
          <w:i/>
          <w:color w:val="000000"/>
          <w:spacing w:val="-29"/>
          <w:w w:val="95"/>
          <w:sz w:val="24"/>
          <w:u w:val="single"/>
        </w:rPr>
        <w:t>、职务</w:t>
      </w:r>
      <w:r>
        <w:rPr>
          <w:rFonts w:hint="eastAsia" w:ascii="仿宋" w:hAnsi="仿宋" w:eastAsia="仿宋" w:cs="仿宋"/>
          <w:color w:val="000000"/>
          <w:spacing w:val="-15"/>
          <w:w w:val="95"/>
          <w:sz w:val="24"/>
        </w:rPr>
        <w:t>）</w:t>
      </w:r>
      <w:r>
        <w:rPr>
          <w:rFonts w:hint="eastAsia" w:ascii="仿宋" w:hAnsi="仿宋" w:eastAsia="仿宋" w:cs="仿宋"/>
          <w:color w:val="000000"/>
          <w:spacing w:val="-4"/>
          <w:w w:val="95"/>
          <w:sz w:val="24"/>
        </w:rPr>
        <w:t>代表本公司授权</w:t>
      </w:r>
      <w:r>
        <w:rPr>
          <w:rFonts w:hint="eastAsia" w:ascii="仿宋" w:hAnsi="仿宋" w:eastAsia="仿宋" w:cs="仿宋"/>
          <w:color w:val="000000"/>
          <w:w w:val="95"/>
          <w:sz w:val="24"/>
          <w:u w:val="single"/>
        </w:rPr>
        <w:t>（</w:t>
      </w:r>
      <w:r>
        <w:rPr>
          <w:rFonts w:hint="eastAsia" w:ascii="仿宋" w:hAnsi="仿宋" w:eastAsia="仿宋" w:cs="仿宋"/>
          <w:i/>
          <w:color w:val="000000"/>
          <w:w w:val="95"/>
          <w:sz w:val="24"/>
          <w:u w:val="single"/>
        </w:rPr>
        <w:t>投标人名称</w:t>
      </w:r>
      <w:r>
        <w:rPr>
          <w:rFonts w:hint="eastAsia" w:ascii="仿宋" w:hAnsi="仿宋" w:eastAsia="仿宋" w:cs="仿宋"/>
          <w:color w:val="000000"/>
          <w:spacing w:val="-15"/>
          <w:w w:val="95"/>
          <w:sz w:val="24"/>
          <w:u w:val="single"/>
        </w:rPr>
        <w:t>）</w:t>
      </w:r>
      <w:r>
        <w:rPr>
          <w:rFonts w:hint="eastAsia" w:ascii="仿宋" w:hAnsi="仿宋" w:eastAsia="仿宋" w:cs="仿宋"/>
          <w:color w:val="000000"/>
          <w:spacing w:val="-3"/>
          <w:w w:val="95"/>
          <w:sz w:val="24"/>
        </w:rPr>
        <w:t>的在下面签字的</w:t>
      </w:r>
      <w:r>
        <w:rPr>
          <w:rFonts w:hint="eastAsia" w:ascii="仿宋" w:hAnsi="仿宋" w:eastAsia="仿宋" w:cs="仿宋"/>
          <w:color w:val="000000"/>
          <w:w w:val="95"/>
          <w:sz w:val="24"/>
        </w:rPr>
        <w:t>（</w:t>
      </w:r>
      <w:r>
        <w:rPr>
          <w:rFonts w:hint="eastAsia" w:ascii="仿宋" w:hAnsi="仿宋" w:eastAsia="仿宋" w:cs="仿宋"/>
          <w:i/>
          <w:color w:val="000000"/>
          <w:spacing w:val="-4"/>
          <w:w w:val="95"/>
          <w:sz w:val="24"/>
          <w:u w:val="single"/>
        </w:rPr>
        <w:t xml:space="preserve">被授权人的姓名、职务 </w:t>
      </w:r>
      <w:r>
        <w:rPr>
          <w:rFonts w:hint="eastAsia" w:ascii="仿宋" w:hAnsi="仿宋" w:eastAsia="仿宋" w:cs="仿宋"/>
          <w:color w:val="000000"/>
          <w:spacing w:val="-20"/>
          <w:w w:val="95"/>
          <w:sz w:val="24"/>
        </w:rPr>
        <w:t>）</w:t>
      </w:r>
      <w:r>
        <w:rPr>
          <w:rFonts w:hint="eastAsia" w:ascii="仿宋" w:hAnsi="仿宋" w:eastAsia="仿宋" w:cs="仿宋"/>
          <w:color w:val="000000"/>
          <w:spacing w:val="-4"/>
          <w:w w:val="95"/>
          <w:sz w:val="24"/>
        </w:rPr>
        <w:t>为本公司的合法代理人，就</w:t>
      </w:r>
      <w:r>
        <w:rPr>
          <w:rFonts w:hint="eastAsia" w:ascii="仿宋" w:hAnsi="仿宋" w:eastAsia="仿宋" w:cs="仿宋"/>
          <w:color w:val="000000"/>
          <w:w w:val="95"/>
          <w:sz w:val="24"/>
        </w:rPr>
        <w:t>（</w:t>
      </w:r>
      <w:r>
        <w:rPr>
          <w:rFonts w:hint="eastAsia" w:ascii="仿宋" w:hAnsi="仿宋" w:eastAsia="仿宋" w:cs="仿宋"/>
          <w:i/>
          <w:color w:val="000000"/>
          <w:w w:val="95"/>
          <w:sz w:val="24"/>
          <w:u w:val="single"/>
        </w:rPr>
        <w:t>项目名称</w:t>
      </w:r>
      <w:r>
        <w:rPr>
          <w:rFonts w:hint="eastAsia" w:ascii="仿宋" w:hAnsi="仿宋" w:eastAsia="仿宋" w:cs="仿宋"/>
          <w:color w:val="000000"/>
          <w:spacing w:val="-17"/>
          <w:w w:val="95"/>
          <w:sz w:val="24"/>
        </w:rPr>
        <w:t>）</w:t>
      </w:r>
      <w:r>
        <w:rPr>
          <w:rFonts w:hint="eastAsia" w:ascii="仿宋" w:hAnsi="仿宋" w:eastAsia="仿宋" w:cs="仿宋"/>
          <w:color w:val="000000"/>
          <w:spacing w:val="-4"/>
          <w:w w:val="95"/>
          <w:sz w:val="24"/>
        </w:rPr>
        <w:t>的投标，以本公司名义处理一切与之有关的</w:t>
      </w:r>
      <w:r>
        <w:rPr>
          <w:rFonts w:hint="eastAsia" w:ascii="仿宋" w:hAnsi="仿宋" w:eastAsia="仿宋" w:cs="仿宋"/>
          <w:color w:val="000000"/>
          <w:sz w:val="24"/>
        </w:rPr>
        <w:t>事务。</w:t>
      </w:r>
    </w:p>
    <w:p>
      <w:pPr>
        <w:pStyle w:val="14"/>
        <w:tabs>
          <w:tab w:val="left" w:pos="3360"/>
          <w:tab w:val="left" w:pos="4200"/>
          <w:tab w:val="left" w:pos="5041"/>
        </w:tabs>
        <w:spacing w:before="6" w:line="360" w:lineRule="auto"/>
        <w:ind w:firstLine="480" w:firstLineChars="200"/>
        <w:rPr>
          <w:rFonts w:ascii="仿宋" w:hAnsi="仿宋" w:eastAsia="仿宋" w:cs="仿宋"/>
          <w:color w:val="000000"/>
        </w:rPr>
      </w:pPr>
      <w:r>
        <w:rPr>
          <w:rFonts w:hint="eastAsia" w:ascii="仿宋" w:hAnsi="仿宋" w:eastAsia="仿宋" w:cs="仿宋"/>
          <w:color w:val="000000"/>
        </w:rPr>
        <w:t>本授权书于年月日签字生效,特此声明。</w:t>
      </w:r>
    </w:p>
    <w:p>
      <w:pPr>
        <w:pStyle w:val="14"/>
        <w:spacing w:before="11"/>
        <w:rPr>
          <w:rFonts w:ascii="仿宋" w:hAnsi="仿宋" w:eastAsia="仿宋" w:cs="仿宋"/>
          <w:color w:val="000000"/>
        </w:rPr>
      </w:pPr>
    </w:p>
    <w:p>
      <w:pPr>
        <w:pStyle w:val="14"/>
        <w:tabs>
          <w:tab w:val="left" w:pos="6296"/>
          <w:tab w:val="left" w:pos="6416"/>
        </w:tabs>
        <w:spacing w:line="360" w:lineRule="auto"/>
        <w:rPr>
          <w:rFonts w:ascii="仿宋" w:hAnsi="仿宋" w:eastAsia="仿宋" w:cs="仿宋"/>
          <w:color w:val="000000"/>
          <w:u w:val="single"/>
        </w:rPr>
      </w:pPr>
      <w:r>
        <w:rPr>
          <w:rFonts w:hint="eastAsia" w:ascii="仿宋" w:hAnsi="仿宋" w:eastAsia="仿宋" w:cs="仿宋"/>
          <w:color w:val="000000"/>
        </w:rPr>
        <w:t>法定代表人签字或盖章：</w:t>
      </w:r>
      <w:r>
        <w:rPr>
          <w:rFonts w:hint="eastAsia" w:ascii="仿宋" w:hAnsi="仿宋" w:eastAsia="仿宋" w:cs="仿宋"/>
          <w:color w:val="000000"/>
          <w:u w:val="single"/>
        </w:rPr>
        <w:tab/>
      </w:r>
      <w:r>
        <w:rPr>
          <w:rFonts w:hint="eastAsia" w:ascii="仿宋" w:hAnsi="仿宋" w:eastAsia="仿宋" w:cs="仿宋"/>
          <w:color w:val="000000"/>
          <w:u w:val="single"/>
        </w:rPr>
        <w:tab/>
      </w:r>
    </w:p>
    <w:p>
      <w:pPr>
        <w:pStyle w:val="14"/>
        <w:tabs>
          <w:tab w:val="left" w:pos="6296"/>
          <w:tab w:val="left" w:pos="6416"/>
        </w:tabs>
        <w:spacing w:line="360" w:lineRule="auto"/>
        <w:rPr>
          <w:rFonts w:ascii="仿宋" w:hAnsi="仿宋" w:eastAsia="仿宋" w:cs="仿宋"/>
          <w:color w:val="000000"/>
          <w:u w:val="single"/>
        </w:rPr>
      </w:pPr>
      <w:r>
        <w:rPr>
          <w:rFonts w:hint="eastAsia" w:ascii="仿宋" w:hAnsi="仿宋" w:eastAsia="仿宋" w:cs="仿宋"/>
          <w:color w:val="000000"/>
        </w:rPr>
        <w:t>被授权人签字：</w:t>
      </w:r>
      <w:r>
        <w:rPr>
          <w:rFonts w:hint="eastAsia" w:ascii="仿宋" w:hAnsi="仿宋" w:eastAsia="仿宋" w:cs="仿宋"/>
          <w:color w:val="000000"/>
          <w:u w:val="single"/>
        </w:rPr>
        <w:tab/>
      </w:r>
      <w:r>
        <w:rPr>
          <w:rFonts w:hint="eastAsia" w:ascii="仿宋" w:hAnsi="仿宋" w:eastAsia="仿宋" w:cs="仿宋"/>
          <w:color w:val="000000"/>
          <w:u w:val="single"/>
        </w:rPr>
        <w:tab/>
      </w:r>
    </w:p>
    <w:p>
      <w:pPr>
        <w:pStyle w:val="14"/>
        <w:tabs>
          <w:tab w:val="left" w:pos="6296"/>
          <w:tab w:val="left" w:pos="6416"/>
        </w:tabs>
        <w:spacing w:line="360" w:lineRule="auto"/>
        <w:rPr>
          <w:rFonts w:ascii="仿宋" w:hAnsi="仿宋" w:eastAsia="仿宋" w:cs="仿宋"/>
          <w:color w:val="000000"/>
        </w:rPr>
      </w:pPr>
      <w:r>
        <w:rPr>
          <w:rFonts w:hint="eastAsia" w:ascii="仿宋" w:hAnsi="仿宋" w:eastAsia="仿宋" w:cs="仿宋"/>
          <w:color w:val="000000"/>
          <w:lang w:val="en-US"/>
        </w:rPr>
        <w:t>投标人</w:t>
      </w:r>
      <w:r>
        <w:rPr>
          <w:rFonts w:hint="eastAsia" w:ascii="仿宋" w:hAnsi="仿宋" w:eastAsia="仿宋" w:cs="仿宋"/>
          <w:color w:val="000000"/>
        </w:rPr>
        <w:t xml:space="preserve">盖章：  </w:t>
      </w:r>
      <w:r>
        <w:rPr>
          <w:rFonts w:hint="eastAsia" w:ascii="仿宋" w:hAnsi="仿宋" w:eastAsia="仿宋" w:cs="仿宋"/>
          <w:color w:val="000000"/>
          <w:u w:val="single"/>
        </w:rPr>
        <w:tab/>
      </w:r>
    </w:p>
    <w:p>
      <w:pPr>
        <w:pStyle w:val="14"/>
        <w:spacing w:line="360" w:lineRule="auto"/>
        <w:rPr>
          <w:rFonts w:ascii="仿宋" w:hAnsi="仿宋" w:eastAsia="仿宋" w:cs="仿宋"/>
          <w:color w:val="000000"/>
        </w:rPr>
      </w:pPr>
      <w:r>
        <w:rPr>
          <w:rFonts w:hint="eastAsia" w:ascii="仿宋" w:hAnsi="仿宋" w:eastAsia="仿宋" w:cs="仿宋"/>
          <w:color w:val="000000"/>
        </w:rPr>
        <w:t>附：</w:t>
      </w:r>
    </w:p>
    <w:p>
      <w:pPr>
        <w:pStyle w:val="14"/>
        <w:tabs>
          <w:tab w:val="left" w:pos="6476"/>
        </w:tabs>
        <w:spacing w:line="360" w:lineRule="auto"/>
        <w:rPr>
          <w:rFonts w:ascii="仿宋" w:hAnsi="仿宋" w:eastAsia="仿宋" w:cs="仿宋"/>
          <w:color w:val="000000"/>
          <w:u w:val="single"/>
        </w:rPr>
      </w:pPr>
      <w:r>
        <w:rPr>
          <w:rFonts w:hint="eastAsia" w:ascii="仿宋" w:hAnsi="仿宋" w:eastAsia="仿宋" w:cs="仿宋"/>
          <w:color w:val="000000"/>
        </w:rPr>
        <w:t>被授权人姓名：</w:t>
      </w:r>
      <w:r>
        <w:rPr>
          <w:rFonts w:hint="eastAsia" w:ascii="仿宋" w:hAnsi="仿宋" w:eastAsia="仿宋" w:cs="仿宋"/>
          <w:color w:val="000000"/>
          <w:u w:val="single"/>
        </w:rPr>
        <w:tab/>
      </w:r>
    </w:p>
    <w:p>
      <w:pPr>
        <w:pStyle w:val="14"/>
        <w:tabs>
          <w:tab w:val="left" w:pos="6476"/>
        </w:tabs>
        <w:spacing w:line="360" w:lineRule="auto"/>
        <w:rPr>
          <w:rFonts w:ascii="仿宋" w:hAnsi="仿宋" w:eastAsia="仿宋" w:cs="仿宋"/>
          <w:color w:val="000000"/>
          <w:u w:val="single"/>
        </w:rPr>
      </w:pPr>
      <w:r>
        <w:rPr>
          <w:rFonts w:hint="eastAsia" w:ascii="仿宋" w:hAnsi="仿宋" w:eastAsia="仿宋" w:cs="仿宋"/>
          <w:color w:val="000000"/>
        </w:rPr>
        <w:t>职      务：</w:t>
      </w:r>
      <w:r>
        <w:rPr>
          <w:rFonts w:hint="eastAsia" w:ascii="仿宋" w:hAnsi="仿宋" w:eastAsia="仿宋" w:cs="仿宋"/>
          <w:color w:val="000000"/>
          <w:u w:val="single"/>
        </w:rPr>
        <w:tab/>
      </w:r>
    </w:p>
    <w:p>
      <w:pPr>
        <w:pStyle w:val="14"/>
        <w:tabs>
          <w:tab w:val="left" w:pos="6476"/>
        </w:tabs>
        <w:spacing w:line="360" w:lineRule="auto"/>
        <w:rPr>
          <w:rFonts w:ascii="仿宋" w:hAnsi="仿宋" w:eastAsia="仿宋" w:cs="仿宋"/>
          <w:color w:val="000000"/>
          <w:u w:val="single"/>
        </w:rPr>
      </w:pPr>
      <w:r>
        <w:rPr>
          <w:rFonts w:hint="eastAsia" w:ascii="仿宋" w:hAnsi="仿宋" w:eastAsia="仿宋" w:cs="仿宋"/>
          <w:color w:val="000000"/>
        </w:rPr>
        <w:t>详细通讯地址：</w:t>
      </w:r>
      <w:r>
        <w:rPr>
          <w:rFonts w:hint="eastAsia" w:ascii="仿宋" w:hAnsi="仿宋" w:eastAsia="仿宋" w:cs="仿宋"/>
          <w:color w:val="000000"/>
          <w:u w:val="single"/>
        </w:rPr>
        <w:tab/>
      </w:r>
    </w:p>
    <w:p>
      <w:pPr>
        <w:pStyle w:val="14"/>
        <w:tabs>
          <w:tab w:val="left" w:pos="6476"/>
        </w:tabs>
        <w:spacing w:line="360" w:lineRule="auto"/>
        <w:rPr>
          <w:rFonts w:ascii="仿宋" w:hAnsi="仿宋" w:eastAsia="仿宋" w:cs="仿宋"/>
          <w:color w:val="000000"/>
          <w:u w:val="single"/>
        </w:rPr>
      </w:pPr>
      <w:r>
        <w:rPr>
          <w:rFonts w:hint="eastAsia" w:ascii="仿宋" w:hAnsi="仿宋" w:eastAsia="仿宋" w:cs="仿宋"/>
          <w:color w:val="000000"/>
        </w:rPr>
        <w:t>邮 政 编码 ：</w:t>
      </w:r>
      <w:r>
        <w:rPr>
          <w:rFonts w:hint="eastAsia" w:ascii="仿宋" w:hAnsi="仿宋" w:eastAsia="仿宋" w:cs="仿宋"/>
          <w:color w:val="000000"/>
          <w:u w:val="single"/>
        </w:rPr>
        <w:tab/>
      </w:r>
    </w:p>
    <w:p>
      <w:pPr>
        <w:pStyle w:val="14"/>
        <w:tabs>
          <w:tab w:val="left" w:pos="6476"/>
        </w:tabs>
        <w:spacing w:line="360" w:lineRule="auto"/>
        <w:rPr>
          <w:rFonts w:ascii="仿宋" w:hAnsi="仿宋" w:eastAsia="仿宋" w:cs="仿宋"/>
          <w:color w:val="000000"/>
          <w:u w:val="single"/>
        </w:rPr>
      </w:pPr>
      <w:r>
        <w:rPr>
          <w:rFonts w:hint="eastAsia" w:ascii="仿宋" w:hAnsi="仿宋" w:eastAsia="仿宋" w:cs="仿宋"/>
          <w:color w:val="000000"/>
          <w:lang w:val="en-US"/>
        </w:rPr>
        <w:t>电  子 邮 箱</w:t>
      </w:r>
      <w:r>
        <w:rPr>
          <w:rFonts w:hint="eastAsia" w:ascii="仿宋" w:hAnsi="仿宋" w:eastAsia="仿宋" w:cs="仿宋"/>
          <w:color w:val="000000"/>
        </w:rPr>
        <w:t>：</w:t>
      </w:r>
      <w:r>
        <w:rPr>
          <w:rFonts w:hint="eastAsia" w:ascii="仿宋" w:hAnsi="仿宋" w:eastAsia="仿宋" w:cs="仿宋"/>
          <w:color w:val="000000"/>
          <w:u w:val="single"/>
        </w:rPr>
        <w:tab/>
      </w:r>
    </w:p>
    <w:p>
      <w:pPr>
        <w:pStyle w:val="14"/>
        <w:tabs>
          <w:tab w:val="left" w:pos="6476"/>
        </w:tabs>
        <w:spacing w:line="360" w:lineRule="auto"/>
        <w:rPr>
          <w:rFonts w:ascii="仿宋" w:hAnsi="仿宋" w:eastAsia="仿宋" w:cs="仿宋"/>
          <w:color w:val="000000"/>
        </w:rPr>
      </w:pPr>
      <w:r>
        <w:rPr>
          <w:rFonts w:hint="eastAsia" w:ascii="仿宋" w:hAnsi="仿宋" w:eastAsia="仿宋" w:cs="仿宋"/>
          <w:color w:val="000000"/>
        </w:rPr>
        <w:t>电     话：</w:t>
      </w:r>
      <w:r>
        <w:rPr>
          <w:rFonts w:hint="eastAsia" w:ascii="仿宋" w:hAnsi="仿宋" w:eastAsia="仿宋" w:cs="仿宋"/>
          <w:color w:val="000000"/>
          <w:u w:val="single"/>
        </w:rPr>
        <w:tab/>
      </w:r>
    </w:p>
    <w:p>
      <w:pPr>
        <w:pStyle w:val="14"/>
        <w:spacing w:before="6"/>
        <w:rPr>
          <w:rFonts w:ascii="仿宋" w:hAnsi="仿宋" w:eastAsia="仿宋" w:cs="仿宋"/>
          <w:color w:val="000000"/>
          <w:sz w:val="21"/>
          <w:szCs w:val="21"/>
        </w:rPr>
      </w:pPr>
    </w:p>
    <w:p>
      <w:pPr>
        <w:pStyle w:val="14"/>
        <w:rPr>
          <w:rFonts w:ascii="仿宋" w:hAnsi="仿宋" w:eastAsia="仿宋" w:cs="仿宋"/>
          <w:color w:val="000000"/>
          <w:sz w:val="21"/>
          <w:szCs w:val="21"/>
        </w:rPr>
      </w:pPr>
      <w:r>
        <w:rPr>
          <w:rFonts w:ascii="仿宋" w:hAnsi="仿宋" w:eastAsia="仿宋" w:cs="仿宋"/>
          <w:color w:val="000000"/>
          <w:sz w:val="21"/>
          <w:szCs w:val="21"/>
          <w:lang w:val="en-US" w:bidi="ar-SA"/>
        </w:rPr>
        <mc:AlternateContent>
          <mc:Choice Requires="wps">
            <w:drawing>
              <wp:anchor distT="0" distB="0" distL="0" distR="0" simplePos="0" relativeHeight="251659264" behindDoc="1" locked="0" layoutInCell="1" allowOverlap="1">
                <wp:simplePos x="0" y="0"/>
                <wp:positionH relativeFrom="page">
                  <wp:posOffset>1302385</wp:posOffset>
                </wp:positionH>
                <wp:positionV relativeFrom="paragraph">
                  <wp:posOffset>119380</wp:posOffset>
                </wp:positionV>
                <wp:extent cx="2240915" cy="1125855"/>
                <wp:effectExtent l="0" t="0" r="6985" b="0"/>
                <wp:wrapTopAndBottom/>
                <wp:docPr id="1027" name="文本框 13"/>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pPr>
                              <w:pStyle w:val="14"/>
                              <w:autoSpaceDE w:val="0"/>
                              <w:autoSpaceDN w:val="0"/>
                              <w:ind w:firstLine="480" w:firstLineChars="200"/>
                              <w:rPr>
                                <w:rFonts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pPr>
                              <w:pStyle w:val="14"/>
                              <w:autoSpaceDE w:val="0"/>
                              <w:autoSpaceDN w:val="0"/>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wps:txbx>
                      <wps:bodyPr lIns="0" tIns="0" rIns="0" bIns="0" upright="1"/>
                    </wps:wsp>
                  </a:graphicData>
                </a:graphic>
              </wp:anchor>
            </w:drawing>
          </mc:Choice>
          <mc:Fallback>
            <w:pict>
              <v:rect id="文本框 13" o:spid="_x0000_s1026" o:spt="1" style="position:absolute;left:0pt;margin-left:102.55pt;margin-top:9.4pt;height:88.65pt;width:176.45pt;mso-position-horizontal-relative:page;mso-wrap-distance-bottom:0pt;mso-wrap-distance-top:0pt;z-index:-251657216;mso-width-relative:page;mso-height-relative:page;" filled="f" stroked="t" coordsize="21600,21600" o:gfxdata="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Yd+71QAAAAoBAAAPAAAAAAAAAAEAIAAAACIA&#10;AABkcnMvZG93bnJldi54bWxQSwECFAAUAAAACACHTuJA42Td1QwCAAAhBAAADgAAAAAAAAABACAA&#10;AAAkAQAAZHJzL2Uyb0RvYy54bWxQSwUGAAAAAAYABgBZAQAAogUAAAAA&#10;">
                <v:fill on="f" focussize="0,0"/>
                <v:stroke color="#000000" joinstyle="miter"/>
                <v:imagedata o:title=""/>
                <o:lock v:ext="edit" aspectratio="f"/>
                <v:textbox inset="0mm,0mm,0mm,0mm">
                  <w:txbxContent>
                    <w:p>
                      <w:pPr>
                        <w:pStyle w:val="14"/>
                        <w:autoSpaceDE w:val="0"/>
                        <w:autoSpaceDN w:val="0"/>
                        <w:ind w:firstLine="480" w:firstLineChars="200"/>
                        <w:rPr>
                          <w:rFonts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pPr>
                        <w:pStyle w:val="14"/>
                        <w:autoSpaceDE w:val="0"/>
                        <w:autoSpaceDN w:val="0"/>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v:textbox>
                <w10:wrap type="topAndBottom"/>
              </v:rect>
            </w:pict>
          </mc:Fallback>
        </mc:AlternateContent>
      </w:r>
      <w:r>
        <w:rPr>
          <w:rFonts w:ascii="仿宋" w:hAnsi="仿宋" w:eastAsia="仿宋" w:cs="仿宋"/>
          <w:color w:val="000000"/>
          <w:sz w:val="21"/>
          <w:szCs w:val="21"/>
          <w:lang w:val="en-US" w:bidi="ar-SA"/>
        </w:rPr>
        <mc:AlternateContent>
          <mc:Choice Requires="wps">
            <w:drawing>
              <wp:anchor distT="0" distB="0" distL="0" distR="0" simplePos="0" relativeHeight="251660288" behindDoc="1" locked="0" layoutInCell="1" allowOverlap="1">
                <wp:simplePos x="0" y="0"/>
                <wp:positionH relativeFrom="page">
                  <wp:posOffset>3789680</wp:posOffset>
                </wp:positionH>
                <wp:positionV relativeFrom="paragraph">
                  <wp:posOffset>121285</wp:posOffset>
                </wp:positionV>
                <wp:extent cx="2240915" cy="1125855"/>
                <wp:effectExtent l="0" t="0" r="6985" b="0"/>
                <wp:wrapTopAndBottom/>
                <wp:docPr id="1028" name="文本框 14"/>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pPr>
                              <w:pStyle w:val="14"/>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pPr>
                              <w:pStyle w:val="14"/>
                              <w:spacing w:before="2"/>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wps:txbx>
                      <wps:bodyPr lIns="0" tIns="0" rIns="0" bIns="0" upright="1"/>
                    </wps:wsp>
                  </a:graphicData>
                </a:graphic>
              </wp:anchor>
            </w:drawing>
          </mc:Choice>
          <mc:Fallback>
            <w:pict>
              <v:rect id="文本框 14" o:spid="_x0000_s1026" o:spt="1" style="position:absolute;left:0pt;margin-left:298.4pt;margin-top:9.55pt;height:88.65pt;width:176.45pt;mso-position-horizontal-relative:page;mso-wrap-distance-bottom:0pt;mso-wrap-distance-top:0pt;z-index:-251656192;mso-width-relative:page;mso-height-relative:page;" filled="f" stroked="t" coordsize="21600,21600" o:gfxdata="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iClY1QAAAAoBAAAPAAAAAAAAAAEAIAAAACIA&#10;AABkcnMvZG93bnJldi54bWxQSwECFAAUAAAACACHTuJA8Vw+DAwCAAAhBAAADgAAAAAAAAABACAA&#10;AAAkAQAAZHJzL2Uyb0RvYy54bWxQSwUGAAAAAAYABgBZAQAAogUAAAAA&#10;">
                <v:fill on="f" focussize="0,0"/>
                <v:stroke color="#000000" joinstyle="miter"/>
                <v:imagedata o:title=""/>
                <o:lock v:ext="edit" aspectratio="f"/>
                <v:textbox inset="0mm,0mm,0mm,0mm">
                  <w:txbxContent>
                    <w:p>
                      <w:pPr>
                        <w:pStyle w:val="14"/>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pPr>
                        <w:pStyle w:val="14"/>
                        <w:spacing w:before="2"/>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v:textbox>
                <w10:wrap type="topAndBottom"/>
              </v:rect>
            </w:pict>
          </mc:Fallback>
        </mc:AlternateContent>
      </w:r>
      <w:r>
        <w:rPr>
          <w:rFonts w:ascii="仿宋" w:hAnsi="仿宋" w:eastAsia="仿宋" w:cs="仿宋"/>
          <w:color w:val="000000"/>
          <w:sz w:val="21"/>
          <w:szCs w:val="21"/>
          <w:lang w:val="en-US" w:bidi="ar-SA"/>
        </w:rPr>
        <mc:AlternateContent>
          <mc:Choice Requires="wps">
            <w:drawing>
              <wp:anchor distT="0" distB="0" distL="0" distR="0" simplePos="0" relativeHeight="251661312" behindDoc="1" locked="0" layoutInCell="1" allowOverlap="1">
                <wp:simplePos x="0" y="0"/>
                <wp:positionH relativeFrom="page">
                  <wp:posOffset>1302385</wp:posOffset>
                </wp:positionH>
                <wp:positionV relativeFrom="paragraph">
                  <wp:posOffset>1513840</wp:posOffset>
                </wp:positionV>
                <wp:extent cx="2240915" cy="1125855"/>
                <wp:effectExtent l="0" t="0" r="6985" b="0"/>
                <wp:wrapTopAndBottom/>
                <wp:docPr id="1029" name="文本框 11"/>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pPr>
                              <w:pStyle w:val="14"/>
                            </w:pPr>
                          </w:p>
                          <w:p>
                            <w:pPr>
                              <w:pStyle w:val="14"/>
                              <w:ind w:left="417" w:right="417"/>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pPr>
                              <w:pStyle w:val="14"/>
                              <w:spacing w:before="8"/>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wps:txbx>
                      <wps:bodyPr lIns="0" tIns="0" rIns="0" bIns="0" upright="1"/>
                    </wps:wsp>
                  </a:graphicData>
                </a:graphic>
              </wp:anchor>
            </w:drawing>
          </mc:Choice>
          <mc:Fallback>
            <w:pict>
              <v:rect id="文本框 11" o:spid="_x0000_s1026" o:spt="1" style="position:absolute;left:0pt;margin-left:102.55pt;margin-top:119.2pt;height:88.65pt;width:176.45pt;mso-position-horizontal-relative:page;mso-wrap-distance-bottom:0pt;mso-wrap-distance-top:0pt;z-index:-251655168;mso-width-relative:page;mso-height-relative:page;" filled="f" stroked="t" coordsize="21600,21600" o:gfxdata="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D2wwtcAAAALAQAADwAAAAAAAAABACAAAAAi&#10;AAAAZHJzL2Rvd25yZXYueG1sUEsBAhQAFAAAAAgAh07iQOHHvtcLAgAAIQQAAA4AAAAAAAAAAQAg&#10;AAAAJgEAAGRycy9lMm9Eb2MueG1sUEsFBgAAAAAGAAYAWQEAAKMFAAAAAA==&#10;">
                <v:fill on="f" focussize="0,0"/>
                <v:stroke color="#000000" joinstyle="miter"/>
                <v:imagedata o:title=""/>
                <o:lock v:ext="edit" aspectratio="f"/>
                <v:textbox inset="0mm,0mm,0mm,0mm">
                  <w:txbxContent>
                    <w:p>
                      <w:pPr>
                        <w:pStyle w:val="14"/>
                      </w:pPr>
                    </w:p>
                    <w:p>
                      <w:pPr>
                        <w:pStyle w:val="14"/>
                        <w:ind w:left="417" w:right="417"/>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pPr>
                        <w:pStyle w:val="14"/>
                        <w:spacing w:before="8"/>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v:textbox>
                <w10:wrap type="topAndBottom"/>
              </v:rect>
            </w:pict>
          </mc:Fallback>
        </mc:AlternateContent>
      </w:r>
      <w:r>
        <w:rPr>
          <w:rFonts w:ascii="仿宋" w:hAnsi="仿宋" w:eastAsia="仿宋" w:cs="仿宋"/>
          <w:color w:val="000000"/>
          <w:sz w:val="21"/>
          <w:szCs w:val="21"/>
          <w:lang w:val="en-US" w:bidi="ar-SA"/>
        </w:rPr>
        <mc:AlternateContent>
          <mc:Choice Requires="wps">
            <w:drawing>
              <wp:anchor distT="0" distB="0" distL="0" distR="0" simplePos="0" relativeHeight="251662336" behindDoc="1" locked="0" layoutInCell="1" allowOverlap="1">
                <wp:simplePos x="0" y="0"/>
                <wp:positionH relativeFrom="page">
                  <wp:posOffset>3789680</wp:posOffset>
                </wp:positionH>
                <wp:positionV relativeFrom="paragraph">
                  <wp:posOffset>1515745</wp:posOffset>
                </wp:positionV>
                <wp:extent cx="2240915" cy="1125855"/>
                <wp:effectExtent l="0" t="0" r="6985" b="0"/>
                <wp:wrapTopAndBottom/>
                <wp:docPr id="1030" name="文本框 12"/>
                <wp:cNvGraphicFramePr/>
                <a:graphic xmlns:a="http://schemas.openxmlformats.org/drawingml/2006/main">
                  <a:graphicData uri="http://schemas.microsoft.com/office/word/2010/wordprocessingShape">
                    <wps:wsp>
                      <wps:cNvSpPr/>
                      <wps:spPr>
                        <a:xfrm>
                          <a:off x="0" y="0"/>
                          <a:ext cx="2240915" cy="1125855"/>
                        </a:xfrm>
                        <a:prstGeom prst="rect">
                          <a:avLst/>
                        </a:prstGeom>
                        <a:ln w="9525" cap="flat" cmpd="sng">
                          <a:solidFill>
                            <a:srgbClr val="000000"/>
                          </a:solidFill>
                          <a:prstDash val="solid"/>
                          <a:miter/>
                          <a:headEnd type="none" w="med" len="med"/>
                          <a:tailEnd type="none" w="med" len="med"/>
                        </a:ln>
                      </wps:spPr>
                      <wps:txbx>
                        <w:txbxContent>
                          <w:p>
                            <w:pPr>
                              <w:pStyle w:val="14"/>
                            </w:pPr>
                          </w:p>
                          <w:p>
                            <w:pPr>
                              <w:pStyle w:val="14"/>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pPr>
                              <w:pStyle w:val="14"/>
                              <w:spacing w:before="3"/>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wps:txbx>
                      <wps:bodyPr lIns="0" tIns="0" rIns="0" bIns="0" upright="1"/>
                    </wps:wsp>
                  </a:graphicData>
                </a:graphic>
              </wp:anchor>
            </w:drawing>
          </mc:Choice>
          <mc:Fallback>
            <w:pict>
              <v:rect id="文本框 12" o:spid="_x0000_s1026" o:spt="1" style="position:absolute;left:0pt;margin-left:298.4pt;margin-top:119.35pt;height:88.65pt;width:176.45pt;mso-position-horizontal-relative:page;mso-wrap-distance-bottom:0pt;mso-wrap-distance-top:0pt;z-index:-251654144;mso-width-relative:page;mso-height-relative:page;" filled="f" stroked="t" coordsize="21600,21600" o:gfxdata="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7zQffYAAAACwEAAA8AAAAAAAAAAQAgAAAA&#10;IgAAAGRycy9kb3ducmV2LnhtbFBLAQIUABQAAAAIAIdO4kAWtyYcCwIAACEEAAAOAAAAAAAAAAEA&#10;IAAAACcBAABkcnMvZTJvRG9jLnhtbFBLBQYAAAAABgAGAFkBAACkBQAAAAA=&#10;">
                <v:fill on="f" focussize="0,0"/>
                <v:stroke color="#000000" joinstyle="miter"/>
                <v:imagedata o:title=""/>
                <o:lock v:ext="edit" aspectratio="f"/>
                <v:textbox inset="0mm,0mm,0mm,0mm">
                  <w:txbxContent>
                    <w:p>
                      <w:pPr>
                        <w:pStyle w:val="14"/>
                      </w:pPr>
                    </w:p>
                    <w:p>
                      <w:pPr>
                        <w:pStyle w:val="14"/>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pPr>
                        <w:pStyle w:val="14"/>
                        <w:spacing w:before="3"/>
                        <w:ind w:left="417" w:right="416"/>
                        <w:jc w:val="center"/>
                        <w:rPr>
                          <w:rFonts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v:textbox>
                <w10:wrap type="topAndBottom"/>
              </v:rect>
            </w:pict>
          </mc:Fallback>
        </mc:AlternateContent>
      </w:r>
    </w:p>
    <w:p>
      <w:pPr>
        <w:pStyle w:val="14"/>
        <w:tabs>
          <w:tab w:val="left" w:pos="1560"/>
          <w:tab w:val="left" w:pos="2040"/>
        </w:tabs>
        <w:spacing w:before="66"/>
        <w:ind w:left="360"/>
        <w:rPr>
          <w:rFonts w:ascii="仿宋" w:hAnsi="仿宋" w:eastAsia="仿宋" w:cs="仿宋"/>
          <w:color w:val="000000"/>
          <w:sz w:val="21"/>
          <w:szCs w:val="21"/>
        </w:rPr>
      </w:pPr>
      <w:r>
        <w:rPr>
          <w:rFonts w:hint="eastAsia" w:ascii="仿宋" w:hAnsi="仿宋" w:eastAsia="仿宋" w:cs="仿宋"/>
          <w:color w:val="000000"/>
          <w:sz w:val="21"/>
          <w:szCs w:val="21"/>
        </w:rPr>
        <w:t>注：</w:t>
      </w:r>
      <w:r>
        <w:rPr>
          <w:rFonts w:hint="eastAsia" w:ascii="仿宋" w:hAnsi="仿宋" w:eastAsia="仿宋" w:cs="仿宋"/>
          <w:color w:val="000000"/>
          <w:sz w:val="21"/>
          <w:szCs w:val="21"/>
          <w:lang w:val="en-US"/>
        </w:rPr>
        <w:t>投标人</w:t>
      </w:r>
      <w:r>
        <w:rPr>
          <w:rFonts w:hint="eastAsia" w:ascii="仿宋" w:hAnsi="仿宋" w:eastAsia="仿宋" w:cs="仿宋"/>
          <w:color w:val="000000"/>
          <w:sz w:val="21"/>
          <w:szCs w:val="21"/>
        </w:rPr>
        <w:t>可自拟格式提供，但应与</w:t>
      </w:r>
      <w:r>
        <w:rPr>
          <w:rFonts w:hint="eastAsia" w:ascii="仿宋" w:hAnsi="仿宋" w:eastAsia="仿宋" w:cs="仿宋"/>
          <w:color w:val="000000"/>
          <w:sz w:val="21"/>
          <w:szCs w:val="21"/>
          <w:lang w:val="en-US"/>
        </w:rPr>
        <w:t>招标</w:t>
      </w:r>
      <w:r>
        <w:rPr>
          <w:rFonts w:hint="eastAsia" w:ascii="仿宋" w:hAnsi="仿宋" w:eastAsia="仿宋" w:cs="仿宋"/>
          <w:color w:val="000000"/>
          <w:sz w:val="21"/>
          <w:szCs w:val="21"/>
        </w:rPr>
        <w:t>文件提供的格式具备同等效力。</w:t>
      </w:r>
    </w:p>
    <w:p>
      <w:pPr>
        <w:pStyle w:val="44"/>
        <w:spacing w:line="360" w:lineRule="auto"/>
        <w:rPr>
          <w:rFonts w:ascii="仿宋" w:hAnsi="仿宋" w:eastAsia="仿宋" w:cs="仿宋"/>
          <w:b/>
          <w:color w:val="000000"/>
          <w:sz w:val="24"/>
          <w:szCs w:val="24"/>
        </w:rPr>
      </w:pPr>
      <w:bookmarkStart w:id="55" w:name="_Toc507399521"/>
    </w:p>
    <w:p>
      <w:pPr>
        <w:rPr>
          <w:rFonts w:ascii="仿宋" w:hAnsi="仿宋" w:eastAsia="仿宋"/>
          <w:b/>
          <w:color w:val="000000"/>
        </w:rPr>
      </w:pPr>
      <w:r>
        <w:rPr>
          <w:rFonts w:hint="eastAsia" w:ascii="仿宋" w:hAnsi="仿宋" w:eastAsia="仿宋" w:cs="仿宋"/>
          <w:b/>
          <w:bCs/>
          <w:color w:val="000000"/>
          <w:sz w:val="24"/>
        </w:rPr>
        <w:br w:type="page"/>
      </w:r>
      <w:bookmarkEnd w:id="55"/>
      <w:bookmarkStart w:id="56" w:name="_Toc11207"/>
      <w:bookmarkStart w:id="57" w:name="_Toc32366"/>
      <w:bookmarkStart w:id="58" w:name="_Toc507399522"/>
      <w:r>
        <w:rPr>
          <w:rFonts w:hint="eastAsia" w:ascii="仿宋" w:hAnsi="仿宋" w:eastAsia="仿宋" w:cs="仿宋"/>
          <w:b/>
          <w:bCs/>
          <w:color w:val="000000"/>
          <w:spacing w:val="10"/>
          <w:kern w:val="0"/>
          <w:sz w:val="24"/>
        </w:rPr>
        <w:t>附件 2-3 投标人具有良好的商业信誉和健全的财务会计制度的证明文件</w:t>
      </w:r>
      <w:bookmarkEnd w:id="56"/>
      <w:bookmarkEnd w:id="57"/>
    </w:p>
    <w:p>
      <w:pPr>
        <w:pStyle w:val="14"/>
        <w:rPr>
          <w:rFonts w:ascii="仿宋" w:hAnsi="仿宋" w:eastAsia="仿宋" w:cs="仿宋"/>
          <w:b/>
          <w:color w:val="000000"/>
        </w:rPr>
      </w:pPr>
    </w:p>
    <w:p>
      <w:pPr>
        <w:pStyle w:val="14"/>
        <w:spacing w:line="360" w:lineRule="auto"/>
        <w:ind w:right="560"/>
        <w:rPr>
          <w:rFonts w:ascii="仿宋" w:hAnsi="仿宋" w:eastAsia="仿宋" w:cs="仿宋"/>
          <w:color w:val="000000"/>
          <w:lang w:val="en-US"/>
        </w:rPr>
      </w:pPr>
      <w:r>
        <w:rPr>
          <w:rFonts w:hint="eastAsia" w:ascii="仿宋" w:hAnsi="仿宋" w:eastAsia="仿宋" w:cs="仿宋"/>
          <w:color w:val="000000"/>
        </w:rPr>
        <w:t>会计师事务所出具的上一年度财务审计报告或银行出具的说明投标人商业信誉或结算情况等</w:t>
      </w:r>
      <w:r>
        <w:rPr>
          <w:rFonts w:hint="eastAsia" w:ascii="仿宋" w:hAnsi="仿宋" w:eastAsia="仿宋" w:cs="仿宋"/>
          <w:color w:val="000000"/>
          <w:lang w:val="en-US"/>
        </w:rPr>
        <w:t>具体要求详见本招标文件第六章</w:t>
      </w:r>
    </w:p>
    <w:p>
      <w:pPr>
        <w:pStyle w:val="14"/>
        <w:rPr>
          <w:rFonts w:ascii="仿宋" w:hAnsi="仿宋" w:eastAsia="仿宋" w:cs="仿宋"/>
          <w:color w:val="000000"/>
        </w:rPr>
      </w:pPr>
    </w:p>
    <w:p>
      <w:pPr>
        <w:pStyle w:val="14"/>
        <w:spacing w:line="360" w:lineRule="auto"/>
        <w:ind w:right="560"/>
        <w:rPr>
          <w:rFonts w:ascii="仿宋" w:hAnsi="仿宋" w:eastAsia="仿宋" w:cs="仿宋"/>
          <w:color w:val="000000"/>
        </w:rPr>
      </w:pPr>
      <w:r>
        <w:rPr>
          <w:rFonts w:hint="eastAsia" w:ascii="仿宋" w:hAnsi="仿宋" w:eastAsia="仿宋" w:cs="仿宋"/>
          <w:color w:val="000000"/>
        </w:rPr>
        <w:t>说明：扫描件并加盖本单位电子公章</w:t>
      </w:r>
    </w:p>
    <w:p>
      <w:pPr>
        <w:pStyle w:val="44"/>
        <w:spacing w:line="360" w:lineRule="auto"/>
        <w:rPr>
          <w:rFonts w:ascii="仿宋" w:hAnsi="仿宋" w:eastAsia="仿宋" w:cs="仿宋"/>
          <w:b/>
          <w:color w:val="000000"/>
          <w:sz w:val="24"/>
          <w:szCs w:val="24"/>
        </w:rPr>
      </w:pPr>
    </w:p>
    <w:p>
      <w:pPr>
        <w:pStyle w:val="44"/>
        <w:spacing w:line="360" w:lineRule="auto"/>
        <w:rPr>
          <w:rFonts w:ascii="仿宋" w:hAnsi="仿宋" w:eastAsia="仿宋" w:cs="仿宋"/>
          <w:b/>
          <w:color w:val="000000"/>
          <w:sz w:val="24"/>
          <w:szCs w:val="24"/>
        </w:rPr>
      </w:pPr>
    </w:p>
    <w:p>
      <w:pPr>
        <w:rPr>
          <w:rFonts w:ascii="仿宋" w:hAnsi="仿宋" w:eastAsia="仿宋" w:cs="仿宋"/>
          <w:b/>
          <w:bCs/>
          <w:color w:val="000000"/>
          <w:sz w:val="24"/>
        </w:rPr>
      </w:pPr>
      <w:bookmarkStart w:id="59" w:name="_Toc30497"/>
      <w:r>
        <w:rPr>
          <w:rFonts w:hint="eastAsia" w:ascii="仿宋" w:hAnsi="仿宋" w:eastAsia="仿宋" w:cs="仿宋"/>
          <w:b/>
          <w:bCs/>
          <w:color w:val="000000"/>
          <w:sz w:val="24"/>
        </w:rPr>
        <w:br w:type="page"/>
      </w:r>
    </w:p>
    <w:p>
      <w:pPr>
        <w:pStyle w:val="44"/>
        <w:spacing w:line="360" w:lineRule="auto"/>
        <w:rPr>
          <w:rFonts w:ascii="仿宋" w:hAnsi="仿宋" w:eastAsia="仿宋" w:cs="仿宋"/>
          <w:bCs w:val="0"/>
          <w:color w:val="000000"/>
          <w:sz w:val="24"/>
          <w:szCs w:val="24"/>
        </w:rPr>
      </w:pPr>
      <w:bookmarkStart w:id="60" w:name="_Toc22978"/>
      <w:r>
        <w:rPr>
          <w:rFonts w:hint="eastAsia" w:ascii="仿宋" w:hAnsi="仿宋" w:eastAsia="仿宋" w:cs="仿宋"/>
          <w:b/>
          <w:color w:val="000000"/>
          <w:sz w:val="24"/>
          <w:szCs w:val="24"/>
        </w:rPr>
        <w:t>附件 2-4     投标保证金缴纳凭证复印件</w:t>
      </w:r>
      <w:bookmarkEnd w:id="59"/>
      <w:bookmarkEnd w:id="60"/>
    </w:p>
    <w:p>
      <w:pPr>
        <w:pStyle w:val="44"/>
        <w:spacing w:line="360" w:lineRule="auto"/>
        <w:rPr>
          <w:rFonts w:ascii="仿宋" w:hAnsi="仿宋" w:eastAsia="仿宋" w:cs="仿宋"/>
          <w:bCs w:val="0"/>
          <w:color w:val="000000"/>
          <w:sz w:val="24"/>
          <w:szCs w:val="24"/>
        </w:rPr>
      </w:pPr>
      <w:r>
        <w:rPr>
          <w:rFonts w:hint="eastAsia" w:ascii="仿宋" w:hAnsi="仿宋" w:eastAsia="仿宋" w:cs="仿宋"/>
          <w:bCs w:val="0"/>
          <w:color w:val="000000"/>
          <w:sz w:val="24"/>
          <w:szCs w:val="24"/>
        </w:rPr>
        <w:t>说明：投标人可将本项目投标保证金支付的汇款凭证的扫描件作为缴纳凭证放在投标文件中，扫描件上应加盖本单位电子公章；</w:t>
      </w:r>
    </w:p>
    <w:p>
      <w:pPr>
        <w:pStyle w:val="14"/>
        <w:spacing w:line="314" w:lineRule="auto"/>
        <w:ind w:right="516"/>
        <w:rPr>
          <w:rFonts w:ascii="仿宋" w:hAnsi="仿宋" w:eastAsia="仿宋" w:cs="仿宋"/>
          <w:b/>
          <w:color w:val="000000"/>
        </w:rPr>
      </w:pPr>
    </w:p>
    <w:p>
      <w:pPr>
        <w:rPr>
          <w:rFonts w:ascii="仿宋" w:hAnsi="仿宋" w:eastAsia="仿宋" w:cs="仿宋"/>
          <w:b/>
          <w:color w:val="000000"/>
          <w:sz w:val="24"/>
        </w:rPr>
      </w:pPr>
      <w:r>
        <w:rPr>
          <w:rFonts w:hint="eastAsia" w:ascii="仿宋" w:hAnsi="仿宋" w:eastAsia="仿宋" w:cs="仿宋"/>
          <w:b/>
          <w:color w:val="000000"/>
          <w:sz w:val="24"/>
        </w:rPr>
        <w:br w:type="page"/>
      </w:r>
    </w:p>
    <w:p>
      <w:pPr>
        <w:pStyle w:val="14"/>
        <w:spacing w:line="360" w:lineRule="auto"/>
        <w:ind w:right="516"/>
        <w:rPr>
          <w:rFonts w:ascii="仿宋" w:hAnsi="仿宋" w:eastAsia="仿宋" w:cs="仿宋"/>
          <w:color w:val="000000"/>
          <w:spacing w:val="-17"/>
        </w:rPr>
      </w:pPr>
      <w:bookmarkStart w:id="61" w:name="_Toc19010"/>
      <w:r>
        <w:rPr>
          <w:rFonts w:hint="eastAsia" w:ascii="仿宋" w:hAnsi="仿宋" w:eastAsia="仿宋" w:cs="仿宋"/>
          <w:b/>
          <w:color w:val="000000"/>
        </w:rPr>
        <w:t>附件</w:t>
      </w:r>
      <w:r>
        <w:rPr>
          <w:rFonts w:hint="eastAsia" w:ascii="仿宋" w:hAnsi="仿宋" w:eastAsia="仿宋" w:cs="仿宋"/>
          <w:b/>
          <w:color w:val="000000"/>
          <w:lang w:val="en-US"/>
        </w:rPr>
        <w:t>2</w:t>
      </w:r>
      <w:r>
        <w:rPr>
          <w:rFonts w:hint="eastAsia" w:ascii="仿宋" w:hAnsi="仿宋" w:eastAsia="仿宋" w:cs="仿宋"/>
          <w:b/>
          <w:color w:val="000000"/>
        </w:rPr>
        <w:t xml:space="preserve">-5 </w:t>
      </w:r>
      <w:r>
        <w:rPr>
          <w:rFonts w:hint="eastAsia" w:ascii="仿宋" w:hAnsi="仿宋" w:eastAsia="仿宋" w:cs="仿宋"/>
          <w:b/>
          <w:bCs/>
          <w:color w:val="000000"/>
          <w:spacing w:val="-1"/>
        </w:rPr>
        <w:t>投标人缴纳</w:t>
      </w:r>
      <w:r>
        <w:rPr>
          <w:rFonts w:hint="eastAsia" w:ascii="仿宋" w:hAnsi="仿宋" w:eastAsia="仿宋" w:cs="仿宋"/>
          <w:b/>
          <w:bCs/>
          <w:color w:val="000000"/>
        </w:rPr>
        <w:t>税收</w:t>
      </w:r>
      <w:r>
        <w:rPr>
          <w:rFonts w:hint="eastAsia" w:ascii="仿宋" w:hAnsi="仿宋" w:eastAsia="仿宋" w:cs="仿宋"/>
          <w:b/>
          <w:bCs/>
          <w:color w:val="000000"/>
          <w:spacing w:val="-17"/>
        </w:rPr>
        <w:t>的证明</w:t>
      </w:r>
      <w:bookmarkEnd w:id="61"/>
    </w:p>
    <w:p>
      <w:pPr>
        <w:pStyle w:val="14"/>
        <w:spacing w:line="360" w:lineRule="auto"/>
        <w:ind w:right="516"/>
        <w:rPr>
          <w:rFonts w:ascii="仿宋" w:hAnsi="仿宋" w:eastAsia="仿宋" w:cs="仿宋"/>
          <w:color w:val="000000"/>
        </w:rPr>
      </w:pPr>
      <w:r>
        <w:rPr>
          <w:rFonts w:hint="eastAsia" w:ascii="仿宋" w:hAnsi="仿宋" w:eastAsia="仿宋" w:cs="仿宋"/>
          <w:color w:val="000000"/>
        </w:rPr>
        <w:t>投标人缴纳税收的证明（加盖电子公章</w:t>
      </w:r>
      <w:r>
        <w:rPr>
          <w:rFonts w:hint="eastAsia" w:ascii="仿宋" w:hAnsi="仿宋" w:eastAsia="仿宋" w:cs="仿宋"/>
          <w:color w:val="000000"/>
          <w:spacing w:val="-51"/>
        </w:rPr>
        <w:t>）</w:t>
      </w:r>
      <w:r>
        <w:rPr>
          <w:rFonts w:hint="eastAsia" w:ascii="仿宋" w:hAnsi="仿宋" w:eastAsia="仿宋" w:cs="仿宋"/>
          <w:color w:val="000000"/>
          <w:spacing w:val="-2"/>
        </w:rPr>
        <w:t>或事业单位近期纳</w:t>
      </w:r>
      <w:r>
        <w:rPr>
          <w:rFonts w:hint="eastAsia" w:ascii="仿宋" w:hAnsi="仿宋" w:eastAsia="仿宋" w:cs="仿宋"/>
          <w:color w:val="000000"/>
        </w:rPr>
        <w:t>税证明（加盖电子公章）或自然人缴纳个人所得税证明，</w:t>
      </w:r>
      <w:r>
        <w:rPr>
          <w:rFonts w:hint="eastAsia" w:ascii="仿宋" w:hAnsi="仿宋" w:eastAsia="仿宋" w:cs="仿宋"/>
          <w:color w:val="000000"/>
          <w:lang w:val="en-US"/>
        </w:rPr>
        <w:t>具体要求详见本招标文件第六章</w:t>
      </w:r>
      <w:r>
        <w:rPr>
          <w:rFonts w:hint="eastAsia" w:ascii="仿宋" w:hAnsi="仿宋" w:eastAsia="仿宋" w:cs="仿宋"/>
          <w:color w:val="000000"/>
        </w:rPr>
        <w:t>。</w:t>
      </w:r>
    </w:p>
    <w:p>
      <w:pPr>
        <w:pStyle w:val="14"/>
        <w:spacing w:line="360" w:lineRule="auto"/>
        <w:rPr>
          <w:rFonts w:ascii="仿宋" w:hAnsi="仿宋" w:eastAsia="仿宋" w:cs="仿宋"/>
          <w:color w:val="000000"/>
        </w:rPr>
      </w:pPr>
      <w:r>
        <w:rPr>
          <w:rFonts w:hint="eastAsia" w:ascii="仿宋" w:hAnsi="仿宋" w:eastAsia="仿宋" w:cs="仿宋"/>
          <w:color w:val="000000"/>
        </w:rPr>
        <w:t>【依法免税的投标人应提供相应文件证明其依法免税。】</w:t>
      </w:r>
    </w:p>
    <w:p>
      <w:pPr>
        <w:pStyle w:val="14"/>
        <w:spacing w:before="229" w:line="314" w:lineRule="auto"/>
        <w:ind w:right="396"/>
        <w:rPr>
          <w:rFonts w:ascii="仿宋" w:hAnsi="仿宋" w:eastAsia="仿宋" w:cs="仿宋"/>
          <w:b/>
          <w:color w:val="000000"/>
          <w:sz w:val="21"/>
          <w:szCs w:val="21"/>
        </w:rPr>
      </w:pPr>
    </w:p>
    <w:p>
      <w:pPr>
        <w:rPr>
          <w:rFonts w:ascii="仿宋" w:hAnsi="仿宋" w:eastAsia="仿宋" w:cs="仿宋"/>
          <w:b/>
          <w:color w:val="000000"/>
          <w:sz w:val="24"/>
        </w:rPr>
      </w:pPr>
      <w:r>
        <w:rPr>
          <w:rFonts w:hint="eastAsia" w:ascii="仿宋" w:hAnsi="仿宋" w:eastAsia="仿宋" w:cs="仿宋"/>
          <w:b/>
          <w:color w:val="000000"/>
          <w:sz w:val="24"/>
        </w:rPr>
        <w:br w:type="page"/>
      </w:r>
    </w:p>
    <w:p>
      <w:pPr>
        <w:pStyle w:val="14"/>
        <w:spacing w:line="360" w:lineRule="auto"/>
        <w:rPr>
          <w:rFonts w:ascii="仿宋" w:hAnsi="仿宋" w:eastAsia="仿宋" w:cs="仿宋"/>
          <w:b/>
          <w:color w:val="000000"/>
        </w:rPr>
      </w:pPr>
      <w:bookmarkStart w:id="62" w:name="_Toc13470"/>
      <w:r>
        <w:rPr>
          <w:rFonts w:hint="eastAsia" w:ascii="仿宋" w:hAnsi="仿宋" w:eastAsia="仿宋" w:cs="仿宋"/>
          <w:b/>
          <w:color w:val="000000"/>
        </w:rPr>
        <w:t>附件</w:t>
      </w:r>
      <w:r>
        <w:rPr>
          <w:rFonts w:hint="eastAsia" w:ascii="仿宋" w:hAnsi="仿宋" w:eastAsia="仿宋" w:cs="仿宋"/>
          <w:b/>
          <w:color w:val="000000"/>
          <w:lang w:val="en-US"/>
        </w:rPr>
        <w:t>2</w:t>
      </w:r>
      <w:r>
        <w:rPr>
          <w:rFonts w:hint="eastAsia" w:ascii="仿宋" w:hAnsi="仿宋" w:eastAsia="仿宋" w:cs="仿宋"/>
          <w:b/>
          <w:color w:val="000000"/>
        </w:rPr>
        <w:t>-6 投标人为职工缴纳社会保险的证明</w:t>
      </w:r>
      <w:bookmarkEnd w:id="62"/>
    </w:p>
    <w:p>
      <w:pPr>
        <w:pStyle w:val="14"/>
        <w:spacing w:line="360" w:lineRule="auto"/>
        <w:rPr>
          <w:rFonts w:ascii="仿宋" w:hAnsi="仿宋" w:eastAsia="仿宋" w:cs="仿宋"/>
          <w:color w:val="000000"/>
        </w:rPr>
      </w:pPr>
    </w:p>
    <w:p>
      <w:pPr>
        <w:pStyle w:val="14"/>
        <w:spacing w:line="360" w:lineRule="auto"/>
        <w:rPr>
          <w:rFonts w:ascii="仿宋" w:hAnsi="仿宋" w:eastAsia="仿宋" w:cs="仿宋"/>
          <w:color w:val="000000"/>
        </w:rPr>
      </w:pPr>
      <w:r>
        <w:rPr>
          <w:rFonts w:hint="eastAsia" w:ascii="仿宋" w:hAnsi="仿宋" w:eastAsia="仿宋" w:cs="仿宋"/>
          <w:color w:val="000000"/>
        </w:rPr>
        <w:t>投标人为职工缴纳社会保险的证明（缴纳凭证扫描件， 加盖电子公章），</w:t>
      </w:r>
      <w:r>
        <w:rPr>
          <w:rFonts w:hint="eastAsia" w:ascii="仿宋" w:hAnsi="仿宋" w:eastAsia="仿宋" w:cs="仿宋"/>
          <w:color w:val="000000"/>
          <w:lang w:val="en-US"/>
        </w:rPr>
        <w:t>具体要求详见本招标文件第六章</w:t>
      </w:r>
      <w:r>
        <w:rPr>
          <w:rFonts w:hint="eastAsia" w:ascii="仿宋" w:hAnsi="仿宋" w:eastAsia="仿宋" w:cs="仿宋"/>
          <w:color w:val="000000"/>
        </w:rPr>
        <w:t>。</w:t>
      </w:r>
    </w:p>
    <w:p>
      <w:pPr>
        <w:spacing w:line="360" w:lineRule="auto"/>
        <w:rPr>
          <w:rFonts w:ascii="仿宋" w:hAnsi="仿宋" w:eastAsia="仿宋" w:cs="仿宋"/>
          <w:color w:val="000000"/>
          <w:sz w:val="24"/>
        </w:rPr>
      </w:pPr>
      <w:r>
        <w:rPr>
          <w:rFonts w:hint="eastAsia" w:ascii="仿宋" w:hAnsi="仿宋" w:eastAsia="仿宋" w:cs="仿宋"/>
          <w:color w:val="000000"/>
          <w:sz w:val="24"/>
        </w:rPr>
        <w:t>【依法不需要缴纳社保的投标人应做书面说明和证明文件。】</w:t>
      </w:r>
    </w:p>
    <w:p>
      <w:pPr>
        <w:pStyle w:val="44"/>
        <w:spacing w:line="360" w:lineRule="auto"/>
        <w:rPr>
          <w:rFonts w:ascii="仿宋" w:hAnsi="仿宋" w:eastAsia="仿宋" w:cs="仿宋"/>
          <w:bCs w:val="0"/>
          <w:color w:val="000000"/>
          <w:sz w:val="24"/>
          <w:szCs w:val="24"/>
        </w:rPr>
      </w:pPr>
    </w:p>
    <w:bookmarkEnd w:id="58"/>
    <w:p>
      <w:pPr>
        <w:pStyle w:val="44"/>
        <w:spacing w:line="360" w:lineRule="auto"/>
        <w:rPr>
          <w:rFonts w:ascii="仿宋" w:hAnsi="仿宋" w:eastAsia="仿宋" w:cs="仿宋"/>
          <w:bCs w:val="0"/>
          <w:color w:val="000000"/>
          <w:sz w:val="24"/>
          <w:szCs w:val="24"/>
        </w:rPr>
        <w:sectPr>
          <w:pgSz w:w="11906" w:h="16838"/>
          <w:pgMar w:top="1440" w:right="1800" w:bottom="1440" w:left="1800" w:header="851" w:footer="992" w:gutter="0"/>
          <w:cols w:space="425" w:num="1"/>
          <w:docGrid w:type="lines" w:linePitch="312" w:charSpace="0"/>
        </w:sectPr>
      </w:pPr>
    </w:p>
    <w:p>
      <w:pPr>
        <w:pStyle w:val="44"/>
        <w:spacing w:line="360" w:lineRule="auto"/>
        <w:rPr>
          <w:rFonts w:ascii="仿宋" w:hAnsi="仿宋" w:eastAsia="仿宋" w:cs="仿宋"/>
          <w:b/>
          <w:color w:val="000000"/>
          <w:sz w:val="24"/>
          <w:szCs w:val="24"/>
        </w:rPr>
      </w:pPr>
      <w:bookmarkStart w:id="63" w:name="_Toc11968"/>
      <w:bookmarkStart w:id="64" w:name="_Toc99"/>
      <w:r>
        <w:rPr>
          <w:rFonts w:hint="eastAsia" w:ascii="仿宋" w:hAnsi="仿宋" w:eastAsia="仿宋" w:cs="仿宋"/>
          <w:b/>
          <w:color w:val="000000"/>
          <w:sz w:val="24"/>
          <w:szCs w:val="24"/>
        </w:rPr>
        <w:t>附件 2-7 投标人声明函（统一格式）</w:t>
      </w:r>
      <w:bookmarkEnd w:id="63"/>
      <w:bookmarkEnd w:id="64"/>
    </w:p>
    <w:p>
      <w:pPr>
        <w:pStyle w:val="14"/>
        <w:ind w:left="638" w:leftChars="304" w:right="869" w:rightChars="414"/>
        <w:rPr>
          <w:rFonts w:ascii="仿宋" w:hAnsi="仿宋" w:eastAsia="仿宋" w:cs="仿宋"/>
          <w:bCs/>
          <w:color w:val="000000"/>
          <w:sz w:val="21"/>
          <w:szCs w:val="21"/>
          <w:lang w:val="en-US"/>
        </w:rPr>
      </w:pPr>
      <w:bookmarkStart w:id="65" w:name="_Toc507399526"/>
    </w:p>
    <w:p>
      <w:pPr>
        <w:pStyle w:val="14"/>
        <w:spacing w:line="440" w:lineRule="exact"/>
        <w:rPr>
          <w:rFonts w:ascii="仿宋" w:hAnsi="仿宋" w:eastAsia="仿宋" w:cs="仿宋"/>
          <w:bCs/>
          <w:color w:val="000000"/>
          <w:lang w:val="en-US"/>
        </w:rPr>
      </w:pPr>
      <w:r>
        <w:rPr>
          <w:rFonts w:hint="eastAsia" w:ascii="仿宋" w:hAnsi="仿宋" w:eastAsia="仿宋" w:cs="仿宋"/>
          <w:bCs/>
          <w:color w:val="000000"/>
          <w:lang w:val="en-US"/>
        </w:rPr>
        <w:t>致：</w:t>
      </w:r>
      <w:r>
        <w:rPr>
          <w:rFonts w:hint="eastAsia" w:ascii="仿宋" w:hAnsi="仿宋" w:eastAsia="仿宋" w:cs="仿宋"/>
          <w:bCs/>
          <w:color w:val="000000"/>
          <w:u w:val="single"/>
          <w:lang w:val="en-US"/>
        </w:rPr>
        <w:t>采购人/采购代理机构</w:t>
      </w:r>
    </w:p>
    <w:p>
      <w:pPr>
        <w:pStyle w:val="14"/>
        <w:spacing w:line="440" w:lineRule="exact"/>
        <w:rPr>
          <w:rFonts w:ascii="仿宋" w:hAnsi="仿宋" w:eastAsia="仿宋" w:cs="仿宋"/>
          <w:b/>
          <w:color w:val="000000"/>
        </w:rPr>
      </w:pPr>
    </w:p>
    <w:p>
      <w:pPr>
        <w:spacing w:line="440" w:lineRule="exact"/>
        <w:jc w:val="left"/>
        <w:rPr>
          <w:rFonts w:ascii="仿宋" w:hAnsi="仿宋" w:eastAsia="仿宋" w:cs="仿宋"/>
          <w:color w:val="000000"/>
          <w:sz w:val="24"/>
        </w:rPr>
      </w:pPr>
      <w:r>
        <w:rPr>
          <w:rFonts w:hint="eastAsia" w:ascii="仿宋" w:hAnsi="仿宋" w:eastAsia="仿宋" w:cs="仿宋"/>
          <w:color w:val="000000"/>
          <w:sz w:val="24"/>
        </w:rPr>
        <w:t>在参与本次项目投标中，我单位</w:t>
      </w:r>
      <w:r>
        <w:rPr>
          <w:rFonts w:hint="eastAsia" w:ascii="仿宋" w:hAnsi="仿宋" w:eastAsia="仿宋" w:cs="仿宋"/>
          <w:b/>
          <w:color w:val="000000"/>
          <w:sz w:val="24"/>
        </w:rPr>
        <w:t>郑重承诺</w:t>
      </w:r>
      <w:r>
        <w:rPr>
          <w:rFonts w:hint="eastAsia" w:ascii="仿宋" w:hAnsi="仿宋" w:eastAsia="仿宋" w:cs="仿宋"/>
          <w:color w:val="000000"/>
          <w:sz w:val="24"/>
        </w:rPr>
        <w:t>：</w:t>
      </w:r>
    </w:p>
    <w:p>
      <w:pPr>
        <w:pStyle w:val="14"/>
        <w:spacing w:line="440" w:lineRule="exact"/>
        <w:rPr>
          <w:rFonts w:ascii="仿宋" w:hAnsi="仿宋" w:eastAsia="仿宋" w:cs="仿宋"/>
          <w:color w:val="000000"/>
        </w:rPr>
      </w:pPr>
      <w:r>
        <w:rPr>
          <w:rFonts w:hint="eastAsia" w:ascii="仿宋" w:hAnsi="仿宋" w:eastAsia="仿宋" w:cs="仿宋"/>
          <w:color w:val="000000"/>
        </w:rPr>
        <w:t>1</w:t>
      </w:r>
      <w:r>
        <w:rPr>
          <w:rFonts w:hint="eastAsia" w:ascii="仿宋" w:hAnsi="仿宋" w:eastAsia="仿宋" w:cs="仿宋"/>
          <w:color w:val="000000"/>
          <w:spacing w:val="-1"/>
        </w:rPr>
        <w:t>、我单位参与采购活动前三年内在经营活动中没有因违法经营受到刑事处罚或者</w:t>
      </w:r>
      <w:r>
        <w:rPr>
          <w:rFonts w:hint="eastAsia" w:ascii="仿宋" w:hAnsi="仿宋" w:eastAsia="仿宋" w:cs="仿宋"/>
          <w:color w:val="000000"/>
          <w:spacing w:val="-8"/>
        </w:rPr>
        <w:t>责令停产停业、吊销许可证或者执照、较大数额罚款等行政处罚</w:t>
      </w:r>
      <w:r>
        <w:rPr>
          <w:rFonts w:hint="eastAsia" w:ascii="仿宋" w:hAnsi="仿宋" w:eastAsia="仿宋" w:cs="仿宋"/>
          <w:color w:val="000000"/>
        </w:rPr>
        <w:t>（</w:t>
      </w:r>
      <w:r>
        <w:rPr>
          <w:rFonts w:hint="eastAsia" w:ascii="仿宋" w:hAnsi="仿宋" w:eastAsia="仿宋" w:cs="仿宋"/>
          <w:color w:val="000000"/>
          <w:spacing w:val="-2"/>
        </w:rPr>
        <w:t>如果因违法经营被禁</w:t>
      </w:r>
      <w:r>
        <w:rPr>
          <w:rFonts w:hint="eastAsia" w:ascii="仿宋" w:hAnsi="仿宋" w:eastAsia="仿宋" w:cs="仿宋"/>
          <w:color w:val="000000"/>
        </w:rPr>
        <w:t>止在一定期限内参加政府采购活动，期限已经届满</w:t>
      </w:r>
      <w:r>
        <w:rPr>
          <w:rFonts w:hint="eastAsia" w:ascii="仿宋" w:hAnsi="仿宋" w:eastAsia="仿宋" w:cs="仿宋"/>
          <w:color w:val="000000"/>
          <w:spacing w:val="-120"/>
        </w:rPr>
        <w:t>）。</w:t>
      </w:r>
    </w:p>
    <w:p>
      <w:pPr>
        <w:pStyle w:val="14"/>
        <w:spacing w:line="440" w:lineRule="exact"/>
        <w:rPr>
          <w:rFonts w:ascii="仿宋" w:hAnsi="仿宋" w:eastAsia="仿宋" w:cs="仿宋"/>
          <w:color w:val="000000"/>
        </w:rPr>
      </w:pPr>
      <w:r>
        <w:rPr>
          <w:rFonts w:hint="eastAsia" w:ascii="仿宋" w:hAnsi="仿宋" w:eastAsia="仿宋" w:cs="仿宋"/>
          <w:color w:val="000000"/>
        </w:rPr>
        <w:t>2、我单位具有履行合同所必需的专业技术能力，并在规定工作时间内有能力调配较强工作力量，按时保质完成相关工作任务。</w:t>
      </w:r>
    </w:p>
    <w:p>
      <w:pPr>
        <w:pStyle w:val="14"/>
        <w:spacing w:line="440" w:lineRule="exact"/>
        <w:rPr>
          <w:rFonts w:ascii="仿宋" w:hAnsi="仿宋" w:eastAsia="仿宋" w:cs="仿宋"/>
          <w:color w:val="000000"/>
        </w:rPr>
      </w:pPr>
      <w:r>
        <w:rPr>
          <w:rFonts w:hint="eastAsia" w:ascii="仿宋" w:hAnsi="仿宋" w:eastAsia="仿宋" w:cs="仿宋"/>
          <w:color w:val="000000"/>
        </w:rPr>
        <w:t>3、我单位不存在单位负责人为同一人同时参加本项目投标的情况。</w:t>
      </w:r>
    </w:p>
    <w:p>
      <w:pPr>
        <w:pStyle w:val="14"/>
        <w:spacing w:line="440" w:lineRule="exact"/>
        <w:rPr>
          <w:rFonts w:ascii="仿宋" w:hAnsi="仿宋" w:eastAsia="仿宋" w:cs="仿宋"/>
          <w:color w:val="000000"/>
        </w:rPr>
      </w:pPr>
      <w:r>
        <w:rPr>
          <w:rFonts w:hint="eastAsia" w:ascii="仿宋" w:hAnsi="仿宋" w:eastAsia="仿宋" w:cs="仿宋"/>
          <w:color w:val="000000"/>
        </w:rPr>
        <w:t>4、我单位不存在直接控股、管理关系的不同投标人同时参与本项目投标的情况。</w:t>
      </w:r>
    </w:p>
    <w:p>
      <w:pPr>
        <w:pStyle w:val="14"/>
        <w:spacing w:line="440" w:lineRule="exact"/>
        <w:rPr>
          <w:rFonts w:ascii="仿宋" w:hAnsi="仿宋" w:eastAsia="仿宋" w:cs="仿宋"/>
          <w:color w:val="000000"/>
        </w:rPr>
      </w:pPr>
      <w:r>
        <w:rPr>
          <w:rFonts w:hint="eastAsia" w:ascii="仿宋" w:hAnsi="仿宋" w:eastAsia="仿宋" w:cs="仿宋"/>
          <w:color w:val="000000"/>
        </w:rPr>
        <w:t>5、我单位不存在为采购项目提供整体设计、规范编制或者项目管理、监理、检测等服务后，再参加该采购项目的其他采购活动的情形。</w:t>
      </w:r>
    </w:p>
    <w:p>
      <w:pPr>
        <w:pStyle w:val="14"/>
        <w:spacing w:line="440" w:lineRule="exact"/>
        <w:rPr>
          <w:rFonts w:ascii="仿宋" w:hAnsi="仿宋" w:eastAsia="仿宋" w:cs="仿宋"/>
          <w:color w:val="000000"/>
        </w:rPr>
      </w:pPr>
      <w:r>
        <w:rPr>
          <w:rFonts w:hint="eastAsia" w:ascii="仿宋" w:hAnsi="仿宋" w:eastAsia="仿宋" w:cs="仿宋"/>
          <w:color w:val="000000"/>
          <w:lang w:val="en-US"/>
        </w:rPr>
        <w:t>6</w:t>
      </w:r>
      <w:r>
        <w:rPr>
          <w:rFonts w:hint="eastAsia" w:ascii="仿宋" w:hAnsi="仿宋" w:eastAsia="仿宋" w:cs="仿宋"/>
          <w:color w:val="000000"/>
        </w:rPr>
        <w:t>、我单位在投标过程中，不存在向采购人提供、给予任何有价值的物品，试图影响其正常决策的行为。</w:t>
      </w:r>
    </w:p>
    <w:p>
      <w:pPr>
        <w:pStyle w:val="14"/>
        <w:spacing w:line="440" w:lineRule="exact"/>
        <w:rPr>
          <w:rFonts w:ascii="仿宋" w:hAnsi="仿宋" w:eastAsia="仿宋" w:cs="仿宋"/>
          <w:color w:val="000000"/>
        </w:rPr>
      </w:pPr>
      <w:r>
        <w:rPr>
          <w:rFonts w:hint="eastAsia" w:ascii="仿宋" w:hAnsi="仿宋" w:eastAsia="仿宋" w:cs="仿宋"/>
          <w:color w:val="000000"/>
          <w:lang w:val="en-US"/>
        </w:rPr>
        <w:t>7</w:t>
      </w:r>
      <w:r>
        <w:rPr>
          <w:rFonts w:hint="eastAsia" w:ascii="仿宋" w:hAnsi="仿宋" w:eastAsia="仿宋" w:cs="仿宋"/>
          <w:color w:val="000000"/>
        </w:rPr>
        <w:t>、我单位严格遵守国家及行业相关用工标准，做到合理合法用工。</w:t>
      </w:r>
    </w:p>
    <w:p>
      <w:pPr>
        <w:pStyle w:val="14"/>
        <w:spacing w:line="440" w:lineRule="exact"/>
        <w:rPr>
          <w:rFonts w:ascii="仿宋" w:hAnsi="仿宋" w:eastAsia="仿宋" w:cs="仿宋"/>
          <w:color w:val="000000"/>
        </w:rPr>
      </w:pPr>
      <w:r>
        <w:rPr>
          <w:rFonts w:hint="eastAsia" w:ascii="仿宋" w:hAnsi="仿宋" w:eastAsia="仿宋" w:cs="仿宋"/>
          <w:color w:val="000000"/>
          <w:lang w:val="en-US"/>
        </w:rPr>
        <w:t>8</w:t>
      </w:r>
      <w:r>
        <w:rPr>
          <w:rFonts w:hint="eastAsia" w:ascii="仿宋" w:hAnsi="仿宋" w:eastAsia="仿宋" w:cs="仿宋"/>
          <w:color w:val="000000"/>
        </w:rPr>
        <w:t>、本项目所有岗位涉及工作人员在提供服务过程中，经采购人评价不具备工作能力的，我单位将无条件调换。</w:t>
      </w:r>
    </w:p>
    <w:p>
      <w:pPr>
        <w:pStyle w:val="14"/>
        <w:spacing w:line="440" w:lineRule="exact"/>
        <w:rPr>
          <w:rFonts w:ascii="仿宋" w:hAnsi="仿宋" w:eastAsia="仿宋" w:cs="仿宋"/>
          <w:color w:val="000000"/>
        </w:rPr>
      </w:pPr>
      <w:r>
        <w:rPr>
          <w:rFonts w:hint="eastAsia" w:ascii="仿宋" w:hAnsi="仿宋" w:eastAsia="仿宋" w:cs="仿宋"/>
          <w:color w:val="000000"/>
        </w:rPr>
        <w:t>若采购人、采购代理机构在本项目采购过程中发现我单位存在违反上述承诺的事项， 我单位将自动失去在本项目的成交资格，并承担因此引起的一切后果及虚假投标责任。</w:t>
      </w:r>
    </w:p>
    <w:p>
      <w:pPr>
        <w:pStyle w:val="14"/>
        <w:spacing w:line="440" w:lineRule="exact"/>
        <w:rPr>
          <w:rFonts w:ascii="仿宋" w:hAnsi="仿宋" w:eastAsia="仿宋" w:cs="仿宋"/>
          <w:color w:val="000000"/>
        </w:rPr>
      </w:pPr>
    </w:p>
    <w:p>
      <w:pPr>
        <w:pStyle w:val="14"/>
        <w:spacing w:line="440" w:lineRule="exact"/>
        <w:rPr>
          <w:rFonts w:ascii="仿宋" w:hAnsi="仿宋" w:eastAsia="仿宋" w:cs="仿宋"/>
          <w:color w:val="000000"/>
        </w:rPr>
      </w:pPr>
    </w:p>
    <w:p>
      <w:pPr>
        <w:pStyle w:val="14"/>
        <w:tabs>
          <w:tab w:val="left" w:pos="4736"/>
        </w:tabs>
        <w:spacing w:line="360" w:lineRule="auto"/>
        <w:rPr>
          <w:rFonts w:ascii="仿宋" w:hAnsi="仿宋" w:eastAsia="仿宋" w:cs="仿宋"/>
          <w:color w:val="000000"/>
        </w:rPr>
      </w:pPr>
      <w:r>
        <w:rPr>
          <w:rFonts w:hint="eastAsia" w:ascii="仿宋" w:hAnsi="仿宋" w:eastAsia="仿宋" w:cs="仿宋"/>
          <w:color w:val="000000"/>
          <w:lang w:val="en-US"/>
        </w:rPr>
        <w:t>投标人</w:t>
      </w:r>
      <w:r>
        <w:rPr>
          <w:rFonts w:hint="eastAsia" w:ascii="仿宋" w:hAnsi="仿宋" w:eastAsia="仿宋" w:cs="仿宋"/>
          <w:color w:val="000000"/>
        </w:rPr>
        <w:t>名称（盖电子章）：</w:t>
      </w:r>
      <w:r>
        <w:rPr>
          <w:rFonts w:hint="eastAsia" w:ascii="仿宋" w:hAnsi="仿宋" w:eastAsia="仿宋" w:cs="仿宋"/>
          <w:color w:val="000000"/>
          <w:u w:val="single"/>
        </w:rPr>
        <w:tab/>
      </w:r>
    </w:p>
    <w:p>
      <w:pPr>
        <w:pStyle w:val="14"/>
        <w:tabs>
          <w:tab w:val="left" w:pos="5521"/>
          <w:tab w:val="left" w:pos="6366"/>
          <w:tab w:val="left" w:pos="9062"/>
        </w:tabs>
        <w:spacing w:line="360" w:lineRule="auto"/>
        <w:rPr>
          <w:rFonts w:ascii="仿宋" w:hAnsi="仿宋" w:eastAsia="仿宋" w:cs="仿宋"/>
          <w:color w:val="000000"/>
          <w:u w:val="single"/>
        </w:rPr>
      </w:pPr>
      <w:r>
        <w:rPr>
          <w:rFonts w:hint="eastAsia" w:ascii="仿宋" w:hAnsi="仿宋" w:eastAsia="仿宋" w:cs="仿宋"/>
          <w:color w:val="000000"/>
          <w:lang w:val="en-US"/>
        </w:rPr>
        <w:t>投标人</w:t>
      </w:r>
      <w:r>
        <w:rPr>
          <w:rFonts w:hint="eastAsia" w:ascii="仿宋" w:hAnsi="仿宋" w:eastAsia="仿宋" w:cs="仿宋"/>
          <w:color w:val="000000"/>
        </w:rPr>
        <w:t>授权代表(签字或</w:t>
      </w:r>
      <w:r>
        <w:rPr>
          <w:rFonts w:hint="eastAsia" w:ascii="仿宋" w:hAnsi="仿宋" w:eastAsia="仿宋" w:cs="仿宋"/>
          <w:color w:val="000000"/>
          <w:lang w:val="en-US"/>
        </w:rPr>
        <w:t>盖电子</w:t>
      </w:r>
      <w:r>
        <w:rPr>
          <w:rFonts w:hint="eastAsia" w:ascii="仿宋" w:hAnsi="仿宋" w:eastAsia="仿宋" w:cs="仿宋"/>
          <w:color w:val="000000"/>
        </w:rPr>
        <w:t>章)：</w:t>
      </w:r>
      <w:r>
        <w:rPr>
          <w:rFonts w:hint="eastAsia" w:ascii="仿宋" w:hAnsi="仿宋" w:eastAsia="仿宋" w:cs="仿宋"/>
          <w:color w:val="000000"/>
          <w:u w:val="single"/>
        </w:rPr>
        <w:tab/>
      </w:r>
    </w:p>
    <w:p>
      <w:pPr>
        <w:pStyle w:val="14"/>
        <w:tabs>
          <w:tab w:val="left" w:pos="5521"/>
          <w:tab w:val="left" w:pos="6366"/>
          <w:tab w:val="left" w:pos="9062"/>
        </w:tabs>
        <w:spacing w:line="360" w:lineRule="auto"/>
        <w:rPr>
          <w:rFonts w:ascii="仿宋" w:hAnsi="仿宋" w:eastAsia="仿宋" w:cs="仿宋"/>
          <w:color w:val="000000"/>
        </w:rPr>
      </w:pPr>
      <w:r>
        <w:rPr>
          <w:rFonts w:hint="eastAsia" w:ascii="仿宋" w:hAnsi="仿宋" w:eastAsia="仿宋" w:cs="仿宋"/>
          <w:color w:val="000000"/>
        </w:rPr>
        <w:t>日期：</w:t>
      </w:r>
      <w:r>
        <w:rPr>
          <w:rFonts w:hint="eastAsia" w:ascii="仿宋" w:hAnsi="仿宋" w:eastAsia="仿宋" w:cs="仿宋"/>
          <w:color w:val="000000"/>
          <w:u w:val="single"/>
        </w:rPr>
        <w:tab/>
      </w:r>
    </w:p>
    <w:p>
      <w:pPr>
        <w:pStyle w:val="14"/>
        <w:spacing w:line="440" w:lineRule="exact"/>
        <w:rPr>
          <w:rFonts w:ascii="仿宋" w:hAnsi="仿宋" w:eastAsia="仿宋" w:cs="仿宋"/>
          <w:color w:val="000000"/>
        </w:rPr>
      </w:pPr>
      <w:r>
        <w:rPr>
          <w:rFonts w:hint="eastAsia" w:ascii="仿宋" w:hAnsi="仿宋" w:eastAsia="仿宋" w:cs="仿宋"/>
          <w:color w:val="000000"/>
        </w:rPr>
        <w:t>（注：</w:t>
      </w:r>
      <w:r>
        <w:rPr>
          <w:rFonts w:hint="eastAsia" w:ascii="仿宋" w:hAnsi="仿宋" w:eastAsia="仿宋" w:cs="仿宋"/>
          <w:color w:val="000000"/>
          <w:lang w:val="en-US"/>
        </w:rPr>
        <w:t>投标人</w:t>
      </w:r>
      <w:r>
        <w:rPr>
          <w:rFonts w:hint="eastAsia" w:ascii="仿宋" w:hAnsi="仿宋" w:eastAsia="仿宋" w:cs="仿宋"/>
          <w:color w:val="000000"/>
        </w:rPr>
        <w:t>实际情况如与上述承诺内容不符的，请如实说明，不得虚假承诺）</w:t>
      </w:r>
    </w:p>
    <w:p>
      <w:pPr>
        <w:spacing w:line="440" w:lineRule="exact"/>
        <w:jc w:val="left"/>
        <w:rPr>
          <w:rFonts w:ascii="仿宋" w:hAnsi="仿宋" w:eastAsia="仿宋" w:cs="仿宋"/>
          <w:color w:val="000000"/>
          <w:sz w:val="24"/>
        </w:rPr>
      </w:pPr>
      <w:r>
        <w:rPr>
          <w:rFonts w:hint="eastAsia" w:ascii="仿宋" w:hAnsi="仿宋" w:eastAsia="仿宋" w:cs="仿宋"/>
          <w:color w:val="000000"/>
          <w:sz w:val="24"/>
        </w:rPr>
        <w:t>说明：</w:t>
      </w:r>
      <w:r>
        <w:rPr>
          <w:rFonts w:hint="eastAsia" w:ascii="仿宋" w:hAnsi="仿宋" w:eastAsia="仿宋" w:cs="仿宋"/>
          <w:color w:val="000000"/>
          <w:spacing w:val="-3"/>
          <w:sz w:val="24"/>
        </w:rPr>
        <w:t>自然人投标的无需盖电子章，需要签字。</w:t>
      </w:r>
    </w:p>
    <w:p>
      <w:pPr>
        <w:spacing w:line="440" w:lineRule="exact"/>
        <w:jc w:val="left"/>
        <w:rPr>
          <w:rFonts w:ascii="仿宋" w:hAnsi="仿宋" w:eastAsia="仿宋" w:cs="仿宋"/>
          <w:color w:val="000000"/>
          <w:sz w:val="24"/>
        </w:rPr>
        <w:sectPr>
          <w:type w:val="continuous"/>
          <w:pgSz w:w="11910" w:h="16850"/>
          <w:pgMar w:top="1440" w:right="1800" w:bottom="1440" w:left="1800" w:header="720" w:footer="720" w:gutter="0"/>
          <w:cols w:space="720" w:num="1"/>
        </w:sectPr>
      </w:pPr>
    </w:p>
    <w:p>
      <w:pPr>
        <w:rPr>
          <w:rFonts w:ascii="仿宋" w:hAnsi="仿宋" w:eastAsia="仿宋"/>
          <w:b/>
          <w:color w:val="000000"/>
          <w:sz w:val="24"/>
        </w:rPr>
      </w:pPr>
      <w:bookmarkStart w:id="66" w:name="_Toc23406"/>
      <w:bookmarkStart w:id="67" w:name="_Toc312"/>
      <w:r>
        <w:rPr>
          <w:rFonts w:hint="eastAsia" w:ascii="仿宋" w:hAnsi="仿宋" w:eastAsia="仿宋"/>
          <w:b/>
          <w:color w:val="000000"/>
          <w:sz w:val="24"/>
        </w:rPr>
        <w:t>附件 2-8 虚假应标承担责任声明（统一格式）</w:t>
      </w:r>
      <w:bookmarkEnd w:id="66"/>
      <w:bookmarkEnd w:id="67"/>
    </w:p>
    <w:p>
      <w:pPr>
        <w:pStyle w:val="14"/>
        <w:ind w:right="-92" w:rightChars="-44"/>
        <w:rPr>
          <w:rFonts w:ascii="仿宋" w:hAnsi="仿宋" w:eastAsia="仿宋" w:cs="仿宋"/>
          <w:b/>
          <w:color w:val="000000"/>
          <w:sz w:val="21"/>
          <w:szCs w:val="21"/>
        </w:rPr>
      </w:pPr>
    </w:p>
    <w:p>
      <w:pPr>
        <w:pStyle w:val="14"/>
        <w:ind w:right="-92" w:rightChars="-44"/>
        <w:rPr>
          <w:rFonts w:ascii="仿宋" w:hAnsi="仿宋" w:eastAsia="仿宋" w:cs="仿宋"/>
          <w:b/>
          <w:color w:val="000000"/>
          <w:sz w:val="21"/>
          <w:szCs w:val="21"/>
        </w:rPr>
      </w:pPr>
    </w:p>
    <w:p>
      <w:pPr>
        <w:pStyle w:val="14"/>
        <w:spacing w:before="2"/>
        <w:ind w:right="-92" w:rightChars="-44"/>
        <w:rPr>
          <w:rFonts w:ascii="仿宋" w:hAnsi="仿宋" w:eastAsia="仿宋" w:cs="仿宋"/>
          <w:b/>
          <w:color w:val="000000"/>
          <w:sz w:val="21"/>
          <w:szCs w:val="21"/>
        </w:rPr>
      </w:pPr>
    </w:p>
    <w:p>
      <w:pPr>
        <w:rPr>
          <w:rFonts w:ascii="仿宋" w:hAnsi="仿宋" w:eastAsia="仿宋"/>
          <w:b/>
          <w:color w:val="000000"/>
          <w:sz w:val="24"/>
        </w:rPr>
      </w:pPr>
      <w:r>
        <w:rPr>
          <w:rFonts w:hint="eastAsia" w:ascii="仿宋" w:hAnsi="仿宋" w:eastAsia="仿宋"/>
          <w:b/>
          <w:color w:val="000000"/>
          <w:sz w:val="24"/>
        </w:rPr>
        <w:t>致：采购人/采购代理机构</w:t>
      </w:r>
    </w:p>
    <w:p>
      <w:pPr>
        <w:pStyle w:val="14"/>
        <w:spacing w:before="9"/>
        <w:ind w:right="-92" w:rightChars="-44"/>
        <w:rPr>
          <w:rFonts w:ascii="仿宋" w:hAnsi="仿宋" w:eastAsia="仿宋" w:cs="仿宋"/>
          <w:b/>
          <w:color w:val="000000"/>
        </w:rPr>
      </w:pPr>
    </w:p>
    <w:p>
      <w:pPr>
        <w:pStyle w:val="14"/>
        <w:spacing w:before="67" w:line="360" w:lineRule="auto"/>
        <w:ind w:right="-92" w:rightChars="-44" w:firstLine="480" w:firstLineChars="200"/>
        <w:rPr>
          <w:rFonts w:ascii="仿宋" w:hAnsi="仿宋" w:eastAsia="仿宋" w:cs="仿宋"/>
          <w:color w:val="000000"/>
        </w:rPr>
      </w:pPr>
      <w:r>
        <w:rPr>
          <w:rFonts w:hint="eastAsia" w:ascii="仿宋" w:hAnsi="仿宋" w:eastAsia="仿宋" w:cs="仿宋"/>
          <w:color w:val="000000"/>
        </w:rPr>
        <w:t>我公司</w:t>
      </w:r>
      <w:r>
        <w:rPr>
          <w:rFonts w:hint="eastAsia" w:ascii="仿宋" w:hAnsi="仿宋" w:eastAsia="仿宋" w:cs="仿宋"/>
          <w:color w:val="000000"/>
          <w:spacing w:val="-7"/>
        </w:rPr>
        <w:t>承诺：</w:t>
      </w:r>
      <w:r>
        <w:rPr>
          <w:rFonts w:hint="eastAsia" w:ascii="仿宋" w:hAnsi="仿宋" w:eastAsia="仿宋" w:cs="仿宋"/>
          <w:color w:val="000000"/>
          <w:spacing w:val="-3"/>
        </w:rPr>
        <w:t>所提供的</w:t>
      </w:r>
      <w:r>
        <w:rPr>
          <w:rFonts w:hint="eastAsia" w:ascii="仿宋" w:hAnsi="仿宋" w:eastAsia="仿宋" w:cs="仿宋"/>
          <w:color w:val="000000"/>
          <w:spacing w:val="-3"/>
          <w:lang w:val="en-US"/>
        </w:rPr>
        <w:t>投标</w:t>
      </w:r>
      <w:r>
        <w:rPr>
          <w:rFonts w:hint="eastAsia" w:ascii="仿宋" w:hAnsi="仿宋" w:eastAsia="仿宋" w:cs="仿宋"/>
          <w:color w:val="000000"/>
          <w:spacing w:val="-3"/>
        </w:rPr>
        <w:t>文件</w:t>
      </w:r>
      <w:r>
        <w:rPr>
          <w:rFonts w:hint="eastAsia" w:ascii="仿宋" w:hAnsi="仿宋" w:eastAsia="仿宋" w:cs="仿宋"/>
          <w:color w:val="000000"/>
        </w:rPr>
        <w:t>（</w:t>
      </w:r>
      <w:r>
        <w:rPr>
          <w:rFonts w:hint="eastAsia" w:ascii="仿宋" w:hAnsi="仿宋" w:eastAsia="仿宋" w:cs="仿宋"/>
          <w:color w:val="000000"/>
          <w:spacing w:val="-5"/>
        </w:rPr>
        <w:t>包括一切技术资料、技术承诺、商务承诺等</w:t>
      </w:r>
      <w:r>
        <w:rPr>
          <w:rFonts w:hint="eastAsia" w:ascii="仿宋" w:hAnsi="仿宋" w:eastAsia="仿宋" w:cs="仿宋"/>
          <w:color w:val="000000"/>
          <w:spacing w:val="-20"/>
        </w:rPr>
        <w:t>）</w:t>
      </w:r>
      <w:r>
        <w:rPr>
          <w:rFonts w:hint="eastAsia" w:ascii="仿宋" w:hAnsi="仿宋" w:eastAsia="仿宋" w:cs="仿宋"/>
          <w:color w:val="000000"/>
          <w:spacing w:val="-12"/>
        </w:rPr>
        <w:t>均</w:t>
      </w:r>
      <w:r>
        <w:rPr>
          <w:rFonts w:hint="eastAsia" w:ascii="仿宋" w:hAnsi="仿宋" w:eastAsia="仿宋" w:cs="仿宋"/>
          <w:color w:val="000000"/>
          <w:spacing w:val="-6"/>
        </w:rPr>
        <w:t>真实有效，若在项目招标过程中</w:t>
      </w:r>
      <w:r>
        <w:rPr>
          <w:rFonts w:hint="eastAsia" w:ascii="仿宋" w:hAnsi="仿宋" w:eastAsia="仿宋" w:cs="仿宋"/>
          <w:color w:val="000000"/>
        </w:rPr>
        <w:t>（</w:t>
      </w:r>
      <w:r>
        <w:rPr>
          <w:rFonts w:hint="eastAsia" w:ascii="仿宋" w:hAnsi="仿宋" w:eastAsia="仿宋" w:cs="仿宋"/>
          <w:color w:val="000000"/>
          <w:spacing w:val="-6"/>
        </w:rPr>
        <w:t>包括开评审、</w:t>
      </w:r>
      <w:r>
        <w:rPr>
          <w:rFonts w:hint="eastAsia" w:ascii="仿宋" w:hAnsi="仿宋" w:eastAsia="仿宋" w:cs="仿宋"/>
          <w:color w:val="000000"/>
          <w:spacing w:val="-6"/>
          <w:lang w:val="en-US"/>
        </w:rPr>
        <w:t>中标</w:t>
      </w:r>
      <w:r>
        <w:rPr>
          <w:rFonts w:hint="eastAsia" w:ascii="仿宋" w:hAnsi="仿宋" w:eastAsia="仿宋" w:cs="仿宋"/>
          <w:color w:val="000000"/>
          <w:spacing w:val="-6"/>
        </w:rPr>
        <w:t>公示过程</w:t>
      </w:r>
      <w:r>
        <w:rPr>
          <w:rFonts w:hint="eastAsia" w:ascii="仿宋" w:hAnsi="仿宋" w:eastAsia="仿宋" w:cs="仿宋"/>
          <w:color w:val="000000"/>
          <w:spacing w:val="-20"/>
        </w:rPr>
        <w:t>）</w:t>
      </w:r>
      <w:r>
        <w:rPr>
          <w:rFonts w:hint="eastAsia" w:ascii="仿宋" w:hAnsi="仿宋" w:eastAsia="仿宋" w:cs="仿宋"/>
          <w:color w:val="000000"/>
          <w:spacing w:val="-2"/>
        </w:rPr>
        <w:t>及履行合同期间</w:t>
      </w:r>
      <w:r>
        <w:rPr>
          <w:rFonts w:hint="eastAsia" w:ascii="仿宋" w:hAnsi="仿宋" w:eastAsia="仿宋" w:cs="仿宋"/>
          <w:color w:val="000000"/>
        </w:rPr>
        <w:t>（包括验收过程</w:t>
      </w:r>
      <w:r>
        <w:rPr>
          <w:rFonts w:hint="eastAsia" w:ascii="仿宋" w:hAnsi="仿宋" w:eastAsia="仿宋" w:cs="仿宋"/>
          <w:color w:val="000000"/>
          <w:spacing w:val="-15"/>
        </w:rPr>
        <w:t>）</w:t>
      </w:r>
      <w:r>
        <w:rPr>
          <w:rFonts w:hint="eastAsia" w:ascii="仿宋" w:hAnsi="仿宋" w:eastAsia="仿宋" w:cs="仿宋"/>
          <w:color w:val="000000"/>
          <w:spacing w:val="-2"/>
        </w:rPr>
        <w:t>发现我公司提供的</w:t>
      </w:r>
      <w:r>
        <w:rPr>
          <w:rFonts w:hint="eastAsia" w:ascii="仿宋" w:hAnsi="仿宋" w:eastAsia="仿宋" w:cs="仿宋"/>
          <w:color w:val="000000"/>
          <w:spacing w:val="-2"/>
          <w:lang w:val="en-US"/>
        </w:rPr>
        <w:t>货物</w:t>
      </w:r>
      <w:r>
        <w:rPr>
          <w:rFonts w:hint="eastAsia" w:ascii="仿宋" w:hAnsi="仿宋" w:eastAsia="仿宋" w:cs="仿宋"/>
          <w:color w:val="000000"/>
        </w:rPr>
        <w:t>（或产品</w:t>
      </w:r>
      <w:r>
        <w:rPr>
          <w:rFonts w:hint="eastAsia" w:ascii="仿宋" w:hAnsi="仿宋" w:eastAsia="仿宋" w:cs="仿宋"/>
          <w:color w:val="000000"/>
          <w:spacing w:val="-15"/>
        </w:rPr>
        <w:t>）</w:t>
      </w:r>
      <w:r>
        <w:rPr>
          <w:rFonts w:hint="eastAsia" w:ascii="仿宋" w:hAnsi="仿宋" w:eastAsia="仿宋" w:cs="仿宋"/>
          <w:color w:val="000000"/>
          <w:spacing w:val="-5"/>
        </w:rPr>
        <w:t>与</w:t>
      </w:r>
      <w:r>
        <w:rPr>
          <w:rFonts w:hint="eastAsia" w:ascii="仿宋" w:hAnsi="仿宋" w:eastAsia="仿宋" w:cs="仿宋"/>
          <w:color w:val="000000"/>
          <w:spacing w:val="-5"/>
          <w:lang w:val="en-US"/>
        </w:rPr>
        <w:t>投标</w:t>
      </w:r>
      <w:r>
        <w:rPr>
          <w:rFonts w:hint="eastAsia" w:ascii="仿宋" w:hAnsi="仿宋" w:eastAsia="仿宋" w:cs="仿宋"/>
          <w:color w:val="000000"/>
        </w:rPr>
        <w:t>文件</w:t>
      </w:r>
      <w:r>
        <w:rPr>
          <w:rFonts w:hint="eastAsia" w:ascii="仿宋" w:hAnsi="仿宋" w:eastAsia="仿宋" w:cs="仿宋"/>
          <w:color w:val="000000"/>
          <w:spacing w:val="-6"/>
        </w:rPr>
        <w:t>不一致，或发现我</w:t>
      </w:r>
      <w:r>
        <w:rPr>
          <w:rFonts w:hint="eastAsia" w:ascii="仿宋" w:hAnsi="仿宋" w:eastAsia="仿宋" w:cs="仿宋"/>
          <w:color w:val="000000"/>
        </w:rPr>
        <w:t>公司提供了不真实的</w:t>
      </w:r>
      <w:r>
        <w:rPr>
          <w:rFonts w:hint="eastAsia" w:ascii="仿宋" w:hAnsi="仿宋" w:eastAsia="仿宋" w:cs="仿宋"/>
          <w:color w:val="000000"/>
          <w:lang w:val="en-US"/>
        </w:rPr>
        <w:t>投标</w:t>
      </w:r>
      <w:r>
        <w:rPr>
          <w:rFonts w:hint="eastAsia" w:ascii="仿宋" w:hAnsi="仿宋" w:eastAsia="仿宋" w:cs="仿宋"/>
          <w:color w:val="000000"/>
        </w:rPr>
        <w:t>文件（虚假材料</w:t>
      </w:r>
      <w:r>
        <w:rPr>
          <w:rFonts w:hint="eastAsia" w:ascii="仿宋" w:hAnsi="仿宋" w:eastAsia="仿宋" w:cs="仿宋"/>
          <w:color w:val="000000"/>
          <w:spacing w:val="-120"/>
        </w:rPr>
        <w:t>）</w:t>
      </w:r>
      <w:r>
        <w:rPr>
          <w:rFonts w:hint="eastAsia" w:ascii="仿宋" w:hAnsi="仿宋" w:eastAsia="仿宋" w:cs="仿宋"/>
          <w:color w:val="000000"/>
          <w:spacing w:val="-120"/>
          <w:lang w:val="en-US"/>
        </w:rPr>
        <w:t xml:space="preserve">   ）</w:t>
      </w:r>
      <w:r>
        <w:rPr>
          <w:rFonts w:hint="eastAsia" w:ascii="仿宋" w:hAnsi="仿宋" w:eastAsia="仿宋" w:cs="仿宋"/>
          <w:color w:val="000000"/>
        </w:rPr>
        <w:t>），我公司愿意承担一切法律责任并认可采购人或采购代理机构作出的取消</w:t>
      </w:r>
      <w:r>
        <w:rPr>
          <w:rFonts w:hint="eastAsia" w:ascii="仿宋" w:hAnsi="仿宋" w:eastAsia="仿宋" w:cs="仿宋"/>
          <w:color w:val="000000"/>
          <w:lang w:val="en-US"/>
        </w:rPr>
        <w:t>中标</w:t>
      </w:r>
      <w:r>
        <w:rPr>
          <w:rFonts w:hint="eastAsia" w:ascii="仿宋" w:hAnsi="仿宋" w:eastAsia="仿宋" w:cs="仿宋"/>
          <w:color w:val="000000"/>
        </w:rPr>
        <w:t>资格、罚没保证金等决定。</w:t>
      </w:r>
    </w:p>
    <w:p>
      <w:pPr>
        <w:pStyle w:val="14"/>
        <w:spacing w:line="360" w:lineRule="auto"/>
        <w:ind w:right="-92" w:rightChars="-44"/>
        <w:rPr>
          <w:rFonts w:ascii="仿宋" w:hAnsi="仿宋" w:eastAsia="仿宋" w:cs="仿宋"/>
          <w:color w:val="000000"/>
        </w:rPr>
      </w:pPr>
      <w:r>
        <w:rPr>
          <w:rFonts w:hint="eastAsia" w:ascii="仿宋" w:hAnsi="仿宋" w:eastAsia="仿宋" w:cs="仿宋"/>
          <w:color w:val="000000"/>
        </w:rPr>
        <w:t>特此声明。</w:t>
      </w:r>
    </w:p>
    <w:p>
      <w:pPr>
        <w:pStyle w:val="14"/>
        <w:spacing w:line="360" w:lineRule="auto"/>
        <w:ind w:right="-92" w:rightChars="-44"/>
        <w:rPr>
          <w:rFonts w:ascii="仿宋" w:hAnsi="仿宋" w:eastAsia="仿宋" w:cs="仿宋"/>
          <w:color w:val="000000"/>
          <w:sz w:val="21"/>
          <w:szCs w:val="21"/>
        </w:rPr>
      </w:pPr>
    </w:p>
    <w:p>
      <w:pPr>
        <w:pStyle w:val="14"/>
        <w:ind w:right="-92" w:rightChars="-44"/>
        <w:rPr>
          <w:rFonts w:ascii="仿宋" w:hAnsi="仿宋" w:eastAsia="仿宋" w:cs="仿宋"/>
          <w:color w:val="000000"/>
          <w:sz w:val="21"/>
          <w:szCs w:val="21"/>
        </w:rPr>
      </w:pPr>
    </w:p>
    <w:p>
      <w:pPr>
        <w:pStyle w:val="14"/>
        <w:ind w:right="-92" w:rightChars="-44"/>
        <w:rPr>
          <w:rFonts w:ascii="仿宋" w:hAnsi="仿宋" w:eastAsia="仿宋" w:cs="仿宋"/>
          <w:color w:val="000000"/>
          <w:sz w:val="21"/>
          <w:szCs w:val="21"/>
        </w:rPr>
      </w:pPr>
    </w:p>
    <w:p>
      <w:pPr>
        <w:pStyle w:val="14"/>
        <w:tabs>
          <w:tab w:val="left" w:pos="4736"/>
        </w:tabs>
        <w:spacing w:line="360" w:lineRule="auto"/>
        <w:rPr>
          <w:rFonts w:ascii="仿宋" w:hAnsi="仿宋" w:eastAsia="仿宋" w:cs="仿宋"/>
          <w:color w:val="000000"/>
        </w:rPr>
      </w:pPr>
      <w:r>
        <w:rPr>
          <w:rFonts w:hint="eastAsia" w:ascii="仿宋" w:hAnsi="仿宋" w:eastAsia="仿宋" w:cs="仿宋"/>
          <w:color w:val="000000"/>
          <w:lang w:val="en-US"/>
        </w:rPr>
        <w:t>投标人</w:t>
      </w:r>
      <w:r>
        <w:rPr>
          <w:rFonts w:hint="eastAsia" w:ascii="仿宋" w:hAnsi="仿宋" w:eastAsia="仿宋" w:cs="仿宋"/>
          <w:color w:val="000000"/>
        </w:rPr>
        <w:t>名称（盖电子章）：</w:t>
      </w:r>
      <w:r>
        <w:rPr>
          <w:rFonts w:hint="eastAsia" w:ascii="仿宋" w:hAnsi="仿宋" w:eastAsia="仿宋" w:cs="仿宋"/>
          <w:color w:val="000000"/>
          <w:u w:val="single"/>
        </w:rPr>
        <w:tab/>
      </w:r>
    </w:p>
    <w:p>
      <w:pPr>
        <w:pStyle w:val="14"/>
        <w:tabs>
          <w:tab w:val="left" w:pos="5521"/>
          <w:tab w:val="left" w:pos="6366"/>
          <w:tab w:val="left" w:pos="9062"/>
        </w:tabs>
        <w:spacing w:line="360" w:lineRule="auto"/>
        <w:rPr>
          <w:rFonts w:ascii="仿宋" w:hAnsi="仿宋" w:eastAsia="仿宋" w:cs="仿宋"/>
          <w:color w:val="000000"/>
          <w:u w:val="single"/>
        </w:rPr>
      </w:pPr>
      <w:r>
        <w:rPr>
          <w:rFonts w:hint="eastAsia" w:ascii="仿宋" w:hAnsi="仿宋" w:eastAsia="仿宋" w:cs="仿宋"/>
          <w:color w:val="000000"/>
          <w:lang w:val="en-US"/>
        </w:rPr>
        <w:t>投标人</w:t>
      </w:r>
      <w:r>
        <w:rPr>
          <w:rFonts w:hint="eastAsia" w:ascii="仿宋" w:hAnsi="仿宋" w:eastAsia="仿宋" w:cs="仿宋"/>
          <w:color w:val="000000"/>
        </w:rPr>
        <w:t>授权代表(签字或</w:t>
      </w:r>
      <w:r>
        <w:rPr>
          <w:rFonts w:hint="eastAsia" w:ascii="仿宋" w:hAnsi="仿宋" w:eastAsia="仿宋" w:cs="仿宋"/>
          <w:color w:val="000000"/>
          <w:lang w:val="en-US"/>
        </w:rPr>
        <w:t>盖电子</w:t>
      </w:r>
      <w:r>
        <w:rPr>
          <w:rFonts w:hint="eastAsia" w:ascii="仿宋" w:hAnsi="仿宋" w:eastAsia="仿宋" w:cs="仿宋"/>
          <w:color w:val="000000"/>
        </w:rPr>
        <w:t>章)：</w:t>
      </w:r>
      <w:r>
        <w:rPr>
          <w:rFonts w:hint="eastAsia" w:ascii="仿宋" w:hAnsi="仿宋" w:eastAsia="仿宋" w:cs="仿宋"/>
          <w:color w:val="000000"/>
          <w:u w:val="single"/>
        </w:rPr>
        <w:tab/>
      </w:r>
    </w:p>
    <w:p>
      <w:pPr>
        <w:pStyle w:val="14"/>
        <w:tabs>
          <w:tab w:val="left" w:pos="5521"/>
          <w:tab w:val="left" w:pos="6366"/>
          <w:tab w:val="left" w:pos="9062"/>
        </w:tabs>
        <w:spacing w:line="360" w:lineRule="auto"/>
        <w:rPr>
          <w:rFonts w:ascii="仿宋" w:hAnsi="仿宋" w:eastAsia="仿宋" w:cs="仿宋"/>
          <w:color w:val="000000"/>
        </w:rPr>
      </w:pPr>
      <w:r>
        <w:rPr>
          <w:rFonts w:hint="eastAsia" w:ascii="仿宋" w:hAnsi="仿宋" w:eastAsia="仿宋" w:cs="仿宋"/>
          <w:color w:val="000000"/>
        </w:rPr>
        <w:t>日期：</w:t>
      </w:r>
      <w:r>
        <w:rPr>
          <w:rFonts w:hint="eastAsia" w:ascii="仿宋" w:hAnsi="仿宋" w:eastAsia="仿宋" w:cs="仿宋"/>
          <w:color w:val="000000"/>
          <w:u w:val="single"/>
        </w:rPr>
        <w:tab/>
      </w:r>
    </w:p>
    <w:p>
      <w:pPr>
        <w:pStyle w:val="14"/>
        <w:spacing w:line="360" w:lineRule="auto"/>
        <w:rPr>
          <w:rFonts w:ascii="仿宋" w:hAnsi="仿宋" w:eastAsia="仿宋" w:cs="仿宋"/>
          <w:color w:val="000000"/>
        </w:rPr>
      </w:pPr>
    </w:p>
    <w:p>
      <w:pPr>
        <w:pStyle w:val="14"/>
        <w:spacing w:line="360" w:lineRule="auto"/>
        <w:rPr>
          <w:rFonts w:ascii="仿宋" w:hAnsi="仿宋" w:eastAsia="仿宋" w:cs="仿宋"/>
          <w:color w:val="000000"/>
        </w:rPr>
      </w:pPr>
    </w:p>
    <w:p>
      <w:pPr>
        <w:pStyle w:val="14"/>
        <w:tabs>
          <w:tab w:val="left" w:pos="1560"/>
          <w:tab w:val="left" w:pos="2040"/>
        </w:tabs>
        <w:spacing w:before="66"/>
        <w:ind w:right="-92" w:rightChars="-44"/>
        <w:rPr>
          <w:rFonts w:ascii="仿宋" w:hAnsi="仿宋" w:eastAsia="仿宋" w:cs="仿宋"/>
          <w:color w:val="000000"/>
          <w:sz w:val="21"/>
          <w:szCs w:val="21"/>
        </w:rPr>
      </w:pPr>
    </w:p>
    <w:p>
      <w:pPr>
        <w:pStyle w:val="44"/>
        <w:spacing w:line="360" w:lineRule="auto"/>
        <w:ind w:right="-92" w:rightChars="-44"/>
        <w:jc w:val="both"/>
        <w:rPr>
          <w:rFonts w:ascii="仿宋" w:hAnsi="仿宋" w:eastAsia="仿宋" w:cs="仿宋"/>
          <w:b/>
          <w:color w:val="000000"/>
          <w:sz w:val="24"/>
          <w:szCs w:val="24"/>
        </w:rPr>
        <w:sectPr>
          <w:pgSz w:w="11906" w:h="16838"/>
          <w:pgMar w:top="1440" w:right="1800" w:bottom="1440" w:left="1800" w:header="851" w:footer="992" w:gutter="0"/>
          <w:cols w:space="425" w:num="1"/>
          <w:docGrid w:type="lines" w:linePitch="312" w:charSpace="0"/>
        </w:sectPr>
      </w:pPr>
    </w:p>
    <w:p>
      <w:pPr>
        <w:rPr>
          <w:rFonts w:ascii="仿宋" w:hAnsi="仿宋" w:eastAsia="仿宋"/>
          <w:b/>
          <w:color w:val="000000"/>
          <w:sz w:val="24"/>
        </w:rPr>
      </w:pPr>
      <w:bookmarkStart w:id="68" w:name="_Toc1085"/>
      <w:bookmarkStart w:id="69" w:name="_Toc28847"/>
      <w:r>
        <w:rPr>
          <w:rFonts w:hint="eastAsia" w:ascii="仿宋" w:hAnsi="仿宋" w:eastAsia="仿宋"/>
          <w:b/>
          <w:color w:val="000000"/>
          <w:sz w:val="24"/>
        </w:rPr>
        <w:t>附件 2-9（格式自拟）</w:t>
      </w:r>
      <w:bookmarkEnd w:id="68"/>
      <w:bookmarkEnd w:id="69"/>
    </w:p>
    <w:p>
      <w:pPr>
        <w:pStyle w:val="14"/>
        <w:spacing w:before="9" w:line="360" w:lineRule="auto"/>
        <w:rPr>
          <w:rFonts w:ascii="仿宋" w:hAnsi="仿宋" w:eastAsia="仿宋" w:cs="仿宋"/>
          <w:b/>
          <w:color w:val="000000"/>
        </w:rPr>
      </w:pPr>
    </w:p>
    <w:p>
      <w:pPr>
        <w:jc w:val="center"/>
        <w:rPr>
          <w:rFonts w:ascii="仿宋" w:hAnsi="仿宋" w:eastAsia="仿宋"/>
          <w:b/>
          <w:color w:val="000000"/>
          <w:sz w:val="24"/>
        </w:rPr>
      </w:pPr>
      <w:r>
        <w:rPr>
          <w:rFonts w:hint="eastAsia" w:ascii="仿宋" w:hAnsi="仿宋" w:eastAsia="仿宋"/>
          <w:b/>
          <w:color w:val="000000"/>
          <w:sz w:val="24"/>
        </w:rPr>
        <w:t>投标人关联单位的说明（格式自拟）</w:t>
      </w:r>
    </w:p>
    <w:p>
      <w:pPr>
        <w:spacing w:line="360" w:lineRule="auto"/>
        <w:rPr>
          <w:rFonts w:ascii="仿宋" w:hAnsi="仿宋" w:eastAsia="仿宋" w:cs="仿宋"/>
          <w:color w:val="000000"/>
          <w:sz w:val="24"/>
        </w:rPr>
      </w:pPr>
    </w:p>
    <w:p>
      <w:pPr>
        <w:pStyle w:val="44"/>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说明：</w:t>
      </w:r>
    </w:p>
    <w:p>
      <w:pPr>
        <w:pStyle w:val="44"/>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1.投标人应当如实披露与本单位存在下列关联关系的单位名称：</w:t>
      </w:r>
    </w:p>
    <w:p>
      <w:pPr>
        <w:pStyle w:val="44"/>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与投标人单位负责人为同一人的其他单位；</w:t>
      </w:r>
    </w:p>
    <w:p>
      <w:pPr>
        <w:pStyle w:val="44"/>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2.与投标人存在直接控股、管理关系的其他单位；</w:t>
      </w:r>
    </w:p>
    <w:p>
      <w:pPr>
        <w:pStyle w:val="44"/>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3.如无关联单位可不提供此说明。</w:t>
      </w:r>
    </w:p>
    <w:p>
      <w:pPr>
        <w:pStyle w:val="44"/>
        <w:spacing w:line="360" w:lineRule="auto"/>
        <w:rPr>
          <w:rFonts w:ascii="仿宋" w:hAnsi="仿宋" w:eastAsia="仿宋" w:cs="仿宋"/>
          <w:color w:val="000000"/>
          <w:sz w:val="24"/>
          <w:szCs w:val="24"/>
        </w:rPr>
        <w:sectPr>
          <w:pgSz w:w="11906" w:h="16838"/>
          <w:pgMar w:top="1440" w:right="1800" w:bottom="1440" w:left="1800" w:header="851" w:footer="992" w:gutter="0"/>
          <w:cols w:space="425" w:num="1"/>
          <w:docGrid w:type="lines" w:linePitch="312" w:charSpace="0"/>
        </w:sectPr>
      </w:pPr>
    </w:p>
    <w:p>
      <w:pPr>
        <w:rPr>
          <w:rFonts w:ascii="仿宋" w:hAnsi="仿宋" w:eastAsia="仿宋"/>
          <w:b/>
          <w:color w:val="000000"/>
          <w:sz w:val="24"/>
        </w:rPr>
      </w:pPr>
      <w:bookmarkStart w:id="70" w:name="_Toc23872"/>
      <w:bookmarkStart w:id="71" w:name="_Toc5327"/>
      <w:r>
        <w:rPr>
          <w:rFonts w:hint="eastAsia" w:ascii="仿宋" w:hAnsi="仿宋" w:eastAsia="仿宋"/>
          <w:b/>
          <w:color w:val="000000"/>
          <w:sz w:val="24"/>
        </w:rPr>
        <w:t>附件 2-10</w:t>
      </w:r>
      <w:r>
        <w:rPr>
          <w:rFonts w:hint="eastAsia" w:ascii="仿宋" w:hAnsi="仿宋" w:eastAsia="仿宋"/>
          <w:b/>
          <w:color w:val="000000"/>
          <w:sz w:val="24"/>
        </w:rPr>
        <w:tab/>
      </w:r>
      <w:r>
        <w:rPr>
          <w:rFonts w:hint="eastAsia" w:ascii="仿宋" w:hAnsi="仿宋" w:eastAsia="仿宋"/>
          <w:b/>
          <w:color w:val="000000"/>
          <w:sz w:val="24"/>
        </w:rPr>
        <w:t>投标人须知前附表要求的其他资格证明文件</w:t>
      </w:r>
      <w:bookmarkEnd w:id="70"/>
      <w:bookmarkEnd w:id="71"/>
    </w:p>
    <w:p>
      <w:pPr>
        <w:pStyle w:val="14"/>
        <w:spacing w:before="12"/>
        <w:rPr>
          <w:rFonts w:ascii="仿宋" w:hAnsi="仿宋" w:eastAsia="仿宋" w:cs="仿宋"/>
          <w:b/>
          <w:color w:val="000000"/>
        </w:rPr>
      </w:pPr>
    </w:p>
    <w:p>
      <w:pPr>
        <w:pStyle w:val="14"/>
        <w:autoSpaceDE w:val="0"/>
        <w:autoSpaceDN w:val="0"/>
        <w:adjustRightInd w:val="0"/>
        <w:snapToGrid w:val="0"/>
        <w:spacing w:line="360" w:lineRule="auto"/>
        <w:rPr>
          <w:rFonts w:ascii="仿宋" w:hAnsi="仿宋" w:eastAsia="仿宋" w:cs="仿宋"/>
          <w:color w:val="000000"/>
        </w:rPr>
      </w:pPr>
      <w:r>
        <w:rPr>
          <w:rFonts w:hint="eastAsia" w:ascii="仿宋" w:hAnsi="仿宋" w:eastAsia="仿宋" w:cs="仿宋"/>
          <w:color w:val="000000"/>
        </w:rPr>
        <w:t>说明：</w:t>
      </w:r>
    </w:p>
    <w:p>
      <w:pPr>
        <w:pStyle w:val="14"/>
        <w:autoSpaceDE w:val="0"/>
        <w:autoSpaceDN w:val="0"/>
        <w:adjustRightInd w:val="0"/>
        <w:snapToGrid w:val="0"/>
        <w:spacing w:line="360" w:lineRule="auto"/>
        <w:rPr>
          <w:rFonts w:ascii="仿宋" w:hAnsi="仿宋" w:eastAsia="仿宋" w:cs="仿宋"/>
          <w:color w:val="000000"/>
        </w:rPr>
      </w:pPr>
      <w:r>
        <w:rPr>
          <w:rFonts w:hint="eastAsia" w:ascii="仿宋" w:hAnsi="仿宋" w:eastAsia="仿宋" w:cs="仿宋"/>
          <w:color w:val="000000"/>
        </w:rPr>
        <w:t>1.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w:t>
      </w:r>
      <w:r>
        <w:rPr>
          <w:rFonts w:hint="eastAsia" w:ascii="仿宋" w:hAnsi="仿宋" w:eastAsia="仿宋" w:cs="仿宋"/>
          <w:color w:val="000000"/>
          <w:lang w:eastAsia="zh-CN"/>
        </w:rPr>
        <w:t>新疆税务局</w:t>
      </w:r>
      <w:r>
        <w:rPr>
          <w:rFonts w:hint="eastAsia" w:ascii="仿宋" w:hAnsi="仿宋" w:eastAsia="仿宋" w:cs="仿宋"/>
          <w:color w:val="000000"/>
        </w:rPr>
        <w:t>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p>
      <w:pPr>
        <w:pStyle w:val="14"/>
        <w:autoSpaceDE w:val="0"/>
        <w:autoSpaceDN w:val="0"/>
        <w:adjustRightInd w:val="0"/>
        <w:snapToGrid w:val="0"/>
        <w:spacing w:line="360" w:lineRule="auto"/>
        <w:rPr>
          <w:rFonts w:ascii="仿宋" w:hAnsi="仿宋" w:eastAsia="仿宋" w:cs="仿宋"/>
          <w:color w:val="000000"/>
        </w:rPr>
      </w:pPr>
      <w:r>
        <w:rPr>
          <w:rFonts w:hint="eastAsia" w:ascii="仿宋" w:hAnsi="仿宋" w:eastAsia="仿宋" w:cs="仿宋"/>
          <w:color w:val="000000"/>
        </w:rPr>
        <w:t>2.应提供</w:t>
      </w:r>
      <w:r>
        <w:rPr>
          <w:rFonts w:hint="eastAsia" w:ascii="仿宋" w:hAnsi="仿宋" w:eastAsia="仿宋" w:cs="仿宋"/>
          <w:color w:val="000000"/>
          <w:u w:val="single"/>
          <w:lang w:val="en-US"/>
        </w:rPr>
        <w:t>投标人</w:t>
      </w:r>
      <w:r>
        <w:rPr>
          <w:rFonts w:hint="eastAsia" w:ascii="仿宋" w:hAnsi="仿宋" w:eastAsia="仿宋" w:cs="仿宋"/>
          <w:color w:val="000000"/>
          <w:u w:val="single"/>
        </w:rPr>
        <w:t>须知</w:t>
      </w:r>
      <w:r>
        <w:rPr>
          <w:rFonts w:hint="eastAsia" w:ascii="仿宋" w:hAnsi="仿宋" w:eastAsia="仿宋" w:cs="仿宋"/>
          <w:color w:val="000000"/>
          <w:u w:val="single"/>
          <w:lang w:val="en-US"/>
        </w:rPr>
        <w:t>前附表</w:t>
      </w:r>
      <w:r>
        <w:rPr>
          <w:rFonts w:hint="eastAsia" w:ascii="仿宋" w:hAnsi="仿宋" w:eastAsia="仿宋" w:cs="仿宋"/>
          <w:color w:val="000000"/>
        </w:rPr>
        <w:t>要求的其他资格证明文件。</w:t>
      </w:r>
    </w:p>
    <w:p>
      <w:pPr>
        <w:pStyle w:val="46"/>
        <w:tabs>
          <w:tab w:val="left" w:pos="1322"/>
        </w:tabs>
        <w:autoSpaceDE w:val="0"/>
        <w:autoSpaceDN w:val="0"/>
        <w:adjustRightInd w:val="0"/>
        <w:snapToGrid w:val="0"/>
        <w:spacing w:line="360" w:lineRule="auto"/>
        <w:ind w:firstLine="0" w:firstLineChars="0"/>
        <w:jc w:val="left"/>
        <w:rPr>
          <w:rFonts w:ascii="仿宋" w:hAnsi="仿宋" w:eastAsia="仿宋" w:cs="仿宋"/>
          <w:color w:val="000000"/>
          <w:sz w:val="24"/>
        </w:rPr>
      </w:pPr>
      <w:r>
        <w:rPr>
          <w:rFonts w:hint="eastAsia" w:ascii="仿宋" w:hAnsi="仿宋" w:eastAsia="仿宋" w:cs="仿宋"/>
          <w:color w:val="000000"/>
          <w:sz w:val="24"/>
        </w:rPr>
        <w:t>3.原件扫描件上均应加盖本单位电子公章，自然人投标的无需盖电子章，需要签字。</w:t>
      </w:r>
    </w:p>
    <w:p>
      <w:pPr>
        <w:pStyle w:val="46"/>
        <w:tabs>
          <w:tab w:val="left" w:pos="1322"/>
        </w:tabs>
        <w:autoSpaceDE w:val="0"/>
        <w:autoSpaceDN w:val="0"/>
        <w:adjustRightInd w:val="0"/>
        <w:snapToGrid w:val="0"/>
        <w:spacing w:line="360" w:lineRule="auto"/>
        <w:ind w:firstLine="696" w:firstLineChars="290"/>
        <w:jc w:val="left"/>
        <w:rPr>
          <w:rFonts w:ascii="仿宋" w:hAnsi="仿宋" w:eastAsia="仿宋" w:cs="仿宋"/>
          <w:color w:val="000000"/>
          <w:sz w:val="24"/>
        </w:rPr>
      </w:pPr>
    </w:p>
    <w:p>
      <w:pPr>
        <w:pStyle w:val="46"/>
        <w:tabs>
          <w:tab w:val="left" w:pos="1322"/>
        </w:tabs>
        <w:autoSpaceDE w:val="0"/>
        <w:autoSpaceDN w:val="0"/>
        <w:adjustRightInd w:val="0"/>
        <w:snapToGrid w:val="0"/>
        <w:spacing w:line="360" w:lineRule="auto"/>
        <w:ind w:firstLine="696" w:firstLineChars="290"/>
        <w:jc w:val="left"/>
        <w:rPr>
          <w:rFonts w:ascii="仿宋" w:hAnsi="仿宋" w:eastAsia="仿宋" w:cs="仿宋"/>
          <w:color w:val="000000"/>
          <w:sz w:val="24"/>
        </w:rPr>
      </w:pPr>
    </w:p>
    <w:p>
      <w:pPr>
        <w:pStyle w:val="46"/>
        <w:tabs>
          <w:tab w:val="left" w:pos="1322"/>
        </w:tabs>
        <w:autoSpaceDE w:val="0"/>
        <w:autoSpaceDN w:val="0"/>
        <w:adjustRightInd w:val="0"/>
        <w:snapToGrid w:val="0"/>
        <w:spacing w:line="360" w:lineRule="auto"/>
        <w:ind w:firstLine="696" w:firstLineChars="290"/>
        <w:jc w:val="left"/>
        <w:rPr>
          <w:rFonts w:ascii="仿宋" w:hAnsi="仿宋" w:eastAsia="仿宋" w:cs="仿宋"/>
          <w:color w:val="000000"/>
          <w:sz w:val="24"/>
        </w:rPr>
      </w:pPr>
    </w:p>
    <w:p>
      <w:pPr>
        <w:pStyle w:val="46"/>
        <w:tabs>
          <w:tab w:val="left" w:pos="1322"/>
        </w:tabs>
        <w:autoSpaceDE w:val="0"/>
        <w:autoSpaceDN w:val="0"/>
        <w:adjustRightInd w:val="0"/>
        <w:snapToGrid w:val="0"/>
        <w:spacing w:line="360" w:lineRule="auto"/>
        <w:ind w:firstLine="696" w:firstLineChars="290"/>
        <w:jc w:val="left"/>
        <w:rPr>
          <w:rFonts w:ascii="仿宋" w:hAnsi="仿宋" w:eastAsia="仿宋" w:cs="仿宋"/>
          <w:color w:val="000000"/>
          <w:sz w:val="24"/>
        </w:rPr>
        <w:sectPr>
          <w:pgSz w:w="11906" w:h="16838"/>
          <w:pgMar w:top="1440" w:right="1800" w:bottom="1440" w:left="1800" w:header="851" w:footer="992" w:gutter="0"/>
          <w:cols w:space="425" w:num="1"/>
          <w:docGrid w:type="lines" w:linePitch="312" w:charSpace="0"/>
        </w:sectPr>
      </w:pPr>
    </w:p>
    <w:p>
      <w:pPr>
        <w:rPr>
          <w:rFonts w:ascii="仿宋" w:hAnsi="仿宋" w:eastAsia="仿宋"/>
          <w:b/>
          <w:color w:val="000000"/>
          <w:sz w:val="24"/>
        </w:rPr>
      </w:pPr>
      <w:bookmarkStart w:id="72" w:name="_Toc22438"/>
      <w:bookmarkStart w:id="73" w:name="_Toc22532"/>
      <w:r>
        <w:rPr>
          <w:rFonts w:hint="eastAsia" w:ascii="仿宋" w:hAnsi="仿宋" w:eastAsia="仿宋"/>
          <w:b/>
          <w:color w:val="000000"/>
          <w:sz w:val="24"/>
        </w:rPr>
        <w:t>附件 3：投标人综合情况（格式）</w:t>
      </w:r>
      <w:bookmarkEnd w:id="72"/>
      <w:bookmarkEnd w:id="73"/>
    </w:p>
    <w:p>
      <w:pPr>
        <w:rPr>
          <w:rFonts w:ascii="仿宋" w:hAnsi="仿宋" w:eastAsia="仿宋"/>
          <w:b/>
          <w:color w:val="000000"/>
          <w:sz w:val="24"/>
        </w:rPr>
      </w:pPr>
      <w:bookmarkStart w:id="74" w:name="_Toc5632"/>
      <w:bookmarkStart w:id="75" w:name="_Toc11568"/>
      <w:r>
        <w:rPr>
          <w:rFonts w:hint="eastAsia" w:ascii="仿宋" w:hAnsi="仿宋" w:eastAsia="仿宋"/>
          <w:b/>
          <w:color w:val="000000"/>
          <w:sz w:val="24"/>
        </w:rPr>
        <w:t>附件 3-1 投标人综合情况一览表</w:t>
      </w:r>
      <w:bookmarkEnd w:id="74"/>
      <w:bookmarkEnd w:id="75"/>
    </w:p>
    <w:p>
      <w:pPr>
        <w:pStyle w:val="14"/>
        <w:spacing w:before="6"/>
        <w:rPr>
          <w:rFonts w:ascii="仿宋" w:hAnsi="仿宋" w:eastAsia="仿宋" w:cs="仿宋"/>
          <w:b/>
          <w:color w:val="000000"/>
        </w:rPr>
      </w:pPr>
    </w:p>
    <w:tbl>
      <w:tblPr>
        <w:tblStyle w:val="28"/>
        <w:tblW w:w="881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85"/>
        <w:gridCol w:w="1072"/>
        <w:gridCol w:w="1802"/>
        <w:gridCol w:w="714"/>
        <w:gridCol w:w="95"/>
        <w:gridCol w:w="441"/>
        <w:gridCol w:w="922"/>
        <w:gridCol w:w="343"/>
        <w:gridCol w:w="722"/>
        <w:gridCol w:w="7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8" w:hRule="atLeast"/>
          <w:jc w:val="center"/>
        </w:trPr>
        <w:tc>
          <w:tcPr>
            <w:tcW w:w="1985" w:type="dxa"/>
            <w:tcBorders>
              <w:bottom w:val="single" w:color="000000" w:sz="6" w:space="0"/>
              <w:right w:val="single" w:color="000000" w:sz="6" w:space="0"/>
            </w:tcBorders>
          </w:tcPr>
          <w:p>
            <w:pPr>
              <w:pStyle w:val="55"/>
              <w:keepNext w:val="0"/>
              <w:keepLines w:val="0"/>
              <w:suppressLineNumbers w:val="0"/>
              <w:spacing w:before="153"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lang w:val="en-US"/>
              </w:rPr>
              <w:t>投标人</w:t>
            </w:r>
            <w:r>
              <w:rPr>
                <w:rFonts w:hint="eastAsia" w:ascii="仿宋" w:hAnsi="仿宋" w:eastAsia="仿宋" w:cs="仿宋"/>
                <w:color w:val="000000"/>
                <w:szCs w:val="21"/>
              </w:rPr>
              <w:t>名称</w:t>
            </w:r>
          </w:p>
        </w:tc>
        <w:tc>
          <w:tcPr>
            <w:tcW w:w="6831" w:type="dxa"/>
            <w:gridSpan w:val="9"/>
            <w:tcBorders>
              <w:left w:val="single" w:color="000000" w:sz="6" w:space="0"/>
              <w:bottom w:val="single" w:color="000000" w:sz="6" w:space="0"/>
            </w:tcBorders>
          </w:tcPr>
          <w:p>
            <w:pPr>
              <w:pStyle w:val="55"/>
              <w:keepNext w:val="0"/>
              <w:keepLines w:val="0"/>
              <w:suppressLineNumbers w:val="0"/>
              <w:spacing w:before="153" w:beforeAutospacing="0" w:after="0" w:afterAutospacing="0"/>
              <w:ind w:left="115" w:right="0"/>
              <w:rPr>
                <w:rFonts w:hint="default" w:ascii="仿宋" w:hAnsi="仿宋" w:eastAsia="仿宋" w:cs="仿宋"/>
                <w:color w:val="000000"/>
                <w:szCs w:val="21"/>
              </w:rPr>
            </w:pPr>
            <w:r>
              <w:rPr>
                <w:rFonts w:hint="eastAsia" w:ascii="仿宋" w:hAnsi="仿宋" w:eastAsia="仿宋" w:cs="仿宋"/>
                <w:color w:val="000000"/>
                <w:szCs w:val="21"/>
              </w:rPr>
              <w:t>（公章）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48"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注册地址</w:t>
            </w:r>
          </w:p>
        </w:tc>
        <w:tc>
          <w:tcPr>
            <w:tcW w:w="3683" w:type="dxa"/>
            <w:gridSpan w:val="4"/>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363"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48" w:beforeAutospacing="0" w:after="0" w:afterAutospacing="0"/>
              <w:ind w:left="119" w:right="0"/>
              <w:rPr>
                <w:rFonts w:hint="default" w:ascii="仿宋" w:hAnsi="仿宋" w:eastAsia="仿宋" w:cs="仿宋"/>
                <w:color w:val="000000"/>
                <w:szCs w:val="21"/>
              </w:rPr>
            </w:pPr>
            <w:r>
              <w:rPr>
                <w:rFonts w:hint="eastAsia" w:ascii="仿宋" w:hAnsi="仿宋" w:eastAsia="仿宋" w:cs="仿宋"/>
                <w:color w:val="000000"/>
                <w:szCs w:val="21"/>
              </w:rPr>
              <w:t>邮政编码</w:t>
            </w:r>
          </w:p>
        </w:tc>
        <w:tc>
          <w:tcPr>
            <w:tcW w:w="1785" w:type="dxa"/>
            <w:gridSpan w:val="3"/>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1985" w:type="dxa"/>
            <w:vMerge w:val="restart"/>
            <w:tcBorders>
              <w:top w:val="single" w:color="000000" w:sz="6" w:space="0"/>
              <w:bottom w:val="single" w:color="000000" w:sz="6" w:space="0"/>
              <w:right w:val="single" w:color="000000" w:sz="6" w:space="0"/>
            </w:tcBorders>
          </w:tcPr>
          <w:p>
            <w:pPr>
              <w:pStyle w:val="55"/>
              <w:keepNext w:val="0"/>
              <w:keepLines w:val="0"/>
              <w:suppressLineNumbers w:val="0"/>
              <w:spacing w:before="10" w:beforeAutospacing="0" w:after="0" w:afterAutospacing="0"/>
              <w:ind w:left="0" w:right="0"/>
              <w:rPr>
                <w:rFonts w:hint="default" w:ascii="仿宋" w:hAnsi="仿宋" w:eastAsia="仿宋" w:cs="仿宋"/>
                <w:b/>
                <w:color w:val="000000"/>
                <w:szCs w:val="21"/>
              </w:rPr>
            </w:pPr>
          </w:p>
          <w:p>
            <w:pPr>
              <w:pStyle w:val="55"/>
              <w:keepNext w:val="0"/>
              <w:keepLines w:val="0"/>
              <w:suppressLineNumbers w:val="0"/>
              <w:spacing w:before="0"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联系方式</w:t>
            </w:r>
          </w:p>
        </w:tc>
        <w:tc>
          <w:tcPr>
            <w:tcW w:w="107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43" w:beforeAutospacing="0" w:after="0" w:afterAutospacing="0"/>
              <w:ind w:left="115" w:right="0"/>
              <w:rPr>
                <w:rFonts w:hint="default" w:ascii="仿宋" w:hAnsi="仿宋" w:eastAsia="仿宋" w:cs="仿宋"/>
                <w:color w:val="000000"/>
                <w:szCs w:val="21"/>
              </w:rPr>
            </w:pPr>
            <w:r>
              <w:rPr>
                <w:rFonts w:hint="eastAsia" w:ascii="仿宋" w:hAnsi="仿宋" w:eastAsia="仿宋" w:cs="仿宋"/>
                <w:color w:val="000000"/>
                <w:szCs w:val="21"/>
              </w:rPr>
              <w:t>联系人</w:t>
            </w:r>
          </w:p>
        </w:tc>
        <w:tc>
          <w:tcPr>
            <w:tcW w:w="2611" w:type="dxa"/>
            <w:gridSpan w:val="3"/>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363"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43" w:beforeAutospacing="0" w:after="0" w:afterAutospacing="0"/>
              <w:ind w:left="119" w:right="0"/>
              <w:rPr>
                <w:rFonts w:hint="default" w:ascii="仿宋" w:hAnsi="仿宋" w:eastAsia="仿宋" w:cs="仿宋"/>
                <w:color w:val="000000"/>
                <w:szCs w:val="21"/>
              </w:rPr>
            </w:pPr>
            <w:r>
              <w:rPr>
                <w:rFonts w:hint="eastAsia" w:ascii="仿宋" w:hAnsi="仿宋" w:eastAsia="仿宋" w:cs="仿宋"/>
                <w:color w:val="000000"/>
                <w:szCs w:val="21"/>
              </w:rPr>
              <w:t>电话</w:t>
            </w:r>
          </w:p>
        </w:tc>
        <w:tc>
          <w:tcPr>
            <w:tcW w:w="1785" w:type="dxa"/>
            <w:gridSpan w:val="3"/>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4" w:hRule="atLeast"/>
          <w:jc w:val="center"/>
        </w:trPr>
        <w:tc>
          <w:tcPr>
            <w:tcW w:w="1985" w:type="dxa"/>
            <w:vMerge w:val="continue"/>
            <w:tcBorders>
              <w:top w:val="nil"/>
              <w:bottom w:val="single" w:color="000000" w:sz="6" w:space="0"/>
              <w:right w:val="single" w:color="000000" w:sz="6" w:space="0"/>
            </w:tcBorders>
          </w:tcPr>
          <w:p>
            <w:pPr>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7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51" w:beforeAutospacing="0" w:after="0" w:afterAutospacing="0"/>
              <w:ind w:left="115" w:right="0"/>
              <w:rPr>
                <w:rFonts w:hint="default" w:ascii="仿宋" w:hAnsi="仿宋" w:eastAsia="仿宋" w:cs="仿宋"/>
                <w:color w:val="000000"/>
                <w:szCs w:val="21"/>
              </w:rPr>
            </w:pPr>
            <w:r>
              <w:rPr>
                <w:rFonts w:hint="eastAsia" w:ascii="仿宋" w:hAnsi="仿宋" w:eastAsia="仿宋" w:cs="仿宋"/>
                <w:color w:val="000000"/>
                <w:szCs w:val="21"/>
              </w:rPr>
              <w:t>传真</w:t>
            </w:r>
          </w:p>
        </w:tc>
        <w:tc>
          <w:tcPr>
            <w:tcW w:w="2611" w:type="dxa"/>
            <w:gridSpan w:val="3"/>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363"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51" w:beforeAutospacing="0" w:after="0" w:afterAutospacing="0"/>
              <w:ind w:left="119" w:right="0"/>
              <w:rPr>
                <w:rFonts w:hint="default" w:ascii="仿宋" w:hAnsi="仿宋" w:eastAsia="仿宋" w:cs="仿宋"/>
                <w:color w:val="000000"/>
                <w:szCs w:val="21"/>
              </w:rPr>
            </w:pPr>
            <w:r>
              <w:rPr>
                <w:rFonts w:hint="eastAsia" w:ascii="仿宋" w:hAnsi="仿宋" w:eastAsia="仿宋" w:cs="仿宋"/>
                <w:color w:val="000000"/>
                <w:szCs w:val="21"/>
              </w:rPr>
              <w:t>邮箱</w:t>
            </w:r>
          </w:p>
        </w:tc>
        <w:tc>
          <w:tcPr>
            <w:tcW w:w="1785" w:type="dxa"/>
            <w:gridSpan w:val="3"/>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51" w:beforeAutospacing="0" w:after="0" w:afterAutospacing="0"/>
              <w:ind w:left="107" w:right="-44"/>
              <w:rPr>
                <w:rFonts w:hint="default" w:ascii="仿宋" w:hAnsi="仿宋" w:eastAsia="仿宋" w:cs="仿宋"/>
                <w:color w:val="000000"/>
                <w:szCs w:val="21"/>
              </w:rPr>
            </w:pPr>
            <w:r>
              <w:rPr>
                <w:rFonts w:hint="eastAsia" w:ascii="仿宋" w:hAnsi="仿宋" w:eastAsia="仿宋" w:cs="仿宋"/>
                <w:color w:val="000000"/>
                <w:spacing w:val="-8"/>
                <w:szCs w:val="21"/>
              </w:rPr>
              <w:t>隶属情况</w:t>
            </w:r>
            <w:r>
              <w:rPr>
                <w:rFonts w:hint="eastAsia" w:ascii="仿宋" w:hAnsi="仿宋" w:eastAsia="仿宋" w:cs="仿宋"/>
                <w:color w:val="000000"/>
                <w:szCs w:val="21"/>
              </w:rPr>
              <w:t>（如有）</w:t>
            </w:r>
          </w:p>
        </w:tc>
        <w:tc>
          <w:tcPr>
            <w:tcW w:w="6831" w:type="dxa"/>
            <w:gridSpan w:val="9"/>
            <w:tcBorders>
              <w:top w:val="single" w:color="000000" w:sz="6" w:space="0"/>
              <w:left w:val="single" w:color="000000" w:sz="6" w:space="0"/>
              <w:bottom w:val="single" w:color="000000" w:sz="6" w:space="0"/>
            </w:tcBorders>
          </w:tcPr>
          <w:p>
            <w:pPr>
              <w:pStyle w:val="55"/>
              <w:keepNext w:val="0"/>
              <w:keepLines w:val="0"/>
              <w:suppressLineNumbers w:val="0"/>
              <w:spacing w:before="151" w:beforeAutospacing="0" w:after="0" w:afterAutospacing="0"/>
              <w:ind w:left="115" w:right="0"/>
              <w:rPr>
                <w:rFonts w:hint="default" w:ascii="仿宋" w:hAnsi="仿宋" w:eastAsia="仿宋" w:cs="仿宋"/>
                <w:color w:val="000000"/>
                <w:szCs w:val="21"/>
              </w:rPr>
            </w:pPr>
            <w:r>
              <w:rPr>
                <w:rFonts w:hint="eastAsia" w:ascii="仿宋" w:hAnsi="仿宋" w:eastAsia="仿宋" w:cs="仿宋"/>
                <w:color w:val="000000"/>
                <w:szCs w:val="21"/>
              </w:rPr>
              <w:t>阐明隶属及组织机构情况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51" w:beforeAutospacing="0" w:after="0" w:afterAutospacing="0"/>
              <w:ind w:left="107" w:right="-44"/>
              <w:rPr>
                <w:rFonts w:hint="default" w:ascii="仿宋" w:hAnsi="仿宋" w:eastAsia="仿宋" w:cs="仿宋"/>
                <w:color w:val="000000"/>
                <w:szCs w:val="21"/>
              </w:rPr>
            </w:pPr>
            <w:r>
              <w:rPr>
                <w:rFonts w:hint="eastAsia" w:ascii="仿宋" w:hAnsi="仿宋" w:eastAsia="仿宋" w:cs="仿宋"/>
                <w:color w:val="000000"/>
                <w:spacing w:val="-8"/>
                <w:szCs w:val="21"/>
              </w:rPr>
              <w:t>控股情况</w:t>
            </w:r>
            <w:r>
              <w:rPr>
                <w:rFonts w:hint="eastAsia" w:ascii="仿宋" w:hAnsi="仿宋" w:eastAsia="仿宋" w:cs="仿宋"/>
                <w:color w:val="000000"/>
                <w:szCs w:val="21"/>
              </w:rPr>
              <w:t>（如有）</w:t>
            </w:r>
          </w:p>
        </w:tc>
        <w:tc>
          <w:tcPr>
            <w:tcW w:w="6831" w:type="dxa"/>
            <w:gridSpan w:val="9"/>
            <w:tcBorders>
              <w:top w:val="single" w:color="000000" w:sz="6" w:space="0"/>
              <w:left w:val="single" w:color="000000" w:sz="6" w:space="0"/>
              <w:bottom w:val="single" w:color="000000" w:sz="6" w:space="0"/>
            </w:tcBorders>
          </w:tcPr>
          <w:p>
            <w:pPr>
              <w:pStyle w:val="55"/>
              <w:keepNext w:val="0"/>
              <w:keepLines w:val="0"/>
              <w:suppressLineNumbers w:val="0"/>
              <w:spacing w:before="151" w:beforeAutospacing="0" w:after="0" w:afterAutospacing="0"/>
              <w:ind w:left="115" w:right="0"/>
              <w:rPr>
                <w:rFonts w:hint="default" w:ascii="仿宋" w:hAnsi="仿宋" w:eastAsia="仿宋" w:cs="仿宋"/>
                <w:color w:val="000000"/>
                <w:szCs w:val="21"/>
              </w:rPr>
            </w:pPr>
            <w:r>
              <w:rPr>
                <w:rFonts w:hint="eastAsia" w:ascii="仿宋" w:hAnsi="仿宋" w:eastAsia="仿宋" w:cs="仿宋"/>
                <w:color w:val="000000"/>
                <w:szCs w:val="21"/>
              </w:rPr>
              <w:t>阐明控股和被控股情况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4"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41"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组织结构</w:t>
            </w:r>
          </w:p>
        </w:tc>
        <w:tc>
          <w:tcPr>
            <w:tcW w:w="6831" w:type="dxa"/>
            <w:gridSpan w:val="9"/>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55"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简介</w:t>
            </w:r>
          </w:p>
        </w:tc>
        <w:tc>
          <w:tcPr>
            <w:tcW w:w="6831" w:type="dxa"/>
            <w:gridSpan w:val="9"/>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line="307" w:lineRule="exact"/>
              <w:ind w:left="115" w:right="-58"/>
              <w:rPr>
                <w:rFonts w:hint="default" w:ascii="仿宋" w:hAnsi="仿宋" w:eastAsia="仿宋" w:cs="仿宋"/>
                <w:color w:val="000000"/>
                <w:szCs w:val="21"/>
              </w:rPr>
            </w:pPr>
            <w:r>
              <w:rPr>
                <w:rFonts w:hint="eastAsia" w:ascii="仿宋" w:hAnsi="仿宋" w:eastAsia="仿宋" w:cs="仿宋"/>
                <w:color w:val="000000"/>
                <w:spacing w:val="-16"/>
                <w:szCs w:val="21"/>
              </w:rPr>
              <w:t>包括但不限于：企业经营范围、发展历程、经营业绩、获奖情况、</w:t>
            </w:r>
            <w:r>
              <w:rPr>
                <w:rFonts w:hint="eastAsia" w:ascii="仿宋" w:hAnsi="仿宋" w:eastAsia="仿宋" w:cs="仿宋"/>
                <w:color w:val="000000"/>
                <w:szCs w:val="21"/>
              </w:rPr>
              <w:t>财务状况、人力资源等。（可另附页）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44"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法定代表人</w:t>
            </w:r>
          </w:p>
        </w:tc>
        <w:tc>
          <w:tcPr>
            <w:tcW w:w="107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44" w:beforeAutospacing="0" w:after="0" w:afterAutospacing="0"/>
              <w:ind w:left="115" w:right="0"/>
              <w:rPr>
                <w:rFonts w:hint="default" w:ascii="仿宋" w:hAnsi="仿宋" w:eastAsia="仿宋" w:cs="仿宋"/>
                <w:color w:val="000000"/>
                <w:szCs w:val="21"/>
              </w:rPr>
            </w:pPr>
            <w:r>
              <w:rPr>
                <w:rFonts w:hint="eastAsia" w:ascii="仿宋" w:hAnsi="仿宋" w:eastAsia="仿宋" w:cs="仿宋"/>
                <w:color w:val="000000"/>
                <w:szCs w:val="21"/>
              </w:rPr>
              <w:t>姓名</w:t>
            </w:r>
          </w:p>
        </w:tc>
        <w:tc>
          <w:tcPr>
            <w:tcW w:w="180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250" w:type="dxa"/>
            <w:gridSpan w:val="3"/>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44" w:beforeAutospacing="0" w:after="0" w:afterAutospacing="0"/>
              <w:ind w:left="116" w:right="0"/>
              <w:rPr>
                <w:rFonts w:hint="default" w:ascii="仿宋" w:hAnsi="仿宋" w:eastAsia="仿宋" w:cs="仿宋"/>
                <w:color w:val="000000"/>
                <w:szCs w:val="21"/>
              </w:rPr>
            </w:pPr>
            <w:r>
              <w:rPr>
                <w:rFonts w:hint="eastAsia" w:ascii="仿宋" w:hAnsi="仿宋" w:eastAsia="仿宋" w:cs="仿宋"/>
                <w:color w:val="000000"/>
                <w:szCs w:val="21"/>
              </w:rPr>
              <w:t>技术职称</w:t>
            </w:r>
          </w:p>
        </w:tc>
        <w:tc>
          <w:tcPr>
            <w:tcW w:w="1265"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72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44" w:beforeAutospacing="0" w:after="0" w:afterAutospacing="0"/>
              <w:ind w:left="0" w:right="104"/>
              <w:jc w:val="right"/>
              <w:rPr>
                <w:rFonts w:hint="default" w:ascii="仿宋" w:hAnsi="仿宋" w:eastAsia="仿宋" w:cs="仿宋"/>
                <w:color w:val="000000"/>
                <w:szCs w:val="21"/>
              </w:rPr>
            </w:pPr>
            <w:r>
              <w:rPr>
                <w:rFonts w:hint="eastAsia" w:ascii="仿宋" w:hAnsi="仿宋" w:eastAsia="仿宋" w:cs="仿宋"/>
                <w:color w:val="000000"/>
                <w:szCs w:val="21"/>
              </w:rPr>
              <w:t>电话</w:t>
            </w:r>
          </w:p>
        </w:tc>
        <w:tc>
          <w:tcPr>
            <w:tcW w:w="720"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5"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58"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技术负责人</w:t>
            </w:r>
          </w:p>
        </w:tc>
        <w:tc>
          <w:tcPr>
            <w:tcW w:w="107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58" w:beforeAutospacing="0" w:after="0" w:afterAutospacing="0"/>
              <w:ind w:left="115" w:right="0"/>
              <w:rPr>
                <w:rFonts w:hint="default" w:ascii="仿宋" w:hAnsi="仿宋" w:eastAsia="仿宋" w:cs="仿宋"/>
                <w:color w:val="000000"/>
                <w:szCs w:val="21"/>
              </w:rPr>
            </w:pPr>
            <w:r>
              <w:rPr>
                <w:rFonts w:hint="eastAsia" w:ascii="仿宋" w:hAnsi="仿宋" w:eastAsia="仿宋" w:cs="仿宋"/>
                <w:color w:val="000000"/>
                <w:szCs w:val="21"/>
              </w:rPr>
              <w:t>姓名</w:t>
            </w:r>
          </w:p>
        </w:tc>
        <w:tc>
          <w:tcPr>
            <w:tcW w:w="180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250" w:type="dxa"/>
            <w:gridSpan w:val="3"/>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58" w:beforeAutospacing="0" w:after="0" w:afterAutospacing="0"/>
              <w:ind w:left="116" w:right="0"/>
              <w:rPr>
                <w:rFonts w:hint="default" w:ascii="仿宋" w:hAnsi="仿宋" w:eastAsia="仿宋" w:cs="仿宋"/>
                <w:color w:val="000000"/>
                <w:szCs w:val="21"/>
              </w:rPr>
            </w:pPr>
            <w:r>
              <w:rPr>
                <w:rFonts w:hint="eastAsia" w:ascii="仿宋" w:hAnsi="仿宋" w:eastAsia="仿宋" w:cs="仿宋"/>
                <w:color w:val="000000"/>
                <w:szCs w:val="21"/>
              </w:rPr>
              <w:t>技术职称</w:t>
            </w:r>
          </w:p>
        </w:tc>
        <w:tc>
          <w:tcPr>
            <w:tcW w:w="1265"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722"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58" w:beforeAutospacing="0" w:after="0" w:afterAutospacing="0"/>
              <w:ind w:left="0" w:right="104"/>
              <w:jc w:val="right"/>
              <w:rPr>
                <w:rFonts w:hint="default" w:ascii="仿宋" w:hAnsi="仿宋" w:eastAsia="仿宋" w:cs="仿宋"/>
                <w:color w:val="000000"/>
                <w:szCs w:val="21"/>
              </w:rPr>
            </w:pPr>
            <w:r>
              <w:rPr>
                <w:rFonts w:hint="eastAsia" w:ascii="仿宋" w:hAnsi="仿宋" w:eastAsia="仿宋" w:cs="仿宋"/>
                <w:color w:val="000000"/>
                <w:szCs w:val="21"/>
              </w:rPr>
              <w:t>电话</w:t>
            </w:r>
          </w:p>
        </w:tc>
        <w:tc>
          <w:tcPr>
            <w:tcW w:w="720"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51"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成立时间</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3957" w:type="dxa"/>
            <w:gridSpan w:val="7"/>
            <w:tcBorders>
              <w:top w:val="single" w:color="000000" w:sz="6" w:space="0"/>
              <w:left w:val="single" w:color="000000" w:sz="6" w:space="0"/>
              <w:bottom w:val="single" w:color="000000" w:sz="6" w:space="0"/>
            </w:tcBorders>
          </w:tcPr>
          <w:p>
            <w:pPr>
              <w:pStyle w:val="55"/>
              <w:keepNext w:val="0"/>
              <w:keepLines w:val="0"/>
              <w:suppressLineNumbers w:val="0"/>
              <w:spacing w:before="151" w:beforeAutospacing="0" w:after="0" w:afterAutospacing="0"/>
              <w:ind w:left="116" w:right="0"/>
              <w:rPr>
                <w:rFonts w:hint="default" w:ascii="仿宋" w:hAnsi="仿宋" w:eastAsia="仿宋" w:cs="仿宋"/>
                <w:color w:val="000000"/>
                <w:szCs w:val="21"/>
              </w:rPr>
            </w:pPr>
            <w:r>
              <w:rPr>
                <w:rFonts w:hint="eastAsia" w:ascii="仿宋" w:hAnsi="仿宋" w:eastAsia="仿宋" w:cs="仿宋"/>
                <w:color w:val="000000"/>
                <w:szCs w:val="21"/>
              </w:rPr>
              <w:t>员工总人数：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51"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企业资质等级</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714" w:type="dxa"/>
            <w:vMerge w:val="restart"/>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b/>
                <w:color w:val="000000"/>
                <w:szCs w:val="21"/>
              </w:rPr>
            </w:pPr>
          </w:p>
          <w:p>
            <w:pPr>
              <w:pStyle w:val="55"/>
              <w:keepNext w:val="0"/>
              <w:keepLines w:val="0"/>
              <w:suppressLineNumbers w:val="0"/>
              <w:spacing w:before="0" w:beforeAutospacing="0" w:after="0" w:afterAutospacing="0"/>
              <w:ind w:left="0" w:right="0"/>
              <w:rPr>
                <w:rFonts w:hint="default" w:ascii="仿宋" w:hAnsi="仿宋" w:eastAsia="仿宋" w:cs="仿宋"/>
                <w:b/>
                <w:color w:val="000000"/>
                <w:szCs w:val="21"/>
              </w:rPr>
            </w:pPr>
          </w:p>
          <w:p>
            <w:pPr>
              <w:pStyle w:val="55"/>
              <w:keepNext w:val="0"/>
              <w:keepLines w:val="0"/>
              <w:suppressLineNumbers w:val="0"/>
              <w:spacing w:before="0" w:beforeAutospacing="0" w:after="0" w:afterAutospacing="0"/>
              <w:ind w:left="0" w:right="0"/>
              <w:rPr>
                <w:rFonts w:hint="default" w:ascii="仿宋" w:hAnsi="仿宋" w:eastAsia="仿宋" w:cs="仿宋"/>
                <w:b/>
                <w:color w:val="000000"/>
                <w:szCs w:val="21"/>
              </w:rPr>
            </w:pPr>
          </w:p>
          <w:p>
            <w:pPr>
              <w:pStyle w:val="55"/>
              <w:keepNext w:val="0"/>
              <w:keepLines w:val="0"/>
              <w:suppressLineNumbers w:val="0"/>
              <w:spacing w:before="0" w:beforeAutospacing="0" w:after="0" w:afterAutospacing="0"/>
              <w:ind w:left="0" w:right="0"/>
              <w:rPr>
                <w:rFonts w:hint="default" w:ascii="仿宋" w:hAnsi="仿宋" w:eastAsia="仿宋" w:cs="仿宋"/>
                <w:b/>
                <w:color w:val="000000"/>
                <w:szCs w:val="21"/>
              </w:rPr>
            </w:pPr>
          </w:p>
          <w:p>
            <w:pPr>
              <w:pStyle w:val="55"/>
              <w:keepNext w:val="0"/>
              <w:keepLines w:val="0"/>
              <w:suppressLineNumbers w:val="0"/>
              <w:spacing w:before="1" w:beforeAutospacing="0" w:after="0" w:afterAutospacing="0"/>
              <w:ind w:left="116" w:right="0"/>
              <w:rPr>
                <w:rFonts w:hint="default" w:ascii="仿宋" w:hAnsi="仿宋" w:eastAsia="仿宋" w:cs="仿宋"/>
                <w:color w:val="000000"/>
                <w:szCs w:val="21"/>
              </w:rPr>
            </w:pPr>
            <w:r>
              <w:rPr>
                <w:rFonts w:hint="eastAsia" w:ascii="仿宋" w:hAnsi="仿宋" w:eastAsia="仿宋" w:cs="仿宋"/>
                <w:color w:val="000000"/>
                <w:szCs w:val="21"/>
              </w:rPr>
              <w:t>其中</w:t>
            </w:r>
          </w:p>
        </w:tc>
        <w:tc>
          <w:tcPr>
            <w:tcW w:w="1801" w:type="dxa"/>
            <w:gridSpan w:val="4"/>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51" w:beforeAutospacing="0" w:after="0" w:afterAutospacing="0"/>
              <w:ind w:left="118" w:right="0"/>
              <w:rPr>
                <w:rFonts w:hint="default" w:ascii="仿宋" w:hAnsi="仿宋" w:eastAsia="仿宋" w:cs="仿宋"/>
                <w:color w:val="000000"/>
                <w:szCs w:val="21"/>
              </w:rPr>
            </w:pPr>
            <w:r>
              <w:rPr>
                <w:rFonts w:hint="eastAsia" w:ascii="仿宋" w:hAnsi="仿宋" w:eastAsia="仿宋" w:cs="仿宋"/>
                <w:color w:val="000000"/>
                <w:szCs w:val="21"/>
              </w:rPr>
              <w:t>高级职称人员</w:t>
            </w:r>
          </w:p>
        </w:tc>
        <w:tc>
          <w:tcPr>
            <w:tcW w:w="1442" w:type="dxa"/>
            <w:gridSpan w:val="2"/>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2"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10"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营业执照号</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714" w:type="dxa"/>
            <w:vMerge w:val="continue"/>
            <w:tcBorders>
              <w:top w:val="nil"/>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10" w:beforeAutospacing="0" w:after="0" w:afterAutospacing="0"/>
              <w:ind w:left="118" w:right="0"/>
              <w:rPr>
                <w:rFonts w:hint="default" w:ascii="仿宋" w:hAnsi="仿宋" w:eastAsia="仿宋" w:cs="仿宋"/>
                <w:color w:val="000000"/>
                <w:szCs w:val="21"/>
              </w:rPr>
            </w:pPr>
            <w:r>
              <w:rPr>
                <w:rFonts w:hint="eastAsia" w:ascii="仿宋" w:hAnsi="仿宋" w:eastAsia="仿宋" w:cs="仿宋"/>
                <w:color w:val="000000"/>
                <w:szCs w:val="21"/>
              </w:rPr>
              <w:t>中级职称人员</w:t>
            </w:r>
          </w:p>
        </w:tc>
        <w:tc>
          <w:tcPr>
            <w:tcW w:w="1442" w:type="dxa"/>
            <w:gridSpan w:val="2"/>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9"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79"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注册资金</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714" w:type="dxa"/>
            <w:vMerge w:val="continue"/>
            <w:tcBorders>
              <w:top w:val="nil"/>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79" w:beforeAutospacing="0" w:after="0" w:afterAutospacing="0"/>
              <w:ind w:left="118" w:right="0"/>
              <w:rPr>
                <w:rFonts w:hint="default" w:ascii="仿宋" w:hAnsi="仿宋" w:eastAsia="仿宋" w:cs="仿宋"/>
                <w:color w:val="000000"/>
                <w:szCs w:val="21"/>
              </w:rPr>
            </w:pPr>
            <w:r>
              <w:rPr>
                <w:rFonts w:hint="eastAsia" w:ascii="仿宋" w:hAnsi="仿宋" w:eastAsia="仿宋" w:cs="仿宋"/>
                <w:color w:val="000000"/>
                <w:szCs w:val="21"/>
              </w:rPr>
              <w:t>初级职称人员</w:t>
            </w:r>
          </w:p>
        </w:tc>
        <w:tc>
          <w:tcPr>
            <w:tcW w:w="1442" w:type="dxa"/>
            <w:gridSpan w:val="2"/>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108"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开户银行</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714" w:type="dxa"/>
            <w:vMerge w:val="continue"/>
            <w:tcBorders>
              <w:top w:val="nil"/>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108" w:beforeAutospacing="0" w:after="0" w:afterAutospacing="0"/>
              <w:ind w:left="118" w:right="0"/>
              <w:rPr>
                <w:rFonts w:hint="default" w:ascii="仿宋" w:hAnsi="仿宋" w:eastAsia="仿宋" w:cs="仿宋"/>
                <w:color w:val="000000"/>
                <w:szCs w:val="21"/>
              </w:rPr>
            </w:pPr>
            <w:r>
              <w:rPr>
                <w:rFonts w:hint="eastAsia" w:ascii="仿宋" w:hAnsi="仿宋" w:eastAsia="仿宋" w:cs="仿宋"/>
                <w:color w:val="000000"/>
                <w:szCs w:val="21"/>
              </w:rPr>
              <w:t>其他……</w:t>
            </w:r>
          </w:p>
        </w:tc>
        <w:tc>
          <w:tcPr>
            <w:tcW w:w="1442" w:type="dxa"/>
            <w:gridSpan w:val="2"/>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7" w:hRule="atLeast"/>
          <w:jc w:val="center"/>
        </w:trPr>
        <w:tc>
          <w:tcPr>
            <w:tcW w:w="1985" w:type="dxa"/>
            <w:tcBorders>
              <w:top w:val="single" w:color="000000" w:sz="6" w:space="0"/>
              <w:bottom w:val="single" w:color="000000" w:sz="6" w:space="0"/>
              <w:right w:val="single" w:color="000000" w:sz="6" w:space="0"/>
            </w:tcBorders>
          </w:tcPr>
          <w:p>
            <w:pPr>
              <w:pStyle w:val="55"/>
              <w:keepNext w:val="0"/>
              <w:keepLines w:val="0"/>
              <w:suppressLineNumbers w:val="0"/>
              <w:spacing w:before="52"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账号</w:t>
            </w:r>
          </w:p>
        </w:tc>
        <w:tc>
          <w:tcPr>
            <w:tcW w:w="2874" w:type="dxa"/>
            <w:gridSpan w:val="2"/>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714" w:type="dxa"/>
            <w:vMerge w:val="continue"/>
            <w:tcBorders>
              <w:top w:val="nil"/>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801" w:type="dxa"/>
            <w:gridSpan w:val="4"/>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442" w:type="dxa"/>
            <w:gridSpan w:val="2"/>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985" w:type="dxa"/>
            <w:tcBorders>
              <w:top w:val="single" w:color="000000" w:sz="6" w:space="0"/>
              <w:right w:val="single" w:color="000000" w:sz="6" w:space="0"/>
            </w:tcBorders>
          </w:tcPr>
          <w:p>
            <w:pPr>
              <w:pStyle w:val="55"/>
              <w:keepNext w:val="0"/>
              <w:keepLines w:val="0"/>
              <w:suppressLineNumbers w:val="0"/>
              <w:spacing w:before="93" w:beforeAutospacing="0" w:after="0" w:afterAutospacing="0"/>
              <w:ind w:left="107" w:right="0"/>
              <w:rPr>
                <w:rFonts w:hint="default" w:ascii="仿宋" w:hAnsi="仿宋" w:eastAsia="仿宋" w:cs="仿宋"/>
                <w:color w:val="000000"/>
                <w:szCs w:val="21"/>
              </w:rPr>
            </w:pPr>
            <w:r>
              <w:rPr>
                <w:rFonts w:hint="eastAsia" w:ascii="仿宋" w:hAnsi="仿宋" w:eastAsia="仿宋" w:cs="仿宋"/>
                <w:color w:val="000000"/>
                <w:szCs w:val="21"/>
              </w:rPr>
              <w:t>经营范围备注</w:t>
            </w:r>
          </w:p>
        </w:tc>
        <w:tc>
          <w:tcPr>
            <w:tcW w:w="6831" w:type="dxa"/>
            <w:gridSpan w:val="9"/>
            <w:tcBorders>
              <w:top w:val="single" w:color="000000" w:sz="6" w:space="0"/>
              <w:lef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bl>
    <w:p>
      <w:pPr>
        <w:pStyle w:val="14"/>
        <w:spacing w:before="4"/>
        <w:rPr>
          <w:rFonts w:ascii="仿宋" w:hAnsi="仿宋" w:eastAsia="仿宋" w:cs="仿宋"/>
          <w:b/>
          <w:color w:val="000000"/>
          <w:sz w:val="21"/>
          <w:szCs w:val="21"/>
        </w:rPr>
      </w:pPr>
    </w:p>
    <w:p>
      <w:pPr>
        <w:rPr>
          <w:rFonts w:ascii="仿宋" w:hAnsi="仿宋" w:eastAsia="仿宋" w:cs="仿宋"/>
          <w:color w:val="000000"/>
          <w:sz w:val="24"/>
        </w:rPr>
      </w:pPr>
      <w:r>
        <w:rPr>
          <w:rFonts w:hint="eastAsia" w:ascii="仿宋" w:hAnsi="仿宋" w:eastAsia="仿宋" w:cs="仿宋"/>
          <w:color w:val="000000"/>
          <w:sz w:val="24"/>
        </w:rPr>
        <w:br w:type="page"/>
      </w:r>
    </w:p>
    <w:p>
      <w:pPr>
        <w:rPr>
          <w:rFonts w:ascii="宋体" w:hAnsi="宋体"/>
          <w:b/>
          <w:color w:val="000000"/>
          <w:sz w:val="24"/>
        </w:rPr>
      </w:pPr>
      <w:bookmarkStart w:id="76" w:name="_Toc8022"/>
      <w:bookmarkStart w:id="77" w:name="_Toc16932"/>
      <w:r>
        <w:rPr>
          <w:rFonts w:hint="eastAsia" w:ascii="宋体" w:hAnsi="宋体"/>
          <w:b/>
          <w:color w:val="000000"/>
          <w:sz w:val="24"/>
        </w:rPr>
        <w:t>附件 3-2 投标人单位简介</w:t>
      </w:r>
      <w:bookmarkEnd w:id="76"/>
      <w:bookmarkEnd w:id="77"/>
    </w:p>
    <w:p>
      <w:pPr>
        <w:pStyle w:val="14"/>
        <w:rPr>
          <w:rFonts w:ascii="仿宋" w:hAnsi="仿宋" w:eastAsia="仿宋" w:cs="仿宋"/>
          <w:b/>
          <w:color w:val="000000"/>
          <w:sz w:val="21"/>
          <w:szCs w:val="21"/>
        </w:rPr>
      </w:pPr>
    </w:p>
    <w:p>
      <w:pPr>
        <w:pStyle w:val="14"/>
        <w:spacing w:before="11"/>
        <w:rPr>
          <w:rFonts w:ascii="仿宋" w:hAnsi="仿宋" w:eastAsia="仿宋" w:cs="仿宋"/>
          <w:b/>
          <w:color w:val="000000"/>
          <w:sz w:val="21"/>
          <w:szCs w:val="21"/>
        </w:rPr>
      </w:pPr>
    </w:p>
    <w:p>
      <w:pPr>
        <w:rPr>
          <w:color w:val="000000"/>
        </w:rPr>
      </w:pPr>
    </w:p>
    <w:p>
      <w:pPr>
        <w:pStyle w:val="44"/>
        <w:spacing w:line="360" w:lineRule="auto"/>
        <w:ind w:right="-92" w:rightChars="-44"/>
        <w:jc w:val="both"/>
        <w:rPr>
          <w:rFonts w:ascii="仿宋" w:hAnsi="仿宋" w:eastAsia="仿宋" w:cs="仿宋"/>
          <w:color w:val="000000"/>
          <w:sz w:val="24"/>
          <w:szCs w:val="24"/>
        </w:rPr>
      </w:pPr>
      <w:r>
        <w:rPr>
          <w:rFonts w:hint="eastAsia" w:ascii="仿宋" w:hAnsi="仿宋" w:eastAsia="仿宋" w:cs="仿宋"/>
          <w:color w:val="000000"/>
          <w:sz w:val="24"/>
          <w:szCs w:val="24"/>
        </w:rPr>
        <w:t>（包括但不限于投标人实力、业务范围、所有权状况、组织机构及职能、人员构成、单位的场地环境和软硬件设施等）</w:t>
      </w:r>
    </w:p>
    <w:p>
      <w:pPr>
        <w:pStyle w:val="44"/>
        <w:spacing w:line="360" w:lineRule="auto"/>
        <w:ind w:right="-92" w:rightChars="-44"/>
        <w:jc w:val="both"/>
        <w:rPr>
          <w:rFonts w:ascii="仿宋" w:hAnsi="仿宋" w:eastAsia="仿宋" w:cs="仿宋"/>
          <w:color w:val="000000"/>
        </w:rPr>
      </w:pPr>
    </w:p>
    <w:p>
      <w:pPr>
        <w:pStyle w:val="44"/>
        <w:spacing w:line="360" w:lineRule="auto"/>
        <w:ind w:right="-92" w:rightChars="-44"/>
        <w:jc w:val="both"/>
        <w:rPr>
          <w:rFonts w:ascii="仿宋" w:hAnsi="仿宋" w:eastAsia="仿宋" w:cs="仿宋"/>
          <w:color w:val="000000"/>
        </w:rPr>
      </w:pPr>
    </w:p>
    <w:p>
      <w:pPr>
        <w:pStyle w:val="44"/>
        <w:spacing w:line="360" w:lineRule="auto"/>
        <w:ind w:right="-92" w:rightChars="-44"/>
        <w:jc w:val="both"/>
        <w:rPr>
          <w:rFonts w:ascii="仿宋" w:hAnsi="仿宋" w:eastAsia="仿宋" w:cs="仿宋"/>
          <w:color w:val="000000"/>
        </w:rPr>
        <w:sectPr>
          <w:pgSz w:w="11906" w:h="16838"/>
          <w:pgMar w:top="1440" w:right="1800" w:bottom="1440" w:left="1800" w:header="851" w:footer="992" w:gutter="0"/>
          <w:cols w:space="425" w:num="1"/>
          <w:docGrid w:type="lines" w:linePitch="312" w:charSpace="0"/>
        </w:sectPr>
      </w:pPr>
    </w:p>
    <w:bookmarkEnd w:id="65"/>
    <w:p>
      <w:pPr>
        <w:rPr>
          <w:rFonts w:ascii="仿宋" w:hAnsi="仿宋" w:eastAsia="仿宋"/>
          <w:b/>
          <w:color w:val="000000"/>
          <w:sz w:val="24"/>
        </w:rPr>
      </w:pPr>
      <w:bookmarkStart w:id="78" w:name="_Toc18885"/>
      <w:bookmarkStart w:id="79" w:name="_Toc30877"/>
      <w:r>
        <w:rPr>
          <w:rFonts w:hint="eastAsia" w:ascii="仿宋" w:hAnsi="仿宋" w:eastAsia="仿宋"/>
          <w:b/>
          <w:color w:val="000000"/>
          <w:sz w:val="24"/>
        </w:rPr>
        <w:t>附件 3-3 投标人同类型项目案例（业绩）情况介绍</w:t>
      </w:r>
      <w:bookmarkEnd w:id="78"/>
      <w:bookmarkEnd w:id="79"/>
    </w:p>
    <w:p>
      <w:pPr>
        <w:pStyle w:val="14"/>
        <w:rPr>
          <w:rFonts w:ascii="仿宋" w:hAnsi="仿宋" w:eastAsia="仿宋" w:cs="仿宋"/>
          <w:b/>
          <w:color w:val="000000"/>
        </w:rPr>
      </w:pPr>
    </w:p>
    <w:p>
      <w:pPr>
        <w:pStyle w:val="14"/>
        <w:rPr>
          <w:rFonts w:ascii="仿宋" w:hAnsi="仿宋" w:eastAsia="仿宋" w:cs="仿宋"/>
          <w:b/>
          <w:color w:val="000000"/>
        </w:rPr>
      </w:pPr>
    </w:p>
    <w:p>
      <w:pPr>
        <w:pStyle w:val="14"/>
        <w:ind w:left="532" w:right="453"/>
        <w:jc w:val="center"/>
        <w:rPr>
          <w:rFonts w:ascii="仿宋" w:hAnsi="仿宋" w:eastAsia="仿宋" w:cs="仿宋"/>
          <w:color w:val="000000"/>
        </w:rPr>
      </w:pPr>
      <w:r>
        <w:rPr>
          <w:rFonts w:hint="eastAsia" w:ascii="仿宋" w:hAnsi="仿宋" w:eastAsia="仿宋" w:cs="仿宋"/>
          <w:color w:val="000000"/>
        </w:rPr>
        <w:t>业绩统计一览表和合同履行情况</w:t>
      </w:r>
    </w:p>
    <w:p>
      <w:pPr>
        <w:pStyle w:val="14"/>
        <w:spacing w:before="7"/>
        <w:rPr>
          <w:rFonts w:ascii="仿宋" w:hAnsi="仿宋" w:eastAsia="仿宋" w:cs="仿宋"/>
          <w:color w:val="000000"/>
          <w:sz w:val="21"/>
          <w:szCs w:val="21"/>
        </w:rPr>
      </w:pPr>
    </w:p>
    <w:tbl>
      <w:tblPr>
        <w:tblStyle w:val="28"/>
        <w:tblW w:w="832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5"/>
        <w:gridCol w:w="2249"/>
        <w:gridCol w:w="928"/>
        <w:gridCol w:w="1008"/>
        <w:gridCol w:w="1020"/>
        <w:gridCol w:w="847"/>
        <w:gridCol w:w="837"/>
        <w:gridCol w:w="56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78" w:hRule="atLeast"/>
          <w:jc w:val="center"/>
        </w:trPr>
        <w:tc>
          <w:tcPr>
            <w:tcW w:w="875" w:type="dxa"/>
            <w:tcBorders>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序号</w:t>
            </w:r>
          </w:p>
        </w:tc>
        <w:tc>
          <w:tcPr>
            <w:tcW w:w="2249"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项目委托单位、联系人及电话</w:t>
            </w:r>
          </w:p>
        </w:tc>
        <w:tc>
          <w:tcPr>
            <w:tcW w:w="928"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项目</w:t>
            </w:r>
          </w:p>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名称</w:t>
            </w:r>
          </w:p>
        </w:tc>
        <w:tc>
          <w:tcPr>
            <w:tcW w:w="1008"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项目</w:t>
            </w:r>
          </w:p>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内容</w:t>
            </w:r>
          </w:p>
        </w:tc>
        <w:tc>
          <w:tcPr>
            <w:tcW w:w="1020"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合同</w:t>
            </w:r>
          </w:p>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金额</w:t>
            </w:r>
          </w:p>
        </w:tc>
        <w:tc>
          <w:tcPr>
            <w:tcW w:w="847"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合同</w:t>
            </w:r>
            <w:r>
              <w:rPr>
                <w:rFonts w:hint="eastAsia" w:ascii="仿宋" w:hAnsi="仿宋" w:eastAsia="仿宋" w:cs="仿宋"/>
                <w:color w:val="000000"/>
                <w:spacing w:val="-9"/>
                <w:szCs w:val="21"/>
              </w:rPr>
              <w:t>签订日期</w:t>
            </w:r>
          </w:p>
        </w:tc>
        <w:tc>
          <w:tcPr>
            <w:tcW w:w="837" w:type="dxa"/>
            <w:tcBorders>
              <w:left w:val="single" w:color="000000" w:sz="6" w:space="0"/>
              <w:bottom w:val="single" w:color="000000" w:sz="6" w:space="0"/>
              <w:right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完成</w:t>
            </w:r>
          </w:p>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情况</w:t>
            </w:r>
          </w:p>
        </w:tc>
        <w:tc>
          <w:tcPr>
            <w:tcW w:w="565" w:type="dxa"/>
            <w:tcBorders>
              <w:left w:val="single" w:color="000000" w:sz="6" w:space="0"/>
              <w:bottom w:val="single" w:color="000000" w:sz="6" w:space="0"/>
            </w:tcBorders>
            <w:vAlign w:val="center"/>
          </w:tcPr>
          <w:p>
            <w:pPr>
              <w:pStyle w:val="55"/>
              <w:keepNext w:val="0"/>
              <w:keepLines w:val="0"/>
              <w:suppressLineNumbers w:val="0"/>
              <w:autoSpaceDE w:val="0"/>
              <w:autoSpaceDN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bottom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bottom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875" w:type="dxa"/>
            <w:tcBorders>
              <w:top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2249" w:type="dxa"/>
            <w:tcBorders>
              <w:top w:val="single" w:color="000000" w:sz="6" w:space="0"/>
              <w:left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928" w:type="dxa"/>
            <w:tcBorders>
              <w:top w:val="single" w:color="000000" w:sz="6" w:space="0"/>
              <w:left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08" w:type="dxa"/>
            <w:tcBorders>
              <w:top w:val="single" w:color="000000" w:sz="6" w:space="0"/>
              <w:left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1020" w:type="dxa"/>
            <w:tcBorders>
              <w:top w:val="single" w:color="000000" w:sz="6" w:space="0"/>
              <w:left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47" w:type="dxa"/>
            <w:tcBorders>
              <w:top w:val="single" w:color="000000" w:sz="6" w:space="0"/>
              <w:left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837" w:type="dxa"/>
            <w:tcBorders>
              <w:top w:val="single" w:color="000000" w:sz="6" w:space="0"/>
              <w:left w:val="single" w:color="000000" w:sz="6" w:space="0"/>
              <w:righ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c>
          <w:tcPr>
            <w:tcW w:w="565" w:type="dxa"/>
            <w:tcBorders>
              <w:top w:val="single" w:color="000000" w:sz="6" w:space="0"/>
              <w:left w:val="single" w:color="000000" w:sz="6" w:space="0"/>
            </w:tcBorders>
          </w:tcPr>
          <w:p>
            <w:pPr>
              <w:pStyle w:val="55"/>
              <w:keepNext w:val="0"/>
              <w:keepLines w:val="0"/>
              <w:suppressLineNumbers w:val="0"/>
              <w:spacing w:before="0" w:beforeAutospacing="0" w:after="0" w:afterAutospacing="0"/>
              <w:ind w:left="0" w:right="0"/>
              <w:rPr>
                <w:rFonts w:hint="default" w:ascii="仿宋" w:hAnsi="仿宋" w:eastAsia="仿宋" w:cs="仿宋"/>
                <w:color w:val="000000"/>
                <w:szCs w:val="21"/>
              </w:rPr>
            </w:pPr>
          </w:p>
        </w:tc>
      </w:tr>
    </w:tbl>
    <w:p>
      <w:pPr>
        <w:spacing w:before="41"/>
        <w:jc w:val="left"/>
        <w:rPr>
          <w:rFonts w:ascii="仿宋" w:hAnsi="仿宋" w:eastAsia="仿宋" w:cs="仿宋"/>
          <w:color w:val="000000"/>
          <w:szCs w:val="21"/>
        </w:rPr>
      </w:pPr>
      <w:r>
        <w:rPr>
          <w:rFonts w:hint="eastAsia" w:ascii="仿宋" w:hAnsi="仿宋" w:eastAsia="仿宋" w:cs="仿宋"/>
          <w:color w:val="000000"/>
          <w:szCs w:val="21"/>
        </w:rPr>
        <w:t>注：1.请</w:t>
      </w:r>
      <w:r>
        <w:rPr>
          <w:rFonts w:hint="eastAsia" w:ascii="仿宋" w:hAnsi="仿宋" w:eastAsia="仿宋" w:cs="仿宋"/>
          <w:color w:val="000000"/>
          <w:spacing w:val="-2"/>
          <w:szCs w:val="21"/>
        </w:rPr>
        <w:t>投标人</w:t>
      </w:r>
      <w:r>
        <w:rPr>
          <w:rFonts w:hint="eastAsia" w:ascii="仿宋" w:hAnsi="仿宋" w:eastAsia="仿宋" w:cs="仿宋"/>
          <w:color w:val="000000"/>
          <w:szCs w:val="21"/>
        </w:rPr>
        <w:t>按照合同签订时间先后顺序填写此表，并按照同一顺序附相关证明材料。</w:t>
      </w:r>
    </w:p>
    <w:p>
      <w:pPr>
        <w:spacing w:before="41"/>
        <w:jc w:val="left"/>
        <w:rPr>
          <w:rFonts w:ascii="仿宋" w:hAnsi="仿宋" w:eastAsia="仿宋" w:cs="仿宋"/>
          <w:color w:val="000000"/>
        </w:rPr>
      </w:pPr>
      <w:r>
        <w:rPr>
          <w:rFonts w:hint="eastAsia" w:ascii="仿宋" w:hAnsi="仿宋" w:eastAsia="仿宋" w:cs="仿宋"/>
          <w:color w:val="000000"/>
          <w:szCs w:val="21"/>
        </w:rPr>
        <w:t>2.投标人近三年（20</w:t>
      </w:r>
      <w:r>
        <w:rPr>
          <w:rFonts w:ascii="仿宋" w:hAnsi="仿宋" w:eastAsia="仿宋" w:cs="仿宋"/>
          <w:color w:val="000000"/>
          <w:szCs w:val="21"/>
        </w:rPr>
        <w:t>2</w:t>
      </w:r>
      <w:r>
        <w:rPr>
          <w:rFonts w:hint="eastAsia" w:ascii="仿宋" w:hAnsi="仿宋" w:eastAsia="仿宋" w:cs="仿宋"/>
          <w:color w:val="000000"/>
          <w:szCs w:val="21"/>
          <w:lang w:val="en-US" w:eastAsia="zh-CN"/>
        </w:rPr>
        <w:t>1</w:t>
      </w:r>
      <w:r>
        <w:rPr>
          <w:rFonts w:hint="eastAsia" w:ascii="仿宋" w:hAnsi="仿宋" w:eastAsia="仿宋" w:cs="仿宋"/>
          <w:color w:val="000000"/>
          <w:szCs w:val="21"/>
        </w:rPr>
        <w:t>年</w:t>
      </w:r>
      <w:r>
        <w:rPr>
          <w:rFonts w:hint="eastAsia" w:ascii="仿宋" w:hAnsi="仿宋" w:eastAsia="仿宋" w:cs="仿宋"/>
          <w:color w:val="000000"/>
          <w:szCs w:val="21"/>
          <w:lang w:val="en-US" w:eastAsia="zh-CN"/>
        </w:rPr>
        <w:t>1</w:t>
      </w:r>
      <w:r>
        <w:rPr>
          <w:rFonts w:hint="eastAsia" w:ascii="仿宋" w:hAnsi="仿宋" w:eastAsia="仿宋" w:cs="仿宋"/>
          <w:color w:val="000000"/>
          <w:szCs w:val="21"/>
        </w:rPr>
        <w:t>月1日-至今）类似业绩，须提供中标通知书（成交通知书）及合同扫描件加盖电子公章，未提供相关证明材料或提供证明材料不全者不得分。</w:t>
      </w:r>
    </w:p>
    <w:p>
      <w:pPr>
        <w:spacing w:before="3"/>
        <w:jc w:val="left"/>
        <w:rPr>
          <w:rFonts w:ascii="仿宋" w:hAnsi="仿宋" w:eastAsia="仿宋" w:cs="仿宋"/>
          <w:color w:val="000000"/>
          <w:szCs w:val="21"/>
        </w:rPr>
      </w:pPr>
      <w:r>
        <w:rPr>
          <w:rFonts w:ascii="仿宋" w:hAnsi="仿宋" w:eastAsia="仿宋" w:cs="仿宋"/>
          <w:color w:val="000000"/>
          <w:szCs w:val="21"/>
        </w:rPr>
        <w:t>3.</w:t>
      </w:r>
      <w:r>
        <w:rPr>
          <w:rFonts w:hint="eastAsia" w:ascii="仿宋" w:hAnsi="仿宋" w:eastAsia="仿宋" w:cs="仿宋"/>
          <w:color w:val="000000"/>
          <w:szCs w:val="21"/>
        </w:rPr>
        <w:t>投标人提供虚假合同的，按虚假投标处理。</w:t>
      </w:r>
    </w:p>
    <w:p>
      <w:pPr>
        <w:pStyle w:val="14"/>
        <w:rPr>
          <w:rFonts w:ascii="仿宋" w:hAnsi="仿宋" w:eastAsia="仿宋" w:cs="仿宋"/>
          <w:color w:val="000000"/>
          <w:sz w:val="21"/>
          <w:szCs w:val="21"/>
        </w:rPr>
      </w:pPr>
    </w:p>
    <w:p>
      <w:pPr>
        <w:pStyle w:val="14"/>
        <w:spacing w:before="8"/>
        <w:rPr>
          <w:rFonts w:ascii="仿宋" w:hAnsi="仿宋" w:eastAsia="仿宋" w:cs="仿宋"/>
          <w:color w:val="000000"/>
          <w:sz w:val="21"/>
          <w:szCs w:val="21"/>
        </w:rPr>
      </w:pPr>
    </w:p>
    <w:p>
      <w:pPr>
        <w:pStyle w:val="14"/>
        <w:tabs>
          <w:tab w:val="left" w:pos="3360"/>
          <w:tab w:val="left" w:pos="5041"/>
        </w:tabs>
        <w:ind w:left="360"/>
        <w:rPr>
          <w:rFonts w:ascii="仿宋" w:hAnsi="仿宋" w:eastAsia="仿宋" w:cs="仿宋"/>
          <w:color w:val="000000"/>
        </w:rPr>
      </w:pPr>
      <w:r>
        <w:rPr>
          <w:rFonts w:hint="eastAsia" w:ascii="仿宋" w:hAnsi="仿宋" w:eastAsia="仿宋" w:cs="仿宋"/>
          <w:color w:val="000000"/>
          <w:spacing w:val="-2"/>
          <w:lang w:val="en-US"/>
        </w:rPr>
        <w:t>投标人</w:t>
      </w:r>
      <w:r>
        <w:rPr>
          <w:rFonts w:hint="eastAsia" w:ascii="仿宋" w:hAnsi="仿宋" w:eastAsia="仿宋" w:cs="仿宋"/>
          <w:color w:val="000000"/>
        </w:rPr>
        <w:t>名称：</w:t>
      </w:r>
      <w:r>
        <w:rPr>
          <w:rFonts w:hint="eastAsia" w:ascii="仿宋" w:hAnsi="仿宋" w:eastAsia="仿宋" w:cs="仿宋"/>
          <w:color w:val="000000"/>
          <w:u w:val="single"/>
        </w:rPr>
        <w:tab/>
      </w:r>
      <w:r>
        <w:rPr>
          <w:rFonts w:hint="eastAsia" w:ascii="仿宋" w:hAnsi="仿宋" w:eastAsia="仿宋" w:cs="仿宋"/>
          <w:color w:val="000000"/>
        </w:rPr>
        <w:t>（盖电子公章）</w:t>
      </w:r>
      <w:r>
        <w:rPr>
          <w:rFonts w:hint="eastAsia" w:ascii="仿宋" w:hAnsi="仿宋" w:eastAsia="仿宋" w:cs="仿宋"/>
          <w:color w:val="000000"/>
        </w:rPr>
        <w:tab/>
      </w:r>
    </w:p>
    <w:p>
      <w:pPr>
        <w:pStyle w:val="14"/>
        <w:tabs>
          <w:tab w:val="left" w:pos="3240"/>
        </w:tabs>
        <w:spacing w:before="160" w:line="242" w:lineRule="auto"/>
        <w:ind w:left="360" w:right="-314"/>
        <w:rPr>
          <w:rFonts w:ascii="仿宋" w:hAnsi="仿宋" w:eastAsia="仿宋" w:cs="仿宋"/>
          <w:color w:val="000000"/>
        </w:rPr>
      </w:pPr>
      <w:r>
        <w:rPr>
          <w:rFonts w:hint="eastAsia" w:ascii="仿宋" w:hAnsi="仿宋" w:eastAsia="仿宋" w:cs="仿宋"/>
          <w:color w:val="000000"/>
        </w:rPr>
        <w:t>法人代表或其授权人：（签字或</w:t>
      </w:r>
      <w:r>
        <w:rPr>
          <w:rFonts w:hint="eastAsia" w:ascii="仿宋" w:hAnsi="仿宋" w:eastAsia="仿宋" w:cs="仿宋"/>
          <w:color w:val="000000"/>
          <w:lang w:val="en-US"/>
        </w:rPr>
        <w:t>盖电子</w:t>
      </w:r>
      <w:r>
        <w:rPr>
          <w:rFonts w:hint="eastAsia" w:ascii="仿宋" w:hAnsi="仿宋" w:eastAsia="仿宋" w:cs="仿宋"/>
          <w:color w:val="000000"/>
        </w:rPr>
        <w:t xml:space="preserve">章） </w:t>
      </w:r>
    </w:p>
    <w:p>
      <w:pPr>
        <w:pStyle w:val="14"/>
        <w:tabs>
          <w:tab w:val="left" w:pos="3240"/>
          <w:tab w:val="left" w:pos="3535"/>
        </w:tabs>
        <w:spacing w:before="160" w:line="242" w:lineRule="auto"/>
        <w:ind w:left="360" w:right="4863"/>
        <w:rPr>
          <w:rFonts w:ascii="仿宋" w:hAnsi="仿宋" w:eastAsia="仿宋" w:cs="仿宋"/>
          <w:color w:val="000000"/>
        </w:rPr>
      </w:pPr>
      <w:r>
        <w:rPr>
          <w:rFonts w:hint="eastAsia" w:ascii="仿宋" w:hAnsi="仿宋" w:eastAsia="仿宋" w:cs="仿宋"/>
          <w:color w:val="000000"/>
        </w:rPr>
        <w:t>日期：</w:t>
      </w:r>
      <w:r>
        <w:rPr>
          <w:rFonts w:hint="eastAsia" w:ascii="仿宋" w:hAnsi="仿宋" w:eastAsia="仿宋" w:cs="仿宋"/>
          <w:color w:val="000000"/>
          <w:u w:val="single"/>
        </w:rPr>
        <w:tab/>
      </w:r>
      <w:r>
        <w:rPr>
          <w:rFonts w:hint="eastAsia" w:ascii="仿宋" w:hAnsi="仿宋" w:eastAsia="仿宋" w:cs="仿宋"/>
          <w:color w:val="000000"/>
          <w:u w:val="single"/>
        </w:rPr>
        <w:tab/>
      </w:r>
    </w:p>
    <w:p>
      <w:pPr>
        <w:pStyle w:val="44"/>
        <w:spacing w:line="360" w:lineRule="auto"/>
        <w:rPr>
          <w:rFonts w:ascii="仿宋" w:hAnsi="仿宋" w:eastAsia="仿宋" w:cs="仿宋"/>
          <w:bCs w:val="0"/>
          <w:color w:val="000000"/>
          <w:sz w:val="24"/>
          <w:szCs w:val="24"/>
        </w:rPr>
      </w:pPr>
    </w:p>
    <w:p>
      <w:pPr>
        <w:pStyle w:val="44"/>
        <w:spacing w:line="360" w:lineRule="auto"/>
        <w:rPr>
          <w:rFonts w:ascii="仿宋" w:hAnsi="仿宋" w:eastAsia="仿宋" w:cs="仿宋"/>
          <w:bCs w:val="0"/>
          <w:color w:val="000000"/>
          <w:sz w:val="24"/>
          <w:szCs w:val="24"/>
        </w:rPr>
      </w:pPr>
    </w:p>
    <w:p>
      <w:pPr>
        <w:pStyle w:val="44"/>
        <w:spacing w:line="360" w:lineRule="auto"/>
        <w:rPr>
          <w:rFonts w:ascii="仿宋" w:hAnsi="仿宋" w:eastAsia="仿宋" w:cs="仿宋"/>
          <w:bCs w:val="0"/>
          <w:color w:val="000000"/>
          <w:sz w:val="24"/>
          <w:szCs w:val="24"/>
        </w:rPr>
        <w:sectPr>
          <w:pgSz w:w="11906" w:h="16838"/>
          <w:pgMar w:top="1440" w:right="1800" w:bottom="1440" w:left="1800" w:header="851" w:footer="992" w:gutter="0"/>
          <w:cols w:space="425" w:num="1"/>
          <w:docGrid w:type="lines" w:linePitch="312" w:charSpace="0"/>
        </w:sectPr>
      </w:pPr>
    </w:p>
    <w:p>
      <w:pPr>
        <w:pStyle w:val="44"/>
        <w:spacing w:line="360" w:lineRule="auto"/>
        <w:jc w:val="both"/>
        <w:rPr>
          <w:rFonts w:ascii="仿宋" w:hAnsi="仿宋" w:eastAsia="仿宋" w:cs="仿宋"/>
          <w:b/>
          <w:color w:val="000000"/>
          <w:sz w:val="24"/>
          <w:szCs w:val="24"/>
        </w:rPr>
      </w:pPr>
      <w:bookmarkStart w:id="80" w:name="_Toc31811"/>
      <w:bookmarkStart w:id="81" w:name="_Toc7415"/>
      <w:bookmarkStart w:id="82" w:name="_Toc507399530"/>
      <w:r>
        <w:rPr>
          <w:rFonts w:hint="eastAsia" w:ascii="仿宋" w:hAnsi="仿宋" w:eastAsia="仿宋" w:cs="仿宋"/>
          <w:b/>
          <w:color w:val="000000"/>
          <w:sz w:val="24"/>
          <w:szCs w:val="24"/>
        </w:rPr>
        <w:t xml:space="preserve">附件4   </w:t>
      </w:r>
      <w:bookmarkStart w:id="83" w:name="_Hlt520355504"/>
      <w:bookmarkEnd w:id="83"/>
      <w:r>
        <w:rPr>
          <w:rFonts w:hint="eastAsia" w:ascii="仿宋" w:hAnsi="仿宋" w:eastAsia="仿宋" w:cs="仿宋"/>
          <w:b/>
          <w:color w:val="000000"/>
          <w:sz w:val="24"/>
          <w:szCs w:val="24"/>
        </w:rPr>
        <w:t>投标书</w:t>
      </w:r>
      <w:bookmarkEnd w:id="80"/>
      <w:bookmarkEnd w:id="81"/>
      <w:bookmarkEnd w:id="82"/>
    </w:p>
    <w:p>
      <w:pPr>
        <w:pStyle w:val="44"/>
        <w:spacing w:line="360" w:lineRule="auto"/>
        <w:jc w:val="center"/>
        <w:rPr>
          <w:rFonts w:ascii="仿宋" w:hAnsi="仿宋" w:eastAsia="仿宋" w:cs="仿宋"/>
          <w:bCs w:val="0"/>
          <w:color w:val="000000"/>
          <w:sz w:val="32"/>
          <w:szCs w:val="32"/>
        </w:rPr>
      </w:pPr>
      <w:r>
        <w:rPr>
          <w:rFonts w:hint="eastAsia" w:ascii="仿宋" w:hAnsi="仿宋" w:eastAsia="仿宋" w:cs="仿宋"/>
          <w:b/>
          <w:color w:val="000000"/>
          <w:sz w:val="32"/>
          <w:szCs w:val="32"/>
        </w:rPr>
        <w:t>投标书</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致：新疆新世纪招标有限公司</w:t>
      </w:r>
    </w:p>
    <w:p>
      <w:pPr>
        <w:pStyle w:val="44"/>
        <w:spacing w:line="440" w:lineRule="exact"/>
        <w:rPr>
          <w:rFonts w:ascii="仿宋" w:hAnsi="仿宋" w:eastAsia="仿宋" w:cs="仿宋"/>
          <w:bCs w:val="0"/>
          <w:color w:val="000000"/>
          <w:sz w:val="24"/>
          <w:szCs w:val="24"/>
        </w:rPr>
      </w:pPr>
    </w:p>
    <w:p>
      <w:pPr>
        <w:pStyle w:val="44"/>
        <w:spacing w:line="440" w:lineRule="exact"/>
        <w:ind w:firstLine="520" w:firstLineChars="200"/>
        <w:rPr>
          <w:rFonts w:ascii="仿宋" w:hAnsi="仿宋" w:eastAsia="仿宋" w:cs="仿宋"/>
          <w:bCs w:val="0"/>
          <w:color w:val="000000"/>
          <w:sz w:val="24"/>
          <w:szCs w:val="24"/>
        </w:rPr>
      </w:pPr>
      <w:r>
        <w:rPr>
          <w:rFonts w:hint="eastAsia" w:ascii="仿宋" w:hAnsi="仿宋" w:eastAsia="仿宋" w:cs="仿宋"/>
          <w:bCs w:val="0"/>
          <w:color w:val="000000"/>
          <w:sz w:val="24"/>
          <w:szCs w:val="24"/>
        </w:rPr>
        <w:t>根据贵方为</w:t>
      </w:r>
      <w:r>
        <w:rPr>
          <w:rFonts w:hint="eastAsia" w:ascii="仿宋" w:hAnsi="仿宋" w:eastAsia="仿宋" w:cs="仿宋"/>
          <w:bCs w:val="0"/>
          <w:color w:val="000000"/>
          <w:sz w:val="24"/>
          <w:szCs w:val="24"/>
          <w:u w:val="single"/>
        </w:rPr>
        <w:t xml:space="preserve">  (项目名称、招标编号)  </w:t>
      </w:r>
      <w:r>
        <w:rPr>
          <w:rFonts w:hint="eastAsia" w:ascii="仿宋" w:hAnsi="仿宋" w:eastAsia="仿宋" w:cs="仿宋"/>
          <w:bCs w:val="0"/>
          <w:color w:val="000000"/>
          <w:sz w:val="24"/>
          <w:szCs w:val="24"/>
        </w:rPr>
        <w:t>项目的投标邀请,签字代表</w:t>
      </w:r>
      <w:r>
        <w:rPr>
          <w:rFonts w:hint="eastAsia" w:ascii="仿宋" w:hAnsi="仿宋" w:eastAsia="仿宋" w:cs="仿宋"/>
          <w:bCs w:val="0"/>
          <w:color w:val="000000"/>
          <w:sz w:val="24"/>
          <w:szCs w:val="24"/>
          <w:u w:val="single"/>
        </w:rPr>
        <w:t>(姓名、职务)</w:t>
      </w:r>
      <w:r>
        <w:rPr>
          <w:rFonts w:hint="eastAsia" w:ascii="仿宋" w:hAnsi="仿宋" w:eastAsia="仿宋" w:cs="仿宋"/>
          <w:bCs w:val="0"/>
          <w:color w:val="000000"/>
          <w:sz w:val="24"/>
          <w:szCs w:val="24"/>
        </w:rPr>
        <w:t>经正式授权并代表投标人</w:t>
      </w:r>
      <w:r>
        <w:rPr>
          <w:rFonts w:hint="eastAsia" w:ascii="仿宋" w:hAnsi="仿宋" w:eastAsia="仿宋" w:cs="仿宋"/>
          <w:bCs w:val="0"/>
          <w:color w:val="000000"/>
          <w:sz w:val="24"/>
          <w:szCs w:val="24"/>
          <w:u w:val="single"/>
        </w:rPr>
        <w:t xml:space="preserve">  （投标人名称、地址）  </w:t>
      </w:r>
      <w:r>
        <w:rPr>
          <w:rFonts w:hint="eastAsia" w:ascii="仿宋" w:hAnsi="仿宋" w:eastAsia="仿宋" w:cs="仿宋"/>
          <w:bCs w:val="0"/>
          <w:color w:val="000000"/>
          <w:sz w:val="24"/>
          <w:szCs w:val="24"/>
        </w:rPr>
        <w:t>提交下述文件，以</w:t>
      </w:r>
      <w:r>
        <w:rPr>
          <w:rFonts w:hint="eastAsia" w:ascii="仿宋" w:hAnsi="仿宋" w:eastAsia="仿宋" w:cs="仿宋"/>
          <w:bCs w:val="0"/>
          <w:color w:val="000000"/>
          <w:sz w:val="24"/>
          <w:szCs w:val="24"/>
          <w:u w:val="single"/>
        </w:rPr>
        <w:t xml:space="preserve">       </w:t>
      </w:r>
      <w:r>
        <w:rPr>
          <w:rFonts w:hint="eastAsia" w:ascii="仿宋" w:hAnsi="仿宋" w:eastAsia="仿宋" w:cs="仿宋"/>
          <w:bCs w:val="0"/>
          <w:color w:val="000000"/>
          <w:sz w:val="24"/>
          <w:szCs w:val="24"/>
        </w:rPr>
        <w:t>形式出具的金额为人民币</w:t>
      </w:r>
      <w:r>
        <w:rPr>
          <w:rFonts w:hint="eastAsia" w:ascii="仿宋" w:hAnsi="仿宋" w:eastAsia="仿宋" w:cs="仿宋"/>
          <w:bCs w:val="0"/>
          <w:color w:val="000000"/>
          <w:sz w:val="24"/>
          <w:szCs w:val="24"/>
          <w:u w:val="single"/>
        </w:rPr>
        <w:t xml:space="preserve">    </w:t>
      </w:r>
      <w:r>
        <w:rPr>
          <w:rFonts w:hint="eastAsia" w:ascii="仿宋" w:hAnsi="仿宋" w:eastAsia="仿宋" w:cs="仿宋"/>
          <w:bCs w:val="0"/>
          <w:color w:val="000000"/>
          <w:sz w:val="24"/>
          <w:szCs w:val="24"/>
        </w:rPr>
        <w:t>元的投标保证金。并作出如下承诺：</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1、如果我方被确定为中标人，我们将按照招标文件、我方投标文件及双方确认的合同条款的要求执行。</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2、我方保证忠实地执行双方所签的合同，并承担合同规定的责任和义务。</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3、我方愿意向贵方提供任何与此报价有关的数据、情况和技术资料。完全理解贵方不一定接受最低价的投标或收到的任何投标。</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4、我方提交的投标文件及报价自提交日期起</w:t>
      </w:r>
      <w:r>
        <w:rPr>
          <w:rFonts w:hint="eastAsia" w:ascii="仿宋" w:hAnsi="仿宋" w:eastAsia="仿宋" w:cs="仿宋"/>
          <w:bCs w:val="0"/>
          <w:color w:val="000000"/>
          <w:sz w:val="24"/>
          <w:szCs w:val="24"/>
          <w:u w:val="single"/>
        </w:rPr>
        <w:t xml:space="preserve"> 90 </w:t>
      </w:r>
      <w:r>
        <w:rPr>
          <w:rFonts w:hint="eastAsia" w:ascii="仿宋" w:hAnsi="仿宋" w:eastAsia="仿宋" w:cs="仿宋"/>
          <w:bCs w:val="0"/>
          <w:color w:val="000000"/>
          <w:sz w:val="24"/>
          <w:szCs w:val="24"/>
        </w:rPr>
        <w:t>天有效，并对我方具有约束力。</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5、我方已详细审查全部招标文件，包括所有补充通知（如果有的话）。我们完全理解并同意放弃对这方面有不明、误解和质疑的权力。</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6、在规定的开标时间后，投标人保证遵守招标文件中有关保证金的规定。</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7、与本投标有关的一切正式往来信函请寄：</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地址：</w:t>
      </w:r>
    </w:p>
    <w:p>
      <w:pPr>
        <w:pStyle w:val="44"/>
        <w:spacing w:line="440" w:lineRule="exact"/>
        <w:rPr>
          <w:rFonts w:ascii="仿宋" w:hAnsi="仿宋" w:eastAsia="仿宋" w:cs="仿宋"/>
          <w:bCs w:val="0"/>
          <w:color w:val="000000"/>
          <w:sz w:val="24"/>
          <w:szCs w:val="24"/>
        </w:rPr>
      </w:pPr>
      <w:r>
        <w:rPr>
          <w:rFonts w:hint="eastAsia" w:ascii="仿宋" w:hAnsi="仿宋" w:eastAsia="仿宋" w:cs="仿宋"/>
          <w:bCs w:val="0"/>
          <w:color w:val="000000"/>
          <w:sz w:val="24"/>
          <w:szCs w:val="24"/>
        </w:rPr>
        <w:t>电话：</w:t>
      </w:r>
    </w:p>
    <w:p>
      <w:pPr>
        <w:pStyle w:val="44"/>
        <w:spacing w:line="440" w:lineRule="exact"/>
        <w:rPr>
          <w:rFonts w:ascii="仿宋" w:hAnsi="仿宋" w:eastAsia="仿宋" w:cs="仿宋"/>
          <w:bCs w:val="0"/>
          <w:color w:val="000000"/>
          <w:sz w:val="24"/>
          <w:szCs w:val="24"/>
        </w:rPr>
      </w:pPr>
    </w:p>
    <w:p>
      <w:pPr>
        <w:pStyle w:val="44"/>
        <w:spacing w:line="360" w:lineRule="auto"/>
        <w:rPr>
          <w:rFonts w:ascii="仿宋" w:hAnsi="仿宋" w:eastAsia="仿宋" w:cs="仿宋"/>
          <w:bCs w:val="0"/>
          <w:color w:val="000000"/>
          <w:sz w:val="24"/>
          <w:szCs w:val="24"/>
        </w:rPr>
      </w:pPr>
      <w:r>
        <w:rPr>
          <w:rFonts w:hint="eastAsia" w:ascii="仿宋" w:hAnsi="仿宋" w:eastAsia="仿宋" w:cs="仿宋"/>
          <w:bCs w:val="0"/>
          <w:color w:val="000000"/>
          <w:sz w:val="24"/>
          <w:szCs w:val="24"/>
        </w:rPr>
        <w:t>投标人：</w:t>
      </w:r>
      <w:r>
        <w:rPr>
          <w:rFonts w:hint="eastAsia" w:ascii="仿宋" w:hAnsi="仿宋" w:eastAsia="仿宋" w:cs="仿宋"/>
          <w:bCs w:val="0"/>
          <w:color w:val="000000"/>
          <w:sz w:val="24"/>
          <w:szCs w:val="24"/>
          <w:u w:val="single"/>
        </w:rPr>
        <w:tab/>
      </w:r>
      <w:r>
        <w:rPr>
          <w:rFonts w:hint="eastAsia" w:ascii="仿宋" w:hAnsi="仿宋" w:eastAsia="仿宋" w:cs="仿宋"/>
          <w:bCs w:val="0"/>
          <w:color w:val="000000"/>
          <w:sz w:val="24"/>
          <w:szCs w:val="24"/>
          <w:u w:val="single"/>
        </w:rPr>
        <w:t xml:space="preserve">             （电子公章）</w:t>
      </w:r>
      <w:r>
        <w:rPr>
          <w:rFonts w:hint="eastAsia" w:ascii="仿宋" w:hAnsi="仿宋" w:eastAsia="仿宋" w:cs="仿宋"/>
          <w:bCs w:val="0"/>
          <w:color w:val="000000"/>
          <w:sz w:val="24"/>
          <w:szCs w:val="24"/>
        </w:rPr>
        <w:tab/>
      </w:r>
    </w:p>
    <w:p>
      <w:pPr>
        <w:pStyle w:val="44"/>
        <w:spacing w:line="360" w:lineRule="auto"/>
        <w:rPr>
          <w:rFonts w:ascii="仿宋" w:hAnsi="仿宋" w:eastAsia="仿宋" w:cs="仿宋"/>
          <w:bCs w:val="0"/>
          <w:color w:val="000000"/>
          <w:sz w:val="24"/>
          <w:szCs w:val="24"/>
        </w:rPr>
      </w:pPr>
      <w:r>
        <w:rPr>
          <w:rFonts w:hint="eastAsia" w:ascii="仿宋" w:hAnsi="仿宋" w:eastAsia="仿宋" w:cs="仿宋"/>
          <w:bCs w:val="0"/>
          <w:color w:val="000000"/>
          <w:sz w:val="24"/>
          <w:szCs w:val="24"/>
        </w:rPr>
        <w:t>法定代表人或其授权代理人：</w:t>
      </w:r>
      <w:r>
        <w:rPr>
          <w:rFonts w:hint="eastAsia" w:ascii="仿宋" w:hAnsi="仿宋" w:eastAsia="仿宋" w:cs="仿宋"/>
          <w:bCs w:val="0"/>
          <w:color w:val="000000"/>
          <w:sz w:val="24"/>
          <w:szCs w:val="24"/>
          <w:u w:val="single"/>
        </w:rPr>
        <w:tab/>
      </w:r>
      <w:r>
        <w:rPr>
          <w:rFonts w:hint="eastAsia" w:ascii="仿宋" w:hAnsi="仿宋" w:eastAsia="仿宋" w:cs="仿宋"/>
          <w:bCs w:val="0"/>
          <w:color w:val="000000"/>
          <w:sz w:val="24"/>
          <w:szCs w:val="24"/>
          <w:u w:val="single"/>
        </w:rPr>
        <w:t>（签字或盖电子章）</w:t>
      </w:r>
      <w:r>
        <w:rPr>
          <w:rFonts w:hint="eastAsia" w:ascii="仿宋" w:hAnsi="仿宋" w:eastAsia="仿宋" w:cs="仿宋"/>
          <w:bCs w:val="0"/>
          <w:color w:val="000000"/>
          <w:sz w:val="24"/>
          <w:szCs w:val="24"/>
        </w:rPr>
        <w:tab/>
      </w:r>
    </w:p>
    <w:p>
      <w:pPr>
        <w:pStyle w:val="44"/>
        <w:spacing w:line="360" w:lineRule="auto"/>
        <w:rPr>
          <w:rFonts w:ascii="仿宋" w:hAnsi="仿宋" w:eastAsia="仿宋" w:cs="仿宋"/>
          <w:bCs w:val="0"/>
          <w:color w:val="000000"/>
          <w:sz w:val="24"/>
          <w:szCs w:val="24"/>
        </w:rPr>
      </w:pPr>
    </w:p>
    <w:p>
      <w:pPr>
        <w:pStyle w:val="44"/>
        <w:spacing w:line="360" w:lineRule="auto"/>
        <w:rPr>
          <w:rFonts w:ascii="仿宋" w:hAnsi="仿宋" w:eastAsia="仿宋" w:cs="仿宋"/>
          <w:bCs w:val="0"/>
          <w:color w:val="000000"/>
          <w:sz w:val="24"/>
          <w:szCs w:val="24"/>
        </w:rPr>
      </w:pPr>
      <w:r>
        <w:rPr>
          <w:rFonts w:hint="eastAsia" w:ascii="仿宋" w:hAnsi="仿宋" w:eastAsia="仿宋" w:cs="仿宋"/>
          <w:bCs w:val="0"/>
          <w:color w:val="000000"/>
          <w:sz w:val="24"/>
          <w:szCs w:val="24"/>
        </w:rPr>
        <w:t xml:space="preserve">日期： </w:t>
      </w:r>
      <w:r>
        <w:rPr>
          <w:rFonts w:hint="eastAsia" w:ascii="仿宋" w:hAnsi="仿宋" w:eastAsia="仿宋" w:cs="仿宋"/>
          <w:bCs w:val="0"/>
          <w:color w:val="000000"/>
          <w:sz w:val="24"/>
          <w:szCs w:val="24"/>
        </w:rPr>
        <w:tab/>
      </w:r>
      <w:r>
        <w:rPr>
          <w:rFonts w:hint="eastAsia" w:ascii="仿宋" w:hAnsi="仿宋" w:eastAsia="仿宋" w:cs="仿宋"/>
          <w:bCs w:val="0"/>
          <w:color w:val="000000"/>
          <w:sz w:val="24"/>
          <w:szCs w:val="24"/>
        </w:rPr>
        <w:t>年   月   日</w:t>
      </w:r>
    </w:p>
    <w:p>
      <w:pPr>
        <w:pStyle w:val="44"/>
        <w:spacing w:line="360" w:lineRule="auto"/>
        <w:rPr>
          <w:rFonts w:ascii="仿宋" w:hAnsi="仿宋" w:eastAsia="仿宋" w:cs="仿宋"/>
          <w:bCs w:val="0"/>
          <w:color w:val="000000"/>
          <w:sz w:val="24"/>
          <w:szCs w:val="24"/>
        </w:rPr>
        <w:sectPr>
          <w:footerReference r:id="rId6" w:type="default"/>
          <w:pgSz w:w="11906" w:h="16838"/>
          <w:pgMar w:top="1440" w:right="1800" w:bottom="1440" w:left="1800" w:header="851" w:footer="992" w:gutter="0"/>
          <w:cols w:space="425" w:num="1"/>
          <w:docGrid w:type="lines" w:linePitch="312" w:charSpace="0"/>
        </w:sectPr>
      </w:pPr>
    </w:p>
    <w:p>
      <w:pPr>
        <w:rPr>
          <w:rFonts w:ascii="仿宋" w:hAnsi="仿宋" w:eastAsia="仿宋"/>
          <w:b/>
          <w:color w:val="000000"/>
          <w:sz w:val="24"/>
        </w:rPr>
      </w:pPr>
      <w:bookmarkStart w:id="84" w:name="_Toc29213"/>
      <w:bookmarkStart w:id="85" w:name="_Toc216582815"/>
      <w:bookmarkStart w:id="86" w:name="_Toc507399531"/>
      <w:bookmarkStart w:id="87" w:name="_Toc12105"/>
      <w:r>
        <w:rPr>
          <w:rFonts w:hint="eastAsia" w:ascii="仿宋" w:hAnsi="仿宋" w:eastAsia="仿宋"/>
          <w:b/>
          <w:color w:val="000000"/>
          <w:sz w:val="24"/>
        </w:rPr>
        <w:t>附件5   投标分项报价表</w:t>
      </w:r>
      <w:bookmarkEnd w:id="84"/>
      <w:bookmarkEnd w:id="85"/>
      <w:bookmarkEnd w:id="86"/>
      <w:bookmarkEnd w:id="87"/>
    </w:p>
    <w:p>
      <w:pPr>
        <w:pStyle w:val="11"/>
        <w:jc w:val="center"/>
        <w:rPr>
          <w:rFonts w:ascii="仿宋" w:hAnsi="仿宋" w:eastAsia="仿宋" w:cs="仿宋"/>
          <w:b/>
          <w:bCs/>
          <w:color w:val="000000"/>
        </w:rPr>
      </w:pPr>
      <w:r>
        <w:rPr>
          <w:rFonts w:hint="eastAsia" w:ascii="仿宋" w:hAnsi="仿宋" w:eastAsia="仿宋" w:cs="仿宋"/>
          <w:b/>
          <w:bCs/>
          <w:color w:val="000000"/>
        </w:rPr>
        <w:t>投标分项报价表</w:t>
      </w:r>
    </w:p>
    <w:p>
      <w:pPr>
        <w:pStyle w:val="16"/>
        <w:ind w:firstLine="420"/>
        <w:rPr>
          <w:rFonts w:ascii="仿宋" w:hAnsi="仿宋" w:eastAsia="仿宋" w:cs="仿宋"/>
          <w:color w:val="000000"/>
          <w:sz w:val="24"/>
        </w:rPr>
      </w:pPr>
      <w:r>
        <w:rPr>
          <w:rFonts w:hint="eastAsia" w:ascii="仿宋" w:hAnsi="仿宋" w:eastAsia="仿宋" w:cs="仿宋"/>
          <w:color w:val="000000"/>
          <w:sz w:val="24"/>
        </w:rPr>
        <w:t>项目名称:                      招标编号:                         包号:        报价单位：人民币元</w:t>
      </w:r>
    </w:p>
    <w:tbl>
      <w:tblPr>
        <w:tblStyle w:val="28"/>
        <w:tblW w:w="13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79"/>
        <w:gridCol w:w="1472"/>
        <w:gridCol w:w="1946"/>
        <w:gridCol w:w="1030"/>
        <w:gridCol w:w="949"/>
        <w:gridCol w:w="1632"/>
        <w:gridCol w:w="1260"/>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28"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序号</w:t>
            </w:r>
          </w:p>
        </w:tc>
        <w:tc>
          <w:tcPr>
            <w:tcW w:w="287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名称</w:t>
            </w:r>
          </w:p>
        </w:tc>
        <w:tc>
          <w:tcPr>
            <w:tcW w:w="1472"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型号和规格</w:t>
            </w:r>
          </w:p>
        </w:tc>
        <w:tc>
          <w:tcPr>
            <w:tcW w:w="1946"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原产地和制造商名称</w:t>
            </w:r>
          </w:p>
        </w:tc>
        <w:tc>
          <w:tcPr>
            <w:tcW w:w="1030"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品牌</w:t>
            </w:r>
          </w:p>
        </w:tc>
        <w:tc>
          <w:tcPr>
            <w:tcW w:w="94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数量/单位</w:t>
            </w:r>
          </w:p>
        </w:tc>
        <w:tc>
          <w:tcPr>
            <w:tcW w:w="1632"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单价</w:t>
            </w:r>
          </w:p>
        </w:tc>
        <w:tc>
          <w:tcPr>
            <w:tcW w:w="1260"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合价</w:t>
            </w:r>
          </w:p>
        </w:tc>
        <w:tc>
          <w:tcPr>
            <w:tcW w:w="1261"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r>
              <w:rPr>
                <w:rFonts w:hint="eastAsia" w:ascii="仿宋" w:hAnsi="仿宋" w:eastAsia="仿宋" w:cs="仿宋"/>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287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147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946"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03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949"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63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1"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287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147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946"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03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949"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63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1"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287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147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946"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03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949"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63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1"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287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147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946"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03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949"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63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1"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287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147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946"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03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949"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63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1"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8"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2879"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 w:val="24"/>
              </w:rPr>
            </w:pPr>
          </w:p>
        </w:tc>
        <w:tc>
          <w:tcPr>
            <w:tcW w:w="147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946"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03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949"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632"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0"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c>
          <w:tcPr>
            <w:tcW w:w="1261" w:type="dxa"/>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0736" w:type="dxa"/>
            <w:gridSpan w:val="7"/>
            <w:vAlign w:val="center"/>
          </w:tcPr>
          <w:p>
            <w:pPr>
              <w:pStyle w:val="16"/>
              <w:keepNext w:val="0"/>
              <w:keepLines w:val="0"/>
              <w:suppressLineNumbers w:val="0"/>
              <w:adjustRightInd w:val="0"/>
              <w:snapToGrid w:val="0"/>
              <w:spacing w:before="0" w:beforeAutospacing="0" w:after="0" w:afterAutospacing="0"/>
              <w:ind w:left="0" w:right="0" w:firstLine="219"/>
              <w:jc w:val="left"/>
              <w:rPr>
                <w:rFonts w:hint="default" w:ascii="仿宋" w:hAnsi="仿宋" w:eastAsia="仿宋" w:cs="仿宋"/>
                <w:color w:val="000000"/>
                <w:sz w:val="24"/>
              </w:rPr>
            </w:pPr>
            <w:r>
              <w:rPr>
                <w:rFonts w:hint="eastAsia" w:ascii="仿宋" w:hAnsi="仿宋" w:eastAsia="仿宋" w:cs="仿宋"/>
                <w:color w:val="000000"/>
                <w:sz w:val="24"/>
              </w:rPr>
              <w:t>总价：</w:t>
            </w:r>
          </w:p>
        </w:tc>
        <w:tc>
          <w:tcPr>
            <w:tcW w:w="2521" w:type="dxa"/>
            <w:gridSpan w:val="2"/>
            <w:vAlign w:val="center"/>
          </w:tcPr>
          <w:p>
            <w:pPr>
              <w:pStyle w:val="16"/>
              <w:keepNext w:val="0"/>
              <w:keepLines w:val="0"/>
              <w:suppressLineNumbers w:val="0"/>
              <w:adjustRightInd w:val="0"/>
              <w:snapToGrid w:val="0"/>
              <w:spacing w:before="0" w:beforeAutospacing="0" w:after="0" w:afterAutospacing="0"/>
              <w:ind w:left="0" w:right="0" w:hanging="540"/>
              <w:jc w:val="center"/>
              <w:rPr>
                <w:rFonts w:hint="default" w:ascii="仿宋" w:hAnsi="仿宋" w:eastAsia="仿宋" w:cs="仿宋"/>
                <w:color w:val="000000"/>
                <w:sz w:val="24"/>
              </w:rPr>
            </w:pPr>
          </w:p>
        </w:tc>
      </w:tr>
    </w:tbl>
    <w:p>
      <w:pPr>
        <w:pStyle w:val="16"/>
        <w:ind w:left="420" w:leftChars="200" w:firstLine="420"/>
        <w:rPr>
          <w:rFonts w:ascii="仿宋" w:hAnsi="仿宋" w:eastAsia="仿宋" w:cs="仿宋"/>
          <w:color w:val="000000"/>
          <w:sz w:val="24"/>
        </w:rPr>
      </w:pPr>
      <w:r>
        <w:rPr>
          <w:rFonts w:hint="eastAsia" w:ascii="仿宋" w:hAnsi="仿宋" w:eastAsia="仿宋" w:cs="仿宋"/>
          <w:color w:val="000000"/>
          <w:sz w:val="24"/>
        </w:rPr>
        <w:t>法定代表人或授权代表（签字或盖电子章）</w:t>
      </w:r>
      <w:r>
        <w:rPr>
          <w:rFonts w:hint="eastAsia" w:ascii="仿宋" w:hAnsi="仿宋" w:eastAsia="仿宋" w:cs="仿宋"/>
          <w:color w:val="000000"/>
          <w:sz w:val="24"/>
        </w:rPr>
        <w:tab/>
      </w:r>
      <w:r>
        <w:rPr>
          <w:rFonts w:hint="eastAsia" w:ascii="仿宋" w:hAnsi="仿宋" w:eastAsia="仿宋" w:cs="仿宋"/>
          <w:color w:val="000000"/>
          <w:sz w:val="24"/>
        </w:rPr>
        <w:t>：</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pStyle w:val="16"/>
        <w:ind w:left="420" w:leftChars="200" w:firstLine="420"/>
        <w:rPr>
          <w:rFonts w:ascii="仿宋" w:hAnsi="仿宋" w:eastAsia="仿宋" w:cs="仿宋"/>
          <w:color w:val="000000"/>
          <w:sz w:val="24"/>
        </w:rPr>
      </w:pPr>
      <w:r>
        <w:rPr>
          <w:rFonts w:hint="eastAsia" w:ascii="仿宋" w:hAnsi="仿宋" w:eastAsia="仿宋" w:cs="仿宋"/>
          <w:color w:val="000000"/>
          <w:sz w:val="24"/>
        </w:rPr>
        <w:t>投标人(盖电子章):</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pStyle w:val="16"/>
        <w:ind w:left="420" w:leftChars="200" w:firstLine="420"/>
        <w:rPr>
          <w:rFonts w:ascii="仿宋" w:hAnsi="仿宋" w:eastAsia="仿宋" w:cs="仿宋"/>
          <w:color w:val="000000"/>
          <w:sz w:val="24"/>
          <w:u w:val="single"/>
        </w:rPr>
      </w:pPr>
      <w:r>
        <w:rPr>
          <w:rFonts w:hint="eastAsia" w:ascii="仿宋" w:hAnsi="仿宋" w:eastAsia="仿宋" w:cs="仿宋"/>
          <w:color w:val="000000"/>
          <w:sz w:val="24"/>
        </w:rPr>
        <w:t>日    期：</w:t>
      </w:r>
    </w:p>
    <w:p>
      <w:pPr>
        <w:pStyle w:val="16"/>
        <w:adjustRightInd w:val="0"/>
        <w:snapToGrid w:val="0"/>
        <w:ind w:firstLine="24" w:firstLineChars="10"/>
        <w:rPr>
          <w:rFonts w:ascii="仿宋" w:hAnsi="仿宋" w:eastAsia="仿宋" w:cs="仿宋"/>
          <w:color w:val="000000"/>
          <w:sz w:val="24"/>
        </w:rPr>
      </w:pPr>
    </w:p>
    <w:p>
      <w:pPr>
        <w:pStyle w:val="16"/>
        <w:adjustRightInd w:val="0"/>
        <w:snapToGrid w:val="0"/>
        <w:ind w:firstLine="24" w:firstLineChars="10"/>
        <w:rPr>
          <w:rFonts w:ascii="仿宋" w:hAnsi="仿宋" w:eastAsia="仿宋" w:cs="仿宋"/>
          <w:color w:val="000000"/>
          <w:sz w:val="24"/>
        </w:rPr>
      </w:pPr>
      <w:r>
        <w:rPr>
          <w:rFonts w:hint="eastAsia" w:ascii="仿宋" w:hAnsi="仿宋" w:eastAsia="仿宋" w:cs="仿宋"/>
          <w:color w:val="000000"/>
          <w:sz w:val="24"/>
        </w:rPr>
        <w:t>注: 1.如果投标人认为需要，每种货物填写一份该表。</w:t>
      </w:r>
    </w:p>
    <w:p>
      <w:pPr>
        <w:pStyle w:val="16"/>
        <w:adjustRightInd w:val="0"/>
        <w:snapToGrid w:val="0"/>
        <w:ind w:firstLine="480" w:firstLineChars="200"/>
        <w:rPr>
          <w:rFonts w:ascii="仿宋" w:hAnsi="仿宋" w:eastAsia="仿宋" w:cs="仿宋"/>
          <w:color w:val="000000"/>
          <w:sz w:val="24"/>
        </w:rPr>
      </w:pPr>
      <w:r>
        <w:rPr>
          <w:rFonts w:hint="eastAsia" w:ascii="仿宋" w:hAnsi="仿宋" w:eastAsia="仿宋" w:cs="仿宋"/>
          <w:color w:val="000000"/>
          <w:sz w:val="24"/>
        </w:rPr>
        <w:t>2.如果按单价计算的结果与总价不一致,以单价为准修正总价。</w:t>
      </w:r>
    </w:p>
    <w:p>
      <w:pPr>
        <w:pStyle w:val="16"/>
        <w:adjustRightInd w:val="0"/>
        <w:snapToGrid w:val="0"/>
        <w:ind w:firstLine="501" w:firstLineChars="209"/>
        <w:rPr>
          <w:rFonts w:ascii="仿宋" w:hAnsi="仿宋" w:eastAsia="仿宋" w:cs="仿宋"/>
          <w:color w:val="000000"/>
          <w:sz w:val="24"/>
        </w:rPr>
      </w:pPr>
      <w:r>
        <w:rPr>
          <w:rFonts w:hint="eastAsia" w:ascii="仿宋" w:hAnsi="仿宋" w:eastAsia="仿宋" w:cs="仿宋"/>
          <w:color w:val="000000"/>
          <w:sz w:val="24"/>
        </w:rPr>
        <w:t>3.如果不提供详细分项报价将视为没有实质性响应招标文件。</w:t>
      </w:r>
    </w:p>
    <w:p>
      <w:pPr>
        <w:pStyle w:val="16"/>
        <w:adjustRightInd w:val="0"/>
        <w:snapToGrid w:val="0"/>
        <w:ind w:firstLine="24" w:firstLineChars="10"/>
        <w:rPr>
          <w:rFonts w:ascii="仿宋" w:hAnsi="仿宋" w:eastAsia="仿宋" w:cs="仿宋"/>
          <w:color w:val="000000"/>
          <w:sz w:val="24"/>
        </w:rPr>
      </w:pPr>
      <w:r>
        <w:rPr>
          <w:rFonts w:hint="eastAsia" w:ascii="仿宋" w:hAnsi="仿宋" w:eastAsia="仿宋" w:cs="仿宋"/>
          <w:color w:val="000000"/>
          <w:sz w:val="24"/>
        </w:rPr>
        <w:t xml:space="preserve">    4.上述各项的详细分项报价，应另页描述。</w:t>
      </w:r>
    </w:p>
    <w:p>
      <w:pPr>
        <w:pStyle w:val="44"/>
        <w:adjustRightInd w:val="0"/>
        <w:snapToGrid w:val="0"/>
        <w:spacing w:before="0" w:after="0"/>
        <w:ind w:firstLine="26" w:firstLineChars="10"/>
        <w:rPr>
          <w:rFonts w:ascii="仿宋" w:hAnsi="仿宋" w:eastAsia="仿宋" w:cs="仿宋"/>
          <w:bCs w:val="0"/>
          <w:color w:val="000000"/>
          <w:sz w:val="24"/>
          <w:szCs w:val="24"/>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color w:val="000000"/>
          <w:sz w:val="24"/>
        </w:rPr>
        <w:t xml:space="preserve">   5.如果开标一览表（报价表）内容与投标文件中明细表内容不一致的，以开标一览表（报价表）内容为准。</w:t>
      </w:r>
    </w:p>
    <w:p>
      <w:pPr>
        <w:rPr>
          <w:rFonts w:ascii="仿宋" w:hAnsi="仿宋" w:eastAsia="仿宋"/>
          <w:b/>
          <w:color w:val="000000"/>
          <w:sz w:val="24"/>
        </w:rPr>
      </w:pPr>
      <w:bookmarkStart w:id="88" w:name="_Toc507399532"/>
      <w:bookmarkStart w:id="89" w:name="_Toc216582816"/>
      <w:bookmarkStart w:id="90" w:name="_Toc16512"/>
      <w:bookmarkStart w:id="91" w:name="_Toc13864"/>
      <w:r>
        <w:rPr>
          <w:rFonts w:hint="eastAsia" w:ascii="仿宋" w:hAnsi="仿宋" w:eastAsia="仿宋"/>
          <w:b/>
          <w:color w:val="000000"/>
          <w:sz w:val="24"/>
        </w:rPr>
        <w:t>附件6   货物说明一览表</w:t>
      </w:r>
      <w:bookmarkEnd w:id="88"/>
      <w:bookmarkEnd w:id="89"/>
      <w:bookmarkEnd w:id="90"/>
      <w:bookmarkEnd w:id="91"/>
    </w:p>
    <w:p>
      <w:pPr>
        <w:pStyle w:val="16"/>
        <w:spacing w:line="440" w:lineRule="exact"/>
        <w:ind w:hanging="540"/>
        <w:jc w:val="center"/>
        <w:rPr>
          <w:rFonts w:ascii="仿宋" w:hAnsi="仿宋" w:eastAsia="仿宋" w:cs="仿宋"/>
          <w:b/>
          <w:bCs/>
          <w:color w:val="000000"/>
          <w:sz w:val="24"/>
        </w:rPr>
      </w:pPr>
      <w:r>
        <w:rPr>
          <w:rFonts w:hint="eastAsia" w:ascii="仿宋" w:hAnsi="仿宋" w:eastAsia="仿宋" w:cs="仿宋"/>
          <w:b/>
          <w:bCs/>
          <w:color w:val="000000"/>
          <w:sz w:val="24"/>
        </w:rPr>
        <w:t>货物说明一览表</w:t>
      </w:r>
    </w:p>
    <w:p>
      <w:pPr>
        <w:pStyle w:val="16"/>
        <w:spacing w:line="440" w:lineRule="exact"/>
        <w:ind w:left="1079" w:leftChars="257" w:hanging="539"/>
        <w:rPr>
          <w:rFonts w:ascii="仿宋" w:hAnsi="仿宋" w:eastAsia="仿宋" w:cs="仿宋"/>
          <w:color w:val="000000"/>
          <w:sz w:val="24"/>
        </w:rPr>
      </w:pPr>
    </w:p>
    <w:p>
      <w:pPr>
        <w:pStyle w:val="16"/>
        <w:spacing w:line="440" w:lineRule="exact"/>
        <w:rPr>
          <w:rFonts w:ascii="仿宋" w:hAnsi="仿宋" w:eastAsia="仿宋" w:cs="仿宋"/>
          <w:color w:val="000000"/>
          <w:sz w:val="24"/>
        </w:rPr>
      </w:pPr>
      <w:r>
        <w:rPr>
          <w:rFonts w:hint="eastAsia" w:ascii="仿宋" w:hAnsi="仿宋" w:eastAsia="仿宋" w:cs="仿宋"/>
          <w:color w:val="000000"/>
          <w:sz w:val="24"/>
        </w:rPr>
        <w:t xml:space="preserve">项目名称:                                    招标编号:                       包号:                      </w:t>
      </w:r>
    </w:p>
    <w:tbl>
      <w:tblPr>
        <w:tblStyle w:val="28"/>
        <w:tblW w:w="13054" w:type="dxa"/>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2228"/>
        <w:gridCol w:w="1800"/>
        <w:gridCol w:w="1121"/>
        <w:gridCol w:w="1701"/>
        <w:gridCol w:w="1361"/>
        <w:gridCol w:w="1577"/>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bookmarkStart w:id="92" w:name="_Hlk128941161"/>
            <w:r>
              <w:rPr>
                <w:rFonts w:hint="eastAsia" w:ascii="仿宋" w:hAnsi="仿宋" w:eastAsia="仿宋" w:cs="仿宋"/>
                <w:color w:val="000000"/>
                <w:sz w:val="24"/>
              </w:rPr>
              <w:t>序号</w:t>
            </w:r>
          </w:p>
        </w:tc>
        <w:tc>
          <w:tcPr>
            <w:tcW w:w="2228"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货物名称</w:t>
            </w:r>
          </w:p>
        </w:tc>
        <w:tc>
          <w:tcPr>
            <w:tcW w:w="1800"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主要规格</w:t>
            </w:r>
          </w:p>
        </w:tc>
        <w:tc>
          <w:tcPr>
            <w:tcW w:w="1121"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数量</w:t>
            </w:r>
          </w:p>
        </w:tc>
        <w:tc>
          <w:tcPr>
            <w:tcW w:w="1701"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合同履约期限</w:t>
            </w:r>
          </w:p>
        </w:tc>
        <w:tc>
          <w:tcPr>
            <w:tcW w:w="1361"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质保期限</w:t>
            </w:r>
          </w:p>
        </w:tc>
        <w:tc>
          <w:tcPr>
            <w:tcW w:w="1577"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交货地点</w:t>
            </w:r>
          </w:p>
        </w:tc>
        <w:tc>
          <w:tcPr>
            <w:tcW w:w="1980" w:type="dxa"/>
          </w:tcPr>
          <w:p>
            <w:pPr>
              <w:pStyle w:val="16"/>
              <w:keepNext w:val="0"/>
              <w:keepLines w:val="0"/>
              <w:suppressLineNumbers w:val="0"/>
              <w:spacing w:before="0" w:beforeAutospacing="0" w:after="0" w:afterAutospacing="0" w:line="440" w:lineRule="exact"/>
              <w:ind w:left="0" w:right="0"/>
              <w:jc w:val="center"/>
              <w:rPr>
                <w:rFonts w:hint="default" w:ascii="仿宋" w:hAnsi="仿宋" w:eastAsia="仿宋" w:cs="仿宋"/>
                <w:color w:val="000000"/>
                <w:sz w:val="24"/>
              </w:rPr>
            </w:pPr>
            <w:r>
              <w:rPr>
                <w:rFonts w:hint="eastAsia" w:ascii="仿宋" w:hAnsi="仿宋" w:eastAsia="仿宋" w:cs="仿宋"/>
                <w:color w:val="000000"/>
                <w:sz w:val="24"/>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2228"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80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12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70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361"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577"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c>
          <w:tcPr>
            <w:tcW w:w="1980" w:type="dxa"/>
          </w:tcPr>
          <w:p>
            <w:pPr>
              <w:pStyle w:val="16"/>
              <w:keepNext w:val="0"/>
              <w:keepLines w:val="0"/>
              <w:suppressLineNumbers w:val="0"/>
              <w:spacing w:before="0" w:beforeAutospacing="0" w:after="0" w:afterAutospacing="0" w:line="440" w:lineRule="exact"/>
              <w:ind w:left="1079" w:leftChars="257" w:right="0" w:hanging="539"/>
              <w:rPr>
                <w:rFonts w:hint="default" w:ascii="仿宋" w:hAnsi="仿宋" w:eastAsia="仿宋" w:cs="仿宋"/>
                <w:color w:val="000000"/>
                <w:sz w:val="24"/>
              </w:rPr>
            </w:pPr>
          </w:p>
        </w:tc>
      </w:tr>
      <w:bookmarkEnd w:id="92"/>
    </w:tbl>
    <w:p>
      <w:pPr>
        <w:pStyle w:val="16"/>
        <w:spacing w:line="440" w:lineRule="exact"/>
        <w:ind w:left="1079" w:leftChars="257" w:hanging="539"/>
        <w:rPr>
          <w:rFonts w:ascii="仿宋" w:hAnsi="仿宋" w:eastAsia="仿宋" w:cs="仿宋"/>
          <w:color w:val="000000"/>
          <w:sz w:val="24"/>
        </w:rPr>
      </w:pPr>
    </w:p>
    <w:p>
      <w:pPr>
        <w:pStyle w:val="14"/>
        <w:tabs>
          <w:tab w:val="left" w:pos="3240"/>
          <w:tab w:val="left" w:pos="3535"/>
          <w:tab w:val="left" w:pos="4921"/>
          <w:tab w:val="left" w:pos="8620"/>
        </w:tabs>
        <w:spacing w:line="360" w:lineRule="auto"/>
        <w:ind w:right="4863"/>
        <w:rPr>
          <w:rFonts w:ascii="仿宋" w:hAnsi="仿宋" w:eastAsia="仿宋" w:cs="仿宋"/>
          <w:color w:val="000000"/>
          <w:u w:val="single"/>
        </w:rPr>
      </w:pPr>
      <w:r>
        <w:rPr>
          <w:rFonts w:hint="eastAsia" w:ascii="仿宋" w:hAnsi="仿宋" w:eastAsia="仿宋" w:cs="仿宋"/>
          <w:color w:val="000000"/>
          <w:lang w:val="en-US"/>
        </w:rPr>
        <w:t>投标人</w:t>
      </w:r>
      <w:r>
        <w:rPr>
          <w:rFonts w:hint="eastAsia" w:ascii="仿宋" w:hAnsi="仿宋" w:eastAsia="仿宋" w:cs="仿宋"/>
          <w:color w:val="000000"/>
        </w:rPr>
        <w:t>名称：</w:t>
      </w:r>
      <w:r>
        <w:rPr>
          <w:rFonts w:hint="eastAsia" w:ascii="仿宋" w:hAnsi="仿宋" w:eastAsia="仿宋" w:cs="仿宋"/>
          <w:color w:val="000000"/>
          <w:u w:val="single"/>
        </w:rPr>
        <w:tab/>
      </w:r>
      <w:r>
        <w:rPr>
          <w:rFonts w:hint="eastAsia" w:ascii="仿宋" w:hAnsi="仿宋" w:eastAsia="仿宋" w:cs="仿宋"/>
          <w:color w:val="000000"/>
          <w:u w:val="single"/>
        </w:rPr>
        <w:tab/>
      </w:r>
      <w:r>
        <w:rPr>
          <w:rFonts w:hint="eastAsia" w:ascii="仿宋" w:hAnsi="仿宋" w:eastAsia="仿宋" w:cs="仿宋"/>
          <w:color w:val="000000"/>
          <w:u w:val="single"/>
        </w:rPr>
        <w:t>（盖电子公章）</w:t>
      </w:r>
    </w:p>
    <w:p>
      <w:pPr>
        <w:pStyle w:val="14"/>
        <w:tabs>
          <w:tab w:val="left" w:pos="3240"/>
          <w:tab w:val="left" w:pos="4921"/>
          <w:tab w:val="left" w:pos="8620"/>
        </w:tabs>
        <w:spacing w:line="360" w:lineRule="auto"/>
        <w:ind w:right="-314"/>
        <w:rPr>
          <w:rFonts w:ascii="仿宋" w:hAnsi="仿宋" w:eastAsia="仿宋" w:cs="仿宋"/>
          <w:color w:val="000000"/>
          <w:u w:val="single"/>
        </w:rPr>
      </w:pPr>
      <w:r>
        <w:rPr>
          <w:rFonts w:hint="eastAsia" w:ascii="仿宋" w:hAnsi="仿宋" w:eastAsia="仿宋" w:cs="仿宋"/>
          <w:color w:val="000000"/>
        </w:rPr>
        <w:t>法人代表或其授权人：（签字或</w:t>
      </w:r>
      <w:r>
        <w:rPr>
          <w:rFonts w:hint="eastAsia" w:ascii="仿宋" w:hAnsi="仿宋" w:eastAsia="仿宋" w:cs="仿宋"/>
          <w:color w:val="000000"/>
          <w:lang w:val="en-US"/>
        </w:rPr>
        <w:t>盖电子</w:t>
      </w:r>
      <w:r>
        <w:rPr>
          <w:rFonts w:hint="eastAsia" w:ascii="仿宋" w:hAnsi="仿宋" w:eastAsia="仿宋" w:cs="仿宋"/>
          <w:color w:val="000000"/>
        </w:rPr>
        <w:t>章）</w:t>
      </w:r>
    </w:p>
    <w:p>
      <w:pPr>
        <w:pStyle w:val="44"/>
        <w:spacing w:line="360" w:lineRule="auto"/>
        <w:rPr>
          <w:rFonts w:ascii="仿宋" w:hAnsi="仿宋" w:eastAsia="仿宋" w:cs="仿宋"/>
          <w:color w:val="000000"/>
          <w:sz w:val="24"/>
          <w:szCs w:val="24"/>
          <w:u w:val="single"/>
        </w:rPr>
      </w:pPr>
      <w:r>
        <w:rPr>
          <w:rFonts w:hint="eastAsia" w:ascii="仿宋" w:hAnsi="仿宋" w:eastAsia="仿宋" w:cs="仿宋"/>
          <w:color w:val="000000"/>
          <w:sz w:val="24"/>
          <w:szCs w:val="24"/>
        </w:rPr>
        <w:t>日期：</w:t>
      </w:r>
      <w:r>
        <w:rPr>
          <w:rFonts w:hint="eastAsia" w:ascii="仿宋" w:hAnsi="仿宋" w:eastAsia="仿宋" w:cs="仿宋"/>
          <w:color w:val="000000"/>
          <w:sz w:val="24"/>
          <w:szCs w:val="24"/>
          <w:u w:val="single"/>
        </w:rPr>
        <w:tab/>
      </w:r>
      <w:r>
        <w:rPr>
          <w:rFonts w:hint="eastAsia" w:ascii="仿宋" w:hAnsi="仿宋" w:eastAsia="仿宋" w:cs="仿宋"/>
          <w:color w:val="000000"/>
          <w:sz w:val="24"/>
          <w:szCs w:val="24"/>
          <w:u w:val="single"/>
        </w:rPr>
        <w:tab/>
      </w:r>
    </w:p>
    <w:p>
      <w:pPr>
        <w:pStyle w:val="44"/>
        <w:spacing w:line="360" w:lineRule="auto"/>
        <w:rPr>
          <w:rFonts w:ascii="仿宋" w:hAnsi="仿宋" w:eastAsia="仿宋" w:cs="仿宋"/>
          <w:color w:val="000000"/>
          <w:sz w:val="24"/>
        </w:rPr>
      </w:pPr>
      <w:r>
        <w:rPr>
          <w:rFonts w:hint="eastAsia" w:ascii="仿宋" w:hAnsi="仿宋" w:eastAsia="仿宋" w:cs="仿宋"/>
          <w:color w:val="000000"/>
          <w:sz w:val="24"/>
        </w:rPr>
        <w:t>注: 各项货物详细技术性能应另页描述。</w:t>
      </w:r>
    </w:p>
    <w:p>
      <w:pPr>
        <w:pStyle w:val="44"/>
        <w:spacing w:line="360" w:lineRule="auto"/>
        <w:rPr>
          <w:rFonts w:ascii="仿宋" w:hAnsi="仿宋" w:eastAsia="仿宋" w:cs="仿宋"/>
          <w:color w:val="000000"/>
          <w:sz w:val="24"/>
        </w:rPr>
        <w:sectPr>
          <w:pgSz w:w="16838" w:h="11906" w:orient="landscape"/>
          <w:pgMar w:top="1800" w:right="1440" w:bottom="1800" w:left="1440" w:header="851" w:footer="992" w:gutter="0"/>
          <w:cols w:space="425" w:num="1"/>
          <w:docGrid w:type="lines" w:linePitch="312" w:charSpace="0"/>
        </w:sectPr>
      </w:pPr>
    </w:p>
    <w:p>
      <w:pPr>
        <w:rPr>
          <w:rFonts w:ascii="仿宋" w:hAnsi="仿宋" w:eastAsia="仿宋"/>
          <w:b/>
          <w:color w:val="000000"/>
          <w:sz w:val="24"/>
        </w:rPr>
      </w:pPr>
      <w:bookmarkStart w:id="93" w:name="_Toc507399533"/>
      <w:bookmarkStart w:id="94" w:name="_Toc29754"/>
      <w:bookmarkStart w:id="95" w:name="_Toc32182"/>
      <w:bookmarkStart w:id="96" w:name="_Toc216582817"/>
      <w:r>
        <w:rPr>
          <w:rFonts w:hint="eastAsia" w:ascii="仿宋" w:hAnsi="仿宋" w:eastAsia="仿宋"/>
          <w:b/>
          <w:color w:val="000000"/>
          <w:sz w:val="24"/>
        </w:rPr>
        <w:t>附件7   技术规格偏离表</w:t>
      </w:r>
      <w:bookmarkEnd w:id="93"/>
      <w:bookmarkEnd w:id="94"/>
      <w:bookmarkEnd w:id="95"/>
      <w:bookmarkEnd w:id="96"/>
    </w:p>
    <w:p>
      <w:pPr>
        <w:pStyle w:val="16"/>
        <w:spacing w:line="360" w:lineRule="auto"/>
        <w:ind w:left="1080" w:leftChars="257" w:hanging="540"/>
        <w:jc w:val="center"/>
        <w:rPr>
          <w:rFonts w:ascii="仿宋" w:hAnsi="仿宋" w:eastAsia="仿宋" w:cs="仿宋"/>
          <w:color w:val="000000"/>
          <w:sz w:val="24"/>
        </w:rPr>
      </w:pPr>
      <w:r>
        <w:rPr>
          <w:rFonts w:hint="eastAsia" w:ascii="仿宋" w:hAnsi="仿宋" w:eastAsia="仿宋" w:cs="仿宋"/>
          <w:b/>
          <w:bCs/>
          <w:color w:val="000000"/>
          <w:sz w:val="24"/>
        </w:rPr>
        <w:t>技术规格偏离表</w:t>
      </w:r>
    </w:p>
    <w:p>
      <w:pPr>
        <w:pStyle w:val="16"/>
        <w:spacing w:line="360" w:lineRule="auto"/>
        <w:rPr>
          <w:rFonts w:ascii="仿宋" w:hAnsi="仿宋" w:eastAsia="仿宋" w:cs="仿宋"/>
          <w:color w:val="000000"/>
          <w:sz w:val="24"/>
        </w:rPr>
      </w:pPr>
      <w:r>
        <w:rPr>
          <w:rFonts w:hint="eastAsia" w:ascii="仿宋" w:hAnsi="仿宋" w:eastAsia="仿宋" w:cs="仿宋"/>
          <w:color w:val="000000"/>
          <w:sz w:val="24"/>
        </w:rPr>
        <w:t>项目名称:                       招标编号:                 包号:</w:t>
      </w:r>
    </w:p>
    <w:tbl>
      <w:tblPr>
        <w:tblStyle w:val="28"/>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407"/>
        <w:gridCol w:w="2044"/>
        <w:gridCol w:w="1791"/>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925" w:type="dxa"/>
            <w:vAlign w:val="center"/>
          </w:tcPr>
          <w:p>
            <w:pPr>
              <w:pStyle w:val="16"/>
              <w:keepNext w:val="0"/>
              <w:keepLines w:val="0"/>
              <w:suppressLineNumbers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序号</w:t>
            </w:r>
          </w:p>
        </w:tc>
        <w:tc>
          <w:tcPr>
            <w:tcW w:w="1407" w:type="dxa"/>
            <w:vAlign w:val="center"/>
          </w:tcPr>
          <w:p>
            <w:pPr>
              <w:pStyle w:val="16"/>
              <w:keepNext w:val="0"/>
              <w:keepLines w:val="0"/>
              <w:suppressLineNumbers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货物名称</w:t>
            </w:r>
          </w:p>
        </w:tc>
        <w:tc>
          <w:tcPr>
            <w:tcW w:w="2044" w:type="dxa"/>
            <w:vAlign w:val="center"/>
          </w:tcPr>
          <w:p>
            <w:pPr>
              <w:pStyle w:val="16"/>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招标文件条款号及招标规格</w:t>
            </w:r>
          </w:p>
        </w:tc>
        <w:tc>
          <w:tcPr>
            <w:tcW w:w="1791" w:type="dxa"/>
            <w:vAlign w:val="center"/>
          </w:tcPr>
          <w:p>
            <w:pPr>
              <w:pStyle w:val="16"/>
              <w:keepNext w:val="0"/>
              <w:keepLines w:val="0"/>
              <w:suppressLineNumbers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投标规格</w:t>
            </w:r>
          </w:p>
        </w:tc>
        <w:tc>
          <w:tcPr>
            <w:tcW w:w="2010" w:type="dxa"/>
            <w:vAlign w:val="center"/>
          </w:tcPr>
          <w:p>
            <w:pPr>
              <w:pStyle w:val="16"/>
              <w:keepNext w:val="0"/>
              <w:keepLines w:val="0"/>
              <w:suppressLineNumbers w:val="0"/>
              <w:spacing w:before="0" w:beforeAutospacing="0" w:after="0" w:afterAutospacing="0"/>
              <w:ind w:left="0" w:right="0"/>
              <w:jc w:val="center"/>
              <w:rPr>
                <w:rFonts w:hint="default" w:ascii="仿宋" w:hAnsi="仿宋" w:eastAsia="仿宋" w:cs="仿宋"/>
                <w:color w:val="000000"/>
                <w:szCs w:val="21"/>
              </w:rPr>
            </w:pPr>
            <w:r>
              <w:rPr>
                <w:rFonts w:hint="eastAsia" w:ascii="仿宋" w:hAnsi="仿宋" w:eastAsia="仿宋" w:cs="仿宋"/>
                <w:color w:val="000000"/>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407"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44"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791"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10"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407"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44"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791"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10"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407"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44"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791"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10"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407"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44"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791"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10"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407"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44"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791"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10"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407"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44"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791"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10"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407"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44"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1791"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c>
          <w:tcPr>
            <w:tcW w:w="2010" w:type="dxa"/>
          </w:tcPr>
          <w:p>
            <w:pPr>
              <w:pStyle w:val="16"/>
              <w:keepNext w:val="0"/>
              <w:keepLines w:val="0"/>
              <w:suppressLineNumbers w:val="0"/>
              <w:spacing w:before="0" w:beforeAutospacing="0" w:after="0" w:afterAutospacing="0"/>
              <w:ind w:left="1080" w:leftChars="257" w:right="0" w:hanging="540"/>
              <w:rPr>
                <w:rFonts w:hint="default" w:ascii="仿宋" w:hAnsi="仿宋" w:eastAsia="仿宋" w:cs="仿宋"/>
                <w:color w:val="000000"/>
                <w:szCs w:val="21"/>
              </w:rPr>
            </w:pPr>
          </w:p>
        </w:tc>
      </w:tr>
    </w:tbl>
    <w:p>
      <w:pPr>
        <w:pStyle w:val="16"/>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注：</w:t>
      </w:r>
    </w:p>
    <w:p>
      <w:pPr>
        <w:pStyle w:val="16"/>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1.有偏离的技术条款须在该表中逐一列明，并在“投标文件的技术条款”栏填写具体应答内容， 在“偏离说明”中说明偏离具体情形。若无偏离请在“投标文件的技术条款”中填写“无偏离”。</w:t>
      </w:r>
    </w:p>
    <w:p>
      <w:pPr>
        <w:pStyle w:val="16"/>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2.未声明部分将被视为已接受投标文件要求，签约时未经采购人同意不得改变。</w:t>
      </w:r>
    </w:p>
    <w:p>
      <w:pPr>
        <w:pStyle w:val="16"/>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3.投标人可根据其投标内容进一步细化上述表格，并可增添其它表格或说明以便进一步明确投标内容。</w:t>
      </w:r>
    </w:p>
    <w:p>
      <w:pPr>
        <w:pStyle w:val="16"/>
        <w:spacing w:line="240" w:lineRule="atLeast"/>
        <w:ind w:left="1080" w:leftChars="257" w:hanging="540"/>
        <w:rPr>
          <w:rFonts w:ascii="仿宋" w:hAnsi="仿宋" w:eastAsia="仿宋" w:cs="仿宋"/>
          <w:color w:val="000000"/>
          <w:sz w:val="24"/>
        </w:rPr>
      </w:pPr>
    </w:p>
    <w:p>
      <w:pPr>
        <w:pStyle w:val="16"/>
        <w:spacing w:line="240" w:lineRule="atLeast"/>
        <w:ind w:left="1080" w:leftChars="257" w:hanging="540"/>
        <w:rPr>
          <w:rFonts w:ascii="仿宋" w:hAnsi="仿宋" w:eastAsia="仿宋" w:cs="仿宋"/>
          <w:color w:val="000000"/>
          <w:sz w:val="24"/>
        </w:rPr>
      </w:pPr>
    </w:p>
    <w:p>
      <w:pPr>
        <w:pStyle w:val="16"/>
        <w:spacing w:line="440" w:lineRule="exact"/>
        <w:ind w:firstLine="600" w:firstLineChars="250"/>
        <w:rPr>
          <w:rFonts w:ascii="仿宋" w:hAnsi="仿宋" w:eastAsia="仿宋" w:cs="仿宋"/>
          <w:color w:val="000000"/>
          <w:sz w:val="24"/>
        </w:rPr>
      </w:pPr>
      <w:bookmarkStart w:id="97" w:name="_Toc216582818"/>
      <w:bookmarkStart w:id="98" w:name="_Toc23907"/>
      <w:bookmarkStart w:id="99" w:name="_Toc507399534"/>
      <w:bookmarkStart w:id="100" w:name="_Toc25702"/>
      <w:r>
        <w:rPr>
          <w:rFonts w:hint="eastAsia" w:ascii="仿宋" w:hAnsi="仿宋" w:eastAsia="仿宋" w:cs="仿宋"/>
          <w:color w:val="000000"/>
          <w:sz w:val="24"/>
        </w:rPr>
        <w:t>法定代表人</w:t>
      </w:r>
      <w:r>
        <w:rPr>
          <w:rFonts w:ascii="仿宋" w:hAnsi="仿宋" w:eastAsia="仿宋" w:cs="仿宋"/>
          <w:color w:val="000000"/>
          <w:sz w:val="24"/>
        </w:rPr>
        <w:t>或</w:t>
      </w:r>
      <w:r>
        <w:rPr>
          <w:rFonts w:hint="eastAsia" w:ascii="仿宋" w:hAnsi="仿宋" w:eastAsia="仿宋" w:cs="仿宋"/>
          <w:color w:val="000000"/>
          <w:sz w:val="24"/>
        </w:rPr>
        <w:t>授权代表（签字或盖电子章）</w:t>
      </w:r>
      <w:r>
        <w:rPr>
          <w:rFonts w:hint="eastAsia" w:ascii="仿宋" w:hAnsi="仿宋" w:eastAsia="仿宋" w:cs="仿宋"/>
          <w:color w:val="000000"/>
          <w:sz w:val="24"/>
          <w:u w:val="single"/>
        </w:rPr>
        <w:tab/>
      </w:r>
    </w:p>
    <w:p>
      <w:pPr>
        <w:pStyle w:val="16"/>
        <w:tabs>
          <w:tab w:val="left" w:pos="5580"/>
        </w:tabs>
        <w:spacing w:line="440" w:lineRule="exact"/>
        <w:ind w:left="1079" w:leftChars="257" w:hanging="539"/>
        <w:rPr>
          <w:rFonts w:ascii="仿宋" w:hAnsi="仿宋" w:eastAsia="仿宋" w:cs="仿宋"/>
          <w:color w:val="000000"/>
          <w:sz w:val="24"/>
          <w:u w:val="single"/>
        </w:rPr>
      </w:pPr>
      <w:r>
        <w:rPr>
          <w:rFonts w:hint="eastAsia" w:ascii="仿宋" w:hAnsi="仿宋" w:eastAsia="仿宋" w:cs="仿宋"/>
          <w:color w:val="000000"/>
          <w:sz w:val="24"/>
        </w:rPr>
        <w:t>投标人(盖电子章):</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pStyle w:val="16"/>
        <w:tabs>
          <w:tab w:val="left" w:pos="5580"/>
        </w:tabs>
        <w:spacing w:line="440" w:lineRule="exact"/>
        <w:ind w:left="1079" w:leftChars="257" w:hanging="539"/>
        <w:rPr>
          <w:rFonts w:ascii="仿宋" w:hAnsi="仿宋" w:eastAsia="仿宋" w:cs="仿宋"/>
          <w:color w:val="000000"/>
          <w:sz w:val="24"/>
          <w:u w:val="single"/>
        </w:rPr>
      </w:pPr>
      <w:r>
        <w:rPr>
          <w:rFonts w:hint="eastAsia" w:ascii="仿宋" w:hAnsi="仿宋" w:eastAsia="仿宋" w:cs="仿宋"/>
          <w:color w:val="000000"/>
          <w:sz w:val="24"/>
        </w:rPr>
        <w:t>日期：</w:t>
      </w:r>
    </w:p>
    <w:p>
      <w:pPr>
        <w:pStyle w:val="44"/>
        <w:spacing w:line="360" w:lineRule="auto"/>
        <w:rPr>
          <w:rFonts w:ascii="仿宋" w:hAnsi="仿宋" w:eastAsia="仿宋" w:cs="仿宋"/>
          <w:color w:val="000000"/>
          <w:sz w:val="24"/>
        </w:rPr>
        <w:sectPr>
          <w:pgSz w:w="11906" w:h="16838"/>
          <w:pgMar w:top="1440" w:right="1800" w:bottom="1440" w:left="1800" w:header="851" w:footer="992" w:gutter="0"/>
          <w:cols w:space="425" w:num="1"/>
          <w:docGrid w:type="lines" w:linePitch="312" w:charSpace="0"/>
        </w:sectPr>
      </w:pPr>
    </w:p>
    <w:p>
      <w:pPr>
        <w:rPr>
          <w:rFonts w:ascii="仿宋" w:hAnsi="仿宋" w:eastAsia="仿宋"/>
          <w:b/>
          <w:color w:val="000000"/>
          <w:sz w:val="24"/>
        </w:rPr>
      </w:pPr>
      <w:r>
        <w:rPr>
          <w:rFonts w:hint="eastAsia" w:ascii="仿宋" w:hAnsi="仿宋" w:eastAsia="仿宋"/>
          <w:b/>
          <w:color w:val="000000"/>
          <w:sz w:val="24"/>
        </w:rPr>
        <w:t>附件8   商务条款偏离表</w:t>
      </w:r>
      <w:bookmarkEnd w:id="97"/>
      <w:bookmarkEnd w:id="98"/>
      <w:bookmarkEnd w:id="99"/>
      <w:bookmarkEnd w:id="100"/>
    </w:p>
    <w:p>
      <w:pPr>
        <w:pStyle w:val="16"/>
        <w:spacing w:line="240" w:lineRule="atLeast"/>
        <w:ind w:left="1080" w:leftChars="257" w:hanging="540"/>
        <w:jc w:val="center"/>
        <w:rPr>
          <w:rFonts w:ascii="仿宋" w:hAnsi="仿宋" w:eastAsia="仿宋" w:cs="仿宋"/>
          <w:b/>
          <w:bCs/>
          <w:color w:val="000000"/>
          <w:sz w:val="24"/>
        </w:rPr>
      </w:pPr>
      <w:r>
        <w:rPr>
          <w:rFonts w:hint="eastAsia" w:ascii="仿宋" w:hAnsi="仿宋" w:eastAsia="仿宋" w:cs="仿宋"/>
          <w:b/>
          <w:bCs/>
          <w:color w:val="000000"/>
          <w:sz w:val="24"/>
        </w:rPr>
        <w:t>商务条款偏离表</w:t>
      </w:r>
    </w:p>
    <w:p>
      <w:pPr>
        <w:pStyle w:val="16"/>
        <w:spacing w:line="240" w:lineRule="atLeast"/>
        <w:ind w:left="1080" w:leftChars="257" w:hanging="540"/>
        <w:rPr>
          <w:rFonts w:ascii="仿宋" w:hAnsi="仿宋" w:eastAsia="仿宋" w:cs="仿宋"/>
          <w:color w:val="000000"/>
          <w:sz w:val="24"/>
        </w:rPr>
      </w:pPr>
    </w:p>
    <w:p>
      <w:pPr>
        <w:pStyle w:val="16"/>
        <w:spacing w:line="240" w:lineRule="atLeast"/>
        <w:rPr>
          <w:rFonts w:ascii="仿宋" w:hAnsi="仿宋" w:eastAsia="仿宋" w:cs="仿宋"/>
          <w:color w:val="000000"/>
          <w:sz w:val="24"/>
        </w:rPr>
      </w:pPr>
      <w:r>
        <w:rPr>
          <w:rFonts w:hint="eastAsia" w:ascii="仿宋" w:hAnsi="仿宋" w:eastAsia="仿宋" w:cs="仿宋"/>
          <w:color w:val="000000"/>
          <w:sz w:val="24"/>
        </w:rPr>
        <w:t>项目名称:                      招标编号:             包号:</w:t>
      </w:r>
    </w:p>
    <w:p>
      <w:pPr>
        <w:pStyle w:val="16"/>
        <w:spacing w:line="240" w:lineRule="atLeast"/>
        <w:ind w:left="1080" w:leftChars="257" w:hanging="540"/>
        <w:rPr>
          <w:rFonts w:ascii="仿宋" w:hAnsi="仿宋" w:eastAsia="仿宋" w:cs="仿宋"/>
          <w:color w:val="000000"/>
          <w:sz w:val="24"/>
        </w:rPr>
      </w:pPr>
    </w:p>
    <w:tbl>
      <w:tblPr>
        <w:tblStyle w:val="28"/>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870"/>
        <w:gridCol w:w="2853"/>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1" w:type="dxa"/>
            <w:vAlign w:val="center"/>
          </w:tcPr>
          <w:p>
            <w:pPr>
              <w:pStyle w:val="16"/>
              <w:keepNext w:val="0"/>
              <w:keepLines w:val="0"/>
              <w:suppressLineNumbers w:val="0"/>
              <w:spacing w:before="0" w:beforeAutospacing="0" w:after="0" w:afterAutospacing="0" w:line="240" w:lineRule="atLeast"/>
              <w:ind w:left="0" w:right="0"/>
              <w:jc w:val="center"/>
              <w:rPr>
                <w:rFonts w:hint="default" w:ascii="仿宋" w:hAnsi="仿宋" w:eastAsia="仿宋" w:cs="仿宋"/>
                <w:color w:val="000000"/>
                <w:szCs w:val="21"/>
              </w:rPr>
            </w:pPr>
            <w:r>
              <w:rPr>
                <w:rFonts w:hint="eastAsia" w:ascii="仿宋" w:hAnsi="仿宋" w:eastAsia="仿宋" w:cs="仿宋"/>
                <w:color w:val="000000"/>
                <w:szCs w:val="21"/>
              </w:rPr>
              <w:t>序号</w:t>
            </w:r>
          </w:p>
        </w:tc>
        <w:tc>
          <w:tcPr>
            <w:tcW w:w="2870" w:type="dxa"/>
            <w:vAlign w:val="center"/>
          </w:tcPr>
          <w:p>
            <w:pPr>
              <w:pStyle w:val="16"/>
              <w:keepNext w:val="0"/>
              <w:keepLines w:val="0"/>
              <w:suppressLineNumbers w:val="0"/>
              <w:spacing w:before="0" w:beforeAutospacing="0" w:after="0" w:afterAutospacing="0" w:line="240" w:lineRule="atLeast"/>
              <w:ind w:left="0" w:right="0"/>
              <w:jc w:val="center"/>
              <w:rPr>
                <w:rFonts w:hint="default" w:ascii="仿宋" w:hAnsi="仿宋" w:eastAsia="仿宋" w:cs="仿宋"/>
                <w:color w:val="000000"/>
                <w:szCs w:val="21"/>
              </w:rPr>
            </w:pPr>
            <w:r>
              <w:rPr>
                <w:rFonts w:hint="eastAsia" w:ascii="仿宋" w:hAnsi="仿宋" w:eastAsia="仿宋" w:cs="仿宋"/>
                <w:color w:val="000000"/>
                <w:szCs w:val="21"/>
              </w:rPr>
              <w:t>招标文件的商务条款</w:t>
            </w:r>
          </w:p>
        </w:tc>
        <w:tc>
          <w:tcPr>
            <w:tcW w:w="2853" w:type="dxa"/>
            <w:vAlign w:val="center"/>
          </w:tcPr>
          <w:p>
            <w:pPr>
              <w:pStyle w:val="16"/>
              <w:keepNext w:val="0"/>
              <w:keepLines w:val="0"/>
              <w:suppressLineNumbers w:val="0"/>
              <w:spacing w:before="0" w:beforeAutospacing="0" w:after="0" w:afterAutospacing="0" w:line="240" w:lineRule="atLeast"/>
              <w:ind w:left="0" w:right="0"/>
              <w:jc w:val="center"/>
              <w:rPr>
                <w:rFonts w:hint="default" w:ascii="仿宋" w:hAnsi="仿宋" w:eastAsia="仿宋" w:cs="仿宋"/>
                <w:color w:val="000000"/>
                <w:szCs w:val="21"/>
              </w:rPr>
            </w:pPr>
            <w:r>
              <w:rPr>
                <w:rFonts w:hint="eastAsia" w:ascii="仿宋" w:hAnsi="仿宋" w:eastAsia="仿宋" w:cs="仿宋"/>
                <w:color w:val="000000"/>
                <w:szCs w:val="21"/>
              </w:rPr>
              <w:t>投标文件的商务条款</w:t>
            </w:r>
          </w:p>
        </w:tc>
        <w:tc>
          <w:tcPr>
            <w:tcW w:w="1365" w:type="dxa"/>
            <w:vAlign w:val="center"/>
          </w:tcPr>
          <w:p>
            <w:pPr>
              <w:pStyle w:val="16"/>
              <w:keepNext w:val="0"/>
              <w:keepLines w:val="0"/>
              <w:suppressLineNumbers w:val="0"/>
              <w:spacing w:before="0" w:beforeAutospacing="0" w:after="0" w:afterAutospacing="0" w:line="240" w:lineRule="atLeast"/>
              <w:ind w:left="0" w:right="0"/>
              <w:jc w:val="center"/>
              <w:rPr>
                <w:rFonts w:hint="default" w:ascii="仿宋" w:hAnsi="仿宋" w:eastAsia="仿宋" w:cs="仿宋"/>
                <w:color w:val="000000"/>
                <w:szCs w:val="21"/>
              </w:rPr>
            </w:pPr>
            <w:r>
              <w:rPr>
                <w:rFonts w:hint="eastAsia" w:ascii="仿宋" w:hAnsi="仿宋" w:eastAsia="仿宋" w:cs="仿宋"/>
                <w:color w:val="000000"/>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70" w:type="dxa"/>
          </w:tcPr>
          <w:p>
            <w:pPr>
              <w:pStyle w:val="16"/>
              <w:keepNext w:val="0"/>
              <w:keepLines w:val="0"/>
              <w:suppressLineNumbers w:val="0"/>
              <w:spacing w:before="0" w:beforeAutospacing="0" w:after="0" w:afterAutospacing="0" w:line="240" w:lineRule="atLeast"/>
              <w:ind w:left="1080" w:leftChars="257" w:right="0" w:hanging="540"/>
              <w:jc w:val="center"/>
              <w:rPr>
                <w:rFonts w:hint="default" w:ascii="仿宋" w:hAnsi="仿宋" w:eastAsia="仿宋" w:cs="仿宋"/>
                <w:color w:val="000000"/>
                <w:szCs w:val="21"/>
              </w:rPr>
            </w:pPr>
          </w:p>
        </w:tc>
        <w:tc>
          <w:tcPr>
            <w:tcW w:w="2853" w:type="dxa"/>
          </w:tcPr>
          <w:p>
            <w:pPr>
              <w:pStyle w:val="16"/>
              <w:keepNext w:val="0"/>
              <w:keepLines w:val="0"/>
              <w:suppressLineNumbers w:val="0"/>
              <w:spacing w:before="0" w:beforeAutospacing="0" w:after="0" w:afterAutospacing="0" w:line="240" w:lineRule="atLeast"/>
              <w:ind w:left="1080" w:leftChars="257" w:right="0" w:hanging="540"/>
              <w:jc w:val="center"/>
              <w:rPr>
                <w:rFonts w:hint="default" w:ascii="仿宋" w:hAnsi="仿宋" w:eastAsia="仿宋" w:cs="仿宋"/>
                <w:color w:val="000000"/>
                <w:szCs w:val="21"/>
              </w:rPr>
            </w:pPr>
          </w:p>
        </w:tc>
        <w:tc>
          <w:tcPr>
            <w:tcW w:w="1365"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70"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53"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1365"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70"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53"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1365"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70"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53"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1365"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70"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53"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1365"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70"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53"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1365"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70"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2853"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c>
          <w:tcPr>
            <w:tcW w:w="1365" w:type="dxa"/>
          </w:tcPr>
          <w:p>
            <w:pPr>
              <w:pStyle w:val="16"/>
              <w:keepNext w:val="0"/>
              <w:keepLines w:val="0"/>
              <w:suppressLineNumbers w:val="0"/>
              <w:spacing w:before="0" w:beforeAutospacing="0" w:after="0" w:afterAutospacing="0" w:line="240" w:lineRule="atLeast"/>
              <w:ind w:left="1080" w:leftChars="257" w:right="0" w:hanging="540"/>
              <w:rPr>
                <w:rFonts w:hint="default" w:ascii="仿宋" w:hAnsi="仿宋" w:eastAsia="仿宋" w:cs="仿宋"/>
                <w:color w:val="000000"/>
                <w:szCs w:val="21"/>
              </w:rPr>
            </w:pPr>
          </w:p>
        </w:tc>
      </w:tr>
    </w:tbl>
    <w:p>
      <w:pPr>
        <w:pStyle w:val="16"/>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注：1.有偏离的商务条款须在该表中逐一列明，并在“投标文件的商务条款”栏填写具体应答内容，在“偏离说明”中说明偏离具体情形。若无偏离请在“投标文件的商务条款”中填写“无偏离”。</w:t>
      </w:r>
    </w:p>
    <w:p>
      <w:pPr>
        <w:pStyle w:val="16"/>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2.未声明部分将被视为已接受招标文件要求，签约时未经招标方同意不得改变。</w:t>
      </w:r>
    </w:p>
    <w:p>
      <w:pPr>
        <w:pStyle w:val="16"/>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3.投标人可根据其投标内容进一步细化上述表格，并可增添其它表格或说明以便进一步明确响应内容。</w:t>
      </w:r>
    </w:p>
    <w:p>
      <w:pPr>
        <w:pStyle w:val="16"/>
        <w:spacing w:line="240" w:lineRule="atLeast"/>
        <w:rPr>
          <w:rFonts w:ascii="仿宋" w:hAnsi="仿宋" w:eastAsia="仿宋" w:cs="仿宋"/>
          <w:color w:val="000000"/>
          <w:szCs w:val="21"/>
        </w:rPr>
      </w:pPr>
    </w:p>
    <w:p>
      <w:pPr>
        <w:pStyle w:val="16"/>
        <w:spacing w:line="440" w:lineRule="exact"/>
        <w:ind w:firstLine="600" w:firstLineChars="250"/>
        <w:rPr>
          <w:rFonts w:ascii="仿宋" w:hAnsi="仿宋" w:eastAsia="仿宋" w:cs="仿宋"/>
          <w:color w:val="000000"/>
          <w:sz w:val="24"/>
        </w:rPr>
      </w:pPr>
      <w:r>
        <w:rPr>
          <w:rFonts w:hint="eastAsia" w:ascii="仿宋" w:hAnsi="仿宋" w:eastAsia="仿宋" w:cs="仿宋"/>
          <w:color w:val="000000"/>
          <w:sz w:val="24"/>
        </w:rPr>
        <w:t>法定代表人</w:t>
      </w:r>
      <w:r>
        <w:rPr>
          <w:rFonts w:ascii="仿宋" w:hAnsi="仿宋" w:eastAsia="仿宋" w:cs="仿宋"/>
          <w:color w:val="000000"/>
          <w:sz w:val="24"/>
        </w:rPr>
        <w:t>或</w:t>
      </w:r>
      <w:r>
        <w:rPr>
          <w:rFonts w:hint="eastAsia" w:ascii="仿宋" w:hAnsi="仿宋" w:eastAsia="仿宋" w:cs="仿宋"/>
          <w:color w:val="000000"/>
          <w:sz w:val="24"/>
        </w:rPr>
        <w:t>授权代表（签字或盖电子章）</w:t>
      </w:r>
      <w:r>
        <w:rPr>
          <w:rFonts w:hint="eastAsia" w:ascii="仿宋" w:hAnsi="仿宋" w:eastAsia="仿宋" w:cs="仿宋"/>
          <w:color w:val="000000"/>
          <w:sz w:val="24"/>
          <w:u w:val="single"/>
        </w:rPr>
        <w:tab/>
      </w:r>
    </w:p>
    <w:p>
      <w:pPr>
        <w:pStyle w:val="16"/>
        <w:tabs>
          <w:tab w:val="left" w:pos="5580"/>
        </w:tabs>
        <w:spacing w:line="440" w:lineRule="exact"/>
        <w:ind w:left="1079" w:leftChars="257" w:hanging="539"/>
        <w:rPr>
          <w:rFonts w:ascii="仿宋" w:hAnsi="仿宋" w:eastAsia="仿宋" w:cs="仿宋"/>
          <w:color w:val="000000"/>
          <w:sz w:val="24"/>
          <w:u w:val="single"/>
        </w:rPr>
      </w:pPr>
      <w:r>
        <w:rPr>
          <w:rFonts w:hint="eastAsia" w:ascii="仿宋" w:hAnsi="仿宋" w:eastAsia="仿宋" w:cs="仿宋"/>
          <w:color w:val="000000"/>
          <w:sz w:val="24"/>
        </w:rPr>
        <w:t>投标人(盖电子章):</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pStyle w:val="16"/>
        <w:tabs>
          <w:tab w:val="left" w:pos="5580"/>
        </w:tabs>
        <w:spacing w:line="440" w:lineRule="exact"/>
        <w:ind w:left="1079" w:leftChars="257" w:hanging="539"/>
        <w:rPr>
          <w:rFonts w:ascii="仿宋" w:hAnsi="仿宋" w:eastAsia="仿宋" w:cs="仿宋"/>
          <w:color w:val="000000"/>
          <w:sz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sz w:val="24"/>
        </w:rPr>
        <w:t>日期：</w:t>
      </w:r>
    </w:p>
    <w:p>
      <w:pPr>
        <w:pStyle w:val="16"/>
        <w:rPr>
          <w:rFonts w:ascii="仿宋" w:hAnsi="仿宋" w:eastAsia="仿宋"/>
          <w:b/>
          <w:color w:val="000000"/>
          <w:sz w:val="24"/>
          <w:szCs w:val="24"/>
        </w:rPr>
      </w:pPr>
      <w:bookmarkStart w:id="101" w:name="_Toc480942355"/>
      <w:bookmarkStart w:id="102" w:name="_Toc216582819"/>
      <w:bookmarkStart w:id="103" w:name="_Toc520356224"/>
      <w:bookmarkStart w:id="104" w:name="_Ref467988543"/>
      <w:bookmarkStart w:id="105" w:name="_Toc507399535"/>
      <w:bookmarkStart w:id="106" w:name="_Toc9592"/>
      <w:bookmarkStart w:id="107" w:name="_Toc20238"/>
      <w:r>
        <w:rPr>
          <w:rFonts w:hint="eastAsia" w:ascii="仿宋" w:hAnsi="仿宋" w:eastAsia="仿宋"/>
          <w:b/>
          <w:color w:val="000000"/>
          <w:sz w:val="24"/>
          <w:szCs w:val="24"/>
        </w:rPr>
        <w:t xml:space="preserve">附件9   </w:t>
      </w:r>
      <w:bookmarkEnd w:id="101"/>
      <w:bookmarkEnd w:id="102"/>
      <w:bookmarkEnd w:id="103"/>
      <w:bookmarkEnd w:id="104"/>
      <w:bookmarkStart w:id="108" w:name="_Hlt520274407"/>
      <w:bookmarkEnd w:id="108"/>
      <w:bookmarkStart w:id="109" w:name="_Hlt520350918"/>
      <w:bookmarkEnd w:id="109"/>
      <w:bookmarkStart w:id="110" w:name="_Hlt520274393"/>
      <w:bookmarkEnd w:id="110"/>
      <w:bookmarkStart w:id="111" w:name="_Hlt520350957"/>
      <w:bookmarkEnd w:id="111"/>
      <w:bookmarkStart w:id="112" w:name="_Hlt520271212"/>
      <w:bookmarkEnd w:id="112"/>
      <w:bookmarkStart w:id="113" w:name="_Hlt520273973"/>
      <w:bookmarkEnd w:id="113"/>
      <w:bookmarkStart w:id="114" w:name="_Hlt520273711"/>
      <w:bookmarkEnd w:id="114"/>
      <w:bookmarkStart w:id="115" w:name="_Hlt520343000"/>
      <w:bookmarkEnd w:id="115"/>
      <w:bookmarkStart w:id="116" w:name="_Hlt520343392"/>
      <w:bookmarkEnd w:id="116"/>
      <w:bookmarkStart w:id="117" w:name="_Hlt520274911"/>
      <w:bookmarkEnd w:id="117"/>
      <w:bookmarkStart w:id="118" w:name="_Hlt520274065"/>
      <w:bookmarkEnd w:id="118"/>
      <w:bookmarkStart w:id="119" w:name="_Toc216513801"/>
      <w:bookmarkStart w:id="120" w:name="_Toc216582821"/>
      <w:r>
        <w:rPr>
          <w:rFonts w:hint="eastAsia" w:ascii="仿宋" w:hAnsi="仿宋" w:eastAsia="仿宋"/>
          <w:b/>
          <w:color w:val="000000"/>
          <w:sz w:val="24"/>
          <w:szCs w:val="24"/>
        </w:rPr>
        <w:t>中标服务费承诺书</w:t>
      </w:r>
      <w:bookmarkEnd w:id="105"/>
      <w:bookmarkEnd w:id="106"/>
      <w:bookmarkEnd w:id="107"/>
    </w:p>
    <w:p>
      <w:pPr>
        <w:spacing w:line="240" w:lineRule="atLeast"/>
        <w:ind w:left="1080" w:leftChars="257" w:hanging="540"/>
        <w:rPr>
          <w:rFonts w:ascii="仿宋" w:hAnsi="仿宋" w:eastAsia="仿宋" w:cs="仿宋"/>
          <w:b/>
          <w:color w:val="000000"/>
          <w:sz w:val="24"/>
        </w:rPr>
      </w:pPr>
    </w:p>
    <w:p>
      <w:pPr>
        <w:spacing w:line="240" w:lineRule="atLeast"/>
        <w:ind w:left="1080" w:leftChars="257" w:hanging="540"/>
        <w:jc w:val="center"/>
        <w:rPr>
          <w:rFonts w:ascii="仿宋" w:hAnsi="仿宋" w:eastAsia="仿宋" w:cs="仿宋"/>
          <w:b/>
          <w:bCs/>
          <w:color w:val="000000"/>
          <w:sz w:val="24"/>
        </w:rPr>
      </w:pPr>
      <w:r>
        <w:rPr>
          <w:rFonts w:hint="eastAsia" w:ascii="仿宋" w:hAnsi="仿宋" w:eastAsia="仿宋" w:cs="仿宋"/>
          <w:b/>
          <w:bCs/>
          <w:color w:val="000000"/>
          <w:sz w:val="24"/>
        </w:rPr>
        <w:t>中标服务费承诺书</w:t>
      </w:r>
    </w:p>
    <w:p>
      <w:pPr>
        <w:spacing w:line="440" w:lineRule="exact"/>
        <w:ind w:left="1080" w:hanging="1080"/>
        <w:rPr>
          <w:rFonts w:ascii="仿宋" w:hAnsi="仿宋" w:eastAsia="仿宋" w:cs="仿宋"/>
          <w:color w:val="000000"/>
          <w:sz w:val="24"/>
        </w:rPr>
      </w:pPr>
    </w:p>
    <w:p>
      <w:pPr>
        <w:spacing w:line="440" w:lineRule="exact"/>
        <w:ind w:left="1080" w:hanging="1080"/>
        <w:rPr>
          <w:rFonts w:ascii="仿宋" w:hAnsi="仿宋" w:eastAsia="仿宋" w:cs="仿宋"/>
          <w:color w:val="000000"/>
          <w:sz w:val="24"/>
          <w:u w:val="single"/>
        </w:rPr>
      </w:pPr>
      <w:r>
        <w:rPr>
          <w:rFonts w:hint="eastAsia" w:ascii="仿宋" w:hAnsi="仿宋" w:eastAsia="仿宋" w:cs="仿宋"/>
          <w:color w:val="000000"/>
          <w:sz w:val="24"/>
        </w:rPr>
        <w:t>致：新疆新世纪招标有限公司</w:t>
      </w:r>
    </w:p>
    <w:p>
      <w:pPr>
        <w:spacing w:line="440" w:lineRule="exact"/>
        <w:ind w:left="1080" w:leftChars="257" w:hanging="540"/>
        <w:rPr>
          <w:rFonts w:ascii="仿宋" w:hAnsi="仿宋" w:eastAsia="仿宋" w:cs="仿宋"/>
          <w:color w:val="000000"/>
          <w:sz w:val="24"/>
        </w:rPr>
      </w:pPr>
    </w:p>
    <w:p>
      <w:pPr>
        <w:spacing w:line="440" w:lineRule="exact"/>
        <w:rPr>
          <w:rFonts w:ascii="仿宋" w:hAnsi="仿宋" w:eastAsia="仿宋" w:cs="仿宋"/>
          <w:color w:val="000000"/>
          <w:sz w:val="24"/>
        </w:rPr>
      </w:pPr>
      <w:r>
        <w:rPr>
          <w:rFonts w:hint="eastAsia" w:ascii="仿宋" w:hAnsi="仿宋" w:eastAsia="仿宋" w:cs="仿宋"/>
          <w:color w:val="000000"/>
          <w:sz w:val="24"/>
        </w:rPr>
        <w:tab/>
      </w:r>
      <w:r>
        <w:rPr>
          <w:rFonts w:hint="eastAsia" w:ascii="仿宋" w:hAnsi="仿宋" w:eastAsia="仿宋" w:cs="仿宋"/>
          <w:color w:val="000000"/>
          <w:sz w:val="24"/>
        </w:rPr>
        <w:t xml:space="preserve"> 我们在贵公司组织的</w:t>
      </w:r>
      <w:r>
        <w:rPr>
          <w:rFonts w:hint="eastAsia" w:ascii="仿宋" w:hAnsi="仿宋" w:eastAsia="仿宋" w:cs="仿宋"/>
          <w:color w:val="000000"/>
          <w:sz w:val="24"/>
          <w:u w:val="single"/>
        </w:rPr>
        <w:tab/>
      </w:r>
      <w:r>
        <w:rPr>
          <w:rFonts w:hint="eastAsia" w:ascii="仿宋" w:hAnsi="仿宋" w:eastAsia="仿宋" w:cs="仿宋"/>
          <w:color w:val="000000"/>
          <w:sz w:val="24"/>
          <w:u w:val="single"/>
        </w:rPr>
        <w:t>（项目名称、项目编号）</w:t>
      </w:r>
      <w:r>
        <w:rPr>
          <w:rFonts w:hint="eastAsia" w:ascii="仿宋" w:hAnsi="仿宋" w:eastAsia="仿宋" w:cs="仿宋"/>
          <w:color w:val="000000"/>
          <w:sz w:val="24"/>
          <w:u w:val="single"/>
        </w:rPr>
        <w:tab/>
      </w:r>
      <w:r>
        <w:rPr>
          <w:rFonts w:hint="eastAsia" w:ascii="仿宋" w:hAnsi="仿宋" w:eastAsia="仿宋" w:cs="仿宋"/>
          <w:color w:val="000000"/>
          <w:sz w:val="24"/>
        </w:rPr>
        <w:t>项目招标中若获得中标资格，我们保证在领取中标通知书的同时按招标文件的规定，以转账、电汇等形式，向贵公司一次性支付应由我们交纳的中标服务费用。</w:t>
      </w:r>
    </w:p>
    <w:p>
      <w:pPr>
        <w:spacing w:line="440" w:lineRule="exact"/>
        <w:ind w:left="1080" w:leftChars="257" w:hanging="540"/>
        <w:rPr>
          <w:rFonts w:ascii="仿宋" w:hAnsi="仿宋" w:eastAsia="仿宋" w:cs="仿宋"/>
          <w:color w:val="000000"/>
          <w:sz w:val="24"/>
        </w:rPr>
      </w:pPr>
      <w:r>
        <w:rPr>
          <w:rFonts w:hint="eastAsia" w:ascii="仿宋" w:hAnsi="仿宋" w:eastAsia="仿宋" w:cs="仿宋"/>
          <w:color w:val="000000"/>
          <w:sz w:val="24"/>
        </w:rPr>
        <w:t>特此承诺！</w:t>
      </w:r>
    </w:p>
    <w:p>
      <w:pPr>
        <w:spacing w:line="440" w:lineRule="exact"/>
        <w:ind w:left="1080" w:leftChars="257" w:hanging="540"/>
        <w:rPr>
          <w:rFonts w:ascii="仿宋" w:hAnsi="仿宋" w:eastAsia="仿宋" w:cs="仿宋"/>
          <w:color w:val="000000"/>
          <w:sz w:val="24"/>
        </w:rPr>
      </w:pPr>
    </w:p>
    <w:p>
      <w:pPr>
        <w:spacing w:line="440" w:lineRule="exact"/>
        <w:ind w:left="1080" w:leftChars="257" w:hanging="540"/>
        <w:rPr>
          <w:rFonts w:ascii="仿宋" w:hAnsi="仿宋" w:eastAsia="仿宋" w:cs="仿宋"/>
          <w:color w:val="000000"/>
          <w:sz w:val="24"/>
        </w:rPr>
      </w:pPr>
    </w:p>
    <w:p>
      <w:pPr>
        <w:spacing w:line="440" w:lineRule="exact"/>
        <w:ind w:left="1080" w:leftChars="257" w:hanging="540"/>
        <w:rPr>
          <w:rFonts w:ascii="仿宋" w:hAnsi="仿宋" w:eastAsia="仿宋" w:cs="仿宋"/>
          <w:color w:val="000000"/>
          <w:sz w:val="24"/>
        </w:rPr>
      </w:pPr>
    </w:p>
    <w:p>
      <w:pPr>
        <w:spacing w:line="440" w:lineRule="exact"/>
        <w:ind w:left="1080" w:leftChars="257" w:hanging="540"/>
        <w:rPr>
          <w:rFonts w:ascii="仿宋" w:hAnsi="仿宋" w:eastAsia="仿宋" w:cs="仿宋"/>
          <w:color w:val="000000"/>
          <w:sz w:val="24"/>
        </w:rPr>
      </w:pPr>
    </w:p>
    <w:p>
      <w:pPr>
        <w:spacing w:line="440" w:lineRule="exact"/>
        <w:ind w:left="1080" w:hanging="1080"/>
        <w:rPr>
          <w:rFonts w:ascii="仿宋" w:hAnsi="仿宋" w:eastAsia="仿宋" w:cs="仿宋"/>
          <w:color w:val="000000"/>
          <w:sz w:val="24"/>
        </w:rPr>
      </w:pPr>
    </w:p>
    <w:p>
      <w:pPr>
        <w:spacing w:line="440" w:lineRule="exact"/>
        <w:ind w:left="1413" w:leftChars="273" w:hanging="840" w:hangingChars="350"/>
        <w:rPr>
          <w:rFonts w:ascii="仿宋" w:hAnsi="仿宋" w:eastAsia="仿宋" w:cs="仿宋"/>
          <w:color w:val="000000"/>
          <w:sz w:val="24"/>
        </w:rPr>
      </w:pPr>
      <w:r>
        <w:rPr>
          <w:rFonts w:hint="eastAsia" w:ascii="仿宋" w:hAnsi="仿宋" w:eastAsia="仿宋" w:cs="仿宋"/>
          <w:color w:val="000000"/>
          <w:sz w:val="24"/>
        </w:rPr>
        <w:t>承诺方法定名称：</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spacing w:line="440" w:lineRule="exact"/>
        <w:ind w:left="1620" w:leftChars="257" w:hanging="1080"/>
        <w:rPr>
          <w:rFonts w:ascii="仿宋" w:hAnsi="仿宋" w:eastAsia="仿宋" w:cs="仿宋"/>
          <w:color w:val="000000"/>
          <w:sz w:val="24"/>
        </w:rPr>
      </w:pPr>
      <w:r>
        <w:rPr>
          <w:rFonts w:hint="eastAsia" w:ascii="仿宋" w:hAnsi="仿宋" w:eastAsia="仿宋" w:cs="仿宋"/>
          <w:color w:val="000000"/>
          <w:sz w:val="24"/>
        </w:rPr>
        <w:t>地址：</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spacing w:line="440" w:lineRule="exact"/>
        <w:ind w:left="1620" w:leftChars="257" w:hanging="1080"/>
        <w:rPr>
          <w:rFonts w:ascii="仿宋" w:hAnsi="仿宋" w:eastAsia="仿宋" w:cs="仿宋"/>
          <w:color w:val="000000"/>
          <w:sz w:val="24"/>
        </w:rPr>
      </w:pPr>
      <w:r>
        <w:rPr>
          <w:rFonts w:hint="eastAsia" w:ascii="仿宋" w:hAnsi="仿宋" w:eastAsia="仿宋" w:cs="仿宋"/>
          <w:color w:val="000000"/>
          <w:sz w:val="24"/>
        </w:rPr>
        <w:t>电话：</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传真：</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spacing w:line="440" w:lineRule="exact"/>
        <w:ind w:left="1620" w:leftChars="257" w:hanging="1080"/>
        <w:rPr>
          <w:rFonts w:ascii="仿宋" w:hAnsi="仿宋" w:eastAsia="仿宋" w:cs="仿宋"/>
          <w:color w:val="000000"/>
          <w:sz w:val="24"/>
        </w:rPr>
      </w:pPr>
      <w:r>
        <w:rPr>
          <w:rFonts w:hint="eastAsia" w:ascii="仿宋" w:hAnsi="仿宋" w:eastAsia="仿宋" w:cs="仿宋"/>
          <w:color w:val="000000"/>
          <w:sz w:val="24"/>
        </w:rPr>
        <w:t>电传：</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rPr>
        <w:tab/>
      </w:r>
      <w:r>
        <w:rPr>
          <w:rFonts w:hint="eastAsia" w:ascii="仿宋" w:hAnsi="仿宋" w:eastAsia="仿宋" w:cs="仿宋"/>
          <w:color w:val="000000"/>
          <w:sz w:val="24"/>
        </w:rPr>
        <w:tab/>
      </w:r>
      <w:r>
        <w:rPr>
          <w:rFonts w:hint="eastAsia" w:ascii="仿宋" w:hAnsi="仿宋" w:eastAsia="仿宋" w:cs="仿宋"/>
          <w:color w:val="000000"/>
          <w:sz w:val="24"/>
        </w:rPr>
        <w:t>邮编：</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p>
    <w:p>
      <w:pPr>
        <w:spacing w:line="440" w:lineRule="exact"/>
        <w:ind w:left="1620" w:leftChars="257" w:hanging="1080"/>
        <w:rPr>
          <w:rFonts w:ascii="仿宋" w:hAnsi="仿宋" w:eastAsia="仿宋" w:cs="仿宋"/>
          <w:color w:val="000000"/>
          <w:sz w:val="24"/>
        </w:rPr>
      </w:pPr>
      <w:r>
        <w:rPr>
          <w:rFonts w:hint="eastAsia" w:ascii="仿宋" w:hAnsi="仿宋" w:eastAsia="仿宋" w:cs="仿宋"/>
          <w:color w:val="000000"/>
          <w:sz w:val="24"/>
        </w:rPr>
        <w:t>承诺方授权代表签字：</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rPr>
        <w:t>（承诺方盖电子章）</w:t>
      </w:r>
    </w:p>
    <w:p>
      <w:pPr>
        <w:spacing w:line="440" w:lineRule="exact"/>
        <w:ind w:left="1620" w:leftChars="257" w:hanging="1080"/>
        <w:rPr>
          <w:rFonts w:ascii="仿宋" w:hAnsi="仿宋" w:eastAsia="仿宋" w:cs="仿宋"/>
          <w:color w:val="000000"/>
          <w:sz w:val="24"/>
          <w:u w:val="single"/>
        </w:rPr>
      </w:pPr>
      <w:r>
        <w:rPr>
          <w:rFonts w:hint="eastAsia" w:ascii="仿宋" w:hAnsi="仿宋" w:eastAsia="仿宋" w:cs="仿宋"/>
          <w:color w:val="000000"/>
          <w:sz w:val="24"/>
        </w:rPr>
        <w:t>承诺日期：</w:t>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r>
        <w:rPr>
          <w:rFonts w:hint="eastAsia" w:ascii="仿宋" w:hAnsi="仿宋" w:eastAsia="仿宋" w:cs="仿宋"/>
          <w:color w:val="000000"/>
          <w:sz w:val="24"/>
          <w:u w:val="single"/>
        </w:rPr>
        <w:tab/>
      </w:r>
      <w:bookmarkEnd w:id="119"/>
      <w:bookmarkEnd w:id="120"/>
    </w:p>
    <w:p>
      <w:pPr>
        <w:rPr>
          <w:rFonts w:ascii="仿宋" w:hAnsi="仿宋" w:eastAsia="仿宋" w:cs="仿宋"/>
          <w:color w:val="000000"/>
          <w:sz w:val="24"/>
          <w:u w:val="single"/>
        </w:rPr>
      </w:pPr>
      <w:r>
        <w:rPr>
          <w:rFonts w:hint="eastAsia" w:ascii="仿宋" w:hAnsi="仿宋" w:eastAsia="仿宋" w:cs="仿宋"/>
          <w:color w:val="000000"/>
          <w:sz w:val="24"/>
          <w:u w:val="single"/>
        </w:rPr>
        <w:br w:type="page"/>
      </w:r>
    </w:p>
    <w:p>
      <w:pPr>
        <w:pStyle w:val="16"/>
        <w:rPr>
          <w:rFonts w:ascii="仿宋" w:hAnsi="仿宋" w:eastAsia="仿宋"/>
          <w:b/>
          <w:color w:val="000000"/>
          <w:sz w:val="24"/>
          <w:szCs w:val="24"/>
        </w:rPr>
      </w:pPr>
      <w:bookmarkStart w:id="121" w:name="_Toc14711"/>
      <w:bookmarkStart w:id="122" w:name="_Toc1502"/>
      <w:r>
        <w:rPr>
          <w:rFonts w:hint="eastAsia" w:ascii="仿宋" w:hAnsi="仿宋" w:eastAsia="仿宋"/>
          <w:b/>
          <w:color w:val="000000"/>
          <w:sz w:val="24"/>
          <w:szCs w:val="24"/>
        </w:rPr>
        <w:t>附件10-1</w:t>
      </w:r>
      <w:bookmarkStart w:id="123" w:name="_Toc71631935"/>
      <w:r>
        <w:rPr>
          <w:rFonts w:hint="eastAsia" w:ascii="仿宋" w:hAnsi="仿宋" w:eastAsia="仿宋"/>
          <w:b/>
          <w:color w:val="000000"/>
          <w:sz w:val="24"/>
          <w:szCs w:val="24"/>
        </w:rPr>
        <w:t xml:space="preserve"> 中小企业声明函</w:t>
      </w:r>
      <w:bookmarkEnd w:id="123"/>
      <w:r>
        <w:rPr>
          <w:rFonts w:hint="eastAsia" w:ascii="仿宋" w:hAnsi="仿宋" w:eastAsia="仿宋"/>
          <w:b/>
          <w:color w:val="000000"/>
          <w:sz w:val="24"/>
          <w:szCs w:val="24"/>
        </w:rPr>
        <w:t>（如是）</w:t>
      </w:r>
      <w:bookmarkEnd w:id="121"/>
      <w:bookmarkEnd w:id="122"/>
    </w:p>
    <w:p>
      <w:pPr>
        <w:adjustRightInd w:val="0"/>
        <w:snapToGrid w:val="0"/>
        <w:spacing w:line="360" w:lineRule="auto"/>
        <w:ind w:hanging="540"/>
        <w:jc w:val="center"/>
        <w:rPr>
          <w:rFonts w:ascii="仿宋" w:hAnsi="仿宋" w:eastAsia="仿宋" w:cs="仿宋"/>
          <w:b/>
          <w:color w:val="000000"/>
          <w:kern w:val="0"/>
          <w:sz w:val="24"/>
          <w:szCs w:val="20"/>
        </w:rPr>
      </w:pPr>
    </w:p>
    <w:p>
      <w:pPr>
        <w:pStyle w:val="16"/>
        <w:tabs>
          <w:tab w:val="left" w:pos="5580"/>
        </w:tabs>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本公司（联合体）郑重声明，根据《政府采购促进中小企业发展管理办法》（财库﹝2020﹞46 号）的规定，本公司（联合体）参加</w:t>
      </w:r>
      <w:r>
        <w:rPr>
          <w:rFonts w:hint="eastAsia" w:ascii="仿宋" w:hAnsi="仿宋" w:eastAsia="仿宋" w:cs="仿宋"/>
          <w:i/>
          <w:color w:val="000000"/>
          <w:sz w:val="24"/>
          <w:u w:val="single"/>
        </w:rPr>
        <w:t>（单位名称）</w:t>
      </w:r>
      <w:r>
        <w:rPr>
          <w:rFonts w:hint="eastAsia" w:ascii="仿宋" w:hAnsi="仿宋" w:eastAsia="仿宋" w:cs="仿宋"/>
          <w:color w:val="000000"/>
          <w:sz w:val="24"/>
        </w:rPr>
        <w:t>的</w:t>
      </w:r>
      <w:r>
        <w:rPr>
          <w:rFonts w:hint="eastAsia" w:ascii="仿宋" w:hAnsi="仿宋" w:eastAsia="仿宋" w:cs="仿宋"/>
          <w:i/>
          <w:color w:val="000000"/>
          <w:sz w:val="24"/>
          <w:u w:val="single"/>
        </w:rPr>
        <w:t>（项目名称）</w:t>
      </w:r>
      <w:r>
        <w:rPr>
          <w:rFonts w:hint="eastAsia" w:ascii="仿宋" w:hAnsi="仿宋" w:eastAsia="仿宋" w:cs="仿宋"/>
          <w:color w:val="000000"/>
          <w:sz w:val="24"/>
        </w:rPr>
        <w:t>采购活动，提供的货物全部由符合政策要求的中小企业制造。相关企业（含联合体中的中小企业、签订分包意向协议的中小企业）的具体情况如下：</w:t>
      </w:r>
    </w:p>
    <w:p>
      <w:pPr>
        <w:pStyle w:val="16"/>
        <w:tabs>
          <w:tab w:val="left" w:pos="5580"/>
        </w:tabs>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 xml:space="preserve">1. </w:t>
      </w:r>
      <w:r>
        <w:rPr>
          <w:rFonts w:hint="eastAsia" w:ascii="仿宋" w:hAnsi="仿宋" w:eastAsia="仿宋" w:cs="仿宋"/>
          <w:i/>
          <w:color w:val="000000"/>
          <w:sz w:val="24"/>
          <w:u w:val="single"/>
        </w:rPr>
        <w:t>（标的名称）</w:t>
      </w:r>
      <w:r>
        <w:rPr>
          <w:rFonts w:hint="eastAsia" w:ascii="仿宋" w:hAnsi="仿宋" w:eastAsia="仿宋" w:cs="仿宋"/>
          <w:color w:val="000000"/>
          <w:sz w:val="24"/>
        </w:rPr>
        <w:t xml:space="preserve"> ，属于</w:t>
      </w:r>
      <w:r>
        <w:rPr>
          <w:rFonts w:hint="eastAsia" w:ascii="仿宋" w:hAnsi="仿宋" w:eastAsia="仿宋" w:cs="仿宋"/>
          <w:i/>
          <w:color w:val="000000"/>
          <w:sz w:val="24"/>
          <w:u w:val="single"/>
        </w:rPr>
        <w:t>（采购文件中明确的所属行业）</w:t>
      </w:r>
      <w:r>
        <w:rPr>
          <w:rFonts w:hint="eastAsia" w:ascii="仿宋" w:hAnsi="仿宋" w:eastAsia="仿宋" w:cs="仿宋"/>
          <w:color w:val="000000"/>
          <w:sz w:val="24"/>
        </w:rPr>
        <w:t>行业；制造商为</w:t>
      </w:r>
      <w:r>
        <w:rPr>
          <w:rFonts w:hint="eastAsia" w:ascii="仿宋" w:hAnsi="仿宋" w:eastAsia="仿宋" w:cs="仿宋"/>
          <w:i/>
          <w:color w:val="000000"/>
          <w:sz w:val="24"/>
          <w:u w:val="single"/>
        </w:rPr>
        <w:t>（企业名称）</w:t>
      </w:r>
      <w:r>
        <w:rPr>
          <w:rFonts w:hint="eastAsia" w:ascii="仿宋" w:hAnsi="仿宋" w:eastAsia="仿宋" w:cs="仿宋"/>
          <w:color w:val="000000"/>
          <w:sz w:val="24"/>
        </w:rPr>
        <w:t>，从业人员人，营业收入为万元，资产总额为万元，属于</w:t>
      </w:r>
      <w:r>
        <w:rPr>
          <w:rFonts w:hint="eastAsia" w:ascii="仿宋" w:hAnsi="仿宋" w:eastAsia="仿宋" w:cs="仿宋"/>
          <w:i/>
          <w:color w:val="000000"/>
          <w:sz w:val="24"/>
          <w:u w:val="single"/>
        </w:rPr>
        <w:t>（中型企业、小型企业、微型企业）</w:t>
      </w:r>
      <w:r>
        <w:rPr>
          <w:rFonts w:hint="eastAsia" w:ascii="仿宋" w:hAnsi="仿宋" w:eastAsia="仿宋" w:cs="仿宋"/>
          <w:color w:val="000000"/>
          <w:sz w:val="24"/>
        </w:rPr>
        <w:t>；</w:t>
      </w:r>
    </w:p>
    <w:p>
      <w:pPr>
        <w:pStyle w:val="16"/>
        <w:tabs>
          <w:tab w:val="left" w:pos="5580"/>
        </w:tabs>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 xml:space="preserve">2. </w:t>
      </w:r>
      <w:r>
        <w:rPr>
          <w:rFonts w:hint="eastAsia" w:ascii="仿宋" w:hAnsi="仿宋" w:eastAsia="仿宋" w:cs="仿宋"/>
          <w:color w:val="000000"/>
          <w:sz w:val="24"/>
          <w:u w:val="single"/>
        </w:rPr>
        <w:t>（</w:t>
      </w:r>
      <w:r>
        <w:rPr>
          <w:rFonts w:hint="eastAsia" w:ascii="仿宋" w:hAnsi="仿宋" w:eastAsia="仿宋" w:cs="仿宋"/>
          <w:i/>
          <w:color w:val="000000"/>
          <w:sz w:val="24"/>
          <w:u w:val="single"/>
        </w:rPr>
        <w:t>标的名称）</w:t>
      </w:r>
      <w:r>
        <w:rPr>
          <w:rFonts w:hint="eastAsia" w:ascii="仿宋" w:hAnsi="仿宋" w:eastAsia="仿宋" w:cs="仿宋"/>
          <w:color w:val="000000"/>
          <w:sz w:val="24"/>
        </w:rPr>
        <w:t xml:space="preserve"> ，属于</w:t>
      </w:r>
      <w:r>
        <w:rPr>
          <w:rFonts w:hint="eastAsia" w:ascii="仿宋" w:hAnsi="仿宋" w:eastAsia="仿宋" w:cs="仿宋"/>
          <w:i/>
          <w:color w:val="000000"/>
          <w:sz w:val="24"/>
          <w:u w:val="single"/>
        </w:rPr>
        <w:t>（采购文件中明确的所属行业）</w:t>
      </w:r>
      <w:r>
        <w:rPr>
          <w:rFonts w:hint="eastAsia" w:ascii="仿宋" w:hAnsi="仿宋" w:eastAsia="仿宋" w:cs="仿宋"/>
          <w:color w:val="000000"/>
          <w:sz w:val="24"/>
        </w:rPr>
        <w:t>行业；制造商为</w:t>
      </w:r>
      <w:r>
        <w:rPr>
          <w:rFonts w:hint="eastAsia" w:ascii="仿宋" w:hAnsi="仿宋" w:eastAsia="仿宋" w:cs="仿宋"/>
          <w:i/>
          <w:color w:val="000000"/>
          <w:sz w:val="24"/>
          <w:u w:val="single"/>
        </w:rPr>
        <w:t>（企业名称）</w:t>
      </w:r>
      <w:r>
        <w:rPr>
          <w:rFonts w:hint="eastAsia" w:ascii="仿宋" w:hAnsi="仿宋" w:eastAsia="仿宋" w:cs="仿宋"/>
          <w:color w:val="000000"/>
          <w:sz w:val="24"/>
        </w:rPr>
        <w:t>，从业人员人，营业收入为万元，资产总额为万元，属于</w:t>
      </w:r>
      <w:r>
        <w:rPr>
          <w:rFonts w:hint="eastAsia" w:ascii="仿宋" w:hAnsi="仿宋" w:eastAsia="仿宋" w:cs="仿宋"/>
          <w:i/>
          <w:color w:val="000000"/>
          <w:sz w:val="24"/>
          <w:u w:val="single"/>
        </w:rPr>
        <w:t>（中型企业、小型企业、微型企业）</w:t>
      </w:r>
      <w:r>
        <w:rPr>
          <w:rFonts w:hint="eastAsia" w:ascii="仿宋" w:hAnsi="仿宋" w:eastAsia="仿宋" w:cs="仿宋"/>
          <w:color w:val="000000"/>
          <w:sz w:val="24"/>
        </w:rPr>
        <w:t>；</w:t>
      </w:r>
    </w:p>
    <w:p>
      <w:pPr>
        <w:pStyle w:val="16"/>
        <w:tabs>
          <w:tab w:val="left" w:pos="5580"/>
        </w:tabs>
        <w:adjustRightInd w:val="0"/>
        <w:snapToGrid w:val="0"/>
        <w:spacing w:line="360" w:lineRule="auto"/>
        <w:ind w:left="46" w:hanging="45" w:hangingChars="19"/>
        <w:rPr>
          <w:rFonts w:ascii="仿宋" w:hAnsi="仿宋" w:eastAsia="仿宋" w:cs="仿宋"/>
          <w:color w:val="000000"/>
          <w:sz w:val="24"/>
        </w:rPr>
      </w:pPr>
      <w:r>
        <w:rPr>
          <w:rFonts w:hint="eastAsia" w:ascii="仿宋" w:hAnsi="仿宋" w:eastAsia="仿宋" w:cs="仿宋"/>
          <w:color w:val="000000"/>
          <w:sz w:val="24"/>
        </w:rPr>
        <w:t>……</w:t>
      </w:r>
    </w:p>
    <w:p>
      <w:pPr>
        <w:pStyle w:val="16"/>
        <w:tabs>
          <w:tab w:val="left" w:pos="5580"/>
        </w:tabs>
        <w:adjustRightInd w:val="0"/>
        <w:snapToGrid w:val="0"/>
        <w:spacing w:line="360" w:lineRule="auto"/>
        <w:ind w:firstLine="491" w:firstLineChars="205"/>
        <w:rPr>
          <w:rFonts w:ascii="仿宋" w:hAnsi="仿宋" w:eastAsia="仿宋" w:cs="仿宋"/>
          <w:color w:val="000000"/>
          <w:sz w:val="24"/>
        </w:rPr>
      </w:pPr>
      <w:r>
        <w:rPr>
          <w:rFonts w:hint="eastAsia" w:ascii="仿宋" w:hAnsi="仿宋" w:eastAsia="仿宋" w:cs="仿宋"/>
          <w:color w:val="000000"/>
          <w:sz w:val="24"/>
        </w:rPr>
        <w:t>以上企业，不属于大企业的分支机构，不存在控股股东为大企业的情形，也不存在与大企业的负责人为同一人的情形。</w:t>
      </w:r>
    </w:p>
    <w:p>
      <w:pPr>
        <w:pStyle w:val="16"/>
        <w:tabs>
          <w:tab w:val="left" w:pos="5580"/>
        </w:tabs>
        <w:adjustRightInd w:val="0"/>
        <w:snapToGrid w:val="0"/>
        <w:spacing w:line="360" w:lineRule="auto"/>
        <w:ind w:firstLine="491" w:firstLineChars="205"/>
        <w:rPr>
          <w:rFonts w:ascii="仿宋" w:hAnsi="仿宋" w:eastAsia="仿宋" w:cs="仿宋"/>
          <w:color w:val="000000"/>
          <w:sz w:val="24"/>
        </w:rPr>
      </w:pPr>
      <w:r>
        <w:rPr>
          <w:rFonts w:hint="eastAsia" w:ascii="仿宋" w:hAnsi="仿宋" w:eastAsia="仿宋" w:cs="仿宋"/>
          <w:color w:val="000000"/>
          <w:sz w:val="24"/>
        </w:rPr>
        <w:t>本企业对上述声明内容的真实性负责。如有虚假，将依法承担相应责任。</w:t>
      </w:r>
    </w:p>
    <w:p>
      <w:pPr>
        <w:pStyle w:val="16"/>
        <w:tabs>
          <w:tab w:val="left" w:pos="5580"/>
        </w:tabs>
        <w:adjustRightInd w:val="0"/>
        <w:snapToGrid w:val="0"/>
        <w:spacing w:line="360" w:lineRule="auto"/>
        <w:ind w:hanging="527"/>
        <w:rPr>
          <w:rFonts w:ascii="仿宋" w:hAnsi="仿宋" w:eastAsia="仿宋" w:cs="仿宋"/>
          <w:color w:val="000000"/>
          <w:sz w:val="24"/>
        </w:rPr>
      </w:pPr>
    </w:p>
    <w:p>
      <w:pPr>
        <w:pStyle w:val="16"/>
        <w:tabs>
          <w:tab w:val="left" w:pos="5580"/>
        </w:tabs>
        <w:adjustRightInd w:val="0"/>
        <w:snapToGrid w:val="0"/>
        <w:spacing w:line="360" w:lineRule="auto"/>
        <w:ind w:hanging="527"/>
        <w:rPr>
          <w:rFonts w:ascii="仿宋" w:hAnsi="仿宋" w:eastAsia="仿宋" w:cs="仿宋"/>
          <w:color w:val="000000"/>
          <w:sz w:val="24"/>
        </w:rPr>
      </w:pPr>
    </w:p>
    <w:p>
      <w:pPr>
        <w:pStyle w:val="16"/>
        <w:tabs>
          <w:tab w:val="left" w:pos="5580"/>
        </w:tabs>
        <w:adjustRightInd w:val="0"/>
        <w:snapToGrid w:val="0"/>
        <w:spacing w:line="360" w:lineRule="auto"/>
        <w:ind w:firstLine="4680" w:firstLineChars="1950"/>
        <w:rPr>
          <w:rFonts w:ascii="仿宋" w:hAnsi="仿宋" w:eastAsia="仿宋" w:cs="仿宋"/>
          <w:color w:val="000000"/>
          <w:sz w:val="24"/>
        </w:rPr>
      </w:pPr>
      <w:r>
        <w:rPr>
          <w:rFonts w:hint="eastAsia" w:ascii="仿宋" w:hAnsi="仿宋" w:eastAsia="仿宋" w:cs="仿宋"/>
          <w:color w:val="000000"/>
          <w:sz w:val="24"/>
        </w:rPr>
        <w:t>企业名称（盖电子章）：</w:t>
      </w:r>
    </w:p>
    <w:p>
      <w:pPr>
        <w:pStyle w:val="16"/>
        <w:tabs>
          <w:tab w:val="left" w:pos="5580"/>
        </w:tabs>
        <w:adjustRightInd w:val="0"/>
        <w:snapToGrid w:val="0"/>
        <w:spacing w:line="360" w:lineRule="auto"/>
        <w:ind w:firstLine="4680" w:firstLineChars="1950"/>
        <w:rPr>
          <w:rFonts w:ascii="仿宋" w:hAnsi="仿宋" w:eastAsia="仿宋" w:cs="仿宋"/>
          <w:color w:val="000000"/>
          <w:sz w:val="24"/>
        </w:rPr>
      </w:pPr>
      <w:r>
        <w:rPr>
          <w:rFonts w:hint="eastAsia" w:ascii="仿宋" w:hAnsi="仿宋" w:eastAsia="仿宋" w:cs="仿宋"/>
          <w:color w:val="000000"/>
          <w:sz w:val="24"/>
        </w:rPr>
        <w:t>日期：</w:t>
      </w:r>
    </w:p>
    <w:p>
      <w:pPr>
        <w:pStyle w:val="16"/>
        <w:tabs>
          <w:tab w:val="left" w:pos="5580"/>
        </w:tabs>
        <w:adjustRightInd w:val="0"/>
        <w:snapToGrid w:val="0"/>
        <w:spacing w:line="360" w:lineRule="auto"/>
        <w:ind w:hanging="527"/>
        <w:rPr>
          <w:rFonts w:ascii="仿宋" w:hAnsi="仿宋" w:eastAsia="仿宋" w:cs="仿宋"/>
          <w:color w:val="000000"/>
          <w:sz w:val="24"/>
        </w:rPr>
      </w:pPr>
    </w:p>
    <w:p>
      <w:pPr>
        <w:pStyle w:val="16"/>
        <w:tabs>
          <w:tab w:val="left" w:pos="5580"/>
        </w:tabs>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注1、从业人员、营业收入、资产总额填报上一年度数据，无上一年度数据的新成立企业可不填报。</w:t>
      </w:r>
    </w:p>
    <w:p>
      <w:pPr>
        <w:pStyle w:val="16"/>
        <w:tabs>
          <w:tab w:val="left" w:pos="5580"/>
        </w:tabs>
        <w:adjustRightInd w:val="0"/>
        <w:snapToGrid w:val="0"/>
        <w:spacing w:line="360" w:lineRule="auto"/>
        <w:rPr>
          <w:rFonts w:ascii="仿宋" w:hAnsi="仿宋" w:eastAsia="仿宋" w:cs="仿宋"/>
          <w:color w:val="000000"/>
          <w:sz w:val="24"/>
        </w:rPr>
      </w:pPr>
      <w:r>
        <w:rPr>
          <w:rFonts w:hint="eastAsia" w:ascii="仿宋" w:hAnsi="仿宋" w:eastAsia="仿宋" w:cs="仿宋"/>
          <w:color w:val="000000"/>
          <w:sz w:val="24"/>
        </w:rPr>
        <w:t>2、请在本表中填写</w:t>
      </w:r>
      <w:r>
        <w:rPr>
          <w:rFonts w:hint="eastAsia" w:ascii="仿宋" w:hAnsi="仿宋" w:eastAsia="仿宋" w:cs="仿宋"/>
          <w:color w:val="000000"/>
          <w:sz w:val="24"/>
          <w:u w:val="single"/>
        </w:rPr>
        <w:t>投标人须知前附表</w:t>
      </w:r>
      <w:r>
        <w:rPr>
          <w:rFonts w:hint="eastAsia" w:ascii="仿宋" w:hAnsi="仿宋" w:eastAsia="仿宋" w:cs="仿宋"/>
          <w:color w:val="000000"/>
          <w:sz w:val="24"/>
        </w:rPr>
        <w:t>中写明的中小企业行业类别。</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3、制造商如为监狱企业或残疾人福利性单位的，视同为小型、微型企业，请填写此声明函，并需要出具相应的声明函和证明文件（格式后附）。</w:t>
      </w:r>
    </w:p>
    <w:p>
      <w:pPr>
        <w:rPr>
          <w:rFonts w:ascii="仿宋" w:hAnsi="仿宋" w:eastAsia="仿宋" w:cs="仿宋"/>
          <w:color w:val="000000"/>
          <w:sz w:val="24"/>
        </w:rPr>
      </w:pPr>
      <w:r>
        <w:rPr>
          <w:rFonts w:hint="eastAsia" w:ascii="仿宋" w:hAnsi="仿宋" w:eastAsia="仿宋" w:cs="仿宋"/>
          <w:color w:val="000000"/>
          <w:sz w:val="24"/>
        </w:rPr>
        <w:br w:type="page"/>
      </w:r>
    </w:p>
    <w:p>
      <w:pPr>
        <w:pStyle w:val="24"/>
        <w:rPr>
          <w:rFonts w:ascii="仿宋" w:hAnsi="仿宋" w:eastAsia="仿宋"/>
          <w:b/>
          <w:color w:val="000000"/>
        </w:rPr>
      </w:pPr>
      <w:bookmarkStart w:id="124" w:name="_Toc71631936"/>
      <w:bookmarkStart w:id="125" w:name="_Toc5109"/>
      <w:bookmarkStart w:id="126" w:name="_Toc17478"/>
      <w:r>
        <w:rPr>
          <w:rFonts w:hint="eastAsia" w:ascii="仿宋" w:hAnsi="仿宋" w:eastAsia="仿宋"/>
          <w:b/>
          <w:color w:val="000000"/>
        </w:rPr>
        <w:t>附件10-2  监狱企业声明函</w:t>
      </w:r>
      <w:bookmarkEnd w:id="124"/>
      <w:r>
        <w:rPr>
          <w:rFonts w:hint="eastAsia" w:ascii="仿宋" w:hAnsi="仿宋" w:eastAsia="仿宋"/>
          <w:b/>
          <w:color w:val="000000"/>
        </w:rPr>
        <w:t>（如是）</w:t>
      </w:r>
      <w:bookmarkEnd w:id="125"/>
      <w:bookmarkEnd w:id="126"/>
    </w:p>
    <w:p>
      <w:pPr>
        <w:adjustRightInd w:val="0"/>
        <w:snapToGrid w:val="0"/>
        <w:spacing w:line="360" w:lineRule="auto"/>
        <w:rPr>
          <w:rFonts w:ascii="仿宋" w:hAnsi="仿宋" w:eastAsia="仿宋" w:cs="仿宋"/>
          <w:b/>
          <w:color w:val="000000"/>
          <w:kern w:val="0"/>
          <w:sz w:val="24"/>
        </w:rPr>
      </w:pPr>
    </w:p>
    <w:p>
      <w:pPr>
        <w:widowControl/>
        <w:adjustRightInd w:val="0"/>
        <w:snapToGrid w:val="0"/>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本单位郑重声明，本单位在参加</w:t>
      </w:r>
      <w:r>
        <w:rPr>
          <w:rFonts w:hint="eastAsia" w:ascii="仿宋" w:hAnsi="仿宋" w:eastAsia="仿宋" w:cs="仿宋"/>
          <w:color w:val="000000"/>
          <w:kern w:val="0"/>
          <w:sz w:val="24"/>
          <w:u w:val="single"/>
        </w:rPr>
        <w:t>（采购人名称）</w:t>
      </w:r>
      <w:r>
        <w:rPr>
          <w:rFonts w:hint="eastAsia" w:ascii="仿宋" w:hAnsi="仿宋" w:eastAsia="仿宋" w:cs="仿宋"/>
          <w:color w:val="000000"/>
          <w:kern w:val="0"/>
          <w:sz w:val="24"/>
        </w:rPr>
        <w:t>的</w:t>
      </w:r>
      <w:r>
        <w:rPr>
          <w:rFonts w:hint="eastAsia" w:ascii="仿宋" w:hAnsi="仿宋" w:eastAsia="仿宋" w:cs="仿宋"/>
          <w:color w:val="000000"/>
          <w:kern w:val="0"/>
          <w:sz w:val="24"/>
          <w:u w:val="single"/>
        </w:rPr>
        <w:t>（招标项目名称）</w:t>
      </w:r>
      <w:r>
        <w:rPr>
          <w:rFonts w:hint="eastAsia" w:ascii="仿宋" w:hAnsi="仿宋" w:eastAsia="仿宋" w:cs="仿宋"/>
          <w:color w:val="000000"/>
          <w:kern w:val="0"/>
          <w:sz w:val="24"/>
        </w:rPr>
        <w:t>项目采购活动提供以下监狱企业制造的货物（或监狱企业承担的工程、或监狱企业承接的服务），具体情况如下：（按照实际情况勾选或填空）</w:t>
      </w:r>
    </w:p>
    <w:p>
      <w:pPr>
        <w:widowControl/>
        <w:adjustRightInd w:val="0"/>
        <w:snapToGrid w:val="0"/>
        <w:spacing w:line="360" w:lineRule="auto"/>
        <w:ind w:firstLine="360" w:firstLineChars="150"/>
        <w:jc w:val="left"/>
        <w:rPr>
          <w:rFonts w:ascii="仿宋" w:hAnsi="仿宋" w:eastAsia="仿宋" w:cs="仿宋"/>
          <w:color w:val="000000"/>
          <w:kern w:val="0"/>
          <w:sz w:val="24"/>
        </w:rPr>
      </w:pPr>
      <w:r>
        <w:rPr>
          <w:rFonts w:hint="eastAsia" w:ascii="仿宋" w:hAnsi="仿宋" w:eastAsia="仿宋" w:cs="仿宋"/>
          <w:color w:val="000000"/>
          <w:kern w:val="0"/>
          <w:sz w:val="24"/>
        </w:rPr>
        <w:t>（1）□</w:t>
      </w:r>
      <w:r>
        <w:rPr>
          <w:rFonts w:hint="eastAsia" w:ascii="仿宋" w:hAnsi="仿宋" w:eastAsia="仿宋" w:cs="仿宋"/>
          <w:color w:val="000000"/>
          <w:kern w:val="0"/>
          <w:sz w:val="24"/>
          <w:u w:val="single"/>
        </w:rPr>
        <w:t>（制造商名称）</w:t>
      </w:r>
      <w:r>
        <w:rPr>
          <w:rFonts w:hint="eastAsia" w:ascii="仿宋" w:hAnsi="仿宋" w:eastAsia="仿宋" w:cs="仿宋"/>
          <w:color w:val="000000"/>
          <w:kern w:val="0"/>
          <w:sz w:val="24"/>
        </w:rPr>
        <w:t>属于监狱企业，后附省级以上监狱管理局、戒毒管理局（含新疆生产建设兵团）出具的属于监狱企业的证明文件。</w:t>
      </w:r>
    </w:p>
    <w:p>
      <w:pPr>
        <w:widowControl/>
        <w:adjustRightInd w:val="0"/>
        <w:snapToGrid w:val="0"/>
        <w:spacing w:line="360" w:lineRule="auto"/>
        <w:ind w:firstLine="420"/>
        <w:jc w:val="left"/>
        <w:rPr>
          <w:rFonts w:ascii="仿宋" w:hAnsi="仿宋" w:eastAsia="仿宋" w:cs="仿宋"/>
          <w:color w:val="000000"/>
          <w:kern w:val="0"/>
          <w:sz w:val="24"/>
        </w:rPr>
      </w:pPr>
      <w:r>
        <w:rPr>
          <w:rFonts w:hint="eastAsia" w:ascii="仿宋" w:hAnsi="仿宋" w:eastAsia="仿宋" w:cs="仿宋"/>
          <w:color w:val="000000"/>
          <w:kern w:val="0"/>
          <w:sz w:val="24"/>
        </w:rPr>
        <w:t>（2）□</w:t>
      </w:r>
      <w:r>
        <w:rPr>
          <w:rFonts w:hint="eastAsia" w:ascii="仿宋" w:hAnsi="仿宋" w:eastAsia="仿宋" w:cs="仿宋"/>
          <w:color w:val="000000"/>
          <w:kern w:val="0"/>
          <w:sz w:val="24"/>
          <w:u w:val="single"/>
        </w:rPr>
        <w:t>（制造商名称）</w:t>
      </w:r>
      <w:r>
        <w:rPr>
          <w:rFonts w:hint="eastAsia" w:ascii="仿宋" w:hAnsi="仿宋" w:eastAsia="仿宋" w:cs="仿宋"/>
          <w:color w:val="000000"/>
          <w:kern w:val="0"/>
          <w:sz w:val="24"/>
        </w:rPr>
        <w:t>属于监狱企业并作为联合体一方，其提供协议合同金额占到共同投标协议合同总金额的比例为。后附省级以上监狱管理局、戒毒管理局（含新疆生产建设兵团）出具的属于监狱企业的证明文件。</w:t>
      </w:r>
    </w:p>
    <w:p>
      <w:pPr>
        <w:widowControl/>
        <w:adjustRightInd w:val="0"/>
        <w:snapToGrid w:val="0"/>
        <w:spacing w:line="360" w:lineRule="auto"/>
        <w:ind w:firstLine="420"/>
        <w:jc w:val="left"/>
        <w:rPr>
          <w:rFonts w:ascii="仿宋" w:hAnsi="仿宋" w:eastAsia="仿宋" w:cs="仿宋"/>
          <w:color w:val="000000"/>
          <w:kern w:val="0"/>
          <w:sz w:val="24"/>
        </w:rPr>
      </w:pPr>
      <w:r>
        <w:rPr>
          <w:rFonts w:hint="eastAsia" w:ascii="仿宋" w:hAnsi="仿宋" w:eastAsia="仿宋" w:cs="仿宋"/>
          <w:color w:val="000000"/>
          <w:kern w:val="0"/>
          <w:sz w:val="24"/>
        </w:rPr>
        <w:t>（3）□</w:t>
      </w:r>
      <w:r>
        <w:rPr>
          <w:rFonts w:hint="eastAsia" w:ascii="仿宋" w:hAnsi="仿宋" w:eastAsia="仿宋" w:cs="仿宋"/>
          <w:color w:val="000000"/>
          <w:kern w:val="0"/>
          <w:sz w:val="24"/>
          <w:u w:val="single"/>
        </w:rPr>
        <w:t>（制造商名称）</w:t>
      </w:r>
      <w:r>
        <w:rPr>
          <w:rFonts w:hint="eastAsia" w:ascii="仿宋" w:hAnsi="仿宋" w:eastAsia="仿宋" w:cs="仿宋"/>
          <w:color w:val="000000"/>
          <w:kern w:val="0"/>
          <w:sz w:val="24"/>
        </w:rPr>
        <w:t>属于监狱企业并作为分包方，其提供协议合同金额占到分包意向协议合同总金额的比例为。后附省级以上监狱管理局、戒毒管理局（含新疆生产建设兵团）出具的属于监狱企业的证明文件。</w:t>
      </w:r>
    </w:p>
    <w:p>
      <w:pPr>
        <w:widowControl/>
        <w:adjustRightInd w:val="0"/>
        <w:snapToGrid w:val="0"/>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本单位对上述声明的真实性负责。如有虚假，将依法承担相应责任。</w:t>
      </w:r>
    </w:p>
    <w:p>
      <w:pPr>
        <w:widowControl/>
        <w:adjustRightInd w:val="0"/>
        <w:snapToGrid w:val="0"/>
        <w:spacing w:line="360" w:lineRule="auto"/>
        <w:jc w:val="left"/>
        <w:rPr>
          <w:rFonts w:ascii="仿宋" w:hAnsi="仿宋" w:eastAsia="仿宋" w:cs="仿宋"/>
          <w:color w:val="000000"/>
          <w:kern w:val="0"/>
          <w:sz w:val="24"/>
        </w:rPr>
      </w:pPr>
    </w:p>
    <w:p>
      <w:pPr>
        <w:pStyle w:val="20"/>
        <w:rPr>
          <w:color w:val="000000"/>
        </w:rPr>
      </w:pPr>
    </w:p>
    <w:p>
      <w:pPr>
        <w:widowControl/>
        <w:adjustRightInd w:val="0"/>
        <w:snapToGrid w:val="0"/>
        <w:spacing w:line="360" w:lineRule="auto"/>
        <w:jc w:val="left"/>
        <w:rPr>
          <w:rFonts w:ascii="仿宋" w:hAnsi="仿宋" w:eastAsia="仿宋" w:cs="仿宋"/>
          <w:color w:val="000000"/>
          <w:kern w:val="0"/>
          <w:sz w:val="24"/>
        </w:rPr>
      </w:pPr>
    </w:p>
    <w:p>
      <w:pPr>
        <w:widowControl/>
        <w:adjustRightInd w:val="0"/>
        <w:snapToGrid w:val="0"/>
        <w:spacing w:line="360" w:lineRule="auto"/>
        <w:jc w:val="left"/>
        <w:rPr>
          <w:rFonts w:ascii="仿宋" w:hAnsi="仿宋" w:eastAsia="仿宋" w:cs="仿宋"/>
          <w:color w:val="000000"/>
          <w:kern w:val="0"/>
          <w:sz w:val="24"/>
        </w:rPr>
      </w:pPr>
    </w:p>
    <w:p>
      <w:pPr>
        <w:adjustRightInd w:val="0"/>
        <w:snapToGrid w:val="0"/>
        <w:spacing w:line="360" w:lineRule="auto"/>
        <w:ind w:firstLine="5301" w:firstLineChars="2200"/>
        <w:rPr>
          <w:rFonts w:ascii="仿宋" w:hAnsi="仿宋" w:eastAsia="仿宋" w:cs="仿宋"/>
          <w:b/>
          <w:color w:val="000000"/>
          <w:kern w:val="0"/>
          <w:sz w:val="24"/>
        </w:rPr>
      </w:pPr>
    </w:p>
    <w:p>
      <w:pPr>
        <w:adjustRightInd w:val="0"/>
        <w:snapToGrid w:val="0"/>
        <w:spacing w:line="360" w:lineRule="auto"/>
        <w:ind w:firstLine="5280" w:firstLineChars="2200"/>
        <w:rPr>
          <w:rFonts w:ascii="仿宋" w:hAnsi="仿宋" w:eastAsia="仿宋" w:cs="仿宋"/>
          <w:color w:val="000000"/>
          <w:kern w:val="0"/>
          <w:sz w:val="24"/>
        </w:rPr>
      </w:pPr>
      <w:r>
        <w:rPr>
          <w:rFonts w:hint="eastAsia" w:ascii="仿宋" w:hAnsi="仿宋" w:eastAsia="仿宋" w:cs="仿宋"/>
          <w:color w:val="000000"/>
          <w:kern w:val="0"/>
          <w:sz w:val="24"/>
        </w:rPr>
        <w:t>单位名称（盖电子章）：</w:t>
      </w:r>
    </w:p>
    <w:p>
      <w:pPr>
        <w:widowControl/>
        <w:adjustRightInd w:val="0"/>
        <w:snapToGrid w:val="0"/>
        <w:spacing w:line="360" w:lineRule="auto"/>
        <w:ind w:firstLine="5280" w:firstLineChars="2200"/>
        <w:jc w:val="left"/>
        <w:rPr>
          <w:rFonts w:ascii="仿宋" w:hAnsi="仿宋" w:eastAsia="仿宋" w:cs="仿宋"/>
          <w:color w:val="000000"/>
          <w:kern w:val="0"/>
          <w:sz w:val="24"/>
        </w:rPr>
      </w:pPr>
      <w:r>
        <w:rPr>
          <w:rFonts w:hint="eastAsia" w:ascii="仿宋" w:hAnsi="仿宋" w:eastAsia="仿宋" w:cs="仿宋"/>
          <w:color w:val="000000"/>
          <w:kern w:val="0"/>
          <w:sz w:val="24"/>
        </w:rPr>
        <w:t>日  期：</w:t>
      </w:r>
    </w:p>
    <w:p>
      <w:pPr>
        <w:rPr>
          <w:rFonts w:ascii="仿宋" w:hAnsi="仿宋" w:eastAsia="仿宋" w:cs="仿宋"/>
          <w:color w:val="000000"/>
          <w:sz w:val="24"/>
        </w:rPr>
      </w:pPr>
      <w:r>
        <w:rPr>
          <w:rFonts w:hint="eastAsia" w:ascii="仿宋" w:hAnsi="仿宋" w:eastAsia="仿宋" w:cs="仿宋"/>
          <w:color w:val="000000"/>
          <w:sz w:val="24"/>
        </w:rPr>
        <w:br w:type="page"/>
      </w:r>
    </w:p>
    <w:p>
      <w:pPr>
        <w:rPr>
          <w:rFonts w:ascii="仿宋" w:hAnsi="仿宋" w:eastAsia="仿宋"/>
          <w:b/>
          <w:color w:val="000000"/>
          <w:sz w:val="24"/>
        </w:rPr>
      </w:pPr>
      <w:bookmarkStart w:id="127" w:name="_Toc71631937"/>
      <w:bookmarkStart w:id="128" w:name="_Toc19189"/>
      <w:bookmarkStart w:id="129" w:name="_Toc28543"/>
      <w:bookmarkStart w:id="130" w:name="OLE_LINK14"/>
      <w:bookmarkStart w:id="131" w:name="OLE_LINK13"/>
      <w:r>
        <w:rPr>
          <w:rFonts w:hint="eastAsia" w:ascii="仿宋" w:hAnsi="仿宋" w:eastAsia="仿宋"/>
          <w:b/>
          <w:color w:val="000000"/>
          <w:sz w:val="24"/>
        </w:rPr>
        <w:t>附件10-3  残疾人福利性单位声明函</w:t>
      </w:r>
      <w:bookmarkEnd w:id="127"/>
      <w:r>
        <w:rPr>
          <w:rFonts w:hint="eastAsia" w:ascii="仿宋" w:hAnsi="仿宋" w:eastAsia="仿宋"/>
          <w:b/>
          <w:color w:val="000000"/>
          <w:sz w:val="24"/>
        </w:rPr>
        <w:t>（如是）</w:t>
      </w:r>
      <w:bookmarkEnd w:id="128"/>
      <w:bookmarkEnd w:id="129"/>
    </w:p>
    <w:bookmarkEnd w:id="130"/>
    <w:bookmarkEnd w:id="131"/>
    <w:p>
      <w:pPr>
        <w:spacing w:line="360" w:lineRule="auto"/>
        <w:ind w:hanging="540"/>
        <w:jc w:val="center"/>
        <w:rPr>
          <w:rFonts w:ascii="仿宋" w:hAnsi="仿宋" w:eastAsia="仿宋" w:cs="仿宋"/>
          <w:color w:val="000000"/>
          <w:kern w:val="0"/>
          <w:sz w:val="24"/>
          <w:szCs w:val="20"/>
        </w:rPr>
      </w:pPr>
    </w:p>
    <w:p>
      <w:pPr>
        <w:spacing w:line="360" w:lineRule="auto"/>
        <w:ind w:firstLine="567"/>
        <w:rPr>
          <w:rFonts w:ascii="仿宋" w:hAnsi="仿宋" w:eastAsia="仿宋" w:cs="仿宋"/>
          <w:color w:val="000000"/>
          <w:kern w:val="0"/>
          <w:sz w:val="24"/>
          <w:szCs w:val="20"/>
        </w:rPr>
      </w:pPr>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本单位对上述声明的真实性负责。如有虚假，将依法承担相应责任。</w:t>
      </w:r>
    </w:p>
    <w:p>
      <w:pPr>
        <w:spacing w:line="360" w:lineRule="auto"/>
        <w:ind w:firstLine="480" w:firstLineChars="200"/>
        <w:rPr>
          <w:rFonts w:ascii="仿宋" w:hAnsi="仿宋" w:eastAsia="仿宋" w:cs="仿宋"/>
          <w:color w:val="000000"/>
          <w:kern w:val="0"/>
          <w:sz w:val="24"/>
        </w:rPr>
      </w:pPr>
    </w:p>
    <w:p>
      <w:pPr>
        <w:spacing w:line="360" w:lineRule="auto"/>
        <w:ind w:firstLine="624" w:firstLineChars="200"/>
        <w:rPr>
          <w:rFonts w:ascii="仿宋" w:hAnsi="仿宋" w:eastAsia="仿宋" w:cs="仿宋"/>
          <w:color w:val="000000"/>
          <w:spacing w:val="6"/>
          <w:sz w:val="30"/>
          <w:szCs w:val="30"/>
        </w:rPr>
      </w:pPr>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 xml:space="preserve">                                     单位名称（盖电子章）：</w:t>
      </w:r>
    </w:p>
    <w:p>
      <w:pPr>
        <w:spacing w:line="360" w:lineRule="auto"/>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 xml:space="preserve">                                     日  期：</w:t>
      </w:r>
    </w:p>
    <w:p>
      <w:pPr>
        <w:spacing w:line="360" w:lineRule="auto"/>
        <w:ind w:left="1080" w:leftChars="257" w:hanging="540"/>
        <w:jc w:val="center"/>
        <w:rPr>
          <w:rFonts w:ascii="仿宋" w:hAnsi="仿宋" w:eastAsia="仿宋" w:cs="仿宋"/>
          <w:b/>
          <w:color w:val="000000"/>
          <w:kern w:val="0"/>
          <w:sz w:val="24"/>
          <w:szCs w:val="20"/>
        </w:rPr>
      </w:pPr>
    </w:p>
    <w:p>
      <w:pPr>
        <w:rPr>
          <w:rFonts w:ascii="仿宋" w:hAnsi="仿宋" w:eastAsia="仿宋" w:cs="仿宋"/>
          <w:color w:val="000000"/>
          <w:sz w:val="24"/>
        </w:rPr>
      </w:pPr>
      <w:r>
        <w:rPr>
          <w:rFonts w:hint="eastAsia" w:ascii="仿宋" w:hAnsi="仿宋" w:eastAsia="仿宋" w:cs="仿宋"/>
          <w:color w:val="000000"/>
          <w:sz w:val="24"/>
        </w:rPr>
        <w:br w:type="page"/>
      </w:r>
    </w:p>
    <w:p>
      <w:pPr>
        <w:pStyle w:val="44"/>
        <w:adjustRightInd w:val="0"/>
        <w:snapToGrid w:val="0"/>
        <w:spacing w:before="0" w:after="0" w:line="360" w:lineRule="auto"/>
        <w:rPr>
          <w:rFonts w:ascii="仿宋" w:hAnsi="仿宋" w:eastAsia="仿宋" w:cs="仿宋"/>
          <w:b/>
          <w:bCs w:val="0"/>
          <w:color w:val="000000"/>
          <w:sz w:val="24"/>
        </w:rPr>
      </w:pPr>
      <w:bookmarkStart w:id="132" w:name="_Toc29152"/>
      <w:bookmarkStart w:id="133" w:name="_Toc71631940"/>
      <w:bookmarkStart w:id="134" w:name="_Toc20607"/>
      <w:r>
        <w:rPr>
          <w:rFonts w:hint="eastAsia" w:ascii="仿宋" w:hAnsi="仿宋" w:eastAsia="仿宋" w:cs="仿宋"/>
          <w:b/>
          <w:bCs w:val="0"/>
          <w:color w:val="000000"/>
          <w:sz w:val="24"/>
        </w:rPr>
        <w:t>附件1</w:t>
      </w:r>
      <w:bookmarkStart w:id="135" w:name="_Toc2582330"/>
      <w:bookmarkStart w:id="136" w:name="_Toc532473516"/>
      <w:r>
        <w:rPr>
          <w:rFonts w:hint="eastAsia" w:ascii="仿宋" w:hAnsi="仿宋" w:eastAsia="仿宋" w:cs="仿宋"/>
          <w:b/>
          <w:bCs w:val="0"/>
          <w:color w:val="000000"/>
          <w:sz w:val="24"/>
        </w:rPr>
        <w:t>1  评审所需要的其他商务文件</w:t>
      </w:r>
      <w:bookmarkEnd w:id="132"/>
      <w:bookmarkEnd w:id="133"/>
      <w:bookmarkEnd w:id="134"/>
      <w:bookmarkEnd w:id="135"/>
      <w:bookmarkEnd w:id="136"/>
    </w:p>
    <w:p>
      <w:pPr>
        <w:pStyle w:val="44"/>
        <w:adjustRightInd w:val="0"/>
        <w:snapToGrid w:val="0"/>
        <w:spacing w:before="0" w:after="0" w:line="360" w:lineRule="auto"/>
        <w:rPr>
          <w:rFonts w:ascii="仿宋" w:hAnsi="仿宋" w:eastAsia="仿宋" w:cs="仿宋"/>
          <w:b/>
          <w:bCs w:val="0"/>
          <w:color w:val="000000"/>
          <w:sz w:val="24"/>
        </w:rPr>
      </w:pPr>
    </w:p>
    <w:p>
      <w:pPr>
        <w:pStyle w:val="44"/>
        <w:spacing w:line="360" w:lineRule="auto"/>
        <w:ind w:right="-92" w:rightChars="-44"/>
        <w:jc w:val="both"/>
        <w:rPr>
          <w:rFonts w:ascii="仿宋" w:hAnsi="仿宋" w:eastAsia="仿宋" w:cs="仿宋"/>
          <w:color w:val="000000"/>
          <w:sz w:val="24"/>
          <w:szCs w:val="24"/>
        </w:rPr>
      </w:pPr>
      <w:r>
        <w:rPr>
          <w:rFonts w:hint="eastAsia" w:ascii="仿宋" w:hAnsi="仿宋" w:eastAsia="仿宋" w:cs="仿宋"/>
          <w:color w:val="000000"/>
          <w:sz w:val="24"/>
          <w:szCs w:val="24"/>
        </w:rPr>
        <w:t>注</w:t>
      </w:r>
      <w:r>
        <w:rPr>
          <w:rFonts w:ascii="仿宋" w:hAnsi="仿宋" w:eastAsia="仿宋" w:cs="仿宋"/>
          <w:color w:val="000000"/>
          <w:sz w:val="24"/>
          <w:szCs w:val="24"/>
        </w:rPr>
        <w:t>：</w:t>
      </w:r>
      <w:r>
        <w:rPr>
          <w:rFonts w:hint="eastAsia" w:ascii="仿宋" w:hAnsi="仿宋" w:eastAsia="仿宋" w:cs="仿宋"/>
          <w:color w:val="000000"/>
          <w:sz w:val="24"/>
          <w:szCs w:val="24"/>
        </w:rPr>
        <w:t>后附有效的ISO9001质量管理体系认证证书、职业健康安全管理体系认证证书扫描件</w:t>
      </w:r>
      <w:r>
        <w:rPr>
          <w:rFonts w:ascii="仿宋" w:hAnsi="仿宋" w:eastAsia="仿宋" w:cs="仿宋"/>
          <w:color w:val="000000"/>
          <w:sz w:val="24"/>
          <w:szCs w:val="24"/>
        </w:rPr>
        <w:t>加盖</w:t>
      </w:r>
      <w:r>
        <w:rPr>
          <w:rFonts w:hint="eastAsia" w:ascii="仿宋" w:hAnsi="仿宋" w:eastAsia="仿宋" w:cs="仿宋"/>
          <w:color w:val="000000"/>
          <w:sz w:val="24"/>
          <w:szCs w:val="24"/>
        </w:rPr>
        <w:t>电子公章</w:t>
      </w:r>
      <w:r>
        <w:rPr>
          <w:rFonts w:ascii="仿宋" w:hAnsi="仿宋" w:eastAsia="仿宋" w:cs="仿宋"/>
          <w:color w:val="000000"/>
          <w:sz w:val="24"/>
          <w:szCs w:val="24"/>
        </w:rPr>
        <w:t>。</w:t>
      </w:r>
    </w:p>
    <w:p>
      <w:pPr>
        <w:pStyle w:val="44"/>
        <w:adjustRightInd w:val="0"/>
        <w:snapToGrid w:val="0"/>
        <w:spacing w:before="0" w:after="0" w:line="360" w:lineRule="auto"/>
        <w:rPr>
          <w:rFonts w:ascii="仿宋" w:hAnsi="仿宋" w:eastAsia="仿宋" w:cs="仿宋"/>
          <w:b/>
          <w:bCs w:val="0"/>
          <w:color w:val="000000"/>
          <w:sz w:val="24"/>
        </w:rPr>
      </w:pPr>
    </w:p>
    <w:p>
      <w:pPr>
        <w:rPr>
          <w:rFonts w:ascii="仿宋" w:hAnsi="仿宋" w:eastAsia="仿宋" w:cs="仿宋"/>
          <w:b/>
          <w:color w:val="000000"/>
          <w:sz w:val="24"/>
        </w:rPr>
      </w:pPr>
      <w:bookmarkStart w:id="137" w:name="_Toc71631941"/>
      <w:r>
        <w:rPr>
          <w:rFonts w:hint="eastAsia" w:ascii="仿宋" w:hAnsi="仿宋" w:eastAsia="仿宋" w:cs="仿宋"/>
          <w:b/>
          <w:color w:val="000000"/>
          <w:sz w:val="24"/>
        </w:rPr>
        <w:br w:type="page"/>
      </w:r>
    </w:p>
    <w:p>
      <w:pPr>
        <w:pStyle w:val="44"/>
        <w:adjustRightInd w:val="0"/>
        <w:snapToGrid w:val="0"/>
        <w:spacing w:before="0" w:after="0" w:line="360" w:lineRule="auto"/>
        <w:rPr>
          <w:rFonts w:ascii="仿宋" w:hAnsi="仿宋" w:eastAsia="仿宋" w:cs="仿宋"/>
          <w:b/>
          <w:bCs w:val="0"/>
          <w:color w:val="000000"/>
          <w:sz w:val="24"/>
        </w:rPr>
      </w:pPr>
      <w:bookmarkStart w:id="138" w:name="_Toc29840"/>
      <w:bookmarkStart w:id="139" w:name="_Toc2602"/>
      <w:r>
        <w:rPr>
          <w:rFonts w:hint="eastAsia" w:ascii="仿宋" w:hAnsi="仿宋" w:eastAsia="仿宋" w:cs="仿宋"/>
          <w:b/>
          <w:bCs w:val="0"/>
          <w:color w:val="000000"/>
          <w:sz w:val="24"/>
        </w:rPr>
        <w:t>附件12  投标文件还应包括的技术文件</w:t>
      </w:r>
      <w:bookmarkEnd w:id="137"/>
      <w:bookmarkEnd w:id="138"/>
      <w:bookmarkEnd w:id="139"/>
    </w:p>
    <w:p>
      <w:pPr>
        <w:pStyle w:val="44"/>
        <w:adjustRightInd w:val="0"/>
        <w:snapToGrid w:val="0"/>
        <w:spacing w:before="0" w:after="0" w:line="360" w:lineRule="auto"/>
        <w:rPr>
          <w:rFonts w:ascii="仿宋" w:hAnsi="仿宋" w:eastAsia="仿宋" w:cs="仿宋"/>
          <w:color w:val="000000"/>
          <w:sz w:val="24"/>
        </w:rPr>
      </w:pP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投标人应根据招标文件第五章、第六章的规定自行编写， 详细叙述拟提供产品/服务情况。</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包括，但不限于：</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1.投标人应提交证明文件，证明其拟供的合同项下的货物及服务的合格性符合招标文件规定。该证明文件是投标文件的一部分。上款所述的证明文件，可以是文字资料、图纸和数据。</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2.主要采购需求和性能的详细说明。</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3.从采购人开始使用至招标文件规定的服务期内正常、连续地使用所必须的备件和专用工具清单，包括备件和专用工具的货源及现行价格。</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4.对照招标文件技术规格，逐条说明所提供服务已对招标文件的技术规格做出了实质性的响应，或申明与技术规格条文的偏差和例外。</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5.实施方案</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6.售后服务方案</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7.培训方案</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8.质保期后的维修</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9.招标文件要求的或投标人认为有必要提供的其他技术文件；</w:t>
      </w:r>
    </w:p>
    <w:p>
      <w:pPr>
        <w:pStyle w:val="44"/>
        <w:adjustRightInd w:val="0"/>
        <w:snapToGrid w:val="0"/>
        <w:spacing w:before="0" w:after="0" w:line="360" w:lineRule="auto"/>
        <w:rPr>
          <w:rFonts w:ascii="仿宋" w:hAnsi="仿宋" w:eastAsia="仿宋" w:cs="仿宋"/>
          <w:color w:val="000000"/>
          <w:sz w:val="24"/>
        </w:rPr>
      </w:pPr>
      <w:r>
        <w:rPr>
          <w:rFonts w:hint="eastAsia" w:ascii="仿宋" w:hAnsi="仿宋" w:eastAsia="仿宋" w:cs="仿宋"/>
          <w:color w:val="000000"/>
          <w:sz w:val="24"/>
        </w:rPr>
        <w:t>10.投标人认为其它需要说明的事宜。</w:t>
      </w:r>
    </w:p>
    <w:p>
      <w:pPr>
        <w:rPr>
          <w:rFonts w:ascii="仿宋" w:hAnsi="仿宋" w:eastAsia="仿宋" w:cs="仿宋"/>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C207B9C-F6F0-40D5-B95B-3E863762E5D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B8C27957-0C02-4095-A981-B1C2A841BF4B}"/>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35BBD0B0-478F-4DBE-8D45-7331127127F1}"/>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612D8600-6C47-4F3C-93ED-465C86DAA142}"/>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embedRegular r:id="rId5" w:fontKey="{701BF8E9-FC0B-42A4-9393-8E5DE82D247F}"/>
  </w:font>
  <w:font w:name="方正仿宋_GB2312">
    <w:altName w:val="仿宋"/>
    <w:panose1 w:val="00000000000000000000"/>
    <w:charset w:val="86"/>
    <w:family w:val="auto"/>
    <w:pitch w:val="default"/>
    <w:sig w:usb0="00000000" w:usb1="00000000" w:usb2="00000012" w:usb3="00000000" w:csb0="00040001" w:csb1="00000000"/>
    <w:embedRegular r:id="rId6" w:fontKey="{F5F87A61-99B1-40EA-BC20-9AD72A458A3B}"/>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40</w:t>
    </w:r>
    <w:r>
      <w:rPr>
        <w:lang w:val="zh-CN"/>
      </w:rP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2</w:t>
    </w:r>
    <w:r>
      <w:rPr>
        <w:lang w:val="zh-CN"/>
      </w:rP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125</w:t>
    </w:r>
    <w:r>
      <w:rPr>
        <w:lang w:val="zh-CN"/>
      </w:rPr>
      <w:fldChar w:fldCharType="end"/>
    </w:r>
  </w:p>
  <w:p>
    <w:pPr>
      <w:pStyle w:val="20"/>
      <w:ind w:right="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36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D98FF"/>
    <w:multiLevelType w:val="singleLevel"/>
    <w:tmpl w:val="816D98FF"/>
    <w:lvl w:ilvl="0" w:tentative="0">
      <w:start w:val="1"/>
      <w:numFmt w:val="decimal"/>
      <w:lvlText w:val="%1)"/>
      <w:lvlJc w:val="left"/>
      <w:pPr>
        <w:ind w:left="425" w:hanging="425"/>
      </w:pPr>
      <w:rPr>
        <w:rFonts w:hint="default"/>
      </w:rPr>
    </w:lvl>
  </w:abstractNum>
  <w:abstractNum w:abstractNumId="1">
    <w:nsid w:val="F5C8F0E9"/>
    <w:multiLevelType w:val="singleLevel"/>
    <w:tmpl w:val="F5C8F0E9"/>
    <w:lvl w:ilvl="0" w:tentative="0">
      <w:start w:val="36"/>
      <w:numFmt w:val="decimal"/>
      <w:suff w:val="space"/>
      <w:lvlText w:val="%1."/>
      <w:lvlJc w:val="left"/>
    </w:lvl>
  </w:abstractNum>
  <w:abstractNum w:abstractNumId="2">
    <w:nsid w:val="FEF97301"/>
    <w:multiLevelType w:val="singleLevel"/>
    <w:tmpl w:val="FEF97301"/>
    <w:lvl w:ilvl="0" w:tentative="0">
      <w:start w:val="1"/>
      <w:numFmt w:val="decimal"/>
      <w:lvlText w:val="%1)"/>
      <w:lvlJc w:val="left"/>
      <w:pPr>
        <w:ind w:left="425" w:hanging="425"/>
      </w:pPr>
      <w:rPr>
        <w:rFonts w:hint="default"/>
      </w:rPr>
    </w:lvl>
  </w:abstractNum>
  <w:abstractNum w:abstractNumId="3">
    <w:nsid w:val="00000007"/>
    <w:multiLevelType w:val="singleLevel"/>
    <w:tmpl w:val="00000007"/>
    <w:lvl w:ilvl="0" w:tentative="0">
      <w:start w:val="2"/>
      <w:numFmt w:val="decimal"/>
      <w:suff w:val="nothing"/>
      <w:lvlText w:val="（%1）"/>
      <w:lvlJc w:val="left"/>
    </w:lvl>
  </w:abstractNum>
  <w:abstractNum w:abstractNumId="4">
    <w:nsid w:val="201458A2"/>
    <w:multiLevelType w:val="multilevel"/>
    <w:tmpl w:val="201458A2"/>
    <w:lvl w:ilvl="0" w:tentative="0">
      <w:start w:val="1"/>
      <w:numFmt w:val="bullet"/>
      <w:lvlText w:val=""/>
      <w:lvlJc w:val="left"/>
      <w:pPr>
        <w:ind w:left="840" w:hanging="420"/>
      </w:pPr>
      <w:rPr>
        <w:rFonts w:hint="default" w:ascii="Symbol" w:hAnsi="Symbol"/>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5BCEBD02"/>
    <w:multiLevelType w:val="singleLevel"/>
    <w:tmpl w:val="5BCEBD02"/>
    <w:lvl w:ilvl="0" w:tentative="0">
      <w:start w:val="1"/>
      <w:numFmt w:val="decimal"/>
      <w:lvlText w:val="%1)"/>
      <w:lvlJc w:val="left"/>
      <w:pPr>
        <w:ind w:left="425" w:hanging="425"/>
      </w:pPr>
      <w:rPr>
        <w:rFonts w:hint="default"/>
      </w:rPr>
    </w:lvl>
  </w:abstractNum>
  <w:abstractNum w:abstractNumId="6">
    <w:nsid w:val="5BCEBD16"/>
    <w:multiLevelType w:val="singleLevel"/>
    <w:tmpl w:val="5BCEBD16"/>
    <w:lvl w:ilvl="0" w:tentative="0">
      <w:start w:val="1"/>
      <w:numFmt w:val="decimal"/>
      <w:lvlText w:val="%1)"/>
      <w:lvlJc w:val="left"/>
      <w:pPr>
        <w:ind w:left="425" w:hanging="425"/>
      </w:pPr>
      <w:rPr>
        <w:rFonts w:hint="default"/>
      </w:rPr>
    </w:lvl>
  </w:abstractNum>
  <w:num w:numId="1">
    <w:abstractNumId w:val="1"/>
  </w:num>
  <w:num w:numId="2">
    <w:abstractNumId w:val="6"/>
  </w:num>
  <w:num w:numId="3">
    <w:abstractNumId w:val="0"/>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YzMDexNDU0NDI3tzBU0lEKTi0uzszPAykwMqwFACMuti0tAAAA"/>
    <w:docVar w:name="6359F84100001FF0" w:val=" "/>
    <w:docVar w:name="635A039700006930" w:val=" "/>
    <w:docVar w:name="6371AD530000D27A" w:val=" "/>
    <w:docVar w:name="63BF5A530000F05C" w:val=" "/>
    <w:docVar w:name="63BF60730000DBE3" w:val=" "/>
    <w:docVar w:name="63E1F6C200007E79" w:val=" "/>
    <w:docVar w:name="63E210FD0000F54F" w:val=" "/>
    <w:docVar w:name="63E3035A0000B0C4" w:val=" "/>
    <w:docVar w:name="commondata" w:val="eyJoZGlkIjoiZDM4MDBkMjE1ZmU1YzVjODI4OGVlMjZiNjA0YzViN2EifQ=="/>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zhangsj.enl&lt;/item&gt;&lt;/Libraries&gt;&lt;/ENLibraries&gt;"/>
    <w:docVar w:name="KGWebUrl" w:val="http://172.31.146.15:8082/BPFWeb//OfficeTemplateServerNew.jsp?loadFilePath=null"/>
    <w:docVar w:name="KSO_WPS_MARK_KEY" w:val="e244026f-9e90-495d-a4a7-ad45ce8ea236"/>
    <w:docVar w:name="NE.Ref{001F8953-6500-42B2-A208-79775E15BE6B}" w:val=" ADDIN NE.Ref.{001F8953-6500-42B2-A208-79775E15BE6B}&lt;Citation&gt;&lt;Group&gt;&lt;References&gt;&lt;Item&gt;&lt;ID&gt;515&lt;/ID&gt;&lt;UID&gt;{5FABCBC0-B75E-4B64-9FA1-D26DF7C5EE05}&lt;/UID&gt;&lt;Title&gt;基于统计指导的飞蛾扑火算法求解大规模优化问题&lt;/Title&gt;&lt;Template&gt;Journal Article&lt;/Template&gt;&lt;Star&gt;0&lt;/Star&gt;&lt;Tag&gt;0&lt;/Tag&gt;&lt;Author&gt;刘小龙&lt;/Author&gt;&lt;Year&gt;2020&lt;/Year&gt;&lt;Details&gt;&lt;_author_adr&gt;华南理工大学工商管理学院;&lt;/_author_adr&gt;&lt;_collection_scope&gt;CSCD;PKU;EI&lt;/_collection_scope&gt;&lt;_created&gt;63655951&lt;/_created&gt;&lt;_db_provider&gt;CNKI&lt;/_db_provider&gt;&lt;_isbn&gt;1001-0920&lt;/_isbn&gt;&lt;_issue&gt;04&lt;/_issue&gt;&lt;_journal&gt;控制与决策&lt;/_journal&gt;&lt;_keywords&gt;大规模优化问题;飞蛾扑火优化算法;函数优化;视距因子;缩放因子;统计指导&lt;/_keywords&gt;&lt;_modified&gt;63655951&lt;/_modified&gt;&lt;_pages&gt;901-908&lt;/_pages&gt;&lt;_volume&gt;35&lt;/_volume&gt;&lt;_translated_author&gt;Liu, Xiaolong&lt;/_translated_author&gt;&lt;/Details&gt;&lt;Extra&gt;&lt;DBUID&gt;{F96A950B-833F-4880-A151-76DA2D6A2879}&lt;/DBUID&gt;&lt;/Extra&gt;&lt;/Item&gt;&lt;/References&gt;&lt;/Group&gt;&lt;/Citation&gt;_x000a_"/>
    <w:docVar w:name="NE.Ref{0035F539-8023-430E-9315-0A7541F76A50}" w:val=" ADDIN NE.Ref.{0035F539-8023-430E-9315-0A7541F76A50}&lt;Citation&gt;&lt;Group&gt;&lt;References&gt;&lt;Item&gt;&lt;ID&gt;1029&lt;/ID&gt;&lt;UID&gt;{92ED74A1-D5C7-45C8-AD54-BDE959F7ACE6}&lt;/UID&gt;&lt;Title&gt;Coordinated control of HVDC sending system with large-scale DFIG-based wind farm under mono-polar blocking fault&lt;/Title&gt;&lt;Template&gt;Journal Article&lt;/Template&gt;&lt;Star&gt;0&lt;/Star&gt;&lt;Tag&gt;0&lt;/Tag&gt;&lt;Author&gt;Zhang, T; Yao, J; Pei, J X; Luo, Y; Zhang, H L; Liu, K; Wang, J&lt;/Author&gt;&lt;Year&gt;2020&lt;/Year&gt;&lt;Details&gt;&lt;_alternate_title&gt;INTERNATIONAL JOURNAL OF ELECTRICAL POWER &amp;amp; ENERGY SYSTEMS&lt;/_alternate_title&gt;&lt;_author_adr&gt;Chongqing Univ, Sch Elect Engn, State Key Lab Power Transmiss Equipment &amp;amp; Syst Se, Chongqing 400044, Peoples R China&lt;/_author_adr&gt;&lt;_cited_count&gt;5&lt;/_cited_count&gt;&lt;_date_display&gt;2020&lt;/_date_display&gt;&lt;_date&gt;2020-01-01&lt;/_date&gt;&lt;_doi&gt;10.1016/j.ijepes.2020.105943&lt;/_doi&gt;&lt;_journal&gt;INTERNATIONAL JOURNAL OF ELECTRICAL POWER &amp;amp; ENERGY SYSTEMS&lt;/_journal&gt;&lt;_keywords&gt;LCC-HVDC mono-polar blocking; HVDC sending system; DFIG-based wind farm; Coordinated control&lt;/_keywords&gt;&lt;_volume&gt;119&lt;/_volume&gt;&lt;_created&gt;64780423&lt;/_created&gt;&lt;_modified&gt;64780423&lt;/_modified&gt;&lt;_db_updated&gt;Web of Science-Core&lt;/_db_updated&gt;&lt;_impact_factor&gt;   5.659&lt;/_impact_factor&gt;&lt;_collection_scope&gt;SCIE;EI&lt;/_collection_scope&gt;&lt;/Details&gt;&lt;Extra&gt;&lt;DBUID&gt;{6891F4B0-DCBA-459A-9A22-3059983243D4}&lt;/DBUID&gt;&lt;/Extra&gt;&lt;/Item&gt;&lt;/References&gt;&lt;/Group&gt;&lt;/Citation&gt;_x000a_"/>
    <w:docVar w:name="NE.Ref{00946544-1D31-4DD4-971B-F6DA620BF7E9}" w:val=" ADDIN NE.Ref.{00946544-1D31-4DD4-971B-F6DA620BF7E9}&lt;Citation&gt;&lt;Group&gt;&lt;References&gt;&lt;Item&gt;&lt;ID&gt;999&lt;/ID&gt;&lt;UID&gt;{9E245CE3-0FCF-418D-90DF-D93011695C18}&lt;/UID&gt;&lt;Title&gt;直流换相失败及恢复过程暂态无功特性及控制参数影响&lt;/Title&gt;&lt;Template&gt;Journal Article&lt;/Template&gt;&lt;Star&gt;0&lt;/Star&gt;&lt;Tag&gt;0&lt;/Tag&gt;&lt;Author&gt;屠竞哲; 张健; 曾兵; 刘明松; 易俊; 卜广全&lt;/Author&gt;&lt;Year&gt;2017&lt;/Year&gt;&lt;Details&gt;&lt;_author_aff&gt;中国电力科学研究院;&lt;/_author_aff&gt;&lt;_cited_count&gt;96&lt;/_cited_count&gt;&lt;_date&gt;2017-07-11&lt;/_date&gt;&lt;_issue&gt;07&lt;/_issue&gt;&lt;_journal&gt;高电压技术&lt;/_journal&gt;&lt;_keywords&gt;换相失败及恢复过程;送受端系统;暂态无功特性;电压失稳;过电压;控制系统参数&lt;/_keywords&gt;&lt;_pages&gt;2131-2139&lt;/_pages&gt;&lt;_url&gt;https://kns.cnki.net/kcms/detail/detail.aspx?FileName=GDYJ201707005&amp;amp;DbName=CJFQ2017&lt;/_url&gt;&lt;_volume&gt;43&lt;/_volume&gt;&lt;_created&gt;64779525&lt;/_created&gt;&lt;_modified&gt;64779525&lt;/_modified&gt;&lt;_db_updated&gt;CNKI - Reference&lt;/_db_updated&gt;&lt;_collection_scope&gt;CSCD;PKU;EI&lt;/_collection_scope&gt;&lt;_translated_author&gt;Tu, Jingzhe;Zhang, Jian;Ceng, Bing;Liu, Mingsong;Yi, Jun;Bu, Guangquan&lt;/_translated_author&gt;&lt;/Details&gt;&lt;Extra&gt;&lt;DBUID&gt;{6891F4B0-DCBA-459A-9A22-3059983243D4}&lt;/DBUID&gt;&lt;/Extra&gt;&lt;/Item&gt;&lt;/References&gt;&lt;/Group&gt;&lt;/Citation&gt;_x000a_"/>
    <w:docVar w:name="NE.Ref{00BC6306-E737-4863-B788-ECD2E24AF202}" w:val=" ADDIN NE.Ref.{00BC6306-E737-4863-B788-ECD2E24AF202}&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46005&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476&lt;/_impact_factor&gt;&lt;_isbn&gt;2169-3536&lt;/_isbn&gt;&lt;_journal&gt;IEEE ACCESS&lt;/_journal&gt;&lt;_modified&gt;64498622&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Citation&gt;_x000a_"/>
    <w:docVar w:name="NE.Ref{00E76EE7-137B-458A-B2AB-829557E1857F}" w:val=" ADDIN NE.Ref.{00E76EE7-137B-458A-B2AB-829557E1857F}&lt;Citation&gt;&lt;Group&gt;&lt;References&gt;&lt;Item&gt;&lt;ID&gt;594&lt;/ID&gt;&lt;UID&gt;{39000CE3-8290-48EA-B979-B8D25E404FBC}&lt;/UID&gt;&lt;Title&gt;Hybrid biogeography-based optimization with brain storm optimization for non-convex dynamic economic dispatch with valve-point effects&lt;/Title&gt;&lt;Template&gt;Journal Article&lt;/Template&gt;&lt;Star&gt;0&lt;/Star&gt;&lt;Tag&gt;0&lt;/Tag&gt;&lt;Author&gt;Xiong, Guojiang; Shi, Dongyuan&lt;/Author&gt;&lt;Year&gt;2018&lt;/Year&gt;&lt;Details&gt;&lt;_collection_scope&gt;SCI;SCIE;EI&lt;/_collection_scope&gt;&lt;_created&gt;63705133&lt;/_created&gt;&lt;_impact_factor&gt;   6.082&lt;/_impact_factor&gt;&lt;_issue&gt;AUG.15&lt;/_issue&gt;&lt;_journal&gt;Energy&lt;/_journal&gt;&lt;_modified&gt;63705133&lt;/_modified&gt;&lt;_pages&gt;424-435&lt;/_pages&gt;&lt;_volume&gt;157&lt;/_volume&gt;&lt;/Details&gt;&lt;Extra&gt;&lt;DBUID&gt;{F96A950B-833F-4880-A151-76DA2D6A2879}&lt;/DBUID&gt;&lt;/Extra&gt;&lt;/Item&gt;&lt;/References&gt;&lt;/Group&gt;&lt;/Citation&gt;_x000a_"/>
    <w:docVar w:name="NE.Ref{0144F1C5-5EE2-4CD7-BA0E-74D00B0CC0F9}" w:val=" ADDIN NE.Ref.{0144F1C5-5EE2-4CD7-BA0E-74D00B0CC0F9}&lt;Citation&gt;&lt;Group&gt;&lt;References&gt;&lt;Item&gt;&lt;ID&gt;334&lt;/ID&gt;&lt;UID&gt;{B6271F28-7062-4F8C-B172-DFB54F3824E7}&lt;/UID&gt;&lt;Title&gt;Current-limit control method to prevent subsequent commutation failure of LCC-HVDC based on adaptive trigger voltage&lt;/Title&gt;&lt;Template&gt;Journal Article&lt;/Template&gt;&lt;Star&gt;0&lt;/Star&gt;&lt;Tag&gt;0&lt;/Tag&gt;&lt;Author&gt;Ouyang, Jinxin; Zhang, Zhen; Pang, Mingyu; Ye, Junjun; Xiong, Xiaofu&lt;/Author&gt;&lt;Year&gt;2020&lt;/Year&gt;&lt;Details&gt;&lt;_accessed&gt;63446009&lt;/_accessed&gt;&lt;_accession_num&gt;WOS:000541086900022_x000d__x000a_ER&lt;/_accession_num&gt;&lt;_cited_count&gt;0&lt;/_cited_count&gt;&lt;_collection_scope&gt;SCIE;EI&lt;/_collection_scope&gt;&lt;_created&gt;63444588&lt;/_created&gt;&lt;_date_display&gt;2020, NOV 2020&lt;/_date_display&gt;&lt;_db_provider&gt;ISI&lt;/_db_provider&gt;&lt;_doi&gt;10.1016/j.ijepes.2020.106190&lt;/_doi&gt;&lt;_impact_factor&gt;   5.659&lt;/_impact_factor&gt;&lt;_isbn&gt;0142-0615&lt;/_isbn&gt;&lt;_issue&gt;106190&lt;/_issue&gt;&lt;_journal&gt;INTERNATIONAL JOURNAL OF ELECTRICAL POWER &amp;amp; ENERGY SYSTEMS&lt;/_journal&gt;&lt;_modified&gt;64494396&lt;/_modified&gt;&lt;_url&gt;http://gateway.isiknowledge.com/gateway/Gateway.cgi?GWVersion=2&amp;amp;SrcAuth=AegeanSoftware&amp;amp;SrcApp=NoteExpress&amp;amp;DestLinkType=FullRecord&amp;amp;DestApp=WOS&amp;amp;KeyUT=000541086900022 _x000d__x000a_https://pdf.sciencedirectassets.com/271479/1-s2.0-S0142061520X00056/1-s2.0-S0142061519341584/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095537Z&amp;amp;X-Amz-SignedHeaders=host&amp;amp;X-Amz-Expires=300&amp;amp;X-Amz-Credential=ASIAQ3PHCVTYRRHIMDUZ%2F20200818%2Fus-east-1%2Fs3%2Faws4_request&amp;amp;X-Amz-Signature=cf846754e695c44e9515bf08ef12ba99fd43617f3652a81f709b4c2c3486ba2a&amp;amp;hash=25d5b05db98b60e6ecdb0c83479e51443b282a92dc8c8650dad2dda40197e9c8&amp;amp;host=68042c943591013ac2b2430a89b270f6af2c76d8dfd086a07176afe7c76c2c61&amp;amp;pii=S0142061519341584&amp;amp;tid=spdf-dd48f9ab-feff-488d-aa08-2a190429c9d0&amp;amp;sid=90a802954afec940f97b4e41e44e0aaf860dgxrqa&amp;amp;type=client _x000d__x000a_&lt;/_url&gt;&lt;_volume&gt;122&lt;/_volume&gt;&lt;/Details&gt;&lt;Extra&gt;&lt;DBUID&gt;{6891F4B0-DCBA-459A-9A22-3059983243D4}&lt;/DBUID&gt;&lt;/Extra&gt;&lt;/Item&gt;&lt;/References&gt;&lt;/Group&gt;&lt;/Citation&gt;_x000a_"/>
    <w:docVar w:name="NE.Ref{01FB985E-F8B3-485E-881C-C05C2ECE5A59}" w:val=" ADDIN NE.Ref.{01FB985E-F8B3-485E-881C-C05C2ECE5A59}&lt;Citation&gt;&lt;Group&gt;&lt;References&gt;&lt;Item&gt;&lt;ID&gt;876&lt;/ID&gt;&lt;UID&gt;{08025A91-1F64-486D-918B-EF125908750C}&lt;/UID&gt;&lt;Title&gt;特高压直流完全闭锁后的暂态压升计算方法&lt;/Title&gt;&lt;Template&gt;Journal Article&lt;/Template&gt;&lt;Star&gt;0&lt;/Star&gt;&lt;Tag&gt;0&lt;/Tag&gt;&lt;Author&gt;辛超山; 尹纯亚; 李凤婷; 刘新刚&lt;/Author&gt;&lt;Year&gt;2020&lt;/Year&gt;&lt;Details&gt;&lt;_accessed&gt;64647186&lt;/_accessed&gt;&lt;_author_aff&gt;国网新疆电力有限公司经济技术研究院;新疆大学电气工程学院;中国能源建设集团新疆电力设计院;&lt;/_author_aff&gt;&lt;_cited_count&gt;7&lt;/_cited_count&gt;&lt;_collection_scope&gt;PKU&lt;/_collection_scope&gt;&lt;_created&gt;64646879&lt;/_created&gt;&lt;_date&gt;2020-02-25&lt;/_date&gt;&lt;_db_updated&gt;CNKI - Reference&lt;/_db_updated&gt;&lt;_issue&gt;01&lt;/_issue&gt;&lt;_journal&gt;电力电容器与无功补偿&lt;/_journal&gt;&lt;_keywords&gt;特高压直流;直流闭锁;暂态过电压;无功功率;短路容量&lt;/_keywords&gt;&lt;_modified&gt;64647187&lt;/_modified&gt;&lt;_pages&gt;184-190&lt;/_pages&gt;&lt;_tertiary_title&gt;Power Capacitor &amp;amp; Reactive Power Compensation&lt;/_tertiary_title&gt;&lt;_translated_author&gt;XIN, Chaoshan; YIN, Chunya; LI, Fengting; LIU, Xingang&lt;/_translated_author&gt;&lt;_translated_title&gt;Calculation Method of Transient Voltage Rise after UHVDC Complete Blocking&lt;/_translated_title&gt;&lt;_url&gt;https://kns.cnki.net/kcms/detail/detail.aspx?FileName=DLDY202001029&amp;amp;DbName=CJFQ2020 _x000d__x000a_https://bar.cnki.net/bar/download/order?id=jBGETXBNdPImvx70aLAuJPYxPoFw%2bp%2bi0fIiSrcN6lUbDwI0xiIYfYI9EjbJAXTVVFn23Xs1FaBqYaCnwpNgcDnQrP31sd3qbIpJim%2fvA8Tl8E%2bCUVp5GtDTYhVF2dNUoJeGx62Ssygg68TNXJ%2b5JrigejDAar8Xqw%2f6WR22OFXUdUGh4At8VBYSvh%2fCUD5aoLCR0X5tPBEL7mLZVEdZp7E%2bNrkqzOHvmN3XxNvg5Gf5LXYX1qwFXwOc1HUZT%2bTB _x000d__x000a_&lt;/_url&gt;&lt;_volume&gt;41&lt;/_volume&gt;&lt;/Details&gt;&lt;Extra&gt;&lt;DBUID&gt;{6891F4B0-DCBA-459A-9A22-3059983243D4}&lt;/DBUID&gt;&lt;/Extra&gt;&lt;/Item&gt;&lt;/References&gt;&lt;/Group&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0249584B-9998-4D93-8240-CA8FDAC4B200}" w:val=" ADDIN NE.Ref.{0249584B-9998-4D93-8240-CA8FDAC4B200}&lt;Citation&gt;&lt;Group&gt;&lt;References&gt;&lt;Item&gt;&lt;ID&gt;1005&lt;/ID&gt;&lt;UID&gt;{78327436-2035-40FC-ABD5-F6DCA9B85156}&lt;/UID&gt;&lt;Title&gt;Dynamic reactive power characteristic analysis of inverters under the commutation failure faults in HVDC systems&lt;/Title&gt;&lt;Template&gt;Journal Article&lt;/Template&gt;&lt;Star&gt;0&lt;/Star&gt;&lt;Tag&gt;0&lt;/Tag&gt;&lt;Author&gt;Hua, W; Xiong, H T; Zhou, Y Z; Lou, R&lt;/Author&gt;&lt;Year&gt;2022&lt;/Year&gt;&lt;Details&gt;&lt;_alternate_title&gt;ENERGY REPORTS&lt;/_alternate_title&gt;&lt;_author_adr&gt;Stategrid Zhejiang Elect Power Co Ltd, Res Inst, Chaowang Rd, Hangzhou 310000, Peoples R China; Zhejiang Univ, Polytech Inst, Shixiang Rd 269th, Hangzhou 310015, Peoples R China&lt;/_author_adr&gt;&lt;_cited_count&gt;0&lt;/_cited_count&gt;&lt;_date_display&gt;2022&lt;/_date_display&gt;&lt;_date&gt;2022-01-01&lt;/_date&gt;&lt;_doi&gt;10.1016/j.egyr.2021.11.041&lt;/_doi&gt;&lt;_journal&gt;ENERGY REPORTS&lt;/_journal&gt;&lt;_keywords&gt;Dynamic var demand; Commutation failure; HVDC&lt;/_keywords&gt;&lt;_pages&gt;75-82&lt;/_pages&gt;&lt;_volume&gt;8&lt;/_volume&gt;&lt;_created&gt;64779566&lt;/_created&gt;&lt;_modified&gt;64779570&lt;/_modified&gt;&lt;_db_updated&gt;Web of Science-Core&lt;/_db_updated&gt;&lt;_impact_factor&gt;   4.937&lt;/_impact_factor&gt;&lt;_collection_scope&gt;EI&lt;/_collection_scope&gt;&lt;/Details&gt;&lt;Extra&gt;&lt;DBUID&gt;{6891F4B0-DCBA-459A-9A22-3059983243D4}&lt;/DBUID&gt;&lt;/Extra&gt;&lt;/Item&gt;&lt;/References&gt;&lt;/Group&gt;&lt;/Citation&gt;_x000a_"/>
    <w:docVar w:name="NE.Ref{026C31F9-008A-4A32-91CB-85C563C5C28F}" w:val=" ADDIN NE.Ref.{026C31F9-008A-4A32-91CB-85C563C5C28F}&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Citation&gt;_x000a_"/>
    <w:docVar w:name="NE.Ref{03465780-76FC-4CC8-900B-0756B424B14D}" w:val=" ADDIN NE.Ref.{03465780-76FC-4CC8-900B-0756B424B14D}&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727215&lt;/_accessed&gt;&lt;_created&gt;63459198&lt;/_created&gt;&lt;_date&gt;54169920&lt;/_date&gt;&lt;_modified&gt;63519030&lt;/_modified&gt;&lt;_pages&gt;51-56&lt;/_pages&gt;&lt;_secondary_title&gt; Proc. Int. Conf. Power Syst. Technol&lt;/_secondary_title&gt;&lt;_url&gt;https://ieeexplore.ieee.org/stampPDF/getPDF.jsp?tp=&amp;amp;arnumber=1053503&amp;amp;ref=aHR0cHM6Ly9pZWVleHBsb3JlLmllZWUub3JnL3Jlc3Qvc2VhcmNo _x000d__x000a_&lt;/_url&gt;&lt;_volume&gt;1&lt;/_volume&gt;&lt;/Details&gt;&lt;Extra&gt;&lt;DBUID&gt;{6891F4B0-DCBA-459A-9A22-3059983243D4}&lt;/DBUID&gt;&lt;/Extra&gt;&lt;/Item&gt;&lt;/References&gt;&lt;/Group&gt;&lt;/Citation&gt;_x000a_"/>
    <w:docVar w:name="NE.Ref{03AB54B6-E5ED-4D03-8950-3916534C01D0}" w:val=" ADDIN NE.Ref.{03AB54B6-E5ED-4D03-8950-3916534C01D0}&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41C5F05-EAF1-47EE-95FB-8BFB96E3B7DD}" w:val=" ADDIN NE.Ref.{041C5F05-EAF1-47EE-95FB-8BFB96E3B7DD}&lt;Citation&gt;&lt;Group&gt;&lt;References&gt;&lt;Item&gt;&lt;ID&gt;715&lt;/ID&gt;&lt;UID&gt;{68ED593E-F1FA-42D0-8A14-35877AE45BAA}&lt;/UID&gt;&lt;Title&gt;高压直流输电非典型工况下过电压异常风险分析&lt;/Title&gt;&lt;Template&gt;Journal Article&lt;/Template&gt;&lt;Star&gt;0&lt;/Star&gt;&lt;Tag&gt;0&lt;/Tag&gt;&lt;Author&gt;贺静波; 万磊; 霍超; 常青&lt;/Author&gt;&lt;Year&gt;2014&lt;/Year&gt;&lt;Details&gt;&lt;_author_aff&gt;国家电力调度控制中心;中国电力科学研究院;西北电力调控分中心;&lt;/_author_aff&gt;&lt;_date&gt;2014-12-05&lt;/_date&gt;&lt;_db_provider&gt;CNKI: 期刊&lt;/_db_provider&gt;&lt;_issue&gt;12&lt;/_issue&gt;&lt;_journal&gt;电网技术&lt;/_journal&gt;&lt;_keywords&gt;直流输电;过电压;非典型工况;交直流电网&lt;/_keywords&gt;&lt;_pages&gt;3459-3463&lt;/_pages&gt;&lt;_url&gt;http://kns.cnki.net/KCMS/detail/detail.aspx?FileName=DWJS201412031&amp;amp;DbName=CJFQ2014&lt;/_url&gt;&lt;_volume&gt;38&lt;/_volume&gt;&lt;_created&gt;63727864&lt;/_created&gt;&lt;_modified&gt;63727864&lt;/_modified&gt;&lt;_db_updated&gt;CNKI - Reference&lt;/_db_updated&gt;&lt;_collection_scope&gt;CSCD;PKU;EI&lt;/_collection_scope&gt;&lt;_translated_author&gt;He, Jingbo;Wan, Lei;Huo, Chao;Chang, Qing&lt;/_translated_author&gt;&lt;/Details&gt;&lt;Extra&gt;&lt;DBUID&gt;{6891F4B0-DCBA-459A-9A22-3059983243D4}&lt;/DBUID&gt;&lt;/Extra&gt;&lt;/Item&gt;&lt;/References&gt;&lt;/Group&gt;&lt;Group&gt;&lt;References&gt;&lt;Item&gt;&lt;ID&gt;716&lt;/ID&gt;&lt;UID&gt;{25082D32-9092-4A20-839A-02CE172B58EE}&lt;/UID&gt;&lt;Title&gt;风光火打捆交直流混联外送系统交互影响及稳定性研究&lt;/Title&gt;&lt;Template&gt;Journal Article&lt;/Template&gt;&lt;Star&gt;0&lt;/Star&gt;&lt;Tag&gt;0&lt;/Tag&gt;&lt;Author&gt;吴萍; 陈昊; 赵兵; 徐式蕴; 易俊; 张健&lt;/Author&gt;&lt;Year&gt;2016&lt;/Year&gt;&lt;Details&gt;&lt;_author_aff&gt;中国电力科学研究院;&lt;/_author_aff&gt;&lt;_date&gt;2016-07-05&lt;/_date&gt;&lt;_db_provider&gt;CNKI: 期刊&lt;/_db_provider&gt;&lt;_issue&gt;07&lt;/_issue&gt;&lt;_journal&gt;电网技术&lt;/_journal&gt;&lt;_keywords&gt;风光火打捆外送系统;火电配比;脱网时序;交互影响&lt;/_keywords&gt;&lt;_pages&gt;1934-1942&lt;/_pages&gt;&lt;_url&gt;http://kns.cnki.net/KCMS/detail/detail.aspx?FileName=DWJS201607002&amp;amp;DbName=CJFQ2016&lt;/_url&gt;&lt;_volume&gt;40&lt;/_volume&gt;&lt;_created&gt;63727864&lt;/_created&gt;&lt;_modified&gt;63727865&lt;/_modified&gt;&lt;_db_updated&gt;CNKI - Reference&lt;/_db_updated&gt;&lt;_collection_scope&gt;CSCD;PKU;EI&lt;/_collection_scope&gt;&lt;_translated_author&gt;Wu, Ping;Chen, Hao;Zhao, Bing;Xu, Shiyun;Yi, Jun;Zhang, Jian&lt;/_translated_author&gt;&lt;/Details&gt;&lt;Extra&gt;&lt;DBUID&gt;{6891F4B0-DCBA-459A-9A22-3059983243D4}&lt;/DBUID&gt;&lt;/Extra&gt;&lt;/Item&gt;&lt;/References&gt;&lt;/Group&gt;&lt;/Citation&gt;_x000a_"/>
    <w:docVar w:name="NE.Ref{04769271-D2B6-4D3E-B68C-B3CB0A7B7B04}" w:val=" ADDIN NE.Ref.{04769271-D2B6-4D3E-B68C-B3CB0A7B7B0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568F1F3-F32C-4F3A-92C8-66CD30A080A5}" w:val=" ADDIN NE.Ref.{0568F1F3-F32C-4F3A-92C8-66CD30A080A5}&lt;Citation&gt;&lt;Group&gt;&lt;References&gt;&lt;Item&gt;&lt;ID&gt;502&lt;/ID&gt;&lt;UID&gt;{5811B6ED-7D74-4C6F-B9A6-AAAB9D57A66A}&lt;/UID&gt;&lt;Title&gt;交流侧故障与换相失败时序问题的分析&lt;/Title&gt;&lt;Template&gt;Journal Article&lt;/Template&gt;&lt;Star&gt;0&lt;/Star&gt;&lt;Tag&gt;0&lt;/Tag&gt;&lt;Author&gt;陈颖; 李袖; 李卓男&lt;/Author&gt;&lt;Year&gt;2017&lt;/Year&gt;&lt;Details&gt;&lt;_accessed&gt;63445941&lt;/_accessed&gt;&lt;_accession_num&gt;CSCD:5946848_x000d__x000a_ER&lt;/_accession_num&gt;&lt;_cited_count&gt;0&lt;/_cited_count&gt;&lt;_collection_scope&gt;CSCD;PKU&lt;/_collection_scope&gt;&lt;_created&gt;63444588&lt;/_created&gt;&lt;_date_display&gt;2017, 2017&lt;/_date_display&gt;&lt;_db_provider&gt;ISI&lt;/_db_provider&gt;&lt;_isbn&gt;1003-8930&lt;/_isbn&gt;&lt;_issue&gt;1003-8930(2017)29:3&amp;lt;116:JLCGZY&amp;gt;2.0.TX;2-U3&lt;/_issue&gt;&lt;_journal&gt;电力系统及其自动化学报&lt;/_journal&gt;&lt;_modified&gt;63445942&lt;/_modified&gt;&lt;_pages&gt;116-120,130&lt;/_pages&gt;&lt;_tertiary_title&gt;Proceedings of the CSU-EPSA&lt;/_tertiary_title&gt;&lt;_translated_author&gt;Chen, Ying; Li, Xiu; Li, Zhuonan&lt;/_translated_author&gt;&lt;_translated_title&gt;Analysis of Time Sequence Between AC Fault and Commutation Failure&lt;/_translated_title&gt;&lt;_url&gt;CSCD:5946848&lt;/_url&gt;&lt;_volume&gt;29&lt;/_volume&gt;&lt;/Details&gt;&lt;Extra&gt;&lt;DBUID&gt;{6891F4B0-DCBA-459A-9A22-3059983243D4}&lt;/DBUID&gt;&lt;/Extra&gt;&lt;/Item&gt;&lt;/References&gt;&lt;/Group&gt;&lt;Group&gt;&lt;References&gt;&lt;Item&gt;&lt;ID&gt;546&lt;/ID&gt;&lt;UID&gt;{6D0E0A52-E334-4C7C-AD9E-3501AC497730}&lt;/UID&gt;&lt;Title&gt;Analysis of the commutation failure of inverters during open-conductor faults at the AC side&lt;/Title&gt;&lt;Template&gt;Journal Article&lt;/Template&gt;&lt;Star&gt;0&lt;/Star&gt;&lt;Tag&gt;0&lt;/Tag&gt;&lt;Author&gt;Cheng, Jingzhou; Xue, Yinglin; Guan, Minyuan; Wang, Chao&lt;/Author&gt;&lt;Year&gt;2015&lt;/Year&gt;&lt;Details&gt;&lt;_accessed&gt;63457514&lt;/_accessed&gt;&lt;_accession_num&gt;WOS:000360051200010_x000d__x000a_ER&lt;/_accession_num&gt;&lt;_cited_count&gt;1&lt;/_cited_count&gt;&lt;_collection_scope&gt;SCIE;EI&lt;/_collection_scope&gt;&lt;_created&gt;63444588&lt;/_created&gt;&lt;_date_display&gt;2015, AUG 2015&lt;/_date_display&gt;&lt;_db_provider&gt;ISI&lt;/_db_provider&gt;&lt;_doi&gt;10.1002/etep.1919&lt;/_doi&gt;&lt;_impact_factor&gt;   1.692&lt;/_impact_factor&gt;&lt;_isbn&gt;2050-7038&lt;/_isbn&gt;&lt;_issue&gt;8&lt;/_issue&gt;&lt;_journal&gt;INTERNATIONAL TRANSACTIONS ON ELECTRICAL ENERGY SYSTEMS&lt;/_journal&gt;&lt;_modified&gt;63445910&lt;/_modified&gt;&lt;_pages&gt;1570-1589&lt;/_pages&gt;&lt;_url&gt;http://gateway.isiknowledge.com/gateway/Gateway.cgi?GWVersion=2&amp;amp;SrcAuth=AegeanSoftware&amp;amp;SrcApp=NoteExpress&amp;amp;DestLinkType=FullRecord&amp;amp;DestApp=WOS&amp;amp;KeyUT=000360051200010&lt;/_url&gt;&lt;_volume&gt;25&lt;/_volume&gt;&lt;/Details&gt;&lt;Extra&gt;&lt;DBUID&gt;{6891F4B0-DCBA-459A-9A22-3059983243D4}&lt;/DBUID&gt;&lt;/Extra&gt;&lt;/Item&gt;&lt;/References&gt;&lt;/Group&gt;&lt;/Citation&gt;_x000a_"/>
    <w:docVar w:name="NE.Ref{061D20AC-9CDC-4BEB-8643-F70FB076CB6D}" w:val=" ADDIN NE.Ref.{061D20AC-9CDC-4BEB-8643-F70FB076CB6D}&lt;Citation&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070823B0-62E5-478E-B50D-9FDE5C049054}" w:val=" ADDIN NE.Ref.{070823B0-62E5-478E-B50D-9FDE5C04905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87310B8-E92D-4289-B760-3160F05B2EA5}" w:val=" ADDIN NE.Ref.{087310B8-E92D-4289-B760-3160F05B2EA5}&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0921799C-6DD0-4188-B637-3CA73B5479E5}" w:val=" ADDIN NE.Ref.{0921799C-6DD0-4188-B637-3CA73B5479E5}&lt;Citation&gt;&lt;Group&gt;&lt;References&gt;&lt;Item&gt;&lt;ID&gt;282&lt;/ID&gt;&lt;UID&gt;{F3838403-6167-4081-9EFC-18C755F3DC54}&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ion_num&gt;WOS:000341190700042_x000d__x000a_ER&lt;/_accession_num&gt;&lt;_cited_count&gt;81&lt;/_cited_count&gt;&lt;_collection_scope&gt;SCI;SCIE;EI&lt;/_collection_scope&gt;&lt;_created&gt;63731519&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732118&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A3475332-E9AF-461B-A5D7-96D85EB3F1EF}&lt;/DBUID&gt;&lt;/Extra&gt;&lt;/Item&gt;&lt;/References&gt;&lt;/Group&gt;&lt;/Citation&gt;_x000a_"/>
    <w:docVar w:name="NE.Ref{09657C50-6E92-49CE-8672-14D123569690}" w:val=" ADDIN NE.Ref.{09657C50-6E92-49CE-8672-14D123569690}&lt;Citation&gt;&lt;Group&gt;&lt;References&gt;&lt;Item&gt;&lt;ID&gt;64&lt;/ID&gt;&lt;UID&gt;{26C771DF-F0D7-44ED-B0F7-1D09D1F89FF5}&lt;/UID&gt;&lt;Title&gt;考虑风电不确定性的电力系统鲁棒优化调度&lt;/Title&gt;&lt;Template&gt;Journal Article&lt;/Template&gt;&lt;Star&gt;0&lt;/Star&gt;&lt;Tag&gt;0&lt;/Tag&gt;&lt;Author&gt;陈庆攀; 刘洋; 杨得洋&lt;/Author&gt;&lt;Year&gt;2019&lt;/Year&gt;&lt;Details&gt;&lt;_accessed&gt;64323123&lt;/_accessed&gt;&lt;_author_aff&gt;四川大学电气信息学院;&lt;/_author_aff&gt;&lt;_cited_count&gt;8&lt;/_cited_count&gt;&lt;_created&gt;64102965&lt;/_created&gt;&lt;_date&gt;62818560&lt;/_date&gt;&lt;_db_updated&gt;CNKI - Reference&lt;/_db_updated&gt;&lt;_issue&gt;11&lt;/_issue&gt;&lt;_journal&gt;电工技术&lt;/_journal&gt;&lt;_keywords&gt;电力系统;风电;不确定性;鲁棒调度模型&lt;/_keywords&gt;&lt;_modified&gt;64323123&lt;/_modified&gt;&lt;_pages&gt;37-39+43&lt;/_pages&gt;&lt;_url&gt;https://kns.cnki.net/kcms/detail/detail.aspx?FileName=DGJY201911011&amp;amp;DbName=CJFQ2019&lt;/_url&gt;&lt;_translated_author&gt;Chen, Qingpan;Liu, Yang;Yang, Deyang&lt;/_translated_author&gt;&lt;/Details&gt;&lt;Extra&gt;&lt;DBUID&gt;{560D5FFD-5A46-4EB8-859B-FD657304A42E}&lt;/DBUID&gt;&lt;/Extra&gt;&lt;/Item&gt;&lt;/References&gt;&lt;/Group&gt;&lt;/Citation&gt;_x000a_"/>
    <w:docVar w:name="NE.Ref{098CB4F4-933E-4205-9B0F-DA6B7A37CF6E}" w:val=" ADDIN NE.Ref.{098CB4F4-933E-4205-9B0F-DA6B7A37CF6E}&lt;Citation&gt;&lt;Group&gt;&lt;References&gt;&lt;Item&gt;&lt;ID&gt;1018&lt;/ID&gt;&lt;UID&gt;{FE9BC80F-7659-45C0-94B8-982CFB0614C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0&lt;/_cited_count&gt;&lt;_date&gt;2021-11-03&lt;/_date&gt;&lt;_issue&gt;02&lt;/_issue&gt;&lt;_journal&gt;中国电机工程学报&lt;/_journal&gt;&lt;_keywords&gt;电压支撑强度;短路比;临界短路比;阻抗比;电力电子设备&lt;/_keywords&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xNezgSlcpNoXOxEQnf%2bT0ygwE3OtnMd4fcV3D5ub%2fh%2f5LXYX1qwFXwOc1HUZT%2bTB _x000d__x000a_&lt;/_url&gt;&lt;_volume&gt;42&lt;/_volume&gt;&lt;_created&gt;64779748&lt;/_created&gt;&lt;_modified&gt;64779754&lt;/_modified&gt;&lt;_db_updated&gt;CNKI - Reference&lt;/_db_updated&gt;&lt;_collection_scope&gt;CSCD;PKU;EI&lt;/_collection_scope&gt;&lt;_accessed&gt;64779754&lt;/_accessed&gt;&lt;_translated_author&gt;Yu, Lin;Sun, Huadong;Xu, Shiyun;Zhao, Bing;Zhang, Jian;Li, Zonghan&lt;/_translated_author&gt;&lt;/Details&gt;&lt;Extra&gt;&lt;DBUID&gt;{6891F4B0-DCBA-459A-9A22-3059983243D4}&lt;/DBUID&gt;&lt;/Extra&gt;&lt;/Item&gt;&lt;/References&gt;&lt;/Group&gt;&lt;/Citation&gt;_x000a_"/>
    <w:docVar w:name="NE.Ref{0A0D1C42-C905-4E16-B409-4F5DEB132D83}" w:val=" ADDIN NE.Ref.{0A0D1C42-C905-4E16-B409-4F5DEB132D83}&lt;Citation&gt;&lt;Group&gt;&lt;References&gt;&lt;Item&gt;&lt;ID&gt;529&lt;/ID&gt;&lt;UID&gt;{3BF82718-7B29-47F5-9A6A-8BA0D33284C3}&lt;/UID&gt;&lt;Title&gt;绿色证书交易机制下可再生能源发电定价研究——期权博弈模型及数值模拟&lt;/Title&gt;&lt;Template&gt;Journal Article&lt;/Template&gt;&lt;Star&gt;0&lt;/Star&gt;&lt;Tag&gt;0&lt;/Tag&gt;&lt;Author&gt;俞萍萍&lt;/Author&gt;&lt;Year&gt;2018&lt;/Year&gt;&lt;Details&gt;&lt;_author_adr&gt;浙江财经大学;&lt;/_author_adr&gt;&lt;_collection_scope&gt;CSSCI-E;PKU&lt;/_collection_scope&gt;&lt;_created&gt;63659494&lt;/_created&gt;&lt;_db_provider&gt;CNKI&lt;/_db_provider&gt;&lt;_isbn&gt;1003-3971&lt;/_isbn&gt;&lt;_issue&gt;11&lt;/_issue&gt;&lt;_journal&gt;价格理论与实践&lt;/_journal&gt;&lt;_keywords&gt;可再生能源;配额制度;绿色证书交易;期权博弈&lt;/_keywords&gt;&lt;_modified&gt;63659494&lt;/_modified&gt;&lt;_pages&gt;38-41&lt;/_pages&gt;&lt;_translated_author&gt;Yu, Pingping&lt;/_translated_author&gt;&lt;/Details&gt;&lt;Extra&gt;&lt;DBUID&gt;{F96A950B-833F-4880-A151-76DA2D6A2879}&lt;/DBUID&gt;&lt;/Extra&gt;&lt;/Item&gt;&lt;/References&gt;&lt;/Group&gt;&lt;/Citation&gt;_x000a_"/>
    <w:docVar w:name="NE.Ref{0A2C9BF9-1112-457C-BF27-28A8CB70F534}" w:val=" ADDIN NE.Ref.{0A2C9BF9-1112-457C-BF27-28A8CB70F534}&lt;Citation&gt;&lt;Group&gt;&lt;References&gt;&lt;Item&gt;&lt;ID&gt;497&lt;/ID&gt;&lt;UID&gt;{E7F96EEC-24B7-4BE4-BE42-C70D5D384360}&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1895&lt;/_created&gt;&lt;_db_provider&gt;CNKI&lt;/_db_provider&gt;&lt;_isbn&gt;0258-8013&lt;/_isbn&gt;&lt;_journal&gt;中国电机工程学报&lt;/_journal&gt;&lt;_keywords&gt;园区运营商;综合能源系统;Stackelberg博弈;互动交易;日前调度&lt;/_keywords&gt;&lt;_modified&gt;63651895&lt;/_modified&gt;&lt;_pages&gt;1-13&lt;/_pages&gt;&lt;_translated_author&gt;Xiang, Enmin;Gao, Hongjun;Liu, Chang;Liu, Youbo;Liu, Junyong&lt;/_translated_author&gt;&lt;/Details&gt;&lt;Extra&gt;&lt;DBUID&gt;{F96A950B-833F-4880-A151-76DA2D6A2879}&lt;/DBUID&gt;&lt;/Extra&gt;&lt;/Item&gt;&lt;/References&gt;&lt;/Group&gt;&lt;/Citation&gt;_x000a_"/>
    <w:docVar w:name="NE.Ref{0B13F55E-ED43-4388-A5C2-3DF44A806A66}" w:val=" ADDIN NE.Ref.{0B13F55E-ED43-4388-A5C2-3DF44A806A66}&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collection_scope&gt;CSCD;PKU;EI&lt;/_collection_scope&gt;&lt;_created&gt;63704857&lt;/_created&gt;&lt;_db_provider&gt;CNKI&lt;/_db_provider&gt;&lt;_isbn&gt;0258-8013&lt;/_isbn&gt;&lt;_issue&gt;04&lt;/_issue&gt;&lt;_journal&gt;中国电机工程学报&lt;/_journal&gt;&lt;_keywords&gt;能量管理;微电网群;混合交直流配电系统;博弈论;鲁棒优化&lt;/_keywords&gt;&lt;_modified&gt;63704857&lt;/_modified&gt;&lt;_pages&gt;1226-1240+1413&lt;/_pages&gt;&lt;_volume&gt;40&lt;/_volume&gt;&lt;_translated_author&gt;Fu, Yang;Zhang, Zhiquan;Li, Zhenkun;Mi, Yang&lt;/_translated_author&gt;&lt;/Details&gt;&lt;Extra&gt;&lt;DBUID&gt;{F96A950B-833F-4880-A151-76DA2D6A2879}&lt;/DBUID&gt;&lt;/Extra&gt;&lt;/Item&gt;&lt;/References&gt;&lt;/Group&gt;&lt;/Citation&gt;_x000a_"/>
    <w:docVar w:name="NE.Ref{0B1727A6-0192-48ED-9217-921D7D499D14}" w:val=" ADDIN NE.Ref.{0B1727A6-0192-48ED-9217-921D7D499D14}&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0B20CC24-717B-49BF-80F5-B6DE07E7B069}" w:val=" ADDIN NE.Ref.{0B20CC24-717B-49BF-80F5-B6DE07E7B069}&lt;Citation&gt;&lt;Group&gt;&lt;References&gt;&lt;Item&gt;&lt;ID&gt;1023&lt;/ID&gt;&lt;UID&gt;{FB0A724D-9E9C-40F7-89ED-FF86546E4FA1}&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ited_count&gt;3&lt;/_cited_count&gt;&lt;_date&gt;2021-07-29&lt;/_date&gt;&lt;_issue&gt;05&lt;/_issue&gt;&lt;_journal&gt;电网技术&lt;/_journal&gt;&lt;_keywords&gt;特高压直流;过电压;低电压穿越;安全稳定控制&lt;/_keywords&gt;&lt;_pages&gt;1907-1916&lt;/_pages&gt;&lt;_url&gt;https://kns.cnki.net/kcms/detail/detail.aspx?FileName=DWJS202205024&amp;amp;DbName=DKFX2022&lt;/_url&gt;&lt;_volume&gt;46&lt;/_volume&gt;&lt;_created&gt;64780397&lt;/_created&gt;&lt;_modified&gt;64780397&lt;/_modified&gt;&lt;_db_updated&gt;CNKI - Reference&lt;/_db_updated&gt;&lt;_collection_scope&gt;CSCD;PKU;EI&lt;/_collection_scope&gt;&lt;_translated_author&gt;Zhou, Yingkun;Xie, Heng;Sun, Huadong;Xu, Shiyun;Zhao, Bing;Zhang, Yi;Chang, Xiqiang;Zhang, Jian&lt;/_translated_author&gt;&lt;/Details&gt;&lt;Extra&gt;&lt;DBUID&gt;{6891F4B0-DCBA-459A-9A22-3059983243D4}&lt;/DBUID&gt;&lt;/Extra&gt;&lt;/Item&gt;&lt;/References&gt;&lt;/Group&gt;&lt;Group&gt;&lt;References&gt;&lt;Item&gt;&lt;ID&gt;1024&lt;/ID&gt;&lt;UID&gt;{71F5FFB4-C672-4E35-8FFF-CC99F583D209}&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ited_count&gt;2&lt;/_cited_count&gt;&lt;_date&gt;2022-02-25&lt;/_date&gt;&lt;_issue&gt;02&lt;/_issue&gt;&lt;_journal&gt;中国电力&lt;/_journal&gt;&lt;_keywords&gt;新能源汇集系统;低电压穿越;暂态过电压;短路比&lt;/_keywords&gt;&lt;_pages&gt;152-158&lt;/_pages&gt;&lt;_url&gt;https://kns.cnki.net/kcms/detail/detail.aspx?FileName=ZGDL202202019&amp;amp;DbName=CJFQ2022&lt;/_url&gt;&lt;_volume&gt;55&lt;/_volume&gt;&lt;_created&gt;64780399&lt;/_created&gt;&lt;_modified&gt;64780399&lt;/_modified&gt;&lt;_db_updated&gt;CNKI - Reference&lt;/_db_updated&gt;&lt;_collection_scope&gt;CSCD;PKU&lt;/_collection_scope&gt;&lt;_translated_author&gt;Liu, Hui;Wang, Kuo&lt;/_translated_author&gt;&lt;/Details&gt;&lt;Extra&gt;&lt;DBUID&gt;{6891F4B0-DCBA-459A-9A22-3059983243D4}&lt;/DBUID&gt;&lt;/Extra&gt;&lt;/Item&gt;&lt;/References&gt;&lt;/Group&gt;&lt;Group&gt;&lt;References&gt;&lt;Item&gt;&lt;ID&gt;1025&lt;/ID&gt;&lt;UID&gt;{0F8E5DDE-8262-4922-9574-5ADD6322CB7F}&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uthor_aff&gt;新能源与储能运行控制国家重点实验室(中国电力科学研究院有限公司);&lt;/_author_aff&gt;&lt;_cited_count&gt;10&lt;/_cited_count&gt;&lt;_date&gt;2021-05-14&lt;/_date&gt;&lt;_issue&gt;12&lt;/_issue&gt;&lt;_journal&gt;电网技术&lt;/_journal&gt;&lt;_keywords&gt;暂态过电压;低电压穿越;风电机组;参数优化&lt;/_keywords&gt;&lt;_pages&gt;4612-4621&lt;/_pages&gt;&lt;_url&gt;https://kns.cnki.net/kcms/detail/detail.aspx?FileName=DWJS202112002&amp;amp;DbName=DKFX2021&lt;/_url&gt;&lt;_volume&gt;45&lt;/_volume&gt;&lt;_created&gt;64780400&lt;/_created&gt;&lt;_modified&gt;64780400&lt;/_modified&gt;&lt;_db_updated&gt;CNKI - Reference&lt;/_db_updated&gt;&lt;_collection_scope&gt;CSCD;PKU;EI&lt;/_collection_scope&gt;&lt;_translated_author&gt;Wang, Xichun;Liu, Chun;Lin, Weifang;Jie, Hongbin&lt;/_translated_author&gt;&lt;/Details&gt;&lt;Extra&gt;&lt;DBUID&gt;{6891F4B0-DCBA-459A-9A22-3059983243D4}&lt;/DBUID&gt;&lt;/Extra&gt;&lt;/Item&gt;&lt;/References&gt;&lt;/Group&gt;&lt;Group&gt;&lt;References&gt;&lt;Item&gt;&lt;ID&gt;1026&lt;/ID&gt;&lt;UID&gt;{93F10089-0DB5-4040-8FBA-B27C00F605A8}&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uthor_aff&gt;电网安全与节能国家重点实验室(中国电力科学研究院有限公司);国家电力调度控制中心;&lt;/_author_aff&gt;&lt;_cited_count&gt;31&lt;/_cited_count&gt;&lt;_date&gt;2020-11-25&lt;/_date&gt;&lt;_issue&gt;02&lt;/_issue&gt;&lt;_journal&gt;电网技术&lt;/_journal&gt;&lt;_keywords&gt;低电压穿越;暂态过电压;风电机组;有功/无功特性;性能优化&lt;/_keywords&gt;&lt;_pages&gt;526-533&lt;/_pages&gt;&lt;_url&gt;https://kns.cnki.net/kcms/detail/detail.aspx?FileName=DWJS202102011&amp;amp;DbName=DKFX2021&lt;/_url&gt;&lt;_volume&gt;45&lt;/_volume&gt;&lt;_created&gt;64780401&lt;/_created&gt;&lt;_modified&gt;64780401&lt;/_modified&gt;&lt;_db_updated&gt;CNKI - Reference&lt;/_db_updated&gt;&lt;_collection_scope&gt;CSCD;PKU;EI&lt;/_collection_scope&gt;&lt;_translated_author&gt;Jia, Junchuan;Jin, Yiding;Zhao, Bing;Zhong, Wuzhi;Cheng, Shigao;Liu, Tao;Xu, Xiwang;Zheng, Shuaifei&lt;/_translated_author&gt;&lt;/Details&gt;&lt;Extra&gt;&lt;DBUID&gt;{6891F4B0-DCBA-459A-9A22-3059983243D4}&lt;/DBUID&gt;&lt;/Extra&gt;&lt;/Item&gt;&lt;/References&gt;&lt;/Group&gt;&lt;/Citation&gt;_x000a_"/>
    <w:docVar w:name="NE.Ref{0B997B72-5A62-4CA3-940C-5C06EE3E2F20}" w:val=" ADDIN NE.Ref.{0B997B72-5A62-4CA3-940C-5C06EE3E2F20}&lt;Citation&gt;&lt;Group&gt;&lt;References&gt;&lt;Item&gt;&lt;ID&gt;922&lt;/ID&gt;&lt;UID&gt;{D8606DD1-9BE9-4286-9A34-6CC89F861418}&lt;/UID&gt;&lt;Title&gt;Comprehensive review of commutation failure in HVDC transmission systems&lt;/Title&gt;&lt;Template&gt;Journal Article&lt;/Template&gt;&lt;Star&gt;0&lt;/Star&gt;&lt;Tag&gt;0&lt;/Tag&gt;&lt;Author&gt;Zhou, H Y; Yao, W; Ai, X M; Li, D H; Wen, J Y; Li, C H&lt;/Author&gt;&lt;Year&gt;2022&lt;/Year&gt;&lt;Details&gt;&lt;_alternate_title&gt;ELECTRIC POWER SYSTEMS RESEARCH&lt;/_alternate_title&gt;&lt;_author_adr&gt;Huazhong Univ Sci &amp;amp; Technol, Sch Elect &amp;amp; Elect Engn, State Key Lab Adv Electromagnet Engn &amp;amp; Technol, Wuhan 430074, Peoples R China; State Grid Hubei Elect Power Co Ltd, Wuhan 430077, Peoples R China; State Grid Henan Elect Power Co, Elect Power Res Inst, Zhengzhou 450052, Peoples R China&lt;/_author_adr&gt;&lt;_cited_count&gt;7&lt;/_cited_count&gt;&lt;_collection_scope&gt;SCIE;EI&lt;/_collection_scope&gt;&lt;_created&gt;64655769&lt;/_created&gt;&lt;_date&gt;2022-01-01&lt;/_date&gt;&lt;_date_display&gt;2022&lt;/_date_display&gt;&lt;_db_updated&gt;Web of Science-Core&lt;/_db_updated&gt;&lt;_doi&gt;10.1016/j.epsr.2021.107768&lt;/_doi&gt;&lt;_impact_factor&gt;   3.818&lt;/_impact_factor&gt;&lt;_journal&gt;ELECTRIC POWER SYSTEMS RESEARCH&lt;/_journal&gt;&lt;_keywords&gt;HVDC; Commutation failure; Review; Cascading failures; Future direction&lt;/_keywords&gt;&lt;_modified&gt;64655770&lt;/_modified&gt;&lt;_volume&gt;205&lt;/_volume&gt;&lt;/Details&gt;&lt;Extra&gt;&lt;DBUID&gt;{6891F4B0-DCBA-459A-9A22-3059983243D4}&lt;/DBUID&gt;&lt;/Extra&gt;&lt;/Item&gt;&lt;/References&gt;&lt;/Group&gt;&lt;/Citation&gt;_x000a_"/>
    <w:docVar w:name="NE.Ref{0C012C24-95F1-431B-8BC4-527572EF946A}" w:val=" ADDIN NE.Ref.{0C012C24-95F1-431B-8BC4-527572EF946A}&lt;Citation&gt;&lt;Group&gt;&lt;References&gt;&lt;Item&gt;&lt;ID&gt;113&lt;/ID&gt;&lt;UID&gt;{709B4134-08DA-4EDD-B100-5435B8163012}&lt;/UID&gt;&lt;Title&gt;Stochastic reserve scheduling of energy storage system in energy and reserve markets&lt;/Title&gt;&lt;Template&gt;Journal Article&lt;/Template&gt;&lt;Star&gt;0&lt;/Star&gt;&lt;Tag&gt;0&lt;/Tag&gt;&lt;Author&gt;Tang, Zao; Liu, Junyong; Liu, Youbo; Xu, Lixiong&lt;/Author&gt;&lt;Year&gt;2020&lt;/Year&gt;&lt;Details&gt;&lt;_accessed&gt;64355826&lt;/_accessed&gt;&lt;_collection_scope&gt;SCIE;EI&lt;/_collection_scope&gt;&lt;_created&gt;64304239&lt;/_created&gt;&lt;_db_updated&gt;CrossRef&lt;/_db_updated&gt;&lt;_doi&gt;10.1016/j.ijepes.2020.106279&lt;/_doi&gt;&lt;_impact_factor&gt;   4.630&lt;/_impact_factor&gt;&lt;_isbn&gt;01420615&lt;/_isbn&gt;&lt;_journal&gt;International Journal of Electrical Power &amp;amp; Energy Systems&lt;/_journal&gt;&lt;_modified&gt;64308205&lt;/_modified&gt;&lt;_pages&gt;106279&lt;/_pages&gt;&lt;_tertiary_title&gt;International Journal of Electrical Power &amp;amp; Energy Systems&lt;/_tertiary_title&gt;&lt;_url&gt;https://linkinghub.elsevier.com/retrieve/pii/S0142061520306372_x000d__x000a_https://api.elsevier.com/content/article/PII:S0142061520306372?httpAccept=text/xml&lt;/_url&gt;&lt;_volume&gt;123&lt;/_volume&gt;&lt;/Details&gt;&lt;Extra&gt;&lt;DBUID&gt;{560D5FFD-5A46-4EB8-859B-FD657304A42E}&lt;/DBUID&gt;&lt;/Extra&gt;&lt;/Item&gt;&lt;/References&gt;&lt;/Group&gt;&lt;/Citation&gt;_x000a_"/>
    <w:docVar w:name="NE.Ref{0C1ECC45-9DE3-43C5-9998-B1CD947076CE}" w:val=" ADDIN NE.Ref.{0C1ECC45-9DE3-43C5-9998-B1CD947076CE}&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0D0B38FE-8D39-44A5-949E-BF8A56295EC6}" w:val=" ADDIN NE.Ref.{0D0B38FE-8D39-44A5-949E-BF8A56295EC6}&lt;Citation&gt;&lt;Group&gt;&lt;References&gt;&lt;Item&gt;&lt;ID&gt;563&lt;/ID&gt;&lt;UID&gt;{45A3424B-0432-4958-AE78-AE4583EC7294}&lt;/UID&gt;&lt;Title&gt;基于风电出力模糊集的电-气耦合系统分布鲁棒优化调度&lt;/Title&gt;&lt;Template&gt;Journal Article&lt;/Template&gt;&lt;Star&gt;0&lt;/Star&gt;&lt;Tag&gt;0&lt;/Tag&gt;&lt;Author&gt;张亚超; 黄张浩; 郑峰; 乐健; 舒胜文; 夏沛&lt;/Author&gt;&lt;Year&gt;2020&lt;/Year&gt;&lt;Details&gt;&lt;_author_adr&gt;福州大学电气工程与自动化学院;武汉大学电气与自动化学院;&lt;/_author_adr&gt;&lt;_collection_scope&gt;CSCD;PKU;EI&lt;/_collection_scope&gt;&lt;_created&gt;63685118&lt;/_created&gt;&lt;_db_provider&gt;CNKI&lt;/_db_provider&gt;&lt;_isbn&gt;1000-1026&lt;/_isbn&gt;&lt;_issue&gt;04&lt;/_issue&gt;&lt;_journal&gt;电力系统自动化&lt;/_journal&gt;&lt;_keywords&gt;耦合系统;分布鲁棒优化;风电;协同优化&lt;/_keywords&gt;&lt;_modified&gt;63685118&lt;/_modified&gt;&lt;_pages&gt;44-53&lt;/_pages&gt;&lt;_volume&gt;44&lt;/_volume&gt;&lt;_translated_author&gt;Zhang, Yachao;Huang, Zhanghao;Zheng, Feng;Le, Jian;Shu, Shengwen;Xia, Pei&lt;/_translated_author&gt;&lt;/Details&gt;&lt;Extra&gt;&lt;DBUID&gt;{F96A950B-833F-4880-A151-76DA2D6A2879}&lt;/DBUID&gt;&lt;/Extra&gt;&lt;/Item&gt;&lt;/References&gt;&lt;/Group&gt;&lt;Group&gt;&lt;References&gt;&lt;Item&gt;&lt;ID&gt;560&lt;/ID&gt;&lt;UID&gt;{AB95DEAA-E035-424A-A1B6-104F199B4B1F}&lt;/UID&gt;&lt;Title&gt;考虑风电高阶不确定性的电气综合系统分布鲁棒协同优化调度&lt;/Title&gt;&lt;Template&gt;Journal Article&lt;/Template&gt;&lt;Star&gt;0&lt;/Star&gt;&lt;Tag&gt;0&lt;/Tag&gt;&lt;Author&gt;张亚超; 郑峰; 乐健; 舒胜文; 朱蜀; 黄张浩&lt;/Author&gt;&lt;Year&gt;2020&lt;/Year&gt;&lt;Details&gt;&lt;_author_adr&gt;福建省电器智能化工程技术研究中心(福州大学电气工程与自动化学院);武汉大学电气与自动化学院;&lt;/_author_adr&gt;&lt;_collection_scope&gt;CSCD;PKU;EI&lt;/_collection_scope&gt;&lt;_created&gt;63685118&lt;/_created&gt;&lt;_db_provider&gt;CNKI&lt;/_db_provider&gt;&lt;_isbn&gt;0258-8013&lt;/_isbn&gt;&lt;_issue&gt;24&lt;/_issue&gt;&lt;_journal&gt;中国电机工程学报&lt;/_journal&gt;&lt;_keywords&gt;电气综合能源系统;分布鲁棒优化;概率密度函数置信带;高阶不确定性;双重因子仿射可调策略&lt;/_keywords&gt;&lt;_modified&gt;63685118&lt;/_modified&gt;&lt;_pages&gt;8012-8026&lt;/_pages&gt;&lt;_volume&gt;40&lt;/_volume&gt;&lt;_translated_author&gt;Zhang, Yachao;Zheng, Feng;Le, Jian;Shu, Shengwen;Zhu, Shu;Huang, Zhanghao&lt;/_translated_author&gt;&lt;/Details&gt;&lt;Extra&gt;&lt;DBUID&gt;{F96A950B-833F-4880-A151-76DA2D6A2879}&lt;/DBUID&gt;&lt;/Extra&gt;&lt;/Item&gt;&lt;/References&gt;&lt;/Group&gt;&lt;/Citation&gt;_x000a_"/>
    <w:docVar w:name="NE.Ref{0D415F50-9F76-45BA-A3E1-A6FF6885E247}" w:val=" ADDIN NE.Ref.{0D415F50-9F76-45BA-A3E1-A6FF6885E247}&lt;Citation&gt;&lt;Group&gt;&lt;References&gt;&lt;Item&gt;&lt;ID&gt;885&lt;/ID&gt;&lt;UID&gt;{5A34CEF0-AD0A-4CD3-AAC5-0F452AFED6F5}&lt;/UID&gt;&lt;Title&gt;Coordinated control by ADRC strategy for a wind farm based on SCIG considering low voltage ride-through capability&lt;/Title&gt;&lt;Template&gt;Journal Article&lt;/Template&gt;&lt;Star&gt;0&lt;/Star&gt;&lt;Tag&gt;0&lt;/Tag&gt;&lt;Author&gt;Laghridat, H; Essadki, A; Nasser, T&lt;/Author&gt;&lt;Year&gt;2022&lt;/Year&gt;&lt;Details&gt;&lt;_accessed&gt;64649804&lt;/_accessed&gt;&lt;_alternate_title&gt;PROTECTION AND CONTROL OF MODERN POWER SYSTEMS&lt;/_alternate_title&gt;&lt;_author_adr&gt;Mohammed V Univ, Higher Natl Sch Arts &amp;amp; Crafts ENSAM, Rabat, Morocco; Mohammed V Univ, Natl High Sch Comp Sci &amp;amp; Syst Anal ENSIAS, Rabat, Morocco&lt;/_author_adr&gt;&lt;_cited_count&gt;2&lt;/_cited_count&gt;&lt;_created&gt;64649802&lt;/_created&gt;&lt;_date&gt;2022-01-01&lt;/_date&gt;&lt;_date_display&gt;2022&lt;/_date_display&gt;&lt;_db_updated&gt;Web of Science-Core&lt;/_db_updated&gt;&lt;_doi&gt;10.1186/s41601-022-00227-0&lt;/_doi&gt;&lt;_impact_factor&gt;  10.500&lt;/_impact_factor&gt;&lt;_issue&gt;1&lt;/_issue&gt;&lt;_journal&gt;PROTECTION AND CONTROL OF MODERN POWER SYSTEMS&lt;/_journal&gt;&lt;_keywords&gt;Wind farm; Wind generator; SCIG; ADRC; Supervision; Control&lt;/_keywords&gt;&lt;_modified&gt;64649804&lt;/_modified&gt;&lt;_volume&gt;7&lt;/_volume&gt;&lt;/Details&gt;&lt;Extra&gt;&lt;DBUID&gt;{6891F4B0-DCBA-459A-9A22-3059983243D4}&lt;/DBUID&gt;&lt;/Extra&gt;&lt;/Item&gt;&lt;/References&gt;&lt;/Group&gt;&lt;/Citation&gt;_x000a_"/>
    <w:docVar w:name="NE.Ref{0D61882B-701A-44EA-99E3-028E8773489C}" w:val=" ADDIN NE.Ref.{0D61882B-701A-44EA-99E3-028E8773489C}&lt;Citation&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45915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459150&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0DEA0732-D183-4980-A5B6-3B9BB4DDAC72}" w:val=" ADDIN NE.Ref.{0DEA0732-D183-4980-A5B6-3B9BB4DDAC72}&lt;Citation&gt;&lt;Group&gt;&lt;References&gt;&lt;Item&gt;&lt;ID&gt;648&lt;/ID&gt;&lt;UID&gt;{4055988D-86BC-4DC7-AFF7-13C66643AFB5}&lt;/UID&gt;&lt;Title&gt;Integration of day-ahead market and redispatch to increase cross-border exchanges in the European electricity market&lt;/Title&gt;&lt;Template&gt;Journal Article&lt;/Template&gt;&lt;Star&gt;0&lt;/Star&gt;&lt;Tag&gt;0&lt;/Tag&gt;&lt;Author&gt;B, Ksenia Poplavskaya A; A, Gerhard Totschnig; A, Fabian Leimgruber; C, Gerard Doorman; D, Gilles Etienne; B, Laurens De Vries&lt;/Author&gt;&lt;Year&gt;0&lt;/Year&gt;&lt;Details&gt;&lt;_journal&gt;Applied Energy&lt;/_journal&gt;&lt;_volume&gt;278&lt;/_volume&gt;&lt;_created&gt;63705610&lt;/_created&gt;&lt;_modified&gt;63705610&lt;/_modified&gt;&lt;_collection_scope&gt;SCI;SCIE;EI&lt;/_collection_scope&gt;&lt;/Details&gt;&lt;Extra&gt;&lt;DBUID&gt;{F96A950B-833F-4880-A151-76DA2D6A2879}&lt;/DBUID&gt;&lt;/Extra&gt;&lt;/Item&gt;&lt;/References&gt;&lt;/Group&gt;&lt;/Citation&gt;_x000a_"/>
    <w:docVar w:name="NE.Ref{0E731B8D-7251-4760-8347-39072AA100E6}" w:val=" ADDIN NE.Ref.{0E731B8D-7251-4760-8347-39072AA100E6}&lt;Citation&gt;&lt;Group&gt;&lt;References&gt;&lt;Item&gt;&lt;ID&gt;535&lt;/ID&gt;&lt;UID&gt;{688EF7A6-FD21-4B75-A767-B6DB907132B2}&lt;/UID&gt;&lt;Title&gt;1100 kV特高压直流输电工程直流线路故障重启动过程非故障极换相失败研究 &lt;/Title&gt;&lt;Template&gt;Journal Article&lt;/Template&gt;&lt;Star&gt;0&lt;/Star&gt;&lt;Tag&gt;0&lt;/Tag&gt;&lt;Author&gt;杨鹏; 吴娅妮; 马士聪; 杨景; 岑旭; 王军波&lt;/Author&gt;&lt;Year&gt;2016&lt;/Year&gt;&lt;Details&gt;&lt;_accessed&gt;63445926&lt;/_accessed&gt;&lt;_accession_num&gt;CSCD:5685871_x000d__x000a_ER&lt;/_accession_num&gt;&lt;_cited_count&gt;1&lt;/_cited_count&gt;&lt;_created&gt;63444588&lt;/_created&gt;&lt;_date_display&gt;2016, 2016&lt;/_date_display&gt;&lt;_db_provider&gt;ISI&lt;/_db_provider&gt;&lt;_isbn&gt;1006-6047&lt;/_isbn&gt;&lt;_issue&gt;1006-6047(2016)36:4&amp;lt;14:1KTGYZ&amp;gt;2.0.TX;2-24&lt;/_issue&gt;&lt;_journal&gt;电力自动化设备 &lt;/_journal&gt;&lt;_modified&gt;63445926&lt;/_modified&gt;&lt;_pages&gt;14-18&lt;/_pages&gt;&lt;_tertiary_title&gt;Electric Power Automation Equipment&lt;/_tertiary_title&gt;&lt;_translated_author&gt;Yang, Peng; Wu, Yani; Ma, Shicong; Yang, Jing; Cen, Xu; Wang, Junbo&lt;/_translated_author&gt;&lt;_translated_title&gt;Analysis of commutation failure of healthy pole during restart of faulty line for 1100 kV UHVDC project&lt;/_translated_title&gt;&lt;_url&gt;CSCD:5685871&lt;/_url&gt;&lt;_volume&gt;36&lt;/_volume&gt;&lt;/Details&gt;&lt;Extra&gt;&lt;DBUID&gt;{6891F4B0-DCBA-459A-9A22-3059983243D4}&lt;/DBUID&gt;&lt;/Extra&gt;&lt;/Item&gt;&lt;/References&gt;&lt;/Group&gt;&lt;/Citation&gt;_x000a_"/>
    <w:docVar w:name="NE.Ref{0FB77FDA-2554-4F77-9445-3EB8253A5D1C}" w:val=" ADDIN NE.Ref.{0FB77FDA-2554-4F77-9445-3EB8253A5D1C}&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0FBC1835-941F-4AD0-9E2B-0FD87CB731C7}" w:val=" ADDIN NE.Ref.{0FBC1835-941F-4AD0-9E2B-0FD87CB731C7}&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0FC90DBD-AD29-44E8-A7C3-A002523A2CD5}" w:val=" ADDIN NE.Ref.{0FC90DBD-AD29-44E8-A7C3-A002523A2CD5}&lt;Citation&gt;&lt;Group&gt;&lt;References&gt;&lt;Item&gt;&lt;ID&gt;872&lt;/ID&gt;&lt;UID&gt;{8493059F-66AC-4E08-BEFF-9648C7F4DE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4647189&lt;/_accessed&gt;&lt;_author_aff&gt;电力系统及发电设备控制和仿真国家重点实验室(清华大学电机系);电网安全与节能国家重点实验室(中国电力科学研究院有限公司);西安交通大学电气工程学院;华北电力大学电气工程学院;浙江大学电气工程学院;&lt;/_author_aff&gt;&lt;_cited_count&gt;147&lt;/_cited_count&gt;&lt;_collection_scope&gt;CSCD;PKU;EI&lt;/_collection_scope&gt;&lt;_created&gt;64646748&lt;/_created&gt;&lt;_date&gt;2019-06-05&lt;/_date&gt;&lt;_db_updated&gt;CNKI - Reference&lt;/_db_updated&gt;&lt;_issue&gt;11&lt;/_issue&gt;&lt;_journal&gt;中国电机工程学报&lt;/_journal&gt;&lt;_keywords&gt;交直流混联电网;连锁故障;脆弱性;控制;保护&lt;/_keywords&gt;&lt;_modified&gt;64646995&lt;/_modified&gt;&lt;_pages&gt;3107-3119&lt;/_pages&gt;&lt;_tertiary_title&gt;Proceedings of the CSEE&lt;/_tertiary_title&gt;&lt;_translated_author&gt;DONG, Xinzhou; TANG, Yong; BU, Guangquan; SHEN, Chen; SONG, Guobing; WANG, Zengping; GAN, Deqiang; HOU, Junxian; WANG, Bin&lt;/_translated_author&gt;&lt;_translated_title&gt;Confronting Problem and Challenge of Large Scale AC-DC Hybrid Power Grid Operation&lt;/_translated_title&gt;&lt;_url&gt;https://kns.cnki.net/kcms/detail/detail.aspx?FileName=ZGDC201911001&amp;amp;DbName=DKFX2019 _x000d__x000a_https://bar.cnki.net/bar/download/order?id=jBGETXBNdPImvx70aLAuJPYxPoFw%2bp%2bi0fIiSrcN6lXQ4Y2TeZ8VM%2fyOd0Mtu%2fXcdIHL2Cy%2blkEQPNV7Ymeogaly%2bcoaUbxKfbohfVkk2oLl8E%2bCUVp5GtDTYhVF2dNUoJeGx62Ssygg68TNXJ%2b5JrigejDAar8Xqw%2f6WR22OFXUdUGh4At8VBYSvh%2fCUD5a%2b6OiRMvnGtVjym54TKi0AGjrjiUA1i7Br0HLYwF%2fecz5LXYX1qwFXwOc1HUZT%2bTB _x000d__x000a_&lt;/_url&gt;&lt;_volume&gt;39&lt;/_volume&gt;&lt;/Details&gt;&lt;Extra&gt;&lt;DBUID&gt;{6891F4B0-DCBA-459A-9A22-3059983243D4}&lt;/DBUID&gt;&lt;/Extra&gt;&lt;/Item&gt;&lt;/References&gt;&lt;/Group&gt;&lt;/Citation&gt;_x000a_"/>
    <w:docVar w:name="NE.Ref{101C307E-C2E0-4DFD-8E7C-171CD7736AEB}" w:val=" ADDIN NE.Ref.{101C307E-C2E0-4DFD-8E7C-171CD7736AEB}&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10462AF0-5898-4A62-999C-4F28D8A3490A}" w:val=" ADDIN NE.Ref.{10462AF0-5898-4A62-999C-4F28D8A3490A}&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10764401-53BB-4538-BA8D-1E4F723C18BA}" w:val=" ADDIN NE.Ref.{10764401-53BB-4538-BA8D-1E4F723C18B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0D89223-C23A-4235-9F26-1A47A3EF3E1F}" w:val=" ADDIN NE.Ref.{10D89223-C23A-4235-9F26-1A47A3EF3E1F}&lt;Citation&gt;&lt;Group&gt;&lt;References&gt;&lt;Item&gt;&lt;ID&gt;112&lt;/ID&gt;&lt;UID&gt;{700839D0-A398-47C8-899D-467ADDEAB81F}&lt;/UID&gt;&lt;Title&gt;基于集合经验模态分解的风电混合储能系统能量管理协调控制策略&lt;/Title&gt;&lt;Template&gt;Journal Article&lt;/Template&gt;&lt;Star&gt;0&lt;/Star&gt;&lt;Tag&gt;0&lt;/Tag&gt;&lt;Author&gt;付菊霞; 陈洁; 滕扬新; 邓浩; 孙泽伦&lt;/Author&gt;&lt;Year&gt;2019&lt;/Year&gt;&lt;Details&gt;&lt;_accessed&gt;64303983&lt;/_accessed&gt;&lt;_author_aff&gt;新疆大学电气工程学院;新疆电力有限公司电力科学研究院;&lt;/_author_aff&gt;&lt;_cited_count&gt;34&lt;/_cited_count&gt;&lt;_collection_scope&gt;CSCD;PKU;EI&lt;/_collection_scope&gt;&lt;_created&gt;64303983&lt;/_created&gt;&lt;_date&gt;62697600&lt;/_date&gt;&lt;_db_updated&gt;CNKI - Reference&lt;/_db_updated&gt;&lt;_issue&gt;10&lt;/_issue&gt;&lt;_journal&gt;电工技术学报&lt;/_journal&gt;&lt;_keywords&gt;风电;储能;集合经验模态分解;多时间尺度;能量管理&lt;/_keywords&gt;&lt;_language&gt;Chinese&lt;/_language&gt;&lt;_modified&gt;64303983&lt;/_modified&gt;&lt;_pages&gt;2038-2046&lt;/_pages&gt;&lt;_url&gt;https://kns.cnki.net/kcms/detail/detail.aspx?FileName=DGJS201910006&amp;amp;DbName=CJFQ2019&lt;/_url&gt;&lt;_volume&gt;34&lt;/_volume&gt;&lt;_translated_author&gt;Fu, Juxia;Chen, Jie;Teng, Yangxin;Deng, Hao;Sun, Zelun&lt;/_translated_author&gt;&lt;/Details&gt;&lt;Extra&gt;&lt;DBUID&gt;{560D5FFD-5A46-4EB8-859B-FD657304A42E}&lt;/DBUID&gt;&lt;/Extra&gt;&lt;/Item&gt;&lt;/References&gt;&lt;/Group&gt;&lt;/Citation&gt;_x000a_"/>
    <w:docVar w:name="NE.Ref{118C9BAB-1070-4059-96C1-FA5946E6F697}" w:val=" ADDIN NE.Ref.{118C9BAB-1070-4059-96C1-FA5946E6F697}&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727215&lt;/_accessed&gt;&lt;_created&gt;63459198&lt;/_created&gt;&lt;_date&gt;54169920&lt;/_date&gt;&lt;_modified&gt;63519030&lt;/_modified&gt;&lt;_pages&gt;51-56&lt;/_pages&gt;&lt;_secondary_title&gt; Proc. Int. Conf. Power Syst. Technol&lt;/_secondary_title&gt;&lt;_url&gt;https://ieeexplore.ieee.org/stampPDF/getPDF.jsp?tp=&amp;amp;arnumber=1053503&amp;amp;ref=aHR0cHM6Ly9pZWVleHBsb3JlLmllZWUub3JnL3Jlc3Qvc2VhcmNo _x000d__x000a_&lt;/_url&gt;&lt;_volume&gt;1&lt;/_volume&gt;&lt;/Details&gt;&lt;Extra&gt;&lt;DBUID&gt;{6891F4B0-DCBA-459A-9A22-3059983243D4}&lt;/DBUID&gt;&lt;/Extra&gt;&lt;/Item&gt;&lt;/References&gt;&lt;/Group&gt;&lt;Group&gt;&lt;References&gt;&lt;Item&gt;&lt;ID&gt;657&lt;/ID&gt;&lt;UID&gt;{7C781F13-0558-4108-9D13-130B40CAEC23}&lt;/UID&gt;&lt;Title&gt;基于正余弦分量检测的高压直流换相失败预防方法&lt;/Title&gt;&lt;Template&gt;Journal Article&lt;/Template&gt;&lt;Star&gt;0&lt;/Star&gt;&lt;Tag&gt;0&lt;/Tag&gt;&lt;Author&gt;陈树勇; 李新年; 余军; 李涛; 吕鹏飞; 印永华&lt;/Author&gt;&lt;Year&gt;2005&lt;/Year&gt;&lt;Details&gt;&lt;_accessed&gt;63444722&lt;/_accessed&gt;&lt;_accession_num&gt;CSCD:2109837_x000d__x000a_ER&lt;/_accession_num&gt;&lt;_cited_count&gt;4&lt;/_cited_count&gt;&lt;_collection_scope&gt;CSCD;PKU;EI&lt;/_collection_scope&gt;&lt;_created&gt;63444588&lt;/_created&gt;&lt;_date_display&gt;2005, 2005&lt;/_date_display&gt;&lt;_db_provider&gt;ISI&lt;/_db_provider&gt;&lt;_isbn&gt;0258-8013&lt;/_isbn&gt;&lt;_issue&gt;0258-8013(2005)25:14&amp;lt;1:JYZTXF&amp;gt;2.0.TX;2-D14&lt;/_issue&gt;&lt;_journal&gt;中国电机工程学报&lt;/_journal&gt;&lt;_modified&gt;63444723&lt;/_modified&gt;&lt;_pages&gt;1-6&lt;/_pages&gt;&lt;_tertiary_title&gt;Proceedings of the Chinese Society of Electrical Engineering&lt;/_tertiary_title&gt;&lt;_translated_author&gt;Chen, Shuyong; Li, Xinnian; Yu, Jun; Li, Tao; Lv, Pengfei; Yin, Yonghua&lt;/_translated_author&gt;&lt;_translated_title&gt;A METHOD BASED ON THE SIN-COS COMPONENTS DETECTION MITIGATES COMMUTATION FAILURE IN HVDC &lt;/_translated_title&gt;&lt;_url&gt;CSCD:2109837 _x000d__x000a_https://kns.cnki.net/kns/download.aspx?filename=MFjMqtWb0EzdjBVaCBVRCBTOth1cURUWrVlYiRDN08Cdn9CRz00MLdTQNNFZspUdQpUU5UHbxJ0bSdUZyBlehNHeXJ1cGVEaWFXO2g2UYdEMoFldIp0bpJzZjJzb1JHMSJ1N0Fkd19mZ4ETT5YEUwklWNJXNGl3R&amp;amp;tablename=CJFD2005&amp;amp;dflag=pdfdown _x000d__x000a_&lt;/_url&gt;&lt;_volume&gt;25&lt;/_volume&gt;&lt;/Details&gt;&lt;Extra&gt;&lt;DBUID&gt;{6891F4B0-DCBA-459A-9A22-3059983243D4}&lt;/DBUID&gt;&lt;/Extra&gt;&lt;/Item&gt;&lt;/References&gt;&lt;/Group&gt;&lt;/Citation&gt;_x000a_"/>
    <w:docVar w:name="NE.Ref{119675F6-7BA5-4CBD-9808-3A995BA0B600}" w:val=" ADDIN NE.Ref.{119675F6-7BA5-4CBD-9808-3A995BA0B600}&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12649A06-561F-450B-A063-980E1C5CA7F8}" w:val=" ADDIN NE.Ref.{12649A06-561F-450B-A063-980E1C5CA7F8}&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12A92467-7397-4BE9-9097-A68414D3A772}" w:val=" ADDIN NE.Ref.{12A92467-7397-4BE9-9097-A68414D3A772}&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Citation&gt;_x000a_"/>
    <w:docVar w:name="NE.Ref{12C3841F-F5EC-4EAB-9E60-4C4142FAB4F1}" w:val=" ADDIN NE.Ref.{12C3841F-F5EC-4EAB-9E60-4C4142FAB4F1}&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12DCF322-02D7-460C-8C63-B1DA3F061A97}" w:val=" ADDIN NE.Ref.{12DCF322-02D7-460C-8C63-B1DA3F061A97}&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135D6546-212D-454D-A3A4-FC6704228F72}" w:val=" ADDIN NE.Ref.{135D6546-212D-454D-A3A4-FC6704228F72}&lt;Citation&gt;&lt;Group&gt;&lt;References&gt;&lt;Item&gt;&lt;ID&gt;714&lt;/ID&gt;&lt;UID&gt;{592FD0EF-6DA2-4704-B9B1-2D2BBD78E620}&lt;/UID&gt;&lt;Title&gt;云广直流孤岛运行“5·26”双极闭锁原因分析及改进措施&lt;/Title&gt;&lt;Template&gt;Journal Article&lt;/Template&gt;&lt;Star&gt;0&lt;/Star&gt;&lt;Tag&gt;0&lt;/Tag&gt;&lt;Author&gt;陈亦平; 陈磊; 叶骏; 侯君; 张尧; 杨仲超&lt;/Author&gt;&lt;Year&gt;2014&lt;/Year&gt;&lt;Details&gt;&lt;_author_aff&gt;华南理工大学电力学院;中国南方电网电力调度控制中心;清华大学电机工程与应用电子技术系;&lt;/_author_aff&gt;&lt;_date&gt;2014-04-25&lt;/_date&gt;&lt;_db_provider&gt;CNKI: 期刊&lt;/_db_provider&gt;&lt;_issue&gt;08&lt;/_issue&gt;&lt;_journal&gt;电力系统自动化&lt;/_journal&gt;&lt;_keywords&gt;高压直流输电;孤岛运行;双极闭锁;过电压;广域电力系统稳定器;高压侧电压控制&lt;/_keywords&gt;&lt;_pages&gt;129-135&lt;/_pages&gt;&lt;_url&gt;http://kns.cnki.net/KCMS/detail/detail.aspx?FileName=DLXT201408024&amp;amp;DbName=CJFQ2014&lt;/_url&gt;&lt;_volume&gt;38&lt;/_volume&gt;&lt;_created&gt;63727863&lt;/_created&gt;&lt;_modified&gt;63727863&lt;/_modified&gt;&lt;_db_updated&gt;CNKI - Reference&lt;/_db_updated&gt;&lt;_collection_scope&gt;CSCD;PKU;EI&lt;/_collection_scope&gt;&lt;_translated_author&gt;Chen, Yiping;Chen, Lei;Ye, Jun;Hou, Jun;Zhang, Yao;Yang, Zhongchao&lt;/_translated_author&gt;&lt;/Details&gt;&lt;Extra&gt;&lt;DBUID&gt;{6891F4B0-DCBA-459A-9A22-3059983243D4}&lt;/DBUID&gt;&lt;/Extra&gt;&lt;/Item&gt;&lt;/References&gt;&lt;/Group&gt;&lt;Group&gt;&lt;References&gt;&lt;Item&gt;&lt;ID&gt;715&lt;/ID&gt;&lt;UID&gt;{68ED593E-F1FA-42D0-8A14-35877AE45BAA}&lt;/UID&gt;&lt;Title&gt;高压直流输电非典型工况下过电压异常风险分析&lt;/Title&gt;&lt;Template&gt;Journal Article&lt;/Template&gt;&lt;Star&gt;0&lt;/Star&gt;&lt;Tag&gt;0&lt;/Tag&gt;&lt;Author&gt;贺静波; 万磊; 霍超; 常青&lt;/Author&gt;&lt;Year&gt;2014&lt;/Year&gt;&lt;Details&gt;&lt;_author_aff&gt;国家电力调度控制中心;中国电力科学研究院;西北电力调控分中心;&lt;/_author_aff&gt;&lt;_date&gt;2014-12-05&lt;/_date&gt;&lt;_db_provider&gt;CNKI: 期刊&lt;/_db_provider&gt;&lt;_issue&gt;12&lt;/_issue&gt;&lt;_journal&gt;电网技术&lt;/_journal&gt;&lt;_keywords&gt;直流输电;过电压;非典型工况;交直流电网&lt;/_keywords&gt;&lt;_pages&gt;3459-3463&lt;/_pages&gt;&lt;_url&gt;http://kns.cnki.net/KCMS/detail/detail.aspx?FileName=DWJS201412031&amp;amp;DbName=CJFQ2014&lt;/_url&gt;&lt;_volume&gt;38&lt;/_volume&gt;&lt;_created&gt;63727864&lt;/_created&gt;&lt;_modified&gt;63727864&lt;/_modified&gt;&lt;_db_updated&gt;CNKI - Reference&lt;/_db_updated&gt;&lt;_collection_scope&gt;CSCD;PKU;EI&lt;/_collection_scope&gt;&lt;_translated_author&gt;He, Jingbo;Wan, Lei;Huo, Chao;Chang, Qing&lt;/_translated_author&gt;&lt;/Details&gt;&lt;Extra&gt;&lt;DBUID&gt;{6891F4B0-DCBA-459A-9A22-3059983243D4}&lt;/DBUID&gt;&lt;/Extra&gt;&lt;/Item&gt;&lt;/References&gt;&lt;/Group&gt;&lt;Group&gt;&lt;References&gt;&lt;Item&gt;&lt;ID&gt;717&lt;/ID&gt;&lt;UID&gt;{EDFF736A-2C37-4612-BB82-E3EFFF9D00DC}&lt;/UID&gt;&lt;Title&gt;抑制云广特高压直流孤岛运行甩负荷过电压的控制逻辑优化研究&lt;/Title&gt;&lt;Template&gt;Journal Article&lt;/Template&gt;&lt;Star&gt;0&lt;/Star&gt;&lt;Tag&gt;0&lt;/Tag&gt;&lt;Author&gt;李伟; 肖湘宁; 郭琦&lt;/Author&gt;&lt;Year&gt;2017&lt;/Year&gt;&lt;Details&gt;&lt;_author_aff&gt;新能源电力系统国家重点实验室(华北电力大学);南方电网科学研究院;&lt;/_author_aff&gt;&lt;_date&gt;2016-08-16&lt;/_date&gt;&lt;_db_provider&gt;CNKI: 期刊&lt;/_db_provider&gt;&lt;_issue&gt;05&lt;/_issue&gt;&lt;_journal&gt;中国电机工程学报&lt;/_journal&gt;&lt;_keywords&gt;特高压直流;过电压;有效短路比;控制逻辑优化&lt;/_keywords&gt;&lt;_pages&gt;1373-1379&lt;/_pages&gt;&lt;_url&gt;http://kns.cnki.net/KCMS/detail/detail.aspx?FileName=ZGDC201705010&amp;amp;DbName=CJFQ2017&lt;/_url&gt;&lt;_volume&gt;37&lt;/_volume&gt;&lt;_created&gt;63727866&lt;/_created&gt;&lt;_modified&gt;63727866&lt;/_modified&gt;&lt;_db_updated&gt;CNKI - Reference&lt;/_db_updated&gt;&lt;_collection_scope&gt;CSCD;PKU;EI&lt;/_collection_scope&gt;&lt;_translated_author&gt;Li, Wei;Xiao, Xiangning;Guo, Qi&lt;/_translated_author&gt;&lt;/Details&gt;&lt;Extra&gt;&lt;DBUID&gt;{6891F4B0-DCBA-459A-9A22-3059983243D4}&lt;/DBUID&gt;&lt;/Extra&gt;&lt;/Item&gt;&lt;/References&gt;&lt;/Group&gt;&lt;/Citation&gt;_x000a_"/>
    <w:docVar w:name="NE.Ref{139A55B0-F69F-4C73-9E9D-640D02C94F20}" w:val=" ADDIN NE.Ref.{139A55B0-F69F-4C73-9E9D-640D02C94F20}&lt;Citation&gt;&lt;Group&gt;&lt;References&gt;&lt;Item&gt;&lt;ID&gt;719&lt;/ID&gt;&lt;UID&gt;{ED1206E4-A278-4C24-B8D0-474A0856FC6E}&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uthor_aff&gt;安徽省新能源利用与节能重点实验室(合肥工业大学);国网安徽省电力有限公司电力科学研究院;&lt;/_author_aff&gt;&lt;_date&gt;2018-01-12&lt;/_date&gt;&lt;_db_provider&gt;CNKI: 期刊&lt;/_db_provider&gt;&lt;_issue&gt;04&lt;/_issue&gt;&lt;_journal&gt;电网技术&lt;/_journal&gt;&lt;_keywords&gt;高压直流输电;双馈感应发电机;直流闭锁;高电压穿越;协调控制策略&lt;/_keywords&gt;&lt;_pages&gt;1086-1095&lt;/_pages&gt;&lt;_url&gt;http://kns.cnki.net/KCMS/detail/detail.aspx?FileName=DWJS201804010&amp;amp;DbName=DKFX2018&lt;/_url&gt;&lt;_volume&gt;42&lt;/_volume&gt;&lt;_created&gt;63727879&lt;/_created&gt;&lt;_modified&gt;63727879&lt;/_modified&gt;&lt;_db_updated&gt;CNKI - Reference&lt;/_db_updated&gt;&lt;_collection_scope&gt;CSCD;PKU;EI&lt;/_collection_scope&gt;&lt;_translated_author&gt;Han, Pingping;Zhang, Haitian;Ding, Ming;Zhang, Yan;Chen, Lingqi;Li, Binbin&lt;/_translated_author&gt;&lt;/Details&gt;&lt;Extra&gt;&lt;DBUID&gt;{6891F4B0-DCBA-459A-9A22-3059983243D4}&lt;/DBUID&gt;&lt;/Extra&gt;&lt;/Item&gt;&lt;/References&gt;&lt;/Group&gt;&lt;/Citation&gt;_x000a_"/>
    <w:docVar w:name="NE.Ref{147085EA-C8D7-433D-8EFA-0F522E4F2CF9}" w:val=" ADDIN NE.Ref.{147085EA-C8D7-433D-8EFA-0F522E4F2CF9}&lt;Citation&gt;&lt;Group&gt;&lt;References&gt;&lt;Item&gt;&lt;ID&gt;1030&lt;/ID&gt;&lt;UID&gt;{9760E630-CF18-48E6-9807-51F344E19841}&lt;/UID&gt;&lt;Title&gt;大容量直流发生功率大扰动时送端风机暂态过电压快速分析方法研究&lt;/Title&gt;&lt;Template&gt;Journal Article&lt;/Template&gt;&lt;Star&gt;0&lt;/Star&gt;&lt;Tag&gt;0&lt;/Tag&gt;&lt;Author&gt;曹生顺; 张文朝; 王蒙; 潘艳; 郭秋婷; 刘俊&lt;/Author&gt;&lt;Year&gt;2017&lt;/Year&gt;&lt;Details&gt;&lt;_author_aff&gt;西北电力调控分中心;南京南瑞集团公司;西安交通大学电气工程学院陕西省智能电网重点实验室;&lt;/_author_aff&gt;&lt;_cited_count&gt;38&lt;/_cited_count&gt;&lt;_date&gt;2017-10-13&lt;/_date&gt;&lt;_issue&gt;10&lt;/_issue&gt;&lt;_journal&gt;高电压技术&lt;/_journal&gt;&lt;_keywords&gt;大容量高压直流;风电机;功率大扰动;暂态过电压;单支路电压降;全微分灵敏度&lt;/_keywords&gt;&lt;_pages&gt;3300-3306&lt;/_pages&gt;&lt;_url&gt;https://kns.cnki.net/kcms/detail/detail.aspx?FileName=GDYJ201710021&amp;amp;DbName=CJFQ2017&lt;/_url&gt;&lt;_volume&gt;43&lt;/_volume&gt;&lt;_created&gt;64780424&lt;/_created&gt;&lt;_modified&gt;64780424&lt;/_modified&gt;&lt;_db_updated&gt;CNKI - Reference&lt;/_db_updated&gt;&lt;_collection_scope&gt;CSCD;PKU;EI&lt;/_collection_scope&gt;&lt;_translated_author&gt;Cao, Shengshun;Zhang, Wenchao;Wang, Meng;Pan, Yan;Guo, Qiuting;Liu, Jun&lt;/_translated_author&gt;&lt;/Details&gt;&lt;Extra&gt;&lt;DBUID&gt;{6891F4B0-DCBA-459A-9A22-3059983243D4}&lt;/DBUID&gt;&lt;/Extra&gt;&lt;/Item&gt;&lt;/References&gt;&lt;/Group&gt;&lt;/Citation&gt;_x000a_"/>
    <w:docVar w:name="NE.Ref{14BF8ED7-2CD8-4617-B3EA-EBF854D98D41}" w:val=" ADDIN NE.Ref.{14BF8ED7-2CD8-4617-B3EA-EBF854D98D41}&lt;Citation&gt;&lt;Group&gt;&lt;References&gt;&lt;Item&gt;&lt;ID&gt;58&lt;/ID&gt;&lt;UID&gt;{4198E63B-EBBE-40E3-AC43-01FAAFF5B6B2}&lt;/UID&gt;&lt;Title&gt;消纳大规模风电的鲁棒区间经济调度  (一)调度模式与数学模型&lt;/Title&gt;&lt;Template&gt;Journal Article&lt;/Template&gt;&lt;Star&gt;0&lt;/Star&gt;&lt;Tag&gt;0&lt;/Tag&gt;&lt;Author&gt;李志刚; 吴文传; 张伯明&lt;/Author&gt;&lt;Year&gt;2014&lt;/Year&gt;&lt;Details&gt;&lt;_accessed&gt;64355830&lt;/_accessed&gt;&lt;_author_aff&gt;清华大学电机工程与应用电子技术系;电力系统及发电设备控制与仿真国家重点实验室,清华大学;&lt;/_author_aff&gt;&lt;_cited_count&gt;115&lt;/_cited_count&gt;&lt;_collection_scope&gt;CSCD;PKU;EI&lt;/_collection_scope&gt;&lt;_created&gt;64102676&lt;/_created&gt;&lt;_date&gt;60386400&lt;/_date&gt;&lt;_db_updated&gt;CNKI - Reference&lt;/_db_updated&gt;&lt;_issue&gt;20&lt;/_issue&gt;&lt;_journal&gt;电力系统自动化&lt;/_journal&gt;&lt;_keywords&gt;经济调度;鲁棒优化;风力发电;预测区间;不确定性&lt;/_keywords&gt;&lt;_language&gt;Chinese&lt;/_language&gt;&lt;_modified&gt;64105503&lt;/_modified&gt;&lt;_pages&gt;33-39&lt;/_pages&gt;&lt;_url&gt;https://kns.cnki.net/kcms/detail/detail.aspx?FileName=DLXT201420006&amp;amp;DbName=CJFQ2014&lt;/_url&gt;&lt;_volume&gt;38&lt;/_volume&gt;&lt;_translated_author&gt;Li, Zhigang;Wu, Wenchuan;Zhang, Boming&lt;/_translated_author&gt;&lt;/Details&gt;&lt;Extra&gt;&lt;DBUID&gt;{560D5FFD-5A46-4EB8-859B-FD657304A42E}&lt;/DBUID&gt;&lt;/Extra&gt;&lt;/Item&gt;&lt;/References&gt;&lt;/Group&gt;&lt;Group&gt;&lt;References&gt;&lt;Item&gt;&lt;ID&gt;56&lt;/ID&gt;&lt;UID&gt;{64E36D0B-C2C1-49A9-A5C8-1D1826315601}&lt;/UID&gt;&lt;Title&gt;电力系统鲁棒经济调度  (一)理论基础&lt;/Title&gt;&lt;Template&gt;Journal Article&lt;/Template&gt;&lt;Star&gt;0&lt;/Star&gt;&lt;Tag&gt;0&lt;/Tag&gt;&lt;Author&gt;魏韡; 刘锋; 梅生伟&lt;/Author&gt;&lt;Year&gt;2013&lt;/Year&gt;&lt;Details&gt;&lt;_accessed&gt;64302517&lt;/_accessed&gt;&lt;_author_aff&gt;清华大学电机工程与应用电子技术系;电力系统及发电设备控制和仿真国家重点实验室,清华大学;&lt;/_author_aff&gt;&lt;_cited_count&gt;191&lt;/_cited_count&gt;&lt;_collection_scope&gt;CSCD;PKU;EI&lt;/_collection_scope&gt;&lt;_created&gt;64102676&lt;/_created&gt;&lt;_date&gt;59796000&lt;/_date&gt;&lt;_db_updated&gt;CNKI - Reference&lt;/_db_updated&gt;&lt;_issue&gt;17&lt;/_issue&gt;&lt;_journal&gt;电力系统自动化&lt;/_journal&gt;&lt;_keywords&gt;电力系统;鲁棒经济调度;新能源发电;两阶段零和博弈;不确定性&lt;/_keywords&gt;&lt;_language&gt;Chinese&lt;/_language&gt;&lt;_modified&gt;64105503&lt;/_modified&gt;&lt;_pages&gt;37-43&lt;/_pages&gt;&lt;_url&gt;https://kns.cnki.net/kcms/detail/detail.aspx?FileName=DLXT201317006&amp;amp;DbName=CJFQ2013&lt;/_url&gt;&lt;_volume&gt;37&lt;/_volume&gt;&lt;_translated_author&gt;Wei, Wei;Liu, Feng;Mei, Shengwei&lt;/_translated_author&gt;&lt;/Details&gt;&lt;Extra&gt;&lt;DBUID&gt;{560D5FFD-5A46-4EB8-859B-FD657304A42E}&lt;/DBUID&gt;&lt;/Extra&gt;&lt;/Item&gt;&lt;/References&gt;&lt;/Group&gt;&lt;/Citation&gt;_x000a_"/>
    <w:docVar w:name="NE.Ref{152CD81D-5F5F-4979-BF6E-76B247911D52}" w:val=" ADDIN NE.Ref.{152CD81D-5F5F-4979-BF6E-76B247911D52}&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483389&lt;/_accessed&gt;&lt;_created&gt;63459198&lt;/_created&gt;&lt;_date&gt;54169920&lt;/_date&gt;&lt;_modified&gt;63483389&lt;/_modified&gt;&lt;_pages&gt;51-56&lt;/_pages&gt;&lt;_secondary_title&gt; Proc. Int. Conf. Power Syst. Technol&lt;/_secondary_title&gt;&lt;_volume&gt;1&lt;/_volume&gt;&lt;/Details&gt;&lt;Extra&gt;&lt;DBUID&gt;{6891F4B0-DCBA-459A-9A22-3059983243D4}&lt;/DBUID&gt;&lt;/Extra&gt;&lt;/Item&gt;&lt;/References&gt;&lt;/Group&gt;&lt;/Citation&gt;_x000a_"/>
    <w:docVar w:name="NE.Ref{171ADE1B-381E-4663-AF43-AF73E6E65AAE}" w:val=" ADDIN NE.Ref.{171ADE1B-381E-4663-AF43-AF73E6E65AAE}&lt;Citation&gt;&lt;Group&gt;&lt;References&gt;&lt;Item&gt;&lt;ID&gt;872&lt;/ID&gt;&lt;UID&gt;{8493059F-66AC-4E08-BEFF-9648C7F4DE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4647189&lt;/_accessed&gt;&lt;_author_aff&gt;电力系统及发电设备控制和仿真国家重点实验室(清华大学电机系);电网安全与节能国家重点实验室(中国电力科学研究院有限公司);西安交通大学电气工程学院;华北电力大学电气工程学院;浙江大学电气工程学院;&lt;/_author_aff&gt;&lt;_cited_count&gt;147&lt;/_cited_count&gt;&lt;_collection_scope&gt;CSCD;PKU;EI&lt;/_collection_scope&gt;&lt;_created&gt;64646748&lt;/_created&gt;&lt;_date&gt;2019-06-05&lt;/_date&gt;&lt;_db_updated&gt;CNKI - Reference&lt;/_db_updated&gt;&lt;_issue&gt;11&lt;/_issue&gt;&lt;_journal&gt;中国电机工程学报&lt;/_journal&gt;&lt;_keywords&gt;交直流混联电网;连锁故障;脆弱性;控制;保护&lt;/_keywords&gt;&lt;_modified&gt;64646995&lt;/_modified&gt;&lt;_pages&gt;3107-3119&lt;/_pages&gt;&lt;_tertiary_title&gt;Proceedings of the CSEE&lt;/_tertiary_title&gt;&lt;_translated_author&gt;DONG, Xinzhou; TANG, Yong; BU, Guangquan; SHEN, Chen; SONG, Guobing; WANG, Zengping; GAN, Deqiang; HOU, Junxian; WANG, Bin&lt;/_translated_author&gt;&lt;_translated_title&gt;Confronting Problem and Challenge of Large Scale AC-DC Hybrid Power Grid Operation&lt;/_translated_title&gt;&lt;_url&gt;https://kns.cnki.net/kcms/detail/detail.aspx?FileName=ZGDC201911001&amp;amp;DbName=DKFX2019 _x000d__x000a_https://bar.cnki.net/bar/download/order?id=jBGETXBNdPImvx70aLAuJPYxPoFw%2bp%2bi0fIiSrcN6lXQ4Y2TeZ8VM%2fyOd0Mtu%2fXcdIHL2Cy%2blkEQPNV7Ymeogaly%2bcoaUbxKfbohfVkk2oLl8E%2bCUVp5GtDTYhVF2dNUoJeGx62Ssygg68TNXJ%2b5JrigejDAar8Xqw%2f6WR22OFXUdUGh4At8VBYSvh%2fCUD5a%2b6OiRMvnGtVjym54TKi0AGjrjiUA1i7Br0HLYwF%2fecz5LXYX1qwFXwOc1HUZT%2bTB _x000d__x000a_&lt;/_url&gt;&lt;_volume&gt;39&lt;/_volum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5.659&lt;/_impact_factor&gt;&lt;_isbn&gt;0142-0615&lt;/_isbn&gt;&lt;_issue&gt;UNSP 105492&lt;/_issue&gt;&lt;_journal&gt;INTERNATIONAL JOURNAL OF ELECTRICAL POWER &amp;amp; ENERGY SYSTEMS&lt;/_journal&gt;&lt;_modified&gt;64498617&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187C4515-8663-48ED-9513-A5F7AAFAABC3}" w:val=" ADDIN NE.Ref.{187C4515-8663-48ED-9513-A5F7AAFAABC3}&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1889CF32-FFD6-4AFB-AAAE-F4F46D2E227B}" w:val=" ADDIN NE.Ref.{1889CF32-FFD6-4AFB-AAAE-F4F46D2E227B}&lt;Citation&gt;&lt;Group&gt;&lt;References&gt;&lt;Item&gt;&lt;ID&gt;658&lt;/ID&gt;&lt;UID&gt;{3B10B1CC-9A41-4FD8-B5E3-B5BABB4A543F}&lt;/UID&gt;&lt;Title&gt;促进新能源消纳的自备电厂参与替代交易风险管理研究&lt;/Title&gt;&lt;Template&gt;Journal Article&lt;/Template&gt;&lt;Star&gt;0&lt;/Star&gt;&lt;Tag&gt;0&lt;/Tag&gt;&lt;Author&gt;李东波; 李凤婷; 宋学强; 张新伟; 陈伟伟&lt;/Author&gt;&lt;Year&gt;2019&lt;/Year&gt;&lt;Details&gt;&lt;_author_adr&gt;新疆大学电气工程学院;新疆电力交易中心有限公司;国网新疆电力有限公司经济技术研究院;&lt;/_author_adr&gt;&lt;_db_provider&gt;CNKI&lt;/_db_provider&gt;&lt;_isbn&gt;1674-3415&lt;/_isbn&gt;&lt;_issue&gt;11&lt;/_issue&gt;&lt;_journal&gt;电力系统保护与控制&lt;/_journal&gt;&lt;_keywords&gt;自备电厂;替代交易;CVaR;风险管理;电量分配&lt;/_keywords&gt;&lt;_pages&gt;30-36&lt;/_pages&gt;&lt;_volume&gt;47&lt;/_volume&gt;&lt;_created&gt;63705641&lt;/_created&gt;&lt;_modified&gt;63705641&lt;/_modified&gt;&lt;_collection_scope&gt;CSCD;PKU&lt;/_collection_scope&gt;&lt;_translated_author&gt;Li, Dongbo;Li, Fengting;Song, Xueqiang;Zhang, Xinwei;Chen, Weiwei&lt;/_translated_author&gt;&lt;/Details&gt;&lt;Extra&gt;&lt;DBUID&gt;{F96A950B-833F-4880-A151-76DA2D6A2879}&lt;/DBUID&gt;&lt;/Extra&gt;&lt;/Item&gt;&lt;/References&gt;&lt;/Group&gt;&lt;/Citation&gt;_x000a_"/>
    <w:docVar w:name="NE.Ref{18AEA739-5C8B-4052-B71C-0D61761890FA}" w:val=" ADDIN NE.Ref.{18AEA739-5C8B-4052-B71C-0D61761890FA}&lt;Citation&gt;&lt;Group&gt;&lt;References&gt;&lt;Item&gt;&lt;ID&gt;587&lt;/ID&gt;&lt;UID&gt;{F1A164E8-5228-4DBB-ABC1-38280DDBF38D}&lt;/UID&gt;&lt;Title&gt;Multi-Objective Optimization of Vehicle Passive Suspension System Using NSGA-II, SPEA2 and PESA-II&lt;/Title&gt;&lt;Template&gt;Journal Article&lt;/Template&gt;&lt;Star&gt;0&lt;/Star&gt;&lt;Tag&gt;0&lt;/Tag&gt;&lt;Author&gt;Gadhvi, Bhargav; Savsani, Vimal; Patel, Vivek&lt;/Author&gt;&lt;Year&gt;2016&lt;/Year&gt;&lt;Details&gt;&lt;_created&gt;63704967&lt;/_created&gt;&lt;_journal&gt;Procedia Technology&lt;/_journal&gt;&lt;_modified&gt;63704967&lt;/_modified&gt;&lt;_pages&gt;361-368&lt;/_pages&gt;&lt;_volume&gt;23&lt;/_volume&gt;&lt;/Details&gt;&lt;Extra&gt;&lt;DBUID&gt;{F96A950B-833F-4880-A151-76DA2D6A2879}&lt;/DBUID&gt;&lt;/Extra&gt;&lt;/Item&gt;&lt;/References&gt;&lt;/Group&gt;&lt;/Citation&gt;_x000a_"/>
    <w:docVar w:name="NE.Ref{18D4874F-BF42-4B15-9578-57EC39E54460}" w:val=" ADDIN NE.Ref.{18D4874F-BF42-4B15-9578-57EC39E54460}&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18D56333-EFE3-44AC-8670-BC0EFB1C8496}" w:val=" ADDIN NE.Ref.{18D56333-EFE3-44AC-8670-BC0EFB1C8496}&lt;Citation&gt;&lt;Group&gt;&lt;References&gt;&lt;Item&gt;&lt;ID&gt;55&lt;/ID&gt;&lt;UID&gt;{E181186B-FDF5-4274-AA34-1E00970AE084}&lt;/UID&gt;&lt;Title&gt;鲁棒优化在电力系统发电计划中的应用综述&lt;/Title&gt;&lt;Template&gt;Journal Article&lt;/Template&gt;&lt;Star&gt;1&lt;/Star&gt;&lt;Tag&gt;0&lt;/Tag&gt;&lt;Author&gt;朱光远; 林济铿; 罗治强; 戴赛; 覃岭; 刘纯&lt;/Author&gt;&lt;Year&gt;2017&lt;/Year&gt;&lt;Details&gt;&lt;_accessed&gt;64320414&lt;/_accessed&gt;&lt;_author_aff&gt;同济大学电子与信息工程学院;国家电网公司国家电力调度控制中心;中国电力科学研究院;智能电网教育部重点实验室(天津大学);新能源与储能运行控制国家重点实验室(中国电力科学研究院);&lt;/_author_aff&gt;&lt;_cited_count&gt;55&lt;/_cited_count&gt;&lt;_collection_scope&gt;CSCD;PKU;EI&lt;/_collection_scope&gt;&lt;_created&gt;64100010&lt;/_created&gt;&lt;_date&gt;61604640&lt;/_date&gt;&lt;_db_updated&gt;CNKI - Reference&lt;/_db_updated&gt;&lt;_issue&gt;20&lt;/_issue&gt;&lt;_journal&gt;中国电机工程学报&lt;/_journal&gt;&lt;_keywords&gt;不确定性;鲁棒优化;发电计划;应用实例&lt;/_keywords&gt;&lt;_language&gt;Chinese&lt;/_language&gt;&lt;_modified&gt;64105501&lt;/_modified&gt;&lt;_pages&gt;5881-5892&lt;/_pages&gt;&lt;_url&gt;https://kns.cnki.net/kcms/detail/detail.aspx?FileName=ZGDC201720007&amp;amp;DbName=CJFQ2017&lt;/_url&gt;&lt;_volume&gt;37&lt;/_volume&gt;&lt;_translated_author&gt;Zhu, Guangyuan;Lin, Jikeng;Luo, Zhiqiang;Dai, Sai;Tan, Ling;Liu, Chun&lt;/_translated_author&gt;&lt;/Details&gt;&lt;Extra&gt;&lt;DBUID&gt;{560D5FFD-5A46-4EB8-859B-FD657304A42E}&lt;/DBUID&gt;&lt;/Extra&gt;&lt;/Item&gt;&lt;/References&gt;&lt;/Group&gt;&lt;/Citation&gt;_x000a_"/>
    <w:docVar w:name="NE.Ref{18E74003-A569-40B1-916C-C9F36B397E5C}" w:val=" ADDIN NE.Ref.{18E74003-A569-40B1-916C-C9F36B397E5C}&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19181530-95FF-4304-AC6C-8079C034EAA3}" w:val=" ADDIN NE.Ref.{19181530-95FF-4304-AC6C-8079C034EAA3}&lt;Citation&gt;&lt;Group&gt;&lt;References&gt;&lt;Item&gt;&lt;ID&gt;588&lt;/ID&gt;&lt;UID&gt;{518E78E1-6B30-4DCB-8DDE-D341CF7F52EC}&lt;/UID&gt;&lt;Title&gt;A DC Current Predictive Control Based Method to Decrease Probability of Commutation Failure&lt;/Title&gt;&lt;Template&gt;Journal Article&lt;/Template&gt;&lt;Star&gt;0&lt;/Star&gt;&lt;Tag&gt;0&lt;/Tag&gt;&lt;Author&gt;Yuan, Yang; Wei, Zhinong; Wang, Huawei; Lei, Xiao; Sun, Guoqiang&lt;/Author&gt;&lt;Year&gt;2014&lt;/Year&gt;&lt;Details&gt;&lt;_accessed&gt;6345916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Power System Technology&lt;/_journal&gt;&lt;_modified&gt;63459162&lt;/_modified&gt;&lt;_pages&gt;565-570&lt;/_pages&gt;&lt;_tertiary_title&gt;电网技术&lt;/_tertiary_title&gt;&lt;_translated_author&gt;袁阳; 卫志农; 王华伟; 雷霄; 孙国强&lt;/_translated_author&gt;&lt;_translated_title&gt;基于直流电流预测控制的换相失败预防方法&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Group&gt;&lt;References&gt;&lt;Item&gt;&lt;ID&gt;548&lt;/ID&gt;&lt;UID&gt;{C0907E84-67C3-4283-9572-A4940828D70D}&lt;/UID&gt;&lt;Title&gt;Power Component Fault Detection Method and Improved Current Order Limiter Control for Commutation Failure Mitigation in HVDC&lt;/Title&gt;&lt;Template&gt;Journal Article&lt;/Template&gt;&lt;Star&gt;0&lt;/Star&gt;&lt;Tag&gt;0&lt;/Tag&gt;&lt;Author&gt;Guo, Chunyi; Liu, Yuchao; Zhao, Chengyong; Wei, Xiaoguang; Xu, Weihua&lt;/Author&gt;&lt;Year&gt;2015&lt;/Year&gt;&lt;Details&gt;&lt;_accessed&gt;63445910&lt;/_accessed&gt;&lt;_accession_num&gt;WOS:000355255700063_x000d__x000a_ER&lt;/_accession_num&gt;&lt;_cited_count&gt;31&lt;/_cited_count&gt;&lt;_collection_scope&gt;SCI;SCIE;EI&lt;/_collection_scope&gt;&lt;_created&gt;63444588&lt;/_created&gt;&lt;_date_display&gt;2015, JUN 2015&lt;/_date_display&gt;&lt;_db_provider&gt;ISI&lt;/_db_provider&gt;&lt;_doi&gt;10.1109/TPWRD.2015.2411997&lt;/_doi&gt;&lt;_impact_factor&gt;   3.681&lt;/_impact_factor&gt;&lt;_isbn&gt;0885-8977&lt;/_isbn&gt;&lt;_issue&gt;3&lt;/_issue&gt;&lt;_journal&gt;IEEE TRANSACTIONS ON POWER DELIVERY&lt;/_journal&gt;&lt;_modified&gt;63453156&lt;/_modified&gt;&lt;_pages&gt;1585-1593&lt;/_pages&gt;&lt;_url&gt;http://gateway.isiknowledge.com/gateway/Gateway.cgi?GWVersion=2&amp;amp;SrcAuth=AegeanSoftware&amp;amp;SrcApp=NoteExpress&amp;amp;DestLinkType=FullRecord&amp;amp;DestApp=WOS&amp;amp;KeyUT=000355255700063 _x000d__x000a_https://ieeexplore.ieee.org/stampPDF/getPDF.jsp?tp=&amp;amp;arnumber=7066954&amp;amp;ref=aHR0cHM6Ly9pZWVleHBsb3JlLmllZWUub3JnL3Jlc3Qvc2VhcmNo _x000d__x000a_&lt;/_url&gt;&lt;_volume&gt;30&lt;/_volume&gt;&lt;/Details&gt;&lt;Extra&gt;&lt;DBUID&gt;{6891F4B0-DCBA-459A-9A22-3059983243D4}&lt;/DBUID&gt;&lt;/Extra&gt;&lt;/Item&gt;&lt;/References&gt;&lt;/Group&gt;&lt;Group&gt;&lt;References&gt;&lt;Item&gt;&lt;ID&gt;515&lt;/ID&gt;&lt;UID&gt;{2ABECC43-FED5-4280-AD39-8839BF09F706}&lt;/UID&gt;&lt;Title&gt;An Algorithm for Effective Mitigation of Commutation Failure in High-Voltage Direct-Current Systems&lt;/Title&gt;&lt;Template&gt;Journal Article&lt;/Template&gt;&lt;Star&gt;0&lt;/Star&gt;&lt;Tag&gt;0&lt;/Tag&gt;&lt;Author&gt;Son, Ho-Ik; Kim, Hak-Man&lt;/Author&gt;&lt;Year&gt;2016&lt;/Year&gt;&lt;Details&gt;&lt;_accessed&gt;63445919&lt;/_accessed&gt;&lt;_accession_num&gt;WOS:000380334700004_x000d__x000a_ER&lt;/_accession_num&gt;&lt;_cited_count&gt;25&lt;/_cited_count&gt;&lt;_collection_scope&gt;SCI;SCIE;EI&lt;/_collection_scope&gt;&lt;_created&gt;63444588&lt;/_created&gt;&lt;_date_display&gt;2016, AUG 2016&lt;/_date_display&gt;&lt;_db_provider&gt;ISI&lt;/_db_provider&gt;&lt;_doi&gt;10.1109/TPWRD.2016.2520928&lt;/_doi&gt;&lt;_impact_factor&gt;   3.681&lt;/_impact_factor&gt;&lt;_isbn&gt;0885-8977&lt;/_isbn&gt;&lt;_issue&gt;4&lt;/_issue&gt;&lt;_journal&gt;IEEE TRANSACTIONS ON POWER DELIVERY&lt;/_journal&gt;&lt;_modified&gt;63446133&lt;/_modified&gt;&lt;_pages&gt;1437-1446&lt;/_pages&gt;&lt;_url&gt;http://gateway.isiknowledge.com/gateway/Gateway.cgi?GWVersion=2&amp;amp;SrcAuth=AegeanSoftware&amp;amp;SrcApp=NoteExpress&amp;amp;DestLinkType=FullRecord&amp;amp;DestApp=WOS&amp;amp;KeyUT=000380334700004 _x000d__x000a_https://ieeexplore.ieee.org/stampPDF/getPDF.jsp?tp=&amp;amp;arnumber=7401120&amp;amp;ref=aHR0cHM6Ly9pZWVleHBsb3JlLmllZWUub3JnL3Jlc3Qvc2VhcmNo _x000d__x000a_&lt;/_url&gt;&lt;_volume&gt;31&lt;/_volume&gt;&lt;/Details&gt;&lt;Extra&gt;&lt;DBUID&gt;{6891F4B0-DCBA-459A-9A22-3059983243D4}&lt;/DBUID&gt;&lt;/Extra&gt;&lt;/Item&gt;&lt;/References&gt;&lt;/Group&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672&lt;/_impact_factor&gt;&lt;_isbn&gt;1755-4535&lt;/_isbn&gt;&lt;_issue&gt;2&lt;/_issue&gt;&lt;_journal&gt;IET POWER ELECTRONICS&lt;/_journal&gt;&lt;_modified&gt;63446049&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3.681&lt;/_impact_factor&gt;&lt;_isbn&gt;0885-8977&lt;/_isbn&gt;&lt;_issue&gt;5&lt;/_issue&gt;&lt;_journal&gt;IEEE TRANSACTIONS ON POWER DELIVERY&lt;/_journal&gt;&lt;_modified&gt;63446045&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Group&gt;&lt;References&gt;&lt;Item&gt;&lt;ID&gt;367&lt;/ID&gt;&lt;UID&gt;{A1FE966F-8ADA-4AD7-950B-63C40F5C303B}&lt;/UID&gt;&lt;Title&gt;An Integrated Control and Protection Scheme to Inhibit Blackouts Caused by Cascading Fault in Large-Scale Hybrid AC/DC Power Grids&lt;/Title&gt;&lt;Template&gt;Journal Article&lt;/Template&gt;&lt;Star&gt;0&lt;/Star&gt;&lt;Tag&gt;0&lt;/Tag&gt;&lt;Author&gt;Mirsaeidi, Sohrab; Dong, Xinzhou&lt;/Author&gt;&lt;Year&gt;2019&lt;/Year&gt;&lt;Details&gt;&lt;_accessed&gt;63480657&lt;/_accessed&gt;&lt;_accession_num&gt;WOS:000469912200019_x000d__x000a_ER&lt;/_accession_num&gt;&lt;_cited_count&gt;1&lt;/_cited_count&gt;&lt;_collection_scope&gt;SCI;SCIE;EI&lt;/_collection_scope&gt;&lt;_created&gt;63444588&lt;/_created&gt;&lt;_date_display&gt;2019, AUG 2019&lt;/_date_display&gt;&lt;_db_provider&gt;ISI&lt;/_db_provider&gt;&lt;_doi&gt;10.1109/TPEL.2018.2881720&lt;/_doi&gt;&lt;_impact_factor&gt;   6.373&lt;/_impact_factor&gt;&lt;_isbn&gt;0885-8993&lt;/_isbn&gt;&lt;_issue&gt;8&lt;/_issue&gt;&lt;_journal&gt;IEEE TRANSACTIONS ON POWER ELECTRONICS&lt;/_journal&gt;&lt;_modified&gt;63480657&lt;/_modified&gt;&lt;_pages&gt;7278-7291&lt;/_pages&gt;&lt;_url&gt;http://gateway.isiknowledge.com/gateway/Gateway.cgi?GWVersion=2&amp;amp;SrcAuth=AegeanSoftware&amp;amp;SrcApp=NoteExpress&amp;amp;DestLinkType=FullRecord&amp;amp;DestApp=WOS&amp;amp;KeyUT=000469912200019 _x000d__x000a_https://ieeexplore.ieee.org/stampPDF/getPDF.jsp?tp=&amp;amp;arnumber=8537972&amp;amp;ref=aHR0cHM6Ly9pZWVleHBsb3JlLmllZWUub3JnL3Jlc3Qvc2VhcmNo _x000d__x000a_&lt;/_url&gt;&lt;_volume&gt;34&lt;/_volume&gt;&lt;/Details&gt;&lt;Extra&gt;&lt;DBUID&gt;{6891F4B0-DCBA-459A-9A22-3059983243D4}&lt;/DBUID&gt;&lt;/Extra&gt;&lt;/Item&gt;&lt;/References&gt;&lt;/Group&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946CB02-9F89-40EA-8812-F603E94D47AC}" w:val=" ADDIN NE.Ref.{1946CB02-9F89-40EA-8812-F603E94D47AC}&lt;Citation&gt;&lt;Group&gt;&lt;References&gt;&lt;Item&gt;&lt;ID&gt;507&lt;/ID&gt;&lt;UID&gt;{F01A8D18-6E33-458A-B389-29BF07909557}&lt;/UID&gt;&lt;Title&gt;小波能量偏度神经网络的HVDC换相失败故障诊断&lt;/Title&gt;&lt;Template&gt;Journal Article&lt;/Template&gt;&lt;Star&gt;0&lt;/Star&gt;&lt;Tag&gt;0&lt;/Tag&gt;&lt;Author&gt;朱艳; 王渝红; 丁志林; 宋梁; 李兴源; 邱大强&lt;/Author&gt;&lt;Year&gt;2017&lt;/Year&gt;&lt;Details&gt;&lt;_accessed&gt;63445943&lt;/_accessed&gt;&lt;_accession_num&gt;CSCD:5935137_x000d__x000a_ER&lt;/_accession_num&gt;&lt;_cited_count&gt;1&lt;/_cited_count&gt;&lt;_collection_scope&gt;CSCD;PKU&lt;/_collection_scope&gt;&lt;_created&gt;63444588&lt;/_created&gt;&lt;_date_display&gt;2017, 2017&lt;/_date_display&gt;&lt;_db_provider&gt;ISI&lt;/_db_provider&gt;&lt;_isbn&gt;1003-8930&lt;/_isbn&gt;&lt;_issue&gt;1003-8930(2017)29:2&amp;lt;39:XBNLPD&amp;gt;2.0.TX;2-82&lt;/_issue&gt;&lt;_journal&gt;电力系统及其自动化学报&lt;/_journal&gt;&lt;_modified&gt;63445943&lt;/_modified&gt;&lt;_pages&gt;39-44&lt;/_pages&gt;&lt;_tertiary_title&gt;Proceedings of the CSU-EPSA&lt;/_tertiary_title&gt;&lt;_translated_author&gt;Zhu, Yan; Wang, Yuhong; Ding, Zhilin; Song, Liang; Li, Xingyuan; Qiu, Daqiang&lt;/_translated_author&gt;&lt;_translated_title&gt;Fault Diagnosis of Commutation Failures in HVDC System Based on Neural Network of Wavelet Energy Skewness &lt;/_translated_title&gt;&lt;_url&gt;CSCD:5935137&lt;/_url&gt;&lt;_volume&gt;29&lt;/_volume&gt;&lt;/Details&gt;&lt;Extra&gt;&lt;DBUID&gt;{6891F4B0-DCBA-459A-9A22-3059983243D4}&lt;/DBUID&gt;&lt;/Extra&gt;&lt;/Item&gt;&lt;/References&gt;&lt;/Group&gt;&lt;/Citation&gt;_x000a_"/>
    <w:docVar w:name="NE.Ref{1A059FAA-7071-4D9A-A169-8AEF822B4873}" w:val=" ADDIN NE.Ref.{1A059FAA-7071-4D9A-A169-8AEF822B4873}&lt;Citation&gt;&lt;Group&gt;&lt;References&gt;&lt;Item&gt;&lt;ID&gt;998&lt;/ID&gt;&lt;UID&gt;{378D184D-1E7C-40F8-A09B-D53CDF9BA09C}&lt;/UID&gt;&lt;Title&gt;面向电网规划的多馈入直流换相失败功率冲击模拟方法&lt;/Title&gt;&lt;Template&gt;Journal Article&lt;/Template&gt;&lt;Star&gt;0&lt;/Star&gt;&lt;Tag&gt;0&lt;/Tag&gt;&lt;Author&gt;陈睿; 侯玉强; 杨银国; 王玉; 易杨; 刘福锁&lt;/Author&gt;&lt;Year&gt;2017&lt;/Year&gt;&lt;Details&gt;&lt;_author_aff&gt;广东电网电力调度控制中心;南瑞集团公司(国网电力科学研究院);国电南瑞科技股份有限公司;&lt;/_author_aff&gt;&lt;_cited_count&gt;19&lt;/_cited_count&gt;&lt;_date&gt;2017-12-10&lt;/_date&gt;&lt;_issue&gt;23&lt;/_issue&gt;&lt;_journal&gt;电力系统自动化&lt;/_journal&gt;&lt;_keywords&gt;多馈入直流;换相失败;功率冲击;无功支撑能力&lt;/_keywords&gt;&lt;_pages&gt;103-108&lt;/_pages&gt;&lt;_url&gt;https://kns.cnki.net/kcms/detail/detail.aspx?FileName=DLXT201723015&amp;amp;DbName=CJFQ2017&lt;/_url&gt;&lt;_volume&gt;41&lt;/_volume&gt;&lt;_created&gt;64779504&lt;/_created&gt;&lt;_modified&gt;64779504&lt;/_modified&gt;&lt;_db_updated&gt;CNKI - Reference&lt;/_db_updated&gt;&lt;_collection_scope&gt;CSCD;PKU;EI&lt;/_collection_scope&gt;&lt;_translated_author&gt;Chen, Rui;Hou, Yuqiang;Yang, Yinguo;Wang, Yu;Yi, Yang;Liu, Fusuo&lt;/_translated_author&gt;&lt;/Details&gt;&lt;Extra&gt;&lt;DBUID&gt;{6891F4B0-DCBA-459A-9A22-3059983243D4}&lt;/DBUID&gt;&lt;/Extra&gt;&lt;/Item&gt;&lt;/References&gt;&lt;/Group&gt;&lt;/Citation&gt;_x000a_"/>
    <w:docVar w:name="NE.Ref{1BB46600-3DBD-4DBA-B9CE-16632B6132FD}" w:val=" ADDIN NE.Ref.{1BB46600-3DBD-4DBA-B9CE-16632B6132FD}&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C12F929-6BC4-413D-BC37-938E3AA6A69A}" w:val=" ADDIN NE.Ref.{1C12F929-6BC4-413D-BC37-938E3AA6A69A}&lt;Citation&gt;&lt;Group&gt;&lt;References&gt;&lt;Item&gt;&lt;ID&gt;359&lt;/ID&gt;&lt;UID&gt;{CC045D2D-80B6-4AC2-8B28-A52339527A06}&lt;/UID&gt;&lt;Title&gt;The mechanism and solution of the anomalous commutation failure of multi-infeed HVDC transmission systems&lt;/Title&gt;&lt;Template&gt;Journal Article&lt;/Template&gt;&lt;Star&gt;0&lt;/Star&gt;&lt;Tag&gt;0&lt;/Tag&gt;&lt;Author&gt;Li, Tan; Zhao, Tong; Lv, Mingchao; Zou, Liang; Zhang, Li&lt;/Author&gt;&lt;Year&gt;2020&lt;/Year&gt;&lt;Details&gt;&lt;_accessed&gt;63446013&lt;/_accessed&gt;&lt;_accession_num&gt;WOS:000488997400013_x000d__x000a_ER&lt;/_accession_num&gt;&lt;_cited_count&gt;2&lt;/_cited_count&gt;&lt;_collection_scope&gt;SCIE;EI&lt;/_collection_scope&gt;&lt;_created&gt;63444588&lt;/_created&gt;&lt;_date_display&gt;2020, JAN 2020&lt;/_date_display&gt;&lt;_db_provider&gt;ISI&lt;/_db_provider&gt;&lt;_doi&gt;10.1016/j.ijepes.2019.105400&lt;/_doi&gt;&lt;_impact_factor&gt;   5.659&lt;/_impact_factor&gt;&lt;_isbn&gt;0142-0615&lt;/_isbn&gt;&lt;_issue&gt;UNSP 105400&lt;/_issue&gt;&lt;_journal&gt;INTERNATIONAL JOURNAL OF ELECTRICAL POWER &amp;amp; ENERGY SYSTEMS&lt;/_journal&gt;&lt;_modified&gt;64498618&lt;/_modified&gt;&lt;_url&gt;http://gateway.isiknowledge.com/gateway/Gateway.cgi?GWVersion=2&amp;amp;SrcAuth=AegeanSoftware&amp;amp;SrcApp=NoteExpress&amp;amp;DestLinkType=FullRecord&amp;amp;DestApp=WOS&amp;amp;KeyUT=000488997400013 _x000d__x000a_https://pdf.sciencedirectassets.com/271479/1-s2.0-S0142061519X00083/1-s2.0-S0142061518328734/main.pdf?X-Amz-Security-Token=IQoJb3JpZ2luX2VjECkaCXVzLWVhc3QtMSJHMEUCIAnvOcGrnhIMSnm5jmvJzLIwd06weyA6jUASZC2LoAOeAiEA8b6AYvp7QO8n0%2B4%2FQHrvcmK1O0VYWya2heqTgwTwuzgqtAMIERADGgwwNTkwMDM1NDY4NjUiDAtfPU0oKArg8CjWOyqRAwdHK%2BhS2Tz3FjiWhcnIEUxIFTkrIniY%2BzkQOpqv5R7puNnnsdiC1iGqi5VHqcuRNtcVSJ6ojLIHDAbYwXnMTEPnN79srROQ4%2BRunL9tF%2BPInWLRJL1OAaMsTkdeSol1twRLvCXOtDs%2F4gIW4gl09AI3XzleldyeoJdN0vgkRtdqboXJWlpD5wohgp%2FE05AdjyAbvpD7lT7oeEcVc5RwqoGCcCDG2Yxn0d8Mv3uGy6DWqxi6EO4VsaDD9EUNN4O%2B40oCPL40Xj6kUPtgYBswFJdwqStwa58j3oaqtQ55NEXXEV0HJH1AoHwT0iVXKjiQvg4Jzca9FTVHwJRTEVJxBpzOYaSOgFmp2ombx50BvhzD0WaErUGXdvRcLNNkJX8rcADK2uCZkJqC4ZQeicxhc8KTRdLGULab15KZN6dsJqyGk%2FIubOH2EJTUesbXJjoqytqK8Wx75aZ0bBIwi6JiTB6Mw3I2PpIta4HeDXuGSO6dxyHPwzBTyvVeC1tol8mjiBaapGZlJDmvp6X1hhQQmMZAMIuX7vkFOusBhJfww%2BeLZgUv5ui7svB%2FPC9Y6ZDgIeACZxritkeXb6HGNXoWOW2JLA7Qg6csa7dt1BUZ74QOu17k35T6eDbiVIf%2B11AiovexPP2lxhtX5kfDRmg5HNWI%2B9mC64owz5wtdMHezgOlyKPeHxJ0v0jhsgIXtFC17by6uh3UtdJFQCs0on%2FVw%2B9p%2B8yklG2JJfnvKE%2Bp07YGAFOjLwlDo59p3dFjSk2y6R9G9julK2M4aYqL5b%2BKhxrP9VFC%2FoOSzXsGOj9FzgA9rPQEj3XNU%2Fw99hZK%2BRVpbV%2BtAMKBYhu7xt%2F3KAVcDUEIs1vT1g%3D%3D&amp;amp;X-Amz-Algorithm=AWS4-HMAC-SHA256&amp;amp;X-Amz-Date=20200818T093331Z&amp;amp;X-Amz-SignedHeaders=host&amp;amp;X-Amz-Expires=300&amp;amp;X-Amz-Credential=ASIAQ3PHCVTY6ZO6UFNC%2F20200818%2Fus-east-1%2Fs3%2Faws4_request&amp;amp;X-Amz-Signature=456e39540229dc26aee7e66ff75646fb8c8897d95b675d903bcf61bd1e928f2d&amp;amp;hash=9e5a812ca8ad16b8eee199ffcd2bcf30345d1145a9df0475108d12f71374b0cf&amp;amp;host=68042c943591013ac2b2430a89b270f6af2c76d8dfd086a07176afe7c76c2c61&amp;amp;pii=S0142061518328734&amp;amp;tid=spdf-e0e52d00-784e-4e64-a62c-e190218a8a8e&amp;amp;sid=0c6f7119609c7846760b7c55adb0bb62042egxrqa&amp;amp;type=client _x000d__x000a_&lt;/_url&gt;&lt;_volume&gt;114&lt;/_volume&gt;&lt;/Details&gt;&lt;Extra&gt;&lt;DBUID&gt;{6891F4B0-DCBA-459A-9A22-3059983243D4}&lt;/DBUID&gt;&lt;/Extra&gt;&lt;/Item&gt;&lt;/References&gt;&lt;/Group&gt;&lt;/Citation&gt;_x000a_"/>
    <w:docVar w:name="NE.Ref{1C5C3744-025A-49FA-B7B5-40D72E71FAC8}" w:val=" ADDIN NE.Ref.{1C5C3744-025A-49FA-B7B5-40D72E71FAC8}&lt;Citation&gt;&lt;Group&gt;&lt;References&gt;&lt;Item&gt;&lt;ID&gt;563&lt;/ID&gt;&lt;UID&gt;{45A3424B-0432-4958-AE78-AE4583EC7294}&lt;/UID&gt;&lt;Title&gt;基于风电出力模糊集的电-气耦合系统分布鲁棒优化调度&lt;/Title&gt;&lt;Template&gt;Journal Article&lt;/Template&gt;&lt;Star&gt;0&lt;/Star&gt;&lt;Tag&gt;0&lt;/Tag&gt;&lt;Author&gt;张亚超; 黄张浩; 郑峰; 乐健; 舒胜文; 夏沛&lt;/Author&gt;&lt;Year&gt;2020&lt;/Year&gt;&lt;Details&gt;&lt;_author_adr&gt;福州大学电气工程与自动化学院;武汉大学电气与自动化学院;&lt;/_author_adr&gt;&lt;_collection_scope&gt;CSCD;PKU;EI&lt;/_collection_scope&gt;&lt;_created&gt;63685118&lt;/_created&gt;&lt;_db_provider&gt;CNKI&lt;/_db_provider&gt;&lt;_isbn&gt;1000-1026&lt;/_isbn&gt;&lt;_issue&gt;04&lt;/_issue&gt;&lt;_journal&gt;电力系统自动化&lt;/_journal&gt;&lt;_keywords&gt;耦合系统;分布鲁棒优化;风电;协同优化&lt;/_keywords&gt;&lt;_modified&gt;63685118&lt;/_modified&gt;&lt;_pages&gt;44-53&lt;/_pages&gt;&lt;_volume&gt;44&lt;/_volume&gt;&lt;_translated_author&gt;Zhang, Yachao;Huang, Zhanghao;Zheng, Feng;Le, Jian;Shu, Shengwen;Xia, Pei&lt;/_translated_author&gt;&lt;/Details&gt;&lt;Extra&gt;&lt;DBUID&gt;{F96A950B-833F-4880-A151-76DA2D6A2879}&lt;/DBUID&gt;&lt;/Extra&gt;&lt;/Item&gt;&lt;/References&gt;&lt;/Group&gt;&lt;/Citation&gt;_x000a_"/>
    <w:docVar w:name="NE.Ref{1CA40157-602C-4216-9597-C83012598D80}" w:val=" ADDIN NE.Ref.{1CA40157-602C-4216-9597-C83012598D80}&lt;Citation&gt;&lt;Group&gt;&lt;References&gt;&lt;Item&gt;&lt;ID&gt;657&lt;/ID&gt;&lt;UID&gt;{C284FB30-4F1B-4B95-AD26-49799123A9ED}&lt;/UID&gt;&lt;Title&gt;Analysis and Prevention of Subsequent Commutation Failures Caused by Improper Inverter Control Interactions in HVDC Systems&lt;/Title&gt;&lt;Template&gt;Journal Article&lt;/Template&gt;&lt;Star&gt;0&lt;/Star&gt;&lt;Tag&gt;0&lt;/Tag&gt;&lt;Author&gt;Liu, L; Lin, S; Liu, J; Sun, P Y; Liao, K; Li, X P; He, Z Y&lt;/Author&gt;&lt;Year&gt;2020&lt;/Year&gt;&lt;Details&gt;&lt;_alternate_title&gt;IEEE TRANSACTIONS ON POWER DELIVERY&lt;/_alternate_title&gt;&lt;_author_adr&gt;Southwest Jiaotong Univ, Sch Elect Engn, Chengdu 610031, Peoples R China; Guangdong Power Grid Corp, Guangzhou Power Supply Bur, Guangzhou 510600, Peoples R China; State Grid Sichuan Elect Power Res Inst, Chengdu 610072, Peoples R China&lt;/_author_adr&gt;&lt;_cited_count&gt;7&lt;/_cited_count&gt;&lt;_collection_scope&gt;SCI;SCIE;EI&lt;/_collection_scope&gt;&lt;_created&gt;64493985&lt;/_created&gt;&lt;_date&gt;2020-01-01&lt;/_date&gt;&lt;_date_display&gt;2020&lt;/_date_display&gt;&lt;_db_updated&gt;Web of Science-Core&lt;/_db_updated&gt;&lt;_doi&gt;10.1109/TPWRD.2020.2984225&lt;/_doi&gt;&lt;_impact_factor&gt;   4.825&lt;/_impact_factor&gt;&lt;_issue&gt;6&lt;/_issue&gt;&lt;_journal&gt;IEEE TRANSACTIONS ON POWER DELIVERY&lt;/_journal&gt;&lt;_keywords&gt;Inverters; HVDC transmission; Switches; Process control; Voltage control; Power system dynamics; Commutation failure; subsequent commutation failure; inverter control; interaction process; HVDC system&lt;/_keywords&gt;&lt;_modified&gt;64498604&lt;/_modified&gt;&lt;_pages&gt;2841-2852&lt;/_pages&gt;&lt;_url&gt;https://ieeexplore.ieee.org/stampPDF/getPDF.jsp?tp=&amp;amp;arnumber=9055071&amp;amp;ref=aHR0cHM6Ly9pZWVleHBsb3JlLmllZWUub3JnL3Jlc3Qvc2VhcmNo _x000d__x000a_&lt;/_url&gt;&lt;_volume&gt;35&lt;/_volume&gt;&lt;_accessed&gt;64498604&lt;/_accessed&gt;&lt;/Details&gt;&lt;Extra&gt;&lt;DBUID&gt;{F96A950B-833F-4880-A151-76DA2D6A2879}&lt;/DBUID&gt;&lt;/Extra&gt;&lt;/Item&gt;&lt;/References&gt;&lt;/Group&gt;&lt;/Citation&gt;_x000a_"/>
    <w:docVar w:name="NE.Ref{1D18F873-334E-4615-9D62-73279284DF68}" w:val=" ADDIN NE.Ref.{1D18F873-334E-4615-9D62-73279284DF68}&lt;Citation&gt;&lt;Group&gt;&lt;References&gt;&lt;Item&gt;&lt;ID&gt;528&lt;/ID&gt;&lt;UID&gt;{7DEF077A-EA20-47ED-AD3E-E480D51368F6}&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59487&lt;/_created&gt;&lt;_db_provider&gt;CNKI&lt;/_db_provider&gt;&lt;_isbn&gt;1000-3673&lt;/_isbn&gt;&lt;_issue&gt;08&lt;/_issue&gt;&lt;_journal&gt;电网技术&lt;/_journal&gt;&lt;_keywords&gt;配额制;可再生能源市场;电力市场;市场均衡&lt;/_keywords&gt;&lt;_modified&gt;63659487&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1EFD4181-4DC0-4371-B07D-1D285517C50D}" w:val=" ADDIN NE.Ref.{1EFD4181-4DC0-4371-B07D-1D285517C50D}&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1F1B7316-227F-41D5-B883-FB8213BC257D}" w:val=" ADDIN NE.Ref.{1F1B7316-227F-41D5-B883-FB8213BC257D}&lt;Citation&gt;&lt;Group&gt;&lt;References&gt;&lt;Item&gt;&lt;ID&gt;116&lt;/ID&gt;&lt;UID&gt;{F6B603F6-FA64-4CFD-AAC0-B00EE07C15C5}&lt;/UID&gt;&lt;Title&gt;考虑风电消纳的热电联供型微网日前鲁棒经济调度&lt;/Title&gt;&lt;Template&gt;Journal Article&lt;/Template&gt;&lt;Star&gt;0&lt;/Star&gt;&lt;Tag&gt;0&lt;/Tag&gt;&lt;Author&gt;朱嘉远; 刘洋; 许立雄; 蒋卓臻; 马晨霄&lt;/Author&gt;&lt;Year&gt;2019&lt;/Year&gt;&lt;Details&gt;&lt;_accessed&gt;64308164&lt;/_accessed&gt;&lt;_author_aff&gt;四川大学电气信息学院;&lt;/_author_aff&gt;&lt;_cited_count&gt;68&lt;/_cited_count&gt;&lt;_collection_scope&gt;CSCD;PKU;EI&lt;/_collection_scope&gt;&lt;_created&gt;64306770&lt;/_created&gt;&lt;_date&gt;62667360&lt;/_date&gt;&lt;_db_updated&gt;CNKI - Reference&lt;/_db_updated&gt;&lt;_issue&gt;04&lt;/_issue&gt;&lt;_journal&gt;电力系统自动化&lt;/_journal&gt;&lt;_keywords&gt;微网(微电网);双层鲁棒优化;预测偏差控制;列约束生成算法;强对偶理论;Big-M法&lt;/_keywords&gt;&lt;_language&gt;Chinese&lt;/_language&gt;&lt;_modified&gt;64308164&lt;/_modified&gt;&lt;_pages&gt;40-48&lt;/_pages&gt;&lt;_url&gt;https://kns.cnki.net/kcms/detail/detail.aspx?FileName=DLXT201904006&amp;amp;DbName=CJFQ2019&lt;/_url&gt;&lt;_volume&gt;43&lt;/_volume&gt;&lt;_translated_author&gt;Zhu, Jiayuan;Liu, Yang;Xu, Lixiong;Jiang, Zhuozhen;Ma, Chenxiao&lt;/_translated_author&gt;&lt;/Details&gt;&lt;Extra&gt;&lt;DBUID&gt;{560D5FFD-5A46-4EB8-859B-FD657304A42E}&lt;/DBUID&gt;&lt;/Extra&gt;&lt;/Item&gt;&lt;/References&gt;&lt;/Group&gt;&lt;/Citation&gt;_x000a_"/>
    <w:docVar w:name="NE.Ref{1F35F98C-EEFA-4609-9C1A-6E8B7DB9E539}" w:val=" ADDIN NE.Ref.{1F35F98C-EEFA-4609-9C1A-6E8B7DB9E539}&lt;Citation&gt;&lt;Group&gt;&lt;References&gt;&lt;Item&gt;&lt;ID&gt;336&lt;/ID&gt;&lt;UID&gt;{738A9890-CA34-4C5B-B699-C976342E4ACC}&lt;/UID&gt;&lt;Title&gt;A commutation failure risk analysis method considering the interaction of inverter stations&lt;/Title&gt;&lt;Template&gt;Journal Article&lt;/Template&gt;&lt;Star&gt;0&lt;/Star&gt;&lt;Tag&gt;0&lt;/Tag&gt;&lt;Author&gt;Yang, Weichen; Miao, Shihong; Zhang, Shixu; Li, Yaowang; Han, Ji; Xu, Hanping; Zhang, Dongyin&lt;/Author&gt;&lt;Year&gt;2020&lt;/Year&gt;&lt;Details&gt;&lt;_accessed&gt;63446009&lt;/_accessed&gt;&lt;_accession_num&gt;WOS:000526402600002_x000d__x000a_ER&lt;/_accession_num&gt;&lt;_cited_count&gt;0&lt;/_cited_count&gt;&lt;_collection_scope&gt;SCIE;EI&lt;/_collection_scope&gt;&lt;_created&gt;63444588&lt;/_created&gt;&lt;_date_display&gt;2020, SEP 2020&lt;/_date_display&gt;&lt;_db_provider&gt;ISI&lt;/_db_provider&gt;&lt;_doi&gt;10.1016/j.ijepes.2020.106009&lt;/_doi&gt;&lt;_impact_factor&gt;   5.659&lt;/_impact_factor&gt;&lt;_isbn&gt;0142-0615&lt;/_isbn&gt;&lt;_issue&gt;106009&lt;/_issue&gt;&lt;_journal&gt;INTERNATIONAL JOURNAL OF ELECTRICAL POWER &amp;amp; ENERGY SYSTEMS&lt;/_journal&gt;&lt;_modified&gt;64498616&lt;/_modified&gt;&lt;_url&gt;http://gateway.isiknowledge.com/gateway/Gateway.cgi?GWVersion=2&amp;amp;SrcAuth=AegeanSoftware&amp;amp;SrcApp=NoteExpress&amp;amp;DestLinkType=FullRecord&amp;amp;DestApp=WOS&amp;amp;KeyUT=000526402600002 _x000d__x000a_https://pdf.sciencedirectassets.com/271479/1-s2.0-S0142061520X00032/1-s2.0-S0142061519326626/main.pdf?X-Amz-Security-Token=IQoJb3JpZ2luX2VjECkaCXVzLWVhc3QtMSJHMEUCIAnvOcGrnhIMSnm5jmvJzLIwd06weyA6jUASZC2LoAOeAiEA8b6AYvp7QO8n0%2B4%2FQHrvcmK1O0VYWya2heqTgwTwuzgqtAMIERADGgwwNTkwMDM1NDY4NjUiDAtfPU0oKArg8CjWOyqRAwdHK%2BhS2Tz3FjiWhcnIEUxIFTkrIniY%2BzkQOpqv5R7puNnnsdiC1iGqi5VHqcuRNtcVSJ6ojLIHDAbYwXnMTEPnN79srROQ4%2BRunL9tF%2BPInWLRJL1OAaMsTkdeSol1twRLvCXOtDs%2F4gIW4gl09AI3XzleldyeoJdN0vgkRtdqboXJWlpD5wohgp%2FE05AdjyAbvpD7lT7oeEcVc5RwqoGCcCDG2Yxn0d8Mv3uGy6DWqxi6EO4VsaDD9EUNN4O%2B40oCPL40Xj6kUPtgYBswFJdwqStwa58j3oaqtQ55NEXXEV0HJH1AoHwT0iVXKjiQvg4Jzca9FTVHwJRTEVJxBpzOYaSOgFmp2ombx50BvhzD0WaErUGXdvRcLNNkJX8rcADK2uCZkJqC4ZQeicxhc8KTRdLGULab15KZN6dsJqyGk%2FIubOH2EJTUesbXJjoqytqK8Wx75aZ0bBIwi6JiTB6Mw3I2PpIta4HeDXuGSO6dxyHPwzBTyvVeC1tol8mjiBaapGZlJDmvp6X1hhQQmMZAMIuX7vkFOusBhJfww%2BeLZgUv5ui7svB%2FPC9Y6ZDgIeACZxritkeXb6HGNXoWOW2JLA7Qg6csa7dt1BUZ74QOu17k35T6eDbiVIf%2B11AiovexPP2lxhtX5kfDRmg5HNWI%2B9mC64owz5wtdMHezgOlyKPeHxJ0v0jhsgIXtFC17by6uh3UtdJFQCs0on%2FVw%2B9p%2B8yklG2JJfnvKE%2Bp07YGAFOjLwlDo59p3dFjSk2y6R9G9julK2M4aYqL5b%2BKhxrP9VFC%2FoOSzXsGOj9FzgA9rPQEj3XNU%2Fw99hZK%2BRVpbV%2BtAMKBYhu7xt%2F3KAVcDUEIs1vT1g%3D%3D&amp;amp;X-Amz-Algorithm=AWS4-HMAC-SHA256&amp;amp;X-Amz-Date=20200818T095405Z&amp;amp;X-Amz-SignedHeaders=host&amp;amp;X-Amz-Expires=300&amp;amp;X-Amz-Credential=ASIAQ3PHCVTY6ZO6UFNC%2F20200818%2Fus-east-1%2Fs3%2Faws4_request&amp;amp;X-Amz-Signature=bb1eb39178507900615f4a0440b996f460f4abeca8a143d3e491e488c7e558c1&amp;amp;hash=a13eea57211faff35f4b1434653bf7460999e3b990dc2c8d60cd7d1530e43de8&amp;amp;host=68042c943591013ac2b2430a89b270f6af2c76d8dfd086a07176afe7c76c2c61&amp;amp;pii=S0142061519326626&amp;amp;tid=spdf-5fab884c-e826-4b89-9d5f-3c7adf0d87f0&amp;amp;sid=de8d93296b80a1431e8ba3b62ed1ee703f06gxrqa&amp;amp;type=client _x000d__x000a_&lt;/_url&gt;&lt;_volume&gt;120&lt;/_volume&gt;&lt;/Details&gt;&lt;Extra&gt;&lt;DBUID&gt;{6891F4B0-DCBA-459A-9A22-3059983243D4}&lt;/DBUID&gt;&lt;/Extra&gt;&lt;/Item&gt;&lt;/References&gt;&lt;/Group&gt;&lt;/Citation&gt;_x000a_"/>
    <w:docVar w:name="NE.Ref{1F930D9D-92A7-4D72-A2B7-DD0A98FA9C9D}" w:val=" ADDIN NE.Ref.{1F930D9D-92A7-4D72-A2B7-DD0A98FA9C9D}&lt;Citation&gt;&lt;Group&gt;&lt;References&gt;&lt;Item&gt;&lt;ID&gt;1015&lt;/ID&gt;&lt;UID&gt;{64F89B95-21AE-4035-A09A-E60F6BC5B64E}&lt;/UID&gt;&lt;Title&gt;Small Signal Stability Analysis of Multi-Infeed Power Electronic Systems Based on Grid Strength Assessment&lt;/Title&gt;&lt;Template&gt;Journal Article&lt;/Template&gt;&lt;Star&gt;0&lt;/Star&gt;&lt;Tag&gt;0&lt;/Tag&gt;&lt;Author&gt;Dong, W; Xin, H H; Wu, D; Huang, L B&lt;/Author&gt;&lt;Year&gt;2019&lt;/Year&gt;&lt;Details&gt;&lt;_alternate_title&gt;IEEE TRANSACTIONS ON POWER SYSTEMS&lt;/_alternate_title&gt;&lt;_author_adr&gt;Zhejiang Univ, Coll Elect Engn, Hangzhou 310027, Zhejiang, Peoples R China; North Dakota State Univ, Dept Elect &amp;amp; Comp Engn, Fargo, ND 58102 USA&lt;/_author_adr&gt;&lt;_cited_count&gt;36&lt;/_cited_count&gt;&lt;_date_display&gt;2019&lt;/_date_display&gt;&lt;_date&gt;2019-01-01&lt;/_date&gt;&lt;_doi&gt;10.1109/TPWRS.2018.2875305&lt;/_doi&gt;&lt;_issue&gt;2&lt;/_issue&gt;&lt;_journal&gt;IEEE TRANSACTIONS ON POWER SYSTEMS&lt;/_journal&gt;&lt;_keywords&gt;Small signal stability; grid strength; multi-infeed power electronic systems; short circuit ratio&lt;/_keywords&gt;&lt;_pages&gt;1393-1403&lt;/_pages&gt;&lt;_volume&gt;34&lt;/_volume&gt;&lt;_created&gt;64779629&lt;/_created&gt;&lt;_modified&gt;64779629&lt;/_modified&gt;&lt;_db_updated&gt;Web of Science-Core&lt;/_db_updated&gt;&lt;_impact_factor&gt;   7.326&lt;/_impact_factor&gt;&lt;_collection_scope&gt;SCI;SCIE;EI&lt;/_collection_scope&gt;&lt;/Details&gt;&lt;Extra&gt;&lt;DBUID&gt;{6891F4B0-DCBA-459A-9A22-3059983243D4}&lt;/DBUID&gt;&lt;/Extra&gt;&lt;/Item&gt;&lt;/References&gt;&lt;/Group&gt;&lt;/Citation&gt;_x000a_"/>
    <w:docVar w:name="NE.Ref{1FF1EFA0-5DF4-4C96-88E8-BF6BB418A705}" w:val=" ADDIN NE.Ref.{1FF1EFA0-5DF4-4C96-88E8-BF6BB418A705}&lt;Citation&gt;&lt;Group&gt;&lt;References&gt;&lt;Item&gt;&lt;ID&gt;405&lt;/ID&gt;&lt;UID&gt;{C391A0AF-9EBD-4FF5-9EE1-69AD9CF8325C}&lt;/UID&gt;&lt;Title&gt;Ranging patterns of hamadryas baboons: random walk analyses&lt;/Title&gt;&lt;Template&gt;Journal Article&lt;/Template&gt;&lt;Star&gt;0&lt;/Star&gt;&lt;Tag&gt;0&lt;/Tag&gt;&lt;Author&gt;Schreier, Amy L; Grove, Matt&lt;/Author&gt;&lt;Year&gt;2010&lt;/Year&gt;&lt;Details&gt;&lt;_accession_num&gt;WOS:000279153100011_x000d__x000a_ER&lt;/_accession_num&gt;&lt;_cited_count&gt;28&lt;/_cited_count&gt;&lt;_collection_scope&gt;SCI;SCIE&lt;/_collection_scope&gt;&lt;_created&gt;63641727&lt;/_created&gt;&lt;_date_display&gt;2010, JUL 2010&lt;/_date_display&gt;&lt;_db_provider&gt;ISI&lt;/_db_provider&gt;&lt;_doi&gt;10.1016/j.anbehav.2010.04.002&lt;/_doi&gt;&lt;_impact_factor&gt;   2.689&lt;/_impact_factor&gt;&lt;_isbn&gt;0003-3472&lt;/_isbn&gt;&lt;_issue&gt;1&lt;/_issue&gt;&lt;_journal&gt;ANIMAL BEHAVIOUR&lt;/_journal&gt;&lt;_modified&gt;63641727&lt;/_modified&gt;&lt;_pages&gt;75-87&lt;/_pages&gt;&lt;_url&gt;http://gateway.isiknowledge.com/gateway/Gateway.cgi?GWVersion=2&amp;amp;SrcAuth=AegeanSoftware&amp;amp;SrcApp=NoteExpress&amp;amp;DestLinkType=FullRecord&amp;amp;DestApp=WOS&amp;amp;KeyUT=000279153100011&lt;/_url&gt;&lt;_volume&gt;80&lt;/_volume&gt;&lt;/Details&gt;&lt;Extra&gt;&lt;DBUID&gt;{F96A950B-833F-4880-A151-76DA2D6A2879}&lt;/DBUID&gt;&lt;/Extra&gt;&lt;/Item&gt;&lt;/References&gt;&lt;/Group&gt;&lt;/Citation&gt;_x000a_"/>
    <w:docVar w:name="NE.Ref{20590E97-B7E8-421D-8BB6-D3864D0D29A9}" w:val=" ADDIN NE.Ref.{20590E97-B7E8-421D-8BB6-D3864D0D29A9}&lt;Citation&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4.825&lt;/_impact_factor&gt;&lt;_isbn&gt;0885-8977&lt;/_isbn&gt;&lt;_issue&gt;5&lt;/_issue&gt;&lt;_journal&gt;IEEE TRANSACTIONS ON POWER DELIVERY&lt;/_journal&gt;&lt;_modified&gt;64498621&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Citation&gt;_x000a_"/>
    <w:docVar w:name="NE.Ref{21405DB3-AC36-4D80-BE41-BEDAC8BD0CF7}" w:val=" ADDIN NE.Ref.{21405DB3-AC36-4D80-BE41-BEDAC8BD0CF7}&lt;Citation&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4.825&lt;/_impact_factor&gt;&lt;_isbn&gt;0885-8977&lt;/_isbn&gt;&lt;_issue&gt;5&lt;/_issue&gt;&lt;_journal&gt;IEEE TRANSACTIONS ON POWER DELIVERY&lt;/_journal&gt;&lt;_modified&gt;64498621&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Citation&gt;_x000a_"/>
    <w:docVar w:name="NE.Ref{21ABC19C-69DB-4EF5-AB42-7F660E0B6155}" w:val=" ADDIN NE.Ref.{21ABC19C-69DB-4EF5-AB42-7F660E0B6155}&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21ABC350-DB7A-45E8-A72C-B8768866D7C4}" w:val=" ADDIN NE.Ref.{21ABC350-DB7A-45E8-A72C-B8768866D7C4}&lt;Citation&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22057070-1DF2-4E5F-9D53-CC67C77CB2D7}" w:val=" ADDIN NE.Ref.{22057070-1DF2-4E5F-9D53-CC67C77CB2D7}&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223384C0-9F85-4063-A0C5-A2CE227E89F7}" w:val=" ADDIN NE.Ref.{223384C0-9F85-4063-A0C5-A2CE227E89F7}&lt;Citation&gt;&lt;Group&gt;&lt;References&gt;&lt;Item&gt;&lt;ID&gt;666&lt;/ID&gt;&lt;UID&gt;{48DEA907-FD84-4BF2-AA07-D511E6BBACF5}&lt;/UID&gt;&lt;Title&gt;Decreasing the commutation failure frequency in HVDC transmission systems&lt;/Title&gt;&lt;Template&gt;Journal Article&lt;/Template&gt;&lt;Star&gt;0&lt;/Star&gt;&lt;Tag&gt;0&lt;/Tag&gt;&lt;Author&gt;Hansen, A; Havemann, K&lt;/Author&gt;&lt;Year&gt;2000&lt;/Year&gt;&lt;Details&gt;&lt;_accessed&gt;63444710&lt;/_accessed&gt;&lt;_accession_num&gt;WOS:000089629900027_x000d__x000a_ER&lt;/_accession_num&gt;&lt;_cited_count&gt;39&lt;/_cited_count&gt;&lt;_collection_scope&gt;SCI;SCIE;EI&lt;/_collection_scope&gt;&lt;_created&gt;63444588&lt;/_created&gt;&lt;_date_display&gt;2000, JUL 2000&lt;/_date_display&gt;&lt;_db_provider&gt;ISI&lt;/_db_provider&gt;&lt;_doi&gt;10.1109/61.871369&lt;/_doi&gt;&lt;_impact_factor&gt;   3.681&lt;/_impact_factor&gt;&lt;_isbn&gt;0885-8977&lt;/_isbn&gt;&lt;_issue&gt;3&lt;/_issue&gt;&lt;_journal&gt;IEEE TRANSACTIONS ON POWER DELIVERY&lt;/_journal&gt;&lt;_modified&gt;63444840&lt;/_modified&gt;&lt;_pages&gt;1022-1026&lt;/_pages&gt;&lt;_url&gt;http://gateway.isiknowledge.com/gateway/Gateway.cgi?GWVersion=2&amp;amp;SrcAuth=AegeanSoftware&amp;amp;SrcApp=NoteExpress&amp;amp;DestLinkType=FullRecord&amp;amp;DestApp=WOS&amp;amp;KeyUT=000089629900027 _x000d__x000a_https://ieeexplore.ieee.org/stampPDF/getPDF.jsp?tp=&amp;amp;arnumber=871369&amp;amp;ref=aHR0cHM6Ly9pZWVleHBsb3JlLmllZWUub3JnL3Jlc3Qvc2VhcmNo _x000d__x000a_&lt;/_url&gt;&lt;_volume&gt;15&lt;/_volume&gt;&lt;/Details&gt;&lt;Extra&gt;&lt;DBUID&gt;{6891F4B0-DCBA-459A-9A22-3059983243D4}&lt;/DBUID&gt;&lt;/Extra&gt;&lt;/Item&gt;&lt;/References&gt;&lt;/Group&gt;&lt;/Citation&gt;_x000a_"/>
    <w:docVar w:name="NE.Ref{226958E9-B115-4710-AD9C-0A50671AB3F9}" w:val=" ADDIN NE.Ref.{226958E9-B115-4710-AD9C-0A50671AB3F9}&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22E450FB-89F1-4A6C-BC9F-FE81007AE5EA}" w:val=" ADDIN NE.Ref.{22E450FB-89F1-4A6C-BC9F-FE81007AE5EA}&lt;Citation&gt;&lt;Group&gt;&lt;References&gt;&lt;Item&gt;&lt;ID&gt;536&lt;/ID&gt;&lt;UID&gt;{57F15813-FFDA-4681-99DD-6641D789DBB4}&lt;/UID&gt;&lt;Title&gt;Integrated energy systems planning with electricity, heat and gas using particle swarm optimization - ScienceDirect&lt;/Title&gt;&lt;Template&gt;Journal Article&lt;/Template&gt;&lt;Star&gt;0&lt;/Star&gt;&lt;Tag&gt;0&lt;/Tag&gt;&lt;Author&gt;Chao; Qin; Qingyou; Yan; Gang; He&lt;/Author&gt;&lt;Year&gt;0&lt;/Year&gt;&lt;Details&gt;&lt;_collection_scope&gt;SCI;SCIE;EI&lt;/_collection_scope&gt;&lt;_created&gt;63660535&lt;/_created&gt;&lt;_journal&gt;Energy&lt;/_journal&gt;&lt;_modified&gt;63660535&lt;/_modified&gt;&lt;_pages&gt;116044-116044&lt;/_pages&gt;&lt;_volume&gt;188&lt;/_volume&gt;&lt;/Details&gt;&lt;Extra&gt;&lt;DBUID&gt;{F96A950B-833F-4880-A151-76DA2D6A2879}&lt;/DBUID&gt;&lt;/Extra&gt;&lt;/Item&gt;&lt;/References&gt;&lt;/Group&gt;&lt;/Citation&gt;_x000a_"/>
    <w:docVar w:name="NE.Ref{2327956C-FC18-4416-9641-817477096271}" w:val=" ADDIN NE.Ref.{2327956C-FC18-4416-9641-817477096271}&lt;Citation&gt;&lt;Group&gt;&lt;References&gt;&lt;Item&gt;&lt;ID&gt;549&lt;/ID&gt;&lt;UID&gt;{21DF7274-139C-4FA7-A2E4-B9303C30827A}&lt;/UID&gt;&lt;Title&gt;计及源荷双侧不确定性的跨区互联电网源网荷协同调度&lt;/Title&gt;&lt;Template&gt;Journal Article&lt;/Template&gt;&lt;Star&gt;0&lt;/Star&gt;&lt;Tag&gt;0&lt;/Tag&gt;&lt;Author&gt;吕凯; 唐昊; 王珂; 汤必强; 吴海伟&lt;/Author&gt;&lt;Year&gt;2019&lt;/Year&gt;&lt;Details&gt;&lt;_author_adr&gt;合肥工业大学电气与自动化工程学院;中国电力科学研究院有限公司(南京);国网江苏省电力有限公司;&lt;/_author_adr&gt;&lt;_collection_scope&gt;CSCD;PKU;EI&lt;/_collection_scope&gt;&lt;_created&gt;63671847&lt;/_created&gt;&lt;_db_provider&gt;CNKI&lt;/_db_provider&gt;&lt;_isbn&gt;1000-1026&lt;/_isbn&gt;&lt;_issue&gt;22&lt;/_issue&gt;&lt;_journal&gt;电力系统自动化&lt;/_journal&gt;&lt;_keywords&gt;跨区互联电网;日前优化调度;源荷双侧不确定性;协同调度;多目标&lt;/_keywords&gt;&lt;_modified&gt;63671847&lt;/_modified&gt;&lt;_pages&gt;38-45+150&lt;/_pages&gt;&lt;_volume&gt;43&lt;/_volume&gt;&lt;_translated_author&gt;Lu, Kai;Tang, Hao;Wang, Ke;Tang, Biqiang;Wu, Haiwei&lt;/_translated_author&gt;&lt;/Details&gt;&lt;Extra&gt;&lt;DBUID&gt;{F96A950B-833F-4880-A151-76DA2D6A2879}&lt;/DBUID&gt;&lt;/Extra&gt;&lt;/Item&gt;&lt;/References&gt;&lt;/Group&gt;&lt;/Citation&gt;_x000a_"/>
    <w:docVar w:name="NE.Ref{23B01B96-CA1B-491A-B337-D5E5897A6AF0}" w:val=" ADDIN NE.Ref.{23B01B96-CA1B-491A-B337-D5E5897A6AF0}&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23F12B6C-B38D-46A3-B86E-9AD86C9D7016}" w:val=" ADDIN NE.Ref.{23F12B6C-B38D-46A3-B86E-9AD86C9D7016}&lt;Citation&gt;&lt;Group&gt;&lt;References&gt;&lt;Item&gt;&lt;ID&gt;586&lt;/ID&gt;&lt;UID&gt;{357AB647-38D1-4E0E-A040-9CB6BE4E0485}&lt;/UID&gt;&lt;Title&gt;Dynamic economic emission dispatch using nondominated sorting genetic algorithm-II&lt;/Title&gt;&lt;Template&gt;Journal Article&lt;/Template&gt;&lt;Star&gt;0&lt;/Star&gt;&lt;Tag&gt;0&lt;/Tag&gt;&lt;Author&gt;Basu, M&lt;/Author&gt;&lt;Year&gt;2008&lt;/Year&gt;&lt;Details&gt;&lt;_collection_scope&gt;SCIE;EI&lt;/_collection_scope&gt;&lt;_created&gt;63704950&lt;/_created&gt;&lt;_impact_factor&gt;   3.588&lt;/_impact_factor&gt;&lt;_issue&gt;2&lt;/_issue&gt;&lt;_journal&gt;International Journal of Electrical Power &amp;amp; Energy Systems&lt;/_journal&gt;&lt;_modified&gt;63704950&lt;/_modified&gt;&lt;_pages&gt;140-149&lt;/_pages&gt;&lt;_volume&gt;30&lt;/_volume&gt;&lt;/Details&gt;&lt;Extra&gt;&lt;DBUID&gt;{F96A950B-833F-4880-A151-76DA2D6A2879}&lt;/DBUID&gt;&lt;/Extra&gt;&lt;/Item&gt;&lt;/References&gt;&lt;/Group&gt;&lt;/Citation&gt;_x000a_"/>
    <w:docVar w:name="NE.Ref{249AD440-A601-407D-8DFE-A0DF6758E25D}" w:val=" ADDIN NE.Ref.{249AD440-A601-407D-8DFE-A0DF6758E25D}&lt;Citation&gt;&lt;Group&gt;&lt;References&gt;&lt;Item&gt;&lt;ID&gt;452&lt;/ID&gt;&lt;UID&gt;{15E99C73-4689-40A2-A5C1-D027AC97E65C}&lt;/UID&gt;&lt;Title&gt;考虑降低多馈入直流换相失败风险的动态无功补偿配置方法&lt;/Title&gt;&lt;Template&gt;Journal Article&lt;/Template&gt;&lt;Star&gt;0&lt;/Star&gt;&lt;Tag&gt;0&lt;/Tag&gt;&lt;Author&gt;周仕豪; 唐飞; 刘涤尘; 张谦; 王少辉; 殷巧玲&lt;/Author&gt;&lt;Year&gt;2018&lt;/Year&gt;&lt;Details&gt;&lt;_accessed&gt;63445965&lt;/_accessed&gt;&lt;_accession_num&gt;CSCD:6346469_x000d__x000a_ER&lt;/_accession_num&gt;&lt;_cited_count&gt;1&lt;/_cited_count&gt;&lt;_collection_scope&gt;CSCD;PKU;EI&lt;/_collection_scope&gt;&lt;_created&gt;63444588&lt;/_created&gt;&lt;_date_display&gt;2018, 2018&lt;/_date_display&gt;&lt;_db_provider&gt;ISI&lt;/_db_provider&gt;&lt;_isbn&gt;1003-6520&lt;/_isbn&gt;&lt;_issue&gt;1003-6520(2018)44:10&amp;lt;3258:KLJDDK&amp;gt;2.0.TX;2-610&lt;/_issue&gt;&lt;_journal&gt;高电压技术&lt;/_journal&gt;&lt;_modified&gt;63445965&lt;/_modified&gt;&lt;_pages&gt;3258-3265&lt;/_pages&gt;&lt;_tertiary_title&gt;High Voltage Engineering&lt;/_tertiary_title&gt;&lt;_translated_author&gt;Zhou, Shihao; Tang, Fei; Liu, Dichen; Zhang, Qian; Wang, Shaohui; Yin, Qiaoling&lt;/_translated_author&gt;&lt;_translated_title&gt;Dynamic Reactive Power Compensation Configuration Method for Reducing the Risk of Commutation Failure in Multi-infeed DC System&lt;/_translated_title&gt;&lt;_url&gt;CSCD:6346469&lt;/_url&gt;&lt;_volume&gt;44&lt;/_volume&gt;&lt;/Details&gt;&lt;Extra&gt;&lt;DBUID&gt;{6891F4B0-DCBA-459A-9A22-3059983243D4}&lt;/DBUID&gt;&lt;/Extra&gt;&lt;/Item&gt;&lt;/References&gt;&lt;/Group&gt;&lt;Group&gt;&lt;References&gt;&lt;Item&gt;&lt;ID&gt;467&lt;/ID&gt;&lt;UID&gt;{94461B99-FB0D-44B8-B267-E425DB2E981C}&lt;/UID&gt;&lt;Title&gt;一种抑制HVDC换相失败的STATCOM补偿方案&lt;/Title&gt;&lt;Template&gt;Journal Article&lt;/Template&gt;&lt;Star&gt;0&lt;/Star&gt;&lt;Tag&gt;0&lt;/Tag&gt;&lt;Author&gt;王轩; 魏宏; 欧朱建; 付永生; 喻劲松&lt;/Author&gt;&lt;Year&gt;2018&lt;/Year&gt;&lt;Details&gt;&lt;_accessed&gt;63445970&lt;/_accessed&gt;&lt;_accession_num&gt;CSCD:6201828_x000d__x000a_ER&lt;/_accession_num&gt;&lt;_cited_count&gt;0&lt;/_cited_count&gt;&lt;_collection_scope&gt;CSCD;PKU&lt;/_collection_scope&gt;&lt;_created&gt;63444588&lt;/_created&gt;&lt;_date_display&gt;2018, 2018&lt;/_date_display&gt;&lt;_db_provider&gt;ISI&lt;/_db_provider&gt;&lt;_isbn&gt;1674-3415&lt;/_isbn&gt;&lt;_issue&gt;1674-3415(2018)46:5&amp;lt;135:YZYZHH&amp;gt;2.0.TX;2-H5&lt;/_issue&gt;&lt;_journal&gt;电力系统保护与控制&lt;/_journal&gt;&lt;_modified&gt;63445970&lt;/_modified&gt;&lt;_pages&gt;135-142&lt;/_pages&gt;&lt;_tertiary_title&gt;Power System Protection and Control&lt;/_tertiary_title&gt;&lt;_translated_author&gt;Wang, Xuan; Wei, Hong; Ou, Zhujian; Fu, Yongsheng; Yu, Jinsong&lt;/_translated_author&gt;&lt;_translated_title&gt;A STATCOM compensation scheme for suppressing commutation failure in HVDC system&lt;/_translated_title&gt;&lt;_url&gt;CSCD:6201828&lt;/_url&gt;&lt;_volume&gt;46&lt;/_volume&gt;&lt;/Details&gt;&lt;Extra&gt;&lt;DBUID&gt;{6891F4B0-DCBA-459A-9A22-3059983243D4}&lt;/DBUID&gt;&lt;/Extra&gt;&lt;/Item&gt;&lt;/References&gt;&lt;/Group&gt;&lt;Group&gt;&lt;References&gt;&lt;Item&gt;&lt;ID&gt;373&lt;/ID&gt;&lt;UID&gt;{72E84175-9852-4AD2-863A-26D495E7D1C2}&lt;/UID&gt;&lt;Title&gt;Optimal Allocation of Dynamic Var Sources for Reducing the Probability of Commutation Failure Occurrence in the Receiving-End Systems&lt;/Title&gt;&lt;Template&gt;Journal Article&lt;/Template&gt;&lt;Star&gt;0&lt;/Star&gt;&lt;Tag&gt;0&lt;/Tag&gt;&lt;Author&gt;Zhou, Yongzhi; Wu, Hao; Wei, Wei; Song, Yonghua; Deng, Hui&lt;/Author&gt;&lt;Year&gt;2019&lt;/Year&gt;&lt;Details&gt;&lt;_accessed&gt;63445973&lt;/_accessed&gt;&lt;_accession_num&gt;WOS:000457307700032_x000d__x000a_ER&lt;/_accession_num&gt;&lt;_cited_count&gt;4&lt;/_cited_count&gt;&lt;_collection_scope&gt;SCI;SCIE;EI&lt;/_collection_scope&gt;&lt;_created&gt;63444588&lt;/_created&gt;&lt;_date_display&gt;2019, FEB 2019&lt;/_date_display&gt;&lt;_db_provider&gt;ISI&lt;/_db_provider&gt;&lt;_doi&gt;10.1109/TPWRD.2018.2874976&lt;/_doi&gt;&lt;_impact_factor&gt;   3.681&lt;/_impact_factor&gt;&lt;_isbn&gt;0885-8977&lt;/_isbn&gt;&lt;_issue&gt;1&lt;/_issue&gt;&lt;_journal&gt;IEEE TRANSACTIONS ON POWER DELIVERY&lt;/_journal&gt;&lt;_modified&gt;63446042&lt;/_modified&gt;&lt;_pages&gt;324-333&lt;/_pages&gt;&lt;_url&gt;http://gateway.isiknowledge.com/gateway/Gateway.cgi?GWVersion=2&amp;amp;SrcAuth=AegeanSoftware&amp;amp;SrcApp=NoteExpress&amp;amp;DestLinkType=FullRecord&amp;amp;DestApp=WOS&amp;amp;KeyUT=000457307700032 _x000d__x000a_https://ieeexplore.ieee.org/stampPDF/getPDF.jsp?tp=&amp;amp;arnumber=8486679&amp;amp;ref=aHR0cHM6Ly9pZWVleHBsb3JlLmllZWUub3JnL3Jlc3Qvc2VhcmNo _x000d__x000a_&lt;/_url&gt;&lt;_volume&gt;34&lt;/_volume&gt;&lt;/Details&gt;&lt;Extra&gt;&lt;DBUID&gt;{6891F4B0-DCBA-459A-9A22-3059983243D4}&lt;/DBUID&gt;&lt;/Extra&gt;&lt;/Item&gt;&lt;/References&gt;&lt;/Group&gt;&lt;Group&gt;&lt;References&gt;&lt;Item&gt;&lt;ID&gt;407&lt;/ID&gt;&lt;UID&gt;{4C12275B-419C-4484-9D32-76EEC606FF1B}&lt;/UID&gt;&lt;Title&gt;一种改进的STATCOM 暂态无功控制策略&lt;/Title&gt;&lt;Template&gt;Journal Article&lt;/Template&gt;&lt;Star&gt;0&lt;/Star&gt;&lt;Tag&gt;0&lt;/Tag&gt;&lt;Author&gt;姬煜轲; 李春华; 赵晓斌; 郭龙; 李岩&lt;/Author&gt;&lt;Year&gt;2019&lt;/Year&gt;&lt;Details&gt;&lt;_accessed&gt;63446004&lt;/_accessed&gt;&lt;_accession_num&gt;CSCD:6543690_x000d__x000a_ER&lt;/_accession_num&gt;&lt;_cited_count&gt;0&lt;/_cited_count&gt;&lt;_collection_scope&gt;PKU&lt;/_collection_scope&gt;&lt;_created&gt;63444588&lt;/_created&gt;&lt;_date_display&gt;2019, 2019&lt;/_date_display&gt;&lt;_db_provider&gt;ISI&lt;/_db_provider&gt;&lt;_isbn&gt;1674-0629&lt;/_isbn&gt;&lt;_issue&gt;1674-0629(2019)13:5&amp;lt;50:YZGJDS&amp;gt;2.0.TX;2-#5&lt;/_issue&gt;&lt;_journal&gt;南方电网技术&lt;/_journal&gt;&lt;_modified&gt;63446005&lt;/_modified&gt;&lt;_pages&gt;50-57&lt;/_pages&gt;&lt;_tertiary_title&gt;Southern Power System Technology&lt;/_tertiary_title&gt;&lt;_translated_author&gt;Ji, Yuke; Li, Chunhua; Zhao, Xiaobin; Guo, Long; Li, Yan&lt;/_translated_author&gt;&lt;_translated_title&gt;An Improved STATCOM Transient Reactive Power Control Strategy&lt;/_translated_title&gt;&lt;_url&gt;CSCD:6543690&lt;/_url&gt;&lt;_volume&gt;13&lt;/_volume&gt;&lt;/Details&gt;&lt;Extra&gt;&lt;DBUID&gt;{6891F4B0-DCBA-459A-9A22-3059983243D4}&lt;/DBUID&gt;&lt;/Extra&gt;&lt;/Item&gt;&lt;/References&gt;&lt;/Group&gt;&lt;Group&gt;&lt;References&gt;&lt;Item&gt;&lt;ID&gt;335&lt;/ID&gt;&lt;UID&gt;{4689F621-908D-437F-B7CB-37D2264C6E3D}&lt;/UID&gt;&lt;Title&gt;A comprehensive improved coordinated control strategy for a STATCOM integrated HVDC system with enhanced steady/transient state behaviors&lt;/Title&gt;&lt;Template&gt;Journal Article&lt;/Template&gt;&lt;Star&gt;0&lt;/Star&gt;&lt;Tag&gt;0&lt;/Tag&gt;&lt;Author&gt;Wang, Puyu; Wang, Yongkun; Jiang, Ningqiang; Gu, Wei&lt;/Author&gt;&lt;Year&gt;2020&lt;/Year&gt;&lt;Details&gt;&lt;_accessed&gt;63446009&lt;/_accessed&gt;&lt;_accession_num&gt;WOS:000539280100003_x000d__x000a_ER&lt;/_accession_num&gt;&lt;_cited_count&gt;0&lt;/_cited_count&gt;&lt;_collection_scope&gt;SCIE;EI&lt;/_collection_scope&gt;&lt;_created&gt;63444588&lt;/_created&gt;&lt;_date_display&gt;2020, OCT 2020&lt;/_date_display&gt;&lt;_db_provider&gt;ISI&lt;/_db_provider&gt;&lt;_doi&gt;10.1016/j.ijepes.2020.106091&lt;/_doi&gt;&lt;_impact_factor&gt;   3.588&lt;/_impact_factor&gt;&lt;_isbn&gt;0142-0615&lt;/_isbn&gt;&lt;_issue&gt;106091&lt;/_issue&gt;&lt;_journal&gt;INTERNATIONAL JOURNAL OF ELECTRICAL POWER &amp;amp; ENERGY SYSTEMS&lt;/_journal&gt;&lt;_modified&gt;63446035&lt;/_modified&gt;&lt;_url&gt;http://gateway.isiknowledge.com/gateway/Gateway.cgi?GWVersion=2&amp;amp;SrcAuth=AegeanSoftware&amp;amp;SrcApp=NoteExpress&amp;amp;DestLinkType=FullRecord&amp;amp;DestApp=WOS&amp;amp;KeyUT=000539280100003 _x000d__x000a_https://pdf.sciencedirectassets.com/271479/1-s2.0-S0142061520X00044/1-s2.0-S0142061519330248/main.pdf?X-Amz-Security-Token=IQoJb3JpZ2luX2VjECoaCXVzLWVhc3QtMSJGMEQCIFMg3d9CXQZFvBYEHTkJBN3alQ0O06oPVJyx2nsCYIP%2BAiAaxERHPBboUqaQH3JZCdhyecQM0V1O7omsJwd18UlTjiq0AwgTEAMaDDA1OTAwMzU0Njg2NSIMpRVhl5UEST%2BdaRivKpEDyuGqtkhfHIGsrhaUHCuzmcycSLtftVAoEr3sOjOFBDt9pQkbmkR4qRFn7VDfEmkp23VuqzBazst9FlCMS0aBHITu5hbhfTV5UHOe7xnYwSHoRS9Uj45yrJ7bsXe1d5eVcxcXRL6AJmI1GBaZacwSIpAtqtbyU9kN256nSUa59vB8Df3Iuht53gxvnJRzGUZlJ9mjCDoA%2Bvn%2FQbmlzM%2FyiyS3qxihVnxypD8ZwEvUEpwu%2FSmXSUd53y1JsFPPV8n67PoJ4Bng9egkks3%2FOkFww0b0DDuYWgNadGffU6L0U5WXOhJSfAMXcUhCzC0zzQ5hv%2B8MUXnrYt5VgyHZ6PpqNeRrnBDAq4fPMURa804wj2bxrEYV914TQ20tWcYHZw76YBYTdevJ55Cb%2FJui58M3CHYsHjPM80bQHcoWtAASjsQML1KIps8NwctqYfWEEgnF8d%2BSN2V8gp3euqKam3vjAC5hA61vZ0E%2FS8qGo8qyCNuPs877hLQF3oLMxca8HqEZEXTpHL%2FvgdpTbQEilonKmQUwuLvu%2BQU67AH00cqZHrrAZGFx%2FC9Rutur1Oe09V68PlBLlisGjGvjciMCFNFXY0rYHnH5TNtEceAU9PheZKIdjtCMHAYICyd6VdZ2cZ2loF5z9HcvC0aWyAyO47TRzDX5UFl62OGHdJ1foyO3mtWVWnX0XQ0oizqktxIZN1cTWx7BWzFfSgGKAvH1JRs6EssxXtuZxVX1F4qsk11xPbAIZNHIiwNPQFwmf7WKcfZMZDddmnyBtsK0A7w1AGFfk8RvqJDw42UT5RnmsLVQtTLQv7vtM%2Bz8eW7Wrz1DibUsLx7h9hsxooFuVfAGtq2jsvsEWJmzAQ%3D%3D&amp;amp;X-Amz-Algorithm=AWS4-HMAC-SHA256&amp;amp;X-Amz-Date=20200818T095451Z&amp;amp;X-Amz-SignedHeaders=host&amp;amp;X-Amz-Expires=300&amp;amp;X-Amz-Credential=ASIAQ3PHCVTY5AAOB72O%2F20200818%2Fus-east-1%2Fs3%2Faws4_request&amp;amp;X-Amz-Signature=d21b30cfe1a875823209add2c13a76c1bd5e4581e47e45d1aa0c251a9418ed7f&amp;amp;hash=b8fca4e1bf342430a783201f518373255d443aa3e7826a9398cfd0cb89e9e992&amp;amp;host=68042c943591013ac2b2430a89b270f6af2c76d8dfd086a07176afe7c76c2c61&amp;amp;pii=S0142061519330248&amp;amp;tid=spdf-0cd7b4f8-f848-413a-8366-6b9fe3b55d56&amp;amp;sid=f564c3e788f1b24cdb9b250-78bf2ef1e7c1gxrqa&amp;amp;type=client _x000d__x000a_&lt;/_url&gt;&lt;_volume&gt;121&lt;/_volume&gt;&lt;/Details&gt;&lt;Extra&gt;&lt;DBUID&gt;{6891F4B0-DCBA-459A-9A22-3059983243D4}&lt;/DBUID&gt;&lt;/Extra&gt;&lt;/Item&gt;&lt;/References&gt;&lt;/Group&gt;&lt;/Citation&gt;_x000a_"/>
    <w:docVar w:name="NE.Ref{2572032F-C66C-4820-BE1D-56B4AE33ADC0}" w:val=" ADDIN NE.Ref.{2572032F-C66C-4820-BE1D-56B4AE33ADC0}&lt;Citation&gt;&lt;Group&gt;&lt;References&gt;&lt;Item&gt;&lt;ID&gt;619&lt;/ID&gt;&lt;UID&gt;{644C5603-96F6-4BD9-A132-3C879488D150}&lt;/UID&gt;&lt;Title&gt;面向风电消纳的电–气联合系统分散协调鲁棒优化调度模型&lt;/Title&gt;&lt;Template&gt;Journal Article&lt;/Template&gt;&lt;Star&gt;0&lt;/Star&gt;&lt;Tag&gt;0&lt;/Tag&gt;&lt;Author&gt;郭尊; 李庚银; 周明; 王剑晓&lt;/Author&gt;&lt;Year&gt;2020&lt;/Year&gt;&lt;Details&gt;&lt;_author_adr&gt;新能源电力系统国家重点实验室(华北电力大学);&lt;/_author_adr&gt;&lt;_collection_scope&gt;CSCD;PKU;EI&lt;/_collection_scope&gt;&lt;_created&gt;63705360&lt;/_created&gt;&lt;_db_provider&gt;CNKI&lt;/_db_provider&gt;&lt;_isbn&gt;0258-8013&lt;/_isbn&gt;&lt;_issue&gt;20&lt;/_issue&gt;&lt;_journal&gt;中国电机工程学报&lt;/_journal&gt;&lt;_keywords&gt;电–气联合系统;风电消纳;动态管存;分散协调调度;两阶段鲁棒优化&lt;/_keywords&gt;&lt;_modified&gt;63705360&lt;/_modified&gt;&lt;_pages&gt;6442-6455&lt;/_pages&gt;&lt;_volume&gt;40&lt;/_volume&gt;&lt;_translated_author&gt;Guo, Zun;Li, Gengyin;Zhou, Ming;Wang, Jianxiao&lt;/_translated_author&gt;&lt;/Details&gt;&lt;Extra&gt;&lt;DBUID&gt;{F96A950B-833F-4880-A151-76DA2D6A2879}&lt;/DBUID&gt;&lt;/Extra&gt;&lt;/Item&gt;&lt;/References&gt;&lt;/Group&gt;&lt;/Citation&gt;_x000a_"/>
    <w:docVar w:name="NE.Ref{2642B70D-DCB8-4D35-89F1-84C31FECE46D}" w:val=" ADDIN NE.Ref.{2642B70D-DCB8-4D35-89F1-84C31FECE46D}&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483389&lt;/_accessed&gt;&lt;_created&gt;63459198&lt;/_created&gt;&lt;_date&gt;54169920&lt;/_date&gt;&lt;_modified&gt;63483389&lt;/_modified&gt;&lt;_pages&gt;51-56&lt;/_pages&gt;&lt;_secondary_title&gt; Proc. Int. Conf. Power Syst. Technol&lt;/_secondary_title&gt;&lt;_volume&gt;1&lt;/_volume&gt;&lt;/Details&gt;&lt;Extra&gt;&lt;DBUID&gt;{6891F4B0-DCBA-459A-9A22-3059983243D4}&lt;/DBUID&gt;&lt;/Extra&gt;&lt;/Item&gt;&lt;/References&gt;&lt;/Group&gt;&lt;/Citation&gt;_x000a_"/>
    <w:docVar w:name="NE.Ref{268C799A-4DFB-4CAF-B714-220BBD3D35E8}" w:val=" ADDIN NE.Ref.{268C799A-4DFB-4CAF-B714-220BBD3D35E8}&lt;Citation&gt;&lt;Group&gt;&lt;References&gt;&lt;Item&gt;&lt;ID&gt;100&lt;/ID&gt;&lt;UID&gt;{4D635D96-1EA4-47E7-947B-E7E1C72C08B9}&lt;/UID&gt;&lt;Title&gt;计及碳交易成本的含风电电力系统热电联合调度&lt;/Title&gt;&lt;Template&gt;Journal Article&lt;/Template&gt;&lt;Star&gt;0&lt;/Star&gt;&lt;Tag&gt;0&lt;/Tag&gt;&lt;Author&gt;王振浩; 许京剑; 田春光; 成龙&lt;/Author&gt;&lt;Year&gt;2020&lt;/Year&gt;&lt;Details&gt;&lt;_accessed&gt;64303949&lt;/_accessed&gt;&lt;_author_aff&gt;东北电力大学电气工程学院;吉林省电力科学研究院;&lt;/_author_aff&gt;&lt;_cited_count&gt;7&lt;/_cited_count&gt;&lt;_collection_scope&gt;CSCD;PKU;EI&lt;/_collection_scope&gt;&lt;_created&gt;64303872&lt;/_created&gt;&lt;_date&gt;63635040&lt;/_date&gt;&lt;_db_updated&gt;CNKI - Reference&lt;/_db_updated&gt;&lt;_issue&gt;12&lt;/_issue&gt;&lt;_journal&gt;太阳能学报&lt;/_journal&gt;&lt;_keywords&gt;风电;热电联产机组;调度;碳排放;CPLEX&lt;/_keywords&gt;&lt;_language&gt;Chinese&lt;/_language&gt;&lt;_modified&gt;64303949&lt;/_modified&gt;&lt;_pages&gt;245-253&lt;/_pages&gt;&lt;_url&gt;https://kns.cnki.net/kcms/detail/detail.aspx?FileName=TYLX202012034&amp;amp;DbName=DKFX2020&lt;/_url&gt;&lt;_volume&gt;41&lt;/_volume&gt;&lt;_translated_author&gt;Wang, Zhenhao;Xu, Jingjian;Tian, Chunguang;Cheng, Long&lt;/_translated_author&gt;&lt;/Details&gt;&lt;Extra&gt;&lt;DBUID&gt;{560D5FFD-5A46-4EB8-859B-FD657304A42E}&lt;/DBUID&gt;&lt;/Extra&gt;&lt;/Item&gt;&lt;/References&gt;&lt;/Group&gt;&lt;/Citation&gt;_x000a_"/>
    <w:docVar w:name="NE.Ref{272BD99C-458D-486A-AABC-FFDCD8D3E4C3}" w:val=" ADDIN NE.Ref.{272BD99C-458D-486A-AABC-FFDCD8D3E4C3}&lt;Citation&gt;&lt;Group&gt;&lt;References&gt;&lt;Item&gt;&lt;ID&gt;926&lt;/ID&gt;&lt;UID&gt;{C4A89759-66D7-4141-A1FC-B474E70AEB29}&lt;/UID&gt;&lt;Title&gt;Interaction Mechanism and Coordinated Control of Commutation Failure Prevention in Multi-Infeed Ultra-HVDC System&lt;/Title&gt;&lt;Template&gt;Journal Article&lt;/Template&gt;&lt;Star&gt;0&lt;/Star&gt;&lt;Tag&gt;0&lt;/Tag&gt;&lt;Author&gt;Yao, W; Wang, L R; Xiong, Y X; Tan, Y C; Li, D H; Li, C H; Wen, J Y&lt;/Author&gt;&lt;Year&gt;2022&lt;/Year&gt;&lt;Details&gt;&lt;_alternate_title&gt;INTERNATIONAL TRANSACTIONS ON ELECTRICAL ENERGY SYSTEMS&lt;/_alternate_title&gt;&lt;_author_adr&gt;Huazhong Univ Sci &amp;amp; Technol, Sch Elect &amp;amp; Elect Engn, State Key Lab Adv Electromagnet Engn &amp;amp; Technol, Wuhan 430074, Peoples R China; State Grid Corp China, Northwest Branch, Xian 710048, Peoples R China; Smart Grid Hubei Elect Power Co Ltd, Wuhan 430077, Peoples R China; State Grid Henan Elect Power Co, Elect Power Res Inst, Zhengzhou 450052, Peoples R China&lt;/_author_adr&gt;&lt;_cited_count&gt;3&lt;/_cited_count&gt;&lt;_collection_scope&gt;SCIE;EI&lt;/_collection_scope&gt;&lt;_created&gt;64655769&lt;/_created&gt;&lt;_date&gt;2022-01-01&lt;/_date&gt;&lt;_date_display&gt;2022&lt;/_date_display&gt;&lt;_db_updated&gt;Web of Science-Core&lt;/_db_updated&gt;&lt;_doi&gt;10.1155/2022/7088114&lt;/_doi&gt;&lt;_impact_factor&gt;   2.639&lt;/_impact_factor&gt;&lt;_journal&gt;INTERNATIONAL TRANSACTIONS ON ELECTRICAL ENERGY SYSTEMS&lt;/_journal&gt;&lt;_modified&gt;64655770&lt;/_modified&gt;&lt;_volume&gt;2022&lt;/_volume&gt;&lt;/Details&gt;&lt;Extra&gt;&lt;DBUID&gt;{6891F4B0-DCBA-459A-9A22-3059983243D4}&lt;/DBUID&gt;&lt;/Extra&gt;&lt;/Item&gt;&lt;/References&gt;&lt;/Group&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449863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272F6F74-A07A-4D4E-B535-B40929321850}" w:val=" ADDIN NE.Ref.{272F6F74-A07A-4D4E-B535-B40929321850}&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27F9A41D-CB59-44F3-B4FA-96E1E7CD5621}" w:val=" ADDIN NE.Ref.{27F9A41D-CB59-44F3-B4FA-96E1E7CD5621}&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28DCCEEA-3FCC-4957-AB3C-7A5989574584}" w:val=" ADDIN NE.Ref.{28DCCEEA-3FCC-4957-AB3C-7A5989574584}&lt;Citation&gt;&lt;Group&gt;&lt;References&gt;&lt;Item&gt;&lt;ID&gt;668&lt;/ID&gt;&lt;UID&gt;{E75F96D4-2A3C-4D2B-B3E2-F702CD3D727A}&lt;/UID&gt;&lt;Title&gt;COMMUTATION FAILURES IN HVDC TRANSMISSION SYSTEMS&lt;/Title&gt;&lt;Template&gt;Journal Article&lt;/Template&gt;&lt;Star&gt;0&lt;/Star&gt;&lt;Tag&gt;5&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726871&lt;/_modified&gt;&lt;_pages&gt;946-957&lt;/_pages&gt;&lt;_volume&gt;11&lt;/_volume&gt;&lt;/Details&gt;&lt;Extra&gt;&lt;DBUID&gt;{6891F4B0-DCBA-459A-9A22-3059983243D4}&lt;/DBUID&gt;&lt;/Extra&gt;&lt;/Item&gt;&lt;/References&gt;&lt;/Group&gt;&lt;Group&gt;&lt;References&gt;&lt;Item&gt;&lt;ID&gt;615&lt;/ID&gt;&lt;UID&gt;{290BCD97-398B-4C6A-BB26-2F662D91A427}&lt;/UID&gt;&lt;Title&gt;Commutation Failure Analysis in Multi-Infeed HVDC Systems&lt;/Title&gt;&lt;Template&gt;Journal Article&lt;/Template&gt;&lt;Star&gt;0&lt;/Star&gt;&lt;Tag&gt;0&lt;/Tag&gt;&lt;Author&gt;Rahimi, Ebrahim; Gole, A M; Davies, J B; Fernando, Ioni T; Kent, K L&lt;/Author&gt;&lt;Year&gt;2011&lt;/Year&gt;&lt;Details&gt;&lt;_accessed&gt;63445738&lt;/_accessed&gt;&lt;_accession_num&gt;WOS:000285845600043_x000d__x000a_ER&lt;/_accession_num&gt;&lt;_cited_count&gt;125&lt;/_cited_count&gt;&lt;_collection_scope&gt;SCI;SCIE;EI&lt;/_collection_scope&gt;&lt;_created&gt;63444588&lt;/_created&gt;&lt;_date_display&gt;2011, JAN 2011&lt;/_date_display&gt;&lt;_db_provider&gt;ISI&lt;/_db_provider&gt;&lt;_doi&gt;10.1109/TPWRD.2010.2081692&lt;/_doi&gt;&lt;_impact_factor&gt;   3.681&lt;/_impact_factor&gt;&lt;_isbn&gt;0885-8977&lt;/_isbn&gt;&lt;_issue&gt;1&lt;/_issue&gt;&lt;_journal&gt;IEEE TRANSACTIONS ON POWER DELIVERY&lt;/_journal&gt;&lt;_modified&gt;63445741&lt;/_modified&gt;&lt;_pages&gt;378-384&lt;/_pages&gt;&lt;_url&gt;http://gateway.isiknowledge.com/gateway/Gateway.cgi?GWVersion=2&amp;amp;SrcAuth=AegeanSoftware&amp;amp;SrcApp=NoteExpress&amp;amp;DestLinkType=FullRecord&amp;amp;DestApp=WOS&amp;amp;KeyUT=000285845600043 _x000d__x000a_https://ieeexplore.ieee.org/stampPDF/getPDF.jsp?tp=&amp;amp;arnumber=5673966&amp;amp;ref=aHR0cHM6Ly9pZWVleHBsb3JlLmllZWUub3JnL3Jlc3Qvc2VhcmNo _x000d__x000a_&lt;/_url&gt;&lt;_volume&gt;26&lt;/_volume&gt;&lt;/Details&gt;&lt;Extra&gt;&lt;DBUID&gt;{6891F4B0-DCBA-459A-9A22-3059983243D4}&lt;/DBUID&gt;&lt;/Extra&gt;&lt;/Item&gt;&lt;/References&gt;&lt;/Group&gt;&lt;/Citation&gt;_x000a_"/>
    <w:docVar w:name="NE.Ref{296AE95C-2828-4E12-B495-AF2A508EF157}" w:val=" ADDIN NE.Ref.{296AE95C-2828-4E12-B495-AF2A508EF157}&lt;Citation&gt;&lt;Group&gt;&lt;References&gt;&lt;Item&gt;&lt;ID&gt;483&lt;/ID&gt;&lt;UID&gt;{D4EBEA66-1FC7-4458-A648-8EFAA58D3C43}&lt;/UID&gt;&lt;Title&gt;Probability distribution calculation of the sum of hydrological random variables based on Copula function approach&lt;/Title&gt;&lt;Template&gt;Journal Article&lt;/Template&gt;&lt;Star&gt;0&lt;/Star&gt;&lt;Tag&gt;0&lt;/Tag&gt;&lt;Author&gt;Song, Songbai; Wang, Xiaojun&lt;/Author&gt;&lt;Year&gt;2018&lt;/Year&gt;&lt;Details&gt;&lt;_accession_num&gt;CSCD:6279013_x000d__x000a_ER&lt;/_accession_num&gt;&lt;_cited_count&gt;0&lt;/_cited_count&gt;&lt;_collection_scope&gt;SCI;SCIE;EI&lt;/_collection_scope&gt;&lt;_created&gt;63650344&lt;/_created&gt;&lt;_date_display&gt;2018, 2018&lt;/_date_display&gt;&lt;_db_provider&gt;ISI&lt;/_db_provider&gt;&lt;_impact_factor&gt;   1.993&lt;/_impact_factor&gt;&lt;_isbn&gt;0559-9350&lt;/_isbn&gt;&lt;_issue&gt;0559-9350(2018)49:6&amp;lt;687:JYCHSD&amp;gt;2.0.TX;2-G6&lt;/_issue&gt;&lt;_journal&gt;Journal of Hydraulic Engineering&lt;/_journal&gt;&lt;_modified&gt;63650344&lt;/_modified&gt;&lt;_pages&gt;687-693&lt;/_pages&gt;&lt;_tertiary_title&gt;水利学报&lt;/_tertiary_title&gt;&lt;_translated_author&gt;宋松柏_x000d__x000a_   王小军&lt;/_translated_author&gt;&lt;_translated_title&gt;基于Copula 函数的水文随机变量和概率分布计算&lt;/_translated_title&gt;&lt;_url&gt;CSCD:6279013&lt;/_url&gt;&lt;_volume&gt;49&lt;/_volume&gt;&lt;/Details&gt;&lt;Extra&gt;&lt;DBUID&gt;{F96A950B-833F-4880-A151-76DA2D6A2879}&lt;/DBUID&gt;&lt;/Extra&gt;&lt;/Item&gt;&lt;/References&gt;&lt;/Group&gt;&lt;/Citation&gt;_x000a_"/>
    <w:docVar w:name="NE.Ref{2B6755A4-0885-47E2-A0B9-271223850DA0}" w:val=" ADDIN NE.Ref.{2B6755A4-0885-47E2-A0B9-271223850DA0}&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2B8D74C9-4C59-4D8B-BC13-06283F8B5901}" w:val=" ADDIN NE.Ref.{2B8D74C9-4C59-4D8B-BC13-06283F8B5901}&lt;Citation&gt;&lt;Group&gt;&lt;References&gt;&lt;Item&gt;&lt;ID&gt;374&lt;/ID&gt;&lt;UID&gt;{60C32E17-1406-47C8-B648-8DF03F43201E}&lt;/UID&gt;&lt;Title&gt;大规模风电集中接入下直流换相失败引发交流联络线功率波动的机理&lt;/Title&gt;&lt;Template&gt;Journal Article&lt;/Template&gt;&lt;Star&gt;0&lt;/Star&gt;&lt;Tag&gt;0&lt;/Tag&gt;&lt;Author&gt;李峰; 蔡万通; 林勇; 左郑敏; 余浩; 许亮; 黄欣; 张野&lt;/Author&gt;&lt;Year&gt;2019&lt;/Year&gt;&lt;Details&gt;&lt;_accessed&gt;63445973&lt;/_accessed&gt;&lt;_accession_num&gt;CSCD:6647672_x000d__x000a_ER&lt;/_accession_num&gt;&lt;_cited_count&gt;0&lt;/_cited_count&gt;&lt;_collection_scope&gt;PKU&lt;/_collection_scope&gt;&lt;_created&gt;63444588&lt;/_created&gt;&lt;_date_display&gt;2019, 2019&lt;/_date_display&gt;&lt;_db_provider&gt;ISI&lt;/_db_provider&gt;&lt;_isbn&gt;1674-0629&lt;/_isbn&gt;&lt;_issue&gt;1674-0629(2019)13:11&amp;lt;29:DGMFDJ&amp;gt;2.0.TX;2-P11&lt;/_issue&gt;&lt;_journal&gt;南方电网技术&lt;/_journal&gt;&lt;_modified&gt;63445973&lt;/_modified&gt;&lt;_pages&gt;29-34&lt;/_pages&gt;&lt;_tertiary_title&gt;Southern Power System Technology&lt;/_tertiary_title&gt;&lt;_translated_author&gt;Li, Feng; Cai, Wantong; Lin, Yong; Zuo, Zhengmin; Yu, Hao; Xu, Liang; Huang, Xin; Zhang, Ye&lt;/_translated_author&gt;&lt;_translated_title&gt;Mechanism of AC Tie-Line Power Oscillation Caused by Commutation Failure Under the Circumstance of Large Scale Wind Power Connecting to Power Grid&lt;/_translated_title&gt;&lt;_url&gt;CSCD:6647672&lt;/_url&gt;&lt;_volume&gt;13&lt;/_volume&gt;&lt;/Details&gt;&lt;Extra&gt;&lt;DBUID&gt;{6891F4B0-DCBA-459A-9A22-3059983243D4}&lt;/DBUID&gt;&lt;/Extra&gt;&lt;/Item&gt;&lt;/References&gt;&lt;/Group&gt;&lt;Group&gt;&lt;References&gt;&lt;Item&gt;&lt;ID&gt;547&lt;/ID&gt;&lt;UID&gt;{EA279023-C05B-4685-BE43-53EEE56CEBBF}&lt;/UID&gt;&lt;Title&gt;Fast Calculation of Power Oscillation Peak Value on AC Tie-Line After HVDC Commutation Failure&lt;/Title&gt;&lt;Template&gt;Journal Article&lt;/Template&gt;&lt;Star&gt;0&lt;/Star&gt;&lt;Tag&gt;0&lt;/Tag&gt;&lt;Author&gt;He, Jian; Tang, Yong; Zhang, Jian; Guo, Qiang; Yi, Jun; Bu, Guangquan&lt;/Author&gt;&lt;Year&gt;2015&lt;/Year&gt;&lt;Details&gt;&lt;_accessed&gt;63470222&lt;/_accessed&gt;&lt;_accession_num&gt;WOS:000356531600055_x000d__x000a_ER&lt;/_accession_num&gt;&lt;_cited_count&gt;14&lt;/_cited_count&gt;&lt;_collection_scope&gt;SCI;SCIE;EI&lt;/_collection_scope&gt;&lt;_created&gt;63444588&lt;/_created&gt;&lt;_date_display&gt;2015, JUL 2015&lt;/_date_display&gt;&lt;_db_provider&gt;ISI&lt;/_db_provider&gt;&lt;_doi&gt;10.1109/TPWRS.2014.2357222&lt;/_doi&gt;&lt;_impact_factor&gt;   6.074&lt;/_impact_factor&gt;&lt;_isbn&gt;0885-8950&lt;/_isbn&gt;&lt;_issue&gt;4&lt;/_issue&gt;&lt;_journal&gt;IEEE TRANSACTIONS ON POWER SYSTEMS&lt;/_journal&gt;&lt;_modified&gt;63446132&lt;/_modified&gt;&lt;_pages&gt;2194-2195&lt;/_pages&gt;&lt;_url&gt;http://gateway.isiknowledge.com/gateway/Gateway.cgi?GWVersion=2&amp;amp;SrcAuth=AegeanSoftware&amp;amp;SrcApp=NoteExpress&amp;amp;DestLinkType=FullRecord&amp;amp;DestApp=WOS&amp;amp;KeyUT=000356531600055 _x000d__x000a_https://ieeexplore.ieee.org/stampPDF/getPDF.jsp?tp=&amp;amp;arnumber=6906308&amp;amp;ref=aHR0cHM6Ly9pZWVleHBsb3JlLmllZWUub3JnL3Jlc3Qvc2VhcmNo _x000d__x000a_&lt;/_url&gt;&lt;_volume&gt;30&lt;/_volume&gt;&lt;/Details&gt;&lt;Extra&gt;&lt;DBUID&gt;{6891F4B0-DCBA-459A-9A22-3059983243D4}&lt;/DBUID&gt;&lt;/Extra&gt;&lt;/Item&gt;&lt;/References&gt;&lt;/Group&gt;&lt;Group&gt;&lt;References&gt;&lt;Item&gt;&lt;ID&gt;572&lt;/ID&gt;&lt;UID&gt;{AB3BA30F-21EF-4034-BF45-61ECBC90F4FB}&lt;/UID&gt;&lt;Title&gt;直流换相失败冲击下的两区域交流联络线功率波动峰值计算&lt;/Title&gt;&lt;Template&gt;Journal Article&lt;/Template&gt;&lt;Star&gt;0&lt;/Star&gt;&lt;Tag&gt;0&lt;/Tag&gt;&lt;Author&gt;何剑; 张健; 郭强; 汤涌; 易俊; 卜广全&lt;/Author&gt;&lt;Year&gt;2015&lt;/Year&gt;&lt;Details&gt;&lt;_accessed&gt;63445918&lt;/_accessed&gt;&lt;_accession_num&gt;CSCD:5356554_x000d__x000a_ER&lt;/_accession_num&gt;&lt;_cited_count&gt;7&lt;/_cited_count&gt;&lt;_collection_scope&gt;CSCD;PKU;EI&lt;/_collection_scope&gt;&lt;_created&gt;63444588&lt;/_created&gt;&lt;_date_display&gt;2015, 2015&lt;/_date_display&gt;&lt;_db_provider&gt;ISI&lt;/_db_provider&gt;&lt;_isbn&gt;0258-8013&lt;/_isbn&gt;&lt;_issue&gt;0258-8013(2015)35:4&amp;lt;804:ZLHXSB&amp;gt;2.0.TX;2-P4&lt;/_issue&gt;&lt;_journal&gt;中国电机工程学报&lt;/_journal&gt;&lt;_modified&gt;63445918&lt;/_modified&gt;&lt;_pages&gt;804-810&lt;/_pages&gt;&lt;_tertiary_title&gt; Proceedings of the Chinese Society of Electrical Engineering&lt;/_tertiary_title&gt;&lt;_translated_author&gt;He, Jian; Zhang, Jian; Guo, Qiang; Tang, Yong; Yi, Jun; Bu, Guangquan&lt;/_translated_author&gt;&lt;_translated_title&gt;Peak Value Calculation of Power Oscillation on AC Tie-line for Two-area Interconnected Power Systems Caused by HVDC Commutation Failure&lt;/_translated_title&gt;&lt;_url&gt;CSCD:5356554&lt;/_url&gt;&lt;_volume&gt;35&lt;/_volume&gt;&lt;/Details&gt;&lt;Extra&gt;&lt;DBUID&gt;{6891F4B0-DCBA-459A-9A22-3059983243D4}&lt;/DBUID&gt;&lt;/Extra&gt;&lt;/Item&gt;&lt;/References&gt;&lt;/Group&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727867&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2BB2EF2B-9660-4A5A-871F-CC837E81E326}" w:val=" ADDIN NE.Ref.{2BB2EF2B-9660-4A5A-871F-CC837E81E326}&lt;Citation&gt;&lt;Group&gt;&lt;References&gt;&lt;Item&gt;&lt;ID&gt;876&lt;/ID&gt;&lt;UID&gt;{08025A91-1F64-486D-918B-EF125908750C}&lt;/UID&gt;&lt;Title&gt;特高压直流完全闭锁后的暂态压升计算方法&lt;/Title&gt;&lt;Template&gt;Journal Article&lt;/Template&gt;&lt;Star&gt;0&lt;/Star&gt;&lt;Tag&gt;0&lt;/Tag&gt;&lt;Author&gt;辛超山; 尹纯亚; 李凤婷; 刘新刚&lt;/Author&gt;&lt;Year&gt;2020&lt;/Year&gt;&lt;Details&gt;&lt;_accessed&gt;64647186&lt;/_accessed&gt;&lt;_author_aff&gt;国网新疆电力有限公司经济技术研究院;新疆大学电气工程学院;中国能源建设集团新疆电力设计院;&lt;/_author_aff&gt;&lt;_cited_count&gt;7&lt;/_cited_count&gt;&lt;_collection_scope&gt;PKU&lt;/_collection_scope&gt;&lt;_created&gt;64646879&lt;/_created&gt;&lt;_date&gt;2020-02-25&lt;/_date&gt;&lt;_db_updated&gt;CNKI - Reference&lt;/_db_updated&gt;&lt;_issue&gt;01&lt;/_issue&gt;&lt;_journal&gt;电力电容器与无功补偿&lt;/_journal&gt;&lt;_keywords&gt;特高压直流;直流闭锁;暂态过电压;无功功率;短路容量&lt;/_keywords&gt;&lt;_modified&gt;64647187&lt;/_modified&gt;&lt;_pages&gt;184-190&lt;/_pages&gt;&lt;_tertiary_title&gt;Power Capacitor &amp;amp; Reactive Power Compensation&lt;/_tertiary_title&gt;&lt;_translated_author&gt;XIN, Chaoshan; YIN, Chunya; LI, Fengting; LIU, Xingang&lt;/_translated_author&gt;&lt;_translated_title&gt;Calculation Method of Transient Voltage Rise after UHVDC Complete Blocking&lt;/_translated_title&gt;&lt;_url&gt;https://kns.cnki.net/kcms/detail/detail.aspx?FileName=DLDY202001029&amp;amp;DbName=CJFQ2020 _x000d__x000a_https://bar.cnki.net/bar/download/order?id=jBGETXBNdPImvx70aLAuJPYxPoFw%2bp%2bi0fIiSrcN6lUbDwI0xiIYfYI9EjbJAXTVVFn23Xs1FaBqYaCnwpNgcDnQrP31sd3qbIpJim%2fvA8Tl8E%2bCUVp5GtDTYhVF2dNUoJeGx62Ssygg68TNXJ%2b5JrigejDAar8Xqw%2f6WR22OFXUdUGh4At8VBYSvh%2fCUD5aoLCR0X5tPBEL7mLZVEdZp7E%2bNrkqzOHvmN3XxNvg5Gf5LXYX1qwFXwOc1HUZT%2bTB _x000d__x000a_&lt;/_url&gt;&lt;_volume&gt;41&lt;/_volume&gt;&lt;/Details&gt;&lt;Extra&gt;&lt;DBUID&gt;{6891F4B0-DCBA-459A-9A22-3059983243D4}&lt;/DBUID&gt;&lt;/Extra&gt;&lt;/Item&gt;&lt;/References&gt;&lt;/Group&gt;&lt;/Citation&gt;_x000a_"/>
    <w:docVar w:name="NE.Ref{2BC8962B-7F0F-4FE6-842D-88A8442D25C9}" w:val=" ADDIN NE.Ref.{2BC8962B-7F0F-4FE6-842D-88A8442D25C9}&lt;Citation&gt;&lt;Group&gt;&lt;References&gt;&lt;Item&gt;&lt;ID&gt;646&lt;/ID&gt;&lt;UID&gt;{D7E7DCAB-B2CA-4325-8F7F-80F4FF099901}&lt;/UID&gt;&lt;Title&gt;Optimization and evaluation of CCHP systems considering incentive policies under different operation strategies&lt;/Title&gt;&lt;Template&gt;Journal Article&lt;/Template&gt;&lt;Star&gt;0&lt;/Star&gt;&lt;Tag&gt;0&lt;/Tag&gt;&lt;Author&gt;A, Longxi Li; A, Shiwei Yu; B, Hailin Mu; C, Huanan Li&lt;/Author&gt;&lt;Year&gt;2018&lt;/Year&gt;&lt;Details&gt;&lt;_journal&gt;Energy&lt;/_journal&gt;&lt;_pages&gt;825-840&lt;/_pages&gt;&lt;_volume&gt;162&lt;/_volume&gt;&lt;_created&gt;63705608&lt;/_created&gt;&lt;_modified&gt;63705608&lt;/_modified&gt;&lt;_impact_factor&gt;   6.082&lt;/_impact_factor&gt;&lt;_collection_scope&gt;SCI;SCIE;EI&lt;/_collection_scope&gt;&lt;/Details&gt;&lt;Extra&gt;&lt;DBUID&gt;{F96A950B-833F-4880-A151-76DA2D6A2879}&lt;/DBUID&gt;&lt;/Extra&gt;&lt;/Item&gt;&lt;/References&gt;&lt;/Group&gt;&lt;/Citation&gt;_x000a_"/>
    <w:docVar w:name="NE.Ref{2BEF8C03-3DD1-40CF-BEB3-4F836E8A1BB2}" w:val=" ADDIN NE.Ref.{2BEF8C03-3DD1-40CF-BEB3-4F836E8A1BB2}&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2C1FF27A-FFEA-4560-861D-055F9198875F}" w:val=" ADDIN NE.Ref.{2C1FF27A-FFEA-4560-861D-055F9198875F}&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Citation&gt;_x000a_"/>
    <w:docVar w:name="NE.Ref{2C5A98B0-09A6-42B5-965A-E30C34EA48AB}" w:val=" ADDIN NE.Ref.{2C5A98B0-09A6-42B5-965A-E30C34EA48AB}&lt;Citation&gt;&lt;Group&gt;&lt;References&gt;&lt;Item&gt;&lt;ID&gt;720&lt;/ID&gt;&lt;UID&gt;{AF1138C5-9A6A-4819-9B10-A2BB428C155C}&lt;/UID&gt;&lt;Title&gt;风光火打捆交直流外送系统的高频切机方案研究&lt;/Title&gt;&lt;Template&gt;Journal Article&lt;/Template&gt;&lt;Star&gt;0&lt;/Star&gt;&lt;Tag&gt;0&lt;/Tag&gt;&lt;Author&gt;陈赟; 陈得治; 马世英; 王毅; 宋云亭; 高峰; 吕思昕&lt;/Author&gt;&lt;Year&gt;2016&lt;/Year&gt;&lt;Details&gt;&lt;_author_aff&gt;新能源电力系统国家重点实验室(华北电力大学);中国电力科学研究院;国网宁夏电力公司电力科学研究院;&lt;/_author_aff&gt;&lt;_date&gt;2016-01-05&lt;/_date&gt;&lt;_db_provider&gt;CNKI: 期刊&lt;/_db_provider&gt;&lt;_issue&gt;01&lt;/_issue&gt;&lt;_journal&gt;电网技术&lt;/_journal&gt;&lt;_keywords&gt;风光火打捆;直流闭锁;高频切机;轮次替代&lt;/_keywords&gt;&lt;_pages&gt;186-192&lt;/_pages&gt;&lt;_url&gt;http://kns.cnki.net/KCMS/detail/detail.aspx?FileName=DWJS201601034&amp;amp;DbName=CJFQ2016&lt;/_url&gt;&lt;_volume&gt;40&lt;/_volume&gt;&lt;_created&gt;63727895&lt;/_created&gt;&lt;_modified&gt;63727895&lt;/_modified&gt;&lt;_db_updated&gt;CNKI - Reference&lt;/_db_updated&gt;&lt;_collection_scope&gt;CSCD;PKU;EI&lt;/_collection_scope&gt;&lt;_translated_author&gt;Chen, Yun;Chen, Dezhi;Ma, Shiying;Wang, Yi;Song, Yunting;Gao, Feng;Lu, Sixin&lt;/_translated_author&gt;&lt;/Details&gt;&lt;Extra&gt;&lt;DBUID&gt;{6891F4B0-DCBA-459A-9A22-3059983243D4}&lt;/DBUID&gt;&lt;/Extra&gt;&lt;/Item&gt;&lt;/References&gt;&lt;/Group&gt;&lt;/Citation&gt;_x000a_"/>
    <w:docVar w:name="NE.Ref{2C7BBEE6-853D-4A5B-969F-EDB19F67CD16}" w:val=" ADDIN NE.Ref.{2C7BBEE6-853D-4A5B-969F-EDB19F67CD16}&lt;Citation&gt;&lt;Group&gt;&lt;References&gt;&lt;Item&gt;&lt;ID&gt;393&lt;/ID&gt;&lt;UID&gt;{F56A9865-8DCF-429D-BB8A-9534C98DE2B4}&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40280&lt;/_created&gt;&lt;_db_provider&gt;CNKI&lt;/_db_provider&gt;&lt;_isbn&gt;1000-3673&lt;/_isbn&gt;&lt;_issue&gt;08&lt;/_issue&gt;&lt;_journal&gt;电网技术&lt;/_journal&gt;&lt;_keywords&gt;配额制;可再生能源市场;电力市场;市场均衡&lt;/_keywords&gt;&lt;_modified&gt;63640280&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2CBD2C97-D99C-4C70-86DB-29F8C94237BB}" w:val=" ADDIN NE.Ref.{2CBD2C97-D99C-4C70-86DB-29F8C94237BB}&lt;Citation&gt;&lt;Group&gt;&lt;References&gt;&lt;Item&gt;&lt;ID&gt;642&lt;/ID&gt;&lt;UID&gt;{8279F446-24EF-49BD-A2D2-31BE016354B6}&lt;/UID&gt;&lt;Title&gt;Bi-level Two-stage Robust Optimal Scheduling for AC/DC Hybrid Multi-microgrids&lt;/Title&gt;&lt;Template&gt;Journal Article&lt;/Template&gt;&lt;Star&gt;0&lt;/Star&gt;&lt;Tag&gt;0&lt;/Tag&gt;&lt;Author&gt;Qiu, Haifeng; Zhao, Bo; Gu, Wei; Bo, Rui&lt;/Author&gt;&lt;Year&gt;2018&lt;/Year&gt;&lt;Details&gt;&lt;_journal&gt;IEEE Transactions on Smart Grid&lt;/_journal&gt;&lt;_pages&gt;1-1&lt;/_pages&gt;&lt;_created&gt;63705591&lt;/_created&gt;&lt;_modified&gt;63705591&lt;/_modified&gt;&lt;_impact_factor&gt;   8.267&lt;/_impact_factor&gt;&lt;_collection_scope&gt;SCIE;EI&lt;/_collection_scope&gt;&lt;/Details&gt;&lt;Extra&gt;&lt;DBUID&gt;{F96A950B-833F-4880-A151-76DA2D6A2879}&lt;/DBUID&gt;&lt;/Extra&gt;&lt;/Item&gt;&lt;/References&gt;&lt;/Group&gt;&lt;/Citation&gt;_x000a_"/>
    <w:docVar w:name="NE.Ref{2E242CCB-B212-457C-911D-7A35F60744CE}" w:val=" ADDIN NE.Ref.{2E242CCB-B212-457C-911D-7A35F60744CE}&lt;Citation&gt;&lt;Group&gt;&lt;References&gt;&lt;Item&gt;&lt;ID&gt;589&lt;/ID&gt;&lt;UID&gt;{986EA531-46F6-4CB9-AEC6-928E57D8364B}&lt;/UID&gt;&lt;Title&gt;基于进化算法的复杂多目标优化问题求解&lt;/Title&gt;&lt;Template&gt;Thesis&lt;/Template&gt;&lt;Star&gt;0&lt;/Star&gt;&lt;Tag&gt;0&lt;/Tag&gt;&lt;Author&gt;田野&lt;/Author&gt;&lt;Year&gt;2018&lt;/Year&gt;&lt;Details&gt;&lt;_created&gt;63704976&lt;/_created&gt;&lt;_db_provider&gt;CNKI&lt;/_db_provider&gt;&lt;_keywords&gt;进化多目标优化;高维多目标优化问题;大规模多目标优化问题;Pareto前沿面;特征选择&lt;/_keywords&gt;&lt;_modified&gt;63704976&lt;/_modified&gt;&lt;_publisher&gt;安徽大学&lt;/_publisher&gt;&lt;_tertiary_author&gt;张兴义&lt;/_tertiary_author&gt;&lt;_type_work&gt;博士&lt;/_type_work&gt;&lt;_translated_author&gt;Tian, Ye&lt;/_translated_author&gt;&lt;_translated_tertiary_author&gt;Zhang, Xingyi&lt;/_translated_tertiary_author&gt;&lt;/Details&gt;&lt;Extra&gt;&lt;DBUID&gt;{F96A950B-833F-4880-A151-76DA2D6A2879}&lt;/DBUID&gt;&lt;/Extra&gt;&lt;/Item&gt;&lt;/References&gt;&lt;/Group&gt;&lt;/Citation&gt;_x000a_"/>
    <w:docVar w:name="NE.Ref{2E5CFF0E-050C-4B01-9894-164DCC174BE9}" w:val=" ADDIN NE.Ref.{2E5CFF0E-050C-4B01-9894-164DCC174BE9}&lt;Citation&gt;&lt;Group&gt;&lt;References&gt;&lt;Item&gt;&lt;ID&gt;536&lt;/ID&gt;&lt;UID&gt;{4CC7AF0A-1202-481F-B3E5-223E3C1D6B55}&lt;/UID&gt;&lt;Title&gt;大规模特高压交直流混联电网特性分析与运行控制&lt;/Title&gt;&lt;Template&gt;Journal Article&lt;/Template&gt;&lt;Star&gt;0&lt;/Star&gt;&lt;Tag&gt;0&lt;/Tag&gt;&lt;Author&gt;李明节&lt;/Author&gt;&lt;Year&gt;2016&lt;/Year&gt;&lt;Details&gt;&lt;_accessed&gt;64753225&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4753226&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bar.cnki.net/bar/download/order?id=jBGETXBNdPImvx70aLAuJPYxPoFw%2bp%2bi0fIiSrcN6lVFq3Ff9ythJFB5QqTVCcGj9OEo97ZCiBA9x8JL1XYq2TW1naasVB8LAM3hX8NAtijl8E%2bCUVp5GtDTYhVF2dNUoJeGx62Ssygg68TNXJ%2b5JrigejDAar8Xqw%2f6WR22OFXUdUGh4At8VBYSvh%2fCUD5aVFhKYBjwXXnHOYWLKs%2brXtUr2kvoJV7Lyc0%2fNbix2nb5LXYX1qwFXwOc1HUZT%2bTB _x000d__x000a_&lt;/_url&gt;&lt;_volume&gt;40&lt;/_volume&gt;&lt;/Details&gt;&lt;Extra&gt;&lt;DBUID&gt;{6891F4B0-DCBA-459A-9A22-3059983243D4}&lt;/DBUID&gt;&lt;/Extra&gt;&lt;/Item&gt;&lt;/References&gt;&lt;/Group&gt;&lt;/Citation&gt;_x000a_"/>
    <w:docVar w:name="NE.Ref{2E760E4E-E344-45C7-B86A-7820EBEB8F2C}" w:val=" ADDIN NE.Ref.{2E760E4E-E344-45C7-B86A-7820EBEB8F2C}&lt;Citation&gt;&lt;Group&gt;&lt;References&gt;&lt;Item&gt;&lt;ID&gt;649&lt;/ID&gt;&lt;UID&gt;{2ADC5290-735A-4951-B6B1-91EC09F04E30}&lt;/UID&gt;&lt;Title&gt;Microgrids energy management systems: A critical review on methods, solutions, and prospects&lt;/Title&gt;&lt;Template&gt;Journal Article&lt;/Template&gt;&lt;Star&gt;0&lt;/Star&gt;&lt;Tag&gt;0&lt;/Tag&gt;&lt;Author&gt;Zia, Muhammad Fahad; Elbouchikhi, Elhoussin; Benbouzid, Mohamed&lt;/Author&gt;&lt;Year&gt;2018&lt;/Year&gt;&lt;Details&gt;&lt;_issue&gt;JUL.15&lt;/_issue&gt;&lt;_journal&gt;Applied Energy&lt;/_journal&gt;&lt;_pages&gt;1033-1055&lt;/_pages&gt;&lt;_volume&gt;222&lt;/_volume&gt;&lt;_created&gt;63705612&lt;/_created&gt;&lt;_modified&gt;63705612&lt;/_modified&gt;&lt;_impact_factor&gt;   8.848&lt;/_impact_factor&gt;&lt;_collection_scope&gt;SCI;SCIE;EI&lt;/_collection_scope&gt;&lt;/Details&gt;&lt;Extra&gt;&lt;DBUID&gt;{F96A950B-833F-4880-A151-76DA2D6A2879}&lt;/DBUID&gt;&lt;/Extra&gt;&lt;/Item&gt;&lt;/References&gt;&lt;/Group&gt;&lt;/Citation&gt;_x000a_"/>
    <w:docVar w:name="NE.Ref{2F1C24BA-4BCB-4E42-ABAF-07BC296DD056}" w:val=" ADDIN NE.Ref.{2F1C24BA-4BCB-4E42-ABAF-07BC296DD056}&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2FB7BCBB-95FB-4759-86C2-5DF3528DDCA9}" w:val=" ADDIN NE.Ref.{2FB7BCBB-95FB-4759-86C2-5DF3528DDCA9}&lt;Citation&gt;&lt;Group&gt;&lt;References&gt;&lt;Item&gt;&lt;ID&gt;429&lt;/ID&gt;&lt;UID&gt;{15AFD74E-7DF1-41B8-B0B3-D215426407E9}&lt;/UID&gt;&lt;Title&gt;Analyses of static and dynamic reactive power allocation between synchronous compensators and shunt capacitors to counter commutation failures&lt;/Title&gt;&lt;Template&gt;Journal Article&lt;/Template&gt;&lt;Star&gt;0&lt;/Star&gt;&lt;Tag&gt;0&lt;/Tag&gt;&lt;Author&gt;Zhou, Yongzhi; Wu, Hao; Song, Yonghua; Ling, Weijia; Lou, Boliang; Deng, Hui&lt;/Author&gt;&lt;Year&gt;2018&lt;/Year&gt;&lt;Details&gt;&lt;_accessed&gt;63445946&lt;/_accessed&gt;&lt;_accession_num&gt;WOS:000447404600006_x000d__x000a_ER&lt;/_accession_num&gt;&lt;_cited_count&gt;3&lt;/_cited_count&gt;&lt;_collection_scope&gt;SCIE;EI&lt;/_collection_scope&gt;&lt;_created&gt;63444588&lt;/_created&gt;&lt;_date_display&gt;2018, OCT 2018&lt;/_date_display&gt;&lt;_db_provider&gt;ISI&lt;/_db_provider&gt;&lt;_doi&gt;10.1002/etep.2605&lt;/_doi&gt;&lt;_impact_factor&gt;   1.692&lt;/_impact_factor&gt;&lt;_isbn&gt;2050-7038&lt;/_isbn&gt;&lt;_issue&gt;e260510&lt;/_issue&gt;&lt;_journal&gt;INTERNATIONAL TRANSACTIONS ON ELECTRICAL ENERGY SYSTEMS&lt;/_journal&gt;&lt;_modified&gt;63445946&lt;/_modified&gt;&lt;_url&gt;http://gateway.isiknowledge.com/gateway/Gateway.cgi?GWVersion=2&amp;amp;SrcAuth=AegeanSoftware&amp;amp;SrcApp=NoteExpress&amp;amp;DestLinkType=FullRecord&amp;amp;DestApp=WOS&amp;amp;KeyUT=000447404600006&lt;/_url&gt;&lt;_volume&gt;28&lt;/_volume&gt;&lt;/Details&gt;&lt;Extra&gt;&lt;DBUID&gt;{6891F4B0-DCBA-459A-9A22-3059983243D4}&lt;/DBUID&gt;&lt;/Extra&gt;&lt;/Item&gt;&lt;/References&gt;&lt;/Group&gt;&lt;Group&gt;&lt;References&gt;&lt;Item&gt;&lt;ID&gt;463&lt;/ID&gt;&lt;UID&gt;{CC8CBE08-76D3-4D16-9884-635939074311}&lt;/UID&gt;&lt;Title&gt;同步调相机对LCC-HVDC换相失败抵御能力的影响研究&lt;/Title&gt;&lt;Template&gt;Journal Article&lt;/Template&gt;&lt;Star&gt;0&lt;/Star&gt;&lt;Tag&gt;0&lt;/Tag&gt;&lt;Author&gt;王庆; 沙江波; 杨鹏程; 赵成勇; 徐东海; 黄金军; 杨治中; 郭春义&lt;/Author&gt;&lt;Year&gt;2018&lt;/Year&gt;&lt;Details&gt;&lt;_accessed&gt;63445969&lt;/_accessed&gt;&lt;_accession_num&gt;CSCD:6239995_x000d__x000a_ER&lt;/_accession_num&gt;&lt;_cited_count&gt;2&lt;/_cited_count&gt;&lt;_collection_scope&gt;CSCD;PKU&lt;/_collection_scope&gt;&lt;_created&gt;63444588&lt;/_created&gt;&lt;_date_display&gt;2018, 2018&lt;/_date_display&gt;&lt;_db_provider&gt;ISI&lt;/_db_provider&gt;&lt;_isbn&gt;1003-3076&lt;/_isbn&gt;&lt;_issue&gt;1003-3076(2018)37:5&amp;lt;29:TBDXJD&amp;gt;2.0.TX;2-#5&lt;/_issue&gt;&lt;_journal&gt;电工电能新技术&lt;/_journal&gt;&lt;_modified&gt;63445969&lt;/_modified&gt;&lt;_pages&gt;29-36&lt;/_pages&gt;&lt;_tertiary_title&gt;Advanced Technology of Electrical Engineering and Energy&lt;/_tertiary_title&gt;&lt;_translated_author&gt;Wang, Qing; Sha, Jiangbo; Yang, Pengcheng; Zhao, Chengyong; Xu, Donghai; Huang, Jinjun; Yang, Zhizhong; Guo, Chunyi&lt;/_translated_author&gt;&lt;_translated_title&gt;Study of impact of SC on ability to defend commutation failure of LCC-HVDC&lt;/_translated_title&gt;&lt;_url&gt;CSCD:6239995&lt;/_url&gt;&lt;_volume&gt;37&lt;/_volume&gt;&lt;/Details&gt;&lt;Extra&gt;&lt;DBUID&gt;{6891F4B0-DCBA-459A-9A22-3059983243D4}&lt;/DBUID&gt;&lt;/Extra&gt;&lt;/Item&gt;&lt;/References&gt;&lt;/Group&gt;&lt;Group&gt;&lt;References&gt;&lt;Item&gt;&lt;ID&gt;382&lt;/ID&gt;&lt;UID&gt;{5327BD5F-2401-4B7D-BB2A-449F91F32139}&lt;/UID&gt;&lt;Title&gt;同步调相机对受端省级电网运行影响及控制策略研究&lt;/Title&gt;&lt;Template&gt;Journal Article&lt;/Template&gt;&lt;Star&gt;0&lt;/Star&gt;&lt;Tag&gt;0&lt;/Tag&gt;&lt;Author&gt;赵静波; 孟侠; 朱鑫要&lt;/Author&gt;&lt;Year&gt;2019&lt;/Year&gt;&lt;Details&gt;&lt;_accessed&gt;63445975&lt;/_accessed&gt;&lt;_accession_num&gt;CSCD:6600348_x000d__x000a_ER&lt;/_accession_num&gt;&lt;_cited_count&gt;0&lt;/_cited_count&gt;&lt;_collection_scope&gt;CSCD;PKU&lt;/_collection_scope&gt;&lt;_created&gt;63444588&lt;/_created&gt;&lt;_date_display&gt;2019, 2019&lt;/_date_display&gt;&lt;_db_provider&gt;ISI&lt;/_db_provider&gt;&lt;_isbn&gt;1674-3415&lt;/_isbn&gt;&lt;_issue&gt;1674-3415(2019)47:20&amp;lt;25:TBDXJD&amp;gt;2.0.TX;2-L20&lt;/_issue&gt;&lt;_journal&gt;电力系统保护与控制&lt;/_journal&gt;&lt;_modified&gt;63445975&lt;/_modified&gt;&lt;_pages&gt;25-32&lt;/_pages&gt;&lt;_tertiary_title&gt;Power System Protection and Control&lt;/_tertiary_title&gt;&lt;_translated_author&gt;Zhao, Jingbo; Meng, Xia; Zhu, Xinyao&lt;/_translated_author&gt;&lt;_translated_title&gt;Research on synchronous condenser&amp;apos;s influences on receiving-end provincial grid and its control strategy&lt;/_translated_title&gt;&lt;_url&gt;CSCD:6600348&lt;/_url&gt;&lt;_volume&gt;47&lt;/_volume&gt;&lt;/Details&gt;&lt;Extra&gt;&lt;DBUID&gt;{6891F4B0-DCBA-459A-9A22-3059983243D4}&lt;/DBUID&gt;&lt;/Extra&gt;&lt;/Item&gt;&lt;/References&gt;&lt;/Group&gt;&lt;Group&gt;&lt;References&gt;&lt;Item&gt;&lt;ID&gt;395&lt;/ID&gt;&lt;UID&gt;{A293D50F-1066-4EDC-AAF9-DDAB387305EC}&lt;/UID&gt;&lt;Title&gt;同步调相机对分层接入特高压直流输电系统的换相失败抑制作用研究&lt;/Title&gt;&lt;Template&gt;Journal Article&lt;/Template&gt;&lt;Star&gt;0&lt;/Star&gt;&lt;Tag&gt;0&lt;/Tag&gt;&lt;Author&gt;沙江波; 杨硕; 郭春义; 赵成勇&lt;/Author&gt;&lt;Year&gt;2019&lt;/Year&gt;&lt;Details&gt;&lt;_accessed&gt;63445980&lt;/_accessed&gt;&lt;_accession_num&gt;CSCD:6586698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552:TBDXJD&amp;gt;2.0.TX;2-P10&lt;/_issue&gt;&lt;_journal&gt;电网技术&lt;/_journal&gt;&lt;_modified&gt;63445980&lt;/_modified&gt;&lt;_pages&gt;3552-3561&lt;/_pages&gt;&lt;_tertiary_title&gt;Power System Technology&lt;/_tertiary_title&gt;&lt;_translated_author&gt;Sha, Jiangbo; Yang, Shuo; Guo, Chunyi; Zhao, Chengyong&lt;/_translated_author&gt;&lt;_translated_title&gt;Study on Suppression Effect of Synchronous Condenser on Commutation Failure of UHVDC System Under Hierarchical Connection Mode&lt;/_translated_title&gt;&lt;_url&gt;CSCD:6586698&lt;/_url&gt;&lt;_volume&gt;43&lt;/_volume&gt;&lt;/Details&gt;&lt;Extra&gt;&lt;DBUID&gt;{6891F4B0-DCBA-459A-9A22-3059983243D4}&lt;/DBUID&gt;&lt;/Extra&gt;&lt;/Item&gt;&lt;/References&gt;&lt;/Group&gt;&lt;/Citation&gt;_x000a_"/>
    <w:docVar w:name="NE.Ref{302EC6BF-B317-4F4B-A265-03DBDCA6C7C3}" w:val=" ADDIN NE.Ref.{302EC6BF-B317-4F4B-A265-03DBDCA6C7C3}&lt;Citation&gt;&lt;Group&gt;&lt;References&gt;&lt;Item&gt;&lt;ID&gt;98&lt;/ID&gt;&lt;UID&gt;{AA8BDB23-B30B-4122-876D-F67D1E8F9E6D}&lt;/UID&gt;&lt;Title&gt;计及线路随机故障的机会约束最优风电消纳模型&lt;/Title&gt;&lt;Template&gt;Journal Article&lt;/Template&gt;&lt;Star&gt;0&lt;/Star&gt;&lt;Tag&gt;0&lt;/Tag&gt;&lt;Author&gt;陈哲; 张伊宁; 黄刚; 何宇斌; 郭创新; 张金江&lt;/Author&gt;&lt;Year&gt;2019&lt;/Year&gt;&lt;Details&gt;&lt;_accessed&gt;64303877&lt;/_accessed&gt;&lt;_author_aff&gt;浙江大学电气工程学院;之江实验室;浙江科技学院自动化与电气工程学院;&lt;/_author_aff&gt;&lt;_cited_count&gt;16&lt;/_cited_count&gt;&lt;_collection_scope&gt;CSCD;PKU;EI&lt;/_collection_scope&gt;&lt;_created&gt;64303872&lt;/_created&gt;&lt;_date&gt;62638560&lt;/_date&gt;&lt;_db_updated&gt;CNKI - Reference&lt;/_db_updated&gt;&lt;_issue&gt;02&lt;/_issue&gt;&lt;_journal&gt;电网技术&lt;/_journal&gt;&lt;_keywords&gt;最优风电消纳比;输电线路随机故障;机组组合;双线性Benders分解&lt;/_keywords&gt;&lt;_language&gt;Chinese&lt;/_language&gt;&lt;_modified&gt;64303876&lt;/_modified&gt;&lt;_pages&gt;363-370&lt;/_pages&gt;&lt;_url&gt;https://kns.cnki.net/kcms/detail/detail.aspx?FileName=DWJS201902002&amp;amp;DbName=DKFX2019&lt;/_url&gt;&lt;_volume&gt;43&lt;/_volume&gt;&lt;_translated_author&gt;Chen, Zhe;Zhang, Yining;Huang, Gang;He, Yubin;Guo, Chuangxin;Zhang, Jinjiang&lt;/_translated_author&gt;&lt;/Details&gt;&lt;Extra&gt;&lt;DBUID&gt;{560D5FFD-5A46-4EB8-859B-FD657304A42E}&lt;/DBUID&gt;&lt;/Extra&gt;&lt;/Item&gt;&lt;/References&gt;&lt;/Group&gt;&lt;/Citation&gt;_x000a_"/>
    <w:docVar w:name="NE.Ref{30F25334-6918-4304-8B38-5A77F00A7FCD}" w:val=" ADDIN NE.Ref.{30F25334-6918-4304-8B38-5A77F00A7FCD}&lt;Citation&gt;&lt;Group&gt;&lt;References&gt;&lt;Item&gt;&lt;ID&gt;1032&lt;/ID&gt;&lt;UID&gt;{D929BBC2-82A2-4472-B020-C893A3846E85}&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71&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lt;/_url&gt;&lt;_volume&gt;40&lt;/_volume&gt;&lt;_created&gt;64780425&lt;/_created&gt;&lt;_modified&gt;64780425&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3202FFD9-7B66-46FB-8B3B-C79EFDD53498}" w:val=" ADDIN NE.Ref.{3202FFD9-7B66-46FB-8B3B-C79EFDD53498}&lt;Citation&gt;&lt;Group&gt;&lt;References&gt;&lt;Item&gt;&lt;ID&gt;484&lt;/ID&gt;&lt;UID&gt;{872722D0-EBDE-42CA-A4BD-4C87E269774E}&lt;/UID&gt;&lt;Title&gt;A Decision Variable Clustering-Based Evolutionary Algorithm for Large-Scale Many-Objective Optimization&lt;/Title&gt;&lt;Template&gt;Journal Article&lt;/Template&gt;&lt;Star&gt;0&lt;/Star&gt;&lt;Tag&gt;0&lt;/Tag&gt;&lt;Author&gt;Zhang, Xingyi; Tian, Ye; Cheng, Ran; Jin, Yaochu&lt;/Author&gt;&lt;Year&gt;2018&lt;/Year&gt;&lt;Details&gt;&lt;_collection_scope&gt;SCI;SCIE;EI&lt;/_collection_scope&gt;&lt;_created&gt;63650775&lt;/_created&gt;&lt;_impact_factor&gt;  11.169&lt;/_impact_factor&gt;&lt;_issue&gt;99&lt;/_issue&gt;&lt;_journal&gt;IEEE Transactions on Evolutionary Computation&lt;/_journal&gt;&lt;_modified&gt;63650775&lt;/_modified&gt;&lt;_pages&gt;97-112&lt;/_pages&gt;&lt;_volume&gt;22&lt;/_volume&gt;&lt;/Details&gt;&lt;Extra&gt;&lt;DBUID&gt;{F96A950B-833F-4880-A151-76DA2D6A2879}&lt;/DBUID&gt;&lt;/Extra&gt;&lt;/Item&gt;&lt;/References&gt;&lt;/Group&gt;&lt;/Citation&gt;_x000a_"/>
    <w:docVar w:name="NE.Ref{323DDB8F-50AA-40D0-BE34-1E75C92669D3}" w:val=" ADDIN NE.Ref.{323DDB8F-50AA-40D0-BE34-1E75C92669D3}&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3346DF02-4E77-44A6-9F62-36CD6C95B394}" w:val=" ADDIN NE.Ref.{3346DF02-4E77-44A6-9F62-36CD6C95B394}&lt;Citation&gt;&lt;Group&gt;&lt;References&gt;&lt;Item&gt;&lt;ID&gt;508&lt;/ID&gt;&lt;UID&gt;{7E235B19-63A2-43E4-95F3-7FC5B5B8C8F2}&lt;/UID&gt;&lt;Title&gt;中国可交易绿色证书细分机制设计及其效果分析&lt;/Title&gt;&lt;Template&gt;Thesis&lt;/Template&gt;&lt;Star&gt;0&lt;/Star&gt;&lt;Tag&gt;0&lt;/Tag&gt;&lt;Author&gt;胡心仪&lt;/Author&gt;&lt;Year&gt;2018&lt;/Year&gt;&lt;Details&gt;&lt;_created&gt;63655033&lt;/_created&gt;&lt;_db_provider&gt;CNKI&lt;/_db_provider&gt;&lt;_keywords&gt;交易绿色证书;细分机制;互补模型;光伏发电&lt;/_keywords&gt;&lt;_modified&gt;63655033&lt;/_modified&gt;&lt;_publisher&gt;中国石油大学(北京)&lt;/_publisher&gt;&lt;_tertiary_author&gt;张奇&lt;/_tertiary_author&gt;&lt;_type_work&gt;硕士&lt;/_type_work&gt;&lt;_translated_author&gt;Hu, Xinyi&lt;/_translated_author&gt;&lt;_translated_tertiary_author&gt;Zhang, Qi&lt;/_translated_tertiary_author&gt;&lt;/Details&gt;&lt;Extra&gt;&lt;DBUID&gt;{F96A950B-833F-4880-A151-76DA2D6A2879}&lt;/DBUID&gt;&lt;/Extra&gt;&lt;/Item&gt;&lt;/References&gt;&lt;/Group&gt;&lt;/Citation&gt;_x000a_"/>
    <w:docVar w:name="NE.Ref{33616EE3-6FFF-4C6D-96B2-4FFE78C680BD}" w:val=" ADDIN NE.Ref.{33616EE3-6FFF-4C6D-96B2-4FFE78C680BD}&lt;Citation&gt;&lt;Group&gt;&lt;References&gt;&lt;Item&gt;&lt;ID&gt;532&lt;/ID&gt;&lt;UID&gt;{D771068C-7184-4C27-9FE2-59AFAEF8E384}&lt;/UID&gt;&lt;Title&gt;泛在电力物联网释义与研究展望&lt;/Title&gt;&lt;Template&gt;Journal Article&lt;/Template&gt;&lt;Star&gt;0&lt;/Star&gt;&lt;Tag&gt;0&lt;/Tag&gt;&lt;Author&gt;杨挺; 翟峰; 赵英杰; 盆海波&lt;/Author&gt;&lt;Year&gt;2019&lt;/Year&gt;&lt;Details&gt;&lt;_author_adr&gt;智能电网教育部重点实验室(天津大学);中国电力科学研究院有限公司;&lt;/_author_adr&gt;&lt;_collection_scope&gt;CSCD;PKU;EI&lt;/_collection_scope&gt;&lt;_created&gt;63660359&lt;/_created&gt;&lt;_db_provider&gt;CNKI&lt;/_db_provider&gt;&lt;_isbn&gt;1000-1026&lt;/_isbn&gt;&lt;_issue&gt;13&lt;/_issue&gt;&lt;_journal&gt;电力系统自动化&lt;/_journal&gt;&lt;_keywords&gt;物联网;能源互联网;泛在电力物联网&lt;/_keywords&gt;&lt;_modified&gt;63660359&lt;/_modified&gt;&lt;_pages&gt;9-20+53&lt;/_pages&gt;&lt;_volume&gt;43&lt;/_volume&gt;&lt;_translated_author&gt;Yang, Ting;Zhai, Feng;Zhao, Yingjie;Pen, Haibo&lt;/_translated_author&gt;&lt;/Details&gt;&lt;Extra&gt;&lt;DBUID&gt;{F96A950B-833F-4880-A151-76DA2D6A2879}&lt;/DBUID&gt;&lt;/Extra&gt;&lt;/Item&gt;&lt;/References&gt;&lt;/Group&gt;&lt;/Citation&gt;_x000a_"/>
    <w:docVar w:name="NE.Ref{33716DAA-9DB4-4BE5-8469-FFDDE3E1F96A}" w:val=" ADDIN NE.Ref.{33716DAA-9DB4-4BE5-8469-FFDDE3E1F96A}&lt;Citation&gt;&lt;Group&gt;&lt;References&gt;&lt;Item&gt;&lt;ID&gt;115&lt;/ID&gt;&lt;UID&gt;{D67ABD4C-C94B-46F5-8D40-95119C800A72}&lt;/UID&gt;&lt;Title&gt;计及需求响应与火电深度调峰的含风电系统优化调度&lt;/Title&gt;&lt;Template&gt;Journal Article&lt;/Template&gt;&lt;Star&gt;0&lt;/Star&gt;&lt;Tag&gt;0&lt;/Tag&gt;&lt;Author&gt;邓婷婷; 娄素华; 田旭; 吴耀武; 李楠&lt;/Author&gt;&lt;Year&gt;2019&lt;/Year&gt;&lt;Details&gt;&lt;_accessed&gt;64306770&lt;/_accessed&gt;&lt;_author_aff&gt;强电磁工程与新技术国家重点实验室(华中科技大学);国网青海省电力公司经济技术研究院;&lt;/_author_aff&gt;&lt;_cited_count&gt;67&lt;/_cited_count&gt;&lt;_collection_scope&gt;CSCD;PKU;EI&lt;/_collection_scope&gt;&lt;_created&gt;64306757&lt;/_created&gt;&lt;_date&gt;62720640&lt;/_date&gt;&lt;_db_updated&gt;CNKI - Reference&lt;/_db_updated&gt;&lt;_issue&gt;15&lt;/_issue&gt;&lt;_journal&gt;电力系统自动化&lt;/_journal&gt;&lt;_keywords&gt;灵活性;风电消纳;需求响应;深度调峰;优化调度&lt;/_keywords&gt;&lt;_language&gt;Chinese&lt;/_language&gt;&lt;_modified&gt;64306770&lt;/_modified&gt;&lt;_pages&gt;34-41&lt;/_pages&gt;&lt;_url&gt;https://kns.cnki.net/kcms/detail/detail.aspx?FileName=DLXT201915006&amp;amp;DbName=CJFQ2019&lt;/_url&gt;&lt;_volume&gt;43&lt;/_volume&gt;&lt;_translated_author&gt;Deng, Tingting;Lou, Suhua;Tian, Xu;Wu, Yaowu;Li, Nan&lt;/_translated_author&gt;&lt;/Details&gt;&lt;Extra&gt;&lt;DBUID&gt;{560D5FFD-5A46-4EB8-859B-FD657304A42E}&lt;/DBUID&gt;&lt;/Extra&gt;&lt;/Item&gt;&lt;/References&gt;&lt;/Group&gt;&lt;/Citation&gt;_x000a_"/>
    <w:docVar w:name="NE.Ref{33FA5741-F723-472A-AD9D-3E265AB19A1C}" w:val=" ADDIN NE.Ref.{33FA5741-F723-472A-AD9D-3E265AB19A1C}&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44986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33FE570D-B687-4866-A9C7-62513482C573}" w:val=" ADDIN NE.Ref.{33FE570D-B687-4866-A9C7-62513482C573}&lt;Citation&gt;&lt;Group&gt;&lt;References&gt;&lt;Item&gt;&lt;ID&gt;112&lt;/ID&gt;&lt;UID&gt;{700839D0-A398-47C8-899D-467ADDEAB81F}&lt;/UID&gt;&lt;Title&gt;基于集合经验模态分解的风电混合储能系统能量管理协调控制策略&lt;/Title&gt;&lt;Template&gt;Journal Article&lt;/Template&gt;&lt;Star&gt;0&lt;/Star&gt;&lt;Tag&gt;0&lt;/Tag&gt;&lt;Author&gt;付菊霞; 陈洁; 滕扬新; 邓浩; 孙泽伦&lt;/Author&gt;&lt;Year&gt;2019&lt;/Year&gt;&lt;Details&gt;&lt;_language&gt;Chinese&lt;/_language&gt;&lt;_created&gt;64303983&lt;/_created&gt;&lt;_modified&gt;64303983&lt;/_modified&gt;&lt;_url&gt;https://kns.cnki.net/kcms/detail/detail.aspx?FileName=DGJS201910006&amp;amp;DbName=CJFQ2019&lt;/_url&gt;&lt;_journal&gt;电工技术学报&lt;/_journal&gt;&lt;_volume&gt;34&lt;/_volume&gt;&lt;_issue&gt;10&lt;/_issue&gt;&lt;_pages&gt;2038-2046&lt;/_pages&gt;&lt;_cited_count&gt;34&lt;/_cited_count&gt;&lt;_date&gt;62697600&lt;/_date&gt;&lt;_keywords&gt;风电;储能;集合经验模态分解;多时间尺度;能量管理&lt;/_keywords&gt;&lt;_author_aff&gt;新疆大学电气工程学院;新疆电力有限公司电力科学研究院;&lt;/_author_aff&gt;&lt;_accessed&gt;64303983&lt;/_accessed&gt;&lt;_db_updated&gt;CNKI - Reference&lt;/_db_updated&gt;&lt;_collection_scope&gt;CSCD;PKU;EI&lt;/_collection_scope&gt;&lt;_translated_author&gt;Fu, Juxia;Chen, Jie;Teng, Yangxin;Deng, Hao;Sun, Zelun&lt;/_translated_author&gt;&lt;/Details&gt;&lt;Extra&gt;&lt;DBUID&gt;{560D5FFD-5A46-4EB8-859B-FD657304A42E}&lt;/DBUID&gt;&lt;/Extra&gt;&lt;/Item&gt;&lt;/References&gt;&lt;/Group&gt;&lt;/Citation&gt;_x000a_"/>
    <w:docVar w:name="NE.Ref{341F13A4-FF5D-4CAC-9F7A-69E9156BF9A6}" w:val=" ADDIN NE.Ref.{341F13A4-FF5D-4CAC-9F7A-69E9156BF9A6}&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69E5557-2313-4330-9D30-BA54729CCDD4}" w:val=" ADDIN NE.Ref.{369E5557-2313-4330-9D30-BA54729CCDD4}&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370F5AA6-99EB-49DB-A204-D178B4712D98}" w:val=" ADDIN NE.Ref.{370F5AA6-99EB-49DB-A204-D178B4712D98}&lt;Citation&gt;&lt;Group&gt;&lt;References&gt;&lt;Item&gt;&lt;ID&gt;406&lt;/ID&gt;&lt;UID&gt;{C826430A-AE65-4A7B-A971-F903EB869436}&lt;/UID&gt;&lt;Title&gt;An interactive fuzzy satisfying method based on evolutionary programming technique for multiobjective short-term hydrothermal scheduling&lt;/Title&gt;&lt;Template&gt;Journal Article&lt;/Template&gt;&lt;Star&gt;0&lt;/Star&gt;&lt;Tag&gt;0&lt;/Tag&gt;&lt;Author&gt;Basu, M&lt;/Author&gt;&lt;Year&gt;2004&lt;/Year&gt;&lt;Details&gt;&lt;_collection_scope&gt;SCIE;EI&lt;/_collection_scope&gt;&lt;_created&gt;63641830&lt;/_created&gt;&lt;_impact_factor&gt;   3.211&lt;/_impact_factor&gt;&lt;_issue&gt;2/3&lt;/_issue&gt;&lt;_journal&gt;Electric Power Systems Research&lt;/_journal&gt;&lt;_modified&gt;63641830&lt;/_modified&gt;&lt;_pages&gt;277-285&lt;/_pages&gt;&lt;_volume&gt;69&lt;/_volume&gt;&lt;/Details&gt;&lt;Extra&gt;&lt;DBUID&gt;{F96A950B-833F-4880-A151-76DA2D6A2879}&lt;/DBUID&gt;&lt;/Extra&gt;&lt;/Item&gt;&lt;/References&gt;&lt;/Group&gt;&lt;/Citation&gt;_x000a_"/>
    <w:docVar w:name="NE.Ref{38AAB4B3-7A3F-4549-9AA9-E991ACC48E0C}" w:val=" ADDIN NE.Ref.{38AAB4B3-7A3F-4549-9AA9-E991ACC48E0C}&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8C07915-3755-43D7-B924-67E841B33E84}" w:val=" ADDIN NE.Ref.{38C07915-3755-43D7-B924-67E841B33E8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8C777C6-4943-4E21-9258-B449E3FCCBB4}" w:val=" ADDIN NE.Ref.{38C777C6-4943-4E21-9258-B449E3FCCBB4}&lt;Citation&gt;&lt;Group&gt;&lt;References&gt;&lt;Item&gt;&lt;ID&gt;577&lt;/ID&gt;&lt;UID&gt;{8DCA386E-DD46-4BDA-A104-E2812CC9C4B6}&lt;/UID&gt;&lt;Title&gt;基于阀电压或阀电流的HVDC换相失败故障诊断&lt;/Title&gt;&lt;Template&gt;Journal Article&lt;/Template&gt;&lt;Star&gt;0&lt;/Star&gt;&lt;Tag&gt;0&lt;/Tag&gt;&lt;Author&gt;邹亮; 刘涛; 赵彤; 张黎; 李庆民&lt;/Author&gt;&lt;Year&gt;2014&lt;/Year&gt;&lt;Details&gt;&lt;_accessed&gt;63445900&lt;/_accessed&gt;&lt;_accession_num&gt;CSCD:5300208_x000d__x000a_ER&lt;/_accession_num&gt;&lt;_cited_count&gt;2&lt;/_cited_count&gt;&lt;_collection_scope&gt;CSCD;PKU;EI&lt;/_collection_scope&gt;&lt;_created&gt;63444588&lt;/_created&gt;&lt;_date_display&gt;2014, 2014&lt;/_date_display&gt;&lt;_db_provider&gt;ISI&lt;/_db_provider&gt;&lt;_isbn&gt;1000-3673&lt;/_isbn&gt;&lt;_issue&gt;1000-3673(2014)38:12&amp;lt;3453:JYFDYH&amp;gt;2.0.TX;2-412&lt;/_issue&gt;&lt;_journal&gt;电网技术&lt;/_journal&gt;&lt;_modified&gt;63445903&lt;/_modified&gt;&lt;_pages&gt;3453-3458&lt;/_pages&gt;&lt;_tertiary_title&gt;Power System Technology&lt;/_tertiary_title&gt;&lt;_translated_author&gt;Zou, Liang; Liu, Tao; Zhao, Tong; Zhang, Li; Li, Qingmin&lt;/_translated_author&gt;&lt;_translated_title&gt;Diagnosis of Commutation Failure in HVDC Transmission Systems Based on Voltage or Current of Converter Valve&lt;/_translated_title&gt;&lt;_url&gt;CSCD:5300208 _x000d__x000a_https://kns.cnki.net/kns/download.aspx?filename=yMUaEtUcntmMWRVVNhzKal3aG9yYYhFavRzR2UDMtFHRFlFbsdnWoVWTZ1mZ5hlT4RDSOlXaVRHb3dlcRRWURpHS5Y0KBBTMD9Ee1lFU5czVTRjWPJke2o1QBZlTNxUVnRjMPtUWCZnRIhEU3NjcvJlZhx0SRhGb&amp;amp;tablename=CJFD2014&amp;amp;dflag=pdfdown _x000d__x000a_&lt;/_url&gt;&lt;_volume&gt;38&lt;/_volume&gt;&lt;/Details&gt;&lt;Extra&gt;&lt;DBUID&gt;{6891F4B0-DCBA-459A-9A22-3059983243D4}&lt;/DBUID&gt;&lt;/Extra&gt;&lt;/Item&gt;&lt;/References&gt;&lt;/Group&gt;&lt;Group&gt;&lt;References&gt;&lt;Item&gt;&lt;ID&gt;439&lt;/ID&gt;&lt;UID&gt;{4D201D2F-0C9E-4737-BF85-AA975CD2EB4F}&lt;/UID&gt;&lt;Title&gt;基于阀电流特征的高压直流换相失败检测方法&lt;/Title&gt;&lt;Template&gt;Journal Article&lt;/Template&gt;&lt;Star&gt;0&lt;/Star&gt;&lt;Tag&gt;0&lt;/Tag&gt;&lt;Author&gt;陈光侵; 傅闯; 张勇军&lt;/Author&gt;&lt;Year&gt;2018&lt;/Year&gt;&lt;Details&gt;&lt;_accessed&gt;63445961&lt;/_accessed&gt;&lt;_accession_num&gt;CSCD:6385932_x000d__x000a_ER&lt;/_accession_num&gt;&lt;_cited_count&gt;1&lt;/_cited_count&gt;&lt;_created&gt;63444588&lt;/_created&gt;&lt;_date_display&gt;2018, 2018&lt;/_date_display&gt;&lt;_db_provider&gt;ISI&lt;/_db_provider&gt;&lt;_isbn&gt;1000-1026&lt;/_isbn&gt;&lt;_issue&gt;1000-1026(2018)42:23&amp;lt;86:JYFDLT&amp;gt;2.0.TX;2-U23&lt;/_issue&gt;&lt;_journal&gt;电力系统自动化 &lt;/_journal&gt;&lt;_modified&gt;63445961&lt;/_modified&gt;&lt;_pages&gt;86-94,119&lt;/_pages&gt;&lt;_tertiary_title&gt;Automation of Electric Power Systems&lt;/_tertiary_title&gt;&lt;_translated_author&gt;Chen, Guangqin; Fu, Chuang; Zhang, Yongjun&lt;/_translated_author&gt;&lt;_translated_title&gt;Detection Method of HVDC Commutation Failure Based on Characteristic of Valve Current &lt;/_translated_title&gt;&lt;_url&gt;CSCD:6385932&lt;/_url&gt;&lt;_volume&gt;42&lt;/_volume&gt;&lt;/Details&gt;&lt;Extra&gt;&lt;DBUID&gt;{6891F4B0-DCBA-459A-9A22-3059983243D4}&lt;/DBUID&gt;&lt;/Extra&gt;&lt;/Item&gt;&lt;/References&gt;&lt;/Group&gt;&lt;Group&gt;&lt;References&gt;&lt;Item&gt;&lt;ID&gt;388&lt;/ID&gt;&lt;UID&gt;{877DE998-A336-43D1-9DFB-EE5D1E035A2D}&lt;/UID&gt;&lt;Title&gt;基于阀侧电流特征的高压直流换相失败检测方法&lt;/Title&gt;&lt;Template&gt;Journal Article&lt;/Template&gt;&lt;Star&gt;0&lt;/Star&gt;&lt;Tag&gt;0&lt;/Tag&gt;&lt;Author&gt;陈光侵; 傅闯; 张勇军&lt;/Author&gt;&lt;Year&gt;2019&lt;/Year&gt;&lt;Details&gt;&lt;_accessed&gt;63445977&lt;/_accessed&gt;&lt;_accession_num&gt;CSCD:6586691_x000d__x000a_ER&lt;/_accession_num&gt;&lt;_cited_count&gt;1&lt;/_cited_count&gt;&lt;_collection_scope&gt;CSCD;PKU;EI&lt;/_collection_scope&gt;&lt;_created&gt;63444588&lt;/_created&gt;&lt;_date_display&gt;2019, 2019&lt;/_date_display&gt;&lt;_db_provider&gt;ISI&lt;/_db_provider&gt;&lt;_isbn&gt;1000-3673&lt;/_isbn&gt;&lt;_issue&gt;1000-3673(2019)43:10&amp;lt;3488:JYFCDL&amp;gt;2.0.TX;2-W10&lt;/_issue&gt;&lt;_journal&gt;电网技术&lt;/_journal&gt;&lt;_modified&gt;63445978&lt;/_modified&gt;&lt;_pages&gt;3488-3496&lt;/_pages&gt;&lt;_tertiary_title&gt;Power System Technology&lt;/_tertiary_title&gt;&lt;_translated_author&gt;Chen, Guangqin; Fu, Chuang; Zhang, Yongjun&lt;/_translated_author&gt;&lt;_translated_title&gt;Detection Method of HVDC CF Based on Characteristics of Valve-side Current&lt;/_translated_title&gt;&lt;_url&gt;CSCD:6586691&lt;/_url&gt;&lt;_volume&gt;43&lt;/_volume&gt;&lt;/Details&gt;&lt;Extra&gt;&lt;DBUID&gt;{6891F4B0-DCBA-459A-9A22-3059983243D4}&lt;/DBUID&gt;&lt;/Extra&gt;&lt;/Item&gt;&lt;/References&gt;&lt;/Group&gt;&lt;Group&gt;&lt;References&gt;&lt;Item&gt;&lt;ID&gt;337&lt;/ID&gt;&lt;UID&gt;{D3AAF6E1-AB59-4A48-9CB9-8BE887CDB2DA}&lt;/UID&gt;&lt;Title&gt;A criterion for accurate identification of commutation failure in HVDC systems&lt;/Title&gt;&lt;Template&gt;Journal Article&lt;/Template&gt;&lt;Star&gt;0&lt;/Star&gt;&lt;Tag&gt;0&lt;/Tag&gt;&lt;Author&gt;Wei, Zhanhong; Fang, Wanliang; Liu, Jun&lt;/Author&gt;&lt;Year&gt;2020&lt;/Year&gt;&lt;Details&gt;&lt;_accessed&gt;63446009&lt;/_accessed&gt;&lt;_accession_num&gt;WOS:000525770200045_x000d__x000a_ER&lt;/_accession_num&gt;&lt;_cited_count&gt;1&lt;/_cited_count&gt;&lt;_collection_scope&gt;SCIE;EI&lt;/_collection_scope&gt;&lt;_created&gt;63444588&lt;/_created&gt;&lt;_date_display&gt;2020, JUL 2020&lt;/_date_display&gt;&lt;_db_provider&gt;ISI&lt;/_db_provider&gt;&lt;_doi&gt;10.1016/j.epsr.2020.106338&lt;/_doi&gt;&lt;_impact_factor&gt;   3.211&lt;/_impact_factor&gt;&lt;_isbn&gt;0378-7796&lt;/_isbn&gt;&lt;_issue&gt;106338&lt;/_issue&gt;&lt;_journal&gt;ELECTRIC POWER SYSTEMS RESEARCH&lt;/_journal&gt;&lt;_modified&gt;63446033&lt;/_modified&gt;&lt;_url&gt;http://gateway.isiknowledge.com/gateway/Gateway.cgi?GWVersion=2&amp;amp;SrcAuth=AegeanSoftware&amp;amp;SrcApp=NoteExpress&amp;amp;DestLinkType=FullRecord&amp;amp;DestApp=WOS&amp;amp;KeyUT=000525770200045 _x000d__x000a_https://pdf.sciencedirectassets.com/271091/1-s2.0-S0378779620X00046/1-s2.0-S0378779620301449/main.pdf?X-Amz-Security-Token=IQoJb3JpZ2luX2VjECoaCXVzLWVhc3QtMSJGMEQCIFMg3d9CXQZFvBYEHTkJBN3alQ0O06oPVJyx2nsCYIP%2BAiAaxERHPBboUqaQH3JZCdhyecQM0V1O7omsJwd18UlTjiq0AwgTEAMaDDA1OTAwMzU0Njg2NSIMpRVhl5UEST%2BdaRivKpEDyuGqtkhfHIGsrhaUHCuzmcycSLtftVAoEr3sOjOFBDt9pQkbmkR4qRFn7VDfEmkp23VuqzBazst9FlCMS0aBHITu5hbhfTV5UHOe7xnYwSHoRS9Uj45yrJ7bsXe1d5eVcxcXRL6AJmI1GBaZacwSIpAtqtbyU9kN256nSUa59vB8Df3Iuht53gxvnJRzGUZlJ9mjCDoA%2Bvn%2FQbmlzM%2FyiyS3qxihVnxypD8ZwEvUEpwu%2FSmXSUd53y1JsFPPV8n67PoJ4Bng9egkks3%2FOkFww0b0DDuYWgNadGffU6L0U5WXOhJSfAMXcUhCzC0zzQ5hv%2B8MUXnrYt5VgyHZ6PpqNeRrnBDAq4fPMURa804wj2bxrEYV914TQ20tWcYHZw76YBYTdevJ55Cb%2FJui58M3CHYsHjPM80bQHcoWtAASjsQML1KIps8NwctqYfWEEgnF8d%2BSN2V8gp3euqKam3vjAC5hA61vZ0E%2FS8qGo8qyCNuPs877hLQF3oLMxca8HqEZEXTpHL%2FvgdpTbQEilonKmQUwuLvu%2BQU67AH00cqZHrrAZGFx%2FC9Rutur1Oe09V68PlBLlisGjGvjciMCFNFXY0rYHnH5TNtEceAU9PheZKIdjtCMHAYICyd6VdZ2cZ2loF5z9HcvC0aWyAyO47TRzDX5UFl62OGHdJ1foyO3mtWVWnX0XQ0oizqktxIZN1cTWx7BWzFfSgGKAvH1JRs6EssxXtuZxVX1F4qsk11xPbAIZNHIiwNPQFwmf7WKcfZMZDddmnyBtsK0A7w1AGFfk8RvqJDw42UT5RnmsLVQtTLQv7vtM%2Bz8eW7Wrz1DibUsLx7h9hsxooFuVfAGtq2jsvsEWJmzAQ%3D%3D&amp;amp;X-Amz-Algorithm=AWS4-HMAC-SHA256&amp;amp;X-Amz-Date=20200818T095317Z&amp;amp;X-Amz-SignedHeaders=host&amp;amp;X-Amz-Expires=300&amp;amp;X-Amz-Credential=ASIAQ3PHCVTY5AAOB72O%2F20200818%2Fus-east-1%2Fs3%2Faws4_request&amp;amp;X-Amz-Signature=927f0e4072d767be9b7866e85a0e597d9608d742c1d2fdb171306451edb761e6&amp;amp;hash=c5500cc2e6a5e943c903f7cc4ec399b89fb0b308ec8160451aaa549e240cbb4d&amp;amp;host=68042c943591013ac2b2430a89b270f6af2c76d8dfd086a07176afe7c76c2c61&amp;amp;pii=S0378779620301449&amp;amp;tid=spdf-52d40400-9af6-4f34-afa4-b1d307670aaa&amp;amp;sid=8250fea48e26d340aa2a9e702e660f5f4243gxrqa&amp;amp;type=client _x000d__x000a_&lt;/_url&gt;&lt;_volume&gt;184&lt;/_volume&gt;&lt;/Details&gt;&lt;Extra&gt;&lt;DBUID&gt;{6891F4B0-DCBA-459A-9A22-3059983243D4}&lt;/DBUID&gt;&lt;/Extra&gt;&lt;/Item&gt;&lt;/References&gt;&lt;/Group&gt;&lt;/Citation&gt;_x000a_"/>
    <w:docVar w:name="NE.Ref{398A8966-B4CF-49E6-B47B-2FBFE2FF4C50}" w:val=" ADDIN NE.Ref.{398A8966-B4CF-49E6-B47B-2FBFE2FF4C50}&lt;Citation&gt;&lt;Group&gt;&lt;References&gt;&lt;Item&gt;&lt;ID&gt;19&lt;/ID&gt;&lt;UID&gt;{433D62B0-9490-447F-8E1B-46896DF18936}&lt;/UID&gt;&lt;Title&gt;基于遗传算法改进BP神经网络的风电功率预测研究&lt;/Title&gt;&lt;Template&gt;Journal Article&lt;/Template&gt;&lt;Star&gt;0&lt;/Star&gt;&lt;Tag&gt;0&lt;/Tag&gt;&lt;Author&gt;王冰冰; 赵天乐&lt;/Author&gt;&lt;Year&gt;2019&lt;/Year&gt;&lt;Details&gt;&lt;_accessed&gt;64357567&lt;/_accessed&gt;&lt;_author_aff&gt;南京理工大学自动化学院;&lt;/_author_aff&gt;&lt;_cited_count&gt;13&lt;/_cited_count&gt;&lt;_created&gt;64357565&lt;/_created&gt;&lt;_date&gt;63089280&lt;/_date&gt;&lt;_db_updated&gt;CNKI - Reference&lt;/_db_updated&gt;&lt;_issue&gt;12&lt;/_issue&gt;&lt;_journal&gt;电工电气&lt;/_journal&gt;&lt;_keywords&gt;风电;功率预测;BP神经网络;遗传算法&lt;/_keywords&gt;&lt;_language&gt;Chinese&lt;/_language&gt;&lt;_modified&gt;64357567&lt;/_modified&gt;&lt;_pages&gt;16-21&lt;/_pages&gt;&lt;_url&gt;https://kns.cnki.net/kcms/detail/detail.aspx?FileName=JSDQ201912004&amp;amp;DbName=CJFQ2019&lt;/_url&gt;&lt;_translated_author&gt;Wang, Bingbing;Zhao, Tianle&lt;/_translated_author&gt;&lt;/Details&gt;&lt;Extra/&gt;&lt;/Item&gt;&lt;/References&gt;&lt;/Group&gt;&lt;/Citation&gt;_x000a_"/>
    <w:docVar w:name="NE.Ref{3A482704-5DC0-4B50-A290-135416E56D38}" w:val=" ADDIN NE.Ref.{3A482704-5DC0-4B50-A290-135416E56D38}&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collection_scope&gt;CSCD;PKU;EI&lt;/_collection_scope&gt;&lt;_created&gt;63704857&lt;/_created&gt;&lt;_db_provider&gt;CNKI&lt;/_db_provider&gt;&lt;_isbn&gt;0258-8013&lt;/_isbn&gt;&lt;_issue&gt;04&lt;/_issue&gt;&lt;_journal&gt;中国电机工程学报&lt;/_journal&gt;&lt;_keywords&gt;能量管理;微电网群;混合交直流配电系统;博弈论;鲁棒优化&lt;/_keywords&gt;&lt;_modified&gt;63704857&lt;/_modified&gt;&lt;_pages&gt;1226-1240+1413&lt;/_pages&gt;&lt;_volume&gt;40&lt;/_volume&gt;&lt;_translated_author&gt;Fu, Yang;Zhang, Zhiquan;Li, Zhenkun;Mi, Yang&lt;/_translated_author&gt;&lt;/Details&gt;&lt;Extra&gt;&lt;DBUID&gt;{F96A950B-833F-4880-A151-76DA2D6A2879}&lt;/DBUID&gt;&lt;/Extra&gt;&lt;/Item&gt;&lt;/References&gt;&lt;/Group&gt;&lt;/Citation&gt;_x000a_"/>
    <w:docVar w:name="NE.Ref{3AD288CF-5132-4B6F-8F37-F15323CA394D}" w:val=" ADDIN NE.Ref.{3AD288CF-5132-4B6F-8F37-F15323CA394D}&lt;Citation&gt;&lt;Group&gt;&lt;References&gt;&lt;Item&gt;&lt;ID&gt;1060&lt;/ID&gt;&lt;UID&gt;{ACCA38B6-229F-40EE-BCB5-10C4121DF3CB}&lt;/UID&gt;&lt;Title&gt;Coordinated optimization method for suppressing transient overvoltage caused by HVDC commutation failure considering large wind power integration&lt;/Title&gt;&lt;Template&gt;Journal Article&lt;/Template&gt;&lt;Star&gt;0&lt;/Star&gt;&lt;Tag&gt;0&lt;/Tag&gt;&lt;Author&gt;Li, Yang; Zeng, Yuan; Zhang, Wenxu; Qin, Chao&lt;/Author&gt;&lt;Year&gt;2023&lt;/Year&gt;&lt;Details&gt;&lt;_doi&gt;10.1016/j.egyr.2022.12.037&lt;/_doi&gt;&lt;_created&gt;64780447&lt;/_created&gt;&lt;_modified&gt;64780447&lt;/_modified&gt;&lt;_url&gt;https://linkinghub.elsevier.com/retrieve/pii/S2352484722026385_x000d__x000a_https://api.elsevier.com/content/article/PII:S2352484722026385?httpAccept=text/xml&lt;/_url&gt;&lt;_journal&gt;Energy Reports&lt;/_journal&gt;&lt;_volume&gt;9&lt;/_volume&gt;&lt;_pages&gt;1171-1182&lt;/_pages&gt;&lt;_tertiary_title&gt;Energy Reports&lt;/_tertiary_title&gt;&lt;_isbn&gt;23524847&lt;/_isbn&gt;&lt;_accessed&gt;64780447&lt;/_accessed&gt;&lt;_db_updated&gt;CrossRef&lt;/_db_updated&gt;&lt;_impact_factor&gt;   4.937&lt;/_impact_factor&gt;&lt;_collection_scope&gt;EI&lt;/_collection_scope&gt;&lt;/Details&gt;&lt;Extra&gt;&lt;DBUID&gt;{684DF7C5-873E-4B6A-A11E-0CD148BF4011}&lt;/DBUID&gt;&lt;/Extra&gt;&lt;/Item&gt;&lt;/References&gt;&lt;/Group&gt;&lt;Group&gt;&lt;References&gt;&lt;Item&gt;&lt;ID&gt;1059&lt;/ID&gt;&lt;UID&gt;{80C6FB58-ACCF-4556-9858-0B5F460D202E}&lt;/UID&gt;&lt;Title&gt;An improved reactive power control strategy for LCC-HVDC to mitigate sending end transient voltage disturbance caused by commutation failures&lt;/Title&gt;&lt;Template&gt;Journal Article&lt;/Template&gt;&lt;Star&gt;0&lt;/Star&gt;&lt;Tag&gt;0&lt;/Tag&gt;&lt;Author&gt;Xie, Qi; Xiao, Xianyong; Zheng, Zixuan; Wang, Yang; Song, Donghui; Du, Kaijian; Zou, Yi; Zhang, Jiachen&lt;/Author&gt;&lt;Year&gt;2023&lt;/Year&gt;&lt;Details&gt;&lt;_doi&gt;10.1016/j.ijepes.2022.108706&lt;/_doi&gt;&lt;_created&gt;64780447&lt;/_created&gt;&lt;_modified&gt;64780447&lt;/_modified&gt;&lt;_url&gt;https://linkinghub.elsevier.com/retrieve/pii/S0142061522007025_x000d__x000a_https://api.elsevier.com/content/article/PII:S0142061522007025?httpAccept=text/xml&lt;/_url&gt;&lt;_journal&gt;International Journal of Electrical Power &amp;amp; Energy Systems&lt;/_journal&gt;&lt;_volume&gt;146&lt;/_volume&gt;&lt;_pages&gt;108706&lt;/_pages&gt;&lt;_tertiary_title&gt;International Journal of Electrical Power &amp;amp; Energy Systems&lt;/_tertiary_title&gt;&lt;_isbn&gt;01420615&lt;/_isbn&gt;&lt;_accessed&gt;64780447&lt;/_accessed&gt;&lt;_db_updated&gt;CrossRef&lt;/_db_updated&gt;&lt;_impact_factor&gt;   5.659&lt;/_impact_factor&gt;&lt;_social_category&gt;工程技术(2)&lt;/_social_category&gt;&lt;_collection_scope&gt;SCIE;EI&lt;/_collection_scope&gt;&lt;/Details&gt;&lt;Extra&gt;&lt;DBUID&gt;{684DF7C5-873E-4B6A-A11E-0CD148BF4011}&lt;/DBUID&gt;&lt;/Extra&gt;&lt;/Item&gt;&lt;/References&gt;&lt;/Group&gt;&lt;/Citation&gt;_x000a_"/>
    <w:docVar w:name="NE.Ref{3B141218-5B34-402A-A1C0-879F5B4FA5FE}" w:val=" ADDIN NE.Ref.{3B141218-5B34-402A-A1C0-879F5B4FA5FE}&lt;Citation&gt;&lt;Group&gt;&lt;References&gt;&lt;Item&gt;&lt;ID&gt;525&lt;/ID&gt;&lt;UID&gt;{647A12D0-C83E-493D-B864-9221E38E12AD}&lt;/UID&gt;&lt;Title&gt;The energy report: India 100% renewable energy by 2050&lt;/Title&gt;&lt;Template&gt;Journal Article&lt;/Template&gt;&lt;Star&gt;0&lt;/Star&gt;&lt;Tag&gt;0&lt;/Tag&gt;&lt;Author&gt;Institute, Tata Energy&lt;/Author&gt;&lt;Year&gt;2013&lt;/Year&gt;&lt;Details&gt;&lt;_created&gt;63658830&lt;/_created&gt;&lt;_journal&gt;Tata Energy Research Institute India&lt;/_journal&gt;&lt;_modified&gt;63658830&lt;/_modified&gt;&lt;/Details&gt;&lt;Extra&gt;&lt;DBUID&gt;{F96A950B-833F-4880-A151-76DA2D6A2879}&lt;/DBUID&gt;&lt;/Extra&gt;&lt;/Item&gt;&lt;/References&gt;&lt;/Group&gt;&lt;/Citation&gt;_x000a_"/>
    <w:docVar w:name="NE.Ref{3B1C8D82-63D1-4176-91D2-40853171D5BC}" w:val=" ADDIN NE.Ref.{3B1C8D82-63D1-4176-91D2-40853171D5BC}&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3B5CF5C2-964E-4CBD-9F7C-1D9387EC6628}" w:val=" ADDIN NE.Ref.{3B5CF5C2-964E-4CBD-9F7C-1D9387EC6628}&lt;Citation&gt;&lt;Group&gt;&lt;References&gt;&lt;Item&gt;&lt;ID&gt;674&lt;/ID&gt;&lt;UID&gt;{89C9CD25-7A1B-4CDC-B1C2-52361D34149B}&lt;/UID&gt;&lt;Title&gt;A novelmethod tomitigate commutation failures in HVdc systems&lt;/Title&gt;&lt;Template&gt;Conference Proceedings&lt;/Template&gt;&lt;Star&gt;0&lt;/Star&gt;&lt;Tag&gt;0&lt;/Tag&gt;&lt;Author&gt;Zhang, L; Dofnas, L&lt;/Author&gt;&lt;Year&gt;2002&lt;/Year&gt;&lt;Details&gt;&lt;_secondary_title&gt; Proc. Int. Conf. Power Syst. Technol&lt;/_secondary_title&gt;&lt;_volume&gt;1&lt;/_volume&gt;&lt;_pages&gt;51-56&lt;/_pages&gt;&lt;_date&gt;54169920&lt;/_date&gt;&lt;_accessed&gt;63459198&lt;/_accessed&gt;&lt;_created&gt;63459198&lt;/_created&gt;&lt;_modified&gt;63459198&lt;/_modified&gt;&lt;/Details&gt;&lt;Extra&gt;&lt;DBUID&gt;{6891F4B0-DCBA-459A-9A22-3059983243D4}&lt;/DBUID&gt;&lt;/Extra&gt;&lt;/Item&gt;&lt;/References&gt;&lt;/Group&gt;&lt;/Citation&gt;_x000a_"/>
    <w:docVar w:name="NE.Ref{3BC87E7C-6BB9-40E3-A171-691F2AFDA72B}" w:val=" ADDIN NE.Ref.{3BC87E7C-6BB9-40E3-A171-691F2AFDA72B}&lt;Citation&gt;&lt;Group&gt;&lt;References&gt;&lt;Item&gt;&lt;ID&gt;1016&lt;/ID&gt;&lt;UID&gt;{3359CFFB-7C61-42DA-8934-A5B37CD89FEE}&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date&gt;2022-05-23&lt;/_date&gt;&lt;_journal&gt;中国电机工程学报&lt;/_journal&gt;&lt;_keywords&gt;暂态过电压;新能源并网系统;电压支撑强度;短路容量;并网规模&lt;/_keywords&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GQJFEA4Br%2b68rniQGB%2fWWdr%2b93LrdvkD9CwUbXbsT4sYgW1T3oFZ4xO0eVG7BcLs _x000d__x000a_&lt;/_url&gt;&lt;_created&gt;64779706&lt;/_created&gt;&lt;_modified&gt;64779706&lt;/_modified&gt;&lt;_db_updated&gt;CNKI - Reference&lt;/_db_updated&gt;&lt;_collection_scope&gt;CSCD;PKU;EI&lt;/_collection_scope&gt;&lt;_translated_author&gt;Sun, Huadong;Yu, Lin;Zhao, Bing&lt;/_translated_author&gt;&lt;/Details&gt;&lt;Extra&gt;&lt;DBUID&gt;{6891F4B0-DCBA-459A-9A22-3059983243D4}&lt;/DBUID&gt;&lt;/Extra&gt;&lt;/Item&gt;&lt;/References&gt;&lt;/Group&gt;&lt;/Citation&gt;_x000a_"/>
    <w:docVar w:name="NE.Ref{3C91517F-7ADB-4ED7-BD0A-46C92D93DB12}" w:val=" ADDIN NE.Ref.{3C91517F-7ADB-4ED7-BD0A-46C92D93DB12}&lt;Citation&gt;&lt;Group&gt;&lt;References&gt;&lt;Item&gt;&lt;ID&gt;532&lt;/ID&gt;&lt;UID&gt;{3DEFA07E-C98A-47AE-BCBD-3C95D2FB6C60}&lt;/UID&gt;&lt;Title&gt;1100 kV特高压直流接入系统控制策略优化 &lt;/Title&gt;&lt;Template&gt;Journal Article&lt;/Template&gt;&lt;Star&gt;0&lt;/Star&gt;&lt;Tag&gt;0&lt;/Tag&gt;&lt;Author&gt;李新年; 雷霄; 陈树勇; 刘耀; 祝洁; 王晶芳; 庞广恒; 杨鹏; 林少伯; 班连庚; 王华伟&lt;/Author&gt;&lt;Year&gt;2016&lt;/Year&gt;&lt;Details&gt;&lt;_accessed&gt;63445925&lt;/_accessed&gt;&lt;_accession_num&gt;CSCD:5704787_x000d__x000a_ER&lt;/_accession_num&gt;&lt;_cited_count&gt;0&lt;/_cited_count&gt;&lt;_collection_scope&gt;CSCD;PKU;EI&lt;/_collection_scope&gt;&lt;_created&gt;63444588&lt;/_created&gt;&lt;_date_display&gt;2016, 2016&lt;/_date_display&gt;&lt;_db_provider&gt;ISI&lt;/_db_provider&gt;&lt;_isbn&gt;1000-3673&lt;/_isbn&gt;&lt;_issue&gt;1000-3673(2016)40:5&amp;lt;1326:1KTGYZ&amp;gt;2.0.TX;2-55&lt;/_issue&gt;&lt;_journal&gt;电网技术&lt;/_journal&gt;&lt;_modified&gt;63445925&lt;/_modified&gt;&lt;_pages&gt;1326-1333&lt;/_pages&gt;&lt;_tertiary_title&gt;Power System Technology&lt;/_tertiary_title&gt;&lt;_translated_author&gt;Li, Xinnian; Lei, Xiao; Chen, Shuyong; Liu, Yao; Zhu, Jie; Wang, Jingfang; Pang, Guangheng; Yang, Peng; Lin, Shaobo; Ban, Liangeng; Wang, Huawei&lt;/_translated_author&gt;&lt;_translated_title&gt;Optimization of Control Strategy for 1100 kV UHVDC Integrated AC System&lt;/_translated_title&gt;&lt;_url&gt;CSCD:5704787&lt;/_url&gt;&lt;_volume&gt;40&lt;/_volume&gt;&lt;/Details&gt;&lt;Extra&gt;&lt;DBUID&gt;{6891F4B0-DCBA-459A-9A22-3059983243D4}&lt;/DBUID&gt;&lt;/Extra&gt;&lt;/Item&gt;&lt;/References&gt;&lt;/Group&gt;&lt;/Citation&gt;_x000a_"/>
    <w:docVar w:name="NE.Ref{3D2A7B02-E168-42CC-A602-E5074E4F5326}" w:val=" ADDIN NE.Ref.{3D2A7B02-E168-42CC-A602-E5074E4F5326}&lt;Citation&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503&lt;/_impact_factor&gt;&lt;_isbn&gt;1751-8687&lt;/_isbn&gt;&lt;_issue&gt;22&lt;/_issue&gt;&lt;_journal&gt;IET GENERATION TRANSMISSION &amp;amp; DISTRIBUTION&lt;/_journal&gt;&lt;_modified&gt;64498615&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Citation&gt;_x000a_"/>
    <w:docVar w:name="NE.Ref{3DE05DE4-758A-496E-A779-6CBD90E48290}" w:val=" ADDIN NE.Ref.{3DE05DE4-758A-496E-A779-6CBD90E48290}&lt;Citation&gt;&lt;Group&gt;&lt;References&gt;&lt;Item&gt;&lt;ID&gt;615&lt;/ID&gt;&lt;UID&gt;{287ABAB2-3CEE-4960-A8FB-A19EA8742064}&lt;/UID&gt;&lt;Title&gt;Hydrogen-based integrated energy and mobility system for a real-life office environment&lt;/Title&gt;&lt;Template&gt;Journal Article&lt;/Template&gt;&lt;Star&gt;0&lt;/Star&gt;&lt;Tag&gt;0&lt;/Tag&gt;&lt;Author&gt;A, Samira S Farahani; B, Cliff Bleeker; B, Ad Van Wijk; A, Zofia Lukszo&lt;/Author&gt;&lt;Year&gt;0&lt;/Year&gt;&lt;Details&gt;&lt;_collection_scope&gt;SCI;SCIE;EI&lt;/_collection_scope&gt;&lt;_created&gt;63705319&lt;/_created&gt;&lt;_journal&gt;Applied Energy&lt;/_journal&gt;&lt;_modified&gt;63705319&lt;/_modified&gt;&lt;_volume&gt;264&lt;/_volume&gt;&lt;/Details&gt;&lt;Extra&gt;&lt;DBUID&gt;{F96A950B-833F-4880-A151-76DA2D6A2879}&lt;/DBUID&gt;&lt;/Extra&gt;&lt;/Item&gt;&lt;/References&gt;&lt;/Group&gt;&lt;/Citation&gt;_x000a_"/>
    <w:docVar w:name="NE.Ref{3E7DB7D0-D3CB-4717-87CA-CF4239E53548}" w:val=" ADDIN NE.Ref.{3E7DB7D0-D3CB-4717-87CA-CF4239E53548}&lt;Citation&gt;&lt;Group&gt;&lt;References&gt;&lt;Item&gt;&lt;ID&gt;578&lt;/ID&gt;&lt;UID&gt;{1E50F95C-CC28-4D64-AA10-E29ADCE2E4E6}&lt;/UID&gt;&lt;Title&gt;A Distributionally Robust Optimization Model for Unit Commitment Based on Kullback-Leibler Divergence&lt;/Title&gt;&lt;Template&gt;Journal Article&lt;/Template&gt;&lt;Star&gt;0&lt;/Star&gt;&lt;Tag&gt;0&lt;/Tag&gt;&lt;Author&gt;Chen, Yuwei; Guo, Qinglai; Sun, Hongbin; Li, Zhengshuo; Wu, Wenchuan; Li, Zihao&lt;/Author&gt;&lt;Year&gt;2018&lt;/Year&gt;&lt;Details&gt;&lt;_accession_num&gt;WOS:000443079800044_x000d__x000a_ER&lt;/_accession_num&gt;&lt;_cited_count&gt;26&lt;/_cited_count&gt;&lt;_collection_scope&gt;SCI;SCIE;EI&lt;/_collection_scope&gt;&lt;_created&gt;63685321&lt;/_created&gt;&lt;_date_display&gt;2018, SEP 2018&lt;/_date_display&gt;&lt;_db_provider&gt;ISI&lt;/_db_provider&gt;&lt;_doi&gt;10.1109/TPWRS.2018.2797069&lt;/_doi&gt;&lt;_impact_factor&gt;   6.074&lt;/_impact_factor&gt;&lt;_isbn&gt;0885-8950&lt;/_isbn&gt;&lt;_issue&gt;5&lt;/_issue&gt;&lt;_journal&gt;IEEE TRANSACTIONS ON POWER SYSTEMS&lt;/_journal&gt;&lt;_modified&gt;63685321&lt;/_modified&gt;&lt;_pages&gt;5147-5160&lt;/_pages&gt;&lt;_url&gt;http://gateway.isiknowledge.com/gateway/Gateway.cgi?GWVersion=2&amp;amp;SrcAuth=AegeanSoftware&amp;amp;SrcApp=NoteExpress&amp;amp;DestLinkType=FullRecord&amp;amp;DestApp=WOS&amp;amp;KeyUT=000443079800044&lt;/_url&gt;&lt;_volume&gt;33&lt;/_volume&gt;&lt;/Details&gt;&lt;Extra&gt;&lt;DBUID&gt;{F96A950B-833F-4880-A151-76DA2D6A2879}&lt;/DBUID&gt;&lt;/Extra&gt;&lt;/Item&gt;&lt;/References&gt;&lt;/Group&gt;&lt;Group&gt;&lt;References&gt;&lt;Item&gt;&lt;ID&gt;558&lt;/ID&gt;&lt;UID&gt;{31BB8AC2-17C5-4AA3-92C9-7B48ED72A3D8}&lt;/UID&gt;&lt;Title&gt;计及风电不确定性和弃风率约束的风电场储能容量配置方法&lt;/Title&gt;&lt;Template&gt;Journal Article&lt;/Template&gt;&lt;Star&gt;0&lt;/Star&gt;&lt;Tag&gt;0&lt;/Tag&gt;&lt;Author&gt;杨立滨; 曹阳; 魏韡; 陈来军; 梅生伟&lt;/Author&gt;&lt;Year&gt;2020&lt;/Year&gt;&lt;Details&gt;&lt;_author_adr&gt;国网青海省电力公司电力科学研究院;清华大学电机工程与应用电子技术系;电力系统及发电设备控制和仿真国家重点实验室清华大学;&lt;/_author_adr&gt;&lt;_collection_scope&gt;CSCD;PKU;EI&lt;/_collection_scope&gt;&lt;_created&gt;63685118&lt;/_created&gt;&lt;_db_provider&gt;CNKI&lt;/_db_provider&gt;&lt;_isbn&gt;1000-1026&lt;/_isbn&gt;&lt;_issue&gt;16&lt;/_issue&gt;&lt;_journal&gt;电力系统自动化&lt;/_journal&gt;&lt;_keywords&gt;储能配置;风电场;分布鲁棒优化;不确定性;弃风率&lt;/_keywords&gt;&lt;_modified&gt;63685118&lt;/_modified&gt;&lt;_pages&gt;45-52&lt;/_pages&gt;&lt;_volume&gt;44&lt;/_volume&gt;&lt;_translated_author&gt;Yang, Libin;Cao, Yang;Wei, Wei;Chen, Laijun;Mei, Shengwei&lt;/_translated_author&gt;&lt;/Details&gt;&lt;Extra&gt;&lt;DBUID&gt;{F96A950B-833F-4880-A151-76DA2D6A2879}&lt;/DBUID&gt;&lt;/Extra&gt;&lt;/Item&gt;&lt;/References&gt;&lt;/Group&gt;&lt;Group&gt;&lt;References&gt;&lt;Item&gt;&lt;ID&gt;572&lt;/ID&gt;&lt;UID&gt;{A1CFA81B-D4D8-4A16-B5EF-27650B2BCA76}&lt;/UID&gt;&lt;Title&gt;基于分布鲁棒优化的电–气–热综合能源系统日前经济调度&lt;/Title&gt;&lt;Template&gt;Journal Article&lt;/Template&gt;&lt;Star&gt;0&lt;/Star&gt;&lt;Tag&gt;0&lt;/Tag&gt;&lt;Author&gt;高晓松; 李更丰; 肖遥; 别朝红&lt;/Author&gt;&lt;Year&gt;2020&lt;/Year&gt;&lt;Details&gt;&lt;_author_adr&gt;电力设备电气绝缘国家重点实验室(西安交通大学);陕西省智能电网重点实验室(西安交通大学);&lt;/_author_adr&gt;&lt;_collection_scope&gt;CSCD;PKU;EI&lt;/_collection_scope&gt;&lt;_created&gt;63685138&lt;/_created&gt;&lt;_db_provider&gt;CNKI&lt;/_db_provider&gt;&lt;_isbn&gt;1000-3673&lt;/_isbn&gt;&lt;_issue&gt;06&lt;/_issue&gt;&lt;_journal&gt;电网技术&lt;/_journal&gt;&lt;_keywords&gt;日前经济调度;不确定性;电–气–热综合能源系统;分布鲁棒优化;Kullback-Leibler散度&lt;/_keywords&gt;&lt;_modified&gt;63685138&lt;/_modified&gt;&lt;_pages&gt;2245-2254&lt;/_pages&gt;&lt;_volume&gt;44&lt;/_volume&gt;&lt;_translated_author&gt;Gao, Xiaosong;Li, Gengfeng;Xiao, Yao;Bie, Chaohong&lt;/_translated_author&gt;&lt;/Details&gt;&lt;Extra&gt;&lt;DBUID&gt;{F96A950B-833F-4880-A151-76DA2D6A2879}&lt;/DBUID&gt;&lt;/Extra&gt;&lt;/Item&gt;&lt;/References&gt;&lt;/Group&gt;&lt;/Citation&gt;_x000a_"/>
    <w:docVar w:name="NE.Ref{3EC29B0D-7A11-4596-B464-690E3B29885F}" w:val=" ADDIN NE.Ref.{3EC29B0D-7A11-4596-B464-690E3B29885F}&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3F792827-2224-490D-B60F-FC7791FE4F36}" w:val=" ADDIN NE.Ref.{3F792827-2224-490D-B60F-FC7791FE4F36}&lt;Citation&gt;&lt;Group&gt;&lt;References&gt;&lt;Item&gt;&lt;ID&gt;410&lt;/ID&gt;&lt;UID&gt;{00F1AD4F-FF6D-4A5D-812F-86932D9A11AF}&lt;/UID&gt;&lt;Title&gt;Hybrid bare-bones PSO for dynamic economic dispatch with valve-point effects&lt;/Title&gt;&lt;Template&gt;Journal Article&lt;/Template&gt;&lt;Star&gt;0&lt;/Star&gt;&lt;Tag&gt;0&lt;/Tag&gt;&lt;Author&gt;Zhang, Yong; Gong, Dun Wei; Geng, Na; Sun, Xiao Yan&lt;/Author&gt;&lt;Year&gt;2014&lt;/Year&gt;&lt;Details&gt;&lt;_collection_scope&gt;SCIE;EI&lt;/_collection_scope&gt;&lt;_created&gt;63642105&lt;/_created&gt;&lt;_impact_factor&gt;   5.472&lt;/_impact_factor&gt;&lt;_journal&gt;Applied Soft Computing&lt;/_journal&gt;&lt;_modified&gt;63642105&lt;/_modified&gt;&lt;_pages&gt;248-260&lt;/_pages&gt;&lt;_volume&gt;18&lt;/_volume&gt;&lt;/Details&gt;&lt;Extra&gt;&lt;DBUID&gt;{F96A950B-833F-4880-A151-76DA2D6A2879}&lt;/DBUID&gt;&lt;/Extra&gt;&lt;/Item&gt;&lt;/References&gt;&lt;/Group&gt;&lt;/Citation&gt;_x000a_"/>
    <w:docVar w:name="NE.Ref{40DF5C49-4519-4CAE-97B3-7534E262E5B9}" w:val=" ADDIN NE.Ref.{40DF5C49-4519-4CAE-97B3-7534E262E5B9}&lt;Citation&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449863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40F6238D-767D-4420-AB02-655BDAF80692}" w:val=" ADDIN NE.Ref.{40F6238D-767D-4420-AB02-655BDAF80692}&lt;Citation&gt;&lt;Group&gt;&lt;References&gt;&lt;Item&gt;&lt;ID&gt;717&lt;/ID&gt;&lt;UID&gt;{EDFF736A-2C37-4612-BB82-E3EFFF9D00DC}&lt;/UID&gt;&lt;Title&gt;抑制云广特高压直流孤岛运行甩负荷过电压的控制逻辑优化研究&lt;/Title&gt;&lt;Template&gt;Journal Article&lt;/Template&gt;&lt;Star&gt;0&lt;/Star&gt;&lt;Tag&gt;0&lt;/Tag&gt;&lt;Author&gt;李伟; 肖湘宁; 郭琦&lt;/Author&gt;&lt;Year&gt;2017&lt;/Year&gt;&lt;Details&gt;&lt;_author_aff&gt;新能源电力系统国家重点实验室(华北电力大学);南方电网科学研究院;&lt;/_author_aff&gt;&lt;_date&gt;2016-08-16&lt;/_date&gt;&lt;_db_provider&gt;CNKI: 期刊&lt;/_db_provider&gt;&lt;_issue&gt;05&lt;/_issue&gt;&lt;_journal&gt;中国电机工程学报&lt;/_journal&gt;&lt;_keywords&gt;特高压直流;过电压;有效短路比;控制逻辑优化&lt;/_keywords&gt;&lt;_pages&gt;1373-1379&lt;/_pages&gt;&lt;_url&gt;http://kns.cnki.net/KCMS/detail/detail.aspx?FileName=ZGDC201705010&amp;amp;DbName=CJFQ2017&lt;/_url&gt;&lt;_volume&gt;37&lt;/_volume&gt;&lt;_created&gt;63727866&lt;/_created&gt;&lt;_modified&gt;63727866&lt;/_modified&gt;&lt;_db_updated&gt;CNKI - Reference&lt;/_db_updated&gt;&lt;_collection_scope&gt;CSCD;PKU;EI&lt;/_collection_scope&gt;&lt;_translated_author&gt;Li, Wei;Xiao, Xiangning;Guo, Qi&lt;/_translated_author&gt;&lt;/Details&gt;&lt;Extra&gt;&lt;DBUID&gt;{6891F4B0-DCBA-459A-9A22-3059983243D4}&lt;/DBUID&gt;&lt;/Extra&gt;&lt;/Item&gt;&lt;/References&gt;&lt;/Group&gt;&lt;Group&gt;&lt;References&gt;&lt;Item&gt;&lt;ID&gt;714&lt;/ID&gt;&lt;UID&gt;{592FD0EF-6DA2-4704-B9B1-2D2BBD78E620}&lt;/UID&gt;&lt;Title&gt;云广直流孤岛运行“5·26”双极闭锁原因分析及改进措施&lt;/Title&gt;&lt;Template&gt;Journal Article&lt;/Template&gt;&lt;Star&gt;0&lt;/Star&gt;&lt;Tag&gt;0&lt;/Tag&gt;&lt;Author&gt;陈亦平; 陈磊; 叶骏; 侯君; 张尧; 杨仲超&lt;/Author&gt;&lt;Year&gt;2014&lt;/Year&gt;&lt;Details&gt;&lt;_author_aff&gt;华南理工大学电力学院;中国南方电网电力调度控制中心;清华大学电机工程与应用电子技术系;&lt;/_author_aff&gt;&lt;_date&gt;2014-04-25&lt;/_date&gt;&lt;_db_provider&gt;CNKI: 期刊&lt;/_db_provider&gt;&lt;_issue&gt;08&lt;/_issue&gt;&lt;_journal&gt;电力系统自动化&lt;/_journal&gt;&lt;_keywords&gt;高压直流输电;孤岛运行;双极闭锁;过电压;广域电力系统稳定器;高压侧电压控制&lt;/_keywords&gt;&lt;_pages&gt;129-135&lt;/_pages&gt;&lt;_url&gt;http://kns.cnki.net/KCMS/detail/detail.aspx?FileName=DLXT201408024&amp;amp;DbName=CJFQ2014&lt;/_url&gt;&lt;_volume&gt;38&lt;/_volume&gt;&lt;_created&gt;63727863&lt;/_created&gt;&lt;_modified&gt;63727863&lt;/_modified&gt;&lt;_db_updated&gt;CNKI - Reference&lt;/_db_updated&gt;&lt;_collection_scope&gt;CSCD;PKU;EI&lt;/_collection_scope&gt;&lt;_translated_author&gt;Chen, Yiping;Chen, Lei;Ye, Jun;Hou, Jun;Zhang, Yao;Yang, Zhongchao&lt;/_translated_author&gt;&lt;/Details&gt;&lt;Extra&gt;&lt;DBUID&gt;{6891F4B0-DCBA-459A-9A22-3059983243D4}&lt;/DBUID&gt;&lt;/Extra&gt;&lt;/Item&gt;&lt;/References&gt;&lt;/Group&gt;&lt;/Citation&gt;_x000a_"/>
    <w:docVar w:name="NE.Ref{412A6213-CDD8-4437-B3DF-2B7B0666E75F}" w:val=" ADDIN NE.Ref.{412A6213-CDD8-4437-B3DF-2B7B0666E75F}&lt;Citation&gt;&lt;Group&gt;&lt;References&gt;&lt;Item&gt;&lt;ID&gt;538&lt;/ID&gt;&lt;UID&gt;{0DC60098-CF0F-40E5-BB42-79BE01B32D70}&lt;/UID&gt;&lt;Title&gt;Frequency Dynamics Constrained Unit Commitment With Battery Energy Storage&lt;/Title&gt;&lt;Template&gt;Journal Article&lt;/Template&gt;&lt;Star&gt;0&lt;/Star&gt;&lt;Tag&gt;0&lt;/Tag&gt;&lt;Author&gt;Wen, Yunfeng; Li, Wenyuan; Huang, Gang; Liu, Xuan&lt;/Author&gt;&lt;Year&gt;2016&lt;/Year&gt;&lt;Details&gt;&lt;_collection_scope&gt;SCI;SCIE;EI&lt;/_collection_scope&gt;&lt;_created&gt;63661822&lt;/_created&gt;&lt;_impact_factor&gt;   6.074&lt;/_impact_factor&gt;&lt;_issue&gt;6&lt;/_issue&gt;&lt;_journal&gt;IEEE Transactions on Power Systems&lt;/_journal&gt;&lt;_modified&gt;63661822&lt;/_modified&gt;&lt;_pages&gt;5115-5125&lt;/_pages&gt;&lt;_volume&gt;31&lt;/_volume&gt;&lt;/Details&gt;&lt;Extra&gt;&lt;DBUID&gt;{F96A950B-833F-4880-A151-76DA2D6A2879}&lt;/DBUID&gt;&lt;/Extra&gt;&lt;/Item&gt;&lt;/References&gt;&lt;/Group&gt;&lt;/Citation&gt;_x000a_"/>
    <w:docVar w:name="NE.Ref{42A59C11-8397-4EA0-9907-2899A5CBFD30}" w:val=" ADDIN NE.Ref.{42A59C11-8397-4EA0-9907-2899A5CBFD30}&lt;Citation&gt;&lt;Group&gt;&lt;References&gt;&lt;Item&gt;&lt;ID&gt;493&lt;/ID&gt;&lt;UID&gt;{61C45A42-77B8-4FF7-978D-87CE3C7BAFF8}&lt;/UID&gt;&lt;Title&gt;Biased Multiobjective Optimization and Decomposition Algorithm&lt;/Title&gt;&lt;Template&gt;Journal Article&lt;/Template&gt;&lt;Star&gt;0&lt;/Star&gt;&lt;Tag&gt;0&lt;/Tag&gt;&lt;Author&gt;Li, Hui; Zhang, Qingfu; Deng, Jingda&lt;/Author&gt;&lt;Year&gt;2016&lt;/Year&gt;&lt;Details&gt;&lt;_collection_scope&gt;SCI;SCIE;EI&lt;/_collection_scope&gt;&lt;_created&gt;63651743&lt;/_created&gt;&lt;_impact_factor&gt;  11.079&lt;/_impact_factor&gt;&lt;_issue&gt;1&lt;/_issue&gt;&lt;_journal&gt;IEEE Transactions on Cybernetics&lt;/_journal&gt;&lt;_modified&gt;63651743&lt;/_modified&gt;&lt;_pages&gt;52-66&lt;/_pages&gt;&lt;_volume&gt;47&lt;/_volume&gt;&lt;/Details&gt;&lt;Extra&gt;&lt;DBUID&gt;{F96A950B-833F-4880-A151-76DA2D6A2879}&lt;/DBUID&gt;&lt;/Extra&gt;&lt;/Item&gt;&lt;/References&gt;&lt;/Group&gt;&lt;/Citation&gt;_x000a_"/>
    <w:docVar w:name="NE.Ref{43EB768F-0C15-4930-B089-AA5F6EABDED8}" w:val=" ADDIN NE.Ref.{43EB768F-0C15-4930-B089-AA5F6EABDED8}&lt;Citation&gt;&lt;Group&gt;&lt;References&gt;&lt;Item&gt;&lt;ID&gt;397&lt;/ID&gt;&lt;UID&gt;{78E9607F-AFEA-42B5-AE3A-3499BBEE4897}&lt;/UID&gt;&lt;Title&gt;The development of the renewable energy power industry under feed-in tariff and renewable portfolio standard: A case study of China&amp;apos;s wind power industry&lt;/Title&gt;&lt;Template&gt;Journal Article&lt;/Template&gt;&lt;Star&gt;0&lt;/Star&gt;&lt;Tag&gt;0&lt;/Tag&gt;&lt;Author&gt;Zhang, Yu-zhuo; Zhao, Xin-gang; Ren, Ling-zhi; Zuo, Yi&lt;/Author&gt;&lt;Year&gt;2017&lt;/Year&gt;&lt;Details&gt;&lt;_accession_num&gt;WOS:000414817700117_x000d__x000a_ER&lt;/_accession_num&gt;&lt;_cited_count&gt;15&lt;/_cited_count&gt;&lt;_collection_scope&gt;SCIE;EI&lt;/_collection_scope&gt;&lt;_created&gt;63640282&lt;/_created&gt;&lt;_date_display&gt;2017, DEC 1 2017&lt;/_date_display&gt;&lt;_db_provider&gt;ISI&lt;/_db_provider&gt;&lt;_doi&gt;10.1016/j.jclepro.2017.09.102&lt;/_doi&gt;&lt;_impact_factor&gt;   7.246&lt;/_impact_factor&gt;&lt;_isbn&gt;0959-6526&lt;/_isbn&gt;&lt;_journal&gt;JOURNAL OF CLEANER PRODUCTION&lt;/_journal&gt;&lt;_modified&gt;63640282&lt;/_modified&gt;&lt;_pages&gt;1262-1276&lt;/_pages&gt;&lt;_url&gt;http://gateway.isiknowledge.com/gateway/Gateway.cgi?GWVersion=2&amp;amp;SrcAuth=AegeanSoftware&amp;amp;SrcApp=NoteExpress&amp;amp;DestLinkType=FullRecord&amp;amp;DestApp=WOS&amp;amp;KeyUT=000414817700117&lt;/_url&gt;&lt;_volume&gt;168&lt;/_volume&gt;&lt;/Details&gt;&lt;Extra&gt;&lt;DBUID&gt;{F96A950B-833F-4880-A151-76DA2D6A2879}&lt;/DBUID&gt;&lt;/Extra&gt;&lt;/Item&gt;&lt;/References&gt;&lt;/Group&gt;&lt;Group&gt;&lt;References&gt;&lt;Item&gt;&lt;ID&gt;395&lt;/ID&gt;&lt;UID&gt;{76304DEB-D3A6-45B4-86B1-2867D798C16C}&lt;/UID&gt;&lt;Title&gt;The development of China&amp;apos;s biomass power industry under feed-in tariff and renewable portfolio standard: A system dynamics analysis&lt;/Title&gt;&lt;Template&gt;Journal Article&lt;/Template&gt;&lt;Star&gt;0&lt;/Star&gt;&lt;Tag&gt;0&lt;/Tag&gt;&lt;Author&gt;Zhang, Yu-zhuo; Zhao, Xin-gang; Ren, Ling-zhi; Liang, Ji; Liu, Ping-kuo&lt;/Author&gt;&lt;Year&gt;2017&lt;/Year&gt;&lt;Details&gt;&lt;_accession_num&gt;WOS:000414879500072_x000d__x000a_ER&lt;/_accession_num&gt;&lt;_cited_count&gt;20&lt;/_cited_count&gt;&lt;_collection_scope&gt;SCI;SCIE;EI&lt;/_collection_scope&gt;&lt;_created&gt;63640282&lt;/_created&gt;&lt;_date_display&gt;2017, NOV 15 2017&lt;/_date_display&gt;&lt;_db_provider&gt;ISI&lt;/_db_provider&gt;&lt;_doi&gt;10.1016/j.energy.2017.08.020&lt;/_doi&gt;&lt;_impact_factor&gt;   6.082&lt;/_impact_factor&gt;&lt;_isbn&gt;0360-5442&lt;/_isbn&gt;&lt;_journal&gt;ENERGY&lt;/_journal&gt;&lt;_modified&gt;63640282&lt;/_modified&gt;&lt;_pages&gt;947-961&lt;/_pages&gt;&lt;_url&gt;http://gateway.isiknowledge.com/gateway/Gateway.cgi?GWVersion=2&amp;amp;SrcAuth=AegeanSoftware&amp;amp;SrcApp=NoteExpress&amp;amp;DestLinkType=FullRecord&amp;amp;DestApp=WOS&amp;amp;KeyUT=000414879500072&lt;/_url&gt;&lt;_volume&gt;139&lt;/_volume&gt;&lt;/Details&gt;&lt;Extra&gt;&lt;DBUID&gt;{F96A950B-833F-4880-A151-76DA2D6A2879}&lt;/DBUID&gt;&lt;/Extra&gt;&lt;/Item&gt;&lt;/References&gt;&lt;/Group&gt;&lt;Group&gt;&lt;References&gt;&lt;Item&gt;&lt;ID&gt;396&lt;/ID&gt;&lt;UID&gt;{1539E410-123E-4054-AA41-F434B72177ED}&lt;/UID&gt;&lt;Title&gt;The policy effects of feed-in tariff and renewable portfolio standard: A case study of China&amp;apos;s waste incineration power industry&lt;/Title&gt;&lt;Template&gt;Journal Article&lt;/Template&gt;&lt;Star&gt;0&lt;/Star&gt;&lt;Tag&gt;0&lt;/Tag&gt;&lt;Author&gt;Xin-gang, Zhao; Yu-zhuo, Zhang; Ling-zhi, Ren; Yi, Zuo; Zhi-gong, Wu&lt;/Author&gt;&lt;Year&gt;2017&lt;/Year&gt;&lt;Details&gt;&lt;_accession_num&gt;WOS:000413126300071&lt;/_accession_num&gt;&lt;_cited_count&gt;14&lt;/_cited_count&gt;&lt;_collection_scope&gt;SCIE;EI&lt;/_collection_scope&gt;&lt;_created&gt;63640282&lt;/_created&gt;&lt;_date_display&gt;2017, OCT 2017&lt;/_date_display&gt;&lt;_db_provider&gt;ISI&lt;/_db_provider&gt;&lt;_doi&gt;10.1016/j.wasman.2017.06.009&lt;/_doi&gt;&lt;_impact_factor&gt;   5.448&lt;/_impact_factor&gt;&lt;_isbn&gt;0956-053X&lt;/_isbn&gt;&lt;_journal&gt;WASTE MANAGEMENT&lt;/_journal&gt;&lt;_modified&gt;63640282&lt;/_modified&gt;&lt;_pages&gt;711-723&lt;/_pages&gt;&lt;_url&gt;http://gateway.isiknowledge.com/gateway/Gateway.cgi?GWVersion=2&amp;amp;SrcAuth=AegeanSoftware&amp;amp;SrcApp=NoteExpress&amp;amp;DestLinkType=FullRecord&amp;amp;DestApp=WOS&amp;amp;KeyUT=000413126300071&lt;/_url&gt;&lt;_volume&gt;68&lt;/_volume&gt;&lt;/Details&gt;&lt;Extra&gt;&lt;DBUID&gt;{F96A950B-833F-4880-A151-76DA2D6A2879}&lt;/DBUID&gt;&lt;/Extra&gt;&lt;/Item&gt;&lt;/References&gt;&lt;/Group&gt;&lt;/Citation&gt;_x000a_"/>
    <w:docVar w:name="NE.Ref{44AEF4F1-7BC7-4BFD-8944-5C4CB28F62C4}" w:val=" ADDIN NE.Ref.{44AEF4F1-7BC7-4BFD-8944-5C4CB28F62C4}&lt;Citation&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6.373&lt;/_impact_factor&gt;&lt;_isbn&gt;0885-8993&lt;/_isbn&gt;&lt;_issue&gt;2&lt;/_issue&gt;&lt;_journal&gt;IEEE TRANSACTIONS ON POWER ELECTRONICS&lt;/_journal&gt;&lt;_modified&gt;63446050&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Citation&gt;_x000a_"/>
    <w:docVar w:name="NE.Ref{46596D9C-1BEF-4A1F-9572-1769C2A70084}" w:val=" ADDIN NE.Ref.{46596D9C-1BEF-4A1F-9572-1769C2A70084}&lt;Citation&gt;&lt;Group&gt;&lt;References&gt;&lt;Item&gt;&lt;ID&gt;590&lt;/ID&gt;&lt;UID&gt;{97448DF3-F405-41D5-B588-F0B8EAB92830}&lt;/UID&gt;&lt;Title&gt;Multi-objective self-organizing optimization for constrained sparse array synthesis&lt;/Title&gt;&lt;Template&gt;Journal Article&lt;/Template&gt;&lt;Star&gt;0&lt;/Star&gt;&lt;Tag&gt;0&lt;/Tag&gt;&lt;Author&gt;Li, Haoran; He, Fazhi; Chen, Yilin; Luo, Jinkun&lt;/Author&gt;&lt;Year&gt;2020&lt;/Year&gt;&lt;Details&gt;&lt;_accession_num&gt;WOS:000576949000001_x000d__x000a_ER&lt;/_accession_num&gt;&lt;_cited_count&gt;2&lt;/_cited_count&gt;&lt;_collection_scope&gt;SCIE;EI&lt;/_collection_scope&gt;&lt;_created&gt;63705104&lt;/_created&gt;&lt;_date_display&gt;2020, NOV 2020&lt;/_date_display&gt;&lt;_db_provider&gt;ISI&lt;/_db_provider&gt;&lt;_doi&gt;10.1016/j.swevo.2020.100743&lt;/_doi&gt;&lt;_impact_factor&gt;   6.912&lt;/_impact_factor&gt;&lt;_isbn&gt;2210-6502&lt;/_isbn&gt;&lt;_issue&gt;100743&lt;/_issue&gt;&lt;_journal&gt;SWARM AND EVOLUTIONARY COMPUTATION&lt;/_journal&gt;&lt;_modified&gt;63705104&lt;/_modified&gt;&lt;_url&gt;http://gateway.isiknowledge.com/gateway/Gateway.cgi?GWVersion=2&amp;amp;SrcAuth=AegeanSoftware&amp;amp;SrcApp=NoteExpress&amp;amp;DestLinkType=FullRecord&amp;amp;DestApp=WOS&amp;amp;KeyUT=000576949000001&lt;/_url&gt;&lt;_volume&gt;58&lt;/_volume&gt;&lt;/Details&gt;&lt;Extra&gt;&lt;DBUID&gt;{F96A950B-833F-4880-A151-76DA2D6A2879}&lt;/DBUID&gt;&lt;/Extra&gt;&lt;/Item&gt;&lt;/References&gt;&lt;/Group&gt;&lt;/Citation&gt;_x000a_"/>
    <w:docVar w:name="NE.Ref{48471046-0259-475F-B581-DC28CAC2815E}" w:val=" ADDIN NE.Ref.{48471046-0259-475F-B581-DC28CAC2815E}&lt;Citation&gt;&lt;Group&gt;&lt;References&gt;&lt;Item&gt;&lt;ID&gt;677&lt;/ID&gt;&lt;UID&gt;{7B543492-20D1-46E1-9795-8E7FCC6F0261}&lt;/UID&gt;&lt;Title&gt;A Predictive Method of LCC-HVDC Continuous Commutation Failure Based on Threshold Commutation Voltage Under Grid Fault&lt;/Title&gt;&lt;Template&gt;Journal Article&lt;/Template&gt;&lt;Star&gt;0&lt;/Star&gt;&lt;Tag&gt;0&lt;/Tag&gt;&lt;Author&gt;Ouyang, J X; Zhang, Z; Li, M Y; Pang, M Y; Xiong, X F; Diao, Y B&lt;/Author&gt;&lt;Year&gt;2021&lt;/Year&gt;&lt;Details&gt;&lt;_accessed&gt;64495380&lt;/_accessed&gt;&lt;_alternate_title&gt;IEEE TRANSACTIONS ON POWER SYSTEMS&lt;/_alternate_title&gt;&lt;_author_adr&gt;Chongqing Univ, State Key Lab Power Transmiss Equipment &amp;amp; Syst Se, Sch Elect Engn, Chongqing 400044, Peoples R China; Chongqing City Management Coll, Chongqing 400044, Peoples R China&lt;/_author_adr&gt;&lt;_cited_count&gt;10&lt;/_cited_count&gt;&lt;_collection_scope&gt;SCI;SCIE;EI&lt;/_collection_scope&gt;&lt;_created&gt;64494413&lt;/_created&gt;&lt;_date&gt;2021-01-01&lt;/_date&gt;&lt;_date_display&gt;2021&lt;/_date_display&gt;&lt;_db_updated&gt;Web of Science-Core&lt;/_db_updated&gt;&lt;_doi&gt;10.1109/TPWRS.2020.3001939&lt;/_doi&gt;&lt;_impact_factor&gt;   7.326&lt;/_impact_factor&gt;&lt;_issue&gt;1&lt;/_issue&gt;&lt;_journal&gt;IEEE TRANSACTIONS ON POWER SYSTEMS&lt;/_journal&gt;&lt;_keywords&gt;Threshold voltage; Inverters; Valves; HVDC transmission; Power grids; Process control; Control systems; HVDC transmission; continuous commutation failure; AC grid faults; predictive method; threshold voltage&lt;/_keywords&gt;&lt;_modified&gt;64495380&lt;/_modified&gt;&lt;_pages&gt;118-126&lt;/_pages&gt;&lt;_url&gt;https://ieeexplore.ieee.org/stampPDF/getPDF.jsp?tp=&amp;amp;arnumber=9115857&amp;amp;ref=aHR0cHM6Ly9pZWVleHBsb3JlLmllZWUub3JnL3Jlc3Qvc2VhcmNo _x000d__x000a_&lt;/_url&gt;&lt;_volume&gt;36&lt;/_volume&gt;&lt;/Details&gt;&lt;Extra&gt;&lt;DBUID&gt;{F96A950B-833F-4880-A151-76DA2D6A2879}&lt;/DBUID&gt;&lt;/Extra&gt;&lt;/Item&gt;&lt;/References&gt;&lt;/Group&gt;&lt;/Citation&gt;_x000a_"/>
    <w:docVar w:name="NE.Ref{48B6F3F2-E967-4C45-9220-15451A7748B9}" w:val=" ADDIN NE.Ref.{48B6F3F2-E967-4C45-9220-15451A7748B9}&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48E1A289-CF7F-479E-8D70-DDB96CB55113}" w:val=" ADDIN NE.Ref.{48E1A289-CF7F-479E-8D70-DDB96CB55113}&lt;Citation&gt;&lt;Group&gt;&lt;References&gt;&lt;Item&gt;&lt;ID&gt;592&lt;/ID&gt;&lt;UID&gt;{53335DB5-7E36-4549-8444-79E848ABC5F6}&lt;/UID&gt;&lt;Title&gt;A regularity model-based multiobjective estimation of distribution algorithm with reducing redundant cluster operator&lt;/Title&gt;&lt;Template&gt;Journal Article&lt;/Template&gt;&lt;Star&gt;0&lt;/Star&gt;&lt;Tag&gt;0&lt;/Tag&gt;&lt;Author&gt;Wang, Yong; Xiang, Jian; Cai, Zixing&lt;/Author&gt;&lt;Year&gt;2012&lt;/Year&gt;&lt;Details&gt;&lt;_collection_scope&gt;SCIE;EI&lt;/_collection_scope&gt;&lt;_created&gt;63705119&lt;/_created&gt;&lt;_impact_factor&gt;   5.472&lt;/_impact_factor&gt;&lt;_issue&gt;11&lt;/_issue&gt;&lt;_journal&gt;Applied Soft Computing&lt;/_journal&gt;&lt;_modified&gt;63705119&lt;/_modified&gt;&lt;_pages&gt;3526-3538&lt;/_pages&gt;&lt;_volume&gt;12&lt;/_volume&gt;&lt;/Details&gt;&lt;Extra&gt;&lt;DBUID&gt;{F96A950B-833F-4880-A151-76DA2D6A2879}&lt;/DBUID&gt;&lt;/Extra&gt;&lt;/Item&gt;&lt;/References&gt;&lt;/Group&gt;&lt;/Citation&gt;_x000a_"/>
    <w:docVar w:name="NE.Ref{49447553-A922-498D-8A1F-97712021F6E9}" w:val=" ADDIN NE.Ref.{49447553-A922-498D-8A1F-97712021F6E9}&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4A1C7757-3125-400A-976F-AEC48307B1B1}" w:val=" ADDIN NE.Ref.{4A1C7757-3125-400A-976F-AEC48307B1B1}&lt;Citation&gt;&lt;Group&gt;&lt;References&gt;&lt;Item&gt;&lt;ID&gt;641&lt;/ID&gt;&lt;UID&gt;{32D4CEE2-DCF5-43B8-BCFF-95914750FBCC}&lt;/UID&gt;&lt;Title&gt;考虑电价型需求响应的交直流混合配电网优化调度&lt;/Title&gt;&lt;Template&gt;Journal Article&lt;/Template&gt;&lt;Star&gt;0&lt;/Star&gt;&lt;Tag&gt;0&lt;/Tag&gt;&lt;Author&gt;王文超; 庞丹; 成龙; 王振浩&lt;/Author&gt;&lt;Year&gt;2019&lt;/Year&gt;&lt;Details&gt;&lt;_author_adr&gt;东北电力大学电气工程学院;国网长春供电公司;&lt;/_author_adr&gt;&lt;_db_provider&gt;CNKI&lt;/_db_provider&gt;&lt;_isbn&gt;1000-3673&lt;/_isbn&gt;&lt;_issue&gt;05&lt;/_issue&gt;&lt;_journal&gt;电网技术&lt;/_journal&gt;&lt;_keywords&gt;交直流混合配电网;电价型需求响应;分布式电源;经济调度;混合整数二阶锥规划&lt;/_keywords&gt;&lt;_pages&gt;1675-1682&lt;/_pages&gt;&lt;_volume&gt;43&lt;/_volume&gt;&lt;_created&gt;63705589&lt;/_created&gt;&lt;_modified&gt;63705589&lt;/_modified&gt;&lt;_collection_scope&gt;CSCD;PKU;EI&lt;/_collection_scope&gt;&lt;_translated_author&gt;Wang, Wenchao;Pang, Dan;Cheng, Long;Wang, Zhenhao&lt;/_translated_author&gt;&lt;/Details&gt;&lt;Extra&gt;&lt;DBUID&gt;{F96A950B-833F-4880-A151-76DA2D6A2879}&lt;/DBUID&gt;&lt;/Extra&gt;&lt;/Item&gt;&lt;/References&gt;&lt;/Group&gt;&lt;/Citation&gt;_x000a_"/>
    <w:docVar w:name="NE.Ref{4A36DA9B-EEDD-4AF0-B5F6-FA36D090DDD5}" w:val=" ADDIN NE.Ref.{4A36DA9B-EEDD-4AF0-B5F6-FA36D090DDD5}&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4A9270DF-3F1E-4D22-98C6-5EDAF9CEC465}" w:val=" ADDIN NE.Ref.{4A9270DF-3F1E-4D22-98C6-5EDAF9CEC465}&lt;Citation&gt;&lt;Group&gt;&lt;References&gt;&lt;Item&gt;&lt;ID&gt;696&lt;/ID&gt;&lt;UID&gt;{C62C2A26-F164-4E81-B1B3-016797391EB8}&lt;/UID&gt;&lt;Title&gt;IEEE Guide for Planning DC Links Terminating at AC Locations Having Low Short-Circuit Capacities&lt;/Title&gt;&lt;Template&gt;Journal Article&lt;/Template&gt;&lt;Star&gt;0&lt;/Star&gt;&lt;Tag&gt;0&lt;/Tag&gt;&lt;Author&gt;Committee, Distribution&lt;/Author&gt;&lt;Year&gt;1997&lt;/Year&gt;&lt;Details&gt;&lt;_accessed&gt;63482047&lt;/_accessed&gt;&lt;_created&gt;63482033&lt;/_created&gt;&lt;_modified&gt;63482047&lt;/_modified&gt;&lt;_url&gt;https://ieeexplore.ieee.org/stampPDF/getPDF.jsp?tp=&amp;amp;arnumber=653230&amp;amp;ref=aHR0cHM6Ly9pZWVleHBsb3JlLmllZWUub3JnL3Jlc3Qvc2VhcmNo _x000d__x000a_&lt;/_url&gt;&lt;/Details&gt;&lt;Extra&gt;&lt;DBUID&gt;{6891F4B0-DCBA-459A-9A22-3059983243D4}&lt;/DBUID&gt;&lt;/Extra&gt;&lt;/Item&gt;&lt;/References&gt;&lt;/Group&gt;&lt;/Citation&gt;_x000a_"/>
    <w:docVar w:name="NE.Ref{4AF31410-F1F3-4620-A399-54F8BBB12BA7}" w:val=" ADDIN NE.Ref.{4AF31410-F1F3-4620-A399-54F8BBB12BA7}&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4.825&lt;/_impact_factor&gt;&lt;_isbn&gt;0885-8977&lt;/_isbn&gt;&lt;_issue&gt;2&lt;/_issue&gt;&lt;_journal&gt;IEEE TRANSACTIONS ON POWER DELIVERY&lt;/_journal&gt;&lt;_modified&gt;64498618&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Citation&gt;_x000a_"/>
    <w:docVar w:name="NE.Ref{4AF45924-A538-44DD-831F-9D8593D80878}" w:val=" ADDIN NE.Ref.{4AF45924-A538-44DD-831F-9D8593D80878}&lt;Citation&gt;&lt;Group&gt;&lt;References&gt;&lt;Item&gt;&lt;ID&gt;672&lt;/ID&gt;&lt;UID&gt;{B6DBA7D4-5C6A-4C88-9423-A6565F7820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3726865&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中国电机工程学报&lt;/_journal&gt;&lt;_modified&gt;63726865&lt;/_modified&gt;&lt;_pages&gt;3107-3118&lt;/_pages&gt;&lt;_tertiary_title&gt;Proceedings of the CSEE&lt;/_tertiary_title&gt;&lt;_translated_author&gt;Dong, Xinzhou; Tang, Yong; Bu, Guangquan; Shen, Chen; Song, Guobing; Wang, Zengping; Gan, Deqiang; Hou, Junxian; Wang, Bin; Zhao, Bing; Shi, Shenxing&lt;/_translated_author&gt;&lt;_translated_title&gt;Confronting Problem and Challenge of Large Scale AC-DC Hybrid Power Grid Operation&lt;/_translated_title&gt;&lt;_url&gt;CSCD:6508051 _x000d__x000a_https://kns.cnki.net/kcms/download.aspx?filename=5NXcNdzNyZTOjZjbZdVWEN0KDJmMBhFM28mVwBVSRVWaHpET0AXdxNTbZFjaKdUWy9iaXNme21kRYVERsdkdUx2VG9GeIlka3x0QkNlUoZGWThGVZhHZMF3QGVXMs1mUzITeYd1YOJFWxdUTE5mZGp1M3pUc2JzR&amp;amp;tablename=CJFDLAST2019&amp;amp;dflag=pdfdown _x000d__x000a_&lt;/_url&gt;&lt;_volume&gt;39&lt;/_volume&gt;&lt;_collection_scope&gt;CSCD;PKU;EI&lt;/_collection_scope&gt;&lt;/Details&gt;&lt;Extra&gt;&lt;DBUID&gt;{6891F4B0-DCBA-459A-9A22-3059983243D4}&lt;/DBUID&gt;&lt;/Extra&gt;&lt;/Item&gt;&lt;/References&gt;&lt;/Group&gt;&lt;/Citation&gt;_x000a_"/>
    <w:docVar w:name="NE.Ref{4B436B43-5D5D-4B6B-B071-1C886BD77D0C}" w:val=" ADDIN NE.Ref.{4B436B43-5D5D-4B6B-B071-1C886BD77D0C}&lt;Citation&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5.659&lt;/_impact_factor&gt;&lt;_isbn&gt;0142-0615&lt;/_isbn&gt;&lt;_issue&gt;UNSP 105492&lt;/_issue&gt;&lt;_journal&gt;INTERNATIONAL JOURNAL OF ELECTRICAL POWER &amp;amp; ENERGY SYSTEMS&lt;/_journal&gt;&lt;_modified&gt;64498617&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4BC4D534-563C-460B-B17C-249E7ECA6757}" w:val=" ADDIN NE.Ref.{4BC4D534-563C-460B-B17C-249E7ECA6757}&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ed&gt;63459189&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Power System Technology&lt;/_journal&gt;&lt;_modified&gt;63480624&lt;/_modified&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Details&gt;&lt;Extra&gt;&lt;DBUID&gt;{6891F4B0-DCBA-459A-9A22-3059983243D4}&lt;/DBUID&gt;&lt;/Extra&gt;&lt;/Item&gt;&lt;/References&gt;&lt;/Group&gt;&lt;/Citation&gt;_x000a_"/>
    <w:docVar w:name="NE.Ref{4BF4BCC0-6E82-44B5-ACCA-760BBCC90F38}" w:val=" ADDIN NE.Ref.{4BF4BCC0-6E82-44B5-ACCA-760BBCC90F38}&lt;Citation&gt;&lt;Group&gt;&lt;References&gt;&lt;Item&gt;&lt;ID&gt;501&lt;/ID&gt;&lt;UID&gt;{A842ABFC-4AFD-453A-83DE-4C906E12BC5A}&lt;/UID&gt;&lt;Title&gt;Convex programming with set-inclusive constraints, and application to inexact LP&lt;/Title&gt;&lt;Template&gt;Journal Article&lt;/Template&gt;&lt;Star&gt;0&lt;/Star&gt;&lt;Tag&gt;0&lt;/Tag&gt;&lt;Author&gt;Soyster, A L&lt;/Author&gt;&lt;Year&gt;1973&lt;/Year&gt;&lt;Details&gt;&lt;_collection_scope&gt;SCI;SCIE;SSCI;EI&lt;/_collection_scope&gt;&lt;_created&gt;63654517&lt;/_created&gt;&lt;_impact_factor&gt;   2.430&lt;/_impact_factor&gt;&lt;_journal&gt;Operations Research&lt;/_journal&gt;&lt;_modified&gt;63654517&lt;/_modified&gt;&lt;_pages&gt;155-157&lt;/_pages&gt;&lt;_volume&gt;21&lt;/_volume&gt;&lt;/Details&gt;&lt;Extra&gt;&lt;DBUID&gt;{F96A950B-833F-4880-A151-76DA2D6A2879}&lt;/DBUID&gt;&lt;/Extra&gt;&lt;/Item&gt;&lt;/References&gt;&lt;/Group&gt;&lt;/Citation&gt;_x000a_"/>
    <w:docVar w:name="NE.Ref{4C073527-916D-46AE-BCCE-0A1D44AC4612}" w:val=" ADDIN NE.Ref.{4C073527-916D-46AE-BCCE-0A1D44AC4612}&lt;Citation&gt;&lt;Group&gt;&lt;References&gt;&lt;Item&gt;&lt;ID&gt;513&lt;/ID&gt;&lt;UID&gt;{03A93F33-CBCC-4D4B-A4C7-8313B6BB8FD1}&lt;/UID&gt;&lt;Title&gt;Analyzing the penetration barriers of clean generation technologies in China&amp;apos;s power sector using a multi-region optimization model&lt;/Title&gt;&lt;Template&gt;Journal Article&lt;/Template&gt;&lt;Star&gt;0&lt;/Star&gt;&lt;Tag&gt;0&lt;/Tag&gt;&lt;Author&gt;Hui, Jingxuan; Cai, Wenjia; Wang, Can; Ye, Minhua&lt;/Author&gt;&lt;Year&gt;2017&lt;/Year&gt;&lt;Details&gt;&lt;_collection_scope&gt;SCI;SCIE;EI&lt;/_collection_scope&gt;&lt;_created&gt;63655100&lt;/_created&gt;&lt;_impact_factor&gt;   8.848&lt;/_impact_factor&gt;&lt;_issue&gt;pt.2&lt;/_issue&gt;&lt;_journal&gt;Applied Energy&lt;/_journal&gt;&lt;_modified&gt;63655100&lt;/_modified&gt;&lt;_pages&gt;1809-1820&lt;/_pages&gt;&lt;_volume&gt;185&lt;/_volume&gt;&lt;/Details&gt;&lt;Extra&gt;&lt;DBUID&gt;{F96A950B-833F-4880-A151-76DA2D6A2879}&lt;/DBUID&gt;&lt;/Extra&gt;&lt;/Item&gt;&lt;/References&gt;&lt;/Group&gt;&lt;/Citation&gt;_x000a_"/>
    <w:docVar w:name="NE.Ref{4CFFB000-AD1F-4062-9BF8-8648E7D3D436}" w:val=" ADDIN NE.Ref.{4CFFB000-AD1F-4062-9BF8-8648E7D3D436}&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4D03D7CD-A8A8-40F9-84D4-3A5CC3F5492D}" w:val=" ADDIN NE.Ref.{4D03D7CD-A8A8-40F9-84D4-3A5CC3F5492D}&lt;Citation&gt;&lt;Group&gt;&lt;References&gt;&lt;Item&gt;&lt;ID&gt;517&lt;/ID&gt;&lt;UID&gt;{CCC29CF3-242A-40D0-8006-72B4DBEC4068}&lt;/UID&gt;&lt;Title&gt;计及新能源出力不确定性的电气综合能源系统协同优化&lt;/Title&gt;&lt;Template&gt;Journal Article&lt;/Template&gt;&lt;Star&gt;0&lt;/Star&gt;&lt;Tag&gt;0&lt;/Tag&gt;&lt;Author&gt;王静; 徐箭; 廖思阳; 司马莉萍; 孙元章; 魏聪颖&lt;/Author&gt;&lt;Year&gt;2019&lt;/Year&gt;&lt;Details&gt;&lt;_author_adr&gt;武汉大学电气与自动化学院;&lt;/_author_adr&gt;&lt;_collection_scope&gt;CSCD;PKU;EI&lt;/_collection_scope&gt;&lt;_created&gt;63657435&lt;/_created&gt;&lt;_db_provider&gt;CNKI&lt;/_db_provider&gt;&lt;_isbn&gt;1000-1026&lt;/_isbn&gt;&lt;_issue&gt;15&lt;/_issue&gt;&lt;_journal&gt;电力系统自动化&lt;/_journal&gt;&lt;_keywords&gt;新能源;冷热电联产系统;温控负荷;综合能源系统;协同优化&lt;/_keywords&gt;&lt;_modified&gt;63657435&lt;/_modified&gt;&lt;_pages&gt;2-15&lt;/_pages&gt;&lt;_volume&gt;43&lt;/_volume&gt;&lt;_translated_author&gt;Wang, Jing;Xu, Jian;Liao, Siyang;Si, Maliping;Sun, Yuanzhang;Wei, Congying&lt;/_translated_author&gt;&lt;/Details&gt;&lt;Extra&gt;&lt;DBUID&gt;{F96A950B-833F-4880-A151-76DA2D6A2879}&lt;/DBUID&gt;&lt;/Extra&gt;&lt;/Item&gt;&lt;/References&gt;&lt;/Group&gt;&lt;/Citation&gt;_x000a_"/>
    <w:docVar w:name="NE.Ref{4D3938FB-A97D-432D-8652-AA14D59DCA6F}" w:val=" ADDIN NE.Ref.{4D3938FB-A97D-432D-8652-AA14D59DCA6F}&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Citation&gt;_x000a_"/>
    <w:docVar w:name="NE.Ref{4DC1BDEF-2DAA-430D-8F01-947E023AB210}" w:val=" ADDIN NE.Ref.{4DC1BDEF-2DAA-430D-8F01-947E023AB210}&lt;Citation&gt;&lt;Group&gt;&lt;References&gt;&lt;Item&gt;&lt;ID&gt;618&lt;/ID&gt;&lt;UID&gt;{63D4CAE9-006E-4473-B835-3D9D379D3775}&lt;/UID&gt;&lt;Title&gt;保证重要负荷不间断供电的配电网储能规划方法&lt;/Title&gt;&lt;Template&gt;Journal Article&lt;/Template&gt;&lt;Star&gt;0&lt;/Star&gt;&lt;Tag&gt;0&lt;/Tag&gt;&lt;Author&gt;张海波; 马伸铜; 程鑫; 龚贤夫; 卫凯&lt;/Author&gt;&lt;Year&gt;2021&lt;/Year&gt;&lt;Details&gt;&lt;_accessed&gt;63705383&lt;/_accessed&gt;&lt;_author_adr&gt;新能源电力系统国家重点实验室(华北电力大学);国网徐州供电公司;广东电网有限责任公司电网规划研究中心;&lt;/_author_adr&gt;&lt;_author_aff&gt;新能源电力系统国家重点实验室(华北电力大学);国网徐州供电公司;广东电网有限责任公司电网规划研究中心;&lt;/_author_aff&gt;&lt;_collection_scope&gt;CSCD;PKU;EI&lt;/_collection_scope&gt;&lt;_created&gt;63705360&lt;/_created&gt;&lt;_date&gt;63444960&lt;/_date&gt;&lt;_db_provider&gt;CNKI: 期刊&lt;/_db_provider&gt;&lt;_db_updated&gt;CNKI - Reference&lt;/_db_updated&gt;&lt;_isbn&gt;1000-3673&lt;/_isbn&gt;&lt;_issue&gt;01&lt;/_issue&gt;&lt;_journal&gt;电网技术&lt;/_journal&gt;&lt;_keywords&gt;极端自然灾害;配电网韧性;线路加固;储能配置;鲁棒优化&lt;/_keywords&gt;&lt;_modified&gt;63705383&lt;/_modified&gt;&lt;_pages&gt;259-268&lt;/_pages&gt;&lt;_url&gt;http://kns.cnki.net/KCMS/detail/detail.aspx?FileName=DWJS202101029&amp;amp;DbName=DKFX2021&lt;/_url&gt;&lt;_volume&gt;45&lt;/_volume&gt;&lt;_translated_author&gt;Zhang, Haibo;Ma, Shentong;Cheng, Xin;Gong, Xianfu;Wei, Kai&lt;/_translated_author&gt;&lt;/Details&gt;&lt;Extra&gt;&lt;DBUID&gt;{F96A950B-833F-4880-A151-76DA2D6A2879}&lt;/DBUID&gt;&lt;/Extra&gt;&lt;/Item&gt;&lt;/References&gt;&lt;/Group&gt;&lt;/Citation&gt;_x000a_"/>
    <w:docVar w:name="NE.Ref{4E035815-2676-4D59-9044-29C88FC57449}" w:val=" ADDIN NE.Ref.{4E035815-2676-4D59-9044-29C88FC57449}&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4E16217C-9BE5-4963-9B9B-384DA9CAE442}" w:val=" ADDIN NE.Ref.{4E16217C-9BE5-4963-9B9B-384DA9CAE442}&lt;Citation&gt;&lt;Group&gt;&lt;References&gt;&lt;Item&gt;&lt;ID&gt;39&lt;/ID&gt;&lt;UID&gt;{1704A05B-DCC6-4185-9A93-149C0AE9830F}&lt;/UID&gt;&lt;Title&gt;消纳大规模风电的鲁棒区间经济调度  (一)调度模式与数学模型&lt;/Title&gt;&lt;Template&gt;Journal Article&lt;/Template&gt;&lt;Star&gt;0&lt;/Star&gt;&lt;Tag&gt;0&lt;/Tag&gt;&lt;Author&gt;李志刚; 吴文传; 张伯明&lt;/Author&gt;&lt;Year&gt;2014&lt;/Year&gt;&lt;Details&gt;&lt;_created&gt;64357565&lt;/_created&gt;&lt;_language&gt;Chinese&lt;/_language&gt;&lt;_modified&gt;64358678&lt;/_modified&gt;&lt;_url&gt;https://kns.cnki.net/kcms/detail/detail.aspx?FileName=DLXT201420006&amp;amp;DbName=CJFQ2014&lt;/_url&gt;&lt;_journal&gt;电力系统自动化&lt;/_journal&gt;&lt;_volume&gt;38&lt;/_volume&gt;&lt;_issue&gt;20&lt;/_issue&gt;&lt;_pages&gt;33-39&lt;/_pages&gt;&lt;_cited_count&gt;119&lt;/_cited_count&gt;&lt;_date&gt;60386400&lt;/_date&gt;&lt;_keywords&gt;经济调度;鲁棒优化;风力发电;预测区间;不确定性&lt;/_keywords&gt;&lt;_author_aff&gt;清华大学电机工程与应用电子技术系;电力系统及发电设备控制与仿真国家重点实验室,清华大学;&lt;/_author_aff&gt;&lt;_accessed&gt;64358678&lt;/_accessed&gt;&lt;_db_updated&gt;CNKI - Reference&lt;/_db_updated&gt;&lt;_collection_scope&gt;CSCD;PKU;EI&lt;/_collection_scope&gt;&lt;_translated_author&gt;Li, Zhigang;Wu, Wenchuan;Zhang, Boming&lt;/_translated_author&gt;&lt;/Details&gt;&lt;Extra&gt;&lt;DBUID&gt;{95582DB3-FE6D-4E9C-BE70-00D00A926A3A}&lt;/DBUID&gt;&lt;/Extra&gt;&lt;/Item&gt;&lt;/References&gt;&lt;/Group&gt;&lt;Group&gt;&lt;References&gt;&lt;Item&gt;&lt;ID&gt;41&lt;/ID&gt;&lt;UID&gt;{AE80C360-4AB0-4E57-8CAC-67F2FB75107C}&lt;/UID&gt;&lt;Title&gt;电力系统鲁棒经济调度  (一)理论基础&lt;/Title&gt;&lt;Template&gt;Journal Article&lt;/Template&gt;&lt;Star&gt;0&lt;/Star&gt;&lt;Tag&gt;0&lt;/Tag&gt;&lt;Author&gt;魏韡; 刘锋; 梅生伟&lt;/Author&gt;&lt;Year&gt;2013&lt;/Year&gt;&lt;Details&gt;&lt;_created&gt;64357565&lt;/_created&gt;&lt;_language&gt;Chinese&lt;/_language&gt;&lt;_modified&gt;64358679&lt;/_modified&gt;&lt;_url&gt;https://kns.cnki.net/kcms/detail/detail.aspx?FileName=DLXT201317006&amp;amp;DbName=CJFQ2013&lt;/_url&gt;&lt;_journal&gt;电力系统自动化&lt;/_journal&gt;&lt;_volume&gt;37&lt;/_volume&gt;&lt;_issue&gt;17&lt;/_issue&gt;&lt;_pages&gt;37-43&lt;/_pages&gt;&lt;_cited_count&gt;205&lt;/_cited_count&gt;&lt;_date&gt;59796000&lt;/_date&gt;&lt;_keywords&gt;电力系统;鲁棒经济调度;新能源发电;两阶段零和博弈;不确定性&lt;/_keywords&gt;&lt;_author_aff&gt;清华大学电机工程与应用电子技术系;电力系统及发电设备控制和仿真国家重点实验室,清华大学;&lt;/_author_aff&gt;&lt;_accessed&gt;64358679&lt;/_accessed&gt;&lt;_db_updated&gt;CNKI - Reference&lt;/_db_updated&gt;&lt;_collection_scope&gt;CSCD;PKU;EI&lt;/_collection_scope&gt;&lt;_translated_author&gt;Wei, Wei;Liu, Feng;Mei, Shengwei&lt;/_translated_author&gt;&lt;/Details&gt;&lt;Extra&gt;&lt;DBUID&gt;{95582DB3-FE6D-4E9C-BE70-00D00A926A3A}&lt;/DBUID&gt;&lt;/Extra&gt;&lt;/Item&gt;&lt;/References&gt;&lt;/Group&gt;&lt;/Citation&gt;_x000a_"/>
    <w:docVar w:name="NE.Ref{4E9B49D8-CC10-4885-A6DA-F2DE66848777}" w:val=" ADDIN NE.Ref.{4E9B49D8-CC10-4885-A6DA-F2DE66848777}&lt;Citation&gt;&lt;Group&gt;&lt;References&gt;&lt;Item&gt;&lt;ID&gt;371&lt;/ID&gt;&lt;UID&gt;{33729887-01FD-4D8C-8517-2863FE0C1181}&lt;/UID&gt;&lt;Title&gt;A Quantitative Index to Evaluate the Commutation Failure Probability of LCC-HVDC with a Synchronous Condenser&lt;/Title&gt;&lt;Template&gt;Journal Article&lt;/Template&gt;&lt;Star&gt;0&lt;/Star&gt;&lt;Tag&gt;0&lt;/Tag&gt;&lt;Author&gt;Sha, Jiangbo; Guo, Chunyi; Rehman, Atiq Ur; Zhao, Chengyong&lt;/Author&gt;&lt;Year&gt;2019&lt;/Year&gt;&lt;Details&gt;&lt;_accessed&gt;63445973&lt;/_accessed&gt;&lt;_accession_num&gt;WOS:000462504400112_x000d__x000a_ER&lt;/_accession_num&gt;&lt;_cited_count&gt;4&lt;/_cited_count&gt;&lt;_collection_scope&gt;SCIE&lt;/_collection_scope&gt;&lt;_created&gt;63444588&lt;/_created&gt;&lt;_date_display&gt;2019, MAR 1 2019&lt;/_date_display&gt;&lt;_db_provider&gt;ISI&lt;/_db_provider&gt;&lt;_doi&gt;10.3390/app9050925&lt;/_doi&gt;&lt;_impact_factor&gt;   2.474&lt;/_impact_factor&gt;&lt;_issue&gt;9255&lt;/_issue&gt;&lt;_journal&gt;APPLIED SCIENCES-BASEL&lt;/_journal&gt;&lt;_modified&gt;63445973&lt;/_modified&gt;&lt;_url&gt;http://gateway.isiknowledge.com/gateway/Gateway.cgi?GWVersion=2&amp;amp;SrcAuth=AegeanSoftware&amp;amp;SrcApp=NoteExpress&amp;amp;DestLinkType=FullRecord&amp;amp;DestApp=WOS&amp;amp;KeyUT=000462504400112&lt;/_url&gt;&lt;_volume&gt;9&lt;/_volume&gt;&lt;/Details&gt;&lt;Extra&gt;&lt;DBUID&gt;{6891F4B0-DCBA-459A-9A22-3059983243D4}&lt;/DBUID&gt;&lt;/Extra&gt;&lt;/Item&gt;&lt;/References&gt;&lt;/Group&gt;&lt;Group&gt;&lt;References&gt;&lt;Item&gt;&lt;ID&gt;586&lt;/ID&gt;&lt;UID&gt;{A778B6AA-B4DA-45E0-987F-1FFE7DF73E47}&lt;/UID&gt;&lt;Title&gt;含有STATCOM的高压直流输电系统控制方法&lt;/Title&gt;&lt;Template&gt;Journal Article&lt;/Template&gt;&lt;Star&gt;0&lt;/Star&gt;&lt;Tag&gt;0&lt;/Tag&gt;&lt;Author&gt;赵成勇; 李丹; 刘羽超; 郭春义; 许韦华; 阳岳希&lt;/Author&gt;&lt;Year&gt;2014&lt;/Year&gt;&lt;Details&gt;&lt;_accessed&gt;63445908&lt;/_accessed&gt;&lt;_accession_num&gt;CSCD:5228722_x000d__x000a_ER&lt;/_accession_num&gt;&lt;_cited_count&gt;2&lt;/_cited_count&gt;&lt;_collection_scope&gt;CSCD;PKU;EI&lt;/_collection_scope&gt;&lt;_created&gt;63444588&lt;/_created&gt;&lt;_date_display&gt;2014, 2014&lt;/_date_display&gt;&lt;_db_provider&gt;ISI&lt;/_db_provider&gt;&lt;_isbn&gt;1003-6520&lt;/_isbn&gt;&lt;_issue&gt;1003-6520(2014)40:8&amp;lt;2440:HYSDGY&amp;gt;2.0.TX;2-F8&lt;/_issue&gt;&lt;_journal&gt;高电压技术&lt;/_journal&gt;&lt;_modified&gt;63445909&lt;/_modified&gt;&lt;_pages&gt;2440-2448&lt;/_pages&gt;&lt;_tertiary_title&gt;High Voltage Engineering&lt;/_tertiary_title&gt;&lt;_translated_author&gt;Zhao, Chengyong; Li, Dan; Liu, Yuchao; Guo, Chunyi; Xu, Weihua; Yang, Yuexi&lt;/_translated_author&gt;&lt;_translated_title&gt;Control Method for HVDC System with STATCOM&lt;/_translated_title&gt;&lt;_url&gt;CSCD:5228722&lt;/_url&gt;&lt;_volume&gt;40&lt;/_volume&gt;&lt;/Details&gt;&lt;Extra&gt;&lt;DBUID&gt;{6891F4B0-DCBA-459A-9A22-3059983243D4}&lt;/DBUID&gt;&lt;/Extra&gt;&lt;/Item&gt;&lt;/References&gt;&lt;/Group&gt;&lt;/Citation&gt;_x000a_"/>
    <w:docVar w:name="NE.Ref{4EAEE182-EC08-4866-A8C0-FC611872534A}" w:val=" ADDIN NE.Ref.{4EAEE182-EC08-4866-A8C0-FC611872534A}&lt;Citation&gt;&lt;Group&gt;&lt;References&gt;&lt;Item&gt;&lt;ID&gt;667&lt;/ID&gt;&lt;UID&gt;{98A5A20D-907B-4103-A315-A9214E2F5AFE}&lt;/UID&gt;&lt;Title&gt;A Method to Detect the Deionization Margin Angle and to Prevent the Commutation Failure of an Inverter for DC Transmission&lt;/Title&gt;&lt;Template&gt;Journal Article&lt;/Template&gt;&lt;Star&gt;0&lt;/Star&gt;&lt;Tag&gt;0&lt;/Tag&gt;&lt;Author&gt;MACHIDA, T; YOSHIDA, Y&lt;/Author&gt;&lt;Year&gt;1967&lt;/Year&gt;&lt;Details&gt;&lt;_accessed&gt;63446176&lt;/_accessed&gt;&lt;_created&gt;63446171&lt;/_created&gt;&lt;_journal&gt;IEEE TRANSACTIONS ON POWER APPARATUS AND SYSTEMS&lt;/_journal&gt;&lt;_modified&gt;63446177&lt;/_modified&gt;&lt;/Details&gt;&lt;Extra&gt;&lt;DBUID&gt;{6891F4B0-DCBA-459A-9A22-3059983243D4}&lt;/DBUID&gt;&lt;/Extra&gt;&lt;/Item&gt;&lt;/References&gt;&lt;/Group&gt;&lt;/Citation&gt;_x000a_"/>
    <w:docVar w:name="NE.Ref{4EBCAD12-BFE3-48F5-935D-A6C7DC7AA5F6}" w:val=" ADDIN NE.Ref.{4EBCAD12-BFE3-48F5-935D-A6C7DC7AA5F6}&lt;Citation&gt;&lt;Group&gt;&lt;References&gt;&lt;Item&gt;&lt;ID&gt;38&lt;/ID&gt;&lt;UID&gt;{8069DCE6-5EB5-48AC-8E48-05EAA72C98A4}&lt;/UID&gt;&lt;Title&gt;发输电系统鲁棒优化规划研究综述与展望&lt;/Title&gt;&lt;Template&gt;Journal Article&lt;/Template&gt;&lt;Star&gt;0&lt;/Star&gt;&lt;Tag&gt;0&lt;/Tag&gt;&lt;Author&gt;袁杨; 张衡; 程浩忠; 柳璐; 张啸虎; 励刚; 张建平&lt;/Author&gt;&lt;Year&gt;2022&lt;/Year&gt;&lt;Details&gt;&lt;_accessed&gt;64357569&lt;/_accessed&gt;&lt;_author_aff&gt;上海交通大学电力传输与功率变换控制教育部重点实验室;国家电网有限公司华东分部;&lt;/_author_aff&gt;&lt;_collection_scope&gt;CSCD;PKU;EI&lt;/_collection_scope&gt;&lt;_created&gt;64357565&lt;/_created&gt;&lt;_date&gt;63967680&lt;/_date&gt;&lt;_db_updated&gt;CNKI - Reference&lt;/_db_updated&gt;&lt;_issue&gt;01&lt;/_issue&gt;&lt;_journal&gt;电力自动化设备&lt;/_journal&gt;&lt;_keywords&gt;发输电系统;优化规划;不确定性;鲁棒优化;分布鲁棒优化&lt;/_keywords&gt;&lt;_language&gt;Chinese&lt;/_language&gt;&lt;_modified&gt;64357569&lt;/_modified&gt;&lt;_pages&gt;10-19+85&lt;/_pages&gt;&lt;_url&gt;https://kns.cnki.net/kcms/detail/detail.aspx?FileName=DLZS202201002&amp;amp;DbName=CJFQ2022&lt;/_url&gt;&lt;_volume&gt;42&lt;/_volume&gt;&lt;_translated_author&gt;Yuan, Yang;Zhang, Heng;Cheng, Haozhong;Liu, Lu;Zhang, Xiaohu;Li, Gang;Zhang, Jianping&lt;/_translated_author&gt;&lt;/Details&gt;&lt;Extra/&gt;&lt;/Item&gt;&lt;/References&gt;&lt;/Group&gt;&lt;/Citation&gt;_x000a_"/>
    <w:docVar w:name="NE.Ref{4EDFA48D-8C81-48D3-B56F-F7EA37842806}" w:val=" ADDIN NE.Ref.{4EDFA48D-8C81-48D3-B56F-F7EA37842806}&lt;Citation&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Group&gt;&lt;References&gt;&lt;Item&gt;&lt;ID&gt;1009&lt;/ID&gt;&lt;UID&gt;{F8149509-79B8-47B2-814D-C923170DE9FC}&lt;/UID&gt;&lt;Title&gt;Sending End AC Faults can Cause Commutation Failure in LCC-HVDC Inverters&lt;/Title&gt;&lt;Template&gt;Journal Article&lt;/Template&gt;&lt;Star&gt;0&lt;/Star&gt;&lt;Tag&gt;0&lt;/Tag&gt;&lt;Author&gt;Xiao, H; Li, Y H; Lan, T K&lt;/Author&gt;&lt;Year&gt;2020&lt;/Year&gt;&lt;Details&gt;&lt;_alternate_title&gt;IEEE TRANSACTIONS ON POWER DELIVERY&lt;/_alternate_title&gt;&lt;_author_adr&gt;Huazhong Univ Sci &amp;amp; Technol, State Key Lab Adv Electromagnet Engn &amp;amp; Technol, Hubei Elect Power Secur High Efficiency Key Lab, Wuhan 430074, Peoples R China&lt;/_author_adr&gt;&lt;_cited_count&gt;15&lt;/_cited_count&gt;&lt;_date_display&gt;2020&lt;/_date_display&gt;&lt;_date&gt;2020-01-01&lt;/_date&gt;&lt;_doi&gt;10.1109/TPWRD.2020.2968835&lt;/_doi&gt;&lt;_issue&gt;5&lt;/_issue&gt;&lt;_journal&gt;IEEE TRANSACTIONS ON POWER DELIVERY&lt;/_journal&gt;&lt;_keywords&gt;Inverters; Rectifiers; Current control; Reactive power; HVDC transmission; Benchmark testing; Analytical models; Commutation failure (CF); current error control (CEC); LCC-HVDC inverters; sending end ac faults&lt;/_keywords&gt;&lt;_pages&gt;2554-2557&lt;/_pages&gt;&lt;_volume&gt;35&lt;/_volume&gt;&lt;_created&gt;64779614&lt;/_created&gt;&lt;_modified&gt;64779614&lt;/_modified&gt;&lt;_db_updated&gt;Web of Science-Core&lt;/_db_updated&gt;&lt;_impact_factor&gt;   4.825&lt;/_impact_factor&gt;&lt;_collection_scope&gt;SCI;SCIE;EI&lt;/_collection_scope&gt;&lt;/Details&gt;&lt;Extra&gt;&lt;DBUID&gt;{6891F4B0-DCBA-459A-9A22-3059983243D4}&lt;/DBUID&gt;&lt;/Extra&gt;&lt;/Item&gt;&lt;/References&gt;&lt;/Group&gt;&lt;Group&gt;&lt;References&gt;&lt;Item&gt;&lt;ID&gt;1010&lt;/ID&gt;&lt;UID&gt;{AA83B79D-C7B8-4459-AED0-1F784859F4D6}&lt;/UID&gt;&lt;Title&gt;Mechanism and Prevention of Commutation Failure in LCC-HVDC Caused by Sending End AC Faults&lt;/Title&gt;&lt;Template&gt;Journal Article&lt;/Template&gt;&lt;Star&gt;0&lt;/Star&gt;&lt;Tag&gt;0&lt;/Tag&gt;&lt;Author&gt;Hong, L R; Zhou, X P; Xia, H T; Liu, Y F; Luo, A&lt;/Author&gt;&lt;Year&gt;2021&lt;/Year&gt;&lt;Details&gt;&lt;_alternate_title&gt;IEEE TRANSACTIONS ON POWER DELIVERY&lt;/_alternate_title&gt;&lt;_author_adr&gt;Hunan Univ, Elect &amp;amp; Informat Engn, Changsha 410082, Peoples R China&lt;/_author_adr&gt;&lt;_cited_count&gt;14&lt;/_cited_count&gt;&lt;_date_display&gt;2021&lt;/_date_display&gt;&lt;_date&gt;2021-01-01&lt;/_date&gt;&lt;_doi&gt;10.1109/TPWRD.2020.3028998&lt;/_doi&gt;&lt;_issue&gt;1&lt;/_issue&gt;&lt;_journal&gt;IEEE TRANSACTIONS ON POWER DELIVERY&lt;/_journal&gt;&lt;_keywords&gt;Commutation failure (CF); HVDC inverters; HVDC control; sending end ac faults&lt;/_keywords&gt;&lt;_pages&gt;473-476&lt;/_pages&gt;&lt;_volume&gt;36&lt;/_volume&gt;&lt;_created&gt;64779615&lt;/_created&gt;&lt;_modified&gt;64779616&lt;/_modified&gt;&lt;_db_updated&gt;Web of Science-Core&lt;/_db_updated&gt;&lt;_impact_factor&gt;   4.825&lt;/_impact_factor&gt;&lt;_collection_scope&gt;SCI;SCIE;EI&lt;/_collection_scope&gt;&lt;/Details&gt;&lt;Extra&gt;&lt;DBUID&gt;{6891F4B0-DCBA-459A-9A22-3059983243D4}&lt;/DBUID&gt;&lt;/Extra&gt;&lt;/Item&gt;&lt;/References&gt;&lt;/Group&gt;&lt;/Citation&gt;_x000a_"/>
    <w:docVar w:name="NE.Ref{4F7735F8-C190-46DB-A633-22FA1C97BBDE}" w:val=" ADDIN NE.Ref.{4F7735F8-C190-46DB-A633-22FA1C97BBDE}&lt;Citation&gt;&lt;Group&gt;&lt;References&gt;&lt;Item&gt;&lt;ID&gt;409&lt;/ID&gt;&lt;UID&gt;{4AC4BBD0-92FD-445A-9BC7-7168DE02765E}&lt;/UID&gt;&lt;Title&gt;可再生能源配额制下的短期发电计划研究&lt;/Title&gt;&lt;Template&gt;Thesis&lt;/Template&gt;&lt;Star&gt;0&lt;/Star&gt;&lt;Tag&gt;0&lt;/Tag&gt;&lt;Author&gt;张娜娜&lt;/Author&gt;&lt;Year&gt;2014&lt;/Year&gt;&lt;Details&gt;&lt;_created&gt;63642068&lt;/_created&gt;&lt;_db_provider&gt;北京万方数据股份有限公司&lt;/_db_provider&gt;&lt;_keywords&gt;可再生能源; 发电计划; 风电调度; 配额交易机&lt;/_keywords&gt;&lt;_modified&gt;63705681&lt;/_modified&gt;&lt;_publisher&gt;上海交通大学&lt;/_publisher&gt;&lt;_tertiary_author&gt;严正&lt;/_tertiary_author&gt;&lt;_type_work&gt;硕士&lt;/_type_work&gt;&lt;_url&gt;http://www.wanfangdata.com.cn/details/detail.do?_type=degree&amp;amp;id=D635216&lt;/_url&gt;&lt;_volume&gt;硕士&lt;/_volume&gt;&lt;_section&gt;电气工程&lt;/_section&gt;&lt;_date&gt;59958720&lt;/_date&gt;&lt;_language&gt;chi&lt;/_language&gt;&lt;_accessed&gt;63705681&lt;/_accessed&gt;&lt;_db_updated&gt;Wanfangdata&lt;/_db_updated&gt;&lt;_translated_author&gt;Zhang, Nana&lt;/_translated_author&gt;&lt;_translated_tertiary_author&gt;Yan, Zheng&lt;/_translated_tertiary_author&gt;&lt;/Details&gt;&lt;Extra&gt;&lt;DBUID&gt;{F96A950B-833F-4880-A151-76DA2D6A2879}&lt;/DBUID&gt;&lt;/Extra&gt;&lt;/Item&gt;&lt;/References&gt;&lt;/Group&gt;&lt;/Citation&gt;_x000a_"/>
    <w:docVar w:name="NE.Ref{4F878950-94AE-4361-8161-80BADC3AC94A}" w:val=" ADDIN NE.Ref.{4F878950-94AE-4361-8161-80BADC3AC94A}&lt;Citation&gt;&lt;Group&gt;&lt;References&gt;&lt;Item&gt;&lt;ID&gt;524&lt;/ID&gt;&lt;UID&gt;{2E05115F-C392-4599-B69C-35E3859624E2}&lt;/UID&gt;&lt;Title&gt;一种抑制传统直流输电连续换相失败的虚拟电阻电流限制控制方法&lt;/Title&gt;&lt;Template&gt;Journal Article&lt;/Template&gt;&lt;Star&gt;0&lt;/Star&gt;&lt;Tag&gt;0&lt;/Tag&gt;&lt;Author&gt;郭春义; 李春华; 刘羽超; 蒋碧松; 赵成勇; 周勤勇&lt;/Author&gt;&lt;Year&gt;2016&lt;/Year&gt;&lt;Details&gt;&lt;_accessed&gt;63445922&lt;/_accessed&gt;&lt;_accession_num&gt;CSCD:5808705_x000d__x000a_ER&lt;/_accession_num&gt;&lt;_cited_count&gt;5&lt;/_cited_count&gt;&lt;_collection_scope&gt;CSCD;PKU;EI&lt;/_collection_scope&gt;&lt;_created&gt;63444588&lt;/_created&gt;&lt;_date_display&gt;2016, 2016&lt;/_date_display&gt;&lt;_db_provider&gt;ISI&lt;/_db_provider&gt;&lt;_isbn&gt;0258-8013&lt;/_isbn&gt;&lt;_issue&gt;0258-8013(2016)36:18&amp;lt;4930:YZYZCT&amp;gt;2.0.TX;2-Q18&lt;/_issue&gt;&lt;_journal&gt;中国电机工程学报&lt;/_journal&gt;&lt;_modified&gt;63519629&lt;/_modified&gt;&lt;_pages&gt;4930-4937&lt;/_pages&gt;&lt;_tertiary_title&gt;Proceedings of the Chinese Society of Electrical Engineering&lt;/_tertiary_title&gt;&lt;_translated_author&gt;Guo, Chunyi; Li, Chunhua; Liu, Yuchao; Jiang, Bisong; Zhao, Chengyong; Zhou, Qinyong&lt;/_translated_author&gt;&lt;_translated_title&gt;A DC Current Limitation Control Method Based on Virtual-resistance to Mitigate the Continuous Commutation Failure for Conventional HVDC&lt;/_translated_title&gt;&lt;_url&gt;CSCD:5808705 _x000d__x000a_https://kns.cnki.net/kcms/download.aspx?filename=3dVModXOFZDb3FzKSd0TwA1QU10YYRXM6J1MzEWeMd3LLtEO5V3Q5ETaBF1axRmMttUUhd3csVnQsxmY5kGaD5GUkNUWs92NKlTeGNUWwkXbEJEVmVmVHBlMWF0ajBFSjdDdS9mZH90at9UTO5EVClDMxo3QMJzY&amp;amp;tablename=CJFDLAST2016&amp;amp;dflag=pdfdown _x000d__x000a_&lt;/_url&gt;&lt;_volume&gt;36&lt;/_volume&gt;&lt;/Details&gt;&lt;Extra&gt;&lt;DBUID&gt;{6891F4B0-DCBA-459A-9A22-3059983243D4}&lt;/DBUID&gt;&lt;/Extra&gt;&lt;/Item&gt;&lt;/References&gt;&lt;/Group&gt;&lt;Group&gt;&lt;References&gt;&lt;Item&gt;&lt;ID&gt;334&lt;/ID&gt;&lt;UID&gt;{B6271F28-7062-4F8C-B172-DFB54F3824E7}&lt;/UID&gt;&lt;Title&gt;Current-limit control method to prevent subsequent commutation failure of LCC-HVDC based on adaptive trigger voltage&lt;/Title&gt;&lt;Template&gt;Journal Article&lt;/Template&gt;&lt;Star&gt;0&lt;/Star&gt;&lt;Tag&gt;0&lt;/Tag&gt;&lt;Author&gt;Ouyang, Jinxin; Zhang, Zhen; Pang, Mingyu; Ye, Junjun; Xiong, Xiaofu&lt;/Author&gt;&lt;Year&gt;2020&lt;/Year&gt;&lt;Details&gt;&lt;_accessed&gt;63446009&lt;/_accessed&gt;&lt;_accession_num&gt;WOS:000541086900022_x000d__x000a_ER&lt;/_accession_num&gt;&lt;_cited_count&gt;0&lt;/_cited_count&gt;&lt;_collection_scope&gt;SCIE;EI&lt;/_collection_scope&gt;&lt;_created&gt;63444588&lt;/_created&gt;&lt;_date_display&gt;2020, NOV 2020&lt;/_date_display&gt;&lt;_db_provider&gt;ISI&lt;/_db_provider&gt;&lt;_doi&gt;10.1016/j.ijepes.2020.106190&lt;/_doi&gt;&lt;_impact_factor&gt;   3.588&lt;/_impact_factor&gt;&lt;_isbn&gt;0142-0615&lt;/_isbn&gt;&lt;_issue&gt;106190&lt;/_issue&gt;&lt;_journal&gt;INTERNATIONAL JOURNAL OF ELECTRICAL POWER &amp;amp; ENERGY SYSTEMS&lt;/_journal&gt;&lt;_modified&gt;63446036&lt;/_modified&gt;&lt;_url&gt;http://gateway.isiknowledge.com/gateway/Gateway.cgi?GWVersion=2&amp;amp;SrcAuth=AegeanSoftware&amp;amp;SrcApp=NoteExpress&amp;amp;DestLinkType=FullRecord&amp;amp;DestApp=WOS&amp;amp;KeyUT=000541086900022 _x000d__x000a_https://pdf.sciencedirectassets.com/271479/1-s2.0-S0142061520X00056/1-s2.0-S0142061519341584/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095537Z&amp;amp;X-Amz-SignedHeaders=host&amp;amp;X-Amz-Expires=300&amp;amp;X-Amz-Credential=ASIAQ3PHCVTYRRHIMDUZ%2F20200818%2Fus-east-1%2Fs3%2Faws4_request&amp;amp;X-Amz-Signature=cf846754e695c44e9515bf08ef12ba99fd43617f3652a81f709b4c2c3486ba2a&amp;amp;hash=25d5b05db98b60e6ecdb0c83479e51443b282a92dc8c8650dad2dda40197e9c8&amp;amp;host=68042c943591013ac2b2430a89b270f6af2c76d8dfd086a07176afe7c76c2c61&amp;amp;pii=S0142061519341584&amp;amp;tid=spdf-dd48f9ab-feff-488d-aa08-2a190429c9d0&amp;amp;sid=90a802954afec940f97b4e41e44e0aaf860dgxrqa&amp;amp;type=client _x000d__x000a_&lt;/_url&gt;&lt;_volume&gt;122&lt;/_volume&gt;&lt;/Details&gt;&lt;Extra&gt;&lt;DBUID&gt;{6891F4B0-DCBA-459A-9A22-3059983243D4}&lt;/DBUID&gt;&lt;/Extra&gt;&lt;/Item&gt;&lt;/References&gt;&lt;/Group&gt;&lt;/Citation&gt;_x000a_"/>
    <w:docVar w:name="NE.Ref{5037DBFB-5F4E-4720-93E1-669F4E212AC5}" w:val=" ADDIN NE.Ref.{5037DBFB-5F4E-4720-93E1-669F4E212AC5}&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Citation&gt;_x000a_"/>
    <w:docVar w:name="NE.Ref{5080210B-0939-497D-ABB7-62E5D4719984}" w:val=" ADDIN NE.Ref.{5080210B-0939-497D-ABB7-62E5D4719984}&lt;Citation&gt;&lt;Group&gt;&lt;References&gt;&lt;Item&gt;&lt;ID&gt;491&lt;/ID&gt;&lt;UID&gt;{C9358F28-3276-48D4-BC27-16D0C3610112}&lt;/UID&gt;&lt;Title&gt;Indicator-Based Selection in Multiobjective Search&lt;/Title&gt;&lt;Template&gt;Journal Article&lt;/Template&gt;&lt;Star&gt;0&lt;/Star&gt;&lt;Tag&gt;0&lt;/Tag&gt;&lt;Author&gt;Zitzler, Eckart; Künzli, Simon&lt;/Author&gt;&lt;Year&gt;2004&lt;/Year&gt;&lt;Details&gt;&lt;_created&gt;63651740&lt;/_created&gt;&lt;_journal&gt;lecture notes in computer science&lt;/_journal&gt;&lt;_modified&gt;63651740&lt;/_modified&gt;&lt;/Details&gt;&lt;Extra&gt;&lt;DBUID&gt;{F96A950B-833F-4880-A151-76DA2D6A2879}&lt;/DBUID&gt;&lt;/Extra&gt;&lt;/Item&gt;&lt;/References&gt;&lt;/Group&gt;&lt;/Citation&gt;_x000a_"/>
    <w:docVar w:name="NE.Ref{5104D66B-E0C7-49A6-A998-555C8A329461}" w:val=" ADDIN NE.Ref.{5104D66B-E0C7-49A6-A998-555C8A329461}&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Citation&gt;_x000a_"/>
    <w:docVar w:name="NE.Ref{5122844F-A1CA-464F-9487-3EBB63BDE823}" w:val=" ADDIN NE.Ref.{5122844F-A1CA-464F-9487-3EBB63BDE823}&lt;Citation&gt;&lt;Group&gt;&lt;References&gt;&lt;Item&gt;&lt;ID&gt;822&lt;/ID&gt;&lt;UID&gt;{53A6D360-CDA7-4667-8607-5BC43D4B156B}&lt;/UID&gt;&lt;Title&gt;Impact of renewable energy penetration rate on power system transient voltage stability&lt;/Title&gt;&lt;Template&gt;Journal Article&lt;/Template&gt;&lt;Star&gt;0&lt;/Star&gt;&lt;Tag&gt;0&lt;/Tag&gt;&lt;Author&gt;Niu, Shuanbao; Zhang, Zhe; Ke, Xianbo; Zhang, Gang; Huo, Chao; Qin, Boyu&lt;/Author&gt;&lt;Year&gt;2022&lt;/Year&gt;&lt;Details&gt;&lt;_author_aff&gt;The School of Electrical Engineering, Xi’an Jiaotong University, Xi’an 710049, China;Northwest Power Dispatch and Control Center, Northwest Branch of State Grid Corporation of China, Xi’an 710048, China&lt;/_author_aff&gt;&lt;_collection_scope&gt;EI&lt;/_collection_scope&gt;&lt;_created&gt;64646629&lt;/_created&gt;&lt;_date&gt;2022-04-01&lt;/_date&gt;&lt;_db_updated&gt;CNKI - Reference&lt;/_db_updated&gt;&lt;_impact_factor&gt;   4.937&lt;/_impact_factor&gt;&lt;_issue&gt;S1&lt;/_issue&gt;&lt;_journal&gt;Energy Reports&lt;/_journal&gt;&lt;_keywords&gt;Transient voltage stability;Renewable energy penetration rate;ISS theory;Security and stability indices&lt;/_keywords&gt;&lt;_modified&gt;64646639&lt;/_modified&gt;&lt;_url&gt;https://kns.cnki.net/kcms/detail/detail.aspx?FileName=SJES2A5819ECAF0A1398A92BA69C5ABD4A57&amp;amp;DbName=GARJ2021_2&lt;/_url&gt;&lt;_volume&gt;8&lt;/_volume&gt;&lt;/Details&gt;&lt;Extra&gt;&lt;DBUID&gt;{6891F4B0-DCBA-459A-9A22-3059983243D4}&lt;/DBUID&gt;&lt;/Extra&gt;&lt;/Item&gt;&lt;/References&gt;&lt;/Group&gt;&lt;/Citation&gt;_x000a_"/>
    <w:docVar w:name="NE.Ref{517B762F-360F-4FBA-901B-0D8C00C0B560}" w:val=" ADDIN NE.Ref.{517B762F-360F-4FBA-901B-0D8C00C0B560}&lt;Citation&gt;&lt;Group&gt;&lt;References&gt;&lt;Item&gt;&lt;ID&gt;530&lt;/ID&gt;&lt;UID&gt;{022CDB3C-411E-47CA-99C7-ADF5817AEFD6}&lt;/UID&gt;&lt;Title&gt;《关于建立健全可再生能源电力消纳保障机制的通知》&lt;/Title&gt;&lt;Template&gt;Journal Article&lt;/Template&gt;&lt;Star&gt;0&lt;/Star&gt;&lt;Tag&gt;0&lt;/Tag&gt;&lt;Author&gt;张悦&lt;/Author&gt;&lt;Year&gt;2020&lt;/Year&gt;&lt;Details&gt;&lt;_created&gt;63659497&lt;/_created&gt;&lt;_db_provider&gt;CNKI&lt;/_db_provider&gt;&lt;_isbn&gt;2095-8676&lt;/_isbn&gt;&lt;_issue&gt;03&lt;/_issue&gt;&lt;_journal&gt;南方能源建设&lt;/_journal&gt;&lt;_keywords&gt;电力消纳;省级区域;《关于建立健全可再生能源电力消纳保障机制的通知》;可再生能源;保障机制;&lt;/_keywords&gt;&lt;_modified&gt;63659497&lt;/_modified&gt;&lt;_pages&gt;54&lt;/_pages&gt;&lt;_volume&gt;7&lt;/_volume&gt;&lt;_translated_author&gt;Zhang, Yue&lt;/_translated_author&gt;&lt;/Details&gt;&lt;Extra&gt;&lt;DBUID&gt;{F96A950B-833F-4880-A151-76DA2D6A2879}&lt;/DBUID&gt;&lt;/Extra&gt;&lt;/Item&gt;&lt;/References&gt;&lt;/Group&gt;&lt;/Citation&gt;_x000a_"/>
    <w:docVar w:name="NE.Ref{524973C0-1AB5-4524-BC20-ADE67D4C0F92}" w:val=" ADDIN NE.Ref.{524973C0-1AB5-4524-BC20-ADE67D4C0F92}&lt;Citation&gt;&lt;Group&gt;&lt;References&gt;&lt;Item&gt;&lt;ID&gt;421&lt;/ID&gt;&lt;UID&gt;{08ECBA8D-1FBE-4D81-A4D5-180B87BDA22A}&lt;/UID&gt;&lt;Title&gt;Integration of renewable energy sources in dynamic economic load dispatch problem using an improved fireworks algorithm&lt;/Title&gt;&lt;Template&gt;Journal Article&lt;/Template&gt;&lt;Star&gt;0&lt;/Star&gt;&lt;Tag&gt;0&lt;/Tag&gt;&lt;Author&gt;Kumar, Jadoun Vinay; Chandra, Pandey Vipin; Nikhil, Gupta; Rehman, Niazi Khaleequr; Anil, Swarnkar&lt;/Author&gt;&lt;Year&gt;2018&lt;/Year&gt;&lt;Details&gt;&lt;_collection_scope&gt;SCIE;EI&lt;/_collection_scope&gt;&lt;_created&gt;63643533&lt;/_created&gt;&lt;_impact_factor&gt;   3.894&lt;/_impact_factor&gt;&lt;_issue&gt;9&lt;/_issue&gt;&lt;_journal&gt;Iet Renewable Power Generation&lt;/_journal&gt;&lt;_modified&gt;63643533&lt;/_modified&gt;&lt;_pages&gt;1004-1011&lt;/_pages&gt;&lt;_volume&gt;12&lt;/_volume&gt;&lt;/Details&gt;&lt;Extra&gt;&lt;DBUID&gt;{F96A950B-833F-4880-A151-76DA2D6A2879}&lt;/DBUID&gt;&lt;/Extra&gt;&lt;/Item&gt;&lt;/References&gt;&lt;/Group&gt;&lt;/Citation&gt;_x000a_"/>
    <w:docVar w:name="NE.Ref{53A2B89A-FF88-4FDE-8A09-9620F85FDCDB}" w:val=" ADDIN NE.Ref.{53A2B89A-FF88-4FDE-8A09-9620F85FDCDB}&lt;Citation&gt;&lt;Group&gt;&lt;References&gt;&lt;Item&gt;&lt;ID&gt;591&lt;/ID&gt;&lt;UID&gt;{4BF5BE91-C5DF-49FB-B44E-41FC7C888E2B}&lt;/UID&gt;&lt;Title&gt;A Multiobjective Memetic Algorithm Based on Particle Swarm Optimization.&lt;/Title&gt;&lt;Template&gt;Journal Article&lt;/Template&gt;&lt;Star&gt;0&lt;/Star&gt;&lt;Tag&gt;0&lt;/Tag&gt;&lt;Author&gt;Dasheng; Liu; Tan; K.; C.; Goh; C.; K.; W.; K.&lt;/Author&gt;&lt;Year&gt;2007&lt;/Year&gt;&lt;Details&gt;&lt;_created&gt;63705108&lt;/_created&gt;&lt;_issue&gt;1&lt;/_issue&gt;&lt;_journal&gt;IEEE Transactions on Systems Man &amp;amp; Cybernetics Part B Cybernetics A Publication of the IEEE Systems Man &amp;amp; Cybernetics Society&lt;/_journal&gt;&lt;_modified&gt;63705108&lt;/_modified&gt;&lt;_pages&gt;42-50&lt;/_pages&gt;&lt;_volume&gt;37&lt;/_volume&gt;&lt;/Details&gt;&lt;Extra&gt;&lt;DBUID&gt;{F96A950B-833F-4880-A151-76DA2D6A2879}&lt;/DBUID&gt;&lt;/Extra&gt;&lt;/Item&gt;&lt;/References&gt;&lt;/Group&gt;&lt;/Citation&gt;_x000a_"/>
    <w:docVar w:name="NE.Ref{53A8CC5F-3331-408D-A3CE-162E5E3BC0C2}" w:val=" ADDIN NE.Ref.{53A8CC5F-3331-408D-A3CE-162E5E3BC0C2}&lt;Citation&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4498622&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Citation&gt;_x000a_"/>
    <w:docVar w:name="NE.Ref{53F00FDE-0D79-414D-925E-1E7755D039AC}" w:val=" ADDIN NE.Ref.{53F00FDE-0D79-414D-925E-1E7755D039AC}&lt;Citation&gt;&lt;Group&gt;&lt;References&gt;&lt;Item&gt;&lt;ID&gt;52&lt;/ID&gt;&lt;UID&gt;{DC8C0CBB-6012-4CCA-850E-59A00BBF2E75}&lt;/UID&gt;&lt;Title&gt;发输电系统鲁棒优化规划研究综述与展望&lt;/Title&gt;&lt;Template&gt;Journal Article&lt;/Template&gt;&lt;Star&gt;0&lt;/Star&gt;&lt;Tag&gt;0&lt;/Tag&gt;&lt;Author&gt;袁杨; 张衡; 程浩忠; 柳璐; 张啸虎; 励刚; 张建平&lt;/Author&gt;&lt;Year&gt;2021&lt;/Year&gt;&lt;Details&gt;&lt;_accessed&gt;64304048&lt;/_accessed&gt;&lt;_author_aff&gt;上海交通大学电力传输与功率变换控制教育部重点实验室;国家电网有限公司华东分部;&lt;/_author_aff&gt;&lt;_collection_scope&gt;CSCD;PKU;EI&lt;/_collection_scope&gt;&lt;_created&gt;64100010&lt;/_created&gt;&lt;_date&gt;63967680&lt;/_date&gt;&lt;_db_updated&gt;CNKI - Reference&lt;/_db_updated&gt;&lt;_journal&gt;电力自动化设备&lt;/_journal&gt;&lt;_keywords&gt;发输电系统;优化规划;不确定性;鲁棒优化;分布鲁棒优化&lt;/_keywords&gt;&lt;_language&gt;Chinese&lt;/_language&gt;&lt;_modified&gt;64272563&lt;/_modified&gt;&lt;_pages&gt;1-11&lt;/_pages&gt;&lt;_url&gt;https://kns.cnki.net/kcms/detail/detail.aspx?FileName=DLZS20210813000&amp;amp;DbName=CAPJ2021&lt;/_url&gt;&lt;_translated_author&gt;Yuan, Yang;Zhang, Heng;Cheng, Haozhong;Liu, Lu;Zhang, Xiaohu;Li, Gang;Zhang, Jianping&lt;/_translated_author&gt;&lt;/Details&gt;&lt;Extra&gt;&lt;DBUID&gt;{560D5FFD-5A46-4EB8-859B-FD657304A42E}&lt;/DBUID&gt;&lt;/Extra&gt;&lt;/Item&gt;&lt;/References&gt;&lt;/Group&gt;&lt;/Citation&gt;_x000a_"/>
    <w:docVar w:name="NE.Ref{54194105-6F9E-4BB6-AD7A-6D1781A9334D}" w:val=" ADDIN NE.Ref.{54194105-6F9E-4BB6-AD7A-6D1781A9334D}&lt;Citation&gt;&lt;Group&gt;&lt;References&gt;&lt;Item&gt;&lt;ID&gt;1014&lt;/ID&gt;&lt;UID&gt;{9A154123-7EF8-43BE-AB47-8D7F093BCB2A}&lt;/UID&gt;&lt;Title&gt;Transient stability margin assessment of AC/DC hybrid system with commutation failure involved&lt;/Title&gt;&lt;Template&gt;Journal Article&lt;/Template&gt;&lt;Star&gt;0&lt;/Star&gt;&lt;Tag&gt;0&lt;/Tag&gt;&lt;Author&gt;Hu, J W; Wang, T; Wang, Z P&lt;/Author&gt;&lt;Year&gt;2021&lt;/Year&gt;&lt;Details&gt;&lt;_alternate_title&gt;INTERNATIONAL JOURNAL OF ELECTRICAL POWER &amp;amp; ENERGY SYSTEMS&lt;/_alternate_title&gt;&lt;_author_adr&gt;North China Elect Power Univ, Beijing, Peoples R China&lt;/_author_adr&gt;&lt;_cited_count&gt;3&lt;/_cited_count&gt;&lt;_date_display&gt;2021&lt;/_date_display&gt;&lt;_date&gt;2021-01-01&lt;/_date&gt;&lt;_doi&gt;10.1016/j.ijepes.2021.107056&lt;/_doi&gt;&lt;_journal&gt;INTERNATIONAL JOURNAL OF ELECTRICAL POWER &amp;amp; ENERGY SYSTEMS&lt;/_journal&gt;&lt;_keywords&gt;AC; DC hybrid system; Commutation failure; Energy function; Transient stability margin assessment&lt;/_keywords&gt;&lt;_volume&gt;131&lt;/_volume&gt;&lt;_created&gt;64779628&lt;/_created&gt;&lt;_modified&gt;64779628&lt;/_modified&gt;&lt;_db_updated&gt;Web of Science-Core&lt;/_db_updated&gt;&lt;_impact_factor&gt;   5.659&lt;/_impact_factor&gt;&lt;_collection_scope&gt;SCIE;EI&lt;/_collection_scope&gt;&lt;/Details&gt;&lt;Extra&gt;&lt;DBUID&gt;{6891F4B0-DCBA-459A-9A22-3059983243D4}&lt;/DBUID&gt;&lt;/Extra&gt;&lt;/Item&gt;&lt;/References&gt;&lt;/Group&gt;&lt;/Citation&gt;_x000a_"/>
    <w:docVar w:name="NE.Ref{5477A8B0-B5D9-4FB5-BE57-179A3156A41E}" w:val=" ADDIN NE.Ref.{5477A8B0-B5D9-4FB5-BE57-179A3156A41E}&lt;Citation&gt;&lt;Group&gt;&lt;References&gt;&lt;Item&gt;&lt;ID&gt;112&lt;/ID&gt;&lt;UID&gt;{AD3A6677-77D2-4558-9D0E-ADE75062CFC6}&lt;/UID&gt;&lt;Title&gt;计及需求侧响应的电力系统鲁棒优化规划模型&lt;/Title&gt;&lt;Template&gt;Journal Article&lt;/Template&gt;&lt;Star&gt;0&lt;/Star&gt;&lt;Tag&gt;0&lt;/Tag&gt;&lt;Author&gt;曾鸣; 杨雍琦; 向红伟; 王丽华; 孙静惠&lt;/Author&gt;&lt;Year&gt;2016&lt;/Year&gt;&lt;Details&gt;&lt;_accessed&gt;64357575&lt;/_accessed&gt;&lt;_author_aff&gt;华北电力大学经济与管理学院;新能源电力系统国家重点实验室(华北电力大学);&lt;/_author_aff&gt;&lt;_cited_count&gt;70&lt;/_cited_count&gt;&lt;_collection_scope&gt;CSCD;PKU;EI&lt;/_collection_scope&gt;&lt;_created&gt;64357568&lt;/_created&gt;&lt;_date&gt;61374240&lt;/_date&gt;&lt;_db_updated&gt;CNKI - Reference&lt;/_db_updated&gt;&lt;_issue&gt;17&lt;/_issue&gt;&lt;_journal&gt;电力系统自动化&lt;/_journal&gt;&lt;_keywords&gt;需求侧响应;鲁棒优化;电力系统规划;非支配排序遗传算法&lt;/_keywords&gt;&lt;_language&gt;Chinese&lt;/_language&gt;&lt;_modified&gt;64357575&lt;/_modified&gt;&lt;_pages&gt;137-145&lt;/_pages&gt;&lt;_url&gt;https://kns.cnki.net/kcms/detail/detail.aspx?FileName=DLXT201617019&amp;amp;DbName=CJFQ2016&lt;/_url&gt;&lt;_volume&gt;40&lt;/_volume&gt;&lt;_translated_author&gt;Ceng, Ming;Yang, Yongqi;Xiang, Hongwei;Wang, Lihua;Sun, Jinghui&lt;/_translated_author&gt;&lt;/Details&gt;&lt;Extra/&gt;&lt;/Item&gt;&lt;/References&gt;&lt;/Group&gt;&lt;/Citation&gt;_x000a_"/>
    <w:docVar w:name="NE.Ref{54A54366-BB57-41FC-9979-1AB8D1279A63}" w:val=" ADDIN NE.Ref.{54A54366-BB57-41FC-9979-1AB8D1279A63}&lt;Citation&gt;&lt;Group&gt;&lt;References&gt;&lt;Item&gt;&lt;ID&gt;610&lt;/ID&gt;&lt;UID&gt;{045C971A-0485-49C8-AC89-2F66CF48B110}&lt;/UID&gt;&lt;Title&gt;电容换相换流器在预防高压直流换相失败上的特性研究 &lt;/Title&gt;&lt;Template&gt;Journal Article&lt;/Template&gt;&lt;Star&gt;0&lt;/Star&gt;&lt;Tag&gt;0&lt;/Tag&gt;&lt;Author&gt;李思思; 贺兴容; 明志强; 王渝红; 李兴源; 何鹏飞&lt;/Author&gt;&lt;Year&gt;2011&lt;/Year&gt;&lt;Details&gt;&lt;_accessed&gt;63445736&lt;/_accessed&gt;&lt;_accession_num&gt;CSCD:4301839_x000d__x000a_ER&lt;/_accession_num&gt;&lt;_cited_count&gt;0&lt;/_cited_count&gt;&lt;_collection_scope&gt;CSCD;PKU&lt;/_collection_scope&gt;&lt;_created&gt;63444588&lt;/_created&gt;&lt;_date_display&gt;2011, 2011&lt;/_date_display&gt;&lt;_db_provider&gt;ISI&lt;/_db_provider&gt;&lt;_isbn&gt;1674-3415&lt;/_isbn&gt;&lt;_issue&gt;1674-3415(2011)39:18&amp;lt;88:DRHXHL&amp;gt;2.0.TX;2-I18&lt;/_issue&gt;&lt;_journal&gt;电力系统保护与控制&lt;/_journal&gt;&lt;_modified&gt;63445738&lt;/_modified&gt;&lt;_pages&gt;88-92,133&lt;/_pages&gt;&lt;_tertiary_title&gt;Power System Protection and Control &lt;/_tertiary_title&gt;&lt;_translated_author&gt;LI, Sisi; HE, Xingrong; MING, Zhiqiang; WANG, Yuhong; LI, Xingyuan; HE, Pengfei&lt;/_translated_author&gt;&lt;_translated_title&gt;Characteristics of capacitor commutated converter in the prevention of HVDC in commutation failure&lt;/_translated_title&gt;&lt;_url&gt;CSCD:4301839 _x000d__x000a_https://kns.cnki.net/kns/download.aspx?filename=a5mbNNUc1N1bGNXS1VWWn10R2Qna4cnQXtWS3djbl5mQmdzK4FVeX10aJJ1VilldQR0YDlVe5p0Sjl1TmlHU3hjdhtSRTFzT4Z1MEtSZWdHdZ9SVrMGVwBzVTNnWvEDWDBVempne2JjQ5QVYEJHajFVd1UmeYZFO&amp;amp;tablename=CJFD2011&amp;amp;dflag=pdfdown _x000d__x000a_&lt;/_url&gt;&lt;_volume&gt;39&lt;/_volume&gt;&lt;/Details&gt;&lt;Extra&gt;&lt;DBUID&gt;{6891F4B0-DCBA-459A-9A22-3059983243D4}&lt;/DBUID&gt;&lt;/Extra&gt;&lt;/Item&gt;&lt;/References&gt;&lt;/Group&gt;&lt;Group&gt;&lt;References&gt;&lt;Item&gt;&lt;ID&gt;557&lt;/ID&gt;&lt;UID&gt;{B637F39A-B705-4679-9251-CE3B2DF98D3D}&lt;/UID&gt;&lt;Title&gt;提高直流输电换相能力的强迫换相拓扑结构研究&lt;/Title&gt;&lt;Template&gt;Journal Article&lt;/Template&gt;&lt;Star&gt;0&lt;/Star&gt;&lt;Tag&gt;0&lt;/Tag&gt;&lt;Author&gt;赵成勇; 李春华; 李路遥; 刘羽超; 许韦华; 阳岳希&lt;/Author&gt;&lt;Year&gt;2015&lt;/Year&gt;&lt;Details&gt;&lt;_accessed&gt;63445913&lt;/_accessed&gt;&lt;_accession_num&gt;CSCD:5486612_x000d__x000a_ER&lt;/_accession_num&gt;&lt;_cited_count&gt;0&lt;/_cited_count&gt;&lt;_collection_scope&gt;CSCD;PKU;EI&lt;/_collection_scope&gt;&lt;_created&gt;63444588&lt;/_created&gt;&lt;_date_display&gt;2015, 2015&lt;/_date_display&gt;&lt;_db_provider&gt;ISI&lt;/_db_provider&gt;&lt;_isbn&gt;1003-6520&lt;/_isbn&gt;&lt;_issue&gt;1003-6520(2015)41:7&amp;lt;2370:TGZLSD&amp;gt;2.0.TX;2-V7&lt;/_issue&gt;&lt;_journal&gt;高电压技术&lt;/_journal&gt;&lt;_modified&gt;63445913&lt;/_modified&gt;&lt;_pages&gt;2370-2377&lt;/_pages&gt;&lt;_tertiary_title&gt;High Voltage Engineering&lt;/_tertiary_title&gt;&lt;_translated_author&gt;Zhao, Chengyong; Li, Chunhua; Li, Luyao; Liu, Yuchao; Xu, Weihua; Yang, Yuexi&lt;/_translated_author&gt;&lt;_translated_title&gt;Forced Commutation Topology to Improve Ability of HVDC Commutation&lt;/_translated_title&gt;&lt;_url&gt;CSCD:5486612&lt;/_url&gt;&lt;_volume&gt;41&lt;/_volume&gt;&lt;/Details&gt;&lt;Extra&gt;&lt;DBUID&gt;{6891F4B0-DCBA-459A-9A22-3059983243D4}&lt;/DBUID&gt;&lt;/Extra&gt;&lt;/Item&gt;&lt;/References&gt;&lt;/Group&gt;&lt;Group&gt;&lt;References&gt;&lt;Item&gt;&lt;ID&gt;573&lt;/ID&gt;&lt;UID&gt;{38D44A6F-4E7C-4723-963A-895803478946}&lt;/UID&gt;&lt;Title&gt;降低直流输电换相失败概率的改进拓扑及其控制策略&lt;/Title&gt;&lt;Template&gt;Journal Article&lt;/Template&gt;&lt;Star&gt;0&lt;/Star&gt;&lt;Tag&gt;5&lt;/Tag&gt;&lt;Author&gt;倪晓军; 赵成勇; 许韦华; 刘羽超; 郭春义; 阳岳希&lt;/Author&gt;&lt;Year&gt;2015&lt;/Year&gt;&lt;Details&gt;&lt;_accessed&gt;63445918&lt;/_accessed&gt;&lt;_accession_num&gt;CSCD:5356555_x000d__x000a_ER&lt;/_accession_num&gt;&lt;_cited_count&gt;1&lt;/_cited_count&gt;&lt;_collection_scope&gt;CSCD;PKU;EI&lt;/_collection_scope&gt;&lt;_created&gt;63444588&lt;/_created&gt;&lt;_date_display&gt;2015, 2015&lt;/_date_display&gt;&lt;_db_provider&gt;ISI&lt;/_db_provider&gt;&lt;_isbn&gt;0258-8013&lt;/_isbn&gt;&lt;_issue&gt;0258-8013(2015)35:4&amp;lt;811:JDZLSD&amp;gt;2.0.TX;2-34&lt;/_issue&gt;&lt;_journal&gt;中国电机工程学报&lt;/_journal&gt;&lt;_modified&gt;63502062&lt;/_modified&gt;&lt;_pages&gt;811-820&lt;/_pages&gt;&lt;_tertiary_title&gt;Proceedings of the Chinese Society of Electrical Engineering&lt;/_tertiary_title&gt;&lt;_translated_author&gt;Ni, Xiaojun; Zhao, Chengyong; Xu, Weihua; Liu, Yuchao; Guo, Chunyi; Yang, Yuexi&lt;/_translated_author&gt;&lt;_translated_title&gt;An Improved Topology to Decrease the Commutation Failure in LCC-HVDC and Its Control Strategy&lt;/_translated_title&gt;&lt;_url&gt;CSCD:5356555&lt;/_url&gt;&lt;_volume&gt;35&lt;/_volume&gt;&lt;/Details&gt;&lt;Extra&gt;&lt;DBUID&gt;{6891F4B0-DCBA-459A-9A22-3059983243D4}&lt;/DBUID&gt;&lt;/Extra&gt;&lt;/Item&gt;&lt;/References&gt;&lt;/Group&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6.373&lt;/_impact_factor&gt;&lt;_isbn&gt;0885-8993&lt;/_isbn&gt;&lt;_issue&gt;2&lt;/_issue&gt;&lt;_journal&gt;IEEE TRANSACTIONS ON POWER ELECTRONICS&lt;/_journal&gt;&lt;_modified&gt;63446050&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Group&gt;&lt;References&gt;&lt;Item&gt;&lt;ID&gt;435&lt;/ID&gt;&lt;UID&gt;{482B683F-1FD5-4D6A-9DD0-B19E42B4A8E4}&lt;/UID&gt;&lt;Title&gt;Commutation Failure Elimination of LCC HVDC Systems Using Thyristor-Based Controllable Capacitors&lt;/Title&gt;&lt;Template&gt;Journal Article&lt;/Template&gt;&lt;Star&gt;0&lt;/Star&gt;&lt;Tag&gt;0&lt;/Tag&gt;&lt;Author&gt;Xue, Ying; Zhang, Xiao-Ping; Yang, Conghuan&lt;/Author&gt;&lt;Year&gt;2018&lt;/Year&gt;&lt;Details&gt;&lt;_accessed&gt;63446087&lt;/_accessed&gt;&lt;_accession_num&gt;WOS:000429740200044_x000d__x000a_ER&lt;/_accession_num&gt;&lt;_cited_count&gt;18&lt;/_cited_count&gt;&lt;_collection_scope&gt;SCI;SCIE;EI&lt;/_collection_scope&gt;&lt;_created&gt;63444588&lt;/_created&gt;&lt;_date_display&gt;2018, JUN 2018&lt;/_date_display&gt;&lt;_db_provider&gt;ISI&lt;/_db_provider&gt;&lt;_db_updated&gt;CrossRef&lt;/_db_updated&gt;&lt;_doi&gt;10.1109/TPWRD.2017.2776867&lt;/_doi&gt;&lt;_impact_factor&gt;   3.681&lt;/_impact_factor&gt;&lt;_isbn&gt;0885-8977&lt;/_isbn&gt;&lt;_issue&gt;3&lt;/_issue&gt;&lt;_journal&gt;IEEE Transactions on Power Delivery&lt;/_journal&gt;&lt;_modified&gt;63446087&lt;/_modified&gt;&lt;_pages&gt;1448-1458&lt;/_pages&gt;&lt;_tertiary_title&gt;IEEE Trans. Power Delivery&lt;/_tertiary_title&gt;&lt;_url&gt;https://ieeexplore.ieee.org/document/8231202/ _x000d__x000a_http://xplorestaging.ieee.org/ielx7/61/8332909/08231202.pdf?arnumber=8231202 _x000d__x000a_https://ieeexplore.ieee.org/ielx7/61/8332909/08231202.pdf?tp=&amp;amp;arnumber=8231202&amp;amp;isnumber=8332909&amp;amp;ref=aHR0cHM6Ly9pZWVleHBsb3JlLmllZWUub3JnL3Jlc3Qvc2VhcmNo _x000d__x000a_&lt;/_url&gt;&lt;_volume&gt;33&lt;/_volume&gt;&lt;/Details&gt;&lt;Extra&gt;&lt;DBUID&gt;{6891F4B0-DCBA-459A-9A22-3059983243D4}&lt;/DBUID&gt;&lt;/Extra&gt;&lt;/Item&gt;&lt;/References&gt;&lt;/Group&gt;&lt;Group&gt;&lt;References&gt;&lt;Item&gt;&lt;ID&gt;442&lt;/ID&gt;&lt;UID&gt;{B882A204-28E0-42A0-BF02-4F1D1FE9B661}&lt;/UID&gt;&lt;Title&gt;抑制高压直流换相失败的串联电压换相变流器及控制方法&lt;/Title&gt;&lt;Template&gt;Journal Article&lt;/Template&gt;&lt;Star&gt;0&lt;/Star&gt;&lt;Tag&gt;0&lt;/Tag&gt;&lt;Author&gt;侯灵犀; 魏应冬; 张树卿; 姜齐荣; 韩英铎&lt;/Author&gt;&lt;Year&gt;2018&lt;/Year&gt;&lt;Details&gt;&lt;_accessed&gt;63445962&lt;/_accessed&gt;&lt;_accession_num&gt;CSCD:6385426_x000d__x000a_ER&lt;/_accession_num&gt;&lt;_cited_count&gt;1&lt;/_cited_count&gt;&lt;_collection_scope&gt;CSCD;PKU;EI&lt;/_collection_scope&gt;&lt;_created&gt;63444588&lt;/_created&gt;&lt;_date_display&gt;2018, 2018&lt;/_date_display&gt;&lt;_db_provider&gt;ISI&lt;/_db_provider&gt;&lt;_isbn&gt;0258-8013&lt;/_isbn&gt;&lt;_issue&gt;0258-8013(2018)38:22&amp;lt;6481:YZGYZL&amp;gt;2.0.TX;2-322&lt;/_issue&gt;&lt;_journal&gt;中国电机工程学报&lt;/_journal&gt;&lt;_modified&gt;63445962&lt;/_modified&gt;&lt;_pages&gt;6481-6491&lt;/_pages&gt;&lt;_tertiary_title&gt;Proceedings of the Chinese Society of Electrical Engineering&lt;/_tertiary_title&gt;&lt;_translated_author&gt;Hou, Lingxi; Wei, Yingdong; Zhang, Shuqing; Jiang, Qirong; Han, Yingduo&lt;/_translated_author&gt;&lt;_translated_title&gt;Series Voltage Commutated Converter to Suppress HVDC Commutation Failure and Its Control Strategy&lt;/_translated_title&gt;&lt;_url&gt;CSCD:6385426&lt;/_url&gt;&lt;_volume&gt;38&lt;/_volume&gt;&lt;/Details&gt;&lt;Extra&gt;&lt;DBUID&gt;{6891F4B0-DCBA-459A-9A22-3059983243D4}&lt;/DBUID&gt;&lt;/Extra&gt;&lt;/Item&gt;&lt;/References&gt;&lt;/Group&gt;&lt;/Citation&gt;_x000a_"/>
    <w:docVar w:name="NE.Ref{552820C9-72AF-4F95-8517-32574D93C4DD}" w:val=" ADDIN NE.Ref.{552820C9-72AF-4F95-8517-32574D93C4DD}&lt;Citation&gt;&lt;Group&gt;&lt;References&gt;&lt;Item&gt;&lt;ID&gt;520&lt;/ID&gt;&lt;UID&gt;{B6220A73-5654-42C6-AC86-6FA5F0F94F07}&lt;/UID&gt;&lt;Title&gt;考虑直流电流上升及交流电压下降速度的换相失败分析&lt;/Title&gt;&lt;Template&gt;Journal Article&lt;/Template&gt;&lt;Star&gt;0&lt;/Star&gt;&lt;Tag&gt;0&lt;/Tag&gt;&lt;Author&gt;王峰; 刘天琪; 李兴源; 杨稼祥&lt;/Author&gt;&lt;Year&gt;2016&lt;/Year&gt;&lt;Details&gt;&lt;_accessed&gt;63445920&lt;/_accessed&gt;&lt;_accession_num&gt;CSCD:5859063_x000d__x000a_ER&lt;/_accession_num&gt;&lt;_cited_count&gt;1&lt;/_cited_count&gt;&lt;_created&gt;63444588&lt;/_created&gt;&lt;_date_display&gt;2016, 2016&lt;/_date_display&gt;&lt;_db_provider&gt;ISI&lt;/_db_provider&gt;&lt;_isbn&gt;1000-1026&lt;/_isbn&gt;&lt;_issue&gt;1000-1026(2016)40:22&amp;lt;111:KLZLDL&amp;gt;2.0.TX;2-Q22&lt;/_issue&gt;&lt;_journal&gt;电力系统自动化 &lt;/_journal&gt;&lt;_modified&gt;63552605&lt;/_modified&gt;&lt;_pages&gt;111-117&lt;/_pages&gt;&lt;_tertiary_title&gt;Automation of Electric Power Systems&lt;/_tertiary_title&gt;&lt;_translated_author&gt;Wang, Feng; Liu, Tianqi; Li, Xingyuan; Yang, Jiaxiang&lt;/_translated_author&gt;&lt;_translated_title&gt;Commutation Failure Analysis Considering DC Current Rise and AC Voltage Drop Speed &lt;/_translated_title&gt;&lt;_url&gt;CSCD:5859063 _x000d__x000a_https://kns.cnki.net/kcms/download.aspx?filename=ZZXRY92VzVFVrckNv1GeJZETTtCRWllcYBzdUNDNtlWa6FVR6dnMWZzRnN0bzQzdwhUaYpXTWZXRIJWUMNHeYBHbHN1YBVXYChDbWtSbqdnRnd1YTpGSEd2U4YmNzcjMSpVOrVTNxN1cypWav1UQh12SyJWR14kM&amp;amp;tablename=CJFDLAST2016&amp;amp;dflag=pdfdown _x000d__x000a_&lt;/_url&gt;&lt;_volume&gt;40&lt;/_volume&gt;&lt;/Details&gt;&lt;Extra&gt;&lt;DBUID&gt;{6891F4B0-DCBA-459A-9A22-3059983243D4}&lt;/DBUID&gt;&lt;/Extra&gt;&lt;/Item&gt;&lt;/References&gt;&lt;/Group&gt;&lt;/Citation&gt;_x000a_"/>
    <w:docVar w:name="NE.Ref{556DDAD3-1738-4AF0-8895-870D3CB41F2D}" w:val=" ADDIN NE.Ref.{556DDAD3-1738-4AF0-8895-870D3CB41F2D}&lt;Citation&gt;&lt;Group&gt;&lt;References&gt;&lt;Item&gt;&lt;ID&gt;608&lt;/ID&gt;&lt;UID&gt;{61B02C9A-6F9A-47E5-A13A-EBC865384D36}&lt;/UID&gt;&lt;Title&gt;Energy Pricing and Management for Park-level Energy Internets with Electric Vehicles and Power-to-gas Devices&lt;/Title&gt;&lt;Template&gt;Journal Article&lt;/Template&gt;&lt;Star&gt;0&lt;/Star&gt;&lt;Tag&gt;0&lt;/Tag&gt;&lt;Author&gt;Li, Yuan; Feng, Changsen; Wen, Fushuan; Wang, Ke; Huang, Yuchun&lt;/Author&gt;&lt;Year&gt;2018&lt;/Year&gt;&lt;Details&gt;&lt;_accession_num&gt;CSCD:6305927_x000d__x000a_ER&lt;/_accession_num&gt;&lt;_cited_count&gt;5&lt;/_cited_count&gt;&lt;_created&gt;63705309&lt;/_created&gt;&lt;_date_display&gt;2018, 2018&lt;/_date_display&gt;&lt;_db_provider&gt;ISI&lt;/_db_provider&gt;&lt;_isbn&gt;1000-1026&lt;/_isbn&gt;&lt;_issue&gt;1000-1026(2018)42:16&amp;lt;1:HDDQCH&amp;gt;2.0.TX;2-V16&lt;/_issue&gt;&lt;_journal&gt;Automation of Electric Power Systems&lt;/_journal&gt;&lt;_modified&gt;63705309&lt;/_modified&gt;&lt;_pages&gt;1-10&lt;/_pages&gt;&lt;_tertiary_title&gt;电力系统自动化&lt;/_tertiary_title&gt;&lt;_translated_author&gt;李媛_x000d__x000a_   冯昌森_x000d__x000a_   文福拴_x000d__x000a_   王珂_x000d__x000a_   黄裕春&lt;/_translated_author&gt;&lt;_translated_title&gt;含电动汽车和电转气的园区能源互联网能源定价与管理&lt;/_translated_title&gt;&lt;_url&gt;CSCD:6305927&lt;/_url&gt;&lt;_volume&gt;42&lt;/_volume&gt;&lt;/Details&gt;&lt;Extra&gt;&lt;DBUID&gt;{F96A950B-833F-4880-A151-76DA2D6A2879}&lt;/DBUID&gt;&lt;/Extra&gt;&lt;/Item&gt;&lt;/References&gt;&lt;/Group&gt;&lt;/Citation&gt;_x000a_"/>
    <w:docVar w:name="NE.Ref{56DE703E-BC7B-4C38-A560-B8EB67B40B39}" w:val=" ADDIN NE.Ref.{56DE703E-BC7B-4C38-A560-B8EB67B40B39}&lt;Citation&gt;&lt;Group&gt;&lt;References&gt;&lt;Item&gt;&lt;ID&gt;60&lt;/ID&gt;&lt;UID&gt;{C6E9240B-9A2A-4689-B181-19E4FA59B3E8}&lt;/UID&gt;&lt;Title&gt;Modeling of CIGRE benchmark HVDC system using PSS/E compared with PSCAD&lt;/Title&gt;&lt;Template&gt;Conference Paper&lt;/Template&gt;&lt;Star&gt;0&lt;/Star&gt;&lt;Tag&gt;0&lt;/Tag&gt;&lt;Author&gt;D. Kwon; H. Moon; R. Kim; C. Kim; S. Moon&lt;/Author&gt;&lt;Year&gt;2015&lt;/Year&gt;&lt;Details&gt;&lt;_accessed&gt;63483426&lt;/_accessed&gt;&lt;_created&gt;62974709&lt;/_created&gt;&lt;_db_updated&gt;IEEE&lt;/_db_updated&gt;&lt;_doi&gt;10.1109/IYCE.2015.7180781&lt;/_doi&gt;&lt;_keywords&gt;differential equations; HVDC power convertors; HVDC power transmission; power conversion; power system control; power system simulation; CIGRE benchmark HVDC system modeling; PSS/E; PSCAD; DC line; control mode selection; equation conversion; different equations; DC voltage; DC power; DC transmission lines; ABB control; AREVA control; converter firing control; HVDC transmission; Mathematical model; Rectifiers; Voltage control; Inverters; PSCAD; Benchmark testing; HVDC transmission; CIGRE HVDC benchmark model; modeling; PSS/E&lt;/_keywords&gt;&lt;_modified&gt;63483426&lt;/_modified&gt;&lt;_pages&gt;1-8&lt;/_pages&gt;&lt;_secondary_title&gt;2015 5th International Youth Conference on Energy (IYCE)_x000d__x000a_2015 5th International Youth Conference on Energy (IYCE)&lt;/_secondary_title&gt;&lt;_url&gt;https://dx.doi.org/10.1109/IYCE.2015.7180781&lt;/_url&gt;&lt;/Details&gt;&lt;Extra&gt;&lt;DBUID&gt;{FF6D417D-54CD-4172-94D1-F718DDCF0579}&lt;/DBUID&gt;&lt;/Extra&gt;&lt;/Item&gt;&lt;/References&gt;&lt;/Group&gt;&lt;/Citation&gt;_x000a_"/>
    <w:docVar w:name="NE.Ref{56F4E913-6CEC-4F5B-B029-740A1DE78A4B}" w:val=" ADDIN NE.Ref.{56F4E913-6CEC-4F5B-B029-740A1DE78A4B}&lt;Citation&gt;&lt;Group&gt;&lt;References&gt;&lt;Item&gt;&lt;ID&gt;379&lt;/ID&gt;&lt;UID&gt;{03E4BB98-F3A1-406F-8BD4-8BA99ADD2557}&lt;/UID&gt;&lt;Title&gt;单极闭锁引起直流健全极换相失败分析&lt;/Title&gt;&lt;Template&gt;Journal Article&lt;/Template&gt;&lt;Star&gt;0&lt;/Star&gt;&lt;Tag&gt;0&lt;/Tag&gt;&lt;Author&gt;尹纯亚; 李凤婷; 陈伟伟; 张增强&lt;/Author&gt;&lt;Year&gt;2019&lt;/Year&gt;&lt;Details&gt;&lt;_accessed&gt;63445974&lt;/_accessed&gt;&lt;_accession_num&gt;CSCD:6604327_x000d__x000a_ER&lt;/_accession_num&gt;&lt;_cited_count&gt;0&lt;/_cited_count&gt;&lt;_collection_scope&gt;CSCD;PKU;EI&lt;/_collection_scope&gt;&lt;_created&gt;63444588&lt;/_created&gt;&lt;_date_display&gt;2019, 2019&lt;/_date_display&gt;&lt;_db_provider&gt;ISI&lt;/_db_provider&gt;&lt;_isbn&gt;1006-6047&lt;/_isbn&gt;&lt;_issue&gt;1006-6047(2019)39:11&amp;lt;114:SJBSYQ&amp;gt;2.0.TX;2-L11&lt;/_issue&gt;&lt;_journal&gt;电力自动化设备&lt;/_journal&gt;&lt;_modified&gt;63445974&lt;/_modified&gt;&lt;_pages&gt;114-119,132&lt;/_pages&gt;&lt;_tertiary_title&gt;Electric Power Automation Equipment&lt;/_tertiary_title&gt;&lt;_translated_author&gt;Yin, Chunya; Li, Fengting; Chen, Weiwei; Zhang, Zengqiang&lt;/_translated_author&gt;&lt;_translated_title&gt;Commutation failure risk analysis of sound pole caused by DC monopole blocking&lt;/_translated_title&gt;&lt;_url&gt;CSCD:6604327&lt;/_url&gt;&lt;_volume&gt;39&lt;/_volume&gt;&lt;/Details&gt;&lt;Extra&gt;&lt;DBUID&gt;{6891F4B0-DCBA-459A-9A22-3059983243D4}&lt;/DBUID&gt;&lt;/Extra&gt;&lt;/Item&gt;&lt;/References&gt;&lt;/Group&gt;&lt;Group&gt;&lt;References&gt;&lt;Item&gt;&lt;ID&gt;385&lt;/ID&gt;&lt;UID&gt;{E83E20A9-E79D-4545-BA0F-03A74EC2583D}&lt;/UID&gt;&lt;Title&gt;多馈出直流系统换相失败快速判别方法&lt;/Title&gt;&lt;Template&gt;Journal Article&lt;/Template&gt;&lt;Star&gt;0&lt;/Star&gt;&lt;Tag&gt;0&lt;/Tag&gt;&lt;Author&gt;尹纯亚; 李凤婷; 宋新甫; 万琪&lt;/Author&gt;&lt;Year&gt;2019&lt;/Year&gt;&lt;Details&gt;&lt;_accessed&gt;63445976&lt;/_accessed&gt;&lt;_accession_num&gt;CSCD:6586688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459:DKCZLX&amp;gt;2.0.TX;2-F10&lt;/_issue&gt;&lt;_journal&gt;电网技术&lt;/_journal&gt;&lt;_modified&gt;63445976&lt;/_modified&gt;&lt;_pages&gt;3459-3465&lt;/_pages&gt;&lt;_tertiary_title&gt;Power System Technology&lt;/_tertiary_title&gt;&lt;_translated_author&gt;Yin, Chunya; Li, Fengting; Song, Xinfu; Wan, Qi&lt;/_translated_author&gt;&lt;_translated_title&gt;A Fast Detection Method of Commutation Failure in Multi-outfeed DC System&lt;/_translated_title&gt;&lt;_url&gt;CSCD:6586688&lt;/_url&gt;&lt;_volume&gt;43&lt;/_volume&gt;&lt;/Details&gt;&lt;Extra&gt;&lt;DBUID&gt;{6891F4B0-DCBA-459A-9A22-3059983243D4}&lt;/DBUID&gt;&lt;/Extra&gt;&lt;/Item&gt;&lt;/References&gt;&lt;/Group&gt;&lt;/Citation&gt;_x000a_"/>
    <w:docVar w:name="NE.Ref{5703760C-833E-4CBA-9F54-C3E9CBE39420}" w:val=" ADDIN NE.Ref.{5703760C-833E-4CBA-9F54-C3E9CBE39420}&lt;Citation&gt;&lt;Group&gt;&lt;References&gt;&lt;Item&gt;&lt;ID&gt;995&lt;/ID&gt;&lt;UID&gt;{ADFBCE0C-7B5A-4F49-9042-03742F0AC274}&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cited_count&gt;44&lt;/_cited_count&gt;&lt;_date&gt;2013-01-10&lt;/_date&gt;&lt;_issue&gt;01&lt;/_issue&gt;&lt;_journal&gt;电力自动化设备&lt;/_journal&gt;&lt;_keywords&gt;直流闭锁;交流联络线;功率波动;阶跃响应;转动惯量;阻尼比&lt;/_keywords&gt;&lt;_pages&gt;12-17&lt;/_pages&gt;&lt;_url&gt;https://kns.cnki.net/kcms/detail/detail.aspx?FileName=DLZS201301004&amp;amp;DbName=CJFQ2013&lt;/_url&gt;&lt;_volume&gt;33&lt;/_volume&gt;&lt;_created&gt;64779494&lt;/_created&gt;&lt;_modified&gt;64779495&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5716F609-FA54-4CEE-B8EB-51B951D79273}" w:val=" ADDIN NE.Ref.{5716F609-FA54-4CEE-B8EB-51B951D79273}&lt;Citation&gt;&lt;Group&gt;&lt;References&gt;&lt;Item&gt;&lt;ID&gt;679&lt;/ID&gt;&lt;UID&gt;{71418B17-D229-4360-8126-A4273DAA07D7}&lt;/UID&gt;&lt;Title&gt;Reactive Power and AC Voltage Control of LCC HVDC System With Controllable Capacitors&lt;/Title&gt;&lt;Template&gt;Journal Article&lt;/Template&gt;&lt;Star&gt;0&lt;/Star&gt;&lt;Tag&gt;0&lt;/Tag&gt;&lt;Author&gt;Xue, Ying; Zhang, Xiao Ping&lt;/Author&gt;&lt;Year&gt;2017&lt;/Year&gt;&lt;Details&gt;&lt;_accessed&gt;63480645&lt;/_accessed&gt;&lt;_collection_scope&gt;SCI;SCIE;EI&lt;/_collection_scope&gt;&lt;_created&gt;63480542&lt;/_created&gt;&lt;_impact_factor&gt;   6.074&lt;/_impact_factor&gt;&lt;_issue&gt;1&lt;/_issue&gt;&lt;_journal&gt;IEEE Transactions on Power Systems&lt;/_journal&gt;&lt;_modified&gt;63480644&lt;/_modified&gt;&lt;_pages&gt;753-764&lt;/_pages&gt;&lt;_url&gt;https://ieeexplore.ieee.org/ielx7/59/7792237/07465837.pdf?tp=&amp;amp;arnumber=7465837&amp;amp;isnumber=7792237&amp;amp;ref=aHR0cHM6Ly9pZWVleHBsb3JlLmllZWUub3JnL3Jlc3Qvc2VhcmNo _x000d__x000a_&lt;/_url&gt;&lt;_volume&gt;32&lt;/_volume&gt;&lt;/Details&gt;&lt;Extra&gt;&lt;DBUID&gt;{6891F4B0-DCBA-459A-9A22-3059983243D4}&lt;/DBUID&gt;&lt;/Extra&gt;&lt;/Item&gt;&lt;/References&gt;&lt;/Group&gt;&lt;/Citation&gt;_x000a_"/>
    <w:docVar w:name="NE.Ref{5764EE0D-CCBC-42B5-8649-8D86FD66A806}" w:val=" ADDIN NE.Ref.{5764EE0D-CCBC-42B5-8649-8D86FD66A806}&lt;Citation&gt;&lt;Group&gt;&lt;References&gt;&lt;Item&gt;&lt;ID&gt;615&lt;/ID&gt;&lt;UID&gt;{290BCD97-398B-4C6A-BB26-2F662D91A427}&lt;/UID&gt;&lt;Title&gt;Commutation Failure Analysis in Multi-Infeed HVDC Systems&lt;/Title&gt;&lt;Template&gt;Journal Article&lt;/Template&gt;&lt;Star&gt;0&lt;/Star&gt;&lt;Tag&gt;0&lt;/Tag&gt;&lt;Author&gt;Rahimi, Ebrahim; Gole, A M; Davies, J B; Fernando, Ioni T; Kent, K L&lt;/Author&gt;&lt;Year&gt;2011&lt;/Year&gt;&lt;Details&gt;&lt;_accessed&gt;63445738&lt;/_accessed&gt;&lt;_accession_num&gt;WOS:000285845600043_x000d__x000a_ER&lt;/_accession_num&gt;&lt;_cited_count&gt;125&lt;/_cited_count&gt;&lt;_collection_scope&gt;SCI;SCIE;EI&lt;/_collection_scope&gt;&lt;_created&gt;63444588&lt;/_created&gt;&lt;_date_display&gt;2011, JAN 2011&lt;/_date_display&gt;&lt;_db_provider&gt;ISI&lt;/_db_provider&gt;&lt;_doi&gt;10.1109/TPWRD.2010.2081692&lt;/_doi&gt;&lt;_impact_factor&gt;   3.681&lt;/_impact_factor&gt;&lt;_isbn&gt;0885-8977&lt;/_isbn&gt;&lt;_issue&gt;1&lt;/_issue&gt;&lt;_journal&gt;IEEE TRANSACTIONS ON POWER DELIVERY&lt;/_journal&gt;&lt;_modified&gt;63445741&lt;/_modified&gt;&lt;_pages&gt;378-384&lt;/_pages&gt;&lt;_url&gt;http://gateway.isiknowledge.com/gateway/Gateway.cgi?GWVersion=2&amp;amp;SrcAuth=AegeanSoftware&amp;amp;SrcApp=NoteExpress&amp;amp;DestLinkType=FullRecord&amp;amp;DestApp=WOS&amp;amp;KeyUT=000285845600043 _x000d__x000a_https://ieeexplore.ieee.org/stampPDF/getPDF.jsp?tp=&amp;amp;arnumber=5673966&amp;amp;ref=aHR0cHM6Ly9pZWVleHBsb3JlLmllZWUub3JnL3Jlc3Qvc2VhcmNo _x000d__x000a_&lt;/_url&gt;&lt;_volume&gt;26&lt;/_volume&gt;&lt;/Details&gt;&lt;Extra&gt;&lt;DBUID&gt;{6891F4B0-DCBA-459A-9A22-3059983243D4}&lt;/DBUID&gt;&lt;/Extra&gt;&lt;/Item&gt;&lt;/References&gt;&lt;/Group&gt;&lt;/Citation&gt;_x000a_"/>
    <w:docVar w:name="NE.Ref{576A9251-990B-45F3-9984-39C7F5BD3252}" w:val=" ADDIN NE.Ref.{576A9251-990B-45F3-9984-39C7F5BD3252}&lt;Citation&gt;&lt;Group&gt;&lt;References&gt;&lt;Item&gt;&lt;ID&gt;43&lt;/ID&gt;&lt;UID&gt;{9D92B4DB-BE5F-4F0F-B4F1-C151FD009BE0}&lt;/UID&gt;&lt;Title&gt;鲁棒优化在电力系统发电计划中的应用综述&lt;/Title&gt;&lt;Template&gt;Journal Article&lt;/Template&gt;&lt;Star&gt;0&lt;/Star&gt;&lt;Tag&gt;0&lt;/Tag&gt;&lt;Author&gt;朱光远; 林济铿; 罗治强; 戴赛; 覃岭; 刘纯&lt;/Author&gt;&lt;Year&gt;2017&lt;/Year&gt;&lt;Details&gt;&lt;_accessed&gt;64357569&lt;/_accessed&gt;&lt;_author_aff&gt;同济大学电子与信息工程学院;国家电网公司国家电力调度控制中心;中国电力科学研究院;智能电网教育部重点实验室(天津大学);新能源与储能运行控制国家重点实验室(中国电力科学研究院);&lt;/_author_aff&gt;&lt;_cited_count&gt;68&lt;/_cited_count&gt;&lt;_collection_scope&gt;CSCD;PKU;EI&lt;/_collection_scope&gt;&lt;_created&gt;64357565&lt;/_created&gt;&lt;_date&gt;61604640&lt;/_date&gt;&lt;_db_updated&gt;CNKI - Reference&lt;/_db_updated&gt;&lt;_issue&gt;20&lt;/_issue&gt;&lt;_journal&gt;中国电机工程学报&lt;/_journal&gt;&lt;_keywords&gt;不确定性;鲁棒优化;发电计划;应用实例&lt;/_keywords&gt;&lt;_language&gt;Chinese&lt;/_language&gt;&lt;_modified&gt;64357569&lt;/_modified&gt;&lt;_pages&gt;5881-5892&lt;/_pages&gt;&lt;_url&gt;https://kns.cnki.net/kcms/detail/detail.aspx?FileName=ZGDC201720007&amp;amp;DbName=CJFQ2017&lt;/_url&gt;&lt;_volume&gt;37&lt;/_volume&gt;&lt;_translated_author&gt;Zhu, Guangyuan;Lin, Jikeng;Luo, Zhiqiang;Dai, Sai;Tan, Ling;Liu, Chun&lt;/_translated_author&gt;&lt;/Details&gt;&lt;Extra/&gt;&lt;/Item&gt;&lt;/References&gt;&lt;/Group&gt;&lt;/Citation&gt;_x000a_"/>
    <w:docVar w:name="NE.Ref{57892CD8-956D-4CC4-B23D-44F4FA139F62}" w:val=" ADDIN NE.Ref.{57892CD8-956D-4CC4-B23D-44F4FA139F62}&lt;Citation&gt;&lt;Group&gt;&lt;References&gt;&lt;Item&gt;&lt;ID&gt;492&lt;/ID&gt;&lt;UID&gt;{E6804F58-1EDC-44A5-9CE5-77B118EB1AB7}&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1741&lt;/_created&gt;&lt;_impact_factor&gt;  11.169&lt;/_impact_factor&gt;&lt;_issue&gt;99&lt;/_issue&gt;&lt;_journal&gt;IEEE Transactions on Evolutionary Computation&lt;/_journal&gt;&lt;_modified&gt;63651741&lt;/_modified&gt;&lt;_volume&gt;PP&lt;/_volume&gt;&lt;/Details&gt;&lt;Extra&gt;&lt;DBUID&gt;{F96A950B-833F-4880-A151-76DA2D6A2879}&lt;/DBUID&gt;&lt;/Extra&gt;&lt;/Item&gt;&lt;/References&gt;&lt;/Group&gt;&lt;/Citation&gt;_x000a_"/>
    <w:docVar w:name="NE.Ref{58266C01-E05F-4F0F-8D24-3A9B15CE80E1}" w:val=" ADDIN NE.Ref.{58266C01-E05F-4F0F-8D24-3A9B15CE80E1}&lt;Citation&gt;&lt;Group&gt;&lt;References&gt;&lt;Item&gt;&lt;ID&gt;495&lt;/ID&gt;&lt;UID&gt;{07135031-6331-4F83-BE72-80FE82206715}&lt;/UID&gt;&lt;Title&gt;基于能源集线器的微能源网能量流建模及优化运行分析&lt;/Title&gt;&lt;Template&gt;Journal Article&lt;/Template&gt;&lt;Star&gt;0&lt;/Star&gt;&lt;Tag&gt;0&lt;/Tag&gt;&lt;Author&gt;马腾飞; 吴俊勇; 郝亮亮; 李玉君; 闫华光; 李德智; 陈宋宋&lt;/Author&gt;&lt;Year&gt;2018&lt;/Year&gt;&lt;Details&gt;&lt;_author_adr&gt;北京交通大学电气工程学院;中国电力科学研究院;&lt;/_author_adr&gt;&lt;_collection_scope&gt;CSCD;PKU;EI&lt;/_collection_scope&gt;&lt;_created&gt;63651888&lt;/_created&gt;&lt;_db_provider&gt;CNKI&lt;/_db_provider&gt;&lt;_isbn&gt;1000-3673&lt;/_isbn&gt;&lt;_issue&gt;01&lt;/_issue&gt;&lt;_journal&gt;电网技术&lt;/_journal&gt;&lt;_keywords&gt;能源互联网;微能源网;能源集线器;需求响应;优化运行&lt;/_keywords&gt;&lt;_modified&gt;63651888&lt;/_modified&gt;&lt;_pages&gt;179-186&lt;/_pages&gt;&lt;_volume&gt;42&lt;/_volume&gt;&lt;_translated_author&gt;Ma, Tengfei;Wu, Junyong;Hao, Liangliang;Li, Yujun;Yan, Huaguang;Li, Dezhi;Chen, Songsong&lt;/_translated_author&gt;&lt;/Details&gt;&lt;Extra&gt;&lt;DBUID&gt;{F96A950B-833F-4880-A151-76DA2D6A2879}&lt;/DBUID&gt;&lt;/Extra&gt;&lt;/Item&gt;&lt;/References&gt;&lt;/Group&gt;&lt;/Citation&gt;_x000a_"/>
    <w:docVar w:name="NE.Ref{588FAA49-3382-493B-96FF-FB9F943A6B4E}" w:val=" ADDIN NE.Ref.{588FAA49-3382-493B-96FF-FB9F943A6B4E}&lt;Citation&gt;&lt;Group&gt;&lt;References&gt;&lt;Item&gt;&lt;ID&gt;459&lt;/ID&gt;&lt;UID&gt;{A6310B94-6C84-4DDE-AA25-01C97DC0B854}&lt;/UID&gt;&lt;Title&gt;一种抑制直流输电连续换相失败的控制方法&lt;/Title&gt;&lt;Template&gt;Journal Article&lt;/Template&gt;&lt;Star&gt;0&lt;/Star&gt;&lt;Tag&gt;0&lt;/Tag&gt;&lt;Author&gt;李瑞鹏; 李永丽; 陈晓龙&lt;/Author&gt;&lt;Year&gt;2018&lt;/Year&gt;&lt;Details&gt;&lt;_accessed&gt;63445968&lt;/_accessed&gt;&lt;_accession_num&gt;CSCD:6322237_x000d__x000a_ER&lt;/_accession_num&gt;&lt;_cited_count&gt;1&lt;/_cited_count&gt;&lt;_collection_scope&gt;CSCD;PKU;EI&lt;/_collection_scope&gt;&lt;_created&gt;63444588&lt;/_created&gt;&lt;_date_display&gt;2018, 2018&lt;/_date_display&gt;&lt;_db_provider&gt;ISI&lt;/_db_provider&gt;&lt;_isbn&gt;0258-8013&lt;/_isbn&gt;&lt;_issue&gt;0258-8013(2018)38:17&amp;lt;5029:YZYZZL&amp;gt;2.0.TX;2-M17&lt;/_issue&gt;&lt;_journal&gt;中国电机工程学报&lt;/_journal&gt;&lt;_modified&gt;63445968&lt;/_modified&gt;&lt;_pages&gt;5029-5042&lt;/_pages&gt;&lt;_tertiary_title&gt;Proceedings of the Chinese Society of Electrical Engineering&lt;/_tertiary_title&gt;&lt;_translated_author&gt;Li, Ruipeng; Li, Yongli; Chen, Xiaolong&lt;/_translated_author&gt;&lt;_translated_title&gt;A Control Method for Suppressing the Continuous Commutation Failure of HVDC Transmission&lt;/_translated_title&gt;&lt;_url&gt;CSCD:6322237&lt;/_url&gt;&lt;_volume&gt;38&lt;/_volume&gt;&lt;/Details&gt;&lt;Extra&gt;&lt;DBUID&gt;{6891F4B0-DCBA-459A-9A22-3059983243D4}&lt;/DBUID&gt;&lt;/Extra&gt;&lt;/Item&gt;&lt;/References&gt;&lt;/Group&gt;&lt;/Citation&gt;_x000a_"/>
    <w:docVar w:name="NE.Ref{589732F1-9414-4169-89CD-14BA960174C1}" w:val=" ADDIN NE.Ref.{589732F1-9414-4169-89CD-14BA960174C1}&lt;Citation&gt;&lt;Group&gt;&lt;References&gt;&lt;Item&gt;&lt;ID&gt;616&lt;/ID&gt;&lt;UID&gt;{D5B5D19F-BC48-45C5-95D1-058F767F7AA5}&lt;/UID&gt;&lt;Title&gt;主动配电网中多微网鲁棒环境经济调度研究&lt;/Title&gt;&lt;Template&gt;Journal Article&lt;/Template&gt;&lt;Star&gt;0&lt;/Star&gt;&lt;Tag&gt;0&lt;/Tag&gt;&lt;Author&gt;马丽叶; 刘美思; 尹钰; 王志强; 卢志刚&lt;/Author&gt;&lt;Year&gt;2020&lt;/Year&gt;&lt;Details&gt;&lt;_author_adr&gt;电力电子节能及传动控制河北省重点实验室(燕山大学);&lt;/_author_adr&gt;&lt;_collection_scope&gt;CSCD;PKU;EI&lt;/_collection_scope&gt;&lt;_created&gt;63705360&lt;/_created&gt;&lt;_db_provider&gt;CNKI&lt;/_db_provider&gt;&lt;_isbn&gt;0254-0096&lt;/_isbn&gt;&lt;_issue&gt;11&lt;/_issue&gt;&lt;_journal&gt;太阳能学报&lt;/_journal&gt;&lt;_keywords&gt;鲁棒优化;Pareto最优;多目标;多微网;能量交互;多目标细菌群体趋药性算法&lt;/_keywords&gt;&lt;_modified&gt;63705360&lt;/_modified&gt;&lt;_pages&gt;1-10&lt;/_pages&gt;&lt;_volume&gt;41&lt;/_volume&gt;&lt;_translated_author&gt;Ma, Liye;Liu, Meisi;Yin, Yu;Wang, Zhiqiang;Lu, Zhigang&lt;/_translated_author&gt;&lt;/Details&gt;&lt;Extra&gt;&lt;DBUID&gt;{F96A950B-833F-4880-A151-76DA2D6A2879}&lt;/DBUID&gt;&lt;/Extra&gt;&lt;/Item&gt;&lt;/References&gt;&lt;/Group&gt;&lt;/Citation&gt;_x000a_"/>
    <w:docVar w:name="NE.Ref{5A7AC206-CA7F-4F4D-835D-F0CEE71E98C4}" w:val=" ADDIN NE.Ref.{5A7AC206-CA7F-4F4D-835D-F0CEE71E98C4}&lt;Citation&gt;&lt;Group&gt;&lt;References&gt;&lt;Item&gt;&lt;ID&gt;414&lt;/ID&gt;&lt;UID&gt;{E9B3AA07-B767-4AB6-88D9-3E2F79C77D81}&lt;/UID&gt;&lt;Title&gt;Multi-objective self-adaptive differential evolution with elitist archive and crowding entropy-based diversity measure&lt;/Title&gt;&lt;Template&gt;Journal Article&lt;/Template&gt;&lt;Star&gt;0&lt;/Star&gt;&lt;Tag&gt;0&lt;/Tag&gt;&lt;Author&gt;Wang, Yao Nan; Wu, Liang Hong; Yuan, Xiao Fang&lt;/Author&gt;&lt;Year&gt;2010&lt;/Year&gt;&lt;Details&gt;&lt;_collection_scope&gt;SCIE;EI&lt;/_collection_scope&gt;&lt;_created&gt;63642181&lt;/_created&gt;&lt;_impact_factor&gt;   3.050&lt;/_impact_factor&gt;&lt;_issue&gt;3&lt;/_issue&gt;&lt;_journal&gt;Soft Computing&lt;/_journal&gt;&lt;_modified&gt;63642181&lt;/_modified&gt;&lt;_pages&gt;193-209&lt;/_pages&gt;&lt;_volume&gt;14&lt;/_volume&gt;&lt;/Details&gt;&lt;Extra&gt;&lt;DBUID&gt;{F96A950B-833F-4880-A151-76DA2D6A2879}&lt;/DBUID&gt;&lt;/Extra&gt;&lt;/Item&gt;&lt;/References&gt;&lt;/Group&gt;&lt;/Citation&gt;_x000a_"/>
    <w:docVar w:name="NE.Ref{5A7FDCEB-4657-4ED5-9DEF-7C7B12A961B8}" w:val=" ADDIN NE.Ref.{5A7FDCEB-4657-4ED5-9DEF-7C7B12A961B8}&lt;Citation&gt;&lt;Group&gt;&lt;References&gt;&lt;Item&gt;&lt;ID&gt;604&lt;/ID&gt;&lt;UID&gt;{59EDAFE2-8824-41E1-9970-4E339550E69F}&lt;/UID&gt;&lt;Title&gt;Multiobjective Evolutionary Algorithm Research: A History and Analysis&lt;/Title&gt;&lt;Template&gt;Journal Article&lt;/Template&gt;&lt;Star&gt;0&lt;/Star&gt;&lt;Tag&gt;0&lt;/Tag&gt;&lt;Author&gt;Van, David A; Gary, Veldhuizen; Lamont, B&lt;/Author&gt;&lt;Year&gt;1998&lt;/Year&gt;&lt;Details&gt;&lt;_collection_scope&gt;SCIE;EI&lt;/_collection_scope&gt;&lt;_created&gt;63705184&lt;/_created&gt;&lt;_impact_factor&gt;   3.933&lt;/_impact_factor&gt;&lt;_issue&gt;2&lt;/_issue&gt;&lt;_journal&gt;Evolutionary Computation&lt;/_journal&gt;&lt;_modified&gt;63705184&lt;/_modified&gt;&lt;_volume&gt;8&lt;/_volume&gt;&lt;/Details&gt;&lt;Extra&gt;&lt;DBUID&gt;{F96A950B-833F-4880-A151-76DA2D6A2879}&lt;/DBUID&gt;&lt;/Extra&gt;&lt;/Item&gt;&lt;/References&gt;&lt;/Group&gt;&lt;/Citation&gt;_x000a_"/>
    <w:docVar w:name="NE.Ref{5B9B4BCF-DBF0-43B3-BA87-43F1734B4B6F}" w:val=" ADDIN NE.Ref.{5B9B4BCF-DBF0-43B3-BA87-43F1734B4B6F}&lt;Citation&gt;&lt;Group&gt;&lt;References&gt;&lt;Item&gt;&lt;ID&gt;109&lt;/ID&gt;&lt;UID&gt;{BDF0A4C5-D76C-467E-8F84-458625ED3859}&lt;/UID&gt;&lt;Title&gt;基于机会约束规划的风–火–蓄联合系统优化调度&lt;/Title&gt;&lt;Template&gt;Journal Article&lt;/Template&gt;&lt;Star&gt;0&lt;/Star&gt;&lt;Tag&gt;0&lt;/Tag&gt;&lt;Author&gt;马丽叶; 王志强; 陆肖宇; 卢志刚&lt;/Author&gt;&lt;Year&gt;0&lt;/Year&gt;&lt;Details&gt;&lt;_accessed&gt;64308261&lt;/_accessed&gt;&lt;_created&gt;64303912&lt;/_created&gt;&lt;_language&gt;Chinese&lt;/_language&gt;&lt;_modified&gt;64308265&lt;/_modified&gt;&lt;_translated_author&gt;Ma, Liye;Wang, Zhiqiang;Lu, Xiaoyu;Lu, Zhigang&lt;/_translated_author&gt;&lt;/Details&gt;&lt;Extra&gt;&lt;DBUID&gt;{560D5FFD-5A46-4EB8-859B-FD657304A42E}&lt;/DBUID&gt;&lt;/Extra&gt;&lt;/Item&gt;&lt;/References&gt;&lt;/Group&gt;&lt;/Citation&gt;_x000a_"/>
    <w:docVar w:name="NE.Ref{5BAE014B-B87A-490C-8111-D25DBA70ECA0}" w:val=" ADDIN NE.Ref.{5BAE014B-B87A-490C-8111-D25DBA70ECA0}&lt;Citation&gt;&lt;Group&gt;&lt;References&gt;&lt;Item&gt;&lt;ID&gt;481&lt;/ID&gt;&lt;UID&gt;{880FAB91-EE0D-4DDD-90AB-CEB07202ED25}&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0102&lt;/_created&gt;&lt;_db_provider&gt;CNKI&lt;/_db_provider&gt;&lt;_isbn&gt;0258-8013&lt;/_isbn&gt;&lt;_journal&gt;中国电机工程学报&lt;/_journal&gt;&lt;_keywords&gt;园区运营商;综合能源系统;Stackelberg博弈;互动交易;日前调度&lt;/_keywords&gt;&lt;_modified&gt;63650102&lt;/_modified&gt;&lt;_pages&gt;1-13&lt;/_pages&gt;&lt;_translated_author&gt;Xiang, Enmin;Gao, Hongjun;Liu, Chang;Liu, Youbo;Liu, Junyong&lt;/_translated_author&gt;&lt;/Details&gt;&lt;Extra&gt;&lt;DBUID&gt;{F96A950B-833F-4880-A151-76DA2D6A2879}&lt;/DBUID&gt;&lt;/Extra&gt;&lt;/Item&gt;&lt;/References&gt;&lt;/Group&gt;&lt;/Citation&gt;_x000a_"/>
    <w:docVar w:name="NE.Ref{5BB28835-E6C3-40F0-B80B-179F28677956}" w:val=" ADDIN NE.Ref.{5BB28835-E6C3-40F0-B80B-179F28677956}&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5BB6A9D7-F756-4228-96A9-7BA910FF26B0}" w:val=" ADDIN NE.Ref.{5BB6A9D7-F756-4228-96A9-7BA910FF26B0}&lt;Citation&gt;&lt;Group&gt;&lt;References&gt;&lt;Item&gt;&lt;ID&gt;633&lt;/ID&gt;&lt;UID&gt;{98F4B536-D3A8-48A9-9A82-37C3A1B60B96}&lt;/UID&gt;&lt;Title&gt;基于可再生能源配额制的风电并网节能经济调度&lt;/Title&gt;&lt;Template&gt;Journal Article&lt;/Template&gt;&lt;Star&gt;0&lt;/Star&gt;&lt;Tag&gt;0&lt;/Tag&gt;&lt;Author&gt;梁吉; 左艺; 张玉琢; 赵新刚&lt;/Author&gt;&lt;Year&gt;2019&lt;/Year&gt;&lt;Details&gt;&lt;_author_adr&gt;华北电力大学经济与管理学院;北京市新能源与低碳发展重点实验室(华北电力大学);&lt;/_author_adr&gt;&lt;_db_provider&gt;CNKI&lt;/_db_provider&gt;&lt;_isbn&gt;1000-3673&lt;/_isbn&gt;&lt;_issue&gt;07&lt;/_issue&gt;&lt;_journal&gt;电网技术&lt;/_journal&gt;&lt;_keywords&gt;节能经济调度;可再生能源配额制;可交易绿色证书;风电消纳&lt;/_keywords&gt;&lt;_pages&gt;2528-2534&lt;/_pages&gt;&lt;_volume&gt;43&lt;/_volume&gt;&lt;_created&gt;63705555&lt;/_created&gt;&lt;_modified&gt;63705555&lt;/_modified&gt;&lt;_collection_scope&gt;CSCD;PKU;EI&lt;/_collection_scope&gt;&lt;_translated_author&gt;Liang, Ji;Zuo, Yi;Zhang, Yuzhuo;Zhao, Xingang&lt;/_translated_author&gt;&lt;/Details&gt;&lt;Extra&gt;&lt;DBUID&gt;{F96A950B-833F-4880-A151-76DA2D6A2879}&lt;/DBUID&gt;&lt;/Extra&gt;&lt;/Item&gt;&lt;/References&gt;&lt;/Group&gt;&lt;/Citation&gt;_x000a_"/>
    <w:docVar w:name="NE.Ref{5C5EFF08-21C9-4298-AD75-534EA02DDABB}" w:val=" ADDIN NE.Ref.{5C5EFF08-21C9-4298-AD75-534EA02DDABB}&lt;Citation&gt;&lt;Group&gt;&lt;References&gt;&lt;Item&gt;&lt;ID&gt;70&lt;/ID&gt;&lt;UID&gt;{972BC67B-8965-4887-A987-0DD5F9F1E4AE}&lt;/UID&gt;&lt;Title&gt;风电并网电力系统环境经济调度优化分析&lt;/Title&gt;&lt;Template&gt;Journal Article&lt;/Template&gt;&lt;Star&gt;0&lt;/Star&gt;&lt;Tag&gt;0&lt;/Tag&gt;&lt;Author&gt;金晶亮; 张明明; 李晨宇; 丁浩; 钱润康&lt;/Author&gt;&lt;Year&gt;2018&lt;/Year&gt;&lt;Details&gt;&lt;_accessed&gt;64322946&lt;/_accessed&gt;&lt;_author_adr&gt;南京航空航天大学; 中国石油大学（华东）; 南通大学; 南京航空航天大学; 南通大学&lt;/_author_adr&gt;&lt;_author_aff&gt;南京航空航天大学; 中国石油大学（华东）; 南通大学; 南京航空航天大学; 南通大学&lt;/_author_aff&gt;&lt;_created&gt;64261198&lt;/_created&gt;&lt;_db_provider&gt;北京万方数据股份有限公司&lt;/_db_provider&gt;&lt;_db_updated&gt;Wanfangdata&lt;/_db_updated&gt;&lt;_doi&gt;10.13216/j.cnki.upcjess.2018.01.0002&lt;/_doi&gt;&lt;_isbn&gt;1673-5595&lt;/_isbn&gt;&lt;_issue&gt;1&lt;/_issue&gt;&lt;_journal&gt;中国石油大学学报（社会科学版）&lt;/_journal&gt;&lt;_keywords&gt;环境经济调度; 风电; 惩罚成本; 备用成本; 惩罚排放; 备用排放&lt;/_keywords&gt;&lt;_language&gt;chi&lt;/_language&gt;&lt;_modified&gt;64266722&lt;/_modified&gt;&lt;_pages&gt;8-14&lt;/_pages&gt;&lt;_tertiary_title&gt;Journal of China University of Petroleum (Edition of Social Science)&lt;/_tertiary_title&gt;&lt;_translated_author&gt;Jingliang, JIN; Mingming, ZHANG; Chenyu, L I; Hao, DING; Runkang, QIAN&lt;/_translated_author&gt;&lt;_translated_title&gt;Optimization Analysis of Economic Emission Dispatch for Wind Power Integrated Systems&lt;/_translated_title&gt;&lt;_url&gt;http://www.wanfangdata.com.cn/details/detail.do?_type=perio&amp;amp;id=sydxxb-shkx201801002&lt;/_url&gt;&lt;_volume&gt;34&lt;/_volume&gt;&lt;/Details&gt;&lt;Extra&gt;&lt;DBUID&gt;{560D5FFD-5A46-4EB8-859B-FD657304A42E}&lt;/DBUID&gt;&lt;/Extra&gt;&lt;/Item&gt;&lt;/References&gt;&lt;/Group&gt;&lt;/Citation&gt;_x000a_"/>
    <w:docVar w:name="NE.Ref{5D201323-CC5C-48E0-A89C-F75331760D52}" w:val=" ADDIN NE.Ref.{5D201323-CC5C-48E0-A89C-F75331760D52}&lt;Citation&gt;&lt;Group&gt;&lt;References&gt;&lt;Item&gt;&lt;ID&gt;117&lt;/ID&gt;&lt;UID&gt;{90AA279F-1CDD-4E94-ACD0-8C9FEA67BEEC}&lt;/UID&gt;&lt;Title&gt;基于两阶段鲁棒区间优化的风储联合运行调度模型&lt;/Title&gt;&lt;Template&gt;Journal Article&lt;/Template&gt;&lt;Star&gt;0&lt;/Star&gt;&lt;Tag&gt;0&lt;/Tag&gt;&lt;Author&gt;张刘冬; 袁宇波; 孙大雁; 袁晓冬; 李强; 苏大威&lt;/Author&gt;&lt;Year&gt;2018&lt;/Year&gt;&lt;Details&gt;&lt;_accessed&gt;64308261&lt;/_accessed&gt;&lt;_author_aff&gt;国网江苏省电力有限公司电力科学研究院;河海大学能源与电气工程学院;国网江苏省电力有限公司;&lt;/_author_aff&gt;&lt;_cited_count&gt;37&lt;/_cited_count&gt;&lt;_collection_scope&gt;CSCD;PKU;EI&lt;/_collection_scope&gt;&lt;_created&gt;64308205&lt;/_created&gt;&lt;_date&gt;62556480&lt;/_date&gt;&lt;_db_updated&gt;CNKI - Reference&lt;/_db_updated&gt;&lt;_issue&gt;12&lt;/_issue&gt;&lt;_journal&gt;电力自动化设备&lt;/_journal&gt;&lt;_keywords&gt;风力发电;储能系统;鲁棒区间优化;机组组合;Benders分解&lt;/_keywords&gt;&lt;_language&gt;Chinese&lt;/_language&gt;&lt;_modified&gt;64308261&lt;/_modified&gt;&lt;_pages&gt;59-66+93&lt;/_pages&gt;&lt;_url&gt;https://kns.cnki.net/kcms/detail/detail.aspx?FileName=DLZS201812009&amp;amp;DbName=CJFQ2018&lt;/_url&gt;&lt;_volume&gt;38&lt;/_volume&gt;&lt;_translated_author&gt;Zhang, Liudong;Yuan, Yubo;Sun, Dayan;Yuan, Xiaodong;Li, Qiang;Su, Dawei&lt;/_translated_author&gt;&lt;/Details&gt;&lt;Extra&gt;&lt;DBUID&gt;{560D5FFD-5A46-4EB8-859B-FD657304A42E}&lt;/DBUID&gt;&lt;/Extra&gt;&lt;/Item&gt;&lt;/References&gt;&lt;/Group&gt;&lt;/Citation&gt;_x000a_"/>
    <w:docVar w:name="NE.Ref{5D3F8DA6-C8E3-4386-801A-D6FBC517172A}" w:val=" ADDIN NE.Ref.{5D3F8DA6-C8E3-4386-801A-D6FBC517172A}&lt;Citation&gt;&lt;Group&gt;&lt;References&gt;&lt;Item&gt;&lt;ID&gt;394&lt;/ID&gt;&lt;UID&gt;{9027A971-998C-4857-B26D-E97B13AE4D68}&lt;/UID&gt;&lt;Title&gt;可再生能源配额制下绿色证书补偿辅助服务方案探讨&lt;/Title&gt;&lt;Template&gt;Journal Article&lt;/Template&gt;&lt;Star&gt;0&lt;/Star&gt;&lt;Tag&gt;0&lt;/Tag&gt;&lt;Author&gt;刘秋华; 袁浩; 杨争林; 樊海锋; 徐春雷&lt;/Author&gt;&lt;Year&gt;2020&lt;/Year&gt;&lt;Details&gt;&lt;_author_adr&gt;南京工程学院经济与管理学院;中国电力科学研究院有限公司(南京);国网江苏省电力有限公司;&lt;/_author_adr&gt;&lt;_collection_scope&gt;CSCD;PKU;EI&lt;/_collection_scope&gt;&lt;_created&gt;63640281&lt;/_created&gt;&lt;_db_provider&gt;CNKI&lt;/_db_provider&gt;&lt;_isbn&gt;1000-1026&lt;/_isbn&gt;&lt;_issue&gt;06&lt;/_issue&gt;&lt;_journal&gt;电力系统自动化&lt;/_journal&gt;&lt;_keywords&gt;辅助服务;绿色证书;电力市场;可再生能源配额制&lt;/_keywords&gt;&lt;_modified&gt;63640281&lt;/_modified&gt;&lt;_pages&gt;1-8&lt;/_pages&gt;&lt;_volume&gt;44&lt;/_volume&gt;&lt;_translated_author&gt;Liu, Qiuhua;Yuan, Hao;Yang, Zhenglin;Fan, Haifeng;Xu, Chunlei&lt;/_translated_author&gt;&lt;/Details&gt;&lt;Extra&gt;&lt;DBUID&gt;{F96A950B-833F-4880-A151-76DA2D6A2879}&lt;/DBUID&gt;&lt;/Extra&gt;&lt;/Item&gt;&lt;/References&gt;&lt;/Group&gt;&lt;/Citation&gt;_x000a_"/>
    <w:docVar w:name="NE.Ref{5DC4A8A0-D7DD-4E1A-84CC-E44F355EED1A}" w:val=" ADDIN NE.Ref.{5DC4A8A0-D7DD-4E1A-84CC-E44F355EED1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5DDD60BD-1516-4F48-98C0-8E992AF34DAA}" w:val=" ADDIN NE.Ref.{5DDD60BD-1516-4F48-98C0-8E992AF34DAA}&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5DFFC56F-35B0-414D-9B94-19802B5C4753}" w:val=" ADDIN NE.Ref.{5DFFC56F-35B0-414D-9B94-19802B5C4753}&lt;Citation&gt;&lt;Group&gt;&lt;References&gt;&lt;Item&gt;&lt;ID&gt;621&lt;/ID&gt;&lt;UID&gt;{9E597715-8BB1-49AC-A422-28E64389477D}&lt;/UID&gt;&lt;Title&gt;Robust Optimal Dispatch of AC/DC Hybrid Microgrids Considering Generation and Load Uncertainties and Energy Storage Loss&lt;/Title&gt;&lt;Template&gt;Journal Article&lt;/Template&gt;&lt;Star&gt;0&lt;/Star&gt;&lt;Tag&gt;0&lt;/Tag&gt;&lt;Author&gt;Zhao, Bo; Qiu, Haifeng; Qin, Ruwen; Zhang, Xuesong; Gu, Wei; Wang, Caisheng&lt;/Author&gt;&lt;Year&gt;2018&lt;/Year&gt;&lt;Details&gt;&lt;_accession_num&gt;WOS:000447834200013_x000d__x000a_ER&lt;/_accession_num&gt;&lt;_cited_count&gt;27&lt;/_cited_count&gt;&lt;_date_display&gt;2018, NOV 2018&lt;/_date_display&gt;&lt;_doi&gt;10.1109/TPWRS.2018.2835464&lt;/_doi&gt;&lt;_isbn&gt;0885-8950&lt;/_isbn&gt;&lt;_issue&gt;6&lt;/_issue&gt;&lt;_journal&gt;IEEE TRANSACTIONS ON POWER SYSTEMS&lt;/_journal&gt;&lt;_pages&gt;5945-5957&lt;/_pages&gt;&lt;_url&gt;http://gateway.isiknowledge.com/gateway/Gateway.cgi?GWVersion=2&amp;amp;SrcAuth=AegeanSoftware&amp;amp;SrcApp=NoteExpress&amp;amp;DestLinkType=FullRecord&amp;amp;DestApp=WOS&amp;amp;KeyUT=000447834200013&lt;/_url&gt;&lt;_volume&gt;33&lt;/_volume&gt;&lt;_created&gt;63705543&lt;/_created&gt;&lt;_modified&gt;63705543&lt;/_modified&gt;&lt;_db_provider&gt;ISI&lt;/_db_provider&gt;&lt;_impact_factor&gt;   6.074&lt;/_impact_factor&gt;&lt;_collection_scope&gt;SCI;SCIE;EI&lt;/_collection_scope&gt;&lt;/Details&gt;&lt;Extra&gt;&lt;DBUID&gt;{F96A950B-833F-4880-A151-76DA2D6A2879}&lt;/DBUID&gt;&lt;/Extra&gt;&lt;/Item&gt;&lt;/References&gt;&lt;/Group&gt;&lt;/Citation&gt;_x000a_"/>
    <w:docVar w:name="NE.Ref{5E030B24-182E-41BC-A6CB-D15F16ECC55B}" w:val=" ADDIN NE.Ref.{5E030B24-182E-41BC-A6CB-D15F16ECC55B}&lt;Citation&gt;&lt;Group&gt;&lt;References&gt;&lt;Item&gt;&lt;ID&gt;721&lt;/ID&gt;&lt;UID&gt;{DEB1051D-BAAD-4556-87A1-57BD4AEAD25B}&lt;/UID&gt;&lt;Title&gt;针对直流闭锁故障的协调二级电压紧急控制模型&lt;/Title&gt;&lt;Template&gt;Journal Article&lt;/Template&gt;&lt;Star&gt;0&lt;/Star&gt;&lt;Tag&gt;0&lt;/Tag&gt;&lt;Author&gt;李婷; 刘明波; 林舜江; 杨银国; 温柏坚&lt;/Author&gt;&lt;Year&gt;2012&lt;/Year&gt;&lt;Details&gt;&lt;_author_aff&gt;华南理工大学电力学院;广东电网电力调度控制中心;&lt;/_author_aff&gt;&lt;_date&gt;2012-12-05&lt;/_date&gt;&lt;_db_provider&gt;CNKI: 期刊&lt;/_db_provider&gt;&lt;_issue&gt;12&lt;/_issue&gt;&lt;_journal&gt;电网技术&lt;/_journal&gt;&lt;_keywords&gt;协调二级电压紧急控制;时域仿真;轨迹灵敏度;直流闭锁&lt;/_keywords&gt;&lt;_pages&gt;137-145&lt;/_pages&gt;&lt;_url&gt;http://kns.cnki.net/KCMS/detail/detail.aspx?FileName=DWJS201212023&amp;amp;DbName=CJFQ2012&lt;/_url&gt;&lt;_volume&gt;36&lt;/_volume&gt;&lt;_created&gt;63727899&lt;/_created&gt;&lt;_modified&gt;63727899&lt;/_modified&gt;&lt;_db_updated&gt;CNKI - Reference&lt;/_db_updated&gt;&lt;_collection_scope&gt;CSCD;PKU;EI&lt;/_collection_scope&gt;&lt;_translated_author&gt;Li, Ting;Liu, Mingbo;Lin, Shunjiang;Yang, Yinguo;Wen, Bojian&lt;/_translated_author&gt;&lt;/Details&gt;&lt;Extra&gt;&lt;DBUID&gt;{6891F4B0-DCBA-459A-9A22-3059983243D4}&lt;/DBUID&gt;&lt;/Extra&gt;&lt;/Item&gt;&lt;/References&gt;&lt;/Group&gt;&lt;Group&gt;&lt;References&gt;&lt;Item&gt;&lt;ID&gt;722&lt;/ID&gt;&lt;UID&gt;{15EB9E58-0A0B-4C30-B57A-028D57CC47EF}&lt;/UID&gt;&lt;Title&gt;高压直流输电系统故障后电网安全控制装置调制策略&lt;/Title&gt;&lt;Template&gt;Journal Article&lt;/Template&gt;&lt;Star&gt;0&lt;/Star&gt;&lt;Tag&gt;0&lt;/Tag&gt;&lt;Author&gt;冯长有; 陈刚; 许涛; 伦涛; 贺静波; 韩鹏飞&lt;/Author&gt;&lt;Year&gt;2012&lt;/Year&gt;&lt;Details&gt;&lt;_author_aff&gt;国家电力调度通信中心;&lt;/_author_aff&gt;&lt;_date&gt;2012-09-05&lt;/_date&gt;&lt;_db_provider&gt;CNKI: 期刊&lt;/_db_provider&gt;&lt;_issue&gt;09&lt;/_issue&gt;&lt;_journal&gt;电网技术&lt;/_journal&gt;&lt;_keywords&gt;功率调制策略;安控装置;高压直流输电系统;直流闭锁&lt;/_keywords&gt;&lt;_pages&gt;88-94&lt;/_pages&gt;&lt;_url&gt;http://kns.cnki.net/KCMS/detail/detail.aspx?FileName=DWJS201209014&amp;amp;DbName=CJFQ2012&lt;/_url&gt;&lt;_volume&gt;36&lt;/_volume&gt;&lt;_created&gt;63727899&lt;/_created&gt;&lt;_modified&gt;63727899&lt;/_modified&gt;&lt;_db_updated&gt;CNKI - Reference&lt;/_db_updated&gt;&lt;_collection_scope&gt;CSCD;PKU;EI&lt;/_collection_scope&gt;&lt;_translated_author&gt;Feng, Zhangyou;Chen, Gang;Xu, Tao;Lun, Tao;He, Jingbo;Han, Pengfei&lt;/_translated_author&gt;&lt;/Details&gt;&lt;Extra&gt;&lt;DBUID&gt;{6891F4B0-DCBA-459A-9A22-3059983243D4}&lt;/DBUID&gt;&lt;/Extra&gt;&lt;/Item&gt;&lt;/References&gt;&lt;/Group&gt;&lt;Group&gt;&lt;References&gt;&lt;Item&gt;&lt;ID&gt;723&lt;/ID&gt;&lt;UID&gt;{A25154BE-D488-4253-A7EB-312F308F268C}&lt;/UID&gt;&lt;Title&gt;哈郑直流受端华中电网基于响应的交直流协调控制措施&lt;/Title&gt;&lt;Template&gt;Journal Article&lt;/Template&gt;&lt;Star&gt;0&lt;/Star&gt;&lt;Tag&gt;0&lt;/Tag&gt;&lt;Author&gt;徐式蕴; 吴萍; 赵兵; 孙华东; 易俊; 陈占明; 卜广全&lt;/Author&gt;&lt;Year&gt;2015&lt;/Year&gt;&lt;Details&gt;&lt;_author_aff&gt;中国电力科学研究院;中国人民大学经济学院;&lt;/_author_aff&gt;&lt;_date&gt;2015-07-05&lt;/_date&gt;&lt;_db_provider&gt;CNKI: 期刊&lt;/_db_provider&gt;&lt;_issue&gt;07&lt;/_issue&gt;&lt;_journal&gt;电网技术&lt;/_journal&gt;&lt;_keywords&gt;哈密—郑州特高压直流;交直流协调控制;实时响应;不平衡功率再分配;量化计算;安控措施&lt;/_keywords&gt;&lt;_pages&gt;1773-1778&lt;/_pages&gt;&lt;_url&gt;http://kns.cnki.net/KCMS/detail/detail.aspx?FileName=DWJS201507003&amp;amp;DbName=CJFQ2015&lt;/_url&gt;&lt;_volume&gt;39&lt;/_volume&gt;&lt;_created&gt;63727900&lt;/_created&gt;&lt;_modified&gt;63727900&lt;/_modified&gt;&lt;_db_updated&gt;CNKI - Reference&lt;/_db_updated&gt;&lt;_collection_scope&gt;CSCD;PKU;EI&lt;/_collection_scope&gt;&lt;_translated_author&gt;Xu, Shiyun;Wu, Ping;Zhao, Bing;Sun, Huadong;Yi, Jun;Chen, Zhanming;Bu, Guangquan&lt;/_translated_author&gt;&lt;/Details&gt;&lt;Extra&gt;&lt;DBUID&gt;{6891F4B0-DCBA-459A-9A22-3059983243D4}&lt;/DBUID&gt;&lt;/Extra&gt;&lt;/Item&gt;&lt;/References&gt;&lt;/Group&gt;&lt;/Citation&gt;_x000a_"/>
    <w:docVar w:name="NE.Ref{5E2DEAE0-806C-4588-9751-E3A083D8F8AC}" w:val=" ADDIN NE.Ref.{5E2DEAE0-806C-4588-9751-E3A083D8F8AC}&lt;Citation&gt;&lt;Group&gt;&lt;References&gt;&lt;Item&gt;&lt;ID&gt;1046&lt;/ID&gt;&lt;UID&gt;{C80B405F-6BEB-4781-92B1-57A569301870}&lt;/UID&gt;&lt;Title&gt;Real-Time Calculation Method of DC Voltage and Current to Eliminate the Influence of Signal Delay&lt;/Title&gt;&lt;Template&gt;Journal Article&lt;/Template&gt;&lt;Star&gt;0&lt;/Star&gt;&lt;Tag&gt;0&lt;/Tag&gt;&lt;Author&gt;Yin, C Y; Li, F T&lt;/Author&gt;&lt;Year&gt;2020&lt;/Year&gt;&lt;Details&gt;&lt;_alternate_title&gt;IEEE ACCESS&lt;/_alternate_title&gt;&lt;_author_adr&gt;Xinjiang Univ, Sch Elect Engn, Urumqi 830046, Peoples R China&lt;/_author_adr&gt;&lt;_cited_count&gt;0&lt;/_cited_count&gt;&lt;_date_display&gt;2020&lt;/_date_display&gt;&lt;_date&gt;2020-01-01&lt;/_date&gt;&lt;_doi&gt;10.1109/ACCESS.2020.3019594&lt;/_doi&gt;&lt;_journal&gt;IEEE ACCESS&lt;/_journal&gt;&lt;_keywords&gt;Inverters; Rectifiers; Delays; Control systems; HVDC transmission; Analytical models; Voltage control; Commutation failure; DC~voltage; high voltage DC transmission; signal delay time&lt;/_keywords&gt;&lt;_pages&gt;157168-157176&lt;/_pages&gt;&lt;_volume&gt;8&lt;/_volume&gt;&lt;_created&gt;64789178&lt;/_created&gt;&lt;_modified&gt;64789178&lt;/_modified&gt;&lt;_db_updated&gt;Web of Science-Core&lt;/_db_updated&gt;&lt;_impact_factor&gt;   3.476&lt;/_impact_factor&gt;&lt;_collection_scope&gt;SCIE;EI&lt;/_collection_scope&gt;&lt;/Details&gt;&lt;Extra&gt;&lt;DBUID&gt;{6891F4B0-DCBA-459A-9A22-3059983243D4}&lt;/DBUID&gt;&lt;/Extra&gt;&lt;/Item&gt;&lt;/References&gt;&lt;/Group&gt;&lt;/Citation&gt;_x000a_"/>
    <w:docVar w:name="NE.Ref{5EDAB5D5-CC33-4E4F-AE04-F39AA51FD17E}" w:val=" ADDIN NE.Ref.{5EDAB5D5-CC33-4E4F-AE04-F39AA51FD17E}&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Group&gt;&lt;References&gt;&lt;Item&gt;&lt;ID&gt;675&lt;/ID&gt;&lt;UID&gt;{EDE50766-AE31-49DE-A70B-D60C5F434C39}&lt;/UID&gt;&lt;Title&gt;Transient Stability Assessment of Multi-Machine Multi-Converter Power Systems&lt;/Title&gt;&lt;Template&gt;Journal Article&lt;/Template&gt;&lt;Star&gt;0&lt;/Star&gt;&lt;Tag&gt;0&lt;/Tag&gt;&lt;Author&gt;Pico, Hugo N Villegas; Johnson, Brian B&lt;/Author&gt;&lt;Year&gt;2019&lt;/Year&gt;&lt;Details&gt;&lt;_accessed&gt;63480639&lt;/_accessed&gt;&lt;_accession_num&gt;WOS:000483016500018&lt;/_accession_num&gt;&lt;_cited_count&gt;0&lt;/_cited_count&gt;&lt;_collection_scope&gt;SCI;SCIE;EI&lt;/_collection_scope&gt;&lt;_created&gt;63480531&lt;/_created&gt;&lt;_date_display&gt;2019, SEP 2019&lt;/_date_display&gt;&lt;_db_provider&gt;ISI&lt;/_db_provider&gt;&lt;_db_updated&gt;Web of Science-All&lt;/_db_updated&gt;&lt;_doi&gt;10.1109/TPWRS.2019.2898182&lt;/_doi&gt;&lt;_impact_factor&gt;   6.074&lt;/_impact_factor&gt;&lt;_isbn&gt;0885-8950&lt;/_isbn&gt;&lt;_issue&gt;5&lt;/_issue&gt;&lt;_journal&gt;IEEE TRANSACTIONS ON POWER SYSTEMS&lt;/_journal&gt;&lt;_modified&gt;63480639&lt;/_modified&gt;&lt;_pages&gt;3504-3514&lt;/_pages&gt;&lt;_url&gt;http://gateway.isiknowledge.com/gateway/Gateway.cgi?GWVersion=2&amp;amp;SrcAuth=AegeanSoftware&amp;amp;SrcApp=NoteExpress&amp;amp;DestLinkType=FullRecord&amp;amp;DestApp=WOS&amp;amp;KeyUT=000483016500018 _x000d__x000a_https://ieeexplore.ieee.org/stampPDF/getPDF.jsp?tp=&amp;amp;arnumber=8661790&amp;amp;ref=aHR0cHM6Ly9pZWVleHBsb3JlLmllZWUub3JnL3Jlc3Qvc2VhcmNo _x000d__x000a_&lt;/_url&gt;&lt;_volume&gt;34&lt;/_volume&gt;&lt;/Details&gt;&lt;Extra&gt;&lt;DBUID&gt;{6891F4B0-DCBA-459A-9A22-3059983243D4}&lt;/DBUID&gt;&lt;/Extra&gt;&lt;/Item&gt;&lt;/References&gt;&lt;/Group&gt;&lt;Group&gt;&lt;References&gt;&lt;Item&gt;&lt;ID&gt;342&lt;/ID&gt;&lt;UID&gt;{F91F1229-3DF9-4AF7-9AD8-CA81C2386094}&lt;/UID&gt;&lt;Title&gt;AC Tie-Line Power Oscillation Mechanism and Peak Value Calculation for a Two-Area AC/DC Parallel Interconnected Power System Caused by LCC-HVDC Commutation Failures&lt;/Title&gt;&lt;Template&gt;Journal Article&lt;/Template&gt;&lt;Star&gt;0&lt;/Star&gt;&lt;Tag&gt;0&lt;/Tag&gt;&lt;Author&gt;Sun, Li; Liu, Hongbo; Ma, Chenglian&lt;/Author&gt;&lt;Year&gt;2020&lt;/Year&gt;&lt;Details&gt;&lt;_accessed&gt;63480649&lt;/_accessed&gt;&lt;_accession_num&gt;WOS:000524318700208_x000d__x000a_ER&lt;/_accession_num&gt;&lt;_cited_count&gt;0&lt;/_cited_count&gt;&lt;_collection_scope&gt;SCIE;EI&lt;/_collection_scope&gt;&lt;_created&gt;63444588&lt;/_created&gt;&lt;_date_display&gt;2020, MAR 2020&lt;/_date_display&gt;&lt;_db_provider&gt;ISI&lt;/_db_provider&gt;&lt;_doi&gt;10.3390/en13051221&lt;/_doi&gt;&lt;_impact_factor&gt;   2.702&lt;/_impact_factor&gt;&lt;_issue&gt;12215&lt;/_issue&gt;&lt;_journal&gt;ENERGIES&lt;/_journal&gt;&lt;_modified&gt;63446009&lt;/_modified&gt;&lt;_url&gt;http://gateway.isiknowledge.com/gateway/Gateway.cgi?GWVersion=2&amp;amp;SrcAuth=AegeanSoftware&amp;amp;SrcApp=NoteExpress&amp;amp;DestLinkType=FullRecord&amp;amp;DestApp=WOS&amp;amp;KeyUT=000524318700208&lt;/_url&gt;&lt;_volume&gt;13&lt;/_volume&gt;&lt;/Details&gt;&lt;Extra&gt;&lt;DBUID&gt;{6891F4B0-DCBA-459A-9A22-3059983243D4}&lt;/DBUID&gt;&lt;/Extra&gt;&lt;/Item&gt;&lt;/References&gt;&lt;/Group&gt;&lt;/Citation&gt;_x000a_"/>
    <w:docVar w:name="NE.Ref{5F44EAAC-458D-4C11-8EE7-9C5F99B7D59A}" w:val=" ADDIN NE.Ref.{5F44EAAC-458D-4C11-8EE7-9C5F99B7D59A}&lt;Citation&gt;&lt;Group&gt;&lt;References&gt;&lt;Item&gt;&lt;ID&gt;647&lt;/ID&gt;&lt;UID&gt;{F25AF618-8E89-408E-9A2F-AB04356AFDC3}&lt;/UID&gt;&lt;Title&gt;Exergo-economic analysis method and optimization of a novel photovoltaic/ thermal solar-assisted hybrid combined cooling, heating and power system&lt;/Title&gt;&lt;Template&gt;Journal Article&lt;/Template&gt;&lt;Star&gt;0&lt;/Star&gt;&lt;Tag&gt;0&lt;/Tag&gt;&lt;Author&gt;Wang, Jiangjiang; Chen, Yuzhu; Lior, Noam&lt;/Author&gt;&lt;Year&gt;2019&lt;/Year&gt;&lt;Details&gt;&lt;_issue&gt;Nov.&lt;/_issue&gt;&lt;_journal&gt;Energy Conversion &amp;amp; Management&lt;/_journal&gt;&lt;_pages&gt;111945.1-111945.15&lt;/_pages&gt;&lt;_volume&gt;199&lt;/_volume&gt;&lt;_created&gt;63705609&lt;/_created&gt;&lt;_modified&gt;63705609&lt;/_modified&gt;&lt;/Details&gt;&lt;Extra&gt;&lt;DBUID&gt;{F96A950B-833F-4880-A151-76DA2D6A2879}&lt;/DBUID&gt;&lt;/Extra&gt;&lt;/Item&gt;&lt;/References&gt;&lt;/Group&gt;&lt;/Citation&gt;_x000a_"/>
    <w:docVar w:name="NE.Ref{5F88D5E8-AC09-48D8-BCDB-602F20FCD680}" w:val=" ADDIN NE.Ref.{5F88D5E8-AC09-48D8-BCDB-602F20FCD680}&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Group&gt;&lt;References&gt;&lt;Item&gt;&lt;ID&gt;629&lt;/ID&gt;&lt;UID&gt;{CCB72473-8296-4D2D-81B9-CF1153905A5D}&lt;/UID&gt;&lt;Title&gt;Analytical Expression on Transient Overvoltage Peak Value of Converter Bus Caused by DC Faults&lt;/Title&gt;&lt;Template&gt;Journal Article&lt;/Template&gt;&lt;Star&gt;0&lt;/Star&gt;&lt;Tag&gt;0&lt;/Tag&gt;&lt;Author&gt;Yin, C Y; Li, F T&lt;/Author&gt;&lt;Year&gt;2021&lt;/Year&gt;&lt;Details&gt;&lt;_alternate_title&gt;IEEE TRANSACTIONS ON POWER SYSTEMS&lt;/_alternate_title&gt;&lt;_author_adr&gt;Xinjiang Univ, Sch Elect Engn, Urumqi 830047, Peoples R China&lt;/_author_adr&gt;&lt;_cited_count&gt;3&lt;/_cited_count&gt;&lt;_collection_scope&gt;SCI;SCIE;EI&lt;/_collection_scope&gt;&lt;_created&gt;64493973&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494422&lt;/_modified&gt;&lt;_pages&gt;2741-2744&lt;/_pages&gt;&lt;_url&gt;https://ieeexplore.ieee.org/stampPDF/getPDF.jsp?tp=&amp;amp;arnumber=9366344&amp;amp;ref=aHR0cHM6Ly9pZWVleHBsb3JlLmllZWUub3JnL3Jlc3Qvc2VhcmNo _x000d__x000a_&lt;/_url&gt;&lt;_volume&gt;36&lt;/_volume&gt;&lt;/Details&gt;&lt;Extra&gt;&lt;DBUID&gt;{F96A950B-833F-4880-A151-76DA2D6A2879}&lt;/DBUID&gt;&lt;/Extra&gt;&lt;/Item&gt;&lt;/References&gt;&lt;/Group&gt;&lt;/Citation&gt;_x000a_"/>
    <w:docVar w:name="NE.Ref{6002F71B-60DF-4040-8520-C3886BD85ADC}" w:val=" ADDIN NE.Ref.{6002F71B-60DF-4040-8520-C3886BD85ADC}&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60AFE9D4-E7A4-41F6-A750-D685F7EAF184}" w:val=" ADDIN NE.Ref.{60AFE9D4-E7A4-41F6-A750-D685F7EAF184}&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614AD250-A67D-4B69-936D-C3F9E07F35C9}" w:val=" ADDIN NE.Ref.{614AD250-A67D-4B69-936D-C3F9E07F35C9}&lt;Citation&gt;&lt;Group&gt;&lt;References&gt;&lt;Item&gt;&lt;ID&gt;59&lt;/ID&gt;&lt;UID&gt;{52C8E72E-1F8D-4464-B7FA-C1E17C01F448}&lt;/UID&gt;&lt;Title&gt;消纳大规模风电的鲁棒区间经济调度  (二)不确定集合构建与保守度调节&lt;/Title&gt;&lt;Template&gt;Journal Article&lt;/Template&gt;&lt;Star&gt;0&lt;/Star&gt;&lt;Tag&gt;0&lt;/Tag&gt;&lt;Author&gt;李志刚; 吴文传; 张伯明&lt;/Author&gt;&lt;Year&gt;2014&lt;/Year&gt;&lt;Details&gt;&lt;_accessed&gt;64102962&lt;/_accessed&gt;&lt;_author_aff&gt;清华大学电机工程与应用电子技术系;电力系统及发电设备控制和仿真国家重点实验室,清华大学;&lt;/_author_aff&gt;&lt;_cited_count&gt;75&lt;/_cited_count&gt;&lt;_collection_scope&gt;CSCD;PKU;EI&lt;/_collection_scope&gt;&lt;_created&gt;64102676&lt;/_created&gt;&lt;_date&gt;60409440&lt;/_date&gt;&lt;_db_updated&gt;CNKI - Reference&lt;/_db_updated&gt;&lt;_issue&gt;21&lt;/_issue&gt;&lt;_journal&gt;电力系统自动化&lt;/_journal&gt;&lt;_keywords&gt;不确定集合;鲁棒优化;经济调度;预测区间;风力发电&lt;/_keywords&gt;&lt;_language&gt;Chinese&lt;/_language&gt;&lt;_modified&gt;64102962&lt;/_modified&gt;&lt;_pages&gt;32-38&lt;/_pages&gt;&lt;_url&gt;https://kns.cnki.net/kcms/detail/detail.aspx?FileName=DLXT201421006&amp;amp;DbName=CJFQ2014&lt;/_url&gt;&lt;_volume&gt;38&lt;/_volume&gt;&lt;_translated_author&gt;Li, Zhigang;Wu, Wenchuan;Zhang, Boming&lt;/_translated_author&gt;&lt;/Details&gt;&lt;Extra&gt;&lt;DBUID&gt;{560D5FFD-5A46-4EB8-859B-FD657304A42E}&lt;/DBUID&gt;&lt;/Extra&gt;&lt;/Item&gt;&lt;/References&gt;&lt;/Group&gt;&lt;Group&gt;&lt;References&gt;&lt;Item&gt;&lt;ID&gt;56&lt;/ID&gt;&lt;UID&gt;{64E36D0B-C2C1-49A9-A5C8-1D1826315601}&lt;/UID&gt;&lt;Title&gt;电力系统鲁棒经济调度  (一)理论基础&lt;/Title&gt;&lt;Template&gt;Journal Article&lt;/Template&gt;&lt;Star&gt;0&lt;/Star&gt;&lt;Tag&gt;0&lt;/Tag&gt;&lt;Author&gt;魏韡; 刘锋; 梅生伟&lt;/Author&gt;&lt;Year&gt;2013&lt;/Year&gt;&lt;Details&gt;&lt;_accessed&gt;64302517&lt;/_accessed&gt;&lt;_author_aff&gt;清华大学电机工程与应用电子技术系;电力系统及发电设备控制和仿真国家重点实验室,清华大学;&lt;/_author_aff&gt;&lt;_cited_count&gt;191&lt;/_cited_count&gt;&lt;_collection_scope&gt;CSCD;PKU;EI&lt;/_collection_scope&gt;&lt;_created&gt;64102676&lt;/_created&gt;&lt;_date&gt;59796000&lt;/_date&gt;&lt;_db_updated&gt;CNKI - Reference&lt;/_db_updated&gt;&lt;_issue&gt;17&lt;/_issue&gt;&lt;_journal&gt;电力系统自动化&lt;/_journal&gt;&lt;_keywords&gt;电力系统;鲁棒经济调度;新能源发电;两阶段零和博弈;不确定性&lt;/_keywords&gt;&lt;_language&gt;Chinese&lt;/_language&gt;&lt;_modified&gt;64105503&lt;/_modified&gt;&lt;_pages&gt;37-43&lt;/_pages&gt;&lt;_url&gt;https://kns.cnki.net/kcms/detail/detail.aspx?FileName=DLXT201317006&amp;amp;DbName=CJFQ2013&lt;/_url&gt;&lt;_volume&gt;37&lt;/_volume&gt;&lt;_translated_author&gt;Wei, Wei;Liu, Feng;Mei, Shengwei&lt;/_translated_author&gt;&lt;/Details&gt;&lt;Extra&gt;&lt;DBUID&gt;{560D5FFD-5A46-4EB8-859B-FD657304A42E}&lt;/DBUID&gt;&lt;/Extra&gt;&lt;/Item&gt;&lt;/References&gt;&lt;/Group&gt;&lt;/Citation&gt;_x000a_"/>
    <w:docVar w:name="NE.Ref{6160886D-58C8-4D65-ABA0-0CF4C86D5B8B}" w:val=" ADDIN NE.Ref.{6160886D-58C8-4D65-ABA0-0CF4C86D5B8B}&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61D24C47-9B0E-45A7-9BC5-F6AB67EDFA35}" w:val=" ADDIN NE.Ref.{61D24C47-9B0E-45A7-9BC5-F6AB67EDFA35}&lt;Citation&gt;&lt;Group&gt;&lt;References&gt;&lt;Item&gt;&lt;ID&gt;520&lt;/ID&gt;&lt;UID&gt;{DC67DA3C-DECD-400E-B6DB-7F0B32516434}&lt;/UID&gt;&lt;Title&gt;考虑风电不确定性的混合储能容量优化配置及运行策略研究&lt;/Title&gt;&lt;Template&gt;Journal Article&lt;/Template&gt;&lt;Star&gt;0&lt;/Star&gt;&lt;Tag&gt;0&lt;/Tag&gt;&lt;Author&gt;陈厚合; 杜欢欢; 张儒峰; 姜涛; 李雪&lt;/Author&gt;&lt;Year&gt;2018&lt;/Year&gt;&lt;Details&gt;&lt;_author_adr&gt;东北电力大学电气工程学院;&lt;/_author_adr&gt;&lt;_collection_scope&gt;CSCD;PKU;EI&lt;/_collection_scope&gt;&lt;_created&gt;63657440&lt;/_created&gt;&lt;_db_provider&gt;CNKI&lt;/_db_provider&gt;&lt;_isbn&gt;1006-6047&lt;/_isbn&gt;&lt;_issue&gt;08&lt;/_issue&gt;&lt;_journal&gt;电力自动化设备&lt;/_journal&gt;&lt;_keywords&gt;频谱分析;混合储能系统;机会约束规划;储能运行策略;优化配置&lt;/_keywords&gt;&lt;_modified&gt;63657440&lt;/_modified&gt;&lt;_pages&gt;174-182+188&lt;/_pages&gt;&lt;_volume&gt;38&lt;/_volume&gt;&lt;_translated_author&gt;Chen, Houhe;Du, Huanhuan;Zhang, Rufeng;Jiang, Tao;Li, Xue&lt;/_translated_author&gt;&lt;/Details&gt;&lt;Extra&gt;&lt;DBUID&gt;{F96A950B-833F-4880-A151-76DA2D6A2879}&lt;/DBUID&gt;&lt;/Extra&gt;&lt;/Item&gt;&lt;/References&gt;&lt;/Group&gt;&lt;/Citation&gt;_x000a_"/>
    <w:docVar w:name="NE.Ref{61DC88AD-41EC-49DB-8DEA-72FAFDEC2403}" w:val=" ADDIN NE.Ref.{61DC88AD-41EC-49DB-8DEA-72FAFDEC2403}&lt;Citation&gt;&lt;Group&gt;&lt;References&gt;&lt;Item&gt;&lt;ID&gt;92&lt;/ID&gt;&lt;UID&gt;{A96A5856-050B-45D6-B093-7436B3E85112}&lt;/UID&gt;&lt;Title&gt;考虑负荷随机性的风电消纳能力概率评估&lt;/Title&gt;&lt;Template&gt;Journal Article&lt;/Template&gt;&lt;Star&gt;0&lt;/Star&gt;&lt;Tag&gt;0&lt;/Tag&gt;&lt;Author&gt;张晓英; 汪彬; 王琨; 王晓兰; 陈伟&lt;/Author&gt;&lt;Year&gt;2019&lt;/Year&gt;&lt;Details&gt;&lt;_accessed&gt;64303936&lt;/_accessed&gt;&lt;_author_aff&gt;兰州理工大学电气工程与信息工程学院;国网甘肃省电力公司电力科学研究院;&lt;/_author_aff&gt;&lt;_cited_count&gt;12&lt;/_cited_count&gt;&lt;_collection_scope&gt;CSCD;PKU;EI&lt;/_collection_scope&gt;&lt;_created&gt;64302632&lt;/_created&gt;&lt;_date&gt;62671680&lt;/_date&gt;&lt;_db_updated&gt;CNKI - Reference&lt;/_db_updated&gt;&lt;_issue&gt;02&lt;/_issue&gt;&lt;_journal&gt;太阳能学报&lt;/_journal&gt;&lt;_keywords&gt;风电消纳;概率评估;高斯混合模型;切片采样&lt;/_keywords&gt;&lt;_language&gt;Chinese&lt;/_language&gt;&lt;_modified&gt;64303838&lt;/_modified&gt;&lt;_pages&gt;341-347&lt;/_pages&gt;&lt;_url&gt;https://kns.cnki.net/kcms/detail/detail.aspx?FileName=TYLX201902008&amp;amp;DbName=DKFX2019&lt;/_url&gt;&lt;_volume&gt;40&lt;/_volume&gt;&lt;_translated_author&gt;Zhang, Xiaoying;Wang, Bin;Wang, Kun;Wang, Xiaolan;Chen, Wei&lt;/_translated_author&gt;&lt;/Details&gt;&lt;Extra&gt;&lt;DBUID&gt;{560D5FFD-5A46-4EB8-859B-FD657304A42E}&lt;/DBUID&gt;&lt;/Extra&gt;&lt;/Item&gt;&lt;/References&gt;&lt;/Group&gt;&lt;/Citation&gt;_x000a_"/>
    <w:docVar w:name="NE.Ref{626E38EF-5451-451A-BDC1-E314A1B2EA18}" w:val=" ADDIN NE.Ref.{626E38EF-5451-451A-BDC1-E314A1B2EA18}&lt;Citation&gt;&lt;Group&gt;&lt;References&gt;&lt;Item&gt;&lt;ID&gt;593&lt;/ID&gt;&lt;UID&gt;{2A35C63F-1838-4AEC-987E-F1F357CDBD04}&lt;/UID&gt;&lt;Title&gt;A Multiobjective Evolutionary Algorithm Using Gaussian Process-Based Inverse Modeling&lt;/Title&gt;&lt;Template&gt;Journal Article&lt;/Template&gt;&lt;Star&gt;0&lt;/Star&gt;&lt;Tag&gt;0&lt;/Tag&gt;&lt;Author&gt;Cheng, Ran; Jin, Yaochu; Narukawa, Kaname; Sendhoff, Bernhard&lt;/Author&gt;&lt;Year&gt;2015&lt;/Year&gt;&lt;Details&gt;&lt;_collection_scope&gt;SCI;SCIE;EI&lt;/_collection_scope&gt;&lt;_created&gt;63705120&lt;/_created&gt;&lt;_impact_factor&gt;  11.169&lt;/_impact_factor&gt;&lt;_issue&gt;6&lt;/_issue&gt;&lt;_journal&gt;IEEE Transactions on Evolutionary Computation&lt;/_journal&gt;&lt;_modified&gt;63705120&lt;/_modified&gt;&lt;_pages&gt;838-856&lt;/_pages&gt;&lt;_volume&gt;19&lt;/_volume&gt;&lt;/Details&gt;&lt;Extra&gt;&lt;DBUID&gt;{F96A950B-833F-4880-A151-76DA2D6A2879}&lt;/DBUID&gt;&lt;/Extra&gt;&lt;/Item&gt;&lt;/References&gt;&lt;/Group&gt;&lt;/Citation&gt;_x000a_"/>
    <w:docVar w:name="NE.Ref{627FE40B-7832-4FFD-8755-22A1718FEFC5}" w:val=" ADDIN NE.Ref.{627FE40B-7832-4FFD-8755-22A1718FEFC5}&lt;Citation&gt;&lt;Group&gt;&lt;References&gt;&lt;Item&gt;&lt;ID&gt;44&lt;/ID&gt;&lt;UID&gt;{618029ED-179B-443B-A7AE-100713877E77}&lt;/UID&gt;&lt;Title&gt;鲁棒优化在电力系统调度决策中的应用研究综述&lt;/Title&gt;&lt;Template&gt;Journal Article&lt;/Template&gt;&lt;Star&gt;0&lt;/Star&gt;&lt;Tag&gt;0&lt;/Tag&gt;&lt;Author&gt;于丹文; 杨明; 翟鹤峰; 韩学山&lt;/Author&gt;&lt;Year&gt;2016&lt;/Year&gt;&lt;Details&gt;&lt;_accessed&gt;64357569&lt;/_accessed&gt;&lt;_author_aff&gt;电网智能化调度与控制教育部重点实验室(山东大学);&lt;/_author_aff&gt;&lt;_cited_count&gt;138&lt;/_cited_count&gt;&lt;_collection_scope&gt;CSCD;PKU;EI&lt;/_collection_scope&gt;&lt;_created&gt;64357565&lt;/_created&gt;&lt;_date&gt;61153920&lt;/_date&gt;&lt;_db_updated&gt;CNKI - Reference&lt;/_db_updated&gt;&lt;_issue&gt;07&lt;/_issue&gt;&lt;_journal&gt;电力系统自动化&lt;/_journal&gt;&lt;_keywords&gt;鲁棒优化;调度决策;机组组合;经济调度&lt;/_keywords&gt;&lt;_language&gt;Chinese&lt;/_language&gt;&lt;_modified&gt;64357569&lt;/_modified&gt;&lt;_pages&gt;134-143+148&lt;/_pages&gt;&lt;_url&gt;https://kns.cnki.net/kcms/detail/detail.aspx?FileName=DLXT201607020&amp;amp;DbName=CJFQ2016&lt;/_url&gt;&lt;_volume&gt;40&lt;/_volume&gt;&lt;_translated_author&gt;Yu, Danwen;Yang, Ming;Zhai, Hefeng;Han, Xueshan&lt;/_translated_author&gt;&lt;/Details&gt;&lt;Extra/&gt;&lt;/Item&gt;&lt;/References&gt;&lt;/Group&gt;&lt;/Citation&gt;_x000a_"/>
    <w:docVar w:name="NE.Ref{62A75942-98A7-4F21-9FC5-8A8BF8183C6C}" w:val=" ADDIN NE.Ref.{62A75942-98A7-4F21-9FC5-8A8BF8183C6C}&lt;Citation&gt;&lt;Group&gt;&lt;References&gt;&lt;Item&gt;&lt;ID&gt;423&lt;/ID&gt;&lt;UID&gt;{2B3D28A3-421B-4A49-8199-D6D51E8AE37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4451&lt;/_created&gt;&lt;_date_display&gt;2018, MAY 1 2018&lt;/_date_display&gt;&lt;_db_provider&gt;ISI&lt;/_db_provider&gt;&lt;_doi&gt;10.1016/j.energy.2018.03.002&lt;/_doi&gt;&lt;_impact_factor&gt;   6.082&lt;/_impact_factor&gt;&lt;_isbn&gt;0360-5442&lt;/_isbn&gt;&lt;_journal&gt;ENERGY&lt;/_journal&gt;&lt;_modified&gt;63644451&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63369879-5C24-4263-A63A-1DB053BC9836}" w:val=" ADDIN NE.Ref.{63369879-5C24-4263-A63A-1DB053BC9836}&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648575&lt;/_created&gt;&lt;_modified&gt;63648575&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636052D5-6CEB-48FB-8E6A-85FEACFA9666}" w:val=" ADDIN NE.Ref.{636052D5-6CEB-48FB-8E6A-85FEACFA9666}&lt;Citation&gt;&lt;Group&gt;&lt;References&gt;&lt;Item&gt;&lt;ID&gt;526&lt;/ID&gt;&lt;UID&gt;{5FAEA3FF-5F76-46D8-AC09-080124D9DB30}&lt;/UID&gt;&lt;Title&gt;2019年全球能源供需分析——基于《BP世界能源统计年鉴(2020)》&lt;/Title&gt;&lt;Template&gt;Journal Article&lt;/Template&gt;&lt;Star&gt;0&lt;/Star&gt;&lt;Tag&gt;5&lt;/Tag&gt;&lt;Author&gt;李洪言; 赵朔; 林傲丹; 刘飞; 李雷; 代晓东&lt;/Author&gt;&lt;Year&gt;2020&lt;/Year&gt;&lt;Details&gt;&lt;_author_adr&gt;中国石油大学胜利学院油气工程学院;&lt;/_author_adr&gt;&lt;_created&gt;63659476&lt;/_created&gt;&lt;_db_provider&gt;CNKI&lt;/_db_provider&gt;&lt;_isbn&gt;1006-5539&lt;/_isbn&gt;&lt;_issue&gt;06&lt;/_issue&gt;&lt;_journal&gt;天然气与石油&lt;/_journal&gt;&lt;_keywords&gt;BP;2019年;全球能源;供需&lt;/_keywords&gt;&lt;_modified&gt;63705361&lt;/_modified&gt;&lt;_pages&gt;122-130&lt;/_pages&gt;&lt;_volume&gt;38&lt;/_volume&gt;&lt;_translated_author&gt;Li, Hongyan;Zhao, Shuo;Lin, Aodan;Liu, Fei;Li, Lei;Dai, Xiaodong&lt;/_translated_author&gt;&lt;/Details&gt;&lt;Extra&gt;&lt;DBUID&gt;{F96A950B-833F-4880-A151-76DA2D6A2879}&lt;/DBUID&gt;&lt;/Extra&gt;&lt;/Item&gt;&lt;/References&gt;&lt;/Group&gt;&lt;/Citation&gt;_x000a_"/>
    <w:docVar w:name="NE.Ref{63A839A6-A87E-44CB-86FD-88A904C12C25}" w:val=" ADDIN NE.Ref.{63A839A6-A87E-44CB-86FD-88A904C12C25}&lt;Citation&gt;&lt;Group&gt;&lt;References&gt;&lt;Item&gt;&lt;ID&gt;1037&lt;/ID&gt;&lt;UID&gt;{71B076DE-04BF-4729-92F3-3B9185A8E503}&lt;/UID&gt;&lt;Title&gt;Predictive Commutation Failure Suppression Strategy for High Voltage Direct Current System Considering Harmonic Components of Commutation Voltage&lt;/Title&gt;&lt;Template&gt;Journal Article&lt;/Template&gt;&lt;Star&gt;0&lt;/Star&gt;&lt;Tag&gt;0&lt;/Tag&gt;&lt;Author&gt;Liu, X L; Cao, Z Y; Gao, B T; Zhou, Z A; Wang, X G; Zhang, F&lt;/Author&gt;&lt;Year&gt;2022&lt;/Year&gt;&lt;Details&gt;&lt;_alternate_title&gt;PROCESSES&lt;/_alternate_title&gt;&lt;_author_adr&gt;Southeast Univ, Sch Elect Engn, Nanjing 210096, Peoples R China; State Grid Xinjiang Elect Power Co Ltd, Urumqi 830011, Peoples R China&lt;/_author_adr&gt;&lt;_cited_count&gt;1&lt;/_cited_count&gt;&lt;_collection_scope&gt;SCIE&lt;/_collection_scope&gt;&lt;_created&gt;64786191&lt;/_created&gt;&lt;_date&gt;2022-01-01&lt;/_date&gt;&lt;_date_display&gt;2022&lt;/_date_display&gt;&lt;_db_updated&gt;Web of Science-Core&lt;/_db_updated&gt;&lt;_doi&gt;10.3390/pr10102073&lt;/_doi&gt;&lt;_impact_factor&gt;   3.352&lt;/_impact_factor&gt;&lt;_issue&gt;10&lt;/_issue&gt;&lt;_journal&gt;PROCESSES&lt;/_journal&gt;&lt;_keywords&gt;high voltage direct current; harmonic components; voltage prediction; commutation failure suppression; commutation failure prevention&lt;/_keywords&gt;&lt;_modified&gt;64786195&lt;/_modified&gt;&lt;_volume&gt;10&lt;/_volume&gt;&lt;/Details&gt;&lt;Extra&gt;&lt;DBUID&gt;{6891F4B0-DCBA-459A-9A22-3059983243D4}&lt;/DBUID&gt;&lt;/Extra&gt;&lt;/Item&gt;&lt;/References&gt;&lt;/Group&gt;&lt;/Citation&gt;_x000a_"/>
    <w:docVar w:name="NE.Ref{64F68070-D2A6-4C5B-9B18-A549EC0D9333}" w:val=" ADDIN NE.Ref.{64F68070-D2A6-4C5B-9B18-A549EC0D9333}&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650E1C20-ECCF-42AD-A00A-6DAC54B04101}" w:val=" ADDIN NE.Ref.{650E1C20-ECCF-42AD-A00A-6DAC54B04101}&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_accessed&gt;64646993&lt;/_accessed&gt;&lt;/Details&gt;&lt;Extra&gt;&lt;DBUID&gt;{6891F4B0-DCBA-459A-9A22-3059983243D4}&lt;/DBUID&gt;&lt;/Extra&gt;&lt;/Item&gt;&lt;/References&gt;&lt;/Group&gt;&lt;/Citation&gt;_x000a_"/>
    <w:docVar w:name="NE.Ref{65BA11E0-A967-46FA-BFCC-1A332181CCCA}" w:val=" ADDIN NE.Ref.{65BA11E0-A967-46FA-BFCC-1A332181CCCA}&lt;Citation&gt;&lt;Group&gt;&lt;References&gt;&lt;Item&gt;&lt;ID&gt;623&lt;/ID&gt;&lt;UID&gt;{43E481F1-CF5B-443B-BB69-E297D79E91FF}&lt;/UID&gt;&lt;Title&gt;风–光–水–碳捕集多区域虚拟电厂协调优化调度&lt;/Title&gt;&lt;Template&gt;Journal Article&lt;/Template&gt;&lt;Star&gt;0&lt;/Star&gt;&lt;Tag&gt;0&lt;/Tag&gt;&lt;Author&gt;孙惠娟; 蒙锦辉; 彭春华&lt;/Author&gt;&lt;Year&gt;2019&lt;/Year&gt;&lt;Details&gt;&lt;_author_adr&gt;华东交通大学电气与自动化工程学院;&lt;/_author_adr&gt;&lt;_db_provider&gt;CNKI&lt;/_db_provider&gt;&lt;_isbn&gt;1000-3673&lt;/_isbn&gt;&lt;_issue&gt;11&lt;/_issue&gt;&lt;_journal&gt;电网技术&lt;/_journal&gt;&lt;_keywords&gt;多区域虚拟电厂;综合能源;协调优化调度;主动弃水;分子微分进化&lt;/_keywords&gt;&lt;_pages&gt;4040-4051&lt;/_pages&gt;&lt;_volume&gt;43&lt;/_volume&gt;&lt;_created&gt;63705545&lt;/_created&gt;&lt;_modified&gt;63705545&lt;/_modified&gt;&lt;_collection_scope&gt;CSCD;PKU;EI&lt;/_collection_scope&gt;&lt;_translated_author&gt;Sun, Huijuan;Meng, Jinhui;Peng, Chunhua&lt;/_translated_author&gt;&lt;/Details&gt;&lt;Extra&gt;&lt;DBUID&gt;{F96A950B-833F-4880-A151-76DA2D6A2879}&lt;/DBUID&gt;&lt;/Extra&gt;&lt;/Item&gt;&lt;/References&gt;&lt;/Group&gt;&lt;Group&gt;&lt;References&gt;&lt;Item&gt;&lt;ID&gt;625&lt;/ID&gt;&lt;UID&gt;{E1525CEA-9CB1-4B26-A8DF-8B44E4939FF4}&lt;/UID&gt;&lt;Title&gt;基于遗传-禁忌搜索算法的微网群能量管理&lt;/Title&gt;&lt;Template&gt;Journal Article&lt;/Template&gt;&lt;Star&gt;0&lt;/Star&gt;&lt;Tag&gt;0&lt;/Tag&gt;&lt;Author&gt;张福民; 叶子静; 李占凯; 唐圣学; 马晨阳; 姜含&lt;/Author&gt;&lt;Year&gt;2018&lt;/Year&gt;&lt;Details&gt;&lt;_author_adr&gt;省部共建电工装备可靠性与智能化国家重点实验室(河北工业大学);河北省电磁场与电器可靠性重点实验室(河北工业大学);&lt;/_author_adr&gt;&lt;_db_provider&gt;CNKI&lt;/_db_provider&gt;&lt;_isbn&gt;1003-6520&lt;/_isbn&gt;&lt;_issue&gt;07&lt;/_issue&gt;&lt;_journal&gt;高电压技术&lt;/_journal&gt;&lt;_keywords&gt;配电系统;分布式发电;微网群;能量管理;优化调度;遗传-禁忌搜索算法&lt;/_keywords&gt;&lt;_pages&gt;2323-2330&lt;/_pages&gt;&lt;_volume&gt;44&lt;/_volume&gt;&lt;_created&gt;63705545&lt;/_created&gt;&lt;_modified&gt;63705545&lt;/_modified&gt;&lt;_collection_scope&gt;CSCD;PKU;EI&lt;/_collection_scope&gt;&lt;_translated_author&gt;Zhang, Fumin;Ye, Zijing;Li, Zhankai;Tang, Shengxue;Ma, Chenyang;Jiang, Han&lt;/_translated_author&gt;&lt;/Details&gt;&lt;Extra&gt;&lt;DBUID&gt;{F96A950B-833F-4880-A151-76DA2D6A2879}&lt;/DBUID&gt;&lt;/Extra&gt;&lt;/Item&gt;&lt;/References&gt;&lt;/Group&gt;&lt;/Citation&gt;_x000a_"/>
    <w:docVar w:name="NE.Ref{65D743E6-F1C4-4AF5-90B4-2EAED27FEDC0}" w:val=" ADDIN NE.Ref.{65D743E6-F1C4-4AF5-90B4-2EAED27FEDC0}&lt;Citation&gt;&lt;Group&gt;&lt;References&gt;&lt;Item&gt;&lt;ID&gt;522&lt;/ID&gt;&lt;UID&gt;{15C13D15-6CFD-4735-A9A4-49A89EDC2224}&lt;/UID&gt;&lt;Title&gt;基于机会约束规划的楼宇综合能源系统经济调度&lt;/Title&gt;&lt;Template&gt;Journal Article&lt;/Template&gt;&lt;Star&gt;0&lt;/Star&gt;&lt;Tag&gt;0&lt;/Tag&gt;&lt;Author&gt;张宇帆; 艾芊; 郝然; 孙树敏; 林琳; 袁帅&lt;/Author&gt;&lt;Year&gt;2019&lt;/Year&gt;&lt;Details&gt;&lt;_author_adr&gt;上海交通大学电子信息与电气工程学院;国网山东省电力有限公司电力科学研究院;山东电力调度控制中心;&lt;/_author_adr&gt;&lt;_collection_scope&gt;CSCD;PKU;EI&lt;/_collection_scope&gt;&lt;_created&gt;63657445&lt;/_created&gt;&lt;_db_provider&gt;CNKI&lt;/_db_provider&gt;&lt;_isbn&gt;1000-3673&lt;/_isbn&gt;&lt;_issue&gt;01&lt;/_issue&gt;&lt;_journal&gt;电网技术&lt;/_journal&gt;&lt;_keywords&gt;居民能源集线器;综合能源系统;机会约束规划;经济调度&lt;/_keywords&gt;&lt;_modified&gt;63657445&lt;/_modified&gt;&lt;_pages&gt;108-116&lt;/_pages&gt;&lt;_volume&gt;43&lt;/_volume&gt;&lt;_translated_author&gt;Zhang, Yufan;Ai, Qian;Hao, Ran;Sun, Shumin;Lin, Lin;Yuan, Shuai&lt;/_translated_author&gt;&lt;/Details&gt;&lt;Extra&gt;&lt;DBUID&gt;{F96A950B-833F-4880-A151-76DA2D6A2879}&lt;/DBUID&gt;&lt;/Extra&gt;&lt;/Item&gt;&lt;/References&gt;&lt;/Group&gt;&lt;/Citation&gt;_x000a_"/>
    <w:docVar w:name="NE.Ref{66332E5D-4D9A-45FD-8D0D-4C9D5265E6C1}" w:val=" ADDIN NE.Ref.{66332E5D-4D9A-45FD-8D0D-4C9D5265E6C1}&lt;Citation&gt;&lt;Group&gt;&lt;References&gt;&lt;Item&gt;&lt;ID&gt;110&lt;/ID&gt;&lt;UID&gt;{5357B0A4-2FF8-4724-9ED6-917FED7A1859}&lt;/UID&gt;&lt;Title&gt;基于遗传算法改进BP神经网络的风电功率预测研究&lt;/Title&gt;&lt;Template&gt;Journal Article&lt;/Template&gt;&lt;Star&gt;0&lt;/Star&gt;&lt;Tag&gt;0&lt;/Tag&gt;&lt;Author&gt;王冰冰; 赵天乐&lt;/Author&gt;&lt;Year&gt;2019&lt;/Year&gt;&lt;Details&gt;&lt;_accessed&gt;64308265&lt;/_accessed&gt;&lt;_author_aff&gt;南京理工大学自动化学院;&lt;/_author_aff&gt;&lt;_cited_count&gt;12&lt;/_cited_count&gt;&lt;_created&gt;64303916&lt;/_created&gt;&lt;_date&gt;63089280&lt;/_date&gt;&lt;_db_updated&gt;CNKI - Reference&lt;/_db_updated&gt;&lt;_issue&gt;12&lt;/_issue&gt;&lt;_journal&gt;电工电气&lt;/_journal&gt;&lt;_keywords&gt;风电;功率预测;BP神经网络;遗传算法&lt;/_keywords&gt;&lt;_language&gt;Chinese&lt;/_language&gt;&lt;_modified&gt;64308265&lt;/_modified&gt;&lt;_pages&gt;16-21&lt;/_pages&gt;&lt;_url&gt;https://kns.cnki.net/kcms/detail/detail.aspx?FileName=JSDQ201912004&amp;amp;DbName=CJFQ2019&lt;/_url&gt;&lt;_translated_author&gt;Wang, Bingbing;Zhao, Tianle&lt;/_translated_author&gt;&lt;/Details&gt;&lt;Extra&gt;&lt;DBUID&gt;{560D5FFD-5A46-4EB8-859B-FD657304A42E}&lt;/DBUID&gt;&lt;/Extra&gt;&lt;/Item&gt;&lt;/References&gt;&lt;/Group&gt;&lt;/Citation&gt;_x000a_"/>
    <w:docVar w:name="NE.Ref{66AF6C45-CD27-4AC1-A1B2-BCB7C0F9F9FD}" w:val=" ADDIN NE.Ref.{66AF6C45-CD27-4AC1-A1B2-BCB7C0F9F9FD}&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66D4E29D-750E-4CA3-BA04-41980F5121B9}" w:val=" ADDIN NE.Ref.{66D4E29D-750E-4CA3-BA04-41980F5121B9}&lt;Citation&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4647189&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1&lt;/_issue&gt;&lt;_journal&gt;高电压技术&lt;/_journal&gt;&lt;_modified&gt;64646955&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bar.cnki.net/bar/download/order?id=jBGETXBNdPImvx70aLAuJPYxPoFw%2bp%2bi0fIiSrcN6lU5M8dQjGypVjbMx6JjtGzTcp9rONqdA%2fiVAtQxj75ZJaly%2bcoaUbxKfbohfVkk2oLl8E%2bCUVp5GtDTYhVF2dNUoJeGx62Ssygg68TNXJ%2b5JrigejDAar8Xqw%2f6WR22OFXUdUGh4At8VBYSvh%2fCUD5aqrh0zQzVq9AVs%2fbx50b97OHCj0rcHFOqtzo%2fDKKQz1%2f5LXYX1qwFXwOc1HUZT%2bTB _x000d__x000a_https://bar.cnki.net/bar/download/order?id=jBGETXBNdPImvx70aLAuJPYxPoFw%2bp%2bi0fIiSrcN6lU5M8dQjGypVjbMx6JjtGzTcp9rONqdA%2fiVAtQxj75ZJaly%2bcoaUbxKfbohfVkk2oLl8E%2bCUVp5GtDTYhVF2dNUoJeGx62Ssygg68TNXJ%2b5JrigejDAar8Xqw%2f6WR22OFXUdUGh4At8VBYSvh%2fCUD5aZyQY9N6ogSR9tgYofZDjzDb8f2HAkymGE9BZVIFzUcf5LXYX1qwFXwOc1HUZT%2bTB _x000d__x000a_&lt;/_url&gt;&lt;_volume&gt;45&lt;/_volume&gt;&lt;/Details&gt;&lt;Extra&gt;&lt;DBUID&gt;{6891F4B0-DCBA-459A-9A22-3059983243D4}&lt;/DBUID&gt;&lt;/Extra&gt;&lt;/Item&gt;&lt;/References&gt;&lt;/Group&gt;&lt;/Citation&gt;_x000a_"/>
    <w:docVar w:name="NE.Ref{6744234B-7630-49F5-A044-4427521B3DBC}" w:val=" ADDIN NE.Ref.{6744234B-7630-49F5-A044-4427521B3DBC}&lt;Citation&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4543285&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4646884&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bar.cnki.net/bar/download/order?id=jBGETXBNdPImvx70aLAuJPYxPoFw%2bp%2bi0fIiSrcN6lU5M8dQjGypVjbMx6JjtGzTcp9rONqdA%2fiVAtQxj75ZJaly%2bcoaUbxKfbohfVkk2oLl8E%2bCUVp5GtDTYhVF2dNUoJeGx62Ssygg68TNXJ%2b5JrigejDAar8Xqw%2f6WR22OFXUdUGh4At8VBYSvh%2fCUD5aqrh0zQzVq9AVs%2fbx50b97OHCj0rcHFOqtzo%2fDKKQz1%2f5LXYX1qwFXwOc1HUZT%2bTB _x000d__x000a_https://bar.cnki.net/bar/download/order?id=jBGETXBNdPImvx70aLAuJPYxPoFw%2bp%2bi0fIiSrcN6lU5M8dQjGypVjbMx6JjtGzTcp9rONqdA%2fiVAtQxj75ZJaly%2bcoaUbxKfbohfVkk2oLl8E%2bCUVp5GtDTYhVF2dNUoJeGx62Ssygg68TNXJ%2b5JrigejDAar8Xqw%2f6WR22OFXUdUGh4At8VBYSvh%2fCUD5aZyQY9N6ogSR9tgYofZDjzDb8f2HAkymGE9BZVIFzUcf5LXYX1qwFXwOc1HUZT%2bTB _x000d__x000a_&lt;/_url&gt;&lt;_volume&gt;45&lt;/_volume&gt;&lt;/Details&gt;&lt;Extra&gt;&lt;DBUID&gt;{6891F4B0-DCBA-459A-9A22-3059983243D4}&lt;/DBUID&gt;&lt;/Extra&gt;&lt;/Item&gt;&lt;/References&gt;&lt;/Group&gt;&lt;/Citation&gt;_x000a_"/>
    <w:docVar w:name="NE.Ref{67C2B299-B744-4CA6-82FA-2A9E3EE17B09}" w:val=" ADDIN NE.Ref.{67C2B299-B744-4CA6-82FA-2A9E3EE17B09}&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67D66D1B-8C2D-40B9-A803-8F81A2CD9E48}" w:val=" ADDIN NE.Ref.{67D66D1B-8C2D-40B9-A803-8F81A2CD9E48}&lt;Citation&gt;&lt;Group&gt;&lt;References&gt;&lt;Item&gt;&lt;ID&gt;674&lt;/ID&gt;&lt;UID&gt;{89C9CD25-7A1B-4CDC-B1C2-52361D34149B}&lt;/UID&gt;&lt;Title&gt;A novelmethod tomitigate commutation failures in HVdc systems&lt;/Title&gt;&lt;Template&gt;Conference Proceedings&lt;/Template&gt;&lt;Star&gt;0&lt;/Star&gt;&lt;Tag&gt;0&lt;/Tag&gt;&lt;Author&gt;Zhang, L; Dofnas, L&lt;/Author&gt;&lt;Year&gt;2002&lt;/Year&gt;&lt;Details&gt;&lt;_secondary_title&gt; Proc. Int. Conf. Power Syst. Technol&lt;/_secondary_title&gt;&lt;_volume&gt;1&lt;/_volume&gt;&lt;_pages&gt;51-56&lt;/_pages&gt;&lt;_date&gt;54169920&lt;/_date&gt;&lt;_accessed&gt;63459198&lt;/_accessed&gt;&lt;_created&gt;63459198&lt;/_created&gt;&lt;_modified&gt;63459198&lt;/_modified&gt;&lt;/Details&gt;&lt;Extra&gt;&lt;DBUID&gt;{6891F4B0-DCBA-459A-9A22-3059983243D4}&lt;/DBUID&gt;&lt;/Extra&gt;&lt;/Item&gt;&lt;/References&gt;&lt;/Group&gt;&lt;/Citation&gt;_x000a_"/>
    <w:docVar w:name="NE.Ref{6826E0B5-0066-4D27-9898-B70A50DBF4B3}" w:val=" ADDIN NE.Ref.{6826E0B5-0066-4D27-9898-B70A50DBF4B3}&lt;Citation&gt;&lt;Group&gt;&lt;References&gt;&lt;Item&gt;&lt;ID&gt;1002&lt;/ID&gt;&lt;UID&gt;{EDF67904-B301-4C5C-AE91-9252A4EFE6F7}&lt;/UID&gt;&lt;Title&gt;风电基地经特高压直流送出系统换相失败故障(一)：送端风电机组暂态无功电压建模&lt;/Title&gt;&lt;Template&gt;Journal Article&lt;/Template&gt;&lt;Star&gt;0&lt;/Star&gt;&lt;Tag&gt;0&lt;/Tag&gt;&lt;Author&gt;何国庆; 王伟胜; 刘纯; 李光辉; 年珩&lt;/Author&gt;&lt;Year&gt;2022&lt;/Year&gt;&lt;Details&gt;&lt;_author_aff&gt;新能源与储能运行控制国家重点实验室(中国电力科学研究院有限公司);浙江大学电气工程学院;&lt;/_author_aff&gt;&lt;_cited_count&gt;1&lt;/_cited_count&gt;&lt;_date&gt;2021-12-06&lt;/_date&gt;&lt;_issue&gt;12&lt;/_issue&gt;&lt;_journal&gt;中国电机工程学报&lt;/_journal&gt;&lt;_keywords&gt;特高压直流;换相失败;高电压穿越;暂态过电压;风电机组&lt;/_keywords&gt;&lt;_pages&gt;4391-4405&lt;/_pages&gt;&lt;_url&gt;https://kns.cnki.net/kcms/detail/detail.aspx?FileName=ZGDC202212010&amp;amp;DbName=DKFX2022&lt;/_url&gt;&lt;_volume&gt;42&lt;/_volume&gt;&lt;_created&gt;64779564&lt;/_created&gt;&lt;_modified&gt;64779564&lt;/_modified&gt;&lt;_db_updated&gt;CNKI - Reference&lt;/_db_updated&gt;&lt;_collection_scope&gt;CSCD;PKU;EI&lt;/_collection_scope&gt;&lt;_translated_author&gt;He, Guoqing;Wang, Weisheng;Liu, Chun;Li, Guanghui;Nian, Heng&lt;/_translated_author&gt;&lt;/Details&gt;&lt;Extra&gt;&lt;DBUID&gt;{6891F4B0-DCBA-459A-9A22-3059983243D4}&lt;/DBUID&gt;&lt;/Extra&gt;&lt;/Item&gt;&lt;/References&gt;&lt;/Group&gt;&lt;Group&gt;&lt;References&gt;&lt;Item&gt;&lt;ID&gt;1003&lt;/ID&gt;&lt;UID&gt;{CB141C42-0E77-44FB-86AD-4200F4F04236}&lt;/UID&gt;&lt;Title&gt;风电基地经特高压直流送出系统换相失败故障(二)：送端风电机组暂态无功电压特性与作用机理分析&lt;/Title&gt;&lt;Template&gt;Journal Article&lt;/Template&gt;&lt;Star&gt;0&lt;/Star&gt;&lt;Tag&gt;0&lt;/Tag&gt;&lt;Author&gt;金一丁; 贺静波; 李光辉; 刘纯; 何国庆; 张怡&lt;/Author&gt;&lt;Year&gt;2022&lt;/Year&gt;&lt;Details&gt;&lt;_author_aff&gt;国家电力调度控制中心;新能源与储能运行控制国家重点实验室(中国电力科学研究院有限公司);&lt;/_author_aff&gt;&lt;_date&gt;2021-12-06&lt;/_date&gt;&lt;_issue&gt;13&lt;/_issue&gt;&lt;_journal&gt;中国电机工程学报&lt;/_journal&gt;&lt;_keywords&gt;特高压直流;换相失败;风电机组;暂态无功电压&lt;/_keywords&gt;&lt;_pages&gt;4738-4749&lt;/_pages&gt;&lt;_url&gt;https://kns.cnki.net/kcms/detail/detail.aspx?FileName=ZGDC202213011&amp;amp;DbName=DKFX2022 _x000d__x000a_https://bar.cnki.net/bar/download/order?id=jBGETXBNdPImvx70aLAuJPYxPoFw%2bp%2bi0fIiSrcN6lVfmfKLuHo84K7lynTFJ4eHH%2baLmkDLv%2bEsl5%2f0QJVlG50PLIIoFLYwy5BgUEfsTyzl8E%2bCUVp5GtDTYhVF2dNUoJeGx62Ssygg68TNXJ%2b5JrigejDAar8Xqw%2f6WR22OFXUdUGh4At8VBYSvh%2fCUD5aZrzBAJuI96bNBmLtCB3UvnJ%2fk3qb3YlLDmkYcfC%2bquX5LXYX1qwFXwOc1HUZT%2bTB _x000d__x000a_&lt;/_url&gt;&lt;_volume&gt;42&lt;/_volume&gt;&lt;_created&gt;64779564&lt;/_created&gt;&lt;_modified&gt;64780389&lt;/_modified&gt;&lt;_db_updated&gt;CNKI - Reference&lt;/_db_updated&gt;&lt;_collection_scope&gt;CSCD;PKU;EI&lt;/_collection_scope&gt;&lt;_accessed&gt;64780389&lt;/_accessed&gt;&lt;_translated_author&gt;Jin, Yiding;He, Jingbo;Li, Guanghui;Liu, Chun;He, Guoqing;Zhang, Yi&lt;/_translated_author&gt;&lt;/Details&gt;&lt;Extra&gt;&lt;DBUID&gt;{6891F4B0-DCBA-459A-9A22-3059983243D4}&lt;/DBUID&gt;&lt;/Extra&gt;&lt;/Item&gt;&lt;/References&gt;&lt;/Group&gt;&lt;Group&gt;&lt;References&gt;&lt;Item&gt;&lt;ID&gt;1001&lt;/ID&gt;&lt;UID&gt;{784EA6B4-49CE-41FB-946D-E8229F8A20D4}&lt;/UID&gt;&lt;Title&gt;风电基地经特高压直流送出系统换相失败故障(三):送端风电机组暂态过电压抑制措施&lt;/Title&gt;&lt;Template&gt;Journal Article&lt;/Template&gt;&lt;Star&gt;0&lt;/Star&gt;&lt;Tag&gt;0&lt;/Tag&gt;&lt;Author&gt;李光辉; 王伟胜; 何国庆; 刘纯&lt;/Author&gt;&lt;Year&gt;2022&lt;/Year&gt;&lt;Details&gt;&lt;_author_aff&gt;新能源与储能运行控制国家重点实验室(中国电力科学研究院有限公司);&lt;/_author_aff&gt;&lt;_cited_count&gt;1&lt;/_cited_count&gt;&lt;_date&gt;2021-12-06&lt;/_date&gt;&lt;_issue&gt;14&lt;/_issue&gt;&lt;_journal&gt;中国电机工程学报&lt;/_journal&gt;&lt;_keywords&gt;直驱风电机组;虚拟磁链;暂态无功优化;暂态过电压抑制&lt;/_keywords&gt;&lt;_pages&gt;5079-5089&lt;/_pages&gt;&lt;_url&gt;https://kns.cnki.net/kcms/detail/detail.aspx?FileName=ZGDC202214008&amp;amp;DbName=DKFX2022 _x000d__x000a_https://bar.cnki.net/bar/download/order?id=jBGETXBNdPImvx70aLAuJPYxPoFw%2bp%2bi0fIiSrcN6lXtR5VIAwZaORY%2f2s6ToV1bLDZRoj5cV7XU4AV9w9D2050PLIIoFLYwy5BgUEfsTyzl8E%2bCUVp5GtDTYhVF2dNUoJeGx62Ssygg68TNXJ%2b5JrigejDAar8Xqw%2f6WR22OFXUdUGh4At8VBYSvh%2fCUD5aMSwxDlk9oR0iyiUC7OofMAnGcBTsEVGEF%2b8%2bQLIfhC35LXYX1qwFXwOc1HUZT%2bTB _x000d__x000a_&lt;/_url&gt;&lt;_volume&gt;42&lt;/_volume&gt;&lt;_created&gt;64779564&lt;/_created&gt;&lt;_modified&gt;64779565&lt;/_modified&gt;&lt;_db_updated&gt;CNKI - Reference&lt;/_db_updated&gt;&lt;_collection_scope&gt;CSCD;PKU;EI&lt;/_collection_scope&gt;&lt;_translated_author&gt;Li, Guanghui;Wang, Weisheng;He, Guoqing;Liu, Chun&lt;/_translated_author&gt;&lt;/Details&gt;&lt;Extra&gt;&lt;DBUID&gt;{6891F4B0-DCBA-459A-9A22-3059983243D4}&lt;/DBUID&gt;&lt;/Extra&gt;&lt;/Item&gt;&lt;/References&gt;&lt;/Group&gt;&lt;/Citation&gt;_x000a_"/>
    <w:docVar w:name="NE.Ref{6898084D-034F-4DF4-8A5C-42A24D8B93F6}" w:val=" ADDIN NE.Ref.{6898084D-034F-4DF4-8A5C-42A24D8B93F6}&lt;Citation&gt;&lt;Group&gt;&lt;References&gt;&lt;Item&gt;&lt;ID&gt;926&lt;/ID&gt;&lt;UID&gt;{C4A89759-66D7-4141-A1FC-B474E70AEB29}&lt;/UID&gt;&lt;Title&gt;Interaction Mechanism and Coordinated Control of Commutation Failure Prevention in Multi-Infeed Ultra-HVDC System&lt;/Title&gt;&lt;Template&gt;Journal Article&lt;/Template&gt;&lt;Star&gt;0&lt;/Star&gt;&lt;Tag&gt;0&lt;/Tag&gt;&lt;Author&gt;Yao, W; Wang, L R; Xiong, Y X; Tan, Y C; Li, D H; Li, C H; Wen, J Y&lt;/Author&gt;&lt;Year&gt;2022&lt;/Year&gt;&lt;Details&gt;&lt;_alternate_title&gt;INTERNATIONAL TRANSACTIONS ON ELECTRICAL ENERGY SYSTEMS&lt;/_alternate_title&gt;&lt;_author_adr&gt;Huazhong Univ Sci &amp;amp; Technol, Sch Elect &amp;amp; Elect Engn, State Key Lab Adv Electromagnet Engn &amp;amp; Technol, Wuhan 430074, Peoples R China; State Grid Corp China, Northwest Branch, Xian 710048, Peoples R China; Smart Grid Hubei Elect Power Co Ltd, Wuhan 430077, Peoples R China; State Grid Henan Elect Power Co, Elect Power Res Inst, Zhengzhou 450052, Peoples R China&lt;/_author_adr&gt;&lt;_cited_count&gt;3&lt;/_cited_count&gt;&lt;_collection_scope&gt;SCIE;EI&lt;/_collection_scope&gt;&lt;_created&gt;64655769&lt;/_created&gt;&lt;_date&gt;2022-01-01&lt;/_date&gt;&lt;_date_display&gt;2022&lt;/_date_display&gt;&lt;_db_updated&gt;Web of Science-Core&lt;/_db_updated&gt;&lt;_doi&gt;10.1155/2022/7088114&lt;/_doi&gt;&lt;_impact_factor&gt;   2.639&lt;/_impact_factor&gt;&lt;_journal&gt;INTERNATIONAL TRANSACTIONS ON ELECTRICAL ENERGY SYSTEMS&lt;/_journal&gt;&lt;_modified&gt;64655770&lt;/_modified&gt;&lt;_volume&gt;2022&lt;/_volume&gt;&lt;/Details&gt;&lt;Extra&gt;&lt;DBUID&gt;{6891F4B0-DCBA-459A-9A22-3059983243D4}&lt;/DBUID&gt;&lt;/Extra&gt;&lt;/Item&gt;&lt;/References&gt;&lt;/Group&gt;&lt;/Citation&gt;_x000a_"/>
    <w:docVar w:name="NE.Ref{69939E6D-B2D0-4F8A-941F-1EE28A6A9D0C}" w:val=" ADDIN NE.Ref.{69939E6D-B2D0-4F8A-941F-1EE28A6A9D0C}&lt;Citation&gt;&lt;Group&gt;&lt;References&gt;&lt;Item&gt;&lt;ID&gt;667&lt;/ID&gt;&lt;UID&gt;{98A5A20D-907B-4103-A315-A9214E2F5AFE}&lt;/UID&gt;&lt;Title&gt;A Method to Detect the Deionization Margin Angle and to Prevent the Commutation Failure of an Inverter for DC Transmission&lt;/Title&gt;&lt;Template&gt;Journal Article&lt;/Template&gt;&lt;Star&gt;0&lt;/Star&gt;&lt;Tag&gt;0&lt;/Tag&gt;&lt;Author&gt;MACHIDA, T; YOSHIDA, Y&lt;/Author&gt;&lt;Year&gt;1967&lt;/Year&gt;&lt;Details&gt;&lt;_accessed&gt;63446176&lt;/_accessed&gt;&lt;_created&gt;63446171&lt;/_created&gt;&lt;_journal&gt;IEEE TRANSACTIONS ON POWER APPARATUS AND SYSTEMS&lt;/_journal&gt;&lt;_modified&gt;63446177&lt;/_modified&gt;&lt;/Details&gt;&lt;Extra&gt;&lt;DBUID&gt;{6891F4B0-DCBA-459A-9A22-3059983243D4}&lt;/DBUID&gt;&lt;/Extra&gt;&lt;/Item&gt;&lt;/References&gt;&lt;/Group&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69B06C85-3434-400F-97FE-62911D420010}" w:val=" ADDIN NE.Ref.{69B06C85-3434-400F-97FE-62911D420010}&lt;Citation&gt;&lt;Group&gt;&lt;References&gt;&lt;Item&gt;&lt;ID&gt;716&lt;/ID&gt;&lt;UID&gt;{25082D32-9092-4A20-839A-02CE172B58EE}&lt;/UID&gt;&lt;Title&gt;风光火打捆交直流混联外送系统交互影响及稳定性研究&lt;/Title&gt;&lt;Template&gt;Journal Article&lt;/Template&gt;&lt;Star&gt;0&lt;/Star&gt;&lt;Tag&gt;0&lt;/Tag&gt;&lt;Author&gt;吴萍; 陈昊; 赵兵; 徐式蕴; 易俊; 张健&lt;/Author&gt;&lt;Year&gt;2016&lt;/Year&gt;&lt;Details&gt;&lt;_author_aff&gt;中国电力科学研究院;&lt;/_author_aff&gt;&lt;_date&gt;2016-07-05&lt;/_date&gt;&lt;_db_provider&gt;CNKI: 期刊&lt;/_db_provider&gt;&lt;_issue&gt;07&lt;/_issue&gt;&lt;_journal&gt;电网技术&lt;/_journal&gt;&lt;_keywords&gt;风光火打捆外送系统;火电配比;脱网时序;交互影响&lt;/_keywords&gt;&lt;_pages&gt;1934-1942&lt;/_pages&gt;&lt;_url&gt;http://kns.cnki.net/KCMS/detail/detail.aspx?FileName=DWJS201607002&amp;amp;DbName=CJFQ2016&lt;/_url&gt;&lt;_volume&gt;40&lt;/_volume&gt;&lt;_created&gt;63727864&lt;/_created&gt;&lt;_modified&gt;63727865&lt;/_modified&gt;&lt;_db_updated&gt;CNKI - Reference&lt;/_db_updated&gt;&lt;_collection_scope&gt;CSCD;PKU;EI&lt;/_collection_scope&gt;&lt;_translated_author&gt;Wu, Ping;Chen, Hao;Zhao, Bing;Xu, Shiyun;Yi, Jun;Zhang, Jian&lt;/_translated_author&gt;&lt;/Details&gt;&lt;Extra&gt;&lt;DBUID&gt;{6891F4B0-DCBA-459A-9A22-3059983243D4}&lt;/DBUID&gt;&lt;/Extra&gt;&lt;/Item&gt;&lt;/References&gt;&lt;/Group&gt;&lt;/Citation&gt;_x000a_"/>
    <w:docVar w:name="NE.Ref{69B17E86-679F-4968-ABC8-5B19BD51F185}" w:val=" ADDIN NE.Ref.{69B17E86-679F-4968-ABC8-5B19BD51F185}&lt;Citation&gt;&lt;Group&gt;&lt;References&gt;&lt;Item&gt;&lt;ID&gt;490&lt;/ID&gt;&lt;UID&gt;{909CDC62-9864-4147-98BB-83F255322E38}&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1735&lt;/_created&gt;&lt;_journal&gt;International journal of electrical power and energy systems&lt;/_journal&gt;&lt;_modified&gt;63651735&lt;/_modified&gt;&lt;/Details&gt;&lt;Extra&gt;&lt;DBUID&gt;{F96A950B-833F-4880-A151-76DA2D6A2879}&lt;/DBUID&gt;&lt;/Extra&gt;&lt;/Item&gt;&lt;/References&gt;&lt;/Group&gt;&lt;/Citation&gt;_x000a_"/>
    <w:docVar w:name="NE.Ref{69E1FF75-5A44-4A90-90BD-9A41F8B6B591}" w:val=" ADDIN NE.Ref.{69E1FF75-5A44-4A90-90BD-9A41F8B6B591}&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6A263C5B-1BB7-43B7-9280-F0AFB77A841E}" w:val=" ADDIN NE.Ref.{6A263C5B-1BB7-43B7-9280-F0AFB77A841E}&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7.326&lt;/_impact_factor&gt;&lt;_isbn&gt;0885-8950&lt;/_isbn&gt;&lt;_issue&gt;5&lt;/_issue&gt;&lt;_journal&gt;IEEE TRANSACTIONS ON POWER SYSTEMS&lt;/_journal&gt;&lt;_modified&gt;64498627&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Citation&gt;_x000a_"/>
    <w:docVar w:name="NE.Ref{6BE2BDB4-B8F9-4548-9BBC-486F726B8216}" w:val=" ADDIN NE.Ref.{6BE2BDB4-B8F9-4548-9BBC-486F726B8216}&lt;Citation&gt;&lt;Group&gt;&lt;References&gt;&lt;Item&gt;&lt;ID&gt;594&lt;/ID&gt;&lt;UID&gt;{0A954338-111C-4E57-B5B8-4D23C30EA483}&lt;/UID&gt;&lt;Title&gt;基于换相电流时间面积的换相失败判别方法&lt;/Title&gt;&lt;Template&gt;Journal Article&lt;/Template&gt;&lt;Star&gt;0&lt;/Star&gt;&lt;Tag&gt;0&lt;/Tag&gt;&lt;Author&gt;李思思; 白仕雄; 丁志林; 王渝红; 李兴源; 魏巍; 何鹏飞&lt;/Author&gt;&lt;Year&gt;2013&lt;/Year&gt;&lt;Details&gt;&lt;_accessed&gt;63445897&lt;/_accessed&gt;&lt;_accession_num&gt;CSCD:4837171_x000d__x000a_ER&lt;/_accession_num&gt;&lt;_cited_count&gt;0&lt;/_cited_count&gt;&lt;_collection_scope&gt;CSCD;PKU&lt;/_collection_scope&gt;&lt;_created&gt;63444588&lt;/_created&gt;&lt;_date_display&gt;2013, 2013&lt;/_date_display&gt;&lt;_db_provider&gt;ISI&lt;/_db_provider&gt;&lt;_isbn&gt;1003-8930&lt;/_isbn&gt;&lt;_issue&gt;1003-8930(2013)25:2&amp;lt;98:JYHXDL&amp;gt;2.0.TX;2-L2&lt;/_issue&gt;&lt;_journal&gt;电力系统及其自动化学报&lt;/_journal&gt;&lt;_modified&gt;63445899&lt;/_modified&gt;&lt;_pages&gt;98-102&lt;/_pages&gt;&lt;_tertiary_title&gt;Proceedings of the Electric Power System and Automation&lt;/_tertiary_title&gt;&lt;_translated_author&gt;Li, Sisi; Bai, Shixiong; Ding, Zhilin; Wang, Yuhong; Li, Xingyuan; Wei, Wei; He, Pengfei&lt;/_translated_author&gt;&lt;_translated_title&gt;Current-time Area Method for the Identification of Commutation Failure&lt;/_translated_title&gt;&lt;_url&gt;CSCD:4837171 _x000d__x000a_https://kns.cnki.net/kns/download.aspx?filename=hFGaoxWcwglQvJXW6F1SWBVeQV1R2VGbWBDavdWVopHTHN0KtRWelpXOw1WTXVzKCdVU2lmZTVFb6BXdidXN2hGe6V0LLdUYCJHNYBTZ1F0Mp9GSvh0dLRDRkVVSpBnauhTc5hHazYHOCRDathjQxQHa2YkbXpHS&amp;amp;tablename=CJFD2013&amp;amp;dflag=pdfdown _x000d__x000a_&lt;/_url&gt;&lt;_volume&gt;25&lt;/_volume&gt;&lt;/Details&gt;&lt;Extra&gt;&lt;DBUID&gt;{6891F4B0-DCBA-459A-9A22-3059983243D4}&lt;/DBUID&gt;&lt;/Extra&gt;&lt;/Item&gt;&lt;/References&gt;&lt;/Group&gt;&lt;/Citation&gt;_x000a_"/>
    <w:docVar w:name="NE.Ref{6BE98151-BAB3-467D-8D4B-1114D7165B7F}" w:val=" ADDIN NE.Ref.{6BE98151-BAB3-467D-8D4B-1114D7165B7F}&lt;Citation&gt;&lt;Group&gt;&lt;References&gt;&lt;Item&gt;&lt;ID&gt;640&lt;/ID&gt;&lt;UID&gt;{60755EB7-8CA7-48EF-AEA9-1EB4E0E7074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705589&lt;/_created&gt;&lt;_modified&gt;63705589&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6D3FD14E-6E65-4BDE-B736-936BED15C628}" w:val=" ADDIN NE.Ref.{6D3FD14E-6E65-4BDE-B736-936BED15C628}&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6D7905E0-183F-4AE6-8803-117E1E4724B0}" w:val=" ADDIN NE.Ref.{6D7905E0-183F-4AE6-8803-117E1E4724B0}&lt;Citation&gt;&lt;Group&gt;&lt;References&gt;&lt;Item&gt;&lt;ID&gt;425&lt;/ID&gt;&lt;UID&gt;{D444049E-CD9B-4BF1-8B1E-3097DDADC2EB}&lt;/UID&gt;&lt;Title&gt;电力系统鲁棒经济调度 (一)理论基础&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2&lt;/_created&gt;&lt;_db_provider&gt;CNKI&lt;/_db_provider&gt;&lt;_isbn&gt;1000-1026&lt;/_isbn&gt;&lt;_issue&gt;17&lt;/_issue&gt;&lt;_journal&gt;电力系统自动化&lt;/_journal&gt;&lt;_keywords&gt;电力系统;鲁棒经济调度;新能源发电;两阶段零和博弈;不确定性&lt;/_keywords&gt;&lt;_modified&gt;63645052&lt;/_modified&gt;&lt;_pages&gt;37-43&lt;/_pages&gt;&lt;_volume&gt;37&lt;/_volume&gt;&lt;_translated_author&gt;Wei, Wei;Liu, Feng;Mei, Shengwei&lt;/_translated_author&gt;&lt;/Details&gt;&lt;Extra&gt;&lt;DBUID&gt;{F96A950B-833F-4880-A151-76DA2D6A2879}&lt;/DBUID&gt;&lt;/Extra&gt;&lt;/Item&gt;&lt;/References&gt;&lt;/Group&gt;&lt;Group&gt;&lt;References&gt;&lt;Item&gt;&lt;ID&gt;426&lt;/ID&gt;&lt;UID&gt;{2442C3FB-641B-4EB2-B035-A7C552871228}&lt;/UID&gt;&lt;Title&gt;电力系统鲁棒经济调度(二)应用实例&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4&lt;/_created&gt;&lt;_db_provider&gt;CNKI&lt;/_db_provider&gt;&lt;_isbn&gt;1000-1026&lt;/_isbn&gt;&lt;_issue&gt;18&lt;/_issue&gt;&lt;_journal&gt;电力系统自动化&lt;/_journal&gt;&lt;_keywords&gt;电力系统;新能源发电;鲁棒备用整定;鲁棒机组组合;不确定性&lt;/_keywords&gt;&lt;_modified&gt;63645054&lt;/_modified&gt;&lt;_pages&gt;60-67&lt;/_pages&gt;&lt;_volume&gt;37&lt;/_volume&gt;&lt;_translated_author&gt;Wei, Wei;Liu, Feng;Mei, Shengwei&lt;/_translated_author&gt;&lt;/Details&gt;&lt;Extra&gt;&lt;DBUID&gt;{F96A950B-833F-4880-A151-76DA2D6A2879}&lt;/DBUID&gt;&lt;/Extra&gt;&lt;/Item&gt;&lt;/References&gt;&lt;/Group&gt;&lt;/Citation&gt;_x000a_"/>
    <w:docVar w:name="NE.Ref{6DB0B262-565D-4B14-A158-4F39E41B1212}" w:val=" ADDIN NE.Ref.{6DB0B262-565D-4B14-A158-4F39E41B1212}&lt;Citation&gt;&lt;Group&gt;&lt;References&gt;&lt;Item&gt;&lt;ID&gt;648&lt;/ID&gt;&lt;UID&gt;{4055988D-86BC-4DC7-AFF7-13C66643AFB5}&lt;/UID&gt;&lt;Title&gt;Integration of day-ahead market and redispatch to increase cross-border exchanges in the European electricity market&lt;/Title&gt;&lt;Template&gt;Journal Article&lt;/Template&gt;&lt;Star&gt;0&lt;/Star&gt;&lt;Tag&gt;0&lt;/Tag&gt;&lt;Author&gt;B, Ksenia Poplavskaya A; A, Gerhard Totschnig; A, Fabian Leimgruber; C, Gerard Doorman; D, Gilles Etienne; B, Laurens De Vries&lt;/Author&gt;&lt;Year&gt;0&lt;/Year&gt;&lt;Details&gt;&lt;_journal&gt;Applied Energy&lt;/_journal&gt;&lt;_volume&gt;278&lt;/_volume&gt;&lt;_created&gt;63705610&lt;/_created&gt;&lt;_modified&gt;63705610&lt;/_modified&gt;&lt;_collection_scope&gt;SCI;SCIE;EI&lt;/_collection_scope&gt;&lt;/Details&gt;&lt;Extra&gt;&lt;DBUID&gt;{F96A950B-833F-4880-A151-76DA2D6A2879}&lt;/DBUID&gt;&lt;/Extra&gt;&lt;/Item&gt;&lt;/References&gt;&lt;/Group&gt;&lt;/Citation&gt;_x000a_"/>
    <w:docVar w:name="NE.Ref{6DDA0719-6910-4393-95A6-2A122831CF66}" w:val=" ADDIN NE.Ref.{6DDA0719-6910-4393-95A6-2A122831CF66}&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6EE4B720-0D15-430C-A8C4-420AFA2E4DB8}" w:val=" ADDIN NE.Ref.{6EE4B720-0D15-430C-A8C4-420AFA2E4DB8}&lt;Citation&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3446049&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Group&gt;&lt;References&gt;&lt;Item&gt;&lt;ID&gt;590&lt;/ID&gt;&lt;UID&gt;{BD1FFA8A-3617-47B0-A0AC-5A3F00281363}&lt;/UID&gt;&lt;Title&gt;Effect of a SFCL on Commutation Failure in a HVDC System&lt;/Title&gt;&lt;Template&gt;Journal Article&lt;/Template&gt;&lt;Star&gt;0&lt;/Star&gt;&lt;Tag&gt;0&lt;/Tag&gt;&lt;Author&gt;Lee, Hee-Jin; Son, Gum Tae; Yoo, Jae-Ik; Park, Jung-Wook&lt;/Author&gt;&lt;Year&gt;2013&lt;/Year&gt;&lt;Details&gt;&lt;_accession_num&gt;WOS:000314275800096_x000d__x000a_ER&lt;/_accession_num&gt;&lt;_cited_count&gt;16&lt;/_cited_count&gt;&lt;_collection_scope&gt;SCI;SCIE;EI&lt;/_collection_scope&gt;&lt;_created&gt;63444588&lt;/_created&gt;&lt;_date_display&gt;2013, JUN 2013&lt;/_date_display&gt;&lt;_db_provider&gt;ISI&lt;/_db_provider&gt;&lt;_doi&gt;10.1109/TASC.2012.2230291&lt;/_doi&gt;&lt;_impact_factor&gt;   1.949&lt;/_impact_factor&gt;&lt;_isbn&gt;1051-8223&lt;/_isbn&gt;&lt;_issue&gt;560010432&lt;/_issue&gt;&lt;_journal&gt;IEEE TRANSACTIONS ON APPLIED SUPERCONDUCTIVITY&lt;/_journal&gt;&lt;_modified&gt;64498617&lt;/_modified&gt;&lt;_url&gt;http://gateway.isiknowledge.com/gateway/Gateway.cgi?GWVersion=2&amp;amp;SrcAuth=AegeanSoftware&amp;amp;SrcApp=NoteExpress&amp;amp;DestLinkType=FullRecord&amp;amp;DestApp=WOS&amp;amp;KeyUT=000314275800096 _x000d__x000a_https://ieeexplore.ieee.org/stampPDF/getPDF.jsp?tp=&amp;amp;arnumber=6363555&amp;amp;ref=aHR0cHM6Ly9pZWVleHBsb3JlLmllZWUub3JnL3Jlc3Qvc2VhcmNo _x000d__x000a_&lt;/_url&gt;&lt;_volume&gt;23&lt;/_volume&gt;&lt;/Details&gt;&lt;Extra&gt;&lt;DBUID&gt;{6891F4B0-DCBA-459A-9A22-3059983243D4}&lt;/DBUID&gt;&lt;/Extra&gt;&lt;/Item&gt;&lt;/References&gt;&lt;/Group&gt;&lt;/Citation&gt;_x000a_"/>
    <w:docVar w:name="NE.Ref{6F2A7BF2-3907-4E62-A00A-7133D96B3B7F}" w:val=" ADDIN NE.Ref.{6F2A7BF2-3907-4E62-A00A-7133D96B3B7F}&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6F37BE96-FDE4-4182-BE59-6BB8856A0B3E}" w:val=" ADDIN NE.Ref.{6F37BE96-FDE4-4182-BE59-6BB8856A0B3E}&lt;Citation&gt;&lt;Group&gt;&lt;References&gt;&lt;Item&gt;&lt;ID&gt;680&lt;/ID&gt;&lt;UID&gt;{35C37A46-88EE-4EEA-A0B4-2426D53F0976}&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lternate_title&gt;INTERNATIONAL JOURNAL OF ELECTRICAL POWER &amp;amp; ENERGY SYSTEMS&lt;/_alternate_title&gt;&lt;_author_adr&gt;Xinjiang Univ, Sch Elect Engn, Urumqi, Peoples R China&lt;/_author_adr&gt;&lt;_cited_count&gt;1&lt;/_cited_count&gt;&lt;_collection_scope&gt;SCIE;EI&lt;/_collection_scope&gt;&lt;_created&gt;64504092&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504093&lt;/_modified&gt;&lt;_volume&gt;131&lt;/_volume&gt;&lt;/Details&gt;&lt;Extra&gt;&lt;DBUID&gt;{F96A950B-833F-4880-A151-76DA2D6A2879}&lt;/DBUID&gt;&lt;/Extra&gt;&lt;/Item&gt;&lt;/References&gt;&lt;/Group&gt;&lt;/Citation&gt;_x000a_"/>
    <w:docVar w:name="NE.Ref{6F80137E-BBF6-408E-B1CA-84D99D8F36E1}" w:val=" ADDIN NE.Ref.{6F80137E-BBF6-408E-B1CA-84D99D8F36E1}&lt;Citation&gt;&lt;Group&gt;&lt;References&gt;&lt;Item&gt;&lt;ID&gt;536&lt;/ID&gt;&lt;UID&gt;{4CC7AF0A-1202-481F-B3E5-223E3C1D6B55}&lt;/UID&gt;&lt;Title&gt;大规模特高压交直流混联电网特性分析与运行控制&lt;/Title&gt;&lt;Template&gt;Journal Article&lt;/Template&gt;&lt;Star&gt;0&lt;/Star&gt;&lt;Tag&gt;0&lt;/Tag&gt;&lt;Author&gt;李明节&lt;/Author&gt;&lt;Year&gt;2016&lt;/Year&gt;&lt;Details&gt;&lt;_accessed&gt;63726861&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3726861&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kns.cnki.net/kcms/download.aspx?filename=zEUOKFGNGtSMGZzK6FlaNVXOyI2bsdFSt5kYoFFMtJzU2t0Y0wUTGdHVnFTd4YDZ2MUaxhVdONFdnhVaaNXWUF2VFxUN510SilnajJXd0lWWZdERppXR4djTzNXbFtUMQl1bwlFea9SS1FUbF52RthWTm9kUL5US&amp;amp;tablename=CJFDLAST2016&amp;amp;dflag=pdfdown _x000d__x000a_&lt;/_url&gt;&lt;_volume&gt;40&lt;/_volume&gt;&lt;/Details&gt;&lt;Extra&gt;&lt;DBUID&gt;{6891F4B0-DCBA-459A-9A22-3059983243D4}&lt;/DBUID&gt;&lt;/Extra&gt;&lt;/Item&gt;&lt;/References&gt;&lt;/Group&gt;&lt;Group&gt;&lt;References&gt;&lt;Item&gt;&lt;ID&gt;518&lt;/ID&gt;&lt;UID&gt;{AFAA75FB-64B3-4386-B3B5-AA85111B65FD}&lt;/UID&gt;&lt;Title&gt; 强直弱交区域互联大电网运行控制技术与分析&lt;/Title&gt;&lt;Template&gt;Journal Article&lt;/Template&gt;&lt;Star&gt;0&lt;/Star&gt;&lt;Tag&gt;0&lt;/Tag&gt;&lt;Author&gt;李勇&lt;/Author&gt;&lt;Year&gt;2016&lt;/Year&gt;&lt;Details&gt;&lt;_accessed&gt;63726863&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电网技术&lt;/_journal&gt;&lt;_modified&gt;63726863&lt;/_modified&gt;&lt;_pages&gt;3756-3760&lt;/_pages&gt;&lt;_tertiary_title&gt;Power System Technology&lt;/_tertiary_title&gt;&lt;_translated_author&gt;Li, Yong&lt;/_translated_author&gt;&lt;_translated_title&gt;Technology and Practice of the Operation Control of Large Power Grid Connected With Weak AC area&lt;/_translated_title&gt;&lt;_url&gt;CSCD:5877643 _x000d__x000a_https://kns.cnki.net/kcms/download.aspx?filename=SVkS6N2YzEWU5ZUTx1GaDlEeVlFZ5lUdyYmY0JjV4E1cQBXSkZWQHhmUGJVeZ9UaNlzdzhERul2YjtkRiFFc1UHU10WZwgXZWlEWyFVdsRUMLhDUal0Qh10ZqJkdnN3TIBXcw40Trg3RThXaGBzN2gmM0YlSapmU&amp;amp;tablename=CJFDLAST2017&amp;amp;dflag=pdfdown _x000d__x000a_&lt;/_url&gt;&lt;_volume&gt;40&lt;/_volume&gt;&lt;/Details&gt;&lt;Extra&gt;&lt;DBUID&gt;{6891F4B0-DCBA-459A-9A22-3059983243D4}&lt;/DBUID&gt;&lt;/Extra&gt;&lt;/Item&gt;&lt;/References&gt;&lt;/Group&gt;&lt;/Citation&gt;_x000a_"/>
    <w:docVar w:name="NE.Ref{70664E51-6A04-4FE7-AFB7-BDC61C9700EA}" w:val=" ADDIN NE.Ref.{70664E51-6A04-4FE7-AFB7-BDC61C9700EA}&lt;Citation&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344594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70AFD86F-6A93-4CF1-B293-AC43C55ADD0E}" w:val=" ADDIN NE.Ref.{70AFD86F-6A93-4CF1-B293-AC43C55ADD0E}&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Group&gt;&lt;References&gt;&lt;Item&gt;&lt;ID&gt;645&lt;/ID&gt;&lt;UID&gt;{2CD6EBFB-42DF-4DE9-AB22-617974AE7FD1}&lt;/UID&gt;&lt;Title&gt; HVDC换相失败小波故障诊断方法&lt;/Title&gt;&lt;Template&gt;Journal Article&lt;/Template&gt;&lt;Star&gt;0&lt;/Star&gt;&lt;Tag&gt;0&lt;/Tag&gt;&lt;Author&gt;张尧; 林凌雪; 钟庆&lt;/Author&gt;&lt;Year&gt;2007&lt;/Year&gt;&lt;Details&gt;&lt;_accessed&gt;63444807&lt;/_accessed&gt;&lt;_accession_num&gt;CSCD:3009972_x000d__x000a_ER&lt;/_accession_num&gt;&lt;_cited_count&gt;0&lt;/_cited_count&gt;&lt;_collection_scope&gt;PKU;EI&lt;/_collection_scope&gt;&lt;_created&gt;63444588&lt;/_created&gt;&lt;_date_display&gt;2007, 2007&lt;/_date_display&gt;&lt;_db_provider&gt;ISI&lt;/_db_provider&gt;&lt;_isbn&gt;1000-565X&lt;/_isbn&gt;&lt;_issue&gt;1000-565X(2007)35:10&amp;lt;172:HHXSBX&amp;gt;2.0.TX;2-410&lt;/_issue&gt;&lt;_journal&gt;华南理工大学学报. 自然科学版&lt;/_journal&gt;&lt;_modified&gt;63444811&lt;/_modified&gt;&lt;_pages&gt;172-177&lt;/_pages&gt;&lt;_tertiary_title&gt;Journal of South China University of Technology. Natural Science Edition&lt;/_tertiary_title&gt;&lt;_translated_author&gt;Zhang, Yao; Lin, Lingxue; Zhong, Qing&lt;/_translated_author&gt;&lt;_translated_title&gt;Fault Diagnosis Based on Wavelet for Commutation Failures in HVDC&lt;/_translated_title&gt;&lt;_url&gt;CSCD:3009972 _x000d__x000a_https://kns.cnki.net/kns/download.aspx?filename=VlzSvBDashUOMZ0asVWeW9mQOJHOxUlcMtCMzVkbz8kVvE0Y1JDeStEV3RWbTJmTnRXUwNnaC1UYWZnQ1B1NzI0YUFjdV1kTYFTazA1R2pUWzdkevZmSyk3Q1NEaOhjcLJmWWFTeSxGe2s0QxAXZPJDTW52LwMTa&amp;amp;tablename=CJFD2007&amp;amp;dflag=pdfdown _x000d__x000a_https://kns.cnki.net/kns/download.aspx?filename=3oXcqNkU5hTeTV0TMFTdOlmZ09CVo92b0h2LW90LSNmZat0LuZTUMpEbx92Um9UZ1g2aLhnYNxGaNZ2VhV2b1ZEO612NidGNYlXTuVFbQlkYI12UHJHSThGM0NGVn1EcupHNyZza2t0TORHTBtySQZmVw1UWzZ2V&amp;amp;tablename=CJFD2007&amp;amp;dflag=pdfdown _x000d__x000a_&lt;/_url&gt;&lt;_volume&gt;35&lt;/_volume&gt;&lt;/Details&gt;&lt;Extra&gt;&lt;DBUID&gt;{6891F4B0-DCBA-459A-9A22-3059983243D4}&lt;/DBUID&gt;&lt;/Extra&gt;&lt;/Item&gt;&lt;/References&gt;&lt;/Group&gt;&lt;Group&gt;&lt;References&gt;&lt;Item&gt;&lt;ID&gt;605&lt;/ID&gt;&lt;UID&gt;{02CCD83B-833B-412D-8F3A-7C0A858E671D}&lt;/UID&gt;&lt;Title&gt;基于小波能量谱和灰色综合关联度的HVDC换相失败故障诊断 &lt;/Title&gt;&lt;Template&gt;Journal Article&lt;/Template&gt;&lt;Star&gt;0&lt;/Star&gt;&lt;Tag&gt;0&lt;/Tag&gt;&lt;Author&gt;徐松林; 黄少先&lt;/Author&gt;&lt;Year&gt;2012&lt;/Year&gt;&lt;Details&gt;&lt;_accessed&gt;63445743&lt;/_accessed&gt;&lt;_accession_num&gt;CSCD:4448282_x000d__x000a_ER&lt;/_accession_num&gt;&lt;_cited_count&gt;2&lt;/_cited_count&gt;&lt;_collection_scope&gt;CSCD;PKU&lt;/_collection_scope&gt;&lt;_created&gt;63444588&lt;/_created&gt;&lt;_date_display&gt;2012, 2012&lt;/_date_display&gt;&lt;_db_provider&gt;ISI&lt;/_db_provider&gt;&lt;_isbn&gt;1674-3415&lt;/_isbn&gt;&lt;_issue&gt;1674-3415(2012)40:3&amp;lt;85:JYXBNL&amp;gt;2.0.TX;2-K3&lt;/_issue&gt;&lt;_journal&gt;电力系统保护与控制&lt;/_journal&gt;&lt;_modified&gt;63445748&lt;/_modified&gt;&lt;_pages&gt;85-89&lt;/_pages&gt;&lt;_tertiary_title&gt;Power System Protection and Control&lt;/_tertiary_title&gt;&lt;_translated_author&gt;Xu, Songlin; Huang, Shaoxian&lt;/_translated_author&gt;&lt;_translated_title&gt;Fault diagnosis of commutation failures in the HVDC system based on the wavelet energy spectrum and grey comprehensive relationship degree&lt;/_translated_title&gt;&lt;_url&gt;CSCD:4448282 _x000d__x000a_https://kns.cnki.net/kns/download.aspx?filename=DlzSWdnT5F1bl9kUqZmbJBHd3U1VPREbPh3SG1EVwRnR2J1c490YVp1QyBlV2YmWNpWcCNXe1hXcDNEaUlFOhRWVQVXe0YjQ0hDcURDTUtiellUT4MTQSJFNEF1cwNFMy0UU5lzL240UJh2UTp2d2ZVehRkUqxme&amp;amp;tablename=CJFD2012&amp;amp;dflag=pdfdown _x000d__x000a_&lt;/_url&gt;&lt;_volume&gt;40&lt;/_volume&gt;&lt;/Details&gt;&lt;Extra&gt;&lt;DBUID&gt;{6891F4B0-DCBA-459A-9A22-3059983243D4}&lt;/DBUID&gt;&lt;/Extra&gt;&lt;/Item&gt;&lt;/References&gt;&lt;/Group&gt;&lt;Group&gt;&lt;References&gt;&lt;Item&gt;&lt;ID&gt;507&lt;/ID&gt;&lt;UID&gt;{F01A8D18-6E33-458A-B389-29BF07909557}&lt;/UID&gt;&lt;Title&gt;小波能量偏度神经网络的HVDC换相失败故障诊断&lt;/Title&gt;&lt;Template&gt;Journal Article&lt;/Template&gt;&lt;Star&gt;0&lt;/Star&gt;&lt;Tag&gt;0&lt;/Tag&gt;&lt;Author&gt;朱艳; 王渝红; 丁志林; 宋梁; 李兴源; 邱大强&lt;/Author&gt;&lt;Year&gt;2017&lt;/Year&gt;&lt;Details&gt;&lt;_accessed&gt;63445943&lt;/_accessed&gt;&lt;_accession_num&gt;CSCD:5935137_x000d__x000a_ER&lt;/_accession_num&gt;&lt;_cited_count&gt;1&lt;/_cited_count&gt;&lt;_collection_scope&gt;CSCD;PKU&lt;/_collection_scope&gt;&lt;_created&gt;63444588&lt;/_created&gt;&lt;_date_display&gt;2017, 2017&lt;/_date_display&gt;&lt;_db_provider&gt;ISI&lt;/_db_provider&gt;&lt;_isbn&gt;1003-8930&lt;/_isbn&gt;&lt;_issue&gt;1003-8930(2017)29:2&amp;lt;39:XBNLPD&amp;gt;2.0.TX;2-82&lt;/_issue&gt;&lt;_journal&gt;电力系统及其自动化学报&lt;/_journal&gt;&lt;_modified&gt;63445943&lt;/_modified&gt;&lt;_pages&gt;39-44&lt;/_pages&gt;&lt;_tertiary_title&gt;Proceedings of the CSU-EPSA&lt;/_tertiary_title&gt;&lt;_translated_author&gt;Zhu, Yan; Wang, Yuhong; Ding, Zhilin; Song, Liang; Li, Xingyuan; Qiu, Daqiang&lt;/_translated_author&gt;&lt;_translated_title&gt;Fault Diagnosis of Commutation Failures in HVDC System Based on Neural Network of Wavelet Energy Skewness &lt;/_translated_title&gt;&lt;_url&gt;CSCD:5935137&lt;/_url&gt;&lt;_volume&gt;29&lt;/_volume&gt;&lt;/Details&gt;&lt;Extra&gt;&lt;DBUID&gt;{6891F4B0-DCBA-459A-9A22-3059983243D4}&lt;/DBUID&gt;&lt;/Extra&gt;&lt;/Item&gt;&lt;/References&gt;&lt;/Group&gt;&lt;/Citation&gt;_x000a_"/>
    <w:docVar w:name="NE.Ref{7102FF73-9602-455B-B0AC-EB6858AE7945}" w:val=" ADDIN NE.Ref.{7102FF73-9602-455B-B0AC-EB6858AE7945}&lt;Citation&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ed&gt;63480642&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Proceedings of the CSEE&lt;/_journal&gt;&lt;_modified&gt;63480642&lt;/_modified&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80640&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2020&lt;/_issue&gt;&lt;_journal&gt;INTERNATIONAL JOURNAL OF ELECTRICAL POWER &amp;amp; ENERGY SYSTEMS&lt;/_journal&gt;&lt;_modified&gt;6348064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711149F7-B145-42DB-A00C-FCD23441C336}" w:val=" ADDIN NE.Ref.{711149F7-B145-42DB-A00C-FCD23441C336}&lt;Citation&gt;&lt;Group&gt;&lt;References&gt;&lt;Item&gt;&lt;ID&gt;425&lt;/ID&gt;&lt;UID&gt;{D444049E-CD9B-4BF1-8B1E-3097DDADC2EB}&lt;/UID&gt;&lt;Title&gt;电力系统鲁棒经济调度 (一)理论基础&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2&lt;/_created&gt;&lt;_db_provider&gt;CNKI&lt;/_db_provider&gt;&lt;_isbn&gt;1000-1026&lt;/_isbn&gt;&lt;_issue&gt;17&lt;/_issue&gt;&lt;_journal&gt;电力系统自动化&lt;/_journal&gt;&lt;_keywords&gt;电力系统;鲁棒经济调度;新能源发电;两阶段零和博弈;不确定性&lt;/_keywords&gt;&lt;_modified&gt;63645052&lt;/_modified&gt;&lt;_pages&gt;37-43&lt;/_pages&gt;&lt;_volume&gt;37&lt;/_volume&gt;&lt;_translated_author&gt;Wei, Wei;Liu, Feng;Mei, Shengwei&lt;/_translated_author&gt;&lt;/Details&gt;&lt;Extra&gt;&lt;DBUID&gt;{F96A950B-833F-4880-A151-76DA2D6A2879}&lt;/DBUID&gt;&lt;/Extra&gt;&lt;/Item&gt;&lt;/References&gt;&lt;/Group&gt;&lt;/Citation&gt;_x000a_"/>
    <w:docVar w:name="NE.Ref{71401C1D-8257-4C43-8F21-CA2D61D68DA9}" w:val=" ADDIN NE.Ref.{71401C1D-8257-4C43-8F21-CA2D61D68DA9}&lt;Citation&gt;&lt;Group&gt;&lt;References&gt;&lt;Item&gt;&lt;ID&gt;614&lt;/ID&gt;&lt;UID&gt;{7E893243-A036-4202-9C51-39D99E6238E2}&lt;/UID&gt;&lt;Title&gt;Multi-objective economic dispatch with residential demand response programme under renewable obligation&lt;/Title&gt;&lt;Template&gt;Journal Article&lt;/Template&gt;&lt;Star&gt;0&lt;/Star&gt;&lt;Tag&gt;0&lt;/Tag&gt;&lt;Author&gt;Hlalele, Thabo G; Zhang, Jiangfeng; Naidoo, Raj M; Bansal, Ramesh C&lt;/Author&gt;&lt;Year&gt;2021&lt;/Year&gt;&lt;Details&gt;&lt;_collection_scope&gt;SCI;SCIE;EI&lt;/_collection_scope&gt;&lt;_created&gt;63705317&lt;/_created&gt;&lt;_impact_factor&gt;   6.082&lt;/_impact_factor&gt;&lt;_journal&gt;Energy&lt;/_journal&gt;&lt;_modified&gt;63705317&lt;/_modified&gt;&lt;_volume&gt;218&lt;/_volume&gt;&lt;/Details&gt;&lt;Extra&gt;&lt;DBUID&gt;{F96A950B-833F-4880-A151-76DA2D6A2879}&lt;/DBUID&gt;&lt;/Extra&gt;&lt;/Item&gt;&lt;/References&gt;&lt;/Group&gt;&lt;/Citation&gt;_x000a_"/>
    <w:docVar w:name="NE.Ref{7258E6FC-413F-42F9-8E7F-3E43CCF5BF67}" w:val=" ADDIN NE.Ref.{7258E6FC-413F-42F9-8E7F-3E43CCF5BF67}&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72597C96-B489-4EEC-8A87-0F18312A4AFF}" w:val=" ADDIN NE.Ref.{72597C96-B489-4EEC-8A87-0F18312A4AFF}&lt;Citation&gt;&lt;Group&gt;&lt;References&gt;&lt;Item&gt;&lt;ID&gt;498&lt;/ID&gt;&lt;UID&gt;{CCAFF608-60E2-4146-92B8-E9EA0634FF70}&lt;/UID&gt;&lt;Title&gt;Game theory based interactive demand side management responding to dynamic pricing in price-based demand response of smart grids&lt;/Title&gt;&lt;Template&gt;Journal Article&lt;/Template&gt;&lt;Star&gt;0&lt;/Star&gt;&lt;Tag&gt;0&lt;/Tag&gt;&lt;Author&gt;Tang, Rui; Wang, Shengwei; Li, Hangxin&lt;/Author&gt;&lt;Year&gt;2019&lt;/Year&gt;&lt;Details&gt;&lt;_collection_scope&gt;SCI;SCIE;EI&lt;/_collection_scope&gt;&lt;_created&gt;63652006&lt;/_created&gt;&lt;_impact_factor&gt;   8.848&lt;/_impact_factor&gt;&lt;_issue&gt;PT.1&lt;/_issue&gt;&lt;_journal&gt;Applied Energy&lt;/_journal&gt;&lt;_modified&gt;63652006&lt;/_modified&gt;&lt;_pages&gt;118-130&lt;/_pages&gt;&lt;_volume&gt;250&lt;/_volume&gt;&lt;/Details&gt;&lt;Extra&gt;&lt;DBUID&gt;{F96A950B-833F-4880-A151-76DA2D6A2879}&lt;/DBUID&gt;&lt;/Extra&gt;&lt;/Item&gt;&lt;/References&gt;&lt;/Group&gt;&lt;/Citation&gt;_x000a_"/>
    <w:docVar w:name="NE.Ref{72C6CE5F-DB19-4AE8-B58E-CC4B79DF4E11}" w:val=" ADDIN NE.Ref.{72C6CE5F-DB19-4AE8-B58E-CC4B79DF4E11}&lt;Citation&gt;&lt;Group&gt;&lt;References&gt;&lt;Item&gt;&lt;ID&gt;641&lt;/ID&gt;&lt;UID&gt;{FFBCBADD-28B7-4089-8EEF-C42617538C56}&lt;/UID&gt;&lt;Title&gt;Commutation failure reduction in HVDC systems using adaptive fuzzy logic controller&lt;/Title&gt;&lt;Template&gt;Journal Article&lt;/Template&gt;&lt;Star&gt;0&lt;/Star&gt;&lt;Tag&gt;0&lt;/Tag&gt;&lt;Author&gt;Bauman, Jennifer; Kazerani, Mehrdad&lt;/Author&gt;&lt;Year&gt;2007&lt;/Year&gt;&lt;Details&gt;&lt;_accessed&gt;63447018&lt;/_accessed&gt;&lt;_accession_num&gt;WOS:000250559200064_x000d__x000a_ER&lt;/_accession_num&gt;&lt;_cited_count&gt;37&lt;/_cited_count&gt;&lt;_collection_scope&gt;SCI;SCIE;EI&lt;/_collection_scope&gt;&lt;_created&gt;63444588&lt;/_created&gt;&lt;_date_display&gt;2007, NOV 2007&lt;/_date_display&gt;&lt;_db_provider&gt;ISI&lt;/_db_provider&gt;&lt;_doi&gt;10.1109/TPWRS.2007.907385&lt;/_doi&gt;&lt;_impact_factor&gt;   6.074&lt;/_impact_factor&gt;&lt;_isbn&gt;0885-8950&lt;/_isbn&gt;&lt;_issue&gt;4&lt;/_issue&gt;&lt;_journal&gt;IEEE TRANSACTIONS ON POWER SYSTEMS&lt;/_journal&gt;&lt;_modified&gt;63446129&lt;/_modified&gt;&lt;_pages&gt;1995-2002&lt;/_pages&gt;&lt;_url&gt;http://gateway.isiknowledge.com/gateway/Gateway.cgi?GWVersion=2&amp;amp;SrcAuth=AegeanSoftware&amp;amp;SrcApp=NoteExpress&amp;amp;DestLinkType=FullRecord&amp;amp;DestApp=WOS&amp;amp;KeyUT=000250559200064 _x000d__x000a_https://ieeexplore.ieee.org/stampPDF/getPDF.jsp?tp=&amp;amp;arnumber=4349060&amp;amp;ref=aHR0cHM6Ly9pZWVleHBsb3JlLmllZWUub3JnL3Jlc3Qvc2VhcmNo _x000d__x000a_&lt;/_url&gt;&lt;_volume&gt;22&lt;/_volume&gt;&lt;/Details&gt;&lt;Extra&gt;&lt;DBUID&gt;{6891F4B0-DCBA-459A-9A22-3059983243D4}&lt;/DBUID&gt;&lt;/Extra&gt;&lt;/Item&gt;&lt;/References&gt;&lt;/Group&gt;&lt;Group&gt;&lt;References&gt;&lt;Item&gt;&lt;ID&gt;633&lt;/ID&gt;&lt;UID&gt;{5B9E0360-85B8-41AD-90A1-4D74C56D0AFE}&lt;/UID&gt;&lt;Title&gt;Design a fuzzy controller to minimize the effect of HVDC commutation failure on power system&lt;/Title&gt;&lt;Template&gt;Journal Article&lt;/Template&gt;&lt;Star&gt;0&lt;/Star&gt;&lt;Tag&gt;0&lt;/Tag&gt;&lt;Author&gt;Sun, Y Z; Peng, Ling; Ma, Feng; Li, G J; Lv, P F&lt;/Author&gt;&lt;Year&gt;2008&lt;/Year&gt;&lt;Details&gt;&lt;_accessed&gt;63447020&lt;/_accessed&gt;&lt;_accession_num&gt;WOS:000252623300011_x000d__x000a_ER&lt;/_accession_num&gt;&lt;_cited_count&gt;51&lt;/_cited_count&gt;&lt;_collection_scope&gt;SCI;SCIE;EI&lt;/_collection_scope&gt;&lt;_created&gt;63444588&lt;/_created&gt;&lt;_date_display&gt;2008, FEB 2008&lt;/_date_display&gt;&lt;_db_provider&gt;ISI&lt;/_db_provider&gt;&lt;_doi&gt;10.1109/TPWRS.2007.913212&lt;/_doi&gt;&lt;_impact_factor&gt;   6.074&lt;/_impact_factor&gt;&lt;_isbn&gt;0885-8950&lt;/_isbn&gt;&lt;_issue&gt;1&lt;/_issue&gt;&lt;_journal&gt;IEEE TRANSACTIONS ON POWER SYSTEMS&lt;/_journal&gt;&lt;_modified&gt;63444844&lt;/_modified&gt;&lt;_pages&gt;100-107&lt;/_pages&gt;&lt;_url&gt;http://gateway.isiknowledge.com/gateway/Gateway.cgi?GWVersion=2&amp;amp;SrcAuth=AegeanSoftware&amp;amp;SrcApp=NoteExpress&amp;amp;DestLinkType=FullRecord&amp;amp;DestApp=WOS&amp;amp;KeyUT=000252623300011 _x000d__x000a_https://ieeexplore.ieee.org/stampPDF/getPDF.jsp?tp=&amp;amp;arnumber=4400720&amp;amp;ref=aHR0cHM6Ly9pZWVleHBsb3JlLmllZWUub3JnL3Jlc3Qvc2VhcmNo _x000d__x000a_&lt;/_url&gt;&lt;_volume&gt;23&lt;/_volume&gt;&lt;/Details&gt;&lt;Extra&gt;&lt;DBUID&gt;{6891F4B0-DCBA-459A-9A22-3059983243D4}&lt;/DBUID&gt;&lt;/Extra&gt;&lt;/Item&gt;&lt;/References&gt;&lt;/Group&gt;&lt;/Citation&gt;_x000a_"/>
    <w:docVar w:name="NE.Ref{74141192-26EA-4398-B3AB-5E1E16BCE129}" w:val=" ADDIN NE.Ref.{74141192-26EA-4398-B3AB-5E1E16BCE129}&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743E9684-CBFC-4AF0-8883-CEF5D229BF9A}" w:val=" ADDIN NE.Ref.{743E9684-CBFC-4AF0-8883-CEF5D229BF9A}&lt;Citation&gt;&lt;Group&gt;&lt;References&gt;&lt;Item&gt;&lt;ID&gt;628&lt;/ID&gt;&lt;UID&gt;{4A64C2E1-9498-4266-BA15-BA56C5F1B827}&lt;/UID&gt;&lt;Title&gt;The Development of the Renewable Energy Power Industry under Feed-In Tariff and Renewable Portfolio Standard: A Case Study of China&amp;apos;s Photovoltaic Power Industry&lt;/Title&gt;&lt;Template&gt;Journal Article&lt;/Template&gt;&lt;Star&gt;0&lt;/Star&gt;&lt;Tag&gt;0&lt;/Tag&gt;&lt;Author&gt;Yuzhuo, Zhang; Xingang, Zhao; Yi, Zuo; Lingzhi, Ren; Ling, Wang&lt;/Author&gt;&lt;Year&gt;2017&lt;/Year&gt;&lt;Details&gt;&lt;_issue&gt;4&lt;/_issue&gt;&lt;_journal&gt;Sustainability&lt;/_journal&gt;&lt;_pages&gt;532&lt;/_pages&gt;&lt;_volume&gt;9&lt;/_volume&gt;&lt;_created&gt;63705551&lt;/_created&gt;&lt;_modified&gt;63705551&lt;/_modified&gt;&lt;_impact_factor&gt;   2.576&lt;/_impact_factor&gt;&lt;_collection_scope&gt;SCIE;SSCI&lt;/_collection_scope&gt;&lt;/Details&gt;&lt;Extra&gt;&lt;DBUID&gt;{F96A950B-833F-4880-A151-76DA2D6A2879}&lt;/DBUID&gt;&lt;/Extra&gt;&lt;/Item&gt;&lt;/References&gt;&lt;/Group&gt;&lt;Group&gt;&lt;References&gt;&lt;Item&gt;&lt;ID&gt;629&lt;/ID&gt;&lt;UID&gt;{BD86D93A-8C99-4492-A31C-70D1F4DD7D5E}&lt;/UID&gt;&lt;Title&gt;The development of the renewable energy power industry under feed-in tariff and renewable portfolio standard: A case study of China&amp;apos;s wind power industry&lt;/Title&gt;&lt;Template&gt;Journal Article&lt;/Template&gt;&lt;Star&gt;0&lt;/Star&gt;&lt;Tag&gt;0&lt;/Tag&gt;&lt;Author&gt;Zhang, Yu Zhuo; Zhao, Xin Gang; Ren, Ling Zhi; Zuo, Yi&lt;/Author&gt;&lt;Year&gt;2017&lt;/Year&gt;&lt;Details&gt;&lt;_issue&gt;Dec.1&lt;/_issue&gt;&lt;_journal&gt;Journal of Cleaner Production&lt;/_journal&gt;&lt;_pages&gt;1262-1276&lt;/_pages&gt;&lt;_volume&gt;168&lt;/_volume&gt;&lt;_created&gt;63705552&lt;/_created&gt;&lt;_modified&gt;63705552&lt;/_modified&gt;&lt;_impact_factor&gt;   7.246&lt;/_impact_factor&gt;&lt;_collection_scope&gt;SCIE;EI&lt;/_collection_scope&gt;&lt;/Details&gt;&lt;Extra&gt;&lt;DBUID&gt;{F96A950B-833F-4880-A151-76DA2D6A2879}&lt;/DBUID&gt;&lt;/Extra&gt;&lt;/Item&gt;&lt;/References&gt;&lt;/Group&gt;&lt;Group&gt;&lt;References&gt;&lt;Item&gt;&lt;ID&gt;630&lt;/ID&gt;&lt;UID&gt;{5F7228E9-F1A7-451E-8407-8A3E83B73FA8}&lt;/UID&gt;&lt;Title&gt;The policy effects of feed-in tariff and renewable portfolio standard: A case study of China&amp;apos;s waste incineration power industry.&lt;/Title&gt;&lt;Template&gt;Journal Article&lt;/Template&gt;&lt;Star&gt;0&lt;/Star&gt;&lt;Tag&gt;0&lt;/Tag&gt;&lt;Author&gt;Zhao; Xin-Gang; Zhang; Yu-Zhuo; Ren; Ling-Zhi; Zuo; Yi; Wu; Zhi-Gong&lt;/Author&gt;&lt;Year&gt;2017&lt;/Year&gt;&lt;Details&gt;&lt;_journal&gt;Waste Management&lt;/_journal&gt;&lt;_created&gt;63705553&lt;/_created&gt;&lt;_modified&gt;63705553&lt;/_modified&gt;&lt;_impact_factor&gt;   5.448&lt;/_impact_factor&gt;&lt;_collection_scope&gt;SCIE;EI&lt;/_collection_scope&gt;&lt;/Details&gt;&lt;Extra&gt;&lt;DBUID&gt;{F96A950B-833F-4880-A151-76DA2D6A2879}&lt;/DBUID&gt;&lt;/Extra&gt;&lt;/Item&gt;&lt;/References&gt;&lt;/Group&gt;&lt;/Citation&gt;_x000a_"/>
    <w:docVar w:name="NE.Ref{75542999-9097-48A4-AFF4-56AA9C7ACD17}" w:val=" ADDIN NE.Ref.{75542999-9097-48A4-AFF4-56AA9C7ACD17}&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_accessed&gt;64646993&lt;/_accessed&gt;&lt;/Details&gt;&lt;Extra&gt;&lt;DBUID&gt;{6891F4B0-DCBA-459A-9A22-3059983243D4}&lt;/DBUID&gt;&lt;/Extra&gt;&lt;/Item&gt;&lt;/References&gt;&lt;/Group&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4646999&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3&lt;/_issue&gt;&lt;_journal&gt;电网技术&lt;/_journal&gt;&lt;_modified&gt;6464699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bar.cnki.net/bar/download/order?id=jBGETXBNdPImvx70aLAuJPYxPoFw%2bp%2bi0fIiSrcN6lX%2bscTGRrDxnZvQ4G%2flXB5Sk3PgOdB%2f8KZdF0hYj%2bY0tFaDlGRGqfvrZs8WIjNZTiDl8E%2bCUVp5GtDTYhVF2dNUoJeGx62Ssygg68TNXJ%2b5JrigejDAar8Xqw%2f6WR22OFXUdUGh4At8VBYSvh%2fCUD5a9htC2rlTL2k74%2bYQH4i5m3y0DUMyLbwyMBR3th7LWsj5LXYX1qwFXwOc1HUZT%2bTB _x000d__x000a_&lt;/_url&gt;&lt;_volume&gt;41&lt;/_volume&gt;&lt;/Details&gt;&lt;Extra&gt;&lt;DBUID&gt;{6891F4B0-DCBA-459A-9A22-3059983243D4}&lt;/DBUID&gt;&lt;/Extra&gt;&lt;/Item&gt;&lt;/References&gt;&lt;/Group&gt;&lt;/Citation&gt;_x000a_"/>
    <w:docVar w:name="NE.Ref{766E8B4C-5797-497B-A6CF-C972ABA2690A}" w:val=" ADDIN NE.Ref.{766E8B4C-5797-497B-A6CF-C972ABA2690A}&lt;Citation&gt;&lt;Group&gt;&lt;References&gt;&lt;Item&gt;&lt;ID&gt;966&lt;/ID&gt;&lt;UID&gt;{DF12C660-1BA9-4940-BF92-07D04FDB6FF2}&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ccessed&gt;64696187&lt;/_accessed&gt;&lt;_author_aff&gt;西安交通大学电气工程学院;国家电网公司西北分部;&lt;/_author_aff&gt;&lt;_cited_count&gt;1&lt;/_cited_count&gt;&lt;_collection_scope&gt;CSCD;PKU;EI&lt;/_collection_scope&gt;&lt;_created&gt;64690420&lt;/_created&gt;&lt;_date&gt;2021-09-07&lt;/_date&gt;&lt;_db_updated&gt;CNKI - Reference&lt;/_db_updated&gt;&lt;_issue&gt;12&lt;/_issue&gt;&lt;_journal&gt;电力自动化设备&lt;/_journal&gt;&lt;_keywords&gt;特高压直流;暂态过电压;短路容量;机组组合;优化&lt;/_keywords&gt;&lt;_modified&gt;64696187&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V1FwI0JCBj6JRT9%2bv8ry22jrjiUA1i7Br0HLYwF%2fecz5LXYX1qwFXwOc1HUZT%2bTB _x000d__x000a_https://bar.cnki.net/bar/download/order?id=jBGETXBNdPImvx70aLAuJPYxPoFw%2bp%2bi0fIiSrcN6lUsmghocH64yV638luJi40%2bOk4eyki12Xg7hP2OioSOFp0PLIIoFLYwy5BgUEfsTyzl8E%2bCUVp5GtDTYhVF2dNUoJeGx62Ssygg68TNXJ%2b5JrigejDAar8Xqw%2f6WR22OFXUdUGh4At8VBYSvh%2fCUD5aZym5YiwCyeTNoIRti9Hso5OuUyHkorBs%2f26UjMjDhzP5LXYX1qwFXwOc1HUZT%2bTB _x000d__x000a_&lt;/_url&gt;&lt;_volume&gt;41&lt;/_volume&gt;&lt;_translated_author&gt;Niu, Shuanbao;Ke, Xianbo;Ren, Chong;Huo, Chao;Wang, Zhiwei;Zhang, Gang;Wei, Lin&lt;/_translated_author&gt;&lt;/Details&gt;&lt;Extra&gt;&lt;DBUID&gt;{6891F4B0-DCBA-459A-9A22-3059983243D4}&lt;/DBUID&gt;&lt;/Extra&gt;&lt;/Item&gt;&lt;/References&gt;&lt;/Group&gt;&lt;/Citation&gt;_x000a_"/>
    <w:docVar w:name="NE.Ref{7696462E-104A-4597-B267-5DEBAC5BD18A}" w:val=" ADDIN NE.Ref.{7696462E-104A-4597-B267-5DEBAC5BD18A}&lt;Citation&gt;&lt;Group&gt;&lt;References&gt;&lt;Item&gt;&lt;ID&gt;672&lt;/ID&gt;&lt;UID&gt;{B6DBA7D4-5C6A-4C88-9423-A6565F7820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3726865&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中国电机工程学报&lt;/_journal&gt;&lt;_modified&gt;63726865&lt;/_modified&gt;&lt;_pages&gt;3107-3118&lt;/_pages&gt;&lt;_tertiary_title&gt;Proceedings of the CSEE&lt;/_tertiary_title&gt;&lt;_translated_author&gt;Dong, Xinzhou; Tang, Yong; Bu, Guangquan; Shen, Chen; Song, Guobing; Wang, Zengping; Gan, Deqiang; Hou, Junxian; Wang, Bin; Zhao, Bing; Shi, Shenxing&lt;/_translated_author&gt;&lt;_translated_title&gt;Confronting Problem and Challenge of Large Scale AC-DC Hybrid Power Grid Operation&lt;/_translated_title&gt;&lt;_url&gt;CSCD:6508051 _x000d__x000a_https://kns.cnki.net/kcms/download.aspx?filename=5NXcNdzNyZTOjZjbZdVWEN0KDJmMBhFM28mVwBVSRVWaHpET0AXdxNTbZFjaKdUWy9iaXNme21kRYVERsdkdUx2VG9GeIlka3x0QkNlUoZGWThGVZhHZMF3QGVXMs1mUzITeYd1YOJFWxdUTE5mZGp1M3pUc2JzR&amp;amp;tablename=CJFDLAST2019&amp;amp;dflag=pdfdown _x000d__x000a_&lt;/_url&gt;&lt;_volume&gt;39&lt;/_volume&gt;&lt;_collection_scope&gt;CSCD;PKU;EI&lt;/_collection_scop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720712&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2020&lt;/_issue&gt;&lt;_journal&gt;INTERNATIONAL JOURNAL OF ELECTRICAL POWER &amp;amp; ENERGY SYSTEMS&lt;/_journal&gt;&lt;_modified&gt;6348064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76D9BD66-E917-45B2-87BC-B881561DDFE2}" w:val=" ADDIN NE.Ref.{76D9BD66-E917-45B2-87BC-B881561DDFE2}&lt;Citation&gt;&lt;Group&gt;&lt;References&gt;&lt;Item&gt;&lt;ID&gt;360&lt;/ID&gt;&lt;UID&gt;{21A00E8A-0281-4038-9BBD-93D5F4612E88}&lt;/UID&gt;&lt;Title&gt;Prevention and mitigation of high-voltage direct current commutation failures: a review and future directions&lt;/Title&gt;&lt;Template&gt;Journal Article&lt;/Template&gt;&lt;Star&gt;0&lt;/Star&gt;&lt;Tag&gt;0&lt;/Tag&gt;&lt;Author&gt;Zhu, Yanan; Zhang, Shuqing; Liu, Dong; Zhu, Lin; Zou, Sheng; Yu, Siqi; Sun, Yubo&lt;/Author&gt;&lt;Year&gt;2019&lt;/Year&gt;&lt;Details&gt;&lt;_accessed&gt;63445972&lt;/_accessed&gt;&lt;_accession_num&gt;WOS:000504975000002_x000d__x000a_ER&lt;/_accession_num&gt;&lt;_cited_count&gt;0&lt;/_cited_count&gt;&lt;_collection_scope&gt;SCI;SCIE;EI&lt;/_collection_scope&gt;&lt;_created&gt;63444588&lt;/_created&gt;&lt;_date_display&gt;2019, DEC 17 2019&lt;/_date_display&gt;&lt;_db_provider&gt;ISI&lt;/_db_provider&gt;&lt;_doi&gt;10.1049/iet-gtd.2019.0874&lt;/_doi&gt;&lt;_impact_factor&gt;   2.503&lt;/_impact_factor&gt;&lt;_isbn&gt;1751-8687&lt;/_isbn&gt;&lt;_issue&gt;24&lt;/_issue&gt;&lt;_journal&gt;IET GENERATION TRANSMISSION &amp;amp; DISTRIBUTION&lt;/_journal&gt;&lt;_modified&gt;64498639&lt;/_modified&gt;&lt;_pages&gt;5449-5456&lt;/_pages&gt;&lt;_url&gt;http://gateway.isiknowledge.com/gateway/Gateway.cgi?GWVersion=2&amp;amp;SrcAuth=AegeanSoftware&amp;amp;SrcApp=NoteExpress&amp;amp;DestLinkType=FullRecord&amp;amp;DestApp=WOS&amp;amp;KeyUT=000504975000002 _x000d__x000a_https://ieeexplore.ieee.org/stampPDF/getPDF.jsp?tp=&amp;amp;arnumber=8945512&amp;amp;ref=aHR0cHM6Ly9pZWVleHBsb3JlLmllZWUub3JnL3Jlc3Qvc2VhcmNo _x000d__x000a_&lt;/_url&gt;&lt;_volume&gt;13&lt;/_volume&gt;&lt;/Details&gt;&lt;Extra&gt;&lt;DBUID&gt;{6891F4B0-DCBA-459A-9A22-3059983243D4}&lt;/DBUID&gt;&lt;/Extra&gt;&lt;/Item&gt;&lt;/References&gt;&lt;/Group&gt;&lt;/Citation&gt;_x000a_"/>
    <w:docVar w:name="NE.Ref{77936875-A457-4F43-888A-0DB4DB314380}" w:val=" ADDIN NE.Ref.{77936875-A457-4F43-888A-0DB4DB314380}&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787BF0AA-7C49-4A23-A2DA-A81679A72B28}" w:val=" ADDIN NE.Ref.{787BF0AA-7C49-4A23-A2DA-A81679A72B28}&lt;Citation&gt;&lt;Group&gt;&lt;References&gt;&lt;Item&gt;&lt;ID&gt;656&lt;/ID&gt;&lt;UID&gt;{2264F1B9-3F48-4938-B75A-6C5547D51AAB}&lt;/UID&gt;&lt;Title&gt;Analysis and Improvement of the Multiple Controller Interaction in LCC-HVDC for Mitigating Repetitive Commutation Failure&lt;/Title&gt;&lt;Template&gt;Journal Article&lt;/Template&gt;&lt;Star&gt;0&lt;/Star&gt;&lt;Tag&gt;0&lt;/Tag&gt;&lt;Author&gt;Hong, L R; Zhou, X P; Liu, Y F; Xia, H T; Yin, H H; Chen, Y D; Zhou, L M; Xu, Q M&lt;/Author&gt;&lt;Year&gt;2021&lt;/Year&gt;&lt;Details&gt;&lt;_alternate_title&gt;IEEE TRANSACTIONS ON POWER DELIVERY&lt;/_alternate_title&gt;&lt;_author_adr&gt;Hunan Univ, Coll Elect &amp;amp; Informat Engn, Changsha 410082, Peoples R China&lt;/_author_adr&gt;&lt;_cited_count&gt;7&lt;/_cited_count&gt;&lt;_collection_scope&gt;SCI;SCIE;EI&lt;/_collection_scope&gt;&lt;_created&gt;64493973&lt;/_created&gt;&lt;_date&gt;2021-01-01&lt;/_date&gt;&lt;_date_display&gt;2021&lt;/_date_display&gt;&lt;_db_updated&gt;Web of Science-Core&lt;/_db_updated&gt;&lt;_doi&gt;10.1109/TPWRD.2020.3017802&lt;/_doi&gt;&lt;_impact_factor&gt;   4.825&lt;/_impact_factor&gt;&lt;_issue&gt;4&lt;/_issue&gt;&lt;_journal&gt;IEEE TRANSACTIONS ON POWER DELIVERY&lt;/_journal&gt;&lt;_keywords&gt;Inverters; Rectifiers; Switches; Process control; HVDC transmission; Voltage control; LCC-HVDC; commutation failure; HVDC control; controller interaction; fault recovery&lt;/_keywords&gt;&lt;_modified&gt;64494423&lt;/_modified&gt;&lt;_pages&gt;1982-1991&lt;/_pages&gt;&lt;_url&gt;https://ieeexplore.ieee.org/stampPDF/getPDF.jsp?tp=&amp;amp;arnumber=9171463&amp;amp;ref=aHR0cHM6Ly9pZWVleHBsb3JlLmllZWUub3JnL3Jlc3Qvc2VhcmNo _x000d__x000a_&lt;/_url&gt;&lt;_volume&gt;36&lt;/_volume&gt;&lt;/Details&gt;&lt;Extra&gt;&lt;DBUID&gt;{F96A950B-833F-4880-A151-76DA2D6A2879}&lt;/DBUID&gt;&lt;/Extra&gt;&lt;/Item&gt;&lt;/References&gt;&lt;/Group&gt;&lt;/Citation&gt;_x000a_"/>
    <w:docVar w:name="NE.Ref{78E284AA-44AD-437D-8D26-4825EB3E7986}" w:val=" ADDIN NE.Ref.{78E284AA-44AD-437D-8D26-4825EB3E7986}&lt;Citation&gt;&lt;Group&gt;&lt;References&gt;&lt;Item&gt;&lt;ID&gt;539&lt;/ID&gt;&lt;UID&gt;{0CE5E00B-073A-42F3-88F4-4500B0DC7BA8}&lt;/UID&gt;&lt;Title&gt;特高压直流送端系统的运行约束及新能源消纳挑战研究&lt;/Title&gt;&lt;Template&gt;Journal Article&lt;/Template&gt;&lt;Star&gt;0&lt;/Star&gt;&lt;Tag&gt;0&lt;/Tag&gt;&lt;Author&gt;郭晨; 王碧阳; 李立; 倪鸣; 张启文&lt;/Author&gt;&lt;Year&gt;2021&lt;/Year&gt;&lt;Details&gt;&lt;_author_adr&gt;国网陕西电力调度控制中心;西安交通大学;国家电网有限公司西北分部;&lt;/_author_adr&gt;&lt;_collection_scope&gt;PKU&lt;/_collection_scope&gt;&lt;_created&gt;64344277&lt;/_created&gt;&lt;_db_provider&gt;CNKI&lt;/_db_provider&gt;&lt;_isbn&gt;2096-4145&lt;/_isbn&gt;&lt;_issue&gt;05&lt;/_issue&gt;&lt;_journal&gt;智慧电力&lt;/_journal&gt;&lt;_keywords&gt;交直流外送系统;新能源消纳;暂态功角稳定;暂态过电压&lt;/_keywords&gt;&lt;_modified&gt;64766529&lt;/_modified&gt;&lt;_pages&gt;56-62&lt;/_pages&gt;&lt;_url&gt;https://bar.cnki.net/bar/download/order?id=jBGETXBNdPImvx70aLAuJPYxPoFw%2bp%2bi0fIiSrcN6lUhOsbi9Mr9eOzkviFp312tNMzCyB7hda7A48JEX9bxskGxVkq8YHJNz4jV3WhknTrl8E%2bCUVp5GtDTYhVF2dNUoJeGx62Ssygg68TNXJ%2b5JrigejDAar8Xqw%2f6WR22OFXUdUGh4At8VBYSvh%2fCUD5aggDG25UxiuibLhrSMgtbReHCj0rcHFOqtzo%2fDKKQz1%2f5LXYX1qwFXwOc1HUZT%2bTB _x000d__x000a_https://bar.cnki.net/bar/download/order?id=jBGETXBNdPImvx70aLAuJPYxPoFw%2bp%2bi0fIiSrcN6lUhOsbi9Mr9eOzkviFp312tNMzCyB7hda7A48JEX9bxskGxVkq8YHJNz4jV3WhknTrl8E%2bCUVp5GtDTYhVF2dNUoJeGx62Ssygg68TNXJ%2b5JrigejDAar8Xqw%2f6WR22OFXUdUGh4At8VBYSvh%2fCUD5a8HH2hsWcj7IOIHPsFiZQaXd4HP5JdGOEfbxNHgIWwuT5LXYX1qwFXwOc1HUZT%2bTB _x000d__x000a_https://bar.cnki.net/bar/download/order?id=jBGETXBNdPImvx70aLAuJPYxPoFw%2bp%2bi0fIiSrcN6lUhOsbi9Mr9eOzkviFp312tNMzCyB7hda7A48JEX9bxskGxVkq8YHJNz4jV3WhknTrl8E%2bCUVp5GtDTYhVF2dNUoJeGx62Ssygg68TNXJ%2b5JrigejDAar8Xqw%2f6WR22OFXUdUGh4At8VBYSvh%2fCUD5aMNBQN%2ffjfJmBKyLDuRR83CWZL0ai5A42K%2bdv2kg5hcj5LXYX1qwFXwOc1HUZT%2bTB _x000d__x000a_&lt;/_url&gt;&lt;_volume&gt;49&lt;/_volume&gt;&lt;_translated_author&gt;Guo, Chen;Wang, Bi yang;Li, Li;Ni, Ming;Zhang, Qi wen&lt;/_translated_author&gt;&lt;/Details&gt;&lt;Extra&gt;&lt;DBUID&gt;{684DF7C5-873E-4B6A-A11E-0CD148BF4011}&lt;/DBUID&gt;&lt;/Extra&gt;&lt;/Item&gt;&lt;/References&gt;&lt;/Group&gt;&lt;Group&gt;&lt;References&gt;&lt;Item&gt;&lt;ID&gt;692&lt;/ID&gt;&lt;UID&gt;{609EF128-6A5E-46BC-8BFE-ED21C6AB57BE}&lt;/UID&gt;&lt;Title&gt;换相失败引起的送端电网暂态过电压抑制措施研究&lt;/Title&gt;&lt;Template&gt;Journal Article&lt;/Template&gt;&lt;Star&gt;0&lt;/Star&gt;&lt;Tag&gt;0&lt;/Tag&gt;&lt;Author&gt;牛宇昆; 文俊; 马立民; 王书杰&lt;/Author&gt;&lt;Year&gt;2021&lt;/Year&gt;&lt;Details&gt;&lt;_author_adr&gt;华北电力大学电气与电子工程学院;&lt;/_author_adr&gt;&lt;_collection_scope&gt;PKU&lt;/_collection_scope&gt;&lt;_created&gt;64344283&lt;/_created&gt;&lt;_db_provider&gt;CNKI&lt;/_db_provider&gt;&lt;_isbn&gt;2096-4145&lt;/_isbn&gt;&lt;_issue&gt;11&lt;/_issue&gt;&lt;_journal&gt;智慧电力&lt;/_journal&gt;&lt;_keywords&gt;高压直流输电;换相失败;暂态过电压;送端电网;无功补偿&lt;/_keywords&gt;&lt;_modified&gt;64625224&lt;/_modified&gt;&lt;_pages&gt;59-65+96&lt;/_pages&gt;&lt;_url&gt;https://bar.cnki.net/bar/download/order?id=jBGETXBNdPImvx70aLAuJPYxPoFw%2bp%2bi0fIiSrcN6lUA4cBjWxkF6%2fzVnXr0cmyoNMzCyB7hda7A48JEX9bxskGxVkq8YHJNz4jV3WhknTrl8E%2bCUVp5GtDTYhVF2dNUoJeGx62Ssygg68TNXJ%2b5JrigejDAar8Xqw%2f6WR22OFXUdUGh4At8VBYSvh%2fCUD5aOpXQcCPpVLLSvnxHWZ6C1KbPqkOHz6XHGO1cnd%2fPGTr5LXYX1qwFXwOc1HUZT%2bTB _x000d__x000a_https://bar.cnki.net/bar/download/order?id=jBGETXBNdPImvx70aLAuJPYxPoFw%2bp%2bi0fIiSrcN6lUA4cBjWxkF6%2fzVnXr0cmyoNMzCyB7hda7A48JEX9bxskGxVkq8YHJNz4jV3WhknTrl8E%2bCUVp5GtDTYhVF2dNUoJeGx62Ssygg68TNXJ%2b5JrigejDAar8Xqw%2f6WR22OFXUdUGh4At8VBYSvh%2fCUD5aa8qNp8CqOv8bYkVNkjZbOHer9pR9nXZBl%2baaQcBkiWr5LXYX1qwFXwOc1HUZT%2bTB _x000d__x000a_https://bar.cnki.net/bar/download/order?id=jBGETXBNdPImvx70aLAuJPYxPoFw%2bp%2bi0fIiSrcN6lUA4cBjWxkF6%2fzVnXr0cmyoNMzCyB7hda7A48JEX9bxskGxVkq8YHJNz4jV3WhknTrl8E%2bCUVp5GtDTYhVF2dNUoJeGx62Ssygg68TNXJ%2b5JrigejDAar8Xqw%2f6WR22OFXUdUGh4At8VBYSvh%2fCUD5aM6L5H%2btYmeAIkjGmTyMVyNXIyhR%2f6DgyMcrWgQpe2O%2f5LXYX1qwFXwOc1HUZT%2bTB _x000d__x000a_&lt;/_url&gt;&lt;_volume&gt;49&lt;/_volume&gt;&lt;_translated_author&gt;Niu, Yu kun;Wen, Jun;Ma, Li min;Wang, Shu jie&lt;/_translated_author&gt;&lt;/Details&gt;&lt;Extra&gt;&lt;DBUID&gt;{684DF7C5-873E-4B6A-A11E-0CD148BF4011}&lt;/DBUID&gt;&lt;/Extra&gt;&lt;/Item&gt;&lt;/References&gt;&lt;/Group&gt;&lt;Group&gt;&lt;References&gt;&lt;Item&gt;&lt;ID&gt;691&lt;/ID&gt;&lt;UID&gt;{341E0B55-340A-45EC-A31B-1AD0DE7101B2}&lt;/UID&gt;&lt;Title&gt;风电汇集系统无功盈余导致暂态过电压问题的研究综述&lt;/Title&gt;&lt;Template&gt;Journal Article&lt;/Template&gt;&lt;Star&gt;0&lt;/Star&gt;&lt;Tag&gt;5&lt;/Tag&gt;&lt;Author&gt;杜维柱; 罗亚洲; 李蕴红; 吴林林; 赵峰; 孙大卫&lt;/Author&gt;&lt;Year&gt;2021&lt;/Year&gt;&lt;Details&gt;&lt;_accessed&gt;64441003&lt;/_accessed&gt;&lt;_author_adr&gt;国网冀北电力科学研究院(国家电网公司风光储联合发电运行技术实验室);国家电网有限公司华北分部;&lt;/_author_adr&gt;&lt;_author_aff&gt;国网冀北电力科学研究院(国家电网公司风光储联合发电运行技术实验室);国家电网有限公司华北分部;&lt;/_author_aff&gt;&lt;_collection_scope&gt;CSCD;PKU;EI&lt;/_collection_scope&gt;&lt;_created&gt;64344283&lt;/_created&gt;&lt;_date&gt;64128960&lt;/_date&gt;&lt;_db_provider&gt;CNKI&lt;/_db_provider&gt;&lt;_db_updated&gt;CNKI - Reference&lt;/_db_updated&gt;&lt;_isbn&gt;0258-8013&lt;/_isbn&gt;&lt;_journal&gt;中国电机工程学报&lt;/_journal&gt;&lt;_keywords&gt;暂态过电压;风电汇集地区;风机脱网;故障穿越;弱交流电网;LCC-HVDC&lt;/_keywords&gt;&lt;_modified&gt;64441003&lt;/_modified&gt;&lt;_pages&gt;1-14&lt;/_pages&gt;&lt;_url&gt;https://kns.cnki.net/kcms/detail/detail.aspx?FileName=ZGDC2021120200A&amp;amp;DbName=DKFX2021 _x000d__x000a_https://bar.cnki.net/bar/download/order?id=jBGETXBNdPImvx70aLAuJPjDI3A2vZL8vlJ5Yxju1VLCR5wMXAMa61LwBcwCxTXRKH91ckCJ%2fAkPHPQQVIt9rIXNr%2bq%2fxAZGaJQaVfGy3LZXUusYHsGzJp9yrhvnk3r3JRJIuitYASY3ZPhq07jV3E2KrDbH2i1UsOVLzAXdpwmbKKoXvHPzsB%2bN7b8wc595PVN%2bf7ocyVaCzTeZVAXsJ9r%2b93LrdvkD9CwUbXbsT4sYgW1T3oFZ4xO0eVG7BcLs _x000d__x000a_https://bar.cnki.net/bar/download/order?id=jBGETXBNdPImvx70aLAuJPYxPoFw%2bp%2bi0fIiSrcN6lV5fyvzOlo8kpblq0FaU%2bH0NMzCyB7hda7A48JEX9bxssm82jDOg3yr%2bqRqj9L2CzQtqddCdidyosdSaMNWur3ZJBjdlDrNnftoR5pdZPiFRNlKM4sfpT3nRHSqBOA4sms8GQBtE8Z8mK%2fNwS15YoSEROiNaFdEEDfwFBCJagaenKopkQ6JnjQzfIvFcCnka0M%3d _x000d__x000a_https://bar.cnki.net/bar/download/order?id=jBGETXBNdPImvx70aLAuJPYxPoFw%2bp%2bi0fIiSrcN6lV5fyvzOlo8kpblq0FaU%2bH0NMzCyB7hda7A48JEX9bxssm82jDOg3yr%2bqRqj9L2CzQtqddCdidyosdSaMNWur3ZJBjdlDrNnftoR5pdZPiFRNlKM4sfpT3nRHSqBOA4sms8GQBtE8Z8mK%2fNwS15YoSEMIJ%2fbkLz3wpcg3STND8FHqopkQ6JnjQzfIvFcCnka0M%3d _x000d__x000a_https://bar.cnki.net/bar/download/order?id=jBGETXBNdPImvx70aLAuJPYxPoFw%2bp%2bi0fIiSrcN6lV5fyvzOlo8kpblq0FaU%2bH0NMzCyB7hda7A48JEX9bxssm82jDOg3yr%2bqRqj9L2CzQtqddCdidyosdSaMNWur3ZJBjdlDrNnftoR5pdZPiFRNlKM4sfpT3nRHSqBOA4sms8GQBtE8Z8mK%2fNwS15YoSEHtSKvWzWIoSO9HhIHH2kKKopkQ6JnjQzfIvFcCnka0M%3d _x000d__x000a_&lt;/_url&gt;&lt;_translated_author&gt;Du, Wei zhu;Luo, Ya zhou;Li, Yun hong;Wu, Lin lin;Zhao, Feng;Sun, Da wei&lt;/_translated_author&gt;&lt;/Details&gt;&lt;Extra&gt;&lt;DBUID&gt;{684DF7C5-873E-4B6A-A11E-0CD148BF4011}&lt;/DBUID&gt;&lt;/Extra&gt;&lt;/Item&gt;&lt;/References&gt;&lt;/Group&gt;&lt;Group&gt;&lt;References&gt;&lt;Item&gt;&lt;ID&gt;449&lt;/ID&gt;&lt;UID&gt;{69E5207F-44B4-4721-B729-75BB9D348A77}&lt;/UID&gt;&lt;Title&gt;风电基地经特高压直流送出系统换相失败故障（一）：送端风电机组暂态无功电压建模&lt;/Title&gt;&lt;Template&gt;Journal Article&lt;/Template&gt;&lt;Star&gt;0&lt;/Star&gt;&lt;Tag&gt;0&lt;/Tag&gt;&lt;Author&gt;何国庆; 王伟胜; 刘纯; 李光辉; 年珩&lt;/Author&gt;&lt;Year&gt;2021&lt;/Year&gt;&lt;Details&gt;&lt;_accessed&gt;64439360&lt;/_accessed&gt;&lt;_author_aff&gt;新能源与储能运行控制国家重点实验室(中国电力科学研究院有限公司);浙江大学电气工程学院;&lt;/_author_aff&gt;&lt;_collection_scope&gt;CSCD;PKU;EI&lt;/_collection_scope&gt;&lt;_created&gt;64132958&lt;/_created&gt;&lt;_date&gt;2021-12-06&lt;/_date&gt;&lt;_db_updated&gt;CNKI - Reference&lt;/_db_updated&gt;&lt;_journal&gt;中国电机工程学报&lt;/_journal&gt;&lt;_keywords&gt;UHVDC;换相失败;高电压穿越;暂态过电压;风电机组&lt;/_keywords&gt;&lt;_modified&gt;64441017&lt;/_modified&gt;&lt;_pages&gt;1-14&lt;/_pages&gt;&lt;_url&gt;https://kns.cnki.net/kcms/detail/detail.aspx?FileName=ZGDC20211203000&amp;amp;DbName=DKFX2021 _x000d__x000a_https://bar.cnki.net/bar/download/order?id=jBGETXBNdPImvx70aLAuJPjDI3A2vZL8vlJ5Yxju1VLCR5wMXAMa61LwBcwCxTXReiUF%2b0eNc8dcLHkgLUkI%2bYXNr%2bq%2fxAZGaJQaVfGy3LZXUusYHsGzJp9yrhvnk3r3JRJIuitYASY3ZPhq07jV3E2KrDbH2i1UsOVLzAXdpwmbKKoXvHPzsB%2bN7b8wc595Obr53JXm%2bztzW2BZnlN9O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k%2fA%2b%2fLb9WmnmMF%2fJPwdWj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fgcmh%2fFgBggsS6mwjmwQR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2fHJ2ow7w8V%2bhwT6iVKCaVdr%2b93LrdvkD9CwUbXbsT4sYgW1T3oFZ4xO0eVG7BcLs _x000d__x000a_&lt;/_url&gt;&lt;_translated_author&gt;He, Guo qing;Wang, Wei sheng;Liu, Chun;Li, Guang hui;Nian, Heng&lt;/_translated_author&gt;&lt;/Details&gt;&lt;Extra&gt;&lt;DBUID&gt;{684DF7C5-873E-4B6A-A11E-0CD148BF4011}&lt;/DBUID&gt;&lt;/Extra&gt;&lt;/Item&gt;&lt;/References&gt;&lt;/Group&gt;&lt;Group&gt;&lt;References&gt;&lt;Item&gt;&lt;ID&gt;845&lt;/ID&gt;&lt;UID&gt;{96A00DF6-8855-485E-89A6-D7236EBA4C4D}&lt;/UID&gt;&lt;Title&gt;风电基地经特高压直流送出系统换相失败故障（二）：送端风电机组暂态无功电压特性与作用机理分析&lt;/Title&gt;&lt;Template&gt;Journal Article&lt;/Template&gt;&lt;Star&gt;0&lt;/Star&gt;&lt;Tag&gt;0&lt;/Tag&gt;&lt;Author&gt;金一丁; 贺静波; 李光辉; 刘纯; 何国庆; 张怡&lt;/Author&gt;&lt;Year&gt;2021&lt;/Year&gt;&lt;Details&gt;&lt;_accessed&gt;64449526&lt;/_accessed&gt;&lt;_author_aff&gt;国家电力调度控制中心;新能源与储能运行控制国家重点实验室(中国电力科学研究院有限公司);&lt;/_author_aff&gt;&lt;_collection_scope&gt;CSCD;PKU;EI&lt;/_collection_scope&gt;&lt;_created&gt;64344286&lt;/_created&gt;&lt;_date&gt;64128960&lt;/_date&gt;&lt;_db_updated&gt;CNKI - Reference&lt;/_db_updated&gt;&lt;_journal&gt;中国电机工程学报&lt;/_journal&gt;&lt;_keywords&gt;UHVDC;换相失败;风电机组;暂态无功电压;叠加&lt;/_keywords&gt;&lt;_modified&gt;64442224&lt;/_modified&gt;&lt;_pages&gt;1-12&lt;/_pages&gt;&lt;_url&gt;https://kns.cnki.net/kcms/detail/detail.aspx?FileName=ZGDC20211203001&amp;amp;DbName=DKFX2021&lt;/_url&gt;&lt;_translated_author&gt;Jin, Yi ding;He, Jing bo;Li, Guang hui;Liu, Chun;He, Guo qing;Zhang, Yi&lt;/_translated_author&gt;&lt;/Details&gt;&lt;Extra&gt;&lt;DBUID&gt;{684DF7C5-873E-4B6A-A11E-0CD148BF4011}&lt;/DBUID&gt;&lt;/Extra&gt;&lt;/Item&gt;&lt;/References&gt;&lt;/Group&gt;&lt;Group&gt;&lt;References&gt;&lt;Item&gt;&lt;ID&gt;448&lt;/ID&gt;&lt;UID&gt;{37BA8635-79D5-44F5-B2C4-4978C92E2A2C}&lt;/UID&gt;&lt;Title&gt;风电基地经特高压直流送出系统换相失败故障（三）：送端风电机组暂态过电压抑制措施&lt;/Title&gt;&lt;Template&gt;Journal Article&lt;/Template&gt;&lt;Star&gt;0&lt;/Star&gt;&lt;Tag&gt;0&lt;/Tag&gt;&lt;Author&gt;李光辉; 王伟胜; 何国庆; 刘纯&lt;/Author&gt;&lt;Year&gt;2021&lt;/Year&gt;&lt;Details&gt;&lt;_accessed&gt;64688715&lt;/_accessed&gt;&lt;_author_aff&gt;新能源与储能运行控制国家重点实验室(中国电力科学研究院有限公司);;&lt;/_author_aff&gt;&lt;_collection_scope&gt;CSCD;PKU;EI&lt;/_collection_scope&gt;&lt;_created&gt;64132958&lt;/_created&gt;&lt;_date&gt;2021-12-06&lt;/_date&gt;&lt;_db_updated&gt;CNKI - Reference&lt;/_db_updated&gt;&lt;_journal&gt;中国电机工程学报&lt;/_journal&gt;&lt;_keywords&gt;PMSG;虚拟磁链;暂态无功优化;暂态过电压抑制&lt;/_keywords&gt;&lt;_modified&gt;64441017&lt;/_modified&gt;&lt;_pages&gt;1-11&lt;/_pages&gt;&lt;_url&gt;https://kns.cnki.net/kcms/detail/detail.aspx?FileName=ZGDC20211203002&amp;amp;DbName=DKFX2021 _x000d__x000a_https://bar.cnki.net/bar/download/order?id=jBGETXBNdPImvx70aLAuJPjDI3A2vZL8vlJ5Yxju1VLCR5wMXAMa61LwBcwCxTXReiUF%2b0eNc8dcLHkgLUkI%2bYXNr%2bq%2fxAZGaJQaVfGy3LZXUusYHsGzJp9yrhvnk3r3JRJIuitYASY3ZPhq07jV3E2KrDbH2i1UsOVLzAXdpwmbKKoXvHPzsB%2bN7b8wc595Ks2C3uVd4sWSP1etdR%2boId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nG3aA%2bwHhoUNeGnF1HQ8M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nTVxQ2c%2bncvA2j%2bp3YGNJN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GEg7ZVAesx1mBGBiYe2i99r%2b93LrdvkD9CwUbXbsT4sYgW1T3oFZ4xO0eVG7BcLs _x000d__x000a_&lt;/_url&gt;&lt;_translated_author&gt;Li, Guang hui;Wang, Wei sheng;He, Guo qing;Liu, Chun&lt;/_translated_author&gt;&lt;/Details&gt;&lt;Extra&gt;&lt;DBUID&gt;{684DF7C5-873E-4B6A-A11E-0CD148BF4011}&lt;/DBUID&gt;&lt;/Extra&gt;&lt;/Item&gt;&lt;/References&gt;&lt;/Group&gt;&lt;Group&gt;&lt;References&gt;&lt;Item&gt;&lt;ID&gt;515&lt;/ID&gt;&lt;UID&gt;{E1464C6B-B78F-4A55-860A-88674FC849B7}&lt;/UID&gt;&lt;Title&gt;弱电网直驱风机低电压穿越特性及其对机端暂态电压的影响&lt;/Title&gt;&lt;Template&gt;Journal Article&lt;/Template&gt;&lt;Star&gt;0&lt;/Star&gt;&lt;Tag&gt;0&lt;/Tag&gt;&lt;Author&gt;孙大卫; 吴林林; 刘辉; 宋鹏; 李蕴红; 王潇; 刘京波&lt;/Author&gt;&lt;Year&gt;2021&lt;/Year&gt;&lt;Details&gt;&lt;_author_aff&gt;国家电网公司风光储联合发电运行技术实验室(国网冀北电力科学研究院);&lt;/_author_aff&gt;&lt;_cited_count&gt;7&lt;/_cited_count&gt;&lt;_collection_scope&gt;CSCD;PKU;EI&lt;/_collection_scope&gt;&lt;_created&gt;64344255&lt;/_created&gt;&lt;_date&gt;2021-02-18&lt;/_date&gt;&lt;_db_updated&gt;CNKI - Reference&lt;/_db_updated&gt;&lt;_issue&gt;14&lt;/_issue&gt;&lt;_journal&gt;中国电机工程学报&lt;/_journal&gt;&lt;_keywords&gt;永磁直驱风机;弱交流电网;暂态过电压;低电压穿越;锁相环&lt;/_keywords&gt;&lt;_modified&gt;64438150&lt;/_modified&gt;&lt;_pages&gt;4777-4786&lt;/_pages&gt;&lt;_url&gt;https://kns.cnki.net/kcms/detail/detail.aspx?FileName=ZGDC202114005&amp;amp;DbName=DKFX2021 _x000d__x000a_https://bar.cnki.net/bar/download/order?id=jBGETXBNdPImvx70aLAuJPYxPoFw%2bp%2bi0fIiSrcN6lVg2jJBFdkCIeMpmldd1LeZds%2fr85YSD8tWj6u6R%2b%2fkcUGxVkq8YHJNz4jV3WhknTrl8E%2bCUVp5GtDTYhVF2dNUoJeGx62Ssygg68TNXJ%2b5JrigejDAar8Xqw%2f6WR22OFXUdUGh4At8VBYSvh%2fCUD5aVRSuwwRB0r5cBNVJDYeWC9Ur2kvoJV7Lyc0%2fNbix2nb5LXYX1qwFXwOc1HUZT%2bTB _x000d__x000a_https://bar.cnki.net/bar/download/order?id=jBGETXBNdPImvx70aLAuJPYxPoFw%2bp%2bi0fIiSrcN6lVg2jJBFdkCIeMpmldd1LeZds%2fr85YSD8tWj6u6R%2b%2fkcUGxVkq8YHJNz4jV3WhknTrl8E%2bCUVp5GtDTYhVF2dNUoJeGx62Ssygg68TNXJ%2b5JrigejDAar8Xqw%2f6WR22OFXUdUGh4At8VBYSvh%2fCUD5aZPW9d%2ff8QI1HAASXOyTuiIkWl%2f5%2bM02t3C4Rt6mdaoj5LXYX1qwFXwOc1HUZT%2bTB _x000d__x000a_https://bar.cnki.net/bar/download/order?id=jBGETXBNdPImvx70aLAuJPYxPoFw%2bp%2bi0fIiSrcN6lVg2jJBFdkCIeMpmldd1LeZds%2fr85YSD8tWj6u6R%2b%2fkcUGxVkq8YHJNz4jV3WhknTrl8E%2bCUVp5GtDTYhVF2dNUoJeGx62Ssygg68TNXJ%2b5JrigejDAar8Xqw%2f6WR22OFXUdUGh4At8VBYSvh%2fCUD5asHLKxYvsETKGrO2%2f04M5%2f49vHLVKI4FnXdW88TUokWX5LXYX1qwFXwOc1HUZT%2bTB _x000d__x000a_&lt;/_url&gt;&lt;_volume&gt;41&lt;/_volume&gt;&lt;_translated_author&gt;Sun, Da wei;Wu, Lin lin;Liu, Hui;Song, Peng;Li, Yun hong;Wang, Xiao;Liu, Jing bo&lt;/_translated_author&gt;&lt;/Details&gt;&lt;Extra&gt;&lt;DBUID&gt;{684DF7C5-873E-4B6A-A11E-0CD148BF4011}&lt;/DBUID&gt;&lt;/Extra&gt;&lt;/Item&gt;&lt;/References&gt;&lt;/Group&gt;&lt;Group&gt;&lt;References&gt;&lt;Item&gt;&lt;ID&gt;518&lt;/ID&gt;&lt;UID&gt;{86431153-EF0F-4AC2-8DF0-49E446879B27}&lt;/UID&gt;&lt;Title&gt;直流闭锁故障下风电并网功率和直流输送功率的耦合关系分析&lt;/Title&gt;&lt;Template&gt;Journal Article&lt;/Template&gt;&lt;Star&gt;0&lt;/Star&gt;&lt;Tag&gt;0&lt;/Tag&gt;&lt;Author&gt;郄朝辉; 李兆伟; 王维洲; 李威; 柯贤波&lt;/Author&gt;&lt;Year&gt;2021&lt;/Year&gt;&lt;Details&gt;&lt;_author_aff&gt;南瑞集团有限公司(国网电力科学研究院有限公司);国网甘肃省电力公司电力科学研究院;国家电网有限公司西北分部;&lt;/_author_aff&gt;&lt;_cited_count&gt;1&lt;/_cited_count&gt;&lt;_collection_scope&gt;CSCD;PKU&lt;/_collection_scope&gt;&lt;_created&gt;64344257&lt;/_created&gt;&lt;_date&gt;2020-09-08&lt;/_date&gt;&lt;_db_updated&gt;CNKI - Reference&lt;/_db_updated&gt;&lt;_issue&gt;06&lt;/_issue&gt;&lt;_journal&gt;中国电力&lt;/_journal&gt;&lt;_keywords&gt;风电并网功率;直流输送能力;耦合;暂态过电压;正态分布&lt;/_keywords&gt;&lt;_modified&gt;64438119&lt;/_modified&gt;&lt;_pages&gt;175-182&lt;/_pages&gt;&lt;_url&gt;https://kns.cnki.net/kcms/detail/detail.aspx?FileName=ZGDL202106023&amp;amp;DbName=CJFQ2021 _x000d__x000a_https://bar.cnki.net/bar/download/order?id=jBGETXBNdPImvx70aLAuJPYxPoFw%2bp%2bi0fIiSrcN6lX50vcHTj8PVxhAmTAY7bcZfIposeNU2ImrJAJ3lANen0GxVkq8YHJNz4jV3WhknTrl8E%2bCUVp5GtDTYhVF2dNUoJeGx62Ssygg68TNXJ%2b5JrigejDAar8Xqw%2f6WR22OFXUdUGh4At8VBYSvh%2fCUD5aSr5OZ1jnsXWLLIQdvG%2bqhdLUJCXLErHU6wU%2bEbrzZ%2fD5LXYX1qwFXwOc1HUZT%2bTB _x000d__x000a_https://bar.cnki.net/bar/download/order?id=jBGETXBNdPImvx70aLAuJPYxPoFw%2bp%2bi0fIiSrcN6lX50vcHTj8PVxhAmTAY7bcZfIposeNU2ImrJAJ3lANen0GxVkq8YHJNz4jV3WhknTrl8E%2bCUVp5GtDTYhVF2dNUoJeGx62Ssygg68TNXJ%2b5JrigejDAar8Xqw%2f6WR22OFXUdUGh4At8VBYSvh%2fCUD5axTDCZb64xUUVfbSjpug3gqqZHyie2Ddw94BHMoP%2f3wL5LXYX1qwFXwOc1HUZT%2bTB _x000d__x000a_&lt;/_url&gt;&lt;_volume&gt;54&lt;/_volume&gt;&lt;_translated_author&gt;Qie, Chao hui;Li, Zhao wei;Wang, Wei zhou;Li, Wei;Ke, Xian bo&lt;/_translated_author&gt;&lt;/Details&gt;&lt;Extra&gt;&lt;DBUID&gt;{684DF7C5-873E-4B6A-A11E-0CD148BF4011}&lt;/DBUID&gt;&lt;/Extra&gt;&lt;/Item&gt;&lt;/References&gt;&lt;/Group&gt;&lt;Group&gt;&lt;References&gt;&lt;Item&gt;&lt;ID&gt;710&lt;/ID&gt;&lt;UID&gt;{07CB7ECE-95C6-4847-90DE-20D4BFD357AC}&lt;/UID&gt;&lt;Title&gt;风火储联合多通道外送系统直流闭锁后的稳控措施&lt;/Title&gt;&lt;Template&gt;Journal Article&lt;/Template&gt;&lt;Star&gt;0&lt;/Star&gt;&lt;Tag&gt;0&lt;/Tag&gt;&lt;Author&gt;赵吉贤; 李凤婷; 尹纯亚&lt;/Author&gt;&lt;Year&gt;2021&lt;/Year&gt;&lt;Details&gt;&lt;_author_adr&gt;新疆大学电气工程学院;&lt;/_author_adr&gt;&lt;_collection_scope&gt;CSCD;PKU&lt;/_collection_scope&gt;&lt;_created&gt;64344283&lt;/_created&gt;&lt;_db_provider&gt;CNKI&lt;/_db_provider&gt;&lt;_isbn&gt;1004-9649&lt;/_isbn&gt;&lt;_issue&gt;05&lt;/_issue&gt;&lt;_journal&gt;中国电力&lt;/_journal&gt;&lt;_keywords&gt;交直流混联系统;直流闭锁;潮流转移;抽水蓄能;风火储联合系统;稳控措施&lt;/_keywords&gt;&lt;_modified&gt;64438146&lt;/_modified&gt;&lt;_pages&gt;65-73&lt;/_pages&gt;&lt;_url&gt;https://kns.cnki.net/kcms/detail/11.3265.TM.20200904.1101.002.html _x000d__x000a_https://bar.cnki.net/bar/download/order?id=jBGETXBNdPImvx70aLAuJPYxPoFw%2bp%2bi0fIiSrcN6lXN3f6F%2f2mGMVc0egfxgZ%2fTsshnTQdlzf0o9Rxczx2nOkGxVkq8YHJNz4jV3WhknTrl8E%2bCUVp5GtDTYhVF2dNUoJeGx62Ssygg68TNXJ%2b5JrigejDAar8Xqw%2f6WR22OFXUdUGh4At8VBYSvh%2fCUD5adl7JuRg0H%2fWBQDx7piqCjQSUVLmggogtCe%2bW%2f%2bhXCQj5LXYX1qwFXwOc1HUZT%2bTB _x000d__x000a_https://bar.cnki.net/bar/download/order?id=jBGETXBNdPImvx70aLAuJPYxPoFw%2bp%2bi0fIiSrcN6lXN3f6F%2f2mGMVc0egfxgZ%2fTsshnTQdlzf0o9Rxczx2nOkGxVkq8YHJNz4jV3WhknTrl8E%2bCUVp5GtDTYhVF2dNUoJeGx62Ssygg68TNXJ%2b5JrigejDAar8Xqw%2f6WR22OFXUdUGh4At8VBYSvh%2fCUD5avOYPfGSR0SROpm0w8i34KHJ%2fk3qb3YlLDmkYcfC%2bquX5LXYX1qwFXwOc1HUZT%2bTB _x000d__x000a_https://bar.cnki.net/bar/download/order?id=jBGETXBNdPImvx70aLAuJPYxPoFw%2bp%2bi0fIiSrcN6lXN3f6F%2f2mGMVc0egfxgZ%2fTsshnTQdlzf0o9Rxczx2nOkGxVkq8YHJNz4jV3WhknTrl8E%2bCUVp5GtDTYhVF2dNUoJeGx62Ssygg68TNXJ%2b5JrigejDAar8Xqw%2f6WR22OFXUdUGh4At8VBYSvh%2fCUD5aRu5M%2fP9ZhbyjR9byRAsXPqqZHyie2Ddw94BHMoP%2f3wL5LXYX1qwFXwOc1HUZT%2bTB _x000d__x000a_&lt;/_url&gt;&lt;_volume&gt;54&lt;/_volume&gt;&lt;_translated_author&gt;Zhao, Ji xian;Li, Feng ting;Yin, Chun ya&lt;/_translated_author&gt;&lt;/Details&gt;&lt;Extra&gt;&lt;DBUID&gt;{684DF7C5-873E-4B6A-A11E-0CD148BF4011}&lt;/DBUID&gt;&lt;/Extra&gt;&lt;/Item&gt;&lt;/References&gt;&lt;/Group&gt;&lt;/Citation&gt;_x000a_"/>
    <w:docVar w:name="NE.Ref{7979EFBE-9611-4037-AADD-AAEA22055795}" w:val=" ADDIN NE.Ref.{7979EFBE-9611-4037-AADD-AAEA22055795}&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79C0490C-57BE-4514-BC97-407E01ADAD6A}" w:val=" ADDIN NE.Ref.{79C0490C-57BE-4514-BC97-407E01ADAD6A}&lt;Citation&gt;&lt;Group&gt;&lt;References&gt;&lt;Item&gt;&lt;ID&gt;635&lt;/ID&gt;&lt;UID&gt;{14E7A137-0379-482B-A1FC-65220DD77A5D}&lt;/UID&gt;&lt;Title&gt;考虑碳排放成本的风光储多能互补系统优化运行研究&lt;/Title&gt;&lt;Template&gt;Journal Article&lt;/Template&gt;&lt;Star&gt;0&lt;/Star&gt;&lt;Tag&gt;0&lt;/Tag&gt;&lt;Author&gt;朱晔; 兰贞波; 隗震; 刘波; 冯万兴; 周盛; 陈轩恕; 韦古强; 孙辰军; 张崧&lt;/Author&gt;&lt;Year&gt;2019&lt;/Year&gt;&lt;Details&gt;&lt;_author_adr&gt;国网电力科学研究院武汉南瑞有限责任公司;南瑞集团公司(国网电力科学研究院);都城伟业集团有限公司;国网河北省电力公司;哈尔滨供电局有限公司;&lt;/_author_adr&gt;&lt;_db_provider&gt;CNKI&lt;/_db_provider&gt;&lt;_isbn&gt;1674-3415&lt;/_isbn&gt;&lt;_issue&gt;10&lt;/_issue&gt;&lt;_journal&gt;电力系统保护与控制&lt;/_journal&gt;&lt;_keywords&gt;风光储多能互补;并网运行;日前调度;碳排放;粒子群算法&lt;/_keywords&gt;&lt;_pages&gt;127-133&lt;/_pages&gt;&lt;_volume&gt;47&lt;/_volume&gt;&lt;_created&gt;63705565&lt;/_created&gt;&lt;_modified&gt;63705565&lt;/_modified&gt;&lt;_collection_scope&gt;CSCD;PKU&lt;/_collection_scope&gt;&lt;_translated_author&gt;Zhu, Ye;Lan, Zhenbo;Wei, Zhen;Liu, Bo;Feng, Wanxing;Zhou, Sheng;Chen, Xuanshu;Wei, Guqiang;Sun, Chenjun;Zhang, Song&lt;/_translated_author&gt;&lt;/Details&gt;&lt;Extra&gt;&lt;DBUID&gt;{F96A950B-833F-4880-A151-76DA2D6A2879}&lt;/DBUID&gt;&lt;/Extra&gt;&lt;/Item&gt;&lt;/References&gt;&lt;/Group&gt;&lt;/Citation&gt;_x000a_"/>
    <w:docVar w:name="NE.Ref{7A9AD604-C367-43CC-AE12-317A450112B2}" w:val=" ADDIN NE.Ref.{7A9AD604-C367-43CC-AE12-317A450112B2}&lt;Citation&gt;&lt;Group&gt;&lt;References&gt;&lt;Item&gt;&lt;ID&gt;524&lt;/ID&gt;&lt;UID&gt;{5D0EE478-E986-4EAA-9313-9C68899873EF}&lt;/UID&gt;&lt;Title&gt;Transmission Technologies and Operational Characteristic Analysis of Hybrid UHV AC/DC Power Grids in China&lt;/Title&gt;&lt;Template&gt;Conference Proceedings&lt;/Template&gt;&lt;Star&gt;0&lt;/Star&gt;&lt;Tag&gt;0&lt;/Tag&gt;&lt;Author&gt;Tian, Zhang; Yanfeng, Gong&lt;/Author&gt;&lt;Year&gt;2017&lt;/Year&gt;&lt;Details&gt;&lt;_created&gt;63657915&lt;/_created&gt;&lt;_modified&gt;63657915&lt;/_modified&gt;&lt;_pages&gt;012120&lt;/_pages&gt;&lt;_secondary_title&gt;Materials Science &amp;amp; Engineering Conference Series&lt;/_secondary_title&gt;&lt;/Details&gt;&lt;Extra&gt;&lt;DBUID&gt;{F96A950B-833F-4880-A151-76DA2D6A2879}&lt;/DBUID&gt;&lt;/Extra&gt;&lt;/Item&gt;&lt;/References&gt;&lt;/Group&gt;&lt;/Citation&gt;_x000a_"/>
    <w:docVar w:name="NE.Ref{7B2A54C9-5216-4BBC-B387-293CC6D5D128}" w:val=" ADDIN NE.Ref.{7B2A54C9-5216-4BBC-B387-293CC6D5D128}&lt;Citation&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8064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Citation&gt;_x000a_"/>
    <w:docVar w:name="NE.Ref{7C060891-6084-4300-85FD-947FA7E63501}" w:val=" ADDIN NE.Ref.{7C060891-6084-4300-85FD-947FA7E63501}&lt;Citation&gt;&lt;Group&gt;&lt;References&gt;&lt;Item&gt;&lt;ID&gt;110&lt;/ID&gt;&lt;UID&gt;{A2AA3EA2-AEC5-4B39-A482-D73966363D96}&lt;/UID&gt;&lt;Title&gt;考虑源荷低碳特性互补的含风电电力系统经济调度&lt;/Title&gt;&lt;Template&gt;Journal Article&lt;/Template&gt;&lt;Star&gt;0&lt;/Star&gt;&lt;Tag&gt;0&lt;/Tag&gt;&lt;Author&gt;崔杨; 邓贵波; 赵钰婷; 仲悟之; 唐耀华; 刘新元&lt;/Author&gt;&lt;Year&gt;2021&lt;/Year&gt;&lt;Details&gt;&lt;_accessed&gt;64357575&lt;/_accessed&gt;&lt;_author_aff&gt;现代电力系统仿真控制与绿色电能新技术教育部重点实验室(东北电力大学);中国电力科学研究院有限公司;润电能源科学技术有限公司;国网山西省电力科学研究院;&lt;/_author_aff&gt;&lt;_cited_count&gt;6&lt;/_cited_count&gt;&lt;_collection_scope&gt;CSCD;PKU;EI&lt;/_collection_scope&gt;&lt;_created&gt;64357568&lt;/_created&gt;&lt;_date&gt;63878400&lt;/_date&gt;&lt;_db_updated&gt;CNKI - Reference&lt;/_db_updated&gt;&lt;_issue&gt;14&lt;/_issue&gt;&lt;_journal&gt;中国电机工程学报&lt;/_journal&gt;&lt;_keywords&gt;低碳;碳捕集电厂;风电;需求响应;综合成本&lt;/_keywords&gt;&lt;_language&gt;Chinese&lt;/_language&gt;&lt;_modified&gt;64357575&lt;/_modified&gt;&lt;_pages&gt;4799-4815&lt;/_pages&gt;&lt;_url&gt;https://kns.cnki.net/kcms/detail/detail.aspx?FileName=ZGDC202114007&amp;amp;DbName=DKFX2021&lt;/_url&gt;&lt;_volume&gt;41&lt;/_volume&gt;&lt;_translated_author&gt;Cui, Yang;Deng, Guibo;Zhao, Yuting;Zhong, Wuzhi;Tang, Yaohua;Liu, Xinyuan&lt;/_translated_author&gt;&lt;/Details&gt;&lt;Extra/&gt;&lt;/Item&gt;&lt;/References&gt;&lt;/Group&gt;&lt;/Citation&gt;_x000a_"/>
    <w:docVar w:name="NE.Ref{7CFD2A35-2F6C-4448-A776-59AD76FA4810}" w:val=" ADDIN NE.Ref.{7CFD2A35-2F6C-4448-A776-59AD76FA4810}&lt;Citation&gt;&lt;Group&gt;&lt;References&gt;&lt;Item&gt;&lt;ID&gt;2&lt;/ID&gt;&lt;UID&gt;{261A689A-043F-4C64-87F8-B08AC86205DF}&lt;/UID&gt;&lt;Title&gt;考虑风电不确定性的电力系统鲁棒优化调度&lt;/Title&gt;&lt;Template&gt;Journal Article&lt;/Template&gt;&lt;Star&gt;0&lt;/Star&gt;&lt;Tag&gt;0&lt;/Tag&gt;&lt;Author&gt;陈庆攀; 刘洋; 杨得洋&lt;/Author&gt;&lt;Year&gt;2019&lt;/Year&gt;&lt;Details&gt;&lt;_accessed&gt;64357565&lt;/_accessed&gt;&lt;_author_adr&gt;四川大学; 四川大学; 四川大学&lt;/_author_adr&gt;&lt;_author_aff&gt;四川大学; 四川大学; 四川大学&lt;/_author_aff&gt;&lt;_created&gt;64357565&lt;/_created&gt;&lt;_db_provider&gt;北京万方数据股份有限公司&lt;/_db_provider&gt;&lt;_db_updated&gt;Wanfangdata&lt;/_db_updated&gt;&lt;_doi&gt;10.3969/j.issn.1002-1388.2019.11.011&lt;/_doi&gt;&lt;_isbn&gt;1002-1388&lt;/_isbn&gt;&lt;_issue&gt;11&lt;/_issue&gt;&lt;_journal&gt;电工技术&lt;/_journal&gt;&lt;_keywords&gt;电力系统; 风电; 不确定性; 鲁棒调度模型&lt;/_keywords&gt;&lt;_language&gt;chi&lt;/_language&gt;&lt;_modified&gt;64357565&lt;/_modified&gt;&lt;_pages&gt;37-39,43&lt;/_pages&gt;&lt;_tertiary_title&gt;Electric Engineering&lt;/_tertiary_title&gt;&lt;_translated_author&gt;Qingpan, CHEN; Yang, LIU; Deyang, YANG&lt;/_translated_author&gt;&lt;_translated_title&gt;Robust Optimal Scheduling of Power System Considering Uncertainty of Wind Power&lt;/_translated_title&gt;&lt;_url&gt;http://www.wanfangdata.com.cn:443/details/detail.do?_type=perio&amp;amp;id=dgjs201911011&lt;/_url&gt;&lt;/Details&gt;&lt;Extra/&gt;&lt;/Item&gt;&lt;/References&gt;&lt;/Group&gt;&lt;/Citation&gt;_x000a_"/>
    <w:docVar w:name="NE.Ref{7DB4B926-0896-4F83-9EB4-33C2E0AE77BF}" w:val=" ADDIN NE.Ref.{7DB4B926-0896-4F83-9EB4-33C2E0AE77BF}&lt;Citation&gt;&lt;Group&gt;&lt;References&gt;&lt;Item&gt;&lt;ID&gt;679&lt;/ID&gt;&lt;UID&gt;{71418B17-D229-4360-8126-A4273DAA07D7}&lt;/UID&gt;&lt;Title&gt;Reactive Power and AC Voltage Control of LCC HVDC System With Controllable Capacitors&lt;/Title&gt;&lt;Template&gt;Journal Article&lt;/Template&gt;&lt;Star&gt;0&lt;/Star&gt;&lt;Tag&gt;0&lt;/Tag&gt;&lt;Author&gt;Xue, Ying; Zhang, Xiao Ping&lt;/Author&gt;&lt;Year&gt;2017&lt;/Year&gt;&lt;Details&gt;&lt;_accessed&gt;63480645&lt;/_accessed&gt;&lt;_collection_scope&gt;SCI;SCIE;EI&lt;/_collection_scope&gt;&lt;_created&gt;63480542&lt;/_created&gt;&lt;_impact_factor&gt;   6.074&lt;/_impact_factor&gt;&lt;_issue&gt;1&lt;/_issue&gt;&lt;_journal&gt;IEEE Transactions on Power Systems&lt;/_journal&gt;&lt;_modified&gt;63480644&lt;/_modified&gt;&lt;_pages&gt;753-764&lt;/_pages&gt;&lt;_url&gt;https://ieeexplore.ieee.org/ielx7/59/7792237/07465837.pdf?tp=&amp;amp;arnumber=7465837&amp;amp;isnumber=7792237&amp;amp;ref=aHR0cHM6Ly9pZWVleHBsb3JlLmllZWUub3JnL3Jlc3Qvc2VhcmNo _x000d__x000a_&lt;/_url&gt;&lt;_volume&gt;32&lt;/_volume&gt;&lt;/Details&gt;&lt;Extra&gt;&lt;DBUID&gt;{6891F4B0-DCBA-459A-9A22-3059983243D4}&lt;/DBUID&gt;&lt;/Extra&gt;&lt;/Item&gt;&lt;/References&gt;&lt;/Group&gt;&lt;/Citation&gt;_x000a_"/>
    <w:docVar w:name="NE.Ref{7E5282D6-ADF4-4DD2-8573-5D4A0CA70EA7}" w:val=" ADDIN NE.Ref.{7E5282D6-ADF4-4DD2-8573-5D4A0CA70EA7}&lt;Citation&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5918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ion_num&gt;CSCD:6050560&lt;/_accession_num&gt;&lt;_cited_count&gt;3&lt;/_cited_count&gt;&lt;_date_display&gt;2017, 2017&lt;/_date_display&gt;&lt;_isbn&gt;1000-3673&lt;/_isbn&gt;&lt;_issue&gt;8&lt;/_issue&gt;&lt;_journal&gt;Power System Technology&lt;/_journal&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lt;/_url&gt;&lt;_volume&gt;41&lt;/_volume&gt;&lt;_created&gt;63459186&lt;/_created&gt;&lt;_modified&gt;63459187&lt;/_modified&gt;&lt;_db_provider&gt;ISI&lt;/_db_provider&gt;&lt;_db_updated&gt;Web of Science-All&lt;/_db_updated&gt;&lt;_accessed&gt;63459189&lt;/_accessed&gt;&lt;/Details&gt;&lt;Extra&gt;&lt;DBUID&gt;{6891F4B0-DCBA-459A-9A22-3059983243D4}&lt;/DBUID&gt;&lt;/Extra&gt;&lt;/Item&gt;&lt;/References&gt;&lt;/Group&gt;&lt;/Citation&gt;_x000a_"/>
    <w:docVar w:name="NE.Ref{7E6DDBEC-F492-4CE5-8E59-3F60BEC67154}" w:val=" ADDIN NE.Ref.{7E6DDBEC-F492-4CE5-8E59-3F60BEC67154}&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7E756D5C-394B-4CA3-BEF4-ADA94262B3C5}" w:val=" ADDIN NE.Ref.{7E756D5C-394B-4CA3-BEF4-ADA94262B3C5}&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7EA46177-6583-421B-B6BD-B9FEB07BA286}" w:val=" ADDIN NE.Ref.{7EA46177-6583-421B-B6BD-B9FEB07BA286}&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7FC731DA-3904-411A-AA77-1CA04550B0E7}" w:val=" ADDIN NE.Ref.{7FC731DA-3904-411A-AA77-1CA04550B0E7}&lt;Citation&gt;&lt;Group&gt;&lt;References&gt;&lt;Item&gt;&lt;ID&gt;1028&lt;/ID&gt;&lt;UID&gt;{5EDA3D6F-C09B-4FC2-9AB6-04CF1F178E32}&lt;/UID&gt;&lt;Title&gt;High-voltage Ride Through Strategy for DFIG Considering Converter Blocking of HVDC System&lt;/Title&gt;&lt;Template&gt;Journal Article&lt;/Template&gt;&lt;Star&gt;0&lt;/Star&gt;&lt;Tag&gt;0&lt;/Tag&gt;&lt;Author&gt;Zhou, C P; Wang, Z; Ju, P; Gan, D Q&lt;/Author&gt;&lt;Year&gt;2020&lt;/Year&gt;&lt;Details&gt;&lt;_alternate_title&gt;JOURNAL OF MODERN POWER SYSTEMS AND CLEAN ENERGY&lt;/_alternate_title&gt;&lt;_author_adr&gt;Zhejiang Univ, Coll Elect Engn, Hangzhou 310027, Peoples R China&lt;/_author_adr&gt;&lt;_cited_count&gt;12&lt;/_cited_count&gt;&lt;_date_display&gt;2020&lt;/_date_display&gt;&lt;_date&gt;2020-01-01&lt;/_date&gt;&lt;_doi&gt;10.35833/mpce.2019.000321&lt;/_doi&gt;&lt;_issue&gt;3&lt;/_issue&gt;&lt;_journal&gt;JOURNAL OF MODERN POWER SYSTEMS AND CLEAN ENERGY&lt;/_journal&gt;&lt;_keywords&gt;Active power de-loading control; high-voltage ride through (HVRT); inductive power absorption; transient overvoltage&lt;/_keywords&gt;&lt;_pages&gt;491-498&lt;/_pages&gt;&lt;_volume&gt;8&lt;/_volume&gt;&lt;_created&gt;64780421&lt;/_created&gt;&lt;_modified&gt;64780423&lt;/_modified&gt;&lt;_db_updated&gt;Web of Science-Core&lt;/_db_updated&gt;&lt;_impact_factor&gt;   4.469&lt;/_impact_factor&gt;&lt;_collection_scope&gt;SCIE;EI&lt;/_collection_scope&gt;&lt;/Details&gt;&lt;Extra&gt;&lt;DBUID&gt;{6891F4B0-DCBA-459A-9A22-3059983243D4}&lt;/DBUID&gt;&lt;/Extra&gt;&lt;/Item&gt;&lt;/References&gt;&lt;/Group&gt;&lt;/Citation&gt;_x000a_"/>
    <w:docVar w:name="NE.Ref{7FD5D586-2228-4E14-BD00-0DC4A81699DF}" w:val=" ADDIN NE.Ref.{7FD5D586-2228-4E14-BD00-0DC4A81699DF}&lt;Citation&gt;&lt;Group&gt;&lt;References&gt;&lt;Item&gt;&lt;ID&gt;435&lt;/ID&gt;&lt;UID&gt;{482B683F-1FD5-4D6A-9DD0-B19E42B4A8E4}&lt;/UID&gt;&lt;Title&gt;Commutation Failure Elimination of LCC HVDC Systems Using Thyristor-Based Controllable Capacitors&lt;/Title&gt;&lt;Template&gt;Journal Article&lt;/Template&gt;&lt;Star&gt;0&lt;/Star&gt;&lt;Tag&gt;0&lt;/Tag&gt;&lt;Author&gt;Xue, Ying; Zhang, Xiao-Ping; Yang, Conghuan&lt;/Author&gt;&lt;Year&gt;2018&lt;/Year&gt;&lt;Details&gt;&lt;_accessed&gt;63446087&lt;/_accessed&gt;&lt;_accession_num&gt;WOS:000429740200044_x000d__x000a_ER&lt;/_accession_num&gt;&lt;_cited_count&gt;18&lt;/_cited_count&gt;&lt;_collection_scope&gt;SCI;SCIE;EI&lt;/_collection_scope&gt;&lt;_created&gt;63444588&lt;/_created&gt;&lt;_date_display&gt;2018, JUN 2018&lt;/_date_display&gt;&lt;_db_provider&gt;ISI&lt;/_db_provider&gt;&lt;_db_updated&gt;CrossRef&lt;/_db_updated&gt;&lt;_doi&gt;10.1109/TPWRD.2017.2776867&lt;/_doi&gt;&lt;_impact_factor&gt;   4.825&lt;/_impact_factor&gt;&lt;_isbn&gt;0885-8977&lt;/_isbn&gt;&lt;_issue&gt;3&lt;/_issue&gt;&lt;_journal&gt;IEEE Transactions on Power Delivery&lt;/_journal&gt;&lt;_modified&gt;64498622&lt;/_modified&gt;&lt;_pages&gt;1448-1458&lt;/_pages&gt;&lt;_tertiary_title&gt;IEEE Trans. Power Delivery&lt;/_tertiary_title&gt;&lt;_url&gt;https://ieeexplore.ieee.org/document/8231202/ _x000d__x000a_http://xplorestaging.ieee.org/ielx7/61/8332909/08231202.pdf?arnumber=8231202 _x000d__x000a_https://ieeexplore.ieee.org/ielx7/61/8332909/08231202.pdf?tp=&amp;amp;arnumber=8231202&amp;amp;isnumber=8332909&amp;amp;ref=aHR0cHM6Ly9pZWVleHBsb3JlLmllZWUub3JnL3Jlc3Qvc2VhcmNo _x000d__x000a_&lt;/_url&gt;&lt;_volume&gt;33&lt;/_volume&gt;&lt;/Details&gt;&lt;Extra&gt;&lt;DBUID&gt;{6891F4B0-DCBA-459A-9A22-3059983243D4}&lt;/DBUID&gt;&lt;/Extra&gt;&lt;/Item&gt;&lt;/References&gt;&lt;/Group&gt;&lt;/Citation&gt;_x000a_"/>
    <w:docVar w:name="NE.Ref{7FDF6F58-27E0-4BB9-B4D2-AE5C9696FE47}" w:val=" ADDIN NE.Ref.{7FDF6F58-27E0-4BB9-B4D2-AE5C9696FE47}&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db_provider&gt;CNKI&lt;/_db_provider&gt;&lt;_isbn&gt;1003-6520&lt;/_isbn&gt;&lt;_issue&gt;05&lt;/_issue&gt;&lt;_journal&gt;高电压技术&lt;/_journal&gt;&lt;_keywords&gt;跨区域;日前优化;双侧不确定;空间集群效应;鲁棒优化;滤子技术;协同进化算法&lt;/_keywords&gt;&lt;_pages&gt;1538-1549&lt;/_pages&gt;&lt;_volume&gt;46&lt;/_volume&gt;&lt;_created&gt;63646522&lt;/_created&gt;&lt;_modified&gt;63646522&lt;/_modified&gt;&lt;_collection_scope&gt;CSCD;PKU;EI&lt;/_collection_scope&gt;&lt;_translated_author&gt;Li, Xiaozhu;Wang, Weiqing;Wang, Haiyun;Wu, Jiahui;Xu, Qidan;Chang, Peng&lt;/_translated_author&gt;&lt;/Details&gt;&lt;Extra&gt;&lt;DBUID&gt;{F96A950B-833F-4880-A151-76DA2D6A2879}&lt;/DBUID&gt;&lt;/Extra&gt;&lt;/Item&gt;&lt;/References&gt;&lt;/Group&gt;&lt;/Citation&gt;_x000a_"/>
    <w:docVar w:name="NE.Ref{804835E3-8A99-41D7-8C4F-355A8D76C479}" w:val=" ADDIN NE.Ref.{804835E3-8A99-41D7-8C4F-355A8D76C479}&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8084AFDA-E37B-4973-B2E7-0312AFC2E8E2}" w:val=" ADDIN NE.Ref.{8084AFDA-E37B-4973-B2E7-0312AFC2E8E2}&lt;Citation&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ion_num&gt;CSCD:6508051&lt;/_accession_num&gt;&lt;_cited_count&gt;0&lt;/_cited_count&gt;&lt;_date_display&gt;2019, 2019&lt;/_date_display&gt;&lt;_isbn&gt;0258-8013&lt;/_isbn&gt;&lt;_issue&gt;11&lt;/_issue&gt;&lt;_journal&gt;Proceedings of the Chinese Society of Electrical Engineering&lt;/_journal&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_created&gt;63459184&lt;/_created&gt;&lt;_modified&gt;63459187&lt;/_modified&gt;&lt;_db_provider&gt;ISI&lt;/_db_provider&gt;&lt;_db_updated&gt;Web of Science-All&lt;/_db_updated&gt;&lt;_accessed&gt;63459187&lt;/_accessed&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UNSP 105492&lt;/_issue&gt;&lt;_journal&gt;INTERNATIONAL JOURNAL OF ELECTRICAL POWER &amp;amp; ENERGY SYSTEMS&lt;/_journal&gt;&lt;_modified&gt;6344603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80DD260A-ACE7-492F-9540-510F9463F4A1}" w:val=" ADDIN NE.Ref.{80DD260A-ACE7-492F-9540-510F9463F4A1}&lt;Citation&gt;&lt;Group&gt;&lt;References&gt;&lt;Item&gt;&lt;ID&gt;431&lt;/ID&gt;&lt;UID&gt;{0EBB3B78-3C17-48FB-9365-253FDA1BA525}&lt;/UID&gt;&lt;Title&gt;考虑虚拟电厂的电力系统多目标优化及政策模拟&lt;/Title&gt;&lt;Template&gt;Thesis&lt;/Template&gt;&lt;Star&gt;0&lt;/Star&gt;&lt;Tag&gt;0&lt;/Tag&gt;&lt;Author&gt;霍慧娟&lt;/Author&gt;&lt;Year&gt;2018&lt;/Year&gt;&lt;Details&gt;&lt;_created&gt;63648557&lt;/_created&gt;&lt;_db_provider&gt;CNKI&lt;/_db_provider&gt;&lt;_keywords&gt;虚拟电厂;经济调度;环境价值;双层随机优化;系统动力学&lt;/_keywords&gt;&lt;_modified&gt;63648557&lt;/_modified&gt;&lt;_publisher&gt;华北电力大学(北京)&lt;/_publisher&gt;&lt;_tertiary_author&gt;董军&lt;/_tertiary_author&gt;&lt;_type_work&gt;博士&lt;/_type_work&gt;&lt;_translated_author&gt;Huo, Huijuan&lt;/_translated_author&gt;&lt;_translated_tertiary_author&gt;Dong, Jun&lt;/_translated_tertiary_author&gt;&lt;/Details&gt;&lt;Extra&gt;&lt;DBUID&gt;{F96A950B-833F-4880-A151-76DA2D6A2879}&lt;/DBUID&gt;&lt;/Extra&gt;&lt;/Item&gt;&lt;/References&gt;&lt;/Group&gt;&lt;/Citation&gt;_x000a_"/>
    <w:docVar w:name="NE.Ref{811B9332-DF42-4E7D-BFF1-C1DBB505C6B1}" w:val=" ADDIN NE.Ref.{811B9332-DF42-4E7D-BFF1-C1DBB505C6B1}&lt;Citation&gt;&lt;Group&gt;&lt;References&gt;&lt;Item&gt;&lt;ID&gt;607&lt;/ID&gt;&lt;UID&gt;{1F564F4B-99B4-4B82-A1C7-4DFA70BB5EA1}&lt;/UID&gt;&lt;Title&gt;Decomposition for large-scale global optimization based on quantified variable correlations uncovered by metamodelling&lt;/Title&gt;&lt;Template&gt;Journal Article&lt;/Template&gt;&lt;Star&gt;0&lt;/Star&gt;&lt;Tag&gt;0&lt;/Tag&gt;&lt;Author&gt;Hajikolaei, Kambiz Haji; Pirmoradi, Zhila; Cheng, George H; Wang, G Gary&lt;/Author&gt;&lt;Year&gt;2015&lt;/Year&gt;&lt;Details&gt;&lt;_collection_scope&gt;SCIE;EI&lt;/_collection_scope&gt;&lt;_created&gt;63705196&lt;/_created&gt;&lt;_impact_factor&gt;   2.165&lt;/_impact_factor&gt;&lt;_issue&gt;4&lt;/_issue&gt;&lt;_journal&gt;Engineering Optimization&lt;/_journal&gt;&lt;_modified&gt;63705196&lt;/_modified&gt;&lt;_pages&gt;1-30&lt;/_pages&gt;&lt;_volume&gt;47&lt;/_volume&gt;&lt;/Details&gt;&lt;Extra&gt;&lt;DBUID&gt;{F96A950B-833F-4880-A151-76DA2D6A2879}&lt;/DBUID&gt;&lt;/Extra&gt;&lt;/Item&gt;&lt;/References&gt;&lt;/Group&gt;&lt;/Citation&gt;_x000a_"/>
    <w:docVar w:name="NE.Ref{819CE131-DCFF-4202-A85F-D5772DC3C9DD}" w:val=" ADDIN NE.Ref.{819CE131-DCFF-4202-A85F-D5772DC3C9DD}&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59153&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745&lt;/_impact_factor&gt;&lt;_isbn&gt;2169-3536&lt;/_isbn&gt;&lt;_journal&gt;IEEE ACCESS&lt;/_journal&gt;&lt;_modified&gt;63446040&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Citation&gt;_x000a_"/>
    <w:docVar w:name="NE.Ref{8343BDE4-93E1-4546-AA8B-D73BEED017BD}" w:val=" ADDIN NE.Ref.{8343BDE4-93E1-4546-AA8B-D73BEED017BD}&lt;Citation&gt;&lt;Group&gt;&lt;References&gt;&lt;Item&gt;&lt;ID&gt;130&lt;/ID&gt;&lt;UID&gt;{8041213B-CD5E-4D19-85D6-F8FA64E0DCAC}&lt;/UID&gt;&lt;Title&gt;考虑源荷低碳特性互补的含风电电力系统经济调度&lt;/Title&gt;&lt;Template&gt;Journal Article&lt;/Template&gt;&lt;Star&gt;0&lt;/Star&gt;&lt;Tag&gt;0&lt;/Tag&gt;&lt;Author&gt;崔杨; 邓贵波; 赵钰婷; 仲悟之; 唐耀华; 刘新元&lt;/Author&gt;&lt;Year&gt;2021&lt;/Year&gt;&lt;Details&gt;&lt;_language&gt;Chinese&lt;/_language&gt;&lt;_created&gt;64322963&lt;/_created&gt;&lt;_modified&gt;64322963&lt;/_modified&gt;&lt;_url&gt;https://kns.cnki.net/kcms/detail/detail.aspx?FileName=ZGDC202114007&amp;amp;DbName=DKFX2021&lt;/_url&gt;&lt;_journal&gt;中国电机工程学报&lt;/_journal&gt;&lt;_volume&gt;41&lt;/_volume&gt;&lt;_issue&gt;14&lt;/_issue&gt;&lt;_pages&gt;4799-4815&lt;/_pages&gt;&lt;_cited_count&gt;3&lt;/_cited_count&gt;&lt;_date&gt;63878400&lt;/_date&gt;&lt;_keywords&gt;低碳;碳捕集电厂;风电;需求响应;综合成本&lt;/_keywords&gt;&lt;_author_aff&gt;现代电力系统仿真控制与绿色电能新技术教育部重点实验室(东北电力大学);中国电力科学研究院有限公司;润电能源科学技术有限公司;国网山西省电力科学研究院;&lt;/_author_aff&gt;&lt;_accessed&gt;64322963&lt;/_accessed&gt;&lt;_db_updated&gt;CNKI - Reference&lt;/_db_updated&gt;&lt;_collection_scope&gt;CSCD;PKU;EI&lt;/_collection_scope&gt;&lt;_translated_author&gt;Cui, Yang;Deng, Guibo;Zhao, Yuting;Zhong, Wuzhi;Tang, Yaohua;Liu, Xinyuan&lt;/_translated_author&gt;&lt;/Details&gt;&lt;Extra&gt;&lt;DBUID&gt;{560D5FFD-5A46-4EB8-859B-FD657304A42E}&lt;/DBUID&gt;&lt;/Extra&gt;&lt;/Item&gt;&lt;/References&gt;&lt;/Group&gt;&lt;/Citation&gt;_x000a_"/>
    <w:docVar w:name="NE.Ref{8411E350-C3DC-4320-A5B4-F9A1BF199093}" w:val=" ADDIN NE.Ref.{8411E350-C3DC-4320-A5B4-F9A1BF199093}&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Citation&gt;_x000a_"/>
    <w:docVar w:name="NE.Ref{844A3985-7C5E-4726-95FB-A60D5512CDF1}" w:val=" ADDIN NE.Ref.{844A3985-7C5E-4726-95FB-A60D5512CDF1}&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Citation&gt;_x000a_"/>
    <w:docVar w:name="NE.Ref{850DBCC5-8F60-4321-B97B-D39CEFBF3F23}" w:val=" ADDIN NE.Ref.{850DBCC5-8F60-4321-B97B-D39CEFBF3F23}&lt;Citation&gt;&lt;Group&gt;&lt;References&gt;&lt;Item&gt;&lt;ID&gt;54&lt;/ID&gt;&lt;UID&gt;{52395079-C75E-4B08-8F9F-6BF05F3F845A}&lt;/UID&gt;&lt;Title&gt;鲁棒优化在电力系统调度决策中的应用研究综述&lt;/Title&gt;&lt;Template&gt;Journal Article&lt;/Template&gt;&lt;Star&gt;0&lt;/Star&gt;&lt;Tag&gt;0&lt;/Tag&gt;&lt;Author&gt;于丹文; 杨明; 翟鹤峰; 韩学山&lt;/Author&gt;&lt;Year&gt;2016&lt;/Year&gt;&lt;Details&gt;&lt;_accessed&gt;64320413&lt;/_accessed&gt;&lt;_author_aff&gt;电网智能化调度与控制教育部重点实验室(山东大学);&lt;/_author_aff&gt;&lt;_collection_scope&gt;CSCD;PKU;EI&lt;/_collection_scope&gt;&lt;_created&gt;64100010&lt;/_created&gt;&lt;_date&gt;61153920&lt;/_date&gt;&lt;_db_updated&gt;CNKI - Reference&lt;/_db_updated&gt;&lt;_issue&gt;07&lt;/_issue&gt;&lt;_journal&gt;电力系统自动化&lt;/_journal&gt;&lt;_keywords&gt;鲁棒优化;调度决策;机组组合;经济调度&lt;/_keywords&gt;&lt;_language&gt;Chinese&lt;/_language&gt;&lt;_modified&gt;64303994&lt;/_modified&gt;&lt;_pages&gt;134-143+148&lt;/_pages&gt;&lt;_url&gt;https://kns.cnki.net/kcms/detail/detail.aspx?FileName=DLXT201607020&amp;amp;DbName=CJFQ2016&lt;/_url&gt;&lt;_volume&gt;40&lt;/_volume&gt;&lt;_translated_author&gt;Yu, Danwen;Yang, Ming;Zhai, Hefeng;Han, Xueshan&lt;/_translated_author&gt;&lt;/Details&gt;&lt;Extra&gt;&lt;DBUID&gt;{560D5FFD-5A46-4EB8-859B-FD657304A42E}&lt;/DBUID&gt;&lt;/Extra&gt;&lt;/Item&gt;&lt;/References&gt;&lt;/Group&gt;&lt;/Citation&gt;_x000a_"/>
    <w:docVar w:name="NE.Ref{857008A7-C377-419A-994A-16F682D33646}" w:val=" ADDIN NE.Ref.{857008A7-C377-419A-994A-16F682D33646}&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85BB625C-0156-43C5-9F30-A192FC7CB0F0}" w:val=" ADDIN NE.Ref.{85BB625C-0156-43C5-9F30-A192FC7CB0F0}&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64&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_created&gt;64646900&lt;/_created&gt;&lt;_modified&gt;64646901&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87ADE4E4-12F3-4969-B583-747AFBCDD499}" w:val=" ADDIN NE.Ref.{87ADE4E4-12F3-4969-B583-747AFBCDD499}&lt;Citation&gt;&lt;Group&gt;&lt;References&gt;&lt;Item&gt;&lt;ID&gt;644&lt;/ID&gt;&lt;UID&gt;{A1B7B564-9E0B-4A48-AA5A-163DF6E045F1}&lt;/UID&gt;&lt;Title&gt;Planning multiple energy systems for low-carbon districts with high penetration of renewable energy: An empirical study in China&lt;/Title&gt;&lt;Template&gt;Journal Article&lt;/Template&gt;&lt;Star&gt;0&lt;/Star&gt;&lt;Tag&gt;0&lt;/Tag&gt;&lt;Author&gt;Cheng, Yaohua; Zhang, Ning; Kirschen, Daniel S; Huang, Wujing; Kang, Chongqing&lt;/Author&gt;&lt;Year&gt;2020&lt;/Year&gt;&lt;Details&gt;&lt;_journal&gt;Applied Energy&lt;/_journal&gt;&lt;_pages&gt;114390&lt;/_pages&gt;&lt;_volume&gt;261&lt;/_volume&gt;&lt;_created&gt;63705606&lt;/_created&gt;&lt;_modified&gt;63705606&lt;/_modified&gt;&lt;_impact_factor&gt;   8.848&lt;/_impact_factor&gt;&lt;_collection_scope&gt;SCI;SCIE;EI&lt;/_collection_scope&gt;&lt;/Details&gt;&lt;Extra&gt;&lt;DBUID&gt;{F96A950B-833F-4880-A151-76DA2D6A2879}&lt;/DBUID&gt;&lt;/Extra&gt;&lt;/Item&gt;&lt;/References&gt;&lt;/Group&gt;&lt;/Citation&gt;_x000a_"/>
    <w:docVar w:name="NE.Ref{88158F98-59A5-4810-9528-9A0A53842ADB}" w:val=" ADDIN NE.Ref.{88158F98-59A5-4810-9528-9A0A53842ADB}&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8852CCC6-FA18-4B52-9273-428D167A7A44}" w:val=" ADDIN NE.Ref.{8852CCC6-FA18-4B52-9273-428D167A7A44}&lt;Citation&gt;&lt;Group&gt;&lt;References&gt;&lt;Item&gt;&lt;ID&gt;886&lt;/ID&gt;&lt;UID&gt;{5493524B-56F1-4053-B9BE-BE4D8B75B3C8}&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ccessed&gt;64651006&lt;/_accessed&gt;&lt;_alternate_title&gt;INTERNATIONAL JOURNAL OF ELECTRICAL POWER &amp;amp; ENERGY SYSTEMS&lt;/_alternate_title&gt;&lt;_author_adr&gt;Xinjiang Univ, Sch Elect Engn, Urumqi, Peoples R China&lt;/_author_adr&gt;&lt;_cited_count&gt;2&lt;/_cited_count&gt;&lt;_collection_scope&gt;SCIE;EI&lt;/_collection_scope&gt;&lt;_created&gt;64649804&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649806&lt;/_modified&gt;&lt;_volume&gt;131&lt;/_volume&gt;&lt;/Details&gt;&lt;Extra&gt;&lt;DBUID&gt;{6891F4B0-DCBA-459A-9A22-3059983243D4}&lt;/DBUID&gt;&lt;/Extra&gt;&lt;/Item&gt;&lt;/References&gt;&lt;/Group&gt;&lt;/Citation&gt;_x000a_"/>
    <w:docVar w:name="NE.Ref{88D20629-1395-4EB0-812D-0190D55FC0C1}" w:val=" ADDIN NE.Ref.{88D20629-1395-4EB0-812D-0190D55FC0C1}&lt;Citation&gt;&lt;Group&gt;&lt;References&gt;&lt;Item&gt;&lt;ID&gt;643&lt;/ID&gt;&lt;UID&gt;{953E367F-5AFE-4602-A4E0-A38CBF3A11B9}&lt;/UID&gt;&lt;Title&gt;A Distributed Control Architecture for Global System Economic Operation in Autonomous Hybrid AC/DC Microgrids&lt;/Title&gt;&lt;Template&gt;Journal Article&lt;/Template&gt;&lt;Star&gt;0&lt;/Star&gt;&lt;Tag&gt;0&lt;/Tag&gt;&lt;Author&gt;Lin, Pengfeng; Jin, Chi; Xiao, Jianfang; Li, Xiaoqiang; Shi, Donghan; Tang, Yi; Wang, Peng&lt;/Author&gt;&lt;Year&gt;2018&lt;/Year&gt;&lt;Details&gt;&lt;_journal&gt;Smart Grid, IEEE Transactions on&lt;/_journal&gt;&lt;_created&gt;63705592&lt;/_created&gt;&lt;_modified&gt;63705592&lt;/_modified&gt;&lt;/Details&gt;&lt;Extra&gt;&lt;DBUID&gt;{F96A950B-833F-4880-A151-76DA2D6A2879}&lt;/DBUID&gt;&lt;/Extra&gt;&lt;/Item&gt;&lt;/References&gt;&lt;/Group&gt;&lt;/Citation&gt;_x000a_"/>
    <w:docVar w:name="NE.Ref{891E679C-B668-4F30-B604-93B8F9A5A61F}" w:val=" ADDIN NE.Ref.{891E679C-B668-4F30-B604-93B8F9A5A61F}&lt;Citation&gt;&lt;Group&gt;&lt;References&gt;&lt;Item&gt;&lt;ID&gt;486&lt;/ID&gt;&lt;UID&gt;{574D1813-A53B-45B1-AF36-3055B27AE56A}&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0782&lt;/_created&gt;&lt;_journal&gt;International journal of electrical power and energy systems&lt;/_journal&gt;&lt;_modified&gt;63650782&lt;/_modified&gt;&lt;/Details&gt;&lt;Extra&gt;&lt;DBUID&gt;{F96A950B-833F-4880-A151-76DA2D6A2879}&lt;/DBUID&gt;&lt;/Extra&gt;&lt;/Item&gt;&lt;/References&gt;&lt;/Group&gt;&lt;/Citation&gt;_x000a_"/>
    <w:docVar w:name="NE.Ref{8934D1EC-696B-4B5A-8B2C-53EB75A5F35D}" w:val=" ADDIN NE.Ref.{8934D1EC-696B-4B5A-8B2C-53EB75A5F35D}&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8962EF8B-582A-4BEC-899D-ECC8010FCA78}" w:val=" ADDIN NE.Ref.{8962EF8B-582A-4BEC-899D-ECC8010FCA78}&lt;Citation&gt;&lt;Group&gt;&lt;References&gt;&lt;Item&gt;&lt;ID&gt;93&lt;/ID&gt;&lt;UID&gt;{050EE12A-708A-4C23-87DA-0F9759E57126}&lt;/UID&gt;&lt;Title&gt;Impact of Energy Storage on Security-Constrained Unit Commitment of Power System with Wind Power Integration&lt;/Title&gt;&lt;Template&gt;Conference Proceedings&lt;/Template&gt;&lt;Star&gt;1&lt;/Star&gt;&lt;Tag&gt;0&lt;/Tag&gt;&lt;Author&gt;Xi, Yanna; Song, Baotong; Li, Wei; Zhang, Hongyu; Wang, Fangmin&lt;/Author&gt;&lt;Year&gt;2020&lt;/Year&gt;&lt;Details&gt;&lt;_accessed&gt;64355827&lt;/_accessed&gt;&lt;_created&gt;64303838&lt;/_created&gt;&lt;_date&gt;63113760&lt;/_date&gt;&lt;_date_display&gt;2020&lt;/_date_display&gt;&lt;_db_updated&gt;PKU Search&lt;/_db_updated&gt;&lt;_doi&gt;10.1109/EI250167.2020.9347377&lt;/_doi&gt;&lt;_keywords&gt;Analytical models; Energy storage; Load modeling; Systems operation; unit commitment; Wind forecasting; wind power; Wind power generation; Wind turbines&lt;/_keywords&gt;&lt;_modified&gt;64303840&lt;/_modified&gt;&lt;_number&gt;1&lt;/_number&gt;&lt;_pages&gt;988-993&lt;/_pages&gt;&lt;_publisher&gt;IEEE&lt;/_publisher&gt;&lt;_url&gt;http://pku.summon.serialssolutions.com/2.0.0/link/0/eLvHCXMwlV1dS8MwFA3bnnxS2cRv8gPsljZtPp6lw4nCYAPBl5E0NzCUdoj7_96kYaL44lsJ_YBccu85ac49hPBiyrJfOQFKL72uPOcaEQpvGleZRnjupTCCuyBOfn1WT8tiXlePA3J3kMYAQDyLBtNwGX_tu67Zh52zmeal5FIOyVAx1Uu3kkYnZ3pWL7C650IiByzYNN37w0MllpD58f--dkIm31o8ujxUmVMygHZM3hdR3Eg7T-so3qMr5M6YGmjX0lWypMuCGWe0gABHA7akQQ2yjcfKw5PLYJBG-5blNOzH0hck6Gl4kdpIYNgmZD2v1_cPWfJNyLZY3zMQwgplS1M6l3Oba2gQR9hCulwrAxIAMaHivNQW8Z1SBheiR9pSgGXWQcXPyKjtWjgn1FujJOTCS6bKCoy1SLAkvh1JVsWMvSDjMFGbXd8ZY5Pm6PLv4StyFGIRMz-7JqPPjz3ckOHubX8bg_cFnU2iXQ&lt;/_url&gt;&lt;/Details&gt;&lt;Extra&gt;&lt;DBUID&gt;{560D5FFD-5A46-4EB8-859B-FD657304A42E}&lt;/DBUID&gt;&lt;/Extra&gt;&lt;/Item&gt;&lt;/References&gt;&lt;/Group&gt;&lt;/Citation&gt;_x000a_"/>
    <w:docVar w:name="NE.Ref{8ACF2F50-3E83-4364-8646-163D06033573}" w:val=" ADDIN NE.Ref.{8ACF2F50-3E83-4364-8646-163D06033573}&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publisher&gt;科学出版社&lt;/_publisher&gt;&lt;_created&gt;63641861&lt;/_created&gt;&lt;_modified&gt;63641861&lt;/_modified&gt;&lt;_translated_author&gt;Wu, Lianghong;Wang, Yaonan&lt;/_translated_author&gt;&lt;/Details&gt;&lt;Extra&gt;&lt;DBUID&gt;{F96A950B-833F-4880-A151-76DA2D6A2879}&lt;/DBUID&gt;&lt;/Extra&gt;&lt;/Item&gt;&lt;/References&gt;&lt;/Group&gt;&lt;/Citation&gt;_x000a_"/>
    <w:docVar w:name="NE.Ref{8B33654E-4DFA-459C-8285-9E48AC31B9D6}" w:val=" ADDIN NE.Ref.{8B33654E-4DFA-459C-8285-9E48AC31B9D6}&lt;Citation&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7185&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7185&lt;/_modified&gt;&lt;_pages&gt;3528-3537&lt;/_pages&gt;&lt;_tertiary_title&gt;High Voltage Engineering&lt;/_tertiary_title&gt;&lt;_translated_author&gt;ZHANG, Qirui; LI, Fengting; YIN, Chunya; LIU, Jiangshan; CHEN, Ruikang&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1027&lt;/ID&gt;&lt;UID&gt;{7EB40DED-9A13-4309-BBAF-0EEB41AD0266}&lt;/UID&gt;&lt;Title&gt;多直流协调的新能源送端地区暂态过电压抑制策略&lt;/Title&gt;&lt;Template&gt;Journal Article&lt;/Template&gt;&lt;Star&gt;0&lt;/Star&gt;&lt;Tag&gt;0&lt;/Tag&gt;&lt;Author&gt;张起瑞; 辛超山; 李凤婷; 尹纯亚; 刘江山; 李源&lt;/Author&gt;&lt;Year&gt;2023&lt;/Year&gt;&lt;Details&gt;&lt;_author_aff&gt;新疆大学电气工程学院;中国电建集团成都勘测设计研究院有限公司;国网新疆电力有限公司经济技术研究院;&lt;/_author_aff&gt;&lt;_date&gt;2023-01-28&lt;/_date&gt;&lt;_issue&gt;01&lt;/_issue&gt;&lt;_journal&gt;电力工程技术&lt;/_journal&gt;&lt;_keywords&gt;高比例新能源;调相机;多直流送端系统;暂态过电压;直流控制策略;直流闭锁&lt;/_keywords&gt;&lt;_pages&gt;98-106&lt;/_pages&gt;&lt;_url&gt;https://kns.cnki.net/kcms/detail/detail.aspx?FileName=JSDJ202301013&amp;amp;DbName=CJFQTEMP&lt;/_url&gt;&lt;_volume&gt;42&lt;/_volume&gt;&lt;_created&gt;64780419&lt;/_created&gt;&lt;_modified&gt;64780419&lt;/_modified&gt;&lt;_db_updated&gt;CNKI - Reference&lt;/_db_updated&gt;&lt;_translated_author&gt;Zhang, Qirui;Xin, Chaoshan;Li, Fengting;Yin, Chunya;Liu, Jiangshan;Li, Yuan&lt;/_translated_author&gt;&lt;/Details&gt;&lt;Extra&gt;&lt;DBUID&gt;{6891F4B0-DCBA-459A-9A22-3059983243D4}&lt;/DBUID&gt;&lt;/Extra&gt;&lt;/Item&gt;&lt;/References&gt;&lt;/Group&gt;&lt;/Citation&gt;_x000a_"/>
    <w:docVar w:name="NE.Ref{8B37AABB-A6D6-4F57-B2AC-73F26C150916}" w:val=" ADDIN NE.Ref.{8B37AABB-A6D6-4F57-B2AC-73F26C150916}&lt;Citation&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UNSP 105492&lt;/_issue&gt;&lt;_journal&gt;INTERNATIONAL JOURNAL OF ELECTRICAL POWER &amp;amp; ENERGY SYSTEMS&lt;/_journal&gt;&lt;_modified&gt;6344603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ion_num&gt;CSCD:6508051&lt;/_accession_num&gt;&lt;_cited_count&gt;0&lt;/_cited_count&gt;&lt;_date_display&gt;2019, 2019&lt;/_date_display&gt;&lt;_isbn&gt;0258-8013&lt;/_isbn&gt;&lt;_issue&gt;0258-8013(2019)39:11&amp;lt;3107:DXJZLH&amp;gt;2.0.TX;2-611&lt;/_issue&gt;&lt;_journal&gt;Proceedings of the Chinese Society of Electrical Engineering&lt;/_journal&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_created&gt;63459184&lt;/_created&gt;&lt;_modified&gt;63459184&lt;/_modified&gt;&lt;_db_provider&gt;ISI&lt;/_db_provider&gt;&lt;_db_updated&gt;Web of Science-All&lt;/_db_updated&gt;&lt;/Details&gt;&lt;Extra&gt;&lt;DBUID&gt;{6891F4B0-DCBA-459A-9A22-3059983243D4}&lt;/DBUID&gt;&lt;/Extra&gt;&lt;/Item&gt;&lt;/References&gt;&lt;/Group&gt;&lt;/Citation&gt;_x000a_"/>
    <w:docVar w:name="NE.Ref{8C0D26EA-A647-4AB7-B3DB-07A64CBF4379}" w:val=" ADDIN NE.Ref.{8C0D26EA-A647-4AB7-B3DB-07A64CBF4379}&lt;Citation&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ed&gt;63459189&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Power System Technology&lt;/_journal&gt;&lt;_modified&gt;63480624&lt;/_modified&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Details&gt;&lt;Extra&gt;&lt;DBUID&gt;{6891F4B0-DCBA-459A-9A22-3059983243D4}&lt;/DBUID&gt;&lt;/Extra&gt;&lt;/Item&gt;&lt;/References&gt;&lt;/Group&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8064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Citation&gt;_x000a_"/>
    <w:docVar w:name="NE.Ref{8D1EE97C-F01C-4480-AC44-23F7E7CF9600}" w:val=" ADDIN NE.Ref.{8D1EE97C-F01C-4480-AC44-23F7E7CF9600}&lt;Citation&gt;&lt;Group&gt;&lt;References&gt;&lt;Item&gt;&lt;ID&gt;672&lt;/ID&gt;&lt;UID&gt;{37970E9E-E00F-4730-A820-EA20302E6C20}&lt;/UID&gt;&lt;Title&gt;A Predictive Method of LCC-HVDC Continuous Commutation Failure Based on Threshold Commutation Voltage Under Grid Fault&lt;/Title&gt;&lt;Template&gt;Journal Article&lt;/Template&gt;&lt;Star&gt;0&lt;/Star&gt;&lt;Tag&gt;0&lt;/Tag&gt;&lt;Author&gt;Ouyang, J X; Zhang, Z; Li, M Y; Pang, M Y; Xiong, X F; Diao, Y B&lt;/Author&gt;&lt;Year&gt;2021&lt;/Year&gt;&lt;Details&gt;&lt;_alternate_title&gt;IEEE TRANSACTIONS ON POWER SYSTEMS&lt;/_alternate_title&gt;&lt;_author_adr&gt;Chongqing Univ, State Key Lab Power Transmiss Equipment &amp;amp; Syst Se, Sch Elect Engn, Chongqing 400044, Peoples R China; Chongqing City Management Coll, Chongqing 400044, Peoples R China&lt;/_author_adr&gt;&lt;_cited_count&gt;10&lt;/_cited_count&gt;&lt;_collection_scope&gt;SCI;SCIE;EI&lt;/_collection_scope&gt;&lt;_created&gt;64494413&lt;/_created&gt;&lt;_date&gt;2021-01-01&lt;/_date&gt;&lt;_date_display&gt;2021&lt;/_date_display&gt;&lt;_db_updated&gt;Web of Science-Core&lt;/_db_updated&gt;&lt;_doi&gt;10.1109/TPWRS.2020.3001939&lt;/_doi&gt;&lt;_impact_factor&gt;   7.326&lt;/_impact_factor&gt;&lt;_issue&gt;1&lt;/_issue&gt;&lt;_journal&gt;IEEE TRANSACTIONS ON POWER SYSTEMS&lt;/_journal&gt;&lt;_keywords&gt;Threshold voltage; Inverters; Valves; HVDC transmission; Power grids; Process control; Control systems; HVDC transmission; continuous commutation failure; AC grid faults; predictive method; threshold voltage&lt;/_keywords&gt;&lt;_modified&gt;64788150&lt;/_modified&gt;&lt;_pages&gt;118-126&lt;/_pages&gt;&lt;_volume&gt;36&lt;/_volume&gt;&lt;_url&gt;https://ieeexplore.ieee.org/stampPDF/getPDF.jsp?tp=&amp;amp;arnumber=9115857&amp;amp;ref=aHR0cHM6Ly9pZWVleHBsb3JlLmllZWUub3JnL3Jlc3Qvc2VhcmNo _x000d__x000a_&lt;/_url&gt;&lt;/Details&gt;&lt;Extra&gt;&lt;DBUID&gt;{6891F4B0-DCBA-459A-9A22-3059983243D4}&lt;/DBUID&gt;&lt;/Extra&gt;&lt;/Item&gt;&lt;/References&gt;&lt;/Group&gt;&lt;/Citation&gt;_x000a_"/>
    <w:docVar w:name="NE.Ref{8D56DB33-2963-4DAB-806E-D4A457F3E88A}" w:val=" ADDIN NE.Ref.{8D56DB33-2963-4DAB-806E-D4A457F3E88A}&lt;Citation&gt;&lt;Group&gt;&lt;References&gt;&lt;Item&gt;&lt;ID&gt;417&lt;/ID&gt;&lt;UID&gt;{E82C69FF-EF5E-4BFC-B9B9-885F8BDB0005}&lt;/UID&gt;&lt;Title&gt;基于引力搜索算法的水火电短期优化调度方法&lt;/Title&gt;&lt;Template&gt;Thesis&lt;/Template&gt;&lt;Star&gt;0&lt;/Star&gt;&lt;Tag&gt;0&lt;/Tag&gt;&lt;Author&gt;田昊&lt;/Author&gt;&lt;Year&gt;2014&lt;/Year&gt;&lt;Details&gt;&lt;_created&gt;63642784&lt;/_created&gt;&lt;_db_provider&gt;CNKI&lt;/_db_provider&gt;&lt;_keywords&gt;水火电系统;节能环保;多目标优化;引力搜索算法;约束处理策略&lt;/_keywords&gt;&lt;_modified&gt;63642784&lt;/_modified&gt;&lt;_publisher&gt;华中科技大学&lt;/_publisher&gt;&lt;_tertiary_author&gt;袁晓辉&lt;/_tertiary_author&gt;&lt;_type_work&gt;硕士&lt;/_type_work&gt;&lt;_translated_author&gt;Tian, Hao&lt;/_translated_author&gt;&lt;_translated_tertiary_author&gt;Yuan, Xiaohui&lt;/_translated_tertiary_author&gt;&lt;/Details&gt;&lt;Extra&gt;&lt;DBUID&gt;{F96A950B-833F-4880-A151-76DA2D6A2879}&lt;/DBUID&gt;&lt;/Extra&gt;&lt;/Item&gt;&lt;/References&gt;&lt;/Group&gt;&lt;/Citation&gt;_x000a_"/>
    <w:docVar w:name="NE.Ref{8E659144-70CC-46BA-A86E-A073C308DDFE}" w:val=" ADDIN NE.Ref.{8E659144-70CC-46BA-A86E-A073C308DDFE}&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8E78FC29-B8B2-4A05-A881-6F3545EECEA3}" w:val=" ADDIN NE.Ref.{8E78FC29-B8B2-4A05-A881-6F3545EECEA3}&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5700&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6.373&lt;/_impact_factor&gt;&lt;_isbn&gt;0885-8993&lt;/_isbn&gt;&lt;_issue&gt;1&lt;/_issue&gt;&lt;_journal&gt;IEEE TRANSACTIONS ON POWER ELECTRONICS&lt;/_journal&gt;&lt;_modified&gt;634460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8EB5A6F6-1318-45CB-9231-20FEF4E0420F}" w:val=" ADDIN NE.Ref.{8EB5A6F6-1318-45CB-9231-20FEF4E0420F}&lt;Citation&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8F00CAC5-5E28-4055-874C-CBF94AC2F3E9}" w:val=" ADDIN NE.Ref.{8F00CAC5-5E28-4055-874C-CBF94AC2F3E9}&lt;Citation&gt;&lt;Group&gt;&lt;References&gt;&lt;Item&gt;&lt;ID&gt;436&lt;/ID&gt;&lt;UID&gt;{E4A3F548-3B9A-42BF-ADBE-5529F178C15D}&lt;/UID&gt;&lt;Title&gt;基于鲁棒优化的风光储联合发电系统储能配置策略&lt;/Title&gt;&lt;Template&gt;Journal Article&lt;/Template&gt;&lt;Star&gt;0&lt;/Star&gt;&lt;Tag&gt;0&lt;/Tag&gt;&lt;Author&gt;李笑竹; 王维庆; 王海云; 樊小朝; 武家辉; 王开科&lt;/Author&gt;&lt;Year&gt;2020&lt;/Year&gt;&lt;Details&gt;&lt;_author_adr&gt;新疆大学可再生能源发电与并网技术教育部工程研究中心;国网新疆电力公司电力科学研究院;&lt;/_author_adr&gt;&lt;_collection_scope&gt;CSCD;PKU;EI&lt;/_collection_scope&gt;&lt;_created&gt;63649294&lt;/_created&gt;&lt;_db_provider&gt;CNKI&lt;/_db_provider&gt;&lt;_isbn&gt;0254-0096&lt;/_isbn&gt;&lt;_issue&gt;08&lt;/_issue&gt;&lt;_journal&gt;太阳能学报&lt;/_journal&gt;&lt;_keywords&gt;鲁棒性;发电系统规划;储能配置;最优决策;飞蛾扑火算法;风光储&lt;/_keywords&gt;&lt;_modified&gt;63649294&lt;/_modified&gt;&lt;_pages&gt;67-78&lt;/_pages&gt;&lt;_volume&gt;41&lt;/_volume&gt;&lt;_translated_author&gt;Li, Xiaozhu;Wang, Weiqing;Wang, Haiyun;Fan, Xiaochao;Wu, Jiahui;Wang, Kaike&lt;/_translated_author&gt;&lt;/Details&gt;&lt;Extra&gt;&lt;DBUID&gt;{F96A950B-833F-4880-A151-76DA2D6A2879}&lt;/DBUID&gt;&lt;/Extra&gt;&lt;/Item&gt;&lt;/References&gt;&lt;/Group&gt;&lt;/Citation&gt;_x000a_"/>
    <w:docVar w:name="NE.Ref{8F2335D7-1658-4EBA-810F-D39D6AAA85F7}" w:val=" ADDIN NE.Ref.{8F2335D7-1658-4EBA-810F-D39D6AAA85F7}&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8FF659EE-A033-457E-9036-A2C97F8CACFC}" w:val=" ADDIN NE.Ref.{8FF659EE-A033-457E-9036-A2C97F8CACFC}&lt;Citation&gt;&lt;Group&gt;&lt;References&gt;&lt;Item&gt;&lt;ID&gt;612&lt;/ID&gt;&lt;UID&gt;{C131EFD7-F702-4EDA-AF35-9D5E518A16C4}&lt;/UID&gt;&lt;Title&gt;Game theory based interactive demand side management responding to dynamic pricing in price-based demand response of smart grids&lt;/Title&gt;&lt;Template&gt;Journal Article&lt;/Template&gt;&lt;Star&gt;0&lt;/Star&gt;&lt;Tag&gt;0&lt;/Tag&gt;&lt;Author&gt;Tang, Rui; Wang, Shengwei; Li, Hangxin&lt;/Author&gt;&lt;Year&gt;2019&lt;/Year&gt;&lt;Details&gt;&lt;_accession_num&gt;WOS:000482244000011_x000d__x000a_ER&lt;/_accession_num&gt;&lt;_cited_count&gt;25&lt;/_cited_count&gt;&lt;_collection_scope&gt;SCI;SCIE;EI&lt;/_collection_scope&gt;&lt;_created&gt;63705314&lt;/_created&gt;&lt;_date_display&gt;2019, SEP 15 2019&lt;/_date_display&gt;&lt;_db_provider&gt;ISI&lt;/_db_provider&gt;&lt;_doi&gt;10.1016/j.apenergy.2019.04.177&lt;/_doi&gt;&lt;_impact_factor&gt;   8.848&lt;/_impact_factor&gt;&lt;_isbn&gt;0306-2619&lt;/_isbn&gt;&lt;_journal&gt;APPLIED ENERGY&lt;/_journal&gt;&lt;_modified&gt;63705314&lt;/_modified&gt;&lt;_pages&gt;118-130&lt;/_pages&gt;&lt;_url&gt;http://gateway.isiknowledge.com/gateway/Gateway.cgi?GWVersion=2&amp;amp;SrcAuth=AegeanSoftware&amp;amp;SrcApp=NoteExpress&amp;amp;DestLinkType=FullRecord&amp;amp;DestApp=WOS&amp;amp;KeyUT=000482244000011&lt;/_url&gt;&lt;_volume&gt;250&lt;/_volume&gt;&lt;/Details&gt;&lt;Extra&gt;&lt;DBUID&gt;{F96A950B-833F-4880-A151-76DA2D6A2879}&lt;/DBUID&gt;&lt;/Extra&gt;&lt;/Item&gt;&lt;/References&gt;&lt;/Group&gt;&lt;/Citation&gt;_x000a_"/>
    <w:docVar w:name="NE.Ref{9041260D-55E3-40D2-A310-D32B5F8C31EB}" w:val=" ADDIN NE.Ref.{9041260D-55E3-40D2-A310-D32B5F8C31EB}&lt;Citation&gt;&lt;Group&gt;&lt;References&gt;&lt;Item&gt;&lt;ID&gt;657&lt;/ID&gt;&lt;UID&gt;{EE27D52D-9D3A-4A8D-BABE-D7177BE6C76E}&lt;/UID&gt;&lt;Title&gt;Application of CVaR risk aversion approach in the dynamical scheduling optimization model for virtual power plant connected with wind-photovoltaic-energy storage system with uncertainties and demand response&lt;/Title&gt;&lt;Template&gt;Journal Article&lt;/Template&gt;&lt;Star&gt;0&lt;/Star&gt;&lt;Tag&gt;0&lt;/Tag&gt;&lt;Author&gt;Tan, Zhongfu; Wang, Guan; Ju, Liwei; Tan, Qingkun; Yang, Wenhai&lt;/Author&gt;&lt;Year&gt;2017&lt;/Year&gt;&lt;Details&gt;&lt;_author_adr&gt;North China Electric Power University, Chang Ping District, Beijing, 102206, China&lt;/_author_adr&gt;&lt;_db_provider&gt;CNKI&lt;/_db_provider&gt;&lt;_isbn&gt;0360-5442&lt;/_isbn&gt;&lt;_journal&gt;Energy&lt;/_journal&gt;&lt;_keywords&gt;CVaR method;Virtual power plant;Demand response;Risk aversion;Dynamical scheduling&lt;/_keywords&gt;&lt;_volume&gt;124&lt;/_volume&gt;&lt;_created&gt;63705638&lt;/_created&gt;&lt;_modified&gt;63705638&lt;/_modified&gt;&lt;_impact_factor&gt;   6.082&lt;/_impact_factor&gt;&lt;_collection_scope&gt;SCI;SCIE;EI&lt;/_collection_scope&gt;&lt;/Details&gt;&lt;Extra&gt;&lt;DBUID&gt;{F96A950B-833F-4880-A151-76DA2D6A2879}&lt;/DBUID&gt;&lt;/Extra&gt;&lt;/Item&gt;&lt;/References&gt;&lt;/Group&gt;&lt;/Citation&gt;_x000a_"/>
    <w:docVar w:name="NE.Ref{921BB7E3-0419-40A6-9F85-FF4D065C28E3}" w:val=" ADDIN NE.Ref.{921BB7E3-0419-40A6-9F85-FF4D065C28E3}&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93136891-9B50-4904-8DC6-38C4DCDCC446}" w:val=" ADDIN NE.Ref.{93136891-9B50-4904-8DC6-38C4DCDCC446}&lt;Citation&gt;&lt;Group&gt;&lt;References&gt;&lt;Item&gt;&lt;ID&gt;619&lt;/ID&gt;&lt;UID&gt;{B31DAB94-0759-4541-A215-7A753E23866F}&lt;/UID&gt;&lt;Title&gt;A New Recovery Strategy of HVDC System During AC Faults&lt;/Title&gt;&lt;Template&gt;Journal Article&lt;/Template&gt;&lt;Star&gt;0&lt;/Star&gt;&lt;Tag&gt;0&lt;/Tag&gt;&lt;Author&gt;Wang, J J; Huang, M H; Fu, C; Li, H; Xu, S K; Li, X H&lt;/Author&gt;&lt;Year&gt;2019&lt;/Year&gt;&lt;Details&gt;&lt;_alternate_title&gt;IEEE TRANSACTIONS ON POWER DELIVERY&lt;/_alternate_title&gt;&lt;_author_adr&gt;South China Univ Technol, Sch Elect Power, Guangzhou 510640, Guangdong, Peoples R China; China Southern Power Grid, Elect Power Res Inst, State Key Lab HVDC, Guangzhou 510663, Guangdong, Peoples R China&lt;/_author_adr&gt;&lt;_cited_count&gt;34&lt;/_cited_count&gt;&lt;_collection_scope&gt;SCI;SCIE;EI&lt;/_collection_scope&gt;&lt;_created&gt;64493989&lt;/_created&gt;&lt;_date&gt;2019-01-01&lt;/_date&gt;&lt;_date_display&gt;2019&lt;/_date_display&gt;&lt;_db_updated&gt;Web of Science-Core&lt;/_db_updated&gt;&lt;_doi&gt;10.1109/TPWRD.2019.2892410&lt;/_doi&gt;&lt;_impact_factor&gt;   4.825&lt;/_impact_factor&gt;&lt;_issue&gt;2&lt;/_issue&gt;&lt;_journal&gt;IEEE TRANSACTIONS ON POWER DELIVERY&lt;/_journal&gt;&lt;_keywords&gt;HVDC; fault recovery; DC current limit; instantaneous reactive power theory; reactive power control&lt;/_keywords&gt;&lt;_modified&gt;64494336&lt;/_modified&gt;&lt;_pages&gt;486-495&lt;/_pages&gt;&lt;_url&gt;https://ieeexplore.ieee.org/stampPDF/getPDF.jsp?tp=&amp;amp;arnumber=8610316&amp;amp;ref=aHR0cHM6Ly9pZWVleHBsb3JlLmllZWUub3JnL3Jlc3Qvc2VhcmNo _x000d__x000a_&lt;/_url&gt;&lt;_volume&gt;34&lt;/_volume&gt;&lt;/Details&gt;&lt;Extra&gt;&lt;DBUID&gt;{F96A950B-833F-4880-A151-76DA2D6A2879}&lt;/DBUID&gt;&lt;/Extra&gt;&lt;/Item&gt;&lt;/References&gt;&lt;/Group&gt;&lt;/Citation&gt;_x000a_"/>
    <w:docVar w:name="NE.Ref{936CE365-8CCE-42E3-B553-8C20A79399D7}" w:val=" ADDIN NE.Ref.{936CE365-8CCE-42E3-B553-8C20A79399D7}&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944FE378-A58C-4745-8240-DCB9EE4D4D0B}" w:val=" ADDIN NE.Ref.{944FE378-A58C-4745-8240-DCB9EE4D4D0B}&lt;Citation&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4.825&lt;/_impact_factor&gt;&lt;_isbn&gt;0885-8977&lt;/_isbn&gt;&lt;_issue&gt;2&lt;/_issue&gt;&lt;_journal&gt;IEEE TRANSACTIONS ON POWER DELIVERY&lt;/_journal&gt;&lt;_modified&gt;64498618&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Group&gt;&lt;References&gt;&lt;Item&gt;&lt;ID&gt;1035&lt;/ID&gt;&lt;UID&gt;{1D16200A-8103-4705-A7EA-7D305F5F8C3F}&lt;/UID&gt;&lt;Title&gt;A novel method to predict and prevent commutation failures in LCC-HVDC systems&lt;/Title&gt;&lt;Template&gt;Journal Article&lt;/Template&gt;&lt;Star&gt;0&lt;/Star&gt;&lt;Tag&gt;0&lt;/Tag&gt;&lt;Author&gt;Zhou, B H; Li, F T; Yin, C Y&lt;/Author&gt;&lt;Year&gt;2023&lt;/Year&gt;&lt;Details&gt;&lt;_alternate_title&gt;INTERNATIONAL JOURNAL OF ELECTRICAL POWER &amp;amp; ENERGY SYSTEMS&lt;/_alternate_title&gt;&lt;_author_adr&gt;Tianjin Univ, Key Lab Smart Grid, Minist Educ, Sch Elect Engn, Tianjin 300072, Peoples R China; Xinjiang Univ, Sch Elect Engn, Urumqi 8300462, Peoples R China&lt;/_author_adr&gt;&lt;_cited_count&gt;1&lt;/_cited_count&gt;&lt;_collection_scope&gt;SCIE;EI&lt;/_collection_scope&gt;&lt;_created&gt;64786191&lt;/_created&gt;&lt;_date&gt;2023-01-01&lt;/_date&gt;&lt;_date_display&gt;2023&lt;/_date_display&gt;&lt;_db_updated&gt;Web of Science-Core&lt;/_db_updated&gt;&lt;_doi&gt;10.1016/j.ijepes.2022.108399&lt;/_doi&gt;&lt;_impact_factor&gt;   5.659&lt;/_impact_factor&gt;&lt;_journal&gt;INTERNATIONAL JOURNAL OF ELECTRICAL POWER &amp;amp; ENERGY SYSTEMS&lt;/_journal&gt;&lt;_keywords&gt;Commutation failures; Line -commutated converter; HVDC; Fault occurring time; CFPREV&lt;/_keywords&gt;&lt;_modified&gt;64786195&lt;/_modified&gt;&lt;_volume&gt;144&lt;/_volume&gt;&lt;/Details&gt;&lt;Extra&gt;&lt;DBUID&gt;{6891F4B0-DCBA-459A-9A22-3059983243D4}&lt;/DBUID&gt;&lt;/Extra&gt;&lt;/Item&gt;&lt;/References&gt;&lt;/Group&gt;&lt;/Citation&gt;_x000a_"/>
    <w:docVar w:name="NE.Ref{951D22D4-8FAE-42DE-BE25-D489E97111D1}" w:val=" ADDIN NE.Ref.{951D22D4-8FAE-42DE-BE25-D489E97111D1}&lt;Citation&gt;&lt;Group&gt;&lt;References&gt;&lt;Item&gt;&lt;ID&gt;575&lt;/ID&gt;&lt;UID&gt;{71326091-3C51-4967-8343-D3EE4AEA559F}&lt;/UID&gt;&lt;Title&gt;Long-Term Scheduling of Battery Storage Systems in Energy and Regulation Markets Considering Battery&amp;apos;s Lifespan&lt;/Title&gt;&lt;Template&gt;Journal Article&lt;/Template&gt;&lt;Star&gt;0&lt;/Star&gt;&lt;Tag&gt;0&lt;/Tag&gt;&lt;Author&gt;Kazemi, Mostafa; Zareipour, Hamidreza&lt;/Author&gt;&lt;Year&gt;2018&lt;/Year&gt;&lt;Details&gt;&lt;_accession_num&gt;WOS:000452475200125_x000d__x000a_ER&lt;/_accession_num&gt;&lt;_cited_count&gt;20&lt;/_cited_count&gt;&lt;_collection_scope&gt;SCIE;EI&lt;/_collection_scope&gt;&lt;_created&gt;63685283&lt;/_created&gt;&lt;_date_display&gt;2018, NOV 2018&lt;/_date_display&gt;&lt;_db_provider&gt;ISI&lt;/_db_provider&gt;&lt;_doi&gt;10.1109/TSG.2017.2724919&lt;/_doi&gt;&lt;_impact_factor&gt;   8.267&lt;/_impact_factor&gt;&lt;_isbn&gt;1949-3053&lt;/_isbn&gt;&lt;_issue&gt;6&lt;/_issue&gt;&lt;_journal&gt;IEEE TRANSACTIONS ON SMART GRID&lt;/_journal&gt;&lt;_modified&gt;63685283&lt;/_modified&gt;&lt;_pages&gt;6840-6849&lt;/_pages&gt;&lt;_url&gt;http://gateway.isiknowledge.com/gateway/Gateway.cgi?GWVersion=2&amp;amp;SrcAuth=AegeanSoftware&amp;amp;SrcApp=NoteExpress&amp;amp;DestLinkType=FullRecord&amp;amp;DestApp=WOS&amp;amp;KeyUT=000452475200125&lt;/_url&gt;&lt;_volume&gt;9&lt;/_volume&gt;&lt;/Details&gt;&lt;Extra&gt;&lt;DBUID&gt;{F96A950B-833F-4880-A151-76DA2D6A2879}&lt;/DBUID&gt;&lt;/Extra&gt;&lt;/Item&gt;&lt;/References&gt;&lt;/Group&gt;&lt;/Citation&gt;_x000a_"/>
    <w:docVar w:name="NE.Ref{95B1815F-FAA3-4A24-AA6E-3987BA1B115A}" w:val=" ADDIN NE.Ref.{95B1815F-FAA3-4A24-AA6E-3987BA1B115A}&lt;Citation&gt;&lt;Group&gt;&lt;References&gt;&lt;Item&gt;&lt;ID&gt;884&lt;/ID&gt;&lt;UID&gt;{395B6309-1C81-47AA-9B86-0E8635CCF340}&lt;/UID&gt;&lt;Title&gt;Analysis and prevention of commutation failure caused by HVDC rectifier AC faults&lt;/Title&gt;&lt;Template&gt;Journal Article&lt;/Template&gt;&lt;Star&gt;0&lt;/Star&gt;&lt;Tag&gt;0&lt;/Tag&gt;&lt;Author&gt;Lin, S; Lei, Y Q; Liu, J; Liu, L&lt;/Author&gt;&lt;Year&gt;2022&lt;/Year&gt;&lt;Details&gt;&lt;_accessed&gt;64647183&lt;/_accessed&gt;&lt;_alternate_title&gt;IET GENERATION TRANSMISSION &amp;amp; DISTRIBUTION&lt;/_alternate_title&gt;&lt;_author_adr&gt;Southwest Jiaotong Univ, Sch Elect Engn, Chengdu 611756, Peoples R China; State Grid Sichuan Elect Power Res Inst, Dept Protect &amp;amp; Automat, Chengdu, Peoples R China&lt;/_author_adr&gt;&lt;_cited_count&gt;0&lt;/_cited_count&gt;&lt;_collection_scope&gt;SCI;SCIE;EI&lt;/_collection_scope&gt;&lt;_created&gt;64647124&lt;/_created&gt;&lt;_date&gt;2022-01-01&lt;/_date&gt;&lt;_date_display&gt;2022&lt;/_date_display&gt;&lt;_db_updated&gt;Web of Science-Core&lt;/_db_updated&gt;&lt;_doi&gt;10.1049/gtd2.12377&lt;/_doi&gt;&lt;_impact_factor&gt;   2.503&lt;/_impact_factor&gt;&lt;_issue&gt;7&lt;/_issue&gt;&lt;_journal&gt;IET GENERATION TRANSMISSION &amp;amp; DISTRIBUTION&lt;/_journal&gt;&lt;_modified&gt;64647127&lt;/_modified&gt;&lt;_pages&gt;1416-1424&lt;/_pages&gt;&lt;_url&gt;https://onlinelibrary.wiley.com/doi/pdfdirect/10.1049/gtd2.12377?download=true _x000d__x000a_&lt;/_url&gt;&lt;_volume&gt;16&lt;/_volume&gt;&lt;/Details&gt;&lt;Extra&gt;&lt;DBUID&gt;{6891F4B0-DCBA-459A-9A22-3059983243D4}&lt;/DBUID&gt;&lt;/Extra&gt;&lt;/Item&gt;&lt;/References&gt;&lt;/Group&gt;&lt;Group&gt;&lt;References&gt;&lt;Item&gt;&lt;ID&gt;874&lt;/ID&gt;&lt;UID&gt;{755202DE-01BD-4D80-8FAF-25A5819DA0EE}&lt;/UID&gt;&lt;Title&gt;整流侧换流母线电压恢复导致逆变器换相失败的机理分析&lt;/Title&gt;&lt;Template&gt;Journal Article&lt;/Template&gt;&lt;Star&gt;0&lt;/Star&gt;&lt;Tag&gt;0&lt;/Tag&gt;&lt;Author&gt;马星; 李凤婷; 尹纯亚; 解超&lt;/Author&gt;&lt;Year&gt;2021&lt;/Year&gt;&lt;Details&gt;&lt;_accessed&gt;64647186&lt;/_accessed&gt;&lt;_author_aff&gt;可再生能源发电与并网技术教育部工程研究中心(新疆大学);&lt;/_author_aff&gt;&lt;_cited_count&gt;1&lt;/_cited_count&gt;&lt;_created&gt;64646879&lt;/_created&gt;&lt;_date&gt;2021-07-28&lt;/_date&gt;&lt;_db_updated&gt;CNKI - Reference&lt;/_db_updated&gt;&lt;_issue&gt;04&lt;/_issue&gt;&lt;_journal&gt;电力工程技术&lt;/_journal&gt;&lt;_keywords&gt;换相失败;电流偏差控制;直流电流指令值;高压直流输电;关断角&lt;/_keywords&gt;&lt;_modified&gt;64646988&lt;/_modified&gt;&lt;_pages&gt;83-88&lt;/_pages&gt;&lt;_tertiary_title&gt;Electric power engineering technology&lt;/_tertiary_title&gt;&lt;_translated_author&gt;MA, Xing; Li, Fengting; Yin, Chunya; XIE, Chao&lt;/_translated_author&gt;&lt;_translated_title&gt;Mechanism analysis of inverter commutation failure caused by voltage recovery of commutation bus at rectifier side&lt;/_translated_title&gt;&lt;_url&gt;https://kns.cnki.net/kcms/detail/detail.aspx?FileName=JSDJ202104015&amp;amp;DbName=CJFQ2021 _x000d__x000a_https://bar.cnki.net/bar/download/order?id=jBGETXBNdPImvx70aLAuJPYxPoFw%2bp%2bi0fIiSrcN6lUSx76m4VDvrWvOeoYbIn8iwURBIovEZWsxpaJNu72RskGxVkq8YHJNz4jV3WhknTrl8E%2bCUVp5GtDTYhVF2dNUoJeGx62Ssygg68TNXJ%2b5JrigejDAar8Xqw%2f6WR22OFXUdUGh4At8VBYSvh%2fCUD5aVHvqjmFieqfKvR3k%2bUEvn4kWl%2f5%2bM02t3C4Rt6mdaoj5LXYX1qwFXwOc1HUZT%2bTB _x000d__x000a_&lt;/_url&gt;&lt;_volume&gt;40&lt;/_volume&gt;&lt;/Details&gt;&lt;Extra&gt;&lt;DBUID&gt;{6891F4B0-DCBA-459A-9A22-3059983243D4}&lt;/DBUID&gt;&lt;/Extra&gt;&lt;/Item&gt;&lt;/References&gt;&lt;/Group&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Citation&gt;_x000a_"/>
    <w:docVar w:name="NE.Ref{95DD0F18-FB70-418A-8060-FAEDB1AD23C7}" w:val=" ADDIN NE.Ref.{95DD0F18-FB70-418A-8060-FAEDB1AD23C7}&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9750998D-084F-4D61-AE2C-0C52A5AF7440}" w:val=" ADDIN NE.Ref.{9750998D-084F-4D61-AE2C-0C52A5AF7440}&lt;Citation&gt;&lt;Group&gt;&lt;References&gt;&lt;Item&gt;&lt;ID&gt;360&lt;/ID&gt;&lt;UID&gt;{21A00E8A-0281-4038-9BBD-93D5F4612E88}&lt;/UID&gt;&lt;Title&gt;Prevention and mitigation of high-voltage direct current commutation failures: a review and future directions&lt;/Title&gt;&lt;Template&gt;Journal Article&lt;/Template&gt;&lt;Star&gt;0&lt;/Star&gt;&lt;Tag&gt;0&lt;/Tag&gt;&lt;Author&gt;Zhu, Yanan; Zhang, Shuqing; Liu, Dong; Zhu, Lin; Zou, Sheng; Yu, Siqi; Sun, Yubo&lt;/Author&gt;&lt;Year&gt;2019&lt;/Year&gt;&lt;Details&gt;&lt;_accessed&gt;63445972&lt;/_accessed&gt;&lt;_accession_num&gt;WOS:000504975000002_x000d__x000a_ER&lt;/_accession_num&gt;&lt;_cited_count&gt;0&lt;/_cited_count&gt;&lt;_collection_scope&gt;SCI;SCIE;EI&lt;/_collection_scope&gt;&lt;_created&gt;63444588&lt;/_created&gt;&lt;_date_display&gt;2019, DEC 17 2019&lt;/_date_display&gt;&lt;_db_provider&gt;ISI&lt;/_db_provider&gt;&lt;_doi&gt;10.1049/iet-gtd.2019.0874&lt;/_doi&gt;&lt;_impact_factor&gt;   2.862&lt;/_impact_factor&gt;&lt;_isbn&gt;1751-8687&lt;/_isbn&gt;&lt;_issue&gt;24&lt;/_issue&gt;&lt;_journal&gt;IET GENERATION TRANSMISSION &amp;amp; DISTRIBUTION&lt;/_journal&gt;&lt;_modified&gt;63446048&lt;/_modified&gt;&lt;_pages&gt;5449-5456&lt;/_pages&gt;&lt;_url&gt;http://gateway.isiknowledge.com/gateway/Gateway.cgi?GWVersion=2&amp;amp;SrcAuth=AegeanSoftware&amp;amp;SrcApp=NoteExpress&amp;amp;DestLinkType=FullRecord&amp;amp;DestApp=WOS&amp;amp;KeyUT=000504975000002 _x000d__x000a_https://ieeexplore.ieee.org/stampPDF/getPDF.jsp?tp=&amp;amp;arnumber=8945512&amp;amp;ref=aHR0cHM6Ly9pZWVleHBsb3JlLmllZWUub3JnL3Jlc3Qvc2VhcmNo _x000d__x000a_&lt;/_url&gt;&lt;_volume&gt;13&lt;/_volume&gt;&lt;/Details&gt;&lt;Extra&gt;&lt;DBUID&gt;{6891F4B0-DCBA-459A-9A22-3059983243D4}&lt;/DBUID&gt;&lt;/Extra&gt;&lt;/Item&gt;&lt;/References&gt;&lt;/Group&gt;&lt;/Citation&gt;_x000a_"/>
    <w:docVar w:name="NE.Ref{98493591-66AE-4416-AEE6-3F83CD36C90F}" w:val=" ADDIN NE.Ref.{98493591-66AE-4416-AEE6-3F83CD36C90F}&lt;Citation&gt;&lt;Group&gt;&lt;References&gt;&lt;Item&gt;&lt;ID&gt;671&lt;/ID&gt;&lt;UID&gt;{B9B5CD33-CF6E-4817-B83F-6813BA498D4A}&lt;/UID&gt;&lt;Title&gt;Current-limit control method to prevent subsequent commutation failure of LCC-HVDC based on adaptive trigger voltage&lt;/Title&gt;&lt;Template&gt;Journal Article&lt;/Template&gt;&lt;Star&gt;0&lt;/Star&gt;&lt;Tag&gt;0&lt;/Tag&gt;&lt;Author&gt;Ouyang, J X; Zhang, Z; Pang, M Y; Ye, J J; Xiong, X F&lt;/Author&gt;&lt;Year&gt;2020&lt;/Year&gt;&lt;Details&gt;&lt;_accessed&gt;64494416&lt;/_accessed&gt;&lt;_alternate_title&gt;INTERNATIONAL JOURNAL OF ELECTRICAL POWER &amp;amp; ENERGY SYSTEMS&lt;/_alternate_title&gt;&lt;_author_adr&gt;Chongqing Univ, Sch Elect Engn, State Key Lab Power Transmiss Equipment &amp;amp; Syst Se, Chongqing 400044, Peoples R China&lt;/_author_adr&gt;&lt;_cited_count&gt;12&lt;/_cited_count&gt;&lt;_collection_scope&gt;SCIE;EI&lt;/_collection_scope&gt;&lt;_created&gt;64493985&lt;/_created&gt;&lt;_date&gt;2020-01-01&lt;/_date&gt;&lt;_date_display&gt;2020&lt;/_date_display&gt;&lt;_db_updated&gt;Web of Science-Core&lt;/_db_updated&gt;&lt;_doi&gt;10.1016/j.ijepes.2020.106190&lt;/_doi&gt;&lt;_impact_factor&gt;   5.659&lt;/_impact_factor&gt;&lt;_journal&gt;INTERNATIONAL JOURNAL OF ELECTRICAL POWER &amp;amp; ENERGY SYSTEMS&lt;/_journal&gt;&lt;_keywords&gt;HVDC transmission; Subsequent commutation failure; AC grid fault; Critical slope&lt;/_keywords&gt;&lt;_modified&gt;64494392&lt;/_modified&gt;&lt;_volume&gt;122&lt;/_volume&gt;&lt;/Details&gt;&lt;Extra&gt;&lt;DBUID&gt;{F96A950B-833F-4880-A151-76DA2D6A2879}&lt;/DBUID&gt;&lt;/Extra&gt;&lt;/Item&gt;&lt;/References&gt;&lt;/Group&gt;&lt;/Citation&gt;_x000a_"/>
    <w:docVar w:name="NE.Ref{988325FA-EA73-4C48-A128-A2E7680437B9}" w:val=" ADDIN NE.Ref.{988325FA-EA73-4C48-A128-A2E7680437B9}&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3455011&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9996A1FF-022D-4D16-8D23-A1C743996000}" w:val=" ADDIN NE.Ref.{9996A1FF-022D-4D16-8D23-A1C743996000}&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Group&gt;&lt;References&gt;&lt;Item&gt;&lt;ID&gt;522&lt;/ID&gt;&lt;UID&gt;{B5AF9607-1931-4BDB-AE15-EB3ACFA34642}&lt;/UID&gt;&lt;Title&gt;基于轨迹灵敏度的暂态过电压两阶段优化控制&lt;/Title&gt;&lt;Template&gt;Journal Article&lt;/Template&gt;&lt;Star&gt;0&lt;/Star&gt;&lt;Tag&gt;0&lt;/Tag&gt;&lt;Author&gt;王长江; 姜涛; 刘福锁; 陈厚合; 鲁华威&lt;/Author&gt;&lt;Year&gt;2021&lt;/Year&gt;&lt;Details&gt;&lt;_author_aff&gt;现代电力系统仿真控制与绿色电能新技术教育部重点实验室(东北电力大学);智能电网保护和运行控制国家重点实验室南瑞集团(国网电力科学研究院)有限公司;&lt;/_author_aff&gt;&lt;_collection_scope&gt;CSCD;PKU;EI&lt;/_collection_scope&gt;&lt;_created&gt;64344260&lt;/_created&gt;&lt;_date&gt;2020-06-01&lt;/_date&gt;&lt;_db_updated&gt;CNKI - Reference&lt;/_db_updated&gt;&lt;_issue&gt;09&lt;/_issue&gt;&lt;_journal&gt;电工技术学报&lt;/_journal&gt;&lt;_keywords&gt;暂态过电压;轨迹灵敏度;预防控制;恢复电压&lt;/_keywords&gt;&lt;_modified&gt;64441017&lt;/_modified&gt;&lt;_pages&gt;1888-1900+1913&lt;/_pages&gt;&lt;_url&gt;https://kns.cnki.net/kcms/detail/detail.aspx?FileName=DGJS202109012&amp;amp;DbName=CJFQ2021 _x000d__x000a_https://bar.cnki.net/bar/download/order?id=jBGETXBNdPImvx70aLAuJPYxPoFw%2bp%2bi0fIiSrcN6lWJIgD4zB9UiwJWAOs0KEW%2fIPqgR38m15LFMAZn%2bx0j%2f0GxVkq8YHJNz4jV3WhknTrl8E%2bCUVp5GtDTYhVF2dNUoJeGx62Ssygg68TNXJ%2b5JrigejDAar8Xqw%2f6WR22OFXUdUGh4At8VBYSvh%2fCUD5aHqluf4U2lbhXkckImRw0dnD1KEjSejZLN7ZFl6L6ESv5LXYX1qwFXwOc1HUZT%2bTB _x000d__x000a_https://bar.cnki.net/bar/download/order?id=jBGETXBNdPImvx70aLAuJPYxPoFw%2bp%2bi0fIiSrcN6lWJIgD4zB9UiwJWAOs0KEW%2fIPqgR38m15LFMAZn%2bx0j%2f0GxVkq8YHJNz4jV3WhknTrl8E%2bCUVp5GtDTYhVF2dNUoJeGx62Ssygg68TNXJ%2b5JrigejDAar8Xqw%2f6WR22OFXUdUGh4At8VBYSvh%2fCUD5aRMnV8kKg%2fCb6e5TkoVBbk1ZaN1aEYyeSvVhjOWXLW4z5LXYX1qwFXwOc1HUZT%2bTB _x000d__x000a_https://bar.cnki.net/bar/download/order?id=jBGETXBNdPImvx70aLAuJPYxPoFw%2bp%2bi0fIiSrcN6lWJIgD4zB9UiwJWAOs0KEW%2fIPqgR38m15LFMAZn%2bx0j%2f0GxVkq8YHJNz4jV3WhknTrl8E%2bCUVp5GtDTYhVF2dNUoJeGx62Ssygg68TNXJ%2b5JrigejDAar8Xqw%2f6WR22OFXUdUGh4At8VBYSvh%2fCUD5anPqyuMA9vrBRSzrv2gSq3mjrjiUA1i7Br0HLYwF%2fecz5LXYX1qwFXwOc1HUZT%2bTB _x000d__x000a_&lt;/_url&gt;&lt;_volume&gt;36&lt;/_volume&gt;&lt;_translated_author&gt;Wang, Zhang jiang;Jiang, Tao;Liu, Fu suo;Chen, Hou he;Lu, Hua wei&lt;/_translated_author&gt;&lt;/Details&gt;&lt;Extra&gt;&lt;DBUID&gt;{684DF7C5-873E-4B6A-A11E-0CD148BF4011}&lt;/DBUID&gt;&lt;/Extra&gt;&lt;/Item&gt;&lt;/References&gt;&lt;/Group&gt;&lt;Group&gt;&lt;References&gt;&lt;Item&gt;&lt;ID&gt;507&lt;/ID&gt;&lt;UID&gt;{0F41E67F-4FF2-482F-9345-67363B7F0623}&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ollection_scope&gt;CSCD;PKU;EI&lt;/_collection_scope&gt;&lt;_created&gt;64344249&lt;/_created&gt;&lt;_date&gt;2021-12-15&lt;/_date&gt;&lt;_db_updated&gt;CNKI - Reference&lt;/_db_updated&gt;&lt;_issue&gt;12&lt;/_issue&gt;&lt;_journal&gt;电机与控制学报&lt;/_journal&gt;&lt;_keywords&gt;特高压直流;直流闭锁;换相失败;暂态过电压;风电机组;故障穿越&lt;/_keywords&gt;&lt;_modified&gt;64441017&lt;/_modified&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naU4zXUfp0ZKbNPuDKjSNpOuUyHkorBs%2f26UjMjDhzP5LXYX1qwFXwOc1HUZT%2bTB _x000d__x000a_https://bar.cnki.net/bar/download/order?id=jBGETXBNdPImvx70aLAuJPYxPoFw%2bp%2bi0fIiSrcN6lUFprK49s5b%2fYIzogSE6DWw9OEo97ZCiBA9x8JL1XYq2Z0PLIIoFLYwy5BgUEfsTyzl8E%2bCUVp5GtDTYhVF2dNUoJeGx62Ssygg68TNXJ%2b5JrigejDAar8Xqw%2f6WR22OFXUdUGh4At8VBYSvh%2fCUD5aBEaAFCzWK1tYR9MGZoU5ufTYGftZzTarqejxrpk3b2n5LXYX1qwFXwOc1HUZT%2bTB _x000d__x000a_https://bar.cnki.net/bar/download/order?id=jBGETXBNdPImvx70aLAuJPYxPoFw%2bp%2bi0fIiSrcN6lUFprK49s5b%2fYIzogSE6DWw9OEo97ZCiBA9x8JL1XYq2Z0PLIIoFLYwy5BgUEfsTyzl8E%2bCUVp5GtDTYhVF2dNUoJeGx62Ssygg68TNXJ%2b5JrigejDAar8Xqw%2f6WR22OFXUdUGh4At8VBYSvh%2fCUD5a0VRQxQCgtzy9xKFI3fCPpB05HpuPZzlK20fRUMAauHD5LXYX1qwFXwOc1HUZT%2bTB _x000d__x000a_https://bar.cnki.net/bar/download/order?id=jBGETXBNdPImvx70aLAuJPYxPoFw%2bp%2bi0fIiSrcN6lUFprK49s5b%2fYIzogSE6DWw9OEo97ZCiBA9x8JL1XYq2Z0PLIIoFLYwy5BgUEfsTyzl8E%2bCUVp5GtDTYhVF2dNUoJeGx62Ssygg68TNXJ%2b5JrigejDAar8Xqw%2f6WR22OFXUdUGh4At8VBYSvh%2fCUD5aik22H04KpOZzSS24%2brRmLXer9pR9nXZBl%2baaQcBkiWr5LXYX1qwFXwOc1HUZT%2bTB _x000d__x000a_&lt;/_url&gt;&lt;_volume&gt;25&lt;/_volume&gt;&lt;_translated_author&gt;Li, Bo yang;Chao, Pu pu;Li, Wei xing;Xu, Shi yun;Liu, Xin yuan;Li, Zhi min&lt;/_translated_author&gt;&lt;/Details&gt;&lt;Extra&gt;&lt;DBUID&gt;{684DF7C5-873E-4B6A-A11E-0CD148BF4011}&lt;/DBUID&gt;&lt;/Extra&gt;&lt;/Item&gt;&lt;/References&gt;&lt;/Group&gt;&lt;Group&gt;&lt;References&gt;&lt;Item&gt;&lt;ID&gt;183&lt;/ID&gt;&lt;UID&gt;{18C3581E-07AF-469D-979B-5623BC131F86}&lt;/UID&gt;&lt;Title&gt;直流双极闭锁故障下送端系统暂态过电压计算方法&lt;/Title&gt;&lt;Template&gt;Journal Article&lt;/Template&gt;&lt;Star&gt;0&lt;/Star&gt;&lt;Tag&gt;0&lt;/Tag&gt;&lt;Author&gt;李欣悦; 李凤婷; 尹纯亚; 白海滨&lt;/Author&gt;&lt;Year&gt;2021&lt;/Year&gt;&lt;Details&gt;&lt;_accessed&gt;64625224&lt;/_accessed&gt;&lt;_author_adr&gt;新疆大学电气工程学院;国网新疆电力有限公司昌吉供电公司;&lt;/_author_adr&gt;&lt;_collection_scope&gt;CSCD;PKU&lt;/_collection_scope&gt;&lt;_created&gt;63731467&lt;/_created&gt;&lt;_db_provider&gt;CNKI&lt;/_db_provider&gt;&lt;_isbn&gt;1674-3415&lt;/_isbn&gt;&lt;_issue&gt;01&lt;/_issue&gt;&lt;_journal&gt;电力系统保护与控制&lt;/_journal&gt;&lt;_keywords&gt;特高压直流;直流闭锁;送端交流系统;暂态过电压&lt;/_keywords&gt;&lt;_modified&gt;64440781&lt;/_modified&gt;&lt;_pages&gt;1-8&lt;/_pages&gt;&lt;_url&gt;https://kns.cnki.net/kcms/download.aspx?filename=sp2Vvlkd4cmRphTcKlWQ0oHR1hWQ2RHUrklexkzMyUmRpxGUB9SS0F2KCNUNZdTZR1GaTZERzJlQ5NmcyR0LntUWRJFSCd3ZTlGcqVlWrElV0AnZ4cGU2N1U4VHTJpldL9UdtRnTygTTvUjSqRXMuNnb0REV0tyc&amp;amp;tablename=CJFDLAST2021&amp;amp;dflag=pdfdown _x000d__x000a_https://bar.cnki.net/bar/download/order?id=jBGETXBNdPImvx70aLAuJPYxPoFw%2bp%2bi0fIiSrcN6lXs6FVLNFGJeIOE5eRUlm2bdIHL2Cy%2blkEQPNV7YmeogUGxVkq8YHJNz4jV3WhknTrl8E%2bCUVp5GtDTYhVF2dNUoJeGx62Ssygg68TNXJ%2b5JrigejDAar8Xqw%2f6WR22OFXUdUGh4At8VBYSvh%2fCUD5a9S0oF4cdzeoFirKtQLD6jHer9pR9nXZBl%2baaQcBkiWr5LXYX1qwFXwOc1HUZT%2bTB _x000d__x000a_https://bar.cnki.net/bar/download/order?id=jBGETXBNdPImvx70aLAuJPYxPoFw%2bp%2bi0fIiSrcN6lXs6FVLNFGJeIOE5eRUlm2bdIHL2Cy%2blkEQPNV7YmeogUGxVkq8YHJNz4jV3WhknTrl8E%2bCUVp5GtDTYhVF2dNUoJeGx62Ssygg68TNXJ%2b5JrigejDAar8Xqw%2f6WR22OFXUdUGh4At8VBYSvh%2fCUD5aNp9c4SjxIPKSVcDuMmpGIv%2bnbQ%2bOywBjrM8yUVvcE8b5LXYX1qwFXwOc1HUZT%2bTB _x000d__x000a_&lt;/_url&gt;&lt;_volume&gt;49&lt;/_volume&gt;&lt;_translated_author&gt;Li, Xin yue;Li, Feng ting;Yin, Chun ya;Bai, Hai bin&lt;/_translated_author&gt;&lt;/Details&gt;&lt;Extra&gt;&lt;DBUID&gt;{684DF7C5-873E-4B6A-A11E-0CD148BF4011}&lt;/DBUID&gt;&lt;/Extra&gt;&lt;/Item&gt;&lt;/References&gt;&lt;/Group&gt;&lt;Group&gt;&lt;References&gt;&lt;Item&gt;&lt;ID&gt;170&lt;/ID&gt;&lt;UID&gt;{4DEFE397-3E28-46E2-9D7B-A625C9221CFC}&lt;/UID&gt;&lt;Title&gt;考虑直流电流变化的HVDC系统不对称故障换相失败分析&lt;/Title&gt;&lt;Template&gt;Journal Article&lt;/Template&gt;&lt;Star&gt;0&lt;/Star&gt;&lt;Tag&gt;0&lt;/Tag&gt;&lt;Author&gt;王璐; 李凤婷; 尹纯亚; 辛超山&lt;/Author&gt;&lt;Year&gt;2021&lt;/Year&gt;&lt;Details&gt;&lt;_accessed&gt;63968332&lt;/_accessed&gt;&lt;_author_adr&gt;新疆大学电气工程学院;国网新疆电力有限公司经济技术研究院;&lt;/_author_adr&gt;&lt;_collection_scope&gt;CSCD;PKU&lt;/_collection_scope&gt;&lt;_created&gt;63731466&lt;/_created&gt;&lt;_db_provider&gt;CNKI&lt;/_db_provider&gt;&lt;_isbn&gt;1674-3415&lt;/_isbn&gt;&lt;_issue&gt;01&lt;/_issue&gt;&lt;_journal&gt;电力系统保护与控制&lt;/_journal&gt;&lt;_keywords&gt;高压直流输电;不对称故障;换相失败;直流电流变化;电压变化率&lt;/_keywords&gt;&lt;_modified&gt;64438150&lt;/_modified&gt;&lt;_pages&gt;17-23&lt;/_pages&gt;&lt;_url&gt;https://kns.cnki.net/kcms/download.aspx?filename=DpUdw1WepRVaEJGM5UmTRJVbxE2SyREeul2S5llVmJzRyp1MyIVar4UR1g3Uyw2SyI3aw5UUVRmaNVncalHV0lHd3NncYVFTGVDczcFcxUWe4UleP9EZyZTbVVjdzMkSxokawZTa5siUvgjYO10QSx0bzkFSwpUW&amp;amp;tablename=CJFDLAST2021&amp;amp;dflag=pdfdown _x000d__x000a_https://kns.cnki.net/kcms/download.aspx?filename=0YEavgWeHFDc4sWeYBVaa1kdUNVOtlXclZ0Zol3K2B3czpVVyhkRyUkVj9SN5pkd3ondMdXUOdkQUVVZ0sUZO50MQplMFxmQmx2RKtkW1AnewAlTwQ0QKZWTUtGZ3M0ZjZlVRVlWr40bTVGM00kQZRnY2QWdIZ2Z&amp;amp;tablename=CJFDLAST2021&amp;amp;dflag=pdfdown _x000d__x000a_https://bar.cnki.net/bar/download/order?id=jBGETXBNdPImvx70aLAuJPYxPoFw%2bp%2bi0fIiSrcN6lXs6FVLNFGJeIOE5eRUlm2bu0Y9cJyaeMzChUwbF%2bvmtEGxVkq8YHJNz4jV3WhknTrl8E%2bCUVp5GtDTYhVF2dNUoJeGx62Ssygg68TNXJ%2b5JrigejDAar8Xqw%2f6WR22OFXUdUGh4At8VBYSvh%2fCUD5acTomY2h7zQdwwxxC7zZ0yuPyk0KAUx%2bvRb2nBqtXw1r5LXYX1qwFXwOc1HUZT%2bTB _x000d__x000a_https://bar.cnki.net/bar/download/order?id=jBGETXBNdPImvx70aLAuJPYxPoFw%2bp%2bi0fIiSrcN6lXs6FVLNFGJeIOE5eRUlm2bu0Y9cJyaeMzChUwbF%2bvmtEGxVkq8YHJNz4jV3WhknTrl8E%2bCUVp5GtDTYhVF2dNUoJeGx62Ssygg68TNXJ%2b5JrigejDAar8Xqw%2f6WR22OFXUdUGh4At8VBYSvh%2fCUD5asBHZ7a%2bECCqsIqtsJhX6yYiOXNcILL40gGLlQuHI5NH5LXYX1qwFXwOc1HUZT%2bTB _x000d__x000a_https://bar.cnki.net/bar/download/order?id=jBGETXBNdPImvx70aLAuJPYxPoFw%2bp%2bi0fIiSrcN6lXs6FVLNFGJeIOE5eRUlm2bu0Y9cJyaeMzChUwbF%2bvmtEGxVkq8YHJNz4jV3WhknTrl8E%2bCUVp5GtDTYhVF2dNUoJeGx62Ssygg68TNXJ%2b5JrigejDAar8Xqw%2f6WR22OFXUdUGh4At8VBYSvh%2fCUD5aKRB5NCmGOnYBlogtd6LQHwSRykQOzwRtn%2fv925%2fEyTv5LXYX1qwFXwOc1HUZT%2bTB _x000d__x000a_&lt;/_url&gt;&lt;_volume&gt;49&lt;/_volume&gt;&lt;_translated_author&gt;Wang, Lu;Li, Feng ting;Yin, Chun ya;Xin, Chao shan&lt;/_translated_author&gt;&lt;/Details&gt;&lt;Extra&gt;&lt;DBUID&gt;{684DF7C5-873E-4B6A-A11E-0CD148BF4011}&lt;/DBUID&gt;&lt;/Extra&gt;&lt;/Item&gt;&lt;/References&gt;&lt;/Group&gt;&lt;Group&gt;&lt;References&gt;&lt;Item&gt;&lt;ID&gt;884&lt;/ID&gt;&lt;UID&gt;{04371A64-6FB5-4ACA-825E-EC771A4852EA}&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426775&lt;/_accessed&gt;&lt;_author_aff&gt;国网河南省电力公司电力科学研究院;重庆大学输配电装备及系统安全与新技术国家重点实验室;郑州大学电气工程学院;&lt;/_author_aff&gt;&lt;_collection_scope&gt;CSCD;PKU&lt;/_collection_scope&gt;&lt;_created&gt;64426765&lt;/_created&gt;&lt;_date&gt;2021-12-01&lt;/_date&gt;&lt;_db_updated&gt;CNKI - Reference&lt;/_db_updated&gt;&lt;_issue&gt;23&lt;/_issue&gt;&lt;_journal&gt;电力系统保护与控制&lt;/_journal&gt;&lt;_keywords&gt;高压直流;换相失败;送端电网;暂态过电压;虚拟电阻&lt;/_keywords&gt;&lt;_modified&gt;64441017&lt;/_modified&gt;&lt;_pages&gt;122-129&lt;/_pages&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N3v3ieLuLQZd7pVQT9qsxQSRykQOzwRtn%2fv925%2fEyTv5LXYX1qwFXwOc1HUZT%2bTB _x000d__x000a_https://bar.cnki.net/bar/download/order?id=jBGETXBNdPImvx70aLAuJPYxPoFw%2bp%2bi0fIiSrcN6lVYfheTlE%2fD5wCYjBMf0tCywURBIovEZWsxpaJNu72Rsp0PLIIoFLYwy5BgUEfsTyzl8E%2bCUVp5GtDTYhVF2dNUoJeGx62Ssygg68TNXJ%2b5JrigejDAar8Xqw%2f6WR22OFXUdUGh4At8VBYSvh%2fCUD5aXyabO%2bee14dsLfs%2fRbFt8D2ylb%2baDiGNLaSE7yoLX7%2f5LXYX1qwFXwOc1HUZT%2bTB _x000d__x000a_https://bar.cnki.net/bar/download/order?id=jBGETXBNdPImvx70aLAuJPYxPoFw%2bp%2bi0fIiSrcN6lVYfheTlE%2fD5wCYjBMf0tCywURBIovEZWsxpaJNu72Rsp0PLIIoFLYwy5BgUEfsTyzl8E%2bCUVp5GtDTYhVF2dNUoJeGx62Ssygg68TNXJ%2b5JrigejDAar8Xqw%2f6WR22OFXUdUGh4At8VBYSvh%2fCUD5an0x8Z9jaWqMnCn5BUumUugl7yL%2fXgP2XIvFCNMl9HiP5LXYX1qwFXwOc1HUZT%2bTB _x000d__x000a_&lt;/_url&gt;&lt;_volume&gt;49&lt;/_volume&gt;&lt;_translated_author&gt;Xiao, Chao;Han, Wei;Li, Qiong lin;Xiong, Xiao fu;Feng, Zhi yuan&lt;/_translated_author&gt;&lt;/Details&gt;&lt;Extra&gt;&lt;DBUID&gt;{684DF7C5-873E-4B6A-A11E-0CD148BF4011}&lt;/DBUID&gt;&lt;/Extra&gt;&lt;/Item&gt;&lt;/References&gt;&lt;/Group&gt;&lt;Group&gt;&lt;References&gt;&lt;Item&gt;&lt;ID&gt;393&lt;/ID&gt;&lt;UID&gt;{0CC30749-B811-440D-8E42-8BC6765A8175}&lt;/UID&gt;&lt;Title&gt;直流换相失败下双馈风电机组特性描述及暂态过电压抑制&lt;/Title&gt;&lt;Template&gt;Journal Article&lt;/Template&gt;&lt;Star&gt;0&lt;/Star&gt;&lt;Tag&gt;0&lt;/Tag&gt;&lt;Author&gt;刘其辉; 董楚然; 吴勇; 张亚灵; 逄思敏; 申杰&lt;/Author&gt;&lt;Year&gt;2021&lt;/Year&gt;&lt;Details&gt;&lt;_author_aff&gt;新能源电力系统国家重点实验室(华北电力大学);国网上海市电力公司检修公司;国网上海市电力公司松江供电公司;&lt;/_author_aff&gt;&lt;_collection_scope&gt;CSCD;PKU;EI&lt;/_collection_scope&gt;&lt;_created&gt;64079661&lt;/_created&gt;&lt;_date&gt;2021-10-28&lt;/_date&gt;&lt;_db_updated&gt;CNKI - Reference&lt;/_db_updated&gt;&lt;_journal&gt;电力系统自动化&lt;/_journal&gt;&lt;_keywords&gt;换相失败;双馈感应发电机(DFIG);暂态电压;故障穿越;过电压主动抑制&lt;/_keywords&gt;&lt;_modified&gt;64441017&lt;/_modified&gt;&lt;_pages&gt;1-14&lt;/_pages&gt;&lt;_url&gt;https://kns.cnki.net/kcms/detail/detail.aspx?FileName=DLXT20211027000&amp;amp;DbName=CAPJ2021 _x000d__x000a_https://bar.cnki.net/bar/download/order?id=jBGETXBNdPImvx70aLAuJPYxPoFw%2bp%2bi0fIiSrcN6lXVlq1eBSUeJvjZrOAJvDJukSJjWy3W0i%2b8K1%2b7%2bDUhfJ0PLIIoFLYwy5BgUEfsTyzl8E%2bCUVp5GtDTYhVF2dNUoJeGx62Ssygg68TNXJ%2b5JrigejDAar8Xqw%2f6WR22OFXUdUGh4At8VBYSvh%2fCUD5a7U1nvP9dQs5IhRdmJ3cGYEIPwyDWkVhM%2f9K5VmuW5Tn5LXYX1qwFXwOc1HUZT%2bTB _x000d__x000a_https://bar.cnki.net/bar/download/order?id=jBGETXBNdPImvx70aLAuJPYxPoFw%2bp%2bi0fIiSrcN6lXVlq1eBSUeJvjZrOAJvDJukSJjWy3W0i%2b8K1%2b7%2bDUhfJ0PLIIoFLYwy5BgUEfsTyzl8E%2bCUVp5GtDTYhVF2dNUoJeGx62Ssygg68TNXJ%2b5JrigejDAar8Xqw%2f6WR22OFXUdUGh4At8VBYSvh%2fCUD5aM9LEocCxmrxdbHAhMW759dUr2kvoJV7Lyc0%2fNbix2nb5LXYX1qwFXwOc1HUZT%2bTB _x000d__x000a_&lt;/_url&gt;&lt;_translated_author&gt;Liu, Qi hui;Dong, Chu ran;Wu, Yong;Zhang, Ya ling;Pang, Si min;Shen, Jie&lt;/_translated_author&gt;&lt;/Details&gt;&lt;Extra&gt;&lt;DBUID&gt;{684DF7C5-873E-4B6A-A11E-0CD148BF4011}&lt;/DBUID&gt;&lt;/Extra&gt;&lt;/Item&gt;&lt;/References&gt;&lt;/Group&gt;&lt;Group&gt;&lt;References&gt;&lt;Item&gt;&lt;ID&gt;451&lt;/ID&gt;&lt;UID&gt;{35CD7A67-EB60-4D52-86EA-12367FDB8F1A}&lt;/UID&gt;&lt;Title&gt;风电经特高压直流送出系统的暂态过电压问题研究综述&lt;/Title&gt;&lt;Template&gt;Journal Article&lt;/Template&gt;&lt;Star&gt;0&lt;/Star&gt;&lt;Tag&gt;5&lt;/Tag&gt;&lt;Author&gt;李帛洋; 晁璞璞; 徐式蕴; 李卫星; 刘新元; 李志民&lt;/Author&gt;&lt;Year&gt;2021&lt;/Year&gt;&lt;Details&gt;&lt;_accessed&gt;64441002&lt;/_accessed&gt;&lt;_author_aff&gt;哈尔滨工业大学电气工程及自动化学院;中国电力科学研究院有限公司;国网山西省电力公司电力科学研究院;&lt;/_author_aff&gt;&lt;_collection_scope&gt;CSCD;PKU;EI&lt;/_collection_scope&gt;&lt;_created&gt;64132958&lt;/_created&gt;&lt;_date&gt;2021-11-17&lt;/_date&gt;&lt;_db_updated&gt;CNKI - Reference&lt;/_db_updated&gt;&lt;_journal&gt;电力自动化设备&lt;/_journal&gt;&lt;_keywords&gt;大规模风电;特高压直流;暂态过电压;控制策略&lt;/_keywords&gt;&lt;_modified&gt;64441002&lt;/_modified&gt;&lt;_pages&gt;1-10&lt;/_pages&gt;&lt;_url&gt;https://kns.cnki.net/kcms/detail/detail.aspx?FileName=DLZS20211116000&amp;amp;DbName=CAPJ2021 _x000d__x000a_https://bar.cnki.net/bar/download/order?id=jBGETXBNdPImvx70aLAuJPYxPoFw%2bp%2bi0fIiSrcN6lUtiMQ%2f2Lgm7Z87zDdHzB4WkSJjWy3W0i%2b8K1%2b7%2bDUhfMm82jDOg3yr%2bqRqj9L2CzQtqddCdidyosdSaMNWur3ZJBjdlDrNnftoR5pdZPiFRNlKM4sfpT3nRHSqBOA4sms8GQBtE8Z8mK%2fNwS15YoSEA%2fQVk3hd8OTkVkmwfqxfV8k3vIf8uGHrQx4KQ5g8yTA%3d _x000d__x000a_https://bar.cnki.net/bar/download/order?id=jBGETXBNdPImvx70aLAuJPYxPoFw%2bp%2bi0fIiSrcN6lUtiMQ%2f2Lgm7Z87zDdHzB4WkSJjWy3W0i%2b8K1%2b7%2bDUhfJ0PLIIoFLYwy5BgUEfsTyzl8E%2bCUVp5GtDTYhVF2dNUoJeGx62Ssygg68TNXJ%2b5JrigejDAar8Xqw%2f6WR22OFXUdUGh4At8VBYSvh%2fCUD5aEVKJ6r30%2bQO5Eb1zI%2fVdc3nJm%2bfq9XMLVye%2faawB1wn5LXYX1qwFXwOc1HUZT%2bTB _x000d__x000a_https://bar.cnki.net/bar/download/order?id=jBGETXBNdPImvx70aLAuJPYxPoFw%2bp%2bi0fIiSrcN6lUtiMQ%2f2Lgm7Z87zDdHzB4WkSJjWy3W0i%2b8K1%2b7%2bDUhfJ0PLIIoFLYwy5BgUEfsTyzl8E%2bCUVp5GtDTYhVF2dNUoJeGx62Ssygg68TNXJ%2b5JrigejDAar8Xqw%2f6WR22OFXUdUGh4At8VBYSvh%2fCUD5a2UqkJr5H1Z0XvjrtaLCwynJ%2fk3qb3YlLDmkYcfC%2bquX5LXYX1qwFXwOc1HUZT%2bTB _x000d__x000a_https://bar.cnki.net/bar/download/order?id=jBGETXBNdPImvx70aLAuJPYxPoFw%2bp%2bi0fIiSrcN6lUtiMQ%2f2Lgm7Z87zDdHzB4WkSJjWy3W0i%2b8K1%2b7%2bDUhfJ0PLIIoFLYwy5BgUEfsTyzl8E%2bCUVp5GtDTYhVF2dNUoJeGx62Ssygg68TNXJ%2b5JrigejDAar8Xqw%2f6WR22OFXUdUGh4At8VBYSvh%2fCUD5aNXMPY70RRr8nwIXCqqbMMCyWI5uyZaOI7%2bN0Y06oLwj5LXYX1qwFXwOc1HUZT%2bTB _x000d__x000a_&lt;/_url&gt;&lt;_translated_author&gt;Li, Bo yang;Chao, Pu pu;Xu, Shi yun;Li, Wei xing;Liu, Xin yuan;Li, Zhi min&lt;/_translated_author&gt;&lt;/Details&gt;&lt;Extra&gt;&lt;DBUID&gt;{684DF7C5-873E-4B6A-A11E-0CD148BF4011}&lt;/DBUID&gt;&lt;/Extra&gt;&lt;/Item&gt;&lt;/References&gt;&lt;/Group&gt;&lt;Group&gt;&lt;References&gt;&lt;Item&gt;&lt;ID&gt;509&lt;/ID&gt;&lt;UID&gt;{E20E502B-B4E9-46C1-B45F-8BC8D6721A77}&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uthor_aff&gt;西安交通大学电气工程学院;国家电网公司西北分部;&lt;/_author_aff&gt;&lt;_collection_scope&gt;CSCD;PKU;EI&lt;/_collection_scope&gt;&lt;_created&gt;64344252&lt;/_created&gt;&lt;_date&gt;2021-09-07&lt;/_date&gt;&lt;_db_updated&gt;CNKI - Reference&lt;/_db_updated&gt;&lt;_issue&gt;12&lt;/_issue&gt;&lt;_journal&gt;电力自动化设备&lt;/_journal&gt;&lt;_keywords&gt;特高压直流;暂态过电压;短路容量;机组组合;优化&lt;/_keywords&gt;&lt;_modified&gt;64438148&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iyq%2b2Cl9N%2fnsXaZrQ72R%2fg7B4PXYl7DQ8cUM8T1meBv5LXYX1qwFXwOc1HUZT%2bTB _x000d__x000a_https://bar.cnki.net/bar/download/order?id=jBGETXBNdPImvx70aLAuJPYxPoFw%2bp%2bi0fIiSrcN6lUsmghocH64yV638luJi40%2bOk4eyki12Xg7hP2OioSOFp0PLIIoFLYwy5BgUEfsTyzl8E%2bCUVp5GtDTYhVF2dNUoJeGx62Ssygg68TNXJ%2b5JrigejDAar8Xqw%2f6WR22OFXUdUGh4At8VBYSvh%2fCUD5aVe2F4a%2f%2fsxJ%2fUZMdvljqcHy0DUMyLbwyMBR3th7LWsj5LXYX1qwFXwOc1HUZT%2bTB _x000d__x000a_https://bar.cnki.net/bar/download/order?id=jBGETXBNdPImvx70aLAuJPYxPoFw%2bp%2bi0fIiSrcN6lUsmghocH64yV638luJi40%2bOk4eyki12Xg7hP2OioSOFp0PLIIoFLYwy5BgUEfsTyzl8E%2bCUVp5GtDTYhVF2dNUoJeGx62Ssygg68TNXJ%2b5JrigejDAar8Xqw%2f6WR22OFXUdUGh4At8VBYSvh%2fCUD5aJcSut%2fyIMnQKYVifY6vxGPTYGftZzTarqejxrpk3b2n5LXYX1qwFXwOc1HUZT%2bTB _x000d__x000a_&lt;/_url&gt;&lt;_volume&gt;41&lt;/_volume&gt;&lt;_translated_author&gt;Niu, Shuan bao;Ke, Xian bo;Ren, Chong;Huo, Chao;Wang, Zhi wei;Zhang, Gang;Wei, Lin&lt;/_translated_author&gt;&lt;/Details&gt;&lt;Extra&gt;&lt;DBUID&gt;{684DF7C5-873E-4B6A-A11E-0CD148BF4011}&lt;/DBUID&gt;&lt;/Extra&gt;&lt;/Item&gt;&lt;/References&gt;&lt;/Group&gt;&lt;Group&gt;&lt;References&gt;&lt;Item&gt;&lt;ID&gt;895&lt;/ID&gt;&lt;UID&gt;{A6AAA06B-D732-4023-B668-906A250F710F}&lt;/UID&gt;&lt;Title&gt;基于调相机与SVC协调的抑制高压直流送端风机脱网的控制策略&lt;/Title&gt;&lt;Template&gt;Journal Article&lt;/Template&gt;&lt;Star&gt;0&lt;/Star&gt;&lt;Tag&gt;0&lt;/Tag&gt;&lt;Author&gt;朱丽萍; 刘文颖; 邵冲; 徐宏雷; 牛栓保; 陈仕彬&lt;/Author&gt;&lt;Year&gt;2021&lt;/Year&gt;&lt;Details&gt;&lt;_author_aff&gt;华北电力大学新能源电力系统国家重点实验室;国网甘肃省电力公司;国家电网公司西北分部;&lt;/_author_aff&gt;&lt;_cited_count&gt;6&lt;/_cited_count&gt;&lt;_collection_scope&gt;CSCD;PKU;EI&lt;/_collection_scope&gt;&lt;_created&gt;64441041&lt;/_created&gt;&lt;_date&gt;2021-02-03&lt;/_date&gt;&lt;_db_updated&gt;CNKI - Reference&lt;/_db_updated&gt;&lt;_issue&gt;06&lt;/_issue&gt;&lt;_journal&gt;电力自动化设备&lt;/_journal&gt;&lt;_keywords&gt;换相失败;直流闭锁;送端电网;风机连锁脱网;调相机;SVC&lt;/_keywords&gt;&lt;_modified&gt;64441051&lt;/_modified&gt;&lt;_pages&gt;107-115&lt;/_pages&gt;&lt;_url&gt;https://kns.cnki.net/kcms/detail/detail.aspx?FileName=DLZS202106015&amp;amp;DbName=CJFQ2021 _x000d__x000a_https://bar.cnki.net/bar/download/order?id=jBGETXBNdPImvx70aLAuJPYxPoFw%2bp%2bi0fIiSrcN6lX96MsuQtIYTiNMuOqm8qGEwURBIovEZWsxpaJNu72RskGxVkq8YHJNz4jV3WhknTrl8E%2bCUVp5GtDTYhVF2dNUoJeGx62Ssygg68TNXJ%2b5JrigejDAar8Xqw%2f6WR22OFXUdUGh4At8VBYSvh%2fCUD5a9QXezBGOpv9%2b7tN0lwWXzyWZL0ai5A42K%2bdv2kg5hcj5LXYX1qwFXwOc1HUZT%2bTB _x000d__x000a_&lt;/_url&gt;&lt;_volume&gt;41&lt;/_volume&gt;&lt;_translated_author&gt;Zhu, Li ping;Liu, Wen ying;Shao, Chong;Xu, Hong lei;Niu, Shuan bao;Chen, Shi bin&lt;/_translated_author&gt;&lt;/Details&gt;&lt;Extra&gt;&lt;DBUID&gt;{684DF7C5-873E-4B6A-A11E-0CD148BF4011}&lt;/DBUID&gt;&lt;/Extra&gt;&lt;/Item&gt;&lt;/References&gt;&lt;/Group&gt;&lt;Group&gt;&lt;References&gt;&lt;Item&gt;&lt;ID&gt;180&lt;/ID&gt;&lt;UID&gt;{41136A91-9C69-4E8F-BFBA-86794F51E8A5}&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ccessed&gt;64601174&lt;/_accessed&gt;&lt;_author_aff&gt;电网安全与节能国家重点实验室(中国电力科学研究院有限公司);国家电力调度控制中心;&lt;/_author_aff&gt;&lt;_collection_scope&gt;CSCD;PKU;EI&lt;/_collection_scope&gt;&lt;_created&gt;63843448&lt;/_created&gt;&lt;_date&gt;2020-11-25&lt;/_date&gt;&lt;_db_updated&gt;CNKI - Reference&lt;/_db_updated&gt;&lt;_issue&gt;02&lt;/_issue&gt;&lt;_journal&gt;电网技术&lt;/_journal&gt;&lt;_keywords&gt;低电压穿越;暂态过电压;风电机组;有功/无功特性;性能优化&lt;/_keywords&gt;&lt;_modified&gt;64441017&lt;/_modified&gt;&lt;_pages&gt;526-533&lt;/_pages&gt;&lt;_url&gt;https://kns.cnki.net/kcms/detail/detail.aspx?FileName=DWJS202102011&amp;amp;DbName=DKFX2021 _x000d__x000a_https://kns.cnki.net/kcms/download.aspx?filename=GRHOT12Z65Gewc2Z1dHRyR0REp0QYdGT4hmWElWWwRFSn1GTBdzRuNXRJFFVnJXZ6NEZSFXSkpmZZJUYJJnRVJHb4QXYEFEcVFEVUFmdGRjR0tkSzMEZxQzSwp3bMRmbZJzZCdHc2c0UxEHOvM0YsdlZBhVUYlUQ&amp;amp;tablename=CAPJLAST&amp;amp;dflag=pdfdown _x000d__x000a_https://bar.cnki.net/bar/download/order?id=jBGETXBNdPImvx70aLAuJPYxPoFw%2bp%2bi0fIiSrcN6lUWc80rOQ0UkmIocUyrNnsiH%2baLmkDLv%2bEsl5%2f0QJVlG0GxVkq8YHJNz4jV3WhknTrl8E%2bCUVp5GtDTYhVF2dNUoJeGx62Ssygg68TNXJ%2b5JrigejDAar8Xqw%2f6WR22OFXUdUGh4At8VBYSvh%2fCUD5ayxmnnu%2foj6DJJEoCumGzSaJHGuj7fnJt9ikoxP3IEIT5LXYX1qwFXwOc1HUZT%2bTB _x000d__x000a_https://bar.cnki.net/bar/download/order?id=jBGETXBNdPImvx70aLAuJPYxPoFw%2bp%2bi0fIiSrcN6lUWc80rOQ0UkmIocUyrNnsiH%2baLmkDLv%2bEsl5%2f0QJVlG0GxVkq8YHJNz4jV3WhknTrl8E%2bCUVp5GtDTYhVF2dNUoJeGx62Ssygg68TNXJ%2b5JrigejDAar8Xqw%2f6WR22OFXUdUGh4At8VBYSvh%2fCUD5azyvg5zgs01lbWtXjQlSmBk%2bLjlyYIu7nH8eknR%2fJ7rL5LXYX1qwFXwOc1HUZT%2bTB _x000d__x000a_https://bar.cnki.net/bar/download/order?id=jBGETXBNdPImvx70aLAuJPYxPoFw%2bp%2bi0fIiSrcN6lUWc80rOQ0UkmIocUyrNnsiH%2baLmkDLv%2bEsl5%2f0QJVlG0GxVkq8YHJNz4jV3WhknTrl8E%2bCUVp5GtDTYhVF2dNUoJeGx62Ssygg68TNXJ%2b5JrigejDAar8Xqw%2f6WR22OFXUdUGh4At8VBYSvh%2fCUD5auRAe4Vf%2fom5EW79iCatjhucOxCceuMg6Nad5lxtXDbj5LXYX1qwFXwOc1HUZT%2bTB _x000d__x000a_&lt;/_url&gt;&lt;_volume&gt;45&lt;/_volume&gt;&lt;_translated_author&gt;Jia, Jun chuan;Jin, Yi ding;Zhao, Bing;Zhong, Wu zhi;Cheng, Shi gao;Liu, Tao;Xu, Xi wang;Zheng, Shuai fei&lt;/_translated_author&gt;&lt;/Details&gt;&lt;Extra&gt;&lt;DBUID&gt;{684DF7C5-873E-4B6A-A11E-0CD148BF4011}&lt;/DBUID&gt;&lt;/Extra&gt;&lt;/Item&gt;&lt;/References&gt;&lt;/Group&gt;&lt;Group&gt;&lt;References&gt;&lt;Item&gt;&lt;ID&gt;713&lt;/ID&gt;&lt;UID&gt;{14B487B5-4F66-4CF3-8EE2-2C35BFE424E9}&lt;/UID&gt;&lt;Title&gt;功角失稳与暂态过电压并存型锡盟交直流弱送端系统特性分析&lt;/Title&gt;&lt;Template&gt;Journal Article&lt;/Template&gt;&lt;Star&gt;0&lt;/Star&gt;&lt;Tag&gt;0&lt;/Tag&gt;&lt;Author&gt;屠竞哲; 潘艳; 訾鹏; 刘明松; 王超; 张健&lt;/Author&gt;&lt;Year&gt;2021&lt;/Year&gt;&lt;Details&gt;&lt;_author_adr&gt;电网安全与节能国家重点实验室(中国电力科学研究院有限公司);国家电网有限公司华北分部;国家电力调度控制中心;&lt;/_author_adr&gt;&lt;_collection_scope&gt;CSCD;PKU;EI&lt;/_collection_scope&gt;&lt;_created&gt;64344283&lt;/_created&gt;&lt;_db_provider&gt;CNKI&lt;/_db_provider&gt;&lt;_doi&gt;10.13335/j.1000-3673.pst.2020.0189&lt;/_doi&gt;&lt;_isbn&gt;1000-3673&lt;/_isbn&gt;&lt;_issue&gt;04&lt;/_issue&gt;&lt;_journal&gt;电网技术&lt;/_journal&gt;&lt;_keywords&gt;交直流弱送端系统;功角稳定(失稳);暂态过电压;低穿特性;外送能力&lt;/_keywords&gt;&lt;_modified&gt;64441017&lt;/_modified&gt;&lt;_pages&gt;1496-1506&lt;/_pages&gt;&lt;_url&gt;https://kns.cnki.net/kcms/detail/11.2410.TM.20200718.1703.006.html _x000d__x000a_https://bar.cnki.net/bar/download/order?id=jBGETXBNdPImvx70aLAuJPYxPoFw%2bp%2bi0fIiSrcN6lUgned412MdJw3fu4g4M6nTjV8kH35x5ffYcOAgglpoTUGxVkq8YHJNz4jV3WhknTrl8E%2bCUVp5GtDTYhVF2dNUoJeGx62Ssygg68TNXJ%2b5JrigejDAar8Xqw%2f6WR22OFXUdUGh4At8VBYSvh%2fCUD5abSq332uEYQfC5Mf1oXYwB6bPqkOHz6XHGO1cnd%2fPGTr5LXYX1qwFXwOc1HUZT%2bTB _x000d__x000a_https://bar.cnki.net/bar/download/order?id=jBGETXBNdPImvx70aLAuJPYxPoFw%2bp%2bi0fIiSrcN6lUgned412MdJw3fu4g4M6nTjV8kH35x5ffYcOAgglpoTUGxVkq8YHJNz4jV3WhknTrl8E%2bCUVp5GtDTYhVF2dNUoJeGx62Ssygg68TNXJ%2b5JrigejDAar8Xqw%2f6WR22OFXUdUGh4At8VBYSvh%2fCUD5ae%2bNHZ9bXfC%2bzsT1nyXpOpGdWU96ofXqmsGtQKKUp9eP5LXYX1qwFXwOc1HUZT%2bTB _x000d__x000a_https://bar.cnki.net/bar/download/order?id=jBGETXBNdPImvx70aLAuJPYxPoFw%2bp%2bi0fIiSrcN6lUgned412MdJw3fu4g4M6nTjV8kH35x5ffYcOAgglpoTUGxVkq8YHJNz4jV3WhknTrl8E%2bCUVp5GtDTYhVF2dNUoJeGx62Ssygg68TNXJ%2b5JrigejDAar8Xqw%2f6WR22OFXUdUGh4At8VBYSvh%2fCUD5a3hgtSYr8geG2JP%2b0nM9hpOPyk0KAUx%2bvRb2nBqtXw1r5LXYX1qwFXwOc1HUZT%2bTB _x000d__x000a_&lt;/_url&gt;&lt;_volume&gt;45&lt;/_volume&gt;&lt;_translated_author&gt;Tu, Jing zhe;Pan, Yan;Zi, Peng;Liu, Ming song;Wang, Chao;Zhang, Jian&lt;/_translated_author&gt;&lt;/Details&gt;&lt;Extra&gt;&lt;DBUID&gt;{684DF7C5-873E-4B6A-A11E-0CD148BF4011}&lt;/DBUID&gt;&lt;/Extra&gt;&lt;/Item&gt;&lt;/References&gt;&lt;/Group&gt;&lt;Group&gt;&lt;References&gt;&lt;Item&gt;&lt;ID&gt;395&lt;/ID&gt;&lt;UID&gt;{6274F2A3-CB06-40B5-B7AE-01D96F56D81B}&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ccessed&gt;64354193&lt;/_accessed&gt;&lt;_author_aff&gt;新能源与储能运行控制国家重点实验室(中国电力科学研究院有限公司);&lt;/_author_aff&gt;&lt;_collection_scope&gt;CSCD;PKU;EI&lt;/_collection_scope&gt;&lt;_created&gt;64079663&lt;/_created&gt;&lt;_date&gt;2021-05-14&lt;/_date&gt;&lt;_db_updated&gt;CNKI - Reference&lt;/_db_updated&gt;&lt;_journal&gt;电网技术&lt;/_journal&gt;&lt;_keywords&gt;暂态过电压;低电压穿越;风电机组;参数优化&lt;/_keywords&gt;&lt;_modified&gt;64441017&lt;/_modified&gt;&lt;_pages&gt;1-10&lt;/_pages&gt;&lt;_url&gt;https://kns.cnki.net/kcms/detail/detail.aspx?FileName=DWJS20210513001&amp;amp;DbName=DKFX2021 _x000d__x000a_https://bar.cnki.net/bar/download/order?id=jBGETXBNdPImvx70aLAuJPYxPoFw%2bp%2bi0fIiSrcN6lUE%2fm6X24IIb6M5isHz7ENq9OEo97ZCiBA9x8JL1XYq2UGxVkq8YHJNz4jV3WhknTrl8E%2bCUVp5GtDTYhVF2dNUoJeGx62Ssygg68TNXJ%2b5JrigejDAar8Xqw%2f6WR22OFXUdUGh4At8VBYSvh%2fCUD5aN6dPTqXllv%2bW8TkHitowude%2bo2b9e0Cppr%2bycIByksf5LXYX1qwFXwOc1HUZT%2bTB _x000d__x000a_https://bar.cnki.net/bar/download/order?id=jBGETXBNdPImvx70aLAuJPYxPoFw%2bp%2bi0fIiSrcN6lUE%2fm6X24IIb6M5isHz7ENq9OEo97ZCiBA9x8JL1XYq2UGxVkq8YHJNz4jV3WhknTrl8E%2bCUVp5GtDTYhVF2dNUoJeGx62Ssygg68TNXJ%2b5JrigejDAar8Xqw%2f6WR22OFXUdUGh4At8VBYSvh%2fCUD5aQO3AExPACQi3BQ%2b0Z05BopOuUyHkorBs%2f26UjMjDhzP5LXYX1qwFXwOc1HUZT%2bTB _x000d__x000a_https://bar.cnki.net/bar/download/order?id=jBGETXBNdPImvx70aLAuJPYxPoFw%2bp%2bi0fIiSrcN6lUE%2fm6X24IIb6M5isHz7ENq9OEo97ZCiBA9x8JL1XYq2UGxVkq8YHJNz4jV3WhknTrl8E%2bCUVp5GtDTYhVF2dNUoJeGx62Ssygg68TNXJ%2b5JrigejDAar8Xqw%2f6WR22OFXUdUGh4At8VBYSvh%2fCUD5aMmpJkA%2fPr6Kpk3UlClxHxw7B4PXYl7DQ8cUM8T1meBv5LXYX1qwFXwOc1HUZT%2bTB _x000d__x000a_https://bar.cnki.net/bar/download/order?id=jBGETXBNdPImvx70aLAuJPYxPoFw%2bp%2bi0fIiSrcN6lUE%2fm6X24IIb6M5isHz7ENq9OEo97ZCiBA9x8JL1XYq2UGxVkq8YHJNz4jV3WhknTrl8E%2bCUVp5GtDTYhVF2dNUoJeGx62Ssygg68TNXJ%2b5JrigejDAar8Xqw%2f6WR22OFXUdUGh4At8VBYSvh%2fCUD5a0LVJvCtbUnkmlC49WS%2bz3gWfuv%2bz7HRA49u8d8lNU7L5LXYX1qwFXwOc1HUZT%2bTB _x000d__x000a_&lt;/_url&gt;&lt;_translated_author&gt;Wang, Xi chun;Liu, Chun;Lin, Wei fang;Jie, Hong bin&lt;/_translated_author&gt;&lt;/Details&gt;&lt;Extra&gt;&lt;DBUID&gt;{684DF7C5-873E-4B6A-A11E-0CD148BF4011}&lt;/DBUID&gt;&lt;/Extra&gt;&lt;/Item&gt;&lt;/References&gt;&lt;/Group&gt;&lt;Group&gt;&lt;References&gt;&lt;Item&gt;&lt;ID&gt;501&lt;/ID&gt;&lt;UID&gt;{BA7F2A66-C895-426B-9C89-39A2DD7A33A6}&lt;/UID&gt;&lt;Title&gt;抑制直流单极闭锁引起大规模风电机组脱网的直流控制策略&lt;/Title&gt;&lt;Template&gt;Journal Article&lt;/Template&gt;&lt;Star&gt;0&lt;/Star&gt;&lt;Tag&gt;0&lt;/Tag&gt;&lt;Author&gt;张起瑞; 李凤婷; 尹纯亚; 刘江山; 陈睿康&lt;/Author&gt;&lt;Year&gt;2021&lt;/Year&gt;&lt;Details&gt;&lt;_author_aff&gt;新疆大学电气工程学院;&lt;/_author_aff&gt;&lt;_collection_scope&gt;CSCD;PKU;EI&lt;/_collection_scope&gt;&lt;_created&gt;64344246&lt;/_created&gt;&lt;_date&gt;2021-07-23&lt;/_date&gt;&lt;_db_updated&gt;CNKI - Reference&lt;/_db_updated&gt;&lt;_issue&gt;10&lt;/_issue&gt;&lt;_journal&gt;高电压技术&lt;/_journal&gt;&lt;_keywords&gt;交直流混联系统;单极闭锁;暂态过电压;风机高压脱网;直流控制策略&lt;/_keywords&gt;&lt;_modified&gt;64438150&lt;/_modified&gt;&lt;_pages&gt;3528-3537&lt;/_pages&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AJ588WIgmmizXoUTj2BPhe2Nz0AHLmjkWcnJY9U7lZz5LXYX1qwFXwOc1HUZT%2bTB _x000d__x000a_https://bar.cnki.net/bar/download/order?id=jBGETXBNdPImvx70aLAuJPYxPoFw%2bp%2bi0fIiSrcN6lWkV1tJa%2bxWNY0JklBMe8Tf%2bDdkDFepkUoGamH8rMrnz0GxVkq8YHJNz4jV3WhknTrl8E%2bCUVp5GtDTYhVF2dNUoJeGx62Ssygg68TNXJ%2b5JrigejDAar8Xqw%2f6WR22OFXUdUGh4At8VBYSvh%2fCUD5aj9tgWGRPuzBdu8PnnRxZtASRykQOzwRtn%2fv925%2fEyTv5LXYX1qwFXwOc1HUZT%2bTB _x000d__x000a_https://bar.cnki.net/bar/download/order?id=jBGETXBNdPImvx70aLAuJPYxPoFw%2bp%2bi0fIiSrcN6lWkV1tJa%2bxWNY0JklBMe8Tf%2bDdkDFepkUoGamH8rMrnz0GxVkq8YHJNz4jV3WhknTrl8E%2bCUVp5GtDTYhVF2dNUoJeGx62Ssygg68TNXJ%2b5JrigejDAar8Xqw%2f6WR22OFXUdUGh4At8VBYSvh%2fCUD5aDvmoM6VQbfi3qcBMvtv09fqSXm0CuW1w%2fFfWv6Rai0X5LXYX1qwFXwOc1HUZT%2bTB _x000d__x000a_&lt;/_url&gt;&lt;_volume&gt;47&lt;/_volume&gt;&lt;_translated_author&gt;Zhang, Qi rui;Li, Feng ting;Yin, Chun ya;Liu, Jiang shan;Chen, Rui kang&lt;/_translated_author&gt;&lt;/Details&gt;&lt;Extra&gt;&lt;DBUID&gt;{684DF7C5-873E-4B6A-A11E-0CD148BF4011}&lt;/DBUID&gt;&lt;/Extra&gt;&lt;/Item&gt;&lt;/References&gt;&lt;/Group&gt;&lt;/Citation&gt;_x000a_"/>
    <w:docVar w:name="NE.Ref{99F6C193-C822-4572-8377-E13F43D51B22}" w:val=" ADDIN NE.Ref.{99F6C193-C822-4572-8377-E13F43D51B22}&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9B57EFF0-3848-4EAA-A455-6F8EFA1C3C93}" w:val=" ADDIN NE.Ref.{9B57EFF0-3848-4EAA-A455-6F8EFA1C3C93}&lt;Citation&gt;&lt;Group&gt;&lt;References&gt;&lt;Item&gt;&lt;ID&gt;512&lt;/ID&gt;&lt;UID&gt;{7BDF3FEC-DC2C-4E1F-861C-9DFC21D3D112}&lt;/UID&gt;&lt;Title&gt;通过特高压直流实现大型能源基地风、光、火电力大规模高效率安全外送研究&lt;/Title&gt;&lt;Template&gt;Journal Article&lt;/Template&gt;&lt;Star&gt;0&lt;/Star&gt;&lt;Tag&gt;0&lt;/Tag&gt;&lt;Author&gt;刘振亚; 张启平; 董存; 张琳; 王智冬&lt;/Author&gt;&lt;Year&gt;2014&lt;/Year&gt;&lt;Details&gt;&lt;_author_adr&gt;国家电网公司;国网北京经济技术研究院;&lt;/_author_adr&gt;&lt;_collection_scope&gt;CSCD;PKU;EI&lt;/_collection_scope&gt;&lt;_created&gt;63655099&lt;/_created&gt;&lt;_db_provider&gt;CNKI&lt;/_db_provider&gt;&lt;_isbn&gt;0258-8013&lt;/_isbn&gt;&lt;_issue&gt;16&lt;/_issue&gt;&lt;_journal&gt;中国电机工程学报&lt;/_journal&gt;&lt;_keywords&gt;风力发电;光伏发电;特高压直流;打捆输电&lt;/_keywords&gt;&lt;_modified&gt;63655099&lt;/_modified&gt;&lt;_pages&gt;2513-2522&lt;/_pages&gt;&lt;_volume&gt;34&lt;/_volume&gt;&lt;_translated_author&gt;Liu, Zhenya;Zhang, Qiping;Dong, Cun;Zhang, Lin;Wang, Zhidong&lt;/_translated_author&gt;&lt;/Details&gt;&lt;Extra&gt;&lt;DBUID&gt;{F96A950B-833F-4880-A151-76DA2D6A2879}&lt;/DBUID&gt;&lt;/Extra&gt;&lt;/Item&gt;&lt;/References&gt;&lt;/Group&gt;&lt;/Citation&gt;_x000a_"/>
    <w:docVar w:name="NE.Ref{9B7EA603-F558-41B5-8012-4A26C11BAB24}" w:val=" ADDIN NE.Ref.{9B7EA603-F558-41B5-8012-4A26C11BAB24}&lt;Citation&gt;&lt;Group&gt;&lt;References&gt;&lt;Item&gt;&lt;ID&gt;657&lt;/ID&gt;&lt;UID&gt;{C284FB30-4F1B-4B95-AD26-49799123A9ED}&lt;/UID&gt;&lt;Title&gt;Analysis and Prevention of Subsequent Commutation Failures Caused by Improper Inverter Control Interactions in HVDC Systems&lt;/Title&gt;&lt;Template&gt;Journal Article&lt;/Template&gt;&lt;Star&gt;0&lt;/Star&gt;&lt;Tag&gt;0&lt;/Tag&gt;&lt;Author&gt;Liu, L; Lin, S; Liu, J; Sun, P Y; Liao, K; Li, X P; He, Z Y&lt;/Author&gt;&lt;Year&gt;2020&lt;/Year&gt;&lt;Details&gt;&lt;_alternate_title&gt;IEEE TRANSACTIONS ON POWER DELIVERY&lt;/_alternate_title&gt;&lt;_author_adr&gt;Southwest Jiaotong Univ, Sch Elect Engn, Chengdu 610031, Peoples R China; Guangdong Power Grid Corp, Guangzhou Power Supply Bur, Guangzhou 510600, Peoples R China; State Grid Sichuan Elect Power Res Inst, Chengdu 610072, Peoples R China&lt;/_author_adr&gt;&lt;_cited_count&gt;7&lt;/_cited_count&gt;&lt;_collection_scope&gt;SCI;SCIE;EI&lt;/_collection_scope&gt;&lt;_created&gt;64493985&lt;/_created&gt;&lt;_date&gt;2020-01-01&lt;/_date&gt;&lt;_date_display&gt;2020&lt;/_date_display&gt;&lt;_db_updated&gt;Web of Science-Core&lt;/_db_updated&gt;&lt;_doi&gt;10.1109/TPWRD.2020.2984225&lt;/_doi&gt;&lt;_impact_factor&gt;   4.825&lt;/_impact_factor&gt;&lt;_issue&gt;6&lt;/_issue&gt;&lt;_journal&gt;IEEE TRANSACTIONS ON POWER DELIVERY&lt;/_journal&gt;&lt;_keywords&gt;Inverters; HVDC transmission; Switches; Process control; Voltage control; Power system dynamics; Commutation failure; subsequent commutation failure; inverter control; interaction process; HVDC system&lt;/_keywords&gt;&lt;_modified&gt;64498604&lt;/_modified&gt;&lt;_pages&gt;2841-2852&lt;/_pages&gt;&lt;_url&gt;https://ieeexplore.ieee.org/stampPDF/getPDF.jsp?tp=&amp;amp;arnumber=9055071&amp;amp;ref=aHR0cHM6Ly9pZWVleHBsb3JlLmllZWUub3JnL3Jlc3Qvc2VhcmNo _x000d__x000a_&lt;/_url&gt;&lt;_volume&gt;35&lt;/_volume&gt;&lt;_accessed&gt;64498604&lt;/_accessed&gt;&lt;/Details&gt;&lt;Extra&gt;&lt;DBUID&gt;{F96A950B-833F-4880-A151-76DA2D6A2879}&lt;/DBUID&gt;&lt;/Extra&gt;&lt;/Item&gt;&lt;/References&gt;&lt;/Group&gt;&lt;/Citation&gt;_x000a_"/>
    <w:docVar w:name="NE.Ref{9B85739A-AA1B-4C2F-BD00-CD501627E779}" w:val=" ADDIN NE.Ref.{9B85739A-AA1B-4C2F-BD00-CD501627E779}&lt;Citation&gt;&lt;Group&gt;&lt;References&gt;&lt;Item&gt;&lt;ID&gt;558&lt;/ID&gt;&lt;UID&gt;{31BB8AC2-17C5-4AA3-92C9-7B48ED72A3D8}&lt;/UID&gt;&lt;Title&gt;计及风电不确定性和弃风率约束的风电场储能容量配置方法&lt;/Title&gt;&lt;Template&gt;Journal Article&lt;/Template&gt;&lt;Star&gt;0&lt;/Star&gt;&lt;Tag&gt;0&lt;/Tag&gt;&lt;Author&gt;杨立滨; 曹阳; 魏韡; 陈来军; 梅生伟&lt;/Author&gt;&lt;Year&gt;2020&lt;/Year&gt;&lt;Details&gt;&lt;_author_adr&gt;国网青海省电力公司电力科学研究院;清华大学电机工程与应用电子技术系;电力系统及发电设备控制和仿真国家重点实验室清华大学;&lt;/_author_adr&gt;&lt;_collection_scope&gt;CSCD;PKU;EI&lt;/_collection_scope&gt;&lt;_created&gt;63685118&lt;/_created&gt;&lt;_db_provider&gt;CNKI&lt;/_db_provider&gt;&lt;_isbn&gt;1000-1026&lt;/_isbn&gt;&lt;_issue&gt;16&lt;/_issue&gt;&lt;_journal&gt;电力系统自动化&lt;/_journal&gt;&lt;_keywords&gt;储能配置;风电场;分布鲁棒优化;不确定性;弃风率&lt;/_keywords&gt;&lt;_modified&gt;63685118&lt;/_modified&gt;&lt;_pages&gt;45-52&lt;/_pages&gt;&lt;_volume&gt;44&lt;/_volume&gt;&lt;_translated_author&gt;Yang, Libin;Cao, Yang;Wei, Wei;Chen, Laijun;Mei, Shengwei&lt;/_translated_author&gt;&lt;/Details&gt;&lt;Extra&gt;&lt;DBUID&gt;{F96A950B-833F-4880-A151-76DA2D6A2879}&lt;/DBUID&gt;&lt;/Extra&gt;&lt;/Item&gt;&lt;/References&gt;&lt;/Group&gt;&lt;/Citation&gt;_x000a_"/>
    <w:docVar w:name="NE.Ref{9BA17023-B4A0-4E6B-A390-51D1CA2CD6AD}" w:val=" ADDIN NE.Ref.{9BA17023-B4A0-4E6B-A390-51D1CA2CD6AD}&lt;Citation&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4647193&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3&lt;/_issue&gt;&lt;_journal&gt;电网技术&lt;/_journal&gt;&lt;_modified&gt;6464699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bar.cnki.net/bar/download/order?id=jBGETXBNdPImvx70aLAuJPYxPoFw%2bp%2bi0fIiSrcN6lX%2bscTGRrDxnZvQ4G%2flXB5Sk3PgOdB%2f8KZdF0hYj%2bY0tFaDlGRGqfvrZs8WIjNZTiDl8E%2bCUVp5GtDTYhVF2dNUoJeGx62Ssygg68TNXJ%2b5JrigejDAar8Xqw%2f6WR22OFXUdUGh4At8VBYSvh%2fCUD5a9htC2rlTL2k74%2bYQH4i5m3y0DUMyLbwyMBR3th7LWsj5LXYX1qwFXwOc1HUZT%2bTB _x000d__x000a_&lt;/_url&gt;&lt;_volume&gt;41&lt;/_volume&gt;&lt;/Details&gt;&lt;Extra&gt;&lt;DBUID&gt;{6891F4B0-DCBA-459A-9A22-3059983243D4}&lt;/DBUID&gt;&lt;/Extra&gt;&lt;/Item&gt;&lt;/References&gt;&lt;/Group&gt;&lt;/Citation&gt;_x000a_"/>
    <w:docVar w:name="NE.Ref{9BACC261-711A-4D30-9541-9BFE70C9404F}" w:val=" ADDIN NE.Ref.{9BACC261-711A-4D30-9541-9BFE70C9404F}&lt;Citation&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9BDD5321-A713-45F4-925B-DA836B69EA72}" w:val=" ADDIN NE.Ref.{9BDD5321-A713-45F4-925B-DA836B69EA72}&lt;Citation&gt;&lt;Group&gt;&lt;References&gt;&lt;Item&gt;&lt;ID&gt;17&lt;/ID&gt;&lt;UID&gt;{8ADF022D-239B-4795-B115-B591FCD06092}&lt;/UID&gt;&lt;Title&gt;基于场景分析的含风电系统机组组合的两阶段随机优化&lt;/Title&gt;&lt;Template&gt;Journal Article&lt;/Template&gt;&lt;Star&gt;0&lt;/Star&gt;&lt;Tag&gt;0&lt;/Tag&gt;&lt;Author&gt;雷宇; 杨明; 韩学山&lt;/Author&gt;&lt;Year&gt;2012&lt;/Year&gt;&lt;Details&gt;&lt;_accessed&gt;64357567&lt;/_accessed&gt;&lt;_author_aff&gt;山东大学电气工程学院;&lt;/_author_aff&gt;&lt;_cited_count&gt;178&lt;/_cited_count&gt;&lt;_collection_scope&gt;CSCD;PKU&lt;/_collection_scope&gt;&lt;_created&gt;64357565&lt;/_created&gt;&lt;_date&gt;59388480&lt;/_date&gt;&lt;_db_updated&gt;CNKI - Reference&lt;/_db_updated&gt;&lt;_issue&gt;23&lt;/_issue&gt;&lt;_journal&gt;电力系统保护与控制&lt;/_journal&gt;&lt;_keywords&gt;电力系统;风力发电;机组组合;两阶段随机规划;场景束约束&lt;/_keywords&gt;&lt;_language&gt;Chinese&lt;/_language&gt;&lt;_modified&gt;64357567&lt;/_modified&gt;&lt;_pages&gt;58-67&lt;/_pages&gt;&lt;_url&gt;https://kns.cnki.net/kcms/detail/detail.aspx?FileName=JDQW201223014&amp;amp;DbName=CJFQ2012&lt;/_url&gt;&lt;_volume&gt;40&lt;/_volume&gt;&lt;_translated_author&gt;Lei, Yu;Yang, Ming;Han, Xueshan&lt;/_translated_author&gt;&lt;/Details&gt;&lt;Extra/&gt;&lt;/Item&gt;&lt;/References&gt;&lt;/Group&gt;&lt;/Citation&gt;_x000a_"/>
    <w:docVar w:name="NE.Ref{9C1A0A6D-E689-4AAF-876D-A4E94D4A6A1D}" w:val=" ADDIN NE.Ref.{9C1A0A6D-E689-4AAF-876D-A4E94D4A6A1D}&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7.326&lt;/_impact_factor&gt;&lt;_isbn&gt;0885-8950&lt;/_isbn&gt;&lt;_issue&gt;5&lt;/_issue&gt;&lt;_journal&gt;IEEE TRANSACTIONS ON POWER SYSTEMS&lt;/_journal&gt;&lt;_modified&gt;64498627&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Citation&gt;_x000a_"/>
    <w:docVar w:name="NE.Ref{9C75C824-8292-4082-94FB-ECE2EC3C0E6E}" w:val=" ADDIN NE.Ref.{9C75C824-8292-4082-94FB-ECE2EC3C0E6E}&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9CDB466D-7EB5-4988-9100-CD7391ADEE02}" w:val=" ADDIN NE.Ref.{9CDB466D-7EB5-4988-9100-CD7391ADEE02}&lt;Citation&gt;&lt;Group&gt;&lt;References&gt;&lt;Item&gt;&lt;ID&gt;997&lt;/ID&gt;&lt;UID&gt;{F52F4992-1FA3-4C26-8EE5-73BF9658FE03}&lt;/UID&gt;&lt;Title&gt;直流换相失败冲击下的两区域交流联络线功率波动峰值计算&lt;/Title&gt;&lt;Template&gt;Journal Article&lt;/Template&gt;&lt;Star&gt;0&lt;/Star&gt;&lt;Tag&gt;0&lt;/Tag&gt;&lt;Author&gt;何剑; 张健; 郭强; 汤涌; 易俊; 卜广全&lt;/Author&gt;&lt;Year&gt;2015&lt;/Year&gt;&lt;Details&gt;&lt;_author_aff&gt;中国电力科学研究院;&lt;/_author_aff&gt;&lt;_cited_count&gt;50&lt;/_cited_count&gt;&lt;_date&gt;2015-02-20&lt;/_date&gt;&lt;_issue&gt;04&lt;/_issue&gt;&lt;_journal&gt;中国电机工程学报&lt;/_journal&gt;&lt;_keywords&gt;高压直流换相失败;冲击响应;联络线;功率波动&lt;/_keywords&gt;&lt;_pages&gt;804-810&lt;/_pages&gt;&lt;_url&gt;https://kns.cnki.net/kcms/detail/detail.aspx?FileName=ZGDC201504006&amp;amp;DbName=CJFQ2015&lt;/_url&gt;&lt;_volume&gt;35&lt;/_volume&gt;&lt;_created&gt;64779497&lt;/_created&gt;&lt;_modified&gt;64779498&lt;/_modified&gt;&lt;_db_updated&gt;CNKI - Reference&lt;/_db_updated&gt;&lt;_collection_scope&gt;CSCD;PKU;EI&lt;/_collection_scope&gt;&lt;_translated_author&gt;He, Jian;Zhang, Jian;Guo, Qiang;Tang, Yong;Yi, Jun;Bu, Guangquan&lt;/_translated_author&gt;&lt;/Details&gt;&lt;Extra&gt;&lt;DBUID&gt;{6891F4B0-DCBA-459A-9A22-3059983243D4}&lt;/DBUID&gt;&lt;/Extra&gt;&lt;/Item&gt;&lt;/References&gt;&lt;/Group&gt;&lt;Group&gt;&lt;References&gt;&lt;Item&gt;&lt;ID&gt;995&lt;/ID&gt;&lt;UID&gt;{ADFBCE0C-7B5A-4F49-9042-03742F0AC274}&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cited_count&gt;44&lt;/_cited_count&gt;&lt;_date&gt;2013-01-10&lt;/_date&gt;&lt;_issue&gt;01&lt;/_issue&gt;&lt;_journal&gt;电力自动化设备&lt;/_journal&gt;&lt;_keywords&gt;直流闭锁;交流联络线;功率波动;阶跃响应;转动惯量;阻尼比&lt;/_keywords&gt;&lt;_pages&gt;12-17&lt;/_pages&gt;&lt;_url&gt;https://kns.cnki.net/kcms/detail/detail.aspx?FileName=DLZS201301004&amp;amp;DbName=CJFQ2013&lt;/_url&gt;&lt;_volume&gt;33&lt;/_volume&gt;&lt;_created&gt;64779494&lt;/_created&gt;&lt;_modified&gt;64779495&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9DE5DE90-C411-4F00-8306-C169DFC85643}" w:val=" ADDIN NE.Ref.{9DE5DE90-C411-4F00-8306-C169DFC85643}&lt;Citation&gt;&lt;Group&gt;&lt;References&gt;&lt;Item&gt;&lt;ID&gt;531&lt;/ID&gt;&lt;UID&gt;{62D4B9B3-F6ED-47A5-956F-801E525CAD3F}&lt;/UID&gt;&lt;Title&gt;可再生能源配额制的机制设计与影响分析&lt;/Title&gt;&lt;Template&gt;Journal Article&lt;/Template&gt;&lt;Star&gt;0&lt;/Star&gt;&lt;Tag&gt;0&lt;/Tag&gt;&lt;Author&gt;蒋轶澄; 曹红霞; 杨莉; 费凡; 李晶; 林哲敏&lt;/Author&gt;&lt;Year&gt;2020&lt;/Year&gt;&lt;Details&gt;&lt;_author_adr&gt;浙江大学电气工程学院;安徽电力交易中心有限公司;&lt;/_author_adr&gt;&lt;_collection_scope&gt;CSCD;PKU;EI&lt;/_collection_scope&gt;&lt;_created&gt;63659497&lt;/_created&gt;&lt;_db_provider&gt;CNKI&lt;/_db_provider&gt;&lt;_isbn&gt;1000-1026&lt;/_isbn&gt;&lt;_issue&gt;07&lt;/_issue&gt;&lt;_journal&gt;电力系统自动化&lt;/_journal&gt;&lt;_keywords&gt;可再生能源;固定电价制度;配额制;绿色证书交易机制;机制设计&lt;/_keywords&gt;&lt;_modified&gt;63659497&lt;/_modified&gt;&lt;_pages&gt;187-199&lt;/_pages&gt;&lt;_volume&gt;44&lt;/_volume&gt;&lt;_translated_author&gt;Jiang, Yicheng;Cao, Hongxia;Yang, Li;Fei, Fan;Li, Jing;Lin, Zhemin&lt;/_translated_author&gt;&lt;/Details&gt;&lt;Extra&gt;&lt;DBUID&gt;{F96A950B-833F-4880-A151-76DA2D6A2879}&lt;/DBUID&gt;&lt;/Extra&gt;&lt;/Item&gt;&lt;/References&gt;&lt;/Group&gt;&lt;/Citation&gt;_x000a_"/>
    <w:docVar w:name="NE.Ref{9DFADF1B-DFEC-4581-AD81-C1776FC12641}" w:val=" ADDIN NE.Ref.{9DFADF1B-DFEC-4581-AD81-C1776FC12641}&lt;Citation&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3445943&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1000-3673(2017)41:3&amp;lt;721:YZHSDJ&amp;gt;2.0.TX;2-93&lt;/_issue&gt;&lt;_journal&gt;电网技术&lt;/_journal&gt;&lt;_modified&gt;6348198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kns.cnki.net/kcms/download.aspx?filename=qlDZah1Zzk2MlRUWmNUciJjWvJnNmN1MoNDe2QmQywGZPFkVBRXb6VUeIJkaRdWTwdjcsRGZtNlaGJkY4UUWO92TDNDM5ZTcopmRUhEem9kdTJ0K6dUVxdjYOZ1M5p0YPRjTrEUZadVQ2UHbxg1VzMlVTpGMwNka&amp;amp;tablename=CJFDLAST2017&amp;amp;dflag=pdfdown _x000d__x000a_&lt;/_url&gt;&lt;_volume&gt;41&lt;/_volume&gt;&lt;/Details&gt;&lt;Extra&gt;&lt;DBUID&gt;{6891F4B0-DCBA-459A-9A22-3059983243D4}&lt;/DBUID&gt;&lt;/Extra&gt;&lt;/Item&gt;&lt;/References&gt;&lt;/Group&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3445973&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3611200&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kns.cnki.net/kcms/download.aspx?filename=6FlSTlTRYBFephEZaRWbxQmb4QVbTdlQR50a1ZXdY10ZHx2Tx4URtF2KtJlaBlHbkpXRxgFVxBnViJHdFVEcycld1lzROVHakdGSup2cr8UVzQWWs9EewIEdOZ2KwFVSStSQNdkQoJFd3ombqFlZ1ZXSMhXcSVTW&amp;amp;tablename=CJFDLAST2019&amp;amp;dflag=pdfdown _x000d__x000a_&lt;/_url&gt;&lt;_volume&gt;45&lt;/_volume&gt;&lt;/Details&gt;&lt;Extra&gt;&lt;DBUID&gt;{6891F4B0-DCBA-459A-9A22-3059983243D4}&lt;/DBUID&gt;&lt;/Extra&gt;&lt;/Item&gt;&lt;/References&gt;&lt;/Group&gt;&lt;/Citation&gt;_x000a_"/>
    <w:docVar w:name="NE.Ref{9ECABD57-8133-4F66-9D0A-495D76A0234B}" w:val=" ADDIN NE.Ref.{9ECABD57-8133-4F66-9D0A-495D76A0234B}&lt;Citation&gt;&lt;Group&gt;&lt;References&gt;&lt;Item&gt;&lt;ID&gt;484&lt;/ID&gt;&lt;UID&gt;{872722D0-EBDE-42CA-A4BD-4C87E269774E}&lt;/UID&gt;&lt;Title&gt;A Decision Variable Clustering-Based Evolutionary Algorithm for Large-Scale Many-Objective Optimization&lt;/Title&gt;&lt;Template&gt;Journal Article&lt;/Template&gt;&lt;Star&gt;0&lt;/Star&gt;&lt;Tag&gt;0&lt;/Tag&gt;&lt;Author&gt;Zhang, Xingyi; Tian, Ye; Cheng, Ran; Jin, Yaochu&lt;/Author&gt;&lt;Year&gt;2018&lt;/Year&gt;&lt;Details&gt;&lt;_collection_scope&gt;SCI;SCIE;EI&lt;/_collection_scope&gt;&lt;_created&gt;63650775&lt;/_created&gt;&lt;_impact_factor&gt;  11.169&lt;/_impact_factor&gt;&lt;_issue&gt;99&lt;/_issue&gt;&lt;_journal&gt;IEEE Transactions on Evolutionary Computation&lt;/_journal&gt;&lt;_modified&gt;63650775&lt;/_modified&gt;&lt;_pages&gt;97-112&lt;/_pages&gt;&lt;_volume&gt;22&lt;/_volume&gt;&lt;/Details&gt;&lt;Extra&gt;&lt;DBUID&gt;{F96A950B-833F-4880-A151-76DA2D6A2879}&lt;/DBUID&gt;&lt;/Extra&gt;&lt;/Item&gt;&lt;/References&gt;&lt;/Group&gt;&lt;/Citation&gt;_x000a_"/>
    <w:docVar w:name="NE.Ref{9F3B4F6A-E375-4620-B9F3-21394F80FA88}" w:val=" ADDIN NE.Ref.{9F3B4F6A-E375-4620-B9F3-21394F80FA88}&lt;Citation&gt;&lt;Group&gt;&lt;References&gt;&lt;Item&gt;&lt;ID&gt;578&lt;/ID&gt;&lt;UID&gt;{1E50F95C-CC28-4D64-AA10-E29ADCE2E4E6}&lt;/UID&gt;&lt;Title&gt;A Distributionally Robust Optimization Model for Unit Commitment Based on Kullback-Leibler Divergence&lt;/Title&gt;&lt;Template&gt;Journal Article&lt;/Template&gt;&lt;Star&gt;0&lt;/Star&gt;&lt;Tag&gt;0&lt;/Tag&gt;&lt;Author&gt;Chen, Yuwei; Guo, Qinglai; Sun, Hongbin; Li, Zhengshuo; Wu, Wenchuan; Li, Zihao&lt;/Author&gt;&lt;Year&gt;2018&lt;/Year&gt;&lt;Details&gt;&lt;_accession_num&gt;WOS:000443079800044_x000d__x000a_ER&lt;/_accession_num&gt;&lt;_cited_count&gt;26&lt;/_cited_count&gt;&lt;_collection_scope&gt;SCI;SCIE;EI&lt;/_collection_scope&gt;&lt;_created&gt;63685321&lt;/_created&gt;&lt;_date_display&gt;2018, SEP 2018&lt;/_date_display&gt;&lt;_db_provider&gt;ISI&lt;/_db_provider&gt;&lt;_doi&gt;10.1109/TPWRS.2018.2797069&lt;/_doi&gt;&lt;_impact_factor&gt;   6.074&lt;/_impact_factor&gt;&lt;_isbn&gt;0885-8950&lt;/_isbn&gt;&lt;_issue&gt;5&lt;/_issue&gt;&lt;_journal&gt;IEEE TRANSACTIONS ON POWER SYSTEMS&lt;/_journal&gt;&lt;_modified&gt;63685321&lt;/_modified&gt;&lt;_pages&gt;5147-5160&lt;/_pages&gt;&lt;_url&gt;http://gateway.isiknowledge.com/gateway/Gateway.cgi?GWVersion=2&amp;amp;SrcAuth=AegeanSoftware&amp;amp;SrcApp=NoteExpress&amp;amp;DestLinkType=FullRecord&amp;amp;DestApp=WOS&amp;amp;KeyUT=000443079800044&lt;/_url&gt;&lt;_volume&gt;33&lt;/_volume&gt;&lt;/Details&gt;&lt;Extra&gt;&lt;DBUID&gt;{F96A950B-833F-4880-A151-76DA2D6A2879}&lt;/DBUID&gt;&lt;/Extra&gt;&lt;/Item&gt;&lt;/References&gt;&lt;/Group&gt;&lt;Group&gt;&lt;References&gt;&lt;Item&gt;&lt;ID&gt;579&lt;/ID&gt;&lt;UID&gt;{C0ABA73A-3A08-4D01-8059-60B12B83B3EB}&lt;/UID&gt;&lt;Title&gt;Wasserstein Metric Based Distributionally Robust Approximate Framework for Unit Commitment&lt;/Title&gt;&lt;Template&gt;Journal Article&lt;/Template&gt;&lt;Star&gt;0&lt;/Star&gt;&lt;Tag&gt;0&lt;/Tag&gt;&lt;Author&gt;Zhu, R; Wei, H; Bai, X&lt;/Author&gt;&lt;Year&gt;2019&lt;/Year&gt;&lt;Details&gt;&lt;_collection_scope&gt;SCI;SCIE;EI&lt;/_collection_scope&gt;&lt;_created&gt;63685327&lt;/_created&gt;&lt;_doi&gt;10.1109/TPWRS.2019.2893296}&lt;/_doi&gt;&lt;_impact_factor&gt;   6.074&lt;/_impact_factor&gt;&lt;_issue&gt;4&lt;/_issue&gt;&lt;_journal&gt;IEEE Transactions on Power Systems&lt;/_journal&gt;&lt;_modified&gt;63685327&lt;/_modified&gt;&lt;_pages&gt;2991-3001&lt;/_pages&gt;&lt;_volume&gt;34&lt;/_volume&gt;&lt;/Details&gt;&lt;Extra&gt;&lt;DBUID&gt;{F96A950B-833F-4880-A151-76DA2D6A2879}&lt;/DBUID&gt;&lt;/Extra&gt;&lt;/Item&gt;&lt;/References&gt;&lt;/Group&gt;&lt;/Citation&gt;_x000a_"/>
    <w:docVar w:name="NE.Ref{9F815A83-0499-413A-92CD-3DB3A3B910BC}" w:val=" ADDIN NE.Ref.{9F815A83-0499-413A-92CD-3DB3A3B910BC}&lt;Citation&gt;&lt;Group&gt;&lt;References&gt;&lt;Item&gt;&lt;ID&gt;116&lt;/ID&gt;&lt;UID&gt;{F6B603F6-FA64-4CFD-AAC0-B00EE07C15C5}&lt;/UID&gt;&lt;Title&gt;考虑风电消纳的热电联供型微网日前鲁棒经济调度&lt;/Title&gt;&lt;Template&gt;Journal Article&lt;/Template&gt;&lt;Star&gt;0&lt;/Star&gt;&lt;Tag&gt;0&lt;/Tag&gt;&lt;Author&gt;朱嘉远; 刘洋; 许立雄; 蒋卓臻; 马晨霄&lt;/Author&gt;&lt;Year&gt;2019&lt;/Year&gt;&lt;Details&gt;&lt;_accessed&gt;64308164&lt;/_accessed&gt;&lt;_author_aff&gt;四川大学电气信息学院;&lt;/_author_aff&gt;&lt;_cited_count&gt;68&lt;/_cited_count&gt;&lt;_collection_scope&gt;CSCD;PKU;EI&lt;/_collection_scope&gt;&lt;_created&gt;64306770&lt;/_created&gt;&lt;_date&gt;62667360&lt;/_date&gt;&lt;_db_updated&gt;CNKI - Reference&lt;/_db_updated&gt;&lt;_issue&gt;04&lt;/_issue&gt;&lt;_journal&gt;电力系统自动化&lt;/_journal&gt;&lt;_keywords&gt;微网(微电网);双层鲁棒优化;预测偏差控制;列约束生成算法;强对偶理论;Big-M法&lt;/_keywords&gt;&lt;_language&gt;Chinese&lt;/_language&gt;&lt;_modified&gt;64308164&lt;/_modified&gt;&lt;_pages&gt;40-48&lt;/_pages&gt;&lt;_url&gt;https://kns.cnki.net/kcms/detail/detail.aspx?FileName=DLXT201904006&amp;amp;DbName=CJFQ2019&lt;/_url&gt;&lt;_volume&gt;43&lt;/_volume&gt;&lt;_translated_author&gt;Zhu, Jiayuan;Liu, Yang;Xu, Lixiong;Jiang, Zhuozhen;Ma, Chenxiao&lt;/_translated_author&gt;&lt;/Details&gt;&lt;Extra&gt;&lt;DBUID&gt;{560D5FFD-5A46-4EB8-859B-FD657304A42E}&lt;/DBUID&gt;&lt;/Extra&gt;&lt;/Item&gt;&lt;/References&gt;&lt;/Group&gt;&lt;/Citation&gt;_x000a_"/>
    <w:docVar w:name="NE.Ref{9FF93642-DB91-4A4D-A2C0-E6210860006D}" w:val=" ADDIN NE.Ref.{9FF93642-DB91-4A4D-A2C0-E6210860006D}&lt;Citation&gt;&lt;Group&gt;&lt;References&gt;&lt;Item&gt;&lt;ID&gt;611&lt;/ID&gt;&lt;UID&gt;{AAB73565-2E79-4D94-879F-593C694CCDC0}&lt;/UID&gt;&lt;Title&gt;Real-Time Rolling Horizon Energy Management for the Energy-Hub-Coordinated Prosumer Community From a Cooperative Perspective&lt;/Title&gt;&lt;Template&gt;Journal Article&lt;/Template&gt;&lt;Star&gt;0&lt;/Star&gt;&lt;Tag&gt;0&lt;/Tag&gt;&lt;Author&gt;Ma, Li; Liu, Nian; Zhang, Jianhua; Wang, Lingfeng&lt;/Author&gt;&lt;Year&gt;2019&lt;/Year&gt;&lt;Details&gt;&lt;_accession_num&gt;WOS:000459509400036_x000d__x000a_ER&lt;/_accession_num&gt;&lt;_cited_count&gt;31&lt;/_cited_count&gt;&lt;_collection_scope&gt;SCI;SCIE;EI&lt;/_collection_scope&gt;&lt;_created&gt;63705313&lt;/_created&gt;&lt;_date_display&gt;2019, MAR 2019&lt;/_date_display&gt;&lt;_db_provider&gt;ISI&lt;/_db_provider&gt;&lt;_doi&gt;10.1109/TPWRS.2018.2877236&lt;/_doi&gt;&lt;_impact_factor&gt;   6.074&lt;/_impact_factor&gt;&lt;_isbn&gt;0885-8950&lt;/_isbn&gt;&lt;_issue&gt;2&lt;/_issue&gt;&lt;_journal&gt;IEEE TRANSACTIONS ON POWER SYSTEMS&lt;/_journal&gt;&lt;_modified&gt;63705313&lt;/_modified&gt;&lt;_pages&gt;1227-1242&lt;/_pages&gt;&lt;_url&gt;http://gateway.isiknowledge.com/gateway/Gateway.cgi?GWVersion=2&amp;amp;SrcAuth=AegeanSoftware&amp;amp;SrcApp=NoteExpress&amp;amp;DestLinkType=FullRecord&amp;amp;DestApp=WOS&amp;amp;KeyUT=000459509400036&lt;/_url&gt;&lt;_volume&gt;34&lt;/_volume&gt;&lt;/Details&gt;&lt;Extra&gt;&lt;DBUID&gt;{F96A950B-833F-4880-A151-76DA2D6A2879}&lt;/DBUID&gt;&lt;/Extra&gt;&lt;/Item&gt;&lt;/References&gt;&lt;/Group&gt;&lt;/Citation&gt;_x000a_"/>
    <w:docVar w:name="NE.Ref{A039771F-16C2-4F70-BFF1-719782FA7BC6}" w:val=" ADDIN NE.Ref.{A039771F-16C2-4F70-BFF1-719782FA7BC6}&lt;Citation&gt;&lt;Group&gt;&lt;References&gt;&lt;Item&gt;&lt;ID&gt;654&lt;/ID&gt;&lt;UID&gt;{DC210990-CB66-44DE-A1FB-91654854FD7D}&lt;/UID&gt;&lt;Title&gt;Convex Optimization Based Distributed Optimal Gas-Power Flow Calculation&lt;/Title&gt;&lt;Template&gt;Journal Article&lt;/Template&gt;&lt;Star&gt;0&lt;/Star&gt;&lt;Tag&gt;0&lt;/Tag&gt;&lt;Author&gt;Wang, Cheng; Wei, Wei; Wang, Jianhui; Bai, Linquan; Liang, Yile; Bi, Tianshu&lt;/Author&gt;&lt;Year&gt;2018&lt;/Year&gt;&lt;Details&gt;&lt;_accession_num&gt;WOS:000436000000016_x000d__x000a_ER&lt;/_accession_num&gt;&lt;_cited_count&gt;37&lt;/_cited_count&gt;&lt;_date_display&gt;2018, JUL 2018&lt;/_date_display&gt;&lt;_doi&gt;10.1109/TSTE.2017.2771954&lt;/_doi&gt;&lt;_isbn&gt;1949-3029&lt;/_isbn&gt;&lt;_issue&gt;3&lt;/_issue&gt;&lt;_journal&gt;IEEE TRANSACTIONS ON SUSTAINABLE ENERGY&lt;/_journal&gt;&lt;_pages&gt;1145-1156&lt;/_pages&gt;&lt;_url&gt;http://gateway.isiknowledge.com/gateway/Gateway.cgi?GWVersion=2&amp;amp;SrcAuth=AegeanSoftware&amp;amp;SrcApp=NoteExpress&amp;amp;DestLinkType=FullRecord&amp;amp;DestApp=WOS&amp;amp;KeyUT=000436000000016&lt;/_url&gt;&lt;_volume&gt;9&lt;/_volume&gt;&lt;_created&gt;63705634&lt;/_created&gt;&lt;_modified&gt;63705634&lt;/_modified&gt;&lt;_db_provider&gt;ISI&lt;/_db_provider&gt;&lt;_impact_factor&gt;   7.440&lt;/_impact_factor&gt;&lt;_collection_scope&gt;SCIE;EI&lt;/_collection_scope&gt;&lt;/Details&gt;&lt;Extra&gt;&lt;DBUID&gt;{F96A950B-833F-4880-A151-76DA2D6A2879}&lt;/DBUID&gt;&lt;/Extra&gt;&lt;/Item&gt;&lt;/References&gt;&lt;/Group&gt;&lt;/Citation&gt;_x000a_"/>
    <w:docVar w:name="NE.Ref{A050670B-4FB7-4474-9F09-A4E5D7AC82B3}" w:val=" ADDIN NE.Ref.{A050670B-4FB7-4474-9F09-A4E5D7AC82B3}&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A064E475-CA51-42C0-B90D-D5CB5FDCEA7C}" w:val=" ADDIN NE.Ref.{A064E475-CA51-42C0-B90D-D5CB5FDCEA7C}&lt;Citation&gt;&lt;Group&gt;&lt;References&gt;&lt;Item&gt;&lt;ID&gt;494&lt;/ID&gt;&lt;UID&gt;{C0856EC9-206D-4113-BA2B-E969F2B28F5A}&lt;/UID&gt;&lt;Title&gt;冷热电联供微网优化调度通用建模方法&lt;/Title&gt;&lt;Template&gt;Journal Article&lt;/Template&gt;&lt;Star&gt;0&lt;/Star&gt;&lt;Tag&gt;0&lt;/Tag&gt;&lt;Author&gt;王成山; 洪博文; 郭力; 张德举; 刘文建&lt;/Author&gt;&lt;Year&gt;2013&lt;/Year&gt;&lt;Details&gt;&lt;_author_adr&gt;智能电网教育部重点实验室(天津大学);&lt;/_author_adr&gt;&lt;_collection_scope&gt;CSCD;PKU;EI&lt;/_collection_scope&gt;&lt;_created&gt;63651835&lt;/_created&gt;&lt;_db_provider&gt;CNKI&lt;/_db_provider&gt;&lt;_isbn&gt;0258-8013&lt;/_isbn&gt;&lt;_issue&gt;31&lt;/_issue&gt;&lt;_journal&gt;中国电机工程学报&lt;/_journal&gt;&lt;_keywords&gt;冷热电联供系统;微网;动态经济调度;0-1混合整数线性规划;母线式结构&lt;/_keywords&gt;&lt;_modified&gt;63651835&lt;/_modified&gt;&lt;_pages&gt;26-33+3&lt;/_pages&gt;&lt;_volume&gt;33&lt;/_volume&gt;&lt;_translated_author&gt;Wang, Chengshan;Hong, Bowen;Guo, Li;Zhang, Deju;Liu, Wenjian&lt;/_translated_author&gt;&lt;/Details&gt;&lt;Extra&gt;&lt;DBUID&gt;{F96A950B-833F-4880-A151-76DA2D6A2879}&lt;/DBUID&gt;&lt;/Extra&gt;&lt;/Item&gt;&lt;/References&gt;&lt;/Group&gt;&lt;/Citation&gt;_x000a_"/>
    <w:docVar w:name="NE.Ref{A0B2B107-A254-41B7-AD31-3205B01A5F68}" w:val=" ADDIN NE.Ref.{A0B2B107-A254-41B7-AD31-3205B01A5F68}&lt;Citation&gt;&lt;Group&gt;&lt;References&gt;&lt;Item&gt;&lt;ID&gt;500&lt;/ID&gt;&lt;UID&gt;{169F7A31-2C91-4F26-A5B1-B40EDBBDDFFA}&lt;/UID&gt;&lt;Title&gt;Non-cooperative game-based multilateral contract transactions in power-heating integrated systems&lt;/Title&gt;&lt;Template&gt;Journal Article&lt;/Template&gt;&lt;Star&gt;0&lt;/Star&gt;&lt;Tag&gt;0&lt;/Tag&gt;&lt;Author&gt;Wang, Lu; Gu, Wei; Wu, Zhi; Qiu, Haifeng; Pan, Guangsheng&lt;/Author&gt;&lt;Year&gt;2020&lt;/Year&gt;&lt;Details&gt;&lt;_collection_scope&gt;SCI;SCIE;EI&lt;/_collection_scope&gt;&lt;_created&gt;63652036&lt;/_created&gt;&lt;_impact_factor&gt;   8.848&lt;/_impact_factor&gt;&lt;_journal&gt;Applied Energy&lt;/_journal&gt;&lt;_modified&gt;63652036&lt;/_modified&gt;&lt;_pages&gt;114930&lt;/_pages&gt;&lt;_volume&gt;268&lt;/_volume&gt;&lt;/Details&gt;&lt;Extra&gt;&lt;DBUID&gt;{F96A950B-833F-4880-A151-76DA2D6A2879}&lt;/DBUID&gt;&lt;/Extra&gt;&lt;/Item&gt;&lt;/References&gt;&lt;/Group&gt;&lt;/Citation&gt;_x000a_"/>
    <w:docVar w:name="NE.Ref{A0CA3672-0DD7-45AD-ACF2-DD422FB1451E}" w:val=" ADDIN NE.Ref.{A0CA3672-0DD7-45AD-ACF2-DD422FB1451E}&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A0CBDAEA-BA50-4490-971B-97C1D5531F5F}" w:val=" ADDIN NE.Ref.{A0CBDAEA-BA50-4490-971B-97C1D5531F5F}&lt;Citation&gt;&lt;Group&gt;&lt;References&gt;&lt;Item&gt;&lt;ID&gt;375&lt;/ID&gt;&lt;UID&gt;{EC3388C6-FD05-480F-BB4A-FAF571E64FE5}&lt;/UID&gt;&lt;Title&gt;锁相环对HVDC系统后续换相失败的影响研究&lt;/Title&gt;&lt;Template&gt;Journal Article&lt;/Template&gt;&lt;Star&gt;0&lt;/Star&gt;&lt;Tag&gt;0&lt;/Tag&gt;&lt;Author&gt;王子民; 傅闯; 汪娟娟; 李子林; 王学梅&lt;/Author&gt;&lt;Year&gt;2019&lt;/Year&gt;&lt;Details&gt;&lt;_accessed&gt;63445973&lt;/_accessed&gt;&lt;_accession_num&gt;CSCD:6635823_x000d__x000a_ER&lt;/_accession_num&gt;&lt;_cited_count&gt;0&lt;/_cited_count&gt;&lt;_collection_scope&gt;CSCD;PKU;EI&lt;/_collection_scope&gt;&lt;_created&gt;63444588&lt;/_created&gt;&lt;_date_display&gt;2019, 2019&lt;/_date_display&gt;&lt;_db_provider&gt;ISI&lt;/_db_provider&gt;&lt;_isbn&gt;0258-8013&lt;/_isbn&gt;&lt;_issue&gt;0258-8013(2019)39:23&amp;lt;6836:SXHDHX&amp;gt;2.0.TX;2-L23&lt;/_issue&gt;&lt;_journal&gt;中国电机工程学报&lt;/_journal&gt;&lt;_modified&gt;63445973&lt;/_modified&gt;&lt;_pages&gt;6836-6843&lt;/_pages&gt;&lt;_tertiary_title&gt;Proceedings of the Chinese Society of Electrical Engineering&lt;/_tertiary_title&gt;&lt;_translated_author&gt;Wang, Zimin; Fu, Chuang; Wang, Juanjuan; Li, Zilin; Wang, Xuemei&lt;/_translated_author&gt;&lt;_translated_title&gt;Study on the Influence of Phase-locked Loop on Follow-up Commutation Failure of HVDC System&lt;/_translated_title&gt;&lt;_url&gt;CSCD:6635823&lt;/_url&gt;&lt;_volume&gt;39&lt;/_volume&gt;&lt;/Details&gt;&lt;Extra&gt;&lt;DBUID&gt;{6891F4B0-DCBA-459A-9A22-3059983243D4}&lt;/DBUID&gt;&lt;/Extra&gt;&lt;/Item&gt;&lt;/References&gt;&lt;/Group&gt;&lt;Group&gt;&lt;References&gt;&lt;Item&gt;&lt;ID&gt;396&lt;/ID&gt;&lt;UID&gt;{9C8D10C5-6D8C-4122-B706-D90289C3AE74}&lt;/UID&gt;&lt;Title&gt;控制器交互不当引发后续换相失败的机理分析&lt;/Title&gt;&lt;Template&gt;Journal Article&lt;/Template&gt;&lt;Star&gt;0&lt;/Star&gt;&lt;Tag&gt;0&lt;/Tag&gt;&lt;Author&gt;刘磊; 林圣; 刘健; 孙沛瑶; 李小鹏; 何正友&lt;/Author&gt;&lt;Year&gt;2019&lt;/Year&gt;&lt;Details&gt;&lt;_accessed&gt;63445980&lt;/_accessed&gt;&lt;_accession_num&gt;CSCD:6586699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562:KZQJHB&amp;gt;2.0.TX;2-X10&lt;/_issue&gt;&lt;_journal&gt;电网技术&lt;/_journal&gt;&lt;_modified&gt;63445980&lt;/_modified&gt;&lt;_pages&gt;3562-3568&lt;/_pages&gt;&lt;_tertiary_title&gt;Power System Technology&lt;/_tertiary_title&gt;&lt;_translated_author&gt;Liu, Lei; Lin, Sheng; Liu, Jian; Sun, Peiyao; Li, Xiaopeng; He, Zhengyou&lt;/_translated_author&gt;&lt;_translated_title&gt;Mechanism Analysis of Subsequent Commutation Failures Caused by Improper Interaction of Controllers&lt;/_translated_title&gt;&lt;_url&gt;CSCD:6586699&lt;/_url&gt;&lt;_volume&gt;43&lt;/_volume&gt;&lt;/Details&gt;&lt;Extra&gt;&lt;DBUID&gt;{6891F4B0-DCBA-459A-9A22-3059983243D4}&lt;/DBUID&gt;&lt;/Extra&gt;&lt;/Item&gt;&lt;/References&gt;&lt;/Group&gt;&lt;Group&gt;&lt;References&gt;&lt;Item&gt;&lt;ID&gt;412&lt;/ID&gt;&lt;UID&gt;{8245F371-DA50-4BA0-BCD0-EEFB335CF754}&lt;/UID&gt;&lt;Title&gt;逆变侧交流系统不对称故障引发HVDC系统连续换相失败的机理及抑制策略研究&lt;/Title&gt;&lt;Template&gt;Journal Article&lt;/Template&gt;&lt;Star&gt;0&lt;/Star&gt;&lt;Tag&gt;0&lt;/Tag&gt;&lt;Author&gt;曾亮; 李永丽; 张云柯; 孙广宇; 宋金钊; 杨子荷; 赵学明&lt;/Author&gt;&lt;Year&gt;2019&lt;/Year&gt;&lt;Details&gt;&lt;_accessed&gt;63446005&lt;/_accessed&gt;&lt;_accession_num&gt;CSCD:6508056_x000d__x000a_ER&lt;/_accession_num&gt;&lt;_cited_count&gt;0&lt;/_cited_count&gt;&lt;_collection_scope&gt;CSCD;PKU;EI&lt;/_collection_scope&gt;&lt;_created&gt;63444588&lt;/_created&gt;&lt;_date_display&gt;2019, 2019&lt;/_date_display&gt;&lt;_db_provider&gt;ISI&lt;/_db_provider&gt;&lt;_isbn&gt;0258-8013&lt;/_isbn&gt;&lt;_issue&gt;0258-8013(2019)39:11&amp;lt;3159:NBCJLX&amp;gt;2.0.TX;2-F11&lt;/_issue&gt;&lt;_journal&gt;中国电机工程学报&lt;/_journal&gt;&lt;_modified&gt;63446005&lt;/_modified&gt;&lt;_pages&gt;3159-3167&lt;/_pages&gt;&lt;_tertiary_title&gt;Proceedings of the Chinese Society of Electrical Engineering&lt;/_tertiary_title&gt;&lt;_translated_author&gt;Zeng, Liang; Li, Yongli; Zhang, Yunke; Sun, Guangyu; Song, Jinzhao; Yang, Zihe; Zhao, Xueming&lt;/_translated_author&gt;&lt;_translated_title&gt;Research on Mechanism and Control Strategy of Continuous Commutation Failures in HVDC System Caused by Asymmetrical Fault in Inverter-Side AC System&lt;/_translated_title&gt;&lt;_url&gt;CSCD:6508056&lt;/_url&gt;&lt;_volume&gt;39&lt;/_volume&gt;&lt;/Details&gt;&lt;Extra&gt;&lt;DBUID&gt;{6891F4B0-DCBA-459A-9A22-3059983243D4}&lt;/DBUID&gt;&lt;/Extra&gt;&lt;/Item&gt;&lt;/References&gt;&lt;/Group&gt;&lt;Group&gt;&lt;References&gt;&lt;Item&gt;&lt;ID&gt;356&lt;/ID&gt;&lt;UID&gt;{A5DF09A4-B010-4596-8CFB-8E855ED9723D}&lt;/UID&gt;&lt;Title&gt;谐波引起的高压直流输电连续换相失败抑制方法研究&lt;/Title&gt;&lt;Template&gt;Journal Article&lt;/Template&gt;&lt;Star&gt;0&lt;/Star&gt;&lt;Tag&gt;0&lt;/Tag&gt;&lt;Author&gt;张国辉; 景柳铭; 王宾; 刘萌; 董新洲&lt;/Author&gt;&lt;Year&gt;2020&lt;/Year&gt;&lt;Details&gt;&lt;_accessed&gt;63446021&lt;/_accessed&gt;&lt;_accession_num&gt;CSCD:6681383_x000d__x000a_ER&lt;/_accession_num&gt;&lt;_cited_count&gt;0&lt;/_cited_count&gt;&lt;_collection_scope&gt;CSCD;PKU&lt;/_collection_scope&gt;&lt;_created&gt;63444588&lt;/_created&gt;&lt;_date_display&gt;2020, 2020&lt;/_date_display&gt;&lt;_db_provider&gt;ISI&lt;/_db_provider&gt;&lt;_isbn&gt;1674-3415&lt;/_isbn&gt;&lt;_issue&gt;5&lt;/_issue&gt;&lt;_journal&gt;电力系统保护与控制&lt;/_journal&gt;&lt;_modified&gt;63446019&lt;/_modified&gt;&lt;_pages&gt;33-41&lt;/_pages&gt;&lt;_tertiary_title&gt;Power System Protection and Control&lt;/_tertiary_title&gt;&lt;_translated_author&gt;Zhang, Guohui; Jing, Liuming; Wang, Bin; Liu, Meng; Dong, Xinzhou&lt;/_translated_author&gt;&lt;_translated_title&gt;Study on HVDC consecutive commutation failures mitigation method caused by harmonics&lt;/_translated_title&gt;&lt;_url&gt;CSCD:6681383 _x000d__x000a_https://kns.cnki.net/kns/download.aspx?filename=FdTRaRmMHVlTqhFN65mWxdWcwdlRXRXRENjehJDOYNHaHxmQ2ljWhZlWmJUQn92URhXS4ZEbsV2TDtkS3ZkaCNmNMpVMuBzVvE0LZxEOQdDdpBXWIx0N4MnVy8iUjpFbmtSW1AVZ4FjcvsSbt5Ud0VzYyMmRjxEe&amp;amp;tablename=CJFDLAST2020&amp;amp;dflag=pdfdown _x000d__x000a_&lt;/_url&gt;&lt;_volume&gt;48&lt;/_volume&gt;&lt;/Details&gt;&lt;Extra&gt;&lt;DBUID&gt;{6891F4B0-DCBA-459A-9A22-3059983243D4}&lt;/DBUID&gt;&lt;/Extra&gt;&lt;/Item&gt;&lt;/References&gt;&lt;/Group&gt;&lt;/Citation&gt;_x000a_"/>
    <w:docVar w:name="NE.Ref{A1971F6D-71A6-431E-9B50-989607F8BE08}" w:val=" ADDIN NE.Ref.{A1971F6D-71A6-431E-9B50-989607F8BE08}&lt;Citation&gt;&lt;Group&gt;&lt;References&gt;&lt;Item&gt;&lt;ID&gt;521&lt;/ID&gt;&lt;UID&gt;{528C33C0-7C2D-4CFF-816A-23736CC45C04}&lt;/UID&gt;&lt;Title&gt;基于SOCP的综合能源系统日前调度概率最优能量流&lt;/Title&gt;&lt;Template&gt;Journal Article&lt;/Template&gt;&lt;Star&gt;0&lt;/Star&gt;&lt;Tag&gt;0&lt;/Tag&gt;&lt;Author&gt;张博文; 孙永辉; 张世达&lt;/Author&gt;&lt;Year&gt;2019&lt;/Year&gt;&lt;Details&gt;&lt;_author_adr&gt;河海大学能源与电气学院;国网河南省电力公司检修公司;&lt;/_author_adr&gt;&lt;_collection_scope&gt;CSCD;PKU;EI&lt;/_collection_scope&gt;&lt;_created&gt;63657443&lt;/_created&gt;&lt;_db_provider&gt;CNKI&lt;/_db_provider&gt;&lt;_isbn&gt;1000-1026&lt;/_isbn&gt;&lt;_issue&gt;06&lt;/_issue&gt;&lt;_journal&gt;电力系统自动化&lt;/_journal&gt;&lt;_keywords&gt;日前调度;综合能源系统;概率最优能量流;点估计;二阶锥规划&lt;/_keywords&gt;&lt;_modified&gt;63657443&lt;/_modified&gt;&lt;_pages&gt;25-36&lt;/_pages&gt;&lt;_volume&gt;43&lt;/_volume&gt;&lt;_translated_author&gt;Zhang, Bowen;Sun, Yonghui;Zhang, Shida&lt;/_translated_author&gt;&lt;/Details&gt;&lt;Extra&gt;&lt;DBUID&gt;{F96A950B-833F-4880-A151-76DA2D6A2879}&lt;/DBUID&gt;&lt;/Extra&gt;&lt;/Item&gt;&lt;/References&gt;&lt;/Group&gt;&lt;/Citation&gt;_x000a_"/>
    <w:docVar w:name="NE.Ref{A23591DE-CB6C-4B55-ACB4-6E3938B407F3}" w:val=" ADDIN NE.Ref.{A23591DE-CB6C-4B55-ACB4-6E3938B407F3}&lt;Citation&gt;&lt;Group&gt;&lt;References&gt;&lt;Item&gt;&lt;ID&gt;40&lt;/ID&gt;&lt;UID&gt;{52C5417B-D3FE-46F6-A39D-82161F734805}&lt;/UID&gt;&lt;Title&gt;消纳大规模风电的鲁棒区间经济调度  (二)不确定集合构建与保守度调节&lt;/Title&gt;&lt;Template&gt;Journal Article&lt;/Template&gt;&lt;Star&gt;0&lt;/Star&gt;&lt;Tag&gt;0&lt;/Tag&gt;&lt;Author&gt;李志刚; 吴文传; 张伯明&lt;/Author&gt;&lt;Year&gt;2014&lt;/Year&gt;&lt;Details&gt;&lt;_created&gt;64357565&lt;/_created&gt;&lt;_language&gt;Chinese&lt;/_language&gt;&lt;_modified&gt;64358678&lt;/_modified&gt;&lt;_url&gt;https://kns.cnki.net/kcms/detail/detail.aspx?FileName=DLXT201421006&amp;amp;DbName=CJFQ2014&lt;/_url&gt;&lt;_journal&gt;电力系统自动化&lt;/_journal&gt;&lt;_volume&gt;38&lt;/_volume&gt;&lt;_issue&gt;21&lt;/_issue&gt;&lt;_pages&gt;32-38&lt;/_pages&gt;&lt;_cited_count&gt;80&lt;/_cited_count&gt;&lt;_date&gt;60409440&lt;/_date&gt;&lt;_keywords&gt;不确定集合;鲁棒优化;经济调度;预测区间;风力发电&lt;/_keywords&gt;&lt;_author_aff&gt;清华大学电机工程与应用电子技术系;电力系统及发电设备控制和仿真国家重点实验室,清华大学;&lt;/_author_aff&gt;&lt;_accessed&gt;64358678&lt;/_accessed&gt;&lt;_db_updated&gt;CNKI - Reference&lt;/_db_updated&gt;&lt;_collection_scope&gt;CSCD;PKU;EI&lt;/_collection_scope&gt;&lt;_translated_author&gt;Li, Zhigang;Wu, Wenchuan;Zhang, Boming&lt;/_translated_author&gt;&lt;/Details&gt;&lt;Extra&gt;&lt;DBUID&gt;{95582DB3-FE6D-4E9C-BE70-00D00A926A3A}&lt;/DBUID&gt;&lt;/Extra&gt;&lt;/Item&gt;&lt;/References&gt;&lt;/Group&gt;&lt;/Citation&gt;_x000a_"/>
    <w:docVar w:name="NE.Ref{A2A62829-38BB-4001-BDA5-7A1B20E6C4FF}" w:val=" ADDIN NE.Ref.{A2A62829-38BB-4001-BDA5-7A1B20E6C4FF}&lt;Citation&gt;&lt;Group&gt;&lt;References&gt;&lt;Item&gt;&lt;ID&gt;509&lt;/ID&gt;&lt;UID&gt;{D7535D6E-E3A9-424D-8662-DFC07B16BC09}&lt;/UID&gt;&lt;Title&gt;基于功率交互及动态分配的多储能单元控制策略&lt;/Title&gt;&lt;Template&gt;Journal Article&lt;/Template&gt;&lt;Star&gt;0&lt;/Star&gt;&lt;Tag&gt;0&lt;/Tag&gt;&lt;Author&gt;周建萍; 张纬舟; 王涛; 李欣煜; 李泓青; 茅大钧&lt;/Author&gt;&lt;Year&gt;2018&lt;/Year&gt;&lt;Details&gt;&lt;_author_adr&gt;上海电力学院自动化工程学院;上海发电过程智能管控工程技术研究中心;&lt;/_author_adr&gt;&lt;_collection_scope&gt;CSCD;PKU;EI&lt;/_collection_scope&gt;&lt;_created&gt;63655099&lt;/_created&gt;&lt;_db_provider&gt;CNKI&lt;/_db_provider&gt;&lt;_isbn&gt;1003-6520&lt;/_isbn&gt;&lt;_issue&gt;04&lt;/_issue&gt;&lt;_journal&gt;高电压技术&lt;/_journal&gt;&lt;_keywords&gt;直流微网;储能单元;荷电状态;功率平衡;功率分配&lt;/_keywords&gt;&lt;_modified&gt;63655099&lt;/_modified&gt;&lt;_pages&gt;1149-1156&lt;/_pages&gt;&lt;_volume&gt;44&lt;/_volume&gt;&lt;_translated_author&gt;Zhou, Jianping;Zhang, Weizhou;Wang, Tao;Li, Xinyu;Li, Hongqing;Mao, Dajun&lt;/_translated_author&gt;&lt;/Details&gt;&lt;Extra&gt;&lt;DBUID&gt;{F96A950B-833F-4880-A151-76DA2D6A2879}&lt;/DBUID&gt;&lt;/Extra&gt;&lt;/Item&gt;&lt;/References&gt;&lt;/Group&gt;&lt;/Citation&gt;_x000a_"/>
    <w:docVar w:name="NE.Ref{A34B3397-3E51-46DE-AC5C-BF19B6F7300B}" w:val=" ADDIN NE.Ref.{A34B3397-3E51-46DE-AC5C-BF19B6F7300B}&lt;Citation&gt;&lt;Group&gt;&lt;References&gt;&lt;Item&gt;&lt;ID&gt;605&lt;/ID&gt;&lt;UID&gt;{12165AFC-D787-4229-924B-725A3B2E78E1}&lt;/UID&gt;&lt;Title&gt;A fast steady-state ε-dominance multi-objective evolutionary algorithm&lt;/Title&gt;&lt;Template&gt;Journal Article&lt;/Template&gt;&lt;Star&gt;0&lt;/Star&gt;&lt;Tag&gt;0&lt;/Tag&gt;&lt;Author&gt;Minqiang; Li; Liu; LiuDan; Lin&lt;/Author&gt;&lt;Year&gt;2011&lt;/Year&gt;&lt;Details&gt;&lt;_created&gt;63705194&lt;/_created&gt;&lt;_journal&gt;Computational Optimization &amp;amp; Applications&lt;/_journal&gt;&lt;_modified&gt;63705194&lt;/_modified&gt;&lt;/Details&gt;&lt;Extra&gt;&lt;DBUID&gt;{F96A950B-833F-4880-A151-76DA2D6A2879}&lt;/DBUID&gt;&lt;/Extra&gt;&lt;/Item&gt;&lt;/References&gt;&lt;/Group&gt;&lt;/Citation&gt;_x000a_"/>
    <w:docVar w:name="NE.Ref{A3B0CF9B-D5DB-4A7B-B67F-CACC1318C6D5}" w:val=" ADDIN NE.Ref.{A3B0CF9B-D5DB-4A7B-B67F-CACC1318C6D5}&lt;Citation&gt;&lt;Group&gt;&lt;References&gt;&lt;Item&gt;&lt;ID&gt;814&lt;/ID&gt;&lt;UID&gt;{4145A2D7-B9D5-4A0B-878E-F0E4003AE67F}&lt;/UID&gt;&lt;Title&gt;Convex programming with set-inclusive constraints, and application to inexact LP&lt;/Title&gt;&lt;Template&gt;Journal Article&lt;/Template&gt;&lt;Star&gt;0&lt;/Star&gt;&lt;Tag&gt;0&lt;/Tag&gt;&lt;Author&gt;Soyster, A L&lt;/Author&gt;&lt;Year&gt;1973&lt;/Year&gt;&lt;Details&gt;&lt;_journal&gt;Operations Research&lt;/_journal&gt;&lt;_pages&gt;155-157&lt;/_pages&gt;&lt;_volume&gt;21&lt;/_volume&gt;&lt;_created&gt;63990278&lt;/_created&gt;&lt;_modified&gt;63990278&lt;/_modified&gt;&lt;_impact_factor&gt;   3.310&lt;/_impact_factor&gt;&lt;_collection_scope&gt;SCI;SCIE;SSCI;EI&lt;/_collection_scope&gt;&lt;/Details&gt;&lt;Extra&gt;&lt;DBUID&gt;{F96A950B-833F-4880-A151-76DA2D6A2879}&lt;/DBUID&gt;&lt;/Extra&gt;&lt;/Item&gt;&lt;/References&gt;&lt;/Group&gt;&lt;/Citation&gt;_x000a_"/>
    <w:docVar w:name="NE.Ref{A4958A0E-9088-4AEE-BDC9-CF7EA969EF0B}" w:val=" ADDIN NE.Ref.{A4958A0E-9088-4AEE-BDC9-CF7EA969EF0B}&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Group&gt;&lt;References&gt;&lt;Item&gt;&lt;ID&gt;629&lt;/ID&gt;&lt;UID&gt;{CCB72473-8296-4D2D-81B9-CF1153905A5D}&lt;/UID&gt;&lt;Title&gt;Analytical Expression on Transient Overvoltage Peak Value of Converter Bus Caused by DC Faults&lt;/Title&gt;&lt;Template&gt;Journal Article&lt;/Template&gt;&lt;Star&gt;0&lt;/Star&gt;&lt;Tag&gt;0&lt;/Tag&gt;&lt;Author&gt;Yin, C Y; Li, F T&lt;/Author&gt;&lt;Year&gt;2021&lt;/Year&gt;&lt;Details&gt;&lt;_alternate_title&gt;IEEE TRANSACTIONS ON POWER SYSTEMS&lt;/_alternate_title&gt;&lt;_author_adr&gt;Xinjiang Univ, Sch Elect Engn, Urumqi 830047, Peoples R China&lt;/_author_adr&gt;&lt;_cited_count&gt;3&lt;/_cited_count&gt;&lt;_collection_scope&gt;SCI;SCIE;EI&lt;/_collection_scope&gt;&lt;_created&gt;64493973&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494422&lt;/_modified&gt;&lt;_pages&gt;2741-2744&lt;/_pages&gt;&lt;_url&gt;https://ieeexplore.ieee.org/stampPDF/getPDF.jsp?tp=&amp;amp;arnumber=9366344&amp;amp;ref=aHR0cHM6Ly9pZWVleHBsb3JlLmllZWUub3JnL3Jlc3Qvc2VhcmNo _x000d__x000a_&lt;/_url&gt;&lt;_volume&gt;36&lt;/_volume&gt;&lt;/Details&gt;&lt;Extra&gt;&lt;DBUID&gt;{F96A950B-833F-4880-A151-76DA2D6A2879}&lt;/DBUID&gt;&lt;/Extra&gt;&lt;/Item&gt;&lt;/References&gt;&lt;/Group&gt;&lt;/Citation&gt;_x000a_"/>
    <w:docVar w:name="NE.Ref{A54130DE-D639-483F-BB57-5868F1EC9F55}" w:val=" ADDIN NE.Ref.{A54130DE-D639-483F-BB57-5868F1EC9F55}&lt;Citation&gt;&lt;Group&gt;&lt;References&gt;&lt;Item&gt;&lt;ID&gt;642&lt;/ID&gt;&lt;UID&gt;{CE58B3FB-8130-46D2-9B30-FB39F4842739}&lt;/UID&gt;&lt;Title&gt;Effect of the DC control on recovery from commutation failures in an HVDC inverter feeding a weak AC network&lt;/Title&gt;&lt;Template&gt;Journal Article&lt;/Template&gt;&lt;Star&gt;0&lt;/Star&gt;&lt;Tag&gt;0&lt;/Tag&gt;&lt;Author&gt;Khatir, Mohamed; Zidi, Sid-Ahmed; Hadjeri, Samir; Fellah, Mohammed-Karim; Dahou, Omar&lt;/Author&gt;&lt;Year&gt;2007&lt;/Year&gt;&lt;Details&gt;&lt;_accessed&gt;63446206&lt;/_accessed&gt;&lt;_accession_num&gt;WOS:000255737900003_x000d__x000a_ER&lt;/_accession_num&gt;&lt;_cited_count&gt;6&lt;/_cited_count&gt;&lt;_collection_scope&gt;SCIE&lt;/_collection_scope&gt;&lt;_created&gt;63444588&lt;/_created&gt;&lt;_date_display&gt;2007, JUL-AUG 2007&lt;/_date_display&gt;&lt;_db_provider&gt;ISI&lt;/_db_provider&gt;&lt;_impact_factor&gt;   0.686&lt;/_impact_factor&gt;&lt;_isbn&gt;1335-3632&lt;/_isbn&gt;&lt;_issue&gt;4&lt;/_issue&gt;&lt;_journal&gt;JOURNAL OF ELECTRICAL ENGINEERING-ELEKTROTECHNICKY CASOPIS&lt;/_journal&gt;&lt;_modified&gt;63446028&lt;/_modified&gt;&lt;_pages&gt;200-206&lt;/_pages&gt;&lt;_url&gt;http://gateway.isiknowledge.com/gateway/Gateway.cgi?GWVersion=2&amp;amp;SrcAuth=AegeanSoftware&amp;amp;SrcApp=NoteExpress&amp;amp;DestLinkType=FullRecord&amp;amp;DestApp=WOS&amp;amp;KeyUT=000255737900003&lt;/_url&gt;&lt;_volume&gt;58&lt;/_volume&gt;&lt;/Details&gt;&lt;Extra&gt;&lt;DBUID&gt;{6891F4B0-DCBA-459A-9A22-3059983243D4}&lt;/DBUID&gt;&lt;/Extra&gt;&lt;/Item&gt;&lt;/References&gt;&lt;/Group&gt;&lt;/Citation&gt;_x000a_"/>
    <w:docVar w:name="NE.Ref{A57724CF-2BA5-4F10-B914-B0967881FD8D}" w:val=" ADDIN NE.Ref.{A57724CF-2BA5-4F10-B914-B0967881FD8D}&lt;Citation&gt;&lt;Group&gt;&lt;References&gt;&lt;Item&gt;&lt;ID&gt;590&lt;/ID&gt;&lt;UID&gt;{BD1FFA8A-3617-47B0-A0AC-5A3F00281363}&lt;/UID&gt;&lt;Title&gt;Effect of a SFCL on Commutation Failure in a HVDC System&lt;/Title&gt;&lt;Template&gt;Journal Article&lt;/Template&gt;&lt;Star&gt;0&lt;/Star&gt;&lt;Tag&gt;0&lt;/Tag&gt;&lt;Author&gt;Lee, Hee-Jin; Son, Gum Tae; Yoo, Jae-Ik; Park, Jung-Wook&lt;/Author&gt;&lt;Year&gt;2013&lt;/Year&gt;&lt;Details&gt;&lt;_accession_num&gt;WOS:000314275800096_x000d__x000a_ER&lt;/_accession_num&gt;&lt;_cited_count&gt;16&lt;/_cited_count&gt;&lt;_collection_scope&gt;SCI;SCIE;EI&lt;/_collection_scope&gt;&lt;_created&gt;63444588&lt;/_created&gt;&lt;_date_display&gt;2013, JUN 2013&lt;/_date_display&gt;&lt;_db_provider&gt;ISI&lt;/_db_provider&gt;&lt;_doi&gt;10.1109/TASC.2012.2230291&lt;/_doi&gt;&lt;_impact_factor&gt;   1.692&lt;/_impact_factor&gt;&lt;_isbn&gt;1051-8223&lt;/_isbn&gt;&lt;_issue&gt;560010432&lt;/_issue&gt;&lt;_journal&gt;IEEE TRANSACTIONS ON APPLIED SUPERCONDUCTIVITY&lt;/_journal&gt;&lt;_modified&gt;63445749&lt;/_modified&gt;&lt;_url&gt;http://gateway.isiknowledge.com/gateway/Gateway.cgi?GWVersion=2&amp;amp;SrcAuth=AegeanSoftware&amp;amp;SrcApp=NoteExpress&amp;amp;DestLinkType=FullRecord&amp;amp;DestApp=WOS&amp;amp;KeyUT=000314275800096 _x000d__x000a_https://ieeexplore.ieee.org/stampPDF/getPDF.jsp?tp=&amp;amp;arnumber=6363555&amp;amp;ref=aHR0cHM6Ly9pZWVleHBsb3JlLmllZWUub3JnL3Jlc3Qvc2VhcmNo _x000d__x000a_&lt;/_url&gt;&lt;_volume&gt;23&lt;/_volume&gt;&lt;/Details&gt;&lt;Extra&gt;&lt;DBUID&gt;{6891F4B0-DCBA-459A-9A22-3059983243D4}&lt;/DBUID&gt;&lt;/Extra&gt;&lt;/Item&gt;&lt;/References&gt;&lt;/Group&gt;&lt;/Citation&gt;_x000a_"/>
    <w:docVar w:name="NE.Ref{A5CE5C52-65B8-4BA0-B0D2-F891D1F114F2}" w:val=" ADDIN NE.Ref.{A5CE5C52-65B8-4BA0-B0D2-F891D1F114F2}&lt;Citation&gt;&lt;Group&gt;&lt;References&gt;&lt;Item&gt;&lt;ID&gt;579&lt;/ID&gt;&lt;UID&gt;{C0ABA73A-3A08-4D01-8059-60B12B83B3EB}&lt;/UID&gt;&lt;Title&gt;Wasserstein Metric Based Distributionally Robust Approximate Framework for Unit Commitment&lt;/Title&gt;&lt;Template&gt;Journal Article&lt;/Template&gt;&lt;Star&gt;0&lt;/Star&gt;&lt;Tag&gt;0&lt;/Tag&gt;&lt;Author&gt;Zhu, R; Wei, H; Bai, X&lt;/Author&gt;&lt;Year&gt;2019&lt;/Year&gt;&lt;Details&gt;&lt;_collection_scope&gt;SCI;SCIE;EI&lt;/_collection_scope&gt;&lt;_created&gt;63685327&lt;/_created&gt;&lt;_doi&gt;10.1109/TPWRS.2019.2893296}&lt;/_doi&gt;&lt;_impact_factor&gt;   6.074&lt;/_impact_factor&gt;&lt;_issue&gt;4&lt;/_issue&gt;&lt;_journal&gt;IEEE Transactions on Power Systems&lt;/_journal&gt;&lt;_modified&gt;63685327&lt;/_modified&gt;&lt;_pages&gt;2991-3001&lt;/_pages&gt;&lt;_volume&gt;34&lt;/_volume&gt;&lt;/Details&gt;&lt;Extra&gt;&lt;DBUID&gt;{F96A950B-833F-4880-A151-76DA2D6A2879}&lt;/DBUID&gt;&lt;/Extra&gt;&lt;/Item&gt;&lt;/References&gt;&lt;/Group&gt;&lt;Group&gt;&lt;References&gt;&lt;Item&gt;&lt;ID&gt;562&lt;/ID&gt;&lt;UID&gt;{C88A26EB-9637-4962-86B1-960A3E87C15F}&lt;/UID&gt;&lt;Title&gt;多源动态最优潮流的分布鲁棒优化方法&lt;/Title&gt;&lt;Template&gt;Journal Article&lt;/Template&gt;&lt;Star&gt;0&lt;/Star&gt;&lt;Tag&gt;0&lt;/Tag&gt;&lt;Author&gt;竺如洁; 韦化; 白晓清&lt;/Author&gt;&lt;Year&gt;2020&lt;/Year&gt;&lt;Details&gt;&lt;_author_adr&gt;广西电力系统最优化与节能技术重点实验室(广西大学);&lt;/_author_adr&gt;&lt;_collection_scope&gt;CSCD;PKU;EI&lt;/_collection_scope&gt;&lt;_created&gt;63685118&lt;/_created&gt;&lt;_db_provider&gt;CNKI&lt;/_db_provider&gt;&lt;_isbn&gt;0258-8013&lt;/_isbn&gt;&lt;_issue&gt;11&lt;/_issue&gt;&lt;_journal&gt;中国电机工程学报&lt;/_journal&gt;&lt;_keywords&gt;鲁棒优化;最优潮流;数据驱动;多源电力系统;不确定性&lt;/_keywords&gt;&lt;_modified&gt;63685118&lt;/_modified&gt;&lt;_pages&gt;3489-3498&lt;/_pages&gt;&lt;_volume&gt;40&lt;/_volume&gt;&lt;_translated_author&gt;Zhu, Rujie;Wei, Hua;Bai, Xiaoqing&lt;/_translated_author&gt;&lt;/Details&gt;&lt;Extra&gt;&lt;DBUID&gt;{F96A950B-833F-4880-A151-76DA2D6A2879}&lt;/DBUID&gt;&lt;/Extra&gt;&lt;/Item&gt;&lt;/References&gt;&lt;/Group&gt;&lt;Group&gt;&lt;References&gt;&lt;Item&gt;&lt;ID&gt;561&lt;/ID&gt;&lt;UID&gt;{09A96AB6-55A9-4CEE-A384-E86841885AE4}&lt;/UID&gt;&lt;Title&gt;基于分布鲁棒优化的灵活爬坡备用调度方法&lt;/Title&gt;&lt;Template&gt;Journal Article&lt;/Template&gt;&lt;Star&gt;0&lt;/Star&gt;&lt;Tag&gt;0&lt;/Tag&gt;&lt;Author&gt;马洪艳; 贠靖洋; 严正&lt;/Author&gt;&lt;Year&gt;2020&lt;/Year&gt;&lt;Details&gt;&lt;_author_adr&gt;电力传输与功率变换教育部重点实验室(上海交通大学);&lt;/_author_adr&gt;&lt;_collection_scope&gt;CSCD;PKU;EI&lt;/_collection_scope&gt;&lt;_created&gt;63685118&lt;/_created&gt;&lt;_db_provider&gt;CNKI&lt;/_db_provider&gt;&lt;_isbn&gt;0258-8013&lt;/_isbn&gt;&lt;_issue&gt;19&lt;/_issue&gt;&lt;_journal&gt;中国电机工程学报&lt;/_journal&gt;&lt;_keywords&gt;灵活爬坡备用;不确定性;分布鲁棒优化;混合整数线性规划;可再生能源发电&lt;/_keywords&gt;&lt;_modified&gt;63685118&lt;/_modified&gt;&lt;_pages&gt;6121-6132&lt;/_pages&gt;&lt;_volume&gt;40&lt;/_volume&gt;&lt;_translated_author&gt;Ma, Hongyan;Yuan, Jingyang;Yan, Zheng&lt;/_translated_author&gt;&lt;/Details&gt;&lt;Extra&gt;&lt;DBUID&gt;{F96A950B-833F-4880-A151-76DA2D6A2879}&lt;/DBUID&gt;&lt;/Extra&gt;&lt;/Item&gt;&lt;/References&gt;&lt;/Group&gt;&lt;/Citation&gt;_x000a_"/>
    <w:docVar w:name="NE.Ref{A6EFF19A-5699-452B-88FC-AEF5C59507DE}" w:val=" ADDIN NE.Ref.{A6EFF19A-5699-452B-88FC-AEF5C59507DE}&lt;Citation&gt;&lt;Group&gt;&lt;References&gt;&lt;Item&gt;&lt;ID&gt;517&lt;/ID&gt;&lt;UID&gt;{CCC29CF3-242A-40D0-8006-72B4DBEC4068}&lt;/UID&gt;&lt;Title&gt;计及新能源出力不确定性的电气综合能源系统协同优化&lt;/Title&gt;&lt;Template&gt;Journal Article&lt;/Template&gt;&lt;Star&gt;0&lt;/Star&gt;&lt;Tag&gt;0&lt;/Tag&gt;&lt;Author&gt;王静; 徐箭; 廖思阳; 司马莉萍; 孙元章; 魏聪颖&lt;/Author&gt;&lt;Year&gt;2019&lt;/Year&gt;&lt;Details&gt;&lt;_author_adr&gt;武汉大学电气与自动化学院;&lt;/_author_adr&gt;&lt;_collection_scope&gt;CSCD;PKU;EI&lt;/_collection_scope&gt;&lt;_created&gt;63657435&lt;/_created&gt;&lt;_db_provider&gt;CNKI&lt;/_db_provider&gt;&lt;_isbn&gt;1000-1026&lt;/_isbn&gt;&lt;_issue&gt;15&lt;/_issue&gt;&lt;_journal&gt;电力系统自动化&lt;/_journal&gt;&lt;_keywords&gt;新能源;冷热电联产系统;温控负荷;综合能源系统;协同优化&lt;/_keywords&gt;&lt;_modified&gt;63657435&lt;/_modified&gt;&lt;_pages&gt;2-15&lt;/_pages&gt;&lt;_volume&gt;43&lt;/_volume&gt;&lt;_translated_author&gt;Wang, Jing;Xu, Jian;Liao, Siyang;Si, Maliping;Sun, Yuanzhang;Wei, Congying&lt;/_translated_author&gt;&lt;/Details&gt;&lt;Extra&gt;&lt;DBUID&gt;{F96A950B-833F-4880-A151-76DA2D6A2879}&lt;/DBUID&gt;&lt;/Extra&gt;&lt;/Item&gt;&lt;/References&gt;&lt;/Group&gt;&lt;Group&gt;&lt;References&gt;&lt;Item&gt;&lt;ID&gt;518&lt;/ID&gt;&lt;UID&gt;{1367B71A-EADB-42A5-8FDE-1BF6E9B92DA7}&lt;/UID&gt;&lt;Title&gt;基于可再生能源不确定性的多能源微网调度优化模型研究&lt;/Title&gt;&lt;Template&gt;Journal Article&lt;/Template&gt;&lt;Star&gt;0&lt;/Star&gt;&lt;Tag&gt;0&lt;/Tag&gt;&lt;Author&gt;李美成; 梅文明; 张凌康; 白保华; 赵充; 蔡丽莉&lt;/Author&gt;&lt;Year&gt;2019&lt;/Year&gt;&lt;Details&gt;&lt;_author_adr&gt;新能源电力系统国家重点实验室(华北电力大学);国家电网有限公司;国网甘肃省电力公司酒泉供电公司;国网节能服务有限公司;&lt;/_author_adr&gt;&lt;_collection_scope&gt;CSCD;PKU;EI&lt;/_collection_scope&gt;&lt;_created&gt;63657437&lt;/_created&gt;&lt;_db_provider&gt;CNKI&lt;/_db_provider&gt;&lt;_isbn&gt;1000-3673&lt;/_isbn&gt;&lt;_issue&gt;04&lt;/_issue&gt;&lt;_journal&gt;电网技术&lt;/_journal&gt;&lt;_keywords&gt;多能源微网;两阶段随机优化;需求响应;系统约束&lt;/_keywords&gt;&lt;_modified&gt;63657437&lt;/_modified&gt;&lt;_pages&gt;1260-1270&lt;/_pages&gt;&lt;_volume&gt;43&lt;/_volume&gt;&lt;_translated_author&gt;Li, Meicheng;Mei, Wenming;Zhang, Lingkang;Bai, Baohua;Zhao, Chong;Cai, Lili&lt;/_translated_author&gt;&lt;/Details&gt;&lt;Extra&gt;&lt;DBUID&gt;{F96A950B-833F-4880-A151-76DA2D6A2879}&lt;/DBUID&gt;&lt;/Extra&gt;&lt;/Item&gt;&lt;/References&gt;&lt;/Group&gt;&lt;Group&gt;&lt;References&gt;&lt;Item&gt;&lt;ID&gt;519&lt;/ID&gt;&lt;UID&gt;{B69D6FF4-075F-46B6-8199-E4147DE3D6BA}&lt;/UID&gt;&lt;Title&gt;风光储系统储能容量优化配置策略&lt;/Title&gt;&lt;Template&gt;Journal Article&lt;/Template&gt;&lt;Star&gt;0&lt;/Star&gt;&lt;Tag&gt;0&lt;/Tag&gt;&lt;Author&gt;李建林; 郭斌琪; 牛萌; 修晓青; 田立亭&lt;/Author&gt;&lt;Year&gt;2018&lt;/Year&gt;&lt;Details&gt;&lt;_author_adr&gt;新能源与储能运行控制国家重点实验室(中国电力科学研究院);&lt;/_author_adr&gt;&lt;_collection_scope&gt;CSCD;PKU;EI&lt;/_collection_scope&gt;&lt;_created&gt;63657439&lt;/_created&gt;&lt;_db_provider&gt;CNKI&lt;/_db_provider&gt;&lt;_isbn&gt;1000-6753&lt;/_isbn&gt;&lt;_issue&gt;06&lt;/_issue&gt;&lt;_journal&gt;电工技术学报&lt;/_journal&gt;&lt;_keywords&gt;风光储;储能配置;动态规划;双层决策&lt;/_keywords&gt;&lt;_modified&gt;63657439&lt;/_modified&gt;&lt;_pages&gt;1189-1196&lt;/_pages&gt;&lt;_volume&gt;33&lt;/_volume&gt;&lt;_translated_author&gt;Li, Jianlin;Guo, Binqi;Niu, Meng;Xiu, Xiaoqing;Tian, Liting&lt;/_translated_author&gt;&lt;/Details&gt;&lt;Extra&gt;&lt;DBUID&gt;{F96A950B-833F-4880-A151-76DA2D6A2879}&lt;/DBUID&gt;&lt;/Extra&gt;&lt;/Item&gt;&lt;/References&gt;&lt;/Group&gt;&lt;/Citation&gt;_x000a_"/>
    <w:docVar w:name="NE.Ref{A7433C17-B5DA-4CD9-B818-EAC68FF471CA}" w:val=" ADDIN NE.Ref.{A7433C17-B5DA-4CD9-B818-EAC68FF471CA}&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A7BB8245-F5EB-4E97-8DB4-74F6FAAA445F}" w:val=" ADDIN NE.Ref.{A7BB8245-F5EB-4E97-8DB4-74F6FAAA445F}&lt;Citation&gt;&lt;Group&gt;&lt;References&gt;&lt;Item&gt;&lt;ID&gt;1019&lt;/ID&gt;&lt;UID&gt;{3486809E-7CE0-419B-9A85-3CBF1501AA0B}&lt;/UID&gt;&lt;Title&gt;Response Mechanism of DFIG to Transient Voltage Disturbance Under Commutation Failure of LCC-HVDC System&lt;/Title&gt;&lt;Template&gt;Journal Article&lt;/Template&gt;&lt;Star&gt;0&lt;/Star&gt;&lt;Tag&gt;0&lt;/Tag&gt;&lt;Author&gt;Zheng, Z X; Ren, J; Xiao, X Y; Huang, C J; Wang, Y; Xie, Q&lt;/Author&gt;&lt;Year&gt;2020&lt;/Year&gt;&lt;Details&gt;&lt;_alternate_title&gt;IEEE TRANSACTIONS ON POWER DELIVERY&lt;/_alternate_title&gt;&lt;_author_adr&gt;Sichuan Univ, Coll Elect Engn, Chengdu 610065, Peoples R China&lt;/_author_adr&gt;&lt;_cited_count&gt;11&lt;/_cited_count&gt;&lt;_date_display&gt;2020&lt;/_date_display&gt;&lt;_date&gt;2020-01-01&lt;/_date&gt;&lt;_doi&gt;10.1109/TPWRD.2020.3005720&lt;/_doi&gt;&lt;_issue&gt;6&lt;/_issue&gt;&lt;_journal&gt;IEEE TRANSACTIONS ON POWER DELIVERY&lt;/_journal&gt;&lt;_keywords&gt;Reactive power; Transient analysis; Doubly fed induction generators; HVDC transmission; Rotors; Wind farms; Stators; DFIG; FRT; LCC-HVDC; commutation failure&lt;/_keywords&gt;&lt;_pages&gt;2972-2979&lt;/_pages&gt;&lt;_volume&gt;35&lt;/_volume&gt;&lt;_created&gt;64780380&lt;/_created&gt;&lt;_modified&gt;64780381&lt;/_modified&gt;&lt;_db_updated&gt;Web of Science-Core&lt;/_db_updated&gt;&lt;_impact_factor&gt;   4.825&lt;/_impact_factor&gt;&lt;_collection_scope&gt;SCI;SCIE;EI&lt;/_collection_scope&gt;&lt;/Details&gt;&lt;Extra&gt;&lt;DBUID&gt;{6891F4B0-DCBA-459A-9A22-3059983243D4}&lt;/DBUID&gt;&lt;/Extra&gt;&lt;/Item&gt;&lt;/References&gt;&lt;/Group&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54467&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2&lt;/_issue&gt;&lt;_journal&gt;电网技术&lt;/_journal&gt;&lt;_modified&gt;64654467&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Group&gt;&lt;References&gt;&lt;Item&gt;&lt;ID&gt;1021&lt;/ID&gt;&lt;UID&gt;{C6A02FA1-1147-4003-86B6-8A4C7B44EF4D}&lt;/UID&gt;&lt;Title&gt;考虑风机动态特性的大扰动暂态过电压机理分析&lt;/Title&gt;&lt;Template&gt;Journal Article&lt;/Template&gt;&lt;Star&gt;0&lt;/Star&gt;&lt;Tag&gt;0&lt;/Tag&gt;&lt;Author&gt;屠竞哲; 张健; 刘明松; 潘艳; 习工伟; 易俊&lt;/Author&gt;&lt;Year&gt;2020&lt;/Year&gt;&lt;Details&gt;&lt;_author_aff&gt;电网安全与节能国家重点实验室(中国电力科学研究院有限公司);国家电力调度控制中心;国家电网有限公司华北分部;&lt;/_author_aff&gt;&lt;_cited_count&gt;26&lt;/_cited_count&gt;&lt;_date&gt;2020-04-17&lt;/_date&gt;&lt;_issue&gt;11&lt;/_issue&gt;&lt;_journal&gt;电力系统自动化&lt;/_journal&gt;&lt;_keywords&gt;暂态过电压;故障形态;风机模型;低电压穿越&lt;/_keywords&gt;&lt;_pages&gt;197-205&lt;/_pages&gt;&lt;_url&gt;https://kns.cnki.net/kcms/detail/detail.aspx?FileName=DLXT202011023&amp;amp;DbName=CJFQ2020&lt;/_url&gt;&lt;_volume&gt;44&lt;/_volume&gt;&lt;_created&gt;64780381&lt;/_created&gt;&lt;_modified&gt;64780382&lt;/_modified&gt;&lt;_db_updated&gt;CNKI - Reference&lt;/_db_updated&gt;&lt;_collection_scope&gt;CSCD;PKU;EI&lt;/_collection_scope&gt;&lt;_translated_author&gt;Tu, Jingzhe;Zhang, Jian;Liu, Mingsong;Pan, Yan;Xi, Gongwei;Yi, Jun&lt;/_translated_author&gt;&lt;/Details&gt;&lt;Extra&gt;&lt;DBUID&gt;{6891F4B0-DCBA-459A-9A22-3059983243D4}&lt;/DBUID&gt;&lt;/Extra&gt;&lt;/Item&gt;&lt;/References&gt;&lt;/Group&gt;&lt;Group&gt;&lt;References&gt;&lt;Item&gt;&lt;ID&gt;1022&lt;/ID&gt;&lt;UID&gt;{CC51D491-277F-49A1-9896-734777E824D9}&lt;/UID&gt;&lt;Title&gt;特高压直流换相失败对送端电网风机暂态无功特性的影响分析&lt;/Title&gt;&lt;Template&gt;Journal Article&lt;/Template&gt;&lt;Star&gt;0&lt;/Star&gt;&lt;Tag&gt;0&lt;/Tag&gt;&lt;Author&gt;年珩; 金萧; 李光辉&lt;/Author&gt;&lt;Year&gt;2020&lt;/Year&gt;&lt;Details&gt;&lt;_author_aff&gt;浙江大学电气工程学院;新能源与储能运行控制国家重点实验室(中国电力科学研究院有限公司);&lt;/_author_aff&gt;&lt;_cited_count&gt;23&lt;/_cited_count&gt;&lt;_date&gt;2020-04-14&lt;/_date&gt;&lt;_issue&gt;13&lt;/_issue&gt;&lt;_journal&gt;中国电机工程学报&lt;/_journal&gt;&lt;_keywords&gt;风力发电系统;特高压直流输电;换相失败;送端电网故障;暂态无功特性&lt;/_keywords&gt;&lt;_pages&gt;4111-4122&lt;/_pages&gt;&lt;_url&gt;https://kns.cnki.net/kcms/detail/detail.aspx?FileName=ZGDC202013006&amp;amp;DbName=DKFX2020&lt;/_url&gt;&lt;_volume&gt;40&lt;/_volume&gt;&lt;_created&gt;64780382&lt;/_created&gt;&lt;_modified&gt;64780383&lt;/_modified&gt;&lt;_db_updated&gt;CNKI - Reference&lt;/_db_updated&gt;&lt;_collection_scope&gt;CSCD;PKU;EI&lt;/_collection_scope&gt;&lt;_translated_author&gt;Nian, Heng;Jin, Xiao;Li, Guanghui&lt;/_translated_author&gt;&lt;/Details&gt;&lt;Extra&gt;&lt;DBUID&gt;{6891F4B0-DCBA-459A-9A22-3059983243D4}&lt;/DBUID&gt;&lt;/Extra&gt;&lt;/Item&gt;&lt;/References&gt;&lt;/Group&gt;&lt;/Citation&gt;_x000a_"/>
    <w:docVar w:name="NE.Ref{A868902F-59CF-4517-9095-C6963AF3EF6E}" w:val=" ADDIN NE.Ref.{A868902F-59CF-4517-9095-C6963AF3EF6E}&lt;Citation&gt;&lt;Group&gt;&lt;References&gt;&lt;Item&gt;&lt;ID&gt;527&lt;/ID&gt;&lt;UID&gt;{291B8031-6D51-45D5-91E7-A340E5A9D44D}&lt;/UID&gt;&lt;Title&gt;暂态过电压引起风电机组连锁脱网风险分析及对策&lt;/Title&gt;&lt;Template&gt;Journal Article&lt;/Template&gt;&lt;Star&gt;0&lt;/Star&gt;&lt;Tag&gt;0&lt;/Tag&gt;&lt;Author&gt;贺静波; 庄伟; 许涛; 霍超; 蒋维勇&lt;/Author&gt;&lt;Year&gt;2016&lt;/Year&gt;&lt;Details&gt;&lt;_accessed&gt;64647193&lt;/_accessed&gt;&lt;_accession_num&gt;CSCD:5736009_x000d__x000a_ER&lt;/_accession_num&gt;&lt;_cited_count&gt;9&lt;/_cited_count&gt;&lt;_created&gt;63444588&lt;/_created&gt;&lt;_date_display&gt;2016, 2016&lt;/_date_display&gt;&lt;_db_provider&gt;ISI&lt;/_db_provider&gt;&lt;_isbn&gt;1000-3673&lt;/_isbn&gt;&lt;_issue&gt;6&lt;/_issue&gt;&lt;_journal&gt;电网技术 &lt;/_journal&gt;&lt;_modified&gt;64646999&lt;/_modified&gt;&lt;_pages&gt;1839-1844&lt;/_pages&gt;&lt;_tertiary_title&gt;Power System Technology&lt;/_tertiary_title&gt;&lt;_translated_author&gt;He, Jingbo; Zhuang, Wei; Xu, Tao; Huo, Chao; Jiang, Weiyong&lt;/_translated_author&gt;&lt;_translated_title&gt; Study on Cascading Tripping Risk of Wind Turbines Caused by Transient Overvoltage and Its Countermeasures&lt;/_translated_title&gt;&lt;_url&gt;CSCD:5736009 _x000d__x000a_https://bar.cnki.net/bar/download/order?id=jBGETXBNdPImvx70aLAuJPYxPoFw%2bp%2bi0fIiSrcN6lXLoRz4Z5iquf9T8M9ugbDCsxSj2%2bg5K93ojkRss4hrVDW1naasVB8LAM3hX8NAtijl8E%2bCUVp5GtDTYhVF2dNUoJeGx62Ssygg68TNXJ%2b5JrigejDAar8Xqw%2f6WR22OFXUdUGh4At8VBYSvh%2fCUD5avdCCX9%2fNlOQEXTDOzMevLRcYlBaUIWXbuFE25fb2m%2fb5LXYX1qwFXwOc1HUZT%2bTB _x000d__x000a_&lt;/_url&gt;&lt;_volume&gt;40&lt;/_volume&gt;&lt;/Details&gt;&lt;Extra&gt;&lt;DBUID&gt;{6891F4B0-DCBA-459A-9A22-3059983243D4}&lt;/DBUID&gt;&lt;/Extra&gt;&lt;/Item&gt;&lt;/References&gt;&lt;/Group&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47194&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000-3673(2015)39:12&amp;lt;3333:FHDHZL&amp;gt;2.0.TX;2-212&lt;/_issue&gt;&lt;_journal&gt;电网技术&lt;/_journal&gt;&lt;_modified&gt;64646881&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Citation&gt;_x000a_"/>
    <w:docVar w:name="NE.Ref{AAA12C88-8862-44A0-A49A-8030E1A55FB1}" w:val=" ADDIN NE.Ref.{AAA12C88-8862-44A0-A49A-8030E1A55FB1}&lt;Citation&gt;&lt;Group&gt;&lt;References&gt;&lt;Item&gt;&lt;ID&gt;609&lt;/ID&gt;&lt;UID&gt;{A33C9489-8703-4254-8F26-864E17390E43}&lt;/UID&gt;&lt;Title&gt;Peer-to-peer Modeling and Optimal Operation for Prosumer Energy Management in Intelligent Community&lt;/Title&gt;&lt;Template&gt;Journal Article&lt;/Template&gt;&lt;Star&gt;0&lt;/Star&gt;&lt;Tag&gt;0&lt;/Tag&gt;&lt;Author&gt;Wu, Jiechen; Ai, Xin; Hu, Junjie; Wu, Zhouyang&lt;/Author&gt;&lt;Year&gt;2020&lt;/Year&gt;&lt;Details&gt;&lt;_accession_num&gt;CSCD:6665330_x000d__x000a_ER&lt;/_accession_num&gt;&lt;_cited_count&gt;0&lt;/_cited_count&gt;&lt;_created&gt;63705311&lt;/_created&gt;&lt;_date_display&gt;2020, 2020&lt;/_date_display&gt;&lt;_db_provider&gt;ISI&lt;/_db_provider&gt;&lt;_isbn&gt;1000-3673&lt;/_isbn&gt;&lt;_issue&gt;1000-3673(2020)44:1&amp;lt;52:MXZNYQ&amp;gt;2.0.TX;2-N1&lt;/_issue&gt;&lt;_journal&gt;Power System Technology&lt;/_journal&gt;&lt;_modified&gt;63705311&lt;/_modified&gt;&lt;_pages&gt;52-61&lt;/_pages&gt;&lt;_tertiary_title&gt;电网技术&lt;/_tertiary_title&gt;&lt;_translated_author&gt;吴界辰_x000d__x000a_   艾欣_x000d__x000a_   胡俊杰_x000d__x000a_   吴洲洋&lt;/_translated_author&gt;&lt;_translated_title&gt;面向智能园区多产消者能量管理的对等模型(P2P)建模与优化运行&lt;/_translated_title&gt;&lt;_url&gt;CSCD:6665330&lt;/_url&gt;&lt;_volume&gt;44&lt;/_volume&gt;&lt;/Details&gt;&lt;Extra&gt;&lt;DBUID&gt;{F96A950B-833F-4880-A151-76DA2D6A2879}&lt;/DBUID&gt;&lt;/Extra&gt;&lt;/Item&gt;&lt;/References&gt;&lt;/Group&gt;&lt;/Citation&gt;_x000a_"/>
    <w:docVar w:name="NE.Ref{AB5DE23F-8B09-4393-BB89-798A26C6D62F}" w:val=" ADDIN NE.Ref.{AB5DE23F-8B09-4393-BB89-798A26C6D62F}&lt;Citation&gt;&lt;Group&gt;&lt;References&gt;&lt;Item&gt;&lt;ID&gt;1013&lt;/ID&gt;&lt;UID&gt;{281B0FFA-7DF5-493A-B0BA-FBAC8F33D51E}&lt;/UID&gt;&lt;Title&gt;Quantitative index to evaluate the impact of reactive power compensators on AC system&amp;apos;s strength of UHVDC transmission under hierarchical infeed mode&lt;/Title&gt;&lt;Template&gt;Journal Article&lt;/Template&gt;&lt;Star&gt;0&lt;/Star&gt;&lt;Tag&gt;0&lt;/Tag&gt;&lt;Author&gt;Rehman, A U; Guo, C Y; Zhao, C Y&lt;/Author&gt;&lt;Year&gt;2020&lt;/Year&gt;&lt;Details&gt;&lt;_alternate_title&gt;IET GENERATION TRANSMISSION &amp;amp; DISTRIBUTION&lt;/_alternate_title&gt;&lt;_author_adr&gt;North China Elect Power Univ, State Key Lab Alternate Elect Power Syst Renewabl, Beijing 102206, Peoples R China&lt;/_author_adr&gt;&lt;_cited_count&gt;7&lt;/_cited_count&gt;&lt;_date_display&gt;2020&lt;/_date_display&gt;&lt;_date&gt;2020-01-01&lt;/_date&gt;&lt;_doi&gt;10.1049/iet-gtd.2019.1013&lt;/_doi&gt;&lt;_issue&gt;3&lt;/_issue&gt;&lt;_journal&gt;IET GENERATION TRANSMISSION &amp;amp; DISTRIBUTION&lt;/_journal&gt;&lt;_keywords&gt;reactive power; busbars; static VAr compensators; invertors; HVDC power transmission; ultra high voltage direct current transmission system; hierarchical infeed mode; AC networks; special dynamic characteristics challenges; low-end converter; reactive power compensators; static synchronous compensator; AC grid system; AC busbar voltages; improved dynamic characteristics; UHVDC-HIM system; AC system; equivalent hierarchical mode short circuit ratio index; UHVDC transmission; voltage 1000; 0 kV; voltage 500; 0 kV&lt;/_keywords&gt;&lt;_pages&gt;441-448&lt;/_pages&gt;&lt;_volume&gt;14&lt;/_volume&gt;&lt;_created&gt;64779627&lt;/_created&gt;&lt;_modified&gt;64779627&lt;/_modified&gt;&lt;_db_updated&gt;Web of Science-Core&lt;/_db_updated&gt;&lt;_impact_factor&gt;   2.503&lt;/_impact_factor&gt;&lt;_collection_scope&gt;SCI;SCIE;EI&lt;/_collection_scope&gt;&lt;/Details&gt;&lt;Extra&gt;&lt;DBUID&gt;{6891F4B0-DCBA-459A-9A22-3059983243D4}&lt;/DBUID&gt;&lt;/Extra&gt;&lt;/Item&gt;&lt;/References&gt;&lt;/Group&gt;&lt;/Citation&gt;_x000a_"/>
    <w:docVar w:name="NE.Ref{AB7BFA5C-6118-4467-8F11-333BADCE0CA6}" w:val=" ADDIN NE.Ref.{AB7BFA5C-6118-4467-8F11-333BADCE0CA6}&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ABAB7BA2-5E1D-4588-ABED-78C2FDEC1198}" w:val=" ADDIN NE.Ref.{ABAB7BA2-5E1D-4588-ABED-78C2FDEC1198}&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ABCF7F2A-7566-46BE-B3A8-89D4171824CA}" w:val=" ADDIN NE.Ref.{ABCF7F2A-7566-46BE-B3A8-89D4171824CA}&lt;Citation&gt;&lt;Group&gt;&lt;References&gt;&lt;Item&gt;&lt;ID&gt;391&lt;/ID&gt;&lt;UID&gt;{027BBCE2-BB37-4260-9ABE-5F3F899BE5D6}&lt;/UID&gt;&lt;Title&gt;可再生能源配额制对优化我国电源结构的影响分析&lt;/Title&gt;&lt;Template&gt;Journal Article&lt;/Template&gt;&lt;Star&gt;0&lt;/Star&gt;&lt;Tag&gt;0&lt;/Tag&gt;&lt;Author&gt;赵新刚; 刘晓蒙; 兰贝&lt;/Author&gt;&lt;Year&gt;2013&lt;/Year&gt;&lt;Details&gt;&lt;_author_adr&gt;华北电力大学经济与管理学院;&lt;/_author_adr&gt;&lt;_collection_scope&gt;PKU&lt;/_collection_scope&gt;&lt;_created&gt;63640279&lt;/_created&gt;&lt;_db_provider&gt;CNKI&lt;/_db_provider&gt;&lt;_isbn&gt;1671-5292&lt;/_isbn&gt;&lt;_issue&gt;04&lt;/_issue&gt;&lt;_journal&gt;可再生能源&lt;/_journal&gt;&lt;_keywords&gt;绿电;可再生能源配额制;绿色证书&lt;/_keywords&gt;&lt;_modified&gt;63640279&lt;/_modified&gt;&lt;_pages&gt;1-5&lt;/_pages&gt;&lt;_volume&gt;31&lt;/_volume&gt;&lt;_translated_author&gt;Zhao, Xingang;Liu, Xiaomeng;Lan, Bei&lt;/_translated_author&gt;&lt;/Details&gt;&lt;Extra&gt;&lt;DBUID&gt;{F96A950B-833F-4880-A151-76DA2D6A2879}&lt;/DBUID&gt;&lt;/Extra&gt;&lt;/Item&gt;&lt;/References&gt;&lt;/Group&gt;&lt;/Citation&gt;_x000a_"/>
    <w:docVar w:name="NE.Ref{ABE4B4D1-A70B-48C4-BBA5-96205CB0D29C}" w:val=" ADDIN NE.Ref.{ABE4B4D1-A70B-48C4-BBA5-96205CB0D29C}&lt;Citation&gt;&lt;Group&gt;&lt;References&gt;&lt;Item&gt;&lt;ID&gt;1000&lt;/ID&gt;&lt;UID&gt;{82510AEC-502C-4635-8C93-EDB3C14E203D}&lt;/UID&gt;&lt;Title&gt;大容量直流换相失败后功率恢复速率对送端系统暂态稳定的影响分析&lt;/Title&gt;&lt;Template&gt;Journal Article&lt;/Template&gt;&lt;Star&gt;0&lt;/Star&gt;&lt;Tag&gt;0&lt;/Tag&gt;&lt;Author&gt;王增平; 胡加伟; 王彤; 时伯年&lt;/Author&gt;&lt;Year&gt;2020&lt;/Year&gt;&lt;Details&gt;&lt;_author_aff&gt;新能源电力系统国家重点实验室(华北电力大学);北京四方继保自动化股份有限公司;&lt;/_author_aff&gt;&lt;_cited_count&gt;16&lt;/_cited_count&gt;&lt;_date&gt;2020-05-05&lt;/_date&gt;&lt;_issue&gt;05&lt;/_issue&gt;&lt;_journal&gt;电网技术&lt;/_journal&gt;&lt;_keywords&gt;交直流异步互联;换相失败;直流功率恢复速率;送端暂态稳定性&lt;/_keywords&gt;&lt;_pages&gt;1815-1825&lt;/_pages&gt;&lt;_url&gt;https://kns.cnki.net/kcms/detail/detail.aspx?FileName=DWJS202005026&amp;amp;DbName=DKFX2020&lt;/_url&gt;&lt;_volume&gt;44&lt;/_volume&gt;&lt;_created&gt;64779563&lt;/_created&gt;&lt;_modified&gt;64779563&lt;/_modified&gt;&lt;_db_updated&gt;CNKI - Reference&lt;/_db_updated&gt;&lt;_collection_scope&gt;CSCD;PKU;EI&lt;/_collection_scope&gt;&lt;_translated_author&gt;Wang, Zengping;Hu, Jiawei;Wang, Tong;Shi, Bonian&lt;/_translated_author&gt;&lt;/Details&gt;&lt;Extra&gt;&lt;DBUID&gt;{6891F4B0-DCBA-459A-9A22-3059983243D4}&lt;/DBUID&gt;&lt;/Extra&gt;&lt;/Item&gt;&lt;/References&gt;&lt;/Group&gt;&lt;/Citation&gt;_x000a_"/>
    <w:docVar w:name="NE.Ref{AD190F74-A5C3-4BD0-AA2A-54C22BB870DC}" w:val=" ADDIN NE.Ref.{AD190F74-A5C3-4BD0-AA2A-54C22BB870DC}&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AD6694C5-BA5A-477D-95DE-848040321062}" w:val=" ADDIN NE.Ref.{AD6694C5-BA5A-477D-95DE-848040321062}&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AD8D64DF-615E-4DA6-962E-7A9D8B07DE7F}" w:val=" ADDIN NE.Ref.{AD8D64DF-615E-4DA6-962E-7A9D8B07DE7F}&lt;Citation&gt;&lt;Group&gt;&lt;References&gt;&lt;Item&gt;&lt;ID&gt;118&lt;/ID&gt;&lt;UID&gt;{57612B55-40DB-45B7-AB04-F1A907DBEF4F}&lt;/UID&gt;&lt;Title&gt;发输电系统鲁棒优化规划研究综述与展望&lt;/Title&gt;&lt;Template&gt;Journal Article&lt;/Template&gt;&lt;Star&gt;0&lt;/Star&gt;&lt;Tag&gt;0&lt;/Tag&gt;&lt;Author&gt;袁杨; 张衡; 程浩忠; 柳璐; 张啸虎; 励刚; 张建平&lt;/Author&gt;&lt;Year&gt;2022&lt;/Year&gt;&lt;Details&gt;&lt;_accessed&gt;64321065&lt;/_accessed&gt;&lt;_author_adr&gt;上海交通大学 电力传输与功率变换控制教育部重点实验室,上海 200240; 上海交通大学 电力传输与功率变换控制教育部重点实验室,上海 200240; 上海交通大学 电力传输与功率变换控制教育部重点实验室,上海 200240; 上海交通大学 电力传输与功率变换控制教育部重点实验室,上海 200240; 国家电网有限公司华东分部,上海 200120; 国家电网有限公司华东分部,上海 200120; 国家电网有限公司华东分部,上海 200120&lt;/_author_adr&gt;&lt;_author_aff&gt;上海交通大学 电力传输与功率变换控制教育部重点实验室,上海 200240; 上海交通大学 电力传输与功率变换控制教育部重点实验室,上海 200240; 上海交通大学 电力传输与功率变换控制教育部重点实验室,上海 200240; 上海交通大学 电力传输与功率变换控制教育部重点实验室,上海 200240; 国家电网有限公司华东分部,上海 200120; 国家电网有限公司华东分部,上海 200120; 国家电网有限公司华东分部,上海 200120&lt;/_author_aff&gt;&lt;_collection_scope&gt;CSCD;PKU;EI&lt;/_collection_scope&gt;&lt;_created&gt;64311133&lt;/_created&gt;&lt;_db_provider&gt;北京万方数据股份有限公司&lt;/_db_provider&gt;&lt;_db_updated&gt;Wanfangdata&lt;/_db_updated&gt;&lt;_doi&gt;10.16081/j.epae.202108014&lt;/_doi&gt;&lt;_isbn&gt;1006-6047&lt;/_isbn&gt;&lt;_issue&gt;1&lt;/_issue&gt;&lt;_journal&gt;电力自动化设备&lt;/_journal&gt;&lt;_keywords&gt;发输电系统;优化规划;不确定性;鲁棒优化;分布鲁棒优化&lt;/_keywords&gt;&lt;_language&gt;chi&lt;/_language&gt;&lt;_modified&gt;64320420&lt;/_modified&gt;&lt;_pages&gt;10-19,85&lt;/_pages&gt;&lt;_tertiary_title&gt;Electric Power Automation Equipment&lt;/_tertiary_title&gt;&lt;_translated_author&gt;Yang, YUAN; Heng, ZHANG; Haozhong, CHENG; Lu, LIU; Xiaohu, ZHANG; Gang, L I; Jianping, ZHANG&lt;/_translated_author&gt;&lt;_translated_title&gt;Review and prospect of robust optimization and planning research on generation and transmission system&lt;/_translated_title&gt;&lt;_url&gt;http://www.wanfangdata.com.cn/details/detail.do?_type=perio&amp;amp;id=dlzdhsb202201002&lt;/_url&gt;&lt;_volume&gt;42&lt;/_volume&gt;&lt;/Details&gt;&lt;Extra&gt;&lt;DBUID&gt;{560D5FFD-5A46-4EB8-859B-FD657304A42E}&lt;/DBUID&gt;&lt;/Extra&gt;&lt;/Item&gt;&lt;/References&gt;&lt;/Group&gt;&lt;/Citation&gt;_x000a_"/>
    <w:docVar w:name="NE.Ref{AE442F93-FD8D-4083-8B40-694F9A5D08B6}" w:val=" ADDIN NE.Ref.{AE442F93-FD8D-4083-8B40-694F9A5D08B6}&lt;Citation&gt;&lt;Group&gt;&lt;References&gt;&lt;Item&gt;&lt;ID&gt;102&lt;/ID&gt;&lt;UID&gt;{3C669069-0BD8-49D1-B447-0BC946E03C44}&lt;/UID&gt;&lt;Title&gt;计及风电消纳与发电集团利益的日前协调优化调度&lt;/Title&gt;&lt;Template&gt;Journal Article&lt;/Template&gt;&lt;Star&gt;0&lt;/Star&gt;&lt;Tag&gt;0&lt;/Tag&gt;&lt;Author&gt;麻秀范; 王戈; 朱思嘉; 余思雨&lt;/Author&gt;&lt;Year&gt;2021&lt;/Year&gt;&lt;Details&gt;&lt;_accessed&gt;64303960&lt;/_accessed&gt;&lt;_author_aff&gt;华北电力大学电气与电子工程学院;&lt;/_author_aff&gt;&lt;_cited_count&gt;8&lt;/_cited_count&gt;&lt;_collection_scope&gt;CSCD;PKU;EI&lt;/_collection_scope&gt;&lt;_created&gt;64303872&lt;/_created&gt;&lt;_date&gt;63332640&lt;/_date&gt;&lt;_db_updated&gt;CNKI - Reference&lt;/_db_updated&gt;&lt;_issue&gt;03&lt;/_issue&gt;&lt;_journal&gt;电工技术学报&lt;/_journal&gt;&lt;_keywords&gt;日前协调优化调度;风电消纳;深度调峰;负荷侧互动&lt;/_keywords&gt;&lt;_language&gt;Chinese&lt;/_language&gt;&lt;_modified&gt;64303959&lt;/_modified&gt;&lt;_pages&gt;579-587&lt;/_pages&gt;&lt;_url&gt;https://kns.cnki.net/kcms/detail/detail.aspx?FileName=DGJS202103014&amp;amp;DbName=CJFQ2021&lt;/_url&gt;&lt;_volume&gt;36&lt;/_volume&gt;&lt;_translated_author&gt;Ma, Xiufan;Wang, Ge;Zhu, Sijia;Yu, Siyu&lt;/_translated_author&gt;&lt;/Details&gt;&lt;Extra&gt;&lt;DBUID&gt;{560D5FFD-5A46-4EB8-859B-FD657304A42E}&lt;/DBUID&gt;&lt;/Extra&gt;&lt;/Item&gt;&lt;/References&gt;&lt;/Group&gt;&lt;/Citation&gt;_x000a_"/>
    <w:docVar w:name="NE.Ref{AE553681-CBB4-4328-8F5A-F6A98760EDA7}" w:val=" ADDIN NE.Ref.{AE553681-CBB4-4328-8F5A-F6A98760EDA7}&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AE776421-CD94-4B5F-A5E1-791AB74ABDED}" w:val=" ADDIN NE.Ref.{AE776421-CD94-4B5F-A5E1-791AB74ABDED}&lt;Citation&gt;&lt;Group&gt;&lt;References&gt;&lt;Item&gt;&lt;ID&gt;507&lt;/ID&gt;&lt;UID&gt;{86E18AA4-DB19-43CA-9C18-72AE2673247D}&lt;/UID&gt;&lt;Title&gt;澳大利亚可再生能源配额制及对我国的启示&lt;/Title&gt;&lt;Template&gt;Journal Article&lt;/Template&gt;&lt;Star&gt;0&lt;/Star&gt;&lt;Tag&gt;0&lt;/Tag&gt;&lt;Author&gt;周少鹏; 谢旭轩; 任东明; 薛惠锋&lt;/Author&gt;&lt;Year&gt;2012&lt;/Year&gt;&lt;Details&gt;&lt;_author_adr&gt;中国航天710所社会系统工程实验室;西北工业大学资环所;国家发改委能源研究所;&lt;/_author_adr&gt;&lt;_created&gt;63654950&lt;/_created&gt;&lt;_db_provider&gt;CNKI&lt;/_db_provider&gt;&lt;_isbn&gt;1003-2355&lt;/_isbn&gt;&lt;_issue&gt;02&lt;/_issue&gt;&lt;_journal&gt;中国能源&lt;/_journal&gt;&lt;_keywords&gt;可再生能源;配额制;证书交易机制;澳大利亚&lt;/_keywords&gt;&lt;_modified&gt;63654950&lt;/_modified&gt;&lt;_pages&gt;29-33&lt;/_pages&gt;&lt;_volume&gt;34&lt;/_volume&gt;&lt;_translated_author&gt;Zhou, Shaopeng;Xie, Xuxuan;Ren, Dongming;Xue, Huifeng&lt;/_translated_author&gt;&lt;/Details&gt;&lt;Extra&gt;&lt;DBUID&gt;{F96A950B-833F-4880-A151-76DA2D6A2879}&lt;/DBUID&gt;&lt;/Extra&gt;&lt;/Item&gt;&lt;/References&gt;&lt;/Group&gt;&lt;/Citation&gt;_x000a_"/>
    <w:docVar w:name="NE.Ref{AE9B1122-4CC9-4B97-8204-30AB6D444F01}" w:val=" ADDIN NE.Ref.{AE9B1122-4CC9-4B97-8204-30AB6D444F01}&lt;Citation&gt;&lt;Group&gt;&lt;References&gt;&lt;Item&gt;&lt;ID&gt;637&lt;/ID&gt;&lt;UID&gt;{5C6715DB-A004-4FA6-9C86-2D8386336C55}&lt;/UID&gt;&lt;Title&gt;考虑分时电价的风光储联合“削峰”优化调度模型&lt;/Title&gt;&lt;Template&gt;Journal Article&lt;/Template&gt;&lt;Star&gt;0&lt;/Star&gt;&lt;Tag&gt;0&lt;/Tag&gt;&lt;Author&gt;杨晓萍; 刘浩杰; 黄强&lt;/Author&gt;&lt;Year&gt;2018&lt;/Year&gt;&lt;Details&gt;&lt;_author_adr&gt;西安理工大学水利水电学院;&lt;/_author_adr&gt;&lt;_db_provider&gt;CNKI&lt;/_db_provider&gt;&lt;_isbn&gt;0254-0096&lt;/_isbn&gt;&lt;_issue&gt;06&lt;/_issue&gt;&lt;_journal&gt;太阳能学报&lt;/_journal&gt;&lt;_keywords&gt;优化调度模型;多目标粒子群算法;风力、光伏发电;峰谷分时电价;钠硫电池储能系统&lt;/_keywords&gt;&lt;_pages&gt;1752-1760&lt;/_pages&gt;&lt;_volume&gt;39&lt;/_volume&gt;&lt;_created&gt;63705565&lt;/_created&gt;&lt;_modified&gt;63705565&lt;/_modified&gt;&lt;_collection_scope&gt;CSCD;PKU;EI&lt;/_collection_scope&gt;&lt;_translated_author&gt;Yang, Xiaoping;Liu, Haojie;Huang, Qiang&lt;/_translated_author&gt;&lt;/Details&gt;&lt;Extra&gt;&lt;DBUID&gt;{F96A950B-833F-4880-A151-76DA2D6A2879}&lt;/DBUID&gt;&lt;/Extra&gt;&lt;/Item&gt;&lt;/References&gt;&lt;/Group&gt;&lt;/Citation&gt;_x000a_"/>
    <w:docVar w:name="NE.Ref{AEA3CE18-2CF0-4B90-B378-AFC955C0D902}" w:val=" ADDIN NE.Ref.{AEA3CE18-2CF0-4B90-B378-AFC955C0D902}&lt;Citation&gt;&lt;Group&gt;&lt;References&gt;&lt;Item&gt;&lt;ID&gt;657&lt;/ID&gt;&lt;UID&gt;{7C781F13-0558-4108-9D13-130B40CAEC23}&lt;/UID&gt;&lt;Title&gt;基于正余弦分量检测的高压直流换相失败预防方法&lt;/Title&gt;&lt;Template&gt;Journal Article&lt;/Template&gt;&lt;Star&gt;0&lt;/Star&gt;&lt;Tag&gt;0&lt;/Tag&gt;&lt;Author&gt;陈树勇; 李新年; 余军; 李涛; 吕鹏飞; 印永华&lt;/Author&gt;&lt;Year&gt;2005&lt;/Year&gt;&lt;Details&gt;&lt;_accessed&gt;63444722&lt;/_accessed&gt;&lt;_accession_num&gt;CSCD:2109837_x000d__x000a_ER&lt;/_accession_num&gt;&lt;_cited_count&gt;4&lt;/_cited_count&gt;&lt;_collection_scope&gt;CSCD;PKU;EI&lt;/_collection_scope&gt;&lt;_created&gt;63444588&lt;/_created&gt;&lt;_date_display&gt;2005, 2005&lt;/_date_display&gt;&lt;_db_provider&gt;ISI&lt;/_db_provider&gt;&lt;_isbn&gt;0258-8013&lt;/_isbn&gt;&lt;_issue&gt;0258-8013(2005)25:14&amp;lt;1:JYZTXF&amp;gt;2.0.TX;2-D14&lt;/_issue&gt;&lt;_journal&gt;中国电机工程学报&lt;/_journal&gt;&lt;_modified&gt;63444723&lt;/_modified&gt;&lt;_pages&gt;1-6&lt;/_pages&gt;&lt;_tertiary_title&gt;Proceedings of the Chinese Society of Electrical Engineering&lt;/_tertiary_title&gt;&lt;_translated_author&gt;Chen, Shuyong; Li, Xinnian; Yu, Jun; Li, Tao; Lv, Pengfei; Yin, Yonghua&lt;/_translated_author&gt;&lt;_translated_title&gt;A METHOD BASED ON THE SIN-COS COMPONENTS DETECTION MITIGATES COMMUTATION FAILURE IN HVDC &lt;/_translated_title&gt;&lt;_url&gt;CSCD:2109837 _x000d__x000a_https://kns.cnki.net/kns/download.aspx?filename=MFjMqtWb0EzdjBVaCBVRCBTOth1cURUWrVlYiRDN08Cdn9CRz00MLdTQNNFZspUdQpUU5UHbxJ0bSdUZyBlehNHeXJ1cGVEaWFXO2g2UYdEMoFldIp0bpJzZjJzb1JHMSJ1N0Fkd19mZ4ETT5YEUwklWNJXNGl3R&amp;amp;tablename=CJFD2005&amp;amp;dflag=pdfdown _x000d__x000a_&lt;/_url&gt;&lt;_volume&gt;25&lt;/_volume&gt;&lt;/Details&gt;&lt;Extra&gt;&lt;DBUID&gt;{6891F4B0-DCBA-459A-9A22-3059983243D4}&lt;/DBUID&gt;&lt;/Extra&gt;&lt;/Item&gt;&lt;/References&gt;&lt;/Group&gt;&lt;/Citation&gt;_x000a_"/>
    <w:docVar w:name="NE.Ref{AF3FACCC-25BB-4D76-8B13-F654134B15DB}" w:val=" ADDIN NE.Ref.{AF3FACCC-25BB-4D76-8B13-F654134B15DB}&lt;Citation&gt;&lt;Group&gt;&lt;References&gt;&lt;Item&gt;&lt;ID&gt;506&lt;/ID&gt;&lt;UID&gt;{F314D980-0DE1-4791-8F52-07056AFA3322}&lt;/UID&gt;&lt;Title&gt;可再生能源配额制下的短期发电计划研究&lt;/Title&gt;&lt;Template&gt;Thesis&lt;/Template&gt;&lt;Star&gt;0&lt;/Star&gt;&lt;Tag&gt;0&lt;/Tag&gt;&lt;Author&gt;张娜娜&lt;/Author&gt;&lt;Year&gt;2014&lt;/Year&gt;&lt;Details&gt;&lt;_created&gt;63654918&lt;/_created&gt;&lt;_db_provider&gt;CNKI&lt;/_db_provider&gt;&lt;_keywords&gt;可再生能源配额制;风电有序发电计划;短期发电计划;风电调度因子;配额交易机制&lt;/_keywords&gt;&lt;_modified&gt;63654918&lt;/_modified&gt;&lt;_publisher&gt;上海交通大学&lt;/_publisher&gt;&lt;_tertiary_author&gt;严正&lt;/_tertiary_author&gt;&lt;_type_work&gt;硕士&lt;/_type_work&gt;&lt;_translated_author&gt;Zhang, Nana&lt;/_translated_author&gt;&lt;_translated_tertiary_author&gt;Yan, Zheng&lt;/_translated_tertiary_author&gt;&lt;/Details&gt;&lt;Extra&gt;&lt;DBUID&gt;{F96A950B-833F-4880-A151-76DA2D6A2879}&lt;/DBUID&gt;&lt;/Extra&gt;&lt;/Item&gt;&lt;/References&gt;&lt;/Group&gt;&lt;/Citation&gt;_x000a_"/>
    <w:docVar w:name="NE.Ref{B06E1CCC-E877-4718-9A89-C9F248E15CBC}" w:val=" ADDIN NE.Ref.{B06E1CCC-E877-4718-9A89-C9F248E15CBC}&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Group&gt;&lt;References&gt;&lt;Item&gt;&lt;ID&gt;496&lt;/ID&gt;&lt;UID&gt;{58A602CD-A8CE-4C8B-B8D7-CEB5ABE37754}&lt;/UID&gt;&lt;Title&gt;虚拟电厂参与的交直流混合微网双层多目标鲁棒优化调度&lt;/Title&gt;&lt;Template&gt;Journal Article&lt;/Template&gt;&lt;Star&gt;0&lt;/Star&gt;&lt;Tag&gt;0&lt;/Tag&gt;&lt;Author&gt;李笑竹; 王维庆; 王海云; 武家辉; 徐其丹; 崔翔&lt;/Author&gt;&lt;Year&gt;2020&lt;/Year&gt;&lt;Details&gt;&lt;_author_adr&gt;新疆大学可再生能源发电与并网技术教育部工程研究中心;国网新疆电力有限公司经济技术研究院;&lt;/_author_adr&gt;&lt;_collection_scope&gt;CSCD;PKU;EI&lt;/_collection_scope&gt;&lt;_created&gt;63651893&lt;/_created&gt;&lt;_db_provider&gt;CNKI&lt;/_db_provider&gt;&lt;_isbn&gt;1003-6520&lt;/_isbn&gt;&lt;_issue&gt;07&lt;/_issue&gt;&lt;_journal&gt;高电压技术&lt;/_journal&gt;&lt;_keywords&gt;交直流混合微网;虚拟电厂;鲁棒优化;能量管理;多目标优化&lt;/_keywords&gt;&lt;_modified&gt;63651893&lt;/_modified&gt;&lt;_pages&gt;2350-2361&lt;/_pages&gt;&lt;_volume&gt;46&lt;/_volume&gt;&lt;_translated_author&gt;Li, Xiaozhu;Wang, Weiqing;Wang, Haiyun;Wu, Jiahui;Xu, Qidan;Cui, Xiang&lt;/_translated_author&gt;&lt;/Details&gt;&lt;Extra&gt;&lt;DBUID&gt;{F96A950B-833F-4880-A151-76DA2D6A2879}&lt;/DBUID&gt;&lt;/Extra&gt;&lt;/Item&gt;&lt;/References&gt;&lt;/Group&gt;&lt;/Citation&gt;_x000a_"/>
    <w:docVar w:name="NE.Ref{B0906D76-416F-4C42-B068-F2E22642617D}" w:val=" ADDIN NE.Ref.{B0906D76-416F-4C42-B068-F2E22642617D}&lt;Citation&gt;&lt;Group&gt;&lt;References&gt;&lt;Item&gt;&lt;ID&gt;404&lt;/ID&gt;&lt;UID&gt;{ACDBF7D3-CC64-4499-AAE9-DBE5FBAF156D}&lt;/UID&gt;&lt;Title&gt;Ranging patterns of hamadryas baboons: random walk analyses&lt;/Title&gt;&lt;Template&gt;Journal Article&lt;/Template&gt;&lt;Star&gt;0&lt;/Star&gt;&lt;Tag&gt;0&lt;/Tag&gt;&lt;Author&gt;Schreier, Amy L; Grove, Matt&lt;/Author&gt;&lt;Year&gt;2010&lt;/Year&gt;&lt;Details&gt;&lt;_accession_num&gt;WOS:000279153100011_x000d__x000a_ER&lt;/_accession_num&gt;&lt;_cited_count&gt;28&lt;/_cited_count&gt;&lt;_collection_scope&gt;SCI;SCIE&lt;/_collection_scope&gt;&lt;_created&gt;63641725&lt;/_created&gt;&lt;_date_display&gt;2010, JUL 2010&lt;/_date_display&gt;&lt;_db_provider&gt;ISI&lt;/_db_provider&gt;&lt;_doi&gt;10.1016/j.anbehav.2010.04.002&lt;/_doi&gt;&lt;_impact_factor&gt;   2.689&lt;/_impact_factor&gt;&lt;_isbn&gt;0003-3472&lt;/_isbn&gt;&lt;_issue&gt;1&lt;/_issue&gt;&lt;_journal&gt;ANIMAL BEHAVIOUR&lt;/_journal&gt;&lt;_modified&gt;63641725&lt;/_modified&gt;&lt;_pages&gt;75-87&lt;/_pages&gt;&lt;_url&gt;http://gateway.isiknowledge.com/gateway/Gateway.cgi?GWVersion=2&amp;amp;SrcAuth=AegeanSoftware&amp;amp;SrcApp=NoteExpress&amp;amp;DestLinkType=FullRecord&amp;amp;DestApp=WOS&amp;amp;KeyUT=000279153100011&lt;/_url&gt;&lt;_volume&gt;80&lt;/_volume&gt;&lt;/Details&gt;&lt;Extra&gt;&lt;DBUID&gt;{F96A950B-833F-4880-A151-76DA2D6A2879}&lt;/DBUID&gt;&lt;/Extra&gt;&lt;/Item&gt;&lt;/References&gt;&lt;/Group&gt;&lt;/Citation&gt;_x000a_"/>
    <w:docVar w:name="NE.Ref{B1AFE904-221D-4F7D-8A4B-552C007D51A9}" w:val=" ADDIN NE.Ref.{B1AFE904-221D-4F7D-8A4B-552C007D51A9}&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B1D7F458-E80C-4C3E-A62D-5AF096FBBDC8}" w:val=" ADDIN NE.Ref.{B1D7F458-E80C-4C3E-A62D-5AF096FBBDC8}&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B2180396-1911-4DFD-96EC-BB74A517BF9F}" w:val=" ADDIN NE.Ref.{B2180396-1911-4DFD-96EC-BB74A517BF9F}&lt;Citation&gt;&lt;Group&gt;&lt;References&gt;&lt;Item&gt;&lt;ID&gt;645&lt;/ID&gt;&lt;UID&gt;{22D85A44-55E4-4810-97C9-8147BA5EE5CB}&lt;/UID&gt;&lt;Title&gt;Integrating emerging and existing renewable energy technologies into a community-scale microgrid in an energy-water nexus for resilience improvement&lt;/Title&gt;&lt;Template&gt;Journal Article&lt;/Template&gt;&lt;Star&gt;0&lt;/Star&gt;&lt;Tag&gt;0&lt;/Tag&gt;&lt;Author&gt;A, Wei Zhang; A, Andrea Valencia; B, Lixing Gu; C, Qipeng P Zheng; A, Ni Bin Chang&lt;/Author&gt;&lt;Year&gt;0&lt;/Year&gt;&lt;Details&gt;&lt;_journal&gt;Applied Energy&lt;/_journal&gt;&lt;_volume&gt;279&lt;/_volume&gt;&lt;_created&gt;63705608&lt;/_created&gt;&lt;_modified&gt;63705608&lt;/_modified&gt;&lt;_collection_scope&gt;SCI;SCIE;EI&lt;/_collection_scope&gt;&lt;/Details&gt;&lt;Extra&gt;&lt;DBUID&gt;{F96A950B-833F-4880-A151-76DA2D6A2879}&lt;/DBUID&gt;&lt;/Extra&gt;&lt;/Item&gt;&lt;/References&gt;&lt;/Group&gt;&lt;/Citation&gt;_x000a_"/>
    <w:docVar w:name="NE.Ref{B2A32C4F-5EA8-4BFE-9FDA-CB05234DE665}" w:val=" ADDIN NE.Ref.{B2A32C4F-5EA8-4BFE-9FDA-CB05234DE665}&lt;Citation&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47194&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000-3673(2015)39:12&amp;lt;3333:FHDHZL&amp;gt;2.0.TX;2-212&lt;/_issue&gt;&lt;_journal&gt;电网技术&lt;/_journal&gt;&lt;_modified&gt;64646881&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Citation&gt;_x000a_"/>
    <w:docVar w:name="NE.Ref{B3CB7484-BA09-4FEE-96B1-D7671A0ADFF8}" w:val=" ADDIN NE.Ref.{B3CB7484-BA09-4FEE-96B1-D7671A0ADFF8}&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B3F00F1A-743C-439C-B428-EB27E15DF2ED}" w:val=" ADDIN NE.Ref.{B3F00F1A-743C-439C-B428-EB27E15DF2ED}&lt;Citation&gt;&lt;Group&gt;&lt;References&gt;&lt;Item&gt;&lt;ID&gt;421&lt;/ID&gt;&lt;UID&gt;{08ECBA8D-1FBE-4D81-A4D5-180B87BDA22A}&lt;/UID&gt;&lt;Title&gt;Integration of renewable energy sources in dynamic economic load dispatch problem using an improved fireworks algorithm&lt;/Title&gt;&lt;Template&gt;Journal Article&lt;/Template&gt;&lt;Star&gt;0&lt;/Star&gt;&lt;Tag&gt;0&lt;/Tag&gt;&lt;Author&gt;Kumar, Jadoun Vinay; Chandra, Pandey Vipin; Nikhil, Gupta; Rehman, Niazi Khaleequr; Anil, Swarnkar&lt;/Author&gt;&lt;Year&gt;2018&lt;/Year&gt;&lt;Details&gt;&lt;_collection_scope&gt;SCIE;EI&lt;/_collection_scope&gt;&lt;_created&gt;63643533&lt;/_created&gt;&lt;_impact_factor&gt;   3.894&lt;/_impact_factor&gt;&lt;_issue&gt;9&lt;/_issue&gt;&lt;_journal&gt;Iet Renewable Power Generation&lt;/_journal&gt;&lt;_modified&gt;63643533&lt;/_modified&gt;&lt;_pages&gt;1004-1011&lt;/_pages&gt;&lt;_volume&gt;12&lt;/_volume&gt;&lt;/Details&gt;&lt;Extra&gt;&lt;DBUID&gt;{F96A950B-833F-4880-A151-76DA2D6A2879}&lt;/DBUID&gt;&lt;/Extra&gt;&lt;/Item&gt;&lt;/References&gt;&lt;/Group&gt;&lt;/Citation&gt;_x000a_"/>
    <w:docVar w:name="NE.Ref{B4B3455A-5CE1-46EB-9062-24F6E1F2FF38}" w:val=" ADDIN NE.Ref.{B4B3455A-5CE1-46EB-9062-24F6E1F2FF38}&lt;Citation&gt;&lt;Group&gt;&lt;References&gt;&lt;Item&gt;&lt;ID&gt;670&lt;/ID&gt;&lt;UID&gt;{792F2F3C-BA91-47BE-BFBA-9981BF6B5EF3}&lt;/UID&gt;&lt;Title&gt;Research on methods of measuring extinction angle and measures to suppress repetitive commutation failures through equivalent DC input resistance&lt;/Title&gt;&lt;Template&gt;Journal Article&lt;/Template&gt;&lt;Star&gt;0&lt;/Star&gt;&lt;Tag&gt;0&lt;/Tag&gt;&lt;Author&gt;Liu, B; Chen, Z; Yang, S H; Lu, C; Deng, X H; Wang, R S&lt;/Author&gt;&lt;Year&gt;2021&lt;/Year&gt;&lt;Details&gt;&lt;_accessed&gt;64494512&lt;/_accessed&gt;&lt;_alternate_title&gt;INTERNATIONAL JOURNAL OF ELECTRICAL POWER &amp;amp; ENERGY SYSTEMS&lt;/_alternate_title&gt;&lt;_author_adr&gt;Southeast Univ, Sch Elect Engn, Nanjing 210096, Peoples R China&lt;/_author_adr&gt;&lt;_cited_count&gt;2&lt;/_cited_count&gt;&lt;_collection_scope&gt;SCIE;EI&lt;/_collection_scope&gt;&lt;_created&gt;64493973&lt;/_created&gt;&lt;_date&gt;2021-01-01&lt;/_date&gt;&lt;_date_display&gt;2021&lt;/_date_display&gt;&lt;_db_updated&gt;Web of Science-Core&lt;/_db_updated&gt;&lt;_doi&gt;10.1016/j.ijepes.2021.107326&lt;/_doi&gt;&lt;_impact_factor&gt;   5.659&lt;/_impact_factor&gt;&lt;_journal&gt;INTERNATIONAL JOURNAL OF ELECTRICAL POWER &amp;amp; ENERGY SYSTEMS&lt;/_journal&gt;&lt;_keywords&gt;HVDC; Commutation failure; Equivalent DC input resistance; Constant equivalent DC input resistance method; VDCOL&lt;/_keywords&gt;&lt;_modified&gt;64494512&lt;/_modified&gt;&lt;_volume&gt;133&lt;/_volume&gt;&lt;/Details&gt;&lt;Extra&gt;&lt;DBUID&gt;{F96A950B-833F-4880-A151-76DA2D6A2879}&lt;/DBUID&gt;&lt;/Extra&gt;&lt;/Item&gt;&lt;/References&gt;&lt;/Group&gt;&lt;/Citation&gt;_x000a_"/>
    <w:docVar w:name="NE.Ref{B5211509-2030-4081-9ADA-E35BEF8AF55D}" w:val=" ADDIN NE.Ref.{B5211509-2030-4081-9ADA-E35BEF8AF55D}&lt;Citation&gt;&lt;Group&gt;&lt;References&gt;&lt;Item&gt;&lt;ID&gt;1017&lt;/ID&gt;&lt;UID&gt;{DECEAD80-6B3D-4D97-B176-3611A80F1F6D}&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uthor_aff&gt;国网冀北电力科学研究院国家电网公司风光储联合发电运行技术实验室;&lt;/_author_aff&gt;&lt;_date&gt;2022-04-13&lt;/_date&gt;&lt;_issue&gt;08&lt;/_issue&gt;&lt;_journal&gt;电力自动化设备&lt;/_journal&gt;&lt;_keywords&gt;风电;短路比;静态电压稳定;暂态过电压;宽频振荡;故障穿越&lt;/_keywords&gt;&lt;_pages&gt;72-78&lt;/_pages&gt;&lt;_url&gt;https://kns.cnki.net/kcms/detail/detail.aspx?FileName=DLZS202208009&amp;amp;DbName=CJFQ2022 _x000d__x000a_https://bar.cnki.net/bar/download/order?id=jBGETXBNdPImvx70aLAuJPYxPoFw%2bp%2bi0fIiSrcN6lXSmGzH5H%2bTCiS0uUjLGVjQsshnTQdlzf0o9Rxczx2nOp0PLIIoFLYwy5BgUEfsTyzl8E%2bCUVp5GtDTYhVF2dNUoJeGx62Ssygg68TNXJ%2b5JrigejDAar8Xqw%2f6WR22OFXUdUGh4At8VBYSvh%2fCUD5a8qJ9zgaTk1L5fn9x16E3cVLObiAHKqW%2baPUfaBEjLr35LXYX1qwFXwOc1HUZT%2bTB _x000d__x000a_&lt;/_url&gt;&lt;_volume&gt;42&lt;/_volume&gt;&lt;_created&gt;64779747&lt;/_created&gt;&lt;_modified&gt;64779748&lt;/_modified&gt;&lt;_db_updated&gt;CNKI - Reference&lt;/_db_updated&gt;&lt;_collection_scope&gt;CSCD;PKU;EI&lt;/_collection_scope&gt;&lt;_translated_author&gt;Wu, Linlin;Li, Yunhong;Yu, Siqi;Sun, Yamin;Wang, Xiao;Yang, Yanchen;Deng, Xiaoyang;Su, Tianyu;Sun, Dawei&lt;/_translated_author&gt;&lt;/Details&gt;&lt;Extra&gt;&lt;DBUID&gt;{6891F4B0-DCBA-459A-9A22-3059983243D4}&lt;/DBUID&gt;&lt;/Extra&gt;&lt;/Item&gt;&lt;/References&gt;&lt;/Group&gt;&lt;/Citation&gt;_x000a_"/>
    <w:docVar w:name="NE.Ref{B6754A69-EDE7-4861-ADFB-69293ADE4BDA}" w:val=" ADDIN NE.Ref.{B6754A69-EDE7-4861-ADFB-69293ADE4BDA}&lt;Citation&gt;&lt;Group&gt;&lt;References&gt;&lt;Item&gt;&lt;ID&gt;536&lt;/ID&gt;&lt;UID&gt;{4CC7AF0A-1202-481F-B3E5-223E3C1D6B55}&lt;/UID&gt;&lt;Title&gt;大规模特高压交直流混联电网特性分析与运行控制&lt;/Title&gt;&lt;Template&gt;Journal Article&lt;/Template&gt;&lt;Star&gt;0&lt;/Star&gt;&lt;Tag&gt;5&lt;/Tag&gt;&lt;Author&gt;李明节&lt;/Author&gt;&lt;Year&gt;2016&lt;/Year&gt;&lt;Details&gt;&lt;_accessed&gt;63726861&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3726866&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kns.cnki.net/kcms/download.aspx?filename=zEUOKFGNGtSMGZzK6FlaNVXOyI2bsdFSt5kYoFFMtJzU2t0Y0wUTGdHVnFTd4YDZ2MUaxhVdONFdnhVaaNXWUF2VFxUN510SilnajJXd0lWWZdERppXR4djTzNXbFtUMQl1bwlFea9SS1FUbF52RthWTm9kUL5US&amp;amp;tablename=CJFDLAST2016&amp;amp;dflag=pdfdown _x000d__x000a_&lt;/_url&gt;&lt;_volume&gt;40&lt;/_volume&gt;&lt;/Details&gt;&lt;Extra&gt;&lt;DBUID&gt;{6891F4B0-DCBA-459A-9A22-3059983243D4}&lt;/DBUID&gt;&lt;/Extra&gt;&lt;/Item&gt;&lt;/References&gt;&lt;/Group&gt;&lt;/Citation&gt;_x000a_"/>
    <w:docVar w:name="NE.Ref{B71054B6-02C5-4155-B0B8-58194CA1D090}" w:val=" ADDIN NE.Ref.{B71054B6-02C5-4155-B0B8-58194CA1D090}&lt;Citation&gt;&lt;Group&gt;&lt;References&gt;&lt;Item&gt;&lt;ID&gt;536&lt;/ID&gt;&lt;UID&gt;{4CC7AF0A-1202-481F-B3E5-223E3C1D6B55}&lt;/UID&gt;&lt;Title&gt;Characteristic Analysis and Operational Control of Large-Scale Hybrid UHV AC/DC Power Grids &lt;/Title&gt;&lt;Template&gt;Journal Article&lt;/Template&gt;&lt;Star&gt;0&lt;/Star&gt;&lt;Tag&gt;0&lt;/Tag&gt;&lt;Author&gt;Li, Mingjie&lt;/Author&gt;&lt;Year&gt;2016&lt;/Year&gt;&lt;Details&gt;&lt;_accessed&gt;63459177&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 Power System Technology&lt;/_journal&gt;&lt;_modified&gt;63459178&lt;/_modified&gt;&lt;_pages&gt;985-991&lt;/_pages&gt;&lt;_tertiary_title&gt;电网技术&lt;/_tertiary_title&gt;&lt;_translated_author&gt;李明节&lt;/_translated_author&gt;&lt;_translated_title&gt;大规模特高压交直流混联电网特性分析与运行控制&lt;/_translated_title&gt;&lt;_url&gt;CSCD:5679313&lt;/_url&gt;&lt;_volume&gt;40&lt;/_volume&gt;&lt;/Details&gt;&lt;Extra&gt;&lt;DBUID&gt;{6891F4B0-DCBA-459A-9A22-3059983243D4}&lt;/DBUID&gt;&lt;/Extra&gt;&lt;/Item&gt;&lt;/References&gt;&lt;/Group&gt;&lt;/Citation&gt;_x000a_"/>
    <w:docVar w:name="NE.Ref{B747C681-1D7E-45E6-8819-94483E143340}" w:val=" ADDIN NE.Ref.{B747C681-1D7E-45E6-8819-94483E143340}&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5700&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6.373&lt;/_impact_factor&gt;&lt;_isbn&gt;0885-8993&lt;/_isbn&gt;&lt;_issue&gt;1&lt;/_issue&gt;&lt;_journal&gt;IEEE TRANSACTIONS ON POWER ELECTRONICS&lt;/_journal&gt;&lt;_modified&gt;634460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502075&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B7697B37-5C73-445D-9EF4-355EC4B418D2}" w:val=" ADDIN NE.Ref.{B7697B37-5C73-445D-9EF4-355EC4B418D2}&lt;Citation&gt;&lt;Group&gt;&lt;References&gt;&lt;Item&gt;&lt;ID&gt;724&lt;/ID&gt;&lt;UID&gt;{A15BE5AF-19CC-4FC3-A79F-4C206C49CADD}&lt;/UID&gt;&lt;Title&gt;含高密度风电、交直流送端电网直流闭锁故障稳控方案研究&lt;/Title&gt;&lt;Template&gt;Journal Article&lt;/Template&gt;&lt;Star&gt;0&lt;/Star&gt;&lt;Tag&gt;0&lt;/Tag&gt;&lt;Author&gt;钟显; 樊艳芳; 王一波; 常喜强; 郑少鹏; 王衡&lt;/Author&gt;&lt;Year&gt;2015&lt;/Year&gt;&lt;Details&gt;&lt;_author_aff&gt;新疆大学电气工程学院;中国科学院电工所;国网新疆电力调度控制中心;国网新疆电力科学研究院;&lt;/_author_aff&gt;&lt;_date&gt;2015-07-01&lt;/_date&gt;&lt;_db_provider&gt;CNKI: 期刊&lt;/_db_provider&gt;&lt;_issue&gt;13&lt;/_issue&gt;&lt;_journal&gt;电力系统保护与控制&lt;/_journal&gt;&lt;_keywords&gt;特高压直流;双极闭锁;送端电网;高密度风电;电压影响;稳控方案&lt;/_keywords&gt;&lt;_pages&gt;130-138&lt;/_pages&gt;&lt;_url&gt;http://kns.cnki.net/KCMS/detail/detail.aspx?FileName=JDQW201513020&amp;amp;DbName=CJFQ2015&lt;/_url&gt;&lt;_volume&gt;43&lt;/_volume&gt;&lt;_created&gt;63727900&lt;/_created&gt;&lt;_modified&gt;63727900&lt;/_modified&gt;&lt;_db_updated&gt;CNKI - Reference&lt;/_db_updated&gt;&lt;_collection_scope&gt;CSCD;PKU&lt;/_collection_scope&gt;&lt;_translated_author&gt;Zhong, Xian;Fan, Yanfang;Wang, Yibo;Chang, Xiqiang;Zheng, Shaopeng;Wang, Heng&lt;/_translated_author&gt;&lt;/Details&gt;&lt;Extra&gt;&lt;DBUID&gt;{6891F4B0-DCBA-459A-9A22-3059983243D4}&lt;/DBUID&gt;&lt;/Extra&gt;&lt;/Item&gt;&lt;/References&gt;&lt;/Group&gt;&lt;Group&gt;&lt;References&gt;&lt;Item&gt;&lt;ID&gt;725&lt;/ID&gt;&lt;UID&gt;{E3EEB294-252F-4A86-ABA6-30F3FF28F7EF}&lt;/UID&gt;&lt;Title&gt;Transient Control of DFIG-Based Wind Power Plants in Compliance With the Australian Grid Code&lt;/Title&gt;&lt;Template&gt;Journal Article&lt;/Template&gt;&lt;Star&gt;0&lt;/Star&gt;&lt;Tag&gt;0&lt;/Tag&gt;&lt;Author&gt;M. Mohseni;S. M. Islam&lt;/Author&gt;&lt;Year&gt;2012&lt;/Year&gt;&lt;Details&gt;&lt;_date_display&gt;2012_x000d__x000a_June 2012_x000d__x000a_June 2012&lt;/_date_display&gt;&lt;_date&gt;2012-01-01; 2012-01-01&lt;/_date&gt;&lt;_doi&gt;10.1109/TPEL.2011.2174380&lt;/_doi&gt;&lt;_isbn&gt;1941-0107; 1941-0107&lt;/_isbn&gt;&lt;_issue&gt;6; 6&lt;/_issue&gt;&lt;_journal&gt;IEEE Transactions on Power Electronics_x000d__x000a_IEEE Transactions on Power Electronics_x000d__x000a_IEEE Transactions on Power Electronics_x000d__x000a_IEEE Transactions on Power Electronics_x000d__x000a_IEEE Transactions on Power Electronics&lt;/_journal&gt;&lt;_keywords&gt;asynchronous generators; electric current control; PI control; power generation control; power generation faults; power grids; power system restoration; reactive power control; time-domain analysis; transient response; wind power plants; DFIG; wind power plants; Australian grid code; compliance; wind generators; reactive power control; supply voltage restoration; doubly fed induction generator; WPP; power control loops; P-Q capability curves; fault periods; current control loops; PI current regulators; hysteresis based current regulators; transient response; voltage ride through capability; time-domain simulation; Reactive power; Power system stability; Wind power generation; Voltage control; Australia; Generators; Rotors; Australian Grid Code; doubly fed induction generator (DFIG)-based wind power plants; P–Q capability curves&lt;/_keywords&gt;&lt;_pages&gt;2813-2824&lt;/_pages&gt;&lt;_url&gt;https://dx.doi.org/10.1109/TPEL.2011.2174380&lt;/_url&gt;&lt;_volume&gt;27; 27&lt;/_volume&gt;&lt;_created&gt;63727901&lt;/_created&gt;&lt;_modified&gt;63727902&lt;/_modified&gt;&lt;_db_updated&gt;IEEE&lt;/_db_updated&gt;&lt;/Details&gt;&lt;Extra&gt;&lt;DBUID&gt;{6891F4B0-DCBA-459A-9A22-3059983243D4}&lt;/DBUID&gt;&lt;/Extra&gt;&lt;/Item&gt;&lt;/References&gt;&lt;/Group&gt;&lt;/Citation&gt;_x000a_"/>
    <w:docVar w:name="NE.Ref{B85FCCA5-6B99-44B5-B6D7-541C66FDB1C7}" w:val=" ADDIN NE.Ref.{B85FCCA5-6B99-44B5-B6D7-541C66FDB1C7}&lt;Citation&gt;&lt;Group&gt;&lt;References&gt;&lt;Item&gt;&lt;ID&gt;131&lt;/ID&gt;&lt;UID&gt;{E31D416D-C943-4752-BE79-68DF7C6AF759}&lt;/UID&gt;&lt;Title&gt;考虑风电时空相关性的仿射可调鲁棒机组组合&lt;/Title&gt;&lt;Template&gt;Journal Article&lt;/Template&gt;&lt;Star&gt;0&lt;/Star&gt;&lt;Tag&gt;0&lt;/Tag&gt;&lt;Author&gt;吴巍; 汪可友; 李国杰&lt;/Author&gt;&lt;Year&gt;2017&lt;/Year&gt;&lt;Details&gt;&lt;_accessed&gt;64322986&lt;/_accessed&gt;&lt;_author_aff&gt;上海交通大学电气工程系;&lt;/_author_aff&gt;&lt;_cited_count&gt;31&lt;/_cited_count&gt;&lt;_collection_scope&gt;CSCD;PKU;EI&lt;/_collection_scope&gt;&lt;_created&gt;64322986&lt;/_created&gt;&lt;_date&gt;61603200&lt;/_date&gt;&lt;_db_updated&gt;CNKI - Reference&lt;/_db_updated&gt;&lt;_issue&gt;14&lt;/_issue&gt;&lt;_journal&gt;中国电机工程学报&lt;/_journal&gt;&lt;_keywords&gt;时空相关性;椭球不确定集合;仿射可调鲁棒优化;混合整数二阶锥规划;可行概率&lt;/_keywords&gt;&lt;_language&gt;Chinese&lt;/_language&gt;&lt;_modified&gt;64322986&lt;/_modified&gt;&lt;_pages&gt;4089-4097+4288&lt;/_pages&gt;&lt;_url&gt;https://kns.cnki.net/kcms/detail/detail.aspx?FileName=ZGDC201714017&amp;amp;DbName=CJFQ2017&lt;/_url&gt;&lt;_volume&gt;37&lt;/_volume&gt;&lt;_translated_author&gt;Wu, Wei;Wang, Keyou;Li, Guojie&lt;/_translated_author&gt;&lt;/Details&gt;&lt;Extra&gt;&lt;DBUID&gt;{560D5FFD-5A46-4EB8-859B-FD657304A42E}&lt;/DBUID&gt;&lt;/Extra&gt;&lt;/Item&gt;&lt;/References&gt;&lt;/Group&gt;&lt;/Citation&gt;_x000a_"/>
    <w:docVar w:name="NE.Ref{B8741167-059E-4562-AF9C-FBE7E27A68D1}" w:val=" ADDIN NE.Ref.{B8741167-059E-4562-AF9C-FBE7E27A68D1}&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534&lt;/_impact_factor&gt;&lt;_isbn&gt;0921-4534&lt;/_isbn&gt;&lt;_journal&gt;PHYSICA C-SUPERCONDUCTIVITY AND ITS APPLICATIONS&lt;/_journal&gt;&lt;_modified&gt;64498627&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Citation&gt;_x000a_"/>
    <w:docVar w:name="NE.Ref{B88D853E-549E-41CC-8D78-2597EC3FD15B}" w:val=" ADDIN NE.Ref.{B88D853E-549E-41CC-8D78-2597EC3FD15B}&lt;Citation&gt;&lt;Group&gt;&lt;References&gt;&lt;Item&gt;&lt;ID&gt;113&lt;/ID&gt;&lt;UID&gt;{709B4134-08DA-4EDD-B100-5435B8163012}&lt;/UID&gt;&lt;Title&gt;Stochastic reserve scheduling of energy storage system in energy and reserve markets&lt;/Title&gt;&lt;Template&gt;Journal Article&lt;/Template&gt;&lt;Star&gt;0&lt;/Star&gt;&lt;Tag&gt;0&lt;/Tag&gt;&lt;Author&gt;Tang, Zao; Liu, Junyong; Liu, Youbo; Xu, Lixiong&lt;/Author&gt;&lt;Year&gt;2020&lt;/Year&gt;&lt;Details&gt;&lt;_accessed&gt;64308205&lt;/_accessed&gt;&lt;_collection_scope&gt;SCIE;EI&lt;/_collection_scope&gt;&lt;_created&gt;64304239&lt;/_created&gt;&lt;_db_updated&gt;CrossRef&lt;/_db_updated&gt;&lt;_doi&gt;10.1016/j.ijepes.2020.106279&lt;/_doi&gt;&lt;_impact_factor&gt;   4.630&lt;/_impact_factor&gt;&lt;_isbn&gt;01420615&lt;/_isbn&gt;&lt;_journal&gt;International Journal of Electrical Power &amp;amp; Energy Systems&lt;/_journal&gt;&lt;_modified&gt;64308205&lt;/_modified&gt;&lt;_pages&gt;106279&lt;/_pages&gt;&lt;_tertiary_title&gt;International Journal of Electrical Power &amp;amp; Energy Systems&lt;/_tertiary_title&gt;&lt;_url&gt;https://linkinghub.elsevier.com/retrieve/pii/S0142061520306372_x000d__x000a_https://api.elsevier.com/content/article/PII:S0142061520306372?httpAccept=text/xml&lt;/_url&gt;&lt;_volume&gt;123&lt;/_volume&gt;&lt;/Details&gt;&lt;Extra&gt;&lt;DBUID&gt;{560D5FFD-5A46-4EB8-859B-FD657304A42E}&lt;/DBUID&gt;&lt;/Extra&gt;&lt;/Item&gt;&lt;/References&gt;&lt;/Group&gt;&lt;/Citation&gt;_x000a_"/>
    <w:docVar w:name="NE.Ref{B96B3608-A72B-48D6-A798-5740939B3855}" w:val=" ADDIN NE.Ref.{B96B3608-A72B-48D6-A798-5740939B3855}&lt;Citation&gt;&lt;Group&gt;&lt;References&gt;&lt;Item&gt;&lt;ID&gt;502&lt;/ID&gt;&lt;UID&gt;{60E908EE-EB9F-4161-8E99-BB6DAD9C46B6}&lt;/UID&gt;&lt;Title&gt;Adjustable robust solutions of uncertain linear programs&lt;/Title&gt;&lt;Template&gt;Journal Article&lt;/Template&gt;&lt;Star&gt;0&lt;/Star&gt;&lt;Tag&gt;0&lt;/Tag&gt;&lt;Author&gt;Ben-Tal, Aharon; Goryashko, A P; Guslitzer, E; Nemirovski, Arkadi&lt;/Author&gt;&lt;Year&gt;2004&lt;/Year&gt;&lt;Details&gt;&lt;_created&gt;63654530&lt;/_created&gt;&lt;_journal&gt;Mathematical Programming: Series A and B&lt;/_journal&gt;&lt;_modified&gt;63654530&lt;/_modified&gt;&lt;/Details&gt;&lt;Extra&gt;&lt;DBUID&gt;{F96A950B-833F-4880-A151-76DA2D6A2879}&lt;/DBUID&gt;&lt;/Extra&gt;&lt;/Item&gt;&lt;/References&gt;&lt;/Group&gt;&lt;/Citation&gt;_x000a_"/>
    <w:docVar w:name="NE.Ref{B9B499AB-9A34-40D4-BF04-6A45BEF0EE59}" w:val=" ADDIN NE.Ref.{B9B499AB-9A34-40D4-BF04-6A45BEF0EE59}&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BB5FFA7C-A7FD-45D6-9C30-D918F23D8152}" w:val=" ADDIN NE.Ref.{BB5FFA7C-A7FD-45D6-9C30-D918F23D8152}&lt;Citation&gt;&lt;Group&gt;&lt;References&gt;&lt;Item&gt;&lt;ID&gt;353&lt;/ID&gt;&lt;UID&gt;{0FE2AF98-7A99-4F4E-8961-A1100E5A6384}&lt;/UID&gt;&lt;Title&gt;单相跳闸对换相过程的影响机理及连续换相失败抑制方法&lt;/Title&gt;&lt;Template&gt;Journal Article&lt;/Template&gt;&lt;Star&gt;0&lt;/Star&gt;&lt;Tag&gt;0&lt;/Tag&gt;&lt;Author&gt;赵盛; 李博通; 李斌; 姚斌&lt;/Author&gt;&lt;Year&gt;2020&lt;/Year&gt;&lt;Details&gt;&lt;_accessed&gt;63446020&lt;/_accessed&gt;&lt;_accession_num&gt;CSCD:6686383_x000d__x000a_ER&lt;/_accession_num&gt;&lt;_cited_count&gt;0&lt;/_cited_count&gt;&lt;_collection_scope&gt;CSCD;PKU;EI&lt;/_collection_scope&gt;&lt;_created&gt;63444588&lt;/_created&gt;&lt;_date_display&gt;2020, 2020&lt;/_date_display&gt;&lt;_db_provider&gt;ISI&lt;/_db_provider&gt;&lt;_isbn&gt;1006-6047&lt;/_isbn&gt;&lt;_issue&gt;4&lt;/_issue&gt;&lt;_journal&gt;电力自动化设备&lt;/_journal&gt;&lt;_modified&gt;63446027&lt;/_modified&gt;&lt;_pages&gt;17-24,55&lt;/_pages&gt;&lt;_tertiary_title&gt;Electric Power Automation Equipment&lt;/_tertiary_title&gt;&lt;_translated_author&gt;Zhao, Sheng; Li, Botong; Li, Bin; Yao, Bin&lt;/_translated_author&gt;&lt;_translated_title&gt;Influence mechanism of single-phase tripping on commutation process and suppression strategy of continuous commutation failure&lt;/_translated_title&gt;&lt;_url&gt;CSCD:6686383 _x000d__x000a_https://kns.cnki.net/kns/download.aspx?filename=rZzcZRkdOBHOHFlThJXZrV0UaVUTJljS4s0ZvkkW5IDNyk0clxWZ2VzKlN1bMtEUU1WRyk0SXNHZJh2bsZXULhUVB12V5dTcv90TyhGRB9yLYNUTWhWUihEWxtWWKJ1bSFnZ4QGbNhXOjJHeOVETTZ3ZoZnU1FHR&amp;amp;tablename=CJFDLAST2020&amp;amp;dflag=pdfdown _x000d__x000a_https://kns.cnki.net/kns/download.aspx?filename=z9SaMVUWHZVcwM1NHZWNzhmQkF2UMpmMRt2cx8yZTFmbNtWeHNmNyJncNlDVolGMHZ1R4QVbDh0UUpkR1RWaL1URUVEWoJ0cu52LjljRCl0U4NVT1hnavgTMThmVxVjdB5UVxNUM4xWVplXQEB3bz10QvYDN29WV&amp;amp;tablename=CJFDLAST2020&amp;amp;dflag=pdfdown _x000d__x000a_&lt;/_url&gt;&lt;_volume&gt;40&lt;/_volume&gt;&lt;/Details&gt;&lt;Extra&gt;&lt;DBUID&gt;{6891F4B0-DCBA-459A-9A22-3059983243D4}&lt;/DBUID&gt;&lt;/Extra&gt;&lt;/Item&gt;&lt;/References&gt;&lt;/Group&gt;&lt;/Citation&gt;_x000a_"/>
    <w:docVar w:name="NE.Ref{BBA28664-08E5-415C-9284-104EFB120124}" w:val=" ADDIN NE.Ref.{BBA28664-08E5-415C-9284-104EFB120124}&lt;Citation&gt;&lt;Group&gt;&lt;References&gt;&lt;Item&gt;&lt;ID&gt;1031&lt;/ID&gt;&lt;UID&gt;{6429F36C-26B1-492A-B9F4-1CCB11CFA88F}&lt;/UID&gt;&lt;Title&gt;适用于大规模新能源接入直流送端电网的暂态压升严重性指标研究&lt;/Title&gt;&lt;Template&gt;Journal Article&lt;/Template&gt;&lt;Star&gt;0&lt;/Star&gt;&lt;Tag&gt;0&lt;/Tag&gt;&lt;Author&gt;赵晋泉; 朱尧靓; 潘尔生; 许德操; 董凌&lt;/Author&gt;&lt;Year&gt;2020&lt;/Year&gt;&lt;Details&gt;&lt;_author_aff&gt;河海大学能源与电气学院;国网经济技术研究院有限公司;国网青海省电力公司;&lt;/_author_aff&gt;&lt;_cited_count&gt;24&lt;/_cited_count&gt;&lt;_date&gt;2020-12-23&lt;/_date&gt;&lt;_issue&gt;12&lt;/_issue&gt;&lt;_journal&gt;南方电网技术&lt;/_journal&gt;&lt;_keywords&gt;新能源;直流送端电网;暂态过电压;暂态压升严重性&lt;/_keywords&gt;&lt;_pages&gt;1-9&lt;/_pages&gt;&lt;_url&gt;https://kns.cnki.net/kcms/detail/detail.aspx?FileName=NFDW202012002&amp;amp;DbName=CJFQ2020&lt;/_url&gt;&lt;_volume&gt;14&lt;/_volume&gt;&lt;_created&gt;64780424&lt;/_created&gt;&lt;_modified&gt;64780424&lt;/_modified&gt;&lt;_db_updated&gt;CNKI - Reference&lt;/_db_updated&gt;&lt;_collection_scope&gt;PKU&lt;/_collection_scope&gt;&lt;_translated_author&gt;Zhao, Jinquan;Zhu, Yaojing;Pan, Ersheng;Xu, Decao;Dong, Ling&lt;/_translated_author&gt;&lt;/Details&gt;&lt;Extra&gt;&lt;DBUID&gt;{6891F4B0-DCBA-459A-9A22-3059983243D4}&lt;/DBUID&gt;&lt;/Extra&gt;&lt;/Item&gt;&lt;/References&gt;&lt;/Group&gt;&lt;/Citation&gt;_x000a_"/>
    <w:docVar w:name="NE.Ref{BBED2D83-10E6-44AD-8499-A4F489FE0E05}" w:val=" ADDIN NE.Ref.{BBED2D83-10E6-44AD-8499-A4F489FE0E05}&lt;Citation&gt;&lt;Group&gt;&lt;References&gt;&lt;Item&gt;&lt;ID&gt;393&lt;/ID&gt;&lt;UID&gt;{F56A9865-8DCF-429D-BB8A-9534C98DE2B4}&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40280&lt;/_created&gt;&lt;_db_provider&gt;CNKI&lt;/_db_provider&gt;&lt;_isbn&gt;1000-3673&lt;/_isbn&gt;&lt;_issue&gt;08&lt;/_issue&gt;&lt;_journal&gt;电网技术&lt;/_journal&gt;&lt;_keywords&gt;配额制;可再生能源市场;电力市场;市场均衡&lt;/_keywords&gt;&lt;_modified&gt;63640280&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BC40E625-59CB-4BC3-BD42-2553D4116D17}" w:val=" ADDIN NE.Ref.{BC40E625-59CB-4BC3-BD42-2553D4116D17}&lt;Citation&gt;&lt;Group&gt;&lt;References&gt;&lt;Item&gt;&lt;ID&gt;866&lt;/ID&gt;&lt;UID&gt;{9A1007F9-2345-4597-A31C-EB204B8DE31F}&lt;/UID&gt;&lt;Title&gt;“双碳”目标下配电网多阶段扩展规划&lt;/Title&gt;&lt;Template&gt;Journal Article&lt;/Template&gt;&lt;Star&gt;0&lt;/Star&gt;&lt;Tag&gt;0&lt;/Tag&gt;&lt;Author&gt;彭静; 王军; 亓富军; 廖誉翔&lt;/Author&gt;&lt;Year&gt;2022&lt;/Year&gt;&lt;Details&gt;&lt;_accessed&gt;64647176&lt;/_accessed&gt;&lt;_author_aff&gt;国网临沂供电公司;&lt;/_author_aff&gt;&lt;_cited_count&gt;4&lt;/_cited_count&gt;&lt;_collection_scope&gt;CSCD;PKU&lt;/_collection_scope&gt;&lt;_created&gt;64646733&lt;/_created&gt;&lt;_date&gt;2022-04-01&lt;/_date&gt;&lt;_db_updated&gt;CNKI - Reference&lt;/_db_updated&gt;&lt;_issue&gt;07&lt;/_issue&gt;&lt;_journal&gt;电力系统保护与控制&lt;/_journal&gt;&lt;_keywords&gt;低碳配电网;“双碳”目标;混合整数线性规划;现代Benders分解;多阶段扩展规划&lt;/_keywords&gt;&lt;_modified&gt;64647177&lt;/_modified&gt;&lt;_pages&gt;153-161&lt;/_pages&gt;&lt;_tertiary_title&gt;Power System Protection and Control&lt;/_tertiary_title&gt;&lt;_translated_author&gt;PENG, Jing; WANG, Jun; QI, Fujun; LIAO, Yuxiang&lt;/_translated_author&gt;&lt;_translated_title&gt;Multi-stage expansion planning of a distribution network with double-carbon policy&lt;/_translated_title&gt;&lt;_url&gt;https://kns.cnki.net/kcms/detail/detail.aspx?FileName=JDQW202207017&amp;amp;DbName=CJFQ2022 _x000d__x000a_https://bar.cnki.net/bar/download/order?id=jBGETXBNdPImvx70aLAuJPYxPoFw%2bp%2bi0fIiSrcN6lUof42zT8E9ZhUCELeSrlAORSIKUaJzJKUPX09ooTadl50PLIIoFLYwy5BgUEfsTyzl8E%2bCUVp5GtDTYhVF2dNUoJeGx62Ssygg68TNXJ%2b5JrigejDAar8Xqw%2f6WR22OFXUdUGh4At8VBYSvh%2fCUD5aZPZeT%2fFQKY4Xrcv84FNo4z2ylb%2baDiGNLaSE7yoLX7%2f5LXYX1qwFXwOc1HUZT%2bTB _x000d__x000a_&lt;/_url&gt;&lt;_volume&gt;50&lt;/_volume&gt;&lt;/Details&gt;&lt;Extra&gt;&lt;DBUID&gt;{6891F4B0-DCBA-459A-9A22-3059983243D4}&lt;/DBUID&gt;&lt;/Extra&gt;&lt;/Item&gt;&lt;/References&gt;&lt;/Group&gt;&lt;Group&gt;&lt;References&gt;&lt;Item&gt;&lt;ID&gt;871&lt;/ID&gt;&lt;UID&gt;{3BF7EC89-B103-4EBD-B81B-AB5C6B93FB0A}&lt;/UID&gt;&lt;Title&gt;新型电力系统下“源网荷储”架构与评估体系综述&lt;/Title&gt;&lt;Template&gt;Journal Article&lt;/Template&gt;&lt;Star&gt;0&lt;/Star&gt;&lt;Tag&gt;0&lt;/Tag&gt;&lt;Author&gt;李建林; 郭兆东; 马速良; 张国强; 王含&lt;/Author&gt;&lt;Year&gt;2022&lt;/Year&gt;&lt;Details&gt;&lt;_accessed&gt;64647178&lt;/_accessed&gt;&lt;_author_aff&gt;储能技术工程研究中心(北方工业大学);北京和瑞储能科技有限公司;&lt;/_author_aff&gt;&lt;_collection_scope&gt;CSCD;PKU;EI&lt;/_collection_scope&gt;&lt;_created&gt;64646746&lt;/_created&gt;&lt;_date&gt;2022-08-05&lt;/_date&gt;&lt;_db_updated&gt;CNKI - Reference&lt;/_db_updated&gt;&lt;_issue&gt;11&lt;/_issue&gt;&lt;_journal&gt;高电压技术&lt;/_journal&gt;&lt;_keywords&gt;新能源;新型电力系统;源网荷储;评估;多能互补&lt;/_keywords&gt;&lt;_modified&gt;64647179&lt;/_modified&gt;&lt;_pages&gt;4330-4342&lt;/_pages&gt;&lt;_tertiary_title&gt;High Voltage Engineering&lt;/_tertiary_title&gt;&lt;_translated_author&gt;LI, Jianlin; GUO, Zhaodong; MA, Suliang; ZHANG, Guoqiang; WANG, Han&lt;/_translated_author&gt;&lt;_translated_title&gt;Overview of the &amp;quot;Source-grid-load-storage&amp;quot; Architecture and Evaluation System Under the New Power System&lt;/_translated_title&gt;&lt;_url&gt;https://kns.cnki.net/kcms/detail/detail.aspx?FileName=GDYJ202211009&amp;amp;DbName=DKFXTEMP _x000d__x000a_https://bar.cnki.net/bar/download/order?id=jBGETXBNdPImvx70aLAuJPYxPoFw%2bp%2bi0fIiSrcN6lXD6PY22pHe5xG0OLJvqt8IsshnTQdlzf0o9Rxczx2nOsm82jDOg3yr%2bqRqj9L2CzQtqddCdidyosdSaMNWur3ZJBjdlDrNnftoR5pdZPiFRNlKM4sfpT3nRHSqBOA4sms8GQBtE8Z8mK%2fNwS15YoSEayfN4fOadDq0KJ%2bzp6FtwKopkQ6JnjQzfIvFcCnka0M%3d _x000d__x000a_&lt;/_url&gt;&lt;_volume&gt;48&lt;/_volume&gt;&lt;/Details&gt;&lt;Extra&gt;&lt;DBUID&gt;{6891F4B0-DCBA-459A-9A22-3059983243D4}&lt;/DBUID&gt;&lt;/Extra&gt;&lt;/Item&gt;&lt;/References&gt;&lt;/Group&gt;&lt;/Citation&gt;_x000a_"/>
    <w:docVar w:name="NE.Ref{BC82A974-EC52-4D07-AED7-426D6530DD76}" w:val=" ADDIN NE.Ref.{BC82A974-EC52-4D07-AED7-426D6530DD76}&lt;Citation&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Citation&gt;_x000a_"/>
    <w:docVar w:name="NE.Ref{BE4EFA97-BC3F-4239-BDFF-0404DE53C237}" w:val=" ADDIN NE.Ref.{BE4EFA97-BC3F-4239-BDFF-0404DE53C237}&lt;Citation&gt;&lt;Group&gt;&lt;References&gt;&lt;Item&gt;&lt;ID&gt;428&lt;/ID&gt;&lt;UID&gt;{7715F6BE-1D7B-4CC8-99B9-4AD07F293C8B}&lt;/UID&gt;&lt;Title&gt;基于内点法和遗传算法相结合的交直流系统无功优化&lt;/Title&gt;&lt;Template&gt;Journal Article&lt;/Template&gt;&lt;Star&gt;0&lt;/Star&gt;&lt;Tag&gt;0&lt;/Tag&gt;&lt;Author&gt;蒋平; 梁乐&lt;/Author&gt;&lt;Year&gt;2015&lt;/Year&gt;&lt;Details&gt;&lt;_author_adr&gt;东南大学电气工程学院;江苏省电力公司检修分公司;&lt;/_author_adr&gt;&lt;_collection_scope&gt;CSCD;PKU;EI&lt;/_collection_scope&gt;&lt;_created&gt;63647155&lt;/_created&gt;&lt;_db_provider&gt;CNKI&lt;/_db_provider&gt;&lt;_isbn&gt;1003-6520&lt;/_isbn&gt;&lt;_issue&gt;03&lt;/_issue&gt;&lt;_journal&gt;高电压技术&lt;/_journal&gt;&lt;_keywords&gt;特高压;交直流系统;高电压直流输电;遗传算法;内点法;无功优化&lt;/_keywords&gt;&lt;_modified&gt;63647155&lt;/_modified&gt;&lt;_pages&gt;724-729&lt;/_pages&gt;&lt;_volume&gt;41&lt;/_volume&gt;&lt;_translated_author&gt;Jiang, Ping;Liang, Le&lt;/_translated_author&gt;&lt;/Details&gt;&lt;Extra&gt;&lt;DBUID&gt;{F96A950B-833F-4880-A151-76DA2D6A2879}&lt;/DBUID&gt;&lt;/Extra&gt;&lt;/Item&gt;&lt;/References&gt;&lt;/Group&gt;&lt;/Citation&gt;_x000a_"/>
    <w:docVar w:name="NE.Ref{BF35D49E-A91C-4B31-8154-A53F720AD8A3}" w:val=" ADDIN NE.Ref.{BF35D49E-A91C-4B31-8154-A53F720AD8A3}&lt;Citation&gt;&lt;Group&gt;&lt;References&gt;&lt;Item&gt;&lt;ID&gt;886&lt;/ID&gt;&lt;UID&gt;{5493524B-56F1-4053-B9BE-BE4D8B75B3C8}&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ccessed&gt;64651006&lt;/_accessed&gt;&lt;_alternate_title&gt;INTERNATIONAL JOURNAL OF ELECTRICAL POWER &amp;amp; ENERGY SYSTEMS&lt;/_alternate_title&gt;&lt;_author_adr&gt;Xinjiang Univ, Sch Elect Engn, Urumqi, Peoples R China&lt;/_author_adr&gt;&lt;_cited_count&gt;2&lt;/_cited_count&gt;&lt;_collection_scope&gt;SCIE;EI&lt;/_collection_scope&gt;&lt;_created&gt;64649804&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649806&lt;/_modified&gt;&lt;_volume&gt;131&lt;/_volume&gt;&lt;/Details&gt;&lt;Extra&gt;&lt;DBUID&gt;{6891F4B0-DCBA-459A-9A22-3059983243D4}&lt;/DBUID&gt;&lt;/Extra&gt;&lt;/Item&gt;&lt;/References&gt;&lt;/Group&gt;&lt;/Citation&gt;_x000a_"/>
    <w:docVar w:name="NE.Ref{BF48E6D3-06F0-4607-88F2-F8FF90A6379C}" w:val=" ADDIN NE.Ref.{BF48E6D3-06F0-4607-88F2-F8FF90A6379C}&lt;Citation&gt;&lt;Group&gt;&lt;References&gt;&lt;Item&gt;&lt;ID&gt;613&lt;/ID&gt;&lt;UID&gt;{1F1E6450-C8CE-401C-BD64-437D05860530}&lt;/UID&gt;&lt;Title&gt;Non-cooperative game-based multilateral contract transactions in power-heating integrated systems&lt;/Title&gt;&lt;Template&gt;Journal Article&lt;/Template&gt;&lt;Star&gt;0&lt;/Star&gt;&lt;Tag&gt;0&lt;/Tag&gt;&lt;Author&gt;Wang, Lu; Gu, Wei; Wu, Zhi; Qiu, Haifeng; Pan, Guangsheng&lt;/Author&gt;&lt;Year&gt;2020&lt;/Year&gt;&lt;Details&gt;&lt;_accession_num&gt;WOS:000537357800056_x000d__x000a_ER&lt;/_accession_num&gt;&lt;_cited_count&gt;4&lt;/_cited_count&gt;&lt;_collection_scope&gt;SCI;SCIE;EI&lt;/_collection_scope&gt;&lt;_created&gt;63705315&lt;/_created&gt;&lt;_date_display&gt;2020, JUN 15 2020&lt;/_date_display&gt;&lt;_db_provider&gt;ISI&lt;/_db_provider&gt;&lt;_doi&gt;10.1016/j.apenergy.2020.114930&lt;/_doi&gt;&lt;_impact_factor&gt;   8.848&lt;/_impact_factor&gt;&lt;_isbn&gt;0306-2619&lt;/_isbn&gt;&lt;_issue&gt;114930&lt;/_issue&gt;&lt;_journal&gt;APPLIED ENERGY&lt;/_journal&gt;&lt;_modified&gt;63705315&lt;/_modified&gt;&lt;_url&gt;http://gateway.isiknowledge.com/gateway/Gateway.cgi?GWVersion=2&amp;amp;SrcAuth=AegeanSoftware&amp;amp;SrcApp=NoteExpress&amp;amp;DestLinkType=FullRecord&amp;amp;DestApp=WOS&amp;amp;KeyUT=000537357800056&lt;/_url&gt;&lt;_volume&gt;268&lt;/_volume&gt;&lt;/Details&gt;&lt;Extra&gt;&lt;DBUID&gt;{F96A950B-833F-4880-A151-76DA2D6A2879}&lt;/DBUID&gt;&lt;/Extra&gt;&lt;/Item&gt;&lt;/References&gt;&lt;/Group&gt;&lt;/Citation&gt;_x000a_"/>
    <w:docVar w:name="NE.Ref{C0F614E5-23CB-4865-910A-E4B5981E89D8}" w:val=" ADDIN NE.Ref.{C0F614E5-23CB-4865-910A-E4B5981E89D8}&lt;Citation&gt;&lt;Group&gt;&lt;References&gt;&lt;Item&gt;&lt;ID&gt;346&lt;/ID&gt;&lt;UID&gt;{2A1F1BC6-38C0-4D1C-8BED-AC1FC231D69B}&lt;/UID&gt;&lt;Title&gt;谐波电压造成直流输电换相失败风险评估&lt;/Title&gt;&lt;Template&gt;Journal Article&lt;/Template&gt;&lt;Star&gt;0&lt;/Star&gt;&lt;Tag&gt;0&lt;/Tag&gt;&lt;Author&gt;陈佳浩; 王琦; 朱鑫要; 刘瑾; 季顺祥&lt;/Author&gt;&lt;Year&gt;2020&lt;/Year&gt;&lt;Details&gt;&lt;_accessed&gt;63446009&lt;/_accessed&gt;&lt;_accession_num&gt;CSCD:6717447_x000d__x000a_ER&lt;/_accession_num&gt;&lt;_cited_count&gt;0&lt;/_cited_count&gt;&lt;_collection_scope&gt;CSCD;PKU&lt;/_collection_scope&gt;&lt;_created&gt;63444588&lt;/_created&gt;&lt;_date_display&gt;2020, 2020&lt;/_date_display&gt;&lt;_db_provider&gt;ISI&lt;/_db_provider&gt;&lt;_isbn&gt;1001-1609&lt;/_isbn&gt;&lt;_issue&gt;1001-1609(2020)56:5&amp;lt;196:XBDYZC&amp;gt;2.0.TX;2-15&lt;/_issue&gt;&lt;_journal&gt;高压电器&lt;/_journal&gt;&lt;_modified&gt;63446010&lt;/_modified&gt;&lt;_pages&gt;196-202&lt;/_pages&gt;&lt;_tertiary_title&gt;High Voltage Apparatus&lt;/_tertiary_title&gt;&lt;_translated_author&gt;Chen, Jiahao; Wang, Qi; Zhu, Xinyao; Liu, Jin; Ji, Shunxiang&lt;/_translated_author&gt;&lt;_translated_title&gt;Risk Assessment of Commutation Failure for HVDC Transmission Due to Harmonic Voltage&lt;/_translated_title&gt;&lt;_url&gt;CSCD:6717447&lt;/_url&gt;&lt;_volume&gt;56&lt;/_volume&gt;&lt;/Details&gt;&lt;Extra&gt;&lt;DBUID&gt;{6891F4B0-DCBA-459A-9A22-3059983243D4}&lt;/DBUID&gt;&lt;/Extra&gt;&lt;/Item&gt;&lt;/References&gt;&lt;/Group&gt;&lt;Group&gt;&lt;References&gt;&lt;Item&gt;&lt;ID&gt;386&lt;/ID&gt;&lt;UID&gt;{8AA4CFE6-F88C-4546-B723-AA871DD05AD6}&lt;/UID&gt;&lt;Title&gt;基于交流系统非特征谐波的HVDC换相失败风险评估及抑制策略&lt;/Title&gt;&lt;Template&gt;Journal Article&lt;/Template&gt;&lt;Star&gt;0&lt;/Star&gt;&lt;Tag&gt;0&lt;/Tag&gt;&lt;Author&gt;邵思语; 黄振琳; 刘永强; 李卓敏&lt;/Author&gt;&lt;Year&gt;2019&lt;/Year&gt;&lt;Details&gt;&lt;_accessed&gt;63445976&lt;/_accessed&gt;&lt;_accession_num&gt;CSCD:6586689_x000d__x000a_ER&lt;/_accession_num&gt;&lt;_cited_count&gt;1&lt;/_cited_count&gt;&lt;_collection_scope&gt;CSCD;PKU;EI&lt;/_collection_scope&gt;&lt;_created&gt;63444588&lt;/_created&gt;&lt;_date_display&gt;2019, 2019&lt;/_date_display&gt;&lt;_db_provider&gt;ISI&lt;/_db_provider&gt;&lt;_isbn&gt;1000-3673&lt;/_isbn&gt;&lt;_issue&gt;1000-3673(2019)43:10&amp;lt;3466:JYJLXT&amp;gt;2.0.TX;2-210&lt;/_issue&gt;&lt;_journal&gt;电网技术&lt;/_journal&gt;&lt;_modified&gt;63445976&lt;/_modified&gt;&lt;_pages&gt;3466-3476&lt;/_pages&gt;&lt;_tertiary_title&gt;Power System Technology&lt;/_tertiary_title&gt;&lt;_translated_author&gt;Shao, Siyu; Huang, Zhenlin; Liu, Yongqiang; Li, Zhuomin&lt;/_translated_author&gt;&lt;_translated_title&gt;Risk Assessment and Suppression Strategy of HVDC Commutation Failure Based on Non-characteristic Harmonics in AC System&lt;/_translated_title&gt;&lt;_url&gt;CSCD:6586689&lt;/_url&gt;&lt;_volume&gt;43&lt;/_volume&gt;&lt;/Details&gt;&lt;Extra&gt;&lt;DBUID&gt;{6891F4B0-DCBA-459A-9A22-3059983243D4}&lt;/DBUID&gt;&lt;/Extra&gt;&lt;/Item&gt;&lt;/References&gt;&lt;/Group&gt;&lt;Group&gt;&lt;References&gt;&lt;Item&gt;&lt;ID&gt;553&lt;/ID&gt;&lt;UID&gt;{43EAB8E9-D64F-45DC-AB64-32A4C1AC9AD4}&lt;/UID&gt;&lt;Title&gt;谐波对HVDC系统换相失败的影响机理及定量分析方法&lt;/Title&gt;&lt;Template&gt;Journal Article&lt;/Template&gt;&lt;Star&gt;0&lt;/Star&gt;&lt;Tag&gt;0&lt;/Tag&gt;&lt;Author&gt;王峰; 刘天琪; 周胜军; 李兴源; 乔光尧&lt;/Author&gt;&lt;Year&gt;2015&lt;/Year&gt;&lt;Details&gt;&lt;_accessed&gt;63445912&lt;/_accessed&gt;&lt;_accession_num&gt;CSCD:5533171_x000d__x000a_ER&lt;/_accession_num&gt;&lt;_cited_count&gt;10&lt;/_cited_count&gt;&lt;_collection_scope&gt;CSCD;PKU;EI&lt;/_collection_scope&gt;&lt;_created&gt;63444588&lt;/_created&gt;&lt;_date_display&gt;2015, 2015&lt;/_date_display&gt;&lt;_db_provider&gt;ISI&lt;/_db_provider&gt;&lt;_isbn&gt;0258-8013&lt;/_isbn&gt;&lt;_issue&gt;0258-8013(2015)35:19&amp;lt;4888:XBDHXT&amp;gt;2.0.TX;2-L19&lt;/_issue&gt;&lt;_journal&gt;中国电机工程学报&lt;/_journal&gt;&lt;_modified&gt;63552588&lt;/_modified&gt;&lt;_pages&gt;4888-4894&lt;/_pages&gt;&lt;_tertiary_title&gt;Proceedings of the Chinese Society of Electrical Engineering&lt;/_tertiary_title&gt;&lt;_translated_author&gt;Wang, Feng; Liu, Tianqi; Zhou, Shengjun; Li, Xingyuan; Qiao, Guangyao&lt;/_translated_author&gt;&lt;_translated_title&gt;Mechanism and Quantitative Analysis Method for HVDC Commutation Failure Resulting From Harmonics&lt;/_translated_title&gt;&lt;_url&gt;CSCD:5533171 _x000d__x000a_https://kns.cnki.net/kcms/download.aspx?filename=v5WRrsyLkJWTR9ybRNmN6l0SBRER3YDS3lzbzoXW6tUOhV0VGFzVnlWUoRWMYJFM3lFV3VkdJhFa0d0RP9CVPx2c6NWUolWdW5UQwZ0M1tGR3Y1bPdTYQVnSMp0cvIUTCZ3ZmRmRqRTdBJUWGxmWHp0NZRUTVJjZ&amp;amp;tablename=CJFDLAST2015&amp;amp;dflag=pdfdown _x000d__x000a_&lt;/_url&gt;&lt;_volume&gt;35&lt;/_volume&gt;&lt;/Details&gt;&lt;Extra&gt;&lt;DBUID&gt;{6891F4B0-DCBA-459A-9A22-3059983243D4}&lt;/DBUID&gt;&lt;/Extra&gt;&lt;/Item&gt;&lt;/References&gt;&lt;/Group&gt;&lt;/Citation&gt;_x000a_"/>
    <w:docVar w:name="NE.Ref{C105FA51-74CC-490F-B522-871ABD848C57}" w:val=" ADDIN NE.Ref.{C105FA51-74CC-490F-B522-871ABD848C57}&lt;Citation&gt;&lt;Group&gt;&lt;References&gt;&lt;Item&gt;&lt;ID&gt;522&lt;/ID&gt;&lt;UID&gt;{B5AF9607-1931-4BDB-AE15-EB3ACFA34642}&lt;/UID&gt;&lt;Title&gt;基于轨迹灵敏度的暂态过电压两阶段优化控制&lt;/Title&gt;&lt;Template&gt;Journal Article&lt;/Template&gt;&lt;Star&gt;0&lt;/Star&gt;&lt;Tag&gt;0&lt;/Tag&gt;&lt;Author&gt;王长江; 姜涛; 刘福锁; 陈厚合; 鲁华威&lt;/Author&gt;&lt;Year&gt;2021&lt;/Year&gt;&lt;Details&gt;&lt;_author_aff&gt;现代电力系统仿真控制与绿色电能新技术教育部重点实验室(东北电力大学);智能电网保护和运行控制国家重点实验室南瑞集团(国网电力科学研究院)有限公司;&lt;/_author_aff&gt;&lt;_collection_scope&gt;CSCD;PKU;EI&lt;/_collection_scope&gt;&lt;_created&gt;64344260&lt;/_created&gt;&lt;_date&gt;2020-06-01&lt;/_date&gt;&lt;_db_updated&gt;CNKI - Reference&lt;/_db_updated&gt;&lt;_issue&gt;09&lt;/_issue&gt;&lt;_journal&gt;电工技术学报&lt;/_journal&gt;&lt;_keywords&gt;暂态过电压;轨迹灵敏度;预防控制;恢复电压&lt;/_keywords&gt;&lt;_modified&gt;64441017&lt;/_modified&gt;&lt;_pages&gt;1888-1900+1913&lt;/_pages&gt;&lt;_url&gt;https://kns.cnki.net/kcms/detail/detail.aspx?FileName=DGJS202109012&amp;amp;DbName=CJFQ2021 _x000d__x000a_https://bar.cnki.net/bar/download/order?id=jBGETXBNdPImvx70aLAuJPYxPoFw%2bp%2bi0fIiSrcN6lWJIgD4zB9UiwJWAOs0KEW%2fIPqgR38m15LFMAZn%2bx0j%2f0GxVkq8YHJNz4jV3WhknTrl8E%2bCUVp5GtDTYhVF2dNUoJeGx62Ssygg68TNXJ%2b5JrigejDAar8Xqw%2f6WR22OFXUdUGh4At8VBYSvh%2fCUD5aHqluf4U2lbhXkckImRw0dnD1KEjSejZLN7ZFl6L6ESv5LXYX1qwFXwOc1HUZT%2bTB _x000d__x000a_https://bar.cnki.net/bar/download/order?id=jBGETXBNdPImvx70aLAuJPYxPoFw%2bp%2bi0fIiSrcN6lWJIgD4zB9UiwJWAOs0KEW%2fIPqgR38m15LFMAZn%2bx0j%2f0GxVkq8YHJNz4jV3WhknTrl8E%2bCUVp5GtDTYhVF2dNUoJeGx62Ssygg68TNXJ%2b5JrigejDAar8Xqw%2f6WR22OFXUdUGh4At8VBYSvh%2fCUD5aRMnV8kKg%2fCb6e5TkoVBbk1ZaN1aEYyeSvVhjOWXLW4z5LXYX1qwFXwOc1HUZT%2bTB _x000d__x000a_https://bar.cnki.net/bar/download/order?id=jBGETXBNdPImvx70aLAuJPYxPoFw%2bp%2bi0fIiSrcN6lWJIgD4zB9UiwJWAOs0KEW%2fIPqgR38m15LFMAZn%2bx0j%2f0GxVkq8YHJNz4jV3WhknTrl8E%2bCUVp5GtDTYhVF2dNUoJeGx62Ssygg68TNXJ%2b5JrigejDAar8Xqw%2f6WR22OFXUdUGh4At8VBYSvh%2fCUD5anPqyuMA9vrBRSzrv2gSq3mjrjiUA1i7Br0HLYwF%2fecz5LXYX1qwFXwOc1HUZT%2bTB _x000d__x000a_&lt;/_url&gt;&lt;_volume&gt;36&lt;/_volume&gt;&lt;_translated_author&gt;Wang, Zhang jiang;Jiang, Tao;Liu, Fu suo;Chen, Hou he;Lu, Hua wei&lt;/_translated_author&gt;&lt;/Details&gt;&lt;Extra&gt;&lt;DBUID&gt;{684DF7C5-873E-4B6A-A11E-0CD148BF4011}&lt;/DBUID&gt;&lt;/Extra&gt;&lt;/Item&gt;&lt;/References&gt;&lt;/Group&gt;&lt;Group&gt;&lt;References&gt;&lt;Item&gt;&lt;ID&gt;507&lt;/ID&gt;&lt;UID&gt;{0F41E67F-4FF2-482F-9345-67363B7F0623}&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ollection_scope&gt;CSCD;PKU;EI&lt;/_collection_scope&gt;&lt;_created&gt;64344249&lt;/_created&gt;&lt;_date&gt;2021-12-15&lt;/_date&gt;&lt;_db_updated&gt;CNKI - Reference&lt;/_db_updated&gt;&lt;_issue&gt;12&lt;/_issue&gt;&lt;_journal&gt;电机与控制学报&lt;/_journal&gt;&lt;_keywords&gt;特高压直流;直流闭锁;换相失败;暂态过电压;风电机组;故障穿越&lt;/_keywords&gt;&lt;_modified&gt;64441017&lt;/_modified&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naU4zXUfp0ZKbNPuDKjSNpOuUyHkorBs%2f26UjMjDhzP5LXYX1qwFXwOc1HUZT%2bTB _x000d__x000a_https://bar.cnki.net/bar/download/order?id=jBGETXBNdPImvx70aLAuJPYxPoFw%2bp%2bi0fIiSrcN6lUFprK49s5b%2fYIzogSE6DWw9OEo97ZCiBA9x8JL1XYq2Z0PLIIoFLYwy5BgUEfsTyzl8E%2bCUVp5GtDTYhVF2dNUoJeGx62Ssygg68TNXJ%2b5JrigejDAar8Xqw%2f6WR22OFXUdUGh4At8VBYSvh%2fCUD5aBEaAFCzWK1tYR9MGZoU5ufTYGftZzTarqejxrpk3b2n5LXYX1qwFXwOc1HUZT%2bTB _x000d__x000a_https://bar.cnki.net/bar/download/order?id=jBGETXBNdPImvx70aLAuJPYxPoFw%2bp%2bi0fIiSrcN6lUFprK49s5b%2fYIzogSE6DWw9OEo97ZCiBA9x8JL1XYq2Z0PLIIoFLYwy5BgUEfsTyzl8E%2bCUVp5GtDTYhVF2dNUoJeGx62Ssygg68TNXJ%2b5JrigejDAar8Xqw%2f6WR22OFXUdUGh4At8VBYSvh%2fCUD5a0VRQxQCgtzy9xKFI3fCPpB05HpuPZzlK20fRUMAauHD5LXYX1qwFXwOc1HUZT%2bTB _x000d__x000a_https://bar.cnki.net/bar/download/order?id=jBGETXBNdPImvx70aLAuJPYxPoFw%2bp%2bi0fIiSrcN6lUFprK49s5b%2fYIzogSE6DWw9OEo97ZCiBA9x8JL1XYq2Z0PLIIoFLYwy5BgUEfsTyzl8E%2bCUVp5GtDTYhVF2dNUoJeGx62Ssygg68TNXJ%2b5JrigejDAar8Xqw%2f6WR22OFXUdUGh4At8VBYSvh%2fCUD5aik22H04KpOZzSS24%2brRmLXer9pR9nXZBl%2baaQcBkiWr5LXYX1qwFXwOc1HUZT%2bTB _x000d__x000a_&lt;/_url&gt;&lt;_volume&gt;25&lt;/_volume&gt;&lt;_translated_author&gt;Li, Bo yang;Chao, Pu pu;Li, Wei xing;Xu, Shi yun;Liu, Xin yuan;Li, Zhi min&lt;/_translated_author&gt;&lt;/Details&gt;&lt;Extra&gt;&lt;DBUID&gt;{684DF7C5-873E-4B6A-A11E-0CD148BF4011}&lt;/DBUID&gt;&lt;/Extra&gt;&lt;/Item&gt;&lt;/References&gt;&lt;/Group&gt;&lt;Group&gt;&lt;References&gt;&lt;Item&gt;&lt;ID&gt;183&lt;/ID&gt;&lt;UID&gt;{18C3581E-07AF-469D-979B-5623BC131F86}&lt;/UID&gt;&lt;Title&gt;直流双极闭锁故障下送端系统暂态过电压计算方法&lt;/Title&gt;&lt;Template&gt;Journal Article&lt;/Template&gt;&lt;Star&gt;0&lt;/Star&gt;&lt;Tag&gt;0&lt;/Tag&gt;&lt;Author&gt;李欣悦; 李凤婷; 尹纯亚; 白海滨&lt;/Author&gt;&lt;Year&gt;2021&lt;/Year&gt;&lt;Details&gt;&lt;_accessed&gt;64625224&lt;/_accessed&gt;&lt;_author_adr&gt;新疆大学电气工程学院;国网新疆电力有限公司昌吉供电公司;&lt;/_author_adr&gt;&lt;_collection_scope&gt;CSCD;PKU&lt;/_collection_scope&gt;&lt;_created&gt;63731467&lt;/_created&gt;&lt;_db_provider&gt;CNKI&lt;/_db_provider&gt;&lt;_isbn&gt;1674-3415&lt;/_isbn&gt;&lt;_issue&gt;01&lt;/_issue&gt;&lt;_journal&gt;电力系统保护与控制&lt;/_journal&gt;&lt;_keywords&gt;特高压直流;直流闭锁;送端交流系统;暂态过电压&lt;/_keywords&gt;&lt;_modified&gt;64440781&lt;/_modified&gt;&lt;_pages&gt;1-8&lt;/_pages&gt;&lt;_url&gt;https://kns.cnki.net/kcms/download.aspx?filename=sp2Vvlkd4cmRphTcKlWQ0oHR1hWQ2RHUrklexkzMyUmRpxGUB9SS0F2KCNUNZdTZR1GaTZERzJlQ5NmcyR0LntUWRJFSCd3ZTlGcqVlWrElV0AnZ4cGU2N1U4VHTJpldL9UdtRnTygTTvUjSqRXMuNnb0REV0tyc&amp;amp;tablename=CJFDLAST2021&amp;amp;dflag=pdfdown _x000d__x000a_https://bar.cnki.net/bar/download/order?id=jBGETXBNdPImvx70aLAuJPYxPoFw%2bp%2bi0fIiSrcN6lXs6FVLNFGJeIOE5eRUlm2bdIHL2Cy%2blkEQPNV7YmeogUGxVkq8YHJNz4jV3WhknTrl8E%2bCUVp5GtDTYhVF2dNUoJeGx62Ssygg68TNXJ%2b5JrigejDAar8Xqw%2f6WR22OFXUdUGh4At8VBYSvh%2fCUD5a9S0oF4cdzeoFirKtQLD6jHer9pR9nXZBl%2baaQcBkiWr5LXYX1qwFXwOc1HUZT%2bTB _x000d__x000a_https://bar.cnki.net/bar/download/order?id=jBGETXBNdPImvx70aLAuJPYxPoFw%2bp%2bi0fIiSrcN6lXs6FVLNFGJeIOE5eRUlm2bdIHL2Cy%2blkEQPNV7YmeogUGxVkq8YHJNz4jV3WhknTrl8E%2bCUVp5GtDTYhVF2dNUoJeGx62Ssygg68TNXJ%2b5JrigejDAar8Xqw%2f6WR22OFXUdUGh4At8VBYSvh%2fCUD5aNp9c4SjxIPKSVcDuMmpGIv%2bnbQ%2bOywBjrM8yUVvcE8b5LXYX1qwFXwOc1HUZT%2bTB _x000d__x000a_&lt;/_url&gt;&lt;_volume&gt;49&lt;/_volume&gt;&lt;_translated_author&gt;Li, Xin yue;Li, Feng ting;Yin, Chun ya;Bai, Hai bin&lt;/_translated_author&gt;&lt;/Details&gt;&lt;Extra&gt;&lt;DBUID&gt;{684DF7C5-873E-4B6A-A11E-0CD148BF4011}&lt;/DBUID&gt;&lt;/Extra&gt;&lt;/Item&gt;&lt;/References&gt;&lt;/Group&gt;&lt;Group&gt;&lt;References&gt;&lt;Item&gt;&lt;ID&gt;170&lt;/ID&gt;&lt;UID&gt;{4DEFE397-3E28-46E2-9D7B-A625C9221CFC}&lt;/UID&gt;&lt;Title&gt;考虑直流电流变化的HVDC系统不对称故障换相失败分析&lt;/Title&gt;&lt;Template&gt;Journal Article&lt;/Template&gt;&lt;Star&gt;0&lt;/Star&gt;&lt;Tag&gt;0&lt;/Tag&gt;&lt;Author&gt;王璐; 李凤婷; 尹纯亚; 辛超山&lt;/Author&gt;&lt;Year&gt;2021&lt;/Year&gt;&lt;Details&gt;&lt;_accessed&gt;63968332&lt;/_accessed&gt;&lt;_author_adr&gt;新疆大学电气工程学院;国网新疆电力有限公司经济技术研究院;&lt;/_author_adr&gt;&lt;_collection_scope&gt;CSCD;PKU&lt;/_collection_scope&gt;&lt;_created&gt;63731466&lt;/_created&gt;&lt;_db_provider&gt;CNKI&lt;/_db_provider&gt;&lt;_isbn&gt;1674-3415&lt;/_isbn&gt;&lt;_issue&gt;01&lt;/_issue&gt;&lt;_journal&gt;电力系统保护与控制&lt;/_journal&gt;&lt;_keywords&gt;高压直流输电;不对称故障;换相失败;直流电流变化;电压变化率&lt;/_keywords&gt;&lt;_modified&gt;64438150&lt;/_modified&gt;&lt;_pages&gt;17-23&lt;/_pages&gt;&lt;_url&gt;https://kns.cnki.net/kcms/download.aspx?filename=DpUdw1WepRVaEJGM5UmTRJVbxE2SyREeul2S5llVmJzRyp1MyIVar4UR1g3Uyw2SyI3aw5UUVRmaNVncalHV0lHd3NncYVFTGVDczcFcxUWe4UleP9EZyZTbVVjdzMkSxokawZTa5siUvgjYO10QSx0bzkFSwpUW&amp;amp;tablename=CJFDLAST2021&amp;amp;dflag=pdfdown _x000d__x000a_https://kns.cnki.net/kcms/download.aspx?filename=0YEavgWeHFDc4sWeYBVaa1kdUNVOtlXclZ0Zol3K2B3czpVVyhkRyUkVj9SN5pkd3ondMdXUOdkQUVVZ0sUZO50MQplMFxmQmx2RKtkW1AnewAlTwQ0QKZWTUtGZ3M0ZjZlVRVlWr40bTVGM00kQZRnY2QWdIZ2Z&amp;amp;tablename=CJFDLAST2021&amp;amp;dflag=pdfdown _x000d__x000a_https://bar.cnki.net/bar/download/order?id=jBGETXBNdPImvx70aLAuJPYxPoFw%2bp%2bi0fIiSrcN6lXs6FVLNFGJeIOE5eRUlm2bu0Y9cJyaeMzChUwbF%2bvmtEGxVkq8YHJNz4jV3WhknTrl8E%2bCUVp5GtDTYhVF2dNUoJeGx62Ssygg68TNXJ%2b5JrigejDAar8Xqw%2f6WR22OFXUdUGh4At8VBYSvh%2fCUD5acTomY2h7zQdwwxxC7zZ0yuPyk0KAUx%2bvRb2nBqtXw1r5LXYX1qwFXwOc1HUZT%2bTB _x000d__x000a_https://bar.cnki.net/bar/download/order?id=jBGETXBNdPImvx70aLAuJPYxPoFw%2bp%2bi0fIiSrcN6lXs6FVLNFGJeIOE5eRUlm2bu0Y9cJyaeMzChUwbF%2bvmtEGxVkq8YHJNz4jV3WhknTrl8E%2bCUVp5GtDTYhVF2dNUoJeGx62Ssygg68TNXJ%2b5JrigejDAar8Xqw%2f6WR22OFXUdUGh4At8VBYSvh%2fCUD5asBHZ7a%2bECCqsIqtsJhX6yYiOXNcILL40gGLlQuHI5NH5LXYX1qwFXwOc1HUZT%2bTB _x000d__x000a_https://bar.cnki.net/bar/download/order?id=jBGETXBNdPImvx70aLAuJPYxPoFw%2bp%2bi0fIiSrcN6lXs6FVLNFGJeIOE5eRUlm2bu0Y9cJyaeMzChUwbF%2bvmtEGxVkq8YHJNz4jV3WhknTrl8E%2bCUVp5GtDTYhVF2dNUoJeGx62Ssygg68TNXJ%2b5JrigejDAar8Xqw%2f6WR22OFXUdUGh4At8VBYSvh%2fCUD5aKRB5NCmGOnYBlogtd6LQHwSRykQOzwRtn%2fv925%2fEyTv5LXYX1qwFXwOc1HUZT%2bTB _x000d__x000a_&lt;/_url&gt;&lt;_volume&gt;49&lt;/_volume&gt;&lt;_translated_author&gt;Wang, Lu;Li, Feng ting;Yin, Chun ya;Xin, Chao shan&lt;/_translated_author&gt;&lt;/Details&gt;&lt;Extra&gt;&lt;DBUID&gt;{684DF7C5-873E-4B6A-A11E-0CD148BF4011}&lt;/DBUID&gt;&lt;/Extra&gt;&lt;/Item&gt;&lt;/References&gt;&lt;/Group&gt;&lt;Group&gt;&lt;References&gt;&lt;Item&gt;&lt;ID&gt;884&lt;/ID&gt;&lt;UID&gt;{04371A64-6FB5-4ACA-825E-EC771A4852EA}&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426775&lt;/_accessed&gt;&lt;_author_aff&gt;国网河南省电力公司电力科学研究院;重庆大学输配电装备及系统安全与新技术国家重点实验室;郑州大学电气工程学院;&lt;/_author_aff&gt;&lt;_collection_scope&gt;CSCD;PKU&lt;/_collection_scope&gt;&lt;_created&gt;64426765&lt;/_created&gt;&lt;_date&gt;2021-12-01&lt;/_date&gt;&lt;_db_updated&gt;CNKI - Reference&lt;/_db_updated&gt;&lt;_issue&gt;23&lt;/_issue&gt;&lt;_journal&gt;电力系统保护与控制&lt;/_journal&gt;&lt;_keywords&gt;高压直流;换相失败;送端电网;暂态过电压;虚拟电阻&lt;/_keywords&gt;&lt;_modified&gt;64441017&lt;/_modified&gt;&lt;_pages&gt;122-129&lt;/_pages&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N3v3ieLuLQZd7pVQT9qsxQSRykQOzwRtn%2fv925%2fEyTv5LXYX1qwFXwOc1HUZT%2bTB _x000d__x000a_https://bar.cnki.net/bar/download/order?id=jBGETXBNdPImvx70aLAuJPYxPoFw%2bp%2bi0fIiSrcN6lVYfheTlE%2fD5wCYjBMf0tCywURBIovEZWsxpaJNu72Rsp0PLIIoFLYwy5BgUEfsTyzl8E%2bCUVp5GtDTYhVF2dNUoJeGx62Ssygg68TNXJ%2b5JrigejDAar8Xqw%2f6WR22OFXUdUGh4At8VBYSvh%2fCUD5aXyabO%2bee14dsLfs%2fRbFt8D2ylb%2baDiGNLaSE7yoLX7%2f5LXYX1qwFXwOc1HUZT%2bTB _x000d__x000a_https://bar.cnki.net/bar/download/order?id=jBGETXBNdPImvx70aLAuJPYxPoFw%2bp%2bi0fIiSrcN6lVYfheTlE%2fD5wCYjBMf0tCywURBIovEZWsxpaJNu72Rsp0PLIIoFLYwy5BgUEfsTyzl8E%2bCUVp5GtDTYhVF2dNUoJeGx62Ssygg68TNXJ%2b5JrigejDAar8Xqw%2f6WR22OFXUdUGh4At8VBYSvh%2fCUD5an0x8Z9jaWqMnCn5BUumUugl7yL%2fXgP2XIvFCNMl9HiP5LXYX1qwFXwOc1HUZT%2bTB _x000d__x000a_&lt;/_url&gt;&lt;_volume&gt;49&lt;/_volume&gt;&lt;_translated_author&gt;Xiao, Chao;Han, Wei;Li, Qiong lin;Xiong, Xiao fu;Feng, Zhi yuan&lt;/_translated_author&gt;&lt;/Details&gt;&lt;Extra&gt;&lt;DBUID&gt;{684DF7C5-873E-4B6A-A11E-0CD148BF4011}&lt;/DBUID&gt;&lt;/Extra&gt;&lt;/Item&gt;&lt;/References&gt;&lt;/Group&gt;&lt;Group&gt;&lt;References&gt;&lt;Item&gt;&lt;ID&gt;393&lt;/ID&gt;&lt;UID&gt;{0CC30749-B811-440D-8E42-8BC6765A8175}&lt;/UID&gt;&lt;Title&gt;直流换相失败下双馈风电机组特性描述及暂态过电压抑制&lt;/Title&gt;&lt;Template&gt;Journal Article&lt;/Template&gt;&lt;Star&gt;0&lt;/Star&gt;&lt;Tag&gt;0&lt;/Tag&gt;&lt;Author&gt;刘其辉; 董楚然; 吴勇; 张亚灵; 逄思敏; 申杰&lt;/Author&gt;&lt;Year&gt;2021&lt;/Year&gt;&lt;Details&gt;&lt;_author_aff&gt;新能源电力系统国家重点实验室(华北电力大学);国网上海市电力公司检修公司;国网上海市电力公司松江供电公司;&lt;/_author_aff&gt;&lt;_collection_scope&gt;CSCD;PKU;EI&lt;/_collection_scope&gt;&lt;_created&gt;64079661&lt;/_created&gt;&lt;_date&gt;2021-10-28&lt;/_date&gt;&lt;_db_updated&gt;CNKI - Reference&lt;/_db_updated&gt;&lt;_journal&gt;电力系统自动化&lt;/_journal&gt;&lt;_keywords&gt;换相失败;双馈感应发电机(DFIG);暂态电压;故障穿越;过电压主动抑制&lt;/_keywords&gt;&lt;_modified&gt;64441017&lt;/_modified&gt;&lt;_pages&gt;1-14&lt;/_pages&gt;&lt;_url&gt;https://kns.cnki.net/kcms/detail/detail.aspx?FileName=DLXT20211027000&amp;amp;DbName=CAPJ2021 _x000d__x000a_https://bar.cnki.net/bar/download/order?id=jBGETXBNdPImvx70aLAuJPYxPoFw%2bp%2bi0fIiSrcN6lXVlq1eBSUeJvjZrOAJvDJukSJjWy3W0i%2b8K1%2b7%2bDUhfJ0PLIIoFLYwy5BgUEfsTyzl8E%2bCUVp5GtDTYhVF2dNUoJeGx62Ssygg68TNXJ%2b5JrigejDAar8Xqw%2f6WR22OFXUdUGh4At8VBYSvh%2fCUD5a7U1nvP9dQs5IhRdmJ3cGYEIPwyDWkVhM%2f9K5VmuW5Tn5LXYX1qwFXwOc1HUZT%2bTB _x000d__x000a_https://bar.cnki.net/bar/download/order?id=jBGETXBNdPImvx70aLAuJPYxPoFw%2bp%2bi0fIiSrcN6lXVlq1eBSUeJvjZrOAJvDJukSJjWy3W0i%2b8K1%2b7%2bDUhfJ0PLIIoFLYwy5BgUEfsTyzl8E%2bCUVp5GtDTYhVF2dNUoJeGx62Ssygg68TNXJ%2b5JrigejDAar8Xqw%2f6WR22OFXUdUGh4At8VBYSvh%2fCUD5aM9LEocCxmrxdbHAhMW759dUr2kvoJV7Lyc0%2fNbix2nb5LXYX1qwFXwOc1HUZT%2bTB _x000d__x000a_&lt;/_url&gt;&lt;_translated_author&gt;Liu, Qi hui;Dong, Chu ran;Wu, Yong;Zhang, Ya ling;Pang, Si min;Shen, Jie&lt;/_translated_author&gt;&lt;/Details&gt;&lt;Extra&gt;&lt;DBUID&gt;{684DF7C5-873E-4B6A-A11E-0CD148BF4011}&lt;/DBUID&gt;&lt;/Extra&gt;&lt;/Item&gt;&lt;/References&gt;&lt;/Group&gt;&lt;Group&gt;&lt;References&gt;&lt;Item&gt;&lt;ID&gt;451&lt;/ID&gt;&lt;UID&gt;{35CD7A67-EB60-4D52-86EA-12367FDB8F1A}&lt;/UID&gt;&lt;Title&gt;风电经特高压直流送出系统的暂态过电压问题研究综述&lt;/Title&gt;&lt;Template&gt;Journal Article&lt;/Template&gt;&lt;Star&gt;0&lt;/Star&gt;&lt;Tag&gt;5&lt;/Tag&gt;&lt;Author&gt;李帛洋; 晁璞璞; 徐式蕴; 李卫星; 刘新元; 李志民&lt;/Author&gt;&lt;Year&gt;2021&lt;/Year&gt;&lt;Details&gt;&lt;_accessed&gt;64441002&lt;/_accessed&gt;&lt;_author_aff&gt;哈尔滨工业大学电气工程及自动化学院;中国电力科学研究院有限公司;国网山西省电力公司电力科学研究院;&lt;/_author_aff&gt;&lt;_collection_scope&gt;CSCD;PKU;EI&lt;/_collection_scope&gt;&lt;_created&gt;64132958&lt;/_created&gt;&lt;_date&gt;2021-11-17&lt;/_date&gt;&lt;_db_updated&gt;CNKI - Reference&lt;/_db_updated&gt;&lt;_journal&gt;电力自动化设备&lt;/_journal&gt;&lt;_keywords&gt;大规模风电;特高压直流;暂态过电压;控制策略&lt;/_keywords&gt;&lt;_modified&gt;64441002&lt;/_modified&gt;&lt;_pages&gt;1-10&lt;/_pages&gt;&lt;_url&gt;https://kns.cnki.net/kcms/detail/detail.aspx?FileName=DLZS20211116000&amp;amp;DbName=CAPJ2021 _x000d__x000a_https://bar.cnki.net/bar/download/order?id=jBGETXBNdPImvx70aLAuJPYxPoFw%2bp%2bi0fIiSrcN6lUtiMQ%2f2Lgm7Z87zDdHzB4WkSJjWy3W0i%2b8K1%2b7%2bDUhfMm82jDOg3yr%2bqRqj9L2CzQtqddCdidyosdSaMNWur3ZJBjdlDrNnftoR5pdZPiFRNlKM4sfpT3nRHSqBOA4sms8GQBtE8Z8mK%2fNwS15YoSEA%2fQVk3hd8OTkVkmwfqxfV8k3vIf8uGHrQx4KQ5g8yTA%3d _x000d__x000a_https://bar.cnki.net/bar/download/order?id=jBGETXBNdPImvx70aLAuJPYxPoFw%2bp%2bi0fIiSrcN6lUtiMQ%2f2Lgm7Z87zDdHzB4WkSJjWy3W0i%2b8K1%2b7%2bDUhfJ0PLIIoFLYwy5BgUEfsTyzl8E%2bCUVp5GtDTYhVF2dNUoJeGx62Ssygg68TNXJ%2b5JrigejDAar8Xqw%2f6WR22OFXUdUGh4At8VBYSvh%2fCUD5aEVKJ6r30%2bQO5Eb1zI%2fVdc3nJm%2bfq9XMLVye%2faawB1wn5LXYX1qwFXwOc1HUZT%2bTB _x000d__x000a_https://bar.cnki.net/bar/download/order?id=jBGETXBNdPImvx70aLAuJPYxPoFw%2bp%2bi0fIiSrcN6lUtiMQ%2f2Lgm7Z87zDdHzB4WkSJjWy3W0i%2b8K1%2b7%2bDUhfJ0PLIIoFLYwy5BgUEfsTyzl8E%2bCUVp5GtDTYhVF2dNUoJeGx62Ssygg68TNXJ%2b5JrigejDAar8Xqw%2f6WR22OFXUdUGh4At8VBYSvh%2fCUD5a2UqkJr5H1Z0XvjrtaLCwynJ%2fk3qb3YlLDmkYcfC%2bquX5LXYX1qwFXwOc1HUZT%2bTB _x000d__x000a_https://bar.cnki.net/bar/download/order?id=jBGETXBNdPImvx70aLAuJPYxPoFw%2bp%2bi0fIiSrcN6lUtiMQ%2f2Lgm7Z87zDdHzB4WkSJjWy3W0i%2b8K1%2b7%2bDUhfJ0PLIIoFLYwy5BgUEfsTyzl8E%2bCUVp5GtDTYhVF2dNUoJeGx62Ssygg68TNXJ%2b5JrigejDAar8Xqw%2f6WR22OFXUdUGh4At8VBYSvh%2fCUD5aNXMPY70RRr8nwIXCqqbMMCyWI5uyZaOI7%2bN0Y06oLwj5LXYX1qwFXwOc1HUZT%2bTB _x000d__x000a_&lt;/_url&gt;&lt;_translated_author&gt;Li, Bo yang;Chao, Pu pu;Xu, Shi yun;Li, Wei xing;Liu, Xin yuan;Li, Zhi min&lt;/_translated_author&gt;&lt;/Details&gt;&lt;Extra&gt;&lt;DBUID&gt;{684DF7C5-873E-4B6A-A11E-0CD148BF4011}&lt;/DBUID&gt;&lt;/Extra&gt;&lt;/Item&gt;&lt;/References&gt;&lt;/Group&gt;&lt;Group&gt;&lt;References&gt;&lt;Item&gt;&lt;ID&gt;509&lt;/ID&gt;&lt;UID&gt;{E20E502B-B4E9-46C1-B45F-8BC8D6721A77}&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uthor_aff&gt;西安交通大学电气工程学院;国家电网公司西北分部;&lt;/_author_aff&gt;&lt;_collection_scope&gt;CSCD;PKU;EI&lt;/_collection_scope&gt;&lt;_created&gt;64344252&lt;/_created&gt;&lt;_date&gt;2021-09-07&lt;/_date&gt;&lt;_db_updated&gt;CNKI - Reference&lt;/_db_updated&gt;&lt;_issue&gt;12&lt;/_issue&gt;&lt;_journal&gt;电力自动化设备&lt;/_journal&gt;&lt;_keywords&gt;特高压直流;暂态过电压;短路容量;机组组合;优化&lt;/_keywords&gt;&lt;_modified&gt;64438148&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iyq%2b2Cl9N%2fnsXaZrQ72R%2fg7B4PXYl7DQ8cUM8T1meBv5LXYX1qwFXwOc1HUZT%2bTB _x000d__x000a_https://bar.cnki.net/bar/download/order?id=jBGETXBNdPImvx70aLAuJPYxPoFw%2bp%2bi0fIiSrcN6lUsmghocH64yV638luJi40%2bOk4eyki12Xg7hP2OioSOFp0PLIIoFLYwy5BgUEfsTyzl8E%2bCUVp5GtDTYhVF2dNUoJeGx62Ssygg68TNXJ%2b5JrigejDAar8Xqw%2f6WR22OFXUdUGh4At8VBYSvh%2fCUD5aVe2F4a%2f%2fsxJ%2fUZMdvljqcHy0DUMyLbwyMBR3th7LWsj5LXYX1qwFXwOc1HUZT%2bTB _x000d__x000a_https://bar.cnki.net/bar/download/order?id=jBGETXBNdPImvx70aLAuJPYxPoFw%2bp%2bi0fIiSrcN6lUsmghocH64yV638luJi40%2bOk4eyki12Xg7hP2OioSOFp0PLIIoFLYwy5BgUEfsTyzl8E%2bCUVp5GtDTYhVF2dNUoJeGx62Ssygg68TNXJ%2b5JrigejDAar8Xqw%2f6WR22OFXUdUGh4At8VBYSvh%2fCUD5aJcSut%2fyIMnQKYVifY6vxGPTYGftZzTarqejxrpk3b2n5LXYX1qwFXwOc1HUZT%2bTB _x000d__x000a_&lt;/_url&gt;&lt;_volume&gt;41&lt;/_volume&gt;&lt;_translated_author&gt;Niu, Shuan bao;Ke, Xian bo;Ren, Chong;Huo, Chao;Wang, Zhi wei;Zhang, Gang;Wei, Lin&lt;/_translated_author&gt;&lt;/Details&gt;&lt;Extra&gt;&lt;DBUID&gt;{684DF7C5-873E-4B6A-A11E-0CD148BF4011}&lt;/DBUID&gt;&lt;/Extra&gt;&lt;/Item&gt;&lt;/References&gt;&lt;/Group&gt;&lt;Group&gt;&lt;References&gt;&lt;Item&gt;&lt;ID&gt;895&lt;/ID&gt;&lt;UID&gt;{A6AAA06B-D732-4023-B668-906A250F710F}&lt;/UID&gt;&lt;Title&gt;基于调相机与SVC协调的抑制高压直流送端风机脱网的控制策略&lt;/Title&gt;&lt;Template&gt;Journal Article&lt;/Template&gt;&lt;Star&gt;0&lt;/Star&gt;&lt;Tag&gt;0&lt;/Tag&gt;&lt;Author&gt;朱丽萍; 刘文颖; 邵冲; 徐宏雷; 牛栓保; 陈仕彬&lt;/Author&gt;&lt;Year&gt;2021&lt;/Year&gt;&lt;Details&gt;&lt;_author_aff&gt;华北电力大学新能源电力系统国家重点实验室;国网甘肃省电力公司;国家电网公司西北分部;&lt;/_author_aff&gt;&lt;_cited_count&gt;6&lt;/_cited_count&gt;&lt;_collection_scope&gt;CSCD;PKU;EI&lt;/_collection_scope&gt;&lt;_created&gt;64441041&lt;/_created&gt;&lt;_date&gt;2021-02-03&lt;/_date&gt;&lt;_db_updated&gt;CNKI - Reference&lt;/_db_updated&gt;&lt;_issue&gt;06&lt;/_issue&gt;&lt;_journal&gt;电力自动化设备&lt;/_journal&gt;&lt;_keywords&gt;换相失败;直流闭锁;送端电网;风机连锁脱网;调相机;SVC&lt;/_keywords&gt;&lt;_modified&gt;64441051&lt;/_modified&gt;&lt;_pages&gt;107-115&lt;/_pages&gt;&lt;_url&gt;https://kns.cnki.net/kcms/detail/detail.aspx?FileName=DLZS202106015&amp;amp;DbName=CJFQ2021 _x000d__x000a_https://bar.cnki.net/bar/download/order?id=jBGETXBNdPImvx70aLAuJPYxPoFw%2bp%2bi0fIiSrcN6lX96MsuQtIYTiNMuOqm8qGEwURBIovEZWsxpaJNu72RskGxVkq8YHJNz4jV3WhknTrl8E%2bCUVp5GtDTYhVF2dNUoJeGx62Ssygg68TNXJ%2b5JrigejDAar8Xqw%2f6WR22OFXUdUGh4At8VBYSvh%2fCUD5a9QXezBGOpv9%2b7tN0lwWXzyWZL0ai5A42K%2bdv2kg5hcj5LXYX1qwFXwOc1HUZT%2bTB _x000d__x000a_&lt;/_url&gt;&lt;_volume&gt;41&lt;/_volume&gt;&lt;_translated_author&gt;Zhu, Li ping;Liu, Wen ying;Shao, Chong;Xu, Hong lei;Niu, Shuan bao;Chen, Shi bin&lt;/_translated_author&gt;&lt;/Details&gt;&lt;Extra&gt;&lt;DBUID&gt;{684DF7C5-873E-4B6A-A11E-0CD148BF4011}&lt;/DBUID&gt;&lt;/Extra&gt;&lt;/Item&gt;&lt;/References&gt;&lt;/Group&gt;&lt;Group&gt;&lt;References&gt;&lt;Item&gt;&lt;ID&gt;180&lt;/ID&gt;&lt;UID&gt;{41136A91-9C69-4E8F-BFBA-86794F51E8A5}&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ccessed&gt;64601174&lt;/_accessed&gt;&lt;_author_aff&gt;电网安全与节能国家重点实验室(中国电力科学研究院有限公司);国家电力调度控制中心;&lt;/_author_aff&gt;&lt;_collection_scope&gt;CSCD;PKU;EI&lt;/_collection_scope&gt;&lt;_created&gt;63843448&lt;/_created&gt;&lt;_date&gt;2020-11-25&lt;/_date&gt;&lt;_db_updated&gt;CNKI - Reference&lt;/_db_updated&gt;&lt;_issue&gt;02&lt;/_issue&gt;&lt;_journal&gt;电网技术&lt;/_journal&gt;&lt;_keywords&gt;低电压穿越;暂态过电压;风电机组;有功/无功特性;性能优化&lt;/_keywords&gt;&lt;_modified&gt;64441017&lt;/_modified&gt;&lt;_pages&gt;526-533&lt;/_pages&gt;&lt;_url&gt;https://kns.cnki.net/kcms/detail/detail.aspx?FileName=DWJS202102011&amp;amp;DbName=DKFX2021 _x000d__x000a_https://kns.cnki.net/kcms/download.aspx?filename=GRHOT12Z65Gewc2Z1dHRyR0REp0QYdGT4hmWElWWwRFSn1GTBdzRuNXRJFFVnJXZ6NEZSFXSkpmZZJUYJJnRVJHb4QXYEFEcVFEVUFmdGRjR0tkSzMEZxQzSwp3bMRmbZJzZCdHc2c0UxEHOvM0YsdlZBhVUYlUQ&amp;amp;tablename=CAPJLAST&amp;amp;dflag=pdfdown _x000d__x000a_https://bar.cnki.net/bar/download/order?id=jBGETXBNdPImvx70aLAuJPYxPoFw%2bp%2bi0fIiSrcN6lUWc80rOQ0UkmIocUyrNnsiH%2baLmkDLv%2bEsl5%2f0QJVlG0GxVkq8YHJNz4jV3WhknTrl8E%2bCUVp5GtDTYhVF2dNUoJeGx62Ssygg68TNXJ%2b5JrigejDAar8Xqw%2f6WR22OFXUdUGh4At8VBYSvh%2fCUD5ayxmnnu%2foj6DJJEoCumGzSaJHGuj7fnJt9ikoxP3IEIT5LXYX1qwFXwOc1HUZT%2bTB _x000d__x000a_https://bar.cnki.net/bar/download/order?id=jBGETXBNdPImvx70aLAuJPYxPoFw%2bp%2bi0fIiSrcN6lUWc80rOQ0UkmIocUyrNnsiH%2baLmkDLv%2bEsl5%2f0QJVlG0GxVkq8YHJNz4jV3WhknTrl8E%2bCUVp5GtDTYhVF2dNUoJeGx62Ssygg68TNXJ%2b5JrigejDAar8Xqw%2f6WR22OFXUdUGh4At8VBYSvh%2fCUD5azyvg5zgs01lbWtXjQlSmBk%2bLjlyYIu7nH8eknR%2fJ7rL5LXYX1qwFXwOc1HUZT%2bTB _x000d__x000a_https://bar.cnki.net/bar/download/order?id=jBGETXBNdPImvx70aLAuJPYxPoFw%2bp%2bi0fIiSrcN6lUWc80rOQ0UkmIocUyrNnsiH%2baLmkDLv%2bEsl5%2f0QJVlG0GxVkq8YHJNz4jV3WhknTrl8E%2bCUVp5GtDTYhVF2dNUoJeGx62Ssygg68TNXJ%2b5JrigejDAar8Xqw%2f6WR22OFXUdUGh4At8VBYSvh%2fCUD5auRAe4Vf%2fom5EW79iCatjhucOxCceuMg6Nad5lxtXDbj5LXYX1qwFXwOc1HUZT%2bTB _x000d__x000a_&lt;/_url&gt;&lt;_volume&gt;45&lt;/_volume&gt;&lt;_translated_author&gt;Jia, Jun chuan;Jin, Yi ding;Zhao, Bing;Zhong, Wu zhi;Cheng, Shi gao;Liu, Tao;Xu, Xi wang;Zheng, Shuai fei&lt;/_translated_author&gt;&lt;/Details&gt;&lt;Extra&gt;&lt;DBUID&gt;{684DF7C5-873E-4B6A-A11E-0CD148BF4011}&lt;/DBUID&gt;&lt;/Extra&gt;&lt;/Item&gt;&lt;/References&gt;&lt;/Group&gt;&lt;Group&gt;&lt;References&gt;&lt;Item&gt;&lt;ID&gt;713&lt;/ID&gt;&lt;UID&gt;{14B487B5-4F66-4CF3-8EE2-2C35BFE424E9}&lt;/UID&gt;&lt;Title&gt;功角失稳与暂态过电压并存型锡盟交直流弱送端系统特性分析&lt;/Title&gt;&lt;Template&gt;Journal Article&lt;/Template&gt;&lt;Star&gt;0&lt;/Star&gt;&lt;Tag&gt;0&lt;/Tag&gt;&lt;Author&gt;屠竞哲; 潘艳; 訾鹏; 刘明松; 王超; 张健&lt;/Author&gt;&lt;Year&gt;2021&lt;/Year&gt;&lt;Details&gt;&lt;_author_adr&gt;电网安全与节能国家重点实验室(中国电力科学研究院有限公司);国家电网有限公司华北分部;国家电力调度控制中心;&lt;/_author_adr&gt;&lt;_collection_scope&gt;CSCD;PKU;EI&lt;/_collection_scope&gt;&lt;_created&gt;64344283&lt;/_created&gt;&lt;_db_provider&gt;CNKI&lt;/_db_provider&gt;&lt;_doi&gt;10.13335/j.1000-3673.pst.2020.0189&lt;/_doi&gt;&lt;_isbn&gt;1000-3673&lt;/_isbn&gt;&lt;_issue&gt;04&lt;/_issue&gt;&lt;_journal&gt;电网技术&lt;/_journal&gt;&lt;_keywords&gt;交直流弱送端系统;功角稳定(失稳);暂态过电压;低穿特性;外送能力&lt;/_keywords&gt;&lt;_modified&gt;64441017&lt;/_modified&gt;&lt;_pages&gt;1496-1506&lt;/_pages&gt;&lt;_url&gt;https://kns.cnki.net/kcms/detail/11.2410.TM.20200718.1703.006.html _x000d__x000a_https://bar.cnki.net/bar/download/order?id=jBGETXBNdPImvx70aLAuJPYxPoFw%2bp%2bi0fIiSrcN6lUgned412MdJw3fu4g4M6nTjV8kH35x5ffYcOAgglpoTUGxVkq8YHJNz4jV3WhknTrl8E%2bCUVp5GtDTYhVF2dNUoJeGx62Ssygg68TNXJ%2b5JrigejDAar8Xqw%2f6WR22OFXUdUGh4At8VBYSvh%2fCUD5abSq332uEYQfC5Mf1oXYwB6bPqkOHz6XHGO1cnd%2fPGTr5LXYX1qwFXwOc1HUZT%2bTB _x000d__x000a_https://bar.cnki.net/bar/download/order?id=jBGETXBNdPImvx70aLAuJPYxPoFw%2bp%2bi0fIiSrcN6lUgned412MdJw3fu4g4M6nTjV8kH35x5ffYcOAgglpoTUGxVkq8YHJNz4jV3WhknTrl8E%2bCUVp5GtDTYhVF2dNUoJeGx62Ssygg68TNXJ%2b5JrigejDAar8Xqw%2f6WR22OFXUdUGh4At8VBYSvh%2fCUD5ae%2bNHZ9bXfC%2bzsT1nyXpOpGdWU96ofXqmsGtQKKUp9eP5LXYX1qwFXwOc1HUZT%2bTB _x000d__x000a_https://bar.cnki.net/bar/download/order?id=jBGETXBNdPImvx70aLAuJPYxPoFw%2bp%2bi0fIiSrcN6lUgned412MdJw3fu4g4M6nTjV8kH35x5ffYcOAgglpoTUGxVkq8YHJNz4jV3WhknTrl8E%2bCUVp5GtDTYhVF2dNUoJeGx62Ssygg68TNXJ%2b5JrigejDAar8Xqw%2f6WR22OFXUdUGh4At8VBYSvh%2fCUD5a3hgtSYr8geG2JP%2b0nM9hpOPyk0KAUx%2bvRb2nBqtXw1r5LXYX1qwFXwOc1HUZT%2bTB _x000d__x000a_&lt;/_url&gt;&lt;_volume&gt;45&lt;/_volume&gt;&lt;_translated_author&gt;Tu, Jing zhe;Pan, Yan;Zi, Peng;Liu, Ming song;Wang, Chao;Zhang, Jian&lt;/_translated_author&gt;&lt;/Details&gt;&lt;Extra&gt;&lt;DBUID&gt;{684DF7C5-873E-4B6A-A11E-0CD148BF4011}&lt;/DBUID&gt;&lt;/Extra&gt;&lt;/Item&gt;&lt;/References&gt;&lt;/Group&gt;&lt;Group&gt;&lt;References&gt;&lt;Item&gt;&lt;ID&gt;395&lt;/ID&gt;&lt;UID&gt;{6274F2A3-CB06-40B5-B7AE-01D96F56D81B}&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ccessed&gt;64354193&lt;/_accessed&gt;&lt;_author_aff&gt;新能源与储能运行控制国家重点实验室(中国电力科学研究院有限公司);&lt;/_author_aff&gt;&lt;_collection_scope&gt;CSCD;PKU;EI&lt;/_collection_scope&gt;&lt;_created&gt;64079663&lt;/_created&gt;&lt;_date&gt;2021-05-14&lt;/_date&gt;&lt;_db_updated&gt;CNKI - Reference&lt;/_db_updated&gt;&lt;_journal&gt;电网技术&lt;/_journal&gt;&lt;_keywords&gt;暂态过电压;低电压穿越;风电机组;参数优化&lt;/_keywords&gt;&lt;_modified&gt;64441017&lt;/_modified&gt;&lt;_pages&gt;1-10&lt;/_pages&gt;&lt;_url&gt;https://kns.cnki.net/kcms/detail/detail.aspx?FileName=DWJS20210513001&amp;amp;DbName=DKFX2021 _x000d__x000a_https://bar.cnki.net/bar/download/order?id=jBGETXBNdPImvx70aLAuJPYxPoFw%2bp%2bi0fIiSrcN6lUE%2fm6X24IIb6M5isHz7ENq9OEo97ZCiBA9x8JL1XYq2UGxVkq8YHJNz4jV3WhknTrl8E%2bCUVp5GtDTYhVF2dNUoJeGx62Ssygg68TNXJ%2b5JrigejDAar8Xqw%2f6WR22OFXUdUGh4At8VBYSvh%2fCUD5aN6dPTqXllv%2bW8TkHitowude%2bo2b9e0Cppr%2bycIByksf5LXYX1qwFXwOc1HUZT%2bTB _x000d__x000a_https://bar.cnki.net/bar/download/order?id=jBGETXBNdPImvx70aLAuJPYxPoFw%2bp%2bi0fIiSrcN6lUE%2fm6X24IIb6M5isHz7ENq9OEo97ZCiBA9x8JL1XYq2UGxVkq8YHJNz4jV3WhknTrl8E%2bCUVp5GtDTYhVF2dNUoJeGx62Ssygg68TNXJ%2b5JrigejDAar8Xqw%2f6WR22OFXUdUGh4At8VBYSvh%2fCUD5aQO3AExPACQi3BQ%2b0Z05BopOuUyHkorBs%2f26UjMjDhzP5LXYX1qwFXwOc1HUZT%2bTB _x000d__x000a_https://bar.cnki.net/bar/download/order?id=jBGETXBNdPImvx70aLAuJPYxPoFw%2bp%2bi0fIiSrcN6lUE%2fm6X24IIb6M5isHz7ENq9OEo97ZCiBA9x8JL1XYq2UGxVkq8YHJNz4jV3WhknTrl8E%2bCUVp5GtDTYhVF2dNUoJeGx62Ssygg68TNXJ%2b5JrigejDAar8Xqw%2f6WR22OFXUdUGh4At8VBYSvh%2fCUD5aMmpJkA%2fPr6Kpk3UlClxHxw7B4PXYl7DQ8cUM8T1meBv5LXYX1qwFXwOc1HUZT%2bTB _x000d__x000a_https://bar.cnki.net/bar/download/order?id=jBGETXBNdPImvx70aLAuJPYxPoFw%2bp%2bi0fIiSrcN6lUE%2fm6X24IIb6M5isHz7ENq9OEo97ZCiBA9x8JL1XYq2UGxVkq8YHJNz4jV3WhknTrl8E%2bCUVp5GtDTYhVF2dNUoJeGx62Ssygg68TNXJ%2b5JrigejDAar8Xqw%2f6WR22OFXUdUGh4At8VBYSvh%2fCUD5a0LVJvCtbUnkmlC49WS%2bz3gWfuv%2bz7HRA49u8d8lNU7L5LXYX1qwFXwOc1HUZT%2bTB _x000d__x000a_&lt;/_url&gt;&lt;_translated_author&gt;Wang, Xi chun;Liu, Chun;Lin, Wei fang;Jie, Hong bin&lt;/_translated_author&gt;&lt;/Details&gt;&lt;Extra&gt;&lt;DBUID&gt;{684DF7C5-873E-4B6A-A11E-0CD148BF4011}&lt;/DBUID&gt;&lt;/Extra&gt;&lt;/Item&gt;&lt;/References&gt;&lt;/Group&gt;&lt;Group&gt;&lt;References&gt;&lt;Item&gt;&lt;ID&gt;501&lt;/ID&gt;&lt;UID&gt;{BA7F2A66-C895-426B-9C89-39A2DD7A33A6}&lt;/UID&gt;&lt;Title&gt;抑制直流单极闭锁引起大规模风电机组脱网的直流控制策略&lt;/Title&gt;&lt;Template&gt;Journal Article&lt;/Template&gt;&lt;Star&gt;0&lt;/Star&gt;&lt;Tag&gt;0&lt;/Tag&gt;&lt;Author&gt;张起瑞; 李凤婷; 尹纯亚; 刘江山; 陈睿康&lt;/Author&gt;&lt;Year&gt;2021&lt;/Year&gt;&lt;Details&gt;&lt;_author_aff&gt;新疆大学电气工程学院;&lt;/_author_aff&gt;&lt;_collection_scope&gt;CSCD;PKU;EI&lt;/_collection_scope&gt;&lt;_created&gt;64344246&lt;/_created&gt;&lt;_date&gt;2021-07-23&lt;/_date&gt;&lt;_db_updated&gt;CNKI - Reference&lt;/_db_updated&gt;&lt;_issue&gt;10&lt;/_issue&gt;&lt;_journal&gt;高电压技术&lt;/_journal&gt;&lt;_keywords&gt;交直流混联系统;单极闭锁;暂态过电压;风机高压脱网;直流控制策略&lt;/_keywords&gt;&lt;_modified&gt;64438150&lt;/_modified&gt;&lt;_pages&gt;3528-3537&lt;/_pages&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AJ588WIgmmizXoUTj2BPhe2Nz0AHLmjkWcnJY9U7lZz5LXYX1qwFXwOc1HUZT%2bTB _x000d__x000a_https://bar.cnki.net/bar/download/order?id=jBGETXBNdPImvx70aLAuJPYxPoFw%2bp%2bi0fIiSrcN6lWkV1tJa%2bxWNY0JklBMe8Tf%2bDdkDFepkUoGamH8rMrnz0GxVkq8YHJNz4jV3WhknTrl8E%2bCUVp5GtDTYhVF2dNUoJeGx62Ssygg68TNXJ%2b5JrigejDAar8Xqw%2f6WR22OFXUdUGh4At8VBYSvh%2fCUD5aj9tgWGRPuzBdu8PnnRxZtASRykQOzwRtn%2fv925%2fEyTv5LXYX1qwFXwOc1HUZT%2bTB _x000d__x000a_https://bar.cnki.net/bar/download/order?id=jBGETXBNdPImvx70aLAuJPYxPoFw%2bp%2bi0fIiSrcN6lWkV1tJa%2bxWNY0JklBMe8Tf%2bDdkDFepkUoGamH8rMrnz0GxVkq8YHJNz4jV3WhknTrl8E%2bCUVp5GtDTYhVF2dNUoJeGx62Ssygg68TNXJ%2b5JrigejDAar8Xqw%2f6WR22OFXUdUGh4At8VBYSvh%2fCUD5aDvmoM6VQbfi3qcBMvtv09fqSXm0CuW1w%2fFfWv6Rai0X5LXYX1qwFXwOc1HUZT%2bTB _x000d__x000a_&lt;/_url&gt;&lt;_volume&gt;47&lt;/_volume&gt;&lt;_translated_author&gt;Zhang, Qi rui;Li, Feng ting;Yin, Chun ya;Liu, Jiang shan;Chen, Rui kang&lt;/_translated_author&gt;&lt;/Details&gt;&lt;Extra&gt;&lt;DBUID&gt;{684DF7C5-873E-4B6A-A11E-0CD148BF4011}&lt;/DBUID&gt;&lt;/Extra&gt;&lt;/Item&gt;&lt;/References&gt;&lt;/Group&gt;&lt;/Citation&gt;_x000a_"/>
    <w:docVar w:name="NE.Ref{C16015B0-670B-413B-A4E4-4F48B16BAE14}" w:val=" ADDIN NE.Ref.{C16015B0-670B-413B-A4E4-4F48B16BAE14}&lt;Citation&gt;&lt;Group&gt;&lt;References&gt;&lt;Item&gt;&lt;ID&gt;416&lt;/ID&gt;&lt;UID&gt;{DAE97B38-DF4A-44A7-BCE6-477F1BD17FC0}&lt;/UID&gt;&lt;Title&gt;基于进化计算的含风电及电动汽车的电力系统调度研究&lt;/Title&gt;&lt;Template&gt;Thesis&lt;/Template&gt;&lt;Star&gt;0&lt;/Star&gt;&lt;Tag&gt;0&lt;/Tag&gt;&lt;Author&gt;乔百豪&lt;/Author&gt;&lt;Year&gt;2018&lt;/Year&gt;&lt;Details&gt;&lt;_created&gt;63642783&lt;/_created&gt;&lt;_db_provider&gt;CNKI&lt;/_db_provider&gt;&lt;_keywords&gt;电力系统调度;风电;电动汽车;多目标优化&lt;/_keywords&gt;&lt;_modified&gt;63642783&lt;/_modified&gt;&lt;_publisher&gt;中原工学院&lt;/_publisher&gt;&lt;_tertiary_author&gt;瞿博阳&lt;/_tertiary_author&gt;&lt;_type_work&gt;硕士&lt;/_type_work&gt;&lt;_translated_author&gt;Qiao, Baihao&lt;/_translated_author&gt;&lt;_translated_tertiary_author&gt;Ju, Boyang&lt;/_translated_tertiary_author&gt;&lt;/Details&gt;&lt;Extra&gt;&lt;DBUID&gt;{F96A950B-833F-4880-A151-76DA2D6A2879}&lt;/DBUID&gt;&lt;/Extra&gt;&lt;/Item&gt;&lt;/References&gt;&lt;/Group&gt;&lt;/Citation&gt;_x000a_"/>
    <w:docVar w:name="NE.Ref{C1C89770-BBD5-4644-B852-0BF259AF0D12}" w:val=" ADDIN NE.Ref.{C1C89770-BBD5-4644-B852-0BF259AF0D12}&lt;Citation&gt;&lt;Group&gt;&lt;References&gt;&lt;Item&gt;&lt;ID&gt;1058&lt;/ID&gt;&lt;UID&gt;{B2073171-4F8B-44E9-AFAD-7583238B9146}&lt;/UID&gt;&lt;Title&gt;Overvoltage Suppression Under Commutation Failure Based on Improved Voltage-Dependent Current Order Limiter Control Strategy&lt;/Title&gt;&lt;Template&gt;Journal Article&lt;/Template&gt;&lt;Star&gt;0&lt;/Star&gt;&lt;Tag&gt;0&lt;/Tag&gt;&lt;Author&gt;T., Wang; L., Pei; J., Wang; Z., Wang&lt;/Author&gt;&lt;Year&gt;2022&lt;/Year&gt;&lt;Details&gt;&lt;_alternate_title&gt;IEEE Transactions on Industry Applications; IEEE Transactions on Industry ApplicationsIEEE Transactions on Industry Applications&lt;/_alternate_title&gt;&lt;_date_display&gt;2022_x000d__x000a_July-Aug. 2022_x000d__x000a_July-Aug. 2022&lt;/_date_display&gt;&lt;_date&gt;2022-01-01&lt;/_date&gt;&lt;_doi&gt;10.1109/TIA.2022.3171747&lt;/_doi&gt;&lt;_isbn&gt;1939-9367&lt;/_isbn&gt;&lt;_issue&gt;4&lt;/_issue&gt;&lt;_journal&gt;IEEE Transactions on Industry Applications&lt;/_journal&gt;&lt;_keywords&gt;Rectifiers; Voltage control; Reactive power; Inverters; Control systems; Transient analysis; Steady-state; Commutation failure (CF); overvoltage suppression strategy; rectifier; transient overvoltage; voltage-dependent current order limiter (VDCOL)&lt;/_keywords&gt;&lt;_pages&gt;4914-4922&lt;/_pages&gt;&lt;_url&gt;https://dx.doi.org/10.1109/TIA.2022.3171747&lt;/_url&gt;&lt;_volume&gt;58&lt;/_volume&gt;&lt;_created&gt;64779615&lt;/_created&gt;&lt;_modified&gt;64779616&lt;/_modified&gt;&lt;_db_updated&gt;IEEE&lt;/_db_updated&gt;&lt;_impact_factor&gt;   4.079&lt;/_impact_factor&gt;&lt;_social_category&gt;工程技术(3)&lt;/_social_category&gt;&lt;_collection_scope&gt;SCI;SCIE;EI&lt;/_collection_scope&gt;&lt;/Details&gt;&lt;Extra&gt;&lt;DBUID&gt;{684DF7C5-873E-4B6A-A11E-0CD148BF4011}&lt;/DBUID&gt;&lt;/Extra&gt;&lt;/Item&gt;&lt;/References&gt;&lt;/Group&gt;&lt;Group&gt;&lt;References&gt;&lt;Item&gt;&lt;ID&gt;1057&lt;/ID&gt;&lt;UID&gt;{0563D8E1-1636-498B-9FA7-485477630D17}&lt;/UID&gt;&lt;Title&gt;Overvoltage Suppression Strategy for Sending AC Grid With High Penetration of Wind Power in the LCC-HVdc System Under Commutation Failure&lt;/Title&gt;&lt;Template&gt;Journal Article&lt;/Template&gt;&lt;Star&gt;0&lt;/Star&gt;&lt;Tag&gt;0&lt;/Tag&gt;&lt;Author&gt;X., Jin; H., Nian&lt;/Author&gt;&lt;Year&gt;2021&lt;/Year&gt;&lt;Details&gt;&lt;_alternate_title&gt;IEEE Transactions on Power Electronics; IEEE Transactions on Power ElectronicsIEEE Transactions on Power Electronics&lt;/_alternate_title&gt;&lt;_date_display&gt;2021_x000d__x000a_Sept. 2021_x000d__x000a_Sept. 2021&lt;/_date_display&gt;&lt;_date&gt;2021-01-01&lt;/_date&gt;&lt;_doi&gt;10.1109/TPEL.2021.3066641&lt;/_doi&gt;&lt;_isbn&gt;1941-0107&lt;/_isbn&gt;&lt;_issue&gt;9&lt;/_issue&gt;&lt;_journal&gt;IEEE Transactions on Power Electronics&lt;/_journal&gt;&lt;_keywords&gt;Voltage control; Wind turbines; Rectifiers; Wind power generation; Delays; Reactive power; Transient analysis; Commutation failure; delay compensation; high wind power penetration; line commutated converter (LCC) based high-voltage direct current (HVdc); overvoltage suppression strategy; sending ac grid&lt;/_keywords&gt;&lt;_pages&gt;10265-10277&lt;/_pages&gt;&lt;_url&gt;https://dx.doi.org/10.1109/TPEL.2021.3066641&lt;/_url&gt;&lt;_volume&gt;36&lt;/_volume&gt;&lt;_created&gt;64779615&lt;/_created&gt;&lt;_modified&gt;64779616&lt;/_modified&gt;&lt;_db_updated&gt;IEEE&lt;/_db_updated&gt;&lt;_impact_factor&gt;   5.967&lt;/_impact_factor&gt;&lt;_social_category&gt;工程技术(1)&lt;/_social_category&gt;&lt;_collection_scope&gt;SCI;SCIE;EI&lt;/_collection_scope&gt;&lt;/Details&gt;&lt;Extra&gt;&lt;DBUID&gt;{684DF7C5-873E-4B6A-A11E-0CD148BF4011}&lt;/DBUID&gt;&lt;/Extra&gt;&lt;/Item&gt;&lt;/References&gt;&lt;/Group&gt;&lt;/Citation&gt;_x000a_"/>
    <w:docVar w:name="NE.Ref{C1CDDE92-C406-430C-8473-A46F14052370}" w:val=" ADDIN NE.Ref.{C1CDDE92-C406-430C-8473-A46F14052370}&lt;Citation&gt;&lt;Group&gt;&lt;References&gt;&lt;Item&gt;&lt;ID&gt;581&lt;/ID&gt;&lt;UID&gt;{0A43A6CF-266A-4766-B24F-080E7A47DEFC}&lt;/UID&gt;&lt;Title&gt;Multi-objective economic emission load dispatch solution using gravitational search algorithm and considering wind power penetration&lt;/Title&gt;&lt;Template&gt;Journal Article&lt;/Template&gt;&lt;Star&gt;0&lt;/Star&gt;&lt;Tag&gt;0&lt;/Tag&gt;&lt;Author&gt;Mondal, Oumitra; Bhattacharya, Aniruddha; Dey, Sunita Halder Nee&lt;/Author&gt;&lt;Year&gt;2013&lt;/Year&gt;&lt;Details&gt;&lt;_collection_scope&gt;SCIE;EI&lt;/_collection_scope&gt;&lt;_created&gt;63704823&lt;/_created&gt;&lt;_impact_factor&gt;   3.588&lt;/_impact_factor&gt;&lt;_journal&gt;International Journal of Electrical Power &amp;amp; Energy Systems&lt;/_journal&gt;&lt;_modified&gt;63704823&lt;/_modified&gt;&lt;/Details&gt;&lt;Extra&gt;&lt;DBUID&gt;{F96A950B-833F-4880-A151-76DA2D6A2879}&lt;/DBUID&gt;&lt;/Extra&gt;&lt;/Item&gt;&lt;/References&gt;&lt;/Group&gt;&lt;Group&gt;&lt;References&gt;&lt;Item&gt;&lt;ID&gt;582&lt;/ID&gt;&lt;UID&gt;{1E5C3749-AC6F-49C8-9009-E6541C528E20}&lt;/UID&gt;&lt;Title&gt;Modified harmony search algorithm for combined economic emission dispatch of microgrid incorporating renewable sources&lt;/Title&gt;&lt;Template&gt;Journal Article&lt;/Template&gt;&lt;Star&gt;0&lt;/Star&gt;&lt;Tag&gt;0&lt;/Tag&gt;&lt;Author&gt;Elattar, Ehab E&lt;/Author&gt;&lt;Year&gt;2018&lt;/Year&gt;&lt;Details&gt;&lt;_collection_scope&gt;SCI;SCIE;EI&lt;/_collection_scope&gt;&lt;_created&gt;63704823&lt;/_created&gt;&lt;_impact_factor&gt;   6.082&lt;/_impact_factor&gt;&lt;_issue&gt;sep.15&lt;/_issue&gt;&lt;_journal&gt;Energy&lt;/_journal&gt;&lt;_modified&gt;63704823&lt;/_modified&gt;&lt;_pages&gt;496-507&lt;/_pages&gt;&lt;_volume&gt;159&lt;/_volume&gt;&lt;/Details&gt;&lt;Extra&gt;&lt;DBUID&gt;{F96A950B-833F-4880-A151-76DA2D6A2879}&lt;/DBUID&gt;&lt;/Extra&gt;&lt;/Item&gt;&lt;/References&gt;&lt;/Group&gt;&lt;/Citation&gt;_x000a_"/>
    <w:docVar w:name="NE.Ref{C1FB8EAA-7A12-499B-B5A8-1C9149E60F29}" w:val=" ADDIN NE.Ref.{C1FB8EAA-7A12-499B-B5A8-1C9149E60F29}&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241&lt;/_impact_factor&gt;&lt;_isbn&gt;0921-4534&lt;/_isbn&gt;&lt;_journal&gt;PHYSICA C-SUPERCONDUCTIVITY AND ITS APPLICATIONS&lt;/_journal&gt;&lt;_modified&gt;63445919&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Group&gt;&lt;References&gt;&lt;Item&gt;&lt;ID&gt;473&lt;/ID&gt;&lt;UID&gt;{3C1AE69B-06D9-4C00-8054-17E4090028A0}&lt;/UID&gt;&lt;Title&gt;Application of SFCLs to Inhibit Commutation Failure in HVdc Systems: Position Comparison and Resistance Recommendation&lt;/Title&gt;&lt;Template&gt;Journal Article&lt;/Template&gt;&lt;Star&gt;0&lt;/Star&gt;&lt;Tag&gt;0&lt;/Tag&gt;&lt;Author&gt;Zhu, Jia; Li, Yinhong; Duan, Xianzhong&lt;/Author&gt;&lt;Year&gt;2017&lt;/Year&gt;&lt;Details&gt;&lt;_accessed&gt;63445929&lt;/_accessed&gt;&lt;_accession_num&gt;WOS:000397060300004_x000d__x000a_ER&lt;/_accession_num&gt;&lt;_cited_count&gt;5&lt;/_cited_count&gt;&lt;_collection_scope&gt;SCIE;EI&lt;/_collection_scope&gt;&lt;_created&gt;63444588&lt;/_created&gt;&lt;_date_display&gt;2017, WIN 2017&lt;/_date_display&gt;&lt;_db_provider&gt;ISI&lt;/_db_provider&gt;&lt;_doi&gt;10.1109/CJECE.2016.2611616&lt;/_doi&gt;&lt;_impact_factor&gt;   1.400&lt;/_impact_factor&gt;&lt;_isbn&gt;0840-8688&lt;/_isbn&gt;&lt;_issue&gt;1&lt;/_issue&gt;&lt;_journal&gt;CANADIAN JOURNAL OF ELECTRICAL AND COMPUTER ENGINEERING-REVUE CANADIENNE DE GENIE ELECTRIQUE ET INFORMATIQUE&lt;/_journal&gt;&lt;_modified&gt;63445929&lt;/_modified&gt;&lt;_pages&gt;31-40&lt;/_pages&gt;&lt;_url&gt;http://gateway.isiknowledge.com/gateway/Gateway.cgi?GWVersion=2&amp;amp;SrcAuth=AegeanSoftware&amp;amp;SrcApp=NoteExpress&amp;amp;DestLinkType=FullRecord&amp;amp;DestApp=WOS&amp;amp;KeyUT=000397060300004&lt;/_url&gt;&lt;_volume&gt;40&lt;/_volume&gt;&lt;/Details&gt;&lt;Extra&gt;&lt;DBUID&gt;{6891F4B0-DCBA-459A-9A22-3059983243D4}&lt;/DBUID&gt;&lt;/Extra&gt;&lt;/Item&gt;&lt;/References&gt;&lt;/Group&gt;&lt;/Citation&gt;_x000a_"/>
    <w:docVar w:name="NE.Ref{C23DD7F4-26A2-4E6F-9E55-BA042709020B}" w:val=" ADDIN NE.Ref.{C23DD7F4-26A2-4E6F-9E55-BA042709020B}&lt;Citation&gt;&lt;Group&gt;&lt;References&gt;&lt;Item&gt;&lt;ID&gt;610&lt;/ID&gt;&lt;UID&gt;{7F5A125A-FAED-48D4-9955-12E567B84D85}&lt;/UID&gt;&lt;Title&gt;Distributed Energy Management of Community Energy Internet Based on Leader-Followers Game&lt;/Title&gt;&lt;Template&gt;Journal Article&lt;/Template&gt;&lt;Star&gt;0&lt;/Star&gt;&lt;Tag&gt;0&lt;/Tag&gt;&lt;Author&gt;Ma, Li; Liu, Nian; Zhang, Jianhua; Wang, Cheng; Hou, Yiming&lt;/Author&gt;&lt;Year&gt;2016&lt;/Year&gt;&lt;Details&gt;&lt;_accession_num&gt;CSCD:5877631_x000d__x000a_ER&lt;/_accession_num&gt;&lt;_cited_count&gt;5&lt;/_cited_count&gt;&lt;_created&gt;63705312&lt;/_created&gt;&lt;_date_display&gt;2016, 2016&lt;/_date_display&gt;&lt;_db_provider&gt;ISI&lt;/_db_provider&gt;&lt;_isbn&gt;1000-3673&lt;/_isbn&gt;&lt;_issue&gt;1000-3673(2016)40:12&amp;lt;3655:JYZCBY&amp;gt;2.0.TX;2-S12&lt;/_issue&gt;&lt;_journal&gt;Power System Technology&lt;/_journal&gt;&lt;_modified&gt;63705312&lt;/_modified&gt;&lt;_pages&gt;3655-3662&lt;/_pages&gt;&lt;_tertiary_title&gt;电网技术&lt;/_tertiary_title&gt;&lt;_translated_author&gt;马丽_x000d__x000a_   刘念_x000d__x000a_   张建华_x000d__x000a_   王程_x000d__x000a_   侯义明&lt;/_translated_author&gt;&lt;_translated_title&gt;基于主从博弈策略的社区能源互联网分布式能量管理&lt;/_translated_title&gt;&lt;_url&gt;CSCD:5877631&lt;/_url&gt;&lt;_volume&gt;40&lt;/_volume&gt;&lt;/Details&gt;&lt;Extra&gt;&lt;DBUID&gt;{F96A950B-833F-4880-A151-76DA2D6A2879}&lt;/DBUID&gt;&lt;/Extra&gt;&lt;/Item&gt;&lt;/References&gt;&lt;/Group&gt;&lt;/Citation&gt;_x000a_"/>
    <w:docVar w:name="NE.Ref{C2A32FF4-5F69-4583-9EB0-9F74EF572368}" w:val=" ADDIN NE.Ref.{C2A32FF4-5F69-4583-9EB0-9F74EF572368}&lt;Citation&gt;&lt;Group&gt;&lt;References&gt;&lt;Item&gt;&lt;ID&gt;413&lt;/ID&gt;&lt;UID&gt;{BCEEC096-86E5-489B-A16E-FB5FF82A58C6}&lt;/UID&gt;&lt;Title&gt;Hybrid DE-SQP and hybrid PSO-SQP methods for solvin dynamic economic emission dispatch problem with valve-point effects&lt;/Title&gt;&lt;Template&gt;Journal Article&lt;/Template&gt;&lt;Star&gt;0&lt;/Star&gt;&lt;Tag&gt;0&lt;/Tag&gt;&lt;Author&gt;Elaiw, A M; Xia, X; Shehata, A M&lt;/Author&gt;&lt;Year&gt;2013&lt;/Year&gt;&lt;Details&gt;&lt;_collection_scope&gt;SCIE;EI&lt;/_collection_scope&gt;&lt;_created&gt;63642108&lt;/_created&gt;&lt;_impact_factor&gt;   3.211&lt;/_impact_factor&gt;&lt;_journal&gt;Electric Power Systems Research&lt;/_journal&gt;&lt;_modified&gt;63642108&lt;/_modified&gt;&lt;_pages&gt;192-200&lt;/_pages&gt;&lt;_volume&gt;103&lt;/_volume&gt;&lt;/Details&gt;&lt;Extra&gt;&lt;DBUID&gt;{F96A950B-833F-4880-A151-76DA2D6A2879}&lt;/DBUID&gt;&lt;/Extra&gt;&lt;/Item&gt;&lt;/References&gt;&lt;/Group&gt;&lt;/Citation&gt;_x000a_"/>
    <w:docVar w:name="NE.Ref{C2C6ED58-60C7-4131-A8AC-970D303451A4}" w:val=" ADDIN NE.Ref.{C2C6ED58-60C7-4131-A8AC-970D303451A4}&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44986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C3C3321C-6DD3-4C2D-B259-17409CACAB00}" w:val=" ADDIN NE.Ref.{C3C3321C-6DD3-4C2D-B259-17409CACAB00}&lt;Citation&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C44AE560-88E6-41EF-9C93-1467A290B08E}" w:val=" ADDIN NE.Ref.{C44AE560-88E6-41EF-9C93-1467A290B08E}&lt;Citation&gt;&lt;Group&gt;&lt;References&gt;&lt;Item&gt;&lt;ID&gt;429&lt;/ID&gt;&lt;UID&gt;{B3EB24ED-1C26-4EB1-807A-E11D9CD17A5C}&lt;/UID&gt;&lt;Title&gt;计及综合成本的风电–光伏–光热联合出力调度策略&lt;/Title&gt;&lt;Template&gt;Journal Article&lt;/Template&gt;&lt;Star&gt;0&lt;/Star&gt;&lt;Tag&gt;0&lt;/Tag&gt;&lt;Author&gt;崔杨; 杨志文; 张节潭; 王茂春; 严干贵&lt;/Author&gt;&lt;Year&gt;2019&lt;/Year&gt;&lt;Details&gt;&lt;_author_adr&gt;东北电力大学电气工程学院;国网青海省电力公司;青海省光伏发电并网技术重点实验室;&lt;/_author_adr&gt;&lt;_collection_scope&gt;CSCD;PKU;EI&lt;/_collection_scope&gt;&lt;_created&gt;63647248&lt;/_created&gt;&lt;_db_provider&gt;CNKI&lt;/_db_provider&gt;&lt;_isbn&gt;1003-6520&lt;/_isbn&gt;&lt;_issue&gt;01&lt;/_issue&gt;&lt;_journal&gt;高电压技术&lt;/_journal&gt;&lt;_keywords&gt;风电;光伏发电;光热发电;综合成本;并网消纳;联合调度;遗传算法&lt;/_keywords&gt;&lt;_modified&gt;63647248&lt;/_modified&gt;&lt;_pages&gt;269-275&lt;/_pages&gt;&lt;_volume&gt;45&lt;/_volume&gt;&lt;_translated_author&gt;Cui, Yang;Yang, Zhiwen;Zhang, Jietan;Wang, Maochun;Yan, Gangui&lt;/_translated_author&gt;&lt;/Details&gt;&lt;Extra&gt;&lt;DBUID&gt;{F96A950B-833F-4880-A151-76DA2D6A2879}&lt;/DBUID&gt;&lt;/Extra&gt;&lt;/Item&gt;&lt;/References&gt;&lt;/Group&gt;&lt;/Citation&gt;_x000a_"/>
    <w:docVar w:name="NE.Ref{C4806495-E7A2-4249-A569-0954B39D5190}" w:val=" ADDIN NE.Ref.{C4806495-E7A2-4249-A569-0954B39D5190}&lt;Citation&gt;&lt;Group&gt;&lt;References&gt;&lt;Item&gt;&lt;ID&gt;534&lt;/ID&gt;&lt;UID&gt;{169D861A-04CF-45FD-ACEC-EF269C0FEBE3}&lt;/UID&gt;&lt;Title&gt;考虑网络约束和源荷不确定性的区域综合能源系统两阶段鲁棒优化调度&lt;/Title&gt;&lt;Template&gt;Journal Article&lt;/Template&gt;&lt;Star&gt;0&lt;/Star&gt;&lt;Tag&gt;0&lt;/Tag&gt;&lt;Author&gt;郭尊; 李庚银; 周明; 冯威&lt;/Author&gt;&lt;Year&gt;2019&lt;/Year&gt;&lt;Details&gt;&lt;_author_adr&gt;新能源电力系统国家重点实验室(华北电力大学);劳伦斯伯克利国家实验室;&lt;/_author_adr&gt;&lt;_collection_scope&gt;CSCD;PKU;EI&lt;/_collection_scope&gt;&lt;_created&gt;63660533&lt;/_created&gt;&lt;_db_provider&gt;CNKI&lt;/_db_provider&gt;&lt;_isbn&gt;1000-3673&lt;/_isbn&gt;&lt;_issue&gt;09&lt;/_issue&gt;&lt;_journal&gt;电网技术&lt;/_journal&gt;&lt;_keywords&gt;区域综合能源系统;日前调度;两阶段鲁棒优化;网络约束;列约束生成算法&lt;/_keywords&gt;&lt;_modified&gt;63660533&lt;/_modified&gt;&lt;_pages&gt;3090-3100&lt;/_pages&gt;&lt;_volume&gt;43&lt;/_volume&gt;&lt;_translated_author&gt;Guo, Zun;Li, Gengyin;Zhou, Ming;Feng, Wei&lt;/_translated_author&gt;&lt;/Details&gt;&lt;Extra&gt;&lt;DBUID&gt;{F96A950B-833F-4880-A151-76DA2D6A2879}&lt;/DBUID&gt;&lt;/Extra&gt;&lt;/Item&gt;&lt;/References&gt;&lt;/Group&gt;&lt;/Citation&gt;_x000a_"/>
    <w:docVar w:name="NE.Ref{C5A4983A-5227-462E-80CD-9D6EB2328573}" w:val=" ADDIN NE.Ref.{C5A4983A-5227-462E-80CD-9D6EB2328573}&lt;Citation&gt;&lt;Group&gt;&lt;References&gt;&lt;Item&gt;&lt;ID&gt;527&lt;/ID&gt;&lt;UID&gt;{291B8031-6D51-45D5-91E7-A340E5A9D44D}&lt;/UID&gt;&lt;Title&gt; 暂态过电压引起风电机组连锁脱网风险分析及对策&lt;/Title&gt;&lt;Template&gt;Journal Article&lt;/Template&gt;&lt;Star&gt;0&lt;/Star&gt;&lt;Tag&gt;0&lt;/Tag&gt;&lt;Author&gt;贺静波; 庄伟; 许涛; 霍超; 蒋维勇&lt;/Author&gt;&lt;Year&gt;2016&lt;/Year&gt;&lt;Details&gt;&lt;_accessed&gt;63727861&lt;/_accessed&gt;&lt;_accession_num&gt;CSCD:5736009_x000d__x000a_ER&lt;/_accession_num&gt;&lt;_cited_count&gt;9&lt;/_cited_count&gt;&lt;_created&gt;63444588&lt;/_created&gt;&lt;_date_display&gt;2016, 2016&lt;/_date_display&gt;&lt;_db_provider&gt;ISI&lt;/_db_provider&gt;&lt;_isbn&gt;1000-3673&lt;/_isbn&gt;&lt;_issue&gt;6&lt;/_issue&gt;&lt;_journal&gt;电网技术 &lt;/_journal&gt;&lt;_modified&gt;63727861&lt;/_modified&gt;&lt;_pages&gt;1839-1844&lt;/_pages&gt;&lt;_tertiary_title&gt;Power System Technology&lt;/_tertiary_title&gt;&lt;_translated_author&gt;He, Jingbo; Zhuang, Wei; Xu, Tao; Huo, Chao; Jiang, Weiyong&lt;/_translated_author&gt;&lt;_translated_title&gt;Study on Cascading Tripping Risk of Wind Turbines Caused by Transient Overvoltage and Its Countermeasures&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3445973&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3611200&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kns.cnki.net/kcms/download.aspx?filename=6FlSTlTRYBFephEZaRWbxQmb4QVbTdlQR50a1ZXdY10ZHx2Tx4URtF2KtJlaBlHbkpXRxgFVxBnViJHdFVEcycld1lzROVHakdGSup2cr8UVzQWWs9EewIEdOZ2KwFVSStSQNdkQoJFd3ombqFlZ1ZXSMhXcSVTW&amp;amp;tablename=CJFDLAST2019&amp;amp;dflag=pdfdown _x000d__x000a_&lt;/_url&gt;&lt;_volume&gt;45&lt;/_volume&gt;&lt;/Details&gt;&lt;Extra&gt;&lt;DBUID&gt;{6891F4B0-DCBA-459A-9A22-3059983243D4}&lt;/DBUID&gt;&lt;/Extra&gt;&lt;/Item&gt;&lt;/References&gt;&lt;/Group&gt;&lt;/Citation&gt;_x000a_"/>
    <w:docVar w:name="NE.Ref{C5FBD4E9-383B-488B-B591-D3AD87224330}" w:val=" ADDIN NE.Ref.{C5FBD4E9-383B-488B-B591-D3AD87224330}&lt;Citation&gt;&lt;Group&gt;&lt;References&gt;&lt;Item&gt;&lt;ID&gt;426&lt;/ID&gt;&lt;UID&gt;{9B34423A-AAC6-47E0-9EDB-4AC3E97C81E4}&lt;/UID&gt;&lt;Title&gt;Comparative Study on Small-Signal Stability of LCC-HVDC System With Different Control Strategies at the Inverter Station&lt;/Title&gt;&lt;Template&gt;Journal Article&lt;/Template&gt;&lt;Star&gt;0&lt;/Star&gt;&lt;Tag&gt;0&lt;/Tag&gt;&lt;Author&gt;Zheng, Anran; Guo, Chunyi; Cui, Peng; Jiang, Wen; Zhao, Chengyong&lt;/Author&gt;&lt;Year&gt;2019&lt;/Year&gt;&lt;Details&gt;&lt;_accessed&gt;63446009&lt;/_accessed&gt;&lt;_accession_num&gt;WOS:000463714800001_x000d__x000a_ER&lt;/_accession_num&gt;&lt;_cited_count&gt;3&lt;/_cited_count&gt;&lt;_collection_scope&gt;SCIE;EI&lt;/_collection_scope&gt;&lt;_created&gt;63444588&lt;/_created&gt;&lt;_date_display&gt;2019, 2019&lt;/_date_display&gt;&lt;_db_provider&gt;ISI&lt;/_db_provider&gt;&lt;_doi&gt;10.1109/ACCESS.2019.2904395&lt;/_doi&gt;&lt;_impact_factor&gt;   3.745&lt;/_impact_factor&gt;&lt;_isbn&gt;2169-3536&lt;/_isbn&gt;&lt;_journal&gt;IEEE ACCESS&lt;/_journal&gt;&lt;_modified&gt;63446038&lt;/_modified&gt;&lt;_pages&gt;34946-34953&lt;/_pages&gt;&lt;_url&gt;http://gateway.isiknowledge.com/gateway/Gateway.cgi?GWVersion=2&amp;amp;SrcAuth=AegeanSoftware&amp;amp;SrcApp=NoteExpress&amp;amp;DestLinkType=FullRecord&amp;amp;DestApp=WOS&amp;amp;KeyUT=000463714800001 _x000d__x000a_https://ieeexplore.ieee.org/ielx7/6287639/8600701/08665891.pdf?tp=&amp;amp;arnumber=8665891&amp;amp;isnumber=8600701&amp;amp;ref=aHR0cHM6Ly9pZWVleHBsb3JlLmllZWUub3JnL3Jlc3Qvc2VhcmNo _x000d__x000a_&lt;/_url&gt;&lt;_volume&gt;7&lt;/_volume&gt;&lt;/Details&gt;&lt;Extra&gt;&lt;DBUID&gt;{6891F4B0-DCBA-459A-9A22-3059983243D4}&lt;/DBUID&gt;&lt;/Extra&gt;&lt;/Item&gt;&lt;/References&gt;&lt;/Group&gt;&lt;Group&gt;&lt;References&gt;&lt;Item&gt;&lt;ID&gt;401&lt;/ID&gt;&lt;UID&gt;{3D4EC79E-C4DC-4A56-A55E-64DEF0FBE931}&lt;/UID&gt;&lt;Title&gt;高压直流系统常用3种基本控制策略的对比分析&lt;/Title&gt;&lt;Template&gt;Journal Article&lt;/Template&gt;&lt;Star&gt;0&lt;/Star&gt;&lt;Tag&gt;0&lt;/Tag&gt;&lt;Author&gt;文兆新; 傅闯; 汪娟娟; 黄星海; 龚英明; 王子民&lt;/Author&gt;&lt;Year&gt;2019&lt;/Year&gt;&lt;Details&gt;&lt;_accessed&gt;63445981&lt;/_accessed&gt;&lt;_accession_num&gt;CSCD:6576519_x000d__x000a_ER&lt;/_accession_num&gt;&lt;_cited_count&gt;0&lt;/_cited_count&gt;&lt;_collection_scope&gt;CSCD;PKU;EI&lt;/_collection_scope&gt;&lt;_created&gt;63444588&lt;/_created&gt;&lt;_date_display&gt;2019, 2019&lt;/_date_display&gt;&lt;_db_provider&gt;ISI&lt;/_db_provider&gt;&lt;_isbn&gt;1000-3673&lt;/_isbn&gt;&lt;_issue&gt;1000-3673(2019)43:9&amp;lt;3399:GYZLXT&amp;gt;2.0.TX;2-39&lt;/_issue&gt;&lt;_journal&gt;电网技术&lt;/_journal&gt;&lt;_modified&gt;63552627&lt;/_modified&gt;&lt;_pages&gt;3399-3408&lt;/_pages&gt;&lt;_tertiary_title&gt;Power System Technology&lt;/_tertiary_title&gt;&lt;_translated_author&gt;Wen, Zhaoxin; Fu, Chuang; Wang, Juanjuan; Huang, Xinghai; Gong, Yingming; Wang, Zimin&lt;/_translated_author&gt;&lt;_translated_title&gt;Comparative Analysis of Three Basic Control Strategies for HVDC&lt;/_translated_title&gt;&lt;_url&gt;CSCD:6576519 _x000d__x000a_https://kns.cnki.net/kcms/download.aspx?filename=0JHZTdGZLVGa5M0dRlUd6hkRjRnSxIGMxYWQrZHOaxGMzkGVLRlZu50UjFEe1RVNY9ycUN1UZFFbJZVYJZUN1NDN0JHcxMWTMp1d5xkM40kWkdXez0WZrxUTk9WVRdlTx8yMGNGOON0aY10bZhzVVNkVPJ1RvoEa&amp;amp;tablename=CJFDLAST2019&amp;amp;dflag=pdfdown _x000d__x000a_&lt;/_url&gt;&lt;_volume&gt;43&lt;/_volume&gt;&lt;/Details&gt;&lt;Extra&gt;&lt;DBUID&gt;{6891F4B0-DCBA-459A-9A22-3059983243D4}&lt;/DBUID&gt;&lt;/Extra&gt;&lt;/Item&gt;&lt;/References&gt;&lt;/Group&gt;&lt;Group&gt;&lt;References&gt;&lt;Item&gt;&lt;ID&gt;519&lt;/ID&gt;&lt;UID&gt;{CE3949A9-2702-40CD-9E2B-02F54ABC1F37}&lt;/UID&gt;&lt;Title&gt;逆变侧控制策略对换相失败影响的研究&lt;/Title&gt;&lt;Template&gt;Journal Article&lt;/Template&gt;&lt;Star&gt;0&lt;/Star&gt;&lt;Tag&gt;0&lt;/Tag&gt;&lt;Author&gt;赵书强; 董沛毅; 蒲莹; 卢亚军; 马玉龙; 高本锋; 毛亚鹏&lt;/Author&gt;&lt;Year&gt;2016&lt;/Year&gt;&lt;Details&gt;&lt;_accessed&gt;63445920&lt;/_accessed&gt;&lt;_accession_num&gt;CSCD:5877655_x000d__x000a_ER&lt;/_accession_num&gt;&lt;_cited_count&gt;1&lt;/_cited_count&gt;&lt;_collection_scope&gt;CSCD;PKU;EI&lt;/_collection_scope&gt;&lt;_created&gt;63444588&lt;/_created&gt;&lt;_date_display&gt;2016, 2016&lt;/_date_display&gt;&lt;_db_provider&gt;ISI&lt;/_db_provider&gt;&lt;_isbn&gt;1000-3673&lt;/_isbn&gt;&lt;_issue&gt;1000-3673(2016)40:12&amp;lt;3840:NBCKZC&amp;gt;2.0.TX;2-T12&lt;/_issue&gt;&lt;_journal&gt;电网技术&lt;/_journal&gt;&lt;_modified&gt;63445920&lt;/_modified&gt;&lt;_pages&gt;3840-3848&lt;/_pages&gt;&lt;_tertiary_title&gt;Power System Technology&lt;/_tertiary_title&gt;&lt;_translated_author&gt;Zhao, Shuqiang; Dong, Peiyi; Pu, Ying; Lu, Yajun; Ma, Yulong; Gao, Benfeng; Mao, Yapeng&lt;/_translated_author&gt;&lt;_translated_title&gt;Research on Influence of Inverter Side Control Strategy on Commutation Failure&lt;/_translated_title&gt;&lt;_url&gt;CSCD:5877655&lt;/_url&gt;&lt;_volume&gt;40&lt;/_volume&gt;&lt;/Details&gt;&lt;Extra&gt;&lt;DBUID&gt;{6891F4B0-DCBA-459A-9A22-3059983243D4}&lt;/DBUID&gt;&lt;/Extra&gt;&lt;/Item&gt;&lt;/References&gt;&lt;/Group&gt;&lt;Group&gt;&lt;References&gt;&lt;Item&gt;&lt;ID&gt;580&lt;/ID&gt;&lt;UID&gt;{8F8A7C9F-8223-45C7-8D18-04DD794304FA}&lt;/UID&gt;&lt;Title&gt;直流控制对直流系统无功动态特性的影响分析&lt;/Title&gt;&lt;Template&gt;Journal Article&lt;/Template&gt;&lt;Star&gt;0&lt;/Star&gt;&lt;Tag&gt;0&lt;/Tag&gt;&lt;Author&gt;杨欢欢; 朱林; 蔡泽祥; 陈宇川; 李晓华; 金小明; 周保荣; 张东辉&lt;/Author&gt;&lt;Year&gt;2014&lt;/Year&gt;&lt;Details&gt;&lt;_accessed&gt;63445906&lt;/_accessed&gt;&lt;_accession_num&gt;CSCD:5258932_x000d__x000a_ER&lt;/_accession_num&gt;&lt;_cited_count&gt;5&lt;/_cited_count&gt;&lt;_created&gt;63444588&lt;/_created&gt;&lt;_date_display&gt;2014, 2014&lt;/_date_display&gt;&lt;_db_provider&gt;ISI&lt;/_db_provider&gt;&lt;_isbn&gt;1000-3673&lt;/_isbn&gt;&lt;_issue&gt;1000-3673(2014)38:10&amp;lt;2631:ZLKZDZ&amp;gt;2.0.TX;2-C10&lt;/_issue&gt;&lt;_journal&gt;电网技术 &lt;/_journal&gt;&lt;_modified&gt;63445908&lt;/_modified&gt;&lt;_pages&gt;2631-2637&lt;/_pages&gt;&lt;_tertiary_title&gt;Power System Technology&lt;/_tertiary_title&gt;&lt;_translated_author&gt;Yang, Huanhuan; Zhu, Lin; Cai, Zexiang; Chen, Yuchuan; Li, Xiaohua; Jin, Xiaoming; Zhou, Baorong; Zhang, Donghui&lt;/_translated_author&gt;&lt;_translated_title&gt;Influence of HVDC Control on HVDC Reactive Power Dynamic Characteristic &lt;/_translated_title&gt;&lt;_url&gt;CSCD:5258932 _x000d__x000a_https://kns.cnki.net/kns/download.aspx?filename=3FUVqlFe4NGaXNGbYR1KEJVcLRHcW90ckxEU2h3MzYnb50GN4o0KoJHM4cnZLRTctJUZ050c3RETMlnSLRVT3IWYkJjVjhTQaJ3YzIEbOJjVO5GSZNlbygDOzYXbi10KSplaVRjQXtkdN1UUyolellUSPV1YMV3U&amp;amp;tablename=CJFD2014&amp;amp;dflag=pdfdown _x000d__x000a_&lt;/_url&gt;&lt;_volume&gt;38&lt;/_volume&gt;&lt;/Details&gt;&lt;Extra&gt;&lt;DBUID&gt;{6891F4B0-DCBA-459A-9A22-3059983243D4}&lt;/DBUID&gt;&lt;/Extra&gt;&lt;/Item&gt;&lt;/References&gt;&lt;/Group&gt;&lt;Group&gt;&lt;References&gt;&lt;Item&gt;&lt;ID&gt;632&lt;/ID&gt;&lt;UID&gt;{DAF0F915-EB4E-4617-89F6-0AD9E6F478F6}&lt;/UID&gt;&lt;Title&gt; 定熄弧角控制器对直流输电系统的影响分析&lt;/Title&gt;&lt;Template&gt;Journal Article&lt;/Template&gt;&lt;Star&gt;0&lt;/Star&gt;&lt;Tag&gt;0&lt;/Tag&gt;&lt;Author&gt;罗隆福; 雷园园; 李勇; 张俊华; 邓淑娟&lt;/Author&gt;&lt;Year&gt;2009&lt;/Year&gt;&lt;Details&gt;&lt;_accessed&gt;63445577&lt;/_accessed&gt;&lt;_accession_num&gt;CSCD:3714757_x000d__x000a_ER&lt;/_accession_num&gt;&lt;_cited_count&gt;0&lt;/_cited_count&gt;&lt;_collection_scope&gt;CSCD;PKU&lt;/_collection_scope&gt;&lt;_created&gt;63444588&lt;/_created&gt;&lt;_date_display&gt;2009, 2009&lt;/_date_display&gt;&lt;_db_provider&gt;ISI&lt;/_db_provider&gt;&lt;_isbn&gt;1003-8930&lt;/_isbn&gt;&lt;_issue&gt;1003-8930(2009)21:5&amp;lt;97:DXHJKZ&amp;gt;2.0.TX;2-O5&lt;/_issue&gt;&lt;_journal&gt;电力系统及其自动化学报&lt;/_journal&gt;&lt;_modified&gt;63445579&lt;/_modified&gt;&lt;_pages&gt;97-103&lt;/_pages&gt;&lt;_tertiary_title&gt;Proceedings of the Electric Power System and Automation&lt;/_tertiary_title&gt;&lt;_translated_author&gt;LUO, Long-fu; LEI, Yuan-yuan; LI, Yong; ZHANG, Jun-hua; DENG, Shu-juan&lt;/_translated_author&gt;&lt;_translated_title&gt;Effects of Constant Arc Extinguishing Angle Controller on HVDC Transmission System&lt;/_translated_title&gt;&lt;_url&gt;CSCD:3714757 _x000d__x000a_https://kns.cnki.net/kns/download.aspx?filename=ycDSYVESiF2KkR2VwhXeTNlevFkU0gDaD12RHlDSHhUQn5UemhEM3Y2Y4kTZYJla0YFMzo3VCFlVGVmaD1kMPFTajRjSJtEVndHZWNEatRUY2M1LShzNidGbwgnYKRHb1EzSzg3SRdURntkMuVFbKx0S4YTNShXW&amp;amp;tablename=CJFD2009&amp;amp;dflag=pdfdown _x000d__x000a_&lt;/_url&gt;&lt;_volume&gt;21&lt;/_volume&gt;&lt;/Details&gt;&lt;Extra&gt;&lt;DBUID&gt;{6891F4B0-DCBA-459A-9A22-3059983243D4}&lt;/DBUID&gt;&lt;/Extra&gt;&lt;/Item&gt;&lt;/References&gt;&lt;/Group&gt;&lt;/Citation&gt;_x000a_"/>
    <w:docVar w:name="NE.Ref{C634AD57-5D9A-43F6-BF19-3A03D79120F1}" w:val=" ADDIN NE.Ref.{C634AD57-5D9A-43F6-BF19-3A03D79120F1}&lt;Citation&gt;&lt;Group&gt;&lt;References&gt;&lt;Item&gt;&lt;ID&gt;666&lt;/ID&gt;&lt;UID&gt;{48DEA907-FD84-4BF2-AA07-D511E6BBACF5}&lt;/UID&gt;&lt;Title&gt;Decreasing the commutation failure frequency in HVDC transmission systems&lt;/Title&gt;&lt;Template&gt;Journal Article&lt;/Template&gt;&lt;Star&gt;0&lt;/Star&gt;&lt;Tag&gt;0&lt;/Tag&gt;&lt;Author&gt;Hansen, A; Havemann, K&lt;/Author&gt;&lt;Year&gt;2000&lt;/Year&gt;&lt;Details&gt;&lt;_accessed&gt;63444710&lt;/_accessed&gt;&lt;_accession_num&gt;WOS:000089629900027_x000d__x000a_ER&lt;/_accession_num&gt;&lt;_cited_count&gt;39&lt;/_cited_count&gt;&lt;_collection_scope&gt;SCI;SCIE;EI&lt;/_collection_scope&gt;&lt;_created&gt;63444588&lt;/_created&gt;&lt;_date_display&gt;2000, JUL 2000&lt;/_date_display&gt;&lt;_db_provider&gt;ISI&lt;/_db_provider&gt;&lt;_doi&gt;10.1109/61.871369&lt;/_doi&gt;&lt;_impact_factor&gt;   3.681&lt;/_impact_factor&gt;&lt;_isbn&gt;0885-8977&lt;/_isbn&gt;&lt;_issue&gt;3&lt;/_issue&gt;&lt;_journal&gt;IEEE TRANSACTIONS ON POWER DELIVERY&lt;/_journal&gt;&lt;_modified&gt;63444840&lt;/_modified&gt;&lt;_pages&gt;1022-1026&lt;/_pages&gt;&lt;_url&gt;http://gateway.isiknowledge.com/gateway/Gateway.cgi?GWVersion=2&amp;amp;SrcAuth=AegeanSoftware&amp;amp;SrcApp=NoteExpress&amp;amp;DestLinkType=FullRecord&amp;amp;DestApp=WOS&amp;amp;KeyUT=000089629900027 _x000d__x000a_https://ieeexplore.ieee.org/stampPDF/getPDF.jsp?tp=&amp;amp;arnumber=871369&amp;amp;ref=aHR0cHM6Ly9pZWVleHBsb3JlLmllZWUub3JnL3Jlc3Qvc2VhcmNo _x000d__x000a_&lt;/_url&gt;&lt;_volume&gt;15&lt;/_volume&gt;&lt;/Details&gt;&lt;Extra&gt;&lt;DBUID&gt;{6891F4B0-DCBA-459A-9A22-3059983243D4}&lt;/DBUID&gt;&lt;/Extra&gt;&lt;/Item&gt;&lt;/References&gt;&lt;/Group&gt;&lt;/Citation&gt;_x000a_"/>
    <w:docVar w:name="NE.Ref{C67D0D07-C442-4F26-B58A-E01E16F4CA1E}" w:val=" ADDIN NE.Ref.{C67D0D07-C442-4F26-B58A-E01E16F4CA1E}&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C6ABEDEE-B44E-434B-9AD8-CE9F664FA3B8}" w:val=" ADDIN NE.Ref.{C6ABEDEE-B44E-434B-9AD8-CE9F664FA3B8}&lt;Citation&gt;&lt;Group&gt;&lt;References&gt;&lt;Item&gt;&lt;ID&gt;625&lt;/ID&gt;&lt;UID&gt;{CD625A82-E9F9-43AC-BEEB-BF263EAEBA92}&lt;/UID&gt;&lt;Title&gt;Real-Time Calculation Method of DC Voltage and Current to Eliminate the Influence of Signal Delay&lt;/Title&gt;&lt;Template&gt;Journal Article&lt;/Template&gt;&lt;Star&gt;0&lt;/Star&gt;&lt;Tag&gt;0&lt;/Tag&gt;&lt;Author&gt;Yin, C Y; Li, F T&lt;/Author&gt;&lt;Year&gt;2020&lt;/Year&gt;&lt;Details&gt;&lt;_alternate_title&gt;IEEE ACCESS&lt;/_alternate_title&gt;&lt;_author_adr&gt;Xinjiang Univ, Sch Elect Engn, Urumqi 830046, Peoples R China&lt;/_author_adr&gt;&lt;_cited_count&gt;0&lt;/_cited_count&gt;&lt;_collection_scope&gt;SCIE;EI&lt;/_collection_scope&gt;&lt;_created&gt;64493989&lt;/_created&gt;&lt;_date&gt;2020-01-01&lt;/_date&gt;&lt;_date_display&gt;2020&lt;/_date_display&gt;&lt;_db_updated&gt;Web of Science-Core&lt;/_db_updated&gt;&lt;_doi&gt;10.1109/ACCESS.2020.3019594&lt;/_doi&gt;&lt;_impact_factor&gt;   3.476&lt;/_impact_factor&gt;&lt;_journal&gt;IEEE ACCESS&lt;/_journal&gt;&lt;_keywords&gt;Inverters; Rectifiers; Delays; Control systems; HVDC transmission; Analytical models; Voltage control; Commutation failure; DC~voltage; high voltage DC transmission; signal delay time&lt;/_keywords&gt;&lt;_modified&gt;64494362&lt;/_modified&gt;&lt;_pages&gt;157168-157176&lt;/_pages&gt;&lt;_url&gt;https://ieeexplore.ieee.org/ielx7/6287639/8948470/09178331.pdf?tp=&amp;amp;arnumber=9178331&amp;amp;isnumber=8948470&amp;amp;ref=aHR0cHM6Ly9pZWVleHBsb3JlLmllZWUub3JnL3Jlc3Qvc2VhcmNo _x000d__x000a_&lt;/_url&gt;&lt;_volume&gt;8&lt;/_volume&gt;&lt;/Details&gt;&lt;Extra&gt;&lt;DBUID&gt;{F96A950B-833F-4880-A151-76DA2D6A2879}&lt;/DBUID&gt;&lt;/Extra&gt;&lt;/Item&gt;&lt;/References&gt;&lt;/Group&gt;&lt;/Citation&gt;_x000a_"/>
    <w:docVar w:name="NE.Ref{C734C6DC-4A8B-4D5F-BDFD-5E4952AC3788}" w:val=" ADDIN NE.Ref.{C734C6DC-4A8B-4D5F-BDFD-5E4952AC3788}&lt;Citation&gt;&lt;Group&gt;&lt;References&gt;&lt;Item&gt;&lt;ID&gt;523&lt;/ID&gt;&lt;UID&gt;{1BBDB98E-9BB1-4CA8-8E20-42C8716F742F}&lt;/UID&gt;&lt;Title&gt;考虑大规模风电输送的跨区域电网优化调度策略研究&lt;/Title&gt;&lt;Template&gt;Thesis&lt;/Template&gt;&lt;Star&gt;0&lt;/Star&gt;&lt;Tag&gt;0&lt;/Tag&gt;&lt;Author&gt;吴非宏&lt;/Author&gt;&lt;Year&gt;2018&lt;/Year&gt;&lt;Details&gt;&lt;_created&gt;63657903&lt;/_created&gt;&lt;_db_provider&gt;CNKI&lt;/_db_provider&gt;&lt;_keywords&gt;风力发电;多区域电力系统;粒子群优化&lt;/_keywords&gt;&lt;_modified&gt;63657903&lt;/_modified&gt;&lt;_publisher&gt;华北电力大学(北京)&lt;/_publisher&gt;&lt;_tertiary_author&gt;李庚银&lt;/_tertiary_author&gt;&lt;_type_work&gt;硕士&lt;/_type_work&gt;&lt;_translated_author&gt;Wu, Feihong&lt;/_translated_author&gt;&lt;_translated_tertiary_author&gt;Li, Gengyin&lt;/_translated_tertiary_author&gt;&lt;/Details&gt;&lt;Extra&gt;&lt;DBUID&gt;{F96A950B-833F-4880-A151-76DA2D6A2879}&lt;/DBUID&gt;&lt;/Extra&gt;&lt;/Item&gt;&lt;/References&gt;&lt;/Group&gt;&lt;/Citation&gt;_x000a_"/>
    <w:docVar w:name="NE.Ref{C77D9EA9-2D6B-46A9-9BB8-B7E0B2EF0418}" w:val=" ADDIN NE.Ref.{C77D9EA9-2D6B-46A9-9BB8-B7E0B2EF0418}&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db_provider&gt;CNKI&lt;/_db_provider&gt;&lt;_isbn&gt;1000-1026&lt;/_isbn&gt;&lt;_issue&gt;14&lt;/_issue&gt;&lt;_journal&gt;电力系统自动化&lt;/_journal&gt;&lt;_keywords&gt;不确定性;电力系统;分布鲁棒优化;机会约束方法&lt;/_keywords&gt;&lt;_pages&gt;179-191&lt;/_pages&gt;&lt;_volume&gt;44&lt;/_volume&gt;&lt;_created&gt;63654819&lt;/_created&gt;&lt;_modified&gt;63654819&lt;/_modified&gt;&lt;_collection_scope&gt;CSCD;PKU;EI&lt;/_collection_scope&gt;&lt;_translated_author&gt;He, Shuaijia;Ruan, Hebin;Gao, Hongjun;Liu, Junyong&lt;/_translated_author&gt;&lt;/Details&gt;&lt;Extra&gt;&lt;DBUID&gt;{F96A950B-833F-4880-A151-76DA2D6A2879}&lt;/DBUID&gt;&lt;/Extra&gt;&lt;/Item&gt;&lt;/References&gt;&lt;/Group&gt;&lt;/Citation&gt;_x000a_"/>
    <w:docVar w:name="NE.Ref{C8088575-5501-4974-9456-E15F606DEFCE}" w:val=" ADDIN NE.Ref.{C8088575-5501-4974-9456-E15F606DEFCE}&lt;Citation&gt;&lt;Group&gt;&lt;References&gt;&lt;Item&gt;&lt;ID&gt;506&lt;/ID&gt;&lt;UID&gt;{F314D980-0DE1-4791-8F52-07056AFA3322}&lt;/UID&gt;&lt;Title&gt;可再生能源配额制下的短期发电计划研究&lt;/Title&gt;&lt;Template&gt;Thesis&lt;/Template&gt;&lt;Star&gt;0&lt;/Star&gt;&lt;Tag&gt;0&lt;/Tag&gt;&lt;Author&gt;张娜娜&lt;/Author&gt;&lt;Year&gt;2014&lt;/Year&gt;&lt;Details&gt;&lt;_created&gt;63654918&lt;/_created&gt;&lt;_db_provider&gt;CNKI&lt;/_db_provider&gt;&lt;_keywords&gt;可再生能源配额制;风电有序发电计划;短期发电计划;风电调度因子;配额交易机制&lt;/_keywords&gt;&lt;_modified&gt;63654918&lt;/_modified&gt;&lt;_publisher&gt;上海交通大学&lt;/_publisher&gt;&lt;_tertiary_author&gt;严正&lt;/_tertiary_author&gt;&lt;_type_work&gt;硕士&lt;/_type_work&gt;&lt;_translated_author&gt;Zhang, Nana&lt;/_translated_author&gt;&lt;_translated_tertiary_author&gt;Yan, Zheng&lt;/_translated_tertiary_author&gt;&lt;/Details&gt;&lt;Extra&gt;&lt;DBUID&gt;{F96A950B-833F-4880-A151-76DA2D6A2879}&lt;/DBUID&gt;&lt;/Extra&gt;&lt;/Item&gt;&lt;/References&gt;&lt;/Group&gt;&lt;/Citation&gt;_x000a_"/>
    <w:docVar w:name="NE.Ref{C8F025F2-B7EC-4686-A12E-38E06DB57AA3}" w:val=" ADDIN NE.Ref.{C8F025F2-B7EC-4686-A12E-38E06DB57AA3}&lt;Citation&gt;&lt;Group&gt;&lt;References&gt;&lt;Item&gt;&lt;ID&gt;637&lt;/ID&gt;&lt;UID&gt;{4E4E5610-5D45-40BC-AE7E-5182B44B9733}&lt;/UID&gt;&lt;Title&gt;负荷模型对含UHVDC的多落点电网直流恢复特性的影响&lt;/Title&gt;&lt;Template&gt;Journal Article&lt;/Template&gt;&lt;Star&gt;0&lt;/Star&gt;&lt;Tag&gt;0&lt;/Tag&gt;&lt;Author&gt;谢惠藩; 张尧; 罗宗杰; 夏成军; 胡金磊&lt;/Author&gt;&lt;Year&gt;2008&lt;/Year&gt;&lt;Details&gt;&lt;_accessed&gt;63444836&lt;/_accessed&gt;&lt;_accession_num&gt;CSCD:3394212_x000d__x000a_ER&lt;/_accession_num&gt;&lt;_cited_count&gt;1&lt;/_cited_count&gt;&lt;_collection_scope&gt;CSCD;PKU;EI&lt;/_collection_scope&gt;&lt;_created&gt;63444588&lt;/_created&gt;&lt;_date_display&gt;2008, 2008&lt;/_date_display&gt;&lt;_db_provider&gt;ISI&lt;/_db_provider&gt;&lt;_isbn&gt;1003-6520&lt;/_isbn&gt;&lt;_issue&gt;1003-6520(2008)34:9&amp;lt;1831:FHMXDH&amp;gt;2.0.TX;2-H9&lt;/_issue&gt;&lt;_journal&gt;高电压技术&lt;/_journal&gt;&lt;_modified&gt;63444837&lt;/_modified&gt;&lt;_pages&gt;1831-1838&lt;/_pages&gt;&lt;_tertiary_title&gt;High Voltage Engineering&lt;/_tertiary_title&gt;&lt;_translated_author&gt;XIE, Huifan; ZHANG, Yao; LUO, Zongjie; XIA, Chenjun; HU, Jinlei&lt;/_translated_author&gt;&lt;_translated_title&gt;Impact of Load Models to DC Recovery Performance in Multi-feed  HVDC Grid Including UHVDC &lt;/_translated_title&gt;&lt;_url&gt;CSCD:3394212 _x000d__x000a_https://kns.cnki.net/kns/download.aspx?filename=adnW2UFMxdWW4pkUEtWbwUWVJxEdqZzc2AlMWd0VpZmUndzcjFmZD5WdyQzMVN3MsVWaW9GUMlXTmpWSrknby0WZyZDWF5UV0RzNkR1Q5JlTypWbj1USrN0VpJ1VaNXdlFHVap2ViREeKxka20WVmdkQzhUUOJWZ&amp;amp;tablename=CJFD2008&amp;amp;dflag=pdfdown _x000d__x000a_&lt;/_url&gt;&lt;_volume&gt;34&lt;/_volume&gt;&lt;/Details&gt;&lt;Extra&gt;&lt;DBUID&gt;{6891F4B0-DCBA-459A-9A22-3059983243D4}&lt;/DBUID&gt;&lt;/Extra&gt;&lt;/Item&gt;&lt;/References&gt;&lt;/Group&gt;&lt;Group&gt;&lt;References&gt;&lt;Item&gt;&lt;ID&gt;648&lt;/ID&gt;&lt;UID&gt;{A0DB87AC-11F3-4FE9-96D0-008D8859F58E}&lt;/UID&gt;&lt;Title&gt;受端系统负荷对高压直流输电的影响&lt;/Title&gt;&lt;Template&gt;Journal Article&lt;/Template&gt;&lt;Star&gt;0&lt;/Star&gt;&lt;Tag&gt;0&lt;/Tag&gt;&lt;Author&gt;赵贺; 周孝信&lt;/Author&gt;&lt;Year&gt;2007&lt;/Year&gt;&lt;Details&gt;&lt;_accessed&gt;63444834&lt;/_accessed&gt;&lt;_accession_num&gt;CSCD:2825674_x000d__x000a_ER&lt;/_accession_num&gt;&lt;_cited_count&gt;2&lt;/_cited_count&gt;&lt;_collection_scope&gt;CSCD;PKU;EI&lt;/_collection_scope&gt;&lt;_created&gt;63444588&lt;/_created&gt;&lt;_date_display&gt;2007, 2007&lt;/_date_display&gt;&lt;_db_provider&gt;ISI&lt;/_db_provider&gt;&lt;_isbn&gt;0258-8013&lt;/_isbn&gt;&lt;_issue&gt;0258-8013(2007)27:16&amp;lt;1:SDXTFH&amp;gt;2.0.TX;2-Y16&lt;/_issue&gt;&lt;_journal&gt;中国电机工程学报&lt;/_journal&gt;&lt;_modified&gt;63444834&lt;/_modified&gt;&lt;_pages&gt;1-6&lt;/_pages&gt;&lt;_tertiary_title&gt;Proceedings of the Chinese Society of Electrical Engineering &lt;/_tertiary_title&gt;&lt;_translated_author&gt;ZHAO, He; ZHOU, Xiaoxin&lt;/_translated_author&gt;&lt;_translated_title&gt;Influence of Receiving End Load on HVDC Transmission&lt;/_translated_title&gt;&lt;_url&gt;CSCD:2825674 _x000d__x000a_https://kns.cnki.net/kns/download.aspx?filename=oRTZ0plelRGbGd2SM9mdIZ2YINkY0RkVMN1UUF1Q5kXQnhXSFREOjZVUzVleWVDMNlzRrcnTZBVSN9UbBZUO2VGdwd2QZBTRKJjQtt0TygGM0Q2KBZXRiBVViRVZY9WW2RGc3EUaBR2c2QnU58mW3VzUl12Ka9WN&amp;amp;tablename=CJFD2007&amp;amp;dflag=pdfdown _x000d__x000a_&lt;/_url&gt;&lt;_volume&gt;27&lt;/_volume&gt;&lt;/Details&gt;&lt;Extra&gt;&lt;DBUID&gt;{6891F4B0-DCBA-459A-9A22-3059983243D4}&lt;/DBUID&gt;&lt;/Extra&gt;&lt;/Item&gt;&lt;/References&gt;&lt;/Group&gt;&lt;/Citation&gt;_x000a_"/>
    <w:docVar w:name="NE.Ref{C906C1E8-10FC-4898-96FA-93E8B3F19CF5}" w:val=" ADDIN NE.Ref.{C906C1E8-10FC-4898-96FA-93E8B3F19CF5}&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db_provider&gt;CNKI&lt;/_db_provider&gt;&lt;_isbn&gt;0258-8013&lt;/_isbn&gt;&lt;_issue&gt;04&lt;/_issue&gt;&lt;_journal&gt;中国电机工程学报&lt;/_journal&gt;&lt;_keywords&gt;能量管理;微电网群;混合交直流配电系统;博弈论;鲁棒优化&lt;/_keywords&gt;&lt;_pages&gt;1226-1240+1413&lt;/_pages&gt;&lt;_volume&gt;40&lt;/_volume&gt;&lt;_created&gt;63704857&lt;/_created&gt;&lt;_modified&gt;63704857&lt;/_modified&gt;&lt;_collection_scope&gt;CSCD;PKU;EI&lt;/_collection_scope&gt;&lt;_translated_author&gt;Fu, Yang;Zhang, Zhiquan;Li, Zhenkun;Mi, Yang&lt;/_translated_author&gt;&lt;/Details&gt;&lt;Extra&gt;&lt;DBUID&gt;{F96A950B-833F-4880-A151-76DA2D6A2879}&lt;/DBUID&gt;&lt;/Extra&gt;&lt;/Item&gt;&lt;/References&gt;&lt;/Group&gt;&lt;/Citation&gt;_x000a_"/>
    <w:docVar w:name="NE.Ref{C928CF4B-DBBB-4AF2-ADAF-48C5A58EF6D3}" w:val=" ADDIN NE.Ref.{C928CF4B-DBBB-4AF2-ADAF-48C5A58EF6D3}&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C9410F19-E496-4890-AE6E-A7250F4F5938}" w:val=" ADDIN NE.Ref.{C9410F19-E496-4890-AE6E-A7250F4F5938}&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C95322E5-DAF4-40E4-BE0D-A82D3E7005DB}" w:val=" ADDIN NE.Ref.{C95322E5-DAF4-40E4-BE0D-A82D3E7005DB}&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C9AB0FC0-85BF-4015-B2AF-50CA3CA26FAE}" w:val=" ADDIN NE.Ref.{C9AB0FC0-85BF-4015-B2AF-50CA3CA26FAE}&lt;Citation&gt;&lt;Group&gt;&lt;References&gt;&lt;Item&gt;&lt;ID&gt;58&lt;/ID&gt;&lt;UID&gt;{4198E63B-EBBE-40E3-AC43-01FAAFF5B6B2}&lt;/UID&gt;&lt;Title&gt;消纳大规模风电的鲁棒区间经济调度  (一)调度模式与数学模型&lt;/Title&gt;&lt;Template&gt;Journal Article&lt;/Template&gt;&lt;Star&gt;0&lt;/Star&gt;&lt;Tag&gt;0&lt;/Tag&gt;&lt;Author&gt;李志刚; 吴文传; 张伯明&lt;/Author&gt;&lt;Year&gt;2014&lt;/Year&gt;&lt;Details&gt;&lt;_accessed&gt;64355830&lt;/_accessed&gt;&lt;_author_aff&gt;清华大学电机工程与应用电子技术系;电力系统及发电设备控制与仿真国家重点实验室,清华大学;&lt;/_author_aff&gt;&lt;_cited_count&gt;115&lt;/_cited_count&gt;&lt;_collection_scope&gt;CSCD;PKU;EI&lt;/_collection_scope&gt;&lt;_created&gt;64102676&lt;/_created&gt;&lt;_date&gt;60386400&lt;/_date&gt;&lt;_db_updated&gt;CNKI - Reference&lt;/_db_updated&gt;&lt;_issue&gt;20&lt;/_issue&gt;&lt;_journal&gt;电力系统自动化&lt;/_journal&gt;&lt;_keywords&gt;经济调度;鲁棒优化;风力发电;预测区间;不确定性&lt;/_keywords&gt;&lt;_language&gt;Chinese&lt;/_language&gt;&lt;_modified&gt;64105503&lt;/_modified&gt;&lt;_pages&gt;33-39&lt;/_pages&gt;&lt;_url&gt;https://kns.cnki.net/kcms/detail/detail.aspx?FileName=DLXT201420006&amp;amp;DbName=CJFQ2014&lt;/_url&gt;&lt;_volume&gt;38&lt;/_volume&gt;&lt;_translated_author&gt;Li, Zhigang;Wu, Wenchuan;Zhang, Boming&lt;/_translated_author&gt;&lt;/Details&gt;&lt;Extra&gt;&lt;DBUID&gt;{560D5FFD-5A46-4EB8-859B-FD657304A42E}&lt;/DBUID&gt;&lt;/Extra&gt;&lt;/Item&gt;&lt;/References&gt;&lt;/Group&gt;&lt;/Citation&gt;_x000a_"/>
    <w:docVar w:name="NE.Ref{C9C1E982-96DA-4E10-9687-9C56E3B4A90B}" w:val=" ADDIN NE.Ref.{C9C1E982-96DA-4E10-9687-9C56E3B4A90B}&lt;Citation&gt;&lt;Group&gt;&lt;References&gt;&lt;Item&gt;&lt;ID&gt;591&lt;/ID&gt;&lt;UID&gt;{4BF5BE91-C5DF-49FB-B44E-41FC7C888E2B}&lt;/UID&gt;&lt;Title&gt;A Multiobjective Memetic Algorithm Based on Particle Swarm Optimization.&lt;/Title&gt;&lt;Template&gt;Journal Article&lt;/Template&gt;&lt;Star&gt;0&lt;/Star&gt;&lt;Tag&gt;0&lt;/Tag&gt;&lt;Author&gt;Dasheng; Liu; Tan; K.; C.; Goh; C.; K.; W.; K.&lt;/Author&gt;&lt;Year&gt;2007&lt;/Year&gt;&lt;Details&gt;&lt;_created&gt;63705108&lt;/_created&gt;&lt;_issue&gt;1&lt;/_issue&gt;&lt;_journal&gt;IEEE Transactions on Systems Man &amp;amp; Cybernetics Part B Cybernetics A Publication of the IEEE Systems Man &amp;amp; Cybernetics Society&lt;/_journal&gt;&lt;_modified&gt;63705108&lt;/_modified&gt;&lt;_pages&gt;42-50&lt;/_pages&gt;&lt;_volume&gt;37&lt;/_volume&gt;&lt;/Details&gt;&lt;Extra&gt;&lt;DBUID&gt;{F96A950B-833F-4880-A151-76DA2D6A2879}&lt;/DBUID&gt;&lt;/Extra&gt;&lt;/Item&gt;&lt;/References&gt;&lt;/Group&gt;&lt;/Citation&gt;_x000a_"/>
    <w:docVar w:name="NE.Ref{CA23FB5E-563F-4474-9B2A-00596A7DF31C}" w:val=" ADDIN NE.Ref.{CA23FB5E-563F-4474-9B2A-00596A7DF31C}&lt;Citation&gt;&lt;Group&gt;&lt;References&gt;&lt;Item&gt;&lt;ID&gt;588&lt;/ID&gt;&lt;UID&gt;{6461E7E2-909C-4346-B8B7-7D3EC6B6D8DA}&lt;/UID&gt;&lt;Title&gt;MOEA/D: A Multiobjective Evolutionary Algorithm Based on Decomposition&lt;/Title&gt;&lt;Template&gt;Book&lt;/Template&gt;&lt;Star&gt;0&lt;/Star&gt;&lt;Tag&gt;0&lt;/Tag&gt;&lt;Author&gt;Zhang, Qingfu; Li, Hui&lt;/Author&gt;&lt;Year&gt;2007&lt;/Year&gt;&lt;Details&gt;&lt;_created&gt;63704968&lt;/_created&gt;&lt;_modified&gt;63704968&lt;/_modified&gt;&lt;_publisher&gt;IEEE Press&lt;/_publisher&gt;&lt;/Details&gt;&lt;Extra&gt;&lt;DBUID&gt;{F96A950B-833F-4880-A151-76DA2D6A2879}&lt;/DBUID&gt;&lt;/Extra&gt;&lt;/Item&gt;&lt;/References&gt;&lt;/Group&gt;&lt;/Citation&gt;_x000a_"/>
    <w:docVar w:name="NE.Ref{CA4E400E-D9F3-4FE9-B214-8524B1CC2927}" w:val=" ADDIN NE.Ref.{CA4E400E-D9F3-4FE9-B214-8524B1CC2927}&lt;Citation&gt;&lt;Group&gt;&lt;References&gt;&lt;Item&gt;&lt;ID&gt;874&lt;/ID&gt;&lt;UID&gt;{755202DE-01BD-4D80-8FAF-25A5819DA0EE}&lt;/UID&gt;&lt;Title&gt;整流侧换流母线电压恢复导致逆变器换相失败的机理分析&lt;/Title&gt;&lt;Template&gt;Journal Article&lt;/Template&gt;&lt;Star&gt;0&lt;/Star&gt;&lt;Tag&gt;0&lt;/Tag&gt;&lt;Author&gt;马星; 李凤婷; 尹纯亚; 解超&lt;/Author&gt;&lt;Year&gt;2021&lt;/Year&gt;&lt;Details&gt;&lt;_accessed&gt;64647186&lt;/_accessed&gt;&lt;_author_aff&gt;可再生能源发电与并网技术教育部工程研究中心(新疆大学);&lt;/_author_aff&gt;&lt;_cited_count&gt;1&lt;/_cited_count&gt;&lt;_created&gt;64646879&lt;/_created&gt;&lt;_date&gt;2021-07-28&lt;/_date&gt;&lt;_db_updated&gt;CNKI - Reference&lt;/_db_updated&gt;&lt;_issue&gt;04&lt;/_issue&gt;&lt;_journal&gt;电力工程技术&lt;/_journal&gt;&lt;_keywords&gt;换相失败;电流偏差控制;直流电流指令值;高压直流输电;关断角&lt;/_keywords&gt;&lt;_modified&gt;64646988&lt;/_modified&gt;&lt;_pages&gt;83-88&lt;/_pages&gt;&lt;_tertiary_title&gt;Electric power engineering technology&lt;/_tertiary_title&gt;&lt;_translated_author&gt;MA, Xing; Li, Fengting; Yin, Chunya; XIE, Chao&lt;/_translated_author&gt;&lt;_translated_title&gt;Mechanism analysis of inverter commutation failure caused by voltage recovery of commutation bus at rectifier side&lt;/_translated_title&gt;&lt;_url&gt;https://kns.cnki.net/kcms/detail/detail.aspx?FileName=JSDJ202104015&amp;amp;DbName=CJFQ2021 _x000d__x000a_https://bar.cnki.net/bar/download/order?id=jBGETXBNdPImvx70aLAuJPYxPoFw%2bp%2bi0fIiSrcN6lUSx76m4VDvrWvOeoYbIn8iwURBIovEZWsxpaJNu72RskGxVkq8YHJNz4jV3WhknTrl8E%2bCUVp5GtDTYhVF2dNUoJeGx62Ssygg68TNXJ%2b5JrigejDAar8Xqw%2f6WR22OFXUdUGh4At8VBYSvh%2fCUD5aVHvqjmFieqfKvR3k%2bUEvn4kWl%2f5%2bM02t3C4Rt6mdaoj5LXYX1qwFXwOc1HUZT%2bTB _x000d__x000a_&lt;/_url&gt;&lt;_volume&gt;40&lt;/_volume&gt;&lt;/Details&gt;&lt;Extra&gt;&lt;DBUID&gt;{6891F4B0-DCBA-459A-9A22-3059983243D4}&lt;/DBUID&gt;&lt;/Extra&gt;&lt;/Item&gt;&lt;/References&gt;&lt;/Group&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Citation&gt;_x000a_"/>
    <w:docVar w:name="NE.Ref{CA845EE8-CA57-44A7-BCC1-C0B21EF16C59}" w:val=" ADDIN NE.Ref.{CA845EE8-CA57-44A7-BCC1-C0B21EF16C59}&lt;Citation&gt;&lt;Group&gt;&lt;References&gt;&lt;Item&gt;&lt;ID&gt;526&lt;/ID&gt;&lt;UID&gt;{5FAEA3FF-5F76-46D8-AC09-080124D9DB30}&lt;/UID&gt;&lt;Title&gt;2019年全球能源供需分析——基于《BP世界能源统计年鉴(2020)》&lt;/Title&gt;&lt;Template&gt;Journal Article&lt;/Template&gt;&lt;Star&gt;0&lt;/Star&gt;&lt;Tag&gt;5&lt;/Tag&gt;&lt;Author&gt;李洪言; 赵朔; 林傲丹; 刘飞; 李雷; 代晓东&lt;/Author&gt;&lt;Year&gt;2020&lt;/Year&gt;&lt;Details&gt;&lt;_author_adr&gt;中国石油大学胜利学院油气工程学院;&lt;/_author_adr&gt;&lt;_created&gt;63659476&lt;/_created&gt;&lt;_db_provider&gt;CNKI&lt;/_db_provider&gt;&lt;_isbn&gt;1006-5539&lt;/_isbn&gt;&lt;_issue&gt;06&lt;/_issue&gt;&lt;_journal&gt;天然气与石油&lt;/_journal&gt;&lt;_keywords&gt;BP;2019年;全球能源;供需&lt;/_keywords&gt;&lt;_modified&gt;63705361&lt;/_modified&gt;&lt;_pages&gt;122-130&lt;/_pages&gt;&lt;_volume&gt;38&lt;/_volume&gt;&lt;_translated_author&gt;Li, Hongyan;Zhao, Shuo;Lin, Aodan;Liu, Fei;Li, Lei;Dai, Xiaodong&lt;/_translated_author&gt;&lt;/Details&gt;&lt;Extra&gt;&lt;DBUID&gt;{F96A950B-833F-4880-A151-76DA2D6A2879}&lt;/DBUID&gt;&lt;/Extra&gt;&lt;/Item&gt;&lt;/References&gt;&lt;/Group&gt;&lt;/Citation&gt;_x000a_"/>
    <w:docVar w:name="NE.Ref{CAAB92D6-B819-4D8F-9947-BD695D5F5A8E}" w:val=" ADDIN NE.Ref.{CAAB92D6-B819-4D8F-9947-BD695D5F5A8E}&lt;Citation&gt;&lt;Group&gt;&lt;References&gt;&lt;Item&gt;&lt;ID&gt;577&lt;/ID&gt;&lt;UID&gt;{9D7B3693-4187-4F51-8498-7CEA72219ED6}&lt;/UID&gt;&lt;Title&gt;Cooperation of Wind Power and Battery Storage to Provide Frequency Regulation in Power Markets&lt;/Title&gt;&lt;Template&gt;Journal Article&lt;/Template&gt;&lt;Star&gt;0&lt;/Star&gt;&lt;Tag&gt;0&lt;/Tag&gt;&lt;Author&gt;He, G; Chen, Q; Kang, C; Xia, Q; Poolla, K&lt;/Author&gt;&lt;Year&gt;2017&lt;/Year&gt;&lt;Details&gt;&lt;_collection_scope&gt;SCI;SCIE;EI&lt;/_collection_scope&gt;&lt;_created&gt;63685289&lt;/_created&gt;&lt;_doi&gt;10.1109/TPWRS.2016.2644642}&lt;/_doi&gt;&lt;_impact_factor&gt;   6.074&lt;/_impact_factor&gt;&lt;_issue&gt;5&lt;/_issue&gt;&lt;_journal&gt;IEEE Transactions on Power Systems&lt;/_journal&gt;&lt;_modified&gt;63685289&lt;/_modified&gt;&lt;_pages&gt;3559-3568&lt;/_pages&gt;&lt;_volume&gt;32&lt;/_volume&gt;&lt;/Details&gt;&lt;Extra&gt;&lt;DBUID&gt;{F96A950B-833F-4880-A151-76DA2D6A2879}&lt;/DBUID&gt;&lt;/Extra&gt;&lt;/Item&gt;&lt;/References&gt;&lt;/Group&gt;&lt;/Citation&gt;_x000a_"/>
    <w:docVar w:name="NE.Ref{CB0B92EC-B121-4A63-8F39-EE89199521C0}" w:val=" ADDIN NE.Ref.{CB0B92EC-B121-4A63-8F39-EE89199521C0}&lt;Citation&gt;&lt;Group&gt;&lt;References&gt;&lt;Item&gt;&lt;ID&gt;111&lt;/ID&gt;&lt;UID&gt;{FEA426BE-BC31-4E92-BA65-59842BC0329B}&lt;/UID&gt;&lt;Title&gt;能源互联网背景下的电力储能技术展望&lt;/Title&gt;&lt;Template&gt;Journal Article&lt;/Template&gt;&lt;Star&gt;0&lt;/Star&gt;&lt;Tag&gt;0&lt;/Tag&gt;&lt;Author&gt;来小康; 李建林; 田立亭&lt;/Author&gt;&lt;Year&gt;2015&lt;/Year&gt;&lt;Details&gt;&lt;_accessed&gt;64308266&lt;/_accessed&gt;&lt;_created&gt;64303980&lt;/_created&gt;&lt;_language&gt;Chinese&lt;/_language&gt;&lt;_modified&gt;64308267&lt;/_modified&gt;&lt;_translated_author&gt;Lai, Xiaokang;Li, Jianlin;Tian, Liting&lt;/_translated_author&gt;&lt;/Details&gt;&lt;Extra&gt;&lt;DBUID&gt;{560D5FFD-5A46-4EB8-859B-FD657304A42E}&lt;/DBUID&gt;&lt;/Extra&gt;&lt;/Item&gt;&lt;/References&gt;&lt;/Group&gt;&lt;/Citation&gt;_x000a_"/>
    <w:docVar w:name="NE.Ref{CBC55F94-45C8-4910-BEAC-789B58375839}" w:val=" ADDIN NE.Ref.{CBC55F94-45C8-4910-BEAC-789B58375839}&lt;Citation&gt;&lt;Group&gt;&lt;References&gt;&lt;Item&gt;&lt;ID&gt;420&lt;/ID&gt;&lt;UID&gt;{58189AAD-9D24-4074-98E3-2E8EA3C7CA56}&lt;/UID&gt;&lt;Title&gt;基于整流侧触发角紧急控制的换相失败预防策略&lt;/Title&gt;&lt;Template&gt;Journal Article&lt;/Template&gt;&lt;Star&gt;0&lt;/Star&gt;&lt;Tag&gt;0&lt;/Tag&gt;&lt;Author&gt;刘畅; 李程昊; 姚伟; 张振安; 文劲宇&lt;/Author&gt;&lt;Year&gt;2019&lt;/Year&gt;&lt;Details&gt;&lt;_accessed&gt;63454199&lt;/_accessed&gt;&lt;_accession_num&gt;CSCD:6410688_x000d__x000a_ER&lt;/_accession_num&gt;&lt;_cited_count&gt;0&lt;/_cited_count&gt;&lt;_collection_scope&gt;CSCD;PKU;EI&lt;/_collection_scope&gt;&lt;_created&gt;63444588&lt;/_created&gt;&lt;_date_display&gt;2019, 2019&lt;/_date_display&gt;&lt;_db_provider&gt;ISI&lt;/_db_provider&gt;&lt;_isbn&gt;1006-6047&lt;/_isbn&gt;&lt;_issue&gt;1006-6047(2019)39:1&amp;lt;10:JYZLCC&amp;gt;2.0.TX;2-D1&lt;/_issue&gt;&lt;_journal&gt;电力自动化设备&lt;/_journal&gt;&lt;_modified&gt;63454200&lt;/_modified&gt;&lt;_pages&gt;10-18&lt;/_pages&gt;&lt;_tertiary_title&gt;Electric Power Automation Equipment&lt;/_tertiary_title&gt;&lt;_translated_author&gt;Liu, Chang; Li, Chenghao; Yao, Wei; Zhang, Zhen&amp;apos;an; Wen, Jinyu&lt;/_translated_author&gt;&lt;_translated_title&gt;Rectifier trigger angle emergency control strategy for preventing commutation failures&lt;/_translated_title&gt;&lt;_url&gt;CSCD:6410688 _x000d__x000a_https://kns.cnki.net/kns/download.aspx?filename=zEzKwgEMrMVS2RDV2JzUpxmMDNTdW1kWzh0LQVTePRTeqFnMPdzaoJDUQpXRm9mc5FTY4BlZDxUTGVEcnhUQ3JlaiFGTQRldypVY2N1MLtUON9SdztGNrlVW0sUR3gTYY5mbTpnYlREVKlVTYFXer1mVud3V4dTb&amp;amp;tablename=CJFDLAST2019&amp;amp;dflag=pdfdown _x000d__x000a_&lt;/_url&gt;&lt;_volume&gt;39&lt;/_volume&gt;&lt;/Details&gt;&lt;Extra&gt;&lt;DBUID&gt;{6891F4B0-DCBA-459A-9A22-3059983243D4}&lt;/DBUID&gt;&lt;/Extra&gt;&lt;/Item&gt;&lt;/References&gt;&lt;/Group&gt;&lt;/Citation&gt;_x000a_"/>
    <w:docVar w:name="NE.Ref{CBD3DE49-0EB1-4C8E-857D-D10C01D03BBE}" w:val=" ADDIN NE.Ref.{CBD3DE49-0EB1-4C8E-857D-D10C01D03BBE}&lt;Citation&gt;&lt;Group&gt;&lt;References&gt;&lt;Item&gt;&lt;ID&gt;519&lt;/ID&gt;&lt;UID&gt;{B69D6FF4-075F-46B6-8199-E4147DE3D6BA}&lt;/UID&gt;&lt;Title&gt;风光储系统储能容量优化配置策略&lt;/Title&gt;&lt;Template&gt;Journal Article&lt;/Template&gt;&lt;Star&gt;0&lt;/Star&gt;&lt;Tag&gt;0&lt;/Tag&gt;&lt;Author&gt;李建林; 郭斌琪; 牛萌; 修晓青; 田立亭&lt;/Author&gt;&lt;Year&gt;2018&lt;/Year&gt;&lt;Details&gt;&lt;_author_adr&gt;新能源与储能运行控制国家重点实验室(中国电力科学研究院);&lt;/_author_adr&gt;&lt;_collection_scope&gt;CSCD;PKU;EI&lt;/_collection_scope&gt;&lt;_created&gt;63657439&lt;/_created&gt;&lt;_db_provider&gt;CNKI&lt;/_db_provider&gt;&lt;_isbn&gt;1000-6753&lt;/_isbn&gt;&lt;_issue&gt;06&lt;/_issue&gt;&lt;_journal&gt;电工技术学报&lt;/_journal&gt;&lt;_keywords&gt;风光储;储能配置;动态规划;双层决策&lt;/_keywords&gt;&lt;_modified&gt;63657439&lt;/_modified&gt;&lt;_pages&gt;1189-1196&lt;/_pages&gt;&lt;_volume&gt;33&lt;/_volume&gt;&lt;_translated_author&gt;Li, Jianlin;Guo, Binqi;Niu, Meng;Xiu, Xiaoqing;Tian, Liting&lt;/_translated_author&gt;&lt;/Details&gt;&lt;Extra&gt;&lt;DBUID&gt;{F96A950B-833F-4880-A151-76DA2D6A2879}&lt;/DBUID&gt;&lt;/Extra&gt;&lt;/Item&gt;&lt;/References&gt;&lt;/Group&gt;&lt;/Citation&gt;_x000a_"/>
    <w:docVar w:name="NE.Ref{CE24A398-BE17-428C-84C9-CE60DBD313A2}" w:val=" ADDIN NE.Ref.{CE24A398-BE17-428C-84C9-CE60DBD313A2}&lt;Citation&gt;&lt;Group&gt;&lt;References&gt;&lt;Item&gt;&lt;ID&gt;1039&lt;/ID&gt;&lt;UID&gt;{016FAEF3-AC24-462E-86AB-5C9495CEC40F}&lt;/UID&gt;&lt;Title&gt;A DC Chopper Topology to Mitigate Commutation Failure of Line Commutated Converter Based High Voltage Direct Current Transmission&lt;/Title&gt;&lt;Template&gt;Journal Article&lt;/Template&gt;&lt;Star&gt;0&lt;/Star&gt;&lt;Tag&gt;0&lt;/Tag&gt;&lt;Author&gt;Guo, C Y; Liu, B; Zhao, C Y&lt;/Author&gt;&lt;Year&gt;2020&lt;/Year&gt;&lt;Details&gt;&lt;_alternate_title&gt;JOURNAL OF MODERN POWER SYSTEMS AND CLEAN ENERGY&lt;/_alternate_title&gt;&lt;_author_adr&gt;North China Elect Power Univ, State Key Lab Alternate Elect Power Syst Renewabl, Beijing, Peoples R China&lt;/_author_adr&gt;&lt;_cited_count&gt;11&lt;/_cited_count&gt;&lt;_date_display&gt;2020&lt;/_date_display&gt;&lt;_date&gt;2020-01-01&lt;/_date&gt;&lt;_doi&gt;10.35833/MPCE.2019.000327&lt;/_doi&gt;&lt;_issue&gt;2&lt;/_issue&gt;&lt;_journal&gt;JOURNAL OF MODERN POWER SYSTEMS AND CLEAN ENERGY&lt;/_journal&gt;&lt;_keywords&gt;Line commutated converter based high-voltage direct current (LCC-HVDC) transmission; DC chopper; power consumption sub-module based on thyristor full-bridge module; (TFB-PCSM); commutation failure (CF); fault recovery capability&lt;/_keywords&gt;&lt;_pages&gt;345-355&lt;/_pages&gt;&lt;_volume&gt;8&lt;/_volume&gt;&lt;_created&gt;64789131&lt;/_created&gt;&lt;_modified&gt;64789131&lt;/_modified&gt;&lt;_db_updated&gt;Web of Science-Core&lt;/_db_updated&gt;&lt;_impact_factor&gt;   4.469&lt;/_impact_factor&gt;&lt;_collection_scope&gt;SCIE;EI&lt;/_collection_scope&gt;&lt;/Details&gt;&lt;Extra&gt;&lt;DBUID&gt;{6891F4B0-DCBA-459A-9A22-3059983243D4}&lt;/DBUID&gt;&lt;/Extra&gt;&lt;/Item&gt;&lt;/References&gt;&lt;/Group&gt;&lt;/Citation&gt;_x000a_"/>
    <w:docVar w:name="NE.Ref{CE3D8129-5D85-4AFC-B473-166F6705FD84}" w:val=" ADDIN NE.Ref.{CE3D8129-5D85-4AFC-B473-166F6705FD84}&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648575&lt;/_created&gt;&lt;_modified&gt;63648575&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CE453168-7506-4EAD-AC87-75744FA320F4}" w:val=" ADDIN NE.Ref.{CE453168-7506-4EAD-AC87-75744FA320F4}&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CEADF9BF-48C9-4AD6-A581-7A63D2B1AA64}" w:val=" ADDIN NE.Ref.{CEADF9BF-48C9-4AD6-A581-7A63D2B1AA64}&lt;Citation&gt;&lt;Group&gt;&lt;References&gt;&lt;Item&gt;&lt;ID&gt;433&lt;/ID&gt;&lt;UID&gt;{1EA31325-9773-449F-8E1E-935EBA62DA1B}&lt;/UID&gt;&lt;Title&gt;基于集合经验模态分解的交直流混合微电网混合储能容量优化配置&lt;/Title&gt;&lt;Template&gt;Journal Article&lt;/Template&gt;&lt;Star&gt;0&lt;/Star&gt;&lt;Tag&gt;0&lt;/Tag&gt;&lt;Author&gt;郭玲娟; 魏斌; 韩肖清; 李雯&lt;/Author&gt;&lt;Year&gt;2020&lt;/Year&gt;&lt;Details&gt;&lt;_author_adr&gt;电力系统运行与控制山西省重点实验室(太原理工大学);&lt;/_author_adr&gt;&lt;_collection_scope&gt;CSCD;PKU;EI&lt;/_collection_scope&gt;&lt;_created&gt;63648590&lt;/_created&gt;&lt;_db_provider&gt;CNKI&lt;/_db_provider&gt;&lt;_isbn&gt;1003-6520&lt;/_isbn&gt;&lt;_issue&gt;02&lt;/_issue&gt;&lt;_journal&gt;高电压技术&lt;/_journal&gt;&lt;_keywords&gt;交直流混合微电网;联络线功率;混合储能系统;容量优化配置;集合经验模态分解;自适应惯性权重粒子群算法&lt;/_keywords&gt;&lt;_modified&gt;63648590&lt;/_modified&gt;&lt;_pages&gt;527-537&lt;/_pages&gt;&lt;_volume&gt;46&lt;/_volume&gt;&lt;_translated_author&gt;Guo, Lingjuan;Wei, Bin;Han, Xiaoqing;Li, Wen&lt;/_translated_author&gt;&lt;/Details&gt;&lt;Extra&gt;&lt;DBUID&gt;{F96A950B-833F-4880-A151-76DA2D6A2879}&lt;/DBUID&gt;&lt;/Extra&gt;&lt;/Item&gt;&lt;/References&gt;&lt;/Group&gt;&lt;/Citation&gt;_x000a_"/>
    <w:docVar w:name="NE.Ref{CEF2B02E-2ABE-4181-BD19-F39DE37EDB4A}" w:val=" ADDIN NE.Ref.{CEF2B02E-2ABE-4181-BD19-F39DE37EDB4A}&lt;Citation&gt;&lt;Group&gt;&lt;References&gt;&lt;Item&gt;&lt;ID&gt;486&lt;/ID&gt;&lt;UID&gt;{574D1813-A53B-45B1-AF36-3055B27AE56A}&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0782&lt;/_created&gt;&lt;_journal&gt;International journal of electrical power and energy systems&lt;/_journal&gt;&lt;_modified&gt;63650782&lt;/_modified&gt;&lt;/Details&gt;&lt;Extra&gt;&lt;DBUID&gt;{F96A950B-833F-4880-A151-76DA2D6A2879}&lt;/DBUID&gt;&lt;/Extra&gt;&lt;/Item&gt;&lt;/References&gt;&lt;/Group&gt;&lt;/Citation&gt;_x000a_"/>
    <w:docVar w:name="NE.Ref{CF269815-D900-4818-B6B8-CFEE45C15AAD}" w:val=" ADDIN NE.Ref.{CF269815-D900-4818-B6B8-CFEE45C15AAD}&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Citation&gt;_x000a_"/>
    <w:docVar w:name="NE.Ref{CF41C7A6-D242-41FE-8F62-47EB7402E764}" w:val=" ADDIN NE.Ref.{CF41C7A6-D242-41FE-8F62-47EB7402E764}&lt;Citation&gt;&lt;Group&gt;&lt;References&gt;&lt;Item&gt;&lt;ID&gt;527&lt;/ID&gt;&lt;UID&gt;{291B8031-6D51-45D5-91E7-A340E5A9D44D}&lt;/UID&gt;&lt;Title&gt;暂态过电压引起风电机组连锁脱网风险分析及对策&lt;/Title&gt;&lt;Template&gt;Journal Article&lt;/Template&gt;&lt;Star&gt;0&lt;/Star&gt;&lt;Tag&gt;0&lt;/Tag&gt;&lt;Author&gt;贺静波; 庄伟; 许涛; 霍超; 蒋维勇&lt;/Author&gt;&lt;Year&gt;2016&lt;/Year&gt;&lt;Details&gt;&lt;_accessed&gt;63445923&lt;/_accessed&gt;&lt;_accession_num&gt;CSCD:5736009_x000d__x000a_ER&lt;/_accession_num&gt;&lt;_cited_count&gt;9&lt;/_cited_count&gt;&lt;_created&gt;63444588&lt;/_created&gt;&lt;_date_display&gt;2016, 2016&lt;/_date_display&gt;&lt;_db_provider&gt;ISI&lt;/_db_provider&gt;&lt;_isbn&gt;1000-3673&lt;/_isbn&gt;&lt;_issue&gt;1000-3673(2016)40:6&amp;lt;1839:ZTGDYY&amp;gt;2.0.TX;2-T6&lt;/_issue&gt;&lt;_journal&gt;电网技术 &lt;/_journal&gt;&lt;_modified&gt;64646882&lt;/_modified&gt;&lt;_pages&gt;1839-1844&lt;/_pages&gt;&lt;_tertiary_title&gt;Power System Technology&lt;/_tertiary_title&gt;&lt;_translated_author&gt;He, Jingbo; Zhuang, Wei; Xu, Tao; Huo, Chao; Jiang, Weiyong&lt;/_translated_author&gt;&lt;_translated_title&gt; Study on Cascading Tripping Risk of Wind Turbines Caused by Transient Overvoltage and Its Countermeasures&lt;/_translated_title&gt;&lt;_url&gt;CSCD:5736009 _x000d__x000a_https://bar.cnki.net/bar/download/order?id=jBGETXBNdPImvx70aLAuJPYxPoFw%2bp%2bi0fIiSrcN6lXLoRz4Z5iquf9T8M9ugbDCsxSj2%2bg5K93ojkRss4hrVDW1naasVB8LAM3hX8NAtijl8E%2bCUVp5GtDTYhVF2dNUoJeGx62Ssygg68TNXJ%2b5JrigejDAar8Xqw%2f6WR22OFXUdUGh4At8VBYSvh%2fCUD5avdCCX9%2fNlOQEXTDOzMevLRcYlBaUIWXbuFE25fb2m%2fb5LXYX1qwFXwOc1HUZT%2bTB _x000d__x000a_&lt;/_url&gt;&lt;_volume&gt;40&lt;/_volume&gt;&lt;/Details&gt;&lt;Extra&gt;&lt;DBUID&gt;{6891F4B0-DCBA-459A-9A22-3059983243D4}&lt;/DBUID&gt;&lt;/Extra&gt;&lt;/Item&gt;&lt;/References&gt;&lt;/Group&gt;&lt;/Citation&gt;_x000a_"/>
    <w:docVar w:name="NE.Ref{D0714579-0547-4EEC-9DDC-EF40C6530589}" w:val=" ADDIN NE.Ref.{D0714579-0547-4EEC-9DDC-EF40C6530589}&lt;Citation&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3.681&lt;/_impact_factor&gt;&lt;_isbn&gt;0885-8977&lt;/_isbn&gt;&lt;_issue&gt;2&lt;/_issue&gt;&lt;_journal&gt;IEEE TRANSACTIONS ON POWER DELIVERY&lt;/_journal&gt;&lt;_modified&gt;63446032&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Group&gt;&lt;References&gt;&lt;Item&gt;&lt;ID&gt;468&lt;/ID&gt;&lt;UID&gt;{666F5209-124D-414A-B895-6D242E53645F}&lt;/UID&gt;&lt;Title&gt;计及换相失败预测控制和故障合闸角的HVDC换相失败分析&lt;/Title&gt;&lt;Template&gt;Journal Article&lt;/Template&gt;&lt;Star&gt;0&lt;/Star&gt;&lt;Tag&gt;0&lt;/Tag&gt;&lt;Author&gt;李程昊; 刘畅; 张振安; 姚伟; 文劲宇; 王建波&lt;/Author&gt;&lt;Year&gt;2018&lt;/Year&gt;&lt;Details&gt;&lt;_accessed&gt;63445970&lt;/_accessed&gt;&lt;_accession_num&gt;CSCD:6176082_x000d__x000a_ER&lt;/_accession_num&gt;&lt;_cited_count&gt;3&lt;/_cited_count&gt;&lt;_collection_scope&gt;CSCD;PKU;EI&lt;/_collection_scope&gt;&lt;_created&gt;63444588&lt;/_created&gt;&lt;_date_display&gt;2018, 2018&lt;/_date_display&gt;&lt;_db_provider&gt;ISI&lt;/_db_provider&gt;&lt;_isbn&gt;1000-1026&lt;/_isbn&gt;&lt;_issue&gt;1000-1026(2018)42:3&amp;lt;56:JJHXSB&amp;gt;2.0.TX;2-33&lt;/_issue&gt;&lt;_journal&gt;电力系统自动化&lt;/_journal&gt;&lt;_modified&gt;63552597&lt;/_modified&gt;&lt;_pages&gt;56-63,76&lt;/_pages&gt;&lt;_tertiary_title&gt;Automation of Electric Power Systems&lt;/_tertiary_title&gt;&lt;_translated_author&gt;Li, Chenghao; Liu, Chang; Zhang, Zhen&amp;apos;an; Yao, Wei; Wen, Jinyu; Wang, Jianbo&lt;/_translated_author&gt;&lt;_translated_title&gt;Analysis of Commutation Failure in HVDC Power Transmission System Considering Prediction Control of Commutation Failure and Initial Fault Angle&lt;/_translated_title&gt;&lt;_url&gt;CSCD:6176082 _x000d__x000a_https://kns.cnki.net/kcms/download.aspx?filename=pB3NJVFS3U1SkBDTRpHd31WdylzbqVTU6VHa3s2ZuhHUV92YZlHdRlXQQRnWv90TPVVexNGVWNWZkplR3RFcnF1b38GU2ElM2kHRsBFaxYTQOd3aQJDdYBVRWRVbNxWTEV1S3kmUyl3bMNTczcEVDZ3QalFNBZVN&amp;amp;tablename=CJFDLAST2018&amp;amp;dflag=pdfdown _x000d__x000a_&lt;/_url&gt;&lt;_volume&gt;42&lt;/_volume&gt;&lt;/Details&gt;&lt;Extra&gt;&lt;DBUID&gt;{6891F4B0-DCBA-459A-9A22-3059983243D4}&lt;/DBUID&gt;&lt;/Extra&gt;&lt;/Item&gt;&lt;/References&gt;&lt;/Group&gt;&lt;Group&gt;&lt;References&gt;&lt;Item&gt;&lt;ID&gt;565&lt;/ID&gt;&lt;UID&gt;{5F634247-0F19-4220-908B-C510A6654ED4}&lt;/UID&gt;&lt;Title&gt;考虑直流电流变化及交流故障发生时刻影响的HVDC换相失败分析方法&lt;/Title&gt;&lt;Template&gt;Journal Article&lt;/Template&gt;&lt;Star&gt;0&lt;/Star&gt;&lt;Tag&gt;0&lt;/Tag&gt;&lt;Author&gt;徐敬友; 谭海燕; 孙海顺; 吴晋波&lt;/Author&gt;&lt;Year&gt;2015&lt;/Year&gt;&lt;Details&gt;&lt;_accessed&gt;63451440&lt;/_accessed&gt;&lt;_accession_num&gt;CSCD:5432946_x000d__x000a_ER&lt;/_accession_num&gt;&lt;_cited_count&gt;3&lt;/_cited_count&gt;&lt;_collection_scope&gt;CSCD;PKU;EI&lt;/_collection_scope&gt;&lt;_created&gt;63444588&lt;/_created&gt;&lt;_date_display&gt;2015, 2015&lt;/_date_display&gt;&lt;_db_provider&gt;ISI&lt;/_db_provider&gt;&lt;_isbn&gt;1000-3673&lt;/_isbn&gt;&lt;_issue&gt;1000-3673(2015)39:5&amp;lt;1261:KLZLDL&amp;gt;2.0.TX;2-V5&lt;/_issue&gt;&lt;_journal&gt;电网技术&lt;/_journal&gt;&lt;_modified&gt;63552604&lt;/_modified&gt;&lt;_pages&gt;1261-1267&lt;/_pages&gt;&lt;_tertiary_title&gt;Power System Technology&lt;/_tertiary_title&gt;&lt;_translated_author&gt;Xu, Jingyou; Tan, Haiyan; Sun, Haishun; Wu, Jinbo&lt;/_translated_author&gt;&lt;_translated_title&gt;Research on Method to Analyze Commutation Failure in HVDC Power Transmission System Considering the Impact of DC Current Variation and Occurrence Moment of AC Fault&lt;/_translated_title&gt;&lt;_url&gt;CSCD:5432946 _x000d__x000a_https://kns.cnki.net/kcms/download.aspx?filename=6hHMwlmSyAlTN1memlUbjlGcy8GN0R1UWRFOZNnUFZTM0Q3YQJXU5YDNa10R3NzVrYUR49mbqhGaCZEbttCaRJXNXdHVLh1ZZhHZ2AjVIRkRTF2VSpES4UXdBR3Zxc2QVRVSydjcFJURiN0bihVR5RkZhhEZ5gjV&amp;amp;tablename=CJFDLAST2015&amp;amp;dflag=pdfdown _x000d__x000a_&lt;/_url&gt;&lt;_volume&gt;39&lt;/_volume&gt;&lt;/Details&gt;&lt;Extra&gt;&lt;DBUID&gt;{6891F4B0-DCBA-459A-9A22-3059983243D4}&lt;/DBUID&gt;&lt;/Extra&gt;&lt;/Item&gt;&lt;/References&gt;&lt;/Group&gt;&lt;Group&gt;&lt;References&gt;&lt;Item&gt;&lt;ID&gt;618&lt;/ID&gt;&lt;UID&gt;{DAC5D514-0ADE-47A9-B17C-76E26CF33FC1}&lt;/UID&gt;&lt;Title&gt; HVDC输电系统换相失败的故障合闸角影响机理&lt;/Title&gt;&lt;Template&gt;Journal Article&lt;/Template&gt;&lt;Star&gt;0&lt;/Star&gt;&lt;Tag&gt;0&lt;/Tag&gt;&lt;Author&gt;王钢; 李志铿; 黄敏; 李海锋&lt;/Author&gt;&lt;Year&gt;2010&lt;/Year&gt;&lt;Details&gt;&lt;_accessed&gt;63447487&lt;/_accessed&gt;&lt;_accession_num&gt;CSCD:3918717_x000d__x000a_ER&lt;/_accession_num&gt;&lt;_cited_count&gt;9&lt;/_cited_count&gt;&lt;_collection_scope&gt;CSCD;PKU;EI&lt;/_collection_scope&gt;&lt;_created&gt;63444588&lt;/_created&gt;&lt;_date_display&gt;2010, 2010&lt;/_date_display&gt;&lt;_db_provider&gt;ISI&lt;/_db_provider&gt;&lt;_isbn&gt;1000-1026&lt;/_isbn&gt;&lt;_issue&gt;1000-1026(2010)34:4&amp;lt;49:HSDXTH&amp;gt;2.0.TX;2-#4&lt;/_issue&gt;&lt;_journal&gt;电力系统自动化&lt;/_journal&gt;&lt;_modified&gt;63445579&lt;/_modified&gt;&lt;_pages&gt;49-54,102&lt;/_pages&gt;&lt;_tertiary_title&gt;Automation of Electric Power Systems&lt;/_tertiary_title&gt;&lt;_translated_author&gt;Wang, Gang; Li, Zhikeng; Huang, Min; Li, Haifeng&lt;/_translated_author&gt;&lt;_translated_title&gt;Influence of Initial Fault Voltage Angle on Commutation Failure Identification in a HVDC System &lt;/_translated_title&gt;&lt;_url&gt;CSCD:3918717 _x000d__x000a_https://kns.cnki.net/kns/download.aspx?filename=rkkYaJ2TzcWbFZUQFdlVZZHe6xWMCBTeIxGN4F2dtR2dXVTZadTNNxUaPVmaKVVTsZkdvo2VrVnZO1EW40mUGl1LvlGZRN0QJZ1NxAlZUdHZnhERmtUdIJEdLV1N652LzQkewFzaBNFNNBTdatGU65UZMZzQmxUU&amp;amp;tablename=CJFD2010&amp;amp;dflag=pdfdown _x000d__x000a_&lt;/_url&gt;&lt;_volume&gt;34&lt;/_volume&gt;&lt;/Details&gt;&lt;Extra&gt;&lt;DBUID&gt;{6891F4B0-DCBA-459A-9A22-3059983243D4}&lt;/DBUID&gt;&lt;/Extra&gt;&lt;/Item&gt;&lt;/References&gt;&lt;/Group&gt;&lt;/Citation&gt;_x000a_"/>
    <w:docVar w:name="NE.Ref{D0BAD8F1-9559-44F0-ACA8-499439E4B57E}" w:val=" ADDIN NE.Ref.{D0BAD8F1-9559-44F0-ACA8-499439E4B57E}&lt;Citation&gt;&lt;Group&gt;&lt;References&gt;&lt;Item&gt;&lt;ID&gt;647&lt;/ID&gt;&lt;UID&gt;{E9563CAD-FCAF-45F1-9077-462BEF30551B}&lt;/UID&gt;&lt;Title&gt;Early Warning and Inhibition of HVDC Subsequent Commutation Failure During Recovery Process Under Grid Fault&lt;/Title&gt;&lt;Template&gt;Journal Article&lt;/Template&gt;&lt;Star&gt;0&lt;/Star&gt;&lt;Tag&gt;0&lt;/Tag&gt;&lt;Author&gt;Tian, D C; Xiong, X F; Xiao, C&lt;/Author&gt;&lt;Year&gt;2021&lt;/Year&gt;&lt;Details&gt;&lt;_alternate_title&gt;IEEE TRANSACTIONS ON POWER DELIVERY&lt;/_alternate_title&gt;&lt;_author_adr&gt;Chongqing Univ, Sch Elect Engn, Chongqing 400044, Peoples R China; State Grid Henan Elect Power Res Inst, Zhengzhou 450052, Peoples R China&lt;/_author_adr&gt;&lt;_cited_count&gt;3&lt;/_cited_count&gt;&lt;_collection_scope&gt;SCI;SCIE;EI&lt;/_collection_scope&gt;&lt;_created&gt;64493973&lt;/_created&gt;&lt;_date&gt;2021-01-01&lt;/_date&gt;&lt;_date_display&gt;2021&lt;/_date_display&gt;&lt;_db_updated&gt;Web of Science-Core&lt;/_db_updated&gt;&lt;_doi&gt;10.1109/TPWRD.2020.3001123&lt;/_doi&gt;&lt;_impact_factor&gt;   4.825&lt;/_impact_factor&gt;&lt;_issue&gt;2&lt;/_issue&gt;&lt;_journal&gt;IEEE TRANSACTIONS ON POWER DELIVERY&lt;/_journal&gt;&lt;_keywords&gt;Inverters; Circuit faults; HVDC transmission; Switches; Benchmark testing; Process control; Subsequent commutation failure; early warning; emergency control; LCC-HVDC; switch function&lt;/_keywords&gt;&lt;_modified&gt;64494421&lt;/_modified&gt;&lt;_pages&gt;1051-1062&lt;/_pages&gt;&lt;_url&gt;https://ieeexplore.ieee.org/stampPDF/getPDF.jsp?tp=&amp;amp;arnumber=9112716&amp;amp;ref=aHR0cHM6Ly9pZWVleHBsb3JlLmllZWUub3JnL3Jlc3Qvc2VhcmNo _x000d__x000a_&lt;/_url&gt;&lt;_volume&gt;36&lt;/_volume&gt;&lt;/Details&gt;&lt;Extra&gt;&lt;DBUID&gt;{F96A950B-833F-4880-A151-76DA2D6A2879}&lt;/DBUID&gt;&lt;/Extra&gt;&lt;/Item&gt;&lt;/References&gt;&lt;/Group&gt;&lt;/Citation&gt;_x000a_"/>
    <w:docVar w:name="NE.Ref{D124F576-9335-4BAC-BA53-DA896E7C4CDF}" w:val=" ADDIN NE.Ref.{D124F576-9335-4BAC-BA53-DA896E7C4CDF}&lt;Citation&gt;&lt;Group&gt;&lt;References&gt;&lt;Item&gt;&lt;ID&gt;1011&lt;/ID&gt;&lt;UID&gt;{29460CFA-64F7-4141-95C6-8B4C478245F6}&lt;/UID&gt;&lt;Title&gt;基于短路容量的含大规模新能源接入的电网状态脆弱性评估方法研究&lt;/Title&gt;&lt;Template&gt;Journal Article&lt;/Template&gt;&lt;Star&gt;0&lt;/Star&gt;&lt;Tag&gt;0&lt;/Tag&gt;&lt;Author&gt;丁少倩; 林涛; 翟学; 徐遐龄; 毕如玉; 秦晓菁&lt;/Author&gt;&lt;Year&gt;2016&lt;/Year&gt;&lt;Details&gt;&lt;_author_aff&gt;武汉大学电气工程学院;华中电力调控分中心;&lt;/_author_aff&gt;&lt;_cited_count&gt;34&lt;/_cited_count&gt;&lt;_date&gt;2016-07-01&lt;/_date&gt;&lt;_issue&gt;13&lt;/_issue&gt;&lt;_journal&gt;电力系统保护与控制&lt;/_journal&gt;&lt;_keywords&gt;电力系统;状态脆弱性;短路容量;脆弱性评估指标;聚类算法;大规模新能源&lt;/_keywords&gt;&lt;_pages&gt;40-47&lt;/_pages&gt;&lt;_url&gt;https://kns.cnki.net/kcms/detail/detail.aspx?FileName=JDQW201613007&amp;amp;DbName=CJFQ2016&lt;/_url&gt;&lt;_volume&gt;44&lt;/_volume&gt;&lt;_created&gt;64779625&lt;/_created&gt;&lt;_modified&gt;64779625&lt;/_modified&gt;&lt;_db_updated&gt;CNKI - Reference&lt;/_db_updated&gt;&lt;_collection_scope&gt;CSCD;PKU&lt;/_collection_scope&gt;&lt;_translated_author&gt;Ding, Shaoqian;Lin, Tao;Zhai, Xue;Xu, Xialing;Bi, Ruyu;Qin, Xiaojing&lt;/_translated_author&gt;&lt;/Details&gt;&lt;Extra&gt;&lt;DBUID&gt;{6891F4B0-DCBA-459A-9A22-3059983243D4}&lt;/DBUID&gt;&lt;/Extra&gt;&lt;/Item&gt;&lt;/References&gt;&lt;/Group&gt;&lt;Group&gt;&lt;References&gt;&lt;Item&gt;&lt;ID&gt;1012&lt;/ID&gt;&lt;UID&gt;{50673C16-A658-46DD-A692-594ED3CD2147}&lt;/UID&gt;&lt;Title&gt;计及节点脆弱程度的新能源消纳能力风险评估&lt;/Title&gt;&lt;Template&gt;Journal Article&lt;/Template&gt;&lt;Star&gt;0&lt;/Star&gt;&lt;Tag&gt;0&lt;/Tag&gt;&lt;Author&gt;李亦凡; 房鑫炎; 王波; 蔡振华&lt;/Author&gt;&lt;Year&gt;2020&lt;/Year&gt;&lt;Details&gt;&lt;_author_aff&gt;电力传输与功率变换控制教育部重点实验室(上海交通大学);国网宁波电力调度控制中心;&lt;/_author_aff&gt;&lt;_cited_count&gt;11&lt;/_cited_count&gt;&lt;_date&gt;2020-07-08&lt;/_date&gt;&lt;_issue&gt;12&lt;/_issue&gt;&lt;_journal&gt;电网技术&lt;/_journal&gt;&lt;_keywords&gt;新能源消纳;负荷–系统短路容量比;渗透率;系统脆弱度;风险评估&lt;/_keywords&gt;&lt;_pages&gt;4479-4486&lt;/_pages&gt;&lt;_url&gt;https://kns.cnki.net/kcms/detail/detail.aspx?FileName=DWJS202012002&amp;amp;DbName=DKFX2020&lt;/_url&gt;&lt;_volume&gt;44&lt;/_volume&gt;&lt;_created&gt;64779626&lt;/_created&gt;&lt;_modified&gt;64779626&lt;/_modified&gt;&lt;_db_updated&gt;CNKI - Reference&lt;/_db_updated&gt;&lt;_collection_scope&gt;CSCD;PKU;EI&lt;/_collection_scope&gt;&lt;_translated_author&gt;Li, Yifan;Fang, Xinyan;Wang, Bo;Cai, Zhenhua&lt;/_translated_author&gt;&lt;/Details&gt;&lt;Extra&gt;&lt;DBUID&gt;{6891F4B0-DCBA-459A-9A22-3059983243D4}&lt;/DBUID&gt;&lt;/Extra&gt;&lt;/Item&gt;&lt;/References&gt;&lt;/Group&gt;&lt;/Citation&gt;_x000a_"/>
    <w:docVar w:name="NE.Ref{D13DBC31-EF3A-455F-B3D7-6B85B7719F8E}" w:val=" ADDIN NE.Ref.{D13DBC31-EF3A-455F-B3D7-6B85B7719F8E}&lt;Citation&gt;&lt;Group&gt;&lt;References&gt;&lt;Item&gt;&lt;ID&gt;401&lt;/ID&gt;&lt;UID&gt;{6A86C3E1-FECD-48F4-A727-05489259F61D}&lt;/UID&gt;&lt;Title&gt;Multi-objective self-adaptive differential evolution with elitist archive and crowding entropy-based diversity measure&lt;/Title&gt;&lt;Template&gt;Journal Article&lt;/Template&gt;&lt;Star&gt;0&lt;/Star&gt;&lt;Tag&gt;0&lt;/Tag&gt;&lt;Author&gt;Wang, Yao-Nan; Wu, Liang-Hong; Yuan, Xiao-Fang&lt;/Author&gt;&lt;Year&gt;2010&lt;/Year&gt;&lt;Details&gt;&lt;_accession_num&gt;WOS:000270883200001_x000d__x000a_ER&lt;/_accession_num&gt;&lt;_cited_count&gt;115&lt;/_cited_count&gt;&lt;_collection_scope&gt;SCIE;EI&lt;/_collection_scope&gt;&lt;_created&gt;63641522&lt;/_created&gt;&lt;_date_display&gt;2010, FEB 2010&lt;/_date_display&gt;&lt;_db_provider&gt;ISI&lt;/_db_provider&gt;&lt;_doi&gt;10.1007/s00500-008-0394-9&lt;/_doi&gt;&lt;_impact_factor&gt;   3.050&lt;/_impact_factor&gt;&lt;_isbn&gt;1432-7643&lt;/_isbn&gt;&lt;_issue&gt;3&lt;/_issue&gt;&lt;_journal&gt;SOFT COMPUTING&lt;/_journal&gt;&lt;_modified&gt;63641522&lt;/_modified&gt;&lt;_pages&gt;193-209&lt;/_pages&gt;&lt;_url&gt;http://gateway.isiknowledge.com/gateway/Gateway.cgi?GWVersion=2&amp;amp;SrcAuth=AegeanSoftware&amp;amp;SrcApp=NoteExpress&amp;amp;DestLinkType=FullRecord&amp;amp;DestApp=WOS&amp;amp;KeyUT=000270883200001&lt;/_url&gt;&lt;_volume&gt;14&lt;/_volume&gt;&lt;/Details&gt;&lt;Extra&gt;&lt;DBUID&gt;{F96A950B-833F-4880-A151-76DA2D6A2879}&lt;/DBUID&gt;&lt;/Extra&gt;&lt;/Item&gt;&lt;/References&gt;&lt;/Group&gt;&lt;/Citation&gt;_x000a_"/>
    <w:docVar w:name="NE.Ref{D1CC94C7-68CF-4441-9130-828092BE9BEA}" w:val=" ADDIN NE.Ref.{D1CC94C7-68CF-4441-9130-828092BE9BEA}&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D2043221-4F8E-4FE6-9961-6A29407ECDDE}" w:val=" ADDIN NE.Ref.{D2043221-4F8E-4FE6-9961-6A29407ECDDE}&lt;Citation&gt;&lt;Group&gt;&lt;References&gt;&lt;Item&gt;&lt;ID&gt;559&lt;/ID&gt;&lt;UID&gt;{91F62DBB-6AD3-4452-A16A-2864AFD3C1D2}&lt;/UID&gt;&lt;Title&gt;整流侧控制方式对特高压直流输电系统换相失败影响研究&lt;/Title&gt;&lt;Template&gt;Journal Article&lt;/Template&gt;&lt;Star&gt;0&lt;/Star&gt;&lt;Tag&gt;0&lt;/Tag&gt;&lt;Author&gt;陈仕龙; 荣俊香; 毕贵红; 李兴旺; 曹蕊蕊&lt;/Author&gt;&lt;Year&gt;2015&lt;/Year&gt;&lt;Details&gt;&lt;_accessed&gt;63445914&lt;/_accessed&gt;&lt;_accession_num&gt;CSCD:5470000_x000d__x000a_ER&lt;/_accession_num&gt;&lt;_cited_count&gt;4&lt;/_cited_count&gt;&lt;_collection_scope&gt;CSCD;PKU&lt;/_collection_scope&gt;&lt;_created&gt;63444588&lt;/_created&gt;&lt;_date_display&gt;2015, 2015&lt;/_date_display&gt;&lt;_db_provider&gt;ISI&lt;/_db_provider&gt;&lt;_isbn&gt;1004-9649&lt;/_isbn&gt;&lt;_issue&gt;1004-9649(2015)48:7&amp;lt;1:ZLCKZF&amp;gt;2.0.TX;2-D7&lt;/_issue&gt;&lt;_journal&gt;中国电力&lt;/_journal&gt;&lt;_modified&gt;63445914&lt;/_modified&gt;&lt;_pages&gt;1-7&lt;/_pages&gt;&lt;_tertiary_title&gt;Electric Power&lt;/_tertiary_title&gt;&lt;_translated_author&gt;Chen, Shilong; Rong, Junxiang; Bi, Guihong; Li, Xingwang; Cao, Ruirui&lt;/_translated_author&gt;&lt;_translated_title&gt;Study of the Effect of Rectifier Side Control Modes on UHVDC Commutation Failure&lt;/_translated_title&gt;&lt;_url&gt;CSCD:5470000&lt;/_url&gt;&lt;_volume&gt;48&lt;/_volume&gt;&lt;/Details&gt;&lt;Extra&gt;&lt;DBUID&gt;{6891F4B0-DCBA-459A-9A22-3059983243D4}&lt;/DBUID&gt;&lt;/Extra&gt;&lt;/Item&gt;&lt;/References&gt;&lt;/Group&gt;&lt;/Citation&gt;_x000a_"/>
    <w:docVar w:name="NE.Ref{D31AA8E0-9693-424E-938B-E83701A7B4E4}" w:val=" ADDIN NE.Ref.{D31AA8E0-9693-424E-938B-E83701A7B4E4}&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D3516FBC-D105-4373-8C3E-E1858B2517B4}" w:val=" ADDIN NE.Ref.{D3516FBC-D105-4373-8C3E-E1858B2517B4}&lt;Citation&gt;&lt;Group&gt;&lt;References&gt;&lt;Item&gt;&lt;ID&gt;726&lt;/ID&gt;&lt;UID&gt;{54372F33-273A-42C6-BD26-646C96DD1606}&lt;/UID&gt;&lt;Title&gt;计及暂态过电压约束的直流闭锁安控与极控协调控制研究&lt;/Title&gt;&lt;Template&gt;Journal Article&lt;/Template&gt;&lt;Star&gt;0&lt;/Star&gt;&lt;Tag&gt;0&lt;/Tag&gt;&lt;Author&gt;罗煦之; 张健; 贺静波; 霍超; 王建明; 贺庆; 王安斯&lt;/Author&gt;&lt;Year&gt;2015&lt;/Year&gt;&lt;Details&gt;&lt;_author_aff&gt;中国电力科学研究院;国家电力调度控制中心;西北电网有限公司;&lt;/_author_aff&gt;&lt;_date&gt;2015-09-05&lt;/_date&gt;&lt;_db_provider&gt;CNKI: 期刊&lt;/_db_provider&gt;&lt;_issue&gt;09&lt;/_issue&gt;&lt;_journal&gt;电网技术&lt;/_journal&gt;&lt;_keywords&gt;暂态过电压;二次压升;极控系统;安控系统;协调控制策略&lt;/_keywords&gt;&lt;_pages&gt;2526-2531&lt;/_pages&gt;&lt;_url&gt;http://kns.cnki.net/KCMS/detail/detail.aspx?FileName=DWJS201509025&amp;amp;DbName=CJFQ2015&lt;/_url&gt;&lt;_volume&gt;39&lt;/_volume&gt;&lt;_created&gt;63727904&lt;/_created&gt;&lt;_modified&gt;63727908&lt;/_modified&gt;&lt;_db_updated&gt;CNKI - Reference&lt;/_db_updated&gt;&lt;_collection_scope&gt;CSCD;PKU;EI&lt;/_collection_scope&gt;&lt;_translated_author&gt;Luo, Xuzhi;Zhang, Jian;He, Jingbo;Huo, Chao;Wang, Jianming;He, Qing;Wang, Ansi&lt;/_translated_author&gt;&lt;/Details&gt;&lt;Extra&gt;&lt;DBUID&gt;{6891F4B0-DCBA-459A-9A22-3059983243D4}&lt;/DBUID&gt;&lt;/Extra&gt;&lt;/Item&gt;&lt;/References&gt;&lt;/Group&gt;&lt;/Citation&gt;_x000a_"/>
    <w:docVar w:name="NE.Ref{D498CE29-0678-4FEB-A4A3-C1D199E1409D}" w:val=" ADDIN NE.Ref.{D498CE29-0678-4FEB-A4A3-C1D199E1409D}&lt;Citation&gt;&lt;Group&gt;&lt;References&gt;&lt;Item&gt;&lt;ID&gt;602&lt;/ID&gt;&lt;UID&gt;{5ED58BEE-6018-4590-BBEE-42E360342B53}&lt;/UID&gt;&lt;Title&gt;A New Decomposition-Based NSGA-II for Many-Objective Optimization&lt;/Title&gt;&lt;Template&gt;Journal Article&lt;/Template&gt;&lt;Star&gt;0&lt;/Star&gt;&lt;Tag&gt;0&lt;/Tag&gt;&lt;Author&gt;Elarbi, Maha; Bechikh, Slim; Gupta, Abhishek; Said, Lamjed Ben; Ong, Yew Soon&lt;/Author&gt;&lt;Year&gt;2017&lt;/Year&gt;&lt;Details&gt;&lt;_created&gt;63705167&lt;/_created&gt;&lt;_journal&gt;IEEE Transactions on Systems Man &amp;amp; Cybernetics Systems&lt;/_journal&gt;&lt;_modified&gt;63705167&lt;/_modified&gt;&lt;/Details&gt;&lt;Extra&gt;&lt;DBUID&gt;{F96A950B-833F-4880-A151-76DA2D6A2879}&lt;/DBUID&gt;&lt;/Extra&gt;&lt;/Item&gt;&lt;/References&gt;&lt;/Group&gt;&lt;/Citation&gt;_x000a_"/>
    <w:docVar w:name="NE.Ref{D57C7999-0196-4CA9-9DF4-9FDF99994360}" w:val=" ADDIN NE.Ref.{D57C7999-0196-4CA9-9DF4-9FDF99994360}&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D5990248-B66E-480E-AF53-2C820BD63C61}" w:val=" ADDIN NE.Ref.{D5990248-B66E-480E-AF53-2C820BD63C61}&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D5A86570-2805-449C-9F25-88CAFB309644}" w:val=" ADDIN NE.Ref.{D5A86570-2805-449C-9F25-88CAFB309644}&lt;Citation&gt;&lt;Group&gt;&lt;References&gt;&lt;Item&gt;&lt;ID&gt;603&lt;/ID&gt;&lt;UID&gt;{13216CA6-50CE-43C9-BF95-D2306499A96D}&lt;/UID&gt;&lt;Title&gt;A faster algorithm for calculating hypervolume&lt;/Title&gt;&lt;Template&gt;Journal Article&lt;/Template&gt;&lt;Star&gt;0&lt;/Star&gt;&lt;Tag&gt;0&lt;/Tag&gt;&lt;Author&gt;While, L; Hingston, P; Barone, L; Huband, S&lt;/Author&gt;&lt;Year&gt;2006&lt;/Year&gt;&lt;Details&gt;&lt;_collection_scope&gt;SCI;SCIE;EI&lt;/_collection_scope&gt;&lt;_created&gt;63705183&lt;/_created&gt;&lt;_impact_factor&gt;  11.169&lt;/_impact_factor&gt;&lt;_issue&gt;1&lt;/_issue&gt;&lt;_journal&gt;IEEE Transactions on Evolutionary Computation&lt;/_journal&gt;&lt;_modified&gt;63705183&lt;/_modified&gt;&lt;_pages&gt;29-38&lt;/_pages&gt;&lt;_volume&gt;10&lt;/_volume&gt;&lt;/Details&gt;&lt;Extra&gt;&lt;DBUID&gt;{F96A950B-833F-4880-A151-76DA2D6A2879}&lt;/DBUID&gt;&lt;/Extra&gt;&lt;/Item&gt;&lt;/References&gt;&lt;/Group&gt;&lt;/Citation&gt;_x000a_"/>
    <w:docVar w:name="NE.Ref{D66F1E91-CA30-4833-9BD0-C7154422E307}" w:val=" ADDIN NE.Ref.{D66F1E91-CA30-4833-9BD0-C7154422E307}&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446180&lt;/_modified&gt;&lt;_pages&gt;946-957&lt;/_pages&gt;&lt;_volume&gt;11&lt;/_volume&gt;&lt;/Details&gt;&lt;Extra&gt;&lt;DBUID&gt;{6891F4B0-DCBA-459A-9A22-3059983243D4}&lt;/DBUID&gt;&lt;/Extra&gt;&lt;/Item&gt;&lt;/References&gt;&lt;/Group&gt;&lt;/Citation&gt;_x000a_"/>
    <w:docVar w:name="NE.Ref{D742CEC3-08BC-40DB-9A83-53961D30A722}" w:val=" ADDIN NE.Ref.{D742CEC3-08BC-40DB-9A83-53961D30A722}&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446180&lt;/_modified&gt;&lt;_pages&gt;946-957&lt;/_pages&gt;&lt;_volume&gt;11&lt;/_volume&gt;&lt;/Details&gt;&lt;Extra&gt;&lt;DBUID&gt;{6891F4B0-DCBA-459A-9A22-3059983243D4}&lt;/DBUID&gt;&lt;/Extra&gt;&lt;/Item&gt;&lt;/References&gt;&lt;/Group&gt;&lt;/Citation&gt;_x000a_"/>
    <w:docVar w:name="NE.Ref{D7DA6761-F501-445B-A7FD-51E1C33D145C}" w:val=" ADDIN NE.Ref.{D7DA6761-F501-445B-A7FD-51E1C33D145C}&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D8685BA2-05FA-49C1-9027-BD57186A4DA7}" w:val=" ADDIN NE.Ref.{D8685BA2-05FA-49C1-9027-BD57186A4DA7}&lt;Citation&gt;&lt;Group&gt;&lt;References&gt;&lt;Item&gt;&lt;ID&gt;1033&lt;/ID&gt;&lt;UID&gt;{C188535A-C19D-4802-BCC2-42CC03A5C588}&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ited_count&gt;1&lt;/_cited_count&gt;&lt;_date&gt;2021-12-15&lt;/_date&gt;&lt;_issue&gt;12&lt;/_issue&gt;&lt;_journal&gt;电机与控制学报&lt;/_journal&gt;&lt;_keywords&gt;特高压直流;直流闭锁;换相失败;暂态过电压;风电机组;故障穿越&lt;/_keywords&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gs%2fsGAZifngueo8TOqPAxuHCj0rcHFOqtzo%2fDKKQz1%2f5LXYX1qwFXwOc1HUZT%2bTB _x000d__x000a_&lt;/_url&gt;&lt;_volume&gt;25&lt;/_volume&gt;&lt;_created&gt;64780426&lt;/_created&gt;&lt;_modified&gt;64780427&lt;/_modified&gt;&lt;_db_updated&gt;CNKI - Reference&lt;/_db_updated&gt;&lt;_collection_scope&gt;CSCD;PKU;EI&lt;/_collection_scope&gt;&lt;_translated_author&gt;Li, Boyang;Chao, Pupu;Li, Weixing;Xu, Shiyun;Liu, Xinyuan;Li, Zhimin&lt;/_translated_author&gt;&lt;/Details&gt;&lt;Extra&gt;&lt;DBUID&gt;{6891F4B0-DCBA-459A-9A22-3059983243D4}&lt;/DBUID&gt;&lt;/Extra&gt;&lt;/Item&gt;&lt;/References&gt;&lt;/Group&gt;&lt;/Citation&gt;_x000a_"/>
    <w:docVar w:name="NE.Ref{D86B750E-5F4D-4D8D-973F-41165B9F3EBB}" w:val=" ADDIN NE.Ref.{D86B750E-5F4D-4D8D-973F-41165B9F3EBB}&lt;Citation&gt;&lt;Group&gt;&lt;References&gt;&lt;Item&gt;&lt;ID&gt;114&lt;/ID&gt;&lt;UID&gt;{0E1B9E87-D8E5-477F-BE52-D8696067E921}&lt;/UID&gt;&lt;Title&gt;A New Combined Scheduling Method of Thermal-Wind Power Considering Grid Restrictions and Wind Power Consumption&lt;/Title&gt;&lt;Template&gt;Conference Proceedings&lt;/Template&gt;&lt;Star&gt;0&lt;/Star&gt;&lt;Tag&gt;0&lt;/Tag&gt;&lt;Author&gt;Z., Zhu; M., Han; L., Li; X., Li&lt;/Author&gt;&lt;Year&gt;2021&lt;/Year&gt;&lt;Details&gt;&lt;_accessed&gt;64306757&lt;/_accessed&gt;&lt;_created&gt;64306732&lt;/_created&gt;&lt;_date&gt;-994629600&lt;/_date&gt;&lt;_date_display&gt;2021_x000d__x000a_8-11 April 2021_x000d__x000a_8-11 April 2021&lt;/_date_display&gt;&lt;_db_updated&gt;IEEE&lt;/_db_updated&gt;&lt;_doi&gt;10.1109/ACPEE51499.2021.9436973&lt;/_doi&gt;&lt;_keywords&gt;Economics; Power transmission lines; Wind energy; Wind power generation; Power grids; Mathematical model; Thermal pollution; economic cost; grid restrictions; combined scheduling; wind abandonment&lt;/_keywords&gt;&lt;_modified&gt;64306757&lt;/_modified&gt;&lt;_pages&gt;1053-1058&lt;/_pages&gt;&lt;_secondary_title&gt;2021 6th Asia Conference on Power and Electrical Engineering (ACPEE)&lt;/_secondary_title&gt;&lt;_short_title&gt;2021 6th Asia Conference on Power and Electrical Engineering (ACPEE)&lt;/_short_title&gt;&lt;_url&gt;https://dx.doi.org/10.1109/ACPEE51499.2021.9436973&lt;/_url&gt;&lt;/Details&gt;&lt;Extra&gt;&lt;DBUID&gt;{560D5FFD-5A46-4EB8-859B-FD657304A42E}&lt;/DBUID&gt;&lt;/Extra&gt;&lt;/Item&gt;&lt;/References&gt;&lt;/Group&gt;&lt;/Citation&gt;_x000a_"/>
    <w:docVar w:name="NE.Ref{D9B6BCA5-E30B-47F1-8A79-CE103C953114}" w:val=" ADDIN NE.Ref.{D9B6BCA5-E30B-47F1-8A79-CE103C953114}&lt;Citation&gt;&lt;Group&gt;&lt;References&gt;&lt;Item&gt;&lt;ID&gt;587&lt;/ID&gt;&lt;UID&gt;{F1A164E8-5228-4DBB-ABC1-38280DDBF38D}&lt;/UID&gt;&lt;Title&gt;Multi-Objective Optimization of Vehicle Passive Suspension System Using NSGA-II, SPEA2 and PESA-II&lt;/Title&gt;&lt;Template&gt;Journal Article&lt;/Template&gt;&lt;Star&gt;0&lt;/Star&gt;&lt;Tag&gt;0&lt;/Tag&gt;&lt;Author&gt;Gadhvi, Bhargav; Savsani, Vimal; Patel, Vivek&lt;/Author&gt;&lt;Year&gt;2016&lt;/Year&gt;&lt;Details&gt;&lt;_created&gt;63704967&lt;/_created&gt;&lt;_journal&gt;Procedia Technology&lt;/_journal&gt;&lt;_modified&gt;63704967&lt;/_modified&gt;&lt;_pages&gt;361-368&lt;/_pages&gt;&lt;_volume&gt;23&lt;/_volume&gt;&lt;/Details&gt;&lt;Extra&gt;&lt;DBUID&gt;{F96A950B-833F-4880-A151-76DA2D6A2879}&lt;/DBUID&gt;&lt;/Extra&gt;&lt;/Item&gt;&lt;/References&gt;&lt;/Group&gt;&lt;/Citation&gt;_x000a_"/>
    <w:docVar w:name="NE.Ref{DBCB1F74-3934-4895-90E5-E38A77296570}" w:val=" ADDIN NE.Ref.{DBCB1F74-3934-4895-90E5-E38A77296570}&lt;Citation&gt;&lt;Group&gt;&lt;References&gt;&lt;Item&gt;&lt;ID&gt;1016&lt;/ID&gt;&lt;UID&gt;{3359CFFB-7C61-42DA-8934-A5B37CD89FEE}&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date&gt;2022-05-23&lt;/_date&gt;&lt;_journal&gt;中国电机工程学报&lt;/_journal&gt;&lt;_keywords&gt;暂态过电压;新能源并网系统;电压支撑强度;短路容量;并网规模&lt;/_keywords&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GQJFEA4Br%2b68rniQGB%2fWWdr%2b93LrdvkD9CwUbXbsT4sYgW1T3oFZ4xO0eVG7BcLs _x000d__x000a_&lt;/_url&gt;&lt;_created&gt;64779706&lt;/_created&gt;&lt;_modified&gt;64779706&lt;/_modified&gt;&lt;_db_updated&gt;CNKI - Reference&lt;/_db_updated&gt;&lt;_collection_scope&gt;CSCD;PKU;EI&lt;/_collection_scope&gt;&lt;_translated_author&gt;Sun, Huadong;Yu, Lin;Zhao, Bing&lt;/_translated_author&gt;&lt;/Details&gt;&lt;Extra&gt;&lt;DBUID&gt;{6891F4B0-DCBA-459A-9A22-3059983243D4}&lt;/DBUID&gt;&lt;/Extra&gt;&lt;/Item&gt;&lt;/References&gt;&lt;/Group&gt;&lt;/Citation&gt;_x000a_"/>
    <w:docVar w:name="NE.Ref{DCA414E0-275E-4960-AE1F-2BD930CDB751}" w:val=" ADDIN NE.Ref.{DCA414E0-275E-4960-AE1F-2BD930CDB751}&lt;Citation&gt;&lt;Group&gt;&lt;References&gt;&lt;Item&gt;&lt;ID&gt;831&lt;/ID&gt;&lt;UID&gt;{452AC1DD-A6A0-4F97-907D-0C2DC439FF93}&lt;/UID&gt;&lt;Title&gt;直流换相失败下双馈风电机组特性描述及暂态过电压抑制&lt;/Title&gt;&lt;Template&gt;Journal Article&lt;/Template&gt;&lt;Star&gt;0&lt;/Star&gt;&lt;Tag&gt;0&lt;/Tag&gt;&lt;Author&gt;刘其辉; 董楚然; 吴勇; 张亚灵; 逄思敏; 申杰&lt;/Author&gt;&lt;Year&gt;2022&lt;/Year&gt;&lt;Details&gt;&lt;_accessed&gt;64646970&lt;/_accessed&gt;&lt;_author_aff&gt;新能源电力系统国家重点实验室(华北电力大学);国网上海市电力公司检修公司;国网上海市电力公司松江供电公司;&lt;/_author_aff&gt;&lt;_collection_scope&gt;CSCD;PKU;EI&lt;/_collection_scope&gt;&lt;_created&gt;64646629&lt;/_created&gt;&lt;_date&gt;2021-10-28&lt;/_date&gt;&lt;_db_updated&gt;CNKI - Reference&lt;/_db_updated&gt;&lt;_issue&gt;08&lt;/_issue&gt;&lt;_journal&gt;电力系统自动化&lt;/_journal&gt;&lt;_keywords&gt;换相失败;双馈感应发电机;暂态电压;故障穿越;过电压主动抑制&lt;/_keywords&gt;&lt;_modified&gt;64646965&lt;/_modified&gt;&lt;_pages&gt;29-38&lt;/_pages&gt;&lt;_tertiary_title&gt;Automation of electric power systems&lt;/_tertiary_title&gt;&lt;_translated_author&gt;Qihui, LIU; Churan, DONG; Yong, WU; Yaling, ZHANG; Simin, PANG; Jie, SHEN&lt;/_translated_author&gt;&lt;_translated_title&gt;Characteristic Description and Transient Overvoltage Suppression of Doubly-fed Wind Turbines with LCC-HVDC Commutation Failure&lt;/_translated_title&gt;&lt;_url&gt;https://kns.cnki.net/kcms/detail/detail.aspx?FileName=DLXT202208004&amp;amp;DbName=CJFQ2022 _x000d__x000a_https://bar.cnki.net/bar/download/order?id=jBGETXBNdPImvx70aLAuJPYxPoFw%2bp%2bi0fIiSrcN6lXVlq1eBSUeJvjZrOAJvDJukSJjWy3W0i%2b8K1%2b7%2bDUhfJ0PLIIoFLYwy5BgUEfsTyzl8E%2bCUVp5GtDTYhVF2dNUoJeGx62Ssygg68TNXJ%2b5JrigejDAar8Xqw%2f6WR22OFXUdUGh4At8VBYSvh%2fCUD5aLzjwAGWyOdgr9efAeY6tPCyWI5uyZaOI7%2bN0Y06oLwj5LXYX1qwFXwOc1HUZT%2bTB _x000d__x000a_&lt;/_url&gt;&lt;_volume&gt;46&lt;/_volume&gt;&lt;/Details&gt;&lt;Extra&gt;&lt;DBUID&gt;{6891F4B0-DCBA-459A-9A22-3059983243D4}&lt;/DBUID&gt;&lt;/Extra&gt;&lt;/Item&gt;&lt;/References&gt;&lt;/Group&gt;&lt;Group&gt;&lt;References&gt;&lt;Item&gt;&lt;ID&gt;881&lt;/ID&gt;&lt;UID&gt;{083538B0-3D7B-4624-8DF1-4AA048959452}&lt;/UID&gt;&lt;Title&gt;基于动态无功支撑的全功率变流风电机组高电压穿越改进控制&lt;/Title&gt;&lt;Template&gt;Journal Article&lt;/Template&gt;&lt;Star&gt;0&lt;/Star&gt;&lt;Tag&gt;0&lt;/Tag&gt;&lt;Author&gt;王德胜; 颜湘武; 刘辉; 贾焦心; 高玉雅&lt;/Author&gt;&lt;Year&gt;2022&lt;/Year&gt;&lt;Details&gt;&lt;_accessed&gt;64646970&lt;/_accessed&gt;&lt;_author_aff&gt;新能源电力系统国家重点实验室(华北电力大学);国网冀北电力有限公司电力科学研究院;国网西安供电公司经济技术研究所;&lt;/_author_aff&gt;&lt;_cited_count&gt;1&lt;/_cited_count&gt;&lt;_collection_scope&gt;CSCD;PKU;EI&lt;/_collection_scope&gt;&lt;_created&gt;64646951&lt;/_created&gt;&lt;_date&gt;2022-02-05&lt;/_date&gt;&lt;_db_updated&gt;CNKI - Reference&lt;/_db_updated&gt;&lt;_issue&gt;03&lt;/_issue&gt;&lt;_journal&gt;中国电机工程学报&lt;/_journal&gt;&lt;_keywords&gt;高电压穿越;故障脱网;矢量控制;无功支撑;功率振荡&lt;/_keywords&gt;&lt;_modified&gt;64646971&lt;/_modified&gt;&lt;_pages&gt;957-968&lt;/_pages&gt;&lt;_tertiary_title&gt;Proceedings of the CSEE&lt;/_tertiary_title&gt;&lt;_translated_author&gt;Desheng, WANG; Xiangwu, YAN; Hui, LIU; Jiaoxin, JIA; Yuya, GAO&lt;/_translated_author&gt;&lt;_translated_title&gt;High Voltage Ride Through Improved Control of Full Power Converter Wind Turbines Based on Dynamic Reactive Power Support&lt;/_translated_title&gt;&lt;_url&gt;https://kns.cnki.net/kcms/detail/detail.aspx?FileName=ZGDC202203009&amp;amp;DbName=DKFX2022 _x000d__x000a_https://bar.cnki.net/bar/download/order?id=jBGETXBNdPImvx70aLAuJPYxPoFw%2bp%2bi0fIiSrcN6lUmL5uUyU6IHvJnocTOg%2fbjsshnTQdlzf0o9Rxczx2nOp0PLIIoFLYwy5BgUEfsTyzl8E%2bCUVp5GtDTYhVF2dNUoJeGx62Ssygg68TNXJ%2b5JrigejDAar8Xqw%2f6WR22OFXUdUGh4At8VBYSvh%2fCUD5aA2rg%2bPYu6ktCER3kEmPq40NiSK5zOkkV0VzBerLHmhH5LXYX1qwFXwOc1HUZT%2bTB _x000d__x000a_https://bar.cnki.net/bar/download/order?id=jBGETXBNdPImvx70aLAuJPYxPoFw%2bp%2bi0fIiSrcN6lUmL5uUyU6IHvJnocTOg%2fbjsshnTQdlzf0o9Rxczx2nOp0PLIIoFLYwy5BgUEfsTyzl8E%2bCUVp5GtDTYhVF2dNUoJeGx62Ssygg68TNXJ%2b5JrigejDAar8Xqw%2f6WR22OFXUdUGh4At8VBYSvh%2fCUD5a5CVhvmli0QLOFG19qIfdQgSUVLmggogtCe%2bW%2f%2bhXCQj5LXYX1qwFXwOc1HUZT%2bTB _x000d__x000a_https://bar.cnki.net/bar/download/order?id=jBGETXBNdPImvx70aLAuJPYxPoFw%2bp%2bi0fIiSrcN6lUmL5uUyU6IHvJnocTOg%2fbjsshnTQdlzf0o9Rxczx2nOp0PLIIoFLYwy5BgUEfsTyzl8E%2bCUVp5GtDTYhVF2dNUoJeGx62Ssygg68TNXJ%2b5JrigejDAar8Xqw%2f6WR22OFXUdUGh4At8VBYSvh%2fCUD5aSYvfUUxfS5t29FWadm08aYOZ0HvlvQvi2zfFMKHGBvH5LXYX1qwFXwOc1HUZT%2bTB _x000d__x000a_&lt;/_url&gt;&lt;_volume&gt;42&lt;/_volume&gt;&lt;/Details&gt;&lt;Extra&gt;&lt;DBUID&gt;{6891F4B0-DCBA-459A-9A22-3059983243D4}&lt;/DBUID&gt;&lt;/Extra&gt;&lt;/Item&gt;&lt;/References&gt;&lt;/Group&gt;&lt;Group&gt;&lt;References&gt;&lt;Item&gt;&lt;ID&gt;882&lt;/ID&gt;&lt;UID&gt;{027F788E-861A-4764-ABC8-A96CFAE4B914}&lt;/UID&gt;&lt;Title&gt;双馈风机并网系统高电压穿越控制策略稳定性分析&lt;/Title&gt;&lt;Template&gt;Journal Article&lt;/Template&gt;&lt;Star&gt;0&lt;/Star&gt;&lt;Tag&gt;0&lt;/Tag&gt;&lt;Author&gt;周昌平; 汪震; 甘德强; 袁辉; 辛焕海&lt;/Author&gt;&lt;Year&gt;2022&lt;/Year&gt;&lt;Details&gt;&lt;_accessed&gt;64646972&lt;/_accessed&gt;&lt;_author_aff&gt;浙江大学电气工程学院;&lt;/_author_aff&gt;&lt;_cited_count&gt;1&lt;/_cited_count&gt;&lt;_collection_scope&gt;CSCD;PKU;EI&lt;/_collection_scope&gt;&lt;_created&gt;64646951&lt;/_created&gt;&lt;_date&gt;2021-08-30&lt;/_date&gt;&lt;_db_updated&gt;CNKI - Reference&lt;/_db_updated&gt;&lt;_issue&gt;20&lt;/_issue&gt;&lt;_journal&gt;中国电机工程学报&lt;/_journal&gt;&lt;_keywords&gt;双馈风机;高电压穿越;暂态电压稳定;小信号建模&lt;/_keywords&gt;&lt;_modified&gt;64646972&lt;/_modified&gt;&lt;_pages&gt;7415-7426&lt;/_pages&gt;&lt;_tertiary_title&gt;Proceedings of the CSEE&lt;/_tertiary_title&gt;&lt;_translated_author&gt;Changping, ZHOU; Zhen, WANG; Deqiang, GAN; Hui, YUAN; Huanhai, XIN&lt;/_translated_author&gt;&lt;_translated_title&gt;Stability Analysis of High Voltage Ride Trough Control Strategy for DFIG Integrated System&lt;/_translated_title&gt;&lt;_url&gt;https://kns.cnki.net/kcms/detail/detail.aspx?FileName=ZGDC202220012&amp;amp;DbName=DKFXTEMP _x000d__x000a_https://bar.cnki.net/bar/download/order?id=jBGETXBNdPImvx70aLAuJPYxPoFw%2bp%2bi0fIiSrcN6lVR7dLHKFXImZjxInT3D9sPIPqgR38m15LFMAZn%2bx0j%2f8m82jDOg3yr%2bqRqj9L2CzQtqddCdidyosdSaMNWur3ZJBjdlDrNnftoR5pdZPiFRNlKM4sfpT3nRHSqBOA4sms8GQBtE8Z8mK%2fNwS15YoSE%2b76osIIwp5dpYYc5YpX2o6opkQ6JnjQzfIvFcCnka0M%3d _x000d__x000a_https://bar.cnki.net/bar/download/order?id=jBGETXBNdPImvx70aLAuJPYxPoFw%2bp%2bi0fIiSrcN6lVR7dLHKFXImZjxInT3D9sPIPqgR38m15LFMAZn%2bx0j%2f8m82jDOg3yr%2bqRqj9L2CzQtqddCdidyosdSaMNWur3ZJBjdlDrNnftoR5pdZPiFRNlKM4sfpT3nRHSqBOA4sms8GQBtE8Z8mK%2fNwS15YoSEsbsslJFtkoJb%2fIsmJwThtKopkQ6JnjQzfIvFcCnka0M%3d _x000d__x000a_https://bar.cnki.net/bar/download/order?id=jBGETXBNdPImvx70aLAuJPYxPoFw%2bp%2bi0fIiSrcN6lVR7dLHKFXImZjxInT3D9sPIPqgR38m15LFMAZn%2bx0j%2f8m82jDOg3yr%2bqRqj9L2CzQtqddCdidyosdSaMNWur3ZJBjdlDrNnftoR5pdZPiFRNlKM4sfpT3nRHSqBOA4sms8GQBtE8Z8mK%2fNwS15YoSEMRLO1%2fA5UQiUP296zqz3YqopkQ6JnjQzfIvFcCnka0M%3d _x000d__x000a_&lt;/_url&gt;&lt;_volume&gt;42&lt;/_volume&gt;&lt;/Details&gt;&lt;Extra&gt;&lt;DBUID&gt;{6891F4B0-DCBA-459A-9A22-3059983243D4}&lt;/DBUID&gt;&lt;/Extra&gt;&lt;/Item&gt;&lt;/References&gt;&lt;/Group&gt;&lt;Group&gt;&lt;References&gt;&lt;Item&gt;&lt;ID&gt;867&lt;/ID&gt;&lt;UID&gt;{9B6D9E52-9DC1-47CA-B7E3-D9B5EFFE2583}&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646973&lt;/_accessed&gt;&lt;_author_aff&gt;国网河南省电力公司电力科学研究院;重庆大学输配电装备及系统安全与新技术国家重点实验室;郑州大学电气工程学院;&lt;/_author_aff&gt;&lt;_collection_scope&gt;CSCD;PKU&lt;/_collection_scope&gt;&lt;_created&gt;64646736&lt;/_created&gt;&lt;_date&gt;2021-12-01&lt;/_date&gt;&lt;_db_updated&gt;CNKI - Reference&lt;/_db_updated&gt;&lt;_issue&gt;23&lt;/_issue&gt;&lt;_journal&gt;电力系统保护与控制&lt;/_journal&gt;&lt;_keywords&gt;高压直流;换相失败;送端电网;暂态过电压;虚拟电阻&lt;/_keywords&gt;&lt;_modified&gt;64646771&lt;/_modified&gt;&lt;_pages&gt;122-129&lt;/_pages&gt;&lt;_tertiary_title&gt;Power System Protection and Control&lt;/_tertiary_title&gt;&lt;_translated_author&gt;Chao, XIAO; Wei, HAN; Qionglin, LI; Xiaofu, XIONG; Zhiyuan, FENG&lt;/_translated_author&gt;&lt;_translated_title&gt;A suppression method for overvoltage of a sending end grid caused by commutation failure based on virtual resistance&lt;/_translated_title&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0R4J2h05Fi3D2%2bUSGg2PWmEsjTQSh1%2bb8hrfyDJ5K3L5LXYX1qwFXwOc1HUZT%2bTB _x000d__x000a_&lt;/_url&gt;&lt;_volume&gt;49&lt;/_volume&gt;&lt;/Details&gt;&lt;Extra&gt;&lt;DBUID&gt;{6891F4B0-DCBA-459A-9A22-3059983243D4}&lt;/DBUID&gt;&lt;/Extra&gt;&lt;/Item&gt;&lt;/References&gt;&lt;/Group&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6974&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6975&lt;/_modified&gt;&lt;_pages&gt;3528-3537&lt;/_pages&gt;&lt;_tertiary_title&gt;High Voltage Engineering&lt;/_tertiary_title&gt;&lt;_translated_author&gt;Qirui, ZHANG; Fengting, LI; Chunya, YIN; Jiangshan, LIU; Ruikang, CHEN&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880&lt;/ID&gt;&lt;UID&gt;{6720ED1C-F1BE-4CD6-A2F7-24FB77781EC7}&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uthor_aff&gt;安徽省新能源利用与节能重点实验室(合肥工业大学);国网安徽省电力有限公司电力科学研究院;&lt;/_author_aff&gt;&lt;_cited_count&gt;36&lt;/_cited_count&gt;&lt;_collection_scope&gt;CSCD;PKU;EI&lt;/_collection_scope&gt;&lt;_created&gt;64646950&lt;/_created&gt;&lt;_date&gt;2018-01-12&lt;/_date&gt;&lt;_db_updated&gt;CNKI - Reference&lt;/_db_updated&gt;&lt;_issue&gt;04&lt;/_issue&gt;&lt;_journal&gt;电网技术&lt;/_journal&gt;&lt;_keywords&gt;高压直流输电;双馈感应发电机;直流闭锁;高电压穿越;协调控制策略&lt;/_keywords&gt;&lt;_modified&gt;64646999&lt;/_modified&gt;&lt;_pages&gt;1086-1095&lt;/_pages&gt;&lt;_url&gt;https://kns.cnki.net/kcms/detail/detail.aspx?FileName=DWJS201804010&amp;amp;DbName=DKFX2018 _x000d__x000a_https://bar.cnki.net/bar/download/order?id=jBGETXBNdPImvx70aLAuJPYxPoFw%2bp%2bi0fIiSrcN6lVXoWh9I51KvJY42PSOwJH8NMzCyB7hda7A48JEX9bxsvxcK7E%2b1%2bNriIb3ea%2bN9O%2fl8E%2bCUVp5GtDTYhVF2dNUoJeGx62Ssygg68TNXJ%2b5JrigejDAar8Xqw%2f6WR22OFXUdUGh4At8VBYSvh%2fCUD5aitsY2SLtumRfFV9gu4Q1HAOta7rWke4Z875Bm%2fVVU1b5LXYX1qwFXwOc1HUZT%2bTB _x000d__x000a_https://bar.cnki.net/bar/download/order?id=jBGETXBNdPImvx70aLAuJPYxPoFw%2bp%2bi0fIiSrcN6lVXoWh9I51KvJY42PSOwJH8NMzCyB7hda7A48JEX9bxsvxcK7E%2b1%2bNriIb3ea%2bN9O%2fl8E%2bCUVp5GtDTYhVF2dNUoJeGx62Ssygg68TNXJ%2b5JrigejDAar8Xqw%2f6WR22OFXUdUGh4At8VBYSvh%2fCUD5a0sLzbaiFZx5FLl2osDURdKqZHyie2Ddw94BHMoP%2f3wL5LXYX1qwFXwOc1HUZT%2bTB _x000d__x000a_https://bar.cnki.net/bar/download/order?id=jBGETXBNdPImvx70aLAuJPYxPoFw%2bp%2bi0fIiSrcN6lVXoWh9I51KvJY42PSOwJH8NMzCyB7hda7A48JEX9bxsvxcK7E%2b1%2bNriIb3ea%2bN9O%2fl8E%2bCUVp5GtDTYhVF2dNUoJeGx62Ssygg68TNXJ%2b5JrigejDAar8Xqw%2f6WR22OFXUdUGh4At8VBYSvh%2fCUD5a%2fmQ4nP0lGn7KoBDCrAGtnJKzk2nEpXpjv48eWYbtnKv5LXYX1qwFXwOc1HUZT%2bTB _x000d__x000a_https://bar.cnki.net/bar/download/order?id=jBGETXBNdPImvx70aLAuJPYxPoFw%2bp%2bi0fIiSrcN6lVXoWh9I51KvJY42PSOwJH8NMzCyB7hda7A48JEX9bxsvxcK7E%2b1%2bNriIb3ea%2bN9O%2fl8E%2bCUVp5GtDTYhVF2dNUoJeGx62Ssygg68TNXJ%2b5JrigejDAar8Xqw%2f6WR22OFXUdUGh4At8VBYSvh%2fCUD5ausKudqDWcJNkuCunUVFyzqNKCnIOoNa4blBU9bYNq175LXYX1qwFXwOc1HUZT%2bTB _x000d__x000a_&lt;/_url&gt;&lt;_volume&gt;42&lt;/_volume&gt;&lt;_accessed&gt;64646998&lt;/_accessed&gt;&lt;_translated_title&gt;A Coordinated HVRT Strategy of Large-Scale Wind Power Transmitted With HVDC System&lt;/_translated_title&gt;&lt;_translated_author&gt;Pingping, HAN; Haitian, ZHANG; Ming, DING; Yan, ZHANG; Lingqi, CHEN; Binbin, LI&lt;/_translated_author&gt;&lt;_tertiary_title&gt;Power System Technology&lt;/_tertiary_title&gt;&lt;/Details&gt;&lt;Extra&gt;&lt;DBUID&gt;{6891F4B0-DCBA-459A-9A22-3059983243D4}&lt;/DBUID&gt;&lt;/Extra&gt;&lt;/Item&gt;&lt;/References&gt;&lt;/Group&gt;&lt;/Citation&gt;_x000a_"/>
    <w:docVar w:name="NE.Ref{DCE00982-B714-4287-8F4D-DBA6F613FF9A}" w:val=" ADDIN NE.Ref.{DCE00982-B714-4287-8F4D-DBA6F613FF9A}&lt;Citation&gt;&lt;Group&gt;&lt;References&gt;&lt;Item&gt;&lt;ID&gt;681&lt;/ID&gt;&lt;UID&gt;{E878DBC5-E6D1-48D4-85CF-78ED65104E91}&lt;/UID&gt;&lt;Title&gt;Reactive power control strategy for low power operation of HVDC transmission system&lt;/Title&gt;&lt;Template&gt;Journal Article&lt;/Template&gt;&lt;Star&gt;0&lt;/Star&gt;&lt;Tag&gt;0&lt;/Tag&gt;&lt;Author&gt;Wang, J; Liang, Z; Li, Z; Li, Y; Huang, L&lt;/Author&gt;&lt;Year&gt;2017&lt;/Year&gt;&lt;Details&gt;&lt;_accessed&gt;63480634&lt;/_accessed&gt;&lt;_created&gt;63480543&lt;/_created&gt;&lt;_issue&gt;6&lt;/_issue&gt;&lt;_journal&gt;Automation of Electric Power Systems&lt;/_journal&gt;&lt;_modified&gt;63480554&lt;/_modified&gt;&lt;_pages&gt;154-158&lt;/_pages&gt;&lt;_volume&gt;41&lt;/_volume&gt;&lt;/Details&gt;&lt;Extra&gt;&lt;DBUID&gt;{6891F4B0-DCBA-459A-9A22-3059983243D4}&lt;/DBUID&gt;&lt;/Extra&gt;&lt;/Item&gt;&lt;/References&gt;&lt;/Group&gt;&lt;Group&gt;&lt;References&gt;&lt;Item&gt;&lt;ID&gt;368&lt;/ID&gt;&lt;UID&gt;{0700AA5D-2AAC-4EB7-821E-9EBD3D87AAC6}&lt;/UID&gt;&lt;Title&gt;A New Recovery Strategy of HVDC System During AC Faults&lt;/Title&gt;&lt;Template&gt;Journal Article&lt;/Template&gt;&lt;Star&gt;0&lt;/Star&gt;&lt;Tag&gt;0&lt;/Tag&gt;&lt;Author&gt;Wang, Juanjuan; Huang, Menghua; Fu, Chuang; Li, Huan; Xu, Shukai; Li, Xiaohua&lt;/Author&gt;&lt;Year&gt;2019&lt;/Year&gt;&lt;Details&gt;&lt;_accessed&gt;63445972&lt;/_accessed&gt;&lt;_accession_num&gt;WOS:000462414900009_x000d__x000a_ER&lt;/_accession_num&gt;&lt;_cited_count&gt;4&lt;/_cited_count&gt;&lt;_collection_scope&gt;SCI;SCIE;EI&lt;/_collection_scope&gt;&lt;_created&gt;63444588&lt;/_created&gt;&lt;_date_display&gt;2019, APR 2019&lt;/_date_display&gt;&lt;_db_provider&gt;ISI&lt;/_db_provider&gt;&lt;_doi&gt;10.1109/TPWRD.2019.2892410&lt;/_doi&gt;&lt;_impact_factor&gt;   3.681&lt;/_impact_factor&gt;&lt;_isbn&gt;0885-8977&lt;/_isbn&gt;&lt;_issue&gt;2&lt;/_issue&gt;&lt;_journal&gt;IEEE TRANSACTIONS ON POWER DELIVERY&lt;/_journal&gt;&lt;_modified&gt;63446043&lt;/_modified&gt;&lt;_pages&gt;486-495&lt;/_pages&gt;&lt;_url&gt;http://gateway.isiknowledge.com/gateway/Gateway.cgi?GWVersion=2&amp;amp;SrcAuth=AegeanSoftware&amp;amp;SrcApp=NoteExpress&amp;amp;DestLinkType=FullRecord&amp;amp;DestApp=WOS&amp;amp;KeyUT=000462414900009 _x000d__x000a_https://ieeexplore.ieee.org/stampPDF/getPDF.jsp?tp=&amp;amp;arnumber=8610316&amp;amp;ref=aHR0cHM6Ly9pZWVleHBsb3JlLmllZWUub3JnL3Jlc3Qvc2VhcmNo _x000d__x000a_&lt;/_url&gt;&lt;_volume&gt;34&lt;/_volume&gt;&lt;/Details&gt;&lt;Extra&gt;&lt;DBUID&gt;{6891F4B0-DCBA-459A-9A22-3059983243D4}&lt;/DBUID&gt;&lt;/Extra&gt;&lt;/Item&gt;&lt;/References&gt;&lt;/Group&gt;&lt;/Citation&gt;_x000a_"/>
    <w:docVar w:name="NE.Ref{DD149DD7-AD17-4D8C-AF2C-EE56072AED57}" w:val=" ADDIN NE.Ref.{DD149DD7-AD17-4D8C-AF2C-EE56072AED57}&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DD19E32F-CB23-4D21-803F-ECCCA2458E86}" w:val=" ADDIN NE.Ref.{DD19E32F-CB23-4D21-803F-ECCCA2458E86}&lt;Citation&gt;&lt;Group&gt;&lt;References&gt;&lt;Item&gt;&lt;ID&gt;527&lt;/ID&gt;&lt;UID&gt;{96D3BAD8-542E-454A-94E3-C359727EB1E5}&lt;/UID&gt;&lt;Title&gt;科学规划,实现我国电力工业发展蓝图&lt;/Title&gt;&lt;Template&gt;Journal Article&lt;/Template&gt;&lt;Star&gt;0&lt;/Star&gt;&lt;Tag&gt;0&lt;/Tag&gt;&lt;Author&gt;王锡凡&lt;/Author&gt;&lt;Year&gt;2017&lt;/Year&gt;&lt;Details&gt;&lt;_author_adr&gt;西安交通大学;&lt;/_author_adr&gt;&lt;_collection_scope&gt;CSCD;PKU&lt;/_collection_scope&gt;&lt;_created&gt;63659482&lt;/_created&gt;&lt;_db_provider&gt;CNKI&lt;/_db_provider&gt;&lt;_isbn&gt;1004-9649&lt;/_isbn&gt;&lt;_issue&gt;01&lt;/_issue&gt;&lt;_journal&gt;中国电力&lt;/_journal&gt;&lt;_keywords&gt;电力工业发展;“十三五”规划;“十三五”期间;&lt;/_keywords&gt;&lt;_modified&gt;63659482&lt;/_modified&gt;&lt;_pages&gt;1&lt;/_pages&gt;&lt;_volume&gt;50&lt;/_volume&gt;&lt;_translated_author&gt;Wang, Xifan&lt;/_translated_author&gt;&lt;/Details&gt;&lt;Extra&gt;&lt;DBUID&gt;{F96A950B-833F-4880-A151-76DA2D6A2879}&lt;/DBUID&gt;&lt;/Extra&gt;&lt;/Item&gt;&lt;/References&gt;&lt;/Group&gt;&lt;/Citation&gt;_x000a_"/>
    <w:docVar w:name="NE.Ref{DD9EBAEC-B784-47EE-A0FF-17E24DF6C01B}" w:val=" ADDIN NE.Ref.{DD9EBAEC-B784-47EE-A0FF-17E24DF6C01B}&lt;Citation&gt;&lt;Group&gt;&lt;References&gt;&lt;Item&gt;&lt;ID&gt;504&lt;/ID&gt;&lt;UID&gt;{5DF64928-72F0-4189-8555-69314F416862}&lt;/UID&gt;&lt;Title&gt;Distributionally Robust Self-Scheduling Optimization with CO2 Emissions Constraints under Uncertainty of Prices&lt;/Title&gt;&lt;Template&gt;Journal Article&lt;/Template&gt;&lt;Star&gt;0&lt;/Star&gt;&lt;Tag&gt;0&lt;/Tag&gt;&lt;Author&gt;Bai, Minru; Yang, Zhupei&lt;/Author&gt;&lt;Year&gt;2014&lt;/Year&gt;&lt;Details&gt;&lt;_created&gt;63654827&lt;/_created&gt;&lt;_journal&gt;Journal of Applied Mathematics,2014,(2014-6-2)&lt;/_journal&gt;&lt;_modified&gt;63654827&lt;/_modified&gt;&lt;_pages&gt;1-7&lt;/_pages&gt;&lt;_volume&gt;2014&lt;/_volume&gt;&lt;/Details&gt;&lt;Extra&gt;&lt;DBUID&gt;{F96A950B-833F-4880-A151-76DA2D6A2879}&lt;/DBUID&gt;&lt;/Extra&gt;&lt;/Item&gt;&lt;/References&gt;&lt;/Group&gt;&lt;/Citation&gt;_x000a_"/>
    <w:docVar w:name="NE.Ref{DDB49AE3-A9D7-4966-88BC-BFCD69797029}" w:val=" ADDIN NE.Ref.{DDB49AE3-A9D7-4966-88BC-BFCD69797029}&lt;Citation&gt;&lt;Group&gt;&lt;References&gt;&lt;Item&gt;&lt;ID&gt;391&lt;/ID&gt;&lt;UID&gt;{027BBCE2-BB37-4260-9ABE-5F3F899BE5D6}&lt;/UID&gt;&lt;Title&gt;可再生能源配额制对优化我国电源结构的影响分析&lt;/Title&gt;&lt;Template&gt;Journal Article&lt;/Template&gt;&lt;Star&gt;0&lt;/Star&gt;&lt;Tag&gt;0&lt;/Tag&gt;&lt;Author&gt;赵新刚; 刘晓蒙; 兰贝&lt;/Author&gt;&lt;Year&gt;2013&lt;/Year&gt;&lt;Details&gt;&lt;_author_adr&gt;华北电力大学经济与管理学院;&lt;/_author_adr&gt;&lt;_collection_scope&gt;PKU&lt;/_collection_scope&gt;&lt;_created&gt;63640279&lt;/_created&gt;&lt;_db_provider&gt;CNKI&lt;/_db_provider&gt;&lt;_isbn&gt;1671-5292&lt;/_isbn&gt;&lt;_issue&gt;04&lt;/_issue&gt;&lt;_journal&gt;可再生能源&lt;/_journal&gt;&lt;_keywords&gt;绿电;可再生能源配额制;绿色证书&lt;/_keywords&gt;&lt;_modified&gt;63640279&lt;/_modified&gt;&lt;_pages&gt;1-5&lt;/_pages&gt;&lt;_volume&gt;31&lt;/_volume&gt;&lt;_translated_author&gt;Zhao, Xingang;Liu, Xiaomeng;Lan, Bei&lt;/_translated_author&gt;&lt;/Details&gt;&lt;Extra&gt;&lt;DBUID&gt;{F96A950B-833F-4880-A151-76DA2D6A2879}&lt;/DBUID&gt;&lt;/Extra&gt;&lt;/Item&gt;&lt;/References&gt;&lt;/Group&gt;&lt;/Citation&gt;_x000a_"/>
    <w:docVar w:name="NE.Ref{DE36E333-0E68-45BC-8D83-5762944A9DE7}" w:val=" ADDIN NE.Ref.{DE36E333-0E68-45BC-8D83-5762944A9DE7}&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534&lt;/_impact_factor&gt;&lt;_isbn&gt;0921-4534&lt;/_isbn&gt;&lt;_journal&gt;PHYSICA C-SUPERCONDUCTIVITY AND ITS APPLICATIONS&lt;/_journal&gt;&lt;_modified&gt;64498627&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Citation&gt;_x000a_"/>
    <w:docVar w:name="NE.Ref{DEFDCBE9-561C-423D-8AA7-853D8B5B7EE3}" w:val=" ADDIN NE.Ref.{DEFDCBE9-561C-423D-8AA7-853D8B5B7EE3}&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Citation&gt;_x000a_"/>
    <w:docVar w:name="NE.Ref{DF5537FF-6273-4A4B-B657-93F862BD28C2}" w:val=" ADDIN NE.Ref.{DF5537FF-6273-4A4B-B657-93F862BD28C2}&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64&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_created&gt;64646900&lt;/_created&gt;&lt;_modified&gt;64646901&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DF674BF4-3FD7-4CCF-959F-D88198157465}" w:val=" ADDIN NE.Ref.{DF674BF4-3FD7-4CCF-959F-D88198157465}&lt;Citation&gt;&lt;Group&gt;&lt;References&gt;&lt;Item&gt;&lt;ID&gt;472&lt;/ID&gt;&lt;UID&gt;{973770F9-307B-47E8-A89D-E432CBE4DABD}&lt;/UID&gt;&lt;Title&gt;Fast Evaluation of Commutation Failure Risk in Multi-Infeed HVDC Systems&lt;/Title&gt;&lt;Template&gt;Journal Article&lt;/Template&gt;&lt;Star&gt;0&lt;/Star&gt;&lt;Tag&gt;0&lt;/Tag&gt;&lt;Author&gt;Shao, Yao; Tang, Yong&lt;/Author&gt;&lt;Year&gt;2018&lt;/Year&gt;&lt;Details&gt;&lt;_accessed&gt;63445972&lt;/_accessed&gt;&lt;_accession_num&gt;WOS:000418776400057_x000d__x000a_ER&lt;/_accession_num&gt;&lt;_cited_count&gt;27&lt;/_cited_count&gt;&lt;_collection_scope&gt;SCI;SCIE;EI&lt;/_collection_scope&gt;&lt;_created&gt;63444588&lt;/_created&gt;&lt;_date_display&gt;2018, JAN 2018&lt;/_date_display&gt;&lt;_db_provider&gt;ISI&lt;/_db_provider&gt;&lt;_doi&gt;10.1109/TPWRS.2017.2700045&lt;/_doi&gt;&lt;_impact_factor&gt;   7.326&lt;/_impact_factor&gt;&lt;_isbn&gt;0885-8950&lt;/_isbn&gt;&lt;_issue&gt;1&lt;/_issue&gt;&lt;_journal&gt;IEEE TRANSACTIONS ON POWER SYSTEMS&lt;/_journal&gt;&lt;_modified&gt;64498636&lt;/_modified&gt;&lt;_pages&gt;646-653&lt;/_pages&gt;&lt;_url&gt;http://gateway.isiknowledge.com/gateway/Gateway.cgi?GWVersion=2&amp;amp;SrcAuth=AegeanSoftware&amp;amp;SrcApp=NoteExpress&amp;amp;DestLinkType=FullRecord&amp;amp;DestApp=WOS&amp;amp;KeyUT=000418776400057 _x000d__x000a_https://ieeexplore.ieee.org/stampPDF/getPDF.jsp?tp=&amp;amp;arnumber=7918634&amp;amp;ref=aHR0cHM6Ly9pZWVleHBsb3JlLmllZWUub3JnL3Jlc3Qvc2VhcmNo _x000d__x000a_&lt;/_url&gt;&lt;_volume&gt;33&lt;/_volume&gt;&lt;/Details&gt;&lt;Extra&gt;&lt;DBUID&gt;{6891F4B0-DCBA-459A-9A22-3059983243D4}&lt;/DBUID&gt;&lt;/Extra&gt;&lt;/Item&gt;&lt;/References&gt;&lt;/Group&gt;&lt;/Citation&gt;_x000a_"/>
    <w:docVar w:name="NE.Ref{E0270433-149D-4149-9436-120242F346B7}" w:val=" ADDIN NE.Ref.{E0270433-149D-4149-9436-120242F346B7}&lt;Citation&gt;&lt;Group&gt;&lt;References&gt;&lt;Item&gt;&lt;ID&gt;392&lt;/ID&gt;&lt;UID&gt;{58578CA1-2ECD-435D-BCE2-1E8975CAF299}&lt;/UID&gt;&lt;Title&gt;基于可再生能源配额制的风电并网节能经济调度&lt;/Title&gt;&lt;Template&gt;Journal Article&lt;/Template&gt;&lt;Star&gt;0&lt;/Star&gt;&lt;Tag&gt;0&lt;/Tag&gt;&lt;Author&gt;梁吉; 左艺; 张玉琢; 赵新刚&lt;/Author&gt;&lt;Year&gt;2019&lt;/Year&gt;&lt;Details&gt;&lt;_author_adr&gt;华北电力大学经济与管理学院;北京市新能源与低碳发展重点实验室(华北电力大学);&lt;/_author_adr&gt;&lt;_collection_scope&gt;CSCD;PKU;EI&lt;/_collection_scope&gt;&lt;_created&gt;63640279&lt;/_created&gt;&lt;_db_provider&gt;CNKI&lt;/_db_provider&gt;&lt;_isbn&gt;1000-3673&lt;/_isbn&gt;&lt;_issue&gt;07&lt;/_issue&gt;&lt;_journal&gt;电网技术&lt;/_journal&gt;&lt;_keywords&gt;节能经济调度;可再生能源配额制;可交易绿色证书;风电消纳&lt;/_keywords&gt;&lt;_modified&gt;63640279&lt;/_modified&gt;&lt;_pages&gt;2528-2534&lt;/_pages&gt;&lt;_volume&gt;43&lt;/_volume&gt;&lt;_translated_author&gt;Liang, Ji;Zuo, Yi;Zhang, Yuzhuo;Zhao, Xingang&lt;/_translated_author&gt;&lt;/Details&gt;&lt;Extra&gt;&lt;DBUID&gt;{F96A950B-833F-4880-A151-76DA2D6A2879}&lt;/DBUID&gt;&lt;/Extra&gt;&lt;/Item&gt;&lt;/References&gt;&lt;/Group&gt;&lt;/Citation&gt;_x000a_"/>
    <w:docVar w:name="NE.Ref{E0F67CD8-FCB1-48B6-A7FF-B83B93027DAD}" w:val=" ADDIN NE.Ref.{E0F67CD8-FCB1-48B6-A7FF-B83B93027DAD}&lt;Citation&gt;&lt;Group&gt;&lt;References&gt;&lt;Item&gt;&lt;ID&gt;62&lt;/ID&gt;&lt;UID&gt;{6F1D56D1-368E-40B4-A1D1-2D21C3653140}&lt;/UID&gt;&lt;Title&gt;计及需求侧响应的电力系统鲁棒优化规划模型&lt;/Title&gt;&lt;Template&gt;Journal Article&lt;/Template&gt;&lt;Star&gt;0&lt;/Star&gt;&lt;Tag&gt;0&lt;/Tag&gt;&lt;Author&gt;曾鸣; 杨雍琦; 向红伟; 王丽华; 孙静惠&lt;/Author&gt;&lt;Year&gt;2016&lt;/Year&gt;&lt;Details&gt;&lt;_accessed&gt;64323131&lt;/_accessed&gt;&lt;_author_aff&gt;华北电力大学经济与管理学院;新能源电力系统国家重点实验室(华北电力大学);&lt;/_author_aff&gt;&lt;_cited_count&gt;62&lt;/_cited_count&gt;&lt;_collection_scope&gt;CSCD;PKU;EI&lt;/_collection_scope&gt;&lt;_created&gt;64102965&lt;/_created&gt;&lt;_date&gt;2016-09-10&lt;/_date&gt;&lt;_db_updated&gt;CNKI - Reference&lt;/_db_updated&gt;&lt;_issue&gt;17&lt;/_issue&gt;&lt;_journal&gt;电力系统自动化&lt;/_journal&gt;&lt;_keywords&gt;需求侧响应;鲁棒优化;电力系统规划;非支配排序遗传算法&lt;/_keywords&gt;&lt;_modified&gt;64323131&lt;/_modified&gt;&lt;_pages&gt;137-145&lt;/_pages&gt;&lt;_url&gt;https://kns.cnki.net/kcms/detail/detail.aspx?FileName=DLXT201617019&amp;amp;DbName=CJFQ2016&lt;/_url&gt;&lt;_volume&gt;40&lt;/_volume&gt;&lt;_translated_author&gt;Ceng, Ming;Yang, Yongqi;Xiang, Hongwei;Wang, Lihua;Sun, Jinghui&lt;/_translated_author&gt;&lt;/Details&gt;&lt;Extra&gt;&lt;DBUID&gt;{560D5FFD-5A46-4EB8-859B-FD657304A42E}&lt;/DBUID&gt;&lt;/Extra&gt;&lt;/Item&gt;&lt;/References&gt;&lt;/Group&gt;&lt;/Citation&gt;_x000a_"/>
    <w:docVar w:name="NE.Ref{E11E2335-3DCF-4D80-937C-449D9D626853}" w:val=" ADDIN NE.Ref.{E11E2335-3DCF-4D80-937C-449D9D626853}&lt;Citation&gt;&lt;Group&gt;&lt;References&gt;&lt;Item&gt;&lt;ID&gt;600&lt;/ID&gt;&lt;UID&gt;{73E815EA-3016-43EC-8764-FC4486290162}&lt;/UID&gt;&lt;Title&gt;HKn-RVEA: a novel many-objective evolutionary algorithm for car side impact bar crashworthiness problem&lt;/Title&gt;&lt;Template&gt;Journal Article&lt;/Template&gt;&lt;Star&gt;0&lt;/Star&gt;&lt;Tag&gt;0&lt;/Tag&gt;&lt;Author&gt;Dhiman, Gaurav; Kaur, Amandeep&lt;/Author&gt;&lt;Year&gt;2019&lt;/Year&gt;&lt;Details&gt;&lt;_accession_num&gt;WOS:000576400300010_x000d__x000a_ER&lt;/_accession_num&gt;&lt;_cited_count&gt;1&lt;/_cited_count&gt;&lt;_collection_scope&gt;SCIE;EI&lt;/_collection_scope&gt;&lt;_created&gt;63705149&lt;/_created&gt;&lt;_date_display&gt;2019, 2019&lt;/_date_display&gt;&lt;_db_provider&gt;ISI&lt;/_db_provider&gt;&lt;_doi&gt;10.1504/IJVD.2019.109869&lt;/_doi&gt;&lt;_impact_factor&gt;   1.771&lt;/_impact_factor&gt;&lt;_isbn&gt;0143-3369&lt;/_isbn&gt;&lt;_issue&gt;2-4SI&lt;/_issue&gt;&lt;_journal&gt;INTERNATIONAL JOURNAL OF VEHICLE DESIGN&lt;/_journal&gt;&lt;_modified&gt;63705149&lt;/_modified&gt;&lt;_pages&gt;257-284&lt;/_pages&gt;&lt;_url&gt;http://gateway.isiknowledge.com/gateway/Gateway.cgi?GWVersion=2&amp;amp;SrcAuth=AegeanSoftware&amp;amp;SrcApp=NoteExpress&amp;amp;DestLinkType=FullRecord&amp;amp;DestApp=WOS&amp;amp;KeyUT=000576400300010&lt;/_url&gt;&lt;_volume&gt;80&lt;/_volume&gt;&lt;/Details&gt;&lt;Extra&gt;&lt;DBUID&gt;{F96A950B-833F-4880-A151-76DA2D6A2879}&lt;/DBUID&gt;&lt;/Extra&gt;&lt;/Item&gt;&lt;/References&gt;&lt;/Group&gt;&lt;/Citation&gt;_x000a_"/>
    <w:docVar w:name="NE.Ref{E13E54FC-820E-4EE9-BF1A-4BC2CD15FAD9}" w:val=" ADDIN NE.Ref.{E13E54FC-820E-4EE9-BF1A-4BC2CD15FAD9}&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46005&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476&lt;/_impact_factor&gt;&lt;_isbn&gt;2169-3536&lt;/_isbn&gt;&lt;_journal&gt;IEEE ACCESS&lt;/_journal&gt;&lt;_modified&gt;64498622&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503&lt;/_impact_factor&gt;&lt;_isbn&gt;1751-8687&lt;/_isbn&gt;&lt;_issue&gt;22&lt;/_issue&gt;&lt;_journal&gt;IET GENERATION TRANSMISSION &amp;amp; DISTRIBUTION&lt;/_journal&gt;&lt;_modified&gt;64498615&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4498622&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Citation&gt;_x000a_"/>
    <w:docVar w:name="NE.Ref{E21DF2F3-BE74-4E5C-88E7-73E594E0DE40}" w:val=" ADDIN NE.Ref.{E21DF2F3-BE74-4E5C-88E7-73E594E0DE40}&lt;Citation&gt;&lt;Group&gt;&lt;References&gt;&lt;Item&gt;&lt;ID&gt;583&lt;/ID&gt;&lt;UID&gt;{5F61ECA9-9634-4D21-8839-495E5E4F7318}&lt;/UID&gt;&lt;Title&gt;Solving Multi-Objective Economic Dispatch Problem Via Semidefinite Programming&lt;/Title&gt;&lt;Template&gt;Journal Article&lt;/Template&gt;&lt;Star&gt;0&lt;/Star&gt;&lt;Tag&gt;0&lt;/Tag&gt;&lt;Author&gt;Jubril; M, A; Komolafe; A, O; Alawode; O, K&lt;/Author&gt;&lt;Year&gt;2013&lt;/Year&gt;&lt;Details&gt;&lt;_collection_scope&gt;SCI;SCIE;EI&lt;/_collection_scope&gt;&lt;_created&gt;63704824&lt;/_created&gt;&lt;_impact_factor&gt;   6.074&lt;/_impact_factor&gt;&lt;_issue&gt;3&lt;/_issue&gt;&lt;_journal&gt;IEEE Transactions on Power Systems&lt;/_journal&gt;&lt;_modified&gt;63704824&lt;/_modified&gt;&lt;_pages&gt;2056-2064&lt;/_pages&gt;&lt;_volume&gt;28&lt;/_volume&gt;&lt;/Details&gt;&lt;Extra&gt;&lt;DBUID&gt;{F96A950B-833F-4880-A151-76DA2D6A2879}&lt;/DBUID&gt;&lt;/Extra&gt;&lt;/Item&gt;&lt;/References&gt;&lt;/Group&gt;&lt;/Citation&gt;_x000a_"/>
    <w:docVar w:name="NE.Ref{E28727E1-81EB-43C3-97EB-154EF78B8DB0}" w:val=" ADDIN NE.Ref.{E28727E1-81EB-43C3-97EB-154EF78B8DB0}&lt;Citation&gt;&lt;Group&gt;&lt;References&gt;&lt;Item&gt;&lt;ID&gt;639&lt;/ID&gt;&lt;UID&gt;{8A4D127C-6CEF-45AF-B119-9D65AA5A3738}&lt;/UID&gt;&lt;Title&gt;基于相关机会目标规划的风光储联合发电系统储能调度策略&lt;/Title&gt;&lt;Template&gt;Journal Article&lt;/Template&gt;&lt;Star&gt;0&lt;/Star&gt;&lt;Tag&gt;0&lt;/Tag&gt;&lt;Author&gt;赵书强; 刘大正; 谢宇琪; 刘晋; 胡永强&lt;/Author&gt;&lt;Year&gt;2015&lt;/Year&gt;&lt;Details&gt;&lt;_author_adr&gt;新能源电力系统国家重点实验室华北电力大学;&lt;/_author_adr&gt;&lt;_db_provider&gt;CNKI&lt;/_db_provider&gt;&lt;_isbn&gt;1000-1026&lt;/_isbn&gt;&lt;_issue&gt;14&lt;/_issue&gt;&lt;_journal&gt;电力系统自动化&lt;/_journal&gt;&lt;_keywords&gt;风力发电;光伏发电;储能;相关机会目标规划;储能调度;混合智能算法&lt;/_keywords&gt;&lt;_pages&gt;30-36+53&lt;/_pages&gt;&lt;_volume&gt;39&lt;/_volume&gt;&lt;_created&gt;63705567&lt;/_created&gt;&lt;_modified&gt;63705567&lt;/_modified&gt;&lt;_collection_scope&gt;CSCD;PKU;EI&lt;/_collection_scope&gt;&lt;_translated_author&gt;Zhao, Shuqiang;Liu, Dazheng;Xie, Yuqi;Liu, Jin;Hu, Yongqiang&lt;/_translated_author&gt;&lt;/Details&gt;&lt;Extra&gt;&lt;DBUID&gt;{F96A950B-833F-4880-A151-76DA2D6A2879}&lt;/DBUID&gt;&lt;/Extra&gt;&lt;/Item&gt;&lt;/References&gt;&lt;/Group&gt;&lt;/Citation&gt;_x000a_"/>
    <w:docVar w:name="NE.Ref{E34A4337-741F-4C94-89D8-84599F2DAAE5}" w:val=" ADDIN NE.Ref.{E34A4337-741F-4C94-89D8-84599F2DAAE5}&lt;Citation&gt;&lt;Group&gt;&lt;References&gt;&lt;Item&gt;&lt;ID&gt;641&lt;/ID&gt;&lt;UID&gt;{32D4CEE2-DCF5-43B8-BCFF-95914750FBCC}&lt;/UID&gt;&lt;Title&gt;考虑电价型需求响应的交直流混合配电网优化调度&lt;/Title&gt;&lt;Template&gt;Journal Article&lt;/Template&gt;&lt;Star&gt;0&lt;/Star&gt;&lt;Tag&gt;0&lt;/Tag&gt;&lt;Author&gt;王文超; 庞丹; 成龙; 王振浩&lt;/Author&gt;&lt;Year&gt;2019&lt;/Year&gt;&lt;Details&gt;&lt;_author_adr&gt;东北电力大学电气工程学院;国网长春供电公司;&lt;/_author_adr&gt;&lt;_db_provider&gt;CNKI&lt;/_db_provider&gt;&lt;_isbn&gt;1000-3673&lt;/_isbn&gt;&lt;_issue&gt;05&lt;/_issue&gt;&lt;_journal&gt;电网技术&lt;/_journal&gt;&lt;_keywords&gt;交直流混合配电网;电价型需求响应;分布式电源;经济调度;混合整数二阶锥规划&lt;/_keywords&gt;&lt;_pages&gt;1675-1682&lt;/_pages&gt;&lt;_volume&gt;43&lt;/_volume&gt;&lt;_created&gt;63705589&lt;/_created&gt;&lt;_modified&gt;63705589&lt;/_modified&gt;&lt;_collection_scope&gt;CSCD;PKU;EI&lt;/_collection_scope&gt;&lt;_translated_author&gt;Wang, Wenchao;Pang, Dan;Cheng, Long;Wang, Zhenhao&lt;/_translated_author&gt;&lt;/Details&gt;&lt;Extra&gt;&lt;DBUID&gt;{F96A950B-833F-4880-A151-76DA2D6A2879}&lt;/DBUID&gt;&lt;/Extra&gt;&lt;/Item&gt;&lt;/References&gt;&lt;/Group&gt;&lt;/Citation&gt;_x000a_"/>
    <w:docVar w:name="NE.Ref{E3752DCB-C2A4-4A8E-B53B-6B778F438726}" w:val=" ADDIN NE.Ref.{E3752DCB-C2A4-4A8E-B53B-6B778F438726}&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E3824A24-5284-4347-A309-1DEC7D1395FE}" w:val=" ADDIN NE.Ref.{E3824A24-5284-4347-A309-1DEC7D1395FE}&lt;Citation&gt;&lt;Group&gt;&lt;References&gt;&lt;Item&gt;&lt;ID&gt;394&lt;/ID&gt;&lt;UID&gt;{9027A971-998C-4857-B26D-E97B13AE4D68}&lt;/UID&gt;&lt;Title&gt;可再生能源配额制下绿色证书补偿辅助服务方案探讨&lt;/Title&gt;&lt;Template&gt;Journal Article&lt;/Template&gt;&lt;Star&gt;0&lt;/Star&gt;&lt;Tag&gt;0&lt;/Tag&gt;&lt;Author&gt;刘秋华; 袁浩; 杨争林; 樊海锋; 徐春雷&lt;/Author&gt;&lt;Year&gt;2020&lt;/Year&gt;&lt;Details&gt;&lt;_author_adr&gt;南京工程学院经济与管理学院;中国电力科学研究院有限公司(南京);国网江苏省电力有限公司;&lt;/_author_adr&gt;&lt;_collection_scope&gt;CSCD;PKU;EI&lt;/_collection_scope&gt;&lt;_created&gt;63640281&lt;/_created&gt;&lt;_db_provider&gt;CNKI&lt;/_db_provider&gt;&lt;_isbn&gt;1000-1026&lt;/_isbn&gt;&lt;_issue&gt;06&lt;/_issue&gt;&lt;_journal&gt;电力系统自动化&lt;/_journal&gt;&lt;_keywords&gt;辅助服务;绿色证书;电力市场;可再生能源配额制&lt;/_keywords&gt;&lt;_modified&gt;63640281&lt;/_modified&gt;&lt;_pages&gt;1-8&lt;/_pages&gt;&lt;_volume&gt;44&lt;/_volume&gt;&lt;_translated_author&gt;Liu, Qiuhua;Yuan, Hao;Yang, Zhenglin;Fan, Haifeng;Xu, Chunlei&lt;/_translated_author&gt;&lt;/Details&gt;&lt;Extra&gt;&lt;DBUID&gt;{F96A950B-833F-4880-A151-76DA2D6A2879}&lt;/DBUID&gt;&lt;/Extra&gt;&lt;/Item&gt;&lt;/References&gt;&lt;/Group&gt;&lt;/Citation&gt;_x000a_"/>
    <w:docVar w:name="NE.Ref{E56EA532-B3B6-4284-97F2-40D0E03DE158}" w:val=" ADDIN NE.Ref.{E56EA532-B3B6-4284-97F2-40D0E03DE158}&lt;Citation&gt;&lt;Group&gt;&lt;References&gt;&lt;Item&gt;&lt;ID&gt;624&lt;/ID&gt;&lt;UID&gt;{FE805BA9-421A-43D0-901F-329B5BC8E04D}&lt;/UID&gt;&lt;Title&gt;多区域电力系统实时分散鲁棒调度的求解方法&lt;/Title&gt;&lt;Template&gt;Journal Article&lt;/Template&gt;&lt;Star&gt;0&lt;/Star&gt;&lt;Tag&gt;0&lt;/Tag&gt;&lt;Author&gt;王晨曦; 朱建全; 夏云睿; 郭野; 莫勰旻; 罗添允&lt;/Author&gt;&lt;Year&gt;2019&lt;/Year&gt;&lt;Details&gt;&lt;_author_adr&gt;华南理工大学电力学院;&lt;/_author_adr&gt;&lt;_db_provider&gt;CNKI&lt;/_db_provider&gt;&lt;_isbn&gt;1000-3673&lt;/_isbn&gt;&lt;_issue&gt;12&lt;/_issue&gt;&lt;_journal&gt;电网技术&lt;/_journal&gt;&lt;_keywords&gt;多区域电力系统;风电;实时调度;分散鲁棒优化;近似动态规划&lt;/_keywords&gt;&lt;_pages&gt;4478-4485&lt;/_pages&gt;&lt;_volume&gt;43&lt;/_volume&gt;&lt;_created&gt;63705545&lt;/_created&gt;&lt;_modified&gt;63705545&lt;/_modified&gt;&lt;_collection_scope&gt;CSCD;PKU;EI&lt;/_collection_scope&gt;&lt;_translated_author&gt;Wang, Chenxi;Zhu, Jianquan;Xia, Yunrui;Guo, Ye;Mo, Xiemin;Luo, Tianyun&lt;/_translated_author&gt;&lt;/Details&gt;&lt;Extra&gt;&lt;DBUID&gt;{F96A950B-833F-4880-A151-76DA2D6A2879}&lt;/DBUID&gt;&lt;/Extra&gt;&lt;/Item&gt;&lt;/References&gt;&lt;/Group&gt;&lt;/Citation&gt;_x000a_"/>
    <w:docVar w:name="NE.Ref{E5C62A59-09FA-424C-830A-9C303B1F8568}" w:val=" ADDIN NE.Ref.{E5C62A59-09FA-424C-830A-9C303B1F8568}&lt;Citation&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862&lt;/_impact_factor&gt;&lt;_isbn&gt;1751-8687&lt;/_isbn&gt;&lt;_issue&gt;22&lt;/_issue&gt;&lt;_journal&gt;IET GENERATION TRANSMISSION &amp;amp; DISTRIBUTION&lt;/_journal&gt;&lt;_modified&gt;63446047&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Citation&gt;_x000a_"/>
    <w:docVar w:name="NE.Ref{E5D8F010-32D8-4DA7-8BF6-AC2753E35A3D}" w:val=" ADDIN NE.Ref.{E5D8F010-32D8-4DA7-8BF6-AC2753E35A3D}&lt;Citation&gt;&lt;Group&gt;&lt;References&gt;&lt;Item&gt;&lt;ID&gt;895&lt;/ID&gt;&lt;UID&gt;{DA2B6A9A-7D73-4067-A9C9-1BA6869E621C}&lt;/UID&gt;&lt;Title&gt;Coordinated power control of electrochemical energy storage for mitigating subsequent commutation failures of HVDC&lt;/Title&gt;&lt;Template&gt;Journal Article&lt;/Template&gt;&lt;Star&gt;0&lt;/Star&gt;&lt;Tag&gt;0&lt;/Tag&gt;&lt;Author&gt;Zhou, H Y; Yao, W; Ai, X M; Zhang, J; Wen, J Y; Li, C H&lt;/Author&gt;&lt;Year&gt;2022&lt;/Year&gt;&lt;Details&gt;&lt;_alternate_title&gt;INTERNATIONAL JOURNAL OF ELECTRICAL POWER &amp;amp; ENERGY SYSTEMS&lt;/_alternate_title&gt;&lt;_author_adr&gt;Huazhong Univ Sci &amp;amp; Technol, Sch Elect &amp;amp; Elect Engn, State Key Lab Adv Electromagnet Engn &amp;amp; Technol, Wuhan 430074, Peoples R China; Guizhou Univ, Sch Elect Engn, Guiyang 550025, Peoples R China; State Grid Henan Elect Power Co, Elect Power Res Inst, Zhengzhou 450052, Peoples R China&lt;/_author_adr&gt;&lt;_cited_count&gt;8&lt;/_cited_count&gt;&lt;_collection_scope&gt;SCIE;EI&lt;/_collection_scope&gt;&lt;_created&gt;64655769&lt;/_created&gt;&lt;_date&gt;2022-01-01&lt;/_date&gt;&lt;_date_display&gt;2022&lt;/_date_display&gt;&lt;_db_updated&gt;Web of Science-Core&lt;/_db_updated&gt;&lt;_doi&gt;10.1016/j.ijepes.2021.107455&lt;/_doi&gt;&lt;_impact_factor&gt;   5.659&lt;/_impact_factor&gt;&lt;_journal&gt;INTERNATIONAL JOURNAL OF ELECTRICAL POWER &amp;amp; ENERGY SYSTEMS&lt;/_journal&gt;&lt;_keywords&gt;HVDC; Electrochemical energy storage; Subsequent commutation failures; Power control&lt;/_keywords&gt;&lt;_modified&gt;64655770&lt;/_modified&gt;&lt;_volume&gt;134&lt;/_volume&gt;&lt;/Details&gt;&lt;Extra&gt;&lt;DBUID&gt;{6891F4B0-DCBA-459A-9A22-3059983243D4}&lt;/DBUID&gt;&lt;/Extra&gt;&lt;/Item&gt;&lt;/References&gt;&lt;/Group&gt;&lt;/Citation&gt;_x000a_"/>
    <w:docVar w:name="NE.Ref{E6472185-43D6-4E25-8B2A-C45785F9095E}" w:val=" ADDIN NE.Ref.{E6472185-43D6-4E25-8B2A-C45785F9095E}&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E6CD1F53-E7B1-4153-B9F8-234996436C5B}" w:val=" ADDIN NE.Ref.{E6CD1F53-E7B1-4153-B9F8-234996436C5B}&lt;Citation&gt;&lt;Group&gt;&lt;References&gt;&lt;Item&gt;&lt;ID&gt;620&lt;/ID&gt;&lt;UID&gt;{B51A987A-7860-4232-99B2-4D1BD8CC9729}&lt;/UID&gt;&lt;Title&gt;电-热联合微网中分布式可再生能源功率波动平抑策略&lt;/Title&gt;&lt;Template&gt;Journal Article&lt;/Template&gt;&lt;Star&gt;0&lt;/Star&gt;&lt;Tag&gt;0&lt;/Tag&gt;&lt;Author&gt;施金晓; 黄文焘; 邰能灵; 樊飞龙; 余墨多; 马洲俊&lt;/Author&gt;&lt;Year&gt;2018&lt;/Year&gt;&lt;Details&gt;&lt;_journal&gt;中国电机工程学报&lt;/_journal&gt;&lt;_created&gt;63705506&lt;/_created&gt;&lt;_modified&gt;63705506&lt;/_modified&gt;&lt;_collection_scope&gt;CSCD;PKU;EI&lt;/_collection_scope&gt;&lt;_translated_author&gt;Shi, Jinxiao;Huang, Wendao;Tai, Nengling;Fan, Feilong;Yu, Moduo;Ma, Zhoujun&lt;/_translated_author&gt;&lt;/Details&gt;&lt;Extra&gt;&lt;DBUID&gt;{F96A950B-833F-4880-A151-76DA2D6A2879}&lt;/DBUID&gt;&lt;/Extra&gt;&lt;/Item&gt;&lt;/References&gt;&lt;/Group&gt;&lt;/Citation&gt;_x000a_"/>
    <w:docVar w:name="NE.Ref{E6EADFED-D102-48FE-BA0A-B37FF2CE404E}" w:val=" ADDIN NE.Ref.{E6EADFED-D102-48FE-BA0A-B37FF2CE404E}&lt;Citation&gt;&lt;Group&gt;&lt;References&gt;&lt;Item&gt;&lt;ID&gt;674&lt;/ID&gt;&lt;UID&gt;{6D5733ED-3972-4874-89C6-EEA165621FA0}&lt;/UID&gt;&lt;Title&gt;Simulation and analysis of cascading faults in hybrid AC/DC power grids&lt;/Title&gt;&lt;Template&gt;Journal Article&lt;/Template&gt;&lt;Star&gt;0&lt;/Star&gt;&lt;Tag&gt;0&lt;/Tag&gt;&lt;Author&gt;Dong, X Z; Guan, E Y; Jing, L M; Wang, H; Mirsaeidi, S&lt;/Author&gt;&lt;Year&gt;2020&lt;/Year&gt;&lt;Details&gt;&lt;_accessed&gt;64494355&lt;/_accessed&gt;&lt;_alternate_title&gt;INTERNATIONAL JOURNAL OF ELECTRICAL POWER &amp;amp; ENERGY SYSTEMS&lt;/_alternate_title&gt;&lt;_author_adr&gt;Tsinghua Univ, State Key Lab Control &amp;amp; Simulat Power Syst &amp;amp; Gene, Dept Elect Engn, Beijing, Peoples R China; Xi An Jiao Tong Univ, Dept Elect Engn, Shaanxi Key Lab Smart Grid, Xian, Shaanxi, Peoples R China; Beijing Jiaotong Univ, Sch Elect Engn, Beijing, Peoples R China&lt;/_author_adr&gt;&lt;_cited_count&gt;10&lt;/_cited_count&gt;&lt;_collection_scope&gt;SCIE;EI&lt;/_collection_scope&gt;&lt;_created&gt;64493985&lt;/_created&gt;&lt;_date&gt;2020-01-01&lt;/_date&gt;&lt;_date_display&gt;2020&lt;/_date_display&gt;&lt;_db_updated&gt;Web of Science-Core&lt;/_db_updated&gt;&lt;_doi&gt;10.1016/j.ijepes.2019.105492&lt;/_doi&gt;&lt;_impact_factor&gt;   5.659&lt;/_impact_factor&gt;&lt;_journal&gt;INTERNATIONAL JOURNAL OF ELECTRICAL POWER &amp;amp; ENERGY SYSTEMS&lt;/_journal&gt;&lt;_keywords&gt;Hybrid AC/DC power grids; Cascading faults; Commutation failure; Power flow transfer; DC block; Cascading trip&lt;/_keywords&gt;&lt;_modified&gt;64494355&lt;/_modified&gt;&lt;_url&gt;https://onlinelibrary.wiley.com/doi/pdfdirect/10.1016/j.ijepes.2019.105492?download=true _x000d__x000a_&lt;/_url&gt;&lt;_volume&gt;115&lt;/_volume&gt;&lt;/Details&gt;&lt;Extra&gt;&lt;DBUID&gt;{F96A950B-833F-4880-A151-76DA2D6A2879}&lt;/DBUID&gt;&lt;/Extra&gt;&lt;/Item&gt;&lt;/References&gt;&lt;/Group&gt;&lt;/Citation&gt;_x000a_"/>
    <w:docVar w:name="NE.Ref{E7E8A0B1-3F40-4BB0-B156-70E86679B8AB}" w:val=" ADDIN NE.Ref.{E7E8A0B1-3F40-4BB0-B156-70E86679B8AB}&lt;Citation&gt;&lt;Group&gt;&lt;References&gt;&lt;Item&gt;&lt;ID&gt;665&lt;/ID&gt;&lt;UID&gt;{2C22D33F-996F-456D-B0C5-45D0E5406DB5}&lt;/UID&gt;&lt;Title&gt;大规模交直流电力系统仿真计算的相关问题&lt;/Title&gt;&lt;Template&gt;Journal Article&lt;/Template&gt;&lt;Star&gt;1&lt;/Star&gt;&lt;Tag&gt;0&lt;/Tag&gt;&lt;Author&gt;徐政; 蔡晔; 刘国平&lt;/Author&gt;&lt;Year&gt;2002&lt;/Year&gt;&lt;Details&gt;&lt;_accessed&gt;63444710&lt;/_accessed&gt;&lt;_accession_num&gt;CSCD:976036_x000d__x000a_ER&lt;/_accession_num&gt;&lt;_cited_count&gt;4&lt;/_cited_count&gt;&lt;_collection_scope&gt;CSCD;PKU;EI&lt;/_collection_scope&gt;&lt;_created&gt;63444588&lt;/_created&gt;&lt;_date_display&gt;2002, 2002&lt;/_date_display&gt;&lt;_db_provider&gt;ISI&lt;/_db_provider&gt;&lt;_isbn&gt;1000-1026&lt;/_isbn&gt;&lt;_issue&gt;15&lt;/_issue&gt;&lt;_journal&gt;电力系统自动化&lt;/_journal&gt;&lt;_modified&gt;63446169&lt;/_modified&gt;&lt;_pages&gt;4-8&lt;/_pages&gt;&lt;_tertiary_title&gt;电力系统自动化Automation of Electric Power Systems&lt;/_tertiary_title&gt;&lt;_translated_author&gt;Xu, Zheng; Cai, Ye; Liu, Guoping&lt;/_translated_author&gt;&lt;_translated_title&gt;Some problems in the simulation of large-scale AC/DC power systems&lt;/_translated_title&gt;&lt;_url&gt;CSCD:976036 _x000d__x000a_https://kns.cnki.net/kns/download.aspx?filename=KRlUndlZ0YTMClFMT9URqdlQ4MTSi9SbIVjar0GTzgHV3VmT6dTcutia5UFbulneRZzV49mTuplQ6RXbX9WemtCNwR1cxhVcn5GRiV0YCRDMNFEbIlmN4VWekRGUqFGc3RnNYRGdBJDbDBXR2AFM6tyLY9Uaah0Z&amp;amp;tablename=CJFD2002&amp;amp;dflag=pdfdown _x000d__x000a_https://kns.cnki.net/kns/download.aspx?filename=PJGNBlkN382dT9yT2gHbrYTQxZEblp3brIzMrBHb0plRqpENlhmZ2MzKqF0K4oEMoB1MxomQmJWalZVZDNzMipkdW90L3BzcQZEVGZmM6lEUmJmSqZlTaJDbUNneZhjRTNzQItEcF9Ed1EnQ48CZMtUVoF3QN92U&amp;amp;tablename=CJFD2002&amp;amp;dflag=pdfdown _x000d__x000a_&lt;/_url&gt;&lt;_volume&gt;26&lt;/_volume&gt;&lt;/Details&gt;&lt;Extra&gt;&lt;DBUID&gt;{6891F4B0-DCBA-459A-9A22-3059983243D4}&lt;/DBUID&gt;&lt;/Extra&gt;&lt;/Item&gt;&lt;/References&gt;&lt;/Group&gt;&lt;/Citation&gt;_x000a_"/>
    <w:docVar w:name="NE.Ref{E91AE3C8-C1F1-423C-9608-B166B13CC821}" w:val=" ADDIN NE.Ref.{E91AE3C8-C1F1-423C-9608-B166B13CC821}&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Citation&gt;_x000a_"/>
    <w:docVar w:name="NE.Ref{E9D75F7B-28B8-4400-BDF6-66C48530E16C}" w:val=" ADDIN NE.Ref.{E9D75F7B-28B8-4400-BDF6-66C48530E16C}&lt;Citation&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ion_num&gt;CSCD:6050560&lt;/_accession_num&gt;&lt;_cited_count&gt;3&lt;/_cited_count&gt;&lt;_date_display&gt;2017, 2017&lt;/_date_display&gt;&lt;_isbn&gt;1000-3673&lt;/_isbn&gt;&lt;_issue&gt;8&lt;/_issue&gt;&lt;_journal&gt;Power System Technology&lt;/_journal&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lt;/_url&gt;&lt;_volume&gt;41&lt;/_volume&gt;&lt;_created&gt;63459186&lt;/_created&gt;&lt;_modified&gt;63459187&lt;/_modified&gt;&lt;_db_provider&gt;ISI&lt;/_db_provider&gt;&lt;_db_updated&gt;Web of Science-All&lt;/_db_updated&gt;&lt;_accessed&gt;63459189&lt;/_accessed&gt;&lt;/Details&gt;&lt;Extra&gt;&lt;DBUID&gt;{6891F4B0-DCBA-459A-9A22-3059983243D4}&lt;/DBUID&gt;&lt;/Extra&gt;&lt;/Item&gt;&lt;/References&gt;&lt;/Group&gt;&lt;Group&gt;&lt;References&gt;&lt;Item&gt;&lt;ID&gt;366&lt;/ID&gt;&lt;UID&gt;{C77C692E-F5FB-4E72-B42C-4384C150C477}&lt;/UID&gt;&lt;Title&gt;HVDC Transmission: Technology Review, Market Trends and Future Outlook&lt;/Title&gt;&lt;Template&gt;Journal Article&lt;/Template&gt;&lt;Star&gt;0&lt;/Star&gt;&lt;Tag&gt;0&lt;/Tag&gt;&lt;Author&gt;Alassi, Abdulrahman; Banales, Santiago; Ellabban, Omar; Adam, Grain; MacIver, Callum&lt;/Author&gt;&lt;Year&gt;2019&lt;/Year&gt;&lt;Details&gt;&lt;_accessed&gt;63445972&lt;/_accessed&gt;&lt;_accession_num&gt;WOS:000474208400037_x000d__x000a_ER&lt;/_accession_num&gt;&lt;_cited_count&gt;11&lt;/_cited_count&gt;&lt;_collection_scope&gt;SCI;SCIE;EI&lt;/_collection_scope&gt;&lt;_created&gt;63444588&lt;/_created&gt;&lt;_date_display&gt;2019, SEP 2019&lt;/_date_display&gt;&lt;_db_provider&gt;ISI&lt;/_db_provider&gt;&lt;_doi&gt;10.1016/j.rser.2019.04.062&lt;/_doi&gt;&lt;_impact_factor&gt;  12.110&lt;/_impact_factor&gt;&lt;_isbn&gt;1364-0321&lt;/_isbn&gt;&lt;_journal&gt;RENEWABLE &amp;amp; SUSTAINABLE ENERGY REVIEWS&lt;/_journal&gt;&lt;_modified&gt;63446044&lt;/_modified&gt;&lt;_pages&gt;530-554&lt;/_pages&gt;&lt;_url&gt;http://gateway.isiknowledge.com/gateway/Gateway.cgi?GWVersion=2&amp;amp;SrcAuth=AegeanSoftware&amp;amp;SrcApp=NoteExpress&amp;amp;DestLinkType=FullRecord&amp;amp;DestApp=WOS&amp;amp;KeyUT=000474208400037 _x000d__x000a_https://pdf.sciencedirectassets.com/271969/1-s2.0-S1364032119X00106/1-s2.0-S1364032119302837/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100411Z&amp;amp;X-Amz-SignedHeaders=host&amp;amp;X-Amz-Expires=300&amp;amp;X-Amz-Credential=ASIAQ3PHCVTYRRHIMDUZ%2F20200818%2Fus-east-1%2Fs3%2Faws4_request&amp;amp;X-Amz-Signature=a09d2552bceb874e3f4c96afe88d567821ea0aedb9a1a686b90ddbd067aa0d37&amp;amp;hash=d3aae682c1341c9a2e301d9e13cd747b859f607617ad3fe11fd9d4180b7b3118&amp;amp;host=68042c943591013ac2b2430a89b270f6af2c76d8dfd086a07176afe7c76c2c61&amp;amp;pii=S1364032119302837&amp;amp;tid=spdf-91b49cb6-5d28-4351-aa1b-f8e08b8726fd&amp;amp;sid=f52ef8d64bd7a74c2c3844a4fb751a582258gxrqa&amp;amp;type=client _x000d__x000a_&lt;/_url&gt;&lt;_volume&gt;112&lt;/_volume&gt;&lt;/Details&gt;&lt;Extra&gt;&lt;DBUID&gt;{6891F4B0-DCBA-459A-9A22-3059983243D4}&lt;/DBUID&gt;&lt;/Extra&gt;&lt;/Item&gt;&lt;/References&gt;&lt;/Group&gt;&lt;/Citation&gt;_x000a_"/>
    <w:docVar w:name="NE.Ref{EAD8BFDB-3EAA-47D1-A6B8-F48973BCFA9E}" w:val=" ADDIN NE.Ref.{EAD8BFDB-3EAA-47D1-A6B8-F48973BCFA9E}&lt;Citation&gt;&lt;Group&gt;&lt;References&gt;&lt;Item&gt;&lt;ID&gt;411&lt;/ID&gt;&lt;UID&gt;{803FE997-D4CD-41F7-AA83-B6A9B000F5C6}&lt;/UID&gt;&lt;Title&gt;基于改进PSO算法的动态环境经济调度研究&lt;/Title&gt;&lt;Template&gt;Journal Article&lt;/Template&gt;&lt;Star&gt;0&lt;/Star&gt;&lt;Tag&gt;0&lt;/Tag&gt;&lt;Author&gt;稳国栋&lt;/Author&gt;&lt;Year&gt;2017&lt;/Year&gt;&lt;Details&gt;&lt;_created&gt;63642106&lt;/_created&gt;&lt;_issue&gt;02&lt;/_issue&gt;&lt;_journal&gt;黑龙江电力&lt;/_journal&gt;&lt;_modified&gt;63642106&lt;/_modified&gt;&lt;_pages&gt;120-124&lt;/_pages&gt;&lt;_translated_author&gt;Wen, Guodong&lt;/_translated_author&gt;&lt;/Details&gt;&lt;Extra&gt;&lt;DBUID&gt;{F96A950B-833F-4880-A151-76DA2D6A2879}&lt;/DBUID&gt;&lt;/Extra&gt;&lt;/Item&gt;&lt;/References&gt;&lt;/Group&gt;&lt;Group&gt;&lt;References&gt;&lt;Item&gt;&lt;ID&gt;412&lt;/ID&gt;&lt;UID&gt;{5688BFE8-2D59-4109-9B4D-D6C0993407DD}&lt;/UID&gt;&lt;Title&gt;Evolutionary Algorithms for Dynamic Economic Dispatch Problems&lt;/Title&gt;&lt;Template&gt;Journal Article&lt;/Template&gt;&lt;Star&gt;0&lt;/Star&gt;&lt;Tag&gt;0&lt;/Tag&gt;&lt;Author&gt;Zaman, M F; Elsayed, Saber M; Ray, Tapabrata; Sarker, Ruhul A&lt;/Author&gt;&lt;Year&gt;2016&lt;/Year&gt;&lt;Details&gt;&lt;_collection_scope&gt;SCI;SCIE;EI&lt;/_collection_scope&gt;&lt;_created&gt;63642107&lt;/_created&gt;&lt;_impact_factor&gt;   6.074&lt;/_impact_factor&gt;&lt;_issue&gt;2&lt;/_issue&gt;&lt;_journal&gt;IEEE Transactions on Power Systems&lt;/_journal&gt;&lt;_modified&gt;63642107&lt;/_modified&gt;&lt;_pages&gt;1486-1495&lt;/_pages&gt;&lt;_volume&gt;31&lt;/_volume&gt;&lt;/Details&gt;&lt;Extra&gt;&lt;DBUID&gt;{F96A950B-833F-4880-A151-76DA2D6A2879}&lt;/DBUID&gt;&lt;/Extra&gt;&lt;/Item&gt;&lt;/References&gt;&lt;/Group&gt;&lt;/Citation&gt;_x000a_"/>
    <w:docVar w:name="NE.Ref{EB1525E1-124F-4CB8-B614-FF6DD0645CC5}" w:val=" ADDIN NE.Ref.{EB1525E1-124F-4CB8-B614-FF6DD0645CC5}&lt;Citation&gt;&lt;Group&gt;&lt;References&gt;&lt;Item&gt;&lt;ID&gt;367&lt;/ID&gt;&lt;UID&gt;{A1FE966F-8ADA-4AD7-950B-63C40F5C303B}&lt;/UID&gt;&lt;Title&gt;An Integrated Control and Protection Scheme to Inhibit Blackouts Caused by Cascading Fault in Large-Scale Hybrid AC/DC Power Grids&lt;/Title&gt;&lt;Template&gt;Journal Article&lt;/Template&gt;&lt;Star&gt;0&lt;/Star&gt;&lt;Tag&gt;0&lt;/Tag&gt;&lt;Author&gt;Mirsaeidi, Sohrab; Dong, Xinzhou&lt;/Author&gt;&lt;Year&gt;2019&lt;/Year&gt;&lt;Details&gt;&lt;_accessed&gt;63445972&lt;/_accessed&gt;&lt;_accession_num&gt;WOS:000469912200019_x000d__x000a_ER&lt;/_accession_num&gt;&lt;_cited_count&gt;1&lt;/_cited_count&gt;&lt;_collection_scope&gt;SCI;SCIE;EI&lt;/_collection_scope&gt;&lt;_created&gt;63444588&lt;/_created&gt;&lt;_date_display&gt;2019, AUG 2019&lt;/_date_display&gt;&lt;_db_provider&gt;ISI&lt;/_db_provider&gt;&lt;_doi&gt;10.1109/TPEL.2018.2881720&lt;/_doi&gt;&lt;_impact_factor&gt;   5.967&lt;/_impact_factor&gt;&lt;_isbn&gt;0885-8993&lt;/_isbn&gt;&lt;_issue&gt;8&lt;/_issue&gt;&lt;_journal&gt;IEEE TRANSACTIONS ON POWER ELECTRONICS&lt;/_journal&gt;&lt;_modified&gt;64498621&lt;/_modified&gt;&lt;_pages&gt;7278-7291&lt;/_pages&gt;&lt;_url&gt;http://gateway.isiknowledge.com/gateway/Gateway.cgi?GWVersion=2&amp;amp;SrcAuth=AegeanSoftware&amp;amp;SrcApp=NoteExpress&amp;amp;DestLinkType=FullRecord&amp;amp;DestApp=WOS&amp;amp;KeyUT=000469912200019 _x000d__x000a_https://ieeexplore.ieee.org/stampPDF/getPDF.jsp?tp=&amp;amp;arnumber=8537972&amp;amp;ref=aHR0cHM6Ly9pZWVleHBsb3JlLmllZWUub3JnL3Jlc3Qvc2VhcmNo _x000d__x000a_&lt;/_url&gt;&lt;_volume&gt;34&lt;/_volume&gt;&lt;/Details&gt;&lt;Extra&gt;&lt;DBUID&gt;{6891F4B0-DCBA-459A-9A22-3059983243D4}&lt;/DBUID&gt;&lt;/Extra&gt;&lt;/Item&gt;&lt;/References&gt;&lt;/Group&gt;&lt;Group&gt;&lt;References&gt;&lt;Item&gt;&lt;ID&gt;366&lt;/ID&gt;&lt;UID&gt;{C77C692E-F5FB-4E72-B42C-4384C150C477}&lt;/UID&gt;&lt;Title&gt;HVDC Transmission: Technology Review, Market Trends and Future Outlook&lt;/Title&gt;&lt;Template&gt;Journal Article&lt;/Template&gt;&lt;Star&gt;0&lt;/Star&gt;&lt;Tag&gt;0&lt;/Tag&gt;&lt;Author&gt;Alassi, Abdulrahman; Banales, Santiago; Ellabban, Omar; Adam, Grain; MacIver, Callum&lt;/Author&gt;&lt;Year&gt;2019&lt;/Year&gt;&lt;Details&gt;&lt;_accessed&gt;63445972&lt;/_accessed&gt;&lt;_accession_num&gt;WOS:000474208400037_x000d__x000a_ER&lt;/_accession_num&gt;&lt;_cited_count&gt;11&lt;/_cited_count&gt;&lt;_collection_scope&gt;SCI;SCIE;EI&lt;/_collection_scope&gt;&lt;_created&gt;63444588&lt;/_created&gt;&lt;_date_display&gt;2019, SEP 2019&lt;/_date_display&gt;&lt;_db_provider&gt;ISI&lt;/_db_provider&gt;&lt;_doi&gt;10.1016/j.rser.2019.04.062&lt;/_doi&gt;&lt;_impact_factor&gt;  16.799&lt;/_impact_factor&gt;&lt;_isbn&gt;1364-0321&lt;/_isbn&gt;&lt;_journal&gt;RENEWABLE &amp;amp; SUSTAINABLE ENERGY REVIEWS&lt;/_journal&gt;&lt;_modified&gt;64498638&lt;/_modified&gt;&lt;_pages&gt;530-554&lt;/_pages&gt;&lt;_url&gt;http://gateway.isiknowledge.com/gateway/Gateway.cgi?GWVersion=2&amp;amp;SrcAuth=AegeanSoftware&amp;amp;SrcApp=NoteExpress&amp;amp;DestLinkType=FullRecord&amp;amp;DestApp=WOS&amp;amp;KeyUT=000474208400037 _x000d__x000a_https://pdf.sciencedirectassets.com/271969/1-s2.0-S1364032119X00106/1-s2.0-S1364032119302837/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100411Z&amp;amp;X-Amz-SignedHeaders=host&amp;amp;X-Amz-Expires=300&amp;amp;X-Amz-Credential=ASIAQ3PHCVTYRRHIMDUZ%2F20200818%2Fus-east-1%2Fs3%2Faws4_request&amp;amp;X-Amz-Signature=a09d2552bceb874e3f4c96afe88d567821ea0aedb9a1a686b90ddbd067aa0d37&amp;amp;hash=d3aae682c1341c9a2e301d9e13cd747b859f607617ad3fe11fd9d4180b7b3118&amp;amp;host=68042c943591013ac2b2430a89b270f6af2c76d8dfd086a07176afe7c76c2c61&amp;amp;pii=S1364032119302837&amp;amp;tid=spdf-91b49cb6-5d28-4351-aa1b-f8e08b8726fd&amp;amp;sid=f52ef8d64bd7a74c2c3844a4fb751a582258gxrqa&amp;amp;type=client _x000d__x000a_&lt;/_url&gt;&lt;_volume&gt;112&lt;/_volume&gt;&lt;/Details&gt;&lt;Extra&gt;&lt;DBUID&gt;{6891F4B0-DCBA-459A-9A22-3059983243D4}&lt;/DBUID&gt;&lt;/Extra&gt;&lt;/Item&gt;&lt;/References&gt;&lt;/Group&gt;&lt;/Citation&gt;_x000a_"/>
    <w:docVar w:name="NE.Ref{EBB8FC37-3C4E-4B4E-BD18-E7C3BD78A3C3}" w:val=" ADDIN NE.Ref.{EBB8FC37-3C4E-4B4E-BD18-E7C3BD78A3C3}&lt;Citation&gt;&lt;Group&gt;&lt;References&gt;&lt;Item&gt;&lt;ID&gt;565&lt;/ID&gt;&lt;UID&gt;{5F634247-0F19-4220-908B-C510A6654ED4}&lt;/UID&gt;&lt;Title&gt;考虑直流电流变化及交流故障发生时刻影响的HVDC换相失败分析方法&lt;/Title&gt;&lt;Template&gt;Journal Article&lt;/Template&gt;&lt;Star&gt;0&lt;/Star&gt;&lt;Tag&gt;0&lt;/Tag&gt;&lt;Author&gt;徐敬友; 谭海燕; 孙海顺; 吴晋波&lt;/Author&gt;&lt;Year&gt;2015&lt;/Year&gt;&lt;Details&gt;&lt;_accessed&gt;63451440&lt;/_accessed&gt;&lt;_accession_num&gt;CSCD:5432946_x000d__x000a_ER&lt;/_accession_num&gt;&lt;_cited_count&gt;3&lt;/_cited_count&gt;&lt;_collection_scope&gt;CSCD;PKU;EI&lt;/_collection_scope&gt;&lt;_created&gt;63444588&lt;/_created&gt;&lt;_date_display&gt;2015, 2015&lt;/_date_display&gt;&lt;_db_provider&gt;ISI&lt;/_db_provider&gt;&lt;_isbn&gt;1000-3673&lt;/_isbn&gt;&lt;_issue&gt;1000-3673(2015)39:5&amp;lt;1261:KLZLDL&amp;gt;2.0.TX;2-V5&lt;/_issue&gt;&lt;_journal&gt;电网技术&lt;/_journal&gt;&lt;_modified&gt;63552604&lt;/_modified&gt;&lt;_pages&gt;1261-1267&lt;/_pages&gt;&lt;_tertiary_title&gt;Power System Technology&lt;/_tertiary_title&gt;&lt;_translated_author&gt;Xu, Jingyou; Tan, Haiyan; Sun, Haishun; Wu, Jinbo&lt;/_translated_author&gt;&lt;_translated_title&gt;Research on Method to Analyze Commutation Failure in HVDC Power Transmission System Considering the Impact of DC Current Variation and Occurrence Moment of AC Fault&lt;/_translated_title&gt;&lt;_url&gt;CSCD:5432946 _x000d__x000a_https://kns.cnki.net/kcms/download.aspx?filename=6hHMwlmSyAlTN1memlUbjlGcy8GN0R1UWRFOZNnUFZTM0Q3YQJXU5YDNa10R3NzVrYUR49mbqhGaCZEbttCaRJXNXdHVLh1ZZhHZ2AjVIRkRTF2VSpES4UXdBR3Zxc2QVRVSydjcFJURiN0bihVR5RkZhhEZ5gjV&amp;amp;tablename=CJFDLAST2015&amp;amp;dflag=pdfdown _x000d__x000a_&lt;/_url&gt;&lt;_volume&gt;39&lt;/_volume&gt;&lt;/Details&gt;&lt;Extra&gt;&lt;DBUID&gt;{6891F4B0-DCBA-459A-9A22-3059983243D4}&lt;/DBUID&gt;&lt;/Extra&gt;&lt;/Item&gt;&lt;/References&gt;&lt;/Group&gt;&lt;Group&gt;&lt;References&gt;&lt;Item&gt;&lt;ID&gt;520&lt;/ID&gt;&lt;UID&gt;{B6220A73-5654-42C6-AC86-6FA5F0F94F07}&lt;/UID&gt;&lt;Title&gt;考虑直流电流上升及交流电压下降速度的换相失败分析&lt;/Title&gt;&lt;Template&gt;Journal Article&lt;/Template&gt;&lt;Star&gt;0&lt;/Star&gt;&lt;Tag&gt;0&lt;/Tag&gt;&lt;Author&gt;王峰; 刘天琪; 李兴源; 杨稼祥&lt;/Author&gt;&lt;Year&gt;2016&lt;/Year&gt;&lt;Details&gt;&lt;_accessed&gt;63445920&lt;/_accessed&gt;&lt;_accession_num&gt;CSCD:5859063_x000d__x000a_ER&lt;/_accession_num&gt;&lt;_cited_count&gt;1&lt;/_cited_count&gt;&lt;_created&gt;63444588&lt;/_created&gt;&lt;_date_display&gt;2016, 2016&lt;/_date_display&gt;&lt;_db_provider&gt;ISI&lt;/_db_provider&gt;&lt;_isbn&gt;1000-1026&lt;/_isbn&gt;&lt;_issue&gt;1000-1026(2016)40:22&amp;lt;111:KLZLDL&amp;gt;2.0.TX;2-Q22&lt;/_issue&gt;&lt;_journal&gt;电力系统自动化 &lt;/_journal&gt;&lt;_modified&gt;63552605&lt;/_modified&gt;&lt;_pages&gt;111-117&lt;/_pages&gt;&lt;_tertiary_title&gt;Automation of Electric Power Systems&lt;/_tertiary_title&gt;&lt;_translated_author&gt;Wang, Feng; Liu, Tianqi; Li, Xingyuan; Yang, Jiaxiang&lt;/_translated_author&gt;&lt;_translated_title&gt;Commutation Failure Analysis Considering DC Current Rise and AC Voltage Drop Speed &lt;/_translated_title&gt;&lt;_url&gt;CSCD:5859063 _x000d__x000a_https://kns.cnki.net/kcms/download.aspx?filename=ZZXRY92VzVFVrckNv1GeJZETTtCRWllcYBzdUNDNtlWa6FVR6dnMWZzRnN0bzQzdwhUaYpXTWZXRIJWUMNHeYBHbHN1YBVXYChDbWtSbqdnRnd1YTpGSEd2U4YmNzcjMSpVOrVTNxN1cypWav1UQh12SyJWR14kM&amp;amp;tablename=CJFDLAST2016&amp;amp;dflag=pdfdown _x000d__x000a_&lt;/_url&gt;&lt;_volume&gt;40&lt;/_volume&gt;&lt;/Details&gt;&lt;Extra&gt;&lt;DBUID&gt;{6891F4B0-DCBA-459A-9A22-3059983243D4}&lt;/DBUID&gt;&lt;/Extra&gt;&lt;/Item&gt;&lt;/References&gt;&lt;/Group&gt;&lt;/Citation&gt;_x000a_"/>
    <w:docVar w:name="NE.Ref{EBFB507F-1D42-49A6-83A3-E56020AA2866}" w:val=" ADDIN NE.Ref.{EBFB507F-1D42-49A6-83A3-E56020AA2866}&lt;Citation&gt;&lt;Group&gt;&lt;References&gt;&lt;Item&gt;&lt;ID&gt;505&lt;/ID&gt;&lt;UID&gt;{51E94598-90E5-4F65-B6AB-4C4A309C8B01}&lt;/UID&gt;&lt;Title&gt;A Distributionally Robust Optimization Model for Real-Time Power Dispatch in Distribution Networks&lt;/Title&gt;&lt;Template&gt;Journal Article&lt;/Template&gt;&lt;Star&gt;0&lt;/Star&gt;&lt;Tag&gt;0&lt;/Tag&gt;&lt;Author&gt;Yang, Yue; Wu, Wenchuan&lt;/Author&gt;&lt;Year&gt;2019&lt;/Year&gt;&lt;Details&gt;&lt;_created&gt;63654827&lt;/_created&gt;&lt;_issue&gt;4&lt;/_issue&gt;&lt;_journal&gt;Smart Grid, IEEE Transactions on&lt;/_journal&gt;&lt;_modified&gt;63654827&lt;/_modified&gt;&lt;_pages&gt;3743-3752&lt;/_pages&gt;&lt;_volume&gt;10&lt;/_volume&gt;&lt;/Details&gt;&lt;Extra&gt;&lt;DBUID&gt;{F96A950B-833F-4880-A151-76DA2D6A2879}&lt;/DBUID&gt;&lt;/Extra&gt;&lt;/Item&gt;&lt;/References&gt;&lt;/Group&gt;&lt;/Citation&gt;_x000a_"/>
    <w:docVar w:name="NE.Ref{EC45EC25-FBE0-492B-9934-22894C838489}" w:val=" ADDIN NE.Ref.{EC45EC25-FBE0-492B-9934-22894C838489}&lt;Citation&gt;&lt;Group&gt;&lt;References&gt;&lt;Item&gt;&lt;ID&gt;599&lt;/ID&gt;&lt;UID&gt;{05A2F942-156B-4C32-BB95-FB10F8C20D54}&lt;/UID&gt;&lt;Title&gt;虚拟电厂参与大规模新能源系统的储能侧双层优化运行策略&lt;/Title&gt;&lt;Template&gt;Journal Article&lt;/Template&gt;&lt;Star&gt;0&lt;/Star&gt;&lt;Tag&gt;0&lt;/Tag&gt;&lt;Author&gt;王开科; 南东亮; 李勇; 张路; 李笑竹&lt;/Author&gt;&lt;Year&gt;2020&lt;/Year&gt;&lt;Details&gt;&lt;_author_adr&gt;国网新疆电力有限公司电力科学研究院;新疆大学可再生能源发电与并网技术教育部工程研究中心;国家电网公司华中分部;&lt;/_author_adr&gt;&lt;_created&gt;63705145&lt;/_created&gt;&lt;_db_provider&gt;CNKI&lt;/_db_provider&gt;&lt;_isbn&gt;2095-9524&lt;/_isbn&gt;&lt;_issue&gt;02&lt;/_issue&gt;&lt;_journal&gt;电气工程学报&lt;/_journal&gt;&lt;_keywords&gt;大规模新能源;虚拟电厂;储能;双层优化;多目标算法&lt;/_keywords&gt;&lt;_modified&gt;63705145&lt;/_modified&gt;&lt;_pages&gt;24-33&lt;/_pages&gt;&lt;_volume&gt;15&lt;/_volume&gt;&lt;_translated_author&gt;Wang, Kaike;Nan, Dongliang;Li, Yong;Zhang, Lu;Li, Xiaozhu&lt;/_translated_author&gt;&lt;/Details&gt;&lt;Extra&gt;&lt;DBUID&gt;{F96A950B-833F-4880-A151-76DA2D6A2879}&lt;/DBUID&gt;&lt;/Extra&gt;&lt;/Item&gt;&lt;/References&gt;&lt;/Group&gt;&lt;/Citation&gt;_x000a_"/>
    <w:docVar w:name="NE.Ref{ECBCDFBA-3751-47A1-BC8D-17A1AED2E63C}" w:val=" ADDIN NE.Ref.{ECBCDFBA-3751-47A1-BC8D-17A1AED2E63C}&lt;Citation&gt;&lt;Group&gt;&lt;References&gt;&lt;Item&gt;&lt;ID&gt;718&lt;/ID&gt;&lt;UID&gt;{BDF9AE4C-640B-411C-A0AD-46B0C47964F0}&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date&gt;2013-01-10&lt;/_date&gt;&lt;_db_provider&gt;CNKI: 期刊&lt;/_db_provider&gt;&lt;_issue&gt;01&lt;/_issue&gt;&lt;_journal&gt;电力自动化设备&lt;/_journal&gt;&lt;_keywords&gt;直流闭锁;交流联络线;功率波动;阶跃响应;转动惯量;阻尼比&lt;/_keywords&gt;&lt;_pages&gt;12-17&lt;/_pages&gt;&lt;_url&gt;http://kns.cnki.net/KCMS/detail/detail.aspx?FileName=DLZS201301004&amp;amp;DbName=CJFQ2013&lt;/_url&gt;&lt;_volume&gt;33&lt;/_volume&gt;&lt;_created&gt;63727869&lt;/_created&gt;&lt;_modified&gt;63727869&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ECBFD151-6C58-4123-85A1-71B0F8A4ABFB}" w:val=" ADDIN NE.Ref.{ECBFD151-6C58-4123-85A1-71B0F8A4ABFB}&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ED7B246A-31F4-4B79-B9DB-04C7B0EB2F44}" w:val=" ADDIN NE.Ref.{ED7B246A-31F4-4B79-B9DB-04C7B0EB2F44}&lt;Citation&gt;&lt;Group&gt;&lt;References&gt;&lt;Item&gt;&lt;ID&gt;107&lt;/ID&gt;&lt;UID&gt;{03E2A6D5-82BA-4D42-9E43-1D290CE92737}&lt;/UID&gt;&lt;Title&gt;含分布式电源的配电网模糊优化规划&lt;/Title&gt;&lt;Template&gt;Journal Article&lt;/Template&gt;&lt;Star&gt;0&lt;/Star&gt;&lt;Tag&gt;0&lt;/Tag&gt;&lt;Author&gt;杨毅; 韦钢; 周冰; 张鑫&lt;/Author&gt;&lt;Year&gt;2010&lt;/Year&gt;&lt;Details&gt;&lt;_accessed&gt;64303910&lt;/_accessed&gt;&lt;_author_aff&gt;上海电力学院上海市电站自动化技术重点实验室;上海浦海求实电力新技术有限公司;&lt;/_author_aff&gt;&lt;_cited_count&gt;162&lt;/_cited_count&gt;&lt;_collection_scope&gt;CSCD;PKU;EI&lt;/_collection_scope&gt;&lt;_created&gt;64303910&lt;/_created&gt;&lt;_date&gt;58128480&lt;/_date&gt;&lt;_db_updated&gt;CNKI - Reference&lt;/_db_updated&gt;&lt;_issue&gt;13&lt;/_issue&gt;&lt;_journal&gt;电力系统自动化&lt;/_journal&gt;&lt;_keywords&gt;分布式电源;配电网;模糊优化规划;可信性理论;模糊期望值模型;混合编码&lt;/_keywords&gt;&lt;_language&gt;Chinese&lt;/_language&gt;&lt;_modified&gt;64303910&lt;/_modified&gt;&lt;_pages&gt;19-23&lt;/_pages&gt;&lt;_url&gt;https://kns.cnki.net/kcms/detail/detail.aspx?FileName=DLXT201013004&amp;amp;DbName=CJFQ2010&lt;/_url&gt;&lt;_volume&gt;34&lt;/_volume&gt;&lt;_translated_author&gt;Yang, Yi;Wei, Gang;Zhou, Bing;Zhang, Xin&lt;/_translated_author&gt;&lt;/Details&gt;&lt;Extra&gt;&lt;DBUID&gt;{560D5FFD-5A46-4EB8-859B-FD657304A42E}&lt;/DBUID&gt;&lt;/Extra&gt;&lt;/Item&gt;&lt;/References&gt;&lt;/Group&gt;&lt;/Citation&gt;_x000a_"/>
    <w:docVar w:name="NE.Ref{EDBD487E-199E-4031-B6C6-39C4569F2864}" w:val=" ADDIN NE.Ref.{EDBD487E-199E-4031-B6C6-39C4569F2864}&lt;Citation&gt;&lt;Group&gt;&lt;References&gt;&lt;Item&gt;&lt;ID&gt;671&lt;/ID&gt;&lt;UID&gt;{B9B5CD33-CF6E-4817-B83F-6813BA498D4A}&lt;/UID&gt;&lt;Title&gt;Current-limit control method to prevent subsequent commutation failure of LCC-HVDC based on adaptive trigger voltage&lt;/Title&gt;&lt;Template&gt;Journal Article&lt;/Template&gt;&lt;Star&gt;0&lt;/Star&gt;&lt;Tag&gt;0&lt;/Tag&gt;&lt;Author&gt;Ouyang, J X; Zhang, Z; Pang, M Y; Ye, J J; Xiong, X F&lt;/Author&gt;&lt;Year&gt;2020&lt;/Year&gt;&lt;Details&gt;&lt;_accessed&gt;64494416&lt;/_accessed&gt;&lt;_alternate_title&gt;INTERNATIONAL JOURNAL OF ELECTRICAL POWER &amp;amp; ENERGY SYSTEMS&lt;/_alternate_title&gt;&lt;_author_adr&gt;Chongqing Univ, Sch Elect Engn, State Key Lab Power Transmiss Equipment &amp;amp; Syst Se, Chongqing 400044, Peoples R China&lt;/_author_adr&gt;&lt;_cited_count&gt;12&lt;/_cited_count&gt;&lt;_collection_scope&gt;SCIE;EI&lt;/_collection_scope&gt;&lt;_created&gt;64493985&lt;/_created&gt;&lt;_date&gt;2020-01-01&lt;/_date&gt;&lt;_date_display&gt;2020&lt;/_date_display&gt;&lt;_db_updated&gt;Web of Science-Core&lt;/_db_updated&gt;&lt;_doi&gt;10.1016/j.ijepes.2020.106190&lt;/_doi&gt;&lt;_impact_factor&gt;   5.659&lt;/_impact_factor&gt;&lt;_journal&gt;INTERNATIONAL JOURNAL OF ELECTRICAL POWER &amp;amp; ENERGY SYSTEMS&lt;/_journal&gt;&lt;_keywords&gt;HVDC transmission; Subsequent commutation failure; AC grid fault; Critical slope&lt;/_keywords&gt;&lt;_modified&gt;64494392&lt;/_modified&gt;&lt;_volume&gt;122&lt;/_volume&gt;&lt;/Details&gt;&lt;Extra&gt;&lt;DBUID&gt;{F96A950B-833F-4880-A151-76DA2D6A2879}&lt;/DBUID&gt;&lt;/Extra&gt;&lt;/Item&gt;&lt;/References&gt;&lt;/Group&gt;&lt;/Citation&gt;_x000a_"/>
    <w:docVar w:name="NE.Ref{EDD47934-81FB-4CD7-978B-835F51C3B431}" w:val=" ADDIN NE.Ref.{EDD47934-81FB-4CD7-978B-835F51C3B431}&lt;Citation&gt;&lt;Group&gt;&lt;References&gt;&lt;Item&gt;&lt;ID&gt;465&lt;/ID&gt;&lt;UID&gt;{2C73837E-3505-4E81-9AF8-7EDB1CF92E50}&lt;/UID&gt;&lt;Title&gt;特高压直流输电中直流偏磁引起的谐波对换相失败的影响研究&lt;/Title&gt;&lt;Template&gt;Journal Article&lt;/Template&gt;&lt;Star&gt;0&lt;/Star&gt;&lt;Tag&gt;0&lt;/Tag&gt;&lt;Author&gt;常鹏; 阿里木江·卡德尔; 王海云; 武家辉; 梅勇振; 李阳&lt;/Author&gt;&lt;Year&gt;2018&lt;/Year&gt;&lt;Details&gt;&lt;_accessed&gt;63445969&lt;/_accessed&gt;&lt;_accession_num&gt;CSCD:6215387_x000d__x000a_ER&lt;/_accession_num&gt;&lt;_cited_count&gt;0&lt;/_cited_count&gt;&lt;_collection_scope&gt;CSCD;PKU&lt;/_collection_scope&gt;&lt;_created&gt;63444588&lt;/_created&gt;&lt;_date_display&gt;2018, 2018&lt;/_date_display&gt;&lt;_db_provider&gt;ISI&lt;/_db_provider&gt;&lt;_isbn&gt;1001-1609&lt;/_isbn&gt;&lt;_issue&gt;1001-1609(2018)54:4&amp;lt;94:TGYZLS&amp;gt;2.0.TX;2-#4&lt;/_issue&gt;&lt;_journal&gt;高压电器&lt;/_journal&gt;&lt;_modified&gt;63445969&lt;/_modified&gt;&lt;_pages&gt;94-99&lt;/_pages&gt;&lt;_tertiary_title&gt;High Voltage Apparatus&lt;/_tertiary_title&gt;&lt;_translated_author&gt;Chang, Peng; Alimjan, Kader; Wang, Haiyun; Wu, Jiahui; Mei, Yongzhen; Li, Yang&lt;/_translated_author&gt;&lt;_translated_title&gt;Study on Effect of Harmonics Caused by DC Bias on Commutation Failure in UHVDC Transmission&lt;/_translated_title&gt;&lt;_url&gt;CSCD:6215387&lt;/_url&gt;&lt;_volume&gt;54&lt;/_volume&gt;&lt;/Details&gt;&lt;Extra&gt;&lt;DBUID&gt;{6891F4B0-DCBA-459A-9A22-3059983243D4}&lt;/DBUID&gt;&lt;/Extra&gt;&lt;/Item&gt;&lt;/References&gt;&lt;/Group&gt;&lt;Group&gt;&lt;References&gt;&lt;Item&gt;&lt;ID&gt;583&lt;/ID&gt;&lt;UID&gt;{08522C54-6CB9-4E11-ACB3-F805C405D502}&lt;/UID&gt;&lt;Title&gt;直流偏磁增大换相失败风险的机理分析及仿真&lt;/Title&gt;&lt;Template&gt;Journal Article&lt;/Template&gt;&lt;Star&gt;0&lt;/Star&gt;&lt;Tag&gt;0&lt;/Tag&gt;&lt;Author&gt;黄敏; 郭倩雯; 童重立; 孙近文&lt;/Author&gt;&lt;Year&gt;2014&lt;/Year&gt;&lt;Details&gt;&lt;_accessed&gt;63445907&lt;/_accessed&gt;&lt;_accession_num&gt;CSCD:5246934_x000d__x000a_ER&lt;/_accession_num&gt;&lt;_cited_count&gt;0&lt;/_cited_count&gt;&lt;_collection_scope&gt;CSCD;PKU;EI&lt;/_collection_scope&gt;&lt;_created&gt;63444588&lt;/_created&gt;&lt;_date_display&gt;2014, 2014&lt;/_date_display&gt;&lt;_db_provider&gt;ISI&lt;/_db_provider&gt;&lt;_isbn&gt;1671-4512&lt;/_isbn&gt;&lt;_issue&gt;1671-4512(2014)42:9&amp;lt;102:ZLPCZD&amp;gt;2.0.TX;2-E9&lt;/_issue&gt;&lt;_journal&gt;华中科技大学学报. 自然科学版&lt;/_journal&gt;&lt;_modified&gt;63445908&lt;/_modified&gt;&lt;_pages&gt;102-106&lt;/_pages&gt;&lt;_tertiary_title&gt;Journal of Huazhong University of Science and Technology. Nature Science&lt;/_tertiary_title&gt;&lt;_translated_author&gt;Huang, Min; Guo, Qianwen; Tong, Chongli; Sun, Jinwen&lt;/_translated_author&gt;&lt;_translated_title&gt;Mechanism analysis of DC-bias increasing the risk of commutation failure &lt;/_translated_title&gt;&lt;_url&gt;CSCD:5246934&lt;/_url&gt;&lt;_volume&gt;42&lt;/_volume&gt;&lt;/Details&gt;&lt;Extra&gt;&lt;DBUID&gt;{6891F4B0-DCBA-459A-9A22-3059983243D4}&lt;/DBUID&gt;&lt;/Extra&gt;&lt;/Item&gt;&lt;/References&gt;&lt;/Group&gt;&lt;/Citation&gt;_x000a_"/>
    <w:docVar w:name="NE.Ref{EE4A0824-F951-453F-B139-DE4D6BE17EDA}" w:val=" ADDIN NE.Ref.{EE4A0824-F951-453F-B139-DE4D6BE17EDA}&lt;Citation&gt;&lt;Group&gt;&lt;References&gt;&lt;Item&gt;&lt;ID&gt;601&lt;/ID&gt;&lt;UID&gt;{99E50C20-2560-42E4-9588-30CE9592F20D}&lt;/UID&gt;&lt;Title&gt;Towards a Quick Computation of Well-Spread Pareto-Optimal Solutions&lt;/Title&gt;&lt;Template&gt;Conference Proceedings&lt;/Template&gt;&lt;Star&gt;0&lt;/Star&gt;&lt;Tag&gt;0&lt;/Tag&gt;&lt;Author&gt;Deb, Kalyanmoy; Mohan, Manikanth; Mishra, Shikhar&lt;/Author&gt;&lt;Year&gt;2003&lt;/Year&gt;&lt;Details&gt;&lt;_created&gt;63705166&lt;/_created&gt;&lt;_modified&gt;63705166&lt;/_modified&gt;&lt;_secondary_title&gt;Evolutionary Multi-Criterion Optimization, Second International Conference, EMO 2003, Faro, Portugal, April 8-11, 2003, Proceedings&lt;/_secondary_title&gt;&lt;/Details&gt;&lt;Extra&gt;&lt;DBUID&gt;{F96A950B-833F-4880-A151-76DA2D6A2879}&lt;/DBUID&gt;&lt;/Extra&gt;&lt;/Item&gt;&lt;/References&gt;&lt;/Group&gt;&lt;/Citation&gt;_x000a_"/>
    <w:docVar w:name="NE.Ref{EE68C2DD-1612-47F5-9D86-32277D5D44DF}" w:val=" ADDIN NE.Ref.{EE68C2DD-1612-47F5-9D86-32277D5D44DF}&lt;Citation&gt;&lt;Group&gt;&lt;References&gt;&lt;Item&gt;&lt;ID&gt;650&lt;/ID&gt;&lt;UID&gt;{72DED99C-6D04-49C5-A8A3-358237DA538D}&lt;/UID&gt;&lt;Title&gt;A hybrid optimization-based scheduling strategy for combined cooling, heating, and power system with thermal energy storage&lt;/Title&gt;&lt;Template&gt;Journal Article&lt;/Template&gt;&lt;Star&gt;0&lt;/Star&gt;&lt;Tag&gt;0&lt;/Tag&gt;&lt;Author&gt;Li, Fan; Sun, Bo; Zhang, Chenghui; Liu, Che&lt;/Author&gt;&lt;Year&gt;2019&lt;/Year&gt;&lt;Details&gt;&lt;_journal&gt;Energy&lt;/_journal&gt;&lt;_pages&gt;115948-&lt;/_pages&gt;&lt;_volume&gt;188&lt;/_volume&gt;&lt;_created&gt;63705613&lt;/_created&gt;&lt;_modified&gt;63705613&lt;/_modified&gt;&lt;_impact_factor&gt;   6.082&lt;/_impact_factor&gt;&lt;_collection_scope&gt;SCI;SCIE;EI&lt;/_collection_scope&gt;&lt;/Details&gt;&lt;Extra&gt;&lt;DBUID&gt;{F96A950B-833F-4880-A151-76DA2D6A2879}&lt;/DBUID&gt;&lt;/Extra&gt;&lt;/Item&gt;&lt;/References&gt;&lt;/Group&gt;&lt;/Citation&gt;_x000a_"/>
    <w:docVar w:name="NE.Ref{EEA75076-7278-47EF-8AE0-067A7102AC7F}" w:val=" ADDIN NE.Ref.{EEA75076-7278-47EF-8AE0-067A7102AC7F}&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44590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45915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459150&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EEB9E6E7-F0FF-4ADE-B61D-87E078971FE6}" w:val=" ADDIN NE.Ref.{EEB9E6E7-F0FF-4ADE-B61D-87E078971FE6}&lt;Citation&gt;&lt;Group&gt;&lt;References&gt;&lt;Item&gt;&lt;ID&gt;111&lt;/ID&gt;&lt;UID&gt;{62DAE902-5A5E-403D-973D-61296B1FA61A}&lt;/UID&gt;&lt;Title&gt;考虑风电时空相关性的仿射可调鲁棒机组组合&lt;/Title&gt;&lt;Template&gt;Journal Article&lt;/Template&gt;&lt;Star&gt;0&lt;/Star&gt;&lt;Tag&gt;0&lt;/Tag&gt;&lt;Author&gt;吴巍; 汪可友; 李国杰&lt;/Author&gt;&lt;Year&gt;2017&lt;/Year&gt;&lt;Details&gt;&lt;_accessed&gt;64357575&lt;/_accessed&gt;&lt;_author_aff&gt;上海交通大学电气工程系;&lt;/_author_aff&gt;&lt;_cited_count&gt;32&lt;/_cited_count&gt;&lt;_collection_scope&gt;CSCD;PKU;EI&lt;/_collection_scope&gt;&lt;_created&gt;64357568&lt;/_created&gt;&lt;_date&gt;61603200&lt;/_date&gt;&lt;_db_updated&gt;CNKI - Reference&lt;/_db_updated&gt;&lt;_issue&gt;14&lt;/_issue&gt;&lt;_journal&gt;中国电机工程学报&lt;/_journal&gt;&lt;_keywords&gt;时空相关性;椭球不确定集合;仿射可调鲁棒优化;混合整数二阶锥规划;可行概率&lt;/_keywords&gt;&lt;_language&gt;Chinese&lt;/_language&gt;&lt;_modified&gt;64357575&lt;/_modified&gt;&lt;_pages&gt;4089-4097+4288&lt;/_pages&gt;&lt;_url&gt;https://kns.cnki.net/kcms/detail/detail.aspx?FileName=ZGDC201714017&amp;amp;DbName=CJFQ2017&lt;/_url&gt;&lt;_volume&gt;37&lt;/_volume&gt;&lt;_translated_author&gt;Wu, Wei;Wang, Keyou;Li, Guojie&lt;/_translated_author&gt;&lt;/Details&gt;&lt;Extra/&gt;&lt;/Item&gt;&lt;/References&gt;&lt;/Group&gt;&lt;/Citation&gt;_x000a_"/>
    <w:docVar w:name="NE.Ref{EF31467D-91EA-415C-9585-203BC450E547}" w:val=" ADDIN NE.Ref.{EF31467D-91EA-415C-9585-203BC450E547}&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EF36D14E-0B0C-42D9-B0AB-7AD7D8D9FA86}" w:val=" ADDIN NE.Ref.{EF36D14E-0B0C-42D9-B0AB-7AD7D8D9FA86}&lt;Citation&gt;&lt;Group&gt;&lt;References&gt;&lt;Item&gt;&lt;ID&gt;535&lt;/ID&gt;&lt;UID&gt;{60859C49-E9F8-443F-ABFD-1987770AC875}&lt;/UID&gt;&lt;Title&gt;基于CCHP耦合的电力、天然气区域综合能源系统优化规划&lt;/Title&gt;&lt;Template&gt;Journal Article&lt;/Template&gt;&lt;Star&gt;0&lt;/Star&gt;&lt;Tag&gt;0&lt;/Tag&gt;&lt;Author&gt;权超; 董晓峰; 姜彤&lt;/Author&gt;&lt;Year&gt;2018&lt;/Year&gt;&lt;Details&gt;&lt;_author_adr&gt;新能源电力系统国家重点实验室(华北电力大学);国网江苏省电力有限公司苏州供电分公司;&lt;/_author_adr&gt;&lt;_collection_scope&gt;CSCD;PKU;EI&lt;/_collection_scope&gt;&lt;_created&gt;63660533&lt;/_created&gt;&lt;_db_provider&gt;CNKI&lt;/_db_provider&gt;&lt;_isbn&gt;1000-3673&lt;/_isbn&gt;&lt;_issue&gt;08&lt;/_issue&gt;&lt;_journal&gt;电网技术&lt;/_journal&gt;&lt;_keywords&gt;配电网;燃气管网;区域综合能源系统;优化;规划&lt;/_keywords&gt;&lt;_modified&gt;63660533&lt;/_modified&gt;&lt;_pages&gt;2456-2466&lt;/_pages&gt;&lt;_volume&gt;42&lt;/_volume&gt;&lt;_translated_author&gt;Quan, Chao;Dong, Xiaofeng;Jiang, Tong&lt;/_translated_author&gt;&lt;/Details&gt;&lt;Extra&gt;&lt;DBUID&gt;{F96A950B-833F-4880-A151-76DA2D6A2879}&lt;/DBUID&gt;&lt;/Extra&gt;&lt;/Item&gt;&lt;/References&gt;&lt;/Group&gt;&lt;/Citation&gt;_x000a_"/>
    <w:docVar w:name="NE.Ref{EF757B54-9E64-4D87-9C8D-4D3215A600CE}" w:val=" ADDIN NE.Ref.{EF757B54-9E64-4D87-9C8D-4D3215A600CE}&lt;Citation&gt;&lt;Group&gt;&lt;References&gt;&lt;Item&gt;&lt;ID&gt;606&lt;/ID&gt;&lt;UID&gt;{3B9D5E75-6913-4BB3-AC42-DE0C9FD4765B}&lt;/UID&gt;&lt;Title&gt;On finding multiple Pareto-optimal solutions using classical and evolutionary generating methods&lt;/Title&gt;&lt;Template&gt;Journal Article&lt;/Template&gt;&lt;Star&gt;0&lt;/Star&gt;&lt;Tag&gt;0&lt;/Tag&gt;&lt;Author&gt;Shukla, Pradyumn Kumar; Deb, Kalyanmoy&lt;/Author&gt;&lt;Year&gt;2007&lt;/Year&gt;&lt;Details&gt;&lt;_collection_scope&gt;SCIE;EI&lt;/_collection_scope&gt;&lt;_created&gt;63705195&lt;/_created&gt;&lt;_impact_factor&gt;   4.213&lt;/_impact_factor&gt;&lt;_issue&gt;3&lt;/_issue&gt;&lt;_journal&gt;European Journal of Operational Research&lt;/_journal&gt;&lt;_modified&gt;63705195&lt;/_modified&gt;&lt;_pages&gt;1630-1652&lt;/_pages&gt;&lt;_volume&gt;181&lt;/_volume&gt;&lt;/Details&gt;&lt;Extra&gt;&lt;DBUID&gt;{F96A950B-833F-4880-A151-76DA2D6A2879}&lt;/DBUID&gt;&lt;/Extra&gt;&lt;/Item&gt;&lt;/References&gt;&lt;/Group&gt;&lt;/Citation&gt;_x000a_"/>
    <w:docVar w:name="NE.Ref{EF82692A-198C-46C8-8A37-5DB392E9CEE8}" w:val=" ADDIN NE.Ref.{EF82692A-198C-46C8-8A37-5DB392E9CEE8}&lt;Citation&gt;&lt;Group&gt;&lt;References&gt;&lt;Item&gt;&lt;ID&gt;419&lt;/ID&gt;&lt;UID&gt;{8F9CEC57-5B6D-4EB2-95C5-B5A417547C0D}&lt;/UID&gt;&lt;Title&gt;An interactive fuzzy satisfying method based on evolutionary programming technique for multiobjective short-term hydrothermal scheduling&lt;/Title&gt;&lt;Template&gt;Journal Article&lt;/Template&gt;&lt;Star&gt;0&lt;/Star&gt;&lt;Tag&gt;0&lt;/Tag&gt;&lt;Author&gt;Basu, M&lt;/Author&gt;&lt;Year&gt;2004&lt;/Year&gt;&lt;Details&gt;&lt;_collection_scope&gt;SCIE;EI&lt;/_collection_scope&gt;&lt;_created&gt;63642803&lt;/_created&gt;&lt;_impact_factor&gt;   3.211&lt;/_impact_factor&gt;&lt;_issue&gt;2/3&lt;/_issue&gt;&lt;_journal&gt;Electric Power Systems Research&lt;/_journal&gt;&lt;_modified&gt;63642803&lt;/_modified&gt;&lt;_pages&gt;277-285&lt;/_pages&gt;&lt;_volume&gt;69&lt;/_volume&gt;&lt;/Details&gt;&lt;Extra&gt;&lt;DBUID&gt;{F96A950B-833F-4880-A151-76DA2D6A2879}&lt;/DBUID&gt;&lt;/Extra&gt;&lt;/Item&gt;&lt;/References&gt;&lt;/Group&gt;&lt;/Citation&gt;_x000a_"/>
    <w:docVar w:name="NE.Ref{F01813B8-EC42-4E7A-AB4A-D4552948C4DF}" w:val=" ADDIN NE.Ref.{F01813B8-EC42-4E7A-AB4A-D4552948C4DF}&lt;Citation&gt;&lt;Group&gt;&lt;References&gt;&lt;Item&gt;&lt;ID&gt;653&lt;/ID&gt;&lt;UID&gt;{33B80E93-F120-45C3-BE3F-59E876EAF7A2}&lt;/UID&gt;&lt;Title&gt;Current order-based emergency control strategy for subsequent commutation failure elimination in HVDC&lt;/Title&gt;&lt;Template&gt;Journal Article&lt;/Template&gt;&lt;Star&gt;0&lt;/Star&gt;&lt;Tag&gt;0&lt;/Tag&gt;&lt;Author&gt;Zheng, C Y; Tang, Y; Zhang, W J; Huang, C C; Qi, W C&lt;/Author&gt;&lt;Year&gt;2021&lt;/Year&gt;&lt;Details&gt;&lt;_alternate_title&gt;INTERNATIONAL TRANSACTIONS ON ELECTRICAL ENERGY SYSTEMS&lt;/_alternate_title&gt;&lt;_author_adr&gt;Southeast Univ, Sch Elect Engn, Nanjing 210096, Peoples R China; Jiangsu Elect Power Co Ltd, Jiangsu Econ Res Inst, Nanjing, Peoples R China&lt;/_author_adr&gt;&lt;_cited_count&gt;1&lt;/_cited_count&gt;&lt;_collection_scope&gt;SCIE;EI&lt;/_collection_scope&gt;&lt;_created&gt;64493973&lt;/_created&gt;&lt;_date&gt;2021-01-01&lt;/_date&gt;&lt;_date_display&gt;2021&lt;/_date_display&gt;&lt;_db_updated&gt;Web of Science-Core&lt;/_db_updated&gt;&lt;_doi&gt;10.1002/2050-7038.13026&lt;/_doi&gt;&lt;_impact_factor&gt;   2.639&lt;/_impact_factor&gt;&lt;_issue&gt;9&lt;/_issue&gt;&lt;_journal&gt;INTERNATIONAL TRANSACTIONS ON ELECTRICAL ENERGY SYSTEMS&lt;/_journal&gt;&lt;_keywords&gt;commutation failure; control strategy; high-voltage direct current; voltage index&lt;/_keywords&gt;&lt;_modified&gt;64494001&lt;/_modified&gt;&lt;_volume&gt;31&lt;/_volume&gt;&lt;/Details&gt;&lt;Extra&gt;&lt;DBUID&gt;{F96A950B-833F-4880-A151-76DA2D6A2879}&lt;/DBUID&gt;&lt;/Extra&gt;&lt;/Item&gt;&lt;/References&gt;&lt;/Group&gt;&lt;/Citation&gt;_x000a_"/>
    <w:docVar w:name="NE.Ref{F06BE676-408A-4EE7-98BE-8F7C2A6CE224}" w:val=" ADDIN NE.Ref.{F06BE676-408A-4EE7-98BE-8F7C2A6CE224}&lt;Citation&gt;&lt;Group&gt;&lt;References&gt;&lt;Item&gt;&lt;ID&gt;520&lt;/ID&gt;&lt;UID&gt;{DC67DA3C-DECD-400E-B6DB-7F0B32516434}&lt;/UID&gt;&lt;Title&gt;考虑风电不确定性的混合储能容量优化配置及运行策略研究&lt;/Title&gt;&lt;Template&gt;Journal Article&lt;/Template&gt;&lt;Star&gt;0&lt;/Star&gt;&lt;Tag&gt;0&lt;/Tag&gt;&lt;Author&gt;陈厚合; 杜欢欢; 张儒峰; 姜涛; 李雪&lt;/Author&gt;&lt;Year&gt;2018&lt;/Year&gt;&lt;Details&gt;&lt;_author_adr&gt;东北电力大学电气工程学院;&lt;/_author_adr&gt;&lt;_collection_scope&gt;CSCD;PKU;EI&lt;/_collection_scope&gt;&lt;_created&gt;63657440&lt;/_created&gt;&lt;_db_provider&gt;CNKI&lt;/_db_provider&gt;&lt;_isbn&gt;1006-6047&lt;/_isbn&gt;&lt;_issue&gt;08&lt;/_issue&gt;&lt;_journal&gt;电力自动化设备&lt;/_journal&gt;&lt;_keywords&gt;频谱分析;混合储能系统;机会约束规划;储能运行策略;优化配置&lt;/_keywords&gt;&lt;_modified&gt;63657440&lt;/_modified&gt;&lt;_pages&gt;174-182+188&lt;/_pages&gt;&lt;_volume&gt;38&lt;/_volume&gt;&lt;_translated_author&gt;Chen, Houhe;Du, Huanhuan;Zhang, Rufeng;Jiang, Tao;Li, Xue&lt;/_translated_author&gt;&lt;/Details&gt;&lt;Extra&gt;&lt;DBUID&gt;{F96A950B-833F-4880-A151-76DA2D6A2879}&lt;/DBUID&gt;&lt;/Extra&gt;&lt;/Item&gt;&lt;/References&gt;&lt;/Group&gt;&lt;/Citation&gt;_x000a_"/>
    <w:docVar w:name="NE.Ref{F0C2F2A9-0CB7-46FE-9D4A-6353597889D4}" w:val=" ADDIN NE.Ref.{F0C2F2A9-0CB7-46FE-9D4A-6353597889D4}&lt;Citation&gt;&lt;Group&gt;&lt;References&gt;&lt;Item&gt;&lt;ID&gt;482&lt;/ID&gt;&lt;UID&gt;{ED05E054-5BFF-4C83-9933-59438D177267}&lt;/UID&gt;&lt;Title&gt;基于WCVaR模型的分布式发电系统供需互动能量管理研究&lt;/Title&gt;&lt;Template&gt;Journal Article&lt;/Template&gt;&lt;Star&gt;0&lt;/Star&gt;&lt;Tag&gt;0&lt;/Tag&gt;&lt;Author&gt;张虹; 葛得初; 侯宁; 张思雨; 于东民; 王鹤&lt;/Author&gt;&lt;Year&gt;2019&lt;/Year&gt;&lt;Details&gt;&lt;_author_adr&gt;东北电力大学电气工程学院;国网吉林省电力有限公司长春供电公司;瑞典皇家理工学院电气工程与计算机科学学院;&lt;/_author_adr&gt;&lt;_collection_scope&gt;CSCD;PKU;EI&lt;/_collection_scope&gt;&lt;_created&gt;63650256&lt;/_created&gt;&lt;_db_provider&gt;CNKI&lt;/_db_provider&gt;&lt;_isbn&gt;0258-8013&lt;/_isbn&gt;&lt;_issue&gt;15&lt;/_issue&gt;&lt;_journal&gt;中国电机工程学报&lt;/_journal&gt;&lt;_keywords&gt;分布式发电系统;供需互动;不确定性;WCVaR;能量管理;风险管理&lt;/_keywords&gt;&lt;_modified&gt;63650256&lt;/_modified&gt;&lt;_pages&gt;4468-4478&lt;/_pages&gt;&lt;_volume&gt;39&lt;/_volume&gt;&lt;_translated_author&gt;Zhang, Hong;Ge, Dechu;Hou, Ning;Zhang, Siyu;Yu, Dongmin;Wang, He&lt;/_translated_author&gt;&lt;/Details&gt;&lt;Extra&gt;&lt;DBUID&gt;{F96A950B-833F-4880-A151-76DA2D6A2879}&lt;/DBUID&gt;&lt;/Extra&gt;&lt;/Item&gt;&lt;/References&gt;&lt;/Group&gt;&lt;/Citation&gt;_x000a_"/>
    <w:docVar w:name="NE.Ref{F1025908-C8F5-4A15-A2BD-11F39EC10F8C}" w:val=" ADDIN NE.Ref.{F1025908-C8F5-4A15-A2BD-11F39EC10F8C}&lt;Citation&gt;&lt;Group&gt;&lt;References&gt;&lt;Item&gt;&lt;ID&gt;575&lt;/ID&gt;&lt;UID&gt;{CD9AD7E9-0B57-46F0-BA58-F476D192894F}&lt;/UID&gt;&lt;Title&gt;Direct-Current Predictive Control Strategy for Inhibiting Commutation Failure in HVDC Converter&lt;/Title&gt;&lt;Template&gt;Journal Article&lt;/Template&gt;&lt;Star&gt;0&lt;/Star&gt;&lt;Tag&gt;5&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50206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727242&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727243&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F14EBC51-547A-4E46-B157-F34C4119DABA}" w:val=" ADDIN NE.Ref.{F14EBC51-547A-4E46-B157-F34C4119DAB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F1B593A9-2716-4943-A8A1-136018C44880}" w:val=" ADDIN NE.Ref.{F1B593A9-2716-4943-A8A1-136018C44880}&lt;Citation&gt;&lt;Group&gt;&lt;References&gt;&lt;Item&gt;&lt;ID&gt;60&lt;/ID&gt;&lt;UID&gt;{C6E9240B-9A2A-4689-B181-19E4FA59B3E8}&lt;/UID&gt;&lt;Title&gt;Modeling of CIGRE benchmark HVDC system using PSS/E compared with PSCAD&lt;/Title&gt;&lt;Template&gt;Conference Paper&lt;/Template&gt;&lt;Star&gt;0&lt;/Star&gt;&lt;Tag&gt;0&lt;/Tag&gt;&lt;Author&gt;D. Kwon; H. Moon; R. Kim; C. Kim; S. Moon&lt;/Author&gt;&lt;Year&gt;2015&lt;/Year&gt;&lt;Details&gt;&lt;_accessed&gt;63483426&lt;/_accessed&gt;&lt;_created&gt;62974709&lt;/_created&gt;&lt;_db_updated&gt;IEEE&lt;/_db_updated&gt;&lt;_doi&gt;10.1109/IYCE.2015.7180781&lt;/_doi&gt;&lt;_keywords&gt;differential equations; HVDC power convertors; HVDC power transmission; power conversion; power system control; power system simulation; CIGRE benchmark HVDC system modeling; PSS/E; PSCAD; DC line; control mode selection; equation conversion; different equations; DC voltage; DC power; DC transmission lines; ABB control; AREVA control; converter firing control; HVDC transmission; Mathematical model; Rectifiers; Voltage control; Inverters; PSCAD; Benchmark testing; HVDC transmission; CIGRE HVDC benchmark model; modeling; PSS/E&lt;/_keywords&gt;&lt;_modified&gt;63483426&lt;/_modified&gt;&lt;_pages&gt;1-8&lt;/_pages&gt;&lt;_secondary_title&gt;2015 5th International Youth Conference on Energy (IYCE)_x000d__x000a_2015 5th International Youth Conference on Energy (IYCE)&lt;/_secondary_title&gt;&lt;_url&gt;https://dx.doi.org/10.1109/IYCE.2015.7180781&lt;/_url&gt;&lt;/Details&gt;&lt;Extra&gt;&lt;DBUID&gt;{FF6D417D-54CD-4172-94D1-F718DDCF0579}&lt;/DBUID&gt;&lt;/Extra&gt;&lt;/Item&gt;&lt;/References&gt;&lt;/Group&gt;&lt;/Citation&gt;_x000a_"/>
    <w:docVar w:name="NE.Ref{F1ED94C4-EAA0-4067-A032-0D2569065609}" w:val=" ADDIN NE.Ref.{F1ED94C4-EAA0-4067-A032-0D2569065609}&lt;Citation&gt;&lt;Group&gt;&lt;References&gt;&lt;Item&gt;&lt;ID&gt;576&lt;/ID&gt;&lt;UID&gt;{7FFB164E-959D-4FB9-B77E-50BD312CD4B3}&lt;/UID&gt;&lt;Title&gt;计及储能寿命与调频性能的风储联合投标模型及算法&lt;/Title&gt;&lt;Template&gt;Journal Article&lt;/Template&gt;&lt;Star&gt;0&lt;/Star&gt;&lt;Tag&gt;0&lt;/Tag&gt;&lt;Author&gt;王浩浩; 陈嘉俊; 朱涛; 吴明兴; 陈青; 朱建全; 刘明波&lt;/Author&gt;&lt;Year&gt;2021&lt;/Year&gt;&lt;Details&gt;&lt;_author_adr&gt;广东电力交易中心有限责任公司;华南理工大学电力学院;&lt;/_author_adr&gt;&lt;_collection_scope&gt;CSCD;PKU;EI&lt;/_collection_scope&gt;&lt;_created&gt;63685285&lt;/_created&gt;&lt;_db_provider&gt;CNKI&lt;/_db_provider&gt;&lt;_isbn&gt;1000-3673&lt;/_isbn&gt;&lt;_issue&gt;01&lt;/_issue&gt;&lt;_journal&gt;电网技术&lt;/_journal&gt;&lt;_keywords&gt;风储系统;投标策略;储能寿命;调频;改进动态规划&lt;/_keywords&gt;&lt;_modified&gt;63685285&lt;/_modified&gt;&lt;_pages&gt;208-217&lt;/_pages&gt;&lt;_volume&gt;45&lt;/_volume&gt;&lt;_translated_author&gt;Wang, Haohao;Chen, Jiajun;Zhu, Tao;Wu, Mingxing;Chen, Qing;Zhu, Jianquan;Liu, Mingbo&lt;/_translated_author&gt;&lt;/Details&gt;&lt;Extra&gt;&lt;DBUID&gt;{F96A950B-833F-4880-A151-76DA2D6A2879}&lt;/DBUID&gt;&lt;/Extra&gt;&lt;/Item&gt;&lt;/References&gt;&lt;/Group&gt;&lt;/Citation&gt;_x000a_"/>
    <w:docVar w:name="NE.Ref{F1F6D85A-CDA1-45E2-8D6A-878D6842A081}" w:val=" ADDIN NE.Ref.{F1F6D85A-CDA1-45E2-8D6A-878D6842A081}&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F267A238-34D6-42CD-A7C7-177997F282F6}" w:val=" ADDIN NE.Ref.{F267A238-34D6-42CD-A7C7-177997F282F6}&lt;Citation&gt;&lt;Group&gt;&lt;References&gt;&lt;Item&gt;&lt;ID&gt;489&lt;/ID&gt;&lt;UID&gt;{92088C39-9CBD-4EC5-9DA9-361399D5EB38}&lt;/UID&gt;&lt;Title&gt;MOEA/D: A Multiobjective Evolutionary Algorithm Based on Decomposition&lt;/Title&gt;&lt;Template&gt;Journal Article&lt;/Template&gt;&lt;Star&gt;0&lt;/Star&gt;&lt;Tag&gt;0&lt;/Tag&gt;&lt;Author&gt;Zhang, Qingfu; Li, Hui&lt;/Author&gt;&lt;Year&gt;2008&lt;/Year&gt;&lt;Details&gt;&lt;_collection_scope&gt;SCI;SCIE;EI&lt;/_collection_scope&gt;&lt;_created&gt;63651733&lt;/_created&gt;&lt;_impact_factor&gt;  11.169&lt;/_impact_factor&gt;&lt;_issue&gt;6&lt;/_issue&gt;&lt;_journal&gt;IEEE Transactions on Evolutionary Computation&lt;/_journal&gt;&lt;_modified&gt;63651733&lt;/_modified&gt;&lt;_pages&gt;712-731&lt;/_pages&gt;&lt;_volume&gt;11&lt;/_volume&gt;&lt;/Details&gt;&lt;Extra&gt;&lt;DBUID&gt;{F96A950B-833F-4880-A151-76DA2D6A2879}&lt;/DBUID&gt;&lt;/Extra&gt;&lt;/Item&gt;&lt;/References&gt;&lt;/Group&gt;&lt;/Citation&gt;_x000a_"/>
    <w:docVar w:name="NE.Ref{F2CA4992-A128-4CF7-8986-C07A20F67832}" w:val=" ADDIN NE.Ref.{F2CA4992-A128-4CF7-8986-C07A20F67832}&lt;Citation&gt;&lt;Group&gt;&lt;References&gt;&lt;Item&gt;&lt;ID&gt;546&lt;/ID&gt;&lt;UID&gt;{3BEF4E8B-3154-4436-8751-6FFA1952A40B}&lt;/UID&gt;&lt;Title&gt;考虑动态频率约束的含高渗透率光伏电源的孤立电网机组组合&lt;/Title&gt;&lt;Template&gt;Journal Article&lt;/Template&gt;&lt;Star&gt;0&lt;/Star&gt;&lt;Tag&gt;0&lt;/Tag&gt;&lt;Author&gt;叶婧; 林涛; 张磊; 毕如玉; 徐遐龄&lt;/Author&gt;&lt;Year&gt;2017&lt;/Year&gt;&lt;Details&gt;&lt;_author_adr&gt;武汉大学电气工程学院;太阳能高效利用湖北省协同创新中心;华中科技大学电气与电子工程学院;华中电力调控分中心;&lt;/_author_adr&gt;&lt;_collection_scope&gt;CSCD;PKU;EI&lt;/_collection_scope&gt;&lt;_created&gt;63666096&lt;/_created&gt;&lt;_db_provider&gt;CNKI&lt;/_db_provider&gt;&lt;_isbn&gt;1000-6753&lt;/_isbn&gt;&lt;_issue&gt;13&lt;/_issue&gt;&lt;_journal&gt;电工技术学报&lt;/_journal&gt;&lt;_keywords&gt;孤立电网;机组组合;动态频率;光伏发电;Benders分解&lt;/_keywords&gt;&lt;_modified&gt;63666096&lt;/_modified&gt;&lt;_pages&gt;194-202&lt;/_pages&gt;&lt;_volume&gt;32&lt;/_volume&gt;&lt;_translated_author&gt;Ye, Jing;Lin, Tao;Zhang, Lei;Bi, Ruyu;Xu, Xialing&lt;/_translated_author&gt;&lt;/Details&gt;&lt;Extra&gt;&lt;DBUID&gt;{F96A950B-833F-4880-A151-76DA2D6A2879}&lt;/DBUID&gt;&lt;/Extra&gt;&lt;/Item&gt;&lt;/References&gt;&lt;/Group&gt;&lt;/Citation&gt;_x000a_"/>
    <w:docVar w:name="NE.Ref{F396A581-39F2-40B6-B2A4-BEAB5D011B5C}" w:val=" ADDIN NE.Ref.{F396A581-39F2-40B6-B2A4-BEAB5D011B5C}&lt;Citation&gt;&lt;Group&gt;&lt;References&gt;&lt;Item&gt;&lt;ID&gt;96&lt;/ID&gt;&lt;UID&gt;{8FD5CAD2-E0E6-45DB-826B-4BF9D081536C}&lt;/UID&gt;&lt;Title&gt;高压直流定无功功率交流故障恢复方法&lt;/Title&gt;&lt;Template&gt;Journal Article&lt;/Template&gt;&lt;Star&gt;0&lt;/Star&gt;&lt;Tag&gt;0&lt;/Tag&gt;&lt;Author&gt;黄梦华; 汪娟娟; 李瑶佳; 王子民; 李子林; 傅闯&lt;/Author&gt;&lt;Year&gt;2018&lt;/Year&gt;&lt;Details&gt;&lt;_accessed&gt;63882388&lt;/_accessed&gt;&lt;_author_adr&gt;华南理工大学电力学院;广州供电局有限公司;南方电网科学研究院有限责任公司;&lt;/_author_adr&gt;&lt;_collection_scope&gt;CSCD;PKU;EI&lt;/_collection_scope&gt;&lt;_created&gt;63731466&lt;/_created&gt;&lt;_db_provider&gt;CNKI&lt;/_db_provider&gt;&lt;_isbn&gt;1000-1026&lt;/_isbn&gt;&lt;_issue&gt;03&lt;/_issue&gt;&lt;_journal&gt;电力系统自动化&lt;/_journal&gt;&lt;_keywords&gt;高压直流;低压限流;三相故障;无功功率交换;故障恢复&lt;/_keywords&gt;&lt;_modified&gt;63758533&lt;/_modified&gt;&lt;_pages&gt;143-148&lt;/_pages&gt;&lt;_url&gt;https://kns.cnki.net/kcms/download.aspx?filename=Wp2MvIGMzFEU5kzQZR0QZhXR582N5NnRDRFe1NUULNWewNDZaBlVklld5IDVUxGOGxWN5lERwFXeL9keJZWckR0QLB1YIFGZLRGU2FWZmBFTkFUaXZkNPhkUMZGWWdlaI1kQyZDNzg3SGlFdRx2U5l3Lj9Gb010V&amp;amp;tablename=CJFDLAST2018&amp;amp;dflag=pdfdown _x000d__x000a_&lt;/_url&gt;&lt;_volume&gt;42&lt;/_volume&gt;&lt;_translated_author&gt;Huang, Menghua;Wang, Juanjuan;Li, Yaojia;Wang, Zimin;Li, Zilin;Fu, Chuang&lt;/_translated_author&gt;&lt;/Details&gt;&lt;Extra&gt;&lt;DBUID&gt;{4A382FE4-256C-492F-A2FE-C1F4C7059410}&lt;/DBUID&gt;&lt;/Extra&gt;&lt;/Item&gt;&lt;/References&gt;&lt;/Group&gt;&lt;/Citation&gt;_x000a_"/>
    <w:docVar w:name="NE.Ref{F3FD8428-0B06-4918-9C70-DF27706F1EB6}" w:val=" ADDIN NE.Ref.{F3FD8428-0B06-4918-9C70-DF27706F1EB6}&lt;Citation&gt;&lt;Group&gt;&lt;References&gt;&lt;Item&gt;&lt;ID&gt;349&lt;/ID&gt;&lt;UID&gt;{FE348816-0742-4A0C-8D78-74AD210B43AC}&lt;/UID&gt;&lt;Title&gt;基于电压波形拟合的换相失败快速预测与抑制措施&lt;/Title&gt;&lt;Template&gt;Journal Article&lt;/Template&gt;&lt;Star&gt;0&lt;/Star&gt;&lt;Tag&gt;0&lt;/Tag&gt;&lt;Author&gt;王增平; 刘席洋; 郑博文; 李永光&lt;/Author&gt;&lt;Year&gt;2020&lt;/Year&gt;&lt;Details&gt;&lt;_accessed&gt;63446010&lt;/_accessed&gt;&lt;_accession_num&gt;CSCD:6706291_x000d__x000a_ER&lt;/_accession_num&gt;&lt;_cited_count&gt;0&lt;/_cited_count&gt;&lt;_collection_scope&gt;CSCD;PKU;EI&lt;/_collection_scope&gt;&lt;_created&gt;63444588&lt;/_created&gt;&lt;_date_display&gt;2020, 2020&lt;/_date_display&gt;&lt;_db_provider&gt;ISI&lt;/_db_provider&gt;&lt;_isbn&gt;1000-6753&lt;/_isbn&gt;&lt;_issue&gt;1000-6753(2020)35:7&amp;lt;1454:JYDYBX&amp;gt;2.0.TX;2-I7&lt;/_issue&gt;&lt;_journal&gt;电工技术学报&lt;/_journal&gt;&lt;_modified&gt;63446024&lt;/_modified&gt;&lt;_pages&gt;1454-1463&lt;/_pages&gt;&lt;_tertiary_title&gt;Transactions of China Electrotechnical Society&lt;/_tertiary_title&gt;&lt;_translated_author&gt;Wang, Zengping; Liu, Xiyang; Zheng, Bowen; Li, Yongguang&lt;/_translated_author&gt;&lt;_translated_title&gt;The Research on Fast Prediction and Suppression Measures of Commutation Failure Based on Voltage Waveform Fitting&lt;/_translated_title&gt;&lt;_url&gt;CSCD:6706291 _x000d__x000a_https://kns.cnki.net _x000d__x000a_&lt;/_url&gt;&lt;_volume&gt;35&lt;/_volume&gt;&lt;/Details&gt;&lt;Extra&gt;&lt;DBUID&gt;{6891F4B0-DCBA-459A-9A22-3059983243D4}&lt;/DBUID&gt;&lt;/Extra&gt;&lt;/Item&gt;&lt;/References&gt;&lt;/Group&gt;&lt;/Citation&gt;_x000a_"/>
    <w:docVar w:name="NE.Ref{F42AB4BF-A2DE-4CF0-A7FB-BA9F1A97698B}" w:val=" ADDIN NE.Ref.{F42AB4BF-A2DE-4CF0-A7FB-BA9F1A97698B}&lt;Citation&gt;&lt;Group&gt;&lt;References&gt;&lt;Item&gt;&lt;ID&gt;517&lt;/ID&gt;&lt;UID&gt;{3FE95E6B-96CE-4F76-8A92-CAC6241F04F2}&lt;/UID&gt;&lt;Title&gt;Enhanced line commutated converter with embedded fully controlled sub-modules to mitigate commutation failures in high voltage direct current systems&lt;/Title&gt;&lt;Template&gt;Journal Article&lt;/Template&gt;&lt;Star&gt;0&lt;/Star&gt;&lt;Tag&gt;0&lt;/Tag&gt;&lt;Author&gt;Ni, Xiaojun; Zhao, Chengyong; Guo, Chunyi; Liu, Hang; Liu, Yuchao&lt;/Author&gt;&lt;Year&gt;2016&lt;/Year&gt;&lt;Details&gt;&lt;_accessed&gt;63445919&lt;/_accessed&gt;&lt;_accession_num&gt;WOS:000371334200007_x000d__x000a_ER&lt;/_accession_num&gt;&lt;_cited_count&gt;8&lt;/_cited_count&gt;&lt;_collection_scope&gt;SCIE;EI&lt;/_collection_scope&gt;&lt;_created&gt;63444588&lt;/_created&gt;&lt;_date_display&gt;2016, FEB 10 2016&lt;/_date_display&gt;&lt;_db_provider&gt;ISI&lt;/_db_provider&gt;&lt;_doi&gt;10.1049/iet-pel.2015.0421&lt;/_doi&gt;&lt;_impact_factor&gt;   2.112&lt;/_impact_factor&gt;&lt;_isbn&gt;1755-4535&lt;/_isbn&gt;&lt;_issue&gt;2SI&lt;/_issue&gt;&lt;_journal&gt;IET POWER ELECTRONICS&lt;/_journal&gt;&lt;_modified&gt;64498627&lt;/_modified&gt;&lt;_pages&gt;198-206&lt;/_pages&gt;&lt;_url&gt;http://gateway.isiknowledge.com/gateway/Gateway.cgi?GWVersion=2&amp;amp;SrcAuth=AegeanSoftware&amp;amp;SrcApp=NoteExpress&amp;amp;DestLinkType=FullRecord&amp;amp;DestApp=WOS&amp;amp;KeyUT=000371334200007 _x000d__x000a_https://ieeexplore.ieee.org/stampPDF/getPDF.jsp?tp=&amp;amp;arnumber=7413273&amp;amp;ref=aHR0cHM6Ly9pZWVleHBsb3JlLmllZWUub3JnL3Jlc3Qvc2VhcmNo _x000d__x000a_&lt;/_url&gt;&lt;_volume&gt;9&lt;/_volume&gt;&lt;/Details&gt;&lt;Extra&gt;&lt;DBUID&gt;{6891F4B0-DCBA-459A-9A22-3059983243D4}&lt;/DBUID&gt;&lt;/Extra&gt;&lt;/Item&gt;&lt;/References&gt;&lt;/Group&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5.967&lt;/_impact_factor&gt;&lt;_isbn&gt;0885-8993&lt;/_isbn&gt;&lt;_issue&gt;2&lt;/_issue&gt;&lt;_journal&gt;IEEE TRANSACTIONS ON POWER ELECTRONICS&lt;/_journal&gt;&lt;_modified&gt;64498635&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Citation&gt;_x000a_"/>
    <w:docVar w:name="NE.Ref{F4331BCC-2527-4A26-A8D3-523B4A08E12C}" w:val=" ADDIN NE.Ref.{F4331BCC-2527-4A26-A8D3-523B4A08E12C}&lt;Citation&gt;&lt;Group&gt;&lt;References&gt;&lt;Item&gt;&lt;ID&gt;415&lt;/ID&gt;&lt;UID&gt;{6A97F34D-B920-4395-A5C9-30025DE9EC73}&lt;/UID&gt;&lt;Title&gt;电力系统动态环境经济调度建模与求解&lt;/Title&gt;&lt;Template&gt;Journal Article&lt;/Template&gt;&lt;Star&gt;0&lt;/Star&gt;&lt;Tag&gt;0&lt;/Tag&gt;&lt;Author&gt;江兴稳; 周建中; 王浩; 张勇传&lt;/Author&gt;&lt;Year&gt;2013&lt;/Year&gt;&lt;Details&gt;&lt;_author_adr&gt;华中科技大学水电与数字化工程学院;中国水利水电科学研究院;&lt;/_author_adr&gt;&lt;_collection_scope&gt;CSCD;PKU;EI&lt;/_collection_scope&gt;&lt;_created&gt;63642782&lt;/_created&gt;&lt;_db_provider&gt;CNKI&lt;/_db_provider&gt;&lt;_isbn&gt;1000-3673&lt;/_isbn&gt;&lt;_issue&gt;02&lt;/_issue&gt;&lt;_journal&gt;电网技术&lt;/_journal&gt;&lt;_keywords&gt;动态环境经济调度;动态经济调度;环境经济调度;多目标差分进化;动态约束处理&lt;/_keywords&gt;&lt;_modified&gt;63642782&lt;/_modified&gt;&lt;_pages&gt;385-391&lt;/_pages&gt;&lt;_volume&gt;37&lt;/_volume&gt;&lt;_translated_author&gt;Jiang, Xingwen;Zhou, Jianzhong;Wang, Hao;Zhang, Yongchuan&lt;/_translated_author&gt;&lt;/Details&gt;&lt;Extra&gt;&lt;DBUID&gt;{F96A950B-833F-4880-A151-76DA2D6A2879}&lt;/DBUID&gt;&lt;/Extra&gt;&lt;/Item&gt;&lt;/References&gt;&lt;/Group&gt;&lt;/Citation&gt;_x000a_"/>
    <w:docVar w:name="NE.Ref{F4A192B6-033F-4953-8E15-881D9854E6EC}" w:val=" ADDIN NE.Ref.{F4A192B6-033F-4953-8E15-881D9854E6EC}&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F4D1A5F9-FB32-4002-9BBF-9FC5ED1D78C1}" w:val=" ADDIN NE.Ref.{F4D1A5F9-FB32-4002-9BBF-9FC5ED1D78C1}&lt;Citation&gt;&lt;Group&gt;&lt;References&gt;&lt;Item&gt;&lt;ID&gt;655&lt;/ID&gt;&lt;UID&gt;{7F5479D5-6F12-4C27-BAD0-20550CB4BB8C}&lt;/UID&gt;&lt;Title&gt;Worst-case conditional value-at-risk based bidding strategy for wind-hydro hybrid systems under probability distribution uncertainties&lt;/Title&gt;&lt;Template&gt;Journal Article&lt;/Template&gt;&lt;Star&gt;0&lt;/Star&gt;&lt;Tag&gt;0&lt;/Tag&gt;&lt;Author&gt;Liu, Yangyang; Shen, Zhongqi; Tang, Xiaowei; Lian, Hongbo; Li, Jiarui; Gong, Jinxia&lt;/Author&gt;&lt;Year&gt;2019&lt;/Year&gt;&lt;Details&gt;&lt;_author_adr&gt;Songjiang Municipal Power Supply Company, State Grid Shanghai Municipal Electric Power Company, Shanghai 201699, China;;College of Electrical Engineering, Shanghai University of Electric Power, Yangpu District, Shanghai 200082, China&lt;/_author_adr&gt;&lt;_db_provider&gt;CNKI&lt;/_db_provider&gt;&lt;_isbn&gt;0306-2619&lt;/_isbn&gt;&lt;_journal&gt;Applied Energy&lt;/_journal&gt;&lt;_keywords&gt;Bidding strategy;Distributionally robust optimization;Hybrid renewable energy system;Mixture distribution;Risk management;Worst-case conditional value-at-risk&lt;/_keywords&gt;&lt;_volume&gt;256&lt;/_volume&gt;&lt;_created&gt;63705638&lt;/_created&gt;&lt;_modified&gt;63705638&lt;/_modified&gt;&lt;_impact_factor&gt;   8.848&lt;/_impact_factor&gt;&lt;_collection_scope&gt;SCI;SCIE;EI&lt;/_collection_scope&gt;&lt;/Details&gt;&lt;Extra&gt;&lt;DBUID&gt;{F96A950B-833F-4880-A151-76DA2D6A2879}&lt;/DBUID&gt;&lt;/Extra&gt;&lt;/Item&gt;&lt;/References&gt;&lt;/Group&gt;&lt;/Citation&gt;_x000a_"/>
    <w:docVar w:name="NE.Ref{F507F008-3C94-447B-8DC6-72C0970467D8}" w:val=" ADDIN NE.Ref.{F507F008-3C94-447B-8DC6-72C0970467D8}&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F50A4B0E-1F58-45CA-8ECE-0409D9B9CD76}" w:val=" ADDIN NE.Ref.{F50A4B0E-1F58-45CA-8ECE-0409D9B9CD76}&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F50BF083-DA25-45FE-A70D-5928E3B5E088}" w:val=" ADDIN NE.Ref.{F50BF083-DA25-45FE-A70D-5928E3B5E088}&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F5E326B1-6E0A-4719-8C17-6DF4831DF1AA}" w:val=" ADDIN NE.Ref.{F5E326B1-6E0A-4719-8C17-6DF4831DF1AA}&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F706ECF8-B55A-4B8E-BA2D-73DF5B948E1B}" w:val=" ADDIN NE.Ref.{F706ECF8-B55A-4B8E-BA2D-73DF5B948E1B}&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F75E9E26-1933-46CA-A7DF-33972E53BAD1}" w:val=" ADDIN NE.Ref.{F75E9E26-1933-46CA-A7DF-33972E53BAD1}&lt;Citation&gt;&lt;Group&gt;&lt;References&gt;&lt;Item&gt;&lt;ID&gt;516&lt;/ID&gt;&lt;UID&gt;{B3566E12-5BB5-4673-9935-8E563B247BBB}&lt;/UID&gt;&lt;Title&gt;储能系统对含风电的机组组合问题影响分析&lt;/Title&gt;&lt;Template&gt;Journal Article&lt;/Template&gt;&lt;Star&gt;0&lt;/Star&gt;&lt;Tag&gt;0&lt;/Tag&gt;&lt;Author&gt;谢毓广; 江晓东&lt;/Author&gt;&lt;Year&gt;2011&lt;/Year&gt;&lt;Details&gt;&lt;_author_adr&gt;上海交通大学电子信息与电气工程学院;康奈尔大学;&lt;/_author_adr&gt;&lt;_collection_scope&gt;CSCD;PKU;EI&lt;/_collection_scope&gt;&lt;_created&gt;63657422&lt;/_created&gt;&lt;_db_provider&gt;CNKI&lt;/_db_provider&gt;&lt;_isbn&gt;1000-1026&lt;/_isbn&gt;&lt;_issue&gt;05&lt;/_issue&gt;&lt;_journal&gt;电力系统自动化&lt;/_journal&gt;&lt;_keywords&gt;储能系统;风力发电;机组组合;混合整数凸规划;内点法&lt;/_keywords&gt;&lt;_modified&gt;63657422&lt;/_modified&gt;&lt;_pages&gt;19-24&lt;/_pages&gt;&lt;_volume&gt;35&lt;/_volume&gt;&lt;_translated_author&gt;Xie, Yuguang;Jiang, Xiaodong&lt;/_translated_author&gt;&lt;/Details&gt;&lt;Extra&gt;&lt;DBUID&gt;{F96A950B-833F-4880-A151-76DA2D6A2879}&lt;/DBUID&gt;&lt;/Extra&gt;&lt;/Item&gt;&lt;/References&gt;&lt;/Group&gt;&lt;/Citation&gt;_x000a_"/>
    <w:docVar w:name="NE.Ref{F7BB4D0C-9961-4AA3-A5EA-95E1DDFD08C0}" w:val=" ADDIN NE.Ref.{F7BB4D0C-9961-4AA3-A5EA-95E1DDFD08C0}&lt;Citation&gt;&lt;Group&gt;&lt;References&gt;&lt;Item&gt;&lt;ID&gt;536&lt;/ID&gt;&lt;UID&gt;{4CC7AF0A-1202-481F-B3E5-223E3C1D6B55}&lt;/UID&gt;&lt;Title&gt;Characteristic Analysis and Operational Control of Large-Scale Hybrid UHV AC/DC Power Grids &lt;/Title&gt;&lt;Template&gt;Journal Article&lt;/Template&gt;&lt;Star&gt;0&lt;/Star&gt;&lt;Tag&gt;0&lt;/Tag&gt;&lt;Author&gt;Li, Mingjie&lt;/Author&gt;&lt;Year&gt;2016&lt;/Year&gt;&lt;Details&gt;&lt;_accessed&gt;63480656&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Power System Technology&lt;/_journal&gt;&lt;_modified&gt;63480656&lt;/_modified&gt;&lt;_pages&gt;985-991&lt;/_pages&gt;&lt;_tertiary_title&gt;电网技术&lt;/_tertiary_title&gt;&lt;_translated_author&gt;李明节&lt;/_translated_author&gt;&lt;_translated_title&gt;大规模特高压交直流混联电网特性分析与运行控制&lt;/_translated_title&gt;&lt;_url&gt;CSCD:5679313&lt;/_url&gt;&lt;_volume&gt;40&lt;/_volume&gt;&lt;/Details&gt;&lt;Extra&gt;&lt;DBUID&gt;{6891F4B0-DCBA-459A-9A22-3059983243D4}&lt;/DBUID&gt;&lt;/Extra&gt;&lt;/Item&gt;&lt;/References&gt;&lt;/Group&gt;&lt;/Citation&gt;_x000a_"/>
    <w:docVar w:name="NE.Ref{F7CEEB35-8DDF-4C4F-B053-D3BC608D4C03}" w:val=" ADDIN NE.Ref.{F7CEEB35-8DDF-4C4F-B053-D3BC608D4C03}&lt;Citation&gt;&lt;Group&gt;&lt;References&gt;&lt;Item&gt;&lt;ID&gt;487&lt;/ID&gt;&lt;UID&gt;{20520144-CE74-476E-9DEE-3DCD24747211}&lt;/UID&gt;&lt;Title&gt;Optimizing connection weights in neural networks using the whale optimization algorithm&lt;/Title&gt;&lt;Template&gt;Journal Article&lt;/Template&gt;&lt;Star&gt;0&lt;/Star&gt;&lt;Tag&gt;0&lt;/Tag&gt;&lt;Author&gt;Aljarah, Ibrahim; Faris, Hossam; Mirjalili, Seyedali&lt;/Author&gt;&lt;Year&gt;2018&lt;/Year&gt;&lt;Details&gt;&lt;_collection_scope&gt;SCIE;EI&lt;/_collection_scope&gt;&lt;_created&gt;63650820&lt;/_created&gt;&lt;_impact_factor&gt;   3.050&lt;/_impact_factor&gt;&lt;_issue&gt;1&lt;/_issue&gt;&lt;_journal&gt;Soft Computing&lt;/_journal&gt;&lt;_modified&gt;63650820&lt;/_modified&gt;&lt;_pages&gt;1-15&lt;/_pages&gt;&lt;_volume&gt;22&lt;/_volume&gt;&lt;/Details&gt;&lt;Extra&gt;&lt;DBUID&gt;{F96A950B-833F-4880-A151-76DA2D6A2879}&lt;/DBUID&gt;&lt;/Extra&gt;&lt;/Item&gt;&lt;/References&gt;&lt;/Group&gt;&lt;/Citation&gt;_x000a_"/>
    <w:docVar w:name="NE.Ref{F7F98B00-B87B-409A-A5E4-24C74D39CAF3}" w:val=" ADDIN NE.Ref.{F7F98B00-B87B-409A-A5E4-24C74D39CAF3}&lt;Citation&gt;&lt;Group&gt;&lt;References&gt;&lt;Item&gt;&lt;ID&gt;584&lt;/ID&gt;&lt;UID&gt;{8DF37BB4-A0A3-4694-8B74-89E4F80D5935}&lt;/UID&gt;&lt;Title&gt;An enhanced moth-flame optimizer for solving non-smooth economic dispatch problems with emissions&lt;/Title&gt;&lt;Template&gt;Journal Article&lt;/Template&gt;&lt;Star&gt;0&lt;/Star&gt;&lt;Tag&gt;0&lt;/Tag&gt;&lt;Author&gt;Elsakaan, Asmaa A; El-Sehiemy, Ragab A; Kaddah, Sahar S; Elsaid, Mohammed I&lt;/Author&gt;&lt;Year&gt;2018&lt;/Year&gt;&lt;Details&gt;&lt;_collection_scope&gt;SCI;SCIE;EI&lt;/_collection_scope&gt;&lt;_created&gt;63704824&lt;/_created&gt;&lt;_impact_factor&gt;   6.082&lt;/_impact_factor&gt;&lt;_issue&gt;AUG.15&lt;/_issue&gt;&lt;_journal&gt;Energy&lt;/_journal&gt;&lt;_modified&gt;63704824&lt;/_modified&gt;&lt;_pages&gt;1063-1078&lt;/_pages&gt;&lt;_volume&gt;157&lt;/_volume&gt;&lt;/Details&gt;&lt;Extra&gt;&lt;DBUID&gt;{F96A950B-833F-4880-A151-76DA2D6A2879}&lt;/DBUID&gt;&lt;/Extra&gt;&lt;/Item&gt;&lt;/References&gt;&lt;/Group&gt;&lt;/Citation&gt;_x000a_"/>
    <w:docVar w:name="NE.Ref{F866CCCB-2345-4BC8-8A78-D4F07D91C7AC}" w:val=" ADDIN NE.Ref.{F866CCCB-2345-4BC8-8A78-D4F07D91C7AC}&lt;Citation&gt;&lt;Group&gt;&lt;References&gt;&lt;Item&gt;&lt;ID&gt;532&lt;/ID&gt;&lt;UID&gt;{3DEFA07E-C98A-47AE-BCBD-3C95D2FB6C60}&lt;/UID&gt;&lt;Title&gt; Optimization of Control Strategy for 1100 kV UHVDC Integrated AC System&lt;/Title&gt;&lt;Template&gt;Journal Article&lt;/Template&gt;&lt;Star&gt;0&lt;/Star&gt;&lt;Tag&gt;0&lt;/Tag&gt;&lt;Author&gt;Li, Xinnian; Lei, Xiao; Chen, Shuyong; Liu, Yao; Zhu, Jie; Wang, Jingfang; Pang, Guangheng; Yang, Peng; Lin, Shaobo; Ban, Liangeng; Wang, Huawei&lt;/Author&gt;&lt;Year&gt;2016&lt;/Year&gt;&lt;Details&gt;&lt;_accessed&gt;63459170&lt;/_accessed&gt;&lt;_accession_num&gt;CSCD:5704787_x000d__x000a_ER&lt;/_accession_num&gt;&lt;_cited_count&gt;0&lt;/_cited_count&gt;&lt;_collection_scope&gt;CSCD;PKU;EI&lt;/_collection_scope&gt;&lt;_created&gt;63444588&lt;/_created&gt;&lt;_date_display&gt;2016, 2016&lt;/_date_display&gt;&lt;_db_provider&gt;ISI&lt;/_db_provider&gt;&lt;_isbn&gt;1000-3673&lt;/_isbn&gt;&lt;_issue&gt;5&lt;/_issue&gt;&lt;_journal&gt;Power System Technology&lt;/_journal&gt;&lt;_modified&gt;63459171&lt;/_modified&gt;&lt;_pages&gt;1326-1333&lt;/_pages&gt;&lt;_tertiary_title&gt;电网技术&lt;/_tertiary_title&gt;&lt;_translated_author&gt;李新年; 雷霄; 陈树勇; 刘耀; 祝洁; 王晶芳; 庞广恒; 杨鹏; 林少伯; 班连庚&lt;/_translated_author&gt;&lt;_translated_title&gt;1100 kV特高压直流接入系统控制策略优化&lt;/_translated_title&gt;&lt;_url&gt;CSCD:5704787&lt;/_url&gt;&lt;_volume&gt;40&lt;/_volume&gt;&lt;/Details&gt;&lt;Extra&gt;&lt;DBUID&gt;{6891F4B0-DCBA-459A-9A22-3059983243D4}&lt;/DBUID&gt;&lt;/Extra&gt;&lt;/Item&gt;&lt;/References&gt;&lt;/Group&gt;&lt;/Citation&gt;_x000a_"/>
    <w:docVar w:name="NE.Ref{F8B4EAE6-ADDF-41F9-B8EA-C753F569BA74}" w:val=" ADDIN NE.Ref.{F8B4EAE6-ADDF-41F9-B8EA-C753F569BA74}&lt;Citation&gt;&lt;Group&gt;&lt;References&gt;&lt;Item&gt;&lt;ID&gt;562&lt;/ID&gt;&lt;UID&gt;{C88A26EB-9637-4962-86B1-960A3E87C15F}&lt;/UID&gt;&lt;Title&gt;多源动态最优潮流的分布鲁棒优化方法&lt;/Title&gt;&lt;Template&gt;Journal Article&lt;/Template&gt;&lt;Star&gt;0&lt;/Star&gt;&lt;Tag&gt;0&lt;/Tag&gt;&lt;Author&gt;竺如洁; 韦化; 白晓清&lt;/Author&gt;&lt;Year&gt;2020&lt;/Year&gt;&lt;Details&gt;&lt;_author_adr&gt;广西电力系统最优化与节能技术重点实验室(广西大学);&lt;/_author_adr&gt;&lt;_collection_scope&gt;CSCD;PKU;EI&lt;/_collection_scope&gt;&lt;_created&gt;63685118&lt;/_created&gt;&lt;_db_provider&gt;CNKI&lt;/_db_provider&gt;&lt;_isbn&gt;0258-8013&lt;/_isbn&gt;&lt;_issue&gt;11&lt;/_issue&gt;&lt;_journal&gt;中国电机工程学报&lt;/_journal&gt;&lt;_keywords&gt;鲁棒优化;最优潮流;数据驱动;多源电力系统;不确定性&lt;/_keywords&gt;&lt;_modified&gt;63685118&lt;/_modified&gt;&lt;_pages&gt;3489-3498&lt;/_pages&gt;&lt;_volume&gt;40&lt;/_volume&gt;&lt;_translated_author&gt;Zhu, Rujie;Wei, Hua;Bai, Xiaoqing&lt;/_translated_author&gt;&lt;/Details&gt;&lt;Extra&gt;&lt;DBUID&gt;{F96A950B-833F-4880-A151-76DA2D6A2879}&lt;/DBUID&gt;&lt;/Extra&gt;&lt;/Item&gt;&lt;/References&gt;&lt;/Group&gt;&lt;Group&gt;&lt;References&gt;&lt;Item&gt;&lt;ID&gt;557&lt;/ID&gt;&lt;UID&gt;{B91F6A20-E1F9-4D6E-88DF-96B7AAAD3EB4}&lt;/UID&gt;&lt;Title&gt;基于二阶锥最优潮流的机会约束分布鲁棒优化研究&lt;/Title&gt;&lt;Template&gt;Journal Article&lt;/Template&gt;&lt;Star&gt;0&lt;/Star&gt;&lt;Tag&gt;0&lt;/Tag&gt;&lt;Author&gt;肖遥; 别朝红; 黄格超; 李更丰; 高晓松; 刘诗雨; 贺元康; 刘瑞丰&lt;/Author&gt;&lt;Year&gt;0&lt;/Year&gt;&lt;Details&gt;&lt;_author_adr&gt;电力设备电气绝缘国家重点实验室(西安交通大学);陕西省智能电网重点实验室(西安交通大学);国家电网公司西北分部;&lt;/_author_adr&gt;&lt;_collection_scope&gt;CSCD;PKU;EI&lt;/_collection_scope&gt;&lt;_created&gt;63685118&lt;/_created&gt;&lt;_db_provider&gt;CNKI&lt;/_db_provider&gt;&lt;_isbn&gt;1000-3673&lt;/_isbn&gt;&lt;_journal&gt;电网技术&lt;/_journal&gt;&lt;_keywords&gt;新能源;二阶锥松弛;最优潮流;分布鲁棒&lt;/_keywords&gt;&lt;_modified&gt;63685118&lt;/_modified&gt;&lt;_pages&gt;1-14&lt;/_pages&gt;&lt;_translated_author&gt;Xiao, Yao;Bie, Chaohong;Huang, Gechao;Li, Gengfeng;Gao, Xiaosong;Liu, Shiyu;He, Yuankang;Liu, Ruifeng&lt;/_translated_author&gt;&lt;/Details&gt;&lt;Extra&gt;&lt;DBUID&gt;{F96A950B-833F-4880-A151-76DA2D6A2879}&lt;/DBUID&gt;&lt;/Extra&gt;&lt;/Item&gt;&lt;/References&gt;&lt;/Group&gt;&lt;/Citation&gt;_x000a_"/>
    <w:docVar w:name="NE.Ref{F90A3CC8-D68F-47C5-9C6F-C19D0DC2D91E}" w:val=" ADDIN NE.Ref.{F90A3CC8-D68F-47C5-9C6F-C19D0DC2D91E}&lt;Citation&gt;&lt;Group&gt;&lt;References&gt;&lt;Item&gt;&lt;ID&gt;550&lt;/ID&gt;&lt;UID&gt;{07159DB2-6B91-48F2-9FE6-B1164DDE2D41}&lt;/UID&gt;&lt;Title&gt;考虑跨区联络线交易计划的多区域互联系统分散调度方法&lt;/Title&gt;&lt;Template&gt;Journal Article&lt;/Template&gt;&lt;Star&gt;0&lt;/Star&gt;&lt;Tag&gt;0&lt;/Tag&gt;&lt;Author&gt;曾方迪; 李更丰; 别朝红; 程海花; 郑亚先; 耿建&lt;/Author&gt;&lt;Year&gt;2018&lt;/Year&gt;&lt;Details&gt;&lt;_author_adr&gt;陕西省智能电网重点实验室(西安交通大学);电力设备电气绝缘国家重点实验室(西安交通大学);西安交通大学电气工程学院;中国电力科学研究院有限公司(南京);&lt;/_author_adr&gt;&lt;_collection_scope&gt;CSCD;PKU;EI&lt;/_collection_scope&gt;&lt;_created&gt;63671847&lt;/_created&gt;&lt;_db_provider&gt;CNKI&lt;/_db_provider&gt;&lt;_isbn&gt;1000-1026&lt;/_isbn&gt;&lt;_issue&gt;16&lt;/_issue&gt;&lt;_journal&gt;电力系统自动化&lt;/_journal&gt;&lt;_keywords&gt;跨区交易;联络线计划;分散调度;风电消纳;机组组合&lt;/_keywords&gt;&lt;_modified&gt;63671847&lt;/_modified&gt;&lt;_pages&gt;32-40&lt;/_pages&gt;&lt;_volume&gt;42&lt;/_volume&gt;&lt;_translated_author&gt;Ceng, Fangdi;Li, Gengfeng;Bie, Chaohong;Cheng, Haihua;Zheng, Yaxian;Geng, Jian&lt;/_translated_author&gt;&lt;/Details&gt;&lt;Extra&gt;&lt;DBUID&gt;{F96A950B-833F-4880-A151-76DA2D6A2879}&lt;/DBUID&gt;&lt;/Extra&gt;&lt;/Item&gt;&lt;/References&gt;&lt;/Group&gt;&lt;/Citation&gt;_x000a_"/>
    <w:docVar w:name="NE.Ref{F97F8DDD-8CA1-4824-A7A9-48263E240E34}" w:val=" ADDIN NE.Ref.{F97F8DDD-8CA1-4824-A7A9-48263E240E34}&lt;Citation&gt;&lt;Group&gt;&lt;References&gt;&lt;Item&gt;&lt;ID&gt;400&lt;/ID&gt;&lt;UID&gt;{60B00F96-E32C-4972-901D-DE80773DFE9A}&lt;/UID&gt;&lt;Title&gt;Statistical Analysis and Suggestions on Resistance Measures for Commutation Failures of HVDC Transmission System&lt;/Title&gt;&lt;Template&gt;Journal Article&lt;/Template&gt;&lt;Star&gt;0&lt;/Star&gt;&lt;Tag&gt;0&lt;/Tag&gt;&lt;Author&gt;Ruan, Siye; Xu, Kai; Liu, Dan; Lyu, Pengfei; Wang, Delin; Wang, Huafeng&lt;/Author&gt;&lt;Year&gt;2019&lt;/Year&gt;&lt;Details&gt;&lt;_accessed&gt;63459181&lt;/_accessed&gt;&lt;_accession_num&gt;CSCD:6576304_x000d__x000a_ER&lt;/_accession_num&gt;&lt;_cited_count&gt;2&lt;/_cited_count&gt;&lt;_collection_scope&gt;CSCD;PKU;EI&lt;/_collection_scope&gt;&lt;_created&gt;63444588&lt;/_created&gt;&lt;_date_display&gt;2019, 2019&lt;/_date_display&gt;&lt;_db_provider&gt;ISI&lt;/_db_provider&gt;&lt;_isbn&gt;1000-1026&lt;/_isbn&gt;&lt;_issue&gt;18&lt;/_issue&gt;&lt;_journal&gt;Automation of Electric Power Systems&lt;/_journal&gt;&lt;_modified&gt;63459182&lt;/_modified&gt;&lt;_pages&gt;13-17,34&lt;/_pages&gt;&lt;_tertiary_title&gt;电力系统自动化&lt;/_tertiary_title&gt;&lt;_translated_author&gt;阮思烨; 徐凯; 刘丹; 吕鹏飞; 王德林; 王华锋&lt;/_translated_author&gt;&lt;_translated_title&gt;直流输电系统换相失败统计分析及抵御措施建议&lt;/_translated_title&gt;&lt;_url&gt;CSCD:6576304 _x000d__x000a_https://kns.cnki.net/kns/download.aspx?filename=3wGZ5ZjTqBHcn52dxMHM3VmaqN3RWlzQqRjdXFlekVTbDhmcGhFaoZzVBNGVaF2UmN3UQJkaCxmQRFWSpNnUiVUVBhlWudjezITNll2Yt9me5AlRyUmbzc3KRNUbPF3TuVVQntWO2oUTDZ0drQWbjV2TDJkMDpUe&amp;amp;tablename=CJFDLAST2019&amp;amp;dflag=pdfdown _x000d__x000a_&lt;/_url&gt;&lt;_volume&gt;43&lt;/_volume&gt;&lt;/Details&gt;&lt;Extra&gt;&lt;DBUID&gt;{6891F4B0-DCBA-459A-9A22-3059983243D4}&lt;/DBUID&gt;&lt;/Extra&gt;&lt;/Item&gt;&lt;/References&gt;&lt;/Group&gt;&lt;/Citation&gt;_x000a_"/>
    <w:docVar w:name="NE.Ref{F9B525A7-369B-42E4-9924-136A816CBDB0}" w:val=" ADDIN NE.Ref.{F9B525A7-369B-42E4-9924-136A816CBDB0}&lt;Citation&gt;&lt;Group&gt;&lt;References&gt;&lt;Item&gt;&lt;ID&gt;533&lt;/ID&gt;&lt;UID&gt;{B4E51D91-CB92-46A6-A596-FF772863ED7C}&lt;/UID&gt;&lt;Title&gt;面向能源互联网的新一代电力系统运行模式研究&lt;/Title&gt;&lt;Template&gt;Journal Article&lt;/Template&gt;&lt;Star&gt;0&lt;/Star&gt;&lt;Tag&gt;0&lt;/Tag&gt;&lt;Author&gt;吴克河; 王继业; 李为; 朱亚运&lt;/Author&gt;&lt;Year&gt;2019&lt;/Year&gt;&lt;Details&gt;&lt;_author_adr&gt;华北电力大学控制与计算机工程学院;国家电网公司;中国电力科学研究院有限公司;&lt;/_author_adr&gt;&lt;_collection_scope&gt;CSCD;PKU;EI&lt;/_collection_scope&gt;&lt;_created&gt;63660529&lt;/_created&gt;&lt;_db_provider&gt;CNKI&lt;/_db_provider&gt;&lt;_isbn&gt;0258-8013&lt;/_isbn&gt;&lt;_issue&gt;04&lt;/_issue&gt;&lt;_journal&gt;中国电机工程学报&lt;/_journal&gt;&lt;_keywords&gt;能源互联网;电力三次系统;电力系统运行新模式;电力信息二元网络&lt;/_keywords&gt;&lt;_modified&gt;63660529&lt;/_modified&gt;&lt;_pages&gt;966-979&lt;/_pages&gt;&lt;_volume&gt;39&lt;/_volume&gt;&lt;_translated_author&gt;Wu, Kehe;Wang, Jiye;Li, Wei;Zhu, Yayun&lt;/_translated_author&gt;&lt;/Details&gt;&lt;Extra&gt;&lt;DBUID&gt;{F96A950B-833F-4880-A151-76DA2D6A2879}&lt;/DBUID&gt;&lt;/Extra&gt;&lt;/Item&gt;&lt;/References&gt;&lt;/Group&gt;&lt;/Citation&gt;_x000a_"/>
    <w:docVar w:name="NE.Ref{F9E82CD6-DFDD-43EA-8A02-7600B4D18A0C}" w:val=" ADDIN NE.Ref.{F9E82CD6-DFDD-43EA-8A02-7600B4D18A0C}&lt;Citation&gt;&lt;Group&gt;&lt;References&gt;&lt;Item&gt;&lt;ID&gt;482&lt;/ID&gt;&lt;UID&gt;{ED05E054-5BFF-4C83-9933-59438D177267}&lt;/UID&gt;&lt;Title&gt;基于WCVaR模型的分布式发电系统供需互动能量管理研究&lt;/Title&gt;&lt;Template&gt;Journal Article&lt;/Template&gt;&lt;Star&gt;0&lt;/Star&gt;&lt;Tag&gt;0&lt;/Tag&gt;&lt;Author&gt;张虹; 葛得初; 侯宁; 张思雨; 于东民; 王鹤&lt;/Author&gt;&lt;Year&gt;2019&lt;/Year&gt;&lt;Details&gt;&lt;_author_adr&gt;东北电力大学电气工程学院;国网吉林省电力有限公司长春供电公司;瑞典皇家理工学院电气工程与计算机科学学院;&lt;/_author_adr&gt;&lt;_collection_scope&gt;CSCD;PKU;EI&lt;/_collection_scope&gt;&lt;_created&gt;63650256&lt;/_created&gt;&lt;_db_provider&gt;CNKI&lt;/_db_provider&gt;&lt;_isbn&gt;0258-8013&lt;/_isbn&gt;&lt;_issue&gt;15&lt;/_issue&gt;&lt;_journal&gt;中国电机工程学报&lt;/_journal&gt;&lt;_keywords&gt;分布式发电系统;供需互动;不确定性;WCVaR;能量管理;风险管理&lt;/_keywords&gt;&lt;_modified&gt;63650256&lt;/_modified&gt;&lt;_pages&gt;4468-4478&lt;/_pages&gt;&lt;_volume&gt;39&lt;/_volume&gt;&lt;_translated_author&gt;Zhang, Hong;Ge, Dechu;Hou, Ning;Zhang, Siyu;Yu, Dongmin;Wang, He&lt;/_translated_author&gt;&lt;/Details&gt;&lt;Extra&gt;&lt;DBUID&gt;{F96A950B-833F-4880-A151-76DA2D6A2879}&lt;/DBUID&gt;&lt;/Extra&gt;&lt;/Item&gt;&lt;/References&gt;&lt;/Group&gt;&lt;/Citation&gt;_x000a_"/>
    <w:docVar w:name="NE.Ref{FCB41E22-332C-4E48-9413-3BEF32987917}" w:val=" ADDIN NE.Ref.{FCB41E22-332C-4E48-9413-3BEF32987917}&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FD3A6AE9-13EB-47BF-AF58-78DC8E2A30F2}" w:val=" ADDIN NE.Ref.{FD3A6AE9-13EB-47BF-AF58-78DC8E2A30F2}&lt;Citation&gt;&lt;Group&gt;&lt;References&gt;&lt;Item&gt;&lt;ID&gt;904&lt;/ID&gt;&lt;UID&gt;{E5A06000-EFE4-416D-8E25-1A8ABFC824DF}&lt;/UID&gt;&lt;Title&gt;Coordinated Control Strategy for Cascading Commutation Failure Mitigation Considering Reactive Power Interaction&lt;/Title&gt;&lt;Template&gt;Journal Article&lt;/Template&gt;&lt;Star&gt;0&lt;/Star&gt;&lt;Tag&gt;0&lt;/Tag&gt;&lt;Author&gt;Zheng, C Y; Tang, Y; Li, Z&lt;/Author&gt;&lt;Year&gt;2022&lt;/Year&gt;&lt;Details&gt;&lt;_alternate_title&gt;IEEE TRANSACTIONS ON POWER DELIVERY&lt;/_alternate_title&gt;&lt;_author_adr&gt;Southeast Univ, Sch Elect Engn, Nanjing 210096, Jiangsu, Peoples R China&lt;/_author_adr&gt;&lt;_cited_count&gt;0&lt;/_cited_count&gt;&lt;_collection_scope&gt;SCI;SCIE;EI&lt;/_collection_scope&gt;&lt;_created&gt;64655769&lt;/_created&gt;&lt;_date&gt;2022-01-01&lt;/_date&gt;&lt;_date_display&gt;2022&lt;/_date_display&gt;&lt;_db_updated&gt;Web of Science-Core&lt;/_db_updated&gt;&lt;_doi&gt;10.1109/TPWRD.2021.3125350&lt;/_doi&gt;&lt;_impact_factor&gt;   4.825&lt;/_impact_factor&gt;&lt;_issue&gt;4&lt;/_issue&gt;&lt;_journal&gt;IEEE TRANSACTIONS ON POWER DELIVERY&lt;/_journal&gt;&lt;_keywords&gt;HVDC transmission; Reactive power; Firing; Power system stability; Inverters; Voltage control; Valves; Multi-infeed HVDC systems; reactive power interaction; cascading commutation failure; coordinated control strategy&lt;/_keywords&gt;&lt;_modified&gt;64655772&lt;/_modified&gt;&lt;_pages&gt;3225-3234&lt;/_pages&gt;&lt;_url&gt;https://ieeexplore.ieee.org/stampPDF/getPDF.jsp?tp=&amp;amp;arnumber=9606614&amp;amp;ref=aHR0cHM6Ly9pZWVleHBsb3JlLmllZWUub3JnL3Jlc3Qvc2VhcmNo _x000d__x000a_&lt;/_url&gt;&lt;_volume&gt;37&lt;/_volume&gt;&lt;/Details&gt;&lt;Extra&gt;&lt;DBUID&gt;{6891F4B0-DCBA-459A-9A22-3059983243D4}&lt;/DBUID&gt;&lt;/Extra&gt;&lt;/Item&gt;&lt;/References&gt;&lt;/Group&gt;&lt;/Citation&gt;_x000a_"/>
    <w:docVar w:name="NE.Ref{FD788B96-C0B3-4480-91E7-38F76B68BB4B}" w:val=" ADDIN NE.Ref.{FD788B96-C0B3-4480-91E7-38F76B68BB4B}&lt;Citation&gt;&lt;Group&gt;&lt;References&gt;&lt;Item&gt;&lt;ID&gt;117&lt;/ID&gt;&lt;UID&gt;{90AA279F-1CDD-4E94-ACD0-8C9FEA67BEEC}&lt;/UID&gt;&lt;Title&gt;基于两阶段鲁棒区间优化的风储联合运行调度模型&lt;/Title&gt;&lt;Template&gt;Journal Article&lt;/Template&gt;&lt;Star&gt;0&lt;/Star&gt;&lt;Tag&gt;0&lt;/Tag&gt;&lt;Author&gt;张刘冬; 袁宇波; 孙大雁; 袁晓冬; 李强; 苏大威&lt;/Author&gt;&lt;Year&gt;2018&lt;/Year&gt;&lt;Details&gt;&lt;_accessed&gt;64308261&lt;/_accessed&gt;&lt;_author_aff&gt;国网江苏省电力有限公司电力科学研究院;河海大学能源与电气工程学院;国网江苏省电力有限公司;&lt;/_author_aff&gt;&lt;_cited_count&gt;37&lt;/_cited_count&gt;&lt;_collection_scope&gt;CSCD;PKU;EI&lt;/_collection_scope&gt;&lt;_created&gt;64308205&lt;/_created&gt;&lt;_date&gt;62556480&lt;/_date&gt;&lt;_db_updated&gt;CNKI - Reference&lt;/_db_updated&gt;&lt;_issue&gt;12&lt;/_issue&gt;&lt;_journal&gt;电力自动化设备&lt;/_journal&gt;&lt;_keywords&gt;风力发电;储能系统;鲁棒区间优化;机组组合;Benders分解&lt;/_keywords&gt;&lt;_language&gt;Chinese&lt;/_language&gt;&lt;_modified&gt;64308261&lt;/_modified&gt;&lt;_pages&gt;59-66+93&lt;/_pages&gt;&lt;_url&gt;https://kns.cnki.net/kcms/detail/detail.aspx?FileName=DLZS201812009&amp;amp;DbName=CJFQ2018&lt;/_url&gt;&lt;_volume&gt;38&lt;/_volume&gt;&lt;_translated_author&gt;Zhang, Liudong;Yuan, Yubo;Sun, Dayan;Yuan, Xiaodong;Li, Qiang;Su, Dawei&lt;/_translated_author&gt;&lt;/Details&gt;&lt;Extra&gt;&lt;DBUID&gt;{560D5FFD-5A46-4EB8-859B-FD657304A42E}&lt;/DBUID&gt;&lt;/Extra&gt;&lt;/Item&gt;&lt;/References&gt;&lt;/Group&gt;&lt;/Citation&gt;_x000a_"/>
    <w:docVar w:name="NE.Ref{FD8E7BC4-412B-4A74-8ED6-C96652DF1746}" w:val=" ADDIN NE.Ref.{FD8E7BC4-412B-4A74-8ED6-C96652DF1746}&lt;Citation&gt;&lt;Group&gt;&lt;References&gt;&lt;Item&gt;&lt;ID&gt;461&lt;/ID&gt;&lt;UID&gt;{B51647A7-3A7D-4FFB-A9B5-22E69806D1E9}&lt;/UID&gt;&lt;Title&gt;交流不对称故障类型对HVDC 换相失败的影响研究&lt;/Title&gt;&lt;Template&gt;Journal Article&lt;/Template&gt;&lt;Star&gt;0&lt;/Star&gt;&lt;Tag&gt;0&lt;/Tag&gt;&lt;Author&gt;李江涛; 顾悦; 任子媛; 曹辉; 郑敏军; 赵政; 李涛; 李征; 王琳&lt;/Author&gt;&lt;Year&gt;2018&lt;/Year&gt;&lt;Details&gt;&lt;_accessed&gt;63445968&lt;/_accessed&gt;&lt;_accession_num&gt;CSCD:6279979_x000d__x000a_ER&lt;/_accession_num&gt;&lt;_cited_count&gt;0&lt;/_cited_count&gt;&lt;_collection_scope&gt;CSCD;PKU&lt;/_collection_scope&gt;&lt;_created&gt;63444588&lt;/_created&gt;&lt;_date_display&gt;2018, 2018&lt;/_date_display&gt;&lt;_db_provider&gt;ISI&lt;/_db_provider&gt;&lt;_isbn&gt;1001-1609&lt;/_isbn&gt;&lt;_issue&gt;1001-1609(2018)54:7&amp;lt;131:JLBDCG&amp;gt;2.0.TX;2-O7&lt;/_issue&gt;&lt;_journal&gt;高压电器&lt;/_journal&gt;&lt;_modified&gt;63445968&lt;/_modified&gt;&lt;_pages&gt;131-137&lt;/_pages&gt;&lt;_tertiary_title&gt;High Voltage Apparatus&lt;/_tertiary_title&gt;&lt;_translated_author&gt;Li, Jiangtao; Gu, Yue; Ren, Ziyuan; Cao, Hui; Zheng, Minjun; Zhao, Zheng; Li, Tao; Li, Zheng; Wang, Lin&lt;/_translated_author&gt;&lt;_translated_title&gt;Influence of AC System Asymmetric Fault on the HVDC System Commutation Failure&lt;/_translated_title&gt;&lt;_url&gt;CSCD:6279979&lt;/_url&gt;&lt;_volume&gt;54&lt;/_volume&gt;&lt;/Details&gt;&lt;Extra&gt;&lt;DBUID&gt;{6891F4B0-DCBA-459A-9A22-3059983243D4}&lt;/DBUID&gt;&lt;/Extra&gt;&lt;/Item&gt;&lt;/References&gt;&lt;/Group&gt;&lt;/Citation&gt;_x000a_"/>
    <w:docVar w:name="NE.Ref{FE2E0FEC-2A44-4EBD-AFFF-9B7AB580B023}" w:val=" ADDIN NE.Ref.{FE2E0FEC-2A44-4EBD-AFFF-9B7AB580B023}&lt;Citation&gt;&lt;Group&gt;&lt;References&gt;&lt;Item&gt;&lt;ID&gt;400&lt;/ID&gt;&lt;UID&gt;{AA736F4F-7CBC-436F-AC4D-51305971DAA9}&lt;/UID&gt;&lt;Title&gt;Dynamic economic emission dispatch based on group search optimizer with multiple producers&lt;/Title&gt;&lt;Template&gt;Journal Article&lt;/Template&gt;&lt;Star&gt;0&lt;/Star&gt;&lt;Tag&gt;0&lt;/Tag&gt;&lt;Author&gt;Guo, C X; Zhan, J P; Wu, Q H&lt;/Author&gt;&lt;Year&gt;2012&lt;/Year&gt;&lt;Details&gt;&lt;_accession_num&gt;WOS:000301616500002_x000d__x000a_ER&lt;/_accession_num&gt;&lt;_cited_count&gt;75&lt;/_cited_count&gt;&lt;_collection_scope&gt;SCIE;EI&lt;/_collection_scope&gt;&lt;_created&gt;63640513&lt;/_created&gt;&lt;_date_display&gt;2012, MAY 2012&lt;/_date_display&gt;&lt;_db_provider&gt;ISI&lt;/_db_provider&gt;&lt;_doi&gt;10.1016/j.epsr.2011.11.015&lt;/_doi&gt;&lt;_impact_factor&gt;   3.211&lt;/_impact_factor&gt;&lt;_isbn&gt;0378-7796&lt;/_isbn&gt;&lt;_journal&gt;ELECTRIC POWER SYSTEMS RESEARCH&lt;/_journal&gt;&lt;_modified&gt;63640513&lt;/_modified&gt;&lt;_pages&gt;8-16&lt;/_pages&gt;&lt;_url&gt;http://gateway.isiknowledge.com/gateway/Gateway.cgi?GWVersion=2&amp;amp;SrcAuth=AegeanSoftware&amp;amp;SrcApp=NoteExpress&amp;amp;DestLinkType=FullRecord&amp;amp;DestApp=WOS&amp;amp;KeyUT=000301616500002&lt;/_url&gt;&lt;_volume&gt;86&lt;/_volume&gt;&lt;/Details&gt;&lt;Extra&gt;&lt;DBUID&gt;{F96A950B-833F-4880-A151-76DA2D6A2879}&lt;/DBUID&gt;&lt;/Extra&gt;&lt;/Item&gt;&lt;/References&gt;&lt;/Group&gt;&lt;/Citation&gt;_x000a_"/>
    <w:docVar w:name="NE.Ref{FF2AFEFE-5705-4951-BE09-BA472D5A9C52}" w:val=" ADDIN NE.Ref.{FF2AFEFE-5705-4951-BE09-BA472D5A9C52}&lt;Citation&gt;&lt;Group&gt;&lt;References&gt;&lt;Item&gt;&lt;ID&gt;831&lt;/ID&gt;&lt;UID&gt;{452AC1DD-A6A0-4F97-907D-0C2DC439FF93}&lt;/UID&gt;&lt;Title&gt;直流换相失败下双馈风电机组特性描述及暂态过电压抑制&lt;/Title&gt;&lt;Template&gt;Journal Article&lt;/Template&gt;&lt;Star&gt;0&lt;/Star&gt;&lt;Tag&gt;0&lt;/Tag&gt;&lt;Author&gt;刘其辉; 董楚然; 吴勇; 张亚灵; 逄思敏; 申杰&lt;/Author&gt;&lt;Year&gt;2022&lt;/Year&gt;&lt;Details&gt;&lt;_accessed&gt;64647180&lt;/_accessed&gt;&lt;_author_aff&gt;新能源电力系统国家重点实验室(华北电力大学);国网上海市电力公司检修公司;国网上海市电力公司松江供电公司;&lt;/_author_aff&gt;&lt;_collection_scope&gt;CSCD;PKU;EI&lt;/_collection_scope&gt;&lt;_created&gt;64646629&lt;/_created&gt;&lt;_date&gt;2021-10-28&lt;/_date&gt;&lt;_db_updated&gt;CNKI - Reference&lt;/_db_updated&gt;&lt;_issue&gt;08&lt;/_issue&gt;&lt;_journal&gt;电力系统自动化&lt;/_journal&gt;&lt;_keywords&gt;换相失败;双馈感应发电机;暂态电压;故障穿越;过电压主动抑制&lt;/_keywords&gt;&lt;_modified&gt;64647181&lt;/_modified&gt;&lt;_pages&gt;29-38&lt;/_pages&gt;&lt;_tertiary_title&gt;Automation of electric power systems&lt;/_tertiary_title&gt;&lt;_translated_author&gt;LIU, Qihui; DONG, Churan; WU, Yong; ZHANG, Yaling; PANG, Simin; SHEN, Jie&lt;/_translated_author&gt;&lt;_translated_title&gt;Characteristic Description and Transient Overvoltage Suppression of Doubly-fed Wind Turbines with LCC-HVDC Commutation Failure&lt;/_translated_title&gt;&lt;_url&gt;https://kns.cnki.net/kcms/detail/detail.aspx?FileName=DLXT202208004&amp;amp;DbName=CJFQ2022 _x000d__x000a_https://bar.cnki.net/bar/download/order?id=jBGETXBNdPImvx70aLAuJPYxPoFw%2bp%2bi0fIiSrcN6lXVlq1eBSUeJvjZrOAJvDJukSJjWy3W0i%2b8K1%2b7%2bDUhfJ0PLIIoFLYwy5BgUEfsTyzl8E%2bCUVp5GtDTYhVF2dNUoJeGx62Ssygg68TNXJ%2b5JrigejDAar8Xqw%2f6WR22OFXUdUGh4At8VBYSvh%2fCUD5aLzjwAGWyOdgr9efAeY6tPCyWI5uyZaOI7%2bN0Y06oLwj5LXYX1qwFXwOc1HUZT%2bTB _x000d__x000a_&lt;/_url&gt;&lt;_volume&gt;46&lt;/_volume&gt;&lt;/Details&gt;&lt;Extra&gt;&lt;DBUID&gt;{6891F4B0-DCBA-459A-9A22-3059983243D4}&lt;/DBUID&gt;&lt;/Extra&gt;&lt;/Item&gt;&lt;/References&gt;&lt;/Group&gt;&lt;Group&gt;&lt;References&gt;&lt;Item&gt;&lt;ID&gt;881&lt;/ID&gt;&lt;UID&gt;{083538B0-3D7B-4624-8DF1-4AA048959452}&lt;/UID&gt;&lt;Title&gt;基于动态无功支撑的全功率变流风电机组高电压穿越改进控制&lt;/Title&gt;&lt;Template&gt;Journal Article&lt;/Template&gt;&lt;Star&gt;0&lt;/Star&gt;&lt;Tag&gt;0&lt;/Tag&gt;&lt;Author&gt;王德胜; 颜湘武; 刘辉; 贾焦心; 高玉雅&lt;/Author&gt;&lt;Year&gt;2022&lt;/Year&gt;&lt;Details&gt;&lt;_accessed&gt;64647181&lt;/_accessed&gt;&lt;_author_aff&gt;新能源电力系统国家重点实验室(华北电力大学);国网冀北电力有限公司电力科学研究院;国网西安供电公司经济技术研究所;&lt;/_author_aff&gt;&lt;_cited_count&gt;1&lt;/_cited_count&gt;&lt;_collection_scope&gt;CSCD;PKU;EI&lt;/_collection_scope&gt;&lt;_created&gt;64646951&lt;/_created&gt;&lt;_date&gt;2022-02-05&lt;/_date&gt;&lt;_db_updated&gt;CNKI - Reference&lt;/_db_updated&gt;&lt;_issue&gt;03&lt;/_issue&gt;&lt;_journal&gt;中国电机工程学报&lt;/_journal&gt;&lt;_keywords&gt;高电压穿越;故障脱网;矢量控制;无功支撑;功率振荡&lt;/_keywords&gt;&lt;_modified&gt;64647181&lt;/_modified&gt;&lt;_pages&gt;957-968&lt;/_pages&gt;&lt;_tertiary_title&gt;Proceedings of the CSEE&lt;/_tertiary_title&gt;&lt;_translated_author&gt;WANG, Desheng; Xiangwu, YAN; LIU, Hui; JIA, Jiaoxin; GAO, Yuya&lt;/_translated_author&gt;&lt;_translated_title&gt;High Voltage Ride Through Improved Control of Full Power Converter Wind Turbines Based on Dynamic Reactive Power Support&lt;/_translated_title&gt;&lt;_url&gt;https://kns.cnki.net/kcms/detail/detail.aspx?FileName=ZGDC202203009&amp;amp;DbName=DKFX2022 _x000d__x000a_https://bar.cnki.net/bar/download/order?id=jBGETXBNdPImvx70aLAuJPYxPoFw%2bp%2bi0fIiSrcN6lUmL5uUyU6IHvJnocTOg%2fbjsshnTQdlzf0o9Rxczx2nOp0PLIIoFLYwy5BgUEfsTyzl8E%2bCUVp5GtDTYhVF2dNUoJeGx62Ssygg68TNXJ%2b5JrigejDAar8Xqw%2f6WR22OFXUdUGh4At8VBYSvh%2fCUD5aA2rg%2bPYu6ktCER3kEmPq40NiSK5zOkkV0VzBerLHmhH5LXYX1qwFXwOc1HUZT%2bTB _x000d__x000a_https://bar.cnki.net/bar/download/order?id=jBGETXBNdPImvx70aLAuJPYxPoFw%2bp%2bi0fIiSrcN6lUmL5uUyU6IHvJnocTOg%2fbjsshnTQdlzf0o9Rxczx2nOp0PLIIoFLYwy5BgUEfsTyzl8E%2bCUVp5GtDTYhVF2dNUoJeGx62Ssygg68TNXJ%2b5JrigejDAar8Xqw%2f6WR22OFXUdUGh4At8VBYSvh%2fCUD5a5CVhvmli0QLOFG19qIfdQgSUVLmggogtCe%2bW%2f%2bhXCQj5LXYX1qwFXwOc1HUZT%2bTB _x000d__x000a_https://bar.cnki.net/bar/download/order?id=jBGETXBNdPImvx70aLAuJPYxPoFw%2bp%2bi0fIiSrcN6lUmL5uUyU6IHvJnocTOg%2fbjsshnTQdlzf0o9Rxczx2nOp0PLIIoFLYwy5BgUEfsTyzl8E%2bCUVp5GtDTYhVF2dNUoJeGx62Ssygg68TNXJ%2b5JrigejDAar8Xqw%2f6WR22OFXUdUGh4At8VBYSvh%2fCUD5aSYvfUUxfS5t29FWadm08aYOZ0HvlvQvi2zfFMKHGBvH5LXYX1qwFXwOc1HUZT%2bTB _x000d__x000a_&lt;/_url&gt;&lt;_volume&gt;42&lt;/_volume&gt;&lt;/Details&gt;&lt;Extra&gt;&lt;DBUID&gt;{6891F4B0-DCBA-459A-9A22-3059983243D4}&lt;/DBUID&gt;&lt;/Extra&gt;&lt;/Item&gt;&lt;/References&gt;&lt;/Group&gt;&lt;Group&gt;&lt;References&gt;&lt;Item&gt;&lt;ID&gt;882&lt;/ID&gt;&lt;UID&gt;{027F788E-861A-4764-ABC8-A96CFAE4B914}&lt;/UID&gt;&lt;Title&gt;双馈风机并网系统高电压穿越控制策略稳定性分析&lt;/Title&gt;&lt;Template&gt;Journal Article&lt;/Template&gt;&lt;Star&gt;0&lt;/Star&gt;&lt;Tag&gt;0&lt;/Tag&gt;&lt;Author&gt;周昌平; 汪震; 甘德强; 袁辉; 辛焕海&lt;/Author&gt;&lt;Year&gt;2022&lt;/Year&gt;&lt;Details&gt;&lt;_accessed&gt;64647182&lt;/_accessed&gt;&lt;_author_aff&gt;浙江大学电气工程学院;&lt;/_author_aff&gt;&lt;_cited_count&gt;1&lt;/_cited_count&gt;&lt;_collection_scope&gt;CSCD;PKU;EI&lt;/_collection_scope&gt;&lt;_created&gt;64646951&lt;/_created&gt;&lt;_date&gt;2021-08-30&lt;/_date&gt;&lt;_db_updated&gt;CNKI - Reference&lt;/_db_updated&gt;&lt;_issue&gt;20&lt;/_issue&gt;&lt;_journal&gt;中国电机工程学报&lt;/_journal&gt;&lt;_keywords&gt;双馈风机;高电压穿越;暂态电压稳定;小信号建模&lt;/_keywords&gt;&lt;_modified&gt;64647183&lt;/_modified&gt;&lt;_pages&gt;7415-7426&lt;/_pages&gt;&lt;_tertiary_title&gt;Proceedings of the CSEE&lt;/_tertiary_title&gt;&lt;_translated_author&gt;ZHOU, Changping; WANG, Zhen; GAN, Deqiang; YUAN, Hui; XIN, Huanhai&lt;/_translated_author&gt;&lt;_translated_title&gt;Stability Analysis of High Voltage Ride Trough Control Strategy for DFIG Integrated System&lt;/_translated_title&gt;&lt;_url&gt;https://kns.cnki.net/kcms/detail/detail.aspx?FileName=ZGDC202220012&amp;amp;DbName=DKFXTEMP _x000d__x000a_https://bar.cnki.net/bar/download/order?id=jBGETXBNdPImvx70aLAuJPYxPoFw%2bp%2bi0fIiSrcN6lVR7dLHKFXImZjxInT3D9sPIPqgR38m15LFMAZn%2bx0j%2f8m82jDOg3yr%2bqRqj9L2CzQtqddCdidyosdSaMNWur3ZJBjdlDrNnftoR5pdZPiFRNlKM4sfpT3nRHSqBOA4sms8GQBtE8Z8mK%2fNwS15YoSE%2b76osIIwp5dpYYc5YpX2o6opkQ6JnjQzfIvFcCnka0M%3d _x000d__x000a_https://bar.cnki.net/bar/download/order?id=jBGETXBNdPImvx70aLAuJPYxPoFw%2bp%2bi0fIiSrcN6lVR7dLHKFXImZjxInT3D9sPIPqgR38m15LFMAZn%2bx0j%2f8m82jDOg3yr%2bqRqj9L2CzQtqddCdidyosdSaMNWur3ZJBjdlDrNnftoR5pdZPiFRNlKM4sfpT3nRHSqBOA4sms8GQBtE8Z8mK%2fNwS15YoSEsbsslJFtkoJb%2fIsmJwThtKopkQ6JnjQzfIvFcCnka0M%3d _x000d__x000a_https://bar.cnki.net/bar/download/order?id=jBGETXBNdPImvx70aLAuJPYxPoFw%2bp%2bi0fIiSrcN6lVR7dLHKFXImZjxInT3D9sPIPqgR38m15LFMAZn%2bx0j%2f8m82jDOg3yr%2bqRqj9L2CzQtqddCdidyosdSaMNWur3ZJBjdlDrNnftoR5pdZPiFRNlKM4sfpT3nRHSqBOA4sms8GQBtE8Z8mK%2fNwS15YoSEMRLO1%2fA5UQiUP296zqz3YqopkQ6JnjQzfIvFcCnka0M%3d _x000d__x000a_&lt;/_url&gt;&lt;_volume&gt;42&lt;/_volume&gt;&lt;/Details&gt;&lt;Extra&gt;&lt;DBUID&gt;{6891F4B0-DCBA-459A-9A22-3059983243D4}&lt;/DBUID&gt;&lt;/Extra&gt;&lt;/Item&gt;&lt;/References&gt;&lt;/Group&gt;&lt;Group&gt;&lt;References&gt;&lt;Item&gt;&lt;ID&gt;867&lt;/ID&gt;&lt;UID&gt;{9B6D9E52-9DC1-47CA-B7E3-D9B5EFFE2583}&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647183&lt;/_accessed&gt;&lt;_author_aff&gt;国网河南省电力公司电力科学研究院;重庆大学输配电装备及系统安全与新技术国家重点实验室;郑州大学电气工程学院;&lt;/_author_aff&gt;&lt;_collection_scope&gt;CSCD;PKU&lt;/_collection_scope&gt;&lt;_created&gt;64646736&lt;/_created&gt;&lt;_date&gt;2021-12-01&lt;/_date&gt;&lt;_db_updated&gt;CNKI - Reference&lt;/_db_updated&gt;&lt;_issue&gt;23&lt;/_issue&gt;&lt;_journal&gt;电力系统保护与控制&lt;/_journal&gt;&lt;_keywords&gt;高压直流;换相失败;送端电网;暂态过电压;虚拟电阻&lt;/_keywords&gt;&lt;_modified&gt;64647184&lt;/_modified&gt;&lt;_pages&gt;122-129&lt;/_pages&gt;&lt;_tertiary_title&gt;Power System Protection and Control&lt;/_tertiary_title&gt;&lt;_translated_author&gt;XIAO, Chao; HAN, Wei; LI, Qionglin; XIONG, Xiaofu; FENG, Zhiyuan&lt;/_translated_author&gt;&lt;_translated_title&gt;A suppression method for overvoltage of a sending end grid caused by commutation failure based on virtual resistance&lt;/_translated_title&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0R4J2h05Fi3D2%2bUSGg2PWmEsjTQSh1%2bb8hrfyDJ5K3L5LXYX1qwFXwOc1HUZT%2bTB _x000d__x000a_&lt;/_url&gt;&lt;_volume&gt;49&lt;/_volume&gt;&lt;/Details&gt;&lt;Extra&gt;&lt;DBUID&gt;{6891F4B0-DCBA-459A-9A22-3059983243D4}&lt;/DBUID&gt;&lt;/Extra&gt;&lt;/Item&gt;&lt;/References&gt;&lt;/Group&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7185&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7185&lt;/_modified&gt;&lt;_pages&gt;3528-3537&lt;/_pages&gt;&lt;_tertiary_title&gt;High Voltage Engineering&lt;/_tertiary_title&gt;&lt;_translated_author&gt;ZHANG, Qirui; LI, Fengting; YIN, Chunya; LIU, Jiangshan; CHEN, Ruikang&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398&lt;/ID&gt;&lt;UID&gt;{509479E7-6337-45C5-8E8E-4054A7932204}&lt;/UID&gt;&lt;Title&gt;直流斩波器对抑制换相失败引发的弱送端电网暂态过电压的研究&lt;/Title&gt;&lt;Template&gt;Journal Article&lt;/Template&gt;&lt;Star&gt;0&lt;/Star&gt;&lt;Tag&gt;0&lt;/Tag&gt;&lt;Author&gt;刘博; 郭春义; 赵成勇&lt;/Author&gt;&lt;Year&gt;2019&lt;/Year&gt;&lt;Details&gt;&lt;_accessed&gt;64647189&lt;/_accessed&gt;&lt;_accession_num&gt;CSCD:6586701_x000d__x000a_ER&lt;/_accession_num&gt;&lt;_cited_count&gt;0&lt;/_cited_count&gt;&lt;_collection_scope&gt;CSCD;PKU;EI&lt;/_collection_scope&gt;&lt;_created&gt;63444588&lt;/_created&gt;&lt;_date_display&gt;2019, 2019&lt;/_date_display&gt;&lt;_db_provider&gt;ISI&lt;/_db_provider&gt;&lt;_isbn&gt;1000-3673&lt;/_isbn&gt;&lt;_issue&gt;10&lt;/_issue&gt;&lt;_journal&gt;电网技术&lt;/_journal&gt;&lt;_modified&gt;64647161&lt;/_modified&gt;&lt;_pages&gt;3578-3586&lt;/_pages&gt;&lt;_tertiary_title&gt;Power System Technology&lt;/_tertiary_title&gt;&lt;_translated_author&gt;Liu, Bo; Guo, Chunyi; Zhao, Chengyong&lt;/_translated_author&gt;&lt;_translated_title&gt;Research on DC Chopper in Suppressing Transient Overvoltage of Weak Sending Terminal Caused by Commutation Failure&lt;/_translated_title&gt;&lt;_url&gt;CSCD:6586701 _x000d__x000a_https://bar.cnki.net/bar/download/order?id=jBGETXBNdPImvx70aLAuJPYxPoFw%2bp%2bi0fIiSrcN6lU1n%2bKji%2fA8Owfk3zPJPaCXwURBIovEZWsxpaJNu72Rsqly%2bcoaUbxKfbohfVkk2oLl8E%2bCUVp5GtDTYhVF2dNUoJeGx62Ssygg68TNXJ%2b5JrigejDAar8Xqw%2f6WR22OFXUdUGh4At8VBYSvh%2fCUD5a%2bs1m%2byOzM0lM47hY9dlsTN5olmWhdNu4L0AgxFgo9HP5LXYX1qwFXwOc1HUZT%2bTB _x000d__x000a_&lt;/_url&gt;&lt;_volume&gt;43&lt;/_volume&gt;&lt;/Details&gt;&lt;Extra&gt;&lt;DBUID&gt;{6891F4B0-DCBA-459A-9A22-3059983243D4}&lt;/DBUID&gt;&lt;/Extra&gt;&lt;/Item&gt;&lt;/References&gt;&lt;/Group&gt;&lt;Group&gt;&lt;References&gt;&lt;Item&gt;&lt;ID&gt;880&lt;/ID&gt;&lt;UID&gt;{6720ED1C-F1BE-4CD6-A2F7-24FB77781EC7}&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ccessed&gt;64647190&lt;/_accessed&gt;&lt;_author_aff&gt;安徽省新能源利用与节能重点实验室(合肥工业大学);国网安徽省电力有限公司电力科学研究院;&lt;/_author_aff&gt;&lt;_cited_count&gt;36&lt;/_cited_count&gt;&lt;_collection_scope&gt;CSCD;PKU;EI&lt;/_collection_scope&gt;&lt;_created&gt;64646950&lt;/_created&gt;&lt;_date&gt;2018-01-12&lt;/_date&gt;&lt;_db_updated&gt;CNKI - Reference&lt;/_db_updated&gt;&lt;_issue&gt;04&lt;/_issue&gt;&lt;_journal&gt;电网技术&lt;/_journal&gt;&lt;_keywords&gt;高压直流输电;双馈感应发电机;直流闭锁;高电压穿越;协调控制策略&lt;/_keywords&gt;&lt;_modified&gt;64647191&lt;/_modified&gt;&lt;_pages&gt;1086-1095&lt;/_pages&gt;&lt;_tertiary_title&gt;Power System Technology&lt;/_tertiary_title&gt;&lt;_translated_author&gt;HAN, Pingping; ZHANG, Haitian; DING, Ming; ZHANG, Yan; CHEN, Lingqi; LI, Binbin&lt;/_translated_author&gt;&lt;_translated_title&gt;A Coordinated HVRT Strategy of Large-Scale Wind Power Transmitted With HVDC System&lt;/_translated_title&gt;&lt;_url&gt;https://kns.cnki.net/kcms/detail/detail.aspx?FileName=DWJS201804010&amp;amp;DbName=DKFX2018 _x000d__x000a_https://bar.cnki.net/bar/download/order?id=jBGETXBNdPImvx70aLAuJPYxPoFw%2bp%2bi0fIiSrcN6lVXoWh9I51KvJY42PSOwJH8NMzCyB7hda7A48JEX9bxsvxcK7E%2b1%2bNriIb3ea%2bN9O%2fl8E%2bCUVp5GtDTYhVF2dNUoJeGx62Ssygg68TNXJ%2b5JrigejDAar8Xqw%2f6WR22OFXUdUGh4At8VBYSvh%2fCUD5aitsY2SLtumRfFV9gu4Q1HAOta7rWke4Z875Bm%2fVVU1b5LXYX1qwFXwOc1HUZT%2bTB _x000d__x000a_https://bar.cnki.net/bar/download/order?id=jBGETXBNdPImvx70aLAuJPYxPoFw%2bp%2bi0fIiSrcN6lVXoWh9I51KvJY42PSOwJH8NMzCyB7hda7A48JEX9bxsvxcK7E%2b1%2bNriIb3ea%2bN9O%2fl8E%2bCUVp5GtDTYhVF2dNUoJeGx62Ssygg68TNXJ%2b5JrigejDAar8Xqw%2f6WR22OFXUdUGh4At8VBYSvh%2fCUD5a0sLzbaiFZx5FLl2osDURdKqZHyie2Ddw94BHMoP%2f3wL5LXYX1qwFXwOc1HUZT%2bTB _x000d__x000a_https://bar.cnki.net/bar/download/order?id=jBGETXBNdPImvx70aLAuJPYxPoFw%2bp%2bi0fIiSrcN6lVXoWh9I51KvJY42PSOwJH8NMzCyB7hda7A48JEX9bxsvxcK7E%2b1%2bNriIb3ea%2bN9O%2fl8E%2bCUVp5GtDTYhVF2dNUoJeGx62Ssygg68TNXJ%2b5JrigejDAar8Xqw%2f6WR22OFXUdUGh4At8VBYSvh%2fCUD5a%2fmQ4nP0lGn7KoBDCrAGtnJKzk2nEpXpjv48eWYbtnKv5LXYX1qwFXwOc1HUZT%2bTB _x000d__x000a_https://bar.cnki.net/bar/download/order?id=jBGETXBNdPImvx70aLAuJPYxPoFw%2bp%2bi0fIiSrcN6lVXoWh9I51KvJY42PSOwJH8NMzCyB7hda7A48JEX9bxsvxcK7E%2b1%2bNriIb3ea%2bN9O%2fl8E%2bCUVp5GtDTYhVF2dNUoJeGx62Ssygg68TNXJ%2b5JrigejDAar8Xqw%2f6WR22OFXUdUGh4At8VBYSvh%2fCUD5ausKudqDWcJNkuCunUVFyzqNKCnIOoNa4blBU9bYNq175LXYX1qwFXwOc1HUZT%2bTB _x000d__x000a_&lt;/_url&gt;&lt;_volume&gt;42&lt;/_volume&gt;&lt;/Details&gt;&lt;Extra&gt;&lt;DBUID&gt;{6891F4B0-DCBA-459A-9A22-3059983243D4}&lt;/DBUID&gt;&lt;/Extra&gt;&lt;/Item&gt;&lt;/References&gt;&lt;/Group&gt;&lt;/Citation&gt;_x000a_"/>
    <w:docVar w:name="NE.Ref{FF2C7F99-E877-4229-B8DA-68881E60C033}" w:val=" ADDIN NE.Ref.{FF2C7F99-E877-4229-B8DA-68881E60C033}&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44590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A DC Current Predictive Control Based Method to Decrease Probability of Commutation Failure&lt;/Title&gt;&lt;Template&gt;Journal Article&lt;/Template&gt;&lt;Star&gt;0&lt;/Star&gt;&lt;Tag&gt;0&lt;/Tag&gt;&lt;Author&gt;Yuan, Yang; Wei, Zhinong; Wang, Huawei; Lei, Xiao; Sun, Guoqiang&lt;/Author&gt;&lt;Year&gt;2014&lt;/Year&gt;&lt;Details&gt;&lt;_accessed&gt;6345916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Power System Technology&lt;/_journal&gt;&lt;_modified&gt;63459162&lt;/_modified&gt;&lt;_pages&gt;565-570&lt;/_pages&gt;&lt;_tertiary_title&gt;电网技术&lt;/_tertiary_title&gt;&lt;_translated_author&gt;袁阳; 卫志农; 王华伟; 雷霄; 孙国强&lt;/_translated_author&gt;&lt;_translated_title&gt;基于直流电流预测控制的换相失败预防方法&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FF2F2FD7-AF52-4192-8C43-3225AE459765}" w:val=" ADDIN NE.Ref.{FF2F2FD7-AF52-4192-8C43-3225AE459765}&lt;Citation&gt;&lt;Group&gt;&lt;References&gt;&lt;Item&gt;&lt;ID&gt;434&lt;/ID&gt;&lt;UID&gt;{68C43995-7FA1-49E7-8DA3-1BAECF46E645}&lt;/UID&gt;&lt;Title&gt;Coordinated Energy Management of Networked Microgrids in Distribution Systems&lt;/Title&gt;&lt;Template&gt;Journal Article&lt;/Template&gt;&lt;Star&gt;0&lt;/Star&gt;&lt;Tag&gt;0&lt;/Tag&gt;&lt;Author&gt;Wang, Z; Chen, B; Wang, J; Begovic, M M; Chen, C&lt;/Author&gt;&lt;Year&gt;2015&lt;/Year&gt;&lt;Details&gt;&lt;_collection_scope&gt;SCIE;EI&lt;/_collection_scope&gt;&lt;_created&gt;63649202&lt;/_created&gt;&lt;_impact_factor&gt;   8.267&lt;/_impact_factor&gt;&lt;_issue&gt;1&lt;/_issue&gt;&lt;_journal&gt;IEEE Transactions on Smart Grid&lt;/_journal&gt;&lt;_modified&gt;63649202&lt;/_modified&gt;&lt;_pages&gt;45-53&lt;/_pages&gt;&lt;_volume&gt;6&lt;/_volume&gt;&lt;/Details&gt;&lt;Extra&gt;&lt;DBUID&gt;{F96A950B-833F-4880-A151-76DA2D6A2879}&lt;/DBUID&gt;&lt;/Extra&gt;&lt;/Item&gt;&lt;/References&gt;&lt;/Group&gt;&lt;/Citation&gt;_x000a_"/>
    <w:docVar w:name="NE.Ref{FF480043-075E-435E-B6B4-A438115F7F6E}" w:val=" ADDIN NE.Ref.{FF480043-075E-435E-B6B4-A438115F7F6E}&lt;Citation&gt;&lt;Group&gt;&lt;References&gt;&lt;Item&gt;&lt;ID&gt;502&lt;/ID&gt;&lt;UID&gt;{60E908EE-EB9F-4161-8E99-BB6DAD9C46B6}&lt;/UID&gt;&lt;Title&gt;Adjustable robust solutions of uncertain linear programs&lt;/Title&gt;&lt;Template&gt;Journal Article&lt;/Template&gt;&lt;Star&gt;0&lt;/Star&gt;&lt;Tag&gt;0&lt;/Tag&gt;&lt;Author&gt;Ben-Tal, Aharon; Goryashko, A P; Guslitzer, E; Nemirovski, Arkadi&lt;/Author&gt;&lt;Year&gt;2004&lt;/Year&gt;&lt;Details&gt;&lt;_created&gt;63654530&lt;/_created&gt;&lt;_journal&gt;Mathematical Programming: Series A and B&lt;/_journal&gt;&lt;_modified&gt;63654530&lt;/_modified&gt;&lt;/Details&gt;&lt;Extra&gt;&lt;DBUID&gt;{F96A950B-833F-4880-A151-76DA2D6A2879}&lt;/DBUID&gt;&lt;/Extra&gt;&lt;/Item&gt;&lt;/References&gt;&lt;/Group&gt;&lt;Group&gt;&lt;References&gt;&lt;Item&gt;&lt;ID&gt;596&lt;/ID&gt;&lt;UID&gt;{E6D5A5EE-B148-4D6F-B537-8083E60E351E}&lt;/UID&gt;&lt;Title&gt;A multi-objective artificial sheep algorithm&lt;/Title&gt;&lt;Template&gt;Journal Article&lt;/Template&gt;&lt;Star&gt;0&lt;/Star&gt;&lt;Tag&gt;0&lt;/Tag&gt;&lt;Author&gt;Lai, Xinjie; Li, Chaoshun; Nan, Zhang; Zhou, Jianzhong&lt;/Author&gt;&lt;Year&gt;2019&lt;/Year&gt;&lt;Details&gt;&lt;_collection_scope&gt;SCIE;EI&lt;/_collection_scope&gt;&lt;_created&gt;63705136&lt;/_created&gt;&lt;_impact_factor&gt;   4.774&lt;/_impact_factor&gt;&lt;_issue&gt;1&lt;/_issue&gt;&lt;_journal&gt;Neural Computing &amp;amp; Applications&lt;/_journal&gt;&lt;_modified&gt;63705136&lt;/_modified&gt;&lt;_pages&gt;1-35&lt;/_pages&gt;&lt;_volume&gt;31&lt;/_volume&gt;&lt;/Details&gt;&lt;Extra&gt;&lt;DBUID&gt;{F96A950B-833F-4880-A151-76DA2D6A2879}&lt;/DBUID&gt;&lt;/Extra&gt;&lt;/Item&gt;&lt;/References&gt;&lt;/Group&gt;&lt;Group&gt;&lt;References&gt;&lt;Item&gt;&lt;ID&gt;597&lt;/ID&gt;&lt;UID&gt;{8D72A38F-E4CE-44E4-9B4D-673CF8320153}&lt;/UID&gt;&lt;Title&gt;Multi-Objective Volleyball Premier League algorithm&lt;/Title&gt;&lt;Template&gt;Journal Article&lt;/Template&gt;&lt;Star&gt;0&lt;/Star&gt;&lt;Tag&gt;0&lt;/Tag&gt;&lt;Author&gt;Moghdani, Reza; Salimifard, Khodakaram; Demir, Emrah; Benyettou, Abdelkader&lt;/Author&gt;&lt;Year&gt;2020&lt;/Year&gt;&lt;Details&gt;&lt;_collection_scope&gt;SCI;SCIE;EI&lt;/_collection_scope&gt;&lt;_created&gt;63705137&lt;/_created&gt;&lt;_impact_factor&gt;   5.921&lt;/_impact_factor&gt;&lt;_journal&gt;Knowledge-Based Systems&lt;/_journal&gt;&lt;_modified&gt;63705137&lt;/_modified&gt;&lt;_pages&gt;105781&lt;/_pages&gt;&lt;_volume&gt;196&lt;/_volume&gt;&lt;/Details&gt;&lt;Extra&gt;&lt;DBUID&gt;{F96A950B-833F-4880-A151-76DA2D6A2879}&lt;/DBUID&gt;&lt;/Extra&gt;&lt;/Item&gt;&lt;/References&gt;&lt;/Group&gt;&lt;Group&gt;&lt;References&gt;&lt;Item&gt;&lt;ID&gt;598&lt;/ID&gt;&lt;UID&gt;{931E1CA3-47D2-4203-A851-EF9188460CF0}&lt;/UID&gt;&lt;Title&gt;On Multicast Routing With Network Coding: A Multiobjective Artificial Bee Colony Algorithm&lt;/Title&gt;&lt;Template&gt;Journal Article&lt;/Template&gt;&lt;Star&gt;0&lt;/Star&gt;&lt;Tag&gt;0&lt;/Tag&gt;&lt;Author&gt;Xing, Huanlai; Song, Fuhong; Yan, Lianshan; Pan, Wei&lt;/Author&gt;&lt;Year&gt;2019&lt;/Year&gt;&lt;Details&gt;&lt;_created&gt;63705137&lt;/_created&gt;&lt;_issue&gt;2&lt;/_issue&gt;&lt;_journal&gt;中国通信&lt;/_journal&gt;&lt;_modified&gt;63705137&lt;/_modified&gt;&lt;_pages&gt;170-186&lt;/_pages&gt;&lt;_volume&gt;16&lt;/_volume&gt;&lt;/Details&gt;&lt;Extra&gt;&lt;DBUID&gt;{F96A950B-833F-4880-A151-76DA2D6A2879}&lt;/DBUID&gt;&lt;/Extra&gt;&lt;/Item&gt;&lt;/References&gt;&lt;/Group&gt;&lt;/Citation&gt;_x000a_"/>
    <w:docVar w:name="NE.Ref{FF564BDA-474A-4B97-B55F-7D6911200DBF}" w:val=" ADDIN NE.Ref.{FF564BDA-474A-4B97-B55F-7D6911200DBF}&lt;Citation&gt;&lt;Group&gt;&lt;References&gt;&lt;Item&gt;&lt;ID&gt;492&lt;/ID&gt;&lt;UID&gt;{278B9380-B66D-44BC-9659-11DDD1223EEE}&lt;/UID&gt;&lt;Title&gt;直流换相失败及恢复过程暂态无功特性及控制参数影响&lt;/Title&gt;&lt;Template&gt;Journal Article&lt;/Template&gt;&lt;Star&gt;0&lt;/Star&gt;&lt;Tag&gt;0&lt;/Tag&gt;&lt;Author&gt;屠竞哲; 张健; 曾兵; 刘明松; 易俊; 卜广全&lt;/Author&gt;&lt;Year&gt;2017&lt;/Year&gt;&lt;Details&gt;&lt;_accessed&gt;63445933&lt;/_accessed&gt;&lt;_accession_num&gt;CSCD:6030739_x000d__x000a_ER&lt;/_accession_num&gt;&lt;_cited_count&gt;4&lt;/_cited_count&gt;&lt;_collection_scope&gt;CSCD;PKU;EI&lt;/_collection_scope&gt;&lt;_created&gt;63444588&lt;/_created&gt;&lt;_date_display&gt;2017, 2017&lt;/_date_display&gt;&lt;_db_provider&gt;ISI&lt;/_db_provider&gt;&lt;_isbn&gt;1003-6520&lt;/_isbn&gt;&lt;_issue&gt;1003-6520(2017)43:7&amp;lt;2131:ZLHXSB&amp;gt;2.0.TX;2-37&lt;/_issue&gt;&lt;_journal&gt;高电压技术&lt;/_journal&gt;&lt;_modified&gt;63468727&lt;/_modified&gt;&lt;_pages&gt;2131-2139&lt;/_pages&gt;&lt;_tertiary_title&gt;High Voltage Engineering&lt;/_tertiary_title&gt;&lt;_translated_author&gt;Tu, Jingzhe; Zhang, Jian; Zeng, Bing; Liu, Mingsong; Yi, Jun; Bu, Guangquan&lt;/_translated_author&gt;&lt;_translated_title&gt;HVDC Transient Reactive Power Characteristics and Impact of Control System Parameters During Commutation Failure and Recovery&lt;/_translated_title&gt;&lt;_url&gt;CSCD:6030739 _x000d__x000a_https://kns.cnki.net/kcms/download.aspx?filename=QllSSRWZhJjdkh0YVJDePlmT2NVUVlVUzoVeBNHa5hmQahVbt5GZqR0RIdTU4kDeX5WR5UVa4pHVPBldO50TaNXUFhFd6hGS5RlcNxUVRdXTKlWOhJnT3kzVWZjcxczZOFnT5skTFdzc5V0KBhDTPFzMwwGN3Rma&amp;amp;tablename=CJFDLAST2017&amp;amp;dflag=pdfdown _x000d__x000a_&lt;/_url&gt;&lt;_volume&gt;43&lt;/_volume&gt;&lt;/Details&gt;&lt;Extra&gt;&lt;DBUID&gt;{6891F4B0-DCBA-459A-9A22-3059983243D4}&lt;/DBUID&gt;&lt;/Extra&gt;&lt;/Item&gt;&lt;/References&gt;&lt;/Group&gt;&lt;/Citation&gt;_x000a_"/>
    <w:docVar w:name="NE.Ref{FFB9F385-7501-486B-ADCF-7F6B2F6983AE}" w:val=" ADDIN NE.Ref.{FFB9F385-7501-486B-ADCF-7F6B2F6983AE}&lt;Citation&gt;&lt;Group&gt;&lt;References&gt;&lt;Item&gt;&lt;ID&gt;499&lt;/ID&gt;&lt;UID&gt;{C2137746-83C1-48C4-8198-3134E6A5D371}&lt;/UID&gt;&lt;Title&gt;基于主从博弈的工业园区综合能源系统互动优化运行方法&lt;/Title&gt;&lt;Template&gt;Journal Article&lt;/Template&gt;&lt;Star&gt;0&lt;/Star&gt;&lt;Tag&gt;0&lt;/Tag&gt;&lt;Author&gt;周长城; 马溪原; 郭晓斌; 雷金勇&lt;/Author&gt;&lt;Year&gt;2019&lt;/Year&gt;&lt;Details&gt;&lt;_author_adr&gt;南方电网科学研究院有限责任公司;&lt;/_author_adr&gt;&lt;_collection_scope&gt;CSCD;PKU;EI&lt;/_collection_scope&gt;&lt;_created&gt;63652010&lt;/_created&gt;&lt;_db_provider&gt;CNKI&lt;/_db_provider&gt;&lt;_isbn&gt;1000-1026&lt;/_isbn&gt;&lt;_issue&gt;07&lt;/_issue&gt;&lt;_journal&gt;电力系统自动化&lt;/_journal&gt;&lt;_keywords&gt;综合能源系统;多参与主体;Stackelberg主从博弈;经济运行;辅助服务&lt;/_keywords&gt;&lt;_modified&gt;63652010&lt;/_modified&gt;&lt;_pages&gt;74-84&lt;/_pages&gt;&lt;_volume&gt;43&lt;/_volume&gt;&lt;_translated_author&gt;Zhou, Zhangcheng;Ma, Xiyuan;Guo, Xiaobin;Lei, Jinyong&lt;/_translated_author&gt;&lt;/Details&gt;&lt;Extra&gt;&lt;DBUID&gt;{F96A950B-833F-4880-A151-76DA2D6A2879}&lt;/DBUID&gt;&lt;/Extra&gt;&lt;/Item&gt;&lt;/References&gt;&lt;/Group&gt;&lt;Group&gt;&lt;References&gt;&lt;Item&gt;&lt;ID&gt;497&lt;/ID&gt;&lt;UID&gt;{E7F96EEC-24B7-4BE4-BE42-C70D5D384360}&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1895&lt;/_created&gt;&lt;_db_provider&gt;CNKI&lt;/_db_provider&gt;&lt;_isbn&gt;0258-8013&lt;/_isbn&gt;&lt;_journal&gt;中国电机工程学报&lt;/_journal&gt;&lt;_keywords&gt;园区运营商;综合能源系统;Stackelberg博弈;互动交易;日前调度&lt;/_keywords&gt;&lt;_modified&gt;63651895&lt;/_modified&gt;&lt;_pages&gt;1-13&lt;/_pages&gt;&lt;_translated_author&gt;Xiang, Enmin;Gao, Hongjun;Liu, Chang;Liu, Youbo;Liu, Junyong&lt;/_translated_author&gt;&lt;/Details&gt;&lt;Extra&gt;&lt;DBUID&gt;{F96A950B-833F-4880-A151-76DA2D6A2879}&lt;/DBUID&gt;&lt;/Extra&gt;&lt;/Item&gt;&lt;/References&gt;&lt;/Group&gt;&lt;/Citation&gt;_x000a_"/>
    <w:docVar w:name="ne_docsoft" w:val="MSWord"/>
    <w:docVar w:name="ne_docversion" w:val="NoteExpress 2.0"/>
    <w:docVar w:name="ne_stylename" w:val="IEEE TRANSACTIONS ON INDUSTRIAL ELECTRONICS"/>
  </w:docVars>
  <w:rsids>
    <w:rsidRoot w:val="00CE6A98"/>
    <w:rsid w:val="00010DA0"/>
    <w:rsid w:val="00017905"/>
    <w:rsid w:val="00030243"/>
    <w:rsid w:val="00031882"/>
    <w:rsid w:val="00035A9F"/>
    <w:rsid w:val="00036557"/>
    <w:rsid w:val="00053A4B"/>
    <w:rsid w:val="0006490B"/>
    <w:rsid w:val="000914C7"/>
    <w:rsid w:val="00093929"/>
    <w:rsid w:val="000B2C64"/>
    <w:rsid w:val="000C105D"/>
    <w:rsid w:val="000F78D0"/>
    <w:rsid w:val="001108BD"/>
    <w:rsid w:val="0017117D"/>
    <w:rsid w:val="00171857"/>
    <w:rsid w:val="001A348D"/>
    <w:rsid w:val="001A63DA"/>
    <w:rsid w:val="001B4CBD"/>
    <w:rsid w:val="002026EF"/>
    <w:rsid w:val="00223E0A"/>
    <w:rsid w:val="00231173"/>
    <w:rsid w:val="00237D29"/>
    <w:rsid w:val="0024330C"/>
    <w:rsid w:val="00272786"/>
    <w:rsid w:val="00275DA4"/>
    <w:rsid w:val="0028322E"/>
    <w:rsid w:val="00293301"/>
    <w:rsid w:val="002A25D0"/>
    <w:rsid w:val="002A6759"/>
    <w:rsid w:val="002C38F6"/>
    <w:rsid w:val="002E36EB"/>
    <w:rsid w:val="002E5AF5"/>
    <w:rsid w:val="002E61AC"/>
    <w:rsid w:val="003121FB"/>
    <w:rsid w:val="00315E59"/>
    <w:rsid w:val="003279ED"/>
    <w:rsid w:val="00342975"/>
    <w:rsid w:val="0035605F"/>
    <w:rsid w:val="00384201"/>
    <w:rsid w:val="0039085B"/>
    <w:rsid w:val="003B1AA7"/>
    <w:rsid w:val="003E64CC"/>
    <w:rsid w:val="003F3EA1"/>
    <w:rsid w:val="0042306C"/>
    <w:rsid w:val="004234AB"/>
    <w:rsid w:val="00424237"/>
    <w:rsid w:val="004310B9"/>
    <w:rsid w:val="004718C6"/>
    <w:rsid w:val="004755ED"/>
    <w:rsid w:val="004918DD"/>
    <w:rsid w:val="004967BF"/>
    <w:rsid w:val="004B3B80"/>
    <w:rsid w:val="004B6E95"/>
    <w:rsid w:val="004C6B4E"/>
    <w:rsid w:val="004D636F"/>
    <w:rsid w:val="004E017B"/>
    <w:rsid w:val="004E7762"/>
    <w:rsid w:val="00503BDA"/>
    <w:rsid w:val="00503DE8"/>
    <w:rsid w:val="0052681E"/>
    <w:rsid w:val="00544BA5"/>
    <w:rsid w:val="005722D1"/>
    <w:rsid w:val="0057455B"/>
    <w:rsid w:val="00583A24"/>
    <w:rsid w:val="005A0504"/>
    <w:rsid w:val="005A7AF1"/>
    <w:rsid w:val="005C2DE9"/>
    <w:rsid w:val="005C5B5F"/>
    <w:rsid w:val="005D7D57"/>
    <w:rsid w:val="005E5696"/>
    <w:rsid w:val="005F3E6A"/>
    <w:rsid w:val="005F6769"/>
    <w:rsid w:val="00606F6B"/>
    <w:rsid w:val="00610CE6"/>
    <w:rsid w:val="006359B6"/>
    <w:rsid w:val="006475EC"/>
    <w:rsid w:val="00664C76"/>
    <w:rsid w:val="00671D87"/>
    <w:rsid w:val="00673964"/>
    <w:rsid w:val="0068180C"/>
    <w:rsid w:val="006A0443"/>
    <w:rsid w:val="006A2C07"/>
    <w:rsid w:val="006C7275"/>
    <w:rsid w:val="006E6E8A"/>
    <w:rsid w:val="006F17E5"/>
    <w:rsid w:val="00724FCC"/>
    <w:rsid w:val="007269A0"/>
    <w:rsid w:val="00735E5B"/>
    <w:rsid w:val="00737199"/>
    <w:rsid w:val="00746189"/>
    <w:rsid w:val="00746EA7"/>
    <w:rsid w:val="00766ECE"/>
    <w:rsid w:val="007A03D1"/>
    <w:rsid w:val="007A1C11"/>
    <w:rsid w:val="007A2FD0"/>
    <w:rsid w:val="007C6D9F"/>
    <w:rsid w:val="007D5393"/>
    <w:rsid w:val="007F77B8"/>
    <w:rsid w:val="00816C25"/>
    <w:rsid w:val="0082647D"/>
    <w:rsid w:val="008268F8"/>
    <w:rsid w:val="00826E06"/>
    <w:rsid w:val="00832590"/>
    <w:rsid w:val="00844329"/>
    <w:rsid w:val="008455EE"/>
    <w:rsid w:val="00851E15"/>
    <w:rsid w:val="00857720"/>
    <w:rsid w:val="008677B0"/>
    <w:rsid w:val="00880F74"/>
    <w:rsid w:val="008847AC"/>
    <w:rsid w:val="008A4079"/>
    <w:rsid w:val="008C62B4"/>
    <w:rsid w:val="008D7F54"/>
    <w:rsid w:val="008E79B9"/>
    <w:rsid w:val="008F2A44"/>
    <w:rsid w:val="008F3C97"/>
    <w:rsid w:val="008F6578"/>
    <w:rsid w:val="00911544"/>
    <w:rsid w:val="00934207"/>
    <w:rsid w:val="00943DAE"/>
    <w:rsid w:val="00943F47"/>
    <w:rsid w:val="00960A46"/>
    <w:rsid w:val="00964DB4"/>
    <w:rsid w:val="009940C5"/>
    <w:rsid w:val="00994426"/>
    <w:rsid w:val="009C3D1B"/>
    <w:rsid w:val="009C71F1"/>
    <w:rsid w:val="009D70F7"/>
    <w:rsid w:val="00A15A8D"/>
    <w:rsid w:val="00A1706D"/>
    <w:rsid w:val="00A30483"/>
    <w:rsid w:val="00A37E9B"/>
    <w:rsid w:val="00A75FF4"/>
    <w:rsid w:val="00A777A4"/>
    <w:rsid w:val="00A835E6"/>
    <w:rsid w:val="00A876DE"/>
    <w:rsid w:val="00AB6ED7"/>
    <w:rsid w:val="00AC443D"/>
    <w:rsid w:val="00AC4AB6"/>
    <w:rsid w:val="00B03E21"/>
    <w:rsid w:val="00B34DB5"/>
    <w:rsid w:val="00B420F7"/>
    <w:rsid w:val="00B54C3D"/>
    <w:rsid w:val="00B62785"/>
    <w:rsid w:val="00B62C66"/>
    <w:rsid w:val="00B66209"/>
    <w:rsid w:val="00B74C2B"/>
    <w:rsid w:val="00B84725"/>
    <w:rsid w:val="00B862D1"/>
    <w:rsid w:val="00B93722"/>
    <w:rsid w:val="00B96816"/>
    <w:rsid w:val="00BB21C3"/>
    <w:rsid w:val="00BB36E5"/>
    <w:rsid w:val="00BC53A1"/>
    <w:rsid w:val="00BC71E9"/>
    <w:rsid w:val="00BD30FF"/>
    <w:rsid w:val="00BD3737"/>
    <w:rsid w:val="00BE3342"/>
    <w:rsid w:val="00BF6939"/>
    <w:rsid w:val="00BF75B8"/>
    <w:rsid w:val="00C20B5A"/>
    <w:rsid w:val="00C43A76"/>
    <w:rsid w:val="00C5136A"/>
    <w:rsid w:val="00C52DF8"/>
    <w:rsid w:val="00C534C3"/>
    <w:rsid w:val="00C92589"/>
    <w:rsid w:val="00CA4824"/>
    <w:rsid w:val="00CC1448"/>
    <w:rsid w:val="00CC295D"/>
    <w:rsid w:val="00CD7BC3"/>
    <w:rsid w:val="00CE6A98"/>
    <w:rsid w:val="00CF4A57"/>
    <w:rsid w:val="00D04A5C"/>
    <w:rsid w:val="00D16C65"/>
    <w:rsid w:val="00D41395"/>
    <w:rsid w:val="00D92021"/>
    <w:rsid w:val="00D934D3"/>
    <w:rsid w:val="00DA5515"/>
    <w:rsid w:val="00DB312C"/>
    <w:rsid w:val="00DB3710"/>
    <w:rsid w:val="00DB4D1C"/>
    <w:rsid w:val="00DC0DA8"/>
    <w:rsid w:val="00DC714C"/>
    <w:rsid w:val="00DE390A"/>
    <w:rsid w:val="00DF7494"/>
    <w:rsid w:val="00E117A2"/>
    <w:rsid w:val="00E14C7E"/>
    <w:rsid w:val="00E40216"/>
    <w:rsid w:val="00E6190E"/>
    <w:rsid w:val="00E704B8"/>
    <w:rsid w:val="00E91C59"/>
    <w:rsid w:val="00EB535C"/>
    <w:rsid w:val="00EC26A9"/>
    <w:rsid w:val="00ED79D7"/>
    <w:rsid w:val="00F30D26"/>
    <w:rsid w:val="00F3127C"/>
    <w:rsid w:val="00F46604"/>
    <w:rsid w:val="00F46A1E"/>
    <w:rsid w:val="00F51EEE"/>
    <w:rsid w:val="00F62059"/>
    <w:rsid w:val="00F734E9"/>
    <w:rsid w:val="00F806F6"/>
    <w:rsid w:val="00F965C5"/>
    <w:rsid w:val="00FA6705"/>
    <w:rsid w:val="00FD0538"/>
    <w:rsid w:val="00FD4BA8"/>
    <w:rsid w:val="017C56FC"/>
    <w:rsid w:val="056D304A"/>
    <w:rsid w:val="05D21FF4"/>
    <w:rsid w:val="075B70DB"/>
    <w:rsid w:val="07AB1B2F"/>
    <w:rsid w:val="07D27FB7"/>
    <w:rsid w:val="089C5FB6"/>
    <w:rsid w:val="0BDC5984"/>
    <w:rsid w:val="0DFC7A6B"/>
    <w:rsid w:val="0E7F1054"/>
    <w:rsid w:val="0F2A788A"/>
    <w:rsid w:val="100F5919"/>
    <w:rsid w:val="12150B53"/>
    <w:rsid w:val="15127432"/>
    <w:rsid w:val="15635F9E"/>
    <w:rsid w:val="174E58BF"/>
    <w:rsid w:val="178F5930"/>
    <w:rsid w:val="1883140B"/>
    <w:rsid w:val="19EC524D"/>
    <w:rsid w:val="1D237FC9"/>
    <w:rsid w:val="1D3A0D0E"/>
    <w:rsid w:val="1D413515"/>
    <w:rsid w:val="1E904CDF"/>
    <w:rsid w:val="1EBF529E"/>
    <w:rsid w:val="21FB2322"/>
    <w:rsid w:val="22F046B8"/>
    <w:rsid w:val="23626225"/>
    <w:rsid w:val="24305704"/>
    <w:rsid w:val="262F5D57"/>
    <w:rsid w:val="2695767A"/>
    <w:rsid w:val="26C66FA3"/>
    <w:rsid w:val="27E34667"/>
    <w:rsid w:val="28986195"/>
    <w:rsid w:val="28DD5B9B"/>
    <w:rsid w:val="2D1C594E"/>
    <w:rsid w:val="30991C61"/>
    <w:rsid w:val="31F64E24"/>
    <w:rsid w:val="338E3DCB"/>
    <w:rsid w:val="38A7458C"/>
    <w:rsid w:val="38E74AF1"/>
    <w:rsid w:val="39644BE0"/>
    <w:rsid w:val="39E02641"/>
    <w:rsid w:val="3AB3452E"/>
    <w:rsid w:val="3B144D0E"/>
    <w:rsid w:val="3BD33F5D"/>
    <w:rsid w:val="3D631E87"/>
    <w:rsid w:val="3EA87B21"/>
    <w:rsid w:val="410969A7"/>
    <w:rsid w:val="41DA15EE"/>
    <w:rsid w:val="46D21700"/>
    <w:rsid w:val="48F44860"/>
    <w:rsid w:val="4A521A63"/>
    <w:rsid w:val="4B8A1B12"/>
    <w:rsid w:val="4E5F0A28"/>
    <w:rsid w:val="4F1B559F"/>
    <w:rsid w:val="50A31586"/>
    <w:rsid w:val="53C1166D"/>
    <w:rsid w:val="564A69E6"/>
    <w:rsid w:val="56FD10D0"/>
    <w:rsid w:val="58D26B99"/>
    <w:rsid w:val="5A854A24"/>
    <w:rsid w:val="5A8A2D1C"/>
    <w:rsid w:val="5B476AE5"/>
    <w:rsid w:val="5BA4574E"/>
    <w:rsid w:val="5BB667F6"/>
    <w:rsid w:val="5D0C3469"/>
    <w:rsid w:val="5DB46D11"/>
    <w:rsid w:val="5DC7164D"/>
    <w:rsid w:val="5E115065"/>
    <w:rsid w:val="604F208F"/>
    <w:rsid w:val="611635FB"/>
    <w:rsid w:val="63147BFC"/>
    <w:rsid w:val="631B72A6"/>
    <w:rsid w:val="63450517"/>
    <w:rsid w:val="635B6484"/>
    <w:rsid w:val="65BD6EBF"/>
    <w:rsid w:val="69147C60"/>
    <w:rsid w:val="69220E15"/>
    <w:rsid w:val="6AF7634B"/>
    <w:rsid w:val="6B6B5F51"/>
    <w:rsid w:val="6BD35FF0"/>
    <w:rsid w:val="6BE15E5A"/>
    <w:rsid w:val="6C0E52A1"/>
    <w:rsid w:val="6C1256EA"/>
    <w:rsid w:val="6FE7486A"/>
    <w:rsid w:val="71440E53"/>
    <w:rsid w:val="71B20BF0"/>
    <w:rsid w:val="71DE6E31"/>
    <w:rsid w:val="72175630"/>
    <w:rsid w:val="76762AAF"/>
    <w:rsid w:val="76B16456"/>
    <w:rsid w:val="78231AD8"/>
    <w:rsid w:val="7824477F"/>
    <w:rsid w:val="79170808"/>
    <w:rsid w:val="7A0D3FAE"/>
    <w:rsid w:val="7A907CEC"/>
    <w:rsid w:val="7AA87F98"/>
    <w:rsid w:val="7B553AC0"/>
    <w:rsid w:val="7BF817F1"/>
    <w:rsid w:val="7C0F77CE"/>
    <w:rsid w:val="7D487C71"/>
    <w:rsid w:val="7E5751DF"/>
    <w:rsid w:val="7EEF730C"/>
    <w:rsid w:val="7FC249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0"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99" w:name="Date"/>
    <w:lsdException w:uiPriority="0" w:name="Body Text First Indent"/>
    <w:lsdException w:qFormat="1" w:uiPriority="99" w:semiHidden="0" w:name="Body Text First Indent 2"/>
    <w:lsdException w:qFormat="1" w:unhideWhenUsed="0" w:uiPriority="0" w:semiHidden="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nhideWhenUsed="0" w:uiPriority="99"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37"/>
    <w:autoRedefine/>
    <w:qFormat/>
    <w:uiPriority w:val="0"/>
    <w:pPr>
      <w:keepNext/>
      <w:keepLines/>
      <w:snapToGrid w:val="0"/>
      <w:spacing w:before="40" w:after="40" w:line="576" w:lineRule="auto"/>
      <w:jc w:val="center"/>
      <w:outlineLvl w:val="0"/>
    </w:pPr>
    <w:rPr>
      <w:rFonts w:ascii="Times New Roman" w:hAnsi="Times New Roman" w:cs="Times New Roman"/>
      <w:b/>
      <w:kern w:val="44"/>
      <w:sz w:val="32"/>
      <w:szCs w:val="22"/>
    </w:rPr>
  </w:style>
  <w:style w:type="paragraph" w:styleId="3">
    <w:name w:val="heading 2"/>
    <w:basedOn w:val="1"/>
    <w:next w:val="1"/>
    <w:link w:val="38"/>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117"/>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121"/>
    <w:autoRedefine/>
    <w:qFormat/>
    <w:uiPriority w:val="9"/>
    <w:pPr>
      <w:ind w:left="116"/>
      <w:outlineLvl w:val="3"/>
    </w:pPr>
    <w:rPr>
      <w:rFonts w:ascii="宋体" w:hAnsi="宋体"/>
      <w:sz w:val="24"/>
    </w:rPr>
  </w:style>
  <w:style w:type="paragraph" w:styleId="6">
    <w:name w:val="heading 5"/>
    <w:basedOn w:val="1"/>
    <w:next w:val="1"/>
    <w:link w:val="111"/>
    <w:autoRedefine/>
    <w:qFormat/>
    <w:uiPriority w:val="1"/>
    <w:pPr>
      <w:ind w:right="158"/>
      <w:jc w:val="center"/>
      <w:outlineLvl w:val="4"/>
    </w:pPr>
    <w:rPr>
      <w:rFonts w:ascii="仿宋" w:hAnsi="仿宋" w:eastAsia="仿宋" w:cs="仿宋"/>
      <w:b/>
      <w:bCs/>
      <w:sz w:val="28"/>
      <w:szCs w:val="28"/>
      <w:lang w:val="zh-CN" w:bidi="zh-CN"/>
    </w:rPr>
  </w:style>
  <w:style w:type="paragraph" w:styleId="7">
    <w:name w:val="heading 6"/>
    <w:basedOn w:val="1"/>
    <w:next w:val="1"/>
    <w:link w:val="112"/>
    <w:autoRedefine/>
    <w:qFormat/>
    <w:uiPriority w:val="1"/>
    <w:pPr>
      <w:spacing w:before="61"/>
      <w:outlineLvl w:val="5"/>
    </w:pPr>
    <w:rPr>
      <w:rFonts w:ascii="仿宋" w:hAnsi="仿宋" w:eastAsia="仿宋" w:cs="仿宋"/>
      <w:sz w:val="28"/>
      <w:szCs w:val="28"/>
      <w:lang w:val="zh-CN" w:bidi="zh-CN"/>
    </w:rPr>
  </w:style>
  <w:style w:type="paragraph" w:styleId="8">
    <w:name w:val="heading 7"/>
    <w:basedOn w:val="1"/>
    <w:next w:val="1"/>
    <w:link w:val="113"/>
    <w:autoRedefine/>
    <w:qFormat/>
    <w:uiPriority w:val="1"/>
    <w:pPr>
      <w:ind w:left="360"/>
      <w:outlineLvl w:val="6"/>
    </w:pPr>
    <w:rPr>
      <w:rFonts w:ascii="仿宋" w:hAnsi="仿宋" w:eastAsia="仿宋" w:cs="仿宋"/>
      <w:b/>
      <w:bCs/>
      <w:sz w:val="24"/>
      <w:lang w:val="zh-CN" w:bidi="zh-CN"/>
    </w:rPr>
  </w:style>
  <w:style w:type="paragraph" w:styleId="9">
    <w:name w:val="heading 8"/>
    <w:basedOn w:val="1"/>
    <w:next w:val="1"/>
    <w:link w:val="40"/>
    <w:autoRedefine/>
    <w:qFormat/>
    <w:uiPriority w:val="0"/>
    <w:pPr>
      <w:keepNext/>
      <w:keepLines/>
      <w:spacing w:before="240" w:after="64" w:line="320" w:lineRule="auto"/>
      <w:outlineLvl w:val="7"/>
    </w:pPr>
    <w:rPr>
      <w:rFonts w:ascii="Calibri Light" w:hAnsi="Calibri Light"/>
      <w:sz w:val="24"/>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10">
    <w:name w:val="Note Heading"/>
    <w:basedOn w:val="1"/>
    <w:next w:val="1"/>
    <w:link w:val="68"/>
    <w:autoRedefine/>
    <w:qFormat/>
    <w:uiPriority w:val="0"/>
    <w:pPr>
      <w:jc w:val="center"/>
    </w:pPr>
    <w:rPr>
      <w:rFonts w:ascii="Times New Roman" w:hAnsi="Times New Roman" w:cs="Times New Roman"/>
    </w:rPr>
  </w:style>
  <w:style w:type="paragraph" w:styleId="11">
    <w:name w:val="Normal Indent"/>
    <w:basedOn w:val="1"/>
    <w:autoRedefine/>
    <w:qFormat/>
    <w:uiPriority w:val="99"/>
    <w:pPr>
      <w:autoSpaceDE w:val="0"/>
      <w:autoSpaceDN w:val="0"/>
      <w:adjustRightInd w:val="0"/>
      <w:ind w:firstLine="420"/>
      <w:jc w:val="left"/>
    </w:pPr>
    <w:rPr>
      <w:rFonts w:ascii="宋体"/>
      <w:kern w:val="0"/>
      <w:sz w:val="24"/>
      <w:szCs w:val="20"/>
    </w:rPr>
  </w:style>
  <w:style w:type="paragraph" w:styleId="12">
    <w:name w:val="caption"/>
    <w:basedOn w:val="1"/>
    <w:next w:val="1"/>
    <w:autoRedefine/>
    <w:unhideWhenUsed/>
    <w:qFormat/>
    <w:uiPriority w:val="35"/>
    <w:rPr>
      <w:rFonts w:eastAsia="黑体" w:asciiTheme="majorHAnsi" w:hAnsiTheme="majorHAnsi" w:cstheme="majorBidi"/>
      <w:sz w:val="20"/>
      <w:szCs w:val="20"/>
    </w:rPr>
  </w:style>
  <w:style w:type="paragraph" w:styleId="13">
    <w:name w:val="annotation text"/>
    <w:basedOn w:val="1"/>
    <w:link w:val="120"/>
    <w:autoRedefine/>
    <w:qFormat/>
    <w:uiPriority w:val="0"/>
    <w:pPr>
      <w:jc w:val="left"/>
    </w:pPr>
  </w:style>
  <w:style w:type="paragraph" w:styleId="14">
    <w:name w:val="Body Text"/>
    <w:basedOn w:val="1"/>
    <w:link w:val="118"/>
    <w:autoRedefine/>
    <w:qFormat/>
    <w:uiPriority w:val="0"/>
    <w:rPr>
      <w:rFonts w:ascii="楷体" w:hAnsi="楷体" w:eastAsia="楷体" w:cs="楷体"/>
      <w:sz w:val="24"/>
      <w:lang w:val="zh-CN" w:bidi="zh-CN"/>
    </w:rPr>
  </w:style>
  <w:style w:type="paragraph" w:styleId="15">
    <w:name w:val="Body Text Indent"/>
    <w:basedOn w:val="1"/>
    <w:link w:val="69"/>
    <w:autoRedefine/>
    <w:qFormat/>
    <w:uiPriority w:val="0"/>
    <w:pPr>
      <w:tabs>
        <w:tab w:val="left" w:pos="3075"/>
      </w:tabs>
      <w:adjustRightInd w:val="0"/>
      <w:snapToGrid w:val="0"/>
      <w:spacing w:line="420" w:lineRule="exact"/>
      <w:ind w:firstLine="538" w:firstLineChars="207"/>
    </w:pPr>
    <w:rPr>
      <w:rFonts w:ascii="仿宋_GB2312" w:hAnsi="华文中宋" w:eastAsia="仿宋_GB2312"/>
      <w:bCs/>
      <w:color w:val="000000"/>
      <w:spacing w:val="-10"/>
      <w:sz w:val="24"/>
    </w:rPr>
  </w:style>
  <w:style w:type="paragraph" w:styleId="16">
    <w:name w:val="Plain Text"/>
    <w:basedOn w:val="1"/>
    <w:link w:val="42"/>
    <w:autoRedefine/>
    <w:qFormat/>
    <w:uiPriority w:val="0"/>
    <w:rPr>
      <w:rFonts w:ascii="宋体" w:hAnsi="Courier New"/>
      <w:szCs w:val="22"/>
    </w:rPr>
  </w:style>
  <w:style w:type="paragraph" w:styleId="17">
    <w:name w:val="Date"/>
    <w:basedOn w:val="1"/>
    <w:next w:val="1"/>
    <w:link w:val="115"/>
    <w:autoRedefine/>
    <w:semiHidden/>
    <w:unhideWhenUsed/>
    <w:qFormat/>
    <w:uiPriority w:val="99"/>
    <w:pPr>
      <w:ind w:left="100" w:leftChars="2500"/>
    </w:pPr>
    <w:rPr>
      <w:rFonts w:ascii="Times New Roman" w:hAnsi="Times New Roman" w:cs="Times New Roman"/>
    </w:rPr>
  </w:style>
  <w:style w:type="paragraph" w:styleId="18">
    <w:name w:val="Body Text Indent 2"/>
    <w:basedOn w:val="1"/>
    <w:link w:val="123"/>
    <w:autoRedefine/>
    <w:qFormat/>
    <w:uiPriority w:val="0"/>
    <w:pPr>
      <w:ind w:firstLine="480"/>
    </w:pPr>
    <w:rPr>
      <w:rFonts w:ascii="宋体" w:hAnsi="宋体" w:cs="Times New Roman"/>
      <w:sz w:val="30"/>
    </w:rPr>
  </w:style>
  <w:style w:type="paragraph" w:styleId="19">
    <w:name w:val="Balloon Text"/>
    <w:basedOn w:val="1"/>
    <w:link w:val="64"/>
    <w:autoRedefine/>
    <w:qFormat/>
    <w:uiPriority w:val="0"/>
    <w:rPr>
      <w:sz w:val="18"/>
      <w:szCs w:val="18"/>
    </w:rPr>
  </w:style>
  <w:style w:type="paragraph" w:styleId="20">
    <w:name w:val="footer"/>
    <w:basedOn w:val="1"/>
    <w:link w:val="124"/>
    <w:autoRedefine/>
    <w:qFormat/>
    <w:uiPriority w:val="99"/>
    <w:pPr>
      <w:tabs>
        <w:tab w:val="center" w:pos="4153"/>
        <w:tab w:val="right" w:pos="8306"/>
      </w:tabs>
      <w:snapToGrid w:val="0"/>
      <w:jc w:val="left"/>
    </w:pPr>
    <w:rPr>
      <w:sz w:val="18"/>
      <w:szCs w:val="18"/>
    </w:rPr>
  </w:style>
  <w:style w:type="paragraph" w:styleId="21">
    <w:name w:val="header"/>
    <w:basedOn w:val="1"/>
    <w:link w:val="125"/>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autoRedefine/>
    <w:qFormat/>
    <w:uiPriority w:val="39"/>
  </w:style>
  <w:style w:type="paragraph" w:styleId="23">
    <w:name w:val="Subtitle"/>
    <w:basedOn w:val="1"/>
    <w:next w:val="1"/>
    <w:link w:val="65"/>
    <w:autoRedefine/>
    <w:qFormat/>
    <w:uiPriority w:val="0"/>
    <w:pPr>
      <w:spacing w:before="240" w:after="60" w:line="312" w:lineRule="auto"/>
      <w:jc w:val="center"/>
      <w:outlineLvl w:val="1"/>
    </w:pPr>
    <w:rPr>
      <w:rFonts w:ascii="Calibri Light" w:hAnsi="Calibri Light"/>
      <w:b/>
      <w:bCs/>
      <w:kern w:val="28"/>
      <w:sz w:val="32"/>
      <w:szCs w:val="32"/>
    </w:rPr>
  </w:style>
  <w:style w:type="paragraph" w:styleId="24">
    <w:name w:val="Normal (Web)"/>
    <w:basedOn w:val="1"/>
    <w:autoRedefine/>
    <w:qFormat/>
    <w:uiPriority w:val="99"/>
    <w:pPr>
      <w:spacing w:before="100" w:beforeAutospacing="1" w:after="100" w:afterAutospacing="1"/>
      <w:jc w:val="left"/>
    </w:pPr>
    <w:rPr>
      <w:rFonts w:ascii="Times New Roman" w:hAnsi="Times New Roman" w:cs="Times New Roman"/>
      <w:kern w:val="0"/>
      <w:sz w:val="24"/>
    </w:rPr>
  </w:style>
  <w:style w:type="paragraph" w:styleId="25">
    <w:name w:val="Title"/>
    <w:basedOn w:val="1"/>
    <w:next w:val="1"/>
    <w:link w:val="72"/>
    <w:autoRedefine/>
    <w:qFormat/>
    <w:uiPriority w:val="0"/>
    <w:pPr>
      <w:spacing w:before="240" w:after="60"/>
      <w:jc w:val="center"/>
      <w:outlineLvl w:val="0"/>
    </w:pPr>
    <w:rPr>
      <w:rFonts w:ascii="等线 Light" w:hAnsi="等线 Light" w:cs="Times New Roman"/>
      <w:b/>
      <w:bCs/>
      <w:sz w:val="32"/>
      <w:szCs w:val="32"/>
    </w:rPr>
  </w:style>
  <w:style w:type="paragraph" w:styleId="26">
    <w:name w:val="annotation subject"/>
    <w:basedOn w:val="13"/>
    <w:next w:val="13"/>
    <w:link w:val="119"/>
    <w:autoRedefine/>
    <w:qFormat/>
    <w:uiPriority w:val="0"/>
    <w:rPr>
      <w:b/>
      <w:bCs/>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uiPriority w:val="22"/>
    <w:rPr>
      <w:b/>
    </w:rPr>
  </w:style>
  <w:style w:type="character" w:styleId="32">
    <w:name w:val="page number"/>
    <w:basedOn w:val="30"/>
    <w:autoRedefine/>
    <w:qFormat/>
    <w:uiPriority w:val="0"/>
  </w:style>
  <w:style w:type="character" w:styleId="33">
    <w:name w:val="Hyperlink"/>
    <w:basedOn w:val="30"/>
    <w:autoRedefine/>
    <w:qFormat/>
    <w:uiPriority w:val="99"/>
    <w:rPr>
      <w:color w:val="0563C1"/>
      <w:u w:val="single"/>
    </w:rPr>
  </w:style>
  <w:style w:type="character" w:styleId="34">
    <w:name w:val="annotation reference"/>
    <w:basedOn w:val="30"/>
    <w:autoRedefine/>
    <w:qFormat/>
    <w:uiPriority w:val="0"/>
    <w:rPr>
      <w:sz w:val="21"/>
      <w:szCs w:val="21"/>
    </w:rPr>
  </w:style>
  <w:style w:type="character" w:styleId="35">
    <w:name w:val="HTML Sample"/>
    <w:basedOn w:val="30"/>
    <w:autoRedefine/>
    <w:qFormat/>
    <w:uiPriority w:val="99"/>
    <w:rPr>
      <w:rFonts w:ascii="宋体" w:hAnsi="宋体" w:eastAsia="宋体" w:cs="宋体"/>
    </w:rPr>
  </w:style>
  <w:style w:type="character" w:customStyle="1" w:styleId="36">
    <w:name w:val="页脚 字符1"/>
    <w:basedOn w:val="30"/>
    <w:link w:val="20"/>
    <w:autoRedefine/>
    <w:qFormat/>
    <w:uiPriority w:val="99"/>
    <w:rPr>
      <w:rFonts w:ascii="Calibri" w:hAnsi="Calibri" w:eastAsia="宋体" w:cs="宋体"/>
      <w:kern w:val="2"/>
      <w:sz w:val="18"/>
      <w:szCs w:val="18"/>
    </w:rPr>
  </w:style>
  <w:style w:type="character" w:customStyle="1" w:styleId="37">
    <w:name w:val="标题 1 字符"/>
    <w:basedOn w:val="30"/>
    <w:link w:val="2"/>
    <w:autoRedefine/>
    <w:qFormat/>
    <w:uiPriority w:val="0"/>
    <w:rPr>
      <w:b/>
      <w:kern w:val="44"/>
      <w:sz w:val="32"/>
      <w:szCs w:val="22"/>
    </w:rPr>
  </w:style>
  <w:style w:type="character" w:customStyle="1" w:styleId="38">
    <w:name w:val="标题 2 字符"/>
    <w:basedOn w:val="30"/>
    <w:link w:val="3"/>
    <w:autoRedefine/>
    <w:qFormat/>
    <w:uiPriority w:val="0"/>
    <w:rPr>
      <w:rFonts w:ascii="Arial" w:hAnsi="Arial" w:eastAsia="黑体" w:cs="Arial"/>
      <w:b/>
      <w:bCs/>
      <w:kern w:val="2"/>
      <w:sz w:val="32"/>
      <w:szCs w:val="32"/>
    </w:rPr>
  </w:style>
  <w:style w:type="character" w:customStyle="1" w:styleId="39">
    <w:name w:val="标题 3 字符"/>
    <w:basedOn w:val="30"/>
    <w:link w:val="4"/>
    <w:autoRedefine/>
    <w:qFormat/>
    <w:uiPriority w:val="0"/>
    <w:rPr>
      <w:rFonts w:ascii="宋体" w:hAnsi="Calibri" w:eastAsia="宋体" w:cs="宋体"/>
      <w:b/>
      <w:sz w:val="24"/>
      <w:u w:val="single"/>
    </w:rPr>
  </w:style>
  <w:style w:type="character" w:customStyle="1" w:styleId="40">
    <w:name w:val="标题 8 字符"/>
    <w:basedOn w:val="30"/>
    <w:link w:val="9"/>
    <w:autoRedefine/>
    <w:qFormat/>
    <w:uiPriority w:val="0"/>
    <w:rPr>
      <w:rFonts w:ascii="Calibri Light" w:hAnsi="Calibri Light" w:eastAsia="宋体" w:cs="宋体"/>
      <w:kern w:val="2"/>
      <w:sz w:val="24"/>
      <w:szCs w:val="24"/>
    </w:rPr>
  </w:style>
  <w:style w:type="character" w:customStyle="1" w:styleId="41">
    <w:name w:val="正文文本 字符"/>
    <w:basedOn w:val="30"/>
    <w:link w:val="14"/>
    <w:autoRedefine/>
    <w:qFormat/>
    <w:uiPriority w:val="0"/>
    <w:rPr>
      <w:rFonts w:ascii="楷体" w:hAnsi="楷体" w:eastAsia="楷体" w:cs="楷体"/>
      <w:kern w:val="2"/>
      <w:sz w:val="24"/>
      <w:szCs w:val="24"/>
      <w:lang w:val="zh-CN" w:bidi="zh-CN"/>
    </w:rPr>
  </w:style>
  <w:style w:type="character" w:customStyle="1" w:styleId="42">
    <w:name w:val="纯文本 字符"/>
    <w:basedOn w:val="30"/>
    <w:link w:val="16"/>
    <w:autoRedefine/>
    <w:qFormat/>
    <w:uiPriority w:val="0"/>
    <w:rPr>
      <w:rFonts w:ascii="宋体" w:hAnsi="Courier New" w:eastAsia="宋体" w:cs="宋体"/>
      <w:kern w:val="2"/>
      <w:sz w:val="21"/>
      <w:szCs w:val="22"/>
    </w:rPr>
  </w:style>
  <w:style w:type="character" w:customStyle="1" w:styleId="43">
    <w:name w:val="页眉 字符"/>
    <w:basedOn w:val="30"/>
    <w:link w:val="21"/>
    <w:autoRedefine/>
    <w:qFormat/>
    <w:uiPriority w:val="99"/>
    <w:rPr>
      <w:rFonts w:ascii="Calibri" w:hAnsi="Calibri" w:eastAsia="宋体" w:cs="宋体"/>
      <w:kern w:val="2"/>
      <w:sz w:val="18"/>
      <w:szCs w:val="24"/>
    </w:rPr>
  </w:style>
  <w:style w:type="paragraph" w:customStyle="1" w:styleId="44">
    <w:name w:val="表格文字2"/>
    <w:basedOn w:val="45"/>
    <w:autoRedefine/>
    <w:qFormat/>
    <w:uiPriority w:val="99"/>
    <w:pPr>
      <w:spacing w:before="25" w:after="25"/>
      <w:jc w:val="left"/>
    </w:pPr>
    <w:rPr>
      <w:bCs/>
      <w:spacing w:val="10"/>
      <w:kern w:val="0"/>
    </w:rPr>
  </w:style>
  <w:style w:type="paragraph" w:customStyle="1" w:styleId="45">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6">
    <w:name w:val="列出段落1"/>
    <w:basedOn w:val="1"/>
    <w:autoRedefine/>
    <w:qFormat/>
    <w:uiPriority w:val="34"/>
    <w:pPr>
      <w:ind w:firstLine="420" w:firstLineChars="200"/>
    </w:pPr>
  </w:style>
  <w:style w:type="paragraph" w:customStyle="1" w:styleId="47">
    <w:name w:val="正文_3_0"/>
    <w:basedOn w:val="48"/>
    <w:next w:val="49"/>
    <w:autoRedefine/>
    <w:qFormat/>
    <w:uiPriority w:val="0"/>
    <w:rPr>
      <w:rFonts w:ascii="Calibri" w:hAnsi="Calibri" w:cs="Calibri"/>
      <w:szCs w:val="21"/>
    </w:rPr>
  </w:style>
  <w:style w:type="paragraph" w:customStyle="1" w:styleId="48">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页脚_2"/>
    <w:basedOn w:val="50"/>
    <w:autoRedefine/>
    <w:qFormat/>
    <w:uiPriority w:val="0"/>
    <w:pPr>
      <w:tabs>
        <w:tab w:val="center" w:pos="4153"/>
        <w:tab w:val="right" w:pos="8306"/>
      </w:tabs>
      <w:snapToGrid w:val="0"/>
      <w:jc w:val="left"/>
    </w:pPr>
    <w:rPr>
      <w:sz w:val="18"/>
      <w:szCs w:val="18"/>
    </w:rPr>
  </w:style>
  <w:style w:type="paragraph" w:customStyle="1" w:styleId="50">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页脚_0"/>
    <w:basedOn w:val="48"/>
    <w:autoRedefine/>
    <w:qFormat/>
    <w:uiPriority w:val="99"/>
    <w:pPr>
      <w:tabs>
        <w:tab w:val="center" w:pos="4153"/>
        <w:tab w:val="right" w:pos="8306"/>
      </w:tabs>
      <w:snapToGrid w:val="0"/>
      <w:jc w:val="left"/>
    </w:pPr>
    <w:rPr>
      <w:rFonts w:ascii="Calibri" w:hAnsi="Calibri"/>
      <w:sz w:val="18"/>
      <w:szCs w:val="18"/>
    </w:rPr>
  </w:style>
  <w:style w:type="paragraph" w:customStyle="1" w:styleId="52">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正文_0_1"/>
    <w:basedOn w:val="54"/>
    <w:next w:val="54"/>
    <w:autoRedefine/>
    <w:qFormat/>
    <w:uiPriority w:val="0"/>
    <w:rPr>
      <w:szCs w:val="21"/>
    </w:rPr>
  </w:style>
  <w:style w:type="paragraph" w:customStyle="1" w:styleId="54">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
    <w:name w:val="Table Paragraph"/>
    <w:basedOn w:val="1"/>
    <w:autoRedefine/>
    <w:qFormat/>
    <w:uiPriority w:val="1"/>
    <w:rPr>
      <w:rFonts w:ascii="楷体" w:hAnsi="楷体" w:eastAsia="楷体" w:cs="楷体"/>
      <w:lang w:val="zh-CN" w:bidi="zh-CN"/>
    </w:rPr>
  </w:style>
  <w:style w:type="paragraph" w:customStyle="1" w:styleId="56">
    <w:name w:val="WPSOffice手动目录 1"/>
    <w:autoRedefine/>
    <w:qFormat/>
    <w:uiPriority w:val="0"/>
    <w:rPr>
      <w:rFonts w:ascii="Times New Roman" w:hAnsi="Times New Roman" w:eastAsia="宋体" w:cs="Times New Roman"/>
      <w:lang w:val="en-US" w:eastAsia="zh-CN" w:bidi="ar-SA"/>
    </w:rPr>
  </w:style>
  <w:style w:type="paragraph" w:customStyle="1" w:styleId="57">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8">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9">
    <w:name w:val="正文_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Default Tex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1">
    <w:name w:val="正文_1_0_0"/>
    <w:next w:val="6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页脚_1_0"/>
    <w:basedOn w:val="61"/>
    <w:autoRedefine/>
    <w:qFormat/>
    <w:uiPriority w:val="0"/>
    <w:pPr>
      <w:tabs>
        <w:tab w:val="center" w:pos="4153"/>
        <w:tab w:val="right" w:pos="8306"/>
      </w:tabs>
      <w:snapToGrid w:val="0"/>
      <w:jc w:val="left"/>
    </w:pPr>
    <w:rPr>
      <w:rFonts w:ascii="Calibri" w:hAnsi="Calibri"/>
      <w:sz w:val="18"/>
      <w:szCs w:val="18"/>
    </w:rPr>
  </w:style>
  <w:style w:type="paragraph" w:customStyle="1" w:styleId="63">
    <w:name w:val="reader-word-layer reader-word-s1-14"/>
    <w:basedOn w:val="1"/>
    <w:autoRedefine/>
    <w:qFormat/>
    <w:uiPriority w:val="0"/>
    <w:pPr>
      <w:widowControl/>
      <w:spacing w:before="100" w:beforeAutospacing="1" w:after="100" w:afterAutospacing="1"/>
      <w:jc w:val="left"/>
    </w:pPr>
    <w:rPr>
      <w:rFonts w:ascii="宋体" w:hAnsi="宋体"/>
      <w:kern w:val="0"/>
      <w:sz w:val="24"/>
    </w:rPr>
  </w:style>
  <w:style w:type="character" w:customStyle="1" w:styleId="64">
    <w:name w:val="批注框文本 字符"/>
    <w:basedOn w:val="30"/>
    <w:link w:val="19"/>
    <w:autoRedefine/>
    <w:qFormat/>
    <w:uiPriority w:val="0"/>
    <w:rPr>
      <w:rFonts w:ascii="Calibri" w:hAnsi="Calibri" w:eastAsia="宋体" w:cs="宋体"/>
      <w:kern w:val="2"/>
      <w:sz w:val="18"/>
      <w:szCs w:val="18"/>
    </w:rPr>
  </w:style>
  <w:style w:type="character" w:customStyle="1" w:styleId="65">
    <w:name w:val="副标题 字符"/>
    <w:basedOn w:val="30"/>
    <w:link w:val="23"/>
    <w:autoRedefine/>
    <w:qFormat/>
    <w:uiPriority w:val="0"/>
    <w:rPr>
      <w:rFonts w:ascii="Calibri Light" w:hAnsi="Calibri Light" w:cs="宋体"/>
      <w:b/>
      <w:bCs/>
      <w:kern w:val="28"/>
      <w:sz w:val="32"/>
      <w:szCs w:val="32"/>
    </w:rPr>
  </w:style>
  <w:style w:type="paragraph" w:customStyle="1" w:styleId="66">
    <w:name w:val="_Style 30"/>
    <w:basedOn w:val="1"/>
    <w:next w:val="67"/>
    <w:autoRedefine/>
    <w:qFormat/>
    <w:uiPriority w:val="34"/>
    <w:pPr>
      <w:ind w:firstLine="420" w:firstLineChars="200"/>
    </w:pPr>
    <w:rPr>
      <w:rFonts w:ascii="Times New Roman" w:hAnsi="Times New Roman" w:cs="Times New Roman"/>
    </w:rPr>
  </w:style>
  <w:style w:type="paragraph" w:styleId="67">
    <w:name w:val="List Paragraph"/>
    <w:basedOn w:val="1"/>
    <w:autoRedefine/>
    <w:qFormat/>
    <w:uiPriority w:val="34"/>
    <w:pPr>
      <w:ind w:firstLine="420" w:firstLineChars="200"/>
    </w:pPr>
  </w:style>
  <w:style w:type="character" w:customStyle="1" w:styleId="68">
    <w:name w:val="注释标题 字符"/>
    <w:basedOn w:val="30"/>
    <w:link w:val="10"/>
    <w:autoRedefine/>
    <w:qFormat/>
    <w:uiPriority w:val="0"/>
    <w:rPr>
      <w:kern w:val="2"/>
      <w:sz w:val="21"/>
      <w:szCs w:val="24"/>
    </w:rPr>
  </w:style>
  <w:style w:type="character" w:customStyle="1" w:styleId="69">
    <w:name w:val="正文文本缩进 字符"/>
    <w:link w:val="15"/>
    <w:autoRedefine/>
    <w:qFormat/>
    <w:uiPriority w:val="0"/>
    <w:rPr>
      <w:rFonts w:ascii="仿宋_GB2312" w:hAnsi="华文中宋" w:eastAsia="仿宋_GB2312" w:cs="宋体"/>
      <w:bCs/>
      <w:color w:val="000000"/>
      <w:spacing w:val="-10"/>
      <w:kern w:val="2"/>
      <w:sz w:val="24"/>
      <w:szCs w:val="24"/>
    </w:rPr>
  </w:style>
  <w:style w:type="character" w:customStyle="1" w:styleId="70">
    <w:name w:val="正文文本缩进 Char"/>
    <w:basedOn w:val="30"/>
    <w:autoRedefine/>
    <w:qFormat/>
    <w:uiPriority w:val="99"/>
    <w:rPr>
      <w:rFonts w:ascii="Calibri" w:hAnsi="Calibri" w:eastAsia="宋体" w:cs="宋体"/>
      <w:kern w:val="2"/>
      <w:sz w:val="21"/>
      <w:szCs w:val="24"/>
    </w:rPr>
  </w:style>
  <w:style w:type="character" w:customStyle="1" w:styleId="71">
    <w:name w:val="正文文本缩进 2 字符"/>
    <w:basedOn w:val="30"/>
    <w:link w:val="18"/>
    <w:autoRedefine/>
    <w:qFormat/>
    <w:uiPriority w:val="0"/>
    <w:rPr>
      <w:rFonts w:ascii="宋体" w:hAnsi="宋体"/>
      <w:kern w:val="2"/>
      <w:sz w:val="30"/>
      <w:szCs w:val="24"/>
    </w:rPr>
  </w:style>
  <w:style w:type="character" w:customStyle="1" w:styleId="72">
    <w:name w:val="标题 字符"/>
    <w:basedOn w:val="30"/>
    <w:link w:val="25"/>
    <w:autoRedefine/>
    <w:qFormat/>
    <w:uiPriority w:val="0"/>
    <w:rPr>
      <w:rFonts w:ascii="等线 Light" w:hAnsi="等线 Light"/>
      <w:b/>
      <w:bCs/>
      <w:kern w:val="2"/>
      <w:sz w:val="32"/>
      <w:szCs w:val="32"/>
    </w:rPr>
  </w:style>
  <w:style w:type="character" w:customStyle="1" w:styleId="73">
    <w:name w:val="NormalPrix Char"/>
    <w:link w:val="74"/>
    <w:autoRedefine/>
    <w:qFormat/>
    <w:uiPriority w:val="0"/>
    <w:rPr>
      <w:lang w:val="fr-FR" w:eastAsia="en-US"/>
    </w:rPr>
  </w:style>
  <w:style w:type="paragraph" w:customStyle="1" w:styleId="74">
    <w:name w:val="NormalPrix"/>
    <w:basedOn w:val="1"/>
    <w:link w:val="73"/>
    <w:autoRedefine/>
    <w:qFormat/>
    <w:uiPriority w:val="0"/>
    <w:pPr>
      <w:widowControl/>
      <w:tabs>
        <w:tab w:val="decimal" w:pos="924"/>
      </w:tabs>
      <w:autoSpaceDE w:val="0"/>
      <w:autoSpaceDN w:val="0"/>
      <w:jc w:val="left"/>
    </w:pPr>
    <w:rPr>
      <w:rFonts w:ascii="Times New Roman" w:hAnsi="Times New Roman" w:cs="Times New Roman"/>
      <w:kern w:val="0"/>
      <w:sz w:val="20"/>
      <w:szCs w:val="20"/>
      <w:lang w:val="fr-FR" w:eastAsia="en-US"/>
    </w:rPr>
  </w:style>
  <w:style w:type="paragraph" w:customStyle="1" w:styleId="75">
    <w:name w:val="reader-word-layer reader-word-s1-0 reader-word-s1-1 reader-word-s1-3"/>
    <w:basedOn w:val="1"/>
    <w:autoRedefine/>
    <w:qFormat/>
    <w:uiPriority w:val="0"/>
    <w:pPr>
      <w:widowControl/>
      <w:spacing w:before="100" w:beforeAutospacing="1" w:after="100" w:afterAutospacing="1"/>
      <w:jc w:val="left"/>
    </w:pPr>
    <w:rPr>
      <w:rFonts w:ascii="宋体" w:hAnsi="宋体"/>
      <w:kern w:val="0"/>
      <w:sz w:val="24"/>
    </w:rPr>
  </w:style>
  <w:style w:type="character" w:customStyle="1" w:styleId="76">
    <w:name w:val="font61"/>
    <w:basedOn w:val="30"/>
    <w:autoRedefine/>
    <w:qFormat/>
    <w:uiPriority w:val="0"/>
    <w:rPr>
      <w:rFonts w:hint="eastAsia" w:ascii="仿宋" w:hAnsi="仿宋" w:eastAsia="仿宋" w:cs="仿宋"/>
      <w:color w:val="000000"/>
      <w:sz w:val="21"/>
      <w:szCs w:val="21"/>
      <w:u w:val="none"/>
    </w:rPr>
  </w:style>
  <w:style w:type="character" w:customStyle="1" w:styleId="77">
    <w:name w:val="font151"/>
    <w:basedOn w:val="30"/>
    <w:autoRedefine/>
    <w:qFormat/>
    <w:uiPriority w:val="0"/>
    <w:rPr>
      <w:rFonts w:hint="default" w:ascii="Calibri" w:hAnsi="Calibri" w:cs="Calibri"/>
      <w:color w:val="000000"/>
      <w:sz w:val="21"/>
      <w:szCs w:val="21"/>
      <w:u w:val="none"/>
    </w:rPr>
  </w:style>
  <w:style w:type="character" w:customStyle="1" w:styleId="78">
    <w:name w:val="font21"/>
    <w:basedOn w:val="30"/>
    <w:autoRedefine/>
    <w:qFormat/>
    <w:uiPriority w:val="0"/>
    <w:rPr>
      <w:rFonts w:hint="default" w:ascii="Calibri" w:hAnsi="Calibri" w:cs="Calibri"/>
      <w:color w:val="000000"/>
      <w:sz w:val="24"/>
      <w:szCs w:val="24"/>
      <w:u w:val="single"/>
    </w:rPr>
  </w:style>
  <w:style w:type="character" w:customStyle="1" w:styleId="79">
    <w:name w:val="font131"/>
    <w:basedOn w:val="30"/>
    <w:autoRedefine/>
    <w:qFormat/>
    <w:uiPriority w:val="0"/>
    <w:rPr>
      <w:rFonts w:hint="default" w:ascii="Calibri" w:hAnsi="Calibri" w:cs="Calibri"/>
      <w:color w:val="000000"/>
      <w:sz w:val="21"/>
      <w:szCs w:val="21"/>
      <w:u w:val="none"/>
    </w:rPr>
  </w:style>
  <w:style w:type="character" w:customStyle="1" w:styleId="80">
    <w:name w:val="font91"/>
    <w:basedOn w:val="30"/>
    <w:autoRedefine/>
    <w:qFormat/>
    <w:uiPriority w:val="0"/>
    <w:rPr>
      <w:rFonts w:hint="eastAsia" w:ascii="宋体" w:hAnsi="宋体" w:eastAsia="宋体" w:cs="宋体"/>
      <w:color w:val="000000"/>
      <w:sz w:val="24"/>
      <w:szCs w:val="24"/>
      <w:u w:val="single"/>
    </w:rPr>
  </w:style>
  <w:style w:type="character" w:customStyle="1" w:styleId="81">
    <w:name w:val="font71"/>
    <w:basedOn w:val="30"/>
    <w:autoRedefine/>
    <w:qFormat/>
    <w:uiPriority w:val="0"/>
    <w:rPr>
      <w:rFonts w:hint="eastAsia" w:ascii="仿宋" w:hAnsi="仿宋" w:eastAsia="仿宋" w:cs="仿宋"/>
      <w:color w:val="000000"/>
      <w:sz w:val="21"/>
      <w:szCs w:val="21"/>
      <w:u w:val="none"/>
    </w:rPr>
  </w:style>
  <w:style w:type="character" w:customStyle="1" w:styleId="82">
    <w:name w:val="font101"/>
    <w:basedOn w:val="30"/>
    <w:autoRedefine/>
    <w:qFormat/>
    <w:uiPriority w:val="0"/>
    <w:rPr>
      <w:rFonts w:hint="eastAsia" w:ascii="楷体_GB2312" w:eastAsia="楷体_GB2312" w:cs="楷体_GB2312"/>
      <w:color w:val="000000"/>
      <w:sz w:val="24"/>
      <w:szCs w:val="24"/>
      <w:u w:val="single"/>
    </w:rPr>
  </w:style>
  <w:style w:type="character" w:customStyle="1" w:styleId="83">
    <w:name w:val="font121"/>
    <w:basedOn w:val="30"/>
    <w:autoRedefine/>
    <w:qFormat/>
    <w:uiPriority w:val="0"/>
    <w:rPr>
      <w:rFonts w:hint="eastAsia" w:ascii="宋体" w:hAnsi="宋体" w:eastAsia="宋体" w:cs="宋体"/>
      <w:color w:val="000000"/>
      <w:sz w:val="21"/>
      <w:szCs w:val="21"/>
      <w:u w:val="none"/>
    </w:rPr>
  </w:style>
  <w:style w:type="character" w:customStyle="1" w:styleId="84">
    <w:name w:val="font112"/>
    <w:basedOn w:val="30"/>
    <w:autoRedefine/>
    <w:qFormat/>
    <w:uiPriority w:val="0"/>
    <w:rPr>
      <w:rFonts w:hint="eastAsia" w:ascii="宋体" w:hAnsi="宋体" w:eastAsia="宋体" w:cs="宋体"/>
      <w:color w:val="000000"/>
      <w:sz w:val="21"/>
      <w:szCs w:val="21"/>
      <w:u w:val="none"/>
    </w:rPr>
  </w:style>
  <w:style w:type="character" w:customStyle="1" w:styleId="85">
    <w:name w:val="font11"/>
    <w:basedOn w:val="30"/>
    <w:autoRedefine/>
    <w:qFormat/>
    <w:uiPriority w:val="0"/>
    <w:rPr>
      <w:rFonts w:ascii="Arial" w:hAnsi="Arial" w:cs="Arial"/>
      <w:color w:val="000000"/>
      <w:sz w:val="24"/>
      <w:szCs w:val="24"/>
      <w:u w:val="single"/>
    </w:rPr>
  </w:style>
  <w:style w:type="character" w:customStyle="1" w:styleId="86">
    <w:name w:val="font41"/>
    <w:basedOn w:val="30"/>
    <w:autoRedefine/>
    <w:qFormat/>
    <w:uiPriority w:val="0"/>
    <w:rPr>
      <w:rFonts w:hint="eastAsia" w:ascii="宋体" w:hAnsi="宋体" w:eastAsia="宋体" w:cs="宋体"/>
      <w:color w:val="000000"/>
      <w:sz w:val="24"/>
      <w:szCs w:val="24"/>
      <w:u w:val="none"/>
    </w:rPr>
  </w:style>
  <w:style w:type="character" w:customStyle="1" w:styleId="87">
    <w:name w:val="font31"/>
    <w:basedOn w:val="30"/>
    <w:autoRedefine/>
    <w:qFormat/>
    <w:uiPriority w:val="0"/>
    <w:rPr>
      <w:rFonts w:hint="default" w:ascii="Calibri" w:hAnsi="Calibri" w:cs="Calibri"/>
      <w:color w:val="000000"/>
      <w:sz w:val="24"/>
      <w:szCs w:val="24"/>
      <w:u w:val="none"/>
    </w:rPr>
  </w:style>
  <w:style w:type="character" w:customStyle="1" w:styleId="88">
    <w:name w:val="font81"/>
    <w:basedOn w:val="30"/>
    <w:autoRedefine/>
    <w:qFormat/>
    <w:uiPriority w:val="0"/>
    <w:rPr>
      <w:rFonts w:hint="default" w:ascii="Times New Roman" w:hAnsi="Times New Roman" w:cs="Times New Roman"/>
      <w:color w:val="000000"/>
      <w:sz w:val="21"/>
      <w:szCs w:val="21"/>
      <w:u w:val="none"/>
    </w:rPr>
  </w:style>
  <w:style w:type="paragraph" w:customStyle="1" w:styleId="89">
    <w:name w:val="reader-word-layer reader-word-s1-3"/>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90">
    <w:name w:val="reader-word-layer reader-word-s2-6"/>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91">
    <w:name w:val="reader-word-layer reader-word-s2-2"/>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92">
    <w:name w:val="reader-word-layer reader-word-s2-8"/>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93">
    <w:name w:val="reader-word-layer reader-word-s1-10 reader-word-s1-16"/>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94">
    <w:name w:val="_Style 33"/>
    <w:basedOn w:val="1"/>
    <w:next w:val="67"/>
    <w:autoRedefine/>
    <w:qFormat/>
    <w:uiPriority w:val="0"/>
    <w:pPr>
      <w:widowControl/>
      <w:ind w:firstLine="420" w:firstLineChars="200"/>
      <w:jc w:val="left"/>
    </w:pPr>
    <w:rPr>
      <w:rFonts w:ascii="Times" w:hAnsi="Times" w:cs="Times New Roman"/>
      <w:kern w:val="0"/>
      <w:sz w:val="20"/>
      <w:szCs w:val="20"/>
    </w:rPr>
  </w:style>
  <w:style w:type="character" w:customStyle="1" w:styleId="95">
    <w:name w:val="dbvalue"/>
    <w:basedOn w:val="30"/>
    <w:autoRedefine/>
    <w:qFormat/>
    <w:uiPriority w:val="0"/>
  </w:style>
  <w:style w:type="character" w:customStyle="1" w:styleId="96">
    <w:name w:val="不明显参考1"/>
    <w:autoRedefine/>
    <w:qFormat/>
    <w:uiPriority w:val="31"/>
    <w:rPr>
      <w:smallCaps/>
      <w:color w:val="5A5A5A"/>
    </w:rPr>
  </w:style>
  <w:style w:type="character" w:customStyle="1" w:styleId="97">
    <w:name w:val="页脚 字符"/>
    <w:autoRedefine/>
    <w:qFormat/>
    <w:uiPriority w:val="99"/>
    <w:rPr>
      <w:kern w:val="2"/>
      <w:sz w:val="18"/>
      <w:szCs w:val="18"/>
    </w:rPr>
  </w:style>
  <w:style w:type="character" w:customStyle="1" w:styleId="98">
    <w:name w:val="fgray1"/>
    <w:autoRedefine/>
    <w:qFormat/>
    <w:uiPriority w:val="0"/>
    <w:rPr>
      <w:color w:val="666666"/>
    </w:rPr>
  </w:style>
  <w:style w:type="character" w:customStyle="1" w:styleId="99">
    <w:name w:val="font51"/>
    <w:basedOn w:val="30"/>
    <w:autoRedefine/>
    <w:qFormat/>
    <w:uiPriority w:val="0"/>
    <w:rPr>
      <w:rFonts w:hint="default" w:ascii="Times New Roman" w:hAnsi="Times New Roman" w:cs="Times New Roman"/>
      <w:color w:val="000000"/>
      <w:sz w:val="18"/>
      <w:szCs w:val="18"/>
      <w:u w:val="none"/>
    </w:rPr>
  </w:style>
  <w:style w:type="paragraph" w:customStyle="1" w:styleId="100">
    <w:name w:val="表格"/>
    <w:autoRedefine/>
    <w:qFormat/>
    <w:uiPriority w:val="0"/>
    <w:pPr>
      <w:jc w:val="center"/>
    </w:pPr>
    <w:rPr>
      <w:rFonts w:ascii="Times New Roman" w:hAnsi="Times New Roman" w:eastAsia="宋体" w:cs="Tahoma"/>
      <w:color w:val="000000"/>
      <w:sz w:val="21"/>
      <w:szCs w:val="24"/>
      <w:lang w:val="en-US" w:eastAsia="zh-CN" w:bidi="ar-SA"/>
    </w:rPr>
  </w:style>
  <w:style w:type="paragraph" w:customStyle="1" w:styleId="101">
    <w:name w:val="五号字体"/>
    <w:basedOn w:val="1"/>
    <w:autoRedefine/>
    <w:qFormat/>
    <w:uiPriority w:val="0"/>
    <w:pPr>
      <w:spacing w:line="400" w:lineRule="exact"/>
      <w:jc w:val="center"/>
    </w:pPr>
    <w:rPr>
      <w:rFonts w:ascii="Times New Roman" w:hAnsi="Times New Roman" w:cs="Times New Roman"/>
      <w:kern w:val="0"/>
      <w:szCs w:val="21"/>
    </w:rPr>
  </w:style>
  <w:style w:type="paragraph" w:customStyle="1" w:styleId="102">
    <w:name w:val="列表段落1"/>
    <w:basedOn w:val="1"/>
    <w:autoRedefine/>
    <w:qFormat/>
    <w:uiPriority w:val="34"/>
    <w:pPr>
      <w:ind w:firstLine="420" w:firstLineChars="200"/>
    </w:pPr>
    <w:rPr>
      <w:rFonts w:cs="Times New Roman"/>
      <w:szCs w:val="22"/>
    </w:rPr>
  </w:style>
  <w:style w:type="paragraph" w:customStyle="1" w:styleId="103">
    <w:name w:val="List Paragraph1"/>
    <w:basedOn w:val="1"/>
    <w:autoRedefine/>
    <w:qFormat/>
    <w:uiPriority w:val="0"/>
    <w:pPr>
      <w:ind w:firstLine="420" w:firstLineChars="200"/>
    </w:pPr>
    <w:rPr>
      <w:rFonts w:ascii="等线" w:hAnsi="等线" w:eastAsia="等线" w:cs="Times New Roman"/>
      <w:szCs w:val="22"/>
    </w:rPr>
  </w:style>
  <w:style w:type="paragraph" w:customStyle="1" w:styleId="104">
    <w:name w:val="正文 New New New"/>
    <w:autoRedefine/>
    <w:qFormat/>
    <w:uiPriority w:val="0"/>
    <w:pPr>
      <w:spacing w:line="560" w:lineRule="exact"/>
      <w:ind w:firstLine="200" w:firstLineChars="200"/>
    </w:pPr>
    <w:rPr>
      <w:rFonts w:ascii="Calibri" w:hAnsi="Calibri" w:eastAsia="仿宋_GB2312" w:cs="Times New Roman"/>
      <w:sz w:val="32"/>
      <w:szCs w:val="24"/>
      <w:lang w:val="en-US" w:eastAsia="en-US" w:bidi="en-US"/>
    </w:rPr>
  </w:style>
  <w:style w:type="paragraph" w:customStyle="1" w:styleId="105">
    <w:name w:val="Char Char Char Char Char1 Char Char Char Char"/>
    <w:basedOn w:val="1"/>
    <w:autoRedefine/>
    <w:qFormat/>
    <w:uiPriority w:val="0"/>
    <w:pPr>
      <w:tabs>
        <w:tab w:val="left" w:pos="1360"/>
      </w:tabs>
      <w:ind w:left="1360" w:hanging="720"/>
    </w:pPr>
    <w:rPr>
      <w:rFonts w:ascii="Times New Roman" w:hAnsi="Times New Roman" w:cs="Times New Roman"/>
      <w:szCs w:val="20"/>
    </w:rPr>
  </w:style>
  <w:style w:type="paragraph" w:customStyle="1" w:styleId="106">
    <w:name w:val="_Style 65"/>
    <w:basedOn w:val="1"/>
    <w:next w:val="67"/>
    <w:autoRedefine/>
    <w:qFormat/>
    <w:uiPriority w:val="34"/>
    <w:pPr>
      <w:ind w:firstLine="420" w:firstLineChars="200"/>
    </w:pPr>
    <w:rPr>
      <w:rFonts w:ascii="Times New Roman" w:hAnsi="Times New Roman" w:cs="Times New Roman"/>
    </w:rPr>
  </w:style>
  <w:style w:type="character" w:customStyle="1" w:styleId="107">
    <w:name w:val="批注文字 字符"/>
    <w:basedOn w:val="30"/>
    <w:link w:val="13"/>
    <w:autoRedefine/>
    <w:qFormat/>
    <w:uiPriority w:val="0"/>
    <w:rPr>
      <w:rFonts w:ascii="Calibri" w:hAnsi="Calibri" w:eastAsia="宋体" w:cs="宋体"/>
      <w:kern w:val="2"/>
      <w:sz w:val="21"/>
      <w:szCs w:val="24"/>
    </w:rPr>
  </w:style>
  <w:style w:type="character" w:customStyle="1" w:styleId="108">
    <w:name w:val="批注主题 字符"/>
    <w:basedOn w:val="107"/>
    <w:link w:val="26"/>
    <w:autoRedefine/>
    <w:qFormat/>
    <w:uiPriority w:val="0"/>
    <w:rPr>
      <w:rFonts w:ascii="Calibri" w:hAnsi="Calibri" w:eastAsia="宋体" w:cs="宋体"/>
      <w:b/>
      <w:bCs/>
      <w:kern w:val="2"/>
      <w:sz w:val="21"/>
      <w:szCs w:val="24"/>
    </w:rPr>
  </w:style>
  <w:style w:type="character" w:customStyle="1" w:styleId="109">
    <w:name w:val="bookmark-item"/>
    <w:basedOn w:val="30"/>
    <w:autoRedefine/>
    <w:qFormat/>
    <w:uiPriority w:val="0"/>
  </w:style>
  <w:style w:type="character" w:customStyle="1" w:styleId="110">
    <w:name w:val="标题 4 字符"/>
    <w:basedOn w:val="30"/>
    <w:link w:val="5"/>
    <w:autoRedefine/>
    <w:qFormat/>
    <w:uiPriority w:val="9"/>
    <w:rPr>
      <w:rFonts w:ascii="宋体" w:hAnsi="宋体"/>
      <w:kern w:val="2"/>
      <w:sz w:val="24"/>
      <w:szCs w:val="24"/>
    </w:rPr>
  </w:style>
  <w:style w:type="character" w:customStyle="1" w:styleId="111">
    <w:name w:val="标题 5 字符"/>
    <w:basedOn w:val="30"/>
    <w:link w:val="6"/>
    <w:autoRedefine/>
    <w:qFormat/>
    <w:uiPriority w:val="1"/>
    <w:rPr>
      <w:rFonts w:ascii="仿宋" w:hAnsi="仿宋" w:eastAsia="仿宋" w:cs="仿宋"/>
      <w:b/>
      <w:bCs/>
      <w:kern w:val="2"/>
      <w:sz w:val="28"/>
      <w:szCs w:val="28"/>
      <w:lang w:val="zh-CN" w:bidi="zh-CN"/>
    </w:rPr>
  </w:style>
  <w:style w:type="character" w:customStyle="1" w:styleId="112">
    <w:name w:val="标题 6 字符"/>
    <w:basedOn w:val="30"/>
    <w:link w:val="7"/>
    <w:autoRedefine/>
    <w:qFormat/>
    <w:uiPriority w:val="1"/>
    <w:rPr>
      <w:rFonts w:ascii="仿宋" w:hAnsi="仿宋" w:eastAsia="仿宋" w:cs="仿宋"/>
      <w:kern w:val="2"/>
      <w:sz w:val="28"/>
      <w:szCs w:val="28"/>
      <w:lang w:val="zh-CN" w:bidi="zh-CN"/>
    </w:rPr>
  </w:style>
  <w:style w:type="character" w:customStyle="1" w:styleId="113">
    <w:name w:val="标题 7 字符"/>
    <w:basedOn w:val="30"/>
    <w:link w:val="8"/>
    <w:autoRedefine/>
    <w:qFormat/>
    <w:uiPriority w:val="1"/>
    <w:rPr>
      <w:rFonts w:ascii="仿宋" w:hAnsi="仿宋" w:eastAsia="仿宋" w:cs="仿宋"/>
      <w:b/>
      <w:bCs/>
      <w:kern w:val="2"/>
      <w:sz w:val="24"/>
      <w:szCs w:val="24"/>
      <w:lang w:val="zh-CN" w:bidi="zh-CN"/>
    </w:rPr>
  </w:style>
  <w:style w:type="paragraph" w:customStyle="1" w:styleId="114">
    <w:name w:val="表格文字"/>
    <w:basedOn w:val="1"/>
    <w:next w:val="14"/>
    <w:autoRedefine/>
    <w:qFormat/>
    <w:uiPriority w:val="0"/>
    <w:pPr>
      <w:adjustRightInd w:val="0"/>
      <w:spacing w:line="420" w:lineRule="atLeast"/>
      <w:jc w:val="left"/>
    </w:pPr>
    <w:rPr>
      <w:rFonts w:ascii="Times New Roman" w:hAnsi="Times New Roman" w:cs="Times New Roman"/>
      <w:kern w:val="0"/>
      <w:szCs w:val="20"/>
    </w:rPr>
  </w:style>
  <w:style w:type="character" w:customStyle="1" w:styleId="115">
    <w:name w:val="日期 字符"/>
    <w:basedOn w:val="30"/>
    <w:link w:val="17"/>
    <w:autoRedefine/>
    <w:semiHidden/>
    <w:qFormat/>
    <w:uiPriority w:val="99"/>
    <w:rPr>
      <w:rFonts w:ascii="Times New Roman" w:hAnsi="Times New Roman" w:cs="Times New Roman"/>
      <w:kern w:val="2"/>
      <w:sz w:val="21"/>
      <w:szCs w:val="24"/>
    </w:rPr>
  </w:style>
  <w:style w:type="paragraph" w:customStyle="1" w:styleId="116">
    <w:name w:val="编号"/>
    <w:basedOn w:val="1"/>
    <w:autoRedefine/>
    <w:qFormat/>
    <w:uiPriority w:val="0"/>
    <w:pPr>
      <w:tabs>
        <w:tab w:val="left" w:pos="840"/>
      </w:tabs>
      <w:ind w:left="360" w:hanging="360"/>
    </w:pPr>
    <w:rPr>
      <w:rFonts w:cs="Times New Roman"/>
    </w:rPr>
  </w:style>
  <w:style w:type="character" w:customStyle="1" w:styleId="117">
    <w:name w:val="标题 3 Char"/>
    <w:basedOn w:val="30"/>
    <w:link w:val="4"/>
    <w:autoRedefine/>
    <w:qFormat/>
    <w:uiPriority w:val="0"/>
    <w:rPr>
      <w:b/>
      <w:bCs/>
      <w:kern w:val="2"/>
      <w:sz w:val="32"/>
      <w:szCs w:val="32"/>
    </w:rPr>
  </w:style>
  <w:style w:type="character" w:customStyle="1" w:styleId="118">
    <w:name w:val="正文文本 Char"/>
    <w:basedOn w:val="30"/>
    <w:link w:val="14"/>
    <w:autoRedefine/>
    <w:qFormat/>
    <w:uiPriority w:val="0"/>
    <w:rPr>
      <w:kern w:val="2"/>
      <w:sz w:val="21"/>
      <w:szCs w:val="24"/>
    </w:rPr>
  </w:style>
  <w:style w:type="character" w:customStyle="1" w:styleId="119">
    <w:name w:val="批注主题 Char"/>
    <w:basedOn w:val="120"/>
    <w:link w:val="26"/>
    <w:autoRedefine/>
    <w:qFormat/>
    <w:uiPriority w:val="0"/>
    <w:rPr>
      <w:b/>
      <w:bCs/>
      <w:kern w:val="2"/>
      <w:sz w:val="21"/>
      <w:szCs w:val="24"/>
    </w:rPr>
  </w:style>
  <w:style w:type="character" w:customStyle="1" w:styleId="120">
    <w:name w:val="批注文字 Char"/>
    <w:basedOn w:val="30"/>
    <w:link w:val="13"/>
    <w:autoRedefine/>
    <w:qFormat/>
    <w:uiPriority w:val="0"/>
    <w:rPr>
      <w:kern w:val="2"/>
      <w:sz w:val="21"/>
      <w:szCs w:val="24"/>
    </w:rPr>
  </w:style>
  <w:style w:type="character" w:customStyle="1" w:styleId="121">
    <w:name w:val="标题 4 Char"/>
    <w:basedOn w:val="30"/>
    <w:link w:val="5"/>
    <w:autoRedefine/>
    <w:qFormat/>
    <w:uiPriority w:val="0"/>
    <w:rPr>
      <w:rFonts w:hint="default" w:ascii="Arial" w:hAnsi="Arial" w:cs="Arial"/>
      <w:b/>
      <w:bCs/>
      <w:kern w:val="2"/>
      <w:sz w:val="28"/>
      <w:szCs w:val="28"/>
    </w:rPr>
  </w:style>
  <w:style w:type="paragraph" w:customStyle="1" w:styleId="122">
    <w:name w:val="msolistparagraph"/>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character" w:customStyle="1" w:styleId="123">
    <w:name w:val="正文文本缩进 2 Char"/>
    <w:basedOn w:val="30"/>
    <w:link w:val="18"/>
    <w:autoRedefine/>
    <w:qFormat/>
    <w:uiPriority w:val="0"/>
    <w:rPr>
      <w:rFonts w:hint="eastAsia" w:ascii="宋体" w:hAnsi="宋体" w:eastAsia="宋体" w:cs="宋体"/>
      <w:kern w:val="2"/>
      <w:sz w:val="30"/>
      <w:szCs w:val="24"/>
    </w:rPr>
  </w:style>
  <w:style w:type="character" w:customStyle="1" w:styleId="124">
    <w:name w:val="页脚 Char"/>
    <w:basedOn w:val="30"/>
    <w:link w:val="20"/>
    <w:autoRedefine/>
    <w:qFormat/>
    <w:uiPriority w:val="0"/>
    <w:rPr>
      <w:kern w:val="2"/>
      <w:sz w:val="18"/>
      <w:szCs w:val="18"/>
    </w:rPr>
  </w:style>
  <w:style w:type="character" w:customStyle="1" w:styleId="125">
    <w:name w:val="页眉 Char"/>
    <w:basedOn w:val="30"/>
    <w:link w:val="21"/>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37963A-209E-4479-8AF1-3D02376E4E1A}">
  <ds:schemaRefs/>
</ds:datastoreItem>
</file>

<file path=customXml/itemProps3.xml><?xml version="1.0" encoding="utf-8"?>
<ds:datastoreItem xmlns:ds="http://schemas.openxmlformats.org/officeDocument/2006/customXml" ds:itemID="{785CA68A-AD07-4DC8-9711-026417061C1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127</Pages>
  <Words>13427</Words>
  <Characters>76535</Characters>
  <Lines>637</Lines>
  <Paragraphs>179</Paragraphs>
  <TotalTime>17</TotalTime>
  <ScaleCrop>false</ScaleCrop>
  <LinksUpToDate>false</LinksUpToDate>
  <CharactersWithSpaces>89783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2023-03-04T09:04:00Z</dcterms:created>
  <dc:creator>李航</dc:creator>
  <cp:lastModifiedBy>清酒</cp:lastModifiedBy>
  <cp:lastPrinted>2023-03-16T10:56:00Z</cp:lastPrinted>
  <dcterms:modified xsi:type="dcterms:W3CDTF">2024-03-07T08:16:16Z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57F34B301788451080A5E3411461662B_13</vt:lpwstr>
  </property>
  <property fmtid="{D5CDD505-2E9C-101B-9397-08002B2CF9AE}" pid="4" name="KSOSaveFontToCloudKey">
    <vt:lpwstr>340659104_cloud</vt:lpwstr>
  </property>
</Properties>
</file>