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s>
        <w:kinsoku/>
        <w:wordWrap/>
        <w:overflowPunct/>
        <w:topLinePunct w:val="0"/>
        <w:autoSpaceDE w:val="0"/>
        <w:autoSpaceDN w:val="0"/>
        <w:bidi w:val="0"/>
        <w:adjustRightInd w:val="0"/>
        <w:snapToGrid/>
        <w:spacing w:before="0" w:after="0" w:line="420" w:lineRule="exact"/>
        <w:jc w:val="center"/>
        <w:textAlignment w:val="auto"/>
        <w:rPr>
          <w:rFonts w:hint="eastAsia" w:ascii="华文中宋" w:hAnsi="华文中宋" w:eastAsia="华文中宋"/>
          <w:color w:val="auto"/>
          <w:lang w:eastAsia="zh-CN"/>
        </w:rPr>
      </w:pPr>
      <w:bookmarkStart w:id="0" w:name="_Toc3060"/>
      <w:r>
        <w:rPr>
          <w:color w:val="auto"/>
          <w:sz w:val="36"/>
        </w:rPr>
        <mc:AlternateContent>
          <mc:Choice Requires="wps">
            <w:drawing>
              <wp:anchor distT="0" distB="0" distL="114300" distR="114300" simplePos="0" relativeHeight="251659264" behindDoc="0" locked="0" layoutInCell="1" allowOverlap="1">
                <wp:simplePos x="0" y="0"/>
                <wp:positionH relativeFrom="column">
                  <wp:posOffset>3992245</wp:posOffset>
                </wp:positionH>
                <wp:positionV relativeFrom="paragraph">
                  <wp:posOffset>-407035</wp:posOffset>
                </wp:positionV>
                <wp:extent cx="2044065" cy="294005"/>
                <wp:effectExtent l="0" t="0" r="635" b="10795"/>
                <wp:wrapNone/>
                <wp:docPr id="3" name="文本框 3"/>
                <wp:cNvGraphicFramePr/>
                <a:graphic xmlns:a="http://schemas.openxmlformats.org/drawingml/2006/main">
                  <a:graphicData uri="http://schemas.microsoft.com/office/word/2010/wordprocessingShape">
                    <wps:wsp>
                      <wps:cNvSpPr txBox="1"/>
                      <wps:spPr>
                        <a:xfrm>
                          <a:off x="0" y="0"/>
                          <a:ext cx="2044065"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35pt;margin-top:-32.05pt;height:23.15pt;width:160.95pt;z-index:251659264;mso-width-relative:page;mso-height-relative:page;" fillcolor="#FFFFFF [3201]" filled="t" stroked="f" coordsize="21600,21600" o:gfxdata="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t9zAtcAAAALAQAADwAA&#10;AAAAAAABACAAAAAiAAAAZHJzL2Rvd25yZXYueG1sUEsBAhQAFAAAAAgAh07iQOf2RdxQAgAAjwQA&#10;AA4AAAAAAAAAAQAgAAAAJgEAAGRycy9lMm9Eb2MueG1sUEsFBgAAAAAGAAYAWQEAAOgFAAAAAA==&#10;">
                <v:fill on="t" focussize="0,0"/>
                <v:stroke on="f" weight="0.5pt"/>
                <v:imagedata o:title=""/>
                <o:lock v:ext="edit" aspectratio="f"/>
                <v:textbox>
                  <w:txbxContent>
                    <w:p>
                      <w:pPr>
                        <w:rPr>
                          <w:rFonts w:hint="eastAsia" w:eastAsia="宋体"/>
                          <w:lang w:eastAsia="zh-CN"/>
                        </w:rPr>
                      </w:pPr>
                    </w:p>
                  </w:txbxContent>
                </v:textbox>
              </v:shape>
            </w:pict>
          </mc:Fallback>
        </mc:AlternateContent>
      </w:r>
      <w:r>
        <w:rPr>
          <w:rFonts w:hint="eastAsia" w:ascii="华文中宋" w:hAnsi="华文中宋" w:eastAsia="华文中宋"/>
          <w:color w:val="auto"/>
          <w:lang w:eastAsia="zh-CN"/>
        </w:rPr>
        <w:t>第二工人疗养院-整体房屋拆除项目竞争性谈判公告</w:t>
      </w:r>
      <w:bookmarkEnd w:id="0"/>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u w:val="none"/>
        </w:rPr>
        <w:t xml:space="preserve"> </w:t>
      </w:r>
      <w:r>
        <w:rPr>
          <w:rFonts w:hint="eastAsia" w:ascii="仿宋" w:hAnsi="仿宋" w:eastAsia="仿宋"/>
          <w:color w:val="auto"/>
          <w:sz w:val="24"/>
          <w:szCs w:val="24"/>
          <w:u w:val="none"/>
          <w:lang w:eastAsia="zh-CN"/>
        </w:rPr>
        <w:t>第二工人疗养院-整体房屋拆除项目的潜在投标人应在新疆政府采购网（http://www.ccgp-xinjiang.gov.cn/）获取谈判文件，并于</w:t>
      </w:r>
      <w:r>
        <w:rPr>
          <w:rFonts w:hint="eastAsia" w:ascii="仿宋" w:hAnsi="仿宋" w:eastAsia="仿宋"/>
          <w:color w:val="auto"/>
          <w:sz w:val="24"/>
          <w:szCs w:val="24"/>
          <w:u w:val="none"/>
          <w:lang w:val="en-US" w:eastAsia="zh-CN"/>
        </w:rPr>
        <w:t>2021</w:t>
      </w:r>
      <w:r>
        <w:rPr>
          <w:rFonts w:hint="eastAsia" w:ascii="仿宋" w:hAnsi="仿宋" w:eastAsia="仿宋"/>
          <w:color w:val="auto"/>
          <w:sz w:val="24"/>
          <w:szCs w:val="24"/>
          <w:u w:val="none"/>
          <w:lang w:eastAsia="zh-CN"/>
        </w:rPr>
        <w:t>年</w:t>
      </w:r>
      <w:r>
        <w:rPr>
          <w:rFonts w:hint="eastAsia" w:ascii="仿宋" w:hAnsi="仿宋" w:eastAsia="仿宋"/>
          <w:color w:val="auto"/>
          <w:sz w:val="24"/>
          <w:szCs w:val="24"/>
          <w:u w:val="none"/>
          <w:lang w:val="en-US" w:eastAsia="zh-CN"/>
        </w:rPr>
        <w:t>9</w:t>
      </w:r>
      <w:r>
        <w:rPr>
          <w:rFonts w:hint="eastAsia" w:ascii="仿宋" w:hAnsi="仿宋" w:eastAsia="仿宋"/>
          <w:color w:val="auto"/>
          <w:sz w:val="24"/>
          <w:szCs w:val="24"/>
          <w:u w:val="none"/>
          <w:lang w:eastAsia="zh-CN"/>
        </w:rPr>
        <w:t>月</w:t>
      </w:r>
      <w:r>
        <w:rPr>
          <w:rFonts w:hint="eastAsia" w:ascii="仿宋" w:hAnsi="仿宋" w:eastAsia="仿宋"/>
          <w:color w:val="auto"/>
          <w:sz w:val="24"/>
          <w:szCs w:val="24"/>
          <w:u w:val="none"/>
          <w:lang w:val="en-US" w:eastAsia="zh-CN"/>
        </w:rPr>
        <w:t>14</w:t>
      </w:r>
      <w:r>
        <w:rPr>
          <w:rFonts w:hint="eastAsia" w:ascii="仿宋" w:hAnsi="仿宋" w:eastAsia="仿宋"/>
          <w:color w:val="auto"/>
          <w:sz w:val="24"/>
          <w:szCs w:val="24"/>
          <w:u w:val="none"/>
          <w:lang w:eastAsia="zh-CN"/>
        </w:rPr>
        <w:t>日</w:t>
      </w:r>
      <w:r>
        <w:rPr>
          <w:rFonts w:hint="eastAsia" w:ascii="仿宋" w:hAnsi="仿宋" w:eastAsia="仿宋"/>
          <w:color w:val="auto"/>
          <w:sz w:val="24"/>
          <w:szCs w:val="24"/>
          <w:u w:val="none"/>
          <w:lang w:val="en-US" w:eastAsia="zh-CN"/>
        </w:rPr>
        <w:t>16</w:t>
      </w:r>
      <w:r>
        <w:rPr>
          <w:rFonts w:hint="eastAsia" w:ascii="仿宋" w:hAnsi="仿宋" w:eastAsia="仿宋"/>
          <w:color w:val="auto"/>
          <w:sz w:val="24"/>
          <w:szCs w:val="24"/>
          <w:u w:val="none"/>
          <w:lang w:eastAsia="zh-CN"/>
        </w:rPr>
        <w:t>点</w:t>
      </w:r>
      <w:r>
        <w:rPr>
          <w:rFonts w:hint="eastAsia" w:ascii="仿宋" w:hAnsi="仿宋" w:eastAsia="仿宋"/>
          <w:color w:val="auto"/>
          <w:sz w:val="24"/>
          <w:szCs w:val="24"/>
          <w:u w:val="none"/>
          <w:lang w:val="en-US" w:eastAsia="zh-CN"/>
        </w:rPr>
        <w:t>00</w:t>
      </w:r>
      <w:r>
        <w:rPr>
          <w:rFonts w:hint="eastAsia" w:ascii="仿宋" w:hAnsi="仿宋" w:eastAsia="仿宋"/>
          <w:color w:val="auto"/>
          <w:sz w:val="24"/>
          <w:szCs w:val="24"/>
          <w:u w:val="none"/>
          <w:lang w:eastAsia="zh-CN"/>
        </w:rPr>
        <w:t>分</w:t>
      </w:r>
      <w:r>
        <w:rPr>
          <w:rFonts w:hint="eastAsia" w:ascii="仿宋" w:hAnsi="仿宋" w:eastAsia="仿宋"/>
          <w:color w:val="0000FF"/>
          <w:sz w:val="24"/>
          <w:szCs w:val="24"/>
          <w:u w:val="none"/>
          <w:lang w:eastAsia="zh-CN"/>
        </w:rPr>
        <w:t>（</w:t>
      </w:r>
      <w:r>
        <w:rPr>
          <w:rFonts w:hint="eastAsia" w:ascii="仿宋" w:hAnsi="仿宋" w:eastAsia="仿宋"/>
          <w:color w:val="auto"/>
          <w:sz w:val="24"/>
          <w:szCs w:val="24"/>
          <w:u w:val="none"/>
          <w:lang w:eastAsia="zh-CN"/>
        </w:rPr>
        <w:t>北京时间）前递交报价文件。</w:t>
      </w:r>
    </w:p>
    <w:p>
      <w:pPr>
        <w:pageBreakBefore w:val="0"/>
        <w:widowControl w:val="0"/>
        <w:kinsoku/>
        <w:wordWrap/>
        <w:overflowPunct/>
        <w:topLinePunct w:val="0"/>
        <w:bidi w:val="0"/>
        <w:snapToGrid/>
        <w:spacing w:line="360" w:lineRule="exact"/>
        <w:textAlignment w:val="auto"/>
        <w:rPr>
          <w:rFonts w:hint="eastAsia"/>
          <w:b/>
          <w:bCs/>
          <w:color w:val="auto"/>
          <w:sz w:val="28"/>
          <w:szCs w:val="28"/>
        </w:rPr>
      </w:pPr>
      <w:bookmarkStart w:id="1" w:name="_Toc28359012"/>
      <w:bookmarkStart w:id="2" w:name="_Toc35393798"/>
      <w:bookmarkStart w:id="3" w:name="_Toc28359089"/>
      <w:bookmarkStart w:id="4" w:name="_Toc35393629"/>
      <w:r>
        <w:rPr>
          <w:rFonts w:hint="eastAsia"/>
          <w:b/>
          <w:bCs/>
          <w:color w:val="auto"/>
          <w:sz w:val="28"/>
          <w:szCs w:val="28"/>
        </w:rPr>
        <w:t>一、项目基本情况</w:t>
      </w:r>
      <w:bookmarkEnd w:id="1"/>
      <w:bookmarkEnd w:id="2"/>
      <w:bookmarkEnd w:id="3"/>
      <w:bookmarkEnd w:id="4"/>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新工党纪（2021）-11</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olor w:val="auto"/>
          <w:sz w:val="24"/>
          <w:szCs w:val="24"/>
          <w:u w:val="none"/>
          <w:lang w:eastAsia="zh-CN"/>
        </w:rPr>
      </w:pPr>
      <w:r>
        <w:rPr>
          <w:rFonts w:hint="eastAsia" w:ascii="仿宋" w:hAnsi="仿宋" w:eastAsia="仿宋"/>
          <w:color w:val="auto"/>
          <w:sz w:val="24"/>
          <w:szCs w:val="24"/>
        </w:rPr>
        <w:t>项目名称：</w:t>
      </w:r>
      <w:r>
        <w:rPr>
          <w:rFonts w:hint="eastAsia" w:ascii="仿宋" w:hAnsi="仿宋" w:eastAsia="仿宋"/>
          <w:color w:val="auto"/>
          <w:sz w:val="24"/>
          <w:szCs w:val="24"/>
          <w:u w:val="none"/>
          <w:lang w:eastAsia="zh-CN"/>
        </w:rPr>
        <w:t>第二工人疗养院-整体房屋拆除项目</w:t>
      </w:r>
    </w:p>
    <w:p>
      <w:pPr>
        <w:pageBreakBefore w:val="0"/>
        <w:widowControl w:val="0"/>
        <w:kinsoku/>
        <w:wordWrap/>
        <w:overflowPunct/>
        <w:topLinePunct w:val="0"/>
        <w:bidi w:val="0"/>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采购方式：</w:t>
      </w:r>
      <w:r>
        <w:rPr>
          <w:rFonts w:ascii="仿宋" w:hAnsi="仿宋" w:eastAsia="仿宋" w:cs="仿宋"/>
          <w:i w:val="0"/>
          <w:caps w:val="0"/>
          <w:color w:val="auto"/>
          <w:spacing w:val="0"/>
          <w:sz w:val="24"/>
          <w:szCs w:val="24"/>
        </w:rPr>
        <w:t>竞争性谈判</w:t>
      </w:r>
    </w:p>
    <w:p>
      <w:pPr>
        <w:pageBreakBefore w:val="0"/>
        <w:widowControl w:val="0"/>
        <w:kinsoku/>
        <w:wordWrap/>
        <w:overflowPunct/>
        <w:topLinePunct w:val="0"/>
        <w:bidi w:val="0"/>
        <w:snapToGrid/>
        <w:spacing w:line="360" w:lineRule="exact"/>
        <w:ind w:firstLine="480" w:firstLineChars="200"/>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rPr>
        <w:t>预算金额：</w:t>
      </w:r>
      <w:r>
        <w:rPr>
          <w:rFonts w:hint="eastAsia" w:ascii="仿宋" w:hAnsi="仿宋" w:eastAsia="仿宋"/>
          <w:color w:val="auto"/>
          <w:sz w:val="24"/>
          <w:szCs w:val="24"/>
          <w:lang w:val="en-US" w:eastAsia="zh-CN"/>
        </w:rPr>
        <w:t>152453.35元。</w:t>
      </w:r>
    </w:p>
    <w:p>
      <w:pPr>
        <w:pageBreakBefore w:val="0"/>
        <w:widowControl w:val="0"/>
        <w:kinsoku/>
        <w:wordWrap/>
        <w:overflowPunct/>
        <w:topLinePunct w:val="0"/>
        <w:bidi w:val="0"/>
        <w:snapToGrid/>
        <w:spacing w:line="360" w:lineRule="exact"/>
        <w:ind w:firstLine="480" w:firstLineChars="200"/>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最高限价：152453.35元。（如超过预算价的报价为无效报价）</w:t>
      </w:r>
    </w:p>
    <w:p>
      <w:pPr>
        <w:pageBreakBefore w:val="0"/>
        <w:widowControl w:val="0"/>
        <w:kinsoku/>
        <w:wordWrap/>
        <w:overflowPunct/>
        <w:topLinePunct w:val="0"/>
        <w:bidi w:val="0"/>
        <w:snapToGrid/>
        <w:spacing w:line="360" w:lineRule="exact"/>
        <w:ind w:firstLine="480" w:firstLineChars="200"/>
        <w:textAlignment w:val="auto"/>
        <w:rPr>
          <w:rFonts w:ascii="仿宋" w:hAnsi="仿宋" w:eastAsia="仿宋"/>
          <w:color w:val="auto"/>
          <w:sz w:val="24"/>
          <w:szCs w:val="24"/>
          <w:u w:val="single"/>
        </w:rPr>
      </w:pPr>
      <w:r>
        <w:rPr>
          <w:rFonts w:hint="eastAsia" w:ascii="仿宋" w:hAnsi="仿宋" w:eastAsia="仿宋"/>
          <w:color w:val="auto"/>
          <w:sz w:val="24"/>
          <w:szCs w:val="24"/>
        </w:rPr>
        <w:t>采购</w:t>
      </w:r>
      <w:r>
        <w:rPr>
          <w:rFonts w:hint="eastAsia" w:ascii="仿宋" w:hAnsi="仿宋" w:eastAsia="仿宋"/>
          <w:color w:val="auto"/>
          <w:sz w:val="24"/>
          <w:szCs w:val="24"/>
          <w:lang w:eastAsia="zh-CN"/>
        </w:rPr>
        <w:t>内容</w:t>
      </w:r>
      <w:r>
        <w:rPr>
          <w:rFonts w:hint="eastAsia" w:ascii="仿宋" w:hAnsi="仿宋" w:eastAsia="仿宋"/>
          <w:color w:val="auto"/>
          <w:sz w:val="24"/>
          <w:szCs w:val="24"/>
        </w:rPr>
        <w:t>：</w:t>
      </w:r>
      <w:r>
        <w:rPr>
          <w:rFonts w:hint="eastAsia" w:ascii="仿宋" w:hAnsi="仿宋" w:eastAsia="仿宋"/>
          <w:color w:val="auto"/>
          <w:sz w:val="24"/>
          <w:szCs w:val="24"/>
          <w:u w:val="none"/>
          <w:lang w:eastAsia="zh-CN"/>
        </w:rPr>
        <w:t>第二工人疗养院-整体房屋拆除项目</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详见工程量清单</w:t>
      </w:r>
      <w:r>
        <w:rPr>
          <w:rFonts w:hint="eastAsia" w:ascii="仿宋" w:hAnsi="仿宋" w:eastAsia="仿宋"/>
          <w:color w:val="auto"/>
          <w:sz w:val="24"/>
          <w:szCs w:val="24"/>
          <w:lang w:eastAsia="zh-CN"/>
        </w:rPr>
        <w:t>）</w:t>
      </w:r>
    </w:p>
    <w:p>
      <w:pPr>
        <w:pageBreakBefore w:val="0"/>
        <w:widowControl w:val="0"/>
        <w:kinsoku/>
        <w:wordWrap/>
        <w:overflowPunct/>
        <w:topLinePunct w:val="0"/>
        <w:bidi w:val="0"/>
        <w:snapToGrid/>
        <w:spacing w:line="360" w:lineRule="exact"/>
        <w:ind w:firstLine="480" w:firstLineChars="200"/>
        <w:textAlignment w:val="auto"/>
        <w:rPr>
          <w:rFonts w:hint="default" w:ascii="仿宋" w:hAnsi="仿宋" w:eastAsia="仿宋"/>
          <w:color w:val="000000" w:themeColor="text1"/>
          <w:sz w:val="24"/>
          <w:szCs w:val="24"/>
          <w:u w:val="single"/>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合同履行期限：</w:t>
      </w:r>
      <w:r>
        <w:rPr>
          <w:rFonts w:hint="eastAsia" w:ascii="仿宋" w:hAnsi="仿宋" w:eastAsia="仿宋"/>
          <w:color w:val="000000" w:themeColor="text1"/>
          <w:sz w:val="24"/>
          <w:szCs w:val="24"/>
          <w:lang w:eastAsia="zh-CN"/>
          <w14:textFill>
            <w14:solidFill>
              <w14:schemeClr w14:val="tx1"/>
            </w14:solidFill>
          </w14:textFill>
        </w:rPr>
        <w:t>根据业主要求</w:t>
      </w:r>
      <w:r>
        <w:rPr>
          <w:rFonts w:hint="eastAsia" w:ascii="仿宋" w:hAnsi="仿宋" w:eastAsia="仿宋"/>
          <w:color w:val="000000" w:themeColor="text1"/>
          <w:sz w:val="24"/>
          <w:szCs w:val="24"/>
          <w:lang w:val="en-US" w:eastAsia="zh-CN"/>
          <w14:textFill>
            <w14:solidFill>
              <w14:schemeClr w14:val="tx1"/>
            </w14:solidFill>
          </w14:textFill>
        </w:rPr>
        <w:t>。</w:t>
      </w:r>
    </w:p>
    <w:p>
      <w:pPr>
        <w:pageBreakBefore w:val="0"/>
        <w:widowControl w:val="0"/>
        <w:kinsoku/>
        <w:wordWrap/>
        <w:overflowPunct/>
        <w:topLinePunct w:val="0"/>
        <w:bidi w:val="0"/>
        <w:snapToGrid/>
        <w:spacing w:line="360" w:lineRule="exact"/>
        <w:textAlignment w:val="auto"/>
        <w:rPr>
          <w:rFonts w:hint="eastAsia"/>
          <w:b/>
          <w:bCs/>
          <w:color w:val="auto"/>
          <w:sz w:val="28"/>
          <w:szCs w:val="28"/>
        </w:rPr>
      </w:pPr>
      <w:bookmarkStart w:id="5" w:name="_Toc35393799"/>
      <w:bookmarkStart w:id="6" w:name="_Toc28359013"/>
      <w:bookmarkStart w:id="7" w:name="_Toc35393630"/>
      <w:bookmarkStart w:id="8" w:name="_Toc28359090"/>
      <w:r>
        <w:rPr>
          <w:rFonts w:hint="eastAsia"/>
          <w:b/>
          <w:bCs/>
          <w:color w:val="auto"/>
          <w:sz w:val="28"/>
          <w:szCs w:val="28"/>
        </w:rPr>
        <w:t>二、申请人的资格要求：</w:t>
      </w:r>
      <w:bookmarkEnd w:id="5"/>
      <w:bookmarkEnd w:id="6"/>
      <w:bookmarkEnd w:id="7"/>
      <w:bookmarkEnd w:id="8"/>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bookmarkStart w:id="9" w:name="_Toc35393800"/>
      <w:bookmarkStart w:id="10" w:name="_Toc35393631"/>
      <w:bookmarkStart w:id="11" w:name="_Toc28359014"/>
      <w:bookmarkStart w:id="12" w:name="_Toc28359091"/>
      <w:r>
        <w:rPr>
          <w:rFonts w:hint="eastAsia" w:ascii="仿宋" w:hAnsi="仿宋" w:eastAsia="仿宋" w:cs="Times New Roman"/>
          <w:color w:val="auto"/>
          <w:sz w:val="24"/>
          <w:szCs w:val="24"/>
          <w:lang w:val="en-US" w:eastAsia="zh-CN"/>
        </w:rPr>
        <w:t>1.满足《中华人民共和国政府采购法》第二十二条规定；</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2.投标人必须提供经年审合格的营业执照副本；</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投标人具有房屋建筑工程施工总承包叁级及以上资质证书，且具备有效的安全生产许可证；投标人所报项目负责人需具备有效的建筑工程贰级及以上建造师执业资格证书和有效的安全考核合格证书，提供近一年依法缴纳社会保障资金的相关证明材料；自治区外省企业应具有外省进疆备案手续；</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4.有依法缴纳税收和社会保障资金的良好记录，提供近三个月依法缴纳税收的相关证明材料，如依法免税的，应提供相应文件证明其依法免税，投标人所在地最近连续三个月单位所有人员社会保险缴费证明，已退休人员需提供退休证明及劳务合同，</w:t>
      </w:r>
      <w:r>
        <w:rPr>
          <w:rFonts w:hint="eastAsia" w:ascii="仿宋" w:hAnsi="仿宋" w:eastAsia="仿宋" w:cs="仿宋"/>
          <w:szCs w:val="21"/>
          <w:highlight w:val="none"/>
          <w:lang w:val="en-US" w:eastAsia="zh-CN"/>
        </w:rPr>
        <w:t>如新成立单位不满足三个月需提供证明</w:t>
      </w:r>
      <w:r>
        <w:rPr>
          <w:rFonts w:hint="eastAsia" w:ascii="仿宋" w:hAnsi="仿宋" w:eastAsia="仿宋" w:cs="Times New Roman"/>
          <w:color w:val="auto"/>
          <w:sz w:val="24"/>
          <w:szCs w:val="24"/>
          <w:lang w:val="en-US" w:eastAsia="zh-CN"/>
        </w:rPr>
        <w:t>；</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5.具有独立承担民事责任的能力、具有良好的商业信誉和健全的财务会计制度,提供会计师事务所出具的上一年度财务审计报告/报表（包括资产负债表、损益表、利润表、现金流量表及财务状况说明书，新成立的公司提供情况说明）；</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6.法定代表人投标需携带法定代表人证明书及法定代表人身份证或委托代理人投标需携带法定代表人授权委托书及委托代理人身份证，被委托人必须是投标单位法人或正式员工，需提供最近三个月的缴纳社保证明（个人明细表，新成立时间少于三个月的公司，按实际发生提供）；</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7.供应商提供针对本次项目的《反商业贿赂承诺书》、《近三年内无重大违法记录的承诺书》；</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 未在“信用中国”网站（ www.creditchina.gov.cn ）、中国政府采购网（www.ccgp.gov.cn）、中国裁判网等渠道列入失信被执行人、重大税收违法案件当事人名单、政府采购严重违法失信行为记录名单（提供公告期内查询结果网页截图）；</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9.具有履行合同所必需的设备和专业技术能力，提供履行合同所必需的设备和专业技术能力的书面声明；</w:t>
      </w:r>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10.以上提供的复印件必须加盖投标单位公章；</w:t>
      </w:r>
    </w:p>
    <w:p>
      <w:pPr>
        <w:pageBreakBefore w:val="0"/>
        <w:widowControl w:val="0"/>
        <w:kinsoku/>
        <w:wordWrap/>
        <w:overflowPunct/>
        <w:topLinePunct w:val="0"/>
        <w:bidi w:val="0"/>
        <w:snapToGrid/>
        <w:spacing w:line="360" w:lineRule="exact"/>
        <w:textAlignment w:val="auto"/>
        <w:rPr>
          <w:rFonts w:hint="eastAsia"/>
          <w:b/>
          <w:bCs/>
          <w:color w:val="auto"/>
          <w:sz w:val="24"/>
          <w:szCs w:val="24"/>
        </w:rPr>
      </w:pPr>
      <w:r>
        <w:rPr>
          <w:rFonts w:hint="eastAsia"/>
          <w:b/>
          <w:bCs/>
          <w:color w:val="auto"/>
          <w:sz w:val="24"/>
          <w:szCs w:val="24"/>
        </w:rPr>
        <w:t>三、获取采购文件</w:t>
      </w:r>
      <w:bookmarkEnd w:id="9"/>
      <w:bookmarkEnd w:id="10"/>
      <w:bookmarkEnd w:id="11"/>
      <w:bookmarkEnd w:id="12"/>
      <w:bookmarkStart w:id="33" w:name="_GoBack"/>
      <w:bookmarkEnd w:id="33"/>
    </w:p>
    <w:p>
      <w:pPr>
        <w:pageBreakBefore w:val="0"/>
        <w:widowControl w:val="0"/>
        <w:kinsoku/>
        <w:wordWrap/>
        <w:overflowPunct/>
        <w:topLinePunct w:val="0"/>
        <w:bidi w:val="0"/>
        <w:snapToGrid/>
        <w:spacing w:line="360" w:lineRule="exact"/>
        <w:ind w:firstLine="540"/>
        <w:textAlignment w:val="auto"/>
        <w:rPr>
          <w:rFonts w:hint="default" w:ascii="仿宋" w:hAnsi="仿宋" w:eastAsia="仿宋" w:cs="宋体"/>
          <w:color w:val="auto"/>
          <w:sz w:val="24"/>
          <w:szCs w:val="24"/>
          <w:u w:val="none"/>
          <w:lang w:val="en-US" w:eastAsia="zh-CN"/>
        </w:rPr>
      </w:pPr>
      <w:r>
        <w:rPr>
          <w:rFonts w:hint="default" w:ascii="仿宋" w:hAnsi="仿宋" w:eastAsia="仿宋" w:cs="宋体"/>
          <w:color w:val="auto"/>
          <w:sz w:val="24"/>
          <w:szCs w:val="24"/>
          <w:u w:val="none"/>
          <w:lang w:val="en-US" w:eastAsia="zh-CN"/>
        </w:rPr>
        <w:t>时间：202</w:t>
      </w:r>
      <w:r>
        <w:rPr>
          <w:rFonts w:hint="eastAsia" w:ascii="仿宋" w:hAnsi="仿宋" w:eastAsia="仿宋" w:cs="宋体"/>
          <w:color w:val="auto"/>
          <w:sz w:val="24"/>
          <w:szCs w:val="24"/>
          <w:u w:val="none"/>
          <w:lang w:val="en-US" w:eastAsia="zh-CN"/>
        </w:rPr>
        <w:t>1</w:t>
      </w:r>
      <w:r>
        <w:rPr>
          <w:rFonts w:hint="default" w:ascii="仿宋" w:hAnsi="仿宋" w:eastAsia="仿宋" w:cs="宋体"/>
          <w:color w:val="auto"/>
          <w:sz w:val="24"/>
          <w:szCs w:val="24"/>
          <w:u w:val="none"/>
          <w:lang w:val="en-US" w:eastAsia="zh-CN"/>
        </w:rPr>
        <w:t>年</w:t>
      </w:r>
      <w:r>
        <w:rPr>
          <w:rFonts w:hint="eastAsia" w:ascii="仿宋" w:hAnsi="仿宋" w:eastAsia="仿宋" w:cs="宋体"/>
          <w:color w:val="auto"/>
          <w:sz w:val="24"/>
          <w:szCs w:val="24"/>
          <w:u w:val="none"/>
          <w:lang w:val="en-US" w:eastAsia="zh-CN"/>
        </w:rPr>
        <w:t>9</w:t>
      </w:r>
      <w:r>
        <w:rPr>
          <w:rFonts w:hint="default" w:ascii="仿宋" w:hAnsi="仿宋" w:eastAsia="仿宋" w:cs="宋体"/>
          <w:color w:val="auto"/>
          <w:sz w:val="24"/>
          <w:szCs w:val="24"/>
          <w:u w:val="none"/>
          <w:lang w:val="en-US" w:eastAsia="zh-CN"/>
        </w:rPr>
        <w:t>月</w:t>
      </w:r>
      <w:r>
        <w:rPr>
          <w:rFonts w:hint="eastAsia" w:ascii="仿宋" w:hAnsi="仿宋" w:eastAsia="仿宋" w:cs="宋体"/>
          <w:color w:val="auto"/>
          <w:sz w:val="24"/>
          <w:szCs w:val="24"/>
          <w:u w:val="none"/>
          <w:lang w:val="en-US" w:eastAsia="zh-CN"/>
        </w:rPr>
        <w:t>7</w:t>
      </w:r>
      <w:r>
        <w:rPr>
          <w:rFonts w:hint="default" w:ascii="仿宋" w:hAnsi="仿宋" w:eastAsia="仿宋" w:cs="宋体"/>
          <w:color w:val="auto"/>
          <w:sz w:val="24"/>
          <w:szCs w:val="24"/>
          <w:u w:val="none"/>
          <w:lang w:val="en-US" w:eastAsia="zh-CN"/>
        </w:rPr>
        <w:t>日至202</w:t>
      </w:r>
      <w:r>
        <w:rPr>
          <w:rFonts w:hint="eastAsia" w:ascii="仿宋" w:hAnsi="仿宋" w:eastAsia="仿宋" w:cs="宋体"/>
          <w:color w:val="auto"/>
          <w:sz w:val="24"/>
          <w:szCs w:val="24"/>
          <w:u w:val="none"/>
          <w:lang w:val="en-US" w:eastAsia="zh-CN"/>
        </w:rPr>
        <w:t>1</w:t>
      </w:r>
      <w:r>
        <w:rPr>
          <w:rFonts w:hint="default" w:ascii="仿宋" w:hAnsi="仿宋" w:eastAsia="仿宋" w:cs="宋体"/>
          <w:color w:val="auto"/>
          <w:sz w:val="24"/>
          <w:szCs w:val="24"/>
          <w:u w:val="none"/>
          <w:lang w:val="en-US" w:eastAsia="zh-CN"/>
        </w:rPr>
        <w:t>年</w:t>
      </w:r>
      <w:r>
        <w:rPr>
          <w:rFonts w:hint="eastAsia" w:ascii="仿宋" w:hAnsi="仿宋" w:eastAsia="仿宋" w:cs="宋体"/>
          <w:color w:val="auto"/>
          <w:sz w:val="24"/>
          <w:szCs w:val="24"/>
          <w:u w:val="none"/>
          <w:lang w:val="en-US" w:eastAsia="zh-CN"/>
        </w:rPr>
        <w:t>9</w:t>
      </w:r>
      <w:r>
        <w:rPr>
          <w:rFonts w:hint="default" w:ascii="仿宋" w:hAnsi="仿宋" w:eastAsia="仿宋" w:cs="宋体"/>
          <w:color w:val="auto"/>
          <w:sz w:val="24"/>
          <w:szCs w:val="24"/>
          <w:u w:val="none"/>
          <w:lang w:val="en-US" w:eastAsia="zh-CN"/>
        </w:rPr>
        <w:t>月</w:t>
      </w:r>
      <w:r>
        <w:rPr>
          <w:rFonts w:hint="eastAsia" w:ascii="仿宋" w:hAnsi="仿宋" w:eastAsia="仿宋" w:cs="宋体"/>
          <w:color w:val="auto"/>
          <w:sz w:val="24"/>
          <w:szCs w:val="24"/>
          <w:u w:val="none"/>
          <w:lang w:val="en-US" w:eastAsia="zh-CN"/>
        </w:rPr>
        <w:t>10</w:t>
      </w:r>
      <w:r>
        <w:rPr>
          <w:rFonts w:hint="default" w:ascii="仿宋" w:hAnsi="仿宋" w:eastAsia="仿宋" w:cs="宋体"/>
          <w:color w:val="auto"/>
          <w:sz w:val="24"/>
          <w:szCs w:val="24"/>
          <w:u w:val="none"/>
          <w:lang w:val="en-US" w:eastAsia="zh-CN"/>
        </w:rPr>
        <w:t>日，每天上午</w:t>
      </w:r>
      <w:r>
        <w:rPr>
          <w:rFonts w:hint="eastAsia" w:ascii="仿宋" w:hAnsi="仿宋" w:eastAsia="仿宋" w:cs="宋体"/>
          <w:color w:val="auto"/>
          <w:sz w:val="24"/>
          <w:szCs w:val="24"/>
          <w:u w:val="none"/>
          <w:lang w:val="en-US" w:eastAsia="zh-CN"/>
        </w:rPr>
        <w:t>1</w:t>
      </w:r>
      <w:r>
        <w:rPr>
          <w:rFonts w:hint="default" w:ascii="仿宋" w:hAnsi="仿宋" w:eastAsia="仿宋" w:cs="宋体"/>
          <w:color w:val="auto"/>
          <w:sz w:val="24"/>
          <w:szCs w:val="24"/>
          <w:u w:val="none"/>
          <w:lang w:val="en-US" w:eastAsia="zh-CN"/>
        </w:rPr>
        <w:t>0:00至12:00，下午12:00至23:59（北京时间，法定节假日除外）</w:t>
      </w:r>
    </w:p>
    <w:p>
      <w:pPr>
        <w:pageBreakBefore w:val="0"/>
        <w:widowControl w:val="0"/>
        <w:kinsoku/>
        <w:wordWrap/>
        <w:overflowPunct/>
        <w:topLinePunct w:val="0"/>
        <w:bidi w:val="0"/>
        <w:snapToGrid/>
        <w:spacing w:line="360" w:lineRule="exact"/>
        <w:ind w:firstLine="540"/>
        <w:textAlignment w:val="auto"/>
        <w:rPr>
          <w:rFonts w:hint="default" w:ascii="仿宋" w:hAnsi="仿宋" w:eastAsia="仿宋" w:cs="宋体"/>
          <w:color w:val="auto"/>
          <w:sz w:val="24"/>
          <w:szCs w:val="24"/>
          <w:u w:val="none"/>
          <w:lang w:val="en-US" w:eastAsia="zh-CN"/>
        </w:rPr>
      </w:pPr>
      <w:r>
        <w:rPr>
          <w:rFonts w:hint="default" w:ascii="仿宋" w:hAnsi="仿宋" w:eastAsia="仿宋" w:cs="宋体"/>
          <w:color w:val="auto"/>
          <w:sz w:val="24"/>
          <w:szCs w:val="24"/>
          <w:u w:val="none"/>
          <w:lang w:val="en-US" w:eastAsia="zh-CN"/>
        </w:rPr>
        <w:t>地点：新疆政府采购网（http://www.ccgp-xinjiang.gov.cn/）</w:t>
      </w:r>
    </w:p>
    <w:p>
      <w:pPr>
        <w:pageBreakBefore w:val="0"/>
        <w:widowControl w:val="0"/>
        <w:kinsoku/>
        <w:wordWrap/>
        <w:overflowPunct/>
        <w:topLinePunct w:val="0"/>
        <w:bidi w:val="0"/>
        <w:snapToGrid/>
        <w:spacing w:line="360" w:lineRule="exact"/>
        <w:ind w:firstLine="540"/>
        <w:textAlignment w:val="auto"/>
        <w:rPr>
          <w:rFonts w:hint="eastAsia" w:ascii="仿宋" w:hAnsi="仿宋" w:eastAsia="仿宋" w:cs="宋体"/>
          <w:color w:val="auto"/>
          <w:sz w:val="24"/>
          <w:szCs w:val="24"/>
          <w:u w:val="none"/>
          <w:lang w:val="en-US" w:eastAsia="zh-CN"/>
        </w:rPr>
      </w:pPr>
      <w:r>
        <w:rPr>
          <w:rFonts w:hint="default" w:ascii="仿宋" w:hAnsi="仿宋" w:eastAsia="仿宋" w:cs="宋体"/>
          <w:color w:val="auto"/>
          <w:sz w:val="24"/>
          <w:szCs w:val="24"/>
          <w:u w:val="none"/>
          <w:lang w:val="en-US" w:eastAsia="zh-CN"/>
        </w:rPr>
        <w:t>方式：</w:t>
      </w:r>
      <w:r>
        <w:rPr>
          <w:rFonts w:hint="eastAsia" w:ascii="仿宋" w:hAnsi="仿宋" w:eastAsia="仿宋" w:cs="宋体"/>
          <w:color w:val="auto"/>
          <w:sz w:val="24"/>
          <w:szCs w:val="24"/>
          <w:u w:val="none"/>
          <w:lang w:val="en-US" w:eastAsia="zh-CN"/>
        </w:rPr>
        <w:fldChar w:fldCharType="begin"/>
      </w:r>
      <w:r>
        <w:rPr>
          <w:rFonts w:hint="eastAsia" w:ascii="仿宋" w:hAnsi="仿宋" w:eastAsia="仿宋" w:cs="宋体"/>
          <w:color w:val="auto"/>
          <w:sz w:val="24"/>
          <w:szCs w:val="24"/>
          <w:u w:val="none"/>
          <w:lang w:val="en-US" w:eastAsia="zh-CN"/>
        </w:rPr>
        <w:instrText xml:space="preserve"> HYPERLINK "mailto:\“报名资料PDF版\”发至我司（3142418527@qq.com）邮箱，未按规定时间发送报名资料或填写内容有误的，造成的损失由投标人自行承担。" </w:instrText>
      </w:r>
      <w:r>
        <w:rPr>
          <w:rFonts w:hint="eastAsia" w:ascii="仿宋" w:hAnsi="仿宋" w:eastAsia="仿宋" w:cs="宋体"/>
          <w:color w:val="auto"/>
          <w:sz w:val="24"/>
          <w:szCs w:val="24"/>
          <w:u w:val="none"/>
          <w:lang w:val="en-US" w:eastAsia="zh-CN"/>
        </w:rPr>
        <w:fldChar w:fldCharType="separate"/>
      </w:r>
      <w:r>
        <w:rPr>
          <w:rFonts w:hint="eastAsia" w:ascii="仿宋" w:hAnsi="仿宋" w:eastAsia="仿宋" w:cs="宋体"/>
          <w:color w:val="auto"/>
          <w:sz w:val="24"/>
          <w:szCs w:val="24"/>
          <w:u w:val="none"/>
          <w:lang w:val="en-US" w:eastAsia="zh-CN"/>
        </w:rPr>
        <w:t>“报名资料PDF版”发至我司（2932909202@qq.com）邮箱，未按规定时间发送报名资料或填写内容有误的，造成的损失由投标人自行承担。</w:t>
      </w:r>
      <w:r>
        <w:rPr>
          <w:rFonts w:hint="eastAsia" w:ascii="仿宋" w:hAnsi="仿宋" w:eastAsia="仿宋" w:cs="宋体"/>
          <w:color w:val="auto"/>
          <w:sz w:val="24"/>
          <w:szCs w:val="24"/>
          <w:u w:val="none"/>
          <w:lang w:val="en-US" w:eastAsia="zh-CN"/>
        </w:rPr>
        <w:fldChar w:fldCharType="end"/>
      </w:r>
    </w:p>
    <w:p>
      <w:pPr>
        <w:pageBreakBefore w:val="0"/>
        <w:widowControl w:val="0"/>
        <w:kinsoku/>
        <w:wordWrap/>
        <w:overflowPunct/>
        <w:topLinePunct w:val="0"/>
        <w:bidi w:val="0"/>
        <w:snapToGrid/>
        <w:spacing w:line="360" w:lineRule="exact"/>
        <w:ind w:firstLine="540"/>
        <w:textAlignment w:val="auto"/>
        <w:rPr>
          <w:rFonts w:hint="default" w:ascii="仿宋" w:hAnsi="仿宋" w:eastAsia="仿宋" w:cs="宋体"/>
          <w:color w:val="auto"/>
          <w:sz w:val="24"/>
          <w:szCs w:val="24"/>
          <w:u w:val="none"/>
          <w:lang w:val="en-US" w:eastAsia="zh-CN"/>
        </w:rPr>
      </w:pPr>
      <w:r>
        <w:rPr>
          <w:rFonts w:hint="default" w:ascii="仿宋" w:hAnsi="仿宋" w:eastAsia="仿宋" w:cs="宋体"/>
          <w:color w:val="auto"/>
          <w:sz w:val="24"/>
          <w:szCs w:val="24"/>
          <w:u w:val="none"/>
          <w:lang w:val="en-US" w:eastAsia="zh-CN"/>
        </w:rPr>
        <w:t>售价：200元/份</w:t>
      </w:r>
    </w:p>
    <w:p>
      <w:pPr>
        <w:pageBreakBefore w:val="0"/>
        <w:widowControl w:val="0"/>
        <w:kinsoku/>
        <w:wordWrap/>
        <w:overflowPunct/>
        <w:topLinePunct w:val="0"/>
        <w:bidi w:val="0"/>
        <w:snapToGrid/>
        <w:spacing w:line="360" w:lineRule="exact"/>
        <w:textAlignment w:val="auto"/>
        <w:rPr>
          <w:rFonts w:hint="eastAsia"/>
          <w:b/>
          <w:bCs/>
          <w:color w:val="auto"/>
          <w:sz w:val="24"/>
          <w:szCs w:val="24"/>
          <w:u w:val="none"/>
        </w:rPr>
      </w:pPr>
      <w:bookmarkStart w:id="13" w:name="_Toc35393632"/>
      <w:bookmarkStart w:id="14" w:name="_Toc28359015"/>
      <w:bookmarkStart w:id="15" w:name="_Toc28359092"/>
      <w:bookmarkStart w:id="16" w:name="_Toc35393801"/>
      <w:r>
        <w:rPr>
          <w:rFonts w:hint="eastAsia"/>
          <w:b/>
          <w:bCs/>
          <w:color w:val="auto"/>
          <w:sz w:val="24"/>
          <w:szCs w:val="24"/>
          <w:u w:val="none"/>
        </w:rPr>
        <w:t>四、响应文件提交</w:t>
      </w:r>
      <w:bookmarkEnd w:id="13"/>
      <w:bookmarkEnd w:id="14"/>
      <w:bookmarkEnd w:id="15"/>
      <w:bookmarkEnd w:id="16"/>
    </w:p>
    <w:p>
      <w:pPr>
        <w:pageBreakBefore w:val="0"/>
        <w:widowControl w:val="0"/>
        <w:kinsoku/>
        <w:wordWrap/>
        <w:overflowPunct/>
        <w:topLinePunct w:val="0"/>
        <w:bidi w:val="0"/>
        <w:snapToGrid/>
        <w:spacing w:line="360" w:lineRule="exact"/>
        <w:ind w:firstLine="480" w:firstLineChars="200"/>
        <w:textAlignment w:val="auto"/>
        <w:rPr>
          <w:rFonts w:hint="eastAsia" w:ascii="仿宋" w:hAnsi="仿宋" w:eastAsia="仿宋"/>
          <w:bCs/>
          <w:color w:val="auto"/>
          <w:sz w:val="24"/>
          <w:szCs w:val="24"/>
        </w:rPr>
      </w:pPr>
      <w:r>
        <w:rPr>
          <w:rFonts w:hint="eastAsia" w:ascii="仿宋" w:hAnsi="仿宋" w:eastAsia="仿宋"/>
          <w:color w:val="auto"/>
          <w:sz w:val="24"/>
          <w:szCs w:val="24"/>
          <w:u w:val="none"/>
        </w:rPr>
        <w:t>截止时间：</w:t>
      </w:r>
      <w:r>
        <w:rPr>
          <w:rFonts w:hint="eastAsia" w:ascii="仿宋" w:hAnsi="仿宋" w:eastAsia="仿宋"/>
          <w:color w:val="auto"/>
          <w:sz w:val="24"/>
          <w:szCs w:val="24"/>
          <w:u w:val="none"/>
          <w:lang w:val="en-US" w:eastAsia="zh-CN"/>
        </w:rPr>
        <w:t>2021</w:t>
      </w:r>
      <w:r>
        <w:rPr>
          <w:rFonts w:hint="eastAsia" w:ascii="仿宋" w:hAnsi="仿宋" w:eastAsia="仿宋"/>
          <w:bCs/>
          <w:color w:val="auto"/>
          <w:sz w:val="24"/>
          <w:szCs w:val="24"/>
          <w:u w:val="none"/>
        </w:rPr>
        <w:t>年</w:t>
      </w:r>
      <w:r>
        <w:rPr>
          <w:rFonts w:hint="eastAsia" w:ascii="仿宋" w:hAnsi="仿宋" w:eastAsia="仿宋"/>
          <w:bCs/>
          <w:color w:val="auto"/>
          <w:sz w:val="24"/>
          <w:szCs w:val="24"/>
          <w:u w:val="none"/>
          <w:lang w:val="en-US" w:eastAsia="zh-CN"/>
        </w:rPr>
        <w:t>9</w:t>
      </w:r>
      <w:r>
        <w:rPr>
          <w:rFonts w:hint="eastAsia" w:ascii="仿宋" w:hAnsi="仿宋" w:eastAsia="仿宋"/>
          <w:bCs/>
          <w:color w:val="auto"/>
          <w:sz w:val="24"/>
          <w:szCs w:val="24"/>
          <w:u w:val="none"/>
        </w:rPr>
        <w:t>月</w:t>
      </w:r>
      <w:r>
        <w:rPr>
          <w:rFonts w:hint="eastAsia" w:ascii="仿宋" w:hAnsi="仿宋" w:eastAsia="仿宋"/>
          <w:bCs/>
          <w:color w:val="auto"/>
          <w:sz w:val="24"/>
          <w:szCs w:val="24"/>
          <w:u w:val="none"/>
          <w:lang w:val="en-US" w:eastAsia="zh-CN"/>
        </w:rPr>
        <w:t>14</w:t>
      </w:r>
      <w:r>
        <w:rPr>
          <w:rFonts w:hint="eastAsia" w:ascii="仿宋" w:hAnsi="仿宋" w:eastAsia="仿宋"/>
          <w:bCs/>
          <w:color w:val="auto"/>
          <w:sz w:val="24"/>
          <w:szCs w:val="24"/>
          <w:u w:val="none"/>
        </w:rPr>
        <w:t>日</w:t>
      </w:r>
      <w:r>
        <w:rPr>
          <w:rFonts w:hint="eastAsia" w:ascii="仿宋" w:hAnsi="仿宋" w:eastAsia="仿宋"/>
          <w:bCs/>
          <w:color w:val="auto"/>
          <w:sz w:val="24"/>
          <w:szCs w:val="24"/>
          <w:u w:val="none"/>
          <w:lang w:val="en-US" w:eastAsia="zh-CN"/>
        </w:rPr>
        <w:t>16</w:t>
      </w:r>
      <w:r>
        <w:rPr>
          <w:rFonts w:hint="eastAsia" w:ascii="仿宋" w:hAnsi="仿宋" w:eastAsia="仿宋"/>
          <w:bCs/>
          <w:color w:val="auto"/>
          <w:sz w:val="24"/>
          <w:szCs w:val="24"/>
          <w:u w:val="none"/>
        </w:rPr>
        <w:t>点</w:t>
      </w:r>
      <w:r>
        <w:rPr>
          <w:rFonts w:hint="eastAsia" w:ascii="仿宋" w:hAnsi="仿宋" w:eastAsia="仿宋"/>
          <w:bCs/>
          <w:color w:val="auto"/>
          <w:sz w:val="24"/>
          <w:szCs w:val="24"/>
          <w:u w:val="none"/>
          <w:lang w:val="en-US" w:eastAsia="zh-CN"/>
        </w:rPr>
        <w:t>00</w:t>
      </w:r>
      <w:r>
        <w:rPr>
          <w:rFonts w:hint="eastAsia" w:ascii="仿宋" w:hAnsi="仿宋" w:eastAsia="仿宋"/>
          <w:bCs/>
          <w:color w:val="auto"/>
          <w:sz w:val="24"/>
          <w:szCs w:val="24"/>
          <w:u w:val="none"/>
        </w:rPr>
        <w:t>分（北京时间）</w:t>
      </w:r>
      <w:r>
        <w:rPr>
          <w:rFonts w:hint="eastAsia" w:ascii="仿宋" w:hAnsi="仿宋" w:eastAsia="仿宋"/>
          <w:bCs/>
          <w:color w:val="auto"/>
          <w:sz w:val="24"/>
          <w:szCs w:val="24"/>
          <w:u w:val="none"/>
          <w:lang w:eastAsia="zh-CN"/>
        </w:rPr>
        <w:t xml:space="preserve"> </w:t>
      </w:r>
    </w:p>
    <w:p>
      <w:pPr>
        <w:pageBreakBefore w:val="0"/>
        <w:widowControl w:val="0"/>
        <w:kinsoku/>
        <w:wordWrap/>
        <w:overflowPunct/>
        <w:topLinePunct w:val="0"/>
        <w:bidi w:val="0"/>
        <w:snapToGrid/>
        <w:spacing w:line="360" w:lineRule="exac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rPr>
        <w:t>地点：</w:t>
      </w:r>
      <w:bookmarkStart w:id="17" w:name="_Toc35393803"/>
      <w:bookmarkStart w:id="18" w:name="_Toc35393634"/>
      <w:bookmarkStart w:id="19" w:name="_Toc28359094"/>
      <w:bookmarkStart w:id="20" w:name="_Toc28359017"/>
      <w:r>
        <w:rPr>
          <w:rFonts w:hint="eastAsia" w:ascii="仿宋" w:hAnsi="仿宋" w:eastAsia="仿宋"/>
          <w:color w:val="auto"/>
          <w:sz w:val="24"/>
          <w:szCs w:val="24"/>
        </w:rPr>
        <w:t>:</w:t>
      </w:r>
      <w:r>
        <w:rPr>
          <w:rFonts w:hint="eastAsia" w:ascii="仿宋" w:hAnsi="仿宋" w:eastAsia="仿宋"/>
          <w:color w:val="auto"/>
          <w:sz w:val="24"/>
          <w:szCs w:val="24"/>
          <w:highlight w:val="none"/>
          <w:lang w:val="en-US" w:eastAsia="zh-CN"/>
        </w:rPr>
        <w:t>新疆乌鲁木齐市水磨沟区南湖东路372号（江苏大厦A座）综合楼1栋10层 1017。</w:t>
      </w:r>
    </w:p>
    <w:p>
      <w:pPr>
        <w:pageBreakBefore w:val="0"/>
        <w:widowControl w:val="0"/>
        <w:kinsoku/>
        <w:wordWrap/>
        <w:overflowPunct/>
        <w:topLinePunct w:val="0"/>
        <w:bidi w:val="0"/>
        <w:snapToGrid/>
        <w:spacing w:line="360" w:lineRule="exact"/>
        <w:textAlignment w:val="auto"/>
        <w:rPr>
          <w:rFonts w:hint="eastAsia"/>
          <w:b/>
          <w:bCs/>
          <w:color w:val="auto"/>
          <w:sz w:val="24"/>
          <w:szCs w:val="24"/>
        </w:rPr>
      </w:pPr>
      <w:r>
        <w:rPr>
          <w:rFonts w:hint="eastAsia"/>
          <w:b/>
          <w:bCs/>
          <w:color w:val="auto"/>
          <w:sz w:val="24"/>
          <w:szCs w:val="24"/>
          <w:lang w:eastAsia="zh-CN"/>
        </w:rPr>
        <w:t>五</w:t>
      </w:r>
      <w:r>
        <w:rPr>
          <w:rFonts w:hint="eastAsia"/>
          <w:b/>
          <w:bCs/>
          <w:color w:val="auto"/>
          <w:sz w:val="24"/>
          <w:szCs w:val="24"/>
        </w:rPr>
        <w:t>、公告期限</w:t>
      </w:r>
      <w:bookmarkEnd w:id="17"/>
      <w:bookmarkEnd w:id="18"/>
      <w:bookmarkEnd w:id="19"/>
      <w:bookmarkEnd w:id="20"/>
    </w:p>
    <w:p>
      <w:pPr>
        <w:pageBreakBefore w:val="0"/>
        <w:widowControl w:val="0"/>
        <w:kinsoku/>
        <w:wordWrap/>
        <w:overflowPunct/>
        <w:topLinePunct w:val="0"/>
        <w:bidi w:val="0"/>
        <w:snapToGrid/>
        <w:spacing w:line="360" w:lineRule="exact"/>
        <w:ind w:firstLine="480" w:firstLineChars="200"/>
        <w:textAlignment w:val="auto"/>
        <w:rPr>
          <w:rFonts w:ascii="仿宋" w:hAnsi="仿宋" w:eastAsia="仿宋" w:cs="宋体"/>
          <w:color w:val="auto"/>
          <w:kern w:val="0"/>
          <w:sz w:val="24"/>
          <w:szCs w:val="24"/>
        </w:rPr>
      </w:pPr>
      <w:r>
        <w:rPr>
          <w:rFonts w:hint="eastAsia" w:ascii="仿宋" w:hAnsi="仿宋" w:eastAsia="仿宋" w:cs="宋体"/>
          <w:color w:val="auto"/>
          <w:kern w:val="0"/>
          <w:sz w:val="24"/>
          <w:szCs w:val="24"/>
        </w:rPr>
        <w:t>自本公告发布之日起3个工作日。</w:t>
      </w:r>
    </w:p>
    <w:p>
      <w:pPr>
        <w:pageBreakBefore w:val="0"/>
        <w:widowControl w:val="0"/>
        <w:numPr>
          <w:ilvl w:val="0"/>
          <w:numId w:val="1"/>
        </w:numPr>
        <w:kinsoku/>
        <w:wordWrap/>
        <w:overflowPunct/>
        <w:topLinePunct w:val="0"/>
        <w:bidi w:val="0"/>
        <w:snapToGrid/>
        <w:spacing w:line="360" w:lineRule="exact"/>
        <w:textAlignment w:val="auto"/>
        <w:rPr>
          <w:rFonts w:hint="eastAsia"/>
          <w:b/>
          <w:bCs/>
          <w:color w:val="auto"/>
          <w:sz w:val="24"/>
          <w:szCs w:val="24"/>
          <w:lang w:eastAsia="zh-CN"/>
        </w:rPr>
      </w:pPr>
      <w:bookmarkStart w:id="21" w:name="_Toc28359095"/>
      <w:bookmarkStart w:id="22" w:name="_Toc35393805"/>
      <w:bookmarkStart w:id="23" w:name="_Toc28359018"/>
      <w:bookmarkStart w:id="24" w:name="_Toc35393636"/>
      <w:r>
        <w:rPr>
          <w:rFonts w:hint="eastAsia"/>
          <w:b/>
          <w:bCs/>
          <w:color w:val="auto"/>
          <w:sz w:val="24"/>
          <w:szCs w:val="24"/>
          <w:lang w:eastAsia="zh-CN"/>
        </w:rPr>
        <w:t>其他补充事宜</w:t>
      </w:r>
    </w:p>
    <w:p>
      <w:pPr>
        <w:pageBreakBefore w:val="0"/>
        <w:widowControl w:val="0"/>
        <w:kinsoku/>
        <w:wordWrap/>
        <w:overflowPunct/>
        <w:topLinePunct w:val="0"/>
        <w:bidi w:val="0"/>
        <w:snapToGrid/>
        <w:spacing w:line="360" w:lineRule="exact"/>
        <w:textAlignment w:val="auto"/>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无</w:t>
      </w:r>
    </w:p>
    <w:p>
      <w:pPr>
        <w:pageBreakBefore w:val="0"/>
        <w:widowControl w:val="0"/>
        <w:kinsoku/>
        <w:wordWrap/>
        <w:overflowPunct/>
        <w:topLinePunct w:val="0"/>
        <w:bidi w:val="0"/>
        <w:snapToGrid/>
        <w:spacing w:line="360" w:lineRule="exact"/>
        <w:textAlignment w:val="auto"/>
        <w:rPr>
          <w:b/>
          <w:bCs/>
          <w:color w:val="auto"/>
          <w:sz w:val="24"/>
          <w:szCs w:val="24"/>
        </w:rPr>
      </w:pPr>
      <w:r>
        <w:rPr>
          <w:rFonts w:hint="eastAsia"/>
          <w:b/>
          <w:bCs/>
          <w:color w:val="auto"/>
          <w:sz w:val="24"/>
          <w:szCs w:val="24"/>
          <w:lang w:eastAsia="zh-CN"/>
        </w:rPr>
        <w:t>七</w:t>
      </w:r>
      <w:r>
        <w:rPr>
          <w:rFonts w:hint="eastAsia"/>
          <w:b/>
          <w:bCs/>
          <w:color w:val="auto"/>
          <w:sz w:val="24"/>
          <w:szCs w:val="24"/>
        </w:rPr>
        <w:t>、凡对本次采购提出询问，请按</w:t>
      </w:r>
      <w:r>
        <w:rPr>
          <w:b/>
          <w:bCs/>
          <w:color w:val="auto"/>
          <w:sz w:val="24"/>
          <w:szCs w:val="24"/>
        </w:rPr>
        <w:t>以下方式</w:t>
      </w:r>
      <w:r>
        <w:rPr>
          <w:rFonts w:hint="eastAsia"/>
          <w:b/>
          <w:bCs/>
          <w:color w:val="auto"/>
          <w:sz w:val="24"/>
          <w:szCs w:val="24"/>
        </w:rPr>
        <w:t>联系。</w:t>
      </w:r>
      <w:bookmarkEnd w:id="21"/>
      <w:bookmarkEnd w:id="22"/>
      <w:bookmarkEnd w:id="23"/>
      <w:bookmarkEnd w:id="24"/>
    </w:p>
    <w:p>
      <w:pPr>
        <w:pageBreakBefore w:val="0"/>
        <w:widowControl w:val="0"/>
        <w:kinsoku/>
        <w:wordWrap/>
        <w:overflowPunct/>
        <w:topLinePunct w:val="0"/>
        <w:bidi w:val="0"/>
        <w:snapToGrid/>
        <w:spacing w:line="480" w:lineRule="auto"/>
        <w:textAlignment w:val="auto"/>
        <w:rPr>
          <w:rFonts w:hint="eastAsia" w:ascii="仿宋" w:hAnsi="仿宋" w:eastAsia="仿宋" w:cs="Times New Roman"/>
          <w:color w:val="auto"/>
          <w:sz w:val="24"/>
          <w:szCs w:val="24"/>
          <w:highlight w:val="none"/>
          <w:lang w:val="en-US" w:eastAsia="zh-CN"/>
        </w:rPr>
      </w:pPr>
      <w:bookmarkStart w:id="25" w:name="_Toc35393806"/>
      <w:bookmarkStart w:id="26" w:name="_Toc35393637"/>
      <w:bookmarkStart w:id="27" w:name="_Toc28359019"/>
      <w:bookmarkStart w:id="28" w:name="_Toc28359096"/>
      <w:r>
        <w:rPr>
          <w:rFonts w:hint="eastAsia" w:ascii="仿宋" w:hAnsi="仿宋" w:eastAsia="仿宋" w:cs="Times New Roman"/>
          <w:color w:val="auto"/>
          <w:sz w:val="24"/>
          <w:szCs w:val="24"/>
          <w:highlight w:val="none"/>
          <w:lang w:val="en-US" w:eastAsia="zh-CN"/>
        </w:rPr>
        <w:t>1.采购人信息</w:t>
      </w:r>
      <w:bookmarkEnd w:id="25"/>
      <w:bookmarkEnd w:id="26"/>
      <w:bookmarkEnd w:id="27"/>
      <w:bookmarkEnd w:id="28"/>
    </w:p>
    <w:p>
      <w:pPr>
        <w:pageBreakBefore w:val="0"/>
        <w:widowControl w:val="0"/>
        <w:kinsoku/>
        <w:wordWrap/>
        <w:overflowPunct/>
        <w:topLinePunct w:val="0"/>
        <w:bidi w:val="0"/>
        <w:snapToGrid/>
        <w:spacing w:line="480" w:lineRule="auto"/>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名    称：新疆维吾尔自治区总工会　</w:t>
      </w:r>
    </w:p>
    <w:p>
      <w:pPr>
        <w:pageBreakBefore w:val="0"/>
        <w:widowControl w:val="0"/>
        <w:kinsoku/>
        <w:wordWrap/>
        <w:overflowPunct/>
        <w:topLinePunct w:val="0"/>
        <w:bidi w:val="0"/>
        <w:snapToGrid/>
        <w:spacing w:line="480" w:lineRule="auto"/>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地    址：乌市天山区体育馆路101号</w:t>
      </w:r>
    </w:p>
    <w:p>
      <w:pPr>
        <w:pageBreakBefore w:val="0"/>
        <w:widowControl w:val="0"/>
        <w:kinsoku/>
        <w:wordWrap/>
        <w:overflowPunct/>
        <w:topLinePunct w:val="0"/>
        <w:bidi w:val="0"/>
        <w:snapToGrid/>
        <w:spacing w:line="480" w:lineRule="auto"/>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联系方式：张亮     15099676393 </w:t>
      </w:r>
    </w:p>
    <w:p>
      <w:pPr>
        <w:pageBreakBefore w:val="0"/>
        <w:widowControl w:val="0"/>
        <w:kinsoku/>
        <w:wordWrap/>
        <w:overflowPunct/>
        <w:topLinePunct w:val="0"/>
        <w:bidi w:val="0"/>
        <w:snapToGrid/>
        <w:spacing w:line="480" w:lineRule="auto"/>
        <w:textAlignment w:val="auto"/>
        <w:rPr>
          <w:rFonts w:hint="eastAsia" w:ascii="仿宋" w:hAnsi="仿宋" w:eastAsia="仿宋" w:cs="Times New Roman"/>
          <w:color w:val="auto"/>
          <w:sz w:val="24"/>
          <w:szCs w:val="24"/>
          <w:highlight w:val="none"/>
          <w:lang w:val="en-US" w:eastAsia="zh-CN"/>
        </w:rPr>
      </w:pPr>
    </w:p>
    <w:p>
      <w:pPr>
        <w:pageBreakBefore w:val="0"/>
        <w:widowControl w:val="0"/>
        <w:kinsoku/>
        <w:wordWrap/>
        <w:overflowPunct/>
        <w:topLinePunct w:val="0"/>
        <w:bidi w:val="0"/>
        <w:snapToGrid/>
        <w:spacing w:line="480" w:lineRule="auto"/>
        <w:textAlignment w:val="auto"/>
        <w:rPr>
          <w:rFonts w:hint="eastAsia" w:ascii="仿宋" w:hAnsi="仿宋" w:eastAsia="仿宋" w:cs="Times New Roman"/>
          <w:color w:val="auto"/>
          <w:sz w:val="24"/>
          <w:szCs w:val="24"/>
          <w:highlight w:val="none"/>
          <w:lang w:val="en-US" w:eastAsia="zh-CN"/>
        </w:rPr>
      </w:pPr>
      <w:bookmarkStart w:id="29" w:name="_Toc28359097"/>
      <w:bookmarkStart w:id="30" w:name="_Toc35393807"/>
      <w:bookmarkStart w:id="31" w:name="_Toc35393638"/>
      <w:bookmarkStart w:id="32" w:name="_Toc28359020"/>
      <w:r>
        <w:rPr>
          <w:rFonts w:hint="eastAsia" w:ascii="仿宋" w:hAnsi="仿宋" w:eastAsia="仿宋" w:cs="Times New Roman"/>
          <w:color w:val="auto"/>
          <w:sz w:val="24"/>
          <w:szCs w:val="24"/>
          <w:highlight w:val="none"/>
          <w:lang w:val="en-US" w:eastAsia="zh-CN"/>
        </w:rPr>
        <w:t>2.采购代理机构信息</w:t>
      </w:r>
      <w:bookmarkEnd w:id="29"/>
      <w:bookmarkEnd w:id="30"/>
      <w:bookmarkEnd w:id="31"/>
      <w:bookmarkEnd w:id="32"/>
    </w:p>
    <w:p>
      <w:pPr>
        <w:pageBreakBefore w:val="0"/>
        <w:widowControl w:val="0"/>
        <w:kinsoku/>
        <w:wordWrap/>
        <w:overflowPunct/>
        <w:topLinePunct w:val="0"/>
        <w:bidi w:val="0"/>
        <w:snapToGrid/>
        <w:spacing w:line="480" w:lineRule="auto"/>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名    称：新疆众诚易盛工程项目管理有限公司</w:t>
      </w:r>
    </w:p>
    <w:p>
      <w:pPr>
        <w:pageBreakBefore w:val="0"/>
        <w:widowControl w:val="0"/>
        <w:kinsoku/>
        <w:wordWrap/>
        <w:overflowPunct/>
        <w:topLinePunct w:val="0"/>
        <w:bidi w:val="0"/>
        <w:snapToGrid/>
        <w:spacing w:line="480" w:lineRule="auto"/>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地　　址：新疆乌鲁木齐市水磨沟区丽景中央城10号1505室</w:t>
      </w:r>
    </w:p>
    <w:p>
      <w:pPr>
        <w:pageBreakBefore w:val="0"/>
        <w:widowControl w:val="0"/>
        <w:kinsoku/>
        <w:wordWrap/>
        <w:overflowPunct/>
        <w:topLinePunct w:val="0"/>
        <w:bidi w:val="0"/>
        <w:snapToGrid/>
        <w:spacing w:line="480" w:lineRule="auto"/>
        <w:textAlignment w:val="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联系方式：王工       0991-8285777</w:t>
      </w: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AA6A0"/>
    <w:multiLevelType w:val="singleLevel"/>
    <w:tmpl w:val="96DAA6A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65F79"/>
    <w:rsid w:val="58FE2F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b/>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2021-02-10T20:56:00Z</dcterms:created>
  <dc:creator>一个小男男</dc:creator>
  <cp:lastModifiedBy>一个小男男</cp:lastModifiedBy>
  <dcterms:modified xsi:type="dcterms:W3CDTF">2021-09-05T11:28:51Z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E6D09BF2DED64D279F7AB26ED59B7FEB</vt:lpwstr>
  </property>
</Properties>
</file>