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240" w:lineRule="atLeast"/>
        <w:ind w:left="540"/>
        <w:rPr>
          <w:rFonts w:ascii="仿宋" w:hAnsi="仿宋" w:eastAsia="仿宋"/>
        </w:rPr>
      </w:pPr>
      <w:r>
        <w:rPr>
          <w:rFonts w:hint="eastAsia" w:ascii="仿宋" w:hAnsi="仿宋" w:eastAsia="仿宋"/>
        </w:rPr>
        <w:t>投标邀请</w:t>
      </w:r>
    </w:p>
    <w:p>
      <w:pPr>
        <w:rPr>
          <w:rFonts w:ascii="仿宋" w:hAnsi="仿宋" w:eastAsia="仿宋"/>
        </w:rPr>
      </w:pPr>
    </w:p>
    <w:p>
      <w:pPr>
        <w:spacing w:line="360" w:lineRule="auto"/>
        <w:ind w:firstLine="482"/>
        <w:rPr>
          <w:rFonts w:ascii="仿宋" w:hAnsi="仿宋" w:eastAsia="仿宋"/>
          <w:sz w:val="24"/>
        </w:rPr>
      </w:pPr>
      <w:r>
        <w:rPr>
          <w:rFonts w:hint="eastAsia" w:ascii="仿宋" w:hAnsi="仿宋" w:eastAsia="仿宋" w:cs="仿宋"/>
          <w:sz w:val="24"/>
          <w:u w:val="single"/>
        </w:rPr>
        <w:t>中招国际招标有限公司</w:t>
      </w:r>
      <w:r>
        <w:rPr>
          <w:rFonts w:hint="eastAsia" w:ascii="仿宋" w:hAnsi="仿宋" w:eastAsia="仿宋" w:cs="仿宋"/>
          <w:sz w:val="24"/>
        </w:rPr>
        <w:t>受</w:t>
      </w:r>
      <w:r>
        <w:rPr>
          <w:rFonts w:hint="eastAsia" w:ascii="仿宋" w:hAnsi="仿宋" w:eastAsia="仿宋" w:cs="仿宋"/>
          <w:sz w:val="24"/>
          <w:u w:val="single"/>
        </w:rPr>
        <w:t>新疆维吾尔自治区通信管理局</w:t>
      </w:r>
      <w:r>
        <w:rPr>
          <w:rFonts w:hint="eastAsia" w:ascii="仿宋" w:hAnsi="仿宋" w:eastAsia="仿宋" w:cs="仿宋"/>
          <w:sz w:val="24"/>
        </w:rPr>
        <w:t>委托，对</w:t>
      </w:r>
      <w:r>
        <w:rPr>
          <w:rFonts w:hint="eastAsia" w:ascii="仿宋" w:hAnsi="仿宋" w:eastAsia="仿宋" w:cs="仿宋"/>
          <w:sz w:val="24"/>
          <w:u w:val="single"/>
        </w:rPr>
        <w:t>新疆维吾尔自治区2022年度电信普遍服务试点(行政村)项目</w:t>
      </w:r>
      <w:r>
        <w:rPr>
          <w:rFonts w:hint="eastAsia" w:ascii="仿宋" w:hAnsi="仿宋" w:eastAsia="仿宋" w:cs="仿宋"/>
          <w:sz w:val="24"/>
        </w:rPr>
        <w:t>进行国内公开招标。现邀请合格的投标人前来投标</w:t>
      </w:r>
      <w:r>
        <w:rPr>
          <w:rFonts w:hint="eastAsia" w:ascii="仿宋" w:hAnsi="仿宋" w:eastAsia="仿宋"/>
          <w:sz w:val="24"/>
        </w:rPr>
        <w:t>。</w:t>
      </w:r>
    </w:p>
    <w:p>
      <w:pPr>
        <w:ind w:firstLine="480"/>
        <w:rPr>
          <w:rFonts w:hint="eastAsia" w:ascii="仿宋" w:hAnsi="仿宋" w:eastAsia="仿宋" w:cs="仿宋"/>
          <w:b/>
          <w:sz w:val="24"/>
        </w:rPr>
      </w:pPr>
      <w:r>
        <w:rPr>
          <w:rFonts w:hint="eastAsia" w:ascii="仿宋" w:hAnsi="仿宋" w:eastAsia="仿宋" w:cs="仿宋"/>
          <w:b/>
          <w:sz w:val="24"/>
        </w:rPr>
        <w:t>1、招标条件</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*项目概况：</w:t>
      </w:r>
    </w:p>
    <w:p>
      <w:pPr>
        <w:tabs>
          <w:tab w:val="left" w:pos="1470"/>
        </w:tabs>
        <w:spacing w:line="360" w:lineRule="auto"/>
        <w:ind w:firstLine="480" w:firstLineChars="200"/>
        <w:rPr>
          <w:rFonts w:hint="eastAsia" w:ascii="仿宋" w:hAnsi="仿宋" w:eastAsia="仿宋" w:cs="仿宋"/>
          <w:sz w:val="24"/>
        </w:rPr>
      </w:pPr>
      <w:r>
        <w:rPr>
          <w:rFonts w:hint="eastAsia" w:ascii="仿宋" w:hAnsi="仿宋" w:eastAsia="仿宋" w:cs="仿宋"/>
          <w:color w:val="0000FF"/>
          <w:sz w:val="24"/>
          <w:highlight w:val="none"/>
        </w:rPr>
        <w:t>按照《财政部 工业和信息化部关于深入推进电信普遍服务试点工作的通知》（财建〔2018〕226号）、《工业和信息化部办公厅 财政部办公厅关于组织实施电信普遍服务试点工作的指导意见》（工信厅联通信〔2016〕34号）、财政部关于提前下达2022年电信普遍服务补助资金预算的通知（财建〔2021〕333号），工业和信息化部办公厅 财政部办公厅关于印发《2022年度电信普遍服务申报指南》的通知（工信厅联通信函〔2021〕227号），工业和信息化部办公厅关于2022年度电信普遍服务项目的复函（工厅通信〔2021〕933号），</w:t>
      </w:r>
      <w:r>
        <w:rPr>
          <w:rFonts w:hint="eastAsia" w:ascii="仿宋" w:hAnsi="仿宋" w:eastAsia="仿宋" w:cs="仿宋"/>
          <w:sz w:val="24"/>
        </w:rPr>
        <w:t>本项目已由工业和信息化部、财政部批准建设，经新疆维吾尔自治区财政厅审批，本项目试点行政村按服务类形式进行公开招标，招标人为新疆维吾尔自治区通信管理局，招标代理机构为中招国际招标有限公司。该项目建设资金来源于中央财政补助、企业自筹，并已具备招标条件，现进行国内公开招标。</w:t>
      </w:r>
    </w:p>
    <w:p>
      <w:pPr>
        <w:adjustRightInd w:val="0"/>
        <w:snapToGrid w:val="0"/>
        <w:spacing w:line="360" w:lineRule="auto"/>
        <w:ind w:firstLine="480" w:firstLineChars="200"/>
        <w:outlineLvl w:val="4"/>
        <w:rPr>
          <w:rFonts w:hint="eastAsia" w:ascii="仿宋" w:hAnsi="仿宋" w:eastAsia="仿宋" w:cs="仿宋"/>
          <w:sz w:val="24"/>
        </w:rPr>
      </w:pPr>
      <w:r>
        <w:rPr>
          <w:rFonts w:hint="eastAsia" w:ascii="仿宋" w:hAnsi="仿宋" w:eastAsia="仿宋" w:cs="仿宋"/>
          <w:sz w:val="24"/>
        </w:rPr>
        <w:t>*招标范围：</w:t>
      </w:r>
    </w:p>
    <w:p>
      <w:pPr>
        <w:tabs>
          <w:tab w:val="left" w:pos="1470"/>
        </w:tabs>
        <w:spacing w:line="360" w:lineRule="auto"/>
        <w:ind w:firstLine="480" w:firstLineChars="200"/>
        <w:rPr>
          <w:rFonts w:hint="eastAsia" w:ascii="仿宋" w:hAnsi="仿宋" w:eastAsia="仿宋" w:cs="仿宋"/>
          <w:color w:val="0000FF"/>
          <w:sz w:val="24"/>
          <w:highlight w:val="none"/>
        </w:rPr>
      </w:pPr>
      <w:r>
        <w:rPr>
          <w:rFonts w:hint="eastAsia" w:ascii="仿宋" w:hAnsi="仿宋" w:eastAsia="仿宋" w:cs="仿宋"/>
          <w:color w:val="0000FF"/>
          <w:sz w:val="24"/>
          <w:highlight w:val="none"/>
        </w:rPr>
        <w:t>1．项目概况：按照“中央资金引导、地方协调支持、企业为主推进”的思路，为加快农村及偏远地区4G网络建设，试点支持行政村5G网络覆盖，为培育一批有助于乡村振兴发展的5G示范应用提供基础网络支撑。工业和信息化部、财政部组织开展了2022年度电信普遍服务试点工作。</w:t>
      </w:r>
    </w:p>
    <w:p>
      <w:pPr>
        <w:tabs>
          <w:tab w:val="left" w:pos="1470"/>
        </w:tabs>
        <w:spacing w:line="360" w:lineRule="auto"/>
        <w:ind w:firstLine="480" w:firstLineChars="200"/>
        <w:rPr>
          <w:rFonts w:hint="eastAsia" w:ascii="仿宋" w:hAnsi="仿宋" w:eastAsia="仿宋" w:cs="仿宋"/>
          <w:color w:val="0000FF"/>
          <w:sz w:val="24"/>
          <w:highlight w:val="none"/>
        </w:rPr>
      </w:pPr>
      <w:r>
        <w:rPr>
          <w:rFonts w:hint="eastAsia" w:ascii="仿宋" w:hAnsi="仿宋" w:eastAsia="仿宋" w:cs="仿宋"/>
          <w:color w:val="0000FF"/>
          <w:sz w:val="24"/>
          <w:highlight w:val="none"/>
        </w:rPr>
        <w:t>2．项目内容：按《申报指南》、《指导意见》要求，本项目以中央财政补助的形式,支持完成项目所在地试点行政村及兵团连队4G、5G基站建设及运行维护,涉及行政村4G基站392个, 行政村5G基站16个。中央财政补助资金用于4G、5G基站设备、配套传输设备、引入光缆等的建设成本,4G、5G设施的6年运维成本、铁塔及配套机房和电源等设施6年租用费。</w:t>
      </w:r>
    </w:p>
    <w:p>
      <w:pPr>
        <w:tabs>
          <w:tab w:val="left" w:pos="1470"/>
        </w:tabs>
        <w:spacing w:line="360" w:lineRule="auto"/>
        <w:ind w:firstLine="480" w:firstLineChars="200"/>
        <w:rPr>
          <w:rFonts w:hint="eastAsia" w:ascii="仿宋" w:hAnsi="仿宋" w:eastAsia="仿宋" w:cs="仿宋"/>
          <w:color w:val="0000FF"/>
          <w:sz w:val="24"/>
          <w:highlight w:val="none"/>
        </w:rPr>
      </w:pPr>
      <w:r>
        <w:rPr>
          <w:rFonts w:hint="eastAsia" w:ascii="仿宋" w:hAnsi="仿宋" w:eastAsia="仿宋" w:cs="仿宋"/>
          <w:color w:val="0000FF"/>
          <w:sz w:val="24"/>
          <w:highlight w:val="none"/>
        </w:rPr>
        <w:t>*资金到位或资金来源落实情况：项目投资资金来源于财政资金已落实。项目预算金额：11016万元。</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t>*项目已具备招标条件的说明：本项目已具备招标条件。</w:t>
      </w:r>
    </w:p>
    <w:p>
      <w:pPr>
        <w:tabs>
          <w:tab w:val="left" w:pos="1470"/>
        </w:tabs>
        <w:spacing w:line="360" w:lineRule="auto"/>
        <w:ind w:firstLine="480" w:firstLineChars="200"/>
        <w:rPr>
          <w:rFonts w:hint="eastAsia" w:ascii="仿宋" w:hAnsi="仿宋" w:eastAsia="仿宋" w:cs="仿宋"/>
          <w:color w:val="0000FF"/>
          <w:sz w:val="24"/>
          <w:highlight w:val="none"/>
        </w:rPr>
      </w:pPr>
      <w:r>
        <w:rPr>
          <w:rFonts w:hint="eastAsia" w:ascii="仿宋" w:hAnsi="仿宋" w:eastAsia="仿宋" w:cs="仿宋"/>
          <w:color w:val="0000FF"/>
          <w:sz w:val="24"/>
          <w:highlight w:val="none"/>
        </w:rPr>
        <w:t>*项目目标：推进我区行政村（含兵团连队，下同）4G网络深度覆盖，4G信号应覆盖村委会或行政村内的较大规模人口聚居区（含搬迁安置点），学校、卫生室、养老服务机构和老年活动中心等公共机构，生产作业区（如农业产业园、林区、牧场等），景区及交通要道沿线等任一区域，试点支持行政村5G网络覆盖，为培育一批有助于乡村振兴发展的5G示范应用提供基础网络支撑。并覆盖合同约定的其他范围，为加快建设网络强国，巩固拓展脱贫攻坚成果，全面推进乡村振兴提供坚实的网络支撑。</w:t>
      </w:r>
    </w:p>
    <w:p>
      <w:pPr>
        <w:pStyle w:val="2"/>
        <w:rPr>
          <w:rFonts w:hint="eastAsia"/>
        </w:rPr>
      </w:pPr>
    </w:p>
    <w:p>
      <w:pPr>
        <w:ind w:firstLine="480"/>
        <w:rPr>
          <w:rFonts w:hint="eastAsia" w:ascii="仿宋" w:hAnsi="仿宋" w:eastAsia="仿宋" w:cs="仿宋"/>
          <w:b/>
          <w:sz w:val="24"/>
        </w:rPr>
      </w:pPr>
      <w:r>
        <w:rPr>
          <w:rFonts w:hint="eastAsia" w:ascii="仿宋" w:hAnsi="仿宋" w:eastAsia="仿宋" w:cs="仿宋"/>
          <w:b/>
          <w:sz w:val="24"/>
        </w:rPr>
        <w:t>2、招标内容</w:t>
      </w:r>
    </w:p>
    <w:p>
      <w:pPr>
        <w:spacing w:line="360" w:lineRule="auto"/>
        <w:ind w:firstLine="480"/>
        <w:rPr>
          <w:rFonts w:hint="eastAsia" w:ascii="仿宋" w:hAnsi="仿宋" w:eastAsia="仿宋" w:cs="仿宋"/>
          <w:kern w:val="0"/>
          <w:sz w:val="24"/>
        </w:rPr>
      </w:pPr>
      <w:r>
        <w:rPr>
          <w:rFonts w:hint="eastAsia" w:ascii="仿宋" w:hAnsi="仿宋" w:eastAsia="仿宋" w:cs="仿宋"/>
          <w:kern w:val="0"/>
          <w:sz w:val="24"/>
        </w:rPr>
        <w:t xml:space="preserve">*项目编号：TC210Q1AC </w:t>
      </w:r>
    </w:p>
    <w:p>
      <w:pPr>
        <w:tabs>
          <w:tab w:val="left" w:pos="1470"/>
        </w:tabs>
        <w:spacing w:line="360" w:lineRule="auto"/>
        <w:ind w:firstLine="480" w:firstLineChars="200"/>
        <w:rPr>
          <w:rFonts w:hint="eastAsia" w:ascii="仿宋" w:hAnsi="仿宋" w:eastAsia="仿宋" w:cs="仿宋"/>
          <w:color w:val="0000FF"/>
          <w:sz w:val="24"/>
          <w:highlight w:val="none"/>
        </w:rPr>
      </w:pPr>
      <w:r>
        <w:rPr>
          <w:rFonts w:hint="eastAsia" w:ascii="仿宋" w:hAnsi="仿宋" w:eastAsia="仿宋" w:cs="仿宋"/>
          <w:color w:val="0000FF"/>
          <w:sz w:val="24"/>
          <w:highlight w:val="none"/>
        </w:rPr>
        <w:t>*实施地点：新疆伊犁哈萨克自治州、喀什地区、阿克苏地区、哈密市等地区（详见招标文件）。</w:t>
      </w:r>
    </w:p>
    <w:p>
      <w:pPr>
        <w:tabs>
          <w:tab w:val="left" w:pos="1470"/>
        </w:tabs>
        <w:spacing w:line="360" w:lineRule="auto"/>
        <w:ind w:firstLine="480" w:firstLineChars="200"/>
        <w:rPr>
          <w:rFonts w:hint="eastAsia" w:ascii="仿宋" w:hAnsi="仿宋" w:eastAsia="仿宋" w:cs="仿宋"/>
          <w:color w:val="0000FF"/>
          <w:sz w:val="24"/>
          <w:highlight w:val="none"/>
        </w:rPr>
      </w:pPr>
      <w:r>
        <w:rPr>
          <w:rFonts w:hint="eastAsia" w:ascii="仿宋" w:hAnsi="仿宋" w:eastAsia="仿宋" w:cs="仿宋"/>
          <w:color w:val="0000FF"/>
          <w:sz w:val="24"/>
          <w:highlight w:val="none"/>
        </w:rPr>
        <w:t>*项目规模：依据《工业和信息化部办公厅关于2022年度电信普遍服务申报方案的复函》（工厅通信〔2021〕933号），本次涉及行政村4G基站392个, 行政村5G基站16个的电信普遍服务试点建设工作，建设标准和技术参数及相关内容详见招标文件。</w:t>
      </w:r>
    </w:p>
    <w:p>
      <w:pPr>
        <w:tabs>
          <w:tab w:val="left" w:pos="1470"/>
        </w:tabs>
        <w:spacing w:line="360" w:lineRule="auto"/>
        <w:ind w:firstLine="480" w:firstLineChars="200"/>
        <w:rPr>
          <w:rFonts w:hint="eastAsia" w:ascii="仿宋" w:hAnsi="仿宋" w:eastAsia="仿宋" w:cs="仿宋"/>
          <w:color w:val="0000FF"/>
          <w:sz w:val="24"/>
          <w:highlight w:val="none"/>
        </w:rPr>
      </w:pPr>
      <w:r>
        <w:rPr>
          <w:rFonts w:hint="eastAsia" w:ascii="仿宋" w:hAnsi="仿宋" w:eastAsia="仿宋" w:cs="仿宋"/>
          <w:color w:val="0000FF"/>
          <w:sz w:val="24"/>
          <w:highlight w:val="none"/>
        </w:rPr>
        <w:t>*项目工期：项目应于2022年10月底前完成,项目完成后4G基站信号应覆盖村委会、学校、卫生窒等主要公共服务机构及至少一处人口聚居区(优先20户以上的),并能按要求提供相应服务。</w:t>
      </w:r>
    </w:p>
    <w:p>
      <w:pPr>
        <w:tabs>
          <w:tab w:val="left" w:pos="1470"/>
        </w:tabs>
        <w:spacing w:line="360" w:lineRule="auto"/>
        <w:ind w:firstLine="480" w:firstLineChars="200"/>
        <w:rPr>
          <w:rFonts w:hint="eastAsia" w:ascii="仿宋" w:hAnsi="仿宋" w:eastAsia="仿宋" w:cs="仿宋"/>
          <w:color w:val="0000FF"/>
          <w:sz w:val="24"/>
          <w:highlight w:val="none"/>
        </w:rPr>
      </w:pPr>
      <w:r>
        <w:rPr>
          <w:rFonts w:hint="eastAsia" w:ascii="仿宋" w:hAnsi="仿宋" w:eastAsia="仿宋" w:cs="仿宋"/>
          <w:color w:val="0000FF"/>
          <w:sz w:val="24"/>
          <w:highlight w:val="none"/>
        </w:rPr>
        <w:t>*标包划分：本项目按区域共划分为4个标包，每个投标人允许兼投兼中。</w:t>
      </w:r>
    </w:p>
    <w:tbl>
      <w:tblPr>
        <w:tblStyle w:val="4"/>
        <w:tblW w:w="9318" w:type="dxa"/>
        <w:jc w:val="center"/>
        <w:tblLayout w:type="autofit"/>
        <w:tblCellMar>
          <w:top w:w="0" w:type="dxa"/>
          <w:left w:w="108" w:type="dxa"/>
          <w:bottom w:w="0" w:type="dxa"/>
          <w:right w:w="108" w:type="dxa"/>
        </w:tblCellMar>
      </w:tblPr>
      <w:tblGrid>
        <w:gridCol w:w="591"/>
        <w:gridCol w:w="2233"/>
        <w:gridCol w:w="3100"/>
        <w:gridCol w:w="1016"/>
        <w:gridCol w:w="997"/>
        <w:gridCol w:w="1381"/>
      </w:tblGrid>
      <w:tr>
        <w:tblPrEx>
          <w:tblCellMar>
            <w:top w:w="0" w:type="dxa"/>
            <w:left w:w="108" w:type="dxa"/>
            <w:bottom w:w="0" w:type="dxa"/>
            <w:right w:w="108" w:type="dxa"/>
          </w:tblCellMar>
        </w:tblPrEx>
        <w:trPr>
          <w:trHeight w:val="527" w:hRule="atLeast"/>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 w:hAnsi="仿宋" w:eastAsia="仿宋" w:cs="仿宋"/>
                <w:b/>
                <w:bCs/>
                <w:color w:val="0000FF"/>
                <w:kern w:val="0"/>
                <w:sz w:val="18"/>
                <w:szCs w:val="18"/>
                <w:highlight w:val="none"/>
              </w:rPr>
            </w:pPr>
            <w:r>
              <w:rPr>
                <w:rFonts w:hint="eastAsia" w:ascii="仿宋" w:hAnsi="仿宋" w:eastAsia="仿宋" w:cs="仿宋"/>
                <w:b/>
                <w:bCs/>
                <w:color w:val="0000FF"/>
                <w:kern w:val="0"/>
                <w:sz w:val="18"/>
                <w:szCs w:val="18"/>
                <w:highlight w:val="none"/>
              </w:rPr>
              <w:t>项目</w:t>
            </w:r>
          </w:p>
        </w:tc>
        <w:tc>
          <w:tcPr>
            <w:tcW w:w="2233"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b/>
                <w:bCs/>
                <w:color w:val="0000FF"/>
                <w:kern w:val="0"/>
                <w:sz w:val="18"/>
                <w:szCs w:val="18"/>
                <w:highlight w:val="none"/>
              </w:rPr>
            </w:pPr>
            <w:r>
              <w:rPr>
                <w:rFonts w:hint="eastAsia" w:ascii="仿宋" w:hAnsi="仿宋" w:eastAsia="仿宋" w:cs="仿宋"/>
                <w:b/>
                <w:bCs/>
                <w:color w:val="0000FF"/>
                <w:kern w:val="0"/>
                <w:sz w:val="18"/>
                <w:szCs w:val="18"/>
                <w:highlight w:val="none"/>
              </w:rPr>
              <w:t>区域</w:t>
            </w:r>
          </w:p>
        </w:tc>
        <w:tc>
          <w:tcPr>
            <w:tcW w:w="31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b/>
                <w:bCs/>
                <w:color w:val="0000FF"/>
                <w:kern w:val="0"/>
                <w:sz w:val="18"/>
                <w:szCs w:val="18"/>
                <w:highlight w:val="none"/>
              </w:rPr>
            </w:pPr>
            <w:r>
              <w:rPr>
                <w:rFonts w:hint="eastAsia" w:ascii="仿宋" w:hAnsi="仿宋" w:eastAsia="仿宋" w:cs="仿宋"/>
                <w:b/>
                <w:bCs/>
                <w:color w:val="0000FF"/>
                <w:kern w:val="0"/>
                <w:sz w:val="18"/>
                <w:szCs w:val="18"/>
                <w:highlight w:val="none"/>
              </w:rPr>
              <w:t>基站站点</w:t>
            </w:r>
          </w:p>
        </w:tc>
        <w:tc>
          <w:tcPr>
            <w:tcW w:w="1016"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b/>
                <w:bCs/>
                <w:color w:val="0000FF"/>
                <w:kern w:val="0"/>
                <w:sz w:val="18"/>
                <w:szCs w:val="18"/>
                <w:highlight w:val="none"/>
              </w:rPr>
            </w:pPr>
            <w:r>
              <w:rPr>
                <w:rFonts w:hint="eastAsia" w:ascii="仿宋" w:hAnsi="仿宋" w:eastAsia="仿宋" w:cs="仿宋"/>
                <w:b/>
                <w:bCs/>
                <w:color w:val="0000FF"/>
                <w:kern w:val="0"/>
                <w:sz w:val="18"/>
                <w:szCs w:val="18"/>
                <w:highlight w:val="none"/>
              </w:rPr>
              <w:t>4G基站数（个）</w:t>
            </w:r>
          </w:p>
        </w:tc>
        <w:tc>
          <w:tcPr>
            <w:tcW w:w="9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b/>
                <w:bCs/>
                <w:color w:val="0000FF"/>
                <w:kern w:val="0"/>
                <w:sz w:val="18"/>
                <w:szCs w:val="18"/>
                <w:highlight w:val="none"/>
              </w:rPr>
            </w:pPr>
            <w:r>
              <w:rPr>
                <w:rFonts w:hint="eastAsia" w:ascii="仿宋" w:hAnsi="仿宋" w:eastAsia="仿宋" w:cs="仿宋"/>
                <w:b/>
                <w:bCs/>
                <w:color w:val="0000FF"/>
                <w:kern w:val="0"/>
                <w:sz w:val="18"/>
                <w:szCs w:val="18"/>
                <w:highlight w:val="none"/>
              </w:rPr>
              <w:t>5G基站数（个）</w:t>
            </w:r>
          </w:p>
        </w:tc>
        <w:tc>
          <w:tcPr>
            <w:tcW w:w="138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b/>
                <w:bCs/>
                <w:color w:val="0000FF"/>
                <w:kern w:val="0"/>
                <w:sz w:val="18"/>
                <w:szCs w:val="18"/>
                <w:highlight w:val="none"/>
              </w:rPr>
            </w:pPr>
            <w:r>
              <w:rPr>
                <w:rFonts w:hint="eastAsia" w:ascii="仿宋" w:hAnsi="仿宋" w:eastAsia="仿宋" w:cs="仿宋"/>
                <w:b/>
                <w:bCs/>
                <w:color w:val="0000FF"/>
                <w:kern w:val="0"/>
                <w:sz w:val="18"/>
                <w:szCs w:val="18"/>
                <w:highlight w:val="none"/>
              </w:rPr>
              <w:t>中央补助资金</w:t>
            </w:r>
          </w:p>
          <w:p>
            <w:pPr>
              <w:spacing w:line="240" w:lineRule="exact"/>
              <w:jc w:val="center"/>
              <w:rPr>
                <w:rFonts w:hint="eastAsia" w:ascii="仿宋" w:hAnsi="仿宋" w:eastAsia="仿宋" w:cs="仿宋"/>
                <w:b/>
                <w:bCs/>
                <w:color w:val="0000FF"/>
                <w:kern w:val="0"/>
                <w:sz w:val="18"/>
                <w:szCs w:val="18"/>
                <w:highlight w:val="none"/>
              </w:rPr>
            </w:pPr>
            <w:r>
              <w:rPr>
                <w:rFonts w:hint="eastAsia" w:ascii="仿宋" w:hAnsi="仿宋" w:eastAsia="仿宋" w:cs="仿宋"/>
                <w:b/>
                <w:bCs/>
                <w:color w:val="0000FF"/>
                <w:kern w:val="0"/>
                <w:sz w:val="18"/>
                <w:szCs w:val="18"/>
                <w:highlight w:val="none"/>
              </w:rPr>
              <w:t>（万元）</w:t>
            </w:r>
          </w:p>
        </w:tc>
      </w:tr>
      <w:tr>
        <w:tblPrEx>
          <w:tblCellMar>
            <w:top w:w="0" w:type="dxa"/>
            <w:left w:w="108" w:type="dxa"/>
            <w:bottom w:w="0" w:type="dxa"/>
            <w:right w:w="108" w:type="dxa"/>
          </w:tblCellMar>
        </w:tblPrEx>
        <w:trPr>
          <w:trHeight w:val="861" w:hRule="atLeast"/>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 w:hAnsi="仿宋" w:eastAsia="仿宋" w:cs="仿宋"/>
                <w:color w:val="0000FF"/>
                <w:kern w:val="0"/>
                <w:sz w:val="18"/>
                <w:szCs w:val="18"/>
                <w:highlight w:val="none"/>
              </w:rPr>
            </w:pPr>
            <w:r>
              <w:rPr>
                <w:rFonts w:hint="eastAsia" w:ascii="仿宋" w:hAnsi="仿宋" w:eastAsia="仿宋" w:cs="仿宋"/>
                <w:color w:val="0000FF"/>
                <w:kern w:val="0"/>
                <w:sz w:val="18"/>
                <w:szCs w:val="18"/>
                <w:highlight w:val="none"/>
              </w:rPr>
              <w:t>包1</w:t>
            </w:r>
          </w:p>
        </w:tc>
        <w:tc>
          <w:tcPr>
            <w:tcW w:w="2233" w:type="dxa"/>
            <w:tcBorders>
              <w:top w:val="single" w:color="auto" w:sz="4" w:space="0"/>
              <w:left w:val="nil"/>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cs="仿宋"/>
                <w:b/>
                <w:color w:val="0000FF"/>
                <w:sz w:val="22"/>
                <w:szCs w:val="22"/>
                <w:highlight w:val="none"/>
              </w:rPr>
            </w:pPr>
            <w:r>
              <w:rPr>
                <w:rFonts w:hint="eastAsia" w:ascii="仿宋" w:hAnsi="仿宋" w:eastAsia="仿宋" w:cs="仿宋"/>
                <w:color w:val="0000FF"/>
                <w:kern w:val="0"/>
                <w:sz w:val="18"/>
                <w:szCs w:val="18"/>
                <w:highlight w:val="none"/>
              </w:rPr>
              <w:t>昌吉回族自治州、哈密市、喀什地区、塔城地区、伊犁哈萨克自治州</w:t>
            </w:r>
          </w:p>
        </w:tc>
        <w:tc>
          <w:tcPr>
            <w:tcW w:w="3100"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 w:hAnsi="仿宋" w:eastAsia="仿宋" w:cs="仿宋"/>
                <w:color w:val="0000FF"/>
                <w:kern w:val="0"/>
                <w:sz w:val="18"/>
                <w:szCs w:val="18"/>
                <w:highlight w:val="none"/>
              </w:rPr>
            </w:pPr>
            <w:r>
              <w:rPr>
                <w:rFonts w:hint="eastAsia" w:ascii="仿宋" w:hAnsi="仿宋" w:eastAsia="仿宋" w:cs="仿宋"/>
                <w:color w:val="0000FF"/>
                <w:kern w:val="0"/>
                <w:sz w:val="18"/>
                <w:szCs w:val="18"/>
                <w:highlight w:val="none"/>
              </w:rPr>
              <w:t>五家渠市、巴里坤县、伽师县、麦盖提县、沙湾市、乌苏市、巩留县、尼勒克县</w:t>
            </w:r>
          </w:p>
        </w:tc>
        <w:tc>
          <w:tcPr>
            <w:tcW w:w="1016" w:type="dxa"/>
            <w:tcBorders>
              <w:top w:val="single" w:color="auto" w:sz="4" w:space="0"/>
              <w:left w:val="nil"/>
              <w:bottom w:val="single" w:color="auto" w:sz="4" w:space="0"/>
              <w:right w:val="single" w:color="auto" w:sz="4" w:space="0"/>
            </w:tcBorders>
            <w:noWrap w:val="0"/>
            <w:vAlign w:val="center"/>
          </w:tcPr>
          <w:p>
            <w:pPr>
              <w:spacing w:line="240" w:lineRule="exact"/>
              <w:ind w:firstLine="360" w:firstLineChars="200"/>
              <w:rPr>
                <w:rFonts w:hint="eastAsia" w:ascii="仿宋" w:hAnsi="仿宋" w:eastAsia="仿宋" w:cs="仿宋"/>
                <w:color w:val="0000FF"/>
                <w:kern w:val="0"/>
                <w:sz w:val="18"/>
                <w:szCs w:val="18"/>
                <w:highlight w:val="none"/>
              </w:rPr>
            </w:pPr>
            <w:r>
              <w:rPr>
                <w:rFonts w:hint="eastAsia" w:ascii="仿宋" w:hAnsi="仿宋" w:eastAsia="仿宋" w:cs="仿宋"/>
                <w:color w:val="0000FF"/>
                <w:kern w:val="0"/>
                <w:sz w:val="18"/>
                <w:szCs w:val="18"/>
                <w:highlight w:val="none"/>
              </w:rPr>
              <w:t>66</w:t>
            </w:r>
          </w:p>
        </w:tc>
        <w:tc>
          <w:tcPr>
            <w:tcW w:w="997" w:type="dxa"/>
            <w:tcBorders>
              <w:top w:val="single" w:color="auto" w:sz="4" w:space="0"/>
              <w:left w:val="nil"/>
              <w:bottom w:val="single" w:color="auto" w:sz="4" w:space="0"/>
              <w:right w:val="single" w:color="auto" w:sz="4" w:space="0"/>
            </w:tcBorders>
            <w:noWrap w:val="0"/>
            <w:vAlign w:val="center"/>
          </w:tcPr>
          <w:p>
            <w:pPr>
              <w:spacing w:line="240" w:lineRule="exact"/>
              <w:ind w:firstLine="360" w:firstLineChars="200"/>
              <w:rPr>
                <w:rFonts w:hint="eastAsia" w:ascii="仿宋" w:hAnsi="仿宋" w:eastAsia="仿宋" w:cs="仿宋"/>
                <w:color w:val="0000FF"/>
                <w:kern w:val="0"/>
                <w:sz w:val="18"/>
                <w:szCs w:val="18"/>
                <w:highlight w:val="none"/>
              </w:rPr>
            </w:pPr>
            <w:r>
              <w:rPr>
                <w:rFonts w:hint="eastAsia" w:ascii="仿宋" w:hAnsi="仿宋" w:eastAsia="仿宋" w:cs="仿宋"/>
                <w:color w:val="0000FF"/>
                <w:kern w:val="0"/>
                <w:sz w:val="18"/>
                <w:szCs w:val="18"/>
                <w:highlight w:val="none"/>
              </w:rPr>
              <w:t>/</w:t>
            </w:r>
          </w:p>
        </w:tc>
        <w:tc>
          <w:tcPr>
            <w:tcW w:w="1381" w:type="dxa"/>
            <w:tcBorders>
              <w:top w:val="single" w:color="auto" w:sz="4" w:space="0"/>
              <w:left w:val="nil"/>
              <w:bottom w:val="single" w:color="auto" w:sz="4" w:space="0"/>
              <w:right w:val="single" w:color="auto" w:sz="4" w:space="0"/>
            </w:tcBorders>
            <w:noWrap w:val="0"/>
            <w:vAlign w:val="center"/>
          </w:tcPr>
          <w:p>
            <w:pPr>
              <w:spacing w:line="240" w:lineRule="exact"/>
              <w:ind w:firstLine="360" w:firstLineChars="200"/>
              <w:rPr>
                <w:rFonts w:hint="eastAsia" w:ascii="仿宋" w:hAnsi="仿宋" w:eastAsia="仿宋" w:cs="仿宋"/>
                <w:color w:val="0000FF"/>
                <w:kern w:val="0"/>
                <w:sz w:val="18"/>
                <w:szCs w:val="18"/>
                <w:highlight w:val="none"/>
              </w:rPr>
            </w:pPr>
            <w:r>
              <w:rPr>
                <w:rFonts w:hint="eastAsia" w:ascii="仿宋" w:hAnsi="仿宋" w:eastAsia="仿宋" w:cs="仿宋"/>
                <w:color w:val="0000FF"/>
                <w:kern w:val="0"/>
                <w:sz w:val="18"/>
                <w:szCs w:val="18"/>
                <w:highlight w:val="none"/>
              </w:rPr>
              <w:t>1782</w:t>
            </w:r>
          </w:p>
        </w:tc>
      </w:tr>
      <w:tr>
        <w:tblPrEx>
          <w:tblCellMar>
            <w:top w:w="0" w:type="dxa"/>
            <w:left w:w="108" w:type="dxa"/>
            <w:bottom w:w="0" w:type="dxa"/>
            <w:right w:w="108" w:type="dxa"/>
          </w:tblCellMar>
        </w:tblPrEx>
        <w:trPr>
          <w:trHeight w:val="861" w:hRule="atLeast"/>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 w:hAnsi="仿宋" w:eastAsia="仿宋" w:cs="仿宋"/>
                <w:color w:val="0000FF"/>
                <w:kern w:val="0"/>
                <w:sz w:val="18"/>
                <w:szCs w:val="18"/>
                <w:highlight w:val="none"/>
              </w:rPr>
            </w:pPr>
            <w:r>
              <w:rPr>
                <w:rFonts w:hint="eastAsia" w:ascii="仿宋" w:hAnsi="仿宋" w:eastAsia="仿宋" w:cs="仿宋"/>
                <w:color w:val="0000FF"/>
                <w:kern w:val="0"/>
                <w:sz w:val="18"/>
                <w:szCs w:val="18"/>
                <w:highlight w:val="none"/>
              </w:rPr>
              <w:t>包2</w:t>
            </w:r>
          </w:p>
        </w:tc>
        <w:tc>
          <w:tcPr>
            <w:tcW w:w="2233"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 w:hAnsi="仿宋" w:eastAsia="仿宋" w:cs="仿宋"/>
                <w:color w:val="0000FF"/>
                <w:kern w:val="0"/>
                <w:sz w:val="18"/>
                <w:szCs w:val="18"/>
                <w:highlight w:val="none"/>
              </w:rPr>
            </w:pPr>
            <w:r>
              <w:rPr>
                <w:rFonts w:hint="eastAsia" w:ascii="仿宋" w:hAnsi="仿宋" w:eastAsia="仿宋" w:cs="仿宋"/>
                <w:color w:val="0000FF"/>
                <w:kern w:val="0"/>
                <w:sz w:val="18"/>
                <w:szCs w:val="18"/>
                <w:highlight w:val="none"/>
              </w:rPr>
              <w:t>博尔塔拉蒙古自治州、昌吉回族自治州、哈密市、吐鲁番市、伊犁哈萨克自治州、阿勒泰地区</w:t>
            </w:r>
          </w:p>
        </w:tc>
        <w:tc>
          <w:tcPr>
            <w:tcW w:w="3100"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 w:hAnsi="仿宋" w:eastAsia="仿宋" w:cs="仿宋"/>
                <w:color w:val="0000FF"/>
                <w:kern w:val="0"/>
                <w:sz w:val="18"/>
                <w:szCs w:val="18"/>
                <w:highlight w:val="none"/>
              </w:rPr>
            </w:pPr>
            <w:r>
              <w:rPr>
                <w:rFonts w:hint="eastAsia" w:ascii="仿宋" w:hAnsi="仿宋" w:eastAsia="仿宋" w:cs="仿宋"/>
                <w:color w:val="0000FF"/>
                <w:kern w:val="0"/>
                <w:sz w:val="18"/>
                <w:szCs w:val="18"/>
                <w:highlight w:val="none"/>
              </w:rPr>
              <w:t>博乐市、精河县、阜康市、吉木萨尔县、玛纳斯、奇台县、十三师新星市</w:t>
            </w:r>
          </w:p>
          <w:p>
            <w:pPr>
              <w:spacing w:line="240" w:lineRule="exact"/>
              <w:jc w:val="left"/>
              <w:rPr>
                <w:rFonts w:hint="eastAsia" w:ascii="仿宋" w:hAnsi="仿宋" w:eastAsia="仿宋" w:cs="仿宋"/>
                <w:color w:val="0000FF"/>
                <w:kern w:val="0"/>
                <w:sz w:val="18"/>
                <w:szCs w:val="18"/>
                <w:highlight w:val="none"/>
              </w:rPr>
            </w:pPr>
            <w:r>
              <w:rPr>
                <w:rFonts w:hint="eastAsia" w:ascii="仿宋" w:hAnsi="仿宋" w:eastAsia="仿宋" w:cs="仿宋"/>
                <w:color w:val="0000FF"/>
                <w:kern w:val="0"/>
                <w:sz w:val="18"/>
                <w:szCs w:val="18"/>
                <w:highlight w:val="none"/>
              </w:rPr>
              <w:t>伊吾县、伊州区、鄯善县、可克达拉市、新源县、伊宁县、昭苏县、阿勒泰市、北屯市、福海县、哈巴河县</w:t>
            </w:r>
          </w:p>
        </w:tc>
        <w:tc>
          <w:tcPr>
            <w:tcW w:w="1016" w:type="dxa"/>
            <w:tcBorders>
              <w:top w:val="single" w:color="auto" w:sz="4" w:space="0"/>
              <w:left w:val="nil"/>
              <w:bottom w:val="single" w:color="auto" w:sz="4" w:space="0"/>
              <w:right w:val="single" w:color="auto" w:sz="4" w:space="0"/>
            </w:tcBorders>
            <w:noWrap w:val="0"/>
            <w:vAlign w:val="center"/>
          </w:tcPr>
          <w:p>
            <w:pPr>
              <w:spacing w:line="240" w:lineRule="exact"/>
              <w:ind w:firstLine="360" w:firstLineChars="200"/>
              <w:rPr>
                <w:rFonts w:hint="eastAsia" w:ascii="仿宋" w:hAnsi="仿宋" w:eastAsia="仿宋" w:cs="仿宋"/>
                <w:color w:val="0000FF"/>
                <w:kern w:val="0"/>
                <w:sz w:val="18"/>
                <w:szCs w:val="18"/>
                <w:highlight w:val="none"/>
              </w:rPr>
            </w:pPr>
            <w:r>
              <w:rPr>
                <w:rFonts w:hint="eastAsia" w:ascii="仿宋" w:hAnsi="仿宋" w:eastAsia="仿宋" w:cs="仿宋"/>
                <w:color w:val="0000FF"/>
                <w:kern w:val="0"/>
                <w:sz w:val="18"/>
                <w:szCs w:val="18"/>
                <w:highlight w:val="none"/>
              </w:rPr>
              <w:t>55</w:t>
            </w:r>
          </w:p>
        </w:tc>
        <w:tc>
          <w:tcPr>
            <w:tcW w:w="997" w:type="dxa"/>
            <w:tcBorders>
              <w:top w:val="single" w:color="auto" w:sz="4" w:space="0"/>
              <w:left w:val="nil"/>
              <w:bottom w:val="single" w:color="auto" w:sz="4" w:space="0"/>
              <w:right w:val="single" w:color="auto" w:sz="4" w:space="0"/>
            </w:tcBorders>
            <w:noWrap w:val="0"/>
            <w:vAlign w:val="center"/>
          </w:tcPr>
          <w:p>
            <w:pPr>
              <w:spacing w:line="240" w:lineRule="exact"/>
              <w:ind w:firstLine="360" w:firstLineChars="200"/>
              <w:rPr>
                <w:rFonts w:hint="eastAsia" w:ascii="仿宋" w:hAnsi="仿宋" w:eastAsia="仿宋" w:cs="仿宋"/>
                <w:color w:val="0000FF"/>
                <w:kern w:val="0"/>
                <w:sz w:val="18"/>
                <w:szCs w:val="18"/>
                <w:highlight w:val="none"/>
              </w:rPr>
            </w:pPr>
            <w:r>
              <w:rPr>
                <w:rFonts w:hint="eastAsia" w:ascii="仿宋" w:hAnsi="仿宋" w:eastAsia="仿宋" w:cs="仿宋"/>
                <w:color w:val="0000FF"/>
                <w:kern w:val="0"/>
                <w:sz w:val="18"/>
                <w:szCs w:val="18"/>
                <w:highlight w:val="none"/>
              </w:rPr>
              <w:t>1</w:t>
            </w:r>
          </w:p>
        </w:tc>
        <w:tc>
          <w:tcPr>
            <w:tcW w:w="1381" w:type="dxa"/>
            <w:tcBorders>
              <w:top w:val="single" w:color="auto" w:sz="4" w:space="0"/>
              <w:left w:val="nil"/>
              <w:bottom w:val="single" w:color="auto" w:sz="4" w:space="0"/>
              <w:right w:val="single" w:color="auto" w:sz="4" w:space="0"/>
            </w:tcBorders>
            <w:noWrap w:val="0"/>
            <w:vAlign w:val="center"/>
          </w:tcPr>
          <w:p>
            <w:pPr>
              <w:spacing w:line="240" w:lineRule="exact"/>
              <w:ind w:firstLine="360" w:firstLineChars="200"/>
              <w:rPr>
                <w:rFonts w:hint="eastAsia" w:ascii="仿宋" w:hAnsi="仿宋" w:eastAsia="仿宋" w:cs="仿宋"/>
                <w:color w:val="0000FF"/>
                <w:kern w:val="0"/>
                <w:sz w:val="18"/>
                <w:szCs w:val="18"/>
                <w:highlight w:val="none"/>
              </w:rPr>
            </w:pPr>
            <w:r>
              <w:rPr>
                <w:rFonts w:hint="eastAsia" w:ascii="仿宋" w:hAnsi="仿宋" w:eastAsia="仿宋" w:cs="仿宋"/>
                <w:color w:val="0000FF"/>
                <w:kern w:val="0"/>
                <w:sz w:val="18"/>
                <w:szCs w:val="18"/>
                <w:highlight w:val="none"/>
              </w:rPr>
              <w:t>1512</w:t>
            </w:r>
          </w:p>
        </w:tc>
      </w:tr>
      <w:tr>
        <w:tblPrEx>
          <w:tblCellMar>
            <w:top w:w="0" w:type="dxa"/>
            <w:left w:w="108" w:type="dxa"/>
            <w:bottom w:w="0" w:type="dxa"/>
            <w:right w:w="108" w:type="dxa"/>
          </w:tblCellMar>
        </w:tblPrEx>
        <w:trPr>
          <w:trHeight w:val="1067" w:hRule="atLeast"/>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 w:hAnsi="仿宋" w:eastAsia="仿宋" w:cs="仿宋"/>
                <w:color w:val="0000FF"/>
                <w:kern w:val="0"/>
                <w:sz w:val="18"/>
                <w:szCs w:val="18"/>
                <w:highlight w:val="none"/>
              </w:rPr>
            </w:pPr>
            <w:r>
              <w:rPr>
                <w:rFonts w:hint="eastAsia" w:ascii="仿宋" w:hAnsi="仿宋" w:eastAsia="仿宋" w:cs="仿宋"/>
                <w:color w:val="0000FF"/>
                <w:kern w:val="0"/>
                <w:sz w:val="18"/>
                <w:szCs w:val="18"/>
                <w:highlight w:val="none"/>
              </w:rPr>
              <w:t>包3</w:t>
            </w:r>
          </w:p>
        </w:tc>
        <w:tc>
          <w:tcPr>
            <w:tcW w:w="2233"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 w:hAnsi="仿宋" w:eastAsia="仿宋" w:cs="仿宋"/>
                <w:color w:val="0000FF"/>
                <w:kern w:val="0"/>
                <w:sz w:val="18"/>
                <w:szCs w:val="18"/>
                <w:highlight w:val="none"/>
              </w:rPr>
            </w:pPr>
            <w:r>
              <w:rPr>
                <w:rFonts w:hint="eastAsia" w:ascii="仿宋" w:hAnsi="仿宋" w:eastAsia="仿宋" w:cs="仿宋"/>
                <w:color w:val="0000FF"/>
                <w:kern w:val="0"/>
                <w:sz w:val="18"/>
                <w:szCs w:val="18"/>
                <w:highlight w:val="none"/>
              </w:rPr>
              <w:t>阿克苏地区、阿勒泰地区、昌吉回族自治州、塔城地区、和田地区、喀什地区、克孜勒苏柯尔克孜自治州</w:t>
            </w:r>
          </w:p>
        </w:tc>
        <w:tc>
          <w:tcPr>
            <w:tcW w:w="3100"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 w:hAnsi="仿宋" w:eastAsia="仿宋" w:cs="仿宋"/>
                <w:color w:val="0000FF"/>
                <w:kern w:val="0"/>
                <w:sz w:val="18"/>
                <w:szCs w:val="18"/>
                <w:highlight w:val="none"/>
              </w:rPr>
            </w:pPr>
            <w:r>
              <w:rPr>
                <w:rFonts w:hint="eastAsia" w:ascii="仿宋" w:hAnsi="仿宋" w:eastAsia="仿宋" w:cs="仿宋"/>
                <w:color w:val="0000FF"/>
                <w:kern w:val="0"/>
                <w:sz w:val="18"/>
                <w:szCs w:val="18"/>
                <w:highlight w:val="none"/>
              </w:rPr>
              <w:t>阿克苏市、阿瓦提县、拜城县、库车市、沙雅县、温宿县、乌什县、青河县、昌吉市、呼图壁县、木垒县、额敏县、策勒县、和田县、洛浦县、于田县、巴楚县、喀什市、疏附县、疏勒县、叶城二牧场、叶城县、岳普湖县、乌恰县</w:t>
            </w:r>
          </w:p>
        </w:tc>
        <w:tc>
          <w:tcPr>
            <w:tcW w:w="1016" w:type="dxa"/>
            <w:tcBorders>
              <w:top w:val="single" w:color="auto" w:sz="4" w:space="0"/>
              <w:left w:val="nil"/>
              <w:bottom w:val="single" w:color="auto" w:sz="4" w:space="0"/>
              <w:right w:val="single" w:color="auto" w:sz="4" w:space="0"/>
            </w:tcBorders>
            <w:noWrap w:val="0"/>
            <w:vAlign w:val="center"/>
          </w:tcPr>
          <w:p>
            <w:pPr>
              <w:spacing w:line="240" w:lineRule="exact"/>
              <w:ind w:firstLine="360" w:firstLineChars="200"/>
              <w:rPr>
                <w:rFonts w:hint="eastAsia" w:ascii="仿宋" w:hAnsi="仿宋" w:eastAsia="仿宋" w:cs="仿宋"/>
                <w:color w:val="0000FF"/>
                <w:kern w:val="0"/>
                <w:sz w:val="18"/>
                <w:szCs w:val="18"/>
                <w:highlight w:val="none"/>
              </w:rPr>
            </w:pPr>
            <w:r>
              <w:rPr>
                <w:rFonts w:hint="eastAsia" w:ascii="仿宋" w:hAnsi="仿宋" w:eastAsia="仿宋" w:cs="仿宋"/>
                <w:color w:val="0000FF"/>
                <w:kern w:val="0"/>
                <w:sz w:val="18"/>
                <w:szCs w:val="18"/>
                <w:highlight w:val="none"/>
              </w:rPr>
              <w:t>158</w:t>
            </w:r>
          </w:p>
        </w:tc>
        <w:tc>
          <w:tcPr>
            <w:tcW w:w="997" w:type="dxa"/>
            <w:tcBorders>
              <w:top w:val="single" w:color="auto" w:sz="4" w:space="0"/>
              <w:left w:val="nil"/>
              <w:bottom w:val="single" w:color="auto" w:sz="4" w:space="0"/>
              <w:right w:val="single" w:color="auto" w:sz="4" w:space="0"/>
            </w:tcBorders>
            <w:noWrap w:val="0"/>
            <w:vAlign w:val="center"/>
          </w:tcPr>
          <w:p>
            <w:pPr>
              <w:spacing w:line="240" w:lineRule="exact"/>
              <w:ind w:firstLine="360" w:firstLineChars="200"/>
              <w:rPr>
                <w:rFonts w:hint="eastAsia" w:ascii="仿宋" w:hAnsi="仿宋" w:eastAsia="仿宋" w:cs="仿宋"/>
                <w:color w:val="0000FF"/>
                <w:kern w:val="0"/>
                <w:sz w:val="18"/>
                <w:szCs w:val="18"/>
                <w:highlight w:val="none"/>
              </w:rPr>
            </w:pPr>
            <w:r>
              <w:rPr>
                <w:rFonts w:hint="eastAsia" w:ascii="仿宋" w:hAnsi="仿宋" w:eastAsia="仿宋" w:cs="仿宋"/>
                <w:color w:val="0000FF"/>
                <w:kern w:val="0"/>
                <w:sz w:val="18"/>
                <w:szCs w:val="18"/>
                <w:highlight w:val="none"/>
              </w:rPr>
              <w:t>7</w:t>
            </w:r>
          </w:p>
        </w:tc>
        <w:tc>
          <w:tcPr>
            <w:tcW w:w="1381" w:type="dxa"/>
            <w:tcBorders>
              <w:top w:val="single" w:color="auto" w:sz="4" w:space="0"/>
              <w:left w:val="nil"/>
              <w:bottom w:val="single" w:color="auto" w:sz="4" w:space="0"/>
              <w:right w:val="single" w:color="auto" w:sz="4" w:space="0"/>
            </w:tcBorders>
            <w:noWrap w:val="0"/>
            <w:vAlign w:val="center"/>
          </w:tcPr>
          <w:p>
            <w:pPr>
              <w:spacing w:line="240" w:lineRule="exact"/>
              <w:ind w:firstLine="360" w:firstLineChars="200"/>
              <w:rPr>
                <w:rFonts w:hint="eastAsia" w:ascii="仿宋" w:hAnsi="仿宋" w:eastAsia="仿宋" w:cs="仿宋"/>
                <w:color w:val="0000FF"/>
                <w:kern w:val="0"/>
                <w:sz w:val="18"/>
                <w:szCs w:val="18"/>
                <w:highlight w:val="none"/>
              </w:rPr>
            </w:pPr>
            <w:r>
              <w:rPr>
                <w:rFonts w:hint="eastAsia" w:ascii="仿宋" w:hAnsi="仿宋" w:eastAsia="仿宋" w:cs="仿宋"/>
                <w:color w:val="0000FF"/>
                <w:kern w:val="0"/>
                <w:sz w:val="18"/>
                <w:szCs w:val="18"/>
                <w:highlight w:val="none"/>
              </w:rPr>
              <w:t>4455</w:t>
            </w:r>
          </w:p>
        </w:tc>
      </w:tr>
      <w:tr>
        <w:tblPrEx>
          <w:tblCellMar>
            <w:top w:w="0" w:type="dxa"/>
            <w:left w:w="108" w:type="dxa"/>
            <w:bottom w:w="0" w:type="dxa"/>
            <w:right w:w="108" w:type="dxa"/>
          </w:tblCellMar>
        </w:tblPrEx>
        <w:trPr>
          <w:trHeight w:val="884" w:hRule="atLeast"/>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 w:hAnsi="仿宋" w:eastAsia="仿宋" w:cs="仿宋"/>
                <w:color w:val="0000FF"/>
                <w:kern w:val="0"/>
                <w:sz w:val="18"/>
                <w:szCs w:val="18"/>
                <w:highlight w:val="none"/>
              </w:rPr>
            </w:pPr>
            <w:r>
              <w:rPr>
                <w:rFonts w:hint="eastAsia" w:ascii="仿宋" w:hAnsi="仿宋" w:eastAsia="仿宋" w:cs="仿宋"/>
                <w:color w:val="0000FF"/>
                <w:kern w:val="0"/>
                <w:sz w:val="18"/>
                <w:szCs w:val="18"/>
                <w:highlight w:val="none"/>
              </w:rPr>
              <w:t>包4</w:t>
            </w:r>
          </w:p>
        </w:tc>
        <w:tc>
          <w:tcPr>
            <w:tcW w:w="2233"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 w:hAnsi="仿宋" w:eastAsia="仿宋" w:cs="仿宋"/>
                <w:color w:val="0000FF"/>
                <w:kern w:val="0"/>
                <w:sz w:val="18"/>
                <w:szCs w:val="18"/>
                <w:highlight w:val="none"/>
              </w:rPr>
            </w:pPr>
            <w:r>
              <w:rPr>
                <w:rFonts w:hint="eastAsia" w:ascii="仿宋" w:hAnsi="仿宋" w:eastAsia="仿宋" w:cs="仿宋"/>
                <w:color w:val="0000FF"/>
                <w:kern w:val="0"/>
                <w:sz w:val="18"/>
                <w:szCs w:val="18"/>
                <w:highlight w:val="none"/>
              </w:rPr>
              <w:t>阿克苏地区、巴音郭楞蒙古自治州、和田地区、喀什地区、克孜勒苏柯尔克孜自治州</w:t>
            </w:r>
          </w:p>
        </w:tc>
        <w:tc>
          <w:tcPr>
            <w:tcW w:w="3100"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 w:hAnsi="仿宋" w:eastAsia="仿宋" w:cs="仿宋"/>
                <w:color w:val="0000FF"/>
                <w:kern w:val="0"/>
                <w:sz w:val="18"/>
                <w:szCs w:val="18"/>
                <w:highlight w:val="none"/>
              </w:rPr>
            </w:pPr>
            <w:r>
              <w:rPr>
                <w:rFonts w:hint="eastAsia" w:ascii="仿宋" w:hAnsi="仿宋" w:eastAsia="仿宋" w:cs="仿宋"/>
                <w:color w:val="0000FF"/>
                <w:kern w:val="0"/>
                <w:sz w:val="18"/>
                <w:szCs w:val="18"/>
                <w:highlight w:val="none"/>
              </w:rPr>
              <w:t>阿拉尔市、新和县、博湖县、和静县</w:t>
            </w:r>
          </w:p>
          <w:p>
            <w:pPr>
              <w:spacing w:line="240" w:lineRule="exact"/>
              <w:jc w:val="left"/>
              <w:rPr>
                <w:rFonts w:hint="eastAsia" w:ascii="仿宋" w:hAnsi="仿宋" w:eastAsia="仿宋" w:cs="仿宋"/>
                <w:color w:val="0000FF"/>
                <w:kern w:val="0"/>
                <w:sz w:val="18"/>
                <w:szCs w:val="18"/>
                <w:highlight w:val="none"/>
              </w:rPr>
            </w:pPr>
            <w:r>
              <w:rPr>
                <w:rFonts w:hint="eastAsia" w:ascii="仿宋" w:hAnsi="仿宋" w:eastAsia="仿宋" w:cs="仿宋"/>
                <w:color w:val="0000FF"/>
                <w:kern w:val="0"/>
                <w:sz w:val="18"/>
                <w:szCs w:val="18"/>
                <w:highlight w:val="none"/>
              </w:rPr>
              <w:t>和硕县、库尔勒市、轮台县、且末县</w:t>
            </w:r>
          </w:p>
          <w:p>
            <w:pPr>
              <w:spacing w:line="240" w:lineRule="exact"/>
              <w:jc w:val="left"/>
              <w:rPr>
                <w:rFonts w:hint="eastAsia" w:ascii="仿宋" w:hAnsi="仿宋" w:eastAsia="仿宋" w:cs="仿宋"/>
                <w:color w:val="0000FF"/>
                <w:kern w:val="0"/>
                <w:sz w:val="18"/>
                <w:szCs w:val="18"/>
                <w:highlight w:val="none"/>
              </w:rPr>
            </w:pPr>
            <w:r>
              <w:rPr>
                <w:rFonts w:hint="eastAsia" w:ascii="仿宋" w:hAnsi="仿宋" w:eastAsia="仿宋" w:cs="仿宋"/>
                <w:color w:val="0000FF"/>
                <w:kern w:val="0"/>
                <w:sz w:val="18"/>
                <w:szCs w:val="18"/>
                <w:highlight w:val="none"/>
              </w:rPr>
              <w:t>若羌县、尉犁县、焉耆回族自治县、和田市、民丰县、墨玉县、皮山县、莎车县、图木舒克市、五十三团、英吉沙县、泽普县、阿克陶县、阿图什市</w:t>
            </w:r>
          </w:p>
        </w:tc>
        <w:tc>
          <w:tcPr>
            <w:tcW w:w="1016" w:type="dxa"/>
            <w:tcBorders>
              <w:top w:val="single" w:color="auto" w:sz="4" w:space="0"/>
              <w:left w:val="nil"/>
              <w:bottom w:val="single" w:color="auto" w:sz="4" w:space="0"/>
              <w:right w:val="single" w:color="auto" w:sz="4" w:space="0"/>
            </w:tcBorders>
            <w:noWrap w:val="0"/>
            <w:vAlign w:val="center"/>
          </w:tcPr>
          <w:p>
            <w:pPr>
              <w:spacing w:line="240" w:lineRule="exact"/>
              <w:ind w:firstLine="360" w:firstLineChars="200"/>
              <w:rPr>
                <w:rFonts w:hint="eastAsia" w:ascii="仿宋" w:hAnsi="仿宋" w:eastAsia="仿宋" w:cs="仿宋"/>
                <w:color w:val="0000FF"/>
                <w:kern w:val="0"/>
                <w:sz w:val="18"/>
                <w:szCs w:val="18"/>
                <w:highlight w:val="none"/>
              </w:rPr>
            </w:pPr>
            <w:r>
              <w:rPr>
                <w:rFonts w:hint="eastAsia" w:ascii="仿宋" w:hAnsi="仿宋" w:eastAsia="仿宋" w:cs="仿宋"/>
                <w:color w:val="0000FF"/>
                <w:kern w:val="0"/>
                <w:sz w:val="18"/>
                <w:szCs w:val="18"/>
                <w:highlight w:val="none"/>
              </w:rPr>
              <w:t>113</w:t>
            </w:r>
          </w:p>
        </w:tc>
        <w:tc>
          <w:tcPr>
            <w:tcW w:w="997" w:type="dxa"/>
            <w:tcBorders>
              <w:top w:val="single" w:color="auto" w:sz="4" w:space="0"/>
              <w:left w:val="nil"/>
              <w:bottom w:val="single" w:color="auto" w:sz="4" w:space="0"/>
              <w:right w:val="single" w:color="auto" w:sz="4" w:space="0"/>
            </w:tcBorders>
            <w:noWrap w:val="0"/>
            <w:vAlign w:val="center"/>
          </w:tcPr>
          <w:p>
            <w:pPr>
              <w:spacing w:line="240" w:lineRule="exact"/>
              <w:ind w:firstLine="360" w:firstLineChars="200"/>
              <w:rPr>
                <w:rFonts w:hint="eastAsia" w:ascii="仿宋" w:hAnsi="仿宋" w:eastAsia="仿宋" w:cs="仿宋"/>
                <w:color w:val="0000FF"/>
                <w:kern w:val="0"/>
                <w:sz w:val="18"/>
                <w:szCs w:val="18"/>
                <w:highlight w:val="none"/>
              </w:rPr>
            </w:pPr>
            <w:r>
              <w:rPr>
                <w:rFonts w:hint="eastAsia" w:ascii="仿宋" w:hAnsi="仿宋" w:eastAsia="仿宋" w:cs="仿宋"/>
                <w:color w:val="0000FF"/>
                <w:kern w:val="0"/>
                <w:sz w:val="18"/>
                <w:szCs w:val="18"/>
                <w:highlight w:val="none"/>
              </w:rPr>
              <w:t>8</w:t>
            </w:r>
          </w:p>
        </w:tc>
        <w:tc>
          <w:tcPr>
            <w:tcW w:w="1381" w:type="dxa"/>
            <w:tcBorders>
              <w:top w:val="single" w:color="auto" w:sz="4" w:space="0"/>
              <w:left w:val="nil"/>
              <w:bottom w:val="single" w:color="auto" w:sz="4" w:space="0"/>
              <w:right w:val="single" w:color="auto" w:sz="4" w:space="0"/>
            </w:tcBorders>
            <w:noWrap w:val="0"/>
            <w:vAlign w:val="center"/>
          </w:tcPr>
          <w:p>
            <w:pPr>
              <w:spacing w:line="240" w:lineRule="exact"/>
              <w:ind w:firstLine="360" w:firstLineChars="200"/>
              <w:rPr>
                <w:rFonts w:hint="eastAsia" w:ascii="仿宋" w:hAnsi="仿宋" w:eastAsia="仿宋" w:cs="仿宋"/>
                <w:color w:val="0000FF"/>
                <w:kern w:val="0"/>
                <w:sz w:val="18"/>
                <w:szCs w:val="18"/>
                <w:highlight w:val="none"/>
              </w:rPr>
            </w:pPr>
            <w:r>
              <w:rPr>
                <w:rFonts w:hint="eastAsia" w:ascii="仿宋" w:hAnsi="仿宋" w:eastAsia="仿宋" w:cs="仿宋"/>
                <w:color w:val="0000FF"/>
                <w:kern w:val="0"/>
                <w:sz w:val="18"/>
                <w:szCs w:val="18"/>
                <w:highlight w:val="none"/>
              </w:rPr>
              <w:t>3267</w:t>
            </w:r>
          </w:p>
        </w:tc>
      </w:tr>
      <w:tr>
        <w:tblPrEx>
          <w:tblCellMar>
            <w:top w:w="0" w:type="dxa"/>
            <w:left w:w="108" w:type="dxa"/>
            <w:bottom w:w="0" w:type="dxa"/>
            <w:right w:w="108" w:type="dxa"/>
          </w:tblCellMar>
        </w:tblPrEx>
        <w:trPr>
          <w:trHeight w:val="459" w:hRule="atLeast"/>
          <w:jc w:val="center"/>
        </w:trPr>
        <w:tc>
          <w:tcPr>
            <w:tcW w:w="5924" w:type="dxa"/>
            <w:gridSpan w:val="3"/>
            <w:tcBorders>
              <w:top w:val="single" w:color="auto" w:sz="4" w:space="0"/>
              <w:left w:val="single" w:color="auto" w:sz="4" w:space="0"/>
              <w:bottom w:val="single" w:color="auto" w:sz="4" w:space="0"/>
              <w:right w:val="single" w:color="auto" w:sz="4" w:space="0"/>
            </w:tcBorders>
            <w:noWrap w:val="0"/>
            <w:vAlign w:val="bottom"/>
          </w:tcPr>
          <w:p>
            <w:pPr>
              <w:spacing w:line="240" w:lineRule="exact"/>
              <w:jc w:val="center"/>
              <w:rPr>
                <w:rFonts w:hint="eastAsia" w:ascii="仿宋" w:hAnsi="仿宋" w:eastAsia="仿宋" w:cs="仿宋"/>
                <w:color w:val="0000FF"/>
                <w:kern w:val="0"/>
                <w:sz w:val="18"/>
                <w:szCs w:val="18"/>
                <w:highlight w:val="none"/>
              </w:rPr>
            </w:pPr>
            <w:r>
              <w:rPr>
                <w:rFonts w:hint="eastAsia" w:ascii="仿宋" w:hAnsi="仿宋" w:eastAsia="仿宋" w:cs="仿宋"/>
                <w:color w:val="0000FF"/>
                <w:sz w:val="24"/>
                <w:highlight w:val="none"/>
              </w:rPr>
              <w:t>合计</w:t>
            </w:r>
          </w:p>
        </w:tc>
        <w:tc>
          <w:tcPr>
            <w:tcW w:w="1016" w:type="dxa"/>
            <w:tcBorders>
              <w:top w:val="single" w:color="auto" w:sz="4" w:space="0"/>
              <w:left w:val="nil"/>
              <w:bottom w:val="single" w:color="auto" w:sz="4" w:space="0"/>
              <w:right w:val="single" w:color="auto" w:sz="4" w:space="0"/>
            </w:tcBorders>
            <w:noWrap w:val="0"/>
            <w:vAlign w:val="center"/>
          </w:tcPr>
          <w:p>
            <w:pPr>
              <w:spacing w:line="240" w:lineRule="exact"/>
              <w:ind w:firstLine="360" w:firstLineChars="200"/>
              <w:rPr>
                <w:rFonts w:hint="eastAsia" w:ascii="仿宋" w:hAnsi="仿宋" w:eastAsia="仿宋" w:cs="仿宋"/>
                <w:color w:val="0000FF"/>
                <w:kern w:val="0"/>
                <w:sz w:val="18"/>
                <w:szCs w:val="18"/>
                <w:highlight w:val="none"/>
              </w:rPr>
            </w:pPr>
            <w:r>
              <w:rPr>
                <w:rFonts w:hint="eastAsia" w:ascii="仿宋" w:hAnsi="仿宋" w:eastAsia="仿宋" w:cs="仿宋"/>
                <w:color w:val="0000FF"/>
                <w:kern w:val="0"/>
                <w:sz w:val="18"/>
                <w:szCs w:val="18"/>
                <w:highlight w:val="none"/>
              </w:rPr>
              <w:t>392</w:t>
            </w:r>
          </w:p>
        </w:tc>
        <w:tc>
          <w:tcPr>
            <w:tcW w:w="997" w:type="dxa"/>
            <w:tcBorders>
              <w:top w:val="single" w:color="auto" w:sz="4" w:space="0"/>
              <w:left w:val="nil"/>
              <w:bottom w:val="single" w:color="auto" w:sz="4" w:space="0"/>
              <w:right w:val="single" w:color="auto" w:sz="4" w:space="0"/>
            </w:tcBorders>
            <w:noWrap w:val="0"/>
            <w:vAlign w:val="center"/>
          </w:tcPr>
          <w:p>
            <w:pPr>
              <w:spacing w:line="240" w:lineRule="exact"/>
              <w:ind w:firstLine="360" w:firstLineChars="200"/>
              <w:rPr>
                <w:rFonts w:hint="eastAsia" w:ascii="仿宋" w:hAnsi="仿宋" w:eastAsia="仿宋" w:cs="仿宋"/>
                <w:color w:val="0000FF"/>
                <w:kern w:val="0"/>
                <w:sz w:val="18"/>
                <w:szCs w:val="18"/>
                <w:highlight w:val="none"/>
              </w:rPr>
            </w:pPr>
            <w:r>
              <w:rPr>
                <w:rFonts w:hint="eastAsia" w:ascii="仿宋" w:hAnsi="仿宋" w:eastAsia="仿宋" w:cs="仿宋"/>
                <w:color w:val="0000FF"/>
                <w:kern w:val="0"/>
                <w:sz w:val="18"/>
                <w:szCs w:val="18"/>
                <w:highlight w:val="none"/>
              </w:rPr>
              <w:t>16</w:t>
            </w:r>
          </w:p>
        </w:tc>
        <w:tc>
          <w:tcPr>
            <w:tcW w:w="1381" w:type="dxa"/>
            <w:tcBorders>
              <w:top w:val="single" w:color="auto" w:sz="4" w:space="0"/>
              <w:left w:val="nil"/>
              <w:bottom w:val="single" w:color="auto" w:sz="4" w:space="0"/>
              <w:right w:val="single" w:color="auto" w:sz="4" w:space="0"/>
            </w:tcBorders>
            <w:noWrap w:val="0"/>
            <w:vAlign w:val="center"/>
          </w:tcPr>
          <w:p>
            <w:pPr>
              <w:spacing w:line="240" w:lineRule="exact"/>
              <w:ind w:firstLine="360" w:firstLineChars="200"/>
              <w:rPr>
                <w:rFonts w:hint="eastAsia" w:ascii="仿宋" w:hAnsi="仿宋" w:eastAsia="仿宋" w:cs="仿宋"/>
                <w:color w:val="0000FF"/>
                <w:kern w:val="0"/>
                <w:sz w:val="18"/>
                <w:szCs w:val="18"/>
                <w:highlight w:val="none"/>
              </w:rPr>
            </w:pPr>
            <w:r>
              <w:rPr>
                <w:rFonts w:hint="eastAsia" w:ascii="仿宋" w:hAnsi="仿宋" w:eastAsia="仿宋" w:cs="仿宋"/>
                <w:color w:val="0000FF"/>
                <w:kern w:val="0"/>
                <w:sz w:val="18"/>
                <w:szCs w:val="18"/>
                <w:highlight w:val="none"/>
              </w:rPr>
              <w:t>11016</w:t>
            </w:r>
          </w:p>
        </w:tc>
      </w:tr>
    </w:tbl>
    <w:p>
      <w:pPr>
        <w:spacing w:line="360" w:lineRule="auto"/>
        <w:rPr>
          <w:rFonts w:hint="eastAsia" w:ascii="仿宋" w:hAnsi="仿宋" w:eastAsia="仿宋" w:cs="仿宋"/>
          <w:sz w:val="24"/>
        </w:rPr>
      </w:pPr>
    </w:p>
    <w:p>
      <w:pPr>
        <w:spacing w:line="360" w:lineRule="auto"/>
        <w:rPr>
          <w:rFonts w:ascii="仿宋" w:hAnsi="仿宋" w:eastAsia="仿宋"/>
          <w:b/>
          <w:sz w:val="24"/>
        </w:rPr>
      </w:pPr>
      <w:r>
        <w:rPr>
          <w:rFonts w:hint="eastAsia" w:ascii="仿宋" w:hAnsi="仿宋" w:eastAsia="仿宋"/>
          <w:b/>
          <w:sz w:val="24"/>
        </w:rPr>
        <w:t>3．投标人应具备下列资格条件：</w:t>
      </w:r>
    </w:p>
    <w:p>
      <w:pPr>
        <w:spacing w:line="360" w:lineRule="auto"/>
        <w:ind w:firstLine="240" w:firstLineChars="100"/>
        <w:rPr>
          <w:rFonts w:hint="eastAsia" w:ascii="仿宋" w:hAnsi="仿宋" w:eastAsia="仿宋"/>
          <w:sz w:val="24"/>
        </w:rPr>
      </w:pPr>
      <w:r>
        <w:rPr>
          <w:rFonts w:hint="eastAsia" w:ascii="仿宋" w:hAnsi="仿宋" w:eastAsia="仿宋"/>
          <w:sz w:val="24"/>
        </w:rPr>
        <w:t>1．投标人必须符合《政府采购法》第二十二条规定（投标人主体为不具备独立法人资格的分公司时，应提供其具备独立法人资格的母公司出具的允许其代表母公司参与本项目投标的授权函）。</w:t>
      </w:r>
    </w:p>
    <w:p>
      <w:pPr>
        <w:spacing w:line="360" w:lineRule="auto"/>
        <w:ind w:firstLine="240" w:firstLineChars="100"/>
        <w:rPr>
          <w:rFonts w:hint="eastAsia" w:ascii="仿宋" w:hAnsi="仿宋" w:eastAsia="仿宋"/>
          <w:sz w:val="24"/>
        </w:rPr>
      </w:pPr>
      <w:r>
        <w:rPr>
          <w:rFonts w:hint="eastAsia" w:ascii="仿宋" w:hAnsi="仿宋" w:eastAsia="仿宋"/>
          <w:sz w:val="24"/>
        </w:rPr>
        <w:t>2．投标人在试点地区应具备承揽该项目所需的相应资质，同时在试点区域应至少具备工业和信息化部颁发的 “第四代数字蜂窝移动通信业务”经营许可。</w:t>
      </w:r>
    </w:p>
    <w:p>
      <w:pPr>
        <w:spacing w:line="360" w:lineRule="auto"/>
        <w:ind w:firstLine="240" w:firstLineChars="100"/>
        <w:rPr>
          <w:rFonts w:hint="eastAsia" w:ascii="仿宋" w:hAnsi="仿宋" w:eastAsia="仿宋"/>
          <w:sz w:val="24"/>
        </w:rPr>
      </w:pPr>
      <w:r>
        <w:rPr>
          <w:rFonts w:hint="eastAsia" w:ascii="仿宋" w:hAnsi="仿宋" w:eastAsia="仿宋"/>
          <w:sz w:val="24"/>
        </w:rPr>
        <w:t>3．投标人必须具有长期经营和服务保障的能力。</w:t>
      </w:r>
    </w:p>
    <w:p>
      <w:pPr>
        <w:spacing w:line="360" w:lineRule="auto"/>
        <w:ind w:firstLine="240" w:firstLineChars="100"/>
        <w:rPr>
          <w:rFonts w:hint="eastAsia" w:ascii="仿宋" w:hAnsi="仿宋" w:eastAsia="仿宋"/>
          <w:sz w:val="24"/>
        </w:rPr>
      </w:pPr>
      <w:r>
        <w:rPr>
          <w:rFonts w:hint="eastAsia" w:ascii="仿宋" w:hAnsi="仿宋" w:eastAsia="仿宋"/>
          <w:sz w:val="24"/>
        </w:rPr>
        <w:t>4．基础电信运营企业须以省级或自治区级公司为主体参与投标和签署合同。</w:t>
      </w:r>
    </w:p>
    <w:p>
      <w:pPr>
        <w:spacing w:line="360" w:lineRule="auto"/>
        <w:ind w:firstLine="240" w:firstLineChars="100"/>
        <w:rPr>
          <w:rFonts w:hint="eastAsia" w:ascii="仿宋" w:hAnsi="仿宋" w:eastAsia="仿宋"/>
          <w:sz w:val="24"/>
        </w:rPr>
      </w:pPr>
      <w:r>
        <w:rPr>
          <w:rFonts w:hint="eastAsia" w:ascii="仿宋" w:hAnsi="仿宋" w:eastAsia="仿宋"/>
          <w:sz w:val="24"/>
        </w:rPr>
        <w:t>5．本项目接受联合体投标，联合体投标的各方均应满足资质要求。基础电信运营企业之间不能组成联合体投标，中标后不允许转包。</w:t>
      </w:r>
    </w:p>
    <w:p>
      <w:pPr>
        <w:spacing w:line="360" w:lineRule="auto"/>
        <w:ind w:firstLine="240" w:firstLineChars="100"/>
        <w:rPr>
          <w:rFonts w:hint="eastAsia" w:ascii="仿宋" w:hAnsi="仿宋" w:eastAsia="仿宋"/>
          <w:sz w:val="24"/>
        </w:rPr>
      </w:pPr>
      <w:r>
        <w:rPr>
          <w:rFonts w:hint="eastAsia" w:ascii="仿宋" w:hAnsi="仿宋" w:eastAsia="仿宋"/>
          <w:sz w:val="24"/>
        </w:rPr>
        <w:t>6.投标人或投标人的法定代表人必须为未被列入信用中国网站(www.creditchina.gov.cn)、中国政府采购网(www.ccgp.gov.cn)信用记录失信被执行人、重大税收违法案件当事人名单、政府采购严重违法失信行为记录名单。</w:t>
      </w:r>
    </w:p>
    <w:p>
      <w:pPr>
        <w:spacing w:line="360" w:lineRule="auto"/>
        <w:ind w:firstLine="240" w:firstLineChars="100"/>
        <w:rPr>
          <w:rFonts w:hint="eastAsia" w:ascii="仿宋" w:hAnsi="仿宋" w:eastAsia="仿宋"/>
          <w:sz w:val="24"/>
        </w:rPr>
      </w:pPr>
      <w:r>
        <w:rPr>
          <w:rFonts w:hint="eastAsia" w:ascii="仿宋" w:hAnsi="仿宋" w:eastAsia="仿宋"/>
          <w:sz w:val="24"/>
        </w:rPr>
        <w:t>7.符合政府采购优先（节约能源、保护环境）采购政策及促进中小企业（监狱企业、残疾人福利性单位）发展政策的，依据规定给予评审优惠。</w:t>
      </w:r>
    </w:p>
    <w:p>
      <w:pPr>
        <w:spacing w:line="360" w:lineRule="auto"/>
        <w:ind w:firstLine="240" w:firstLineChars="100"/>
        <w:rPr>
          <w:rFonts w:hint="eastAsia" w:ascii="仿宋" w:hAnsi="仿宋" w:eastAsia="仿宋"/>
          <w:sz w:val="24"/>
        </w:rPr>
      </w:pPr>
      <w:r>
        <w:rPr>
          <w:rFonts w:hint="eastAsia" w:ascii="仿宋" w:hAnsi="仿宋" w:eastAsia="仿宋"/>
          <w:sz w:val="24"/>
        </w:rPr>
        <w:t>符合法律、法规规定的其他条件。</w:t>
      </w:r>
    </w:p>
    <w:p>
      <w:pPr>
        <w:spacing w:line="360" w:lineRule="auto"/>
        <w:rPr>
          <w:rFonts w:ascii="仿宋" w:hAnsi="仿宋" w:eastAsia="仿宋"/>
          <w:b/>
          <w:sz w:val="24"/>
        </w:rPr>
      </w:pPr>
      <w:r>
        <w:rPr>
          <w:rFonts w:hint="eastAsia" w:ascii="仿宋" w:hAnsi="仿宋" w:eastAsia="仿宋"/>
          <w:b/>
          <w:sz w:val="24"/>
        </w:rPr>
        <w:t>4.招标文件售价：</w:t>
      </w:r>
    </w:p>
    <w:p>
      <w:pPr>
        <w:spacing w:line="360" w:lineRule="auto"/>
        <w:ind w:firstLine="480" w:firstLineChars="200"/>
        <w:rPr>
          <w:rFonts w:ascii="仿宋" w:hAnsi="仿宋" w:eastAsia="仿宋"/>
          <w:sz w:val="24"/>
        </w:rPr>
      </w:pPr>
      <w:r>
        <w:rPr>
          <w:rFonts w:hint="eastAsia" w:ascii="仿宋" w:hAnsi="仿宋" w:eastAsia="仿宋"/>
          <w:sz w:val="24"/>
        </w:rPr>
        <w:t>每包招标文件售价人民币200元，招标文件售后不退。</w:t>
      </w:r>
    </w:p>
    <w:p>
      <w:pPr>
        <w:spacing w:line="360" w:lineRule="auto"/>
        <w:rPr>
          <w:rFonts w:ascii="仿宋" w:hAnsi="仿宋" w:eastAsia="仿宋"/>
          <w:b/>
          <w:sz w:val="24"/>
        </w:rPr>
      </w:pPr>
      <w:r>
        <w:rPr>
          <w:rFonts w:hint="eastAsia" w:ascii="仿宋" w:hAnsi="仿宋" w:eastAsia="仿宋"/>
          <w:b/>
          <w:sz w:val="24"/>
        </w:rPr>
        <w:t>5.购买招标文件时间和地点：</w:t>
      </w:r>
    </w:p>
    <w:p>
      <w:pPr>
        <w:spacing w:line="360" w:lineRule="auto"/>
        <w:ind w:firstLine="480" w:firstLineChars="200"/>
        <w:rPr>
          <w:rFonts w:hint="eastAsia" w:ascii="仿宋" w:hAnsi="仿宋" w:eastAsia="仿宋"/>
          <w:sz w:val="24"/>
        </w:rPr>
      </w:pPr>
      <w:r>
        <w:rPr>
          <w:rFonts w:hint="eastAsia" w:ascii="仿宋" w:hAnsi="仿宋" w:eastAsia="仿宋"/>
          <w:sz w:val="24"/>
        </w:rPr>
        <w:t>凡有意参加投标者，请于</w:t>
      </w:r>
      <w:r>
        <w:rPr>
          <w:rFonts w:hint="eastAsia" w:ascii="仿宋" w:hAnsi="仿宋" w:eastAsia="仿宋"/>
          <w:color w:val="0000FF"/>
          <w:sz w:val="24"/>
        </w:rPr>
        <w:t>2022年2月</w:t>
      </w:r>
      <w:r>
        <w:rPr>
          <w:rFonts w:hint="eastAsia" w:ascii="仿宋" w:hAnsi="仿宋" w:eastAsia="仿宋"/>
          <w:color w:val="0000FF"/>
          <w:sz w:val="24"/>
          <w:lang w:val="en-US" w:eastAsia="zh-CN"/>
        </w:rPr>
        <w:t>23</w:t>
      </w:r>
      <w:r>
        <w:rPr>
          <w:rFonts w:hint="eastAsia" w:ascii="仿宋" w:hAnsi="仿宋" w:eastAsia="仿宋"/>
          <w:color w:val="0000FF"/>
          <w:sz w:val="24"/>
        </w:rPr>
        <w:t>日至2022年</w:t>
      </w:r>
      <w:r>
        <w:rPr>
          <w:rFonts w:hint="eastAsia" w:ascii="仿宋" w:hAnsi="仿宋" w:eastAsia="仿宋"/>
          <w:color w:val="0000FF"/>
          <w:sz w:val="24"/>
          <w:lang w:val="en-US" w:eastAsia="zh-CN"/>
        </w:rPr>
        <w:t>3</w:t>
      </w:r>
      <w:r>
        <w:rPr>
          <w:rFonts w:hint="eastAsia" w:ascii="仿宋" w:hAnsi="仿宋" w:eastAsia="仿宋"/>
          <w:color w:val="0000FF"/>
          <w:sz w:val="24"/>
        </w:rPr>
        <w:t>月</w:t>
      </w:r>
      <w:r>
        <w:rPr>
          <w:rFonts w:hint="eastAsia" w:ascii="仿宋" w:hAnsi="仿宋" w:eastAsia="仿宋"/>
          <w:color w:val="0000FF"/>
          <w:sz w:val="24"/>
          <w:lang w:val="en-US" w:eastAsia="zh-CN"/>
        </w:rPr>
        <w:t>3</w:t>
      </w:r>
      <w:r>
        <w:rPr>
          <w:rFonts w:hint="eastAsia" w:ascii="仿宋" w:hAnsi="仿宋" w:eastAsia="仿宋"/>
          <w:color w:val="0000FF"/>
          <w:sz w:val="24"/>
        </w:rPr>
        <w:t>日</w:t>
      </w:r>
      <w:r>
        <w:rPr>
          <w:rFonts w:hint="eastAsia" w:ascii="仿宋" w:hAnsi="仿宋" w:eastAsia="仿宋"/>
          <w:sz w:val="24"/>
        </w:rPr>
        <w:t>（节假日除外），每日9：00至17：00时（北京时间），上传法人委托书原件，税务登记证或“三证合一”证件、被委托人身份证、经营许可、其他（投标人主体为不具备独立法人资格的分公司时，应提供其具备独立法人资格的母公司出具的允许其代表母公司参与本项目投标的授权函）的复印件（加盖公章）购买文件。</w:t>
      </w:r>
    </w:p>
    <w:p>
      <w:pPr>
        <w:spacing w:line="360" w:lineRule="auto"/>
        <w:ind w:firstLine="480" w:firstLineChars="200"/>
        <w:rPr>
          <w:rFonts w:hint="eastAsia" w:ascii="仿宋" w:hAnsi="仿宋" w:eastAsia="仿宋"/>
          <w:sz w:val="24"/>
        </w:rPr>
      </w:pPr>
      <w:r>
        <w:rPr>
          <w:rFonts w:hint="eastAsia" w:ascii="仿宋" w:hAnsi="仿宋" w:eastAsia="仿宋"/>
          <w:sz w:val="24"/>
        </w:rPr>
        <w:t>报名地点：线上</w:t>
      </w:r>
    </w:p>
    <w:p>
      <w:pPr>
        <w:spacing w:line="360" w:lineRule="auto"/>
        <w:ind w:firstLine="480" w:firstLineChars="200"/>
        <w:rPr>
          <w:rFonts w:hint="eastAsia" w:ascii="仿宋" w:hAnsi="仿宋" w:eastAsia="仿宋"/>
          <w:sz w:val="24"/>
        </w:rPr>
      </w:pPr>
      <w:r>
        <w:rPr>
          <w:rFonts w:hint="eastAsia" w:ascii="仿宋" w:hAnsi="仿宋" w:eastAsia="仿宋"/>
          <w:sz w:val="24"/>
        </w:rPr>
        <w:t>本项目支持网上发售、下载电子版采购文件。凡有意购买文件的潜在供应商，请前往“中招联合招标采购平台”进行供应商注册（网址：http://www.365trade.com.cn）、购买并下载电子版采购文件。平台操作过中如需帮助，可联系平台客服热线010-86397110获取支持。潜在供应商请在标书发售截止时间前登录中招联合招标采购平台完成注册、 标书购买操作，否则将无法保证获取电子版采购文件。标书款、平台交易服务费一经收取不予退还。</w:t>
      </w:r>
    </w:p>
    <w:p>
      <w:pPr>
        <w:autoSpaceDE w:val="0"/>
        <w:autoSpaceDN w:val="0"/>
        <w:adjustRightInd w:val="0"/>
        <w:spacing w:line="360" w:lineRule="auto"/>
        <w:jc w:val="left"/>
        <w:rPr>
          <w:rFonts w:ascii="仿宋" w:hAnsi="仿宋" w:eastAsia="仿宋"/>
          <w:b/>
          <w:sz w:val="24"/>
        </w:rPr>
      </w:pPr>
      <w:r>
        <w:rPr>
          <w:rFonts w:hint="eastAsia" w:ascii="仿宋" w:hAnsi="仿宋" w:eastAsia="仿宋"/>
          <w:b/>
          <w:sz w:val="24"/>
        </w:rPr>
        <w:t>6.本项目不组织现场踏勘。</w:t>
      </w:r>
    </w:p>
    <w:p>
      <w:pPr>
        <w:spacing w:line="360" w:lineRule="auto"/>
        <w:rPr>
          <w:rFonts w:ascii="仿宋" w:hAnsi="仿宋" w:eastAsia="仿宋"/>
          <w:b/>
          <w:sz w:val="24"/>
        </w:rPr>
      </w:pPr>
      <w:r>
        <w:rPr>
          <w:rFonts w:hint="eastAsia" w:ascii="仿宋" w:hAnsi="仿宋" w:eastAsia="仿宋"/>
          <w:b/>
          <w:sz w:val="24"/>
        </w:rPr>
        <w:t>7.开标时间：</w:t>
      </w:r>
      <w:r>
        <w:rPr>
          <w:rFonts w:hint="eastAsia" w:ascii="仿宋" w:hAnsi="仿宋" w:eastAsia="仿宋"/>
          <w:b/>
          <w:color w:val="0000FF"/>
          <w:sz w:val="24"/>
        </w:rPr>
        <w:t>2022</w:t>
      </w:r>
      <w:r>
        <w:rPr>
          <w:rFonts w:hint="eastAsia" w:ascii="仿宋" w:hAnsi="仿宋" w:eastAsia="仿宋"/>
          <w:b/>
          <w:bCs w:val="0"/>
          <w:color w:val="0000FF"/>
          <w:sz w:val="24"/>
        </w:rPr>
        <w:t>年</w:t>
      </w:r>
      <w:r>
        <w:rPr>
          <w:rFonts w:hint="eastAsia" w:ascii="仿宋" w:hAnsi="仿宋" w:eastAsia="仿宋"/>
          <w:b/>
          <w:bCs w:val="0"/>
          <w:color w:val="0000FF"/>
          <w:sz w:val="24"/>
          <w:lang w:val="en-US" w:eastAsia="zh-CN"/>
        </w:rPr>
        <w:t>3</w:t>
      </w:r>
      <w:r>
        <w:rPr>
          <w:rFonts w:hint="eastAsia" w:ascii="仿宋" w:hAnsi="仿宋" w:eastAsia="仿宋"/>
          <w:b/>
          <w:bCs w:val="0"/>
          <w:color w:val="0000FF"/>
          <w:sz w:val="24"/>
        </w:rPr>
        <w:t>月</w:t>
      </w:r>
      <w:r>
        <w:rPr>
          <w:rFonts w:hint="eastAsia" w:ascii="仿宋" w:hAnsi="仿宋" w:eastAsia="仿宋"/>
          <w:b/>
          <w:bCs w:val="0"/>
          <w:color w:val="0000FF"/>
          <w:sz w:val="24"/>
          <w:lang w:val="en-US" w:eastAsia="zh-CN"/>
        </w:rPr>
        <w:t>17</w:t>
      </w:r>
      <w:r>
        <w:rPr>
          <w:rFonts w:hint="eastAsia" w:ascii="仿宋" w:hAnsi="仿宋" w:eastAsia="仿宋"/>
          <w:b/>
          <w:bCs w:val="0"/>
          <w:color w:val="0000FF"/>
          <w:sz w:val="24"/>
        </w:rPr>
        <w:t>日</w:t>
      </w:r>
      <w:r>
        <w:rPr>
          <w:rFonts w:ascii="仿宋" w:hAnsi="仿宋" w:eastAsia="仿宋"/>
          <w:b/>
          <w:bCs w:val="0"/>
          <w:color w:val="0000FF"/>
          <w:sz w:val="24"/>
        </w:rPr>
        <w:t>1</w:t>
      </w:r>
      <w:r>
        <w:rPr>
          <w:rFonts w:hint="eastAsia" w:ascii="仿宋" w:hAnsi="仿宋" w:eastAsia="仿宋"/>
          <w:b/>
          <w:bCs w:val="0"/>
          <w:color w:val="0000FF"/>
          <w:sz w:val="24"/>
        </w:rPr>
        <w:t>1:</w:t>
      </w:r>
      <w:r>
        <w:rPr>
          <w:rFonts w:ascii="仿宋" w:hAnsi="仿宋" w:eastAsia="仿宋"/>
          <w:b/>
          <w:bCs w:val="0"/>
          <w:color w:val="0000FF"/>
          <w:sz w:val="24"/>
        </w:rPr>
        <w:t>00</w:t>
      </w:r>
      <w:r>
        <w:rPr>
          <w:rFonts w:hint="eastAsia" w:ascii="仿宋" w:hAnsi="仿宋" w:eastAsia="仿宋"/>
          <w:b/>
          <w:color w:val="0000FF"/>
          <w:sz w:val="24"/>
        </w:rPr>
        <w:t>（北京时间）。</w:t>
      </w:r>
    </w:p>
    <w:p>
      <w:pPr>
        <w:spacing w:line="360" w:lineRule="auto"/>
        <w:rPr>
          <w:rFonts w:ascii="仿宋" w:hAnsi="仿宋" w:eastAsia="仿宋"/>
          <w:sz w:val="24"/>
        </w:rPr>
      </w:pPr>
      <w:r>
        <w:rPr>
          <w:rFonts w:hint="eastAsia" w:ascii="仿宋" w:hAnsi="仿宋" w:eastAsia="仿宋"/>
          <w:b/>
          <w:sz w:val="24"/>
        </w:rPr>
        <w:t>8.投标截止时间：</w:t>
      </w:r>
      <w:r>
        <w:rPr>
          <w:rFonts w:hint="eastAsia" w:ascii="仿宋" w:hAnsi="仿宋" w:eastAsia="仿宋"/>
          <w:b/>
          <w:color w:val="0000FF"/>
          <w:sz w:val="24"/>
        </w:rPr>
        <w:t>2022年</w:t>
      </w:r>
      <w:r>
        <w:rPr>
          <w:rFonts w:hint="eastAsia" w:ascii="仿宋" w:hAnsi="仿宋" w:eastAsia="仿宋"/>
          <w:b/>
          <w:color w:val="0000FF"/>
          <w:sz w:val="24"/>
          <w:lang w:val="en-US" w:eastAsia="zh-CN"/>
        </w:rPr>
        <w:t>3</w:t>
      </w:r>
      <w:r>
        <w:rPr>
          <w:rFonts w:hint="eastAsia" w:ascii="仿宋" w:hAnsi="仿宋" w:eastAsia="仿宋"/>
          <w:b/>
          <w:color w:val="0000FF"/>
          <w:sz w:val="24"/>
        </w:rPr>
        <w:t>月</w:t>
      </w:r>
      <w:r>
        <w:rPr>
          <w:rFonts w:hint="eastAsia" w:ascii="仿宋" w:hAnsi="仿宋" w:eastAsia="仿宋"/>
          <w:b/>
          <w:color w:val="0000FF"/>
          <w:sz w:val="24"/>
          <w:lang w:val="en-US" w:eastAsia="zh-CN"/>
        </w:rPr>
        <w:t>17</w:t>
      </w:r>
      <w:r>
        <w:rPr>
          <w:rFonts w:hint="eastAsia" w:ascii="仿宋" w:hAnsi="仿宋" w:eastAsia="仿宋"/>
          <w:b/>
          <w:color w:val="0000FF"/>
          <w:sz w:val="24"/>
        </w:rPr>
        <w:t>日</w:t>
      </w:r>
      <w:r>
        <w:rPr>
          <w:rFonts w:ascii="仿宋" w:hAnsi="仿宋" w:eastAsia="仿宋"/>
          <w:b/>
          <w:color w:val="0000FF"/>
          <w:sz w:val="24"/>
        </w:rPr>
        <w:t>1</w:t>
      </w:r>
      <w:r>
        <w:rPr>
          <w:rFonts w:hint="eastAsia" w:ascii="仿宋" w:hAnsi="仿宋" w:eastAsia="仿宋"/>
          <w:b/>
          <w:color w:val="0000FF"/>
          <w:sz w:val="24"/>
        </w:rPr>
        <w:t>1:</w:t>
      </w:r>
      <w:r>
        <w:rPr>
          <w:rFonts w:ascii="仿宋" w:hAnsi="仿宋" w:eastAsia="仿宋"/>
          <w:b/>
          <w:color w:val="0000FF"/>
          <w:sz w:val="24"/>
        </w:rPr>
        <w:t>00</w:t>
      </w:r>
      <w:r>
        <w:rPr>
          <w:rFonts w:hint="eastAsia" w:ascii="仿宋" w:hAnsi="仿宋" w:eastAsia="仿宋"/>
          <w:b/>
          <w:color w:val="0000FF"/>
          <w:sz w:val="24"/>
        </w:rPr>
        <w:t>（北京时间）</w:t>
      </w:r>
      <w:r>
        <w:rPr>
          <w:rFonts w:hint="eastAsia" w:ascii="仿宋" w:hAnsi="仿宋" w:eastAsia="仿宋"/>
          <w:color w:val="0000FF"/>
          <w:sz w:val="24"/>
        </w:rPr>
        <w:t>，</w:t>
      </w:r>
      <w:r>
        <w:rPr>
          <w:rFonts w:hint="eastAsia" w:ascii="仿宋" w:hAnsi="仿宋" w:eastAsia="仿宋"/>
          <w:sz w:val="24"/>
        </w:rPr>
        <w:t>逾期递交或递交不符合规定的投标文件恕不接受。</w:t>
      </w:r>
    </w:p>
    <w:p>
      <w:pPr>
        <w:spacing w:line="360" w:lineRule="auto"/>
        <w:rPr>
          <w:rFonts w:ascii="仿宋" w:hAnsi="仿宋" w:eastAsia="仿宋"/>
          <w:b/>
          <w:sz w:val="24"/>
        </w:rPr>
      </w:pPr>
      <w:bookmarkStart w:id="0" w:name="_Toc322169311"/>
      <w:bookmarkStart w:id="1" w:name="_Toc320967171"/>
      <w:bookmarkStart w:id="2" w:name="_Toc325993544"/>
      <w:r>
        <w:rPr>
          <w:rFonts w:hint="eastAsia" w:ascii="仿宋" w:hAnsi="仿宋" w:eastAsia="仿宋"/>
          <w:b/>
          <w:sz w:val="24"/>
        </w:rPr>
        <w:t>9.投标、开标地点</w:t>
      </w:r>
      <w:bookmarkEnd w:id="0"/>
      <w:bookmarkEnd w:id="1"/>
      <w:bookmarkEnd w:id="2"/>
      <w:r>
        <w:rPr>
          <w:rFonts w:hint="eastAsia" w:ascii="仿宋" w:hAnsi="仿宋" w:eastAsia="仿宋"/>
          <w:b/>
          <w:sz w:val="24"/>
        </w:rPr>
        <w:t>：</w:t>
      </w:r>
      <w:r>
        <w:rPr>
          <w:rFonts w:hint="eastAsia" w:ascii="仿宋" w:hAnsi="仿宋" w:eastAsia="仿宋"/>
          <w:sz w:val="24"/>
        </w:rPr>
        <w:t>乌鲁木齐市经开区黄山街与卫星路交叉口（乌鲁木齐轨道交通产业总部基地B座3楼）。</w:t>
      </w:r>
    </w:p>
    <w:p>
      <w:pPr>
        <w:spacing w:line="360" w:lineRule="auto"/>
        <w:rPr>
          <w:rFonts w:ascii="仿宋" w:hAnsi="仿宋" w:eastAsia="仿宋"/>
          <w:b/>
          <w:sz w:val="24"/>
        </w:rPr>
      </w:pPr>
      <w:r>
        <w:rPr>
          <w:rFonts w:hint="eastAsia" w:ascii="仿宋" w:hAnsi="仿宋" w:eastAsia="仿宋"/>
          <w:b/>
          <w:sz w:val="24"/>
        </w:rPr>
        <w:t>10.凡对本次招标提出询问，请与中招国际招标有限公司联系（询问请以信函或</w:t>
      </w:r>
    </w:p>
    <w:p>
      <w:pPr>
        <w:spacing w:line="360" w:lineRule="auto"/>
        <w:rPr>
          <w:rFonts w:ascii="仿宋" w:hAnsi="仿宋" w:eastAsia="仿宋"/>
          <w:b/>
          <w:sz w:val="24"/>
        </w:rPr>
      </w:pPr>
      <w:r>
        <w:rPr>
          <w:rFonts w:hint="eastAsia" w:ascii="仿宋" w:hAnsi="仿宋" w:eastAsia="仿宋"/>
          <w:b/>
          <w:sz w:val="24"/>
        </w:rPr>
        <w:t>传真的形式，同时加发电子邮件）。</w:t>
      </w:r>
    </w:p>
    <w:p>
      <w:pPr>
        <w:spacing w:line="360" w:lineRule="auto"/>
        <w:rPr>
          <w:rFonts w:ascii="仿宋" w:hAnsi="仿宋" w:eastAsia="仿宋"/>
          <w:b/>
          <w:sz w:val="24"/>
        </w:rPr>
      </w:pPr>
      <w:r>
        <w:rPr>
          <w:rFonts w:hint="eastAsia" w:ascii="仿宋" w:hAnsi="仿宋" w:eastAsia="仿宋"/>
          <w:b/>
          <w:sz w:val="24"/>
        </w:rPr>
        <w:t>11. 联系方式：</w:t>
      </w:r>
    </w:p>
    <w:p>
      <w:pPr>
        <w:pStyle w:val="6"/>
        <w:spacing w:line="360" w:lineRule="auto"/>
        <w:rPr>
          <w:rFonts w:hint="eastAsia" w:ascii="仿宋" w:hAnsi="仿宋" w:eastAsia="仿宋"/>
          <w:sz w:val="24"/>
        </w:rPr>
      </w:pPr>
      <w:r>
        <w:rPr>
          <w:rFonts w:hint="eastAsia" w:ascii="仿宋" w:hAnsi="仿宋" w:eastAsia="仿宋"/>
          <w:sz w:val="24"/>
        </w:rPr>
        <w:t>招标人：新疆维吾尔自治区通信管理局</w:t>
      </w:r>
    </w:p>
    <w:p>
      <w:pPr>
        <w:pStyle w:val="6"/>
        <w:spacing w:line="360" w:lineRule="auto"/>
        <w:rPr>
          <w:rFonts w:hint="eastAsia" w:ascii="仿宋" w:hAnsi="仿宋" w:eastAsia="仿宋"/>
          <w:sz w:val="24"/>
        </w:rPr>
      </w:pPr>
      <w:r>
        <w:rPr>
          <w:rFonts w:hint="eastAsia" w:ascii="仿宋" w:hAnsi="仿宋" w:eastAsia="仿宋"/>
          <w:sz w:val="24"/>
        </w:rPr>
        <w:t>联系人：高女士</w:t>
      </w:r>
    </w:p>
    <w:p>
      <w:pPr>
        <w:pStyle w:val="6"/>
        <w:spacing w:line="360" w:lineRule="auto"/>
        <w:rPr>
          <w:rFonts w:hint="eastAsia" w:ascii="仿宋" w:hAnsi="仿宋" w:eastAsia="仿宋"/>
          <w:sz w:val="24"/>
        </w:rPr>
      </w:pPr>
      <w:r>
        <w:rPr>
          <w:rFonts w:hint="eastAsia" w:ascii="仿宋" w:hAnsi="仿宋" w:eastAsia="仿宋"/>
          <w:sz w:val="24"/>
        </w:rPr>
        <w:t>电   话：0991-2388829</w:t>
      </w:r>
    </w:p>
    <w:p>
      <w:pPr>
        <w:pStyle w:val="6"/>
        <w:spacing w:line="360" w:lineRule="auto"/>
        <w:rPr>
          <w:rFonts w:hint="eastAsia" w:ascii="仿宋" w:hAnsi="仿宋" w:eastAsia="仿宋"/>
          <w:sz w:val="24"/>
        </w:rPr>
      </w:pPr>
      <w:r>
        <w:rPr>
          <w:rFonts w:hint="eastAsia" w:ascii="仿宋" w:hAnsi="仿宋" w:eastAsia="仿宋"/>
          <w:sz w:val="24"/>
        </w:rPr>
        <w:t>地   址：新疆乌鲁木齐市经济技术开发区（头屯河区）天鹅湖路501号</w:t>
      </w:r>
    </w:p>
    <w:p>
      <w:pPr>
        <w:pStyle w:val="6"/>
        <w:spacing w:line="360" w:lineRule="auto"/>
        <w:rPr>
          <w:rFonts w:hint="eastAsia" w:ascii="仿宋" w:hAnsi="仿宋" w:eastAsia="仿宋"/>
          <w:sz w:val="24"/>
        </w:rPr>
      </w:pPr>
      <w:r>
        <w:rPr>
          <w:rFonts w:hint="eastAsia" w:ascii="仿宋" w:hAnsi="仿宋" w:eastAsia="仿宋"/>
          <w:sz w:val="24"/>
        </w:rPr>
        <w:t>招标代理机构：中招国际招标有限公司</w:t>
      </w:r>
    </w:p>
    <w:p>
      <w:pPr>
        <w:pStyle w:val="6"/>
        <w:spacing w:line="360" w:lineRule="auto"/>
        <w:rPr>
          <w:rFonts w:hint="eastAsia" w:ascii="仿宋" w:hAnsi="仿宋" w:eastAsia="仿宋"/>
          <w:sz w:val="24"/>
        </w:rPr>
      </w:pPr>
      <w:r>
        <w:rPr>
          <w:rFonts w:hint="eastAsia" w:ascii="仿宋" w:hAnsi="仿宋" w:eastAsia="仿宋"/>
          <w:sz w:val="24"/>
        </w:rPr>
        <w:t xml:space="preserve">地　　址：北京市海淀区学院南路62号中关村资本大厦6层     </w:t>
      </w:r>
    </w:p>
    <w:p>
      <w:pPr>
        <w:pStyle w:val="6"/>
        <w:spacing w:line="360" w:lineRule="auto"/>
        <w:rPr>
          <w:rFonts w:hint="eastAsia" w:ascii="仿宋" w:hAnsi="仿宋" w:eastAsia="仿宋"/>
          <w:sz w:val="24"/>
        </w:rPr>
      </w:pPr>
      <w:r>
        <w:rPr>
          <w:rFonts w:hint="eastAsia" w:ascii="仿宋" w:hAnsi="仿宋" w:eastAsia="仿宋"/>
          <w:sz w:val="24"/>
        </w:rPr>
        <w:t xml:space="preserve">分公司地址：乌鲁木齐市经开区黄山街与卫星路交叉口（乌鲁木齐轨道交通产业总部基地B座3楼） </w:t>
      </w:r>
    </w:p>
    <w:p>
      <w:pPr>
        <w:pStyle w:val="6"/>
        <w:spacing w:line="360" w:lineRule="auto"/>
        <w:rPr>
          <w:rFonts w:hint="eastAsia" w:ascii="仿宋" w:hAnsi="仿宋" w:eastAsia="仿宋"/>
          <w:sz w:val="24"/>
        </w:rPr>
      </w:pPr>
      <w:r>
        <w:rPr>
          <w:rFonts w:hint="eastAsia" w:ascii="仿宋" w:hAnsi="仿宋" w:eastAsia="仿宋"/>
          <w:sz w:val="24"/>
        </w:rPr>
        <w:t xml:space="preserve">电　　话：18999825252 </w:t>
      </w:r>
    </w:p>
    <w:p>
      <w:r>
        <w:rPr>
          <w:rFonts w:hint="eastAsia" w:ascii="仿宋" w:hAnsi="仿宋" w:eastAsia="仿宋"/>
        </w:rPr>
        <w:t>联 系 人：廖超、刘卫星、李娜</w:t>
      </w: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3A6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beforeLines="0" w:after="120" w:afterLines="0" w:line="300" w:lineRule="auto"/>
      <w:jc w:val="center"/>
      <w:outlineLvl w:val="0"/>
    </w:pPr>
    <w:rPr>
      <w:rFonts w:ascii="宋体"/>
      <w:b/>
      <w:kern w:val="44"/>
      <w:sz w:val="32"/>
      <w:szCs w:val="2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spacing w:line="360" w:lineRule="auto"/>
      <w:ind w:firstLine="560" w:firstLineChars="200"/>
    </w:pPr>
    <w:rPr>
      <w:rFonts w:ascii="Arial" w:hAnsi="Arial"/>
      <w:sz w:val="28"/>
      <w:szCs w:val="28"/>
    </w:rPr>
  </w:style>
  <w:style w:type="paragraph" w:customStyle="1" w:styleId="6">
    <w:name w:val="Plain Text"/>
    <w:basedOn w:val="1"/>
    <w:qFormat/>
    <w:uiPriority w:val="0"/>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2022-02-21T10:29:24Z</dcterms:created>
  <dc:creator>ldwar</dc:creator>
  <cp:lastModifiedBy>A liao</cp:lastModifiedBy>
  <dcterms:modified xsi:type="dcterms:W3CDTF">2022-02-21T10:29:41Z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FE9748D2DB584705AD783E1E983D3046</vt:lpwstr>
  </property>
</Properties>
</file>