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tLeast"/>
        <w:ind w:left="540"/>
        <w:rPr>
          <w:rFonts w:ascii="仿宋" w:hAnsi="仿宋" w:eastAsia="仿宋"/>
        </w:rPr>
      </w:pPr>
      <w:r>
        <w:rPr>
          <w:rFonts w:hint="eastAsia" w:ascii="仿宋" w:hAnsi="仿宋" w:eastAsia="仿宋"/>
        </w:rPr>
        <w:t>投标邀请</w:t>
      </w:r>
    </w:p>
    <w:p>
      <w:pPr>
        <w:rPr>
          <w:rFonts w:ascii="仿宋" w:hAnsi="仿宋" w:eastAsia="仿宋"/>
        </w:rPr>
      </w:pPr>
    </w:p>
    <w:p>
      <w:pPr>
        <w:spacing w:line="360" w:lineRule="auto"/>
        <w:ind w:firstLine="482"/>
        <w:rPr>
          <w:rFonts w:ascii="仿宋" w:hAnsi="仿宋" w:eastAsia="仿宋"/>
          <w:sz w:val="24"/>
        </w:rPr>
      </w:pPr>
      <w:r>
        <w:rPr>
          <w:rFonts w:hint="eastAsia" w:ascii="仿宋" w:hAnsi="仿宋" w:eastAsia="仿宋" w:cs="仿宋"/>
          <w:sz w:val="24"/>
          <w:u w:val="single"/>
        </w:rPr>
        <w:t>中招国际招标有限公司</w:t>
      </w:r>
      <w:r>
        <w:rPr>
          <w:rFonts w:hint="eastAsia" w:ascii="仿宋" w:hAnsi="仿宋" w:eastAsia="仿宋" w:cs="仿宋"/>
          <w:sz w:val="24"/>
        </w:rPr>
        <w:t>受</w:t>
      </w:r>
      <w:r>
        <w:rPr>
          <w:rFonts w:hint="eastAsia" w:ascii="仿宋" w:hAnsi="仿宋" w:eastAsia="仿宋" w:cs="仿宋"/>
          <w:sz w:val="24"/>
          <w:u w:val="single"/>
        </w:rPr>
        <w:t>新疆维吾尔自治区通信管理局</w:t>
      </w:r>
      <w:r>
        <w:rPr>
          <w:rFonts w:hint="eastAsia" w:ascii="仿宋" w:hAnsi="仿宋" w:eastAsia="仿宋" w:cs="仿宋"/>
          <w:sz w:val="24"/>
        </w:rPr>
        <w:t>委托，对</w:t>
      </w:r>
      <w:r>
        <w:rPr>
          <w:rFonts w:hint="eastAsia" w:ascii="仿宋" w:hAnsi="仿宋" w:eastAsia="仿宋" w:cs="仿宋"/>
          <w:sz w:val="24"/>
          <w:u w:val="single"/>
        </w:rPr>
        <w:t>新疆维吾尔自治区2022年度电信普遍服务试点(行政村)项目</w:t>
      </w:r>
      <w:r>
        <w:rPr>
          <w:rFonts w:hint="eastAsia" w:ascii="仿宋" w:hAnsi="仿宋" w:eastAsia="仿宋" w:cs="仿宋"/>
          <w:sz w:val="24"/>
        </w:rPr>
        <w:t>进行国内公开招标。现邀请合格的投标人前来投标</w:t>
      </w:r>
      <w:r>
        <w:rPr>
          <w:rFonts w:hint="eastAsia" w:ascii="仿宋" w:hAnsi="仿宋" w:eastAsia="仿宋"/>
          <w:sz w:val="24"/>
        </w:rPr>
        <w:t>。</w:t>
      </w:r>
    </w:p>
    <w:p>
      <w:pPr>
        <w:ind w:firstLine="480"/>
        <w:rPr>
          <w:rFonts w:hint="eastAsia" w:ascii="仿宋" w:hAnsi="仿宋" w:eastAsia="仿宋" w:cs="仿宋"/>
          <w:b/>
          <w:sz w:val="24"/>
        </w:rPr>
      </w:pPr>
      <w:r>
        <w:rPr>
          <w:rFonts w:hint="eastAsia" w:ascii="仿宋" w:hAnsi="仿宋" w:eastAsia="仿宋" w:cs="仿宋"/>
          <w:b/>
          <w:sz w:val="24"/>
        </w:rPr>
        <w:t>1、招标条件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pPr>
        <w:tabs>
          <w:tab w:val="left" w:pos="1470"/>
        </w:tabs>
        <w:spacing w:line="360" w:lineRule="auto"/>
        <w:ind w:firstLine="480" w:firstLineChars="200"/>
        <w:rPr>
          <w:rFonts w:hint="eastAsia" w:ascii="仿宋" w:hAnsi="仿宋" w:eastAsia="仿宋" w:cs="仿宋"/>
          <w:sz w:val="24"/>
        </w:rPr>
      </w:pPr>
      <w:r>
        <w:rPr>
          <w:rFonts w:hint="eastAsia" w:ascii="仿宋" w:hAnsi="仿宋" w:eastAsia="仿宋" w:cs="仿宋"/>
          <w:color w:val="0000FF"/>
          <w:sz w:val="24"/>
          <w:highlight w:val="none"/>
        </w:rPr>
        <w:t>按照《财政部 工业和信息化部关于深入推进电信普遍服务试点工作的通知》（财建〔2018〕226号）、《工业和信息化部办公厅 财政部办公厅关于组织实施电信普遍服务试点工作的指导意见》（工信厅联通信〔2016〕34号）、财政部关于提前下达2022年电信普遍服务补助资金预算的通知（财建〔2021〕333号），工业和信息化部办公厅 财政部办公厅关于印发《2022年度电信普遍服务申报指南》的通知（工信厅联通信函〔2021〕227号），工业和信息化部办公厅关于2022年度电信普遍服务项目的复函（工厅通信〔2021〕933号），</w:t>
      </w:r>
      <w:r>
        <w:rPr>
          <w:rFonts w:hint="eastAsia" w:ascii="仿宋" w:hAnsi="仿宋" w:eastAsia="仿宋" w:cs="仿宋"/>
          <w:sz w:val="24"/>
        </w:rPr>
        <w:t>本项目已由工业和信息化部、财政部批准建设，经新疆维吾尔自治区财政厅审批，本项目试点行政村按服务类形式进行公开招标，招标人为新疆维吾尔自治区通信管理局，招标代理机构为中招国际招标有限公司。该项目建设资金来源于中央财政补助、企业自筹，并已具备招标条件，现进行国内公开招标。</w:t>
      </w:r>
    </w:p>
    <w:p>
      <w:pPr>
        <w:adjustRightInd w:val="0"/>
        <w:snapToGrid w:val="0"/>
        <w:spacing w:line="360" w:lineRule="auto"/>
        <w:ind w:firstLine="480" w:firstLineChars="200"/>
        <w:outlineLvl w:val="4"/>
        <w:rPr>
          <w:rFonts w:hint="eastAsia" w:ascii="仿宋" w:hAnsi="仿宋" w:eastAsia="仿宋" w:cs="仿宋"/>
          <w:sz w:val="24"/>
        </w:rPr>
      </w:pPr>
      <w:r>
        <w:rPr>
          <w:rFonts w:hint="eastAsia" w:ascii="仿宋" w:hAnsi="仿宋" w:eastAsia="仿宋" w:cs="仿宋"/>
          <w:sz w:val="24"/>
        </w:rPr>
        <w:t>*招标范围：</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1．项目概况：按照“中央资金引导、地方协调支持、企业为主推进”的思路，为加快农村及偏远地区4G网络建设，试点支持行政村5G网络覆盖，为培育一批有助于乡村振兴发展的5G示范应用提供基础网络支撑。工业和信息化部、财政部组织开展了2022年度电信普遍服务试点工作。</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2．项目内容：按《申报指南》、《指导意见》要求，本项目以中央财政补助的形式,支持完成项目所在地试点行政村及兵团连队4G、5G基站建设及运行维护,涉及行政村4G基站392个, 行政村5G基站16个。中央财政补助资金用于4G、5G基站设备、配套传输设备、引入光缆等的建设成本,4G、5G设施的6年运维成本、铁塔及配套机房和电源等设施6年租用费。</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*资金到位或资金来源落实情况：项目投资资金来源于财政资金已落实。项目预算金额：11016万元。</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*项目已具备招标条件的说明：本项目已具备招标条件。</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项目目标：推进我区行政村（含兵团连队，下同）4G网络深度覆盖，4G信号应覆盖村委会或行政村内的较大规模人口聚居区（含搬迁安置点），学校、卫生室、养老服务机构和老年活动中心等公共机构，生产作业区（如农业产业园、林区、牧场等），景区及交通要道沿线等任一区域，试点支持行政村5G网络覆盖，为培育一批有助于乡村振兴发展的5G示范应用提供基础网络支撑。并覆盖合同约定的其他范围，为加快建设网络强国，巩固拓展脱贫攻坚成果，全面推进乡村振兴提供坚实的网络支撑。</w:t>
      </w:r>
    </w:p>
    <w:p>
      <w:pPr>
        <w:pStyle w:val="2"/>
        <w:rPr>
          <w:rFonts w:hint="eastAsia"/>
        </w:rPr>
      </w:pPr>
    </w:p>
    <w:p>
      <w:pPr>
        <w:ind w:firstLine="480"/>
        <w:rPr>
          <w:rFonts w:hint="eastAsia" w:ascii="仿宋" w:hAnsi="仿宋" w:eastAsia="仿宋" w:cs="仿宋"/>
          <w:b/>
          <w:sz w:val="24"/>
        </w:rPr>
      </w:pPr>
      <w:r>
        <w:rPr>
          <w:rFonts w:hint="eastAsia" w:ascii="仿宋" w:hAnsi="仿宋" w:eastAsia="仿宋" w:cs="仿宋"/>
          <w:b/>
          <w:sz w:val="24"/>
        </w:rPr>
        <w:t>2、招标内容</w:t>
      </w:r>
    </w:p>
    <w:p>
      <w:pPr>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*项目编号：TC210Q1AC </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*实施地点：新疆伊犁哈萨克自治州、喀什地区、阿克苏地区、哈密市等地区（详见招标文件）。</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*项目规模：依据《工业和信息化部办公厅关于2022年度电信普遍服务申报方案的复函》（工厅通信〔2021〕933号），本次涉及行政村4G基站392个, 行政村5G基站16个的电信普遍服务试点建设工作，建设标准和技术参数及相关内容详见招标文件。</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*项目工期：项目应于2022年10月底前完成,项目完成后4G基站信号应覆盖村委会、学校、卫生窒等主要公共服务机构及至少一处人口聚居区(优先20户以上的),并能按要求提供相应服务。</w:t>
      </w:r>
    </w:p>
    <w:p>
      <w:pPr>
        <w:tabs>
          <w:tab w:val="left" w:pos="1470"/>
        </w:tabs>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*标包划分：本项目按区域共划分为4个标包，每个投标人允许兼投兼中。</w:t>
      </w:r>
    </w:p>
    <w:tbl>
      <w:tblPr>
        <w:tblStyle w:val="4"/>
        <w:tblW w:w="9318" w:type="dxa"/>
        <w:jc w:val="center"/>
        <w:tblLayout w:type="autofit"/>
        <w:tblCellMar>
          <w:top w:w="0" w:type="dxa"/>
          <w:left w:w="108" w:type="dxa"/>
          <w:bottom w:w="0" w:type="dxa"/>
          <w:right w:w="108" w:type="dxa"/>
        </w:tblCellMar>
      </w:tblPr>
      <w:tblGrid>
        <w:gridCol w:w="591"/>
        <w:gridCol w:w="2233"/>
        <w:gridCol w:w="3100"/>
        <w:gridCol w:w="1016"/>
        <w:gridCol w:w="997"/>
        <w:gridCol w:w="1381"/>
      </w:tblGrid>
      <w:tr>
        <w:tblPrEx>
          <w:tblCellMar>
            <w:top w:w="0" w:type="dxa"/>
            <w:left w:w="108" w:type="dxa"/>
            <w:bottom w:w="0" w:type="dxa"/>
            <w:right w:w="108" w:type="dxa"/>
          </w:tblCellMar>
        </w:tblPrEx>
        <w:trPr>
          <w:trHeight w:val="52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项目</w:t>
            </w:r>
          </w:p>
        </w:tc>
        <w:tc>
          <w:tcPr>
            <w:tcW w:w="2233"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区域</w:t>
            </w:r>
          </w:p>
        </w:tc>
        <w:tc>
          <w:tcPr>
            <w:tcW w:w="31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基站站点</w:t>
            </w:r>
          </w:p>
        </w:tc>
        <w:tc>
          <w:tcPr>
            <w:tcW w:w="101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4G基站数（个）</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5G基站数（个）</w:t>
            </w:r>
          </w:p>
        </w:tc>
        <w:tc>
          <w:tcPr>
            <w:tcW w:w="138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中央补助资金</w:t>
            </w:r>
          </w:p>
          <w:p>
            <w:pPr>
              <w:spacing w:line="240" w:lineRule="exact"/>
              <w:jc w:val="center"/>
              <w:rPr>
                <w:rFonts w:hint="eastAsia" w:ascii="仿宋" w:hAnsi="仿宋" w:eastAsia="仿宋" w:cs="仿宋"/>
                <w:b/>
                <w:bCs/>
                <w:color w:val="0000FF"/>
                <w:kern w:val="0"/>
                <w:sz w:val="18"/>
                <w:szCs w:val="18"/>
                <w:highlight w:val="none"/>
              </w:rPr>
            </w:pPr>
            <w:r>
              <w:rPr>
                <w:rFonts w:hint="eastAsia" w:ascii="仿宋" w:hAnsi="仿宋" w:eastAsia="仿宋" w:cs="仿宋"/>
                <w:b/>
                <w:bCs/>
                <w:color w:val="0000FF"/>
                <w:kern w:val="0"/>
                <w:sz w:val="18"/>
                <w:szCs w:val="18"/>
                <w:highlight w:val="none"/>
              </w:rPr>
              <w:t>（万元）</w:t>
            </w:r>
          </w:p>
        </w:tc>
      </w:tr>
      <w:tr>
        <w:tblPrEx>
          <w:tblCellMar>
            <w:top w:w="0" w:type="dxa"/>
            <w:left w:w="108" w:type="dxa"/>
            <w:bottom w:w="0" w:type="dxa"/>
            <w:right w:w="108" w:type="dxa"/>
          </w:tblCellMar>
        </w:tblPrEx>
        <w:trPr>
          <w:trHeight w:val="86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包1</w:t>
            </w:r>
          </w:p>
        </w:tc>
        <w:tc>
          <w:tcPr>
            <w:tcW w:w="2233" w:type="dxa"/>
            <w:tcBorders>
              <w:top w:val="single" w:color="auto" w:sz="4" w:space="0"/>
              <w:left w:val="nil"/>
              <w:bottom w:val="single" w:color="auto" w:sz="4" w:space="0"/>
              <w:right w:val="single" w:color="auto" w:sz="4" w:space="0"/>
            </w:tcBorders>
            <w:noWrap w:val="0"/>
            <w:vAlign w:val="center"/>
          </w:tcPr>
          <w:p>
            <w:pPr>
              <w:spacing w:line="240" w:lineRule="exact"/>
              <w:jc w:val="left"/>
              <w:textAlignment w:val="center"/>
              <w:rPr>
                <w:rFonts w:hint="eastAsia" w:ascii="仿宋" w:hAnsi="仿宋" w:eastAsia="仿宋" w:cs="仿宋"/>
                <w:b/>
                <w:color w:val="0000FF"/>
                <w:sz w:val="22"/>
                <w:szCs w:val="22"/>
                <w:highlight w:val="none"/>
              </w:rPr>
            </w:pPr>
            <w:r>
              <w:rPr>
                <w:rFonts w:hint="eastAsia" w:ascii="仿宋" w:hAnsi="仿宋" w:eastAsia="仿宋" w:cs="仿宋"/>
                <w:color w:val="0000FF"/>
                <w:kern w:val="0"/>
                <w:sz w:val="18"/>
                <w:szCs w:val="18"/>
                <w:highlight w:val="none"/>
              </w:rPr>
              <w:t>昌吉回族自治州、哈密市、喀什地区、塔城地区、伊犁哈萨克自治州</w:t>
            </w:r>
          </w:p>
        </w:tc>
        <w:tc>
          <w:tcPr>
            <w:tcW w:w="3100"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五家渠市、巴里坤县、伽师县、麦盖提县、沙湾市、乌苏市、巩留县、尼勒克县</w:t>
            </w:r>
          </w:p>
        </w:tc>
        <w:tc>
          <w:tcPr>
            <w:tcW w:w="1016"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66</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w:t>
            </w:r>
          </w:p>
        </w:tc>
        <w:tc>
          <w:tcPr>
            <w:tcW w:w="1381"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1782</w:t>
            </w:r>
          </w:p>
        </w:tc>
      </w:tr>
      <w:tr>
        <w:tblPrEx>
          <w:tblCellMar>
            <w:top w:w="0" w:type="dxa"/>
            <w:left w:w="108" w:type="dxa"/>
            <w:bottom w:w="0" w:type="dxa"/>
            <w:right w:w="108" w:type="dxa"/>
          </w:tblCellMar>
        </w:tblPrEx>
        <w:trPr>
          <w:trHeight w:val="861"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包2</w:t>
            </w:r>
          </w:p>
        </w:tc>
        <w:tc>
          <w:tcPr>
            <w:tcW w:w="2233"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博尔塔拉蒙古自治州、昌吉回族自治州、哈密市、吐鲁番市、伊犁哈萨克自治州、阿勒泰地区</w:t>
            </w:r>
          </w:p>
        </w:tc>
        <w:tc>
          <w:tcPr>
            <w:tcW w:w="3100"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博乐市、精河县、阜康市、吉木萨尔县、玛纳斯、奇台县、十三师新星市</w:t>
            </w:r>
          </w:p>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伊吾县、伊州区、鄯善县、可克达拉市、新源县、伊宁县、昭苏县、阿勒泰市、北屯市、福海县、哈巴河县</w:t>
            </w:r>
          </w:p>
        </w:tc>
        <w:tc>
          <w:tcPr>
            <w:tcW w:w="1016"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55</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w:t>
            </w:r>
          </w:p>
        </w:tc>
        <w:tc>
          <w:tcPr>
            <w:tcW w:w="1381"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1512</w:t>
            </w:r>
          </w:p>
        </w:tc>
      </w:tr>
      <w:tr>
        <w:tblPrEx>
          <w:tblCellMar>
            <w:top w:w="0" w:type="dxa"/>
            <w:left w:w="108" w:type="dxa"/>
            <w:bottom w:w="0" w:type="dxa"/>
            <w:right w:w="108" w:type="dxa"/>
          </w:tblCellMar>
        </w:tblPrEx>
        <w:trPr>
          <w:trHeight w:val="106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包3</w:t>
            </w:r>
          </w:p>
        </w:tc>
        <w:tc>
          <w:tcPr>
            <w:tcW w:w="2233"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阿克苏地区、阿勒泰地区、昌吉回族自治州、塔城地区、和田地区、喀什地区、克孜勒苏柯尔克孜自治州</w:t>
            </w:r>
          </w:p>
        </w:tc>
        <w:tc>
          <w:tcPr>
            <w:tcW w:w="3100"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阿克苏市、阿瓦提县、拜城县、库车市、沙雅县、温宿县、乌什县、青河县、昌吉市、呼图壁县、木垒县、额敏县、策勒县、和田县、洛浦县、于田县、巴楚县、喀什市、疏附县、疏勒县、叶城二牧场、叶城县、岳普湖县、乌恰县</w:t>
            </w:r>
          </w:p>
        </w:tc>
        <w:tc>
          <w:tcPr>
            <w:tcW w:w="1016"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158</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7</w:t>
            </w:r>
          </w:p>
        </w:tc>
        <w:tc>
          <w:tcPr>
            <w:tcW w:w="1381"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4455</w:t>
            </w:r>
          </w:p>
        </w:tc>
      </w:tr>
      <w:tr>
        <w:tblPrEx>
          <w:tblCellMar>
            <w:top w:w="0" w:type="dxa"/>
            <w:left w:w="108" w:type="dxa"/>
            <w:bottom w:w="0" w:type="dxa"/>
            <w:right w:w="108" w:type="dxa"/>
          </w:tblCellMar>
        </w:tblPrEx>
        <w:trPr>
          <w:trHeight w:val="884"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包4</w:t>
            </w:r>
          </w:p>
        </w:tc>
        <w:tc>
          <w:tcPr>
            <w:tcW w:w="2233"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阿克苏地区、巴音郭楞蒙古自治州、和田地区、喀什地区、克孜勒苏柯尔克孜自治州</w:t>
            </w:r>
          </w:p>
        </w:tc>
        <w:tc>
          <w:tcPr>
            <w:tcW w:w="3100" w:type="dxa"/>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阿拉尔市、新和县、博湖县、和静县</w:t>
            </w:r>
          </w:p>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和硕县、库尔勒市、轮台县、且末县</w:t>
            </w:r>
          </w:p>
          <w:p>
            <w:pPr>
              <w:spacing w:line="240" w:lineRule="exact"/>
              <w:jc w:val="left"/>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若羌县、尉犁县、焉耆回族自治县、和田市、民丰县、墨玉县、皮山县、莎车县、图木舒克市、五十三团、英吉沙县、泽普县、阿克陶县、阿图什市</w:t>
            </w:r>
          </w:p>
        </w:tc>
        <w:tc>
          <w:tcPr>
            <w:tcW w:w="1016"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113</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8</w:t>
            </w:r>
          </w:p>
        </w:tc>
        <w:tc>
          <w:tcPr>
            <w:tcW w:w="1381"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3267</w:t>
            </w:r>
          </w:p>
        </w:tc>
      </w:tr>
      <w:tr>
        <w:tblPrEx>
          <w:tblCellMar>
            <w:top w:w="0" w:type="dxa"/>
            <w:left w:w="108" w:type="dxa"/>
            <w:bottom w:w="0" w:type="dxa"/>
            <w:right w:w="108" w:type="dxa"/>
          </w:tblCellMar>
        </w:tblPrEx>
        <w:trPr>
          <w:trHeight w:val="459" w:hRule="atLeast"/>
          <w:jc w:val="center"/>
        </w:trPr>
        <w:tc>
          <w:tcPr>
            <w:tcW w:w="5924" w:type="dxa"/>
            <w:gridSpan w:val="3"/>
            <w:tcBorders>
              <w:top w:val="single" w:color="auto" w:sz="4" w:space="0"/>
              <w:left w:val="single" w:color="auto" w:sz="4" w:space="0"/>
              <w:bottom w:val="single" w:color="auto" w:sz="4" w:space="0"/>
              <w:right w:val="single" w:color="auto" w:sz="4" w:space="0"/>
            </w:tcBorders>
            <w:noWrap w:val="0"/>
            <w:vAlign w:val="bottom"/>
          </w:tcPr>
          <w:p>
            <w:pPr>
              <w:spacing w:line="240" w:lineRule="exact"/>
              <w:jc w:val="center"/>
              <w:rPr>
                <w:rFonts w:hint="eastAsia" w:ascii="仿宋" w:hAnsi="仿宋" w:eastAsia="仿宋" w:cs="仿宋"/>
                <w:color w:val="0000FF"/>
                <w:kern w:val="0"/>
                <w:sz w:val="18"/>
                <w:szCs w:val="18"/>
                <w:highlight w:val="none"/>
              </w:rPr>
            </w:pPr>
            <w:r>
              <w:rPr>
                <w:rFonts w:hint="eastAsia" w:ascii="仿宋" w:hAnsi="仿宋" w:eastAsia="仿宋" w:cs="仿宋"/>
                <w:color w:val="0000FF"/>
                <w:sz w:val="24"/>
                <w:highlight w:val="none"/>
              </w:rPr>
              <w:t>合计</w:t>
            </w:r>
          </w:p>
        </w:tc>
        <w:tc>
          <w:tcPr>
            <w:tcW w:w="1016"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392</w:t>
            </w:r>
          </w:p>
        </w:tc>
        <w:tc>
          <w:tcPr>
            <w:tcW w:w="997"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16</w:t>
            </w:r>
          </w:p>
        </w:tc>
        <w:tc>
          <w:tcPr>
            <w:tcW w:w="1381" w:type="dxa"/>
            <w:tcBorders>
              <w:top w:val="single" w:color="auto" w:sz="4" w:space="0"/>
              <w:left w:val="nil"/>
              <w:bottom w:val="single" w:color="auto" w:sz="4" w:space="0"/>
              <w:right w:val="single" w:color="auto" w:sz="4" w:space="0"/>
            </w:tcBorders>
            <w:noWrap w:val="0"/>
            <w:vAlign w:val="center"/>
          </w:tcPr>
          <w:p>
            <w:pPr>
              <w:spacing w:line="240" w:lineRule="exact"/>
              <w:ind w:firstLine="360" w:firstLineChars="200"/>
              <w:rPr>
                <w:rFonts w:hint="eastAsia" w:ascii="仿宋" w:hAnsi="仿宋" w:eastAsia="仿宋" w:cs="仿宋"/>
                <w:color w:val="0000FF"/>
                <w:kern w:val="0"/>
                <w:sz w:val="18"/>
                <w:szCs w:val="18"/>
                <w:highlight w:val="none"/>
              </w:rPr>
            </w:pPr>
            <w:r>
              <w:rPr>
                <w:rFonts w:hint="eastAsia" w:ascii="仿宋" w:hAnsi="仿宋" w:eastAsia="仿宋" w:cs="仿宋"/>
                <w:color w:val="0000FF"/>
                <w:kern w:val="0"/>
                <w:sz w:val="18"/>
                <w:szCs w:val="18"/>
                <w:highlight w:val="none"/>
              </w:rPr>
              <w:t>11016</w:t>
            </w:r>
          </w:p>
        </w:tc>
      </w:tr>
    </w:tbl>
    <w:p>
      <w:pPr>
        <w:spacing w:line="360" w:lineRule="auto"/>
        <w:rPr>
          <w:rFonts w:hint="eastAsia" w:ascii="仿宋" w:hAnsi="仿宋" w:eastAsia="仿宋" w:cs="仿宋"/>
          <w:sz w:val="24"/>
        </w:rPr>
      </w:pPr>
    </w:p>
    <w:p>
      <w:pPr>
        <w:spacing w:line="360" w:lineRule="auto"/>
        <w:rPr>
          <w:rFonts w:ascii="仿宋" w:hAnsi="仿宋" w:eastAsia="仿宋"/>
          <w:b/>
          <w:sz w:val="24"/>
        </w:rPr>
      </w:pPr>
      <w:r>
        <w:rPr>
          <w:rFonts w:hint="eastAsia" w:ascii="仿宋" w:hAnsi="仿宋" w:eastAsia="仿宋"/>
          <w:b/>
          <w:sz w:val="24"/>
        </w:rPr>
        <w:t>3．投标人应具备下列资格条件：</w:t>
      </w:r>
    </w:p>
    <w:p>
      <w:pPr>
        <w:spacing w:line="360" w:lineRule="auto"/>
        <w:ind w:firstLine="240" w:firstLineChars="100"/>
        <w:rPr>
          <w:rFonts w:hint="eastAsia" w:ascii="仿宋" w:hAnsi="仿宋" w:eastAsia="仿宋"/>
          <w:sz w:val="24"/>
        </w:rPr>
      </w:pPr>
      <w:r>
        <w:rPr>
          <w:rFonts w:hint="eastAsia" w:ascii="仿宋" w:hAnsi="仿宋" w:eastAsia="仿宋"/>
          <w:sz w:val="24"/>
        </w:rPr>
        <w:t>1．投标人必须符合《政府采购法》第二十二条规定（投标人主体为不具备独立法人资格的分公司时，应提供其具备独立法人资格的母公司出具的允许其代表母公司参与本项目投标的授权函）。</w:t>
      </w:r>
    </w:p>
    <w:p>
      <w:pPr>
        <w:spacing w:line="360" w:lineRule="auto"/>
        <w:ind w:firstLine="240" w:firstLineChars="100"/>
        <w:rPr>
          <w:rFonts w:hint="eastAsia" w:ascii="仿宋" w:hAnsi="仿宋" w:eastAsia="仿宋"/>
          <w:sz w:val="24"/>
        </w:rPr>
      </w:pPr>
      <w:r>
        <w:rPr>
          <w:rFonts w:hint="eastAsia" w:ascii="仿宋" w:hAnsi="仿宋" w:eastAsia="仿宋"/>
          <w:sz w:val="24"/>
        </w:rPr>
        <w:t>2．投标人在试点地区应具备承揽该项目所需的相应资质，同时在试点区域应至少具备工业和信息化部颁发的 “第四代数字蜂窝移动通信业务”经营许可。</w:t>
      </w:r>
    </w:p>
    <w:p>
      <w:pPr>
        <w:spacing w:line="360" w:lineRule="auto"/>
        <w:ind w:firstLine="240" w:firstLineChars="100"/>
        <w:rPr>
          <w:rFonts w:hint="eastAsia" w:ascii="仿宋" w:hAnsi="仿宋" w:eastAsia="仿宋"/>
          <w:sz w:val="24"/>
        </w:rPr>
      </w:pPr>
      <w:r>
        <w:rPr>
          <w:rFonts w:hint="eastAsia" w:ascii="仿宋" w:hAnsi="仿宋" w:eastAsia="仿宋"/>
          <w:sz w:val="24"/>
        </w:rPr>
        <w:t>3．投标人必须具有长期经营和服务保障的能力。</w:t>
      </w:r>
    </w:p>
    <w:p>
      <w:pPr>
        <w:spacing w:line="360" w:lineRule="auto"/>
        <w:ind w:firstLine="240" w:firstLineChars="100"/>
        <w:rPr>
          <w:rFonts w:hint="eastAsia" w:ascii="仿宋" w:hAnsi="仿宋" w:eastAsia="仿宋"/>
          <w:sz w:val="24"/>
        </w:rPr>
      </w:pPr>
      <w:r>
        <w:rPr>
          <w:rFonts w:hint="eastAsia" w:ascii="仿宋" w:hAnsi="仿宋" w:eastAsia="仿宋"/>
          <w:sz w:val="24"/>
        </w:rPr>
        <w:t>4．基础电信运营企业须以省级或自治区级公司为主体参与投标和签署合同。</w:t>
      </w:r>
    </w:p>
    <w:p>
      <w:pPr>
        <w:spacing w:line="360" w:lineRule="auto"/>
        <w:ind w:firstLine="240" w:firstLineChars="100"/>
        <w:rPr>
          <w:rFonts w:hint="eastAsia" w:ascii="仿宋" w:hAnsi="仿宋" w:eastAsia="仿宋"/>
          <w:sz w:val="24"/>
        </w:rPr>
      </w:pPr>
      <w:r>
        <w:rPr>
          <w:rFonts w:hint="eastAsia" w:ascii="仿宋" w:hAnsi="仿宋" w:eastAsia="仿宋"/>
          <w:sz w:val="24"/>
        </w:rPr>
        <w:t>5．本项目接受联合体投标，联合体投标的各方均应满足资质要求。基础电信运营企业之间不能组成联合体投标，中标后不允许转包。</w:t>
      </w:r>
    </w:p>
    <w:p>
      <w:pPr>
        <w:spacing w:line="360" w:lineRule="auto"/>
        <w:ind w:firstLine="240" w:firstLineChars="100"/>
        <w:rPr>
          <w:rFonts w:hint="eastAsia" w:ascii="仿宋" w:hAnsi="仿宋" w:eastAsia="仿宋"/>
          <w:sz w:val="24"/>
        </w:rPr>
      </w:pPr>
      <w:r>
        <w:rPr>
          <w:rFonts w:hint="eastAsia" w:ascii="仿宋" w:hAnsi="仿宋" w:eastAsia="仿宋"/>
          <w:sz w:val="24"/>
        </w:rPr>
        <w:t>6.投标人或投标人的法定代表人必须为未被列入信用中国网站(www.creditchina.gov.cn)、中国政府采购网(www.ccgp.gov.cn)信用记录失信被执行人、重大税收违法案件当事人名单、政府采购严重违法失信行为记录名单。</w:t>
      </w:r>
    </w:p>
    <w:p>
      <w:pPr>
        <w:spacing w:line="360" w:lineRule="auto"/>
        <w:ind w:firstLine="240" w:firstLineChars="100"/>
        <w:rPr>
          <w:rFonts w:hint="eastAsia" w:ascii="仿宋" w:hAnsi="仿宋" w:eastAsia="仿宋"/>
          <w:sz w:val="24"/>
        </w:rPr>
      </w:pPr>
      <w:r>
        <w:rPr>
          <w:rFonts w:hint="eastAsia" w:ascii="仿宋" w:hAnsi="仿宋" w:eastAsia="仿宋"/>
          <w:sz w:val="24"/>
        </w:rPr>
        <w:t>7.符合政府采购优先（节约能源、保护环境）采购政策及促进中小企业（监狱企业、残疾人福利性单位）发展政策的，依据规定给予评审优惠。</w:t>
      </w:r>
    </w:p>
    <w:p>
      <w:pPr>
        <w:spacing w:line="360" w:lineRule="auto"/>
        <w:ind w:firstLine="240" w:firstLineChars="100"/>
        <w:rPr>
          <w:rFonts w:hint="eastAsia" w:ascii="仿宋" w:hAnsi="仿宋" w:eastAsia="仿宋"/>
          <w:sz w:val="24"/>
        </w:rPr>
      </w:pPr>
      <w:r>
        <w:rPr>
          <w:rFonts w:hint="eastAsia" w:ascii="仿宋" w:hAnsi="仿宋" w:eastAsia="仿宋"/>
          <w:sz w:val="24"/>
        </w:rPr>
        <w:t>符合法律、法规规定的其他条件。</w:t>
      </w:r>
    </w:p>
    <w:p>
      <w:pPr>
        <w:spacing w:line="360" w:lineRule="auto"/>
        <w:rPr>
          <w:rFonts w:ascii="仿宋" w:hAnsi="仿宋" w:eastAsia="仿宋"/>
          <w:b/>
          <w:sz w:val="24"/>
        </w:rPr>
      </w:pPr>
      <w:r>
        <w:rPr>
          <w:rFonts w:hint="eastAsia" w:ascii="仿宋" w:hAnsi="仿宋" w:eastAsia="仿宋"/>
          <w:b/>
          <w:sz w:val="24"/>
        </w:rPr>
        <w:t>4.招标文件售价：</w:t>
      </w:r>
    </w:p>
    <w:p>
      <w:pPr>
        <w:spacing w:line="360" w:lineRule="auto"/>
        <w:ind w:firstLine="480" w:firstLineChars="200"/>
        <w:rPr>
          <w:rFonts w:ascii="仿宋" w:hAnsi="仿宋" w:eastAsia="仿宋"/>
          <w:sz w:val="24"/>
        </w:rPr>
      </w:pPr>
      <w:r>
        <w:rPr>
          <w:rFonts w:hint="eastAsia" w:ascii="仿宋" w:hAnsi="仿宋" w:eastAsia="仿宋"/>
          <w:sz w:val="24"/>
        </w:rPr>
        <w:t>每包招标文件售价人民币200元，招标文件售后不退。</w:t>
      </w:r>
    </w:p>
    <w:p>
      <w:pPr>
        <w:spacing w:line="360" w:lineRule="auto"/>
        <w:rPr>
          <w:rFonts w:ascii="仿宋" w:hAnsi="仿宋" w:eastAsia="仿宋"/>
          <w:b/>
          <w:sz w:val="24"/>
        </w:rPr>
      </w:pPr>
      <w:r>
        <w:rPr>
          <w:rFonts w:hint="eastAsia" w:ascii="仿宋" w:hAnsi="仿宋" w:eastAsia="仿宋"/>
          <w:b/>
          <w:sz w:val="24"/>
        </w:rPr>
        <w:t>5.购买招标文件时间和地点：</w:t>
      </w:r>
    </w:p>
    <w:p>
      <w:pPr>
        <w:spacing w:line="360" w:lineRule="auto"/>
        <w:ind w:firstLine="480" w:firstLineChars="200"/>
        <w:rPr>
          <w:rFonts w:hint="eastAsia" w:ascii="仿宋" w:hAnsi="仿宋" w:eastAsia="仿宋"/>
          <w:sz w:val="24"/>
        </w:rPr>
      </w:pPr>
      <w:r>
        <w:rPr>
          <w:rFonts w:hint="eastAsia" w:ascii="仿宋" w:hAnsi="仿宋" w:eastAsia="仿宋"/>
          <w:sz w:val="24"/>
        </w:rPr>
        <w:t>凡有意参加投标者，请于</w:t>
      </w:r>
      <w:r>
        <w:rPr>
          <w:rFonts w:hint="eastAsia" w:ascii="仿宋" w:hAnsi="仿宋" w:eastAsia="仿宋"/>
          <w:color w:val="0000FF"/>
          <w:sz w:val="24"/>
        </w:rPr>
        <w:t>2022年2月</w:t>
      </w:r>
      <w:r>
        <w:rPr>
          <w:rFonts w:hint="eastAsia" w:ascii="仿宋" w:hAnsi="仿宋" w:eastAsia="仿宋"/>
          <w:color w:val="0000FF"/>
          <w:sz w:val="24"/>
          <w:lang w:val="en-US" w:eastAsia="zh-CN"/>
        </w:rPr>
        <w:t>23</w:t>
      </w:r>
      <w:r>
        <w:rPr>
          <w:rFonts w:hint="eastAsia" w:ascii="仿宋" w:hAnsi="仿宋" w:eastAsia="仿宋"/>
          <w:color w:val="0000FF"/>
          <w:sz w:val="24"/>
        </w:rPr>
        <w:t>日至2022年</w:t>
      </w:r>
      <w:r>
        <w:rPr>
          <w:rFonts w:hint="eastAsia" w:ascii="仿宋" w:hAnsi="仿宋" w:eastAsia="仿宋"/>
          <w:color w:val="0000FF"/>
          <w:sz w:val="24"/>
          <w:lang w:val="en-US" w:eastAsia="zh-CN"/>
        </w:rPr>
        <w:t>3</w:t>
      </w:r>
      <w:r>
        <w:rPr>
          <w:rFonts w:hint="eastAsia" w:ascii="仿宋" w:hAnsi="仿宋" w:eastAsia="仿宋"/>
          <w:color w:val="0000FF"/>
          <w:sz w:val="24"/>
        </w:rPr>
        <w:t>月</w:t>
      </w:r>
      <w:r>
        <w:rPr>
          <w:rFonts w:hint="eastAsia" w:ascii="仿宋" w:hAnsi="仿宋" w:eastAsia="仿宋"/>
          <w:color w:val="0000FF"/>
          <w:sz w:val="24"/>
          <w:lang w:val="en-US" w:eastAsia="zh-CN"/>
        </w:rPr>
        <w:t>3</w:t>
      </w:r>
      <w:r>
        <w:rPr>
          <w:rFonts w:hint="eastAsia" w:ascii="仿宋" w:hAnsi="仿宋" w:eastAsia="仿宋"/>
          <w:color w:val="0000FF"/>
          <w:sz w:val="24"/>
        </w:rPr>
        <w:t>日</w:t>
      </w:r>
      <w:r>
        <w:rPr>
          <w:rFonts w:hint="eastAsia" w:ascii="仿宋" w:hAnsi="仿宋" w:eastAsia="仿宋"/>
          <w:sz w:val="24"/>
        </w:rPr>
        <w:t>（节假日除外），每日9：00至17：00时（北京时间），上传法人委托书原件，税务登记证或“三证合一”证件、被委托人身份证、经营许可、其他（投标人主体为不具备独立法人资格的分公司时，应提供其具备独立法人资格的母公司出具的允许其代表母公司参与本项目投标的授权函）的复印件（加盖公章）购买文件。</w:t>
      </w:r>
    </w:p>
    <w:p>
      <w:pPr>
        <w:spacing w:line="360" w:lineRule="auto"/>
        <w:ind w:firstLine="480" w:firstLineChars="200"/>
        <w:rPr>
          <w:rFonts w:hint="eastAsia" w:ascii="仿宋" w:hAnsi="仿宋" w:eastAsia="仿宋"/>
          <w:sz w:val="24"/>
        </w:rPr>
      </w:pPr>
      <w:r>
        <w:rPr>
          <w:rFonts w:hint="eastAsia" w:ascii="仿宋" w:hAnsi="仿宋" w:eastAsia="仿宋"/>
          <w:sz w:val="24"/>
        </w:rPr>
        <w:t>报名地点：线上</w:t>
      </w:r>
    </w:p>
    <w:p>
      <w:pPr>
        <w:spacing w:line="360" w:lineRule="auto"/>
        <w:ind w:firstLine="480" w:firstLineChars="200"/>
        <w:rPr>
          <w:rFonts w:hint="eastAsia" w:ascii="仿宋" w:hAnsi="仿宋" w:eastAsia="仿宋"/>
          <w:sz w:val="24"/>
        </w:rPr>
      </w:pPr>
      <w:r>
        <w:rPr>
          <w:rFonts w:hint="eastAsia" w:ascii="仿宋" w:hAnsi="仿宋" w:eastAsia="仿宋"/>
          <w:sz w:val="24"/>
        </w:rPr>
        <w:t>本项目支持网上发售、下载电子版采购文件。凡有意购买文件的潜在供应商，请前往“中招联合招标采购平台”进行供应商注册（网址：http://www.365trade.com.cn）、购买并下载电子版采购文件。平台操作过中如需帮助，可联系平台客服热线010-86397110获取支持。潜在供应商请在标书发售截止时间前登录中招联合招标采购平台完成注册、 标书购买操作，否则将无法保证获取电子版采购文件。标书款、平台交易服务费一经收取不予退还。</w:t>
      </w:r>
    </w:p>
    <w:p>
      <w:pPr>
        <w:autoSpaceDE w:val="0"/>
        <w:autoSpaceDN w:val="0"/>
        <w:adjustRightInd w:val="0"/>
        <w:spacing w:line="360" w:lineRule="auto"/>
        <w:jc w:val="left"/>
        <w:rPr>
          <w:rFonts w:ascii="仿宋" w:hAnsi="仿宋" w:eastAsia="仿宋"/>
          <w:b/>
          <w:sz w:val="24"/>
        </w:rPr>
      </w:pPr>
      <w:r>
        <w:rPr>
          <w:rFonts w:hint="eastAsia" w:ascii="仿宋" w:hAnsi="仿宋" w:eastAsia="仿宋"/>
          <w:b/>
          <w:sz w:val="24"/>
        </w:rPr>
        <w:t>6.本项目不组织现场踏勘。</w:t>
      </w:r>
    </w:p>
    <w:p>
      <w:pPr>
        <w:spacing w:line="360" w:lineRule="auto"/>
        <w:rPr>
          <w:rFonts w:ascii="仿宋" w:hAnsi="仿宋" w:eastAsia="仿宋"/>
          <w:b/>
          <w:sz w:val="24"/>
        </w:rPr>
      </w:pPr>
      <w:r>
        <w:rPr>
          <w:rFonts w:hint="eastAsia" w:ascii="仿宋" w:hAnsi="仿宋" w:eastAsia="仿宋"/>
          <w:b/>
          <w:sz w:val="24"/>
        </w:rPr>
        <w:t>7.开标时间：</w:t>
      </w:r>
      <w:r>
        <w:rPr>
          <w:rFonts w:hint="eastAsia" w:ascii="仿宋" w:hAnsi="仿宋" w:eastAsia="仿宋"/>
          <w:b/>
          <w:color w:val="0000FF"/>
          <w:sz w:val="24"/>
        </w:rPr>
        <w:t>2022</w:t>
      </w:r>
      <w:r>
        <w:rPr>
          <w:rFonts w:hint="eastAsia" w:ascii="仿宋" w:hAnsi="仿宋" w:eastAsia="仿宋"/>
          <w:b/>
          <w:bCs w:val="0"/>
          <w:color w:val="0000FF"/>
          <w:sz w:val="24"/>
        </w:rPr>
        <w:t>年</w:t>
      </w:r>
      <w:r>
        <w:rPr>
          <w:rFonts w:hint="eastAsia" w:ascii="仿宋" w:hAnsi="仿宋" w:eastAsia="仿宋"/>
          <w:b/>
          <w:bCs w:val="0"/>
          <w:color w:val="0000FF"/>
          <w:sz w:val="24"/>
          <w:lang w:val="en-US" w:eastAsia="zh-CN"/>
        </w:rPr>
        <w:t>3</w:t>
      </w:r>
      <w:r>
        <w:rPr>
          <w:rFonts w:hint="eastAsia" w:ascii="仿宋" w:hAnsi="仿宋" w:eastAsia="仿宋"/>
          <w:b/>
          <w:bCs w:val="0"/>
          <w:color w:val="0000FF"/>
          <w:sz w:val="24"/>
        </w:rPr>
        <w:t>月</w:t>
      </w:r>
      <w:r>
        <w:rPr>
          <w:rFonts w:hint="eastAsia" w:ascii="仿宋" w:hAnsi="仿宋" w:eastAsia="仿宋"/>
          <w:b/>
          <w:bCs w:val="0"/>
          <w:color w:val="0000FF"/>
          <w:sz w:val="24"/>
          <w:lang w:val="en-US" w:eastAsia="zh-CN"/>
        </w:rPr>
        <w:t>17</w:t>
      </w:r>
      <w:r>
        <w:rPr>
          <w:rFonts w:hint="eastAsia" w:ascii="仿宋" w:hAnsi="仿宋" w:eastAsia="仿宋"/>
          <w:b/>
          <w:bCs w:val="0"/>
          <w:color w:val="0000FF"/>
          <w:sz w:val="24"/>
        </w:rPr>
        <w:t>日</w:t>
      </w:r>
      <w:r>
        <w:rPr>
          <w:rFonts w:ascii="仿宋" w:hAnsi="仿宋" w:eastAsia="仿宋"/>
          <w:b/>
          <w:bCs w:val="0"/>
          <w:color w:val="0000FF"/>
          <w:sz w:val="24"/>
        </w:rPr>
        <w:t>1</w:t>
      </w:r>
      <w:r>
        <w:rPr>
          <w:rFonts w:hint="eastAsia" w:ascii="仿宋" w:hAnsi="仿宋" w:eastAsia="仿宋"/>
          <w:b/>
          <w:bCs w:val="0"/>
          <w:color w:val="0000FF"/>
          <w:sz w:val="24"/>
        </w:rPr>
        <w:t>1:</w:t>
      </w:r>
      <w:r>
        <w:rPr>
          <w:rFonts w:ascii="仿宋" w:hAnsi="仿宋" w:eastAsia="仿宋"/>
          <w:b/>
          <w:bCs w:val="0"/>
          <w:color w:val="0000FF"/>
          <w:sz w:val="24"/>
        </w:rPr>
        <w:t>00</w:t>
      </w:r>
      <w:r>
        <w:rPr>
          <w:rFonts w:hint="eastAsia" w:ascii="仿宋" w:hAnsi="仿宋" w:eastAsia="仿宋"/>
          <w:b/>
          <w:color w:val="0000FF"/>
          <w:sz w:val="24"/>
        </w:rPr>
        <w:t>（北京时间）。</w:t>
      </w:r>
    </w:p>
    <w:p>
      <w:pPr>
        <w:spacing w:line="360" w:lineRule="auto"/>
        <w:rPr>
          <w:rFonts w:ascii="仿宋" w:hAnsi="仿宋" w:eastAsia="仿宋"/>
          <w:sz w:val="24"/>
        </w:rPr>
      </w:pPr>
      <w:r>
        <w:rPr>
          <w:rFonts w:hint="eastAsia" w:ascii="仿宋" w:hAnsi="仿宋" w:eastAsia="仿宋"/>
          <w:b/>
          <w:sz w:val="24"/>
        </w:rPr>
        <w:t>8.投标截止时间：</w:t>
      </w:r>
      <w:r>
        <w:rPr>
          <w:rFonts w:hint="eastAsia" w:ascii="仿宋" w:hAnsi="仿宋" w:eastAsia="仿宋"/>
          <w:b/>
          <w:color w:val="0000FF"/>
          <w:sz w:val="24"/>
        </w:rPr>
        <w:t>2022年</w:t>
      </w:r>
      <w:r>
        <w:rPr>
          <w:rFonts w:hint="eastAsia" w:ascii="仿宋" w:hAnsi="仿宋" w:eastAsia="仿宋"/>
          <w:b/>
          <w:color w:val="0000FF"/>
          <w:sz w:val="24"/>
          <w:lang w:val="en-US" w:eastAsia="zh-CN"/>
        </w:rPr>
        <w:t>3</w:t>
      </w:r>
      <w:r>
        <w:rPr>
          <w:rFonts w:hint="eastAsia" w:ascii="仿宋" w:hAnsi="仿宋" w:eastAsia="仿宋"/>
          <w:b/>
          <w:color w:val="0000FF"/>
          <w:sz w:val="24"/>
        </w:rPr>
        <w:t>月</w:t>
      </w:r>
      <w:r>
        <w:rPr>
          <w:rFonts w:hint="eastAsia" w:ascii="仿宋" w:hAnsi="仿宋" w:eastAsia="仿宋"/>
          <w:b/>
          <w:color w:val="0000FF"/>
          <w:sz w:val="24"/>
          <w:lang w:val="en-US" w:eastAsia="zh-CN"/>
        </w:rPr>
        <w:t>17</w:t>
      </w:r>
      <w:r>
        <w:rPr>
          <w:rFonts w:hint="eastAsia" w:ascii="仿宋" w:hAnsi="仿宋" w:eastAsia="仿宋"/>
          <w:b/>
          <w:color w:val="0000FF"/>
          <w:sz w:val="24"/>
        </w:rPr>
        <w:t>日</w:t>
      </w:r>
      <w:r>
        <w:rPr>
          <w:rFonts w:ascii="仿宋" w:hAnsi="仿宋" w:eastAsia="仿宋"/>
          <w:b/>
          <w:color w:val="0000FF"/>
          <w:sz w:val="24"/>
        </w:rPr>
        <w:t>1</w:t>
      </w:r>
      <w:r>
        <w:rPr>
          <w:rFonts w:hint="eastAsia" w:ascii="仿宋" w:hAnsi="仿宋" w:eastAsia="仿宋"/>
          <w:b/>
          <w:color w:val="0000FF"/>
          <w:sz w:val="24"/>
        </w:rPr>
        <w:t>1:</w:t>
      </w:r>
      <w:r>
        <w:rPr>
          <w:rFonts w:ascii="仿宋" w:hAnsi="仿宋" w:eastAsia="仿宋"/>
          <w:b/>
          <w:color w:val="0000FF"/>
          <w:sz w:val="24"/>
        </w:rPr>
        <w:t>00</w:t>
      </w:r>
      <w:r>
        <w:rPr>
          <w:rFonts w:hint="eastAsia" w:ascii="仿宋" w:hAnsi="仿宋" w:eastAsia="仿宋"/>
          <w:b/>
          <w:color w:val="0000FF"/>
          <w:sz w:val="24"/>
        </w:rPr>
        <w:t>（北京时间）</w:t>
      </w:r>
      <w:r>
        <w:rPr>
          <w:rFonts w:hint="eastAsia" w:ascii="仿宋" w:hAnsi="仿宋" w:eastAsia="仿宋"/>
          <w:color w:val="0000FF"/>
          <w:sz w:val="24"/>
        </w:rPr>
        <w:t>，</w:t>
      </w:r>
      <w:r>
        <w:rPr>
          <w:rFonts w:hint="eastAsia" w:ascii="仿宋" w:hAnsi="仿宋" w:eastAsia="仿宋"/>
          <w:sz w:val="24"/>
        </w:rPr>
        <w:t>逾期递交或递交不符合规定的投标文件恕不接受。</w:t>
      </w:r>
    </w:p>
    <w:p>
      <w:pPr>
        <w:spacing w:line="360" w:lineRule="auto"/>
        <w:rPr>
          <w:rFonts w:ascii="仿宋" w:hAnsi="仿宋" w:eastAsia="仿宋"/>
          <w:b/>
          <w:sz w:val="24"/>
        </w:rPr>
      </w:pPr>
      <w:bookmarkStart w:id="0" w:name="_Toc322169311"/>
      <w:bookmarkStart w:id="1" w:name="_Toc320967171"/>
      <w:bookmarkStart w:id="2" w:name="_Toc325993544"/>
      <w:r>
        <w:rPr>
          <w:rFonts w:hint="eastAsia" w:ascii="仿宋" w:hAnsi="仿宋" w:eastAsia="仿宋"/>
          <w:b/>
          <w:sz w:val="24"/>
        </w:rPr>
        <w:t>9.投标、开标地点</w:t>
      </w:r>
      <w:bookmarkEnd w:id="0"/>
      <w:bookmarkEnd w:id="1"/>
      <w:bookmarkEnd w:id="2"/>
      <w:r>
        <w:rPr>
          <w:rFonts w:hint="eastAsia" w:ascii="仿宋" w:hAnsi="仿宋" w:eastAsia="仿宋"/>
          <w:b/>
          <w:sz w:val="24"/>
        </w:rPr>
        <w:t>：</w:t>
      </w:r>
      <w:r>
        <w:rPr>
          <w:rFonts w:hint="eastAsia" w:ascii="仿宋" w:hAnsi="仿宋" w:eastAsia="仿宋"/>
          <w:sz w:val="24"/>
        </w:rPr>
        <w:t>乌鲁木齐市经开区黄山街与卫星路交叉口（乌鲁木齐轨道交通产业总部基地B座3楼）。</w:t>
      </w:r>
    </w:p>
    <w:p>
      <w:pPr>
        <w:spacing w:line="360" w:lineRule="auto"/>
        <w:rPr>
          <w:rFonts w:ascii="仿宋" w:hAnsi="仿宋" w:eastAsia="仿宋"/>
          <w:b/>
          <w:sz w:val="24"/>
        </w:rPr>
      </w:pPr>
      <w:r>
        <w:rPr>
          <w:rFonts w:hint="eastAsia" w:ascii="仿宋" w:hAnsi="仿宋" w:eastAsia="仿宋"/>
          <w:b/>
          <w:sz w:val="24"/>
        </w:rPr>
        <w:t>10.凡对本次招标提出询问，请与中招国际招标有限公司联系（询问请以信函或</w:t>
      </w:r>
    </w:p>
    <w:p>
      <w:pPr>
        <w:spacing w:line="360" w:lineRule="auto"/>
        <w:rPr>
          <w:rFonts w:ascii="仿宋" w:hAnsi="仿宋" w:eastAsia="仿宋"/>
          <w:b/>
          <w:sz w:val="24"/>
        </w:rPr>
      </w:pPr>
      <w:r>
        <w:rPr>
          <w:rFonts w:hint="eastAsia" w:ascii="仿宋" w:hAnsi="仿宋" w:eastAsia="仿宋"/>
          <w:b/>
          <w:sz w:val="24"/>
        </w:rPr>
        <w:t>传真的形式，同时加发电子邮件）。</w:t>
      </w:r>
    </w:p>
    <w:p>
      <w:pPr>
        <w:spacing w:line="360" w:lineRule="auto"/>
        <w:rPr>
          <w:rFonts w:ascii="仿宋" w:hAnsi="仿宋" w:eastAsia="仿宋"/>
          <w:b/>
          <w:sz w:val="24"/>
        </w:rPr>
      </w:pPr>
      <w:r>
        <w:rPr>
          <w:rFonts w:hint="eastAsia" w:ascii="仿宋" w:hAnsi="仿宋" w:eastAsia="仿宋"/>
          <w:b/>
          <w:sz w:val="24"/>
        </w:rPr>
        <w:t>11. 联系方式：</w:t>
      </w:r>
    </w:p>
    <w:p>
      <w:pPr>
        <w:pStyle w:val="6"/>
        <w:spacing w:line="360" w:lineRule="auto"/>
        <w:rPr>
          <w:rFonts w:hint="eastAsia" w:ascii="仿宋" w:hAnsi="仿宋" w:eastAsia="仿宋"/>
          <w:sz w:val="24"/>
        </w:rPr>
      </w:pPr>
      <w:r>
        <w:rPr>
          <w:rFonts w:hint="eastAsia" w:ascii="仿宋" w:hAnsi="仿宋" w:eastAsia="仿宋"/>
          <w:sz w:val="24"/>
        </w:rPr>
        <w:t>招标人：新疆维吾尔自治区通信管理局</w:t>
      </w:r>
    </w:p>
    <w:p>
      <w:pPr>
        <w:pStyle w:val="6"/>
        <w:spacing w:line="360" w:lineRule="auto"/>
        <w:rPr>
          <w:rFonts w:hint="eastAsia" w:ascii="仿宋" w:hAnsi="仿宋" w:eastAsia="仿宋"/>
          <w:sz w:val="24"/>
        </w:rPr>
      </w:pPr>
      <w:r>
        <w:rPr>
          <w:rFonts w:hint="eastAsia" w:ascii="仿宋" w:hAnsi="仿宋" w:eastAsia="仿宋"/>
          <w:sz w:val="24"/>
        </w:rPr>
        <w:t>联系人：高女士</w:t>
      </w:r>
    </w:p>
    <w:p>
      <w:pPr>
        <w:pStyle w:val="6"/>
        <w:spacing w:line="360" w:lineRule="auto"/>
        <w:rPr>
          <w:rFonts w:hint="eastAsia" w:ascii="仿宋" w:hAnsi="仿宋" w:eastAsia="仿宋"/>
          <w:sz w:val="24"/>
        </w:rPr>
      </w:pPr>
      <w:r>
        <w:rPr>
          <w:rFonts w:hint="eastAsia" w:ascii="仿宋" w:hAnsi="仿宋" w:eastAsia="仿宋"/>
          <w:sz w:val="24"/>
        </w:rPr>
        <w:t>电   话：0991-2388829</w:t>
      </w:r>
    </w:p>
    <w:p>
      <w:pPr>
        <w:pStyle w:val="6"/>
        <w:spacing w:line="360" w:lineRule="auto"/>
        <w:rPr>
          <w:rFonts w:hint="eastAsia" w:ascii="仿宋" w:hAnsi="仿宋" w:eastAsia="仿宋"/>
          <w:sz w:val="24"/>
        </w:rPr>
      </w:pPr>
      <w:r>
        <w:rPr>
          <w:rFonts w:hint="eastAsia" w:ascii="仿宋" w:hAnsi="仿宋" w:eastAsia="仿宋"/>
          <w:sz w:val="24"/>
        </w:rPr>
        <w:t>地   址：新疆乌鲁木齐市经济技术开发区（头屯河区）天鹅湖路501号</w:t>
      </w:r>
    </w:p>
    <w:p>
      <w:pPr>
        <w:pStyle w:val="6"/>
        <w:spacing w:line="360" w:lineRule="auto"/>
        <w:rPr>
          <w:rFonts w:hint="eastAsia" w:ascii="仿宋" w:hAnsi="仿宋" w:eastAsia="仿宋"/>
          <w:sz w:val="24"/>
        </w:rPr>
      </w:pPr>
      <w:r>
        <w:rPr>
          <w:rFonts w:hint="eastAsia" w:ascii="仿宋" w:hAnsi="仿宋" w:eastAsia="仿宋"/>
          <w:sz w:val="24"/>
        </w:rPr>
        <w:t>招标代理机构：中招国际招标有限公司</w:t>
      </w:r>
    </w:p>
    <w:p>
      <w:pPr>
        <w:pStyle w:val="6"/>
        <w:spacing w:line="360" w:lineRule="auto"/>
        <w:rPr>
          <w:rFonts w:hint="eastAsia" w:ascii="仿宋" w:hAnsi="仿宋" w:eastAsia="仿宋"/>
          <w:sz w:val="24"/>
        </w:rPr>
      </w:pPr>
      <w:r>
        <w:rPr>
          <w:rFonts w:hint="eastAsia" w:ascii="仿宋" w:hAnsi="仿宋" w:eastAsia="仿宋"/>
          <w:sz w:val="24"/>
        </w:rPr>
        <w:t xml:space="preserve">地　　址：北京市海淀区学院南路62号中关村资本大厦6层     </w:t>
      </w:r>
    </w:p>
    <w:p>
      <w:pPr>
        <w:pStyle w:val="6"/>
        <w:spacing w:line="360" w:lineRule="auto"/>
        <w:rPr>
          <w:rFonts w:hint="eastAsia" w:ascii="仿宋" w:hAnsi="仿宋" w:eastAsia="仿宋"/>
          <w:sz w:val="24"/>
        </w:rPr>
      </w:pPr>
      <w:r>
        <w:rPr>
          <w:rFonts w:hint="eastAsia" w:ascii="仿宋" w:hAnsi="仿宋" w:eastAsia="仿宋"/>
          <w:sz w:val="24"/>
        </w:rPr>
        <w:t xml:space="preserve">分公司地址：乌鲁木齐市经开区黄山街与卫星路交叉口（乌鲁木齐轨道交通产业总部基地B座3楼） </w:t>
      </w:r>
    </w:p>
    <w:p>
      <w:pPr>
        <w:pStyle w:val="6"/>
        <w:spacing w:line="360" w:lineRule="auto"/>
        <w:rPr>
          <w:rFonts w:hint="eastAsia" w:ascii="仿宋" w:hAnsi="仿宋" w:eastAsia="仿宋"/>
          <w:sz w:val="24"/>
        </w:rPr>
      </w:pPr>
      <w:r>
        <w:rPr>
          <w:rFonts w:hint="eastAsia" w:ascii="仿宋" w:hAnsi="仿宋" w:eastAsia="仿宋"/>
          <w:sz w:val="24"/>
        </w:rPr>
        <w:t xml:space="preserve">电　　话：18999825252 </w:t>
      </w:r>
    </w:p>
    <w:p>
      <w:r>
        <w:rPr>
          <w:rFonts w:hint="eastAsia" w:ascii="仿宋" w:hAnsi="仿宋" w:eastAsia="仿宋"/>
        </w:rPr>
        <w:t>联 系 人：廖超、刘卫星、李娜</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A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spacing w:line="360" w:lineRule="auto"/>
      <w:ind w:firstLine="560" w:firstLineChars="200"/>
    </w:pPr>
    <w:rPr>
      <w:rFonts w:ascii="Arial" w:hAnsi="Arial"/>
      <w:sz w:val="28"/>
      <w:szCs w:val="28"/>
    </w:rPr>
  </w:style>
  <w:style w:type="paragraph" w:customStyle="1" w:styleId="6">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2022-02-21T10:29:24Z</dcterms:created>
  <dc:creator>ldwar</dc:creator>
  <cp:lastModifiedBy>A liao</cp:lastModifiedBy>
  <dcterms:modified xsi:type="dcterms:W3CDTF">2022-02-21T10:29:41Z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FE9748D2DB584705AD783E1E983D3046</vt:lpwstr>
  </property>
</Properties>
</file>