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b/>
          <w:bCs/>
          <w:color w:val="000000" w:themeColor="text1"/>
          <w:sz w:val="56"/>
          <w:szCs w:val="56"/>
          <w:lang w:val="en-US" w:eastAsia="zh-CN"/>
          <w14:textFill>
            <w14:solidFill>
              <w14:schemeClr w14:val="tx1"/>
            </w14:solidFill>
          </w14:textFill>
        </w:rPr>
      </w:pP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b/>
          <w:bCs/>
          <w:color w:val="000000" w:themeColor="text1"/>
          <w:sz w:val="56"/>
          <w:szCs w:val="56"/>
          <w:lang w:val="en-US" w:eastAsia="zh-CN"/>
          <w14:textFill>
            <w14:solidFill>
              <w14:schemeClr w14:val="tx1"/>
            </w14:solidFill>
          </w14:textFill>
        </w:rPr>
      </w:pP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b/>
          <w:bCs/>
          <w:color w:val="000000" w:themeColor="text1"/>
          <w:sz w:val="56"/>
          <w:szCs w:val="56"/>
          <w:lang w:val="en-US" w:eastAsia="zh-CN"/>
          <w14:textFill>
            <w14:solidFill>
              <w14:schemeClr w14:val="tx1"/>
            </w14:solidFill>
          </w14:textFill>
        </w:rPr>
      </w:pPr>
      <w:r>
        <w:rPr>
          <w:rFonts w:hint="eastAsia" w:cs="宋体"/>
          <w:b/>
          <w:bCs/>
          <w:color w:val="000000" w:themeColor="text1"/>
          <w:sz w:val="56"/>
          <w:szCs w:val="56"/>
          <w:lang w:val="en-US" w:eastAsia="zh-CN"/>
          <w14:textFill>
            <w14:solidFill>
              <w14:schemeClr w14:val="tx1"/>
            </w14:solidFill>
          </w14:textFill>
        </w:rPr>
        <w:t>托克逊县城市环卫园林一体化管理项目第一包</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hAnsi="宋体" w:eastAsia="宋体" w:cs="宋体"/>
          <w:bCs/>
          <w:sz w:val="50"/>
          <w:szCs w:val="44"/>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hAnsi="宋体" w:eastAsia="宋体" w:cs="宋体"/>
          <w:bCs/>
          <w:sz w:val="50"/>
          <w:szCs w:val="44"/>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hAnsi="宋体" w:eastAsia="宋体" w:cs="宋体"/>
          <w:bCs/>
          <w:sz w:val="50"/>
          <w:szCs w:val="44"/>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hAnsi="宋体" w:eastAsia="宋体" w:cs="宋体"/>
          <w:bCs/>
          <w:sz w:val="50"/>
          <w:szCs w:val="44"/>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hAnsi="宋体" w:eastAsia="宋体" w:cs="宋体"/>
          <w:bCs/>
          <w:sz w:val="50"/>
          <w:szCs w:val="44"/>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hAnsi="宋体" w:eastAsia="宋体" w:cs="宋体"/>
          <w:bCs/>
          <w:sz w:val="50"/>
          <w:szCs w:val="44"/>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宋体" w:hAnsi="宋体" w:eastAsia="宋体" w:cs="宋体"/>
          <w:bCs/>
          <w:sz w:val="50"/>
          <w:szCs w:val="44"/>
        </w:rPr>
      </w:pPr>
    </w:p>
    <w:p>
      <w:pPr>
        <w:pStyle w:val="14"/>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宋体" w:hAnsi="宋体" w:eastAsia="宋体" w:cs="宋体"/>
          <w:b/>
          <w:bCs/>
          <w:spacing w:val="200"/>
          <w:sz w:val="90"/>
          <w:szCs w:val="90"/>
        </w:rPr>
      </w:pPr>
      <w:r>
        <w:rPr>
          <w:rFonts w:hint="eastAsia" w:ascii="宋体" w:hAnsi="宋体" w:eastAsia="宋体" w:cs="宋体"/>
          <w:b/>
          <w:bCs/>
          <w:spacing w:val="200"/>
          <w:sz w:val="90"/>
          <w:szCs w:val="90"/>
        </w:rPr>
        <w:t>招标文件</w:t>
      </w:r>
    </w:p>
    <w:p>
      <w:pPr>
        <w:pStyle w:val="14"/>
        <w:keepNext w:val="0"/>
        <w:keepLines w:val="0"/>
        <w:pageBreakBefore w:val="0"/>
        <w:widowControl w:val="0"/>
        <w:kinsoku/>
        <w:wordWrap/>
        <w:overflowPunct/>
        <w:topLinePunct w:val="0"/>
        <w:autoSpaceDE/>
        <w:autoSpaceDN/>
        <w:bidi w:val="0"/>
        <w:spacing w:line="600" w:lineRule="exact"/>
        <w:jc w:val="center"/>
        <w:textAlignment w:val="auto"/>
        <w:rPr>
          <w:rFonts w:hint="eastAsia" w:ascii="宋体" w:hAnsi="宋体" w:eastAsia="宋体" w:cs="宋体"/>
          <w:b/>
          <w:sz w:val="36"/>
          <w:szCs w:val="36"/>
        </w:rPr>
      </w:pPr>
    </w:p>
    <w:p>
      <w:pPr>
        <w:pStyle w:val="14"/>
        <w:keepNext w:val="0"/>
        <w:keepLines w:val="0"/>
        <w:pageBreakBefore w:val="0"/>
        <w:widowControl w:val="0"/>
        <w:kinsoku/>
        <w:wordWrap/>
        <w:overflowPunct/>
        <w:topLinePunct w:val="0"/>
        <w:autoSpaceDE/>
        <w:autoSpaceDN/>
        <w:bidi w:val="0"/>
        <w:spacing w:line="600" w:lineRule="exact"/>
        <w:jc w:val="center"/>
        <w:textAlignment w:val="auto"/>
        <w:rPr>
          <w:rFonts w:hint="default" w:ascii="宋体" w:hAnsi="宋体" w:eastAsia="宋体" w:cs="宋体"/>
          <w:b/>
          <w:color w:val="000000" w:themeColor="text1"/>
          <w:sz w:val="36"/>
          <w:szCs w:val="36"/>
          <w:lang w:val="en-US" w:eastAsia="zh-CN"/>
          <w14:textFill>
            <w14:solidFill>
              <w14:schemeClr w14:val="tx1"/>
            </w14:solidFill>
          </w14:textFill>
        </w:rPr>
      </w:pPr>
      <w:r>
        <w:rPr>
          <w:rFonts w:hint="eastAsia" w:ascii="宋体" w:hAnsi="宋体" w:eastAsia="宋体" w:cs="宋体"/>
          <w:b/>
          <w:color w:val="000000" w:themeColor="text1"/>
          <w:sz w:val="36"/>
          <w:szCs w:val="36"/>
          <w14:textFill>
            <w14:solidFill>
              <w14:schemeClr w14:val="tx1"/>
            </w14:solidFill>
          </w14:textFill>
        </w:rPr>
        <w:t>项目编号：TKXZFCG(GK)HYTH202</w:t>
      </w:r>
      <w:r>
        <w:rPr>
          <w:rFonts w:hint="eastAsia" w:ascii="宋体" w:hAnsi="宋体" w:eastAsia="宋体" w:cs="宋体"/>
          <w:b/>
          <w:color w:val="000000" w:themeColor="text1"/>
          <w:sz w:val="36"/>
          <w:szCs w:val="36"/>
          <w:lang w:val="en-US" w:eastAsia="zh-CN"/>
          <w14:textFill>
            <w14:solidFill>
              <w14:schemeClr w14:val="tx1"/>
            </w14:solidFill>
          </w14:textFill>
        </w:rPr>
        <w:t>3</w:t>
      </w:r>
      <w:r>
        <w:rPr>
          <w:rFonts w:hint="eastAsia" w:ascii="宋体" w:hAnsi="宋体" w:eastAsia="宋体" w:cs="宋体"/>
          <w:b/>
          <w:color w:val="000000" w:themeColor="text1"/>
          <w:sz w:val="36"/>
          <w:szCs w:val="36"/>
          <w14:textFill>
            <w14:solidFill>
              <w14:schemeClr w14:val="tx1"/>
            </w14:solidFill>
          </w14:textFill>
        </w:rPr>
        <w:t>-</w:t>
      </w:r>
      <w:r>
        <w:rPr>
          <w:rFonts w:hint="eastAsia" w:hAnsi="宋体" w:cs="宋体"/>
          <w:b/>
          <w:color w:val="000000" w:themeColor="text1"/>
          <w:sz w:val="36"/>
          <w:szCs w:val="36"/>
          <w:lang w:val="en-US" w:eastAsia="zh-CN"/>
          <w14:textFill>
            <w14:solidFill>
              <w14:schemeClr w14:val="tx1"/>
            </w14:solidFill>
          </w14:textFill>
        </w:rPr>
        <w:t>036</w:t>
      </w:r>
    </w:p>
    <w:p>
      <w:pPr>
        <w:pStyle w:val="14"/>
        <w:keepNext w:val="0"/>
        <w:keepLines w:val="0"/>
        <w:pageBreakBefore w:val="0"/>
        <w:widowControl w:val="0"/>
        <w:kinsoku/>
        <w:wordWrap/>
        <w:overflowPunct/>
        <w:topLinePunct w:val="0"/>
        <w:autoSpaceDE/>
        <w:autoSpaceDN/>
        <w:bidi w:val="0"/>
        <w:spacing w:line="600" w:lineRule="exact"/>
        <w:textAlignment w:val="auto"/>
        <w:rPr>
          <w:rFonts w:hint="eastAsia" w:ascii="宋体" w:hAnsi="宋体" w:eastAsia="宋体" w:cs="宋体"/>
          <w:bCs/>
        </w:rPr>
      </w:pPr>
    </w:p>
    <w:p>
      <w:pPr>
        <w:pStyle w:val="14"/>
        <w:keepNext w:val="0"/>
        <w:keepLines w:val="0"/>
        <w:pageBreakBefore w:val="0"/>
        <w:widowControl w:val="0"/>
        <w:kinsoku/>
        <w:wordWrap/>
        <w:overflowPunct/>
        <w:topLinePunct w:val="0"/>
        <w:autoSpaceDE/>
        <w:autoSpaceDN/>
        <w:bidi w:val="0"/>
        <w:spacing w:line="600" w:lineRule="exact"/>
        <w:textAlignment w:val="auto"/>
        <w:rPr>
          <w:rFonts w:hint="eastAsia" w:ascii="宋体" w:hAnsi="宋体" w:eastAsia="宋体" w:cs="宋体"/>
          <w:bCs/>
        </w:rPr>
      </w:pPr>
    </w:p>
    <w:p>
      <w:pPr>
        <w:pStyle w:val="14"/>
        <w:keepNext w:val="0"/>
        <w:keepLines w:val="0"/>
        <w:pageBreakBefore w:val="0"/>
        <w:widowControl w:val="0"/>
        <w:kinsoku/>
        <w:wordWrap/>
        <w:overflowPunct/>
        <w:topLinePunct w:val="0"/>
        <w:autoSpaceDE/>
        <w:autoSpaceDN/>
        <w:bidi w:val="0"/>
        <w:spacing w:line="600" w:lineRule="exact"/>
        <w:textAlignment w:val="auto"/>
        <w:rPr>
          <w:rFonts w:hint="eastAsia" w:ascii="宋体" w:hAnsi="宋体" w:eastAsia="宋体" w:cs="宋体"/>
          <w:bCs/>
        </w:rPr>
      </w:pPr>
    </w:p>
    <w:p>
      <w:pPr>
        <w:pStyle w:val="14"/>
        <w:keepNext w:val="0"/>
        <w:keepLines w:val="0"/>
        <w:pageBreakBefore w:val="0"/>
        <w:widowControl w:val="0"/>
        <w:kinsoku/>
        <w:wordWrap/>
        <w:overflowPunct/>
        <w:topLinePunct w:val="0"/>
        <w:autoSpaceDE/>
        <w:autoSpaceDN/>
        <w:bidi w:val="0"/>
        <w:spacing w:line="600" w:lineRule="exact"/>
        <w:jc w:val="both"/>
        <w:textAlignment w:val="auto"/>
        <w:rPr>
          <w:rFonts w:hint="eastAsia" w:ascii="宋体" w:hAnsi="宋体" w:eastAsia="宋体" w:cs="宋体"/>
          <w:kern w:val="0"/>
          <w:sz w:val="44"/>
          <w:szCs w:val="44"/>
        </w:rPr>
      </w:pPr>
    </w:p>
    <w:p>
      <w:pPr>
        <w:pStyle w:val="14"/>
        <w:pageBreakBefore w:val="0"/>
        <w:kinsoku/>
        <w:wordWrap/>
        <w:overflowPunct/>
        <w:topLinePunct w:val="0"/>
        <w:bidi w:val="0"/>
        <w:spacing w:line="400" w:lineRule="exact"/>
        <w:jc w:val="center"/>
        <w:rPr>
          <w:rFonts w:hint="eastAsia" w:ascii="宋体" w:hAnsi="宋体" w:eastAsia="宋体" w:cs="宋体"/>
          <w:kern w:val="0"/>
          <w:sz w:val="44"/>
          <w:szCs w:val="44"/>
        </w:rPr>
      </w:pPr>
    </w:p>
    <w:p>
      <w:pPr>
        <w:pStyle w:val="14"/>
        <w:pageBreakBefore w:val="0"/>
        <w:kinsoku/>
        <w:wordWrap/>
        <w:overflowPunct/>
        <w:topLinePunct w:val="0"/>
        <w:bidi w:val="0"/>
        <w:spacing w:line="400" w:lineRule="exact"/>
        <w:jc w:val="center"/>
        <w:rPr>
          <w:rFonts w:hint="eastAsia" w:ascii="宋体" w:hAnsi="宋体" w:eastAsia="宋体" w:cs="宋体"/>
          <w:b/>
          <w:sz w:val="30"/>
          <w:szCs w:val="30"/>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spacing w:val="20"/>
          <w:sz w:val="28"/>
          <w:szCs w:val="28"/>
          <w:highlight w:val="none"/>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spacing w:val="20"/>
          <w:sz w:val="28"/>
          <w:szCs w:val="28"/>
          <w:highlight w:val="none"/>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spacing w:val="20"/>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1605" w:firstLineChars="500"/>
        <w:jc w:val="both"/>
        <w:textAlignment w:val="auto"/>
        <w:rPr>
          <w:rFonts w:hint="eastAsia" w:ascii="宋体" w:hAnsi="宋体" w:eastAsia="宋体" w:cs="宋体"/>
          <w:b/>
          <w:spacing w:val="20"/>
          <w:sz w:val="28"/>
          <w:szCs w:val="28"/>
          <w:highlight w:val="none"/>
          <w:lang w:eastAsia="zh-CN"/>
        </w:rPr>
      </w:pPr>
      <w:r>
        <w:rPr>
          <w:rFonts w:hint="eastAsia" w:ascii="宋体" w:hAnsi="宋体" w:eastAsia="宋体" w:cs="宋体"/>
          <w:b/>
          <w:spacing w:val="20"/>
          <w:sz w:val="28"/>
          <w:szCs w:val="28"/>
          <w:highlight w:val="none"/>
          <w:lang w:eastAsia="zh-CN"/>
        </w:rPr>
        <w:t>采 购 人</w:t>
      </w:r>
      <w:r>
        <w:rPr>
          <w:rFonts w:hint="eastAsia" w:ascii="宋体" w:hAnsi="宋体" w:eastAsia="宋体" w:cs="宋体"/>
          <w:b/>
          <w:spacing w:val="20"/>
          <w:sz w:val="28"/>
          <w:szCs w:val="28"/>
          <w:highlight w:val="none"/>
        </w:rPr>
        <w:t xml:space="preserve"> ：</w:t>
      </w:r>
      <w:r>
        <w:rPr>
          <w:rFonts w:hint="eastAsia" w:ascii="宋体" w:hAnsi="宋体" w:eastAsia="宋体" w:cs="宋体"/>
          <w:b/>
          <w:spacing w:val="20"/>
          <w:sz w:val="28"/>
          <w:szCs w:val="28"/>
          <w:highlight w:val="none"/>
          <w:lang w:val="en-US" w:eastAsia="zh-CN"/>
        </w:rPr>
        <w:t> 托克逊县住房和城乡建设局</w:t>
      </w:r>
      <w:r>
        <w:rPr>
          <w:rFonts w:hint="eastAsia" w:ascii="宋体" w:hAnsi="宋体" w:eastAsia="宋体" w:cs="宋体"/>
          <w:b/>
          <w:spacing w:val="20"/>
          <w:sz w:val="28"/>
          <w:szCs w:val="28"/>
          <w:highlight w:val="none"/>
        </w:rPr>
        <w:t>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000000"/>
          <w:sz w:val="28"/>
          <w:szCs w:val="28"/>
          <w:highlight w:val="none"/>
          <w:lang w:eastAsia="zh-CN"/>
        </w:rPr>
      </w:pPr>
      <w:r>
        <w:rPr>
          <w:rFonts w:hint="eastAsia" w:ascii="宋体" w:hAnsi="宋体" w:eastAsia="宋体" w:cs="宋体"/>
          <w:b/>
          <w:spacing w:val="20"/>
          <w:sz w:val="28"/>
          <w:szCs w:val="28"/>
          <w:highlight w:val="none"/>
        </w:rPr>
        <w:t xml:space="preserve">    </w:t>
      </w:r>
      <w:r>
        <w:rPr>
          <w:rFonts w:hint="eastAsia" w:ascii="宋体" w:hAnsi="宋体" w:eastAsia="宋体" w:cs="宋体"/>
          <w:b/>
          <w:spacing w:val="20"/>
          <w:sz w:val="28"/>
          <w:szCs w:val="28"/>
          <w:highlight w:val="none"/>
          <w:lang w:val="en-US" w:eastAsia="zh-CN"/>
        </w:rPr>
        <w:t xml:space="preserve">  </w:t>
      </w:r>
      <w:r>
        <w:rPr>
          <w:rFonts w:hint="eastAsia" w:ascii="宋体" w:hAnsi="宋体" w:eastAsia="宋体" w:cs="宋体"/>
          <w:b/>
          <w:spacing w:val="20"/>
          <w:sz w:val="28"/>
          <w:szCs w:val="28"/>
          <w:highlight w:val="none"/>
        </w:rPr>
        <w:t>招标代理机构：</w:t>
      </w:r>
      <w:r>
        <w:rPr>
          <w:rFonts w:hint="eastAsia" w:ascii="宋体" w:hAnsi="宋体" w:eastAsia="宋体" w:cs="宋体"/>
          <w:b/>
          <w:spacing w:val="20"/>
          <w:sz w:val="28"/>
          <w:szCs w:val="28"/>
          <w:highlight w:val="none"/>
          <w:lang w:eastAsia="zh-CN"/>
        </w:rPr>
        <w:t>新疆华域天恒工程管理有限公司</w:t>
      </w:r>
    </w:p>
    <w:p>
      <w:pPr>
        <w:pageBreakBefore w:val="0"/>
        <w:kinsoku/>
        <w:wordWrap/>
        <w:overflowPunct/>
        <w:topLinePunct w:val="0"/>
        <w:bidi w:val="0"/>
        <w:spacing w:line="400" w:lineRule="exact"/>
        <w:rPr>
          <w:rFonts w:hint="eastAsia" w:ascii="宋体" w:hAnsi="宋体" w:eastAsia="宋体" w:cs="宋体"/>
          <w:b/>
          <w:bCs/>
          <w:color w:val="000000"/>
          <w:sz w:val="28"/>
          <w:szCs w:val="28"/>
          <w:highlight w:val="none"/>
        </w:rPr>
      </w:pPr>
    </w:p>
    <w:p>
      <w:pPr>
        <w:pageBreakBefore w:val="0"/>
        <w:kinsoku/>
        <w:wordWrap/>
        <w:overflowPunct/>
        <w:topLinePunct w:val="0"/>
        <w:bidi w:val="0"/>
        <w:spacing w:line="400" w:lineRule="exact"/>
        <w:rPr>
          <w:rFonts w:hint="eastAsia" w:ascii="宋体" w:hAnsi="宋体" w:eastAsia="宋体" w:cs="宋体"/>
          <w:color w:val="000000"/>
          <w:kern w:val="0"/>
          <w:sz w:val="28"/>
          <w:szCs w:val="28"/>
          <w:highlight w:val="none"/>
        </w:rPr>
        <w:sectPr>
          <w:footerReference r:id="rId3" w:type="first"/>
          <w:pgSz w:w="11906" w:h="16838"/>
          <w:pgMar w:top="1134" w:right="1472" w:bottom="1134" w:left="1814" w:header="851" w:footer="992" w:gutter="0"/>
          <w:pgNumType w:fmt="decimal" w:start="1"/>
          <w:cols w:space="720" w:num="1"/>
          <w:titlePg/>
          <w:docGrid w:type="lines" w:linePitch="312" w:charSpace="0"/>
        </w:sectPr>
      </w:pPr>
    </w:p>
    <w:p>
      <w:pPr>
        <w:pStyle w:val="17"/>
        <w:tabs>
          <w:tab w:val="right" w:leader="dot" w:pos="8296"/>
        </w:tabs>
        <w:spacing w:line="1000" w:lineRule="exact"/>
        <w:jc w:val="center"/>
        <w:rPr>
          <w:rFonts w:hint="eastAsia" w:ascii="宋体" w:hAnsi="宋体" w:eastAsia="宋体" w:cs="宋体"/>
          <w:color w:val="auto"/>
          <w:sz w:val="44"/>
          <w:szCs w:val="48"/>
        </w:rPr>
      </w:pPr>
      <w:r>
        <w:rPr>
          <w:rFonts w:hint="eastAsia" w:ascii="宋体" w:hAnsi="宋体" w:eastAsia="宋体" w:cs="宋体"/>
          <w:color w:val="auto"/>
          <w:sz w:val="44"/>
          <w:szCs w:val="48"/>
        </w:rPr>
        <w:t>目  录</w:t>
      </w:r>
    </w:p>
    <w:p>
      <w:pPr>
        <w:pStyle w:val="17"/>
        <w:tabs>
          <w:tab w:val="right" w:leader="dot" w:pos="8296"/>
        </w:tabs>
        <w:spacing w:line="1000" w:lineRule="exact"/>
        <w:rPr>
          <w:rFonts w:hint="eastAsia" w:ascii="宋体" w:hAnsi="宋体" w:eastAsia="宋体" w:cs="宋体"/>
          <w:b w:val="0"/>
          <w:bCs w:val="0"/>
          <w:caps w:val="0"/>
          <w:color w:val="auto"/>
          <w:sz w:val="32"/>
          <w:szCs w:val="3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"_Toc44705269" </w:instrText>
      </w:r>
      <w:r>
        <w:rPr>
          <w:rFonts w:hint="eastAsia" w:ascii="宋体" w:hAnsi="宋体" w:eastAsia="宋体" w:cs="宋体"/>
          <w:color w:val="auto"/>
        </w:rPr>
        <w:fldChar w:fldCharType="separate"/>
      </w:r>
      <w:r>
        <w:rPr>
          <w:rStyle w:val="28"/>
          <w:rFonts w:hint="eastAsia" w:ascii="宋体" w:hAnsi="宋体" w:eastAsia="宋体" w:cs="宋体"/>
          <w:b w:val="0"/>
          <w:color w:val="auto"/>
          <w:w w:val="90"/>
          <w:sz w:val="32"/>
          <w:szCs w:val="32"/>
          <w:u w:val="none"/>
        </w:rPr>
        <w:t>第一章 投标邀请（招标公告）</w:t>
      </w:r>
      <w:r>
        <w:rPr>
          <w:rStyle w:val="28"/>
          <w:rFonts w:hint="eastAsia" w:ascii="宋体" w:hAnsi="宋体" w:eastAsia="宋体" w:cs="宋体"/>
          <w:b w:val="0"/>
          <w:color w:val="auto"/>
          <w:w w:val="90"/>
          <w:sz w:val="32"/>
          <w:szCs w:val="32"/>
          <w:u w:val="none"/>
        </w:rPr>
        <w:tab/>
      </w:r>
      <w:r>
        <w:rPr>
          <w:rFonts w:hint="eastAsia" w:ascii="宋体" w:hAnsi="宋体" w:eastAsia="宋体" w:cs="宋体"/>
          <w:b w:val="0"/>
          <w:color w:val="auto"/>
          <w:sz w:val="32"/>
          <w:szCs w:val="32"/>
          <w:lang w:val="en-US" w:eastAsia="zh-CN"/>
        </w:rPr>
        <w:t>2</w:t>
      </w:r>
      <w:r>
        <w:rPr>
          <w:rFonts w:hint="eastAsia" w:ascii="宋体" w:hAnsi="宋体" w:eastAsia="宋体" w:cs="宋体"/>
          <w:b w:val="0"/>
          <w:color w:val="auto"/>
          <w:sz w:val="32"/>
          <w:szCs w:val="32"/>
        </w:rPr>
        <w:fldChar w:fldCharType="end"/>
      </w:r>
    </w:p>
    <w:p>
      <w:pPr>
        <w:pStyle w:val="17"/>
        <w:tabs>
          <w:tab w:val="right" w:leader="dot" w:pos="8296"/>
        </w:tabs>
        <w:spacing w:line="1000" w:lineRule="exact"/>
        <w:rPr>
          <w:rFonts w:hint="eastAsia" w:ascii="宋体" w:hAnsi="宋体" w:eastAsia="宋体" w:cs="宋体"/>
          <w:b w:val="0"/>
          <w:bCs w:val="0"/>
          <w:caps w:val="0"/>
          <w:color w:val="auto"/>
          <w:sz w:val="32"/>
          <w:szCs w:val="3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"_Toc44705270" </w:instrText>
      </w:r>
      <w:r>
        <w:rPr>
          <w:rFonts w:hint="eastAsia" w:ascii="宋体" w:hAnsi="宋体" w:eastAsia="宋体" w:cs="宋体"/>
          <w:color w:val="auto"/>
        </w:rPr>
        <w:fldChar w:fldCharType="separate"/>
      </w:r>
      <w:r>
        <w:rPr>
          <w:rStyle w:val="28"/>
          <w:rFonts w:hint="eastAsia" w:ascii="宋体" w:hAnsi="宋体" w:eastAsia="宋体" w:cs="宋体"/>
          <w:b w:val="0"/>
          <w:color w:val="auto"/>
          <w:w w:val="90"/>
          <w:sz w:val="32"/>
          <w:szCs w:val="32"/>
          <w:u w:val="none"/>
        </w:rPr>
        <w:t>第二章 投标人须知前附表</w:t>
      </w:r>
      <w:r>
        <w:rPr>
          <w:rFonts w:hint="eastAsia" w:ascii="宋体" w:hAnsi="宋体" w:eastAsia="宋体" w:cs="宋体"/>
          <w:b w:val="0"/>
          <w:color w:val="auto"/>
          <w:sz w:val="32"/>
          <w:szCs w:val="32"/>
        </w:rPr>
        <w:tab/>
      </w:r>
      <w:r>
        <w:rPr>
          <w:rFonts w:hint="eastAsia" w:ascii="宋体" w:hAnsi="宋体" w:eastAsia="宋体" w:cs="宋体"/>
          <w:b w:val="0"/>
          <w:color w:val="auto"/>
          <w:sz w:val="32"/>
          <w:szCs w:val="32"/>
          <w:lang w:val="en-US" w:eastAsia="zh-CN"/>
        </w:rPr>
        <w:t>5</w:t>
      </w:r>
      <w:r>
        <w:rPr>
          <w:rFonts w:hint="eastAsia" w:ascii="宋体" w:hAnsi="宋体" w:eastAsia="宋体" w:cs="宋体"/>
          <w:b w:val="0"/>
          <w:color w:val="auto"/>
          <w:sz w:val="32"/>
          <w:szCs w:val="32"/>
        </w:rPr>
        <w:fldChar w:fldCharType="end"/>
      </w:r>
    </w:p>
    <w:p>
      <w:pPr>
        <w:pStyle w:val="17"/>
        <w:tabs>
          <w:tab w:val="right" w:leader="dot" w:pos="8296"/>
        </w:tabs>
        <w:spacing w:line="1000" w:lineRule="exact"/>
        <w:rPr>
          <w:rFonts w:hint="eastAsia" w:ascii="宋体" w:hAnsi="宋体" w:eastAsia="宋体" w:cs="宋体"/>
          <w:b w:val="0"/>
          <w:bCs w:val="0"/>
          <w:caps w:val="0"/>
          <w:color w:val="auto"/>
          <w:sz w:val="32"/>
          <w:szCs w:val="32"/>
          <w:lang w:val="en-US" w:eastAsia="zh-CN"/>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"_Toc44705271" </w:instrText>
      </w:r>
      <w:r>
        <w:rPr>
          <w:rFonts w:hint="eastAsia" w:ascii="宋体" w:hAnsi="宋体" w:eastAsia="宋体" w:cs="宋体"/>
          <w:color w:val="auto"/>
        </w:rPr>
        <w:fldChar w:fldCharType="separate"/>
      </w:r>
      <w:r>
        <w:rPr>
          <w:rStyle w:val="28"/>
          <w:rFonts w:hint="eastAsia" w:ascii="宋体" w:hAnsi="宋体" w:eastAsia="宋体" w:cs="宋体"/>
          <w:b w:val="0"/>
          <w:color w:val="auto"/>
          <w:w w:val="90"/>
          <w:sz w:val="32"/>
          <w:szCs w:val="32"/>
          <w:u w:val="none"/>
        </w:rPr>
        <w:t>第三章 投标人须知</w:t>
      </w:r>
      <w:r>
        <w:rPr>
          <w:rFonts w:hint="eastAsia" w:ascii="宋体" w:hAnsi="宋体" w:eastAsia="宋体" w:cs="宋体"/>
          <w:b w:val="0"/>
          <w:color w:val="auto"/>
          <w:sz w:val="32"/>
          <w:szCs w:val="32"/>
        </w:rPr>
        <w:tab/>
      </w:r>
      <w:r>
        <w:rPr>
          <w:rFonts w:hint="eastAsia" w:ascii="宋体" w:hAnsi="宋体" w:eastAsia="宋体" w:cs="宋体"/>
          <w:b w:val="0"/>
          <w:color w:val="auto"/>
          <w:sz w:val="32"/>
          <w:szCs w:val="32"/>
          <w:lang w:val="en-US" w:eastAsia="zh-CN"/>
        </w:rPr>
        <w:t>1</w:t>
      </w:r>
      <w:r>
        <w:rPr>
          <w:rFonts w:hint="eastAsia" w:ascii="宋体" w:hAnsi="宋体" w:eastAsia="宋体" w:cs="宋体"/>
          <w:b w:val="0"/>
          <w:color w:val="auto"/>
          <w:sz w:val="32"/>
          <w:szCs w:val="32"/>
        </w:rPr>
        <w:fldChar w:fldCharType="end"/>
      </w:r>
      <w:r>
        <w:rPr>
          <w:rFonts w:hint="eastAsia" w:ascii="宋体" w:hAnsi="宋体" w:eastAsia="宋体" w:cs="宋体"/>
          <w:b w:val="0"/>
          <w:color w:val="auto"/>
          <w:sz w:val="32"/>
          <w:szCs w:val="32"/>
          <w:lang w:val="en-US" w:eastAsia="zh-CN"/>
        </w:rPr>
        <w:t>3</w:t>
      </w:r>
    </w:p>
    <w:p>
      <w:pPr>
        <w:pStyle w:val="17"/>
        <w:tabs>
          <w:tab w:val="right" w:leader="dot" w:pos="8296"/>
        </w:tabs>
        <w:spacing w:line="1000" w:lineRule="exact"/>
        <w:rPr>
          <w:rFonts w:hint="eastAsia" w:ascii="宋体" w:hAnsi="宋体" w:eastAsia="宋体" w:cs="宋体"/>
          <w:b w:val="0"/>
          <w:bCs w:val="0"/>
          <w:caps w:val="0"/>
          <w:color w:val="auto"/>
          <w:sz w:val="32"/>
          <w:szCs w:val="32"/>
          <w:lang w:val="en-US" w:eastAsia="zh-CN"/>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"_Toc44705272" </w:instrText>
      </w:r>
      <w:r>
        <w:rPr>
          <w:rFonts w:hint="eastAsia" w:ascii="宋体" w:hAnsi="宋体" w:eastAsia="宋体" w:cs="宋体"/>
          <w:color w:val="auto"/>
        </w:rPr>
        <w:fldChar w:fldCharType="separate"/>
      </w:r>
      <w:r>
        <w:rPr>
          <w:rStyle w:val="28"/>
          <w:rFonts w:hint="eastAsia" w:ascii="宋体" w:hAnsi="宋体" w:eastAsia="宋体" w:cs="宋体"/>
          <w:b w:val="0"/>
          <w:color w:val="auto"/>
          <w:w w:val="90"/>
          <w:sz w:val="32"/>
          <w:szCs w:val="32"/>
          <w:u w:val="none"/>
        </w:rPr>
        <w:t>第四章 合同文本格式</w:t>
      </w:r>
      <w:r>
        <w:rPr>
          <w:rFonts w:hint="eastAsia" w:ascii="宋体" w:hAnsi="宋体" w:eastAsia="宋体" w:cs="宋体"/>
          <w:b w:val="0"/>
          <w:color w:val="auto"/>
          <w:sz w:val="32"/>
          <w:szCs w:val="32"/>
        </w:rPr>
        <w:tab/>
      </w:r>
      <w:r>
        <w:rPr>
          <w:rFonts w:hint="eastAsia" w:ascii="宋体" w:hAnsi="宋体" w:eastAsia="宋体" w:cs="宋体"/>
          <w:b w:val="0"/>
          <w:color w:val="auto"/>
          <w:sz w:val="32"/>
          <w:szCs w:val="32"/>
          <w:lang w:val="en-US" w:eastAsia="zh-CN"/>
        </w:rPr>
        <w:t>2</w:t>
      </w:r>
      <w:r>
        <w:rPr>
          <w:rFonts w:hint="eastAsia" w:ascii="宋体" w:hAnsi="宋体" w:eastAsia="宋体" w:cs="宋体"/>
          <w:b w:val="0"/>
          <w:color w:val="auto"/>
          <w:sz w:val="32"/>
          <w:szCs w:val="32"/>
        </w:rPr>
        <w:fldChar w:fldCharType="end"/>
      </w:r>
      <w:r>
        <w:rPr>
          <w:rFonts w:hint="eastAsia" w:ascii="宋体" w:hAnsi="宋体" w:cs="宋体"/>
          <w:b w:val="0"/>
          <w:color w:val="auto"/>
          <w:sz w:val="32"/>
          <w:szCs w:val="32"/>
          <w:lang w:val="en-US" w:eastAsia="zh-CN"/>
        </w:rPr>
        <w:t>8</w:t>
      </w:r>
    </w:p>
    <w:p>
      <w:pPr>
        <w:pStyle w:val="17"/>
        <w:tabs>
          <w:tab w:val="right" w:leader="dot" w:pos="8296"/>
        </w:tabs>
        <w:spacing w:line="1000" w:lineRule="exact"/>
        <w:rPr>
          <w:rFonts w:hint="eastAsia" w:ascii="宋体" w:hAnsi="宋体" w:eastAsia="宋体" w:cs="宋体"/>
          <w:b w:val="0"/>
          <w:bCs w:val="0"/>
          <w:caps w:val="0"/>
          <w:color w:val="auto"/>
          <w:sz w:val="32"/>
          <w:szCs w:val="32"/>
          <w:lang w:val="en-US" w:eastAsia="zh-CN"/>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"_Toc44705273" </w:instrText>
      </w:r>
      <w:r>
        <w:rPr>
          <w:rFonts w:hint="eastAsia" w:ascii="宋体" w:hAnsi="宋体" w:eastAsia="宋体" w:cs="宋体"/>
          <w:color w:val="auto"/>
        </w:rPr>
        <w:fldChar w:fldCharType="separate"/>
      </w:r>
      <w:r>
        <w:rPr>
          <w:rStyle w:val="28"/>
          <w:rFonts w:hint="eastAsia" w:ascii="宋体" w:hAnsi="宋体" w:eastAsia="宋体" w:cs="宋体"/>
          <w:b w:val="0"/>
          <w:color w:val="auto"/>
          <w:w w:val="90"/>
          <w:sz w:val="32"/>
          <w:szCs w:val="32"/>
          <w:u w:val="none"/>
        </w:rPr>
        <w:t>第五章 采购需求</w:t>
      </w:r>
      <w:r>
        <w:rPr>
          <w:rFonts w:hint="eastAsia" w:ascii="宋体" w:hAnsi="宋体" w:eastAsia="宋体" w:cs="宋体"/>
          <w:b w:val="0"/>
          <w:color w:val="auto"/>
          <w:sz w:val="32"/>
          <w:szCs w:val="32"/>
        </w:rPr>
        <w:tab/>
      </w:r>
      <w:r>
        <w:rPr>
          <w:rFonts w:hint="eastAsia" w:ascii="宋体" w:hAnsi="宋体" w:eastAsia="宋体" w:cs="宋体"/>
          <w:b w:val="0"/>
          <w:color w:val="auto"/>
          <w:sz w:val="32"/>
          <w:szCs w:val="32"/>
          <w:lang w:val="en-US" w:eastAsia="zh-CN"/>
        </w:rPr>
        <w:t>4</w:t>
      </w:r>
      <w:r>
        <w:rPr>
          <w:rFonts w:hint="eastAsia" w:ascii="宋体" w:hAnsi="宋体" w:eastAsia="宋体" w:cs="宋体"/>
          <w:b w:val="0"/>
          <w:color w:val="auto"/>
          <w:sz w:val="32"/>
          <w:szCs w:val="32"/>
        </w:rPr>
        <w:fldChar w:fldCharType="end"/>
      </w:r>
      <w:r>
        <w:rPr>
          <w:rFonts w:hint="eastAsia" w:ascii="宋体" w:hAnsi="宋体" w:cs="宋体"/>
          <w:b w:val="0"/>
          <w:color w:val="auto"/>
          <w:sz w:val="32"/>
          <w:szCs w:val="32"/>
          <w:lang w:val="en-US" w:eastAsia="zh-CN"/>
        </w:rPr>
        <w:t>7</w:t>
      </w:r>
    </w:p>
    <w:p>
      <w:pPr>
        <w:pStyle w:val="17"/>
        <w:tabs>
          <w:tab w:val="right" w:leader="dot" w:pos="8296"/>
        </w:tabs>
        <w:spacing w:line="1000" w:lineRule="exact"/>
        <w:rPr>
          <w:rFonts w:hint="eastAsia" w:ascii="宋体" w:hAnsi="宋体" w:eastAsia="宋体" w:cs="宋体"/>
          <w:b w:val="0"/>
          <w:bCs w:val="0"/>
          <w:caps w:val="0"/>
          <w:color w:val="auto"/>
          <w:sz w:val="32"/>
          <w:szCs w:val="32"/>
          <w:lang w:val="en-US" w:eastAsia="zh-CN"/>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"_Toc44705274" </w:instrText>
      </w:r>
      <w:r>
        <w:rPr>
          <w:rFonts w:hint="eastAsia" w:ascii="宋体" w:hAnsi="宋体" w:eastAsia="宋体" w:cs="宋体"/>
          <w:color w:val="auto"/>
        </w:rPr>
        <w:fldChar w:fldCharType="separate"/>
      </w:r>
      <w:r>
        <w:rPr>
          <w:rStyle w:val="28"/>
          <w:rFonts w:hint="eastAsia" w:ascii="宋体" w:hAnsi="宋体" w:eastAsia="宋体" w:cs="宋体"/>
          <w:b w:val="0"/>
          <w:color w:val="auto"/>
          <w:w w:val="90"/>
          <w:sz w:val="32"/>
          <w:szCs w:val="32"/>
          <w:u w:val="none"/>
        </w:rPr>
        <w:t>第六章 评标方法及评标标准</w:t>
      </w:r>
      <w:r>
        <w:rPr>
          <w:rFonts w:hint="eastAsia" w:ascii="宋体" w:hAnsi="宋体" w:eastAsia="宋体" w:cs="宋体"/>
          <w:b w:val="0"/>
          <w:color w:val="auto"/>
          <w:sz w:val="32"/>
          <w:szCs w:val="32"/>
        </w:rPr>
        <w:tab/>
      </w:r>
      <w:r>
        <w:rPr>
          <w:rFonts w:hint="eastAsia" w:ascii="宋体" w:hAnsi="宋体" w:cs="宋体"/>
          <w:b w:val="0"/>
          <w:color w:val="auto"/>
          <w:sz w:val="32"/>
          <w:szCs w:val="32"/>
          <w:lang w:val="en-US" w:eastAsia="zh-CN"/>
        </w:rPr>
        <w:t>6</w:t>
      </w:r>
      <w:r>
        <w:rPr>
          <w:rFonts w:hint="eastAsia" w:ascii="宋体" w:hAnsi="宋体" w:eastAsia="宋体" w:cs="宋体"/>
          <w:b w:val="0"/>
          <w:color w:val="auto"/>
          <w:sz w:val="32"/>
          <w:szCs w:val="32"/>
        </w:rPr>
        <w:fldChar w:fldCharType="end"/>
      </w:r>
      <w:r>
        <w:rPr>
          <w:rFonts w:hint="eastAsia" w:ascii="宋体" w:hAnsi="宋体" w:cs="宋体"/>
          <w:b w:val="0"/>
          <w:color w:val="auto"/>
          <w:sz w:val="32"/>
          <w:szCs w:val="32"/>
          <w:lang w:val="en-US" w:eastAsia="zh-CN"/>
        </w:rPr>
        <w:t>2</w:t>
      </w:r>
    </w:p>
    <w:p>
      <w:pPr>
        <w:pStyle w:val="17"/>
        <w:tabs>
          <w:tab w:val="right" w:leader="dot" w:pos="8296"/>
        </w:tabs>
        <w:spacing w:line="1000" w:lineRule="exact"/>
        <w:rPr>
          <w:rFonts w:hint="eastAsia" w:ascii="宋体" w:hAnsi="宋体" w:eastAsia="宋体" w:cs="宋体"/>
          <w:b w:val="0"/>
          <w:bCs w:val="0"/>
          <w:caps w:val="0"/>
          <w:color w:val="auto"/>
          <w:sz w:val="32"/>
          <w:szCs w:val="32"/>
          <w:lang w:val="en-US" w:eastAsia="zh-CN"/>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"_Toc44705277" </w:instrText>
      </w:r>
      <w:r>
        <w:rPr>
          <w:rFonts w:hint="eastAsia" w:ascii="宋体" w:hAnsi="宋体" w:eastAsia="宋体" w:cs="宋体"/>
          <w:color w:val="auto"/>
        </w:rPr>
        <w:fldChar w:fldCharType="separate"/>
      </w:r>
      <w:r>
        <w:rPr>
          <w:rStyle w:val="28"/>
          <w:rFonts w:hint="eastAsia" w:ascii="宋体" w:hAnsi="宋体" w:eastAsia="宋体" w:cs="宋体"/>
          <w:b w:val="0"/>
          <w:color w:val="auto"/>
          <w:w w:val="90"/>
          <w:sz w:val="32"/>
          <w:szCs w:val="32"/>
          <w:u w:val="none"/>
        </w:rPr>
        <w:t>第七章 投标文件格式</w:t>
      </w:r>
      <w:r>
        <w:rPr>
          <w:rFonts w:hint="eastAsia" w:ascii="宋体" w:hAnsi="宋体" w:eastAsia="宋体" w:cs="宋体"/>
          <w:b w:val="0"/>
          <w:color w:val="auto"/>
          <w:sz w:val="32"/>
          <w:szCs w:val="32"/>
        </w:rPr>
        <w:tab/>
      </w:r>
      <w:r>
        <w:rPr>
          <w:rFonts w:hint="eastAsia" w:ascii="宋体" w:hAnsi="宋体" w:cs="宋体"/>
          <w:b w:val="0"/>
          <w:color w:val="auto"/>
          <w:sz w:val="32"/>
          <w:szCs w:val="32"/>
          <w:lang w:val="en-US" w:eastAsia="zh-CN"/>
        </w:rPr>
        <w:t>6</w:t>
      </w:r>
      <w:r>
        <w:rPr>
          <w:rFonts w:hint="eastAsia" w:ascii="宋体" w:hAnsi="宋体" w:eastAsia="宋体" w:cs="宋体"/>
          <w:b w:val="0"/>
          <w:color w:val="auto"/>
          <w:sz w:val="32"/>
          <w:szCs w:val="32"/>
        </w:rPr>
        <w:fldChar w:fldCharType="end"/>
      </w:r>
      <w:r>
        <w:rPr>
          <w:rFonts w:hint="eastAsia" w:ascii="宋体" w:hAnsi="宋体" w:cs="宋体"/>
          <w:b w:val="0"/>
          <w:color w:val="auto"/>
          <w:sz w:val="32"/>
          <w:szCs w:val="32"/>
          <w:lang w:val="en-US" w:eastAsia="zh-CN"/>
        </w:rPr>
        <w:t>9</w:t>
      </w:r>
    </w:p>
    <w:p>
      <w:pPr>
        <w:pStyle w:val="6"/>
        <w:rPr>
          <w:rFonts w:hint="eastAsia" w:ascii="宋体" w:hAnsi="宋体" w:eastAsia="宋体" w:cs="宋体"/>
        </w:rPr>
      </w:pPr>
    </w:p>
    <w:p>
      <w:pPr>
        <w:pStyle w:val="6"/>
        <w:pageBreakBefore w:val="0"/>
        <w:kinsoku/>
        <w:wordWrap/>
        <w:overflowPunct/>
        <w:topLinePunct w:val="0"/>
        <w:bidi w:val="0"/>
        <w:spacing w:line="400" w:lineRule="exact"/>
        <w:rPr>
          <w:rFonts w:hint="eastAsia" w:ascii="宋体" w:hAnsi="宋体" w:eastAsia="宋体" w:cs="宋体"/>
        </w:rPr>
      </w:pPr>
    </w:p>
    <w:p>
      <w:pPr>
        <w:pageBreakBefore w:val="0"/>
        <w:widowControl/>
        <w:shd w:val="clear" w:color="auto" w:fill="FFFFFF"/>
        <w:kinsoku/>
        <w:wordWrap/>
        <w:overflowPunct/>
        <w:topLinePunct w:val="0"/>
        <w:bidi w:val="0"/>
        <w:spacing w:line="400" w:lineRule="exact"/>
        <w:jc w:val="both"/>
        <w:rPr>
          <w:rFonts w:hint="eastAsia" w:ascii="宋体" w:hAnsi="宋体" w:eastAsia="宋体" w:cs="宋体"/>
          <w:b/>
          <w:bCs/>
          <w:kern w:val="0"/>
          <w:sz w:val="24"/>
          <w:highlight w:val="none"/>
        </w:rPr>
      </w:pPr>
    </w:p>
    <w:p>
      <w:pPr>
        <w:pStyle w:val="6"/>
        <w:pageBreakBefore w:val="0"/>
        <w:numPr>
          <w:ilvl w:val="0"/>
          <w:numId w:val="0"/>
        </w:numPr>
        <w:kinsoku/>
        <w:wordWrap/>
        <w:overflowPunct/>
        <w:topLinePunct w:val="0"/>
        <w:bidi w:val="0"/>
        <w:spacing w:line="400" w:lineRule="exact"/>
        <w:ind w:left="3046" w:leftChars="0"/>
        <w:outlineLvl w:val="0"/>
        <w:rPr>
          <w:rFonts w:hint="eastAsia" w:ascii="宋体" w:hAnsi="宋体" w:eastAsia="宋体" w:cs="宋体"/>
          <w:b/>
          <w:bCs/>
          <w:kern w:val="2"/>
          <w:sz w:val="36"/>
          <w:szCs w:val="36"/>
          <w:lang w:val="en-US" w:eastAsia="zh-CN" w:bidi="ar-SA"/>
        </w:rPr>
      </w:pPr>
    </w:p>
    <w:p>
      <w:pPr>
        <w:pStyle w:val="6"/>
        <w:pageBreakBefore w:val="0"/>
        <w:numPr>
          <w:ilvl w:val="0"/>
          <w:numId w:val="0"/>
        </w:numPr>
        <w:kinsoku/>
        <w:wordWrap/>
        <w:overflowPunct/>
        <w:topLinePunct w:val="0"/>
        <w:bidi w:val="0"/>
        <w:spacing w:line="400" w:lineRule="exact"/>
        <w:ind w:left="3046" w:leftChars="0"/>
        <w:outlineLvl w:val="0"/>
        <w:rPr>
          <w:rFonts w:hint="eastAsia" w:ascii="宋体" w:hAnsi="宋体" w:eastAsia="宋体" w:cs="宋体"/>
          <w:b/>
          <w:bCs/>
          <w:kern w:val="2"/>
          <w:sz w:val="36"/>
          <w:szCs w:val="36"/>
          <w:lang w:val="en-US" w:eastAsia="zh-CN" w:bidi="ar-SA"/>
        </w:rPr>
      </w:pPr>
    </w:p>
    <w:p>
      <w:pPr>
        <w:pageBreakBefore w:val="0"/>
        <w:kinsoku/>
        <w:wordWrap/>
        <w:overflowPunct/>
        <w:topLinePunct w:val="0"/>
        <w:bidi w:val="0"/>
        <w:spacing w:line="400" w:lineRule="exact"/>
        <w:rPr>
          <w:rFonts w:hint="eastAsia" w:ascii="宋体" w:hAnsi="宋体" w:eastAsia="宋体" w:cs="宋体"/>
          <w:b/>
          <w:bCs/>
          <w:kern w:val="2"/>
          <w:sz w:val="36"/>
          <w:szCs w:val="36"/>
          <w:lang w:val="en-US" w:eastAsia="zh-CN" w:bidi="ar-SA"/>
        </w:rPr>
      </w:pPr>
    </w:p>
    <w:p>
      <w:pPr>
        <w:pStyle w:val="6"/>
        <w:pageBreakBefore w:val="0"/>
        <w:kinsoku/>
        <w:wordWrap/>
        <w:overflowPunct/>
        <w:topLinePunct w:val="0"/>
        <w:bidi w:val="0"/>
        <w:spacing w:line="400" w:lineRule="exact"/>
        <w:rPr>
          <w:rFonts w:hint="eastAsia" w:ascii="宋体" w:hAnsi="宋体" w:eastAsia="宋体" w:cs="宋体"/>
          <w:b/>
          <w:bCs/>
          <w:kern w:val="2"/>
          <w:sz w:val="36"/>
          <w:szCs w:val="36"/>
          <w:lang w:val="en-US" w:eastAsia="zh-CN" w:bidi="ar-SA"/>
        </w:rPr>
      </w:pPr>
    </w:p>
    <w:p>
      <w:pPr>
        <w:pageBreakBefore w:val="0"/>
        <w:kinsoku/>
        <w:wordWrap/>
        <w:overflowPunct/>
        <w:topLinePunct w:val="0"/>
        <w:bidi w:val="0"/>
        <w:spacing w:line="400" w:lineRule="exact"/>
        <w:rPr>
          <w:rFonts w:hint="eastAsia" w:ascii="宋体" w:hAnsi="宋体" w:eastAsia="宋体" w:cs="宋体"/>
          <w:b/>
          <w:bCs/>
          <w:kern w:val="2"/>
          <w:sz w:val="36"/>
          <w:szCs w:val="36"/>
          <w:lang w:val="en-US" w:eastAsia="zh-CN" w:bidi="ar-SA"/>
        </w:rPr>
      </w:pPr>
    </w:p>
    <w:p>
      <w:pPr>
        <w:pStyle w:val="6"/>
        <w:pageBreakBefore w:val="0"/>
        <w:kinsoku/>
        <w:wordWrap/>
        <w:overflowPunct/>
        <w:topLinePunct w:val="0"/>
        <w:bidi w:val="0"/>
        <w:spacing w:line="400" w:lineRule="exact"/>
        <w:rPr>
          <w:rFonts w:hint="eastAsia" w:ascii="宋体" w:hAnsi="宋体" w:eastAsia="宋体" w:cs="宋体"/>
          <w:b/>
          <w:bCs/>
          <w:kern w:val="2"/>
          <w:sz w:val="36"/>
          <w:szCs w:val="36"/>
          <w:lang w:val="en-US" w:eastAsia="zh-CN" w:bidi="ar-SA"/>
        </w:rPr>
      </w:pPr>
    </w:p>
    <w:p>
      <w:pPr>
        <w:pageBreakBefore w:val="0"/>
        <w:kinsoku/>
        <w:wordWrap/>
        <w:overflowPunct/>
        <w:topLinePunct w:val="0"/>
        <w:bidi w:val="0"/>
        <w:spacing w:line="400" w:lineRule="exact"/>
        <w:rPr>
          <w:rFonts w:hint="eastAsia" w:ascii="宋体" w:hAnsi="宋体" w:eastAsia="宋体" w:cs="宋体"/>
          <w:b/>
          <w:bCs/>
          <w:kern w:val="2"/>
          <w:sz w:val="36"/>
          <w:szCs w:val="36"/>
          <w:lang w:val="en-US" w:eastAsia="zh-CN" w:bidi="ar-SA"/>
        </w:rPr>
      </w:pPr>
    </w:p>
    <w:p>
      <w:pPr>
        <w:pStyle w:val="6"/>
        <w:pageBreakBefore w:val="0"/>
        <w:kinsoku/>
        <w:wordWrap/>
        <w:overflowPunct/>
        <w:topLinePunct w:val="0"/>
        <w:bidi w:val="0"/>
        <w:spacing w:line="400" w:lineRule="exact"/>
        <w:rPr>
          <w:rFonts w:hint="eastAsia" w:ascii="宋体" w:hAnsi="宋体" w:eastAsia="宋体" w:cs="宋体"/>
          <w:b/>
          <w:bCs/>
          <w:kern w:val="2"/>
          <w:sz w:val="36"/>
          <w:szCs w:val="36"/>
          <w:lang w:val="en-US" w:eastAsia="zh-CN" w:bidi="ar-SA"/>
        </w:rPr>
      </w:pPr>
    </w:p>
    <w:p>
      <w:pPr>
        <w:pStyle w:val="22"/>
        <w:pageBreakBefore w:val="0"/>
        <w:kinsoku/>
        <w:wordWrap/>
        <w:overflowPunct/>
        <w:topLinePunct w:val="0"/>
        <w:bidi w:val="0"/>
        <w:spacing w:beforeAutospacing="0" w:after="0" w:afterAutospacing="0" w:line="400" w:lineRule="exact"/>
        <w:ind w:left="0" w:leftChars="0" w:firstLine="0" w:firstLineChars="0"/>
        <w:jc w:val="both"/>
        <w:rPr>
          <w:rStyle w:val="28"/>
          <w:rFonts w:hint="eastAsia" w:ascii="宋体" w:hAnsi="宋体" w:eastAsia="宋体" w:cs="宋体"/>
          <w:b/>
          <w:bCs/>
          <w:color w:val="auto"/>
          <w:w w:val="90"/>
          <w:sz w:val="36"/>
          <w:szCs w:val="36"/>
          <w:u w:val="none"/>
          <w:lang w:val="en-US" w:eastAsia="zh-CN"/>
        </w:rPr>
      </w:pPr>
    </w:p>
    <w:p>
      <w:pPr>
        <w:pStyle w:val="22"/>
        <w:pageBreakBefore w:val="0"/>
        <w:kinsoku/>
        <w:wordWrap/>
        <w:overflowPunct/>
        <w:topLinePunct w:val="0"/>
        <w:bidi w:val="0"/>
        <w:spacing w:beforeAutospacing="0" w:after="0" w:afterAutospacing="0" w:line="400" w:lineRule="exact"/>
        <w:jc w:val="center"/>
        <w:rPr>
          <w:rFonts w:hint="eastAsia" w:ascii="宋体" w:hAnsi="宋体" w:eastAsia="宋体" w:cs="宋体"/>
          <w:color w:val="000000"/>
          <w:kern w:val="0"/>
          <w:szCs w:val="24"/>
          <w:highlight w:val="none"/>
        </w:rPr>
      </w:pPr>
      <w:r>
        <w:rPr>
          <w:rStyle w:val="28"/>
          <w:rFonts w:hint="eastAsia" w:ascii="宋体" w:hAnsi="宋体" w:cs="宋体"/>
          <w:b/>
          <w:bCs/>
          <w:color w:val="auto"/>
          <w:w w:val="90"/>
          <w:sz w:val="36"/>
          <w:szCs w:val="36"/>
          <w:u w:val="none"/>
          <w:lang w:val="en-US" w:eastAsia="zh-CN"/>
        </w:rPr>
        <w:t xml:space="preserve">            </w:t>
      </w:r>
      <w:r>
        <w:rPr>
          <w:rStyle w:val="28"/>
          <w:rFonts w:hint="eastAsia" w:ascii="宋体" w:hAnsi="宋体" w:eastAsia="宋体" w:cs="宋体"/>
          <w:b/>
          <w:bCs/>
          <w:color w:val="auto"/>
          <w:w w:val="90"/>
          <w:sz w:val="36"/>
          <w:szCs w:val="36"/>
          <w:u w:val="none"/>
          <w:lang w:val="en-US" w:eastAsia="zh-CN"/>
        </w:rPr>
        <w:t>第一章 招标公告    </w:t>
      </w:r>
      <w:r>
        <w:rPr>
          <w:rFonts w:hint="eastAsia" w:ascii="宋体" w:hAnsi="宋体" w:eastAsia="宋体" w:cs="宋体"/>
          <w:b/>
          <w:bCs/>
          <w:kern w:val="2"/>
          <w:sz w:val="36"/>
          <w:szCs w:val="36"/>
          <w:lang w:val="en-US" w:eastAsia="zh-CN" w:bidi="ar-SA"/>
        </w:rPr>
        <w:t>   </w:t>
      </w:r>
      <w:r>
        <w:rPr>
          <w:rFonts w:hint="eastAsia" w:ascii="宋体" w:hAnsi="宋体" w:eastAsia="宋体" w:cs="宋体"/>
          <w:color w:val="000000"/>
          <w:kern w:val="0"/>
          <w:szCs w:val="24"/>
          <w:highlight w:val="none"/>
        </w:rPr>
        <w:t>     </w:t>
      </w:r>
    </w:p>
    <w:p>
      <w:pPr>
        <w:keepNext w:val="0"/>
        <w:keepLines w:val="0"/>
        <w:widowControl/>
        <w:suppressLineNumbers w:val="0"/>
        <w:pBdr>
          <w:bottom w:val="none" w:color="auto" w:sz="0" w:space="0"/>
        </w:pBdr>
        <w:spacing w:line="450" w:lineRule="atLeast"/>
        <w:jc w:val="center"/>
        <w:rPr>
          <w:rFonts w:hint="eastAsia" w:ascii="宋体" w:hAnsi="宋体" w:eastAsia="宋体" w:cs="宋体"/>
          <w:b/>
          <w:bCs/>
          <w:color w:val="000000" w:themeColor="text1"/>
          <w:kern w:val="0"/>
          <w:sz w:val="36"/>
          <w:szCs w:val="36"/>
          <w:lang w:val="en-US" w:eastAsia="zh-CN" w:bidi="ar"/>
          <w14:textFill>
            <w14:solidFill>
              <w14:schemeClr w14:val="tx1"/>
            </w14:solidFill>
          </w14:textFill>
        </w:rPr>
      </w:pPr>
      <w:r>
        <w:rPr>
          <w:rFonts w:hint="eastAsia" w:ascii="宋体" w:hAnsi="宋体" w:cs="宋体"/>
          <w:b/>
          <w:bCs/>
          <w:color w:val="000000" w:themeColor="text1"/>
          <w:kern w:val="0"/>
          <w:sz w:val="36"/>
          <w:szCs w:val="36"/>
          <w:lang w:val="en-US" w:eastAsia="zh-CN" w:bidi="ar"/>
          <w14:textFill>
            <w14:solidFill>
              <w14:schemeClr w14:val="tx1"/>
            </w14:solidFill>
          </w14:textFill>
        </w:rPr>
        <w:t>托克逊县城市环卫园林一体化管理项目第一包</w:t>
      </w:r>
      <w:r>
        <w:rPr>
          <w:rFonts w:hint="eastAsia" w:ascii="宋体" w:hAnsi="宋体" w:eastAsia="宋体" w:cs="宋体"/>
          <w:b/>
          <w:bCs/>
          <w:color w:val="000000" w:themeColor="text1"/>
          <w:kern w:val="0"/>
          <w:sz w:val="36"/>
          <w:szCs w:val="36"/>
          <w:lang w:val="en-US" w:eastAsia="zh-CN" w:bidi="ar"/>
          <w14:textFill>
            <w14:solidFill>
              <w14:schemeClr w14:val="tx1"/>
            </w14:solidFill>
          </w14:textFill>
        </w:rPr>
        <w:t xml:space="preserve"> </w:t>
      </w:r>
    </w:p>
    <w:p>
      <w:pPr>
        <w:keepNext w:val="0"/>
        <w:keepLines w:val="0"/>
        <w:widowControl/>
        <w:suppressLineNumbers w:val="0"/>
        <w:pBdr>
          <w:bottom w:val="none" w:color="auto" w:sz="0" w:space="0"/>
        </w:pBdr>
        <w:spacing w:line="450" w:lineRule="atLeast"/>
        <w:jc w:val="center"/>
        <w:rPr>
          <w:rFonts w:hint="eastAsia" w:ascii="宋体" w:hAnsi="宋体" w:eastAsia="宋体" w:cs="宋体"/>
          <w:b/>
          <w:bCs/>
          <w:color w:val="000000" w:themeColor="text1"/>
          <w:kern w:val="0"/>
          <w:sz w:val="36"/>
          <w:szCs w:val="36"/>
          <w:lang w:val="en-US" w:eastAsia="zh-CN" w:bidi="ar"/>
          <w14:textFill>
            <w14:solidFill>
              <w14:schemeClr w14:val="tx1"/>
            </w14:solidFill>
          </w14:textFill>
        </w:rPr>
      </w:pPr>
      <w:r>
        <w:rPr>
          <w:rFonts w:hint="eastAsia" w:ascii="宋体" w:hAnsi="宋体" w:eastAsia="宋体" w:cs="宋体"/>
          <w:b/>
          <w:bCs/>
          <w:color w:val="000000" w:themeColor="text1"/>
          <w:kern w:val="0"/>
          <w:sz w:val="36"/>
          <w:szCs w:val="36"/>
          <w:lang w:val="en-US" w:eastAsia="zh-CN" w:bidi="ar"/>
          <w14:textFill>
            <w14:solidFill>
              <w14:schemeClr w14:val="tx1"/>
            </w14:solidFill>
          </w14:textFill>
        </w:rPr>
        <w:t>公开招标公告</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spacing w:val="0"/>
          <w:sz w:val="24"/>
          <w:szCs w:val="24"/>
        </w:rPr>
        <w:t>项目概况</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宋体" w:hAnsi="宋体" w:eastAsia="宋体" w:cs="宋体"/>
          <w:i w:val="0"/>
          <w:iCs w:val="0"/>
          <w:caps w:val="0"/>
          <w:spacing w:val="0"/>
          <w:sz w:val="24"/>
          <w:szCs w:val="24"/>
        </w:rPr>
      </w:pPr>
      <w:r>
        <w:rPr>
          <w:rFonts w:hint="eastAsia" w:cs="宋体"/>
          <w:i w:val="0"/>
          <w:iCs w:val="0"/>
          <w:caps w:val="0"/>
          <w:spacing w:val="0"/>
          <w:sz w:val="24"/>
          <w:szCs w:val="24"/>
          <w:lang w:val="en-US" w:eastAsia="zh-CN"/>
        </w:rPr>
        <w:t>托克逊县城市环卫园林一体化管理项目第一包</w:t>
      </w:r>
      <w:r>
        <w:rPr>
          <w:rFonts w:hint="eastAsia" w:ascii="宋体" w:hAnsi="宋体" w:eastAsia="宋体" w:cs="宋体"/>
          <w:i w:val="0"/>
          <w:iCs w:val="0"/>
          <w:caps w:val="0"/>
          <w:spacing w:val="0"/>
          <w:sz w:val="24"/>
          <w:szCs w:val="24"/>
        </w:rPr>
        <w:t>的潜在投</w:t>
      </w:r>
      <w:r>
        <w:rPr>
          <w:rFonts w:hint="eastAsia" w:ascii="宋体" w:hAnsi="宋体" w:eastAsia="宋体" w:cs="宋体"/>
          <w:i w:val="0"/>
          <w:iCs w:val="0"/>
          <w:caps w:val="0"/>
          <w:color w:val="auto"/>
          <w:spacing w:val="0"/>
          <w:sz w:val="24"/>
          <w:szCs w:val="24"/>
        </w:rPr>
        <w:t>标人应在政采云平台线上获取招标文件，并于202</w:t>
      </w:r>
      <w:r>
        <w:rPr>
          <w:rFonts w:hint="eastAsia" w:ascii="宋体" w:hAnsi="宋体" w:eastAsia="宋体" w:cs="宋体"/>
          <w:i w:val="0"/>
          <w:iCs w:val="0"/>
          <w:caps w:val="0"/>
          <w:color w:val="auto"/>
          <w:spacing w:val="0"/>
          <w:sz w:val="24"/>
          <w:szCs w:val="24"/>
          <w:lang w:val="en-US" w:eastAsia="zh-CN"/>
        </w:rPr>
        <w:t>3</w:t>
      </w:r>
      <w:r>
        <w:rPr>
          <w:rFonts w:hint="eastAsia" w:ascii="宋体" w:hAnsi="宋体" w:eastAsia="宋体" w:cs="宋体"/>
          <w:i w:val="0"/>
          <w:iCs w:val="0"/>
          <w:caps w:val="0"/>
          <w:color w:val="auto"/>
          <w:spacing w:val="0"/>
          <w:sz w:val="24"/>
          <w:szCs w:val="24"/>
        </w:rPr>
        <w:t>年</w:t>
      </w:r>
      <w:r>
        <w:rPr>
          <w:rFonts w:hint="eastAsia" w:ascii="宋体" w:hAnsi="宋体" w:eastAsia="宋体" w:cs="宋体"/>
          <w:i w:val="0"/>
          <w:iCs w:val="0"/>
          <w:caps w:val="0"/>
          <w:color w:val="auto"/>
          <w:spacing w:val="0"/>
          <w:sz w:val="24"/>
          <w:szCs w:val="24"/>
          <w:lang w:val="en-US" w:eastAsia="zh-CN"/>
        </w:rPr>
        <w:t>1</w:t>
      </w:r>
      <w:r>
        <w:rPr>
          <w:rFonts w:hint="eastAsia" w:cs="宋体"/>
          <w:i w:val="0"/>
          <w:iCs w:val="0"/>
          <w:caps w:val="0"/>
          <w:color w:val="auto"/>
          <w:spacing w:val="0"/>
          <w:sz w:val="24"/>
          <w:szCs w:val="24"/>
          <w:lang w:val="en-US" w:eastAsia="zh-CN"/>
        </w:rPr>
        <w:t>1</w:t>
      </w:r>
      <w:r>
        <w:rPr>
          <w:rFonts w:hint="eastAsia" w:ascii="宋体" w:hAnsi="宋体" w:eastAsia="宋体" w:cs="宋体"/>
          <w:i w:val="0"/>
          <w:iCs w:val="0"/>
          <w:caps w:val="0"/>
          <w:color w:val="auto"/>
          <w:spacing w:val="0"/>
          <w:sz w:val="24"/>
          <w:szCs w:val="24"/>
        </w:rPr>
        <w:t>月</w:t>
      </w:r>
      <w:r>
        <w:rPr>
          <w:rFonts w:hint="eastAsia" w:cs="宋体"/>
          <w:i w:val="0"/>
          <w:iCs w:val="0"/>
          <w:caps w:val="0"/>
          <w:color w:val="auto"/>
          <w:spacing w:val="0"/>
          <w:sz w:val="24"/>
          <w:szCs w:val="24"/>
          <w:lang w:val="en-US" w:eastAsia="zh-CN"/>
        </w:rPr>
        <w:t>27</w:t>
      </w:r>
      <w:r>
        <w:rPr>
          <w:rFonts w:hint="eastAsia" w:ascii="宋体" w:hAnsi="宋体" w:eastAsia="宋体" w:cs="宋体"/>
          <w:i w:val="0"/>
          <w:iCs w:val="0"/>
          <w:caps w:val="0"/>
          <w:color w:val="auto"/>
          <w:spacing w:val="0"/>
          <w:sz w:val="24"/>
          <w:szCs w:val="24"/>
        </w:rPr>
        <w:t>日1</w:t>
      </w:r>
      <w:r>
        <w:rPr>
          <w:rFonts w:hint="eastAsia" w:cs="宋体"/>
          <w:i w:val="0"/>
          <w:iCs w:val="0"/>
          <w:caps w:val="0"/>
          <w:color w:val="auto"/>
          <w:spacing w:val="0"/>
          <w:sz w:val="24"/>
          <w:szCs w:val="24"/>
          <w:lang w:val="en-US" w:eastAsia="zh-CN"/>
        </w:rPr>
        <w:t>6</w:t>
      </w:r>
      <w:r>
        <w:rPr>
          <w:rFonts w:hint="eastAsia" w:ascii="宋体" w:hAnsi="宋体" w:eastAsia="宋体" w:cs="宋体"/>
          <w:i w:val="0"/>
          <w:iCs w:val="0"/>
          <w:caps w:val="0"/>
          <w:color w:val="auto"/>
          <w:spacing w:val="0"/>
          <w:sz w:val="24"/>
          <w:szCs w:val="24"/>
        </w:rPr>
        <w:t>:</w:t>
      </w:r>
      <w:r>
        <w:rPr>
          <w:rFonts w:hint="eastAsia" w:cs="宋体"/>
          <w:i w:val="0"/>
          <w:iCs w:val="0"/>
          <w:caps w:val="0"/>
          <w:color w:val="auto"/>
          <w:spacing w:val="0"/>
          <w:sz w:val="24"/>
          <w:szCs w:val="24"/>
          <w:lang w:val="en-US" w:eastAsia="zh-CN"/>
        </w:rPr>
        <w:t>0</w:t>
      </w:r>
      <w:r>
        <w:rPr>
          <w:rFonts w:hint="eastAsia" w:ascii="宋体" w:hAnsi="宋体" w:eastAsia="宋体" w:cs="宋体"/>
          <w:i w:val="0"/>
          <w:iCs w:val="0"/>
          <w:caps w:val="0"/>
          <w:color w:val="auto"/>
          <w:spacing w:val="0"/>
          <w:sz w:val="24"/>
          <w:szCs w:val="24"/>
        </w:rPr>
        <w:t>0（北京时间）前递</w:t>
      </w:r>
      <w:r>
        <w:rPr>
          <w:rFonts w:hint="eastAsia" w:ascii="宋体" w:hAnsi="宋体" w:eastAsia="宋体" w:cs="宋体"/>
          <w:i w:val="0"/>
          <w:iCs w:val="0"/>
          <w:caps w:val="0"/>
          <w:spacing w:val="0"/>
          <w:sz w:val="24"/>
          <w:szCs w:val="24"/>
        </w:rPr>
        <w:t>交投标文件。</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56" w:beforeAutospacing="0" w:after="256" w:afterAutospacing="0" w:line="280" w:lineRule="exact"/>
        <w:ind w:left="0" w:right="0"/>
        <w:jc w:val="both"/>
        <w:textAlignment w:val="auto"/>
        <w:rPr>
          <w:rFonts w:hint="eastAsia" w:ascii="宋体" w:hAnsi="宋体" w:eastAsia="宋体" w:cs="宋体"/>
          <w:color w:val="000000"/>
          <w:sz w:val="24"/>
          <w:szCs w:val="24"/>
        </w:rPr>
      </w:pPr>
      <w:r>
        <w:rPr>
          <w:rStyle w:val="26"/>
          <w:rFonts w:hint="eastAsia" w:ascii="宋体" w:hAnsi="宋体" w:eastAsia="宋体" w:cs="宋体"/>
          <w:b/>
          <w:bCs/>
          <w:i w:val="0"/>
          <w:iCs w:val="0"/>
          <w:caps w:val="0"/>
          <w:color w:val="000000"/>
          <w:spacing w:val="0"/>
          <w:sz w:val="24"/>
          <w:szCs w:val="24"/>
        </w:rPr>
        <w:t>一、项目基本情况</w:t>
      </w:r>
    </w:p>
    <w:p>
      <w:pPr>
        <w:pStyle w:val="21"/>
        <w:keepNext w:val="0"/>
        <w:keepLines w:val="0"/>
        <w:pageBreakBefore w:val="0"/>
        <w:widowControl/>
        <w:kinsoku/>
        <w:wordWrap/>
        <w:overflowPunct/>
        <w:topLinePunct w:val="0"/>
        <w:autoSpaceDE/>
        <w:autoSpaceDN/>
        <w:bidi w:val="0"/>
        <w:adjustRightInd/>
        <w:snapToGrid/>
        <w:spacing w:beforeAutospacing="0" w:afterAutospacing="0" w:line="280" w:lineRule="exact"/>
        <w:textAlignment w:val="auto"/>
        <w:rPr>
          <w:rFonts w:hint="default" w:ascii="宋体" w:hAnsi="宋体" w:eastAsia="宋体" w:cs="宋体"/>
          <w:i w:val="0"/>
          <w:iCs w:val="0"/>
          <w:caps w:val="0"/>
          <w:color w:val="000000" w:themeColor="text1"/>
          <w:spacing w:val="0"/>
          <w:sz w:val="24"/>
          <w:szCs w:val="24"/>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lang w:val="en-US" w:eastAsia="zh-CN"/>
          <w14:textFill>
            <w14:solidFill>
              <w14:schemeClr w14:val="tx1"/>
            </w14:solidFill>
          </w14:textFill>
        </w:rPr>
        <w:t>项目编号：</w:t>
      </w:r>
      <w:r>
        <w:rPr>
          <w:rFonts w:hint="eastAsia" w:ascii="宋体" w:hAnsi="宋体" w:eastAsia="宋体" w:cs="宋体"/>
          <w:i w:val="0"/>
          <w:iCs w:val="0"/>
          <w:caps w:val="0"/>
          <w:color w:val="000000" w:themeColor="text1"/>
          <w:spacing w:val="0"/>
          <w:sz w:val="24"/>
          <w:szCs w:val="24"/>
          <w14:textFill>
            <w14:solidFill>
              <w14:schemeClr w14:val="tx1"/>
            </w14:solidFill>
          </w14:textFill>
        </w:rPr>
        <w:t>TKXZFCG(GK)HYTH202</w:t>
      </w:r>
      <w:r>
        <w:rPr>
          <w:rFonts w:hint="eastAsia" w:ascii="宋体" w:hAnsi="宋体" w:eastAsia="宋体" w:cs="宋体"/>
          <w:i w:val="0"/>
          <w:iCs w:val="0"/>
          <w:caps w:val="0"/>
          <w:color w:val="000000" w:themeColor="text1"/>
          <w:spacing w:val="0"/>
          <w:sz w:val="24"/>
          <w:szCs w:val="24"/>
          <w:lang w:val="en-US" w:eastAsia="zh-CN"/>
          <w14:textFill>
            <w14:solidFill>
              <w14:schemeClr w14:val="tx1"/>
            </w14:solidFill>
          </w14:textFill>
        </w:rPr>
        <w:t>3</w:t>
      </w:r>
      <w:r>
        <w:rPr>
          <w:rFonts w:hint="eastAsia" w:ascii="宋体" w:hAnsi="宋体" w:eastAsia="宋体" w:cs="宋体"/>
          <w:i w:val="0"/>
          <w:iCs w:val="0"/>
          <w:caps w:val="0"/>
          <w:color w:val="000000" w:themeColor="text1"/>
          <w:spacing w:val="0"/>
          <w:sz w:val="24"/>
          <w:szCs w:val="24"/>
          <w14:textFill>
            <w14:solidFill>
              <w14:schemeClr w14:val="tx1"/>
            </w14:solidFill>
          </w14:textFill>
        </w:rPr>
        <w:t>-</w:t>
      </w:r>
      <w:r>
        <w:rPr>
          <w:rFonts w:hint="eastAsia" w:ascii="宋体" w:hAnsi="宋体" w:eastAsia="宋体" w:cs="宋体"/>
          <w:i w:val="0"/>
          <w:iCs w:val="0"/>
          <w:caps w:val="0"/>
          <w:color w:val="000000" w:themeColor="text1"/>
          <w:spacing w:val="0"/>
          <w:sz w:val="24"/>
          <w:szCs w:val="24"/>
          <w:lang w:val="en-US" w:eastAsia="zh-CN"/>
          <w14:textFill>
            <w14:solidFill>
              <w14:schemeClr w14:val="tx1"/>
            </w14:solidFill>
          </w14:textFill>
        </w:rPr>
        <w:t>0</w:t>
      </w:r>
      <w:r>
        <w:rPr>
          <w:rFonts w:hint="eastAsia" w:cs="宋体"/>
          <w:i w:val="0"/>
          <w:iCs w:val="0"/>
          <w:caps w:val="0"/>
          <w:color w:val="000000" w:themeColor="text1"/>
          <w:spacing w:val="0"/>
          <w:sz w:val="24"/>
          <w:szCs w:val="24"/>
          <w:lang w:val="en-US" w:eastAsia="zh-CN"/>
          <w14:textFill>
            <w14:solidFill>
              <w14:schemeClr w14:val="tx1"/>
            </w14:solidFill>
          </w14:textFill>
        </w:rPr>
        <w:t>36</w:t>
      </w:r>
    </w:p>
    <w:p>
      <w:pPr>
        <w:pStyle w:val="21"/>
        <w:keepNext w:val="0"/>
        <w:keepLines w:val="0"/>
        <w:pageBreakBefore w:val="0"/>
        <w:widowControl/>
        <w:kinsoku/>
        <w:wordWrap/>
        <w:overflowPunct/>
        <w:topLinePunct w:val="0"/>
        <w:autoSpaceDE/>
        <w:autoSpaceDN/>
        <w:bidi w:val="0"/>
        <w:adjustRightInd/>
        <w:snapToGrid/>
        <w:spacing w:beforeAutospacing="0" w:afterAutospacing="0" w:line="280" w:lineRule="exact"/>
        <w:textAlignment w:val="auto"/>
        <w:rPr>
          <w:rFonts w:hint="default" w:ascii="宋体" w:hAnsi="宋体" w:eastAsia="宋体" w:cs="宋体"/>
          <w:i w:val="0"/>
          <w:iCs w:val="0"/>
          <w:caps w:val="0"/>
          <w:color w:val="000000"/>
          <w:spacing w:val="0"/>
          <w:sz w:val="24"/>
          <w:szCs w:val="24"/>
          <w:lang w:val="en-US" w:eastAsia="zh-CN"/>
        </w:rPr>
      </w:pPr>
      <w:r>
        <w:rPr>
          <w:rFonts w:hint="eastAsia" w:ascii="宋体" w:hAnsi="宋体" w:eastAsia="宋体" w:cs="宋体"/>
          <w:i w:val="0"/>
          <w:iCs w:val="0"/>
          <w:caps w:val="0"/>
          <w:color w:val="000000"/>
          <w:spacing w:val="0"/>
          <w:sz w:val="24"/>
          <w:szCs w:val="24"/>
          <w:lang w:val="en-US" w:eastAsia="zh-CN"/>
        </w:rPr>
        <w:t>项目名称</w:t>
      </w:r>
      <w:r>
        <w:rPr>
          <w:rFonts w:hint="eastAsia" w:ascii="宋体" w:hAnsi="宋体" w:eastAsia="宋体" w:cs="宋体"/>
          <w:i w:val="0"/>
          <w:iCs w:val="0"/>
          <w:caps w:val="0"/>
          <w:spacing w:val="0"/>
          <w:sz w:val="24"/>
          <w:szCs w:val="24"/>
          <w:lang w:val="en-US" w:eastAsia="zh-CN"/>
        </w:rPr>
        <w:t>：</w:t>
      </w:r>
      <w:r>
        <w:rPr>
          <w:rFonts w:hint="eastAsia" w:cs="宋体"/>
          <w:i w:val="0"/>
          <w:iCs w:val="0"/>
          <w:caps w:val="0"/>
          <w:color w:val="000000"/>
          <w:spacing w:val="0"/>
          <w:sz w:val="24"/>
          <w:szCs w:val="24"/>
          <w:lang w:val="en-US" w:eastAsia="zh-CN"/>
        </w:rPr>
        <w:t>托克逊县城市环卫园林一体化管理项目第一包</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宋体" w:hAnsi="宋体" w:eastAsia="宋体" w:cs="宋体"/>
          <w:i w:val="0"/>
          <w:iCs w:val="0"/>
          <w:caps w:val="0"/>
          <w:color w:val="000000" w:themeColor="text1"/>
          <w:spacing w:val="0"/>
          <w:sz w:val="24"/>
          <w:szCs w:val="24"/>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lang w:val="en-US" w:eastAsia="zh-CN"/>
          <w14:textFill>
            <w14:solidFill>
              <w14:schemeClr w14:val="tx1"/>
            </w14:solidFill>
          </w14:textFill>
        </w:rPr>
        <w:t>采购方式：公开招标</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宋体" w:hAnsi="宋体" w:eastAsia="宋体" w:cs="宋体"/>
          <w:i w:val="0"/>
          <w:iCs w:val="0"/>
          <w:caps w:val="0"/>
          <w:color w:val="000000"/>
          <w:spacing w:val="0"/>
          <w:kern w:val="0"/>
          <w:sz w:val="24"/>
          <w:szCs w:val="24"/>
          <w:lang w:val="en-US" w:eastAsia="zh-CN" w:bidi="ar-SA"/>
        </w:rPr>
      </w:pPr>
      <w:r>
        <w:rPr>
          <w:rFonts w:hint="eastAsia" w:ascii="宋体" w:hAnsi="宋体" w:eastAsia="宋体" w:cs="宋体"/>
          <w:i w:val="0"/>
          <w:iCs w:val="0"/>
          <w:caps w:val="0"/>
          <w:color w:val="000000" w:themeColor="text1"/>
          <w:spacing w:val="0"/>
          <w:sz w:val="24"/>
          <w:szCs w:val="24"/>
          <w:lang w:val="en-US" w:eastAsia="zh-CN"/>
          <w14:textFill>
            <w14:solidFill>
              <w14:schemeClr w14:val="tx1"/>
            </w14:solidFill>
          </w14:textFill>
        </w:rPr>
        <w:t>预算金额（元</w:t>
      </w:r>
      <w:r>
        <w:rPr>
          <w:rFonts w:hint="eastAsia" w:ascii="宋体" w:hAnsi="宋体" w:eastAsia="宋体" w:cs="宋体"/>
          <w:i w:val="0"/>
          <w:iCs w:val="0"/>
          <w:caps w:val="0"/>
          <w:color w:val="000000" w:themeColor="text1"/>
          <w:spacing w:val="0"/>
          <w:kern w:val="0"/>
          <w:sz w:val="24"/>
          <w:szCs w:val="24"/>
          <w:lang w:val="en-US" w:eastAsia="zh-CN" w:bidi="ar-SA"/>
          <w14:textFill>
            <w14:solidFill>
              <w14:schemeClr w14:val="tx1"/>
            </w14:solidFill>
          </w14:textFill>
        </w:rPr>
        <w:t>）</w:t>
      </w:r>
      <w:r>
        <w:rPr>
          <w:rFonts w:hint="eastAsia" w:ascii="宋体" w:hAnsi="宋体" w:eastAsia="宋体" w:cs="宋体"/>
          <w:i w:val="0"/>
          <w:iCs w:val="0"/>
          <w:caps w:val="0"/>
          <w:color w:val="000000"/>
          <w:spacing w:val="0"/>
          <w:kern w:val="0"/>
          <w:sz w:val="24"/>
          <w:szCs w:val="24"/>
          <w:lang w:val="en-US" w:eastAsia="zh-CN" w:bidi="ar-SA"/>
        </w:rPr>
        <w:t>：16365000.00</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宋体" w:hAnsi="宋体" w:eastAsia="宋体" w:cs="宋体"/>
          <w:i w:val="0"/>
          <w:iCs w:val="0"/>
          <w:caps w:val="0"/>
          <w:color w:val="000000"/>
          <w:spacing w:val="0"/>
          <w:kern w:val="0"/>
          <w:sz w:val="24"/>
          <w:szCs w:val="24"/>
          <w:lang w:val="en-US" w:eastAsia="zh-CN" w:bidi="ar-SA"/>
        </w:rPr>
      </w:pPr>
      <w:r>
        <w:rPr>
          <w:rFonts w:hint="eastAsia" w:ascii="宋体" w:hAnsi="宋体" w:eastAsia="宋体" w:cs="宋体"/>
          <w:i w:val="0"/>
          <w:iCs w:val="0"/>
          <w:caps w:val="0"/>
          <w:color w:val="000000"/>
          <w:spacing w:val="0"/>
          <w:kern w:val="0"/>
          <w:sz w:val="24"/>
          <w:szCs w:val="24"/>
          <w:lang w:val="en-US" w:eastAsia="zh-CN" w:bidi="ar-SA"/>
        </w:rPr>
        <w:t>最高限价（元）：16365000.00</w:t>
      </w:r>
    </w:p>
    <w:p>
      <w:pPr>
        <w:pStyle w:val="21"/>
        <w:keepNext w:val="0"/>
        <w:keepLines w:val="0"/>
        <w:pageBreakBefore w:val="0"/>
        <w:widowControl/>
        <w:kinsoku/>
        <w:wordWrap/>
        <w:overflowPunct/>
        <w:topLinePunct w:val="0"/>
        <w:autoSpaceDE/>
        <w:autoSpaceDN/>
        <w:bidi w:val="0"/>
        <w:adjustRightInd/>
        <w:snapToGrid/>
        <w:spacing w:beforeAutospacing="0" w:afterAutospacing="0" w:line="280" w:lineRule="exact"/>
        <w:textAlignment w:val="auto"/>
        <w:rPr>
          <w:rFonts w:hint="eastAsia" w:ascii="宋体" w:hAnsi="宋体" w:eastAsia="宋体" w:cs="宋体"/>
          <w:i w:val="0"/>
          <w:iCs w:val="0"/>
          <w:caps w:val="0"/>
          <w:color w:val="000000" w:themeColor="text1"/>
          <w:spacing w:val="0"/>
          <w:sz w:val="24"/>
          <w:szCs w:val="24"/>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lang w:val="en-US" w:eastAsia="zh-CN"/>
          <w14:textFill>
            <w14:solidFill>
              <w14:schemeClr w14:val="tx1"/>
            </w14:solidFill>
          </w14:textFill>
        </w:rPr>
        <w:t>采购需求：</w:t>
      </w:r>
      <w:r>
        <w:rPr>
          <w:rFonts w:hint="eastAsia" w:ascii="宋体" w:hAnsi="宋体" w:eastAsia="宋体" w:cs="宋体"/>
          <w:i w:val="0"/>
          <w:iCs w:val="0"/>
          <w:caps w:val="0"/>
          <w:color w:val="000000" w:themeColor="text1"/>
          <w:spacing w:val="0"/>
          <w:sz w:val="24"/>
          <w:szCs w:val="24"/>
          <w:lang w:val="en-US" w:eastAsia="zh-CN"/>
          <w14:textFill>
            <w14:solidFill>
              <w14:schemeClr w14:val="tx1"/>
            </w14:solidFill>
          </w14:textFill>
        </w:rPr>
        <w:br w:type="textWrapping"/>
      </w:r>
      <w:r>
        <w:rPr>
          <w:rFonts w:hint="eastAsia" w:ascii="宋体" w:hAnsi="宋体" w:eastAsia="宋体" w:cs="宋体"/>
          <w:i w:val="0"/>
          <w:iCs w:val="0"/>
          <w:caps w:val="0"/>
          <w:color w:val="000000" w:themeColor="text1"/>
          <w:spacing w:val="0"/>
          <w:sz w:val="24"/>
          <w:szCs w:val="24"/>
          <w:lang w:val="en-US" w:eastAsia="zh-CN"/>
          <w14:textFill>
            <w14:solidFill>
              <w14:schemeClr w14:val="tx1"/>
            </w14:solidFill>
          </w14:textFill>
        </w:rPr>
        <w:t>   标项名称:</w:t>
      </w:r>
      <w:r>
        <w:rPr>
          <w:rFonts w:hint="eastAsia" w:cs="宋体"/>
          <w:i w:val="0"/>
          <w:iCs w:val="0"/>
          <w:caps w:val="0"/>
          <w:color w:val="000000"/>
          <w:spacing w:val="0"/>
          <w:sz w:val="24"/>
          <w:szCs w:val="24"/>
          <w:lang w:val="en-US" w:eastAsia="zh-CN"/>
        </w:rPr>
        <w:t>托克逊县城市环卫园林一体化管理项目第一包</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280" w:lineRule="exact"/>
        <w:ind w:firstLine="480" w:firstLineChars="200"/>
        <w:textAlignment w:val="auto"/>
        <w:rPr>
          <w:rFonts w:hint="eastAsia" w:ascii="宋体" w:hAnsi="宋体" w:eastAsia="宋体" w:cs="宋体"/>
          <w:i w:val="0"/>
          <w:iCs w:val="0"/>
          <w:caps w:val="0"/>
          <w:color w:val="000000"/>
          <w:spacing w:val="0"/>
          <w:kern w:val="0"/>
          <w:sz w:val="24"/>
          <w:szCs w:val="24"/>
          <w:lang w:val="en-US" w:eastAsia="zh-CN" w:bidi="ar-SA"/>
        </w:rPr>
      </w:pPr>
      <w:r>
        <w:rPr>
          <w:rFonts w:hint="eastAsia" w:ascii="宋体" w:hAnsi="宋体" w:eastAsia="宋体" w:cs="宋体"/>
          <w:i w:val="0"/>
          <w:iCs w:val="0"/>
          <w:caps w:val="0"/>
          <w:color w:val="000000" w:themeColor="text1"/>
          <w:spacing w:val="0"/>
          <w:sz w:val="24"/>
          <w:szCs w:val="24"/>
          <w:lang w:val="en-US" w:eastAsia="zh-CN"/>
          <w14:textFill>
            <w14:solidFill>
              <w14:schemeClr w14:val="tx1"/>
            </w14:solidFill>
          </w14:textFill>
        </w:rPr>
        <w:t>数量:1</w:t>
      </w:r>
      <w:r>
        <w:rPr>
          <w:rFonts w:hint="eastAsia" w:ascii="宋体" w:hAnsi="宋体" w:eastAsia="宋体" w:cs="宋体"/>
          <w:i w:val="0"/>
          <w:iCs w:val="0"/>
          <w:caps w:val="0"/>
          <w:color w:val="000000" w:themeColor="text1"/>
          <w:spacing w:val="0"/>
          <w:sz w:val="24"/>
          <w:szCs w:val="24"/>
          <w:lang w:val="en-US" w:eastAsia="zh-CN"/>
          <w14:textFill>
            <w14:solidFill>
              <w14:schemeClr w14:val="tx1"/>
            </w14:solidFill>
          </w14:textFill>
        </w:rPr>
        <w:br w:type="textWrapping"/>
      </w:r>
      <w:r>
        <w:rPr>
          <w:rFonts w:hint="eastAsia" w:ascii="宋体" w:hAnsi="宋体" w:eastAsia="宋体" w:cs="宋体"/>
          <w:i w:val="0"/>
          <w:iCs w:val="0"/>
          <w:caps w:val="0"/>
          <w:color w:val="000000" w:themeColor="text1"/>
          <w:spacing w:val="0"/>
          <w:sz w:val="24"/>
          <w:szCs w:val="24"/>
          <w:lang w:val="en-US" w:eastAsia="zh-CN"/>
          <w14:textFill>
            <w14:solidFill>
              <w14:schemeClr w14:val="tx1"/>
            </w14:solidFill>
          </w14:textFill>
        </w:rPr>
        <w:t>   </w:t>
      </w:r>
      <w:r>
        <w:rPr>
          <w:rFonts w:hint="eastAsia" w:ascii="宋体" w:hAnsi="宋体" w:eastAsia="宋体" w:cs="宋体"/>
          <w:i w:val="0"/>
          <w:iCs w:val="0"/>
          <w:caps w:val="0"/>
          <w:color w:val="auto"/>
          <w:spacing w:val="0"/>
          <w:sz w:val="24"/>
          <w:szCs w:val="24"/>
          <w:lang w:val="en-US" w:eastAsia="zh-CN"/>
        </w:rPr>
        <w:t>预算金额（</w:t>
      </w:r>
      <w:r>
        <w:rPr>
          <w:rFonts w:hint="eastAsia" w:ascii="宋体" w:hAnsi="宋体" w:eastAsia="宋体" w:cs="宋体"/>
          <w:i w:val="0"/>
          <w:iCs w:val="0"/>
          <w:caps w:val="0"/>
          <w:color w:val="auto"/>
          <w:spacing w:val="0"/>
          <w:kern w:val="0"/>
          <w:sz w:val="24"/>
          <w:szCs w:val="24"/>
          <w:lang w:val="en-US" w:eastAsia="zh-CN" w:bidi="ar-SA"/>
        </w:rPr>
        <w:t>元）:16365000.00</w:t>
      </w:r>
    </w:p>
    <w:p>
      <w:pPr>
        <w:pStyle w:val="13"/>
        <w:keepNext w:val="0"/>
        <w:keepLines w:val="0"/>
        <w:pageBreakBefore w:val="0"/>
        <w:shd w:val="clear" w:color="auto" w:fill="FFFFFF"/>
        <w:kinsoku/>
        <w:wordWrap/>
        <w:overflowPunct/>
        <w:autoSpaceDE w:val="0"/>
        <w:autoSpaceDN/>
        <w:bidi w:val="0"/>
        <w:adjustRightInd w:val="0"/>
        <w:snapToGrid w:val="0"/>
        <w:spacing w:line="280" w:lineRule="exact"/>
        <w:ind w:left="0" w:leftChars="0" w:right="0" w:firstLine="480" w:firstLineChars="200"/>
        <w:textAlignment w:val="auto"/>
        <w:rPr>
          <w:rFonts w:hint="eastAsia" w:ascii="宋体" w:hAnsi="宋体" w:eastAsia="宋体" w:cs="宋体"/>
          <w:i w:val="0"/>
          <w:iCs w:val="0"/>
          <w:caps w:val="0"/>
          <w:color w:val="000000" w:themeColor="text1"/>
          <w:spacing w:val="0"/>
          <w:sz w:val="24"/>
          <w:szCs w:val="24"/>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lang w:val="en-US" w:eastAsia="zh-CN"/>
          <w14:textFill>
            <w14:solidFill>
              <w14:schemeClr w14:val="tx1"/>
            </w14:solidFill>
          </w14:textFill>
        </w:rPr>
        <w:t>简要规格描述或项目基本概况介绍、用途：道路清扫、保洁，垃圾清运、处置，公厕管理与维护，环卫基础设施的更新与维护等；园林绿化养护，包括养护范围内各类乔灌木绿篱等灌溉、修剪、防治病虫害、缺株补植补种等基础设施维护，绿地保洁和垃圾清运、绿化管网基础设施维护，公园广场等附属设施维护。</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right="0"/>
        <w:textAlignment w:val="auto"/>
        <w:rPr>
          <w:rFonts w:hint="eastAsia" w:ascii="宋体" w:hAnsi="宋体" w:eastAsia="宋体" w:cs="宋体"/>
          <w:i w:val="0"/>
          <w:iCs w:val="0"/>
          <w:caps w:val="0"/>
          <w:color w:val="000000"/>
          <w:spacing w:val="0"/>
          <w:sz w:val="24"/>
          <w:szCs w:val="24"/>
          <w:lang w:val="en-US" w:eastAsia="zh-CN"/>
        </w:rPr>
      </w:pPr>
      <w:r>
        <w:rPr>
          <w:rFonts w:hint="eastAsia" w:ascii="宋体" w:hAnsi="宋体" w:eastAsia="宋体" w:cs="宋体"/>
          <w:i w:val="0"/>
          <w:iCs w:val="0"/>
          <w:caps w:val="0"/>
          <w:color w:val="000000"/>
          <w:spacing w:val="0"/>
          <w:sz w:val="24"/>
          <w:szCs w:val="24"/>
          <w:lang w:val="en-US" w:eastAsia="zh-CN"/>
        </w:rPr>
        <w:t>   备注：</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宋体" w:hAnsi="宋体" w:eastAsia="宋体" w:cs="宋体"/>
          <w:i w:val="0"/>
          <w:iCs w:val="0"/>
          <w:caps w:val="0"/>
          <w:color w:val="000000" w:themeColor="text1"/>
          <w:spacing w:val="0"/>
          <w:sz w:val="24"/>
          <w:szCs w:val="24"/>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lang w:val="en-US" w:eastAsia="zh-CN"/>
          <w14:textFill>
            <w14:solidFill>
              <w14:schemeClr w14:val="tx1"/>
            </w14:solidFill>
          </w14:textFill>
        </w:rPr>
        <w:t>合同履约期限：</w:t>
      </w:r>
      <w:r>
        <w:rPr>
          <w:rFonts w:hint="eastAsia" w:cs="宋体"/>
          <w:i w:val="0"/>
          <w:iCs w:val="0"/>
          <w:caps w:val="0"/>
          <w:color w:val="000000" w:themeColor="text1"/>
          <w:spacing w:val="0"/>
          <w:sz w:val="24"/>
          <w:szCs w:val="24"/>
          <w:lang w:val="en-US" w:eastAsia="zh-CN"/>
          <w14:textFill>
            <w14:solidFill>
              <w14:schemeClr w14:val="tx1"/>
            </w14:solidFill>
          </w14:textFill>
        </w:rPr>
        <w:t>标项1，</w:t>
      </w:r>
      <w:r>
        <w:rPr>
          <w:rFonts w:hint="eastAsia" w:ascii="宋体" w:hAnsi="宋体" w:eastAsia="宋体" w:cs="宋体"/>
          <w:i w:val="0"/>
          <w:iCs w:val="0"/>
          <w:caps w:val="0"/>
          <w:color w:val="000000" w:themeColor="text1"/>
          <w:spacing w:val="0"/>
          <w:sz w:val="24"/>
          <w:szCs w:val="24"/>
          <w:lang w:val="en-US" w:eastAsia="zh-CN"/>
          <w14:textFill>
            <w14:solidFill>
              <w14:schemeClr w14:val="tx1"/>
            </w14:solidFill>
          </w14:textFill>
        </w:rPr>
        <w:t>服务期为3年（本此项目预算为一年的金额），合同一年一签订，每年根据考核情况续签合同。</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240" w:firstLineChars="100"/>
        <w:textAlignment w:val="auto"/>
        <w:rPr>
          <w:rFonts w:hint="eastAsia" w:ascii="宋体" w:hAnsi="宋体" w:eastAsia="宋体" w:cs="宋体"/>
          <w:i w:val="0"/>
          <w:iCs w:val="0"/>
          <w:caps w:val="0"/>
          <w:color w:val="000000" w:themeColor="text1"/>
          <w:spacing w:val="0"/>
          <w:sz w:val="24"/>
          <w:szCs w:val="24"/>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lang w:val="en-US" w:eastAsia="zh-CN"/>
          <w14:textFill>
            <w14:solidFill>
              <w14:schemeClr w14:val="tx1"/>
            </w14:solidFill>
          </w14:textFill>
        </w:rPr>
        <w:t>本项目（否）接受联合体投标。</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textAlignment w:val="auto"/>
        <w:rPr>
          <w:rFonts w:hint="eastAsia" w:ascii="宋体" w:hAnsi="宋体" w:eastAsia="宋体" w:cs="宋体"/>
          <w:color w:val="000000"/>
          <w:sz w:val="24"/>
          <w:szCs w:val="24"/>
        </w:rPr>
      </w:pPr>
      <w:r>
        <w:rPr>
          <w:rStyle w:val="26"/>
          <w:rFonts w:hint="eastAsia" w:ascii="宋体" w:hAnsi="宋体" w:eastAsia="宋体" w:cs="宋体"/>
          <w:b/>
          <w:bCs/>
          <w:i w:val="0"/>
          <w:iCs w:val="0"/>
          <w:caps w:val="0"/>
          <w:color w:val="000000"/>
          <w:spacing w:val="0"/>
          <w:sz w:val="24"/>
          <w:szCs w:val="24"/>
        </w:rPr>
        <w:t>二、申请人的资格要求：</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420"/>
        <w:textAlignment w:val="auto"/>
        <w:rPr>
          <w:rFonts w:hint="eastAsia" w:ascii="宋体" w:hAnsi="宋体" w:eastAsia="宋体" w:cs="宋体"/>
          <w:i w:val="0"/>
          <w:iCs w:val="0"/>
          <w:caps w:val="0"/>
          <w:spacing w:val="0"/>
          <w:sz w:val="24"/>
          <w:szCs w:val="24"/>
        </w:rPr>
      </w:pPr>
      <w:r>
        <w:rPr>
          <w:rFonts w:hint="eastAsia" w:ascii="宋体" w:hAnsi="宋体" w:eastAsia="宋体" w:cs="宋体"/>
          <w:i w:val="0"/>
          <w:iCs w:val="0"/>
          <w:caps w:val="0"/>
          <w:spacing w:val="0"/>
          <w:sz w:val="24"/>
          <w:szCs w:val="24"/>
        </w:rPr>
        <w:t>1.满足《中华人民共和国政府采购法》第二十二条规定；</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42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spacing w:val="0"/>
          <w:sz w:val="24"/>
          <w:szCs w:val="24"/>
        </w:rPr>
        <w:t>2.落实政府采购政策需满足的资格</w:t>
      </w:r>
      <w:r>
        <w:rPr>
          <w:rFonts w:hint="eastAsia" w:ascii="宋体" w:hAnsi="宋体" w:eastAsia="宋体" w:cs="宋体"/>
          <w:i w:val="0"/>
          <w:iCs w:val="0"/>
          <w:caps w:val="0"/>
          <w:color w:val="auto"/>
          <w:spacing w:val="0"/>
          <w:sz w:val="24"/>
          <w:szCs w:val="24"/>
        </w:rPr>
        <w:t>要求：</w:t>
      </w:r>
      <w:r>
        <w:rPr>
          <w:rFonts w:hint="eastAsia" w:cs="宋体"/>
          <w:i w:val="0"/>
          <w:iCs w:val="0"/>
          <w:caps w:val="0"/>
          <w:color w:val="000000" w:themeColor="text1"/>
          <w:spacing w:val="0"/>
          <w:sz w:val="24"/>
          <w:szCs w:val="24"/>
          <w:lang w:val="en-US" w:eastAsia="zh-CN"/>
          <w14:textFill>
            <w14:solidFill>
              <w14:schemeClr w14:val="tx1"/>
            </w14:solidFill>
          </w14:textFill>
        </w:rPr>
        <w:t>标项1：</w:t>
      </w:r>
      <w:r>
        <w:rPr>
          <w:rFonts w:hint="eastAsia" w:cs="宋体"/>
          <w:i w:val="0"/>
          <w:iCs w:val="0"/>
          <w:caps w:val="0"/>
          <w:color w:val="auto"/>
          <w:spacing w:val="0"/>
          <w:sz w:val="24"/>
          <w:szCs w:val="24"/>
          <w:lang w:val="en-US" w:eastAsia="zh-CN"/>
        </w:rPr>
        <w:t>无</w:t>
      </w:r>
      <w:r>
        <w:rPr>
          <w:rFonts w:hint="eastAsia" w:ascii="宋体" w:hAnsi="宋体" w:eastAsia="宋体" w:cs="宋体"/>
          <w:i w:val="0"/>
          <w:iCs w:val="0"/>
          <w:caps w:val="0"/>
          <w:color w:val="auto"/>
          <w:spacing w:val="0"/>
          <w:sz w:val="24"/>
          <w:szCs w:val="24"/>
          <w:lang w:val="en-US" w:eastAsia="zh-CN"/>
        </w:rPr>
        <w:t>。</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420"/>
        <w:textAlignment w:val="auto"/>
        <w:rPr>
          <w:rFonts w:hint="eastAsia" w:ascii="宋体" w:hAnsi="宋体" w:eastAsia="宋体" w:cs="宋体"/>
          <w:i w:val="0"/>
          <w:iCs w:val="0"/>
          <w:caps w:val="0"/>
          <w:spacing w:val="0"/>
          <w:sz w:val="24"/>
          <w:szCs w:val="24"/>
        </w:rPr>
      </w:pPr>
      <w:r>
        <w:rPr>
          <w:rFonts w:hint="eastAsia" w:ascii="宋体" w:hAnsi="宋体" w:eastAsia="宋体" w:cs="宋体"/>
          <w:i w:val="0"/>
          <w:iCs w:val="0"/>
          <w:caps w:val="0"/>
          <w:spacing w:val="0"/>
          <w:sz w:val="24"/>
          <w:szCs w:val="24"/>
        </w:rPr>
        <w:t>3.本项目的特定资格要求：</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420"/>
        <w:textAlignment w:val="auto"/>
        <w:rPr>
          <w:rFonts w:hint="eastAsia" w:cs="宋体"/>
          <w:i w:val="0"/>
          <w:iCs w:val="0"/>
          <w:caps w:val="0"/>
          <w:spacing w:val="0"/>
          <w:sz w:val="24"/>
          <w:szCs w:val="24"/>
          <w:lang w:eastAsia="zh-CN"/>
        </w:rPr>
      </w:pPr>
      <w:r>
        <w:rPr>
          <w:rFonts w:hint="eastAsia" w:cs="宋体"/>
          <w:i w:val="0"/>
          <w:iCs w:val="0"/>
          <w:caps w:val="0"/>
          <w:spacing w:val="0"/>
          <w:sz w:val="24"/>
          <w:szCs w:val="24"/>
          <w:lang w:eastAsia="zh-CN"/>
        </w:rPr>
        <w:t>【</w:t>
      </w:r>
      <w:r>
        <w:rPr>
          <w:rFonts w:hint="eastAsia" w:cs="宋体"/>
          <w:i w:val="0"/>
          <w:iCs w:val="0"/>
          <w:caps w:val="0"/>
          <w:spacing w:val="0"/>
          <w:sz w:val="24"/>
          <w:szCs w:val="24"/>
          <w:lang w:val="en-US" w:eastAsia="zh-CN"/>
        </w:rPr>
        <w:t>标项1</w:t>
      </w:r>
      <w:r>
        <w:rPr>
          <w:rFonts w:hint="eastAsia" w:cs="宋体"/>
          <w:i w:val="0"/>
          <w:iCs w:val="0"/>
          <w:caps w:val="0"/>
          <w:spacing w:val="0"/>
          <w:sz w:val="24"/>
          <w:szCs w:val="24"/>
          <w:lang w:eastAsia="zh-CN"/>
        </w:rPr>
        <w:t>】</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420"/>
        <w:textAlignment w:val="auto"/>
        <w:rPr>
          <w:rFonts w:hint="eastAsia" w:ascii="宋体" w:hAnsi="宋体" w:eastAsia="宋体" w:cs="宋体"/>
          <w:color w:val="000000"/>
          <w:sz w:val="24"/>
          <w:szCs w:val="24"/>
        </w:rPr>
      </w:pPr>
      <w:r>
        <w:rPr>
          <w:rFonts w:hint="eastAsia" w:ascii="宋体" w:hAnsi="宋体" w:eastAsia="宋体" w:cs="宋体"/>
          <w:i w:val="0"/>
          <w:iCs w:val="0"/>
          <w:caps w:val="0"/>
          <w:spacing w:val="0"/>
          <w:sz w:val="24"/>
          <w:szCs w:val="24"/>
        </w:rPr>
        <w:t>(1)具有独立承担民事责任能力的在中华人民共和国境内注册的法人；（</w:t>
      </w:r>
      <w:r>
        <w:rPr>
          <w:rFonts w:hint="eastAsia" w:ascii="宋体" w:hAnsi="宋体" w:eastAsia="宋体" w:cs="宋体"/>
          <w:i w:val="0"/>
          <w:iCs w:val="0"/>
          <w:caps w:val="0"/>
          <w:spacing w:val="0"/>
          <w:sz w:val="24"/>
          <w:szCs w:val="24"/>
          <w:lang w:val="en-US" w:eastAsia="zh-CN"/>
        </w:rPr>
        <w:t>2</w:t>
      </w:r>
      <w:r>
        <w:rPr>
          <w:rFonts w:hint="eastAsia" w:ascii="宋体" w:hAnsi="宋体" w:eastAsia="宋体" w:cs="宋体"/>
          <w:i w:val="0"/>
          <w:iCs w:val="0"/>
          <w:caps w:val="0"/>
          <w:spacing w:val="0"/>
          <w:sz w:val="24"/>
          <w:szCs w:val="24"/>
        </w:rPr>
        <w:t>）具有良好的商业信誉和健全的财务会计制度；（</w:t>
      </w:r>
      <w:r>
        <w:rPr>
          <w:rFonts w:hint="eastAsia" w:ascii="宋体" w:hAnsi="宋体" w:eastAsia="宋体" w:cs="宋体"/>
          <w:i w:val="0"/>
          <w:iCs w:val="0"/>
          <w:caps w:val="0"/>
          <w:spacing w:val="0"/>
          <w:sz w:val="24"/>
          <w:szCs w:val="24"/>
          <w:lang w:val="en-US" w:eastAsia="zh-CN"/>
        </w:rPr>
        <w:t>3</w:t>
      </w:r>
      <w:r>
        <w:rPr>
          <w:rFonts w:hint="eastAsia" w:ascii="宋体" w:hAnsi="宋体" w:eastAsia="宋体" w:cs="宋体"/>
          <w:i w:val="0"/>
          <w:iCs w:val="0"/>
          <w:caps w:val="0"/>
          <w:spacing w:val="0"/>
          <w:sz w:val="24"/>
          <w:szCs w:val="24"/>
        </w:rPr>
        <w:t>）具有履行合同所必需的服</w:t>
      </w:r>
      <w:r>
        <w:rPr>
          <w:rFonts w:hint="eastAsia" w:ascii="宋体" w:hAnsi="宋体" w:eastAsia="宋体" w:cs="宋体"/>
          <w:i w:val="0"/>
          <w:iCs w:val="0"/>
          <w:caps w:val="0"/>
          <w:color w:val="000000"/>
          <w:spacing w:val="0"/>
          <w:sz w:val="24"/>
          <w:szCs w:val="24"/>
        </w:rPr>
        <w:t>务和专业技术能力；（</w:t>
      </w:r>
      <w:r>
        <w:rPr>
          <w:rFonts w:hint="eastAsia" w:ascii="宋体" w:hAnsi="宋体" w:eastAsia="宋体" w:cs="宋体"/>
          <w:i w:val="0"/>
          <w:iCs w:val="0"/>
          <w:caps w:val="0"/>
          <w:color w:val="000000"/>
          <w:spacing w:val="0"/>
          <w:sz w:val="24"/>
          <w:szCs w:val="24"/>
          <w:lang w:val="en-US" w:eastAsia="zh-CN"/>
        </w:rPr>
        <w:t>4</w:t>
      </w:r>
      <w:r>
        <w:rPr>
          <w:rFonts w:hint="eastAsia" w:ascii="宋体" w:hAnsi="宋体" w:eastAsia="宋体" w:cs="宋体"/>
          <w:i w:val="0"/>
          <w:iCs w:val="0"/>
          <w:caps w:val="0"/>
          <w:color w:val="000000"/>
          <w:spacing w:val="0"/>
          <w:sz w:val="24"/>
          <w:szCs w:val="24"/>
        </w:rPr>
        <w:t>）参加本次采购活动前三年（2020年1月至今），在经营活动中没有重大违法记录。（重大违法记录，是指供应商因违法经营受到刑事处罚或者责令停产停业、吊销许可证或者执照、较大数额罚款等行政处罚、刑事处罚）；供应商未被列入“信用中国”网站“记录失信被执行人或重大税收违法案件当事人名单或政府采购严重违法失信行为”记录名单；不处于中国政府采购网“政府采购严重违法失信行为信息记录”中的禁止参加政府采购活动期间；未列入国家企业信用信息公示系统严重违法失信名单及其他不符合规定条件的供应商；（</w:t>
      </w:r>
      <w:r>
        <w:rPr>
          <w:rFonts w:hint="eastAsia" w:ascii="宋体" w:hAnsi="宋体" w:eastAsia="宋体" w:cs="宋体"/>
          <w:i w:val="0"/>
          <w:iCs w:val="0"/>
          <w:caps w:val="0"/>
          <w:color w:val="000000"/>
          <w:spacing w:val="0"/>
          <w:sz w:val="24"/>
          <w:szCs w:val="24"/>
          <w:lang w:val="en-US" w:eastAsia="zh-CN"/>
        </w:rPr>
        <w:t>5</w:t>
      </w:r>
      <w:r>
        <w:rPr>
          <w:rFonts w:hint="eastAsia" w:ascii="宋体" w:hAnsi="宋体" w:eastAsia="宋体" w:cs="宋体"/>
          <w:i w:val="0"/>
          <w:iCs w:val="0"/>
          <w:caps w:val="0"/>
          <w:color w:val="000000"/>
          <w:spacing w:val="0"/>
          <w:sz w:val="24"/>
          <w:szCs w:val="24"/>
        </w:rPr>
        <w:t>）单位负责人为同一人或者存在直接控股、管理关系的不同供应商，不得参加同一合同项下的政府采购活动。</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56" w:beforeAutospacing="0" w:after="256" w:afterAutospacing="0" w:line="280" w:lineRule="exact"/>
        <w:ind w:left="0" w:right="0"/>
        <w:jc w:val="both"/>
        <w:textAlignment w:val="auto"/>
        <w:rPr>
          <w:rFonts w:hint="eastAsia" w:ascii="宋体" w:hAnsi="宋体" w:eastAsia="宋体" w:cs="宋体"/>
          <w:color w:val="auto"/>
          <w:sz w:val="24"/>
          <w:szCs w:val="24"/>
        </w:rPr>
      </w:pPr>
      <w:r>
        <w:rPr>
          <w:rStyle w:val="26"/>
          <w:rFonts w:hint="eastAsia" w:ascii="宋体" w:hAnsi="宋体" w:eastAsia="宋体" w:cs="宋体"/>
          <w:b/>
          <w:bCs/>
          <w:i w:val="0"/>
          <w:iCs w:val="0"/>
          <w:caps w:val="0"/>
          <w:color w:val="000000"/>
          <w:spacing w:val="0"/>
          <w:sz w:val="24"/>
          <w:szCs w:val="24"/>
        </w:rPr>
        <w:t>三</w:t>
      </w:r>
      <w:r>
        <w:rPr>
          <w:rStyle w:val="26"/>
          <w:rFonts w:hint="eastAsia" w:ascii="宋体" w:hAnsi="宋体" w:eastAsia="宋体" w:cs="宋体"/>
          <w:b/>
          <w:bCs/>
          <w:i w:val="0"/>
          <w:iCs w:val="0"/>
          <w:caps w:val="0"/>
          <w:color w:val="auto"/>
          <w:spacing w:val="0"/>
          <w:sz w:val="24"/>
          <w:szCs w:val="24"/>
        </w:rPr>
        <w:t>、获取招标文件</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420"/>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时间：</w:t>
      </w:r>
      <w:r>
        <w:rPr>
          <w:rFonts w:hint="eastAsia" w:ascii="宋体" w:hAnsi="宋体" w:eastAsia="宋体" w:cs="宋体"/>
          <w:color w:val="auto"/>
          <w:sz w:val="24"/>
          <w:szCs w:val="24"/>
        </w:rPr>
        <w:t>202</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年</w:t>
      </w:r>
      <w:r>
        <w:rPr>
          <w:rFonts w:hint="eastAsia" w:cs="宋体"/>
          <w:color w:val="auto"/>
          <w:sz w:val="24"/>
          <w:szCs w:val="24"/>
          <w:lang w:val="en-US" w:eastAsia="zh-CN"/>
        </w:rPr>
        <w:t>11</w:t>
      </w:r>
      <w:r>
        <w:rPr>
          <w:rFonts w:hint="eastAsia" w:ascii="宋体" w:hAnsi="宋体" w:eastAsia="宋体" w:cs="宋体"/>
          <w:color w:val="auto"/>
          <w:sz w:val="24"/>
          <w:szCs w:val="24"/>
        </w:rPr>
        <w:t>月</w:t>
      </w:r>
      <w:r>
        <w:rPr>
          <w:rFonts w:hint="eastAsia" w:cs="宋体"/>
          <w:color w:val="auto"/>
          <w:sz w:val="24"/>
          <w:szCs w:val="24"/>
          <w:lang w:val="en-US" w:eastAsia="zh-CN"/>
        </w:rPr>
        <w:t>06</w:t>
      </w:r>
      <w:r>
        <w:rPr>
          <w:rFonts w:hint="eastAsia" w:ascii="宋体" w:hAnsi="宋体" w:eastAsia="宋体" w:cs="宋体"/>
          <w:color w:val="auto"/>
          <w:sz w:val="24"/>
          <w:szCs w:val="24"/>
        </w:rPr>
        <w:t>日至202</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年</w:t>
      </w:r>
      <w:r>
        <w:rPr>
          <w:rFonts w:hint="eastAsia" w:cs="宋体"/>
          <w:color w:val="auto"/>
          <w:sz w:val="24"/>
          <w:szCs w:val="24"/>
          <w:lang w:val="en-US" w:eastAsia="zh-CN"/>
        </w:rPr>
        <w:t>11</w:t>
      </w:r>
      <w:r>
        <w:rPr>
          <w:rFonts w:hint="eastAsia" w:ascii="宋体" w:hAnsi="宋体" w:eastAsia="宋体" w:cs="宋体"/>
          <w:color w:val="auto"/>
          <w:sz w:val="24"/>
          <w:szCs w:val="24"/>
        </w:rPr>
        <w:t>月</w:t>
      </w:r>
      <w:r>
        <w:rPr>
          <w:rFonts w:hint="eastAsia" w:cs="宋体"/>
          <w:color w:val="auto"/>
          <w:sz w:val="24"/>
          <w:szCs w:val="24"/>
          <w:lang w:val="en-US" w:eastAsia="zh-CN"/>
        </w:rPr>
        <w:t>13</w:t>
      </w:r>
      <w:r>
        <w:rPr>
          <w:rFonts w:hint="eastAsia" w:ascii="宋体" w:hAnsi="宋体" w:eastAsia="宋体" w:cs="宋体"/>
          <w:color w:val="auto"/>
          <w:sz w:val="24"/>
          <w:szCs w:val="24"/>
        </w:rPr>
        <w:t>日</w:t>
      </w:r>
      <w:r>
        <w:rPr>
          <w:rFonts w:hint="eastAsia" w:ascii="宋体" w:hAnsi="宋体" w:eastAsia="宋体" w:cs="宋体"/>
          <w:i w:val="0"/>
          <w:iCs w:val="0"/>
          <w:caps w:val="0"/>
          <w:color w:val="auto"/>
          <w:spacing w:val="0"/>
          <w:sz w:val="24"/>
          <w:szCs w:val="24"/>
        </w:rPr>
        <w:t>，每天上午</w:t>
      </w:r>
      <w:r>
        <w:rPr>
          <w:rFonts w:hint="eastAsia" w:cs="宋体"/>
          <w:i w:val="0"/>
          <w:iCs w:val="0"/>
          <w:caps w:val="0"/>
          <w:color w:val="auto"/>
          <w:spacing w:val="0"/>
          <w:sz w:val="24"/>
          <w:szCs w:val="24"/>
          <w:lang w:val="en-US" w:eastAsia="zh-CN"/>
        </w:rPr>
        <w:t>10</w:t>
      </w:r>
      <w:r>
        <w:rPr>
          <w:rFonts w:hint="eastAsia" w:ascii="宋体" w:hAnsi="宋体" w:eastAsia="宋体" w:cs="宋体"/>
          <w:i w:val="0"/>
          <w:iCs w:val="0"/>
          <w:caps w:val="0"/>
          <w:color w:val="auto"/>
          <w:spacing w:val="0"/>
          <w:sz w:val="24"/>
          <w:szCs w:val="24"/>
        </w:rPr>
        <w:t>:</w:t>
      </w:r>
      <w:r>
        <w:rPr>
          <w:rFonts w:hint="eastAsia" w:cs="宋体"/>
          <w:i w:val="0"/>
          <w:iCs w:val="0"/>
          <w:caps w:val="0"/>
          <w:color w:val="auto"/>
          <w:spacing w:val="0"/>
          <w:sz w:val="24"/>
          <w:szCs w:val="24"/>
          <w:lang w:val="en-US" w:eastAsia="zh-CN"/>
        </w:rPr>
        <w:t>0</w:t>
      </w:r>
      <w:r>
        <w:rPr>
          <w:rFonts w:hint="eastAsia" w:ascii="宋体" w:hAnsi="宋体" w:eastAsia="宋体" w:cs="宋体"/>
          <w:i w:val="0"/>
          <w:iCs w:val="0"/>
          <w:caps w:val="0"/>
          <w:color w:val="auto"/>
          <w:spacing w:val="0"/>
          <w:sz w:val="24"/>
          <w:szCs w:val="24"/>
        </w:rPr>
        <w:t>0至1</w:t>
      </w:r>
      <w:r>
        <w:rPr>
          <w:rFonts w:hint="eastAsia" w:ascii="宋体" w:hAnsi="宋体" w:eastAsia="宋体" w:cs="宋体"/>
          <w:i w:val="0"/>
          <w:iCs w:val="0"/>
          <w:caps w:val="0"/>
          <w:color w:val="auto"/>
          <w:spacing w:val="0"/>
          <w:sz w:val="24"/>
          <w:szCs w:val="24"/>
          <w:lang w:val="en-US" w:eastAsia="zh-CN"/>
        </w:rPr>
        <w:t>3</w:t>
      </w:r>
      <w:r>
        <w:rPr>
          <w:rFonts w:hint="eastAsia" w:ascii="宋体" w:hAnsi="宋体" w:eastAsia="宋体" w:cs="宋体"/>
          <w:i w:val="0"/>
          <w:iCs w:val="0"/>
          <w:caps w:val="0"/>
          <w:color w:val="auto"/>
          <w:spacing w:val="0"/>
          <w:sz w:val="24"/>
          <w:szCs w:val="24"/>
        </w:rPr>
        <w:t>:</w:t>
      </w:r>
      <w:r>
        <w:rPr>
          <w:rFonts w:hint="eastAsia" w:ascii="宋体" w:hAnsi="宋体" w:eastAsia="宋体" w:cs="宋体"/>
          <w:i w:val="0"/>
          <w:iCs w:val="0"/>
          <w:caps w:val="0"/>
          <w:color w:val="auto"/>
          <w:spacing w:val="0"/>
          <w:sz w:val="24"/>
          <w:szCs w:val="24"/>
          <w:lang w:val="en-US" w:eastAsia="zh-CN"/>
        </w:rPr>
        <w:t>3</w:t>
      </w:r>
      <w:r>
        <w:rPr>
          <w:rFonts w:hint="eastAsia" w:ascii="宋体" w:hAnsi="宋体" w:eastAsia="宋体" w:cs="宋体"/>
          <w:i w:val="0"/>
          <w:iCs w:val="0"/>
          <w:caps w:val="0"/>
          <w:color w:val="auto"/>
          <w:spacing w:val="0"/>
          <w:sz w:val="24"/>
          <w:szCs w:val="24"/>
        </w:rPr>
        <w:t>0，下午1</w:t>
      </w:r>
      <w:r>
        <w:rPr>
          <w:rFonts w:hint="eastAsia" w:cs="宋体"/>
          <w:i w:val="0"/>
          <w:iCs w:val="0"/>
          <w:caps w:val="0"/>
          <w:color w:val="auto"/>
          <w:spacing w:val="0"/>
          <w:sz w:val="24"/>
          <w:szCs w:val="24"/>
          <w:lang w:val="en-US" w:eastAsia="zh-CN"/>
        </w:rPr>
        <w:t>5</w:t>
      </w:r>
      <w:r>
        <w:rPr>
          <w:rFonts w:hint="eastAsia" w:ascii="宋体" w:hAnsi="宋体" w:eastAsia="宋体" w:cs="宋体"/>
          <w:i w:val="0"/>
          <w:iCs w:val="0"/>
          <w:caps w:val="0"/>
          <w:color w:val="auto"/>
          <w:spacing w:val="0"/>
          <w:sz w:val="24"/>
          <w:szCs w:val="24"/>
        </w:rPr>
        <w:t>:30至</w:t>
      </w:r>
      <w:r>
        <w:rPr>
          <w:rFonts w:hint="eastAsia" w:cs="宋体"/>
          <w:i w:val="0"/>
          <w:iCs w:val="0"/>
          <w:caps w:val="0"/>
          <w:color w:val="auto"/>
          <w:spacing w:val="0"/>
          <w:sz w:val="24"/>
          <w:szCs w:val="24"/>
          <w:lang w:val="en-US" w:eastAsia="zh-CN"/>
        </w:rPr>
        <w:t>19</w:t>
      </w:r>
      <w:r>
        <w:rPr>
          <w:rFonts w:hint="eastAsia" w:ascii="宋体" w:hAnsi="宋体" w:eastAsia="宋体" w:cs="宋体"/>
          <w:i w:val="0"/>
          <w:iCs w:val="0"/>
          <w:caps w:val="0"/>
          <w:color w:val="auto"/>
          <w:spacing w:val="0"/>
          <w:sz w:val="24"/>
          <w:szCs w:val="24"/>
        </w:rPr>
        <w:t>:</w:t>
      </w:r>
      <w:r>
        <w:rPr>
          <w:rFonts w:hint="eastAsia" w:cs="宋体"/>
          <w:i w:val="0"/>
          <w:iCs w:val="0"/>
          <w:caps w:val="0"/>
          <w:color w:val="auto"/>
          <w:spacing w:val="0"/>
          <w:sz w:val="24"/>
          <w:szCs w:val="24"/>
          <w:lang w:val="en-US" w:eastAsia="zh-CN"/>
        </w:rPr>
        <w:t>3</w:t>
      </w:r>
      <w:r>
        <w:rPr>
          <w:rFonts w:hint="eastAsia" w:ascii="宋体" w:hAnsi="宋体" w:eastAsia="宋体" w:cs="宋体"/>
          <w:i w:val="0"/>
          <w:iCs w:val="0"/>
          <w:caps w:val="0"/>
          <w:color w:val="auto"/>
          <w:spacing w:val="0"/>
          <w:sz w:val="24"/>
          <w:szCs w:val="24"/>
        </w:rPr>
        <w:t>0（北京时间，法定节假日除外）</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420"/>
        <w:textAlignment w:val="auto"/>
        <w:rPr>
          <w:rFonts w:hint="eastAsia" w:ascii="宋体" w:hAnsi="宋体" w:eastAsia="宋体" w:cs="宋体"/>
          <w:i w:val="0"/>
          <w:iCs w:val="0"/>
          <w:caps w:val="0"/>
          <w:color w:val="auto"/>
          <w:spacing w:val="0"/>
          <w:sz w:val="24"/>
          <w:szCs w:val="24"/>
          <w:lang w:val="en-US" w:eastAsia="zh-CN"/>
        </w:rPr>
      </w:pPr>
      <w:r>
        <w:rPr>
          <w:rFonts w:hint="eastAsia" w:ascii="宋体" w:hAnsi="宋体" w:eastAsia="宋体" w:cs="宋体"/>
          <w:i w:val="0"/>
          <w:iCs w:val="0"/>
          <w:caps w:val="0"/>
          <w:color w:val="auto"/>
          <w:spacing w:val="0"/>
          <w:sz w:val="24"/>
          <w:szCs w:val="24"/>
        </w:rPr>
        <w:t>地点：政采云平台线</w:t>
      </w:r>
      <w:bookmarkStart w:id="55" w:name="_GoBack"/>
      <w:bookmarkEnd w:id="55"/>
      <w:r>
        <w:rPr>
          <w:rFonts w:hint="eastAsia" w:ascii="宋体" w:hAnsi="宋体" w:eastAsia="宋体" w:cs="宋体"/>
          <w:i w:val="0"/>
          <w:iCs w:val="0"/>
          <w:caps w:val="0"/>
          <w:color w:val="auto"/>
          <w:spacing w:val="0"/>
          <w:sz w:val="24"/>
          <w:szCs w:val="24"/>
        </w:rPr>
        <w:t>上</w:t>
      </w:r>
      <w:r>
        <w:rPr>
          <w:rFonts w:hint="eastAsia" w:ascii="宋体" w:hAnsi="宋体" w:eastAsia="宋体" w:cs="宋体"/>
          <w:i w:val="0"/>
          <w:iCs w:val="0"/>
          <w:caps w:val="0"/>
          <w:color w:val="auto"/>
          <w:spacing w:val="0"/>
          <w:sz w:val="24"/>
          <w:szCs w:val="24"/>
          <w:lang w:val="en-US" w:eastAsia="zh-CN"/>
        </w:rPr>
        <w:t>获取</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42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方式：供应商登录政采云平台https://www.zcygov.cn/在线申请获取采购文件（进入“项目采购”应用，在获取采购文件菜单中选择项目，申请获取采购文件）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42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售价（元）：0</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56" w:beforeAutospacing="0" w:after="256" w:afterAutospacing="0" w:line="280" w:lineRule="exact"/>
        <w:ind w:left="0" w:right="0"/>
        <w:jc w:val="both"/>
        <w:textAlignment w:val="auto"/>
        <w:rPr>
          <w:rFonts w:hint="eastAsia" w:ascii="宋体" w:hAnsi="宋体" w:eastAsia="宋体" w:cs="宋体"/>
          <w:color w:val="auto"/>
          <w:sz w:val="24"/>
          <w:szCs w:val="24"/>
        </w:rPr>
      </w:pPr>
      <w:r>
        <w:rPr>
          <w:rStyle w:val="26"/>
          <w:rFonts w:hint="eastAsia" w:ascii="宋体" w:hAnsi="宋体" w:eastAsia="宋体" w:cs="宋体"/>
          <w:b/>
          <w:bCs/>
          <w:i w:val="0"/>
          <w:iCs w:val="0"/>
          <w:caps w:val="0"/>
          <w:color w:val="auto"/>
          <w:spacing w:val="0"/>
          <w:sz w:val="24"/>
          <w:szCs w:val="24"/>
        </w:rPr>
        <w:t>四、提交投标文件截止时间、开标时间和地点</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42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提交投标文件截止时间：202</w:t>
      </w:r>
      <w:r>
        <w:rPr>
          <w:rFonts w:hint="eastAsia" w:ascii="宋体" w:hAnsi="宋体" w:eastAsia="宋体" w:cs="宋体"/>
          <w:i w:val="0"/>
          <w:iCs w:val="0"/>
          <w:caps w:val="0"/>
          <w:color w:val="auto"/>
          <w:spacing w:val="0"/>
          <w:sz w:val="24"/>
          <w:szCs w:val="24"/>
          <w:lang w:val="en-US" w:eastAsia="zh-CN"/>
        </w:rPr>
        <w:t>3</w:t>
      </w:r>
      <w:r>
        <w:rPr>
          <w:rFonts w:hint="eastAsia" w:ascii="宋体" w:hAnsi="宋体" w:eastAsia="宋体" w:cs="宋体"/>
          <w:i w:val="0"/>
          <w:iCs w:val="0"/>
          <w:caps w:val="0"/>
          <w:color w:val="auto"/>
          <w:spacing w:val="0"/>
          <w:sz w:val="24"/>
          <w:szCs w:val="24"/>
        </w:rPr>
        <w:t>年</w:t>
      </w:r>
      <w:r>
        <w:rPr>
          <w:rFonts w:hint="eastAsia" w:ascii="宋体" w:hAnsi="宋体" w:eastAsia="宋体" w:cs="宋体"/>
          <w:i w:val="0"/>
          <w:iCs w:val="0"/>
          <w:caps w:val="0"/>
          <w:color w:val="auto"/>
          <w:spacing w:val="0"/>
          <w:sz w:val="24"/>
          <w:szCs w:val="24"/>
          <w:lang w:val="en-US" w:eastAsia="zh-CN"/>
        </w:rPr>
        <w:t>1</w:t>
      </w:r>
      <w:r>
        <w:rPr>
          <w:rFonts w:hint="eastAsia" w:cs="宋体"/>
          <w:i w:val="0"/>
          <w:iCs w:val="0"/>
          <w:caps w:val="0"/>
          <w:color w:val="auto"/>
          <w:spacing w:val="0"/>
          <w:sz w:val="24"/>
          <w:szCs w:val="24"/>
          <w:lang w:val="en-US" w:eastAsia="zh-CN"/>
        </w:rPr>
        <w:t>2</w:t>
      </w:r>
      <w:r>
        <w:rPr>
          <w:rFonts w:hint="eastAsia" w:ascii="宋体" w:hAnsi="宋体" w:eastAsia="宋体" w:cs="宋体"/>
          <w:i w:val="0"/>
          <w:iCs w:val="0"/>
          <w:caps w:val="0"/>
          <w:color w:val="auto"/>
          <w:spacing w:val="0"/>
          <w:sz w:val="24"/>
          <w:szCs w:val="24"/>
        </w:rPr>
        <w:t>月</w:t>
      </w:r>
      <w:r>
        <w:rPr>
          <w:rFonts w:hint="eastAsia" w:cs="宋体"/>
          <w:i w:val="0"/>
          <w:iCs w:val="0"/>
          <w:caps w:val="0"/>
          <w:color w:val="auto"/>
          <w:spacing w:val="0"/>
          <w:sz w:val="24"/>
          <w:szCs w:val="24"/>
          <w:lang w:val="en-US" w:eastAsia="zh-CN"/>
        </w:rPr>
        <w:t>06</w:t>
      </w:r>
      <w:r>
        <w:rPr>
          <w:rFonts w:hint="eastAsia" w:ascii="宋体" w:hAnsi="宋体" w:eastAsia="宋体" w:cs="宋体"/>
          <w:i w:val="0"/>
          <w:iCs w:val="0"/>
          <w:caps w:val="0"/>
          <w:color w:val="auto"/>
          <w:spacing w:val="0"/>
          <w:sz w:val="24"/>
          <w:szCs w:val="24"/>
        </w:rPr>
        <w:t>日 1</w:t>
      </w:r>
      <w:r>
        <w:rPr>
          <w:rFonts w:hint="eastAsia" w:cs="宋体"/>
          <w:i w:val="0"/>
          <w:iCs w:val="0"/>
          <w:caps w:val="0"/>
          <w:color w:val="auto"/>
          <w:spacing w:val="0"/>
          <w:sz w:val="24"/>
          <w:szCs w:val="24"/>
          <w:lang w:val="en-US" w:eastAsia="zh-CN"/>
        </w:rPr>
        <w:t>6</w:t>
      </w:r>
      <w:r>
        <w:rPr>
          <w:rFonts w:hint="eastAsia" w:ascii="宋体" w:hAnsi="宋体" w:eastAsia="宋体" w:cs="宋体"/>
          <w:i w:val="0"/>
          <w:iCs w:val="0"/>
          <w:caps w:val="0"/>
          <w:color w:val="auto"/>
          <w:spacing w:val="0"/>
          <w:sz w:val="24"/>
          <w:szCs w:val="24"/>
        </w:rPr>
        <w:t>:</w:t>
      </w:r>
      <w:r>
        <w:rPr>
          <w:rFonts w:hint="eastAsia" w:cs="宋体"/>
          <w:i w:val="0"/>
          <w:iCs w:val="0"/>
          <w:caps w:val="0"/>
          <w:color w:val="auto"/>
          <w:spacing w:val="0"/>
          <w:sz w:val="24"/>
          <w:szCs w:val="24"/>
          <w:lang w:val="en-US" w:eastAsia="zh-CN"/>
        </w:rPr>
        <w:t>0</w:t>
      </w:r>
      <w:r>
        <w:rPr>
          <w:rFonts w:hint="eastAsia" w:ascii="宋体" w:hAnsi="宋体" w:eastAsia="宋体" w:cs="宋体"/>
          <w:i w:val="0"/>
          <w:iCs w:val="0"/>
          <w:caps w:val="0"/>
          <w:color w:val="auto"/>
          <w:spacing w:val="0"/>
          <w:sz w:val="24"/>
          <w:szCs w:val="24"/>
        </w:rPr>
        <w:t>0（北京时间）</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42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投标地点：将响应文件上传至政采云平台https://www.zcygov.cn/对应位置（逾期未上传的或不符合规定的响应文件将被拒绝接收）。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42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开标时间：202</w:t>
      </w:r>
      <w:r>
        <w:rPr>
          <w:rFonts w:hint="eastAsia" w:ascii="宋体" w:hAnsi="宋体" w:eastAsia="宋体" w:cs="宋体"/>
          <w:i w:val="0"/>
          <w:iCs w:val="0"/>
          <w:caps w:val="0"/>
          <w:color w:val="auto"/>
          <w:spacing w:val="0"/>
          <w:sz w:val="24"/>
          <w:szCs w:val="24"/>
          <w:lang w:val="en-US" w:eastAsia="zh-CN"/>
        </w:rPr>
        <w:t>3</w:t>
      </w:r>
      <w:r>
        <w:rPr>
          <w:rFonts w:hint="eastAsia" w:ascii="宋体" w:hAnsi="宋体" w:eastAsia="宋体" w:cs="宋体"/>
          <w:i w:val="0"/>
          <w:iCs w:val="0"/>
          <w:caps w:val="0"/>
          <w:color w:val="auto"/>
          <w:spacing w:val="0"/>
          <w:sz w:val="24"/>
          <w:szCs w:val="24"/>
        </w:rPr>
        <w:t>年</w:t>
      </w:r>
      <w:r>
        <w:rPr>
          <w:rFonts w:hint="eastAsia" w:ascii="宋体" w:hAnsi="宋体" w:eastAsia="宋体" w:cs="宋体"/>
          <w:i w:val="0"/>
          <w:iCs w:val="0"/>
          <w:caps w:val="0"/>
          <w:color w:val="auto"/>
          <w:spacing w:val="0"/>
          <w:sz w:val="24"/>
          <w:szCs w:val="24"/>
          <w:lang w:val="en-US" w:eastAsia="zh-CN"/>
        </w:rPr>
        <w:t>1</w:t>
      </w:r>
      <w:r>
        <w:rPr>
          <w:rFonts w:hint="eastAsia" w:cs="宋体"/>
          <w:i w:val="0"/>
          <w:iCs w:val="0"/>
          <w:caps w:val="0"/>
          <w:color w:val="auto"/>
          <w:spacing w:val="0"/>
          <w:sz w:val="24"/>
          <w:szCs w:val="24"/>
          <w:lang w:val="en-US" w:eastAsia="zh-CN"/>
        </w:rPr>
        <w:t>2</w:t>
      </w:r>
      <w:r>
        <w:rPr>
          <w:rFonts w:hint="eastAsia" w:ascii="宋体" w:hAnsi="宋体" w:eastAsia="宋体" w:cs="宋体"/>
          <w:i w:val="0"/>
          <w:iCs w:val="0"/>
          <w:caps w:val="0"/>
          <w:color w:val="auto"/>
          <w:spacing w:val="0"/>
          <w:sz w:val="24"/>
          <w:szCs w:val="24"/>
        </w:rPr>
        <w:t>月</w:t>
      </w:r>
      <w:r>
        <w:rPr>
          <w:rFonts w:hint="eastAsia" w:cs="宋体"/>
          <w:i w:val="0"/>
          <w:iCs w:val="0"/>
          <w:caps w:val="0"/>
          <w:color w:val="auto"/>
          <w:spacing w:val="0"/>
          <w:sz w:val="24"/>
          <w:szCs w:val="24"/>
          <w:lang w:val="en-US" w:eastAsia="zh-CN"/>
        </w:rPr>
        <w:t>06</w:t>
      </w:r>
      <w:r>
        <w:rPr>
          <w:rFonts w:hint="eastAsia" w:ascii="宋体" w:hAnsi="宋体" w:eastAsia="宋体" w:cs="宋体"/>
          <w:i w:val="0"/>
          <w:iCs w:val="0"/>
          <w:caps w:val="0"/>
          <w:color w:val="auto"/>
          <w:spacing w:val="0"/>
          <w:sz w:val="24"/>
          <w:szCs w:val="24"/>
        </w:rPr>
        <w:t>日1</w:t>
      </w:r>
      <w:r>
        <w:rPr>
          <w:rFonts w:hint="eastAsia" w:cs="宋体"/>
          <w:i w:val="0"/>
          <w:iCs w:val="0"/>
          <w:caps w:val="0"/>
          <w:color w:val="auto"/>
          <w:spacing w:val="0"/>
          <w:sz w:val="24"/>
          <w:szCs w:val="24"/>
          <w:lang w:val="en-US" w:eastAsia="zh-CN"/>
        </w:rPr>
        <w:t>6</w:t>
      </w:r>
      <w:r>
        <w:rPr>
          <w:rFonts w:hint="eastAsia" w:ascii="宋体" w:hAnsi="宋体" w:eastAsia="宋体" w:cs="宋体"/>
          <w:i w:val="0"/>
          <w:iCs w:val="0"/>
          <w:caps w:val="0"/>
          <w:color w:val="auto"/>
          <w:spacing w:val="0"/>
          <w:sz w:val="24"/>
          <w:szCs w:val="24"/>
        </w:rPr>
        <w:t>:</w:t>
      </w:r>
      <w:r>
        <w:rPr>
          <w:rFonts w:hint="eastAsia" w:cs="宋体"/>
          <w:i w:val="0"/>
          <w:iCs w:val="0"/>
          <w:caps w:val="0"/>
          <w:color w:val="auto"/>
          <w:spacing w:val="0"/>
          <w:sz w:val="24"/>
          <w:szCs w:val="24"/>
          <w:lang w:val="en-US" w:eastAsia="zh-CN"/>
        </w:rPr>
        <w:t>0</w:t>
      </w:r>
      <w:r>
        <w:rPr>
          <w:rFonts w:hint="eastAsia" w:ascii="宋体" w:hAnsi="宋体" w:eastAsia="宋体" w:cs="宋体"/>
          <w:i w:val="0"/>
          <w:iCs w:val="0"/>
          <w:caps w:val="0"/>
          <w:color w:val="auto"/>
          <w:spacing w:val="0"/>
          <w:sz w:val="24"/>
          <w:szCs w:val="24"/>
        </w:rPr>
        <w:t>0（北京时间）</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42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开标地点：政采云网上不见面开标系统。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56" w:beforeAutospacing="0" w:after="256" w:afterAutospacing="0" w:line="280" w:lineRule="exact"/>
        <w:ind w:left="0" w:right="0"/>
        <w:jc w:val="both"/>
        <w:textAlignment w:val="auto"/>
        <w:rPr>
          <w:rFonts w:hint="eastAsia" w:ascii="宋体" w:hAnsi="宋体" w:eastAsia="宋体" w:cs="宋体"/>
          <w:color w:val="auto"/>
          <w:sz w:val="24"/>
          <w:szCs w:val="24"/>
        </w:rPr>
      </w:pPr>
      <w:r>
        <w:rPr>
          <w:rStyle w:val="26"/>
          <w:rFonts w:hint="eastAsia" w:ascii="宋体" w:hAnsi="宋体" w:eastAsia="宋体" w:cs="宋体"/>
          <w:b/>
          <w:bCs/>
          <w:i w:val="0"/>
          <w:iCs w:val="0"/>
          <w:caps w:val="0"/>
          <w:color w:val="auto"/>
          <w:spacing w:val="0"/>
          <w:sz w:val="24"/>
          <w:szCs w:val="24"/>
        </w:rPr>
        <w:t>五、公告期限</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spacing w:val="0"/>
          <w:sz w:val="24"/>
          <w:szCs w:val="24"/>
        </w:rPr>
        <w:t>自本公告发布之日起5个工作日。</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56" w:beforeAutospacing="0" w:after="256" w:afterAutospacing="0" w:line="280" w:lineRule="exact"/>
        <w:ind w:left="0" w:right="0"/>
        <w:jc w:val="both"/>
        <w:textAlignment w:val="auto"/>
        <w:rPr>
          <w:rFonts w:hint="eastAsia" w:ascii="宋体" w:hAnsi="宋体" w:eastAsia="宋体" w:cs="宋体"/>
          <w:sz w:val="24"/>
          <w:szCs w:val="24"/>
        </w:rPr>
      </w:pPr>
      <w:r>
        <w:rPr>
          <w:rStyle w:val="26"/>
          <w:rFonts w:hint="eastAsia" w:ascii="宋体" w:hAnsi="宋体" w:eastAsia="宋体" w:cs="宋体"/>
          <w:b/>
          <w:bCs/>
          <w:i w:val="0"/>
          <w:iCs w:val="0"/>
          <w:caps w:val="0"/>
          <w:spacing w:val="0"/>
          <w:sz w:val="24"/>
          <w:szCs w:val="24"/>
        </w:rPr>
        <w:t>六、其他补充事宜</w:t>
      </w:r>
    </w:p>
    <w:p>
      <w:pPr>
        <w:pStyle w:val="21"/>
        <w:keepNext w:val="0"/>
        <w:keepLines w:val="0"/>
        <w:pageBreakBefore w:val="0"/>
        <w:widowControl/>
        <w:suppressLineNumbers w:val="0"/>
        <w:kinsoku/>
        <w:wordWrap/>
        <w:overflowPunct/>
        <w:autoSpaceDN/>
        <w:bidi w:val="0"/>
        <w:spacing w:line="280" w:lineRule="exact"/>
        <w:ind w:left="0" w:firstLine="0"/>
        <w:textAlignment w:val="auto"/>
        <w:rPr>
          <w:rFonts w:hint="eastAsia" w:ascii="宋体" w:hAnsi="宋体" w:eastAsia="宋体" w:cs="宋体"/>
          <w:i w:val="0"/>
          <w:iCs w:val="0"/>
          <w:caps w:val="0"/>
          <w:spacing w:val="0"/>
          <w:sz w:val="24"/>
          <w:szCs w:val="24"/>
        </w:rPr>
      </w:pPr>
      <w:r>
        <w:rPr>
          <w:rFonts w:hint="eastAsia" w:ascii="宋体" w:hAnsi="宋体" w:eastAsia="宋体" w:cs="宋体"/>
          <w:i w:val="0"/>
          <w:iCs w:val="0"/>
          <w:caps w:val="0"/>
          <w:spacing w:val="0"/>
          <w:sz w:val="24"/>
          <w:szCs w:val="24"/>
        </w:rPr>
        <w:t>（1）本项目采用全流程不见面电子开评标，供应商需要使用CA加密设备，供应商可通过新疆数字证书认证中心官网（https://www.xjca.com.cn/）或下载“新疆政务通”APP自行进行申领。</w:t>
      </w:r>
      <w:r>
        <w:rPr>
          <w:rFonts w:hint="eastAsia" w:ascii="宋体" w:hAnsi="宋体" w:eastAsia="宋体" w:cs="宋体"/>
          <w:i w:val="0"/>
          <w:iCs w:val="0"/>
          <w:caps w:val="0"/>
          <w:spacing w:val="0"/>
          <w:sz w:val="24"/>
          <w:szCs w:val="24"/>
        </w:rPr>
        <w:br w:type="textWrapping"/>
      </w:r>
      <w:r>
        <w:rPr>
          <w:rFonts w:hint="eastAsia" w:ascii="宋体" w:hAnsi="宋体" w:eastAsia="宋体" w:cs="宋体"/>
          <w:i w:val="0"/>
          <w:iCs w:val="0"/>
          <w:caps w:val="0"/>
          <w:spacing w:val="0"/>
          <w:sz w:val="24"/>
          <w:szCs w:val="24"/>
        </w:rPr>
        <w:t>（2）本项目实行网上投标，采用加密电子投标响应文件(供应商须使用CA加密设备通过政采云电子投标客户端制作投标响应文件)。若供应商参与投标，自行承担投标一切费用。</w:t>
      </w:r>
      <w:r>
        <w:rPr>
          <w:rFonts w:hint="eastAsia" w:ascii="宋体" w:hAnsi="宋体" w:eastAsia="宋体" w:cs="宋体"/>
          <w:i w:val="0"/>
          <w:iCs w:val="0"/>
          <w:caps w:val="0"/>
          <w:spacing w:val="0"/>
          <w:sz w:val="24"/>
          <w:szCs w:val="24"/>
        </w:rPr>
        <w:br w:type="textWrapping"/>
      </w:r>
      <w:r>
        <w:rPr>
          <w:rFonts w:hint="eastAsia" w:ascii="宋体" w:hAnsi="宋体" w:eastAsia="宋体" w:cs="宋体"/>
          <w:i w:val="0"/>
          <w:iCs w:val="0"/>
          <w:caps w:val="0"/>
          <w:spacing w:val="0"/>
          <w:sz w:val="24"/>
          <w:szCs w:val="24"/>
        </w:rPr>
        <w:t>（3）各投标人在开标前应确保成为新疆政府采购网正式注册入库供应商，并完成CA数字证书申领。因未注册入库、未办理CA数字证书等原因造成无法投标或投标失败等后果由供应商自行承担。</w:t>
      </w:r>
      <w:r>
        <w:rPr>
          <w:rFonts w:hint="eastAsia" w:ascii="宋体" w:hAnsi="宋体" w:eastAsia="宋体" w:cs="宋体"/>
          <w:i w:val="0"/>
          <w:iCs w:val="0"/>
          <w:caps w:val="0"/>
          <w:spacing w:val="0"/>
          <w:sz w:val="24"/>
          <w:szCs w:val="24"/>
        </w:rPr>
        <w:br w:type="textWrapping"/>
      </w:r>
      <w:r>
        <w:rPr>
          <w:rFonts w:hint="eastAsia" w:ascii="宋体" w:hAnsi="宋体" w:eastAsia="宋体" w:cs="宋体"/>
          <w:i w:val="0"/>
          <w:iCs w:val="0"/>
          <w:caps w:val="0"/>
          <w:spacing w:val="0"/>
          <w:sz w:val="24"/>
          <w:szCs w:val="24"/>
        </w:rPr>
        <w:t>（4）投标人将政采云电子交易客户端下载、安装完成后，可通过账号密码或CA登录客户端进行投标响应文件制作。在使用政采云投标客户端时，建议使用WIN7及以上操作系统。客户端请至政采云平台（https://login.zcygov.cn/user-login/#/login）下载专区查看，如有问题可拨打政采云客户服务热线</w:t>
      </w:r>
      <w:r>
        <w:rPr>
          <w:rFonts w:hint="eastAsia" w:ascii="宋体" w:hAnsi="宋体" w:eastAsia="宋体" w:cs="宋体"/>
          <w:i w:val="0"/>
          <w:iCs w:val="0"/>
          <w:caps w:val="0"/>
          <w:spacing w:val="0"/>
          <w:sz w:val="24"/>
          <w:szCs w:val="24"/>
          <w:lang w:val="en-US" w:eastAsia="zh-CN"/>
        </w:rPr>
        <w:t>95763</w:t>
      </w:r>
      <w:r>
        <w:rPr>
          <w:rFonts w:hint="eastAsia" w:ascii="宋体" w:hAnsi="宋体" w:eastAsia="宋体" w:cs="宋体"/>
          <w:i w:val="0"/>
          <w:iCs w:val="0"/>
          <w:caps w:val="0"/>
          <w:spacing w:val="0"/>
          <w:sz w:val="24"/>
          <w:szCs w:val="24"/>
        </w:rPr>
        <w:t>进行咨询。</w:t>
      </w:r>
      <w:r>
        <w:rPr>
          <w:rFonts w:hint="eastAsia" w:ascii="宋体" w:hAnsi="宋体" w:eastAsia="宋体" w:cs="宋体"/>
          <w:i w:val="0"/>
          <w:iCs w:val="0"/>
          <w:caps w:val="0"/>
          <w:spacing w:val="0"/>
          <w:sz w:val="24"/>
          <w:szCs w:val="24"/>
        </w:rPr>
        <w:br w:type="textWrapping"/>
      </w:r>
      <w:r>
        <w:rPr>
          <w:rFonts w:hint="eastAsia" w:ascii="宋体" w:hAnsi="宋体" w:eastAsia="宋体" w:cs="宋体"/>
          <w:i w:val="0"/>
          <w:iCs w:val="0"/>
          <w:caps w:val="0"/>
          <w:spacing w:val="0"/>
          <w:sz w:val="24"/>
          <w:szCs w:val="24"/>
        </w:rPr>
        <w:t>（5）投标人在开标时须使用制作加密电子投标响应文件所使用的CA锁及电脑，电脑须提前配置好浏览器，以便开标时解锁。如因供应商自身原因导致在规定时间</w:t>
      </w:r>
      <w:r>
        <w:rPr>
          <w:rFonts w:hint="eastAsia" w:ascii="宋体" w:hAnsi="宋体" w:eastAsia="宋体" w:cs="宋体"/>
          <w:i w:val="0"/>
          <w:iCs w:val="0"/>
          <w:caps w:val="0"/>
          <w:spacing w:val="0"/>
          <w:sz w:val="24"/>
          <w:szCs w:val="24"/>
          <w:lang w:val="en-US" w:eastAsia="zh-CN"/>
        </w:rPr>
        <w:t>30分钟</w:t>
      </w:r>
      <w:r>
        <w:rPr>
          <w:rFonts w:hint="eastAsia" w:ascii="宋体" w:hAnsi="宋体" w:eastAsia="宋体" w:cs="宋体"/>
          <w:i w:val="0"/>
          <w:iCs w:val="0"/>
          <w:caps w:val="0"/>
          <w:spacing w:val="0"/>
          <w:sz w:val="24"/>
          <w:szCs w:val="24"/>
        </w:rPr>
        <w:t>内无法正常解密的（如：浏览器故障、未安装相关驱动、网络故障、加密CA与解密CA不一致等），采购代理机构不予异常处理，视为供应商自动弃标。</w:t>
      </w:r>
      <w:r>
        <w:rPr>
          <w:rFonts w:hint="eastAsia" w:ascii="宋体" w:hAnsi="宋体" w:eastAsia="宋体" w:cs="宋体"/>
          <w:i w:val="0"/>
          <w:iCs w:val="0"/>
          <w:caps w:val="0"/>
          <w:spacing w:val="0"/>
          <w:sz w:val="24"/>
          <w:szCs w:val="24"/>
        </w:rPr>
        <w:br w:type="textWrapping"/>
      </w:r>
      <w:r>
        <w:rPr>
          <w:rFonts w:hint="eastAsia" w:ascii="宋体" w:hAnsi="宋体" w:eastAsia="宋体" w:cs="宋体"/>
          <w:i w:val="0"/>
          <w:iCs w:val="0"/>
          <w:caps w:val="0"/>
          <w:spacing w:val="0"/>
          <w:sz w:val="24"/>
          <w:szCs w:val="24"/>
        </w:rPr>
        <w:t>（6）投标人对不见面开评标系统的技术操作咨询，可通过https://edu.zcygov.cn/luban/xinjiang-e-biding自助查询，也可在政采云帮助中心常见问题解答和操作流程讲解视频中自助查询，网址为：</w:t>
      </w:r>
      <w:r>
        <w:rPr>
          <w:rFonts w:hint="eastAsia" w:ascii="宋体" w:hAnsi="宋体" w:eastAsia="宋体" w:cs="宋体"/>
          <w:i w:val="0"/>
          <w:iCs w:val="0"/>
          <w:caps w:val="0"/>
          <w:spacing w:val="0"/>
          <w:sz w:val="24"/>
          <w:szCs w:val="24"/>
        </w:rPr>
        <w:fldChar w:fldCharType="begin"/>
      </w:r>
      <w:r>
        <w:rPr>
          <w:rFonts w:hint="eastAsia" w:ascii="宋体" w:hAnsi="宋体" w:eastAsia="宋体" w:cs="宋体"/>
          <w:i w:val="0"/>
          <w:iCs w:val="0"/>
          <w:caps w:val="0"/>
          <w:spacing w:val="0"/>
          <w:sz w:val="24"/>
          <w:szCs w:val="24"/>
        </w:rPr>
        <w:instrText xml:space="preserve"> HYPERLINK "https://service.zcygov.cn/#/help，\“项目采购\”—\“操作流程-电子招投标\”—\“政府采购项目电子交易管理操作指南-供应商\”版面获取操作指南，同时对自助查询无法解决的问题可通过政采云在线客服获取服务支持。" </w:instrText>
      </w:r>
      <w:r>
        <w:rPr>
          <w:rFonts w:hint="eastAsia" w:ascii="宋体" w:hAnsi="宋体" w:eastAsia="宋体" w:cs="宋体"/>
          <w:i w:val="0"/>
          <w:iCs w:val="0"/>
          <w:caps w:val="0"/>
          <w:spacing w:val="0"/>
          <w:sz w:val="24"/>
          <w:szCs w:val="24"/>
        </w:rPr>
        <w:fldChar w:fldCharType="separate"/>
      </w:r>
      <w:r>
        <w:rPr>
          <w:rFonts w:hint="eastAsia" w:ascii="宋体" w:hAnsi="宋体" w:eastAsia="宋体" w:cs="宋体"/>
          <w:i w:val="0"/>
          <w:iCs w:val="0"/>
          <w:caps w:val="0"/>
          <w:spacing w:val="0"/>
          <w:sz w:val="24"/>
          <w:szCs w:val="24"/>
        </w:rPr>
        <w:t>https://service.zcygov.cn/#/help，“项目采购”—“操作流程-电子招投标”—“政府采购项目电子交易管理操作指南-供应商”版面获取操作指南，同时对自助查询无法解决的问题可通过政采云在线客服获取服务支持。</w:t>
      </w:r>
      <w:r>
        <w:rPr>
          <w:rFonts w:hint="eastAsia" w:ascii="宋体" w:hAnsi="宋体" w:eastAsia="宋体" w:cs="宋体"/>
          <w:i w:val="0"/>
          <w:iCs w:val="0"/>
          <w:caps w:val="0"/>
          <w:spacing w:val="0"/>
          <w:sz w:val="24"/>
          <w:szCs w:val="24"/>
        </w:rPr>
        <w:fldChar w:fldCharType="end"/>
      </w:r>
    </w:p>
    <w:p>
      <w:pPr>
        <w:pStyle w:val="21"/>
        <w:keepNext w:val="0"/>
        <w:keepLines w:val="0"/>
        <w:pageBreakBefore w:val="0"/>
        <w:widowControl/>
        <w:suppressLineNumbers w:val="0"/>
        <w:kinsoku/>
        <w:wordWrap/>
        <w:overflowPunct/>
        <w:autoSpaceDN/>
        <w:bidi w:val="0"/>
        <w:spacing w:line="280" w:lineRule="exact"/>
        <w:ind w:left="0" w:firstLine="0"/>
        <w:textAlignment w:val="auto"/>
        <w:rPr>
          <w:rFonts w:hint="eastAsia" w:ascii="宋体" w:hAnsi="宋体" w:eastAsia="宋体" w:cs="宋体"/>
          <w:i w:val="0"/>
          <w:iCs w:val="0"/>
          <w:caps w:val="0"/>
          <w:spacing w:val="0"/>
          <w:sz w:val="24"/>
          <w:szCs w:val="24"/>
        </w:rPr>
      </w:pPr>
      <w:r>
        <w:rPr>
          <w:rFonts w:hint="eastAsia" w:ascii="宋体" w:hAnsi="宋体" w:eastAsia="宋体" w:cs="宋体"/>
          <w:i w:val="0"/>
          <w:iCs w:val="0"/>
          <w:caps w:val="0"/>
          <w:spacing w:val="0"/>
          <w:sz w:val="24"/>
          <w:szCs w:val="24"/>
        </w:rPr>
        <w:t>特别提示：</w:t>
      </w:r>
    </w:p>
    <w:p>
      <w:pPr>
        <w:pStyle w:val="21"/>
        <w:keepNext w:val="0"/>
        <w:keepLines w:val="0"/>
        <w:pageBreakBefore w:val="0"/>
        <w:widowControl/>
        <w:suppressLineNumbers w:val="0"/>
        <w:kinsoku/>
        <w:wordWrap/>
        <w:overflowPunct/>
        <w:autoSpaceDN/>
        <w:bidi w:val="0"/>
        <w:spacing w:line="280" w:lineRule="exact"/>
        <w:ind w:left="0" w:firstLine="0"/>
        <w:textAlignment w:val="auto"/>
        <w:rPr>
          <w:rFonts w:hint="eastAsia" w:ascii="宋体" w:hAnsi="宋体" w:eastAsia="宋体" w:cs="宋体"/>
          <w:i w:val="0"/>
          <w:iCs w:val="0"/>
          <w:caps w:val="0"/>
          <w:spacing w:val="0"/>
          <w:sz w:val="24"/>
          <w:szCs w:val="24"/>
        </w:rPr>
      </w:pPr>
      <w:r>
        <w:rPr>
          <w:rFonts w:hint="eastAsia" w:ascii="宋体" w:hAnsi="宋体" w:eastAsia="宋体" w:cs="宋体"/>
          <w:i w:val="0"/>
          <w:iCs w:val="0"/>
          <w:caps w:val="0"/>
          <w:spacing w:val="0"/>
          <w:sz w:val="24"/>
          <w:szCs w:val="24"/>
        </w:rPr>
        <w:t>1、采购限额标准以上，200万元以下的货物和服务采购项目、400万元以下的工程采购项目，适宜由中小企业提供的，采购人应当专门面向中小企业采购。</w:t>
      </w:r>
    </w:p>
    <w:p>
      <w:pPr>
        <w:pStyle w:val="21"/>
        <w:keepNext w:val="0"/>
        <w:keepLines w:val="0"/>
        <w:pageBreakBefore w:val="0"/>
        <w:widowControl/>
        <w:suppressLineNumbers w:val="0"/>
        <w:kinsoku/>
        <w:wordWrap/>
        <w:overflowPunct/>
        <w:autoSpaceDN/>
        <w:bidi w:val="0"/>
        <w:spacing w:line="280" w:lineRule="exact"/>
        <w:ind w:left="0" w:firstLine="0"/>
        <w:textAlignment w:val="auto"/>
        <w:rPr>
          <w:rFonts w:hint="eastAsia" w:ascii="宋体" w:hAnsi="宋体" w:eastAsia="宋体" w:cs="宋体"/>
          <w:i w:val="0"/>
          <w:iCs w:val="0"/>
          <w:caps w:val="0"/>
          <w:spacing w:val="0"/>
          <w:sz w:val="24"/>
          <w:szCs w:val="24"/>
        </w:rPr>
      </w:pPr>
      <w:r>
        <w:rPr>
          <w:rFonts w:hint="eastAsia" w:ascii="宋体" w:hAnsi="宋体" w:eastAsia="宋体" w:cs="宋体"/>
          <w:i w:val="0"/>
          <w:iCs w:val="0"/>
          <w:caps w:val="0"/>
          <w:spacing w:val="0"/>
          <w:sz w:val="24"/>
          <w:szCs w:val="24"/>
        </w:rPr>
        <w:t>2、超过200万元的货物和服务采购项目，预留该部分采购项目预算总额的30%以上专门面向中小企业采购，其中预留给小微企业的比例不低于60%。</w:t>
      </w:r>
    </w:p>
    <w:p>
      <w:pPr>
        <w:pStyle w:val="21"/>
        <w:keepNext w:val="0"/>
        <w:keepLines w:val="0"/>
        <w:pageBreakBefore w:val="0"/>
        <w:widowControl/>
        <w:suppressLineNumbers w:val="0"/>
        <w:kinsoku/>
        <w:wordWrap/>
        <w:overflowPunct/>
        <w:autoSpaceDN/>
        <w:bidi w:val="0"/>
        <w:spacing w:line="280" w:lineRule="exact"/>
        <w:ind w:left="0" w:firstLine="0"/>
        <w:textAlignment w:val="auto"/>
        <w:rPr>
          <w:rFonts w:hint="eastAsia" w:ascii="宋体" w:hAnsi="宋体" w:eastAsia="宋体" w:cs="宋体"/>
          <w:i w:val="0"/>
          <w:iCs w:val="0"/>
          <w:caps w:val="0"/>
          <w:spacing w:val="0"/>
          <w:sz w:val="24"/>
          <w:szCs w:val="24"/>
        </w:rPr>
      </w:pPr>
      <w:r>
        <w:rPr>
          <w:rFonts w:hint="eastAsia" w:ascii="宋体" w:hAnsi="宋体" w:eastAsia="宋体" w:cs="宋体"/>
          <w:i w:val="0"/>
          <w:iCs w:val="0"/>
          <w:caps w:val="0"/>
          <w:spacing w:val="0"/>
          <w:sz w:val="24"/>
          <w:szCs w:val="24"/>
        </w:rPr>
        <w:t>3、超过400万元的工程采购项目中适宜由中小企业提供的，预留该部分采购项目预算总额的40%以上专门面向中小企业采购，其中预留给小微企业的比例不低于60%。</w:t>
      </w:r>
    </w:p>
    <w:p>
      <w:pPr>
        <w:pStyle w:val="21"/>
        <w:keepNext w:val="0"/>
        <w:keepLines w:val="0"/>
        <w:pageBreakBefore w:val="0"/>
        <w:widowControl/>
        <w:suppressLineNumbers w:val="0"/>
        <w:kinsoku/>
        <w:wordWrap/>
        <w:overflowPunct/>
        <w:autoSpaceDN/>
        <w:bidi w:val="0"/>
        <w:spacing w:line="280" w:lineRule="exact"/>
        <w:ind w:left="0" w:firstLine="0"/>
        <w:textAlignment w:val="auto"/>
        <w:rPr>
          <w:rFonts w:hint="eastAsia" w:ascii="宋体" w:hAnsi="宋体" w:eastAsia="宋体" w:cs="宋体"/>
          <w:i w:val="0"/>
          <w:iCs w:val="0"/>
          <w:caps w:val="0"/>
          <w:spacing w:val="0"/>
          <w:sz w:val="24"/>
          <w:szCs w:val="24"/>
        </w:rPr>
      </w:pPr>
      <w:r>
        <w:rPr>
          <w:rFonts w:hint="eastAsia" w:ascii="宋体" w:hAnsi="宋体" w:eastAsia="宋体" w:cs="宋体"/>
          <w:i w:val="0"/>
          <w:iCs w:val="0"/>
          <w:caps w:val="0"/>
          <w:spacing w:val="0"/>
          <w:sz w:val="24"/>
          <w:szCs w:val="24"/>
        </w:rPr>
        <w:t>4、对于未预留份额专门面向中小企业的采购项目，以及预留份额项目中的非预留部分采购包，采购人、采购代理机构应当对符合规定的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21"/>
        <w:keepNext w:val="0"/>
        <w:keepLines w:val="0"/>
        <w:pageBreakBefore w:val="0"/>
        <w:widowControl/>
        <w:suppressLineNumbers w:val="0"/>
        <w:kinsoku/>
        <w:wordWrap/>
        <w:overflowPunct/>
        <w:autoSpaceDN/>
        <w:bidi w:val="0"/>
        <w:spacing w:line="280" w:lineRule="exact"/>
        <w:ind w:left="0" w:firstLine="0"/>
        <w:textAlignment w:val="auto"/>
        <w:rPr>
          <w:rFonts w:hint="eastAsia" w:ascii="宋体" w:hAnsi="宋体" w:eastAsia="宋体" w:cs="宋体"/>
          <w:i w:val="0"/>
          <w:iCs w:val="0"/>
          <w:caps w:val="0"/>
          <w:spacing w:val="0"/>
          <w:sz w:val="24"/>
          <w:szCs w:val="24"/>
        </w:rPr>
      </w:pPr>
      <w:r>
        <w:rPr>
          <w:rFonts w:hint="eastAsia" w:ascii="宋体" w:hAnsi="宋体" w:eastAsia="宋体" w:cs="宋体"/>
          <w:i w:val="0"/>
          <w:iCs w:val="0"/>
          <w:caps w:val="0"/>
          <w:spacing w:val="0"/>
          <w:sz w:val="24"/>
          <w:szCs w:val="24"/>
        </w:rPr>
        <w:t>5、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6%（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56" w:beforeAutospacing="0" w:after="256" w:afterAutospacing="0" w:line="280" w:lineRule="exact"/>
        <w:ind w:left="0" w:right="0"/>
        <w:jc w:val="both"/>
        <w:textAlignment w:val="auto"/>
        <w:rPr>
          <w:rFonts w:hint="eastAsia" w:ascii="宋体" w:hAnsi="宋体" w:eastAsia="宋体" w:cs="宋体"/>
          <w:sz w:val="24"/>
          <w:szCs w:val="24"/>
        </w:rPr>
      </w:pPr>
      <w:r>
        <w:rPr>
          <w:rStyle w:val="26"/>
          <w:rFonts w:hint="eastAsia" w:ascii="宋体" w:hAnsi="宋体" w:eastAsia="宋体" w:cs="宋体"/>
          <w:b/>
          <w:bCs/>
          <w:i w:val="0"/>
          <w:iCs w:val="0"/>
          <w:caps w:val="0"/>
          <w:spacing w:val="0"/>
          <w:sz w:val="24"/>
          <w:szCs w:val="24"/>
        </w:rPr>
        <w:t>七、对本次采购提出询问，请按以下方式联系</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spacing w:val="0"/>
          <w:sz w:val="24"/>
          <w:szCs w:val="24"/>
        </w:rPr>
        <w:t>1.采购人信息</w:t>
      </w:r>
    </w:p>
    <w:p>
      <w:pPr>
        <w:keepNext w:val="0"/>
        <w:keepLines w:val="0"/>
        <w:pageBreakBefore w:val="0"/>
        <w:kinsoku/>
        <w:wordWrap/>
        <w:overflowPunct/>
        <w:topLinePunct w:val="0"/>
        <w:autoSpaceDE/>
        <w:autoSpaceDN/>
        <w:bidi w:val="0"/>
        <w:adjustRightInd/>
        <w:snapToGrid/>
        <w:spacing w:line="280" w:lineRule="exact"/>
        <w:ind w:right="1460" w:firstLine="480" w:firstLineChars="200"/>
        <w:jc w:val="both"/>
        <w:textAlignment w:val="auto"/>
        <w:rPr>
          <w:rFonts w:hint="eastAsia" w:ascii="宋体" w:hAnsi="宋体" w:eastAsia="宋体" w:cs="宋体"/>
          <w:i w:val="0"/>
          <w:iCs w:val="0"/>
          <w:caps w:val="0"/>
          <w:spacing w:val="0"/>
          <w:kern w:val="0"/>
          <w:sz w:val="24"/>
          <w:szCs w:val="24"/>
          <w:lang w:val="en-US" w:eastAsia="zh-CN" w:bidi="ar-SA"/>
        </w:rPr>
      </w:pPr>
      <w:r>
        <w:rPr>
          <w:rFonts w:hint="eastAsia" w:ascii="宋体" w:hAnsi="宋体" w:eastAsia="宋体" w:cs="宋体"/>
          <w:i w:val="0"/>
          <w:iCs w:val="0"/>
          <w:caps w:val="0"/>
          <w:spacing w:val="0"/>
          <w:sz w:val="24"/>
          <w:szCs w:val="24"/>
        </w:rPr>
        <w:t>名 称</w:t>
      </w:r>
      <w:r>
        <w:rPr>
          <w:rFonts w:hint="eastAsia" w:ascii="宋体" w:hAnsi="宋体" w:eastAsia="宋体" w:cs="宋体"/>
          <w:i w:val="0"/>
          <w:iCs w:val="0"/>
          <w:caps w:val="0"/>
          <w:spacing w:val="0"/>
          <w:kern w:val="0"/>
          <w:sz w:val="24"/>
          <w:szCs w:val="24"/>
          <w:lang w:val="en-US" w:eastAsia="zh-CN" w:bidi="ar-SA"/>
        </w:rPr>
        <w:t>：托克逊县住房和城乡建设局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420"/>
        <w:textAlignment w:val="auto"/>
        <w:rPr>
          <w:rFonts w:hint="eastAsia" w:ascii="宋体" w:hAnsi="宋体" w:eastAsia="宋体" w:cs="宋体"/>
          <w:sz w:val="24"/>
          <w:szCs w:val="24"/>
          <w:lang w:val="en-US" w:eastAsia="zh-CN"/>
        </w:rPr>
      </w:pPr>
      <w:r>
        <w:rPr>
          <w:rFonts w:hint="eastAsia" w:ascii="宋体" w:hAnsi="宋体" w:eastAsia="宋体" w:cs="宋体"/>
          <w:i w:val="0"/>
          <w:iCs w:val="0"/>
          <w:caps w:val="0"/>
          <w:spacing w:val="0"/>
          <w:sz w:val="24"/>
          <w:szCs w:val="24"/>
        </w:rPr>
        <w:t>地 址：</w:t>
      </w:r>
      <w:r>
        <w:rPr>
          <w:rFonts w:hint="eastAsia" w:ascii="宋体" w:hAnsi="宋体" w:eastAsia="宋体" w:cs="宋体"/>
          <w:i w:val="0"/>
          <w:iCs w:val="0"/>
          <w:caps w:val="0"/>
          <w:spacing w:val="0"/>
          <w:sz w:val="24"/>
          <w:szCs w:val="24"/>
          <w:lang w:val="en-US" w:eastAsia="zh-CN"/>
        </w:rPr>
        <w:t>托克逊县九龙路</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420"/>
        <w:textAlignment w:val="auto"/>
        <w:rPr>
          <w:rFonts w:hint="default" w:ascii="宋体" w:hAnsi="宋体" w:eastAsia="宋体" w:cs="宋体"/>
          <w:sz w:val="24"/>
          <w:szCs w:val="24"/>
          <w:lang w:val="en-US" w:eastAsia="zh-CN"/>
        </w:rPr>
      </w:pPr>
      <w:r>
        <w:rPr>
          <w:rFonts w:hint="eastAsia" w:ascii="宋体" w:hAnsi="宋体" w:eastAsia="宋体" w:cs="宋体"/>
          <w:i w:val="0"/>
          <w:iCs w:val="0"/>
          <w:caps w:val="0"/>
          <w:spacing w:val="0"/>
          <w:sz w:val="24"/>
          <w:szCs w:val="24"/>
        </w:rPr>
        <w:t>联系方式：</w:t>
      </w:r>
      <w:r>
        <w:rPr>
          <w:rFonts w:hint="eastAsia" w:cs="宋体"/>
          <w:i w:val="0"/>
          <w:iCs w:val="0"/>
          <w:caps w:val="0"/>
          <w:spacing w:val="0"/>
          <w:sz w:val="24"/>
          <w:szCs w:val="24"/>
          <w:lang w:val="en-US" w:eastAsia="zh-CN"/>
        </w:rPr>
        <w:t>0995-8822833</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spacing w:val="0"/>
          <w:sz w:val="24"/>
          <w:szCs w:val="24"/>
        </w:rPr>
        <w:t>2.采购代理机构信息</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420"/>
        <w:textAlignment w:val="auto"/>
        <w:rPr>
          <w:rFonts w:hint="eastAsia" w:ascii="宋体" w:hAnsi="宋体" w:eastAsia="宋体" w:cs="宋体"/>
          <w:sz w:val="24"/>
          <w:szCs w:val="24"/>
          <w:lang w:eastAsia="zh-CN"/>
        </w:rPr>
      </w:pPr>
      <w:r>
        <w:rPr>
          <w:rFonts w:hint="eastAsia" w:ascii="宋体" w:hAnsi="宋体" w:eastAsia="宋体" w:cs="宋体"/>
          <w:i w:val="0"/>
          <w:iCs w:val="0"/>
          <w:caps w:val="0"/>
          <w:spacing w:val="0"/>
          <w:sz w:val="24"/>
          <w:szCs w:val="24"/>
        </w:rPr>
        <w:t>名 称：</w:t>
      </w:r>
      <w:r>
        <w:rPr>
          <w:rFonts w:hint="eastAsia" w:ascii="宋体" w:hAnsi="宋体" w:eastAsia="宋体" w:cs="宋体"/>
          <w:i w:val="0"/>
          <w:iCs w:val="0"/>
          <w:caps w:val="0"/>
          <w:spacing w:val="0"/>
          <w:sz w:val="24"/>
          <w:szCs w:val="24"/>
          <w:lang w:eastAsia="zh-CN"/>
        </w:rPr>
        <w:t>新疆华域天恒工程管理有限公司</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spacing w:val="0"/>
          <w:sz w:val="24"/>
          <w:szCs w:val="24"/>
        </w:rPr>
        <w:t>地 址：吐鲁番市高昌区示范区和平街11幢2层201号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420"/>
        <w:textAlignment w:val="auto"/>
        <w:rPr>
          <w:rFonts w:hint="eastAsia" w:ascii="宋体" w:hAnsi="宋体" w:eastAsia="宋体" w:cs="宋体"/>
          <w:sz w:val="24"/>
          <w:szCs w:val="24"/>
          <w:lang w:val="en-US" w:eastAsia="zh-CN"/>
        </w:rPr>
      </w:pPr>
      <w:r>
        <w:rPr>
          <w:rFonts w:hint="eastAsia" w:ascii="宋体" w:hAnsi="宋体" w:eastAsia="宋体" w:cs="宋体"/>
          <w:i w:val="0"/>
          <w:iCs w:val="0"/>
          <w:caps w:val="0"/>
          <w:spacing w:val="0"/>
          <w:sz w:val="24"/>
          <w:szCs w:val="24"/>
        </w:rPr>
        <w:t>联系方式：</w:t>
      </w:r>
      <w:r>
        <w:rPr>
          <w:rFonts w:hint="eastAsia" w:ascii="宋体" w:hAnsi="宋体" w:eastAsia="宋体" w:cs="宋体"/>
          <w:i w:val="0"/>
          <w:iCs w:val="0"/>
          <w:caps w:val="0"/>
          <w:spacing w:val="0"/>
          <w:sz w:val="24"/>
          <w:szCs w:val="24"/>
          <w:lang w:val="en-US" w:eastAsia="zh-CN"/>
        </w:rPr>
        <w:t>13</w:t>
      </w:r>
      <w:r>
        <w:rPr>
          <w:rFonts w:hint="eastAsia" w:cs="宋体"/>
          <w:i w:val="0"/>
          <w:iCs w:val="0"/>
          <w:caps w:val="0"/>
          <w:spacing w:val="0"/>
          <w:sz w:val="24"/>
          <w:szCs w:val="24"/>
          <w:lang w:val="en-US" w:eastAsia="zh-CN"/>
        </w:rPr>
        <w:t>899314280</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spacing w:val="0"/>
          <w:sz w:val="24"/>
          <w:szCs w:val="24"/>
        </w:rPr>
        <w:t>3.项目联系方式</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420"/>
        <w:textAlignment w:val="auto"/>
        <w:rPr>
          <w:rFonts w:hint="eastAsia" w:ascii="宋体" w:hAnsi="宋体" w:eastAsia="宋体" w:cs="宋体"/>
          <w:sz w:val="24"/>
          <w:szCs w:val="24"/>
          <w:lang w:val="en-US" w:eastAsia="zh-CN"/>
        </w:rPr>
      </w:pPr>
      <w:r>
        <w:rPr>
          <w:rFonts w:hint="eastAsia" w:ascii="宋体" w:hAnsi="宋体" w:eastAsia="宋体" w:cs="宋体"/>
          <w:i w:val="0"/>
          <w:iCs w:val="0"/>
          <w:caps w:val="0"/>
          <w:spacing w:val="0"/>
          <w:sz w:val="24"/>
          <w:szCs w:val="24"/>
        </w:rPr>
        <w:t>项目联系人：</w:t>
      </w:r>
      <w:r>
        <w:rPr>
          <w:rFonts w:hint="eastAsia" w:cs="宋体"/>
          <w:i w:val="0"/>
          <w:iCs w:val="0"/>
          <w:caps w:val="0"/>
          <w:spacing w:val="0"/>
          <w:sz w:val="24"/>
          <w:szCs w:val="24"/>
          <w:lang w:val="en-US" w:eastAsia="zh-CN"/>
        </w:rPr>
        <w:t>马丽娜</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420"/>
        <w:textAlignment w:val="auto"/>
        <w:rPr>
          <w:rFonts w:hint="default" w:ascii="宋体" w:hAnsi="宋体" w:eastAsia="宋体" w:cs="宋体"/>
          <w:i w:val="0"/>
          <w:iCs w:val="0"/>
          <w:caps w:val="0"/>
          <w:spacing w:val="0"/>
          <w:sz w:val="24"/>
          <w:szCs w:val="24"/>
          <w:lang w:val="en-US" w:eastAsia="zh-CN"/>
        </w:rPr>
      </w:pPr>
      <w:r>
        <w:rPr>
          <w:rFonts w:hint="eastAsia" w:ascii="宋体" w:hAnsi="宋体" w:eastAsia="宋体" w:cs="宋体"/>
          <w:i w:val="0"/>
          <w:iCs w:val="0"/>
          <w:caps w:val="0"/>
          <w:spacing w:val="0"/>
          <w:sz w:val="24"/>
          <w:szCs w:val="24"/>
        </w:rPr>
        <w:t>电 话：</w:t>
      </w:r>
      <w:r>
        <w:rPr>
          <w:rFonts w:hint="eastAsia" w:ascii="宋体" w:hAnsi="宋体" w:eastAsia="宋体" w:cs="宋体"/>
          <w:i w:val="0"/>
          <w:iCs w:val="0"/>
          <w:caps w:val="0"/>
          <w:spacing w:val="0"/>
          <w:sz w:val="24"/>
          <w:szCs w:val="24"/>
          <w:lang w:val="en-US" w:eastAsia="zh-CN"/>
        </w:rPr>
        <w:t>13</w:t>
      </w:r>
      <w:r>
        <w:rPr>
          <w:rFonts w:hint="eastAsia" w:cs="宋体"/>
          <w:i w:val="0"/>
          <w:iCs w:val="0"/>
          <w:caps w:val="0"/>
          <w:spacing w:val="0"/>
          <w:sz w:val="24"/>
          <w:szCs w:val="24"/>
          <w:lang w:val="en-US" w:eastAsia="zh-CN"/>
        </w:rPr>
        <w:t>899314280</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420"/>
        <w:textAlignment w:val="auto"/>
        <w:rPr>
          <w:rFonts w:hint="eastAsia" w:ascii="宋体" w:hAnsi="宋体" w:eastAsia="宋体" w:cs="宋体"/>
          <w:i w:val="0"/>
          <w:iCs w:val="0"/>
          <w:caps w:val="0"/>
          <w:spacing w:val="0"/>
          <w:sz w:val="24"/>
          <w:szCs w:val="24"/>
          <w:lang w:val="en-US" w:eastAsia="zh-CN"/>
        </w:rPr>
      </w:pP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420"/>
        <w:textAlignment w:val="auto"/>
        <w:rPr>
          <w:rFonts w:hint="eastAsia" w:ascii="宋体" w:hAnsi="宋体" w:eastAsia="宋体" w:cs="宋体"/>
          <w:i w:val="0"/>
          <w:iCs w:val="0"/>
          <w:caps w:val="0"/>
          <w:spacing w:val="0"/>
          <w:sz w:val="24"/>
          <w:szCs w:val="24"/>
          <w:lang w:val="en-US" w:eastAsia="zh-CN"/>
        </w:rPr>
      </w:pP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420"/>
        <w:jc w:val="right"/>
        <w:textAlignment w:val="auto"/>
        <w:rPr>
          <w:rFonts w:hint="eastAsia" w:ascii="宋体" w:hAnsi="宋体" w:eastAsia="宋体" w:cs="宋体"/>
          <w:i w:val="0"/>
          <w:iCs w:val="0"/>
          <w:caps w:val="0"/>
          <w:spacing w:val="0"/>
          <w:sz w:val="24"/>
          <w:szCs w:val="24"/>
          <w:lang w:eastAsia="zh-CN"/>
        </w:rPr>
      </w:pPr>
      <w:r>
        <w:rPr>
          <w:rFonts w:hint="eastAsia" w:ascii="宋体" w:hAnsi="宋体" w:eastAsia="宋体" w:cs="宋体"/>
          <w:i w:val="0"/>
          <w:iCs w:val="0"/>
          <w:caps w:val="0"/>
          <w:spacing w:val="0"/>
          <w:sz w:val="24"/>
          <w:szCs w:val="24"/>
          <w:lang w:eastAsia="zh-CN"/>
        </w:rPr>
        <w:t>新疆华域天恒工程管理有限公司</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420"/>
        <w:jc w:val="right"/>
        <w:textAlignment w:val="auto"/>
        <w:rPr>
          <w:rFonts w:hint="eastAsia"/>
          <w:lang w:val="en-US" w:eastAsia="zh-CN"/>
        </w:rPr>
      </w:pPr>
      <w:r>
        <w:rPr>
          <w:rFonts w:hint="eastAsia" w:ascii="宋体" w:hAnsi="宋体" w:eastAsia="宋体" w:cs="宋体"/>
          <w:color w:val="auto"/>
          <w:sz w:val="24"/>
          <w:szCs w:val="24"/>
        </w:rPr>
        <w:t>202</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1</w:t>
      </w:r>
      <w:r>
        <w:rPr>
          <w:rFonts w:hint="eastAsia" w:cs="宋体"/>
          <w:color w:val="auto"/>
          <w:sz w:val="24"/>
          <w:szCs w:val="24"/>
          <w:lang w:val="en-US" w:eastAsia="zh-CN"/>
        </w:rPr>
        <w:t>1</w:t>
      </w:r>
      <w:r>
        <w:rPr>
          <w:rFonts w:hint="eastAsia" w:ascii="宋体" w:hAnsi="宋体" w:eastAsia="宋体" w:cs="宋体"/>
          <w:color w:val="auto"/>
          <w:sz w:val="24"/>
          <w:szCs w:val="24"/>
        </w:rPr>
        <w:t>月</w:t>
      </w:r>
      <w:r>
        <w:rPr>
          <w:rFonts w:hint="eastAsia" w:cs="宋体"/>
          <w:color w:val="auto"/>
          <w:sz w:val="24"/>
          <w:szCs w:val="24"/>
          <w:lang w:val="en-US" w:eastAsia="zh-CN"/>
        </w:rPr>
        <w:t>05</w:t>
      </w:r>
      <w:r>
        <w:rPr>
          <w:rFonts w:hint="eastAsia" w:ascii="宋体" w:hAnsi="宋体" w:eastAsia="宋体" w:cs="宋体"/>
          <w:color w:val="auto"/>
          <w:sz w:val="24"/>
          <w:szCs w:val="24"/>
        </w:rPr>
        <w:t>日</w:t>
      </w:r>
    </w:p>
    <w:p>
      <w:pPr>
        <w:pStyle w:val="22"/>
        <w:pageBreakBefore w:val="0"/>
        <w:kinsoku/>
        <w:wordWrap/>
        <w:overflowPunct/>
        <w:topLinePunct w:val="0"/>
        <w:bidi w:val="0"/>
        <w:spacing w:beforeAutospacing="0" w:after="0" w:afterAutospacing="0" w:line="400" w:lineRule="exact"/>
        <w:jc w:val="center"/>
        <w:rPr>
          <w:rStyle w:val="28"/>
          <w:rFonts w:hint="eastAsia" w:ascii="宋体" w:hAnsi="宋体" w:eastAsia="宋体" w:cs="宋体"/>
          <w:b/>
          <w:bCs/>
          <w:color w:val="auto"/>
          <w:w w:val="90"/>
          <w:sz w:val="36"/>
          <w:szCs w:val="36"/>
          <w:u w:val="none"/>
          <w:lang w:val="en-US" w:eastAsia="zh-CN"/>
        </w:rPr>
      </w:pPr>
    </w:p>
    <w:p>
      <w:pPr>
        <w:pStyle w:val="22"/>
        <w:pageBreakBefore w:val="0"/>
        <w:kinsoku/>
        <w:wordWrap/>
        <w:overflowPunct/>
        <w:topLinePunct w:val="0"/>
        <w:bidi w:val="0"/>
        <w:spacing w:beforeAutospacing="0" w:after="0" w:afterAutospacing="0" w:line="400" w:lineRule="exact"/>
        <w:jc w:val="center"/>
        <w:rPr>
          <w:rStyle w:val="28"/>
          <w:rFonts w:hint="eastAsia" w:ascii="宋体" w:hAnsi="宋体" w:eastAsia="宋体" w:cs="宋体"/>
          <w:b/>
          <w:bCs/>
          <w:color w:val="auto"/>
          <w:w w:val="90"/>
          <w:sz w:val="36"/>
          <w:szCs w:val="36"/>
          <w:u w:val="none"/>
          <w:lang w:val="en-US" w:eastAsia="zh-CN"/>
        </w:rPr>
      </w:pPr>
    </w:p>
    <w:p>
      <w:pPr>
        <w:pStyle w:val="22"/>
        <w:pageBreakBefore w:val="0"/>
        <w:kinsoku/>
        <w:wordWrap/>
        <w:overflowPunct/>
        <w:topLinePunct w:val="0"/>
        <w:bidi w:val="0"/>
        <w:spacing w:beforeAutospacing="0" w:after="0" w:afterAutospacing="0" w:line="400" w:lineRule="exact"/>
        <w:jc w:val="center"/>
        <w:rPr>
          <w:rStyle w:val="28"/>
          <w:rFonts w:hint="eastAsia" w:ascii="宋体" w:hAnsi="宋体" w:eastAsia="宋体" w:cs="宋体"/>
          <w:b/>
          <w:bCs/>
          <w:color w:val="auto"/>
          <w:w w:val="90"/>
          <w:sz w:val="36"/>
          <w:szCs w:val="36"/>
          <w:u w:val="none"/>
          <w:lang w:val="en-US" w:eastAsia="zh-CN"/>
        </w:rPr>
      </w:pPr>
    </w:p>
    <w:p>
      <w:pPr>
        <w:pStyle w:val="22"/>
        <w:pageBreakBefore w:val="0"/>
        <w:kinsoku/>
        <w:wordWrap/>
        <w:overflowPunct/>
        <w:topLinePunct w:val="0"/>
        <w:bidi w:val="0"/>
        <w:spacing w:beforeAutospacing="0" w:after="0" w:afterAutospacing="0" w:line="400" w:lineRule="exact"/>
        <w:jc w:val="center"/>
        <w:rPr>
          <w:rStyle w:val="28"/>
          <w:rFonts w:hint="eastAsia" w:ascii="宋体" w:hAnsi="宋体" w:eastAsia="宋体" w:cs="宋体"/>
          <w:b/>
          <w:bCs/>
          <w:color w:val="auto"/>
          <w:w w:val="90"/>
          <w:sz w:val="36"/>
          <w:szCs w:val="36"/>
          <w:u w:val="none"/>
          <w:lang w:val="en-US" w:eastAsia="zh-CN"/>
        </w:rPr>
      </w:pPr>
    </w:p>
    <w:p>
      <w:pPr>
        <w:pStyle w:val="22"/>
        <w:pageBreakBefore w:val="0"/>
        <w:kinsoku/>
        <w:wordWrap/>
        <w:overflowPunct/>
        <w:topLinePunct w:val="0"/>
        <w:bidi w:val="0"/>
        <w:spacing w:beforeAutospacing="0" w:after="0" w:afterAutospacing="0" w:line="400" w:lineRule="exact"/>
        <w:jc w:val="center"/>
        <w:rPr>
          <w:rStyle w:val="28"/>
          <w:rFonts w:hint="eastAsia" w:ascii="宋体" w:hAnsi="宋体" w:eastAsia="宋体" w:cs="宋体"/>
          <w:b/>
          <w:bCs/>
          <w:color w:val="auto"/>
          <w:w w:val="90"/>
          <w:sz w:val="36"/>
          <w:szCs w:val="36"/>
          <w:u w:val="none"/>
          <w:lang w:val="en-US" w:eastAsia="zh-CN"/>
        </w:rPr>
      </w:pPr>
      <w:r>
        <w:rPr>
          <w:rStyle w:val="28"/>
          <w:rFonts w:hint="eastAsia" w:ascii="宋体" w:hAnsi="宋体" w:eastAsia="宋体" w:cs="宋体"/>
          <w:b/>
          <w:bCs/>
          <w:color w:val="auto"/>
          <w:w w:val="90"/>
          <w:sz w:val="36"/>
          <w:szCs w:val="36"/>
          <w:u w:val="none"/>
          <w:lang w:val="en-US" w:eastAsia="zh-CN"/>
        </w:rPr>
        <w:t>第二章 投标人须知前附表</w:t>
      </w:r>
    </w:p>
    <w:tbl>
      <w:tblPr>
        <w:tblStyle w:val="23"/>
        <w:tblW w:w="10198"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547"/>
        <w:gridCol w:w="1619"/>
        <w:gridCol w:w="8032"/>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98" w:hRule="exact"/>
          <w:tblHeader/>
          <w:jc w:val="center"/>
        </w:trPr>
        <w:tc>
          <w:tcPr>
            <w:tcW w:w="547" w:type="dxa"/>
            <w:noWrap w:val="0"/>
            <w:vAlign w:val="center"/>
          </w:tcPr>
          <w:p>
            <w:pPr>
              <w:pStyle w:val="41"/>
              <w:keepNext w:val="0"/>
              <w:keepLines w:val="0"/>
              <w:pageBreakBefore w:val="0"/>
              <w:kinsoku/>
              <w:wordWrap/>
              <w:topLinePunct w:val="0"/>
              <w:bidi w:val="0"/>
              <w:spacing w:line="400" w:lineRule="exact"/>
              <w:ind w:left="9"/>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序号</w:t>
            </w:r>
          </w:p>
        </w:tc>
        <w:tc>
          <w:tcPr>
            <w:tcW w:w="1619" w:type="dxa"/>
            <w:noWrap w:val="0"/>
            <w:vAlign w:val="center"/>
          </w:tcPr>
          <w:p>
            <w:pPr>
              <w:pStyle w:val="41"/>
              <w:keepNext w:val="0"/>
              <w:keepLines w:val="0"/>
              <w:pageBreakBefore w:val="0"/>
              <w:kinsoku/>
              <w:wordWrap/>
              <w:topLinePunct w:val="0"/>
              <w:bidi w:val="0"/>
              <w:spacing w:line="400" w:lineRule="exact"/>
              <w:ind w:left="38"/>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条款名称</w:t>
            </w:r>
          </w:p>
        </w:tc>
        <w:tc>
          <w:tcPr>
            <w:tcW w:w="8032" w:type="dxa"/>
            <w:noWrap w:val="0"/>
            <w:vAlign w:val="center"/>
          </w:tcPr>
          <w:p>
            <w:pPr>
              <w:pStyle w:val="41"/>
              <w:keepNext w:val="0"/>
              <w:keepLines w:val="0"/>
              <w:pageBreakBefore w:val="0"/>
              <w:kinsoku/>
              <w:wordWrap/>
              <w:topLinePunct w:val="0"/>
              <w:bidi w:val="0"/>
              <w:spacing w:line="400" w:lineRule="exact"/>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08" w:hRule="atLeast"/>
          <w:jc w:val="center"/>
        </w:trPr>
        <w:tc>
          <w:tcPr>
            <w:tcW w:w="547" w:type="dxa"/>
            <w:noWrap w:val="0"/>
            <w:vAlign w:val="center"/>
          </w:tcPr>
          <w:p>
            <w:pPr>
              <w:pStyle w:val="41"/>
              <w:keepNext w:val="0"/>
              <w:keepLines w:val="0"/>
              <w:pageBreakBefore w:val="0"/>
              <w:kinsoku/>
              <w:wordWrap/>
              <w:topLinePunct w:val="0"/>
              <w:bidi w:val="0"/>
              <w:spacing w:line="400" w:lineRule="exact"/>
              <w:ind w:right="230"/>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w:t>
            </w:r>
          </w:p>
        </w:tc>
        <w:tc>
          <w:tcPr>
            <w:tcW w:w="1619" w:type="dxa"/>
            <w:noWrap w:val="0"/>
            <w:vAlign w:val="center"/>
          </w:tcPr>
          <w:p>
            <w:pPr>
              <w:keepNext w:val="0"/>
              <w:keepLines w:val="0"/>
              <w:pageBreakBefore w:val="0"/>
              <w:shd w:val="solid" w:color="FFFFFF" w:fill="auto"/>
              <w:kinsoku/>
              <w:wordWrap/>
              <w:topLinePunct w:val="0"/>
              <w:autoSpaceDN w:val="0"/>
              <w:bidi w:val="0"/>
              <w:spacing w:line="400" w:lineRule="exact"/>
              <w:jc w:val="center"/>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项目情况</w:t>
            </w:r>
          </w:p>
        </w:tc>
        <w:tc>
          <w:tcPr>
            <w:tcW w:w="8032" w:type="dxa"/>
            <w:noWrap w:val="0"/>
            <w:vAlign w:val="center"/>
          </w:tcPr>
          <w:p>
            <w:pPr>
              <w:pStyle w:val="41"/>
              <w:keepNext w:val="0"/>
              <w:keepLines w:val="0"/>
              <w:pageBreakBefore w:val="0"/>
              <w:kinsoku/>
              <w:wordWrap/>
              <w:topLinePunct w:val="0"/>
              <w:bidi w:val="0"/>
              <w:spacing w:line="400" w:lineRule="exac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项目名称：</w:t>
            </w:r>
            <w:r>
              <w:rPr>
                <w:rFonts w:hint="eastAsia" w:cs="宋体"/>
                <w:color w:val="000000" w:themeColor="text1"/>
                <w:sz w:val="24"/>
                <w:szCs w:val="24"/>
                <w:lang w:val="en-US" w:eastAsia="zh-CN"/>
                <w14:textFill>
                  <w14:solidFill>
                    <w14:schemeClr w14:val="tx1"/>
                  </w14:solidFill>
                </w14:textFill>
              </w:rPr>
              <w:t>托克逊县城市环卫园林一体化管理项目第一包</w:t>
            </w:r>
          </w:p>
          <w:p>
            <w:pPr>
              <w:pStyle w:val="41"/>
              <w:keepNext w:val="0"/>
              <w:keepLines w:val="0"/>
              <w:pageBreakBefore w:val="0"/>
              <w:kinsoku/>
              <w:wordWrap/>
              <w:topLinePunct w:val="0"/>
              <w:bidi w:val="0"/>
              <w:spacing w:line="400" w:lineRule="exact"/>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项目编号：TKXZFCG(GK)HYTH2023-0</w:t>
            </w:r>
            <w:r>
              <w:rPr>
                <w:rFonts w:hint="eastAsia" w:cs="宋体"/>
                <w:color w:val="000000" w:themeColor="text1"/>
                <w:sz w:val="24"/>
                <w:szCs w:val="24"/>
                <w:lang w:val="en-US" w:eastAsia="zh-CN"/>
                <w14:textFill>
                  <w14:solidFill>
                    <w14:schemeClr w14:val="tx1"/>
                  </w14:solidFill>
                </w14:textFill>
              </w:rPr>
              <w:t>36</w:t>
            </w:r>
          </w:p>
          <w:p>
            <w:pPr>
              <w:pStyle w:val="13"/>
              <w:pageBreakBefore w:val="0"/>
              <w:shd w:val="clear" w:color="auto" w:fill="FFFFFF"/>
              <w:wordWrap/>
              <w:overflowPunct/>
              <w:autoSpaceDE w:val="0"/>
              <w:bidi w:val="0"/>
              <w:adjustRightInd w:val="0"/>
              <w:snapToGrid w:val="0"/>
              <w:spacing w:line="460" w:lineRule="exact"/>
              <w:ind w:right="0"/>
              <w:rPr>
                <w:rFonts w:hint="eastAsia" w:ascii="宋体" w:hAnsi="宋体" w:eastAsia="宋体" w:cs="宋体"/>
                <w:color w:val="000000" w:themeColor="text1"/>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招标内</w:t>
            </w:r>
            <w:r>
              <w:rPr>
                <w:rFonts w:hint="eastAsia" w:ascii="宋体" w:hAnsi="宋体" w:eastAsia="宋体" w:cs="宋体"/>
                <w:color w:val="000000" w:themeColor="text1"/>
                <w:sz w:val="24"/>
                <w:szCs w:val="24"/>
                <w:lang w:val="en-US" w:eastAsia="zh-CN" w:bidi="ar-SA"/>
                <w14:textFill>
                  <w14:solidFill>
                    <w14:schemeClr w14:val="tx1"/>
                  </w14:solidFill>
                </w14:textFill>
              </w:rPr>
              <w:t>容：道路清扫、保洁，垃圾清运、处置，公厕管理与维护，环卫基础设施的更新与维护等；园林绿化养护，包括养护范围内各类乔灌木绿篱等灌溉、修剪、防治病虫害、缺株补植补种等基础设施维护，绿地保洁和垃圾清运、绿化管网基础设施维护，公园广场等附属设施维护。</w:t>
            </w:r>
          </w:p>
          <w:p>
            <w:pPr>
              <w:pStyle w:val="41"/>
              <w:keepNext w:val="0"/>
              <w:keepLines w:val="0"/>
              <w:pageBreakBefore w:val="0"/>
              <w:kinsoku/>
              <w:wordWrap/>
              <w:topLinePunct w:val="0"/>
              <w:bidi w:val="0"/>
              <w:spacing w:line="400" w:lineRule="exact"/>
              <w:rPr>
                <w:rFonts w:hint="eastAsia" w:ascii="宋体" w:hAnsi="宋体" w:eastAsia="宋体" w:cs="宋体"/>
                <w:color w:val="000000" w:themeColor="text1"/>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lang w:val="en-US" w:eastAsia="zh-CN" w:bidi="ar-SA"/>
                <w14:textFill>
                  <w14:solidFill>
                    <w14:schemeClr w14:val="tx1"/>
                  </w14:solidFill>
                </w14:textFill>
              </w:rPr>
              <w:t>预算金额：16365000.00元/一年</w:t>
            </w:r>
          </w:p>
          <w:p>
            <w:pPr>
              <w:pStyle w:val="41"/>
              <w:keepNext w:val="0"/>
              <w:keepLines w:val="0"/>
              <w:pageBreakBefore w:val="0"/>
              <w:kinsoku/>
              <w:wordWrap/>
              <w:topLinePunct w:val="0"/>
              <w:bidi w:val="0"/>
              <w:spacing w:line="400" w:lineRule="exact"/>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服务期限：服务期为3年（本此项目预算为一年的金额），合同一年一签订，每年根据考核情况续签合同。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08" w:hRule="atLeast"/>
          <w:jc w:val="center"/>
        </w:trPr>
        <w:tc>
          <w:tcPr>
            <w:tcW w:w="547" w:type="dxa"/>
            <w:noWrap w:val="0"/>
            <w:vAlign w:val="center"/>
          </w:tcPr>
          <w:p>
            <w:pPr>
              <w:pStyle w:val="41"/>
              <w:keepNext w:val="0"/>
              <w:keepLines w:val="0"/>
              <w:pageBreakBefore w:val="0"/>
              <w:kinsoku/>
              <w:wordWrap/>
              <w:topLinePunct w:val="0"/>
              <w:bidi w:val="0"/>
              <w:spacing w:line="400" w:lineRule="exact"/>
              <w:ind w:right="230"/>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2</w:t>
            </w:r>
          </w:p>
        </w:tc>
        <w:tc>
          <w:tcPr>
            <w:tcW w:w="1619" w:type="dxa"/>
            <w:noWrap w:val="0"/>
            <w:vAlign w:val="center"/>
          </w:tcPr>
          <w:p>
            <w:pPr>
              <w:pStyle w:val="41"/>
              <w:keepNext w:val="0"/>
              <w:keepLines w:val="0"/>
              <w:pageBreakBefore w:val="0"/>
              <w:kinsoku/>
              <w:wordWrap/>
              <w:topLinePunct w:val="0"/>
              <w:bidi w:val="0"/>
              <w:spacing w:line="400" w:lineRule="exact"/>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采购单位</w:t>
            </w:r>
          </w:p>
        </w:tc>
        <w:tc>
          <w:tcPr>
            <w:tcW w:w="8032" w:type="dxa"/>
            <w:noWrap w:val="0"/>
            <w:vAlign w:val="center"/>
          </w:tcPr>
          <w:p>
            <w:pPr>
              <w:pStyle w:val="41"/>
              <w:keepNext w:val="0"/>
              <w:keepLines w:val="0"/>
              <w:pageBreakBefore w:val="0"/>
              <w:kinsoku/>
              <w:wordWrap/>
              <w:topLinePunct w:val="0"/>
              <w:bidi w:val="0"/>
              <w:spacing w:line="40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名 称：托克逊县住房和城乡建设局</w:t>
            </w:r>
          </w:p>
          <w:p>
            <w:pPr>
              <w:pStyle w:val="41"/>
              <w:keepNext w:val="0"/>
              <w:keepLines w:val="0"/>
              <w:pageBreakBefore w:val="0"/>
              <w:kinsoku/>
              <w:wordWrap/>
              <w:topLinePunct w:val="0"/>
              <w:bidi w:val="0"/>
              <w:spacing w:line="40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 址：托克逊县九龙路</w:t>
            </w:r>
          </w:p>
          <w:p>
            <w:pPr>
              <w:pStyle w:val="41"/>
              <w:keepNext w:val="0"/>
              <w:keepLines w:val="0"/>
              <w:pageBreakBefore w:val="0"/>
              <w:kinsoku/>
              <w:wordWrap/>
              <w:topLinePunct w:val="0"/>
              <w:bidi w:val="0"/>
              <w:spacing w:line="40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联系人：刘先生       </w:t>
            </w:r>
          </w:p>
          <w:p>
            <w:pPr>
              <w:pStyle w:val="41"/>
              <w:keepNext w:val="0"/>
              <w:keepLines w:val="0"/>
              <w:pageBreakBefore w:val="0"/>
              <w:kinsoku/>
              <w:wordWrap/>
              <w:topLinePunct w:val="0"/>
              <w:bidi w:val="0"/>
              <w:spacing w:line="400" w:lineRule="exact"/>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eastAsia="zh-CN"/>
              </w:rPr>
              <w:t>联系电话：0995-8822833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8" w:hRule="atLeast"/>
          <w:jc w:val="center"/>
        </w:trPr>
        <w:tc>
          <w:tcPr>
            <w:tcW w:w="547" w:type="dxa"/>
            <w:noWrap w:val="0"/>
            <w:vAlign w:val="center"/>
          </w:tcPr>
          <w:p>
            <w:pPr>
              <w:pStyle w:val="41"/>
              <w:keepNext w:val="0"/>
              <w:keepLines w:val="0"/>
              <w:pageBreakBefore w:val="0"/>
              <w:kinsoku/>
              <w:wordWrap/>
              <w:topLinePunct w:val="0"/>
              <w:bidi w:val="0"/>
              <w:spacing w:line="400" w:lineRule="exact"/>
              <w:ind w:right="230" w:rightChars="0"/>
              <w:jc w:val="center"/>
              <w:rPr>
                <w:rFonts w:hint="eastAsia" w:ascii="宋体" w:hAnsi="宋体" w:eastAsia="宋体" w:cs="宋体"/>
                <w:color w:val="auto"/>
                <w:sz w:val="24"/>
                <w:szCs w:val="24"/>
                <w:lang w:val="zh-CN" w:eastAsia="zh-CN" w:bidi="ar-SA"/>
              </w:rPr>
            </w:pPr>
            <w:r>
              <w:rPr>
                <w:rFonts w:hint="eastAsia" w:ascii="宋体" w:hAnsi="宋体" w:eastAsia="宋体" w:cs="宋体"/>
                <w:color w:val="auto"/>
                <w:sz w:val="24"/>
                <w:szCs w:val="24"/>
                <w:lang w:val="zh-CN"/>
              </w:rPr>
              <w:t>3</w:t>
            </w:r>
          </w:p>
        </w:tc>
        <w:tc>
          <w:tcPr>
            <w:tcW w:w="1619" w:type="dxa"/>
            <w:noWrap w:val="0"/>
            <w:vAlign w:val="center"/>
          </w:tcPr>
          <w:p>
            <w:pPr>
              <w:keepNext w:val="0"/>
              <w:keepLines w:val="0"/>
              <w:pageBreakBefore w:val="0"/>
              <w:shd w:val="solid" w:color="FFFFFF" w:fill="auto"/>
              <w:kinsoku/>
              <w:wordWrap/>
              <w:topLinePunct w:val="0"/>
              <w:autoSpaceDN w:val="0"/>
              <w:bidi w:val="0"/>
              <w:spacing w:line="400" w:lineRule="exact"/>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招标代理机构</w:t>
            </w:r>
          </w:p>
        </w:tc>
        <w:tc>
          <w:tcPr>
            <w:tcW w:w="8032" w:type="dxa"/>
            <w:noWrap w:val="0"/>
            <w:vAlign w:val="center"/>
          </w:tcPr>
          <w:p>
            <w:pPr>
              <w:pStyle w:val="41"/>
              <w:keepNext w:val="0"/>
              <w:keepLines w:val="0"/>
              <w:pageBreakBefore w:val="0"/>
              <w:kinsoku/>
              <w:wordWrap/>
              <w:topLinePunct w:val="0"/>
              <w:bidi w:val="0"/>
              <w:spacing w:line="400" w:lineRule="exact"/>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rPr>
              <w:t>名 称：</w:t>
            </w:r>
            <w:r>
              <w:rPr>
                <w:rFonts w:hint="eastAsia" w:ascii="宋体" w:hAnsi="宋体" w:eastAsia="宋体" w:cs="宋体"/>
                <w:color w:val="auto"/>
                <w:kern w:val="2"/>
                <w:sz w:val="24"/>
                <w:szCs w:val="24"/>
                <w:lang w:eastAsia="zh-CN"/>
              </w:rPr>
              <w:t>新疆华域天恒工程管理有限公司</w:t>
            </w:r>
          </w:p>
          <w:p>
            <w:pPr>
              <w:pStyle w:val="41"/>
              <w:keepNext w:val="0"/>
              <w:keepLines w:val="0"/>
              <w:pageBreakBefore w:val="0"/>
              <w:kinsoku/>
              <w:wordWrap/>
              <w:topLinePunct w:val="0"/>
              <w:bidi w:val="0"/>
              <w:spacing w:line="400" w:lineRule="exact"/>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地 址：吐鲁番市高昌区示范区和平街11幢2层201号</w:t>
            </w:r>
          </w:p>
          <w:p>
            <w:pPr>
              <w:pStyle w:val="41"/>
              <w:keepNext w:val="0"/>
              <w:keepLines w:val="0"/>
              <w:pageBreakBefore w:val="0"/>
              <w:kinsoku/>
              <w:wordWrap/>
              <w:topLinePunct w:val="0"/>
              <w:bidi w:val="0"/>
              <w:spacing w:line="400" w:lineRule="exact"/>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rPr>
              <w:t>联系</w:t>
            </w:r>
            <w:r>
              <w:rPr>
                <w:rFonts w:hint="eastAsia" w:ascii="宋体" w:hAnsi="宋体" w:eastAsia="宋体" w:cs="宋体"/>
                <w:color w:val="auto"/>
                <w:kern w:val="2"/>
                <w:sz w:val="24"/>
                <w:szCs w:val="24"/>
                <w:lang w:eastAsia="zh-CN"/>
              </w:rPr>
              <w:t>人</w:t>
            </w:r>
            <w:r>
              <w:rPr>
                <w:rFonts w:hint="eastAsia" w:ascii="宋体" w:hAnsi="宋体" w:eastAsia="宋体" w:cs="宋体"/>
                <w:color w:val="auto"/>
                <w:kern w:val="2"/>
                <w:sz w:val="24"/>
                <w:szCs w:val="24"/>
              </w:rPr>
              <w:t>：</w:t>
            </w:r>
            <w:r>
              <w:rPr>
                <w:rFonts w:hint="eastAsia" w:cs="宋体"/>
                <w:color w:val="auto"/>
                <w:kern w:val="2"/>
                <w:sz w:val="24"/>
                <w:szCs w:val="24"/>
                <w:lang w:val="en-US" w:eastAsia="zh-CN"/>
              </w:rPr>
              <w:t>马丽娜</w:t>
            </w:r>
          </w:p>
          <w:p>
            <w:pPr>
              <w:pStyle w:val="41"/>
              <w:keepNext w:val="0"/>
              <w:keepLines w:val="0"/>
              <w:pageBreakBefore w:val="0"/>
              <w:kinsoku/>
              <w:wordWrap/>
              <w:topLinePunct w:val="0"/>
              <w:bidi w:val="0"/>
              <w:spacing w:line="400" w:lineRule="exact"/>
              <w:rPr>
                <w:rFonts w:hint="default" w:ascii="宋体" w:hAnsi="宋体" w:eastAsia="宋体" w:cs="宋体"/>
                <w:color w:val="auto"/>
                <w:kern w:val="2"/>
                <w:sz w:val="24"/>
                <w:szCs w:val="24"/>
                <w:lang w:val="en-US"/>
              </w:rPr>
            </w:pPr>
            <w:r>
              <w:rPr>
                <w:rFonts w:hint="eastAsia" w:ascii="宋体" w:hAnsi="宋体" w:eastAsia="宋体" w:cs="宋体"/>
                <w:color w:val="auto"/>
                <w:kern w:val="2"/>
                <w:sz w:val="24"/>
                <w:szCs w:val="24"/>
              </w:rPr>
              <w:t>联系方式：</w:t>
            </w:r>
            <w:r>
              <w:rPr>
                <w:rFonts w:hint="eastAsia" w:ascii="宋体" w:hAnsi="宋体" w:eastAsia="宋体" w:cs="宋体"/>
                <w:color w:val="auto"/>
                <w:kern w:val="2"/>
                <w:sz w:val="24"/>
                <w:szCs w:val="24"/>
                <w:lang w:val="en-US" w:eastAsia="zh-CN"/>
              </w:rPr>
              <w:t>13</w:t>
            </w:r>
            <w:r>
              <w:rPr>
                <w:rFonts w:hint="eastAsia" w:cs="宋体"/>
                <w:color w:val="auto"/>
                <w:kern w:val="2"/>
                <w:sz w:val="24"/>
                <w:szCs w:val="24"/>
                <w:lang w:val="en-US" w:eastAsia="zh-CN"/>
              </w:rPr>
              <w:t>899314280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8" w:hRule="atLeast"/>
          <w:jc w:val="center"/>
        </w:trPr>
        <w:tc>
          <w:tcPr>
            <w:tcW w:w="547" w:type="dxa"/>
            <w:noWrap w:val="0"/>
            <w:vAlign w:val="center"/>
          </w:tcPr>
          <w:p>
            <w:pPr>
              <w:pStyle w:val="41"/>
              <w:keepNext w:val="0"/>
              <w:keepLines w:val="0"/>
              <w:pageBreakBefore w:val="0"/>
              <w:kinsoku/>
              <w:wordWrap/>
              <w:topLinePunct w:val="0"/>
              <w:bidi w:val="0"/>
              <w:spacing w:line="400" w:lineRule="exact"/>
              <w:ind w:right="230" w:rightChars="0"/>
              <w:jc w:val="center"/>
              <w:rPr>
                <w:rFonts w:hint="eastAsia" w:ascii="宋体" w:hAnsi="宋体" w:eastAsia="宋体" w:cs="宋体"/>
                <w:color w:val="auto"/>
                <w:sz w:val="24"/>
                <w:szCs w:val="24"/>
                <w:lang w:val="zh-CN" w:eastAsia="zh-CN" w:bidi="ar-SA"/>
              </w:rPr>
            </w:pPr>
            <w:r>
              <w:rPr>
                <w:rFonts w:hint="eastAsia" w:ascii="宋体" w:hAnsi="宋体" w:eastAsia="宋体" w:cs="宋体"/>
                <w:color w:val="auto"/>
                <w:sz w:val="24"/>
                <w:szCs w:val="24"/>
                <w:lang w:val="zh-CN"/>
              </w:rPr>
              <w:t>4</w:t>
            </w:r>
          </w:p>
        </w:tc>
        <w:tc>
          <w:tcPr>
            <w:tcW w:w="1619" w:type="dxa"/>
            <w:noWrap w:val="0"/>
            <w:vAlign w:val="center"/>
          </w:tcPr>
          <w:p>
            <w:pPr>
              <w:keepNext w:val="0"/>
              <w:keepLines w:val="0"/>
              <w:pageBreakBefore w:val="0"/>
              <w:shd w:val="solid" w:color="FFFFFF" w:fill="auto"/>
              <w:kinsoku/>
              <w:wordWrap/>
              <w:topLinePunct w:val="0"/>
              <w:autoSpaceDN w:val="0"/>
              <w:bidi w:val="0"/>
              <w:spacing w:line="400" w:lineRule="exact"/>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投标人资格</w:t>
            </w:r>
          </w:p>
        </w:tc>
        <w:tc>
          <w:tcPr>
            <w:tcW w:w="8032" w:type="dxa"/>
            <w:noWrap w:val="0"/>
            <w:vAlign w:val="center"/>
          </w:tcPr>
          <w:p>
            <w:pPr>
              <w:pStyle w:val="41"/>
              <w:keepNext w:val="0"/>
              <w:keepLines w:val="0"/>
              <w:pageBreakBefore w:val="0"/>
              <w:kinsoku/>
              <w:wordWrap/>
              <w:topLinePunct w:val="0"/>
              <w:bidi w:val="0"/>
              <w:spacing w:line="400" w:lineRule="exact"/>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1.满足《中华人民共和国政府采购法》第二十二条规定；</w:t>
            </w:r>
          </w:p>
          <w:p>
            <w:pPr>
              <w:pStyle w:val="41"/>
              <w:keepNext w:val="0"/>
              <w:keepLines w:val="0"/>
              <w:pageBreakBefore w:val="0"/>
              <w:kinsoku/>
              <w:wordWrap/>
              <w:topLinePunct w:val="0"/>
              <w:bidi w:val="0"/>
              <w:spacing w:line="400" w:lineRule="exact"/>
              <w:rPr>
                <w:rFonts w:hint="eastAsia" w:ascii="宋体" w:hAnsi="宋体" w:eastAsia="宋体" w:cs="宋体"/>
                <w:color w:val="000000" w:themeColor="text1"/>
                <w:kern w:val="2"/>
                <w:sz w:val="24"/>
                <w:szCs w:val="24"/>
                <w:lang w:eastAsia="zh-CN"/>
                <w14:textFill>
                  <w14:solidFill>
                    <w14:schemeClr w14:val="tx1"/>
                  </w14:solidFill>
                </w14:textFill>
              </w:rPr>
            </w:pPr>
            <w:r>
              <w:rPr>
                <w:rFonts w:hint="eastAsia" w:ascii="宋体" w:hAnsi="宋体" w:eastAsia="宋体" w:cs="宋体"/>
                <w:color w:val="auto"/>
                <w:kern w:val="2"/>
                <w:sz w:val="24"/>
                <w:szCs w:val="24"/>
              </w:rPr>
              <w:t>2.落实政府采购政策</w:t>
            </w:r>
            <w:r>
              <w:rPr>
                <w:rFonts w:hint="eastAsia" w:ascii="宋体" w:hAnsi="宋体" w:eastAsia="宋体" w:cs="宋体"/>
                <w:color w:val="000000" w:themeColor="text1"/>
                <w:kern w:val="2"/>
                <w:sz w:val="24"/>
                <w:szCs w:val="24"/>
                <w14:textFill>
                  <w14:solidFill>
                    <w14:schemeClr w14:val="tx1"/>
                  </w14:solidFill>
                </w14:textFill>
              </w:rPr>
              <w:t>需满足的资格要求：</w:t>
            </w:r>
            <w:r>
              <w:rPr>
                <w:rFonts w:hint="eastAsia" w:cs="宋体"/>
                <w:color w:val="000000" w:themeColor="text1"/>
                <w:kern w:val="2"/>
                <w:sz w:val="24"/>
                <w:szCs w:val="24"/>
                <w:highlight w:val="none"/>
                <w:lang w:val="en-US" w:eastAsia="zh-CN"/>
                <w14:textFill>
                  <w14:solidFill>
                    <w14:schemeClr w14:val="tx1"/>
                  </w14:solidFill>
                </w14:textFill>
              </w:rPr>
              <w:t>无</w:t>
            </w:r>
            <w:r>
              <w:rPr>
                <w:rFonts w:hint="eastAsia" w:ascii="宋体" w:hAnsi="宋体" w:eastAsia="宋体" w:cs="宋体"/>
                <w:color w:val="000000" w:themeColor="text1"/>
                <w:kern w:val="2"/>
                <w:sz w:val="24"/>
                <w:szCs w:val="24"/>
                <w:highlight w:val="none"/>
                <w:lang w:eastAsia="zh-CN"/>
                <w14:textFill>
                  <w14:solidFill>
                    <w14:schemeClr w14:val="tx1"/>
                  </w14:solidFill>
                </w14:textFill>
              </w:rPr>
              <w:t>；</w:t>
            </w:r>
          </w:p>
          <w:p>
            <w:pPr>
              <w:pStyle w:val="41"/>
              <w:keepNext w:val="0"/>
              <w:keepLines w:val="0"/>
              <w:pageBreakBefore w:val="0"/>
              <w:kinsoku/>
              <w:wordWrap/>
              <w:topLinePunct w:val="0"/>
              <w:bidi w:val="0"/>
              <w:spacing w:line="400" w:lineRule="exact"/>
              <w:rPr>
                <w:rFonts w:hint="eastAsia" w:ascii="宋体" w:hAnsi="宋体" w:eastAsia="宋体" w:cs="宋体"/>
                <w:color w:val="auto"/>
                <w:kern w:val="2"/>
                <w:sz w:val="24"/>
                <w:szCs w:val="24"/>
              </w:rPr>
            </w:pPr>
            <w:r>
              <w:rPr>
                <w:rFonts w:hint="eastAsia" w:ascii="宋体" w:hAnsi="宋体" w:eastAsia="宋体" w:cs="宋体"/>
                <w:color w:val="000000" w:themeColor="text1"/>
                <w:kern w:val="2"/>
                <w:sz w:val="24"/>
                <w:szCs w:val="24"/>
                <w14:textFill>
                  <w14:solidFill>
                    <w14:schemeClr w14:val="tx1"/>
                  </w14:solidFill>
                </w14:textFill>
              </w:rPr>
              <w:t>3.本项目的特定资格要求：</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(1)具有独立承担民事责任</w:t>
            </w:r>
            <w:r>
              <w:rPr>
                <w:rFonts w:hint="eastAsia" w:ascii="宋体" w:hAnsi="宋体" w:eastAsia="宋体" w:cs="宋体"/>
                <w:kern w:val="0"/>
                <w:sz w:val="24"/>
                <w:szCs w:val="24"/>
                <w:highlight w:val="none"/>
                <w:lang w:val="en-US" w:eastAsia="zh-CN" w:bidi="ar-SA"/>
              </w:rPr>
              <w:t>能力的在中华人民共和国境内注册的法人；（2）具有良好的商业信誉和健全的财务会计制度；（3）具有履行合同所必需的服务和专业技术能力；（4）参加本次采购活动前三年（2020年1月至今），在经营活动中没有重大违法记录。（重大违法记录，是指供应商因违法经营受到刑事处罚或者责令停产停业、吊销许可证或者执照、较大数额罚款等行政处罚、刑事处罚）；供应商未被列入“信用中国”网站“记录失信被执行人或重大税收违法案件当事人名单或政府采购严重违法失信行为”记录名单；不处于中国政府采购网“政府采购严重违法失信行为信息记录”中的禁止参加政府采购活动期间；未列入国家企业信用信息公示系统严重违法失信名单及其他不符合规定条件的供应商；（5）单位负责人为同一人或者存在直接控股、管理关系的不同供应商，不得参加同一合同项下的政府采购活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547" w:type="dxa"/>
            <w:noWrap w:val="0"/>
            <w:vAlign w:val="center"/>
          </w:tcPr>
          <w:p>
            <w:pPr>
              <w:pStyle w:val="41"/>
              <w:keepNext w:val="0"/>
              <w:keepLines w:val="0"/>
              <w:pageBreakBefore w:val="0"/>
              <w:kinsoku/>
              <w:wordWrap/>
              <w:topLinePunct w:val="0"/>
              <w:bidi w:val="0"/>
              <w:spacing w:line="400" w:lineRule="exact"/>
              <w:ind w:right="230" w:right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1619" w:type="dxa"/>
            <w:noWrap w:val="0"/>
            <w:vAlign w:val="center"/>
          </w:tcPr>
          <w:p>
            <w:pPr>
              <w:keepNext w:val="0"/>
              <w:keepLines w:val="0"/>
              <w:pageBreakBefore w:val="0"/>
              <w:shd w:val="solid" w:color="FFFFFF" w:fill="auto"/>
              <w:kinsoku/>
              <w:wordWrap/>
              <w:topLinePunct w:val="0"/>
              <w:autoSpaceDN w:val="0"/>
              <w:bidi w:val="0"/>
              <w:spacing w:line="40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是否接受联合体</w:t>
            </w:r>
          </w:p>
        </w:tc>
        <w:tc>
          <w:tcPr>
            <w:tcW w:w="8032" w:type="dxa"/>
            <w:noWrap w:val="0"/>
            <w:vAlign w:val="center"/>
          </w:tcPr>
          <w:p>
            <w:pPr>
              <w:pStyle w:val="41"/>
              <w:keepNext w:val="0"/>
              <w:keepLines w:val="0"/>
              <w:pageBreakBefore w:val="0"/>
              <w:kinsoku/>
              <w:wordWrap/>
              <w:topLinePunct w:val="0"/>
              <w:bidi w:val="0"/>
              <w:spacing w:line="400" w:lineRule="exact"/>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8" w:hRule="atLeast"/>
          <w:jc w:val="center"/>
        </w:trPr>
        <w:tc>
          <w:tcPr>
            <w:tcW w:w="547" w:type="dxa"/>
            <w:noWrap w:val="0"/>
            <w:vAlign w:val="center"/>
          </w:tcPr>
          <w:p>
            <w:pPr>
              <w:pStyle w:val="41"/>
              <w:keepNext w:val="0"/>
              <w:keepLines w:val="0"/>
              <w:pageBreakBefore w:val="0"/>
              <w:kinsoku/>
              <w:wordWrap/>
              <w:topLinePunct w:val="0"/>
              <w:bidi w:val="0"/>
              <w:spacing w:line="400" w:lineRule="exact"/>
              <w:ind w:right="230" w:rightChars="0"/>
              <w:jc w:val="center"/>
              <w:rPr>
                <w:rFonts w:hint="eastAsia" w:ascii="宋体" w:hAnsi="宋体" w:eastAsia="宋体" w:cs="宋体"/>
                <w:color w:val="auto"/>
                <w:sz w:val="24"/>
                <w:szCs w:val="24"/>
                <w:lang w:val="zh-CN" w:eastAsia="zh-CN" w:bidi="ar-SA"/>
              </w:rPr>
            </w:pPr>
            <w:r>
              <w:rPr>
                <w:rFonts w:hint="eastAsia" w:ascii="宋体" w:hAnsi="宋体" w:eastAsia="宋体" w:cs="宋体"/>
                <w:color w:val="auto"/>
                <w:sz w:val="24"/>
                <w:szCs w:val="24"/>
                <w:lang w:val="zh-CN"/>
              </w:rPr>
              <w:t>6</w:t>
            </w:r>
          </w:p>
        </w:tc>
        <w:tc>
          <w:tcPr>
            <w:tcW w:w="1619" w:type="dxa"/>
            <w:noWrap w:val="0"/>
            <w:vAlign w:val="center"/>
          </w:tcPr>
          <w:p>
            <w:pPr>
              <w:keepNext w:val="0"/>
              <w:keepLines w:val="0"/>
              <w:pageBreakBefore w:val="0"/>
              <w:shd w:val="solid" w:color="FFFFFF" w:fill="auto"/>
              <w:kinsoku/>
              <w:wordWrap/>
              <w:topLinePunct w:val="0"/>
              <w:autoSpaceDN w:val="0"/>
              <w:bidi w:val="0"/>
              <w:spacing w:line="40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是否专门面向中小企业</w:t>
            </w:r>
          </w:p>
        </w:tc>
        <w:tc>
          <w:tcPr>
            <w:tcW w:w="8032" w:type="dxa"/>
            <w:noWrap w:val="0"/>
            <w:vAlign w:val="center"/>
          </w:tcPr>
          <w:p>
            <w:pPr>
              <w:pStyle w:val="41"/>
              <w:keepNext w:val="0"/>
              <w:keepLines w:val="0"/>
              <w:pageBreakBefore w:val="0"/>
              <w:kinsoku/>
              <w:wordWrap/>
              <w:topLinePunct w:val="0"/>
              <w:bidi w:val="0"/>
              <w:spacing w:line="400" w:lineRule="exact"/>
              <w:rPr>
                <w:rFonts w:hint="eastAsia" w:ascii="宋体" w:hAnsi="宋体" w:eastAsia="宋体" w:cs="宋体"/>
                <w:color w:val="auto"/>
                <w:kern w:val="2"/>
                <w:sz w:val="24"/>
                <w:szCs w:val="24"/>
                <w:highlight w:val="none"/>
                <w:lang w:val="en-US" w:eastAsia="zh-CN"/>
              </w:rPr>
            </w:pPr>
            <w:r>
              <w:rPr>
                <w:rFonts w:hint="eastAsia" w:cs="宋体"/>
                <w:color w:val="auto"/>
                <w:kern w:val="2"/>
                <w:sz w:val="24"/>
                <w:szCs w:val="24"/>
                <w:highlight w:val="none"/>
                <w:lang w:val="en-US" w:eastAsia="zh-CN"/>
              </w:rPr>
              <w:t>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8" w:hRule="atLeast"/>
          <w:jc w:val="center"/>
        </w:trPr>
        <w:tc>
          <w:tcPr>
            <w:tcW w:w="547" w:type="dxa"/>
            <w:noWrap w:val="0"/>
            <w:vAlign w:val="center"/>
          </w:tcPr>
          <w:p>
            <w:pPr>
              <w:pStyle w:val="41"/>
              <w:keepNext w:val="0"/>
              <w:keepLines w:val="0"/>
              <w:pageBreakBefore w:val="0"/>
              <w:kinsoku/>
              <w:wordWrap/>
              <w:topLinePunct w:val="0"/>
              <w:bidi w:val="0"/>
              <w:spacing w:line="400" w:lineRule="exact"/>
              <w:ind w:right="230" w:rightChars="0"/>
              <w:jc w:val="center"/>
              <w:rPr>
                <w:rFonts w:hint="eastAsia" w:ascii="宋体" w:hAnsi="宋体" w:eastAsia="宋体" w:cs="宋体"/>
                <w:color w:val="auto"/>
                <w:sz w:val="24"/>
                <w:szCs w:val="24"/>
                <w:lang w:val="zh-CN" w:eastAsia="zh-CN" w:bidi="ar-SA"/>
              </w:rPr>
            </w:pPr>
            <w:r>
              <w:rPr>
                <w:rFonts w:hint="eastAsia" w:ascii="宋体" w:hAnsi="宋体" w:eastAsia="宋体" w:cs="宋体"/>
                <w:color w:val="auto"/>
                <w:sz w:val="24"/>
                <w:szCs w:val="24"/>
                <w:lang w:val="zh-CN"/>
              </w:rPr>
              <w:t>7</w:t>
            </w:r>
          </w:p>
        </w:tc>
        <w:tc>
          <w:tcPr>
            <w:tcW w:w="1619" w:type="dxa"/>
            <w:noWrap w:val="0"/>
            <w:vAlign w:val="center"/>
          </w:tcPr>
          <w:p>
            <w:pPr>
              <w:keepNext w:val="0"/>
              <w:keepLines w:val="0"/>
              <w:pageBreakBefore w:val="0"/>
              <w:shd w:val="solid" w:color="FFFFFF" w:fill="auto"/>
              <w:kinsoku/>
              <w:wordWrap/>
              <w:topLinePunct w:val="0"/>
              <w:autoSpaceDN w:val="0"/>
              <w:bidi w:val="0"/>
              <w:spacing w:line="40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本项目采购标的中小企业划分所属行业</w:t>
            </w:r>
          </w:p>
        </w:tc>
        <w:tc>
          <w:tcPr>
            <w:tcW w:w="8032" w:type="dxa"/>
            <w:noWrap w:val="0"/>
            <w:vAlign w:val="center"/>
          </w:tcPr>
          <w:p>
            <w:pPr>
              <w:pStyle w:val="41"/>
              <w:keepNext w:val="0"/>
              <w:keepLines w:val="0"/>
              <w:pageBreakBefore w:val="0"/>
              <w:kinsoku/>
              <w:wordWrap/>
              <w:topLinePunct w:val="0"/>
              <w:bidi w:val="0"/>
              <w:spacing w:line="400" w:lineRule="exact"/>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服务业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8" w:hRule="atLeast"/>
          <w:jc w:val="center"/>
        </w:trPr>
        <w:tc>
          <w:tcPr>
            <w:tcW w:w="547" w:type="dxa"/>
            <w:noWrap w:val="0"/>
            <w:vAlign w:val="center"/>
          </w:tcPr>
          <w:p>
            <w:pPr>
              <w:pStyle w:val="41"/>
              <w:keepNext w:val="0"/>
              <w:keepLines w:val="0"/>
              <w:pageBreakBefore w:val="0"/>
              <w:kinsoku/>
              <w:wordWrap/>
              <w:topLinePunct w:val="0"/>
              <w:bidi w:val="0"/>
              <w:spacing w:line="400" w:lineRule="exact"/>
              <w:ind w:right="230" w:rightChars="0"/>
              <w:jc w:val="center"/>
              <w:rPr>
                <w:rFonts w:hint="eastAsia" w:ascii="宋体" w:hAnsi="宋体" w:eastAsia="宋体" w:cs="宋体"/>
                <w:color w:val="auto"/>
                <w:sz w:val="24"/>
                <w:szCs w:val="24"/>
                <w:lang w:val="zh-CN" w:eastAsia="zh-CN" w:bidi="ar-SA"/>
              </w:rPr>
            </w:pPr>
            <w:r>
              <w:rPr>
                <w:rFonts w:hint="eastAsia" w:ascii="宋体" w:hAnsi="宋体" w:eastAsia="宋体" w:cs="宋体"/>
                <w:color w:val="auto"/>
                <w:sz w:val="24"/>
                <w:szCs w:val="24"/>
                <w:lang w:val="zh-CN"/>
              </w:rPr>
              <w:t>8</w:t>
            </w:r>
          </w:p>
        </w:tc>
        <w:tc>
          <w:tcPr>
            <w:tcW w:w="1619" w:type="dxa"/>
            <w:noWrap w:val="0"/>
            <w:vAlign w:val="center"/>
          </w:tcPr>
          <w:p>
            <w:pPr>
              <w:keepNext w:val="0"/>
              <w:keepLines w:val="0"/>
              <w:pageBreakBefore w:val="0"/>
              <w:shd w:val="solid" w:color="FFFFFF" w:fill="auto"/>
              <w:kinsoku/>
              <w:wordWrap/>
              <w:topLinePunct w:val="0"/>
              <w:autoSpaceDN w:val="0"/>
              <w:bidi w:val="0"/>
              <w:spacing w:line="400" w:lineRule="exact"/>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质量标准</w:t>
            </w:r>
          </w:p>
        </w:tc>
        <w:tc>
          <w:tcPr>
            <w:tcW w:w="8032" w:type="dxa"/>
            <w:noWrap w:val="0"/>
            <w:vAlign w:val="center"/>
          </w:tcPr>
          <w:p>
            <w:pPr>
              <w:pStyle w:val="41"/>
              <w:keepNext w:val="0"/>
              <w:keepLines w:val="0"/>
              <w:pageBreakBefore w:val="0"/>
              <w:kinsoku/>
              <w:wordWrap/>
              <w:topLinePunct w:val="0"/>
              <w:bidi w:val="0"/>
              <w:spacing w:line="400" w:lineRule="exact"/>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合格</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57" w:hRule="exact"/>
          <w:jc w:val="center"/>
        </w:trPr>
        <w:tc>
          <w:tcPr>
            <w:tcW w:w="547" w:type="dxa"/>
            <w:noWrap w:val="0"/>
            <w:vAlign w:val="center"/>
          </w:tcPr>
          <w:p>
            <w:pPr>
              <w:pStyle w:val="41"/>
              <w:keepNext w:val="0"/>
              <w:keepLines w:val="0"/>
              <w:pageBreakBefore w:val="0"/>
              <w:kinsoku/>
              <w:wordWrap/>
              <w:topLinePunct w:val="0"/>
              <w:bidi w:val="0"/>
              <w:spacing w:line="400" w:lineRule="exact"/>
              <w:ind w:right="230" w:rightChars="0"/>
              <w:jc w:val="center"/>
              <w:rPr>
                <w:rFonts w:hint="eastAsia" w:ascii="宋体" w:hAnsi="宋体" w:eastAsia="宋体" w:cs="宋体"/>
                <w:color w:val="auto"/>
                <w:sz w:val="24"/>
                <w:szCs w:val="24"/>
                <w:lang w:val="zh-CN" w:eastAsia="zh-CN" w:bidi="ar-SA"/>
              </w:rPr>
            </w:pPr>
            <w:r>
              <w:rPr>
                <w:rFonts w:hint="eastAsia" w:ascii="宋体" w:hAnsi="宋体" w:eastAsia="宋体" w:cs="宋体"/>
                <w:color w:val="auto"/>
                <w:sz w:val="24"/>
                <w:szCs w:val="24"/>
                <w:lang w:val="zh-CN"/>
              </w:rPr>
              <w:t>9</w:t>
            </w:r>
          </w:p>
        </w:tc>
        <w:tc>
          <w:tcPr>
            <w:tcW w:w="1619" w:type="dxa"/>
            <w:noWrap w:val="0"/>
            <w:vAlign w:val="center"/>
          </w:tcPr>
          <w:p>
            <w:pPr>
              <w:keepNext w:val="0"/>
              <w:keepLines w:val="0"/>
              <w:pageBreakBefore w:val="0"/>
              <w:shd w:val="solid" w:color="FFFFFF" w:fill="auto"/>
              <w:kinsoku/>
              <w:wordWrap/>
              <w:topLinePunct w:val="0"/>
              <w:autoSpaceDN w:val="0"/>
              <w:bidi w:val="0"/>
              <w:spacing w:line="400" w:lineRule="exact"/>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rPr>
              <w:t>承包方式</w:t>
            </w:r>
          </w:p>
        </w:tc>
        <w:tc>
          <w:tcPr>
            <w:tcW w:w="8032" w:type="dxa"/>
            <w:noWrap w:val="0"/>
            <w:vAlign w:val="center"/>
          </w:tcPr>
          <w:p>
            <w:pPr>
              <w:keepNext w:val="0"/>
              <w:keepLines w:val="0"/>
              <w:pageBreakBefore w:val="0"/>
              <w:shd w:val="solid" w:color="FFFFFF" w:fill="auto"/>
              <w:kinsoku/>
              <w:wordWrap/>
              <w:topLinePunct w:val="0"/>
              <w:autoSpaceDN w:val="0"/>
              <w:bidi w:val="0"/>
              <w:spacing w:line="400" w:lineRule="exact"/>
              <w:jc w:val="left"/>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服务</w:t>
            </w:r>
            <w:r>
              <w:rPr>
                <w:rFonts w:hint="eastAsia" w:ascii="宋体" w:hAnsi="宋体" w:eastAsia="宋体" w:cs="宋体"/>
                <w:color w:val="auto"/>
                <w:sz w:val="24"/>
                <w:szCs w:val="24"/>
                <w:lang w:val="zh-CN"/>
              </w:rPr>
              <w:t>专业承包招标；最终应满足招标人的</w:t>
            </w:r>
            <w:r>
              <w:rPr>
                <w:rFonts w:hint="eastAsia" w:ascii="宋体" w:hAnsi="宋体" w:eastAsia="宋体" w:cs="宋体"/>
                <w:color w:val="auto"/>
                <w:sz w:val="24"/>
                <w:szCs w:val="24"/>
                <w:lang w:val="en-US" w:eastAsia="zh-CN"/>
              </w:rPr>
              <w:t>服务</w:t>
            </w:r>
            <w:r>
              <w:rPr>
                <w:rFonts w:hint="eastAsia" w:ascii="宋体" w:hAnsi="宋体" w:eastAsia="宋体" w:cs="宋体"/>
                <w:color w:val="auto"/>
                <w:sz w:val="24"/>
                <w:szCs w:val="24"/>
                <w:lang w:val="zh-CN"/>
              </w:rPr>
              <w:t>及要求。并应符合相关规范标准以及相关部门审查要求。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71" w:hRule="exact"/>
          <w:jc w:val="center"/>
        </w:trPr>
        <w:tc>
          <w:tcPr>
            <w:tcW w:w="547" w:type="dxa"/>
            <w:noWrap w:val="0"/>
            <w:vAlign w:val="center"/>
          </w:tcPr>
          <w:p>
            <w:pPr>
              <w:pStyle w:val="41"/>
              <w:keepNext w:val="0"/>
              <w:keepLines w:val="0"/>
              <w:pageBreakBefore w:val="0"/>
              <w:kinsoku/>
              <w:wordWrap/>
              <w:topLinePunct w:val="0"/>
              <w:bidi w:val="0"/>
              <w:spacing w:line="400" w:lineRule="exact"/>
              <w:ind w:right="230" w:rightChars="0"/>
              <w:jc w:val="center"/>
              <w:rPr>
                <w:rFonts w:hint="eastAsia" w:ascii="宋体" w:hAnsi="宋体" w:eastAsia="宋体" w:cs="宋体"/>
                <w:color w:val="auto"/>
                <w:sz w:val="24"/>
                <w:szCs w:val="24"/>
                <w:lang w:val="zh-CN" w:eastAsia="zh-CN" w:bidi="ar-SA"/>
              </w:rPr>
            </w:pPr>
            <w:r>
              <w:rPr>
                <w:rFonts w:hint="eastAsia" w:ascii="宋体" w:hAnsi="宋体" w:eastAsia="宋体" w:cs="宋体"/>
                <w:color w:val="auto"/>
                <w:sz w:val="24"/>
                <w:szCs w:val="24"/>
                <w:lang w:val="en-US" w:eastAsia="zh-CN"/>
              </w:rPr>
              <w:t>10</w:t>
            </w:r>
          </w:p>
        </w:tc>
        <w:tc>
          <w:tcPr>
            <w:tcW w:w="1619" w:type="dxa"/>
            <w:noWrap w:val="0"/>
            <w:vAlign w:val="center"/>
          </w:tcPr>
          <w:p>
            <w:pPr>
              <w:keepNext w:val="0"/>
              <w:keepLines w:val="0"/>
              <w:pageBreakBefore w:val="0"/>
              <w:widowControl/>
              <w:shd w:val="solid" w:color="FFFFFF" w:fill="auto"/>
              <w:kinsoku/>
              <w:wordWrap/>
              <w:overflowPunct/>
              <w:topLinePunct w:val="0"/>
              <w:autoSpaceDE/>
              <w:autoSpaceDN w:val="0"/>
              <w:bidi w:val="0"/>
              <w:adjustRightInd/>
              <w:snapToGrid/>
              <w:spacing w:line="400" w:lineRule="exact"/>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构成招标文件的其他文件</w:t>
            </w:r>
          </w:p>
        </w:tc>
        <w:tc>
          <w:tcPr>
            <w:tcW w:w="8032" w:type="dxa"/>
            <w:noWrap w:val="0"/>
            <w:vAlign w:val="center"/>
          </w:tcPr>
          <w:p>
            <w:pPr>
              <w:keepNext w:val="0"/>
              <w:keepLines w:val="0"/>
              <w:pageBreakBefore w:val="0"/>
              <w:shd w:val="solid" w:color="FFFFFF" w:fill="auto"/>
              <w:kinsoku/>
              <w:wordWrap/>
              <w:topLinePunct w:val="0"/>
              <w:autoSpaceDN w:val="0"/>
              <w:bidi w:val="0"/>
              <w:spacing w:line="400" w:lineRule="exact"/>
              <w:jc w:val="left"/>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招标文件的澄清、修改书及有关补充通知为招标文件的有效组成部分。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77" w:hRule="exact"/>
          <w:jc w:val="center"/>
        </w:trPr>
        <w:tc>
          <w:tcPr>
            <w:tcW w:w="547" w:type="dxa"/>
            <w:noWrap w:val="0"/>
            <w:vAlign w:val="center"/>
          </w:tcPr>
          <w:p>
            <w:pPr>
              <w:pStyle w:val="41"/>
              <w:keepNext w:val="0"/>
              <w:keepLines w:val="0"/>
              <w:pageBreakBefore w:val="0"/>
              <w:kinsoku/>
              <w:wordWrap/>
              <w:topLinePunct w:val="0"/>
              <w:bidi w:val="0"/>
              <w:spacing w:line="400" w:lineRule="exact"/>
              <w:ind w:right="230" w:rightChars="0"/>
              <w:jc w:val="center"/>
              <w:rPr>
                <w:rFonts w:hint="eastAsia" w:ascii="宋体" w:hAnsi="宋体" w:eastAsia="宋体" w:cs="宋体"/>
                <w:color w:val="auto"/>
                <w:sz w:val="24"/>
                <w:szCs w:val="24"/>
                <w:lang w:val="zh-CN" w:eastAsia="zh-CN" w:bidi="ar-SA"/>
              </w:rPr>
            </w:pPr>
            <w:r>
              <w:rPr>
                <w:rFonts w:hint="eastAsia" w:ascii="宋体" w:hAnsi="宋体" w:eastAsia="宋体" w:cs="宋体"/>
                <w:color w:val="auto"/>
                <w:sz w:val="24"/>
                <w:szCs w:val="24"/>
                <w:lang w:val="en-US" w:eastAsia="zh-CN"/>
              </w:rPr>
              <w:t>11</w:t>
            </w:r>
          </w:p>
        </w:tc>
        <w:tc>
          <w:tcPr>
            <w:tcW w:w="1619" w:type="dxa"/>
            <w:noWrap w:val="0"/>
            <w:vAlign w:val="center"/>
          </w:tcPr>
          <w:p>
            <w:pPr>
              <w:keepNext w:val="0"/>
              <w:keepLines w:val="0"/>
              <w:pageBreakBefore w:val="0"/>
              <w:shd w:val="solid" w:color="FFFFFF" w:fill="auto"/>
              <w:kinsoku/>
              <w:wordWrap/>
              <w:topLinePunct w:val="0"/>
              <w:autoSpaceDN w:val="0"/>
              <w:bidi w:val="0"/>
              <w:spacing w:line="400" w:lineRule="exact"/>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投标有效期</w:t>
            </w:r>
          </w:p>
        </w:tc>
        <w:tc>
          <w:tcPr>
            <w:tcW w:w="8032" w:type="dxa"/>
            <w:noWrap w:val="0"/>
            <w:vAlign w:val="center"/>
          </w:tcPr>
          <w:p>
            <w:pPr>
              <w:keepNext w:val="0"/>
              <w:keepLines w:val="0"/>
              <w:pageBreakBefore w:val="0"/>
              <w:shd w:val="solid" w:color="FFFFFF" w:fill="auto"/>
              <w:kinsoku/>
              <w:wordWrap/>
              <w:topLinePunct w:val="0"/>
              <w:autoSpaceDN w:val="0"/>
              <w:bidi w:val="0"/>
              <w:spacing w:line="400" w:lineRule="exact"/>
              <w:jc w:val="left"/>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w:t>
            </w:r>
            <w:r>
              <w:rPr>
                <w:rFonts w:hint="eastAsia" w:ascii="宋体" w:hAnsi="宋体" w:eastAsia="宋体" w:cs="宋体"/>
                <w:color w:val="auto"/>
                <w:sz w:val="24"/>
                <w:szCs w:val="24"/>
                <w:u w:val="single"/>
                <w:lang w:val="zh-CN"/>
              </w:rPr>
              <w:t xml:space="preserve"> </w:t>
            </w:r>
            <w:r>
              <w:rPr>
                <w:rFonts w:hint="eastAsia" w:ascii="宋体" w:hAnsi="宋体" w:eastAsia="宋体" w:cs="宋体"/>
                <w:color w:val="auto"/>
                <w:sz w:val="24"/>
                <w:szCs w:val="24"/>
                <w:u w:val="single"/>
                <w:lang w:val="en-US" w:eastAsia="zh-CN"/>
              </w:rPr>
              <w:t>60</w:t>
            </w:r>
            <w:r>
              <w:rPr>
                <w:rFonts w:hint="eastAsia" w:ascii="宋体" w:hAnsi="宋体" w:eastAsia="宋体" w:cs="宋体"/>
                <w:color w:val="auto"/>
                <w:sz w:val="24"/>
                <w:szCs w:val="24"/>
                <w:u w:val="single"/>
                <w:lang w:val="zh-CN"/>
              </w:rPr>
              <w:t xml:space="preserve">  </w:t>
            </w:r>
            <w:r>
              <w:rPr>
                <w:rFonts w:hint="eastAsia" w:ascii="宋体" w:hAnsi="宋体" w:eastAsia="宋体" w:cs="宋体"/>
                <w:color w:val="auto"/>
                <w:sz w:val="24"/>
                <w:szCs w:val="24"/>
                <w:lang w:val="zh-CN"/>
              </w:rPr>
              <w:t>日历天（投标有效期从提交投标文件的截止之日起算。有效期短于该规定期限的投标无效）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57" w:hRule="exact"/>
          <w:jc w:val="center"/>
        </w:trPr>
        <w:tc>
          <w:tcPr>
            <w:tcW w:w="547" w:type="dxa"/>
            <w:noWrap w:val="0"/>
            <w:vAlign w:val="center"/>
          </w:tcPr>
          <w:p>
            <w:pPr>
              <w:pStyle w:val="41"/>
              <w:keepNext w:val="0"/>
              <w:keepLines w:val="0"/>
              <w:pageBreakBefore w:val="0"/>
              <w:kinsoku/>
              <w:wordWrap/>
              <w:topLinePunct w:val="0"/>
              <w:bidi w:val="0"/>
              <w:spacing w:line="400" w:lineRule="exact"/>
              <w:ind w:right="230" w:rightChars="0"/>
              <w:jc w:val="center"/>
              <w:rPr>
                <w:rFonts w:hint="eastAsia" w:ascii="宋体" w:hAnsi="宋体" w:eastAsia="宋体" w:cs="宋体"/>
                <w:color w:val="auto"/>
                <w:sz w:val="24"/>
                <w:szCs w:val="24"/>
                <w:lang w:val="zh-CN" w:eastAsia="zh-CN" w:bidi="ar-SA"/>
              </w:rPr>
            </w:pPr>
            <w:r>
              <w:rPr>
                <w:rFonts w:hint="eastAsia" w:ascii="宋体" w:hAnsi="宋体" w:eastAsia="宋体" w:cs="宋体"/>
                <w:color w:val="auto"/>
                <w:sz w:val="24"/>
                <w:szCs w:val="24"/>
                <w:lang w:val="en-US" w:eastAsia="zh-CN"/>
              </w:rPr>
              <w:t>12</w:t>
            </w:r>
          </w:p>
        </w:tc>
        <w:tc>
          <w:tcPr>
            <w:tcW w:w="1619" w:type="dxa"/>
            <w:noWrap w:val="0"/>
            <w:vAlign w:val="center"/>
          </w:tcPr>
          <w:p>
            <w:pPr>
              <w:pStyle w:val="41"/>
              <w:keepNext w:val="0"/>
              <w:keepLines w:val="0"/>
              <w:pageBreakBefore w:val="0"/>
              <w:kinsoku/>
              <w:wordWrap/>
              <w:topLinePunct w:val="0"/>
              <w:bidi w:val="0"/>
              <w:spacing w:line="400" w:lineRule="exact"/>
              <w:ind w:left="96"/>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采购方式</w:t>
            </w:r>
          </w:p>
        </w:tc>
        <w:tc>
          <w:tcPr>
            <w:tcW w:w="8032" w:type="dxa"/>
            <w:noWrap w:val="0"/>
            <w:vAlign w:val="center"/>
          </w:tcPr>
          <w:p>
            <w:pPr>
              <w:pStyle w:val="41"/>
              <w:keepNext w:val="0"/>
              <w:keepLines w:val="0"/>
              <w:pageBreakBefore w:val="0"/>
              <w:kinsoku/>
              <w:wordWrap/>
              <w:topLinePunct w:val="0"/>
              <w:bidi w:val="0"/>
              <w:spacing w:line="40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1" w:hRule="atLeast"/>
          <w:jc w:val="center"/>
        </w:trPr>
        <w:tc>
          <w:tcPr>
            <w:tcW w:w="547" w:type="dxa"/>
            <w:noWrap w:val="0"/>
            <w:vAlign w:val="center"/>
          </w:tcPr>
          <w:p>
            <w:pPr>
              <w:pStyle w:val="41"/>
              <w:keepNext w:val="0"/>
              <w:keepLines w:val="0"/>
              <w:pageBreakBefore w:val="0"/>
              <w:kinsoku/>
              <w:wordWrap/>
              <w:topLinePunct w:val="0"/>
              <w:bidi w:val="0"/>
              <w:spacing w:line="400" w:lineRule="exact"/>
              <w:ind w:right="230" w:rightChars="0"/>
              <w:jc w:val="center"/>
              <w:rPr>
                <w:rFonts w:hint="eastAsia" w:ascii="宋体" w:hAnsi="宋体" w:eastAsia="宋体" w:cs="宋体"/>
                <w:color w:val="auto"/>
                <w:sz w:val="24"/>
                <w:szCs w:val="24"/>
                <w:lang w:val="zh-CN" w:eastAsia="zh-CN" w:bidi="ar-SA"/>
              </w:rPr>
            </w:pPr>
            <w:r>
              <w:rPr>
                <w:rFonts w:hint="eastAsia" w:ascii="宋体" w:hAnsi="宋体" w:eastAsia="宋体" w:cs="宋体"/>
                <w:color w:val="auto"/>
                <w:sz w:val="24"/>
                <w:szCs w:val="24"/>
                <w:lang w:val="en-US" w:eastAsia="zh-CN"/>
              </w:rPr>
              <w:t>13</w:t>
            </w:r>
          </w:p>
        </w:tc>
        <w:tc>
          <w:tcPr>
            <w:tcW w:w="1619" w:type="dxa"/>
            <w:noWrap w:val="0"/>
            <w:vAlign w:val="center"/>
          </w:tcPr>
          <w:p>
            <w:pPr>
              <w:pStyle w:val="41"/>
              <w:keepNext w:val="0"/>
              <w:keepLines w:val="0"/>
              <w:pageBreakBefore w:val="0"/>
              <w:kinsoku/>
              <w:wordWrap/>
              <w:topLinePunct w:val="0"/>
              <w:bidi w:val="0"/>
              <w:spacing w:line="400" w:lineRule="exact"/>
              <w:ind w:left="96"/>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评标方法</w:t>
            </w:r>
          </w:p>
        </w:tc>
        <w:tc>
          <w:tcPr>
            <w:tcW w:w="8032" w:type="dxa"/>
            <w:noWrap w:val="0"/>
            <w:vAlign w:val="center"/>
          </w:tcPr>
          <w:p>
            <w:pPr>
              <w:pStyle w:val="41"/>
              <w:keepNext w:val="0"/>
              <w:keepLines w:val="0"/>
              <w:pageBreakBefore w:val="0"/>
              <w:kinsoku/>
              <w:wordWrap/>
              <w:topLinePunct w:val="0"/>
              <w:bidi w:val="0"/>
              <w:spacing w:line="40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zh-CN"/>
              </w:rPr>
              <w:t>综合评分法</w:t>
            </w:r>
            <w:r>
              <w:rPr>
                <w:rFonts w:hint="eastAsia" w:ascii="宋体" w:hAnsi="宋体" w:eastAsia="宋体" w:cs="宋体"/>
                <w:color w:val="auto"/>
                <w:sz w:val="24"/>
                <w:szCs w:val="24"/>
                <w:lang w:val="en-US" w:eastAsia="zh-CN"/>
              </w:rPr>
              <w:t xml:space="preserve">  评标权重：商务及技术评分90分，价格评分10分。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547" w:type="dxa"/>
            <w:tcBorders>
              <w:top w:val="single" w:color="auto" w:sz="8" w:space="0"/>
              <w:left w:val="single" w:color="auto" w:sz="18" w:space="0"/>
              <w:bottom w:val="single" w:color="auto" w:sz="8" w:space="0"/>
              <w:right w:val="single" w:color="auto" w:sz="8" w:space="0"/>
            </w:tcBorders>
            <w:noWrap w:val="0"/>
            <w:vAlign w:val="center"/>
          </w:tcPr>
          <w:p>
            <w:pPr>
              <w:pStyle w:val="41"/>
              <w:keepNext w:val="0"/>
              <w:keepLines w:val="0"/>
              <w:pageBreakBefore w:val="0"/>
              <w:kinsoku/>
              <w:wordWrap/>
              <w:topLinePunct w:val="0"/>
              <w:bidi w:val="0"/>
              <w:spacing w:line="400" w:lineRule="exact"/>
              <w:ind w:right="230" w:rightChars="0"/>
              <w:jc w:val="center"/>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rPr>
              <w:t>14</w:t>
            </w:r>
          </w:p>
        </w:tc>
        <w:tc>
          <w:tcPr>
            <w:tcW w:w="1619" w:type="dxa"/>
            <w:tcBorders>
              <w:top w:val="single" w:color="auto" w:sz="8" w:space="0"/>
              <w:left w:val="single" w:color="auto" w:sz="8" w:space="0"/>
              <w:bottom w:val="single" w:color="auto" w:sz="8" w:space="0"/>
              <w:right w:val="single" w:color="auto" w:sz="8" w:space="0"/>
            </w:tcBorders>
            <w:noWrap w:val="0"/>
            <w:vAlign w:val="center"/>
          </w:tcPr>
          <w:p>
            <w:pPr>
              <w:pStyle w:val="41"/>
              <w:keepNext w:val="0"/>
              <w:keepLines w:val="0"/>
              <w:pageBreakBefore w:val="0"/>
              <w:kinsoku/>
              <w:wordWrap/>
              <w:topLinePunct w:val="0"/>
              <w:bidi w:val="0"/>
              <w:spacing w:line="400" w:lineRule="exact"/>
              <w:ind w:left="96"/>
              <w:jc w:val="center"/>
              <w:rPr>
                <w:rFonts w:hint="eastAsia" w:ascii="宋体" w:hAnsi="宋体" w:eastAsia="宋体" w:cs="宋体"/>
                <w:color w:val="auto"/>
                <w:sz w:val="24"/>
                <w:szCs w:val="24"/>
                <w:highlight w:val="yellow"/>
                <w:lang w:val="zh-CN"/>
              </w:rPr>
            </w:pPr>
            <w:r>
              <w:rPr>
                <w:rFonts w:hint="eastAsia" w:ascii="宋体" w:hAnsi="宋体" w:eastAsia="宋体" w:cs="宋体"/>
                <w:color w:val="auto"/>
                <w:sz w:val="24"/>
                <w:szCs w:val="24"/>
                <w:lang w:val="zh-CN"/>
              </w:rPr>
              <w:t>投标保证金</w:t>
            </w:r>
          </w:p>
        </w:tc>
        <w:tc>
          <w:tcPr>
            <w:tcW w:w="8032"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kinsoku/>
              <w:wordWrap/>
              <w:topLinePunct w:val="0"/>
              <w:bidi w:val="0"/>
              <w:spacing w:line="400" w:lineRule="exact"/>
              <w:jc w:val="left"/>
              <w:rPr>
                <w:rFonts w:hint="eastAsia" w:ascii="宋体" w:hAnsi="宋体" w:eastAsia="宋体" w:cs="宋体"/>
                <w:b/>
                <w:color w:val="auto"/>
                <w:sz w:val="24"/>
                <w:szCs w:val="24"/>
                <w:lang w:val="zh-CN" w:eastAsia="zh-CN"/>
              </w:rPr>
            </w:pPr>
            <w:r>
              <w:rPr>
                <w:rFonts w:hint="eastAsia" w:ascii="宋体" w:hAnsi="宋体" w:eastAsia="宋体" w:cs="宋体"/>
                <w:b/>
                <w:color w:val="auto"/>
                <w:sz w:val="24"/>
                <w:szCs w:val="24"/>
                <w:lang w:val="zh-CN" w:eastAsia="zh-CN"/>
              </w:rPr>
              <w:t>投标保证金金额：人民币</w:t>
            </w:r>
            <w:r>
              <w:rPr>
                <w:rFonts w:hint="eastAsia" w:ascii="宋体" w:hAnsi="宋体" w:eastAsia="宋体" w:cs="宋体"/>
                <w:b/>
                <w:color w:val="auto"/>
                <w:sz w:val="24"/>
                <w:szCs w:val="24"/>
                <w:lang w:val="en-US" w:eastAsia="zh-CN"/>
              </w:rPr>
              <w:t>叁拾</w:t>
            </w:r>
            <w:r>
              <w:rPr>
                <w:rFonts w:hint="eastAsia" w:ascii="宋体" w:hAnsi="宋体" w:eastAsia="宋体" w:cs="宋体"/>
                <w:b/>
                <w:color w:val="auto"/>
                <w:sz w:val="24"/>
                <w:szCs w:val="24"/>
                <w:lang w:val="zh-CN" w:eastAsia="zh-CN"/>
              </w:rPr>
              <w:t>万元整（</w:t>
            </w:r>
            <w:r>
              <w:rPr>
                <w:rFonts w:hint="eastAsia" w:ascii="宋体" w:hAnsi="宋体" w:eastAsia="宋体" w:cs="宋体"/>
                <w:b/>
                <w:color w:val="auto"/>
                <w:sz w:val="24"/>
                <w:szCs w:val="24"/>
                <w:lang w:val="en-US" w:eastAsia="zh-CN"/>
              </w:rPr>
              <w:t>300</w:t>
            </w:r>
            <w:r>
              <w:rPr>
                <w:rFonts w:hint="eastAsia" w:ascii="宋体" w:hAnsi="宋体" w:eastAsia="宋体" w:cs="宋体"/>
                <w:b/>
                <w:color w:val="auto"/>
                <w:sz w:val="24"/>
                <w:szCs w:val="24"/>
                <w:lang w:val="zh-CN" w:eastAsia="zh-CN"/>
              </w:rPr>
              <w:t>000.00元整）</w:t>
            </w:r>
          </w:p>
          <w:p>
            <w:pPr>
              <w:keepNext w:val="0"/>
              <w:keepLines w:val="0"/>
              <w:pageBreakBefore w:val="0"/>
              <w:kinsoku/>
              <w:wordWrap/>
              <w:topLinePunct w:val="0"/>
              <w:bidi w:val="0"/>
              <w:spacing w:line="400" w:lineRule="exact"/>
              <w:jc w:val="left"/>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投标保证金可采用的其他形式：电汇、转账或保函，转出账户必须与投标单位名称一致，否则不予受理。</w:t>
            </w:r>
          </w:p>
          <w:p>
            <w:pPr>
              <w:keepNext w:val="0"/>
              <w:keepLines w:val="0"/>
              <w:pageBreakBefore w:val="0"/>
              <w:kinsoku/>
              <w:wordWrap/>
              <w:topLinePunct w:val="0"/>
              <w:bidi w:val="0"/>
              <w:spacing w:line="400" w:lineRule="exact"/>
              <w:jc w:val="left"/>
              <w:rPr>
                <w:rFonts w:hint="eastAsia" w:ascii="宋体" w:hAnsi="宋体" w:eastAsia="宋体" w:cs="宋体"/>
                <w:b/>
                <w:color w:val="auto"/>
                <w:sz w:val="24"/>
                <w:szCs w:val="24"/>
                <w:lang w:val="zh-CN" w:eastAsia="zh-CN"/>
              </w:rPr>
            </w:pPr>
            <w:r>
              <w:rPr>
                <w:rFonts w:hint="eastAsia" w:ascii="宋体" w:hAnsi="宋体" w:eastAsia="宋体" w:cs="宋体"/>
                <w:b/>
                <w:color w:val="auto"/>
                <w:sz w:val="24"/>
                <w:szCs w:val="24"/>
                <w:lang w:val="zh-CN"/>
              </w:rPr>
              <w:t>投标保证金形式：</w:t>
            </w:r>
            <w:r>
              <w:rPr>
                <w:rFonts w:hint="eastAsia" w:ascii="宋体" w:hAnsi="宋体" w:eastAsia="宋体" w:cs="宋体"/>
                <w:b/>
                <w:color w:val="auto"/>
                <w:sz w:val="24"/>
                <w:szCs w:val="24"/>
                <w:lang w:val="zh-CN" w:eastAsia="zh-CN"/>
              </w:rPr>
              <w:t>非现金形式。为减少收取/退还保证金的手续，建议采用电汇、网银转账</w:t>
            </w:r>
            <w:r>
              <w:rPr>
                <w:rFonts w:hint="eastAsia" w:ascii="宋体" w:hAnsi="宋体" w:eastAsia="宋体" w:cs="宋体"/>
                <w:b/>
                <w:color w:val="auto"/>
                <w:sz w:val="24"/>
                <w:szCs w:val="24"/>
                <w:lang w:val="en-US" w:eastAsia="zh-CN"/>
              </w:rPr>
              <w:t>或保函</w:t>
            </w:r>
            <w:r>
              <w:rPr>
                <w:rFonts w:hint="eastAsia" w:ascii="宋体" w:hAnsi="宋体" w:eastAsia="宋体" w:cs="宋体"/>
                <w:b/>
                <w:color w:val="auto"/>
                <w:sz w:val="24"/>
                <w:szCs w:val="24"/>
                <w:lang w:val="zh-CN" w:eastAsia="zh-CN"/>
              </w:rPr>
              <w:t>方式缴纳保证金。</w:t>
            </w:r>
          </w:p>
          <w:p>
            <w:pPr>
              <w:keepNext w:val="0"/>
              <w:keepLines w:val="0"/>
              <w:pageBreakBefore w:val="0"/>
              <w:kinsoku/>
              <w:wordWrap/>
              <w:topLinePunct w:val="0"/>
              <w:bidi w:val="0"/>
              <w:spacing w:line="400" w:lineRule="exact"/>
              <w:jc w:val="left"/>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en-US" w:eastAsia="zh-CN"/>
              </w:rPr>
              <w:t>（1）若采用电汇或转账</w:t>
            </w:r>
            <w:r>
              <w:rPr>
                <w:rFonts w:hint="eastAsia" w:ascii="宋体" w:hAnsi="宋体" w:eastAsia="宋体" w:cs="宋体"/>
                <w:b/>
                <w:color w:val="auto"/>
                <w:sz w:val="24"/>
                <w:szCs w:val="24"/>
                <w:lang w:val="zh-CN"/>
              </w:rPr>
              <w:t>投标保证金于</w:t>
            </w:r>
            <w:r>
              <w:rPr>
                <w:rFonts w:hint="eastAsia" w:ascii="宋体" w:hAnsi="宋体" w:eastAsia="宋体" w:cs="宋体"/>
                <w:b/>
                <w:color w:val="auto"/>
                <w:sz w:val="24"/>
                <w:szCs w:val="24"/>
                <w:lang w:val="zh-CN" w:eastAsia="zh-CN"/>
              </w:rPr>
              <w:t>2023年</w:t>
            </w:r>
            <w:r>
              <w:rPr>
                <w:rFonts w:hint="eastAsia" w:ascii="宋体" w:hAnsi="宋体" w:cs="宋体"/>
                <w:b/>
                <w:color w:val="auto"/>
                <w:sz w:val="24"/>
                <w:szCs w:val="24"/>
                <w:highlight w:val="none"/>
                <w:lang w:val="en-US" w:eastAsia="zh-CN"/>
              </w:rPr>
              <w:t>12</w:t>
            </w:r>
            <w:r>
              <w:rPr>
                <w:rFonts w:hint="eastAsia" w:ascii="宋体" w:hAnsi="宋体" w:eastAsia="宋体" w:cs="宋体"/>
                <w:b/>
                <w:color w:val="auto"/>
                <w:sz w:val="24"/>
                <w:szCs w:val="24"/>
                <w:highlight w:val="none"/>
                <w:lang w:val="zh-CN" w:eastAsia="zh-CN"/>
              </w:rPr>
              <w:t>月</w:t>
            </w:r>
            <w:r>
              <w:rPr>
                <w:rFonts w:hint="eastAsia" w:ascii="宋体" w:hAnsi="宋体" w:cs="宋体"/>
                <w:b/>
                <w:color w:val="auto"/>
                <w:sz w:val="24"/>
                <w:szCs w:val="24"/>
                <w:highlight w:val="none"/>
                <w:lang w:val="en-US" w:eastAsia="zh-CN"/>
              </w:rPr>
              <w:t>06</w:t>
            </w:r>
            <w:r>
              <w:rPr>
                <w:rFonts w:hint="eastAsia" w:ascii="宋体" w:hAnsi="宋体" w:eastAsia="宋体" w:cs="宋体"/>
                <w:b/>
                <w:color w:val="auto"/>
                <w:sz w:val="24"/>
                <w:szCs w:val="24"/>
                <w:highlight w:val="none"/>
                <w:lang w:val="zh-CN" w:eastAsia="zh-CN"/>
              </w:rPr>
              <w:t>日1</w:t>
            </w:r>
            <w:r>
              <w:rPr>
                <w:rFonts w:hint="eastAsia" w:ascii="宋体" w:hAnsi="宋体" w:cs="宋体"/>
                <w:b/>
                <w:color w:val="auto"/>
                <w:sz w:val="24"/>
                <w:szCs w:val="24"/>
                <w:highlight w:val="none"/>
                <w:lang w:val="en-US" w:eastAsia="zh-CN"/>
              </w:rPr>
              <w:t>6</w:t>
            </w:r>
            <w:r>
              <w:rPr>
                <w:rFonts w:hint="eastAsia" w:ascii="宋体" w:hAnsi="宋体" w:eastAsia="宋体" w:cs="宋体"/>
                <w:b/>
                <w:color w:val="auto"/>
                <w:sz w:val="24"/>
                <w:szCs w:val="24"/>
                <w:highlight w:val="none"/>
                <w:lang w:val="zh-CN" w:eastAsia="zh-CN"/>
              </w:rPr>
              <w:t>:</w:t>
            </w:r>
            <w:r>
              <w:rPr>
                <w:rFonts w:hint="eastAsia" w:ascii="宋体" w:hAnsi="宋体" w:cs="宋体"/>
                <w:b/>
                <w:color w:val="auto"/>
                <w:sz w:val="24"/>
                <w:szCs w:val="24"/>
                <w:highlight w:val="none"/>
                <w:lang w:val="en-US" w:eastAsia="zh-CN"/>
              </w:rPr>
              <w:t>0</w:t>
            </w:r>
            <w:r>
              <w:rPr>
                <w:rFonts w:hint="eastAsia" w:ascii="宋体" w:hAnsi="宋体" w:eastAsia="宋体" w:cs="宋体"/>
                <w:b/>
                <w:color w:val="auto"/>
                <w:sz w:val="24"/>
                <w:szCs w:val="24"/>
                <w:highlight w:val="none"/>
                <w:lang w:val="zh-CN" w:eastAsia="zh-CN"/>
              </w:rPr>
              <w:t>0</w:t>
            </w:r>
            <w:r>
              <w:rPr>
                <w:rFonts w:hint="eastAsia" w:ascii="宋体" w:hAnsi="宋体" w:eastAsia="宋体" w:cs="宋体"/>
                <w:b/>
                <w:color w:val="auto"/>
                <w:sz w:val="24"/>
                <w:szCs w:val="24"/>
                <w:lang w:val="zh-CN"/>
              </w:rPr>
              <w:t>（北京时间，以到账时间为准）之前从投标人基本账户以网银或银行电汇形式汇至本公司账户，否则其投标文件将被拒绝评审，投标人提交投标保证金应充分考虑资金在途时间。</w:t>
            </w:r>
          </w:p>
          <w:p>
            <w:pPr>
              <w:keepNext w:val="0"/>
              <w:keepLines w:val="0"/>
              <w:pageBreakBefore w:val="0"/>
              <w:kinsoku/>
              <w:wordWrap/>
              <w:topLinePunct w:val="0"/>
              <w:bidi w:val="0"/>
              <w:spacing w:line="400" w:lineRule="exact"/>
              <w:jc w:val="left"/>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户名：新疆华域天恒工程管理有限公司</w:t>
            </w:r>
          </w:p>
          <w:p>
            <w:pPr>
              <w:keepNext w:val="0"/>
              <w:keepLines w:val="0"/>
              <w:pageBreakBefore w:val="0"/>
              <w:kinsoku/>
              <w:wordWrap/>
              <w:topLinePunct w:val="0"/>
              <w:bidi w:val="0"/>
              <w:spacing w:line="400" w:lineRule="exact"/>
              <w:jc w:val="left"/>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 xml:space="preserve">开户银行：中国农业银行股份有限公司吐鲁番高昌支行  </w:t>
            </w:r>
          </w:p>
          <w:p>
            <w:pPr>
              <w:keepNext w:val="0"/>
              <w:keepLines w:val="0"/>
              <w:pageBreakBefore w:val="0"/>
              <w:kinsoku/>
              <w:wordWrap/>
              <w:topLinePunct w:val="0"/>
              <w:bidi w:val="0"/>
              <w:spacing w:line="400" w:lineRule="exact"/>
              <w:jc w:val="left"/>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 xml:space="preserve">帐号：3026 5301 0400 1229 8     </w:t>
            </w:r>
          </w:p>
          <w:p>
            <w:pPr>
              <w:keepNext w:val="0"/>
              <w:keepLines w:val="0"/>
              <w:pageBreakBefore w:val="0"/>
              <w:kinsoku/>
              <w:wordWrap/>
              <w:topLinePunct w:val="0"/>
              <w:bidi w:val="0"/>
              <w:spacing w:line="400" w:lineRule="exact"/>
              <w:jc w:val="left"/>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行号：1038 8302 6535</w:t>
            </w:r>
          </w:p>
          <w:p>
            <w:pPr>
              <w:keepNext w:val="0"/>
              <w:keepLines w:val="0"/>
              <w:pageBreakBefore w:val="0"/>
              <w:numPr>
                <w:ilvl w:val="0"/>
                <w:numId w:val="1"/>
              </w:numPr>
              <w:kinsoku/>
              <w:wordWrap/>
              <w:topLinePunct w:val="0"/>
              <w:bidi w:val="0"/>
              <w:spacing w:line="400" w:lineRule="exact"/>
              <w:jc w:val="left"/>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若采用保函形式：采用保函形式应按以下要求办理：</w:t>
            </w:r>
            <w:r>
              <w:rPr>
                <w:rFonts w:hint="eastAsia" w:ascii="宋体" w:hAnsi="宋体" w:eastAsia="宋体" w:cs="宋体"/>
                <w:b/>
                <w:color w:val="auto"/>
                <w:sz w:val="24"/>
                <w:szCs w:val="24"/>
                <w:lang w:val="zh-CN"/>
              </w:rPr>
              <w:t>备注：1、</w:t>
            </w:r>
            <w:r>
              <w:rPr>
                <w:rFonts w:hint="eastAsia" w:ascii="宋体" w:hAnsi="宋体" w:eastAsia="宋体" w:cs="宋体"/>
                <w:b/>
                <w:color w:val="auto"/>
                <w:sz w:val="24"/>
                <w:szCs w:val="24"/>
                <w:lang w:val="en-US" w:eastAsia="zh-CN"/>
              </w:rPr>
              <w:t>保函须在招标文件规定的投标截止时间前办理完成</w:t>
            </w:r>
            <w:r>
              <w:rPr>
                <w:rFonts w:hint="eastAsia" w:ascii="宋体" w:hAnsi="宋体" w:cs="宋体"/>
                <w:b/>
                <w:color w:val="auto"/>
                <w:sz w:val="24"/>
                <w:szCs w:val="24"/>
                <w:lang w:val="en-US" w:eastAsia="zh-CN"/>
              </w:rPr>
              <w:t>；</w:t>
            </w:r>
            <w:r>
              <w:rPr>
                <w:rFonts w:hint="eastAsia" w:ascii="宋体" w:hAnsi="宋体" w:eastAsia="宋体" w:cs="宋体"/>
                <w:b/>
                <w:color w:val="auto"/>
                <w:sz w:val="24"/>
                <w:szCs w:val="24"/>
                <w:lang w:val="en-US" w:eastAsia="zh-CN"/>
              </w:rPr>
              <w:t>2.</w:t>
            </w:r>
            <w:r>
              <w:rPr>
                <w:rFonts w:hint="eastAsia" w:ascii="宋体" w:hAnsi="宋体" w:eastAsia="宋体" w:cs="宋体"/>
                <w:b/>
                <w:color w:val="auto"/>
                <w:sz w:val="24"/>
                <w:szCs w:val="24"/>
                <w:lang w:val="zh-CN"/>
              </w:rPr>
              <w:t>保函金额不得少于保证金金额；</w:t>
            </w:r>
            <w:r>
              <w:rPr>
                <w:rFonts w:hint="eastAsia" w:ascii="宋体" w:hAnsi="宋体" w:eastAsia="宋体" w:cs="宋体"/>
                <w:b/>
                <w:color w:val="auto"/>
                <w:sz w:val="24"/>
                <w:szCs w:val="24"/>
                <w:lang w:val="en-US" w:eastAsia="zh-CN"/>
              </w:rPr>
              <w:t>3</w:t>
            </w:r>
            <w:r>
              <w:rPr>
                <w:rFonts w:hint="eastAsia" w:ascii="宋体" w:hAnsi="宋体" w:eastAsia="宋体" w:cs="宋体"/>
                <w:b/>
                <w:color w:val="auto"/>
                <w:sz w:val="24"/>
                <w:szCs w:val="24"/>
                <w:lang w:val="zh-CN"/>
              </w:rPr>
              <w:t>、保函的有效期不得少于本项目投标有效期；</w:t>
            </w:r>
            <w:r>
              <w:rPr>
                <w:rFonts w:hint="eastAsia" w:ascii="宋体" w:hAnsi="宋体" w:eastAsia="宋体" w:cs="宋体"/>
                <w:b/>
                <w:color w:val="auto"/>
                <w:sz w:val="24"/>
                <w:szCs w:val="24"/>
                <w:lang w:val="en-US" w:eastAsia="zh-CN"/>
              </w:rPr>
              <w:t>4</w:t>
            </w:r>
            <w:r>
              <w:rPr>
                <w:rFonts w:hint="eastAsia" w:ascii="宋体" w:hAnsi="宋体" w:eastAsia="宋体" w:cs="宋体"/>
                <w:b/>
                <w:color w:val="auto"/>
                <w:sz w:val="24"/>
                <w:szCs w:val="24"/>
                <w:lang w:val="zh-CN"/>
              </w:rPr>
              <w:t>、保函应是针对本项目开具的；</w:t>
            </w:r>
            <w:r>
              <w:rPr>
                <w:rFonts w:hint="eastAsia" w:ascii="宋体" w:hAnsi="宋体" w:eastAsia="宋体" w:cs="宋体"/>
                <w:b/>
                <w:color w:val="auto"/>
                <w:sz w:val="24"/>
                <w:szCs w:val="24"/>
                <w:lang w:val="en-US" w:eastAsia="zh-CN"/>
              </w:rPr>
              <w:t>5、</w:t>
            </w:r>
            <w:r>
              <w:rPr>
                <w:rFonts w:hint="eastAsia" w:ascii="宋体" w:hAnsi="宋体" w:eastAsia="宋体" w:cs="宋体"/>
                <w:b/>
                <w:color w:val="auto"/>
                <w:sz w:val="24"/>
                <w:szCs w:val="24"/>
                <w:lang w:val="zh-CN"/>
              </w:rPr>
              <w:t>保函</w:t>
            </w:r>
            <w:r>
              <w:rPr>
                <w:rFonts w:hint="eastAsia" w:ascii="宋体" w:hAnsi="宋体" w:eastAsia="宋体" w:cs="宋体"/>
                <w:b/>
                <w:color w:val="auto"/>
                <w:sz w:val="24"/>
                <w:szCs w:val="24"/>
                <w:lang w:val="zh-CN" w:eastAsia="zh-CN"/>
              </w:rPr>
              <w:t>是</w:t>
            </w:r>
            <w:r>
              <w:rPr>
                <w:rFonts w:hint="eastAsia" w:ascii="宋体" w:hAnsi="宋体" w:eastAsia="宋体" w:cs="宋体"/>
                <w:b/>
                <w:color w:val="auto"/>
                <w:sz w:val="24"/>
                <w:szCs w:val="24"/>
                <w:lang w:val="zh-CN"/>
              </w:rPr>
              <w:t>投标</w:t>
            </w:r>
            <w:r>
              <w:rPr>
                <w:rFonts w:hint="eastAsia" w:ascii="宋体" w:hAnsi="宋体" w:eastAsia="宋体" w:cs="宋体"/>
                <w:b/>
                <w:color w:val="auto"/>
                <w:sz w:val="24"/>
                <w:szCs w:val="24"/>
                <w:lang w:val="zh-CN" w:eastAsia="zh-CN"/>
              </w:rPr>
              <w:t>文件中组成部分；</w:t>
            </w:r>
            <w:r>
              <w:rPr>
                <w:rFonts w:hint="eastAsia" w:ascii="宋体" w:hAnsi="宋体" w:eastAsia="宋体" w:cs="宋体"/>
                <w:b/>
                <w:color w:val="auto"/>
                <w:sz w:val="24"/>
                <w:szCs w:val="24"/>
                <w:lang w:val="en-US" w:eastAsia="zh-CN"/>
              </w:rPr>
              <w:t>6.保函按照“一项目一保函”的原则</w:t>
            </w:r>
            <w:r>
              <w:rPr>
                <w:rFonts w:hint="eastAsia" w:ascii="宋体" w:hAnsi="宋体" w:cs="宋体"/>
                <w:b/>
                <w:color w:val="auto"/>
                <w:sz w:val="24"/>
                <w:szCs w:val="24"/>
                <w:lang w:val="en-US" w:eastAsia="zh-CN"/>
              </w:rPr>
              <w:t>；</w:t>
            </w:r>
            <w:r>
              <w:rPr>
                <w:rFonts w:hint="eastAsia" w:ascii="宋体" w:hAnsi="宋体" w:eastAsia="宋体" w:cs="宋体"/>
                <w:b/>
                <w:color w:val="auto"/>
                <w:sz w:val="24"/>
                <w:szCs w:val="24"/>
                <w:lang w:val="en-US" w:eastAsia="zh-CN"/>
              </w:rPr>
              <w:t>7.投标单位提供的保函必须真实有效，否则后果自负。</w:t>
            </w:r>
          </w:p>
          <w:p>
            <w:pPr>
              <w:keepNext w:val="0"/>
              <w:keepLines w:val="0"/>
              <w:pageBreakBefore w:val="0"/>
              <w:numPr>
                <w:ilvl w:val="0"/>
                <w:numId w:val="0"/>
              </w:numPr>
              <w:kinsoku/>
              <w:wordWrap/>
              <w:topLinePunct w:val="0"/>
              <w:bidi w:val="0"/>
              <w:spacing w:line="400" w:lineRule="exact"/>
              <w:jc w:val="left"/>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注：投标人向银行办理投标保证金汇（转）款时，应在用途栏（备注栏）准确注明“（简写项目名称）投标保证金”字样，由于未按要求注明信息而导致的一切后果由投标人承担。</w:t>
            </w:r>
          </w:p>
          <w:p>
            <w:pPr>
              <w:keepNext w:val="0"/>
              <w:keepLines w:val="0"/>
              <w:pageBreakBefore w:val="0"/>
              <w:kinsoku/>
              <w:wordWrap/>
              <w:topLinePunct w:val="0"/>
              <w:bidi w:val="0"/>
              <w:spacing w:line="400" w:lineRule="exact"/>
              <w:jc w:val="left"/>
              <w:rPr>
                <w:rFonts w:hint="eastAsia" w:ascii="宋体" w:hAnsi="宋体" w:eastAsia="宋体" w:cs="宋体"/>
                <w:b/>
                <w:color w:val="auto"/>
                <w:sz w:val="24"/>
                <w:szCs w:val="24"/>
                <w:lang w:val="zh-CN" w:eastAsia="zh-CN"/>
              </w:rPr>
            </w:pPr>
            <w:r>
              <w:rPr>
                <w:rFonts w:hint="eastAsia" w:ascii="宋体" w:hAnsi="宋体" w:eastAsia="宋体" w:cs="宋体"/>
                <w:b/>
                <w:color w:val="auto"/>
                <w:sz w:val="24"/>
                <w:szCs w:val="24"/>
                <w:lang w:val="zh-CN" w:eastAsia="zh-CN"/>
              </w:rPr>
              <w:t>换取收据时，将保证金截图发送至1252412748@qq.com并与财务联系人 ：李雅楠 联系 电话：13999699360。未按时提交投标保证金的投标文件无效。</w:t>
            </w:r>
          </w:p>
          <w:p>
            <w:pPr>
              <w:keepNext w:val="0"/>
              <w:keepLines w:val="0"/>
              <w:pageBreakBefore w:val="0"/>
              <w:kinsoku/>
              <w:wordWrap/>
              <w:topLinePunct w:val="0"/>
              <w:bidi w:val="0"/>
              <w:spacing w:line="400" w:lineRule="exact"/>
              <w:jc w:val="left"/>
              <w:rPr>
                <w:rFonts w:hint="eastAsia" w:ascii="宋体" w:hAnsi="宋体" w:eastAsia="宋体" w:cs="宋体"/>
                <w:b/>
                <w:color w:val="auto"/>
                <w:sz w:val="24"/>
                <w:szCs w:val="24"/>
                <w:lang w:val="zh-CN" w:eastAsia="zh-CN"/>
              </w:rPr>
            </w:pPr>
            <w:r>
              <w:rPr>
                <w:rFonts w:hint="eastAsia" w:ascii="宋体" w:hAnsi="宋体" w:eastAsia="宋体" w:cs="宋体"/>
                <w:b/>
                <w:color w:val="auto"/>
                <w:sz w:val="24"/>
                <w:szCs w:val="24"/>
                <w:lang w:val="zh-CN" w:eastAsia="zh-CN"/>
              </w:rPr>
              <w:t>* 退投标保证金程序：</w:t>
            </w:r>
          </w:p>
          <w:p>
            <w:pPr>
              <w:keepNext w:val="0"/>
              <w:keepLines w:val="0"/>
              <w:pageBreakBefore w:val="0"/>
              <w:kinsoku/>
              <w:wordWrap/>
              <w:topLinePunct w:val="0"/>
              <w:bidi w:val="0"/>
              <w:spacing w:line="400" w:lineRule="exact"/>
              <w:jc w:val="left"/>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eastAsia="zh-CN"/>
              </w:rPr>
              <w:t xml:space="preserve">  退还投标保证金时间：中标公示期满后5个工作日内，未中标单位保证金可退还，在合同签订后中标候选人的保证金可退还。</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547" w:type="dxa"/>
            <w:tcBorders>
              <w:top w:val="single" w:color="auto" w:sz="8" w:space="0"/>
              <w:left w:val="single" w:color="auto" w:sz="18" w:space="0"/>
              <w:bottom w:val="single" w:color="auto" w:sz="8" w:space="0"/>
              <w:right w:val="single" w:color="auto" w:sz="8" w:space="0"/>
            </w:tcBorders>
            <w:noWrap w:val="0"/>
            <w:vAlign w:val="center"/>
          </w:tcPr>
          <w:p>
            <w:pPr>
              <w:pStyle w:val="41"/>
              <w:keepNext w:val="0"/>
              <w:keepLines w:val="0"/>
              <w:pageBreakBefore w:val="0"/>
              <w:kinsoku/>
              <w:wordWrap/>
              <w:topLinePunct w:val="0"/>
              <w:bidi w:val="0"/>
              <w:spacing w:line="400" w:lineRule="exact"/>
              <w:ind w:right="230" w:rightChars="0"/>
              <w:jc w:val="center"/>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rPr>
              <w:t>15</w:t>
            </w:r>
          </w:p>
        </w:tc>
        <w:tc>
          <w:tcPr>
            <w:tcW w:w="161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bidi w:val="0"/>
              <w:spacing w:beforeAutospacing="0" w:after="0" w:afterAutospacing="0" w:line="400" w:lineRule="exact"/>
              <w:ind w:left="0" w:leftChars="0" w:right="0" w:rightChars="0"/>
              <w:jc w:val="center"/>
              <w:textAlignment w:val="auto"/>
              <w:rPr>
                <w:rFonts w:hint="eastAsia" w:ascii="宋体" w:hAnsi="宋体" w:eastAsia="宋体" w:cs="宋体"/>
                <w:sz w:val="24"/>
                <w:szCs w:val="24"/>
                <w:lang w:eastAsia="zh-CN"/>
              </w:rPr>
            </w:pPr>
            <w:r>
              <w:rPr>
                <w:rFonts w:hint="eastAsia" w:ascii="宋体" w:hAnsi="宋体" w:eastAsia="宋体" w:cs="宋体"/>
                <w:color w:val="auto"/>
                <w:sz w:val="24"/>
                <w:szCs w:val="24"/>
                <w:highlight w:val="none"/>
              </w:rPr>
              <w:t>其他可以不予退还投标保证金的情形</w:t>
            </w:r>
          </w:p>
        </w:tc>
        <w:tc>
          <w:tcPr>
            <w:tcW w:w="8032"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kinsoku/>
              <w:wordWrap/>
              <w:overflowPunct/>
              <w:topLinePunct w:val="0"/>
              <w:autoSpaceDE/>
              <w:autoSpaceDN/>
              <w:bidi w:val="0"/>
              <w:spacing w:beforeAutospacing="0" w:after="0" w:afterAutospacing="0" w:line="400" w:lineRule="exact"/>
              <w:ind w:left="0" w:leftChars="0" w:right="0" w:rightChars="0"/>
              <w:jc w:val="both"/>
              <w:textAlignment w:val="auto"/>
              <w:rPr>
                <w:rFonts w:hint="eastAsia" w:ascii="宋体" w:hAnsi="宋体" w:eastAsia="宋体" w:cs="宋体"/>
                <w:sz w:val="24"/>
                <w:szCs w:val="24"/>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在其</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中提供虚假资料；</w:t>
            </w:r>
            <w:r>
              <w:rPr>
                <w:rFonts w:hint="eastAsia" w:ascii="宋体" w:hAnsi="宋体" w:eastAsia="宋体" w:cs="宋体"/>
                <w:color w:val="auto"/>
                <w:sz w:val="24"/>
                <w:szCs w:val="24"/>
                <w:highlight w:val="none"/>
                <w:lang w:val="en-US" w:eastAsia="zh-CN"/>
              </w:rPr>
              <w:t>中标供应商</w:t>
            </w:r>
            <w:r>
              <w:rPr>
                <w:rFonts w:hint="eastAsia" w:ascii="宋体" w:hAnsi="宋体" w:eastAsia="宋体" w:cs="宋体"/>
                <w:color w:val="auto"/>
                <w:sz w:val="24"/>
                <w:szCs w:val="24"/>
                <w:highlight w:val="none"/>
              </w:rPr>
              <w:t>未按国家规定的招标代理服务取费标准缴纳招标代理服务费用的。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547" w:type="dxa"/>
            <w:tcBorders>
              <w:top w:val="single" w:color="auto" w:sz="8" w:space="0"/>
              <w:left w:val="single" w:color="auto" w:sz="18" w:space="0"/>
              <w:bottom w:val="single" w:color="auto" w:sz="8" w:space="0"/>
              <w:right w:val="single" w:color="auto" w:sz="8" w:space="0"/>
            </w:tcBorders>
            <w:noWrap w:val="0"/>
            <w:vAlign w:val="center"/>
          </w:tcPr>
          <w:p>
            <w:pPr>
              <w:pStyle w:val="41"/>
              <w:keepNext w:val="0"/>
              <w:keepLines w:val="0"/>
              <w:pageBreakBefore w:val="0"/>
              <w:kinsoku/>
              <w:wordWrap/>
              <w:topLinePunct w:val="0"/>
              <w:bidi w:val="0"/>
              <w:spacing w:line="400" w:lineRule="exact"/>
              <w:ind w:right="230" w:rightChars="0"/>
              <w:jc w:val="center"/>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rPr>
              <w:t>16</w:t>
            </w:r>
          </w:p>
        </w:tc>
        <w:tc>
          <w:tcPr>
            <w:tcW w:w="161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ascii="宋体" w:hAnsi="宋体" w:eastAsia="宋体" w:cs="宋体"/>
                <w:color w:val="auto"/>
                <w:sz w:val="24"/>
                <w:szCs w:val="24"/>
                <w:highlight w:val="yellow"/>
                <w:lang w:val="zh-CN"/>
              </w:rPr>
            </w:pPr>
            <w:r>
              <w:rPr>
                <w:rFonts w:hint="eastAsia" w:ascii="宋体" w:hAnsi="宋体" w:eastAsia="宋体" w:cs="宋体"/>
                <w:sz w:val="24"/>
                <w:szCs w:val="24"/>
                <w:lang w:eastAsia="zh-CN"/>
              </w:rPr>
              <w:t>投标文件</w:t>
            </w:r>
            <w:r>
              <w:rPr>
                <w:rFonts w:hint="eastAsia" w:ascii="宋体" w:hAnsi="宋体" w:eastAsia="宋体" w:cs="宋体"/>
                <w:sz w:val="24"/>
                <w:szCs w:val="24"/>
              </w:rPr>
              <w:t>递交截止时间</w:t>
            </w:r>
          </w:p>
        </w:tc>
        <w:tc>
          <w:tcPr>
            <w:tcW w:w="8032"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kinsoku/>
              <w:wordWrap/>
              <w:topLinePunct w:val="0"/>
              <w:bidi w:val="0"/>
              <w:spacing w:line="400" w:lineRule="exact"/>
              <w:rPr>
                <w:rFonts w:hint="eastAsia" w:ascii="宋体" w:hAnsi="宋体" w:eastAsia="宋体" w:cs="宋体"/>
                <w:color w:val="auto"/>
                <w:sz w:val="24"/>
                <w:szCs w:val="24"/>
                <w:lang w:val="zh-CN"/>
              </w:rPr>
            </w:pPr>
            <w:r>
              <w:rPr>
                <w:rFonts w:hint="eastAsia" w:ascii="宋体" w:hAnsi="宋体" w:eastAsia="宋体" w:cs="宋体"/>
                <w:sz w:val="24"/>
                <w:szCs w:val="24"/>
              </w:rPr>
              <w:t>202</w:t>
            </w:r>
            <w:r>
              <w:rPr>
                <w:rFonts w:hint="eastAsia" w:ascii="宋体" w:hAnsi="宋体" w:eastAsia="宋体" w:cs="宋体"/>
                <w:sz w:val="24"/>
                <w:szCs w:val="24"/>
                <w:lang w:val="en-US" w:eastAsia="zh-CN"/>
              </w:rPr>
              <w:t>3</w:t>
            </w:r>
            <w:r>
              <w:rPr>
                <w:rFonts w:hint="eastAsia" w:ascii="宋体" w:hAnsi="宋体" w:eastAsia="宋体" w:cs="宋体"/>
                <w:sz w:val="24"/>
                <w:szCs w:val="24"/>
              </w:rPr>
              <w:t>年</w:t>
            </w:r>
            <w:r>
              <w:rPr>
                <w:rFonts w:hint="eastAsia" w:ascii="宋体" w:hAnsi="宋体" w:eastAsia="宋体" w:cs="宋体"/>
                <w:sz w:val="24"/>
                <w:szCs w:val="24"/>
                <w:highlight w:val="none"/>
                <w:lang w:val="en-US" w:eastAsia="zh-CN"/>
              </w:rPr>
              <w:t>1</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月</w:t>
            </w:r>
            <w:r>
              <w:rPr>
                <w:rFonts w:hint="eastAsia" w:ascii="宋体" w:hAnsi="宋体" w:cs="宋体"/>
                <w:sz w:val="24"/>
                <w:szCs w:val="24"/>
                <w:highlight w:val="none"/>
                <w:lang w:val="en-US" w:eastAsia="zh-CN"/>
              </w:rPr>
              <w:t>06</w:t>
            </w:r>
            <w:r>
              <w:rPr>
                <w:rFonts w:hint="eastAsia" w:ascii="宋体" w:hAnsi="宋体" w:eastAsia="宋体" w:cs="宋体"/>
                <w:sz w:val="24"/>
                <w:szCs w:val="24"/>
                <w:highlight w:val="none"/>
              </w:rPr>
              <w:t xml:space="preserve">日 </w:t>
            </w:r>
            <w:r>
              <w:rPr>
                <w:rFonts w:hint="eastAsia" w:ascii="宋体" w:hAnsi="宋体" w:eastAsia="宋体" w:cs="宋体"/>
                <w:sz w:val="24"/>
                <w:szCs w:val="24"/>
                <w:highlight w:val="none"/>
                <w:lang w:val="en-US" w:eastAsia="zh-CN"/>
              </w:rPr>
              <w:t>1</w:t>
            </w: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lang w:val="en-US" w:eastAsia="zh-CN"/>
              </w:rPr>
              <w:t>：</w:t>
            </w:r>
            <w:r>
              <w:rPr>
                <w:rFonts w:hint="eastAsia" w:ascii="宋体" w:hAnsi="宋体" w:cs="宋体"/>
                <w:sz w:val="24"/>
                <w:szCs w:val="24"/>
                <w:highlight w:val="none"/>
                <w:lang w:val="en-US" w:eastAsia="zh-CN"/>
              </w:rPr>
              <w:t>0</w:t>
            </w:r>
            <w:r>
              <w:rPr>
                <w:rFonts w:hint="eastAsia" w:ascii="宋体" w:hAnsi="宋体" w:eastAsia="宋体" w:cs="宋体"/>
                <w:sz w:val="24"/>
                <w:szCs w:val="24"/>
                <w:highlight w:val="none"/>
              </w:rPr>
              <w:t>0</w:t>
            </w:r>
            <w:r>
              <w:rPr>
                <w:rFonts w:hint="eastAsia" w:ascii="宋体" w:hAnsi="宋体" w:eastAsia="宋体" w:cs="宋体"/>
                <w:sz w:val="24"/>
                <w:szCs w:val="24"/>
                <w:highlight w:val="none"/>
                <w:lang w:val="en-US" w:eastAsia="zh-CN"/>
              </w:rPr>
              <w:t>时</w:t>
            </w:r>
            <w:r>
              <w:rPr>
                <w:rFonts w:hint="eastAsia" w:ascii="宋体" w:hAnsi="宋体" w:eastAsia="宋体" w:cs="宋体"/>
                <w:sz w:val="24"/>
                <w:szCs w:val="24"/>
                <w:highlight w:val="none"/>
              </w:rPr>
              <w:t>（</w:t>
            </w:r>
            <w:r>
              <w:rPr>
                <w:rFonts w:hint="eastAsia" w:ascii="宋体" w:hAnsi="宋体" w:eastAsia="宋体" w:cs="宋体"/>
                <w:sz w:val="24"/>
                <w:szCs w:val="24"/>
              </w:rPr>
              <w:t>北京时间）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51" w:hRule="atLeast"/>
          <w:jc w:val="center"/>
        </w:trPr>
        <w:tc>
          <w:tcPr>
            <w:tcW w:w="547" w:type="dxa"/>
            <w:tcBorders>
              <w:top w:val="single" w:color="auto" w:sz="8" w:space="0"/>
              <w:left w:val="single" w:color="auto" w:sz="18" w:space="0"/>
              <w:bottom w:val="single" w:color="auto" w:sz="8" w:space="0"/>
              <w:right w:val="single" w:color="auto" w:sz="8" w:space="0"/>
            </w:tcBorders>
            <w:noWrap w:val="0"/>
            <w:vAlign w:val="center"/>
          </w:tcPr>
          <w:p>
            <w:pPr>
              <w:pStyle w:val="41"/>
              <w:keepNext w:val="0"/>
              <w:keepLines w:val="0"/>
              <w:pageBreakBefore w:val="0"/>
              <w:kinsoku/>
              <w:wordWrap/>
              <w:topLinePunct w:val="0"/>
              <w:bidi w:val="0"/>
              <w:spacing w:line="400" w:lineRule="exact"/>
              <w:ind w:right="230" w:rightChars="0"/>
              <w:jc w:val="center"/>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rPr>
              <w:t>17</w:t>
            </w:r>
          </w:p>
        </w:tc>
        <w:tc>
          <w:tcPr>
            <w:tcW w:w="161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val="0"/>
              <w:topLinePunct w:val="0"/>
              <w:bidi w:val="0"/>
              <w:spacing w:line="400" w:lineRule="exact"/>
              <w:jc w:val="center"/>
              <w:rPr>
                <w:rFonts w:hint="eastAsia" w:ascii="宋体" w:hAnsi="宋体" w:eastAsia="宋体" w:cs="宋体"/>
                <w:color w:val="auto"/>
                <w:sz w:val="24"/>
                <w:szCs w:val="24"/>
                <w:highlight w:val="yellow"/>
                <w:lang w:val="zh-CN"/>
              </w:rPr>
            </w:pPr>
            <w:r>
              <w:rPr>
                <w:rFonts w:hint="eastAsia" w:ascii="宋体" w:hAnsi="宋体" w:eastAsia="宋体" w:cs="宋体"/>
                <w:sz w:val="24"/>
                <w:szCs w:val="24"/>
                <w:lang w:eastAsia="zh-CN"/>
              </w:rPr>
              <w:t>投标文件</w:t>
            </w:r>
            <w:r>
              <w:rPr>
                <w:rFonts w:hint="eastAsia" w:ascii="宋体" w:hAnsi="宋体" w:eastAsia="宋体" w:cs="宋体"/>
                <w:sz w:val="24"/>
                <w:szCs w:val="24"/>
              </w:rPr>
              <w:t>递交地点及地点</w:t>
            </w:r>
          </w:p>
        </w:tc>
        <w:tc>
          <w:tcPr>
            <w:tcW w:w="8032"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kinsoku/>
              <w:wordWrap/>
              <w:overflowPunct w:val="0"/>
              <w:topLinePunct w:val="0"/>
              <w:bidi w:val="0"/>
              <w:spacing w:line="400" w:lineRule="exact"/>
              <w:rPr>
                <w:rFonts w:hint="eastAsia" w:ascii="宋体" w:hAnsi="宋体" w:eastAsia="宋体" w:cs="宋体"/>
                <w:color w:val="auto"/>
                <w:sz w:val="24"/>
                <w:szCs w:val="24"/>
                <w:lang w:val="zh-CN"/>
              </w:rPr>
            </w:pPr>
            <w:r>
              <w:rPr>
                <w:rFonts w:hint="eastAsia" w:ascii="宋体" w:hAnsi="宋体" w:eastAsia="宋体" w:cs="宋体"/>
                <w:color w:val="auto"/>
                <w:sz w:val="24"/>
                <w:szCs w:val="24"/>
                <w:highlight w:val="none"/>
                <w:lang w:val="en-US" w:eastAsia="zh-CN"/>
              </w:rPr>
              <w:t>政采云平台（http://www.ccgp-xinjiang.gov.cn//）</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76" w:hRule="atLeast"/>
          <w:jc w:val="center"/>
        </w:trPr>
        <w:tc>
          <w:tcPr>
            <w:tcW w:w="547" w:type="dxa"/>
            <w:tcBorders>
              <w:top w:val="single" w:color="auto" w:sz="8" w:space="0"/>
              <w:left w:val="single" w:color="auto" w:sz="18" w:space="0"/>
              <w:bottom w:val="single" w:color="auto" w:sz="8" w:space="0"/>
              <w:right w:val="single" w:color="auto" w:sz="8" w:space="0"/>
            </w:tcBorders>
            <w:noWrap w:val="0"/>
            <w:vAlign w:val="center"/>
          </w:tcPr>
          <w:p>
            <w:pPr>
              <w:pStyle w:val="41"/>
              <w:keepNext w:val="0"/>
              <w:keepLines w:val="0"/>
              <w:pageBreakBefore w:val="0"/>
              <w:kinsoku/>
              <w:wordWrap/>
              <w:topLinePunct w:val="0"/>
              <w:bidi w:val="0"/>
              <w:spacing w:line="400" w:lineRule="exact"/>
              <w:ind w:right="230" w:rightChars="0"/>
              <w:jc w:val="center"/>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rPr>
              <w:t>18</w:t>
            </w:r>
          </w:p>
        </w:tc>
        <w:tc>
          <w:tcPr>
            <w:tcW w:w="1619" w:type="dxa"/>
            <w:tcBorders>
              <w:top w:val="single" w:color="auto" w:sz="8" w:space="0"/>
              <w:left w:val="single" w:color="auto" w:sz="8" w:space="0"/>
              <w:bottom w:val="single" w:color="auto" w:sz="8" w:space="0"/>
              <w:right w:val="single" w:color="auto" w:sz="8" w:space="0"/>
            </w:tcBorders>
            <w:noWrap w:val="0"/>
            <w:vAlign w:val="center"/>
          </w:tcPr>
          <w:p>
            <w:pPr>
              <w:pStyle w:val="41"/>
              <w:keepNext w:val="0"/>
              <w:keepLines w:val="0"/>
              <w:pageBreakBefore w:val="0"/>
              <w:kinsoku/>
              <w:wordWrap/>
              <w:topLinePunct w:val="0"/>
              <w:bidi w:val="0"/>
              <w:spacing w:line="400" w:lineRule="exact"/>
              <w:ind w:left="96"/>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highlight w:val="none"/>
                <w:lang w:val="zh-CN"/>
              </w:rPr>
              <w:t>履约保证金</w:t>
            </w:r>
          </w:p>
        </w:tc>
        <w:tc>
          <w:tcPr>
            <w:tcW w:w="8032"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shd w:val="solid" w:color="FFFFFF" w:fill="auto"/>
              <w:kinsoku/>
              <w:wordWrap/>
              <w:topLinePunct w:val="0"/>
              <w:autoSpaceDN w:val="0"/>
              <w:bidi w:val="0"/>
              <w:spacing w:line="400" w:lineRule="exact"/>
              <w:jc w:val="left"/>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合同价</w:t>
            </w:r>
            <w:r>
              <w:rPr>
                <w:rFonts w:hint="eastAsia" w:ascii="宋体" w:hAnsi="宋体" w:cs="宋体"/>
                <w:color w:val="auto"/>
                <w:sz w:val="24"/>
                <w:szCs w:val="24"/>
                <w:lang w:val="en-US" w:eastAsia="zh-CN"/>
              </w:rPr>
              <w:t>款的</w:t>
            </w:r>
            <w:r>
              <w:rPr>
                <w:rFonts w:hint="eastAsia" w:ascii="宋体" w:hAnsi="宋体" w:eastAsia="宋体" w:cs="宋体"/>
                <w:color w:val="auto"/>
                <w:sz w:val="24"/>
                <w:szCs w:val="24"/>
                <w:lang w:val="zh-CN"/>
              </w:rPr>
              <w:t>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76" w:hRule="atLeast"/>
          <w:jc w:val="center"/>
        </w:trPr>
        <w:tc>
          <w:tcPr>
            <w:tcW w:w="547" w:type="dxa"/>
            <w:tcBorders>
              <w:top w:val="single" w:color="auto" w:sz="8" w:space="0"/>
              <w:left w:val="single" w:color="auto" w:sz="18" w:space="0"/>
              <w:bottom w:val="single" w:color="auto" w:sz="8" w:space="0"/>
              <w:right w:val="single" w:color="auto" w:sz="8" w:space="0"/>
            </w:tcBorders>
            <w:noWrap w:val="0"/>
            <w:vAlign w:val="center"/>
          </w:tcPr>
          <w:p>
            <w:pPr>
              <w:pStyle w:val="41"/>
              <w:keepNext w:val="0"/>
              <w:keepLines w:val="0"/>
              <w:pageBreakBefore w:val="0"/>
              <w:kinsoku/>
              <w:wordWrap/>
              <w:topLinePunct w:val="0"/>
              <w:bidi w:val="0"/>
              <w:spacing w:line="400" w:lineRule="exact"/>
              <w:ind w:right="264" w:rightChars="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rPr>
              <w:t>19</w:t>
            </w:r>
          </w:p>
        </w:tc>
        <w:tc>
          <w:tcPr>
            <w:tcW w:w="161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400" w:lineRule="exact"/>
              <w:ind w:left="0" w:leftChars="0" w:right="0" w:rightChars="0"/>
              <w:jc w:val="center"/>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实质性要求和条件</w:t>
            </w:r>
          </w:p>
        </w:tc>
        <w:tc>
          <w:tcPr>
            <w:tcW w:w="8032"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400" w:lineRule="exact"/>
              <w:ind w:left="0" w:leftChars="0" w:right="0" w:rightChars="0"/>
              <w:jc w:val="both"/>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highlight w:val="none"/>
                <w:lang w:val="en-US" w:eastAsia="zh-CN"/>
              </w:rPr>
              <w:t>供应商不得偏差离招标文件的实质性要求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76" w:hRule="atLeast"/>
          <w:jc w:val="center"/>
        </w:trPr>
        <w:tc>
          <w:tcPr>
            <w:tcW w:w="547" w:type="dxa"/>
            <w:tcBorders>
              <w:top w:val="single" w:color="auto" w:sz="8" w:space="0"/>
              <w:left w:val="single" w:color="auto" w:sz="18" w:space="0"/>
              <w:bottom w:val="single" w:color="auto" w:sz="8" w:space="0"/>
              <w:right w:val="single" w:color="auto" w:sz="8" w:space="0"/>
            </w:tcBorders>
            <w:noWrap w:val="0"/>
            <w:vAlign w:val="center"/>
          </w:tcPr>
          <w:p>
            <w:pPr>
              <w:pStyle w:val="41"/>
              <w:keepNext w:val="0"/>
              <w:keepLines w:val="0"/>
              <w:pageBreakBefore w:val="0"/>
              <w:kinsoku/>
              <w:wordWrap/>
              <w:topLinePunct w:val="0"/>
              <w:bidi w:val="0"/>
              <w:spacing w:line="400" w:lineRule="exact"/>
              <w:ind w:right="264" w:rightChars="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rPr>
              <w:t>20</w:t>
            </w:r>
          </w:p>
        </w:tc>
        <w:tc>
          <w:tcPr>
            <w:tcW w:w="1619" w:type="dxa"/>
            <w:tcBorders>
              <w:top w:val="single" w:color="auto" w:sz="8" w:space="0"/>
              <w:left w:val="single" w:color="auto" w:sz="8" w:space="0"/>
              <w:bottom w:val="single" w:color="auto" w:sz="8" w:space="0"/>
              <w:right w:val="single" w:color="auto" w:sz="8" w:space="0"/>
            </w:tcBorders>
            <w:noWrap w:val="0"/>
            <w:vAlign w:val="center"/>
          </w:tcPr>
          <w:p>
            <w:pPr>
              <w:pStyle w:val="41"/>
              <w:keepNext w:val="0"/>
              <w:keepLines w:val="0"/>
              <w:pageBreakBefore w:val="0"/>
              <w:kinsoku/>
              <w:wordWrap/>
              <w:topLinePunct w:val="0"/>
              <w:bidi w:val="0"/>
              <w:spacing w:line="400" w:lineRule="exact"/>
              <w:ind w:left="96"/>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要求澄清</w:t>
            </w:r>
            <w:r>
              <w:rPr>
                <w:rFonts w:hint="eastAsia" w:ascii="宋体" w:hAnsi="宋体" w:eastAsia="宋体" w:cs="宋体"/>
                <w:color w:val="auto"/>
                <w:sz w:val="24"/>
                <w:szCs w:val="24"/>
                <w:highlight w:val="none"/>
                <w:lang w:val="en-US" w:eastAsia="zh-CN"/>
              </w:rPr>
              <w:t>招标文件</w:t>
            </w:r>
          </w:p>
        </w:tc>
        <w:tc>
          <w:tcPr>
            <w:tcW w:w="8032"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tabs>
                <w:tab w:val="left" w:pos="7665"/>
              </w:tabs>
              <w:kinsoku/>
              <w:wordWrap/>
              <w:topLinePunct w:val="0"/>
              <w:bidi w:val="0"/>
              <w:spacing w:line="400" w:lineRule="exact"/>
              <w:jc w:val="left"/>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时间：供应商要求采购人对已发出的</w:t>
            </w:r>
            <w:r>
              <w:rPr>
                <w:rFonts w:hint="eastAsia" w:ascii="宋体" w:hAnsi="宋体" w:cs="宋体"/>
                <w:color w:val="auto"/>
                <w:sz w:val="24"/>
                <w:szCs w:val="24"/>
                <w:lang w:val="en-US" w:eastAsia="zh-CN"/>
              </w:rPr>
              <w:t>采购文件</w:t>
            </w:r>
            <w:r>
              <w:rPr>
                <w:rFonts w:hint="eastAsia" w:ascii="宋体" w:hAnsi="宋体" w:eastAsia="宋体" w:cs="宋体"/>
                <w:color w:val="auto"/>
                <w:sz w:val="24"/>
                <w:szCs w:val="24"/>
                <w:lang w:val="zh-CN" w:eastAsia="zh-CN"/>
              </w:rPr>
              <w:t>进行澄清的，应在投标截止时间的</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val="zh-CN" w:eastAsia="zh-CN"/>
              </w:rPr>
              <w:t>天前。</w:t>
            </w:r>
          </w:p>
          <w:p>
            <w:pPr>
              <w:keepNext w:val="0"/>
              <w:keepLines w:val="0"/>
              <w:pageBreakBefore w:val="0"/>
              <w:tabs>
                <w:tab w:val="left" w:pos="7665"/>
              </w:tabs>
              <w:kinsoku/>
              <w:wordWrap/>
              <w:topLinePunct w:val="0"/>
              <w:bidi w:val="0"/>
              <w:spacing w:line="400" w:lineRule="exact"/>
              <w:jc w:val="left"/>
              <w:rPr>
                <w:rFonts w:hint="eastAsia" w:ascii="宋体" w:hAnsi="宋体" w:eastAsia="宋体" w:cs="宋体"/>
                <w:sz w:val="24"/>
                <w:szCs w:val="24"/>
                <w:lang w:val="zh-CN"/>
              </w:rPr>
            </w:pPr>
            <w:r>
              <w:rPr>
                <w:rFonts w:hint="eastAsia" w:ascii="宋体" w:hAnsi="宋体" w:eastAsia="宋体" w:cs="宋体"/>
                <w:color w:val="auto"/>
                <w:sz w:val="24"/>
                <w:szCs w:val="24"/>
                <w:lang w:val="zh-CN" w:eastAsia="zh-CN"/>
              </w:rPr>
              <w:t>形式：供应商将要求澄清的内容以书面形式送达采购人（或招标代理机构）。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76" w:hRule="atLeast"/>
          <w:jc w:val="center"/>
        </w:trPr>
        <w:tc>
          <w:tcPr>
            <w:tcW w:w="547" w:type="dxa"/>
            <w:tcBorders>
              <w:top w:val="single" w:color="auto" w:sz="8" w:space="0"/>
              <w:left w:val="single" w:color="auto" w:sz="18" w:space="0"/>
              <w:bottom w:val="single" w:color="auto" w:sz="8" w:space="0"/>
              <w:right w:val="single" w:color="auto" w:sz="8" w:space="0"/>
            </w:tcBorders>
            <w:noWrap w:val="0"/>
            <w:vAlign w:val="center"/>
          </w:tcPr>
          <w:p>
            <w:pPr>
              <w:pStyle w:val="41"/>
              <w:keepNext w:val="0"/>
              <w:keepLines w:val="0"/>
              <w:pageBreakBefore w:val="0"/>
              <w:kinsoku/>
              <w:wordWrap/>
              <w:topLinePunct w:val="0"/>
              <w:bidi w:val="0"/>
              <w:spacing w:line="400" w:lineRule="exact"/>
              <w:ind w:right="264" w:rightChars="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rPr>
              <w:t>21</w:t>
            </w:r>
          </w:p>
        </w:tc>
        <w:tc>
          <w:tcPr>
            <w:tcW w:w="1619" w:type="dxa"/>
            <w:tcBorders>
              <w:top w:val="single" w:color="auto" w:sz="8" w:space="0"/>
              <w:left w:val="single" w:color="auto" w:sz="8" w:space="0"/>
              <w:bottom w:val="single" w:color="auto" w:sz="8" w:space="0"/>
              <w:right w:val="single" w:color="auto" w:sz="8" w:space="0"/>
            </w:tcBorders>
            <w:noWrap w:val="0"/>
            <w:vAlign w:val="center"/>
          </w:tcPr>
          <w:p>
            <w:pPr>
              <w:pStyle w:val="41"/>
              <w:keepNext w:val="0"/>
              <w:keepLines w:val="0"/>
              <w:pageBreakBefore w:val="0"/>
              <w:kinsoku/>
              <w:wordWrap/>
              <w:topLinePunct w:val="0"/>
              <w:bidi w:val="0"/>
              <w:spacing w:line="400" w:lineRule="exact"/>
              <w:ind w:left="96"/>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澄清发出的形式</w:t>
            </w:r>
          </w:p>
        </w:tc>
        <w:tc>
          <w:tcPr>
            <w:tcW w:w="8032"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shd w:val="solid" w:color="FFFFFF" w:fill="auto"/>
              <w:kinsoku/>
              <w:wordWrap/>
              <w:topLinePunct w:val="0"/>
              <w:autoSpaceDN w:val="0"/>
              <w:bidi w:val="0"/>
              <w:spacing w:line="400" w:lineRule="exact"/>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highlight w:val="none"/>
                <w:lang w:bidi="ar"/>
              </w:rPr>
              <w:t>以书面形式发出</w:t>
            </w:r>
            <w:r>
              <w:rPr>
                <w:rFonts w:hint="eastAsia" w:ascii="宋体" w:hAnsi="宋体" w:eastAsia="宋体" w:cs="宋体"/>
                <w:color w:val="auto"/>
                <w:sz w:val="24"/>
                <w:szCs w:val="24"/>
                <w:highlight w:val="none"/>
                <w:lang w:eastAsia="zh-CN" w:bidi="ar"/>
              </w:rPr>
              <w:t>，</w:t>
            </w:r>
            <w:r>
              <w:rPr>
                <w:rFonts w:hint="eastAsia" w:ascii="宋体" w:hAnsi="宋体" w:eastAsia="宋体" w:cs="宋体"/>
                <w:color w:val="auto"/>
                <w:sz w:val="24"/>
                <w:szCs w:val="24"/>
                <w:highlight w:val="none"/>
                <w:lang w:val="en-US" w:eastAsia="zh-CN" w:bidi="ar"/>
              </w:rPr>
              <w:t>如有必要对招标文件澄清和修改的将在新疆政府采购网及时发布，澄清文件一旦发布即视为以书面形式通知所有潜在投标人，请各投标人自行关注本次招标项目相关信息的变更情况，否则所造成的一切后果由投标人自负。</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56" w:hRule="atLeast"/>
          <w:jc w:val="center"/>
        </w:trPr>
        <w:tc>
          <w:tcPr>
            <w:tcW w:w="547" w:type="dxa"/>
            <w:tcBorders>
              <w:top w:val="single" w:color="auto" w:sz="8" w:space="0"/>
              <w:left w:val="single" w:color="auto" w:sz="18" w:space="0"/>
              <w:bottom w:val="single" w:color="auto" w:sz="8" w:space="0"/>
              <w:right w:val="single" w:color="auto" w:sz="8" w:space="0"/>
            </w:tcBorders>
            <w:noWrap w:val="0"/>
            <w:vAlign w:val="center"/>
          </w:tcPr>
          <w:p>
            <w:pPr>
              <w:pStyle w:val="41"/>
              <w:keepNext w:val="0"/>
              <w:keepLines w:val="0"/>
              <w:pageBreakBefore w:val="0"/>
              <w:kinsoku/>
              <w:wordWrap/>
              <w:topLinePunct w:val="0"/>
              <w:bidi w:val="0"/>
              <w:spacing w:line="400" w:lineRule="exact"/>
              <w:ind w:right="264" w:rightChars="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rPr>
              <w:t>22</w:t>
            </w:r>
          </w:p>
        </w:tc>
        <w:tc>
          <w:tcPr>
            <w:tcW w:w="1619" w:type="dxa"/>
            <w:tcBorders>
              <w:top w:val="single" w:color="auto" w:sz="8" w:space="0"/>
              <w:left w:val="single" w:color="auto" w:sz="8" w:space="0"/>
              <w:bottom w:val="single" w:color="auto" w:sz="8" w:space="0"/>
              <w:right w:val="single" w:color="auto" w:sz="8" w:space="0"/>
            </w:tcBorders>
            <w:noWrap w:val="0"/>
            <w:vAlign w:val="center"/>
          </w:tcPr>
          <w:p>
            <w:pPr>
              <w:pStyle w:val="41"/>
              <w:keepNext w:val="0"/>
              <w:keepLines w:val="0"/>
              <w:pageBreakBefore w:val="0"/>
              <w:kinsoku/>
              <w:wordWrap/>
              <w:topLinePunct w:val="0"/>
              <w:bidi w:val="0"/>
              <w:spacing w:line="400" w:lineRule="exact"/>
              <w:ind w:left="96" w:leftChars="0"/>
              <w:jc w:val="center"/>
              <w:rPr>
                <w:rFonts w:hint="eastAsia" w:ascii="宋体" w:hAnsi="宋体" w:eastAsia="宋体" w:cs="宋体"/>
                <w:color w:val="auto"/>
                <w:sz w:val="24"/>
                <w:szCs w:val="24"/>
                <w:lang w:val="en-US" w:eastAsia="zh-CN"/>
              </w:rPr>
            </w:pPr>
            <w:r>
              <w:rPr>
                <w:rFonts w:hint="eastAsia" w:cs="宋体"/>
                <w:color w:val="auto"/>
                <w:sz w:val="24"/>
                <w:szCs w:val="24"/>
                <w:lang w:val="en-US" w:eastAsia="zh-CN"/>
              </w:rPr>
              <w:t>纸质版</w:t>
            </w:r>
            <w:r>
              <w:rPr>
                <w:rFonts w:hint="eastAsia" w:ascii="宋体" w:hAnsi="宋体" w:eastAsia="宋体" w:cs="宋体"/>
                <w:color w:val="auto"/>
                <w:sz w:val="24"/>
                <w:szCs w:val="24"/>
                <w:lang w:val="zh-CN"/>
              </w:rPr>
              <w:t>投标文件的</w:t>
            </w:r>
            <w:r>
              <w:rPr>
                <w:rFonts w:hint="eastAsia" w:cs="宋体"/>
                <w:color w:val="auto"/>
                <w:sz w:val="24"/>
                <w:szCs w:val="24"/>
                <w:lang w:val="en-US" w:eastAsia="zh-CN"/>
              </w:rPr>
              <w:t>份</w:t>
            </w:r>
            <w:r>
              <w:rPr>
                <w:rFonts w:hint="eastAsia" w:ascii="宋体" w:hAnsi="宋体" w:eastAsia="宋体" w:cs="宋体"/>
                <w:color w:val="auto"/>
                <w:sz w:val="24"/>
                <w:szCs w:val="24"/>
                <w:lang w:val="zh-CN"/>
              </w:rPr>
              <w:t>数</w:t>
            </w:r>
            <w:r>
              <w:rPr>
                <w:rFonts w:hint="eastAsia" w:cs="宋体"/>
                <w:color w:val="auto"/>
                <w:sz w:val="24"/>
                <w:szCs w:val="24"/>
                <w:lang w:val="zh-CN"/>
              </w:rPr>
              <w:t>（</w:t>
            </w:r>
            <w:r>
              <w:rPr>
                <w:rFonts w:hint="eastAsia" w:cs="宋体"/>
                <w:color w:val="auto"/>
                <w:sz w:val="24"/>
                <w:szCs w:val="24"/>
                <w:lang w:val="en-US" w:eastAsia="zh-CN"/>
              </w:rPr>
              <w:t>中标以后中标单位提供）</w:t>
            </w:r>
          </w:p>
        </w:tc>
        <w:tc>
          <w:tcPr>
            <w:tcW w:w="8032"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tabs>
                <w:tab w:val="left" w:pos="7665"/>
              </w:tabs>
              <w:kinsoku/>
              <w:wordWrap/>
              <w:topLinePunct w:val="0"/>
              <w:bidi w:val="0"/>
              <w:spacing w:line="400" w:lineRule="exact"/>
              <w:jc w:val="left"/>
              <w:rPr>
                <w:rFonts w:hint="eastAsia" w:ascii="宋体" w:hAnsi="宋体" w:eastAsia="宋体" w:cs="宋体"/>
                <w:sz w:val="24"/>
                <w:szCs w:val="24"/>
                <w:lang w:val="zh-CN"/>
              </w:rPr>
            </w:pPr>
            <w:r>
              <w:rPr>
                <w:rFonts w:hint="eastAsia" w:ascii="宋体" w:hAnsi="宋体" w:eastAsia="宋体" w:cs="宋体"/>
                <w:sz w:val="24"/>
                <w:szCs w:val="24"/>
                <w:lang w:val="en-US" w:eastAsia="zh-CN"/>
              </w:rPr>
              <w:t>1、</w:t>
            </w:r>
            <w:r>
              <w:rPr>
                <w:rFonts w:hint="eastAsia" w:ascii="宋体" w:hAnsi="宋体" w:eastAsia="宋体" w:cs="宋体"/>
                <w:sz w:val="24"/>
                <w:szCs w:val="24"/>
                <w:lang w:val="zh-CN" w:eastAsia="zh-CN"/>
              </w:rPr>
              <w:t>投标文件的份数：投标文件应一式</w:t>
            </w:r>
            <w:r>
              <w:rPr>
                <w:rFonts w:hint="eastAsia" w:ascii="宋体" w:hAnsi="宋体" w:eastAsia="宋体" w:cs="宋体"/>
                <w:sz w:val="24"/>
                <w:szCs w:val="24"/>
                <w:lang w:val="en-US" w:eastAsia="zh-CN"/>
              </w:rPr>
              <w:t>叁</w:t>
            </w:r>
            <w:r>
              <w:rPr>
                <w:rFonts w:hint="eastAsia" w:ascii="宋体" w:hAnsi="宋体" w:eastAsia="宋体" w:cs="宋体"/>
                <w:sz w:val="24"/>
                <w:szCs w:val="24"/>
                <w:lang w:val="zh-CN" w:eastAsia="zh-CN"/>
              </w:rPr>
              <w:t>份：其中正本一份，副本</w:t>
            </w:r>
            <w:r>
              <w:rPr>
                <w:rFonts w:hint="eastAsia" w:ascii="宋体" w:hAnsi="宋体" w:eastAsia="宋体" w:cs="宋体"/>
                <w:sz w:val="24"/>
                <w:szCs w:val="24"/>
                <w:lang w:val="en-US" w:eastAsia="zh-CN"/>
              </w:rPr>
              <w:t>贰</w:t>
            </w:r>
            <w:r>
              <w:rPr>
                <w:rFonts w:hint="eastAsia" w:ascii="宋体" w:hAnsi="宋体" w:eastAsia="宋体" w:cs="宋体"/>
                <w:sz w:val="24"/>
                <w:szCs w:val="24"/>
                <w:lang w:val="zh-CN" w:eastAsia="zh-CN"/>
              </w:rPr>
              <w:t>份，并注明“正本”和“副本”字样，投标文件应由投标人的合法授权代表正式签署，如有任何更改应由原签署人签字。</w:t>
            </w:r>
          </w:p>
          <w:p>
            <w:pPr>
              <w:keepNext w:val="0"/>
              <w:keepLines w:val="0"/>
              <w:pageBreakBefore w:val="0"/>
              <w:tabs>
                <w:tab w:val="left" w:pos="7665"/>
              </w:tabs>
              <w:kinsoku/>
              <w:wordWrap/>
              <w:topLinePunct w:val="0"/>
              <w:bidi w:val="0"/>
              <w:spacing w:line="400" w:lineRule="exact"/>
              <w:jc w:val="left"/>
              <w:rPr>
                <w:rFonts w:hint="eastAsia" w:ascii="宋体" w:hAnsi="宋体" w:eastAsia="宋体" w:cs="宋体"/>
                <w:sz w:val="24"/>
                <w:szCs w:val="24"/>
                <w:lang w:val="zh-CN"/>
              </w:rPr>
            </w:pPr>
            <w:r>
              <w:rPr>
                <w:rFonts w:hint="eastAsia" w:ascii="宋体" w:hAnsi="宋体" w:eastAsia="宋体" w:cs="宋体"/>
                <w:sz w:val="24"/>
                <w:szCs w:val="24"/>
                <w:lang w:val="zh-CN"/>
              </w:rPr>
              <w:t>2、由授权代表参与投标的，开标现场须提供法定代表人授权书原件及授权代表身份证原件；由法定代表人参加投标的，提供法定代表人身份证明材料及身份证原件</w:t>
            </w:r>
          </w:p>
          <w:p>
            <w:pPr>
              <w:pStyle w:val="31"/>
              <w:keepNext w:val="0"/>
              <w:keepLines w:val="0"/>
              <w:pageBreakBefore w:val="0"/>
              <w:kinsoku/>
              <w:wordWrap/>
              <w:topLinePunct w:val="0"/>
              <w:bidi w:val="0"/>
              <w:spacing w:line="400" w:lineRule="exact"/>
              <w:ind w:left="0" w:leftChars="0" w:firstLine="0" w:firstLineChars="0"/>
              <w:jc w:val="both"/>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highlight w:val="none"/>
              </w:rPr>
              <w:t>分册装订要求：</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的正、副本应分册装订，并</w:t>
            </w:r>
            <w:r>
              <w:rPr>
                <w:rFonts w:hint="eastAsia" w:ascii="宋体" w:hAnsi="宋体" w:eastAsia="宋体" w:cs="宋体"/>
                <w:color w:val="auto"/>
                <w:sz w:val="24"/>
                <w:szCs w:val="24"/>
                <w:highlight w:val="none"/>
                <w:lang w:val="en-US" w:eastAsia="zh-CN"/>
              </w:rPr>
              <w:t>分</w:t>
            </w:r>
            <w:r>
              <w:rPr>
                <w:rFonts w:hint="eastAsia" w:ascii="宋体" w:hAnsi="宋体" w:eastAsia="宋体" w:cs="宋体"/>
                <w:color w:val="auto"/>
                <w:sz w:val="24"/>
                <w:szCs w:val="24"/>
                <w:highlight w:val="none"/>
              </w:rPr>
              <w:t>别胶装成册，并按</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相应的内容编制</w:t>
            </w:r>
            <w:r>
              <w:rPr>
                <w:rFonts w:hint="eastAsia" w:ascii="宋体" w:hAnsi="宋体" w:eastAsia="宋体" w:cs="宋体"/>
                <w:color w:val="auto"/>
                <w:sz w:val="24"/>
                <w:szCs w:val="24"/>
                <w:highlight w:val="none"/>
                <w:lang w:val="en-US" w:eastAsia="zh-CN"/>
              </w:rPr>
              <w:t>详细的</w:t>
            </w:r>
            <w:r>
              <w:rPr>
                <w:rFonts w:hint="eastAsia" w:ascii="宋体" w:hAnsi="宋体" w:eastAsia="宋体" w:cs="宋体"/>
                <w:color w:val="auto"/>
                <w:sz w:val="24"/>
                <w:szCs w:val="24"/>
                <w:highlight w:val="none"/>
              </w:rPr>
              <w:t>目录，逐页按顺序标注页码，并不得采用活页装订。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73" w:hRule="atLeast"/>
          <w:jc w:val="center"/>
        </w:trPr>
        <w:tc>
          <w:tcPr>
            <w:tcW w:w="547" w:type="dxa"/>
            <w:tcBorders>
              <w:top w:val="single" w:color="auto" w:sz="8" w:space="0"/>
              <w:left w:val="single" w:color="auto" w:sz="18" w:space="0"/>
              <w:bottom w:val="single" w:color="auto" w:sz="8" w:space="0"/>
              <w:right w:val="single" w:color="auto" w:sz="8" w:space="0"/>
            </w:tcBorders>
            <w:noWrap w:val="0"/>
            <w:vAlign w:val="center"/>
          </w:tcPr>
          <w:p>
            <w:pPr>
              <w:pStyle w:val="41"/>
              <w:keepNext w:val="0"/>
              <w:keepLines w:val="0"/>
              <w:pageBreakBefore w:val="0"/>
              <w:kinsoku/>
              <w:wordWrap/>
              <w:topLinePunct w:val="0"/>
              <w:bidi w:val="0"/>
              <w:spacing w:line="400" w:lineRule="exact"/>
              <w:ind w:right="264" w:rightChars="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rPr>
              <w:t>23</w:t>
            </w:r>
          </w:p>
        </w:tc>
        <w:tc>
          <w:tcPr>
            <w:tcW w:w="1619" w:type="dxa"/>
            <w:tcBorders>
              <w:top w:val="single" w:color="auto" w:sz="8" w:space="0"/>
              <w:left w:val="single" w:color="auto" w:sz="8" w:space="0"/>
              <w:bottom w:val="single" w:color="auto" w:sz="8" w:space="0"/>
              <w:right w:val="single" w:color="auto" w:sz="8" w:space="0"/>
            </w:tcBorders>
            <w:noWrap w:val="0"/>
            <w:vAlign w:val="center"/>
          </w:tcPr>
          <w:p>
            <w:pPr>
              <w:pStyle w:val="41"/>
              <w:keepNext w:val="0"/>
              <w:keepLines w:val="0"/>
              <w:pageBreakBefore w:val="0"/>
              <w:kinsoku/>
              <w:wordWrap/>
              <w:topLinePunct w:val="0"/>
              <w:bidi w:val="0"/>
              <w:spacing w:line="400" w:lineRule="exact"/>
              <w:ind w:left="96"/>
              <w:jc w:val="center"/>
              <w:rPr>
                <w:rFonts w:hint="eastAsia" w:ascii="宋体" w:hAnsi="宋体" w:eastAsia="宋体" w:cs="宋体"/>
                <w:color w:val="auto"/>
                <w:sz w:val="24"/>
                <w:szCs w:val="24"/>
              </w:rPr>
            </w:pPr>
            <w:r>
              <w:rPr>
                <w:rFonts w:hint="eastAsia" w:ascii="宋体" w:hAnsi="宋体" w:eastAsia="宋体" w:cs="宋体"/>
                <w:color w:val="auto"/>
                <w:sz w:val="24"/>
                <w:szCs w:val="24"/>
                <w:highlight w:val="none"/>
              </w:rPr>
              <w:t>评标委员会的组建</w:t>
            </w:r>
          </w:p>
        </w:tc>
        <w:tc>
          <w:tcPr>
            <w:tcW w:w="8032"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kinsoku/>
              <w:wordWrap/>
              <w:topLinePunct w:val="0"/>
              <w:bidi w:val="0"/>
              <w:spacing w:line="400" w:lineRule="exact"/>
              <w:ind w:right="105" w:rightChars="50"/>
              <w:jc w:val="left"/>
              <w:rPr>
                <w:rFonts w:hint="eastAsia" w:ascii="宋体" w:hAnsi="宋体" w:eastAsia="宋体" w:cs="宋体"/>
                <w:color w:val="auto"/>
                <w:sz w:val="24"/>
                <w:szCs w:val="24"/>
              </w:rPr>
            </w:pP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依法组建评标委员会。评标委员会成员由</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7</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人构成，其中：</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代表</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2</w:t>
            </w:r>
            <w:r>
              <w:rPr>
                <w:rFonts w:hint="eastAsia" w:ascii="宋体" w:hAnsi="宋体" w:eastAsia="宋体" w:cs="宋体"/>
                <w:color w:val="auto"/>
                <w:sz w:val="24"/>
                <w:szCs w:val="24"/>
                <w:highlight w:val="none"/>
              </w:rPr>
              <w:t>人，经济及技术方面的专家</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5</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人；经济及技术方面的专家由</w:t>
            </w:r>
            <w:r>
              <w:rPr>
                <w:rFonts w:hint="eastAsia" w:ascii="宋体" w:hAnsi="宋体" w:eastAsia="宋体" w:cs="宋体"/>
                <w:color w:val="auto"/>
                <w:sz w:val="24"/>
                <w:szCs w:val="24"/>
                <w:highlight w:val="none"/>
                <w:lang w:val="en-US" w:eastAsia="zh-CN"/>
              </w:rPr>
              <w:t>政府采购平台</w:t>
            </w:r>
            <w:r>
              <w:rPr>
                <w:rFonts w:hint="eastAsia" w:ascii="宋体" w:hAnsi="宋体" w:eastAsia="宋体" w:cs="宋体"/>
                <w:color w:val="auto"/>
                <w:sz w:val="24"/>
                <w:szCs w:val="24"/>
                <w:highlight w:val="none"/>
              </w:rPr>
              <w:t>专家库中随机抽取。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56" w:hRule="atLeast"/>
          <w:jc w:val="center"/>
        </w:trPr>
        <w:tc>
          <w:tcPr>
            <w:tcW w:w="547" w:type="dxa"/>
            <w:tcBorders>
              <w:top w:val="single" w:color="auto" w:sz="8" w:space="0"/>
              <w:left w:val="single" w:color="auto" w:sz="18" w:space="0"/>
              <w:bottom w:val="single" w:color="auto" w:sz="8" w:space="0"/>
              <w:right w:val="single" w:color="auto" w:sz="8" w:space="0"/>
            </w:tcBorders>
            <w:noWrap w:val="0"/>
            <w:vAlign w:val="center"/>
          </w:tcPr>
          <w:p>
            <w:pPr>
              <w:pStyle w:val="41"/>
              <w:keepNext w:val="0"/>
              <w:keepLines w:val="0"/>
              <w:pageBreakBefore w:val="0"/>
              <w:kinsoku/>
              <w:wordWrap/>
              <w:topLinePunct w:val="0"/>
              <w:bidi w:val="0"/>
              <w:spacing w:line="400" w:lineRule="exact"/>
              <w:ind w:right="264" w:rightChars="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rPr>
              <w:t>24</w:t>
            </w:r>
          </w:p>
        </w:tc>
        <w:tc>
          <w:tcPr>
            <w:tcW w:w="1619" w:type="dxa"/>
            <w:tcBorders>
              <w:top w:val="single" w:color="auto" w:sz="8" w:space="0"/>
              <w:left w:val="single" w:color="auto" w:sz="8" w:space="0"/>
              <w:bottom w:val="single" w:color="auto" w:sz="8" w:space="0"/>
              <w:right w:val="single" w:color="auto" w:sz="8" w:space="0"/>
            </w:tcBorders>
            <w:noWrap w:val="0"/>
            <w:vAlign w:val="center"/>
          </w:tcPr>
          <w:p>
            <w:pPr>
              <w:pStyle w:val="41"/>
              <w:keepNext w:val="0"/>
              <w:keepLines w:val="0"/>
              <w:pageBreakBefore w:val="0"/>
              <w:kinsoku/>
              <w:wordWrap/>
              <w:topLinePunct w:val="0"/>
              <w:bidi w:val="0"/>
              <w:spacing w:line="400" w:lineRule="exact"/>
              <w:ind w:left="96"/>
              <w:jc w:val="center"/>
              <w:rPr>
                <w:rFonts w:hint="eastAsia" w:ascii="宋体" w:hAnsi="宋体" w:eastAsia="宋体" w:cs="宋体"/>
                <w:color w:val="auto"/>
                <w:sz w:val="24"/>
                <w:szCs w:val="24"/>
              </w:rPr>
            </w:pPr>
            <w:r>
              <w:rPr>
                <w:rFonts w:hint="eastAsia" w:ascii="宋体" w:hAnsi="宋体" w:eastAsia="宋体" w:cs="宋体"/>
                <w:color w:val="auto"/>
                <w:sz w:val="24"/>
                <w:szCs w:val="24"/>
                <w:highlight w:val="none"/>
                <w:lang w:val="en-US" w:eastAsia="zh-CN"/>
              </w:rPr>
              <w:t>电子投标须知</w:t>
            </w:r>
          </w:p>
        </w:tc>
        <w:tc>
          <w:tcPr>
            <w:tcW w:w="8032"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0" w:afterAutospacing="0" w:line="400" w:lineRule="exact"/>
              <w:ind w:left="0" w:leftChars="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请投标单位提前自学线上开标流程；投标截止时间当天，线上开标环节，投标文件解密时长30分钟，各投标单位务必提前调试好在线参标电脑的各项配置及CA锁网上进行签到、文件解密以及操作投标，投标文件报价确认签字时间为10分钟，超过时间视为报价无</w:t>
            </w:r>
            <w:r>
              <w:rPr>
                <w:rFonts w:hint="eastAsia" w:ascii="宋体" w:hAnsi="宋体" w:cs="宋体"/>
                <w:color w:val="auto"/>
                <w:sz w:val="24"/>
                <w:szCs w:val="24"/>
                <w:highlight w:val="none"/>
                <w:lang w:val="en-US" w:eastAsia="zh-CN"/>
              </w:rPr>
              <w:t>异议</w:t>
            </w:r>
            <w:r>
              <w:rPr>
                <w:rFonts w:hint="eastAsia" w:ascii="宋体" w:hAnsi="宋体" w:eastAsia="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400" w:lineRule="exact"/>
              <w:ind w:left="0" w:leftChars="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（如投标单位对电子投标</w:t>
            </w:r>
            <w:r>
              <w:rPr>
                <w:rFonts w:hint="eastAsia" w:ascii="宋体" w:hAnsi="宋体" w:cs="宋体"/>
                <w:color w:val="auto"/>
                <w:sz w:val="24"/>
                <w:szCs w:val="24"/>
                <w:highlight w:val="none"/>
                <w:lang w:val="en-US" w:eastAsia="zh-CN"/>
              </w:rPr>
              <w:t>操作</w:t>
            </w:r>
            <w:r>
              <w:rPr>
                <w:rFonts w:hint="eastAsia" w:ascii="宋体" w:hAnsi="宋体" w:eastAsia="宋体" w:cs="宋体"/>
                <w:color w:val="auto"/>
                <w:sz w:val="24"/>
                <w:szCs w:val="24"/>
                <w:highlight w:val="none"/>
                <w:lang w:val="en-US" w:eastAsia="zh-CN"/>
              </w:rPr>
              <w:t>不清楚</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无法完成</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可到招标现场，请自带笔记本电脑及</w:t>
            </w:r>
            <w:r>
              <w:rPr>
                <w:rFonts w:hint="eastAsia" w:ascii="宋体" w:hAnsi="宋体" w:cs="宋体"/>
                <w:color w:val="auto"/>
                <w:sz w:val="24"/>
                <w:szCs w:val="24"/>
                <w:highlight w:val="none"/>
                <w:lang w:val="en-US" w:eastAsia="zh-CN"/>
              </w:rPr>
              <w:t>本单位</w:t>
            </w:r>
            <w:r>
              <w:rPr>
                <w:rFonts w:hint="eastAsia" w:ascii="宋体" w:hAnsi="宋体" w:eastAsia="宋体" w:cs="宋体"/>
                <w:color w:val="auto"/>
                <w:sz w:val="24"/>
                <w:szCs w:val="24"/>
                <w:highlight w:val="none"/>
                <w:lang w:val="en-US" w:eastAsia="zh-CN"/>
              </w:rPr>
              <w:t>CA锁网上进行签到、文件解密以及操作投标。）</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400" w:lineRule="exact"/>
              <w:ind w:left="0" w:leftChars="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2.招标文件中采购清单、技术需求等如有偏差，如有</w:t>
            </w:r>
            <w:r>
              <w:rPr>
                <w:rFonts w:hint="eastAsia" w:ascii="宋体" w:hAnsi="宋体" w:cs="宋体"/>
                <w:color w:val="auto"/>
                <w:sz w:val="24"/>
                <w:szCs w:val="24"/>
                <w:highlight w:val="none"/>
                <w:lang w:val="en-US" w:eastAsia="zh-CN"/>
              </w:rPr>
              <w:t>异议</w:t>
            </w:r>
            <w:r>
              <w:rPr>
                <w:rFonts w:hint="eastAsia" w:ascii="宋体" w:hAnsi="宋体" w:eastAsia="宋体" w:cs="宋体"/>
                <w:color w:val="auto"/>
                <w:sz w:val="24"/>
                <w:szCs w:val="24"/>
                <w:highlight w:val="none"/>
                <w:lang w:val="en-US" w:eastAsia="zh-CN"/>
              </w:rPr>
              <w:t>请澄清中及时提出</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否则视为充分理解招标文件各项要求。</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400" w:lineRule="exact"/>
              <w:ind w:left="0" w:leftChars="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本次采用政府采购云平台线上招标、投标，请各潜在投标单位及时办理CA锁和学习政府采购云平台线上投标相关知识。请在政府采购云平台登录后，进行下载招标文件，投标单位获取招标文件后及时关注云平台答疑文件获取栏目，具体相关事宜见政府采购云平台。本项目采用资格后审，请投标单位仔细阅读招标文件的各项要求，制作投标文件，并准备相关资料，若投标单位未按招标文件规定的时间和地点递交投标文件、资格条件不符或提供资料不全等原因导致投标失败，则由投标单位自行承担由此而引起的所有不利后果。投标单位应在中标后递交纸质版投标文件，如二者内容不一致，则以电子版投标文件为准。</w:t>
            </w:r>
          </w:p>
          <w:p>
            <w:pPr>
              <w:keepNext w:val="0"/>
              <w:keepLines w:val="0"/>
              <w:pageBreakBefore w:val="0"/>
              <w:kinsoku/>
              <w:wordWrap/>
              <w:topLinePunct w:val="0"/>
              <w:bidi w:val="0"/>
              <w:spacing w:line="400" w:lineRule="exact"/>
              <w:ind w:right="105" w:rightChars="50"/>
              <w:jc w:val="left"/>
              <w:rPr>
                <w:rFonts w:hint="eastAsia" w:ascii="宋体" w:hAnsi="宋体" w:eastAsia="宋体" w:cs="宋体"/>
                <w:color w:val="auto"/>
                <w:sz w:val="24"/>
                <w:szCs w:val="24"/>
              </w:rPr>
            </w:pPr>
            <w:r>
              <w:rPr>
                <w:rFonts w:hint="eastAsia" w:ascii="宋体" w:hAnsi="宋体" w:eastAsia="宋体" w:cs="宋体"/>
                <w:color w:val="auto"/>
                <w:sz w:val="24"/>
                <w:szCs w:val="24"/>
                <w:highlight w:val="none"/>
                <w:lang w:val="en-US" w:eastAsia="zh-CN"/>
              </w:rPr>
              <w:t>招标文件中如有内容冲突的地方，以投标须知要求为准。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547" w:type="dxa"/>
            <w:tcBorders>
              <w:top w:val="single" w:color="auto" w:sz="8" w:space="0"/>
              <w:left w:val="single" w:color="auto" w:sz="18" w:space="0"/>
              <w:bottom w:val="single" w:color="auto" w:sz="8" w:space="0"/>
              <w:right w:val="single" w:color="auto" w:sz="8" w:space="0"/>
            </w:tcBorders>
            <w:noWrap w:val="0"/>
            <w:vAlign w:val="center"/>
          </w:tcPr>
          <w:p>
            <w:pPr>
              <w:pStyle w:val="41"/>
              <w:keepNext w:val="0"/>
              <w:keepLines w:val="0"/>
              <w:pageBreakBefore w:val="0"/>
              <w:kinsoku/>
              <w:wordWrap/>
              <w:topLinePunct w:val="0"/>
              <w:bidi w:val="0"/>
              <w:spacing w:line="400" w:lineRule="exact"/>
              <w:ind w:right="264" w:rightChars="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rPr>
              <w:t>25</w:t>
            </w:r>
          </w:p>
        </w:tc>
        <w:tc>
          <w:tcPr>
            <w:tcW w:w="161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0" w:afterAutospacing="0" w:line="400" w:lineRule="exact"/>
              <w:ind w:left="0" w:leftChars="0" w:right="0" w:rightChars="0"/>
              <w:jc w:val="center"/>
              <w:textAlignment w:val="auto"/>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highlight w:val="none"/>
                <w:lang w:val="en-US" w:eastAsia="zh-CN" w:bidi="ar-SA"/>
              </w:rPr>
              <w:t>中小企业政策</w:t>
            </w:r>
          </w:p>
        </w:tc>
        <w:tc>
          <w:tcPr>
            <w:tcW w:w="8032"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0" w:afterAutospacing="0" w:line="400" w:lineRule="exact"/>
              <w:ind w:left="0" w:leftChars="0" w:right="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根据工信部等部委发布的《关于印发中小企业划型标准规定的通知》（工信部联企业〔2011〕300号）；财政部《关于进一步加大政府采购支持中小企业力度的通知》（财库〔2022〕19号）规定，本次采购标的所属行业为工业（制造业）、《政府采购需求管理办法的通知》（财库〔2021〕22 号）、《政府采购促进中小企业发展管理办法》（财库[2020]46 号）、《财政部 司法部关于政府采购支持监狱企业发展有关问题的通知》（财库〔2014〕68 号）和《三部门联合发布关于促进残疾人就业政府采购政策的通知》（财库〔2017〕 141 号）的规定，对满足价格扣除条件且在投标文件中提交了《供应商企业类型声明函》或省级以上监狱管理局、戒毒管理局（含新疆生产建设兵团）出具的属于监狱企业的证明文件的供应商，其投标报价扣除 10%后参与评审。符合以下条件的中小微型企业应按照采购文件格式要求提供《中小企业声明函》。</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400" w:lineRule="exact"/>
              <w:ind w:left="0" w:leftChars="0" w:right="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400" w:lineRule="exact"/>
              <w:ind w:left="0" w:leftChars="0" w:right="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本次投标供应商提供的货物由中小企业制造，即货物由中小企业生产且使用该中小企业商号或者注册商标；供应商提供的货物既有中小企业制造货物，也有大型企业制造货物的，不享受本办法规定的中小企业扶持政策。</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400" w:lineRule="exact"/>
              <w:ind w:left="0" w:leftChars="0" w:right="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（3）根据上述文件规定，对满足上述（1）（2）两项条件的小微企业的投标总报价给予10%的扣除，用扣除后的价格参与评审。</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400" w:lineRule="exact"/>
              <w:ind w:left="0" w:leftChars="0" w:right="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（4）依据本办法规定享受扶持政策获得政府采购合同的，小微企业不得将合同分包给大中型企业，中型企业不得将合同分包给大型企业。</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400" w:lineRule="exact"/>
              <w:ind w:left="0" w:leftChars="0" w:right="0" w:rightChars="0"/>
              <w:jc w:val="left"/>
              <w:textAlignment w:val="auto"/>
              <w:rPr>
                <w:rFonts w:hint="eastAsia" w:ascii="宋体" w:hAnsi="宋体" w:eastAsia="宋体" w:cs="宋体"/>
                <w:color w:val="auto"/>
                <w:sz w:val="24"/>
                <w:szCs w:val="24"/>
              </w:rPr>
            </w:pPr>
            <w:r>
              <w:rPr>
                <w:rFonts w:hint="eastAsia" w:ascii="宋体" w:hAnsi="宋体" w:eastAsia="宋体" w:cs="宋体"/>
                <w:color w:val="auto"/>
                <w:kern w:val="2"/>
                <w:sz w:val="24"/>
                <w:szCs w:val="24"/>
                <w:highlight w:val="none"/>
                <w:lang w:val="en-US" w:eastAsia="zh-CN" w:bidi="ar-SA"/>
              </w:rPr>
              <w:t>（5）联合体各方均为中小企业的,联合体视同中小企业。其中,联合体各方均为小微企业的,联合体视同小微企业。组成联合体的小微企业与其他企业之间存在直接控股、管理关系的,不享受价格扣除优惠政策。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796" w:hRule="atLeast"/>
          <w:jc w:val="center"/>
        </w:trPr>
        <w:tc>
          <w:tcPr>
            <w:tcW w:w="547" w:type="dxa"/>
            <w:tcBorders>
              <w:top w:val="single" w:color="auto" w:sz="8" w:space="0"/>
              <w:left w:val="single" w:color="auto" w:sz="18" w:space="0"/>
              <w:bottom w:val="single" w:color="auto" w:sz="8" w:space="0"/>
              <w:right w:val="single" w:color="auto" w:sz="8" w:space="0"/>
            </w:tcBorders>
            <w:noWrap w:val="0"/>
            <w:vAlign w:val="center"/>
          </w:tcPr>
          <w:p>
            <w:pPr>
              <w:pStyle w:val="41"/>
              <w:keepNext w:val="0"/>
              <w:keepLines w:val="0"/>
              <w:pageBreakBefore w:val="0"/>
              <w:kinsoku/>
              <w:wordWrap/>
              <w:topLinePunct w:val="0"/>
              <w:bidi w:val="0"/>
              <w:spacing w:line="400" w:lineRule="exact"/>
              <w:ind w:right="264" w:rightChars="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rPr>
              <w:t>26</w:t>
            </w:r>
          </w:p>
        </w:tc>
        <w:tc>
          <w:tcPr>
            <w:tcW w:w="161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bidi w:val="0"/>
              <w:adjustRightInd w:val="0"/>
              <w:snapToGrid w:val="0"/>
              <w:spacing w:beforeAutospacing="0" w:after="0" w:afterAutospacing="0" w:line="400" w:lineRule="exact"/>
              <w:ind w:left="0" w:leftChars="0" w:right="0" w:right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t>通讯联系</w:t>
            </w:r>
          </w:p>
        </w:tc>
        <w:tc>
          <w:tcPr>
            <w:tcW w:w="8032"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widowControl w:val="0"/>
              <w:kinsoku/>
              <w:wordWrap/>
              <w:overflowPunct/>
              <w:topLinePunct w:val="0"/>
              <w:autoSpaceDE/>
              <w:autoSpaceDN/>
              <w:bidi w:val="0"/>
              <w:spacing w:beforeAutospacing="0" w:after="0" w:afterAutospacing="0" w:line="400" w:lineRule="exact"/>
              <w:ind w:left="0" w:leftChars="0" w:right="0" w:rightChars="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自提交</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之时起至评标结束止，应确保其提供的联系方式一直保持有效和畅通，以保证在招投标期间需进行往来函件或与之有关的事宜能及时发送或通知</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，并能及时反馈信息。否则，</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（或招标代理机构）不承担由此（提供的联系方式无效或通讯不畅）引起的一切后果。</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56" w:hRule="atLeast"/>
          <w:jc w:val="center"/>
        </w:trPr>
        <w:tc>
          <w:tcPr>
            <w:tcW w:w="547" w:type="dxa"/>
            <w:tcBorders>
              <w:top w:val="single" w:color="auto" w:sz="8" w:space="0"/>
              <w:left w:val="single" w:color="auto" w:sz="18" w:space="0"/>
              <w:bottom w:val="single" w:color="auto" w:sz="8" w:space="0"/>
              <w:right w:val="single" w:color="auto" w:sz="8" w:space="0"/>
            </w:tcBorders>
            <w:noWrap w:val="0"/>
            <w:vAlign w:val="center"/>
          </w:tcPr>
          <w:p>
            <w:pPr>
              <w:pStyle w:val="41"/>
              <w:keepNext w:val="0"/>
              <w:keepLines w:val="0"/>
              <w:pageBreakBefore w:val="0"/>
              <w:kinsoku/>
              <w:wordWrap/>
              <w:topLinePunct w:val="0"/>
              <w:bidi w:val="0"/>
              <w:spacing w:line="400" w:lineRule="exact"/>
              <w:ind w:right="264" w:rightChars="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rPr>
              <w:t>27</w:t>
            </w:r>
          </w:p>
        </w:tc>
        <w:tc>
          <w:tcPr>
            <w:tcW w:w="1619" w:type="dxa"/>
            <w:tcBorders>
              <w:top w:val="single" w:color="auto" w:sz="8" w:space="0"/>
              <w:left w:val="single" w:color="auto" w:sz="8" w:space="0"/>
              <w:bottom w:val="single" w:color="auto" w:sz="8" w:space="0"/>
              <w:right w:val="single" w:color="auto" w:sz="8" w:space="0"/>
            </w:tcBorders>
            <w:noWrap w:val="0"/>
            <w:vAlign w:val="center"/>
          </w:tcPr>
          <w:p>
            <w:pPr>
              <w:pStyle w:val="41"/>
              <w:keepNext w:val="0"/>
              <w:keepLines w:val="0"/>
              <w:pageBreakBefore w:val="0"/>
              <w:kinsoku/>
              <w:wordWrap/>
              <w:topLinePunct w:val="0"/>
              <w:bidi w:val="0"/>
              <w:spacing w:line="400" w:lineRule="exact"/>
              <w:ind w:left="96"/>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rPr>
              <w:t>对招标文件资质要求、技术参数、商务要求、评分办法等采购需求提出的询问和质疑</w:t>
            </w:r>
          </w:p>
        </w:tc>
        <w:tc>
          <w:tcPr>
            <w:tcW w:w="8032"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kinsoku/>
              <w:wordWrap/>
              <w:topLinePunct w:val="0"/>
              <w:bidi w:val="0"/>
              <w:spacing w:line="400" w:lineRule="exact"/>
              <w:ind w:right="105" w:rightChars="5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受理单位：</w:t>
            </w:r>
            <w:r>
              <w:rPr>
                <w:rFonts w:hint="eastAsia" w:ascii="宋体" w:hAnsi="宋体" w:eastAsia="宋体" w:cs="宋体"/>
                <w:color w:val="auto"/>
                <w:sz w:val="24"/>
                <w:szCs w:val="24"/>
                <w:lang w:eastAsia="zh-CN"/>
              </w:rPr>
              <w:t>新疆华域天恒工程管理有限公司</w:t>
            </w:r>
          </w:p>
          <w:p>
            <w:pPr>
              <w:keepNext w:val="0"/>
              <w:keepLines w:val="0"/>
              <w:pageBreakBefore w:val="0"/>
              <w:kinsoku/>
              <w:wordWrap/>
              <w:topLinePunct w:val="0"/>
              <w:bidi w:val="0"/>
              <w:spacing w:line="400" w:lineRule="exact"/>
              <w:ind w:right="105" w:rightChars="5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联 系 人：</w:t>
            </w:r>
            <w:r>
              <w:rPr>
                <w:rFonts w:hint="eastAsia" w:ascii="宋体" w:hAnsi="宋体" w:cs="宋体"/>
                <w:color w:val="auto"/>
                <w:sz w:val="24"/>
                <w:szCs w:val="24"/>
                <w:lang w:val="en-US" w:eastAsia="zh-CN"/>
              </w:rPr>
              <w:t>马丽娜</w:t>
            </w:r>
          </w:p>
          <w:p>
            <w:pPr>
              <w:keepNext w:val="0"/>
              <w:keepLines w:val="0"/>
              <w:pageBreakBefore w:val="0"/>
              <w:kinsoku/>
              <w:wordWrap/>
              <w:topLinePunct w:val="0"/>
              <w:bidi w:val="0"/>
              <w:spacing w:line="400" w:lineRule="exact"/>
              <w:ind w:right="105" w:rightChars="50"/>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联系电话：099</w:t>
            </w:r>
            <w:r>
              <w:rPr>
                <w:rFonts w:hint="eastAsia" w:ascii="宋体" w:hAnsi="宋体" w:eastAsia="宋体" w:cs="宋体"/>
                <w:color w:val="auto"/>
                <w:sz w:val="24"/>
                <w:szCs w:val="24"/>
                <w:lang w:val="en-US" w:eastAsia="zh-CN"/>
              </w:rPr>
              <w:t>5-8637000、13</w:t>
            </w:r>
            <w:r>
              <w:rPr>
                <w:rFonts w:hint="eastAsia" w:ascii="宋体" w:hAnsi="宋体" w:cs="宋体"/>
                <w:color w:val="auto"/>
                <w:sz w:val="24"/>
                <w:szCs w:val="24"/>
                <w:lang w:val="en-US" w:eastAsia="zh-CN"/>
              </w:rPr>
              <w:t>899314280</w:t>
            </w:r>
          </w:p>
          <w:p>
            <w:pPr>
              <w:keepNext w:val="0"/>
              <w:keepLines w:val="0"/>
              <w:pageBreakBefore w:val="0"/>
              <w:kinsoku/>
              <w:wordWrap/>
              <w:topLinePunct w:val="0"/>
              <w:bidi w:val="0"/>
              <w:spacing w:line="400" w:lineRule="exact"/>
              <w:ind w:right="105" w:rightChars="50"/>
              <w:jc w:val="left"/>
              <w:rPr>
                <w:rFonts w:hint="eastAsia" w:ascii="宋体" w:hAnsi="宋体" w:eastAsia="宋体" w:cs="宋体"/>
                <w:color w:val="auto"/>
                <w:sz w:val="24"/>
                <w:szCs w:val="24"/>
              </w:rPr>
            </w:pPr>
            <w:r>
              <w:rPr>
                <w:rFonts w:hint="eastAsia" w:ascii="宋体" w:hAnsi="宋体" w:eastAsia="宋体" w:cs="宋体"/>
                <w:color w:val="auto"/>
                <w:sz w:val="24"/>
                <w:szCs w:val="24"/>
              </w:rPr>
              <w:t>质疑函接受方式：现场接受或邮寄接受</w:t>
            </w:r>
          </w:p>
          <w:p>
            <w:pPr>
              <w:keepNext w:val="0"/>
              <w:keepLines w:val="0"/>
              <w:pageBreakBefore w:val="0"/>
              <w:kinsoku/>
              <w:wordWrap/>
              <w:topLinePunct w:val="0"/>
              <w:bidi w:val="0"/>
              <w:spacing w:line="400" w:lineRule="exact"/>
              <w:ind w:right="105" w:rightChars="5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地址：吐鲁番市高昌区示范区和平街11幢2层201号</w:t>
            </w:r>
          </w:p>
          <w:p>
            <w:pPr>
              <w:keepNext w:val="0"/>
              <w:keepLines w:val="0"/>
              <w:pageBreakBefore w:val="0"/>
              <w:kinsoku/>
              <w:wordWrap/>
              <w:topLinePunct w:val="0"/>
              <w:bidi w:val="0"/>
              <w:spacing w:line="400" w:lineRule="exact"/>
              <w:ind w:right="105" w:rightChars="50"/>
              <w:jc w:val="left"/>
              <w:rPr>
                <w:rFonts w:hint="eastAsia" w:ascii="宋体" w:hAnsi="宋体" w:eastAsia="宋体" w:cs="宋体"/>
                <w:color w:val="auto"/>
                <w:sz w:val="24"/>
                <w:szCs w:val="24"/>
              </w:rPr>
            </w:pPr>
            <w:r>
              <w:rPr>
                <w:rFonts w:hint="eastAsia" w:ascii="宋体" w:hAnsi="宋体" w:eastAsia="宋体" w:cs="宋体"/>
                <w:color w:val="auto"/>
                <w:sz w:val="24"/>
                <w:szCs w:val="24"/>
              </w:rPr>
              <w:t>提出质疑时间：招标文件公告期限届满之日起七个工作日内。</w:t>
            </w:r>
          </w:p>
          <w:p>
            <w:pPr>
              <w:keepNext w:val="0"/>
              <w:keepLines w:val="0"/>
              <w:pageBreakBefore w:val="0"/>
              <w:kinsoku/>
              <w:wordWrap/>
              <w:topLinePunct w:val="0"/>
              <w:bidi w:val="0"/>
              <w:spacing w:line="400" w:lineRule="exact"/>
              <w:ind w:right="105" w:rightChars="50"/>
              <w:jc w:val="left"/>
              <w:rPr>
                <w:rFonts w:hint="eastAsia" w:ascii="宋体" w:hAnsi="宋体" w:eastAsia="宋体" w:cs="宋体"/>
                <w:color w:val="auto"/>
                <w:sz w:val="24"/>
                <w:szCs w:val="24"/>
                <w:lang w:val="zh-CN"/>
              </w:rPr>
            </w:pPr>
            <w:r>
              <w:rPr>
                <w:rFonts w:hint="eastAsia" w:ascii="宋体" w:hAnsi="宋体" w:eastAsia="宋体" w:cs="宋体"/>
                <w:color w:val="auto"/>
                <w:sz w:val="24"/>
                <w:szCs w:val="24"/>
              </w:rPr>
              <w:t>备注：供应商应当在法定质疑期内一次性提出针对统一采购程序环节的质疑。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66" w:hRule="atLeast"/>
          <w:jc w:val="center"/>
        </w:trPr>
        <w:tc>
          <w:tcPr>
            <w:tcW w:w="547" w:type="dxa"/>
            <w:tcBorders>
              <w:top w:val="single" w:color="auto" w:sz="8" w:space="0"/>
              <w:left w:val="single" w:color="auto" w:sz="18" w:space="0"/>
              <w:bottom w:val="single" w:color="auto" w:sz="8" w:space="0"/>
              <w:right w:val="single" w:color="auto" w:sz="8" w:space="0"/>
            </w:tcBorders>
            <w:noWrap w:val="0"/>
            <w:vAlign w:val="center"/>
          </w:tcPr>
          <w:p>
            <w:pPr>
              <w:pStyle w:val="41"/>
              <w:keepNext w:val="0"/>
              <w:keepLines w:val="0"/>
              <w:pageBreakBefore w:val="0"/>
              <w:kinsoku/>
              <w:wordWrap/>
              <w:topLinePunct w:val="0"/>
              <w:bidi w:val="0"/>
              <w:spacing w:line="400" w:lineRule="exact"/>
              <w:ind w:right="264" w:rightChars="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rPr>
              <w:t>28</w:t>
            </w:r>
          </w:p>
        </w:tc>
        <w:tc>
          <w:tcPr>
            <w:tcW w:w="1619" w:type="dxa"/>
            <w:tcBorders>
              <w:top w:val="single" w:color="auto" w:sz="8" w:space="0"/>
              <w:left w:val="single" w:color="auto" w:sz="8" w:space="0"/>
              <w:bottom w:val="single" w:color="auto" w:sz="8" w:space="0"/>
              <w:right w:val="single" w:color="auto" w:sz="8" w:space="0"/>
            </w:tcBorders>
            <w:noWrap w:val="0"/>
            <w:vAlign w:val="center"/>
          </w:tcPr>
          <w:p>
            <w:pPr>
              <w:pStyle w:val="41"/>
              <w:keepNext w:val="0"/>
              <w:keepLines w:val="0"/>
              <w:pageBreakBefore w:val="0"/>
              <w:kinsoku/>
              <w:wordWrap/>
              <w:topLinePunct w:val="0"/>
              <w:bidi w:val="0"/>
              <w:spacing w:line="400" w:lineRule="exact"/>
              <w:ind w:left="96"/>
              <w:jc w:val="center"/>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对</w:t>
            </w:r>
            <w:r>
              <w:rPr>
                <w:rFonts w:hint="eastAsia" w:ascii="宋体" w:hAnsi="宋体" w:eastAsia="宋体" w:cs="宋体"/>
                <w:color w:val="auto"/>
                <w:sz w:val="24"/>
                <w:szCs w:val="24"/>
              </w:rPr>
              <w:t>招标文件除资质要求、技术参数、商务要求、评分办法等采购需求内容以外事项、</w:t>
            </w:r>
            <w:r>
              <w:rPr>
                <w:rFonts w:hint="eastAsia" w:ascii="宋体" w:hAnsi="宋体" w:eastAsia="宋体" w:cs="宋体"/>
                <w:color w:val="auto"/>
                <w:kern w:val="2"/>
                <w:sz w:val="24"/>
                <w:szCs w:val="24"/>
              </w:rPr>
              <w:t>采购过程和采购结果的询问和质疑</w:t>
            </w:r>
          </w:p>
        </w:tc>
        <w:tc>
          <w:tcPr>
            <w:tcW w:w="8032"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kinsoku/>
              <w:wordWrap/>
              <w:topLinePunct w:val="0"/>
              <w:bidi w:val="0"/>
              <w:spacing w:line="400" w:lineRule="exact"/>
              <w:ind w:right="105" w:rightChars="5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受理单位：</w:t>
            </w:r>
            <w:r>
              <w:rPr>
                <w:rFonts w:hint="eastAsia" w:ascii="宋体" w:hAnsi="宋体" w:eastAsia="宋体" w:cs="宋体"/>
                <w:color w:val="auto"/>
                <w:sz w:val="24"/>
                <w:szCs w:val="24"/>
                <w:lang w:eastAsia="zh-CN"/>
              </w:rPr>
              <w:t>新疆华域天恒工程管理有限公司</w:t>
            </w:r>
          </w:p>
          <w:p>
            <w:pPr>
              <w:keepNext w:val="0"/>
              <w:keepLines w:val="0"/>
              <w:pageBreakBefore w:val="0"/>
              <w:kinsoku/>
              <w:wordWrap/>
              <w:topLinePunct w:val="0"/>
              <w:bidi w:val="0"/>
              <w:spacing w:line="400" w:lineRule="exact"/>
              <w:ind w:right="105" w:rightChars="5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联 系 人：</w:t>
            </w:r>
            <w:r>
              <w:rPr>
                <w:rFonts w:hint="eastAsia" w:ascii="宋体" w:hAnsi="宋体" w:cs="宋体"/>
                <w:color w:val="auto"/>
                <w:sz w:val="24"/>
                <w:szCs w:val="24"/>
                <w:lang w:val="en-US" w:eastAsia="zh-CN"/>
              </w:rPr>
              <w:t>马丽娜</w:t>
            </w:r>
          </w:p>
          <w:p>
            <w:pPr>
              <w:keepNext w:val="0"/>
              <w:keepLines w:val="0"/>
              <w:pageBreakBefore w:val="0"/>
              <w:kinsoku/>
              <w:wordWrap/>
              <w:topLinePunct w:val="0"/>
              <w:bidi w:val="0"/>
              <w:spacing w:line="400" w:lineRule="exact"/>
              <w:ind w:right="105" w:rightChars="50"/>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联系电话：099</w:t>
            </w:r>
            <w:r>
              <w:rPr>
                <w:rFonts w:hint="eastAsia" w:ascii="宋体" w:hAnsi="宋体" w:eastAsia="宋体" w:cs="宋体"/>
                <w:color w:val="auto"/>
                <w:sz w:val="24"/>
                <w:szCs w:val="24"/>
                <w:lang w:val="en-US" w:eastAsia="zh-CN"/>
              </w:rPr>
              <w:t>5-8637000、13</w:t>
            </w:r>
            <w:r>
              <w:rPr>
                <w:rFonts w:hint="eastAsia" w:ascii="宋体" w:hAnsi="宋体" w:cs="宋体"/>
                <w:color w:val="auto"/>
                <w:sz w:val="24"/>
                <w:szCs w:val="24"/>
                <w:lang w:val="en-US" w:eastAsia="zh-CN"/>
              </w:rPr>
              <w:t>899314280</w:t>
            </w:r>
          </w:p>
          <w:p>
            <w:pPr>
              <w:keepNext w:val="0"/>
              <w:keepLines w:val="0"/>
              <w:pageBreakBefore w:val="0"/>
              <w:kinsoku/>
              <w:wordWrap/>
              <w:topLinePunct w:val="0"/>
              <w:bidi w:val="0"/>
              <w:spacing w:line="400" w:lineRule="exact"/>
              <w:ind w:right="105" w:rightChars="50"/>
              <w:jc w:val="left"/>
              <w:rPr>
                <w:rFonts w:hint="eastAsia" w:ascii="宋体" w:hAnsi="宋体" w:eastAsia="宋体" w:cs="宋体"/>
                <w:color w:val="auto"/>
                <w:sz w:val="24"/>
                <w:szCs w:val="24"/>
              </w:rPr>
            </w:pPr>
            <w:r>
              <w:rPr>
                <w:rFonts w:hint="eastAsia" w:ascii="宋体" w:hAnsi="宋体" w:eastAsia="宋体" w:cs="宋体"/>
                <w:color w:val="auto"/>
                <w:sz w:val="24"/>
                <w:szCs w:val="24"/>
              </w:rPr>
              <w:t>质疑函接受方式：现场接受或邮寄接受</w:t>
            </w:r>
          </w:p>
          <w:p>
            <w:pPr>
              <w:keepNext w:val="0"/>
              <w:keepLines w:val="0"/>
              <w:pageBreakBefore w:val="0"/>
              <w:kinsoku/>
              <w:wordWrap/>
              <w:topLinePunct w:val="0"/>
              <w:bidi w:val="0"/>
              <w:spacing w:line="400" w:lineRule="exact"/>
              <w:ind w:right="105" w:rightChars="50"/>
              <w:jc w:val="left"/>
              <w:rPr>
                <w:rFonts w:hint="eastAsia" w:ascii="宋体" w:hAnsi="宋体" w:eastAsia="宋体" w:cs="宋体"/>
                <w:color w:val="auto"/>
                <w:sz w:val="24"/>
                <w:szCs w:val="24"/>
              </w:rPr>
            </w:pPr>
            <w:r>
              <w:rPr>
                <w:rFonts w:hint="eastAsia" w:ascii="宋体" w:hAnsi="宋体" w:eastAsia="宋体" w:cs="宋体"/>
                <w:color w:val="auto"/>
                <w:sz w:val="24"/>
                <w:szCs w:val="24"/>
              </w:rPr>
              <w:t>地址：吐鲁番市高昌区示范区和平街11幢2层201号</w:t>
            </w:r>
          </w:p>
          <w:p>
            <w:pPr>
              <w:keepNext w:val="0"/>
              <w:keepLines w:val="0"/>
              <w:pageBreakBefore w:val="0"/>
              <w:kinsoku/>
              <w:wordWrap/>
              <w:topLinePunct w:val="0"/>
              <w:bidi w:val="0"/>
              <w:spacing w:line="400" w:lineRule="exact"/>
              <w:ind w:right="105" w:rightChars="50"/>
              <w:jc w:val="left"/>
              <w:rPr>
                <w:rFonts w:hint="eastAsia" w:ascii="宋体" w:hAnsi="宋体" w:eastAsia="宋体" w:cs="宋体"/>
                <w:color w:val="auto"/>
                <w:sz w:val="24"/>
                <w:szCs w:val="24"/>
              </w:rPr>
            </w:pPr>
            <w:r>
              <w:rPr>
                <w:rFonts w:hint="eastAsia" w:ascii="宋体" w:hAnsi="宋体" w:eastAsia="宋体" w:cs="宋体"/>
                <w:color w:val="auto"/>
                <w:sz w:val="24"/>
                <w:szCs w:val="24"/>
              </w:rPr>
              <w:t>对采购过程提出质疑时间：为各采购程序环节结束之日起七个工作日内。</w:t>
            </w:r>
          </w:p>
          <w:p>
            <w:pPr>
              <w:keepNext w:val="0"/>
              <w:keepLines w:val="0"/>
              <w:pageBreakBefore w:val="0"/>
              <w:kinsoku/>
              <w:wordWrap/>
              <w:topLinePunct w:val="0"/>
              <w:bidi w:val="0"/>
              <w:spacing w:line="400" w:lineRule="exact"/>
              <w:ind w:right="105" w:rightChars="50"/>
              <w:jc w:val="left"/>
              <w:rPr>
                <w:rFonts w:hint="eastAsia" w:ascii="宋体" w:hAnsi="宋体" w:eastAsia="宋体" w:cs="宋体"/>
                <w:color w:val="auto"/>
                <w:sz w:val="24"/>
                <w:szCs w:val="24"/>
              </w:rPr>
            </w:pPr>
            <w:r>
              <w:rPr>
                <w:rFonts w:hint="eastAsia" w:ascii="宋体" w:hAnsi="宋体" w:eastAsia="宋体" w:cs="宋体"/>
                <w:color w:val="auto"/>
                <w:sz w:val="24"/>
                <w:szCs w:val="24"/>
              </w:rPr>
              <w:t>对采购结果提出质疑时间：为中标结果公告发布次日后七个工作日内。</w:t>
            </w:r>
          </w:p>
          <w:p>
            <w:pPr>
              <w:keepNext w:val="0"/>
              <w:keepLines w:val="0"/>
              <w:pageBreakBefore w:val="0"/>
              <w:kinsoku/>
              <w:wordWrap/>
              <w:topLinePunct w:val="0"/>
              <w:bidi w:val="0"/>
              <w:spacing w:line="400" w:lineRule="exact"/>
              <w:ind w:right="105" w:rightChars="50"/>
              <w:jc w:val="left"/>
              <w:rPr>
                <w:rFonts w:hint="eastAsia" w:ascii="宋体" w:hAnsi="宋体" w:eastAsia="宋体" w:cs="宋体"/>
                <w:color w:val="auto"/>
                <w:sz w:val="24"/>
                <w:szCs w:val="24"/>
              </w:rPr>
            </w:pPr>
            <w:r>
              <w:rPr>
                <w:rFonts w:hint="eastAsia" w:ascii="宋体" w:hAnsi="宋体" w:eastAsia="宋体" w:cs="宋体"/>
                <w:color w:val="auto"/>
                <w:sz w:val="24"/>
                <w:szCs w:val="24"/>
              </w:rPr>
              <w:t>备注：1、采购单位无正当理由不按照依法推荐的中标候选供应商顺序确定中标供应商，或者在评标委员会依法推荐的中标候选供应商以外确定中标供应商的质疑由采购单位受理。</w:t>
            </w:r>
          </w:p>
          <w:p>
            <w:pPr>
              <w:keepNext w:val="0"/>
              <w:keepLines w:val="0"/>
              <w:pageBreakBefore w:val="0"/>
              <w:kinsoku/>
              <w:wordWrap/>
              <w:topLinePunct w:val="0"/>
              <w:bidi w:val="0"/>
              <w:spacing w:line="400" w:lineRule="exact"/>
              <w:ind w:right="105" w:rightChars="50"/>
              <w:jc w:val="left"/>
              <w:rPr>
                <w:rFonts w:hint="eastAsia" w:ascii="宋体" w:hAnsi="宋体" w:eastAsia="宋体" w:cs="宋体"/>
                <w:color w:val="auto"/>
                <w:sz w:val="24"/>
                <w:szCs w:val="24"/>
              </w:rPr>
            </w:pPr>
            <w:r>
              <w:rPr>
                <w:rFonts w:hint="eastAsia" w:ascii="宋体" w:hAnsi="宋体" w:eastAsia="宋体" w:cs="宋体"/>
                <w:color w:val="auto"/>
                <w:sz w:val="24"/>
                <w:szCs w:val="24"/>
              </w:rPr>
              <w:t>2、供应商应当在法定质疑期内一次性提出针对统一采购程序环节的质疑。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94" w:hRule="atLeast"/>
          <w:jc w:val="center"/>
        </w:trPr>
        <w:tc>
          <w:tcPr>
            <w:tcW w:w="547" w:type="dxa"/>
            <w:tcBorders>
              <w:top w:val="single" w:color="auto" w:sz="8" w:space="0"/>
              <w:left w:val="single" w:color="auto" w:sz="18" w:space="0"/>
              <w:bottom w:val="single" w:color="auto" w:sz="8" w:space="0"/>
              <w:right w:val="single" w:color="auto" w:sz="8" w:space="0"/>
            </w:tcBorders>
            <w:noWrap w:val="0"/>
            <w:vAlign w:val="center"/>
          </w:tcPr>
          <w:p>
            <w:pPr>
              <w:keepNext w:val="0"/>
              <w:keepLines w:val="0"/>
              <w:pageBreakBefore w:val="0"/>
              <w:kinsoku/>
              <w:wordWrap/>
              <w:topLinePunct w:val="0"/>
              <w:bidi w:val="0"/>
              <w:spacing w:line="400" w:lineRule="exact"/>
              <w:ind w:right="80" w:rightChars="0"/>
              <w:jc w:val="center"/>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sz w:val="24"/>
                <w:szCs w:val="24"/>
                <w:lang w:val="en-US" w:eastAsia="zh-CN"/>
              </w:rPr>
              <w:t>29</w:t>
            </w:r>
          </w:p>
        </w:tc>
        <w:tc>
          <w:tcPr>
            <w:tcW w:w="1619" w:type="dxa"/>
            <w:tcBorders>
              <w:top w:val="single" w:color="auto" w:sz="8" w:space="0"/>
              <w:left w:val="single" w:color="auto" w:sz="8" w:space="0"/>
              <w:bottom w:val="single" w:color="auto" w:sz="8" w:space="0"/>
              <w:right w:val="single" w:color="auto" w:sz="8" w:space="0"/>
            </w:tcBorders>
            <w:noWrap w:val="0"/>
            <w:vAlign w:val="center"/>
          </w:tcPr>
          <w:p>
            <w:pPr>
              <w:pStyle w:val="41"/>
              <w:keepNext w:val="0"/>
              <w:keepLines w:val="0"/>
              <w:pageBreakBefore w:val="0"/>
              <w:kinsoku/>
              <w:wordWrap/>
              <w:topLinePunct w:val="0"/>
              <w:bidi w:val="0"/>
              <w:spacing w:line="400" w:lineRule="exact"/>
              <w:ind w:left="96"/>
              <w:jc w:val="center"/>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投诉</w:t>
            </w:r>
          </w:p>
        </w:tc>
        <w:tc>
          <w:tcPr>
            <w:tcW w:w="8032"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kinsoku/>
              <w:wordWrap/>
              <w:topLinePunct w:val="0"/>
              <w:bidi w:val="0"/>
              <w:spacing w:line="400" w:lineRule="exact"/>
              <w:ind w:right="105" w:rightChars="50"/>
              <w:jc w:val="left"/>
              <w:rPr>
                <w:rFonts w:hint="eastAsia" w:ascii="宋体" w:hAnsi="宋体" w:eastAsia="宋体" w:cs="宋体"/>
                <w:color w:val="auto"/>
                <w:sz w:val="24"/>
                <w:szCs w:val="24"/>
              </w:rPr>
            </w:pPr>
            <w:r>
              <w:rPr>
                <w:rFonts w:hint="eastAsia" w:ascii="宋体" w:hAnsi="宋体" w:eastAsia="宋体" w:cs="宋体"/>
                <w:color w:val="auto"/>
                <w:sz w:val="24"/>
                <w:szCs w:val="24"/>
              </w:rPr>
              <w:t>投诉受理单位：本采购项目同级财政部门，即</w:t>
            </w:r>
            <w:r>
              <w:rPr>
                <w:rFonts w:hint="eastAsia" w:ascii="宋体" w:hAnsi="宋体" w:eastAsia="宋体" w:cs="宋体"/>
                <w:color w:val="auto"/>
                <w:sz w:val="24"/>
                <w:szCs w:val="24"/>
                <w:u w:val="single"/>
                <w:lang w:val="en-US" w:eastAsia="zh-CN"/>
              </w:rPr>
              <w:t>托克逊县</w:t>
            </w:r>
            <w:r>
              <w:rPr>
                <w:rFonts w:hint="eastAsia" w:ascii="宋体" w:hAnsi="宋体" w:eastAsia="宋体" w:cs="宋体"/>
                <w:color w:val="auto"/>
                <w:sz w:val="24"/>
                <w:szCs w:val="24"/>
                <w:u w:val="single"/>
                <w:lang w:eastAsia="zh-CN"/>
              </w:rPr>
              <w:t>财政局</w:t>
            </w:r>
            <w:r>
              <w:rPr>
                <w:rFonts w:hint="eastAsia" w:ascii="宋体" w:hAnsi="宋体" w:eastAsia="宋体" w:cs="宋体"/>
                <w:color w:val="auto"/>
                <w:sz w:val="24"/>
                <w:szCs w:val="24"/>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547" w:type="dxa"/>
            <w:tcBorders>
              <w:top w:val="single" w:color="auto" w:sz="8" w:space="0"/>
              <w:left w:val="single" w:color="auto" w:sz="18" w:space="0"/>
              <w:bottom w:val="single" w:color="auto" w:sz="8" w:space="0"/>
              <w:right w:val="single" w:color="auto" w:sz="8" w:space="0"/>
            </w:tcBorders>
            <w:noWrap w:val="0"/>
            <w:vAlign w:val="center"/>
          </w:tcPr>
          <w:p>
            <w:pPr>
              <w:keepNext w:val="0"/>
              <w:keepLines w:val="0"/>
              <w:pageBreakBefore w:val="0"/>
              <w:kinsoku/>
              <w:wordWrap/>
              <w:topLinePunct w:val="0"/>
              <w:bidi w:val="0"/>
              <w:spacing w:line="400" w:lineRule="exact"/>
              <w:ind w:right="80" w:rightChars="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bCs/>
                <w:color w:val="auto"/>
                <w:sz w:val="24"/>
                <w:szCs w:val="24"/>
                <w:lang w:val="en-US" w:eastAsia="zh-CN"/>
              </w:rPr>
              <w:t>30</w:t>
            </w:r>
          </w:p>
        </w:tc>
        <w:tc>
          <w:tcPr>
            <w:tcW w:w="1619" w:type="dxa"/>
            <w:tcBorders>
              <w:top w:val="single" w:color="auto" w:sz="8" w:space="0"/>
              <w:left w:val="single" w:color="auto" w:sz="8" w:space="0"/>
              <w:bottom w:val="single" w:color="auto" w:sz="8" w:space="0"/>
              <w:right w:val="single" w:color="auto" w:sz="8" w:space="0"/>
            </w:tcBorders>
            <w:noWrap w:val="0"/>
            <w:vAlign w:val="center"/>
          </w:tcPr>
          <w:p>
            <w:pPr>
              <w:pStyle w:val="41"/>
              <w:keepNext w:val="0"/>
              <w:keepLines w:val="0"/>
              <w:pageBreakBefore w:val="0"/>
              <w:kinsoku/>
              <w:wordWrap/>
              <w:topLinePunct w:val="0"/>
              <w:bidi w:val="0"/>
              <w:spacing w:line="400" w:lineRule="exact"/>
              <w:jc w:val="center"/>
              <w:rPr>
                <w:rFonts w:hint="eastAsia" w:ascii="宋体" w:hAnsi="宋体" w:eastAsia="宋体" w:cs="宋体"/>
                <w:color w:val="auto"/>
                <w:kern w:val="2"/>
                <w:sz w:val="24"/>
                <w:szCs w:val="24"/>
              </w:rPr>
            </w:pPr>
            <w:r>
              <w:rPr>
                <w:rFonts w:hint="eastAsia" w:ascii="宋体" w:hAnsi="宋体" w:eastAsia="宋体" w:cs="宋体"/>
                <w:color w:val="auto"/>
                <w:sz w:val="24"/>
                <w:szCs w:val="24"/>
              </w:rPr>
              <w:t>评审情况的公告</w:t>
            </w:r>
          </w:p>
        </w:tc>
        <w:tc>
          <w:tcPr>
            <w:tcW w:w="8032"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kinsoku/>
              <w:wordWrap/>
              <w:topLinePunct w:val="0"/>
              <w:bidi w:val="0"/>
              <w:spacing w:line="400" w:lineRule="exact"/>
              <w:ind w:right="105" w:rightChars="50"/>
              <w:jc w:val="left"/>
              <w:rPr>
                <w:rFonts w:hint="eastAsia" w:ascii="宋体" w:hAnsi="宋体" w:eastAsia="宋体" w:cs="宋体"/>
                <w:color w:val="auto"/>
                <w:sz w:val="24"/>
                <w:szCs w:val="24"/>
              </w:rPr>
            </w:pPr>
            <w:r>
              <w:rPr>
                <w:rFonts w:hint="eastAsia" w:ascii="宋体" w:hAnsi="宋体" w:eastAsia="宋体" w:cs="宋体"/>
                <w:color w:val="auto"/>
                <w:sz w:val="24"/>
                <w:szCs w:val="24"/>
              </w:rPr>
              <w:t>评审结果将在新疆政府采购网上采购结果公告栏中予以公告。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47" w:hRule="atLeast"/>
          <w:jc w:val="center"/>
        </w:trPr>
        <w:tc>
          <w:tcPr>
            <w:tcW w:w="547" w:type="dxa"/>
            <w:tcBorders>
              <w:top w:val="single" w:color="auto" w:sz="8" w:space="0"/>
              <w:left w:val="single" w:color="auto" w:sz="18" w:space="0"/>
              <w:bottom w:val="single" w:color="auto" w:sz="8" w:space="0"/>
              <w:right w:val="single" w:color="auto" w:sz="8" w:space="0"/>
            </w:tcBorders>
            <w:noWrap w:val="0"/>
            <w:vAlign w:val="center"/>
          </w:tcPr>
          <w:p>
            <w:pPr>
              <w:pStyle w:val="41"/>
              <w:keepNext w:val="0"/>
              <w:keepLines w:val="0"/>
              <w:pageBreakBefore w:val="0"/>
              <w:kinsoku/>
              <w:wordWrap/>
              <w:topLinePunct w:val="0"/>
              <w:bidi w:val="0"/>
              <w:spacing w:line="400" w:lineRule="exact"/>
              <w:ind w:right="230" w:rightChars="0"/>
              <w:jc w:val="center"/>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rPr>
              <w:t>31</w:t>
            </w:r>
          </w:p>
        </w:tc>
        <w:tc>
          <w:tcPr>
            <w:tcW w:w="161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topLinePunct w:val="0"/>
              <w:bidi w:val="0"/>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政府采购合同</w:t>
            </w:r>
          </w:p>
          <w:p>
            <w:pPr>
              <w:keepNext w:val="0"/>
              <w:keepLines w:val="0"/>
              <w:pageBreakBefore w:val="0"/>
              <w:kinsoku/>
              <w:wordWrap/>
              <w:topLinePunct w:val="0"/>
              <w:bidi w:val="0"/>
              <w:spacing w:line="400" w:lineRule="exact"/>
              <w:ind w:firstLine="120" w:firstLineChars="50"/>
              <w:jc w:val="center"/>
              <w:rPr>
                <w:rFonts w:hint="eastAsia" w:ascii="宋体" w:hAnsi="宋体" w:eastAsia="宋体" w:cs="宋体"/>
                <w:color w:val="auto"/>
                <w:sz w:val="24"/>
                <w:szCs w:val="24"/>
              </w:rPr>
            </w:pPr>
            <w:r>
              <w:rPr>
                <w:rFonts w:hint="eastAsia" w:ascii="宋体" w:hAnsi="宋体" w:eastAsia="宋体" w:cs="宋体"/>
                <w:color w:val="auto"/>
                <w:sz w:val="24"/>
                <w:szCs w:val="24"/>
              </w:rPr>
              <w:t>备案</w:t>
            </w:r>
          </w:p>
        </w:tc>
        <w:tc>
          <w:tcPr>
            <w:tcW w:w="8032"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kinsoku/>
              <w:wordWrap/>
              <w:topLinePunct w:val="0"/>
              <w:bidi w:val="0"/>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政府采购合同签订之日起2个工作日内，采购人应将政府采购合同在新疆政府采购网公告；政府采购合同签订之日起七个工作日内，政府采购合同将向本采购项目同级财政部门备案。</w:t>
            </w:r>
          </w:p>
          <w:p>
            <w:pPr>
              <w:keepNext w:val="0"/>
              <w:keepLines w:val="0"/>
              <w:pageBreakBefore w:val="0"/>
              <w:kinsoku/>
              <w:wordWrap/>
              <w:topLinePunct w:val="0"/>
              <w:bidi w:val="0"/>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政府采购合同签订之日起2个工作日内，成交供应商应将政府采购合同向采购代理机构审核</w:t>
            </w:r>
            <w:r>
              <w:rPr>
                <w:rFonts w:hint="eastAsia" w:ascii="宋体" w:hAnsi="宋体" w:eastAsia="宋体" w:cs="宋体"/>
                <w:color w:val="auto"/>
                <w:sz w:val="24"/>
                <w:szCs w:val="24"/>
                <w:lang w:val="zh-CN"/>
              </w:rPr>
              <w:t>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78" w:hRule="atLeast"/>
          <w:jc w:val="center"/>
        </w:trPr>
        <w:tc>
          <w:tcPr>
            <w:tcW w:w="547" w:type="dxa"/>
            <w:tcBorders>
              <w:top w:val="single" w:color="auto" w:sz="8" w:space="0"/>
              <w:left w:val="single" w:color="auto" w:sz="18" w:space="0"/>
              <w:bottom w:val="single" w:color="auto" w:sz="8" w:space="0"/>
              <w:right w:val="single" w:color="auto" w:sz="8" w:space="0"/>
            </w:tcBorders>
            <w:noWrap w:val="0"/>
            <w:vAlign w:val="center"/>
          </w:tcPr>
          <w:p>
            <w:pPr>
              <w:keepNext w:val="0"/>
              <w:keepLines w:val="0"/>
              <w:pageBreakBefore w:val="0"/>
              <w:kinsoku/>
              <w:wordWrap/>
              <w:topLinePunct w:val="0"/>
              <w:bidi w:val="0"/>
              <w:spacing w:line="400" w:lineRule="exact"/>
              <w:ind w:right="80"/>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32</w:t>
            </w:r>
          </w:p>
        </w:tc>
        <w:tc>
          <w:tcPr>
            <w:tcW w:w="1619" w:type="dxa"/>
            <w:tcBorders>
              <w:top w:val="single" w:color="auto" w:sz="8" w:space="0"/>
              <w:left w:val="single" w:color="auto" w:sz="8" w:space="0"/>
              <w:bottom w:val="single" w:color="auto" w:sz="8" w:space="0"/>
              <w:right w:val="single" w:color="auto" w:sz="8" w:space="0"/>
            </w:tcBorders>
            <w:noWrap w:val="0"/>
            <w:vAlign w:val="center"/>
          </w:tcPr>
          <w:p>
            <w:pPr>
              <w:pStyle w:val="57"/>
              <w:keepNext w:val="0"/>
              <w:keepLines w:val="0"/>
              <w:pageBreakBefore w:val="0"/>
              <w:kinsoku/>
              <w:wordWrap/>
              <w:topLinePunct w:val="0"/>
              <w:bidi w:val="0"/>
              <w:spacing w:before="100" w:beforeAutospacing="1" w:after="100" w:afterAutospacing="1" w:line="40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低于成本价不正当竞争预防措施</w:t>
            </w:r>
          </w:p>
          <w:p>
            <w:pPr>
              <w:pStyle w:val="57"/>
              <w:keepNext w:val="0"/>
              <w:keepLines w:val="0"/>
              <w:pageBreakBefore w:val="0"/>
              <w:kinsoku/>
              <w:wordWrap/>
              <w:topLinePunct w:val="0"/>
              <w:bidi w:val="0"/>
              <w:spacing w:before="100" w:beforeAutospacing="1" w:after="100" w:afterAutospacing="1" w:line="40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w:t>
            </w:r>
            <w:r>
              <w:rPr>
                <w:rFonts w:hint="eastAsia" w:ascii="宋体" w:hAnsi="宋体" w:eastAsia="宋体" w:cs="宋体"/>
                <w:b/>
                <w:bCs/>
                <w:color w:val="auto"/>
                <w:sz w:val="24"/>
                <w:szCs w:val="24"/>
              </w:rPr>
              <w:t>实质性要求</w:t>
            </w:r>
            <w:r>
              <w:rPr>
                <w:rFonts w:hint="eastAsia" w:ascii="宋体" w:hAnsi="宋体" w:eastAsia="宋体" w:cs="宋体"/>
                <w:bCs/>
                <w:color w:val="auto"/>
                <w:sz w:val="24"/>
                <w:szCs w:val="24"/>
              </w:rPr>
              <w:t>）</w:t>
            </w:r>
          </w:p>
        </w:tc>
        <w:tc>
          <w:tcPr>
            <w:tcW w:w="8032" w:type="dxa"/>
            <w:tcBorders>
              <w:top w:val="single" w:color="auto" w:sz="8" w:space="0"/>
              <w:left w:val="single" w:color="auto" w:sz="8" w:space="0"/>
              <w:bottom w:val="single" w:color="auto" w:sz="8" w:space="0"/>
              <w:right w:val="single" w:color="auto" w:sz="18" w:space="0"/>
            </w:tcBorders>
            <w:noWrap w:val="0"/>
            <w:vAlign w:val="center"/>
          </w:tcPr>
          <w:p>
            <w:pPr>
              <w:pStyle w:val="41"/>
              <w:keepNext w:val="0"/>
              <w:keepLines w:val="0"/>
              <w:pageBreakBefore w:val="0"/>
              <w:kinsoku/>
              <w:wordWrap/>
              <w:topLinePunct w:val="0"/>
              <w:bidi w:val="0"/>
              <w:spacing w:line="400" w:lineRule="exact"/>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在评标过程中，评审委员会认为投标人报价低于成本价，有可能影响产品质量或者不能诚信履约的，评标委员会应当要求其在评标现场</w:t>
            </w:r>
            <w:r>
              <w:rPr>
                <w:rFonts w:hint="eastAsia" w:ascii="宋体" w:hAnsi="宋体" w:eastAsia="宋体" w:cs="宋体"/>
                <w:color w:val="auto"/>
                <w:sz w:val="24"/>
                <w:szCs w:val="24"/>
                <w:lang w:val="en-US" w:eastAsia="zh-CN"/>
              </w:rPr>
              <w:t>30分钟</w:t>
            </w:r>
            <w:r>
              <w:rPr>
                <w:rFonts w:hint="eastAsia" w:ascii="宋体" w:hAnsi="宋体" w:eastAsia="宋体" w:cs="宋体"/>
                <w:color w:val="auto"/>
                <w:sz w:val="24"/>
                <w:szCs w:val="24"/>
              </w:rPr>
              <w:t>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keepNext w:val="0"/>
              <w:keepLines w:val="0"/>
              <w:pageBreakBefore w:val="0"/>
              <w:kinsoku/>
              <w:wordWrap/>
              <w:topLinePunct w:val="0"/>
              <w:bidi w:val="0"/>
              <w:spacing w:line="40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供应商提供书面说明后，评标委员会应当结合采购项目采购需求、专业实际情况、供应商财务状况报告、与其他供应商比较情况等就供应商书面说明进行审查评价。</w:t>
            </w:r>
            <w:r>
              <w:rPr>
                <w:rFonts w:hint="eastAsia" w:ascii="宋体" w:hAnsi="宋体" w:eastAsia="宋体" w:cs="宋体"/>
                <w:b/>
                <w:color w:val="auto"/>
                <w:sz w:val="24"/>
                <w:szCs w:val="24"/>
              </w:rPr>
              <w:t>供应商</w:t>
            </w:r>
            <w:r>
              <w:rPr>
                <w:rFonts w:hint="eastAsia" w:ascii="宋体" w:hAnsi="宋体" w:eastAsia="宋体" w:cs="宋体"/>
                <w:b/>
                <w:color w:val="auto"/>
                <w:sz w:val="24"/>
                <w:szCs w:val="24"/>
                <w:lang w:val="en-US" w:eastAsia="zh-CN"/>
              </w:rPr>
              <w:t>逾期、</w:t>
            </w:r>
            <w:r>
              <w:rPr>
                <w:rFonts w:hint="eastAsia" w:ascii="宋体" w:hAnsi="宋体" w:eastAsia="宋体" w:cs="宋体"/>
                <w:b/>
                <w:color w:val="auto"/>
                <w:sz w:val="24"/>
                <w:szCs w:val="24"/>
              </w:rPr>
              <w:t>拒绝或者变相拒绝提供有效书面说明或者书面说明不能证明其报价合理性的，评标委员会应当将其</w:t>
            </w:r>
            <w:r>
              <w:rPr>
                <w:rFonts w:hint="eastAsia" w:ascii="宋体" w:hAnsi="宋体" w:eastAsia="宋体" w:cs="宋体"/>
                <w:b/>
                <w:color w:val="auto"/>
                <w:sz w:val="24"/>
                <w:szCs w:val="24"/>
                <w:lang w:eastAsia="zh-CN"/>
              </w:rPr>
              <w:t>投标文件</w:t>
            </w:r>
            <w:r>
              <w:rPr>
                <w:rFonts w:hint="eastAsia" w:ascii="宋体" w:hAnsi="宋体" w:eastAsia="宋体" w:cs="宋体"/>
                <w:b/>
                <w:color w:val="auto"/>
                <w:sz w:val="24"/>
                <w:szCs w:val="24"/>
              </w:rPr>
              <w:t>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72" w:hRule="atLeast"/>
          <w:jc w:val="center"/>
        </w:trPr>
        <w:tc>
          <w:tcPr>
            <w:tcW w:w="547" w:type="dxa"/>
            <w:tcBorders>
              <w:top w:val="single" w:color="auto" w:sz="8" w:space="0"/>
              <w:left w:val="single" w:color="auto" w:sz="18" w:space="0"/>
              <w:bottom w:val="single" w:color="auto" w:sz="8" w:space="0"/>
              <w:right w:val="single" w:color="auto" w:sz="8" w:space="0"/>
            </w:tcBorders>
            <w:noWrap w:val="0"/>
            <w:vAlign w:val="center"/>
          </w:tcPr>
          <w:p>
            <w:pPr>
              <w:keepNext w:val="0"/>
              <w:keepLines w:val="0"/>
              <w:pageBreakBefore w:val="0"/>
              <w:kinsoku/>
              <w:wordWrap/>
              <w:topLinePunct w:val="0"/>
              <w:bidi w:val="0"/>
              <w:spacing w:line="400" w:lineRule="exact"/>
              <w:ind w:right="8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w:t>
            </w:r>
          </w:p>
        </w:tc>
        <w:tc>
          <w:tcPr>
            <w:tcW w:w="1619" w:type="dxa"/>
            <w:tcBorders>
              <w:top w:val="single" w:color="auto" w:sz="8" w:space="0"/>
              <w:left w:val="single" w:color="auto" w:sz="8" w:space="0"/>
              <w:bottom w:val="single" w:color="auto" w:sz="8" w:space="0"/>
              <w:right w:val="single" w:color="auto" w:sz="8" w:space="0"/>
            </w:tcBorders>
            <w:noWrap w:val="0"/>
            <w:vAlign w:val="center"/>
          </w:tcPr>
          <w:p>
            <w:pPr>
              <w:pStyle w:val="41"/>
              <w:keepNext w:val="0"/>
              <w:keepLines w:val="0"/>
              <w:pageBreakBefore w:val="0"/>
              <w:kinsoku/>
              <w:wordWrap/>
              <w:topLinePunct w:val="0"/>
              <w:bidi w:val="0"/>
              <w:spacing w:line="400" w:lineRule="exact"/>
              <w:ind w:left="96" w:leftChars="0"/>
              <w:jc w:val="center"/>
              <w:rPr>
                <w:rFonts w:hint="eastAsia" w:ascii="宋体" w:hAnsi="宋体" w:eastAsia="宋体" w:cs="宋体"/>
                <w:color w:val="auto"/>
                <w:sz w:val="24"/>
                <w:szCs w:val="24"/>
                <w:lang w:val="zh-CN" w:eastAsia="zh-CN" w:bidi="ar-SA"/>
              </w:rPr>
            </w:pPr>
            <w:r>
              <w:rPr>
                <w:rFonts w:hint="eastAsia" w:ascii="宋体" w:hAnsi="宋体" w:eastAsia="宋体" w:cs="宋体"/>
                <w:color w:val="auto"/>
                <w:sz w:val="24"/>
                <w:szCs w:val="24"/>
                <w:lang w:val="zh-CN"/>
              </w:rPr>
              <w:t>招标代理费</w:t>
            </w:r>
          </w:p>
        </w:tc>
        <w:tc>
          <w:tcPr>
            <w:tcW w:w="8032"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tabs>
                <w:tab w:val="left" w:pos="7665"/>
              </w:tabs>
              <w:kinsoku/>
              <w:wordWrap/>
              <w:topLinePunct w:val="0"/>
              <w:bidi w:val="0"/>
              <w:spacing w:line="400" w:lineRule="exact"/>
              <w:jc w:val="left"/>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代理费收取方式：电汇或银行转账</w:t>
            </w:r>
          </w:p>
          <w:p>
            <w:pPr>
              <w:keepNext w:val="0"/>
              <w:keepLines w:val="0"/>
              <w:pageBreakBefore w:val="0"/>
              <w:tabs>
                <w:tab w:val="left" w:pos="7665"/>
              </w:tabs>
              <w:kinsoku/>
              <w:wordWrap/>
              <w:topLinePunct w:val="0"/>
              <w:bidi w:val="0"/>
              <w:spacing w:line="400" w:lineRule="exact"/>
              <w:jc w:val="left"/>
              <w:rPr>
                <w:rFonts w:hint="eastAsia" w:ascii="宋体" w:hAnsi="宋体" w:eastAsia="宋体" w:cs="宋体"/>
                <w:color w:val="auto"/>
                <w:sz w:val="24"/>
                <w:szCs w:val="24"/>
                <w:lang w:val="zh-CN" w:eastAsia="zh-CN" w:bidi="ar-SA"/>
              </w:rPr>
            </w:pPr>
            <w:r>
              <w:rPr>
                <w:rFonts w:hint="eastAsia" w:ascii="宋体" w:hAnsi="宋体" w:eastAsia="宋体" w:cs="宋体"/>
                <w:color w:val="auto"/>
                <w:sz w:val="24"/>
                <w:szCs w:val="24"/>
                <w:highlight w:val="none"/>
                <w:lang w:val="zh-CN"/>
              </w:rPr>
              <w:t>代理费收取标准：参照计价格【2002】1980号及发改办价格【2003】857号相关内容，由中标人支付，支付方式为电汇或转账。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96" w:hRule="atLeast"/>
          <w:jc w:val="center"/>
        </w:trPr>
        <w:tc>
          <w:tcPr>
            <w:tcW w:w="547" w:type="dxa"/>
            <w:tcBorders>
              <w:top w:val="single" w:color="auto" w:sz="8" w:space="0"/>
              <w:left w:val="single" w:color="auto" w:sz="18" w:space="0"/>
              <w:bottom w:val="single" w:color="auto" w:sz="8" w:space="0"/>
              <w:right w:val="single" w:color="auto" w:sz="8" w:space="0"/>
            </w:tcBorders>
            <w:noWrap w:val="0"/>
            <w:vAlign w:val="center"/>
          </w:tcPr>
          <w:p>
            <w:pPr>
              <w:pStyle w:val="41"/>
              <w:keepNext w:val="0"/>
              <w:keepLines w:val="0"/>
              <w:pageBreakBefore w:val="0"/>
              <w:kinsoku/>
              <w:wordWrap/>
              <w:topLinePunct w:val="0"/>
              <w:bidi w:val="0"/>
              <w:spacing w:line="400" w:lineRule="exact"/>
              <w:ind w:right="23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34</w:t>
            </w:r>
          </w:p>
        </w:tc>
        <w:tc>
          <w:tcPr>
            <w:tcW w:w="1619" w:type="dxa"/>
            <w:tcBorders>
              <w:top w:val="single" w:color="auto" w:sz="8" w:space="0"/>
              <w:left w:val="single" w:color="auto" w:sz="8" w:space="0"/>
              <w:bottom w:val="single" w:color="auto" w:sz="8" w:space="0"/>
              <w:right w:val="single" w:color="auto" w:sz="8" w:space="0"/>
            </w:tcBorders>
            <w:noWrap w:val="0"/>
            <w:vAlign w:val="center"/>
          </w:tcPr>
          <w:p>
            <w:pPr>
              <w:pStyle w:val="41"/>
              <w:keepNext w:val="0"/>
              <w:keepLines w:val="0"/>
              <w:pageBreakBefore w:val="0"/>
              <w:kinsoku/>
              <w:wordWrap/>
              <w:topLinePunct w:val="0"/>
              <w:bidi w:val="0"/>
              <w:spacing w:line="400" w:lineRule="exact"/>
              <w:ind w:left="96" w:leftChars="0"/>
              <w:jc w:val="center"/>
              <w:rPr>
                <w:rFonts w:hint="eastAsia" w:ascii="宋体" w:hAnsi="宋体" w:eastAsia="宋体" w:cs="宋体"/>
                <w:color w:val="auto"/>
                <w:sz w:val="24"/>
                <w:szCs w:val="24"/>
                <w:lang w:val="zh-CN" w:eastAsia="zh-CN" w:bidi="ar-SA"/>
              </w:rPr>
            </w:pPr>
            <w:r>
              <w:rPr>
                <w:rFonts w:hint="eastAsia" w:ascii="宋体" w:hAnsi="宋体" w:eastAsia="宋体" w:cs="宋体"/>
                <w:color w:val="auto"/>
                <w:sz w:val="24"/>
                <w:szCs w:val="24"/>
                <w:lang w:val="zh-CN"/>
              </w:rPr>
              <w:t>信用查询记录</w:t>
            </w:r>
          </w:p>
        </w:tc>
        <w:tc>
          <w:tcPr>
            <w:tcW w:w="8032"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tabs>
                <w:tab w:val="left" w:pos="7665"/>
              </w:tabs>
              <w:kinsoku/>
              <w:wordWrap/>
              <w:topLinePunct w:val="0"/>
              <w:bidi w:val="0"/>
              <w:spacing w:line="400" w:lineRule="exact"/>
              <w:rPr>
                <w:rFonts w:hint="eastAsia" w:ascii="宋体" w:hAnsi="宋体" w:eastAsia="宋体" w:cs="宋体"/>
                <w:color w:val="auto"/>
                <w:sz w:val="24"/>
                <w:szCs w:val="24"/>
                <w:lang w:val="zh-CN" w:eastAsia="zh-CN" w:bidi="ar-SA"/>
              </w:rPr>
            </w:pPr>
            <w:r>
              <w:rPr>
                <w:rFonts w:hint="eastAsia" w:ascii="宋体" w:hAnsi="宋体" w:eastAsia="宋体" w:cs="宋体"/>
                <w:color w:val="auto"/>
                <w:sz w:val="24"/>
                <w:szCs w:val="24"/>
                <w:lang w:val="zh-CN"/>
              </w:rPr>
              <w:t>资格审查时，通过“信用中国”网站(www.creditchina.gov.cn)、中国政府采购网(www.ccgp.gov.cn)渠道查询投标人信用记录，经查询列入失信被执行人、重大税收违法案件当事人名单、政府采购严重违法失信行为记录名单，其投标无效，无效投标人的信用记录查询结果截图将作为项目材料的组成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86" w:hRule="atLeast"/>
          <w:jc w:val="center"/>
        </w:trPr>
        <w:tc>
          <w:tcPr>
            <w:tcW w:w="547" w:type="dxa"/>
            <w:tcBorders>
              <w:top w:val="single" w:color="auto" w:sz="8" w:space="0"/>
              <w:left w:val="single" w:color="auto" w:sz="18" w:space="0"/>
              <w:bottom w:val="single" w:color="auto" w:sz="8" w:space="0"/>
              <w:right w:val="single" w:color="auto" w:sz="8" w:space="0"/>
            </w:tcBorders>
            <w:noWrap w:val="0"/>
            <w:vAlign w:val="center"/>
          </w:tcPr>
          <w:p>
            <w:pPr>
              <w:pStyle w:val="41"/>
              <w:keepNext w:val="0"/>
              <w:keepLines w:val="0"/>
              <w:pageBreakBefore w:val="0"/>
              <w:kinsoku/>
              <w:wordWrap/>
              <w:topLinePunct w:val="0"/>
              <w:bidi w:val="0"/>
              <w:spacing w:line="400" w:lineRule="exact"/>
              <w:ind w:right="23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35</w:t>
            </w:r>
          </w:p>
        </w:tc>
        <w:tc>
          <w:tcPr>
            <w:tcW w:w="1619" w:type="dxa"/>
            <w:tcBorders>
              <w:top w:val="single" w:color="auto" w:sz="8" w:space="0"/>
              <w:left w:val="single" w:color="auto" w:sz="8" w:space="0"/>
              <w:bottom w:val="single" w:color="auto" w:sz="8" w:space="0"/>
              <w:right w:val="single" w:color="auto" w:sz="8" w:space="0"/>
            </w:tcBorders>
            <w:noWrap w:val="0"/>
            <w:vAlign w:val="center"/>
          </w:tcPr>
          <w:p>
            <w:pPr>
              <w:pStyle w:val="41"/>
              <w:keepNext w:val="0"/>
              <w:keepLines w:val="0"/>
              <w:pageBreakBefore w:val="0"/>
              <w:kinsoku/>
              <w:wordWrap/>
              <w:topLinePunct w:val="0"/>
              <w:bidi w:val="0"/>
              <w:spacing w:line="400" w:lineRule="exact"/>
              <w:ind w:left="96" w:leftChars="0"/>
              <w:jc w:val="center"/>
              <w:rPr>
                <w:rFonts w:hint="eastAsia" w:ascii="宋体" w:hAnsi="宋体" w:eastAsia="宋体" w:cs="宋体"/>
                <w:color w:val="auto"/>
                <w:sz w:val="24"/>
                <w:szCs w:val="24"/>
                <w:lang w:val="zh-CN" w:eastAsia="zh-CN" w:bidi="ar-SA"/>
              </w:rPr>
            </w:pPr>
            <w:r>
              <w:rPr>
                <w:rFonts w:hint="eastAsia" w:ascii="宋体" w:hAnsi="宋体" w:eastAsia="宋体" w:cs="宋体"/>
                <w:bCs/>
                <w:sz w:val="24"/>
                <w:szCs w:val="24"/>
              </w:rPr>
              <w:t>现场踏勘</w:t>
            </w:r>
          </w:p>
        </w:tc>
        <w:tc>
          <w:tcPr>
            <w:tcW w:w="8032"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kinsoku/>
              <w:wordWrap/>
              <w:overflowPunct w:val="0"/>
              <w:topLinePunct w:val="0"/>
              <w:bidi w:val="0"/>
              <w:spacing w:line="400" w:lineRule="exact"/>
              <w:rPr>
                <w:rFonts w:hint="eastAsia" w:ascii="宋体" w:hAnsi="宋体" w:eastAsia="宋体" w:cs="宋体"/>
                <w:bCs/>
                <w:sz w:val="24"/>
                <w:szCs w:val="24"/>
              </w:rPr>
            </w:pPr>
            <w:r>
              <w:rPr>
                <w:rFonts w:hint="eastAsia" w:ascii="宋体" w:hAnsi="宋体" w:eastAsia="宋体" w:cs="宋体"/>
                <w:bCs/>
                <w:sz w:val="24"/>
                <w:szCs w:val="24"/>
              </w:rPr>
              <w:t>现场踏勘：自行现场勘察。</w:t>
            </w:r>
          </w:p>
          <w:p>
            <w:pPr>
              <w:keepNext w:val="0"/>
              <w:keepLines w:val="0"/>
              <w:pageBreakBefore w:val="0"/>
              <w:tabs>
                <w:tab w:val="left" w:pos="7665"/>
              </w:tabs>
              <w:kinsoku/>
              <w:wordWrap/>
              <w:topLinePunct w:val="0"/>
              <w:bidi w:val="0"/>
              <w:spacing w:line="400" w:lineRule="exact"/>
              <w:jc w:val="left"/>
              <w:rPr>
                <w:rFonts w:hint="eastAsia" w:ascii="宋体" w:hAnsi="宋体" w:eastAsia="宋体" w:cs="宋体"/>
                <w:b/>
                <w:sz w:val="24"/>
                <w:szCs w:val="24"/>
                <w:lang w:val="zh-CN" w:eastAsia="zh-CN" w:bidi="ar-SA"/>
              </w:rPr>
            </w:pPr>
            <w:r>
              <w:rPr>
                <w:rFonts w:hint="eastAsia" w:ascii="宋体" w:hAnsi="宋体" w:eastAsia="宋体" w:cs="宋体"/>
                <w:bCs/>
                <w:sz w:val="24"/>
                <w:szCs w:val="24"/>
              </w:rPr>
              <w:t>勘察现场的费用由投标人自己承担，勘察期间所发生的人身伤害及财产损失由投标人自己负责。</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45" w:hRule="atLeast"/>
          <w:jc w:val="center"/>
        </w:trPr>
        <w:tc>
          <w:tcPr>
            <w:tcW w:w="547" w:type="dxa"/>
            <w:tcBorders>
              <w:top w:val="single" w:color="auto" w:sz="8" w:space="0"/>
              <w:left w:val="single" w:color="auto" w:sz="18" w:space="0"/>
              <w:bottom w:val="single" w:color="auto" w:sz="8" w:space="0"/>
              <w:right w:val="single" w:color="auto" w:sz="8" w:space="0"/>
            </w:tcBorders>
            <w:noWrap w:val="0"/>
            <w:vAlign w:val="center"/>
          </w:tcPr>
          <w:p>
            <w:pPr>
              <w:pStyle w:val="41"/>
              <w:keepNext w:val="0"/>
              <w:keepLines w:val="0"/>
              <w:pageBreakBefore w:val="0"/>
              <w:kinsoku/>
              <w:wordWrap/>
              <w:topLinePunct w:val="0"/>
              <w:bidi w:val="0"/>
              <w:spacing w:line="400" w:lineRule="exact"/>
              <w:ind w:right="23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36</w:t>
            </w:r>
          </w:p>
        </w:tc>
        <w:tc>
          <w:tcPr>
            <w:tcW w:w="1619" w:type="dxa"/>
            <w:tcBorders>
              <w:top w:val="single" w:color="auto" w:sz="8" w:space="0"/>
              <w:left w:val="single" w:color="auto" w:sz="8" w:space="0"/>
              <w:bottom w:val="single" w:color="auto" w:sz="8" w:space="0"/>
              <w:right w:val="single" w:color="auto" w:sz="8" w:space="0"/>
            </w:tcBorders>
            <w:noWrap w:val="0"/>
            <w:vAlign w:val="center"/>
          </w:tcPr>
          <w:p>
            <w:pPr>
              <w:pStyle w:val="41"/>
              <w:keepNext w:val="0"/>
              <w:keepLines w:val="0"/>
              <w:pageBreakBefore w:val="0"/>
              <w:kinsoku/>
              <w:wordWrap/>
              <w:topLinePunct w:val="0"/>
              <w:bidi w:val="0"/>
              <w:spacing w:line="400" w:lineRule="exact"/>
              <w:ind w:left="96" w:left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节能环保</w:t>
            </w:r>
          </w:p>
        </w:tc>
        <w:tc>
          <w:tcPr>
            <w:tcW w:w="8032"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widowControl/>
              <w:suppressLineNumbers w:val="0"/>
              <w:kinsoku/>
              <w:wordWrap/>
              <w:topLinePunct w:val="0"/>
              <w:bidi w:val="0"/>
              <w:spacing w:line="400" w:lineRule="exact"/>
              <w:jc w:val="left"/>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政府采购强制采购：</w:t>
            </w:r>
            <w:r>
              <w:rPr>
                <w:rFonts w:hint="eastAsia" w:ascii="宋体" w:hAnsi="宋体" w:eastAsia="宋体" w:cs="宋体"/>
                <w:color w:val="000000"/>
                <w:kern w:val="0"/>
                <w:sz w:val="24"/>
                <w:szCs w:val="24"/>
                <w:lang w:val="en-US" w:eastAsia="zh-CN" w:bidi="ar"/>
              </w:rPr>
              <w:t xml:space="preserve">(1)标记符号的节能产品；(2)其他。采购最新一期《节能产品政府采购清单》的产品。 </w:t>
            </w:r>
          </w:p>
          <w:p>
            <w:pPr>
              <w:keepNext w:val="0"/>
              <w:keepLines w:val="0"/>
              <w:pageBreakBefore w:val="0"/>
              <w:widowControl/>
              <w:suppressLineNumbers w:val="0"/>
              <w:kinsoku/>
              <w:wordWrap/>
              <w:topLinePunct w:val="0"/>
              <w:bidi w:val="0"/>
              <w:spacing w:line="400" w:lineRule="exact"/>
              <w:jc w:val="left"/>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政府采购优先采购：</w:t>
            </w:r>
            <w:r>
              <w:rPr>
                <w:rFonts w:hint="eastAsia" w:ascii="宋体" w:hAnsi="宋体" w:eastAsia="宋体" w:cs="宋体"/>
                <w:color w:val="000000"/>
                <w:kern w:val="0"/>
                <w:sz w:val="24"/>
                <w:szCs w:val="24"/>
                <w:lang w:val="en-US" w:eastAsia="zh-CN" w:bidi="ar"/>
              </w:rPr>
              <w:t xml:space="preserve">(1)非标记符号的节能产品；(2)环境标志产品； </w:t>
            </w:r>
          </w:p>
          <w:p>
            <w:pPr>
              <w:keepNext w:val="0"/>
              <w:keepLines w:val="0"/>
              <w:pageBreakBefore w:val="0"/>
              <w:widowControl/>
              <w:suppressLineNumbers w:val="0"/>
              <w:kinsoku/>
              <w:wordWrap/>
              <w:topLinePunct w:val="0"/>
              <w:bidi w:val="0"/>
              <w:spacing w:line="400" w:lineRule="exact"/>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采购产品为《节能产品政府采购清单》(最新期)内非标记符号的节能产品及《环境标 志产品政府采购清单》(最新期)内的产品： </w:t>
            </w:r>
          </w:p>
          <w:p>
            <w:pPr>
              <w:keepNext w:val="0"/>
              <w:keepLines w:val="0"/>
              <w:pageBreakBefore w:val="0"/>
              <w:widowControl/>
              <w:suppressLineNumbers w:val="0"/>
              <w:kinsoku/>
              <w:wordWrap/>
              <w:topLinePunct w:val="0"/>
              <w:bidi w:val="0"/>
              <w:spacing w:line="400" w:lineRule="exact"/>
              <w:jc w:val="left"/>
              <w:rPr>
                <w:rFonts w:hint="eastAsia" w:ascii="宋体" w:hAnsi="宋体" w:eastAsia="宋体" w:cs="宋体"/>
                <w:b/>
                <w:sz w:val="24"/>
                <w:szCs w:val="24"/>
              </w:rPr>
            </w:pPr>
            <w:r>
              <w:rPr>
                <w:rFonts w:hint="eastAsia" w:ascii="宋体" w:hAnsi="宋体" w:eastAsia="宋体" w:cs="宋体"/>
                <w:color w:val="000000"/>
                <w:kern w:val="0"/>
                <w:sz w:val="24"/>
                <w:szCs w:val="24"/>
                <w:lang w:val="en-US" w:eastAsia="zh-CN" w:bidi="ar"/>
              </w:rPr>
              <w:t>投标文件（投标文件）中对所投标产品为节能、环境标志产品清单中的产品，在投标报价时必须对此类产品单独分项报价，计算出小计及占合同包总金额的百分比，并提供属于清单内产品的证明资料（从发布以上清单目录的权威媒体网站上下载的网页公告、目录清单、证书等），未单独分项报价且未提供属于清单内产品的证明资料的不给予加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828" w:hRule="atLeast"/>
          <w:jc w:val="center"/>
        </w:trPr>
        <w:tc>
          <w:tcPr>
            <w:tcW w:w="547" w:type="dxa"/>
            <w:tcBorders>
              <w:top w:val="single" w:color="auto" w:sz="8" w:space="0"/>
              <w:left w:val="single" w:color="auto" w:sz="18" w:space="0"/>
              <w:bottom w:val="single" w:color="auto" w:sz="8" w:space="0"/>
              <w:right w:val="single" w:color="auto" w:sz="8" w:space="0"/>
            </w:tcBorders>
            <w:noWrap w:val="0"/>
            <w:vAlign w:val="center"/>
          </w:tcPr>
          <w:p>
            <w:pPr>
              <w:pStyle w:val="41"/>
              <w:keepNext w:val="0"/>
              <w:keepLines w:val="0"/>
              <w:pageBreakBefore w:val="0"/>
              <w:kinsoku/>
              <w:wordWrap/>
              <w:topLinePunct w:val="0"/>
              <w:bidi w:val="0"/>
              <w:spacing w:line="400" w:lineRule="exact"/>
              <w:ind w:right="23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37</w:t>
            </w:r>
          </w:p>
        </w:tc>
        <w:tc>
          <w:tcPr>
            <w:tcW w:w="1619" w:type="dxa"/>
            <w:tcBorders>
              <w:top w:val="single" w:color="auto" w:sz="8" w:space="0"/>
              <w:left w:val="single" w:color="auto" w:sz="8" w:space="0"/>
              <w:bottom w:val="single" w:color="auto" w:sz="8" w:space="0"/>
              <w:right w:val="single" w:color="auto" w:sz="8" w:space="0"/>
            </w:tcBorders>
            <w:noWrap w:val="0"/>
            <w:vAlign w:val="center"/>
          </w:tcPr>
          <w:p>
            <w:pPr>
              <w:pStyle w:val="41"/>
              <w:keepNext w:val="0"/>
              <w:keepLines w:val="0"/>
              <w:pageBreakBefore w:val="0"/>
              <w:kinsoku/>
              <w:wordWrap/>
              <w:topLinePunct w:val="0"/>
              <w:bidi w:val="0"/>
              <w:spacing w:line="400" w:lineRule="exact"/>
              <w:ind w:left="96" w:leftChars="0"/>
              <w:jc w:val="center"/>
              <w:rPr>
                <w:rFonts w:hint="eastAsia" w:ascii="宋体" w:hAnsi="宋体" w:eastAsia="宋体" w:cs="宋体"/>
                <w:color w:val="auto"/>
                <w:sz w:val="24"/>
                <w:szCs w:val="24"/>
                <w:lang w:val="zh-CN" w:eastAsia="zh-CN" w:bidi="ar-SA"/>
              </w:rPr>
            </w:pPr>
            <w:r>
              <w:rPr>
                <w:rFonts w:hint="eastAsia" w:ascii="宋体" w:hAnsi="宋体" w:eastAsia="宋体" w:cs="宋体"/>
                <w:color w:val="auto"/>
                <w:sz w:val="24"/>
                <w:szCs w:val="24"/>
                <w:lang w:val="zh-CN"/>
              </w:rPr>
              <w:t>提别提示</w:t>
            </w:r>
          </w:p>
        </w:tc>
        <w:tc>
          <w:tcPr>
            <w:tcW w:w="8032" w:type="dxa"/>
            <w:tcBorders>
              <w:top w:val="single" w:color="auto" w:sz="8" w:space="0"/>
              <w:left w:val="single" w:color="auto" w:sz="8" w:space="0"/>
              <w:bottom w:val="single" w:color="auto" w:sz="8" w:space="0"/>
              <w:right w:val="single" w:color="auto" w:sz="18" w:space="0"/>
            </w:tcBorders>
            <w:noWrap w:val="0"/>
            <w:vAlign w:val="center"/>
          </w:tcPr>
          <w:p>
            <w:pPr>
              <w:keepNext w:val="0"/>
              <w:keepLines w:val="0"/>
              <w:pageBreakBefore w:val="0"/>
              <w:tabs>
                <w:tab w:val="left" w:pos="7665"/>
              </w:tabs>
              <w:kinsoku/>
              <w:wordWrap/>
              <w:topLinePunct w:val="0"/>
              <w:bidi w:val="0"/>
              <w:spacing w:line="400" w:lineRule="exact"/>
              <w:jc w:val="left"/>
              <w:rPr>
                <w:rFonts w:hint="eastAsia" w:ascii="宋体" w:hAnsi="宋体" w:eastAsia="宋体" w:cs="宋体"/>
                <w:b/>
                <w:sz w:val="24"/>
                <w:szCs w:val="24"/>
                <w:lang w:val="zh-CN" w:eastAsia="zh-CN" w:bidi="ar-SA"/>
              </w:rPr>
            </w:pPr>
            <w:r>
              <w:rPr>
                <w:rFonts w:hint="eastAsia" w:ascii="宋体" w:hAnsi="宋体" w:eastAsia="宋体" w:cs="宋体"/>
                <w:b/>
                <w:sz w:val="24"/>
                <w:szCs w:val="24"/>
                <w:lang w:val="en-US" w:eastAsia="zh-CN"/>
              </w:rPr>
              <w:t>招标</w:t>
            </w:r>
            <w:r>
              <w:rPr>
                <w:rFonts w:hint="eastAsia" w:ascii="宋体" w:hAnsi="宋体" w:eastAsia="宋体" w:cs="宋体"/>
                <w:b/>
                <w:sz w:val="24"/>
                <w:szCs w:val="24"/>
              </w:rPr>
              <w:t>文件中部分</w:t>
            </w:r>
            <w:r>
              <w:rPr>
                <w:rFonts w:hint="eastAsia" w:ascii="宋体" w:hAnsi="宋体" w:eastAsia="宋体" w:cs="宋体"/>
                <w:b/>
                <w:sz w:val="24"/>
                <w:szCs w:val="24"/>
                <w:lang w:eastAsia="zh-CN"/>
              </w:rPr>
              <w:t>标有</w:t>
            </w:r>
            <w:r>
              <w:rPr>
                <w:rFonts w:hint="eastAsia" w:ascii="宋体" w:hAnsi="宋体" w:eastAsia="宋体" w:cs="宋体"/>
                <w:b/>
                <w:bCs/>
                <w:color w:val="auto"/>
                <w:sz w:val="24"/>
                <w:szCs w:val="24"/>
              </w:rPr>
              <w:t>实质性要求</w:t>
            </w:r>
            <w:r>
              <w:rPr>
                <w:rFonts w:hint="eastAsia" w:ascii="宋体" w:hAnsi="宋体" w:eastAsia="宋体" w:cs="宋体"/>
                <w:b/>
                <w:bCs/>
                <w:color w:val="auto"/>
                <w:sz w:val="24"/>
                <w:szCs w:val="24"/>
                <w:lang w:eastAsia="zh-CN"/>
              </w:rPr>
              <w:t>、</w:t>
            </w:r>
            <w:r>
              <w:rPr>
                <w:rFonts w:hint="eastAsia" w:ascii="宋体" w:hAnsi="宋体" w:eastAsia="宋体" w:cs="宋体"/>
                <w:b/>
                <w:sz w:val="24"/>
                <w:szCs w:val="24"/>
              </w:rPr>
              <w:t>加粗、加下划线、废标、无效标、投标被拒绝字样的条款，为招标的实质性要求和条件，着重提醒各投标人注意，并认真查看</w:t>
            </w:r>
            <w:r>
              <w:rPr>
                <w:rFonts w:hint="eastAsia" w:ascii="宋体" w:hAnsi="宋体" w:eastAsia="宋体" w:cs="宋体"/>
                <w:b/>
                <w:sz w:val="24"/>
                <w:szCs w:val="24"/>
                <w:lang w:eastAsia="zh-CN"/>
              </w:rPr>
              <w:t>采购</w:t>
            </w:r>
            <w:r>
              <w:rPr>
                <w:rFonts w:hint="eastAsia" w:ascii="宋体" w:hAnsi="宋体" w:eastAsia="宋体" w:cs="宋体"/>
                <w:b/>
                <w:sz w:val="24"/>
                <w:szCs w:val="24"/>
              </w:rPr>
              <w:t>文件中的每一个条款及要求，因误读</w:t>
            </w:r>
            <w:r>
              <w:rPr>
                <w:rFonts w:hint="eastAsia" w:ascii="宋体" w:hAnsi="宋体" w:eastAsia="宋体" w:cs="宋体"/>
                <w:b/>
                <w:sz w:val="24"/>
                <w:szCs w:val="24"/>
                <w:lang w:eastAsia="zh-CN"/>
              </w:rPr>
              <w:t>采购</w:t>
            </w:r>
            <w:r>
              <w:rPr>
                <w:rFonts w:hint="eastAsia" w:ascii="宋体" w:hAnsi="宋体" w:eastAsia="宋体" w:cs="宋体"/>
                <w:b/>
                <w:sz w:val="24"/>
                <w:szCs w:val="24"/>
              </w:rPr>
              <w:t>文件而造成的后果，采购人概不负责。</w:t>
            </w:r>
          </w:p>
        </w:tc>
      </w:tr>
    </w:tbl>
    <w:p>
      <w:pPr>
        <w:pStyle w:val="2"/>
        <w:numPr>
          <w:ilvl w:val="0"/>
          <w:numId w:val="0"/>
        </w:numPr>
        <w:ind w:leftChars="400"/>
        <w:rPr>
          <w:rFonts w:hint="eastAsia" w:ascii="宋体" w:hAnsi="宋体" w:eastAsia="宋体" w:cs="宋体"/>
          <w:lang w:val="en-US" w:eastAsia="zh-CN"/>
        </w:rPr>
      </w:pPr>
    </w:p>
    <w:p>
      <w:pPr>
        <w:pageBreakBefore w:val="0"/>
        <w:widowControl/>
        <w:kinsoku/>
        <w:wordWrap/>
        <w:overflowPunct/>
        <w:topLinePunct w:val="0"/>
        <w:bidi w:val="0"/>
        <w:spacing w:line="400" w:lineRule="exact"/>
        <w:jc w:val="both"/>
        <w:rPr>
          <w:rFonts w:hint="eastAsia" w:ascii="宋体" w:hAnsi="宋体" w:eastAsia="宋体" w:cs="宋体"/>
          <w:b/>
          <w:color w:val="000000"/>
          <w:sz w:val="36"/>
          <w:szCs w:val="36"/>
          <w:highlight w:val="none"/>
        </w:rPr>
      </w:pPr>
    </w:p>
    <w:p>
      <w:pPr>
        <w:pageBreakBefore w:val="0"/>
        <w:widowControl/>
        <w:kinsoku/>
        <w:wordWrap/>
        <w:overflowPunct/>
        <w:topLinePunct w:val="0"/>
        <w:bidi w:val="0"/>
        <w:spacing w:line="400" w:lineRule="exact"/>
        <w:jc w:val="center"/>
        <w:rPr>
          <w:rFonts w:hint="eastAsia" w:ascii="宋体" w:hAnsi="宋体" w:eastAsia="宋体" w:cs="宋体"/>
          <w:b/>
          <w:color w:val="000000"/>
          <w:sz w:val="36"/>
          <w:szCs w:val="36"/>
          <w:highlight w:val="none"/>
        </w:rPr>
      </w:pPr>
    </w:p>
    <w:p>
      <w:pPr>
        <w:pageBreakBefore w:val="0"/>
        <w:widowControl/>
        <w:kinsoku/>
        <w:wordWrap/>
        <w:overflowPunct/>
        <w:topLinePunct w:val="0"/>
        <w:bidi w:val="0"/>
        <w:spacing w:line="400" w:lineRule="exact"/>
        <w:jc w:val="both"/>
        <w:rPr>
          <w:rFonts w:hint="eastAsia" w:ascii="宋体" w:hAnsi="宋体" w:eastAsia="宋体" w:cs="宋体"/>
          <w:b/>
          <w:color w:val="000000"/>
          <w:sz w:val="36"/>
          <w:szCs w:val="36"/>
          <w:highlight w:val="none"/>
        </w:rPr>
      </w:pPr>
    </w:p>
    <w:p>
      <w:pPr>
        <w:pStyle w:val="12"/>
        <w:rPr>
          <w:rFonts w:hint="eastAsia" w:ascii="宋体" w:hAnsi="宋体" w:eastAsia="宋体" w:cs="宋体"/>
          <w:b/>
          <w:color w:val="000000"/>
          <w:sz w:val="36"/>
          <w:szCs w:val="36"/>
          <w:highlight w:val="none"/>
        </w:rPr>
      </w:pPr>
    </w:p>
    <w:p>
      <w:pPr>
        <w:rPr>
          <w:rFonts w:hint="eastAsia" w:ascii="宋体" w:hAnsi="宋体" w:eastAsia="宋体" w:cs="宋体"/>
          <w:b/>
          <w:color w:val="000000"/>
          <w:sz w:val="36"/>
          <w:szCs w:val="36"/>
          <w:highlight w:val="none"/>
        </w:rPr>
      </w:pPr>
    </w:p>
    <w:p>
      <w:pPr>
        <w:pStyle w:val="18"/>
        <w:rPr>
          <w:rFonts w:hint="eastAsia" w:ascii="宋体" w:hAnsi="宋体" w:eastAsia="宋体" w:cs="宋体"/>
          <w:b/>
          <w:color w:val="000000"/>
          <w:sz w:val="36"/>
          <w:szCs w:val="36"/>
          <w:highlight w:val="none"/>
        </w:rPr>
      </w:pPr>
    </w:p>
    <w:p>
      <w:pPr>
        <w:pStyle w:val="12"/>
        <w:rPr>
          <w:rFonts w:hint="eastAsia" w:ascii="宋体" w:hAnsi="宋体" w:eastAsia="宋体" w:cs="宋体"/>
          <w:b/>
          <w:color w:val="000000"/>
          <w:sz w:val="36"/>
          <w:szCs w:val="36"/>
          <w:highlight w:val="none"/>
        </w:rPr>
      </w:pPr>
    </w:p>
    <w:p>
      <w:pPr>
        <w:rPr>
          <w:rFonts w:hint="eastAsia" w:ascii="宋体" w:hAnsi="宋体" w:eastAsia="宋体" w:cs="宋体"/>
          <w:b/>
          <w:color w:val="000000"/>
          <w:sz w:val="36"/>
          <w:szCs w:val="36"/>
          <w:highlight w:val="none"/>
        </w:rPr>
      </w:pPr>
    </w:p>
    <w:p>
      <w:pPr>
        <w:pStyle w:val="30"/>
        <w:rPr>
          <w:rFonts w:hint="eastAsia" w:ascii="宋体" w:hAnsi="宋体" w:eastAsia="宋体" w:cs="宋体"/>
          <w:b/>
          <w:color w:val="000000"/>
          <w:sz w:val="36"/>
          <w:szCs w:val="36"/>
          <w:highlight w:val="none"/>
        </w:rPr>
      </w:pPr>
    </w:p>
    <w:p>
      <w:pPr>
        <w:pStyle w:val="30"/>
        <w:rPr>
          <w:rFonts w:hint="eastAsia" w:ascii="宋体" w:hAnsi="宋体" w:eastAsia="宋体" w:cs="宋体"/>
          <w:b/>
          <w:color w:val="000000"/>
          <w:sz w:val="36"/>
          <w:szCs w:val="36"/>
          <w:highlight w:val="none"/>
        </w:rPr>
      </w:pPr>
    </w:p>
    <w:p>
      <w:pPr>
        <w:pStyle w:val="30"/>
        <w:rPr>
          <w:rFonts w:hint="eastAsia" w:ascii="宋体" w:hAnsi="宋体" w:eastAsia="宋体" w:cs="宋体"/>
          <w:b/>
          <w:color w:val="000000"/>
          <w:sz w:val="36"/>
          <w:szCs w:val="36"/>
          <w:highlight w:val="none"/>
        </w:rPr>
      </w:pPr>
    </w:p>
    <w:p>
      <w:pPr>
        <w:pStyle w:val="30"/>
        <w:rPr>
          <w:rFonts w:hint="eastAsia" w:ascii="宋体" w:hAnsi="宋体" w:eastAsia="宋体" w:cs="宋体"/>
          <w:b/>
          <w:color w:val="000000"/>
          <w:sz w:val="36"/>
          <w:szCs w:val="36"/>
          <w:highlight w:val="none"/>
        </w:rPr>
      </w:pPr>
    </w:p>
    <w:p>
      <w:pPr>
        <w:pStyle w:val="30"/>
        <w:rPr>
          <w:rFonts w:hint="eastAsia" w:ascii="宋体" w:hAnsi="宋体" w:eastAsia="宋体" w:cs="宋体"/>
          <w:b/>
          <w:color w:val="000000"/>
          <w:sz w:val="36"/>
          <w:szCs w:val="36"/>
          <w:highlight w:val="none"/>
        </w:rPr>
      </w:pPr>
    </w:p>
    <w:p>
      <w:pPr>
        <w:pStyle w:val="30"/>
        <w:rPr>
          <w:rFonts w:hint="eastAsia" w:ascii="宋体" w:hAnsi="宋体" w:eastAsia="宋体" w:cs="宋体"/>
          <w:b/>
          <w:color w:val="000000"/>
          <w:sz w:val="36"/>
          <w:szCs w:val="36"/>
          <w:highlight w:val="none"/>
        </w:rPr>
      </w:pPr>
    </w:p>
    <w:p>
      <w:pPr>
        <w:pStyle w:val="12"/>
        <w:rPr>
          <w:rFonts w:hint="eastAsia" w:ascii="宋体" w:hAnsi="宋体" w:eastAsia="宋体" w:cs="宋体"/>
        </w:rPr>
      </w:pPr>
    </w:p>
    <w:p>
      <w:pPr>
        <w:pageBreakBefore w:val="0"/>
        <w:widowControl/>
        <w:kinsoku/>
        <w:wordWrap/>
        <w:overflowPunct/>
        <w:topLinePunct w:val="0"/>
        <w:bidi w:val="0"/>
        <w:spacing w:line="400" w:lineRule="exact"/>
        <w:jc w:val="center"/>
        <w:rPr>
          <w:rFonts w:hint="eastAsia" w:ascii="宋体" w:hAnsi="宋体" w:eastAsia="宋体" w:cs="宋体"/>
          <w:b/>
          <w:color w:val="000000"/>
          <w:sz w:val="36"/>
          <w:szCs w:val="36"/>
          <w:highlight w:val="none"/>
        </w:rPr>
      </w:pPr>
      <w:r>
        <w:rPr>
          <w:rFonts w:hint="eastAsia" w:ascii="宋体" w:hAnsi="宋体" w:eastAsia="宋体" w:cs="宋体"/>
          <w:b/>
          <w:color w:val="000000"/>
          <w:sz w:val="36"/>
          <w:szCs w:val="36"/>
          <w:highlight w:val="none"/>
        </w:rPr>
        <w:t>第</w:t>
      </w:r>
      <w:r>
        <w:rPr>
          <w:rFonts w:hint="eastAsia" w:ascii="宋体" w:hAnsi="宋体" w:eastAsia="宋体" w:cs="宋体"/>
          <w:b/>
          <w:color w:val="000000"/>
          <w:sz w:val="36"/>
          <w:szCs w:val="36"/>
          <w:highlight w:val="none"/>
          <w:lang w:val="en-US" w:eastAsia="zh-CN"/>
        </w:rPr>
        <w:t>三</w:t>
      </w:r>
      <w:r>
        <w:rPr>
          <w:rFonts w:hint="eastAsia" w:ascii="宋体" w:hAnsi="宋体" w:eastAsia="宋体" w:cs="宋体"/>
          <w:b/>
          <w:color w:val="000000"/>
          <w:sz w:val="36"/>
          <w:szCs w:val="36"/>
          <w:highlight w:val="none"/>
        </w:rPr>
        <w:t>章 投标</w:t>
      </w:r>
      <w:r>
        <w:rPr>
          <w:rFonts w:hint="eastAsia" w:ascii="宋体" w:hAnsi="宋体" w:eastAsia="宋体" w:cs="宋体"/>
          <w:b/>
          <w:color w:val="000000"/>
          <w:sz w:val="36"/>
          <w:szCs w:val="36"/>
          <w:highlight w:val="none"/>
          <w:lang w:val="en-US" w:eastAsia="zh-CN"/>
        </w:rPr>
        <w:t>人</w:t>
      </w:r>
      <w:r>
        <w:rPr>
          <w:rFonts w:hint="eastAsia" w:ascii="宋体" w:hAnsi="宋体" w:eastAsia="宋体" w:cs="宋体"/>
          <w:b/>
          <w:color w:val="000000"/>
          <w:sz w:val="36"/>
          <w:szCs w:val="36"/>
          <w:highlight w:val="none"/>
        </w:rPr>
        <w:t>须知</w:t>
      </w:r>
    </w:p>
    <w:p>
      <w:pPr>
        <w:pageBreakBefore w:val="0"/>
        <w:kinsoku/>
        <w:wordWrap/>
        <w:overflowPunct/>
        <w:topLinePunct w:val="0"/>
        <w:bidi w:val="0"/>
        <w:adjustRightInd w:val="0"/>
        <w:snapToGrid w:val="0"/>
        <w:spacing w:line="400" w:lineRule="exact"/>
        <w:jc w:val="center"/>
        <w:rPr>
          <w:rFonts w:hint="eastAsia" w:ascii="宋体" w:hAnsi="宋体" w:eastAsia="宋体" w:cs="宋体"/>
          <w:b/>
          <w:color w:val="000000"/>
          <w:sz w:val="28"/>
          <w:szCs w:val="28"/>
          <w:highlight w:val="none"/>
        </w:rPr>
      </w:pPr>
      <w:r>
        <w:rPr>
          <w:rFonts w:hint="eastAsia" w:ascii="宋体" w:hAnsi="宋体" w:eastAsia="宋体" w:cs="宋体"/>
          <w:b/>
          <w:color w:val="000000"/>
          <w:sz w:val="28"/>
          <w:szCs w:val="28"/>
          <w:highlight w:val="none"/>
        </w:rPr>
        <w:t>一、总  则</w:t>
      </w:r>
    </w:p>
    <w:p>
      <w:pPr>
        <w:pageBreakBefore w:val="0"/>
        <w:kinsoku/>
        <w:wordWrap/>
        <w:overflowPunct/>
        <w:topLinePunct w:val="0"/>
        <w:bidi w:val="0"/>
        <w:adjustRightInd w:val="0"/>
        <w:snapToGrid w:val="0"/>
        <w:spacing w:beforeAutospacing="0" w:afterAutospacing="0" w:line="400" w:lineRule="exact"/>
        <w:ind w:firstLine="482" w:firstLineChars="200"/>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1、适用范围</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t xml:space="preserve">1.1 </w:t>
      </w:r>
      <w:r>
        <w:rPr>
          <w:rFonts w:hint="eastAsia" w:ascii="宋体" w:hAnsi="宋体" w:eastAsia="宋体" w:cs="宋体"/>
          <w:sz w:val="24"/>
          <w:szCs w:val="24"/>
          <w:highlight w:val="none"/>
        </w:rPr>
        <w:t>本次招标采取公开招标方式，本招标文件仅适用于招标公告中所述项目。</w:t>
      </w:r>
    </w:p>
    <w:p>
      <w:pPr>
        <w:pageBreakBefore w:val="0"/>
        <w:kinsoku/>
        <w:wordWrap/>
        <w:overflowPunct/>
        <w:topLinePunct w:val="0"/>
        <w:bidi w:val="0"/>
        <w:adjustRightInd w:val="0"/>
        <w:snapToGrid w:val="0"/>
        <w:spacing w:beforeAutospacing="0" w:afterAutospacing="0" w:line="400" w:lineRule="exact"/>
        <w:ind w:firstLine="482" w:firstLineChars="200"/>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2、合格的投标人</w:t>
      </w:r>
    </w:p>
    <w:p>
      <w:pPr>
        <w:pageBreakBefore w:val="0"/>
        <w:kinsoku/>
        <w:wordWrap/>
        <w:overflowPunct/>
        <w:topLinePunct w:val="0"/>
        <w:bidi w:val="0"/>
        <w:adjustRightInd w:val="0"/>
        <w:snapToGrid w:val="0"/>
        <w:spacing w:beforeAutospacing="0" w:afterAutospacing="0" w:line="400" w:lineRule="exact"/>
        <w:ind w:firstLine="463" w:firstLineChars="192"/>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2.1投标人资格要求：</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2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2.1.1.满足《中华人民共和国政府采购法》第二十二条规定；</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2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2.1.2.落实政府采购政策需满足的资格要求：</w:t>
      </w:r>
      <w:r>
        <w:rPr>
          <w:rFonts w:hint="eastAsia" w:cs="宋体"/>
          <w:color w:val="000000" w:themeColor="text1"/>
          <w:sz w:val="24"/>
          <w:szCs w:val="24"/>
          <w:lang w:val="en-US" w:eastAsia="zh-CN"/>
          <w14:textFill>
            <w14:solidFill>
              <w14:schemeClr w14:val="tx1"/>
            </w14:solidFill>
          </w14:textFill>
        </w:rPr>
        <w:t>无</w:t>
      </w:r>
      <w:r>
        <w:rPr>
          <w:rFonts w:hint="eastAsia" w:ascii="宋体" w:hAnsi="宋体" w:eastAsia="宋体" w:cs="宋体"/>
          <w:color w:val="000000" w:themeColor="text1"/>
          <w:sz w:val="24"/>
          <w:szCs w:val="24"/>
          <w:lang w:val="en-US" w:eastAsia="zh-CN"/>
          <w14:textFill>
            <w14:solidFill>
              <w14:schemeClr w14:val="tx1"/>
            </w14:solidFill>
          </w14:textFill>
        </w:rPr>
        <w:t>。</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firstLine="42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2.1.3.本项目的特定资格要求：(1)具有独立承担民事责任能力的在中华人民共和国境内注册的法人；（2）具有良好的商业信誉和健全的财务会计制度；（3）具有履行合同所必需的服务和专业技术能力；（4）参加本次采购活动前三年（2020年1月至今），在经营活动中没有重大违法记录。（重大违法记录，是指供应商因违法经营受到刑事处罚或者责令停产停业、吊销许可证或者执照、较大数额罚款等行政处罚、刑事处罚）；供应商未被列入“信用中国”网站“记录失信被执行人或重大税收违法案件当事人名单或政府采购严重违法失信行为”记录名单；不处于中国政府采购网“政府采购严重违法失信行为信息记录”中的禁止参加政府采购活动期间；未列入国家企业信用信息公示系统严重违法失信名单及其他不符合规定条件的供应商；（5）单位负责人为同一人或者存在直接控股、管理关系的不同供应商，不得参加同一合同项下的政府采购活动。</w:t>
      </w:r>
    </w:p>
    <w:p>
      <w:pPr>
        <w:pageBreakBefore w:val="0"/>
        <w:kinsoku/>
        <w:wordWrap/>
        <w:overflowPunct/>
        <w:topLinePunct w:val="0"/>
        <w:autoSpaceDE w:val="0"/>
        <w:autoSpaceDN w:val="0"/>
        <w:bidi w:val="0"/>
        <w:adjustRightInd w:val="0"/>
        <w:snapToGrid w:val="0"/>
        <w:spacing w:beforeAutospacing="0" w:afterAutospacing="0" w:line="400" w:lineRule="exact"/>
        <w:ind w:firstLine="241" w:firstLineChars="100"/>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2.2 投标人在本次招标活动中，必须遵守《中华人民共和国招标投标法》、《中华人民共和国政府招标法》及相关法律的规定。</w:t>
      </w:r>
    </w:p>
    <w:p>
      <w:pPr>
        <w:pageBreakBefore w:val="0"/>
        <w:numPr>
          <w:ilvl w:val="0"/>
          <w:numId w:val="2"/>
        </w:numPr>
        <w:kinsoku/>
        <w:wordWrap/>
        <w:overflowPunct/>
        <w:topLinePunct w:val="0"/>
        <w:bidi w:val="0"/>
        <w:adjustRightInd w:val="0"/>
        <w:snapToGrid w:val="0"/>
        <w:spacing w:beforeAutospacing="0" w:afterAutospacing="0" w:line="400" w:lineRule="exact"/>
        <w:ind w:firstLine="482" w:firstLineChars="200"/>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定义</w:t>
      </w:r>
    </w:p>
    <w:p>
      <w:pPr>
        <w:pageBreakBefore w:val="0"/>
        <w:kinsoku/>
        <w:wordWrap/>
        <w:overflowPunct/>
        <w:topLinePunct w:val="0"/>
        <w:autoSpaceDE w:val="0"/>
        <w:autoSpaceDN w:val="0"/>
        <w:bidi w:val="0"/>
        <w:adjustRightInd w:val="0"/>
        <w:snapToGrid w:val="0"/>
        <w:spacing w:beforeAutospacing="0" w:afterAutospacing="0" w:line="400" w:lineRule="exac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rPr>
        <w:t xml:space="preserve">    3.1 “</w:t>
      </w:r>
      <w:r>
        <w:rPr>
          <w:rFonts w:hint="eastAsia" w:ascii="宋体" w:hAnsi="宋体" w:eastAsia="宋体" w:cs="宋体"/>
          <w:color w:val="000000"/>
          <w:sz w:val="24"/>
          <w:szCs w:val="24"/>
          <w:highlight w:val="none"/>
          <w:lang w:eastAsia="zh-CN"/>
        </w:rPr>
        <w:t>采购人</w:t>
      </w:r>
      <w:r>
        <w:rPr>
          <w:rFonts w:hint="eastAsia" w:ascii="宋体" w:hAnsi="宋体" w:eastAsia="宋体" w:cs="宋体"/>
          <w:color w:val="000000"/>
          <w:sz w:val="24"/>
          <w:szCs w:val="24"/>
          <w:highlight w:val="none"/>
        </w:rPr>
        <w:t>”系指合同中明确规定的实际购买货物和服务的法人、行政事业单位、团体组织。</w:t>
      </w:r>
      <w:r>
        <w:rPr>
          <w:rFonts w:hint="eastAsia" w:ascii="宋体" w:hAnsi="宋体" w:eastAsia="宋体" w:cs="宋体"/>
          <w:color w:val="000000"/>
          <w:sz w:val="24"/>
          <w:szCs w:val="24"/>
          <w:highlight w:val="none"/>
          <w:lang w:val="en-US" w:eastAsia="zh-CN"/>
        </w:rPr>
        <w:t>本项目中系指托克逊县住房和城乡建设局。</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3.2 “投标人”系指响应招标，并按照招标文件的要求参与</w:t>
      </w:r>
      <w:r>
        <w:rPr>
          <w:rFonts w:hint="eastAsia" w:ascii="宋体" w:hAnsi="宋体" w:eastAsia="宋体" w:cs="宋体"/>
          <w:color w:val="000000"/>
          <w:sz w:val="24"/>
          <w:szCs w:val="24"/>
          <w:highlight w:val="none"/>
          <w:lang w:val="en-US" w:eastAsia="zh-CN"/>
        </w:rPr>
        <w:t>服务</w:t>
      </w:r>
      <w:r>
        <w:rPr>
          <w:rFonts w:hint="eastAsia" w:ascii="宋体" w:hAnsi="宋体" w:eastAsia="宋体" w:cs="宋体"/>
          <w:color w:val="000000"/>
          <w:sz w:val="24"/>
          <w:szCs w:val="24"/>
          <w:highlight w:val="none"/>
        </w:rPr>
        <w:t>任务竞争的法人，中标后即为中标人，签定合同后即为卖方。</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3.3 “招标</w:t>
      </w:r>
      <w:r>
        <w:rPr>
          <w:rFonts w:hint="eastAsia" w:ascii="宋体" w:hAnsi="宋体" w:eastAsia="宋体" w:cs="宋体"/>
          <w:color w:val="000000"/>
          <w:sz w:val="24"/>
          <w:szCs w:val="24"/>
          <w:highlight w:val="none"/>
          <w:lang w:val="en-US" w:eastAsia="zh-CN"/>
        </w:rPr>
        <w:t>代理</w:t>
      </w:r>
      <w:r>
        <w:rPr>
          <w:rFonts w:hint="eastAsia" w:ascii="宋体" w:hAnsi="宋体" w:eastAsia="宋体" w:cs="宋体"/>
          <w:color w:val="000000"/>
          <w:sz w:val="24"/>
          <w:szCs w:val="24"/>
          <w:highlight w:val="none"/>
        </w:rPr>
        <w:t>机构”为</w:t>
      </w:r>
      <w:r>
        <w:rPr>
          <w:rFonts w:hint="eastAsia" w:ascii="宋体" w:hAnsi="宋体" w:eastAsia="宋体" w:cs="宋体"/>
          <w:color w:val="000000"/>
          <w:sz w:val="24"/>
          <w:szCs w:val="24"/>
          <w:highlight w:val="none"/>
          <w:lang w:eastAsia="zh-CN"/>
        </w:rPr>
        <w:t>新疆华域天恒工程管理有限公司</w:t>
      </w:r>
      <w:r>
        <w:rPr>
          <w:rFonts w:hint="eastAsia" w:ascii="宋体" w:hAnsi="宋体" w:eastAsia="宋体" w:cs="宋体"/>
          <w:color w:val="000000"/>
          <w:sz w:val="24"/>
          <w:szCs w:val="24"/>
          <w:highlight w:val="none"/>
        </w:rPr>
        <w:t>。</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3.4 “货物”系指卖方按合同要求，须向买方提供的一切产品及其它技术资料和材料。</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3.5 “服务”系指合同规定卖方须承担的技术协助、本地化开发、运输、安装、调试和交付使用后免费维护期内及质保期外应履行的义务及售后服务等其他类似的义务。</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3.6 “卖方”系指提供合同货物和服务的法人。</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3.7 “买方”系指购买</w:t>
      </w:r>
      <w:r>
        <w:rPr>
          <w:rFonts w:hint="eastAsia" w:ascii="宋体" w:hAnsi="宋体" w:eastAsia="宋体" w:cs="宋体"/>
          <w:color w:val="000000"/>
          <w:sz w:val="24"/>
          <w:szCs w:val="24"/>
          <w:highlight w:val="none"/>
          <w:lang w:val="en-US" w:eastAsia="zh-CN"/>
        </w:rPr>
        <w:t>服务</w:t>
      </w:r>
      <w:r>
        <w:rPr>
          <w:rFonts w:hint="eastAsia" w:ascii="宋体" w:hAnsi="宋体" w:eastAsia="宋体" w:cs="宋体"/>
          <w:color w:val="000000"/>
          <w:sz w:val="24"/>
          <w:szCs w:val="24"/>
          <w:highlight w:val="none"/>
        </w:rPr>
        <w:t>的单位。</w:t>
      </w:r>
    </w:p>
    <w:p>
      <w:pPr>
        <w:pageBreakBefore w:val="0"/>
        <w:kinsoku/>
        <w:wordWrap/>
        <w:overflowPunct/>
        <w:topLinePunct w:val="0"/>
        <w:bidi w:val="0"/>
        <w:adjustRightInd w:val="0"/>
        <w:snapToGrid w:val="0"/>
        <w:spacing w:beforeAutospacing="0" w:afterAutospacing="0" w:line="400" w:lineRule="exact"/>
        <w:ind w:firstLine="482" w:firstLineChars="200"/>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4、投标费用</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4.1 无论投标结果如何，投标人须自行承担所有与参加投标有关的全部费用。</w:t>
      </w:r>
    </w:p>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二、招标文件</w:t>
      </w:r>
    </w:p>
    <w:p>
      <w:pPr>
        <w:pageBreakBefore w:val="0"/>
        <w:kinsoku/>
        <w:wordWrap/>
        <w:overflowPunct/>
        <w:topLinePunct w:val="0"/>
        <w:bidi w:val="0"/>
        <w:adjustRightInd w:val="0"/>
        <w:snapToGrid w:val="0"/>
        <w:spacing w:beforeAutospacing="0" w:afterAutospacing="0" w:line="400" w:lineRule="exact"/>
        <w:ind w:firstLine="482" w:firstLineChars="200"/>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5、招标文件</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5.1 招标文件用以阐明所招标的内容，</w:t>
      </w:r>
      <w:r>
        <w:rPr>
          <w:rFonts w:hint="eastAsia" w:ascii="宋体" w:hAnsi="宋体" w:eastAsia="宋体" w:cs="宋体"/>
          <w:color w:val="000000"/>
          <w:sz w:val="24"/>
          <w:szCs w:val="24"/>
          <w:highlight w:val="none"/>
          <w:lang w:val="en-US" w:eastAsia="zh-CN"/>
        </w:rPr>
        <w:t>招标文件内容</w:t>
      </w:r>
      <w:r>
        <w:rPr>
          <w:rFonts w:hint="eastAsia" w:ascii="宋体" w:hAnsi="宋体" w:eastAsia="宋体" w:cs="宋体"/>
          <w:color w:val="000000"/>
          <w:sz w:val="24"/>
          <w:szCs w:val="24"/>
          <w:highlight w:val="none"/>
        </w:rPr>
        <w:t>包括：</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5.1.1</w:t>
      </w:r>
      <w:r>
        <w:rPr>
          <w:rFonts w:hint="eastAsia" w:ascii="宋体" w:hAnsi="宋体" w:eastAsia="宋体" w:cs="宋体"/>
          <w:color w:val="000000"/>
          <w:sz w:val="24"/>
          <w:szCs w:val="24"/>
          <w:highlight w:val="none"/>
        </w:rPr>
        <w:t>投标邀请（招标公告）</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5.1.2</w:t>
      </w:r>
      <w:r>
        <w:rPr>
          <w:rFonts w:hint="eastAsia" w:ascii="宋体" w:hAnsi="宋体" w:eastAsia="宋体" w:cs="宋体"/>
          <w:color w:val="000000"/>
          <w:sz w:val="24"/>
          <w:szCs w:val="24"/>
          <w:highlight w:val="none"/>
        </w:rPr>
        <w:t>投标人须知前附表</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5.1.3</w:t>
      </w:r>
      <w:r>
        <w:rPr>
          <w:rFonts w:hint="eastAsia" w:ascii="宋体" w:hAnsi="宋体" w:eastAsia="宋体" w:cs="宋体"/>
          <w:color w:val="000000"/>
          <w:sz w:val="24"/>
          <w:szCs w:val="24"/>
          <w:highlight w:val="none"/>
        </w:rPr>
        <w:t>投标人须知</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5.1.4</w:t>
      </w:r>
      <w:r>
        <w:rPr>
          <w:rFonts w:hint="eastAsia" w:ascii="宋体" w:hAnsi="宋体" w:eastAsia="宋体" w:cs="宋体"/>
          <w:color w:val="000000"/>
          <w:sz w:val="24"/>
          <w:szCs w:val="24"/>
          <w:highlight w:val="none"/>
        </w:rPr>
        <w:t>合同文本格式</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5.1.5</w:t>
      </w:r>
      <w:r>
        <w:rPr>
          <w:rFonts w:hint="eastAsia" w:ascii="宋体" w:hAnsi="宋体" w:eastAsia="宋体" w:cs="宋体"/>
          <w:color w:val="000000"/>
          <w:sz w:val="24"/>
          <w:szCs w:val="24"/>
          <w:highlight w:val="none"/>
        </w:rPr>
        <w:t>采购需求</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5.1.6</w:t>
      </w:r>
      <w:r>
        <w:rPr>
          <w:rFonts w:hint="eastAsia" w:ascii="宋体" w:hAnsi="宋体" w:eastAsia="宋体" w:cs="宋体"/>
          <w:color w:val="000000"/>
          <w:sz w:val="24"/>
          <w:szCs w:val="24"/>
          <w:highlight w:val="none"/>
        </w:rPr>
        <w:t>评标方法及评标标准</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5.1.7</w:t>
      </w:r>
      <w:r>
        <w:rPr>
          <w:rFonts w:hint="eastAsia" w:ascii="宋体" w:hAnsi="宋体" w:eastAsia="宋体" w:cs="宋体"/>
          <w:color w:val="000000"/>
          <w:sz w:val="24"/>
          <w:szCs w:val="24"/>
          <w:highlight w:val="none"/>
        </w:rPr>
        <w:t>投标文件格式</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5.2投标人应仔细阅读招标文件中的所有内容。</w:t>
      </w:r>
      <w:r>
        <w:rPr>
          <w:rFonts w:hint="eastAsia" w:ascii="宋体" w:hAnsi="宋体" w:eastAsia="宋体" w:cs="宋体"/>
          <w:color w:val="000000"/>
          <w:sz w:val="24"/>
          <w:szCs w:val="24"/>
          <w:highlight w:val="none"/>
          <w:lang w:eastAsia="zh-CN"/>
        </w:rPr>
        <w:t>招标代理机构</w:t>
      </w:r>
      <w:r>
        <w:rPr>
          <w:rFonts w:hint="eastAsia" w:ascii="宋体" w:hAnsi="宋体" w:eastAsia="宋体" w:cs="宋体"/>
          <w:color w:val="000000"/>
          <w:sz w:val="24"/>
          <w:szCs w:val="24"/>
          <w:highlight w:val="none"/>
        </w:rPr>
        <w:t>将拒绝未按招标文件的要求提供全部资料或提交的投标文件未对招标文件作出实质性响应的投标。</w:t>
      </w:r>
    </w:p>
    <w:p>
      <w:pPr>
        <w:pageBreakBefore w:val="0"/>
        <w:kinsoku/>
        <w:wordWrap/>
        <w:overflowPunct/>
        <w:topLinePunct w:val="0"/>
        <w:bidi w:val="0"/>
        <w:adjustRightInd w:val="0"/>
        <w:snapToGrid w:val="0"/>
        <w:spacing w:beforeAutospacing="0" w:afterAutospacing="0" w:line="400" w:lineRule="exact"/>
        <w:ind w:firstLine="482" w:firstLineChars="200"/>
        <w:rPr>
          <w:rFonts w:hint="eastAsia" w:ascii="宋体" w:hAnsi="宋体" w:eastAsia="宋体" w:cs="宋体"/>
          <w:b/>
          <w:color w:val="000000"/>
          <w:sz w:val="24"/>
          <w:szCs w:val="24"/>
          <w:highlight w:val="none"/>
          <w:lang w:eastAsia="zh-CN"/>
        </w:rPr>
      </w:pPr>
      <w:r>
        <w:rPr>
          <w:rFonts w:hint="eastAsia" w:ascii="宋体" w:hAnsi="宋体" w:eastAsia="宋体" w:cs="宋体"/>
          <w:b/>
          <w:color w:val="000000"/>
          <w:sz w:val="24"/>
          <w:szCs w:val="24"/>
          <w:highlight w:val="none"/>
        </w:rPr>
        <w:t>6、招标文件的澄清</w:t>
      </w:r>
      <w:r>
        <w:rPr>
          <w:rFonts w:hint="eastAsia" w:ascii="宋体" w:hAnsi="宋体" w:eastAsia="宋体" w:cs="宋体"/>
          <w:b/>
          <w:color w:val="000000"/>
          <w:sz w:val="24"/>
          <w:szCs w:val="24"/>
          <w:highlight w:val="none"/>
          <w:lang w:eastAsia="zh-CN"/>
        </w:rPr>
        <w:t>或者修改</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b w:val="0"/>
          <w:bCs/>
          <w:color w:val="000000"/>
          <w:sz w:val="24"/>
          <w:szCs w:val="24"/>
          <w:highlight w:val="none"/>
          <w:lang w:eastAsia="zh-CN"/>
        </w:rPr>
      </w:pPr>
      <w:r>
        <w:rPr>
          <w:rFonts w:hint="eastAsia" w:ascii="宋体" w:hAnsi="宋体" w:eastAsia="宋体" w:cs="宋体"/>
          <w:b w:val="0"/>
          <w:bCs/>
          <w:color w:val="000000"/>
          <w:sz w:val="24"/>
          <w:szCs w:val="24"/>
          <w:highlight w:val="none"/>
          <w:lang w:val="en-US" w:eastAsia="zh-CN"/>
        </w:rPr>
        <w:t>6</w:t>
      </w:r>
      <w:r>
        <w:rPr>
          <w:rFonts w:hint="eastAsia" w:ascii="宋体" w:hAnsi="宋体" w:eastAsia="宋体" w:cs="宋体"/>
          <w:b w:val="0"/>
          <w:bCs/>
          <w:color w:val="000000"/>
          <w:sz w:val="24"/>
          <w:szCs w:val="24"/>
          <w:highlight w:val="none"/>
        </w:rPr>
        <w:t>.1澄清或者修改的内容可能影响投标文件编制的，在投标截止期十五日前的任何时间，招标方可主动或依据投标人要求澄清的问题而修改或补充招标文件，并以书面形式</w:t>
      </w:r>
      <w:r>
        <w:rPr>
          <w:rFonts w:hint="eastAsia" w:ascii="宋体" w:hAnsi="宋体" w:eastAsia="宋体" w:cs="宋体"/>
          <w:b w:val="0"/>
          <w:bCs/>
          <w:color w:val="000000"/>
          <w:sz w:val="24"/>
          <w:szCs w:val="24"/>
          <w:highlight w:val="none"/>
          <w:lang w:eastAsia="zh-CN"/>
        </w:rPr>
        <w:t>及</w:t>
      </w:r>
      <w:r>
        <w:rPr>
          <w:rFonts w:hint="eastAsia" w:ascii="宋体" w:hAnsi="宋体" w:eastAsia="宋体" w:cs="宋体"/>
          <w:b w:val="0"/>
          <w:bCs/>
          <w:color w:val="000000"/>
          <w:sz w:val="24"/>
          <w:szCs w:val="24"/>
          <w:highlight w:val="none"/>
        </w:rPr>
        <w:t>网上公告通知所有投标人，投标人在收到该通知后应立即以</w:t>
      </w:r>
      <w:r>
        <w:rPr>
          <w:rFonts w:hint="eastAsia" w:ascii="宋体" w:hAnsi="宋体" w:eastAsia="宋体" w:cs="宋体"/>
          <w:b w:val="0"/>
          <w:bCs/>
          <w:color w:val="000000"/>
          <w:sz w:val="24"/>
          <w:szCs w:val="24"/>
          <w:highlight w:val="none"/>
          <w:lang w:eastAsia="zh-CN"/>
        </w:rPr>
        <w:t>书面</w:t>
      </w:r>
      <w:r>
        <w:rPr>
          <w:rFonts w:hint="eastAsia" w:ascii="宋体" w:hAnsi="宋体" w:eastAsia="宋体" w:cs="宋体"/>
          <w:b w:val="0"/>
          <w:bCs/>
          <w:color w:val="000000"/>
          <w:sz w:val="24"/>
          <w:szCs w:val="24"/>
          <w:highlight w:val="none"/>
        </w:rPr>
        <w:t>形式予以确认。</w:t>
      </w:r>
      <w:r>
        <w:rPr>
          <w:rFonts w:hint="eastAsia" w:ascii="宋体" w:hAnsi="宋体" w:eastAsia="宋体" w:cs="宋体"/>
          <w:b w:val="0"/>
          <w:bCs/>
          <w:color w:val="000000"/>
          <w:sz w:val="24"/>
          <w:szCs w:val="24"/>
          <w:highlight w:val="none"/>
        </w:rPr>
        <w:br w:type="textWrapping"/>
      </w:r>
      <w:r>
        <w:rPr>
          <w:rFonts w:hint="eastAsia" w:ascii="宋体" w:hAnsi="宋体" w:eastAsia="宋体" w:cs="宋体"/>
          <w:b w:val="0"/>
          <w:bCs/>
          <w:color w:val="000000"/>
          <w:sz w:val="24"/>
          <w:szCs w:val="24"/>
          <w:highlight w:val="none"/>
          <w:lang w:val="en-US" w:eastAsia="zh-CN"/>
        </w:rPr>
        <w:t xml:space="preserve">    6</w:t>
      </w:r>
      <w:r>
        <w:rPr>
          <w:rFonts w:hint="eastAsia" w:ascii="宋体" w:hAnsi="宋体" w:eastAsia="宋体" w:cs="宋体"/>
          <w:b w:val="0"/>
          <w:bCs/>
          <w:color w:val="000000"/>
          <w:sz w:val="24"/>
          <w:szCs w:val="24"/>
          <w:highlight w:val="none"/>
        </w:rPr>
        <w:t>.2为使投标人在准备投标时有适当的时间考虑投标文件的修改，招标方有权决定推迟投标截止时间和开标时间，并将此变更通知所有的投标人。</w:t>
      </w:r>
      <w:r>
        <w:rPr>
          <w:rFonts w:hint="eastAsia" w:ascii="宋体" w:hAnsi="宋体" w:eastAsia="宋体" w:cs="宋体"/>
          <w:b w:val="0"/>
          <w:bCs/>
          <w:color w:val="000000"/>
          <w:sz w:val="24"/>
          <w:szCs w:val="24"/>
          <w:highlight w:val="none"/>
        </w:rPr>
        <w:br w:type="textWrapping"/>
      </w:r>
      <w:r>
        <w:rPr>
          <w:rFonts w:hint="eastAsia" w:ascii="宋体" w:hAnsi="宋体" w:eastAsia="宋体" w:cs="宋体"/>
          <w:b w:val="0"/>
          <w:bCs/>
          <w:color w:val="000000"/>
          <w:sz w:val="24"/>
          <w:szCs w:val="24"/>
          <w:highlight w:val="none"/>
          <w:lang w:val="en-US" w:eastAsia="zh-CN"/>
        </w:rPr>
        <w:t xml:space="preserve">    6</w:t>
      </w:r>
      <w:r>
        <w:rPr>
          <w:rFonts w:hint="eastAsia" w:ascii="宋体" w:hAnsi="宋体" w:eastAsia="宋体" w:cs="宋体"/>
          <w:b w:val="0"/>
          <w:bCs/>
          <w:color w:val="000000"/>
          <w:sz w:val="24"/>
          <w:szCs w:val="24"/>
          <w:highlight w:val="none"/>
        </w:rPr>
        <w:t>.3招标文件的修改和补充文件</w:t>
      </w:r>
      <w:r>
        <w:rPr>
          <w:rFonts w:hint="eastAsia" w:ascii="宋体" w:hAnsi="宋体" w:eastAsia="宋体" w:cs="宋体"/>
          <w:color w:val="000000"/>
          <w:sz w:val="24"/>
          <w:szCs w:val="24"/>
          <w:highlight w:val="none"/>
        </w:rPr>
        <w:t>将在新疆政府采购网公布</w:t>
      </w:r>
      <w:r>
        <w:rPr>
          <w:rFonts w:hint="eastAsia" w:ascii="宋体" w:hAnsi="宋体" w:eastAsia="宋体" w:cs="宋体"/>
          <w:color w:val="000000"/>
          <w:sz w:val="24"/>
          <w:szCs w:val="24"/>
          <w:highlight w:val="none"/>
          <w:lang w:eastAsia="zh-CN"/>
        </w:rPr>
        <w:t>，修改、补充</w:t>
      </w:r>
      <w:r>
        <w:rPr>
          <w:rFonts w:hint="eastAsia" w:ascii="宋体" w:hAnsi="宋体" w:eastAsia="宋体" w:cs="宋体"/>
          <w:b w:val="0"/>
          <w:bCs/>
          <w:color w:val="000000"/>
          <w:sz w:val="24"/>
          <w:szCs w:val="24"/>
          <w:highlight w:val="none"/>
        </w:rPr>
        <w:t>将构成招标文件的一部分，并且对投标人具有优先约束力</w:t>
      </w:r>
      <w:r>
        <w:rPr>
          <w:rFonts w:hint="eastAsia" w:ascii="宋体" w:hAnsi="宋体" w:eastAsia="宋体" w:cs="宋体"/>
          <w:b w:val="0"/>
          <w:bCs/>
          <w:color w:val="000000"/>
          <w:sz w:val="24"/>
          <w:szCs w:val="24"/>
          <w:highlight w:val="none"/>
          <w:lang w:eastAsia="zh-CN"/>
        </w:rPr>
        <w:t>。</w:t>
      </w:r>
    </w:p>
    <w:p>
      <w:pPr>
        <w:pageBreakBefore w:val="0"/>
        <w:kinsoku/>
        <w:wordWrap/>
        <w:overflowPunct/>
        <w:topLinePunct w:val="0"/>
        <w:bidi w:val="0"/>
        <w:adjustRightInd w:val="0"/>
        <w:snapToGrid w:val="0"/>
        <w:spacing w:beforeAutospacing="0" w:afterAutospacing="0" w:line="400" w:lineRule="exact"/>
        <w:ind w:firstLine="482" w:firstLineChars="200"/>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lang w:val="en-US" w:eastAsia="zh-CN"/>
        </w:rPr>
        <w:t>7</w:t>
      </w:r>
      <w:r>
        <w:rPr>
          <w:rFonts w:hint="eastAsia" w:ascii="宋体" w:hAnsi="宋体" w:eastAsia="宋体" w:cs="宋体"/>
          <w:b/>
          <w:color w:val="000000"/>
          <w:sz w:val="24"/>
          <w:szCs w:val="24"/>
          <w:highlight w:val="none"/>
        </w:rPr>
        <w:t>.</w:t>
      </w:r>
      <w:r>
        <w:rPr>
          <w:rFonts w:hint="eastAsia" w:ascii="宋体" w:hAnsi="宋体" w:eastAsia="宋体" w:cs="宋体"/>
          <w:b/>
          <w:sz w:val="24"/>
          <w:szCs w:val="24"/>
        </w:rPr>
        <w:t>询问和质疑</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.1投标人对政府采购活动事项有疑问的，可以提出询问；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.2投标人认为采购文件、采购过程、中标或者中标结果使自己的权益受到损害的，可以在知道或者应知权益受到损害之日起7个工作日内，提出质疑。</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.3接收质疑函的方式：投标人应提交书面质疑函，投标人应在法定质疑期内一次性提出针对同一采购程序环节的质疑。</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.4投标人提出质疑应当提交质疑函和必要的证明材料。质疑函应当包括下列内容：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（1）投标人的姓名或者名称、地址、邮编、联系人及联系电话；</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（2）质疑项目的名称、编号；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（3）具体、明确的质疑事项和与质疑事项相关的请求；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（4）事实依据；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（5）必要的法律依据；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（6）提出质疑的日期。</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.5投标人为自然人的，质疑函应当由本人签字；投标人为法人或者其他组织的，质疑函应当由法定代表人、主要负责人，或者其授权代表签字或者盖章，并加盖公章。</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6投标人委托代理人递交质疑函的，应提供法定代表人授权委托书和代理人身份证复印件。授权委托书应当载明代理人的姓名、授权事项、具体权限、期限和相关事项。投标人为自然人的，授权委托书应当由本人签字；投标人为法人或者其他组织的，授权委托书应当由法定代表人、主要负责人签字或者盖章，并加盖公章。</w:t>
      </w:r>
    </w:p>
    <w:p>
      <w:pPr>
        <w:pStyle w:val="2"/>
        <w:rPr>
          <w:rFonts w:hint="eastAsia" w:ascii="宋体" w:hAnsi="宋体" w:eastAsia="宋体" w:cs="宋体"/>
          <w:lang w:val="en-US" w:eastAsia="zh-CN"/>
        </w:rPr>
      </w:pPr>
    </w:p>
    <w:p>
      <w:pPr>
        <w:pageBreakBefore w:val="0"/>
        <w:kinsoku/>
        <w:wordWrap/>
        <w:overflowPunct/>
        <w:topLinePunct w:val="0"/>
        <w:bidi w:val="0"/>
        <w:adjustRightInd w:val="0"/>
        <w:snapToGrid w:val="0"/>
        <w:spacing w:beforeAutospacing="0" w:afterAutospacing="0" w:line="400" w:lineRule="exact"/>
        <w:ind w:firstLine="482" w:firstLineChars="200"/>
        <w:rPr>
          <w:rFonts w:hint="eastAsia" w:ascii="宋体" w:hAnsi="宋体" w:eastAsia="宋体" w:cs="宋体"/>
          <w:b/>
          <w:color w:val="000000"/>
          <w:sz w:val="24"/>
          <w:szCs w:val="24"/>
          <w:highlight w:val="none"/>
        </w:rPr>
      </w:pPr>
    </w:p>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三、投标文件的编制</w:t>
      </w:r>
    </w:p>
    <w:p>
      <w:pPr>
        <w:pageBreakBefore w:val="0"/>
        <w:kinsoku/>
        <w:wordWrap/>
        <w:overflowPunct/>
        <w:topLinePunct w:val="0"/>
        <w:bidi w:val="0"/>
        <w:adjustRightInd w:val="0"/>
        <w:snapToGrid w:val="0"/>
        <w:spacing w:beforeAutospacing="0" w:afterAutospacing="0" w:line="400" w:lineRule="exact"/>
        <w:ind w:firstLine="482" w:firstLineChars="200"/>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8、 投标文件的编写</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lang w:val="en-US" w:eastAsia="zh-CN"/>
        </w:rPr>
        <w:t>8</w:t>
      </w:r>
      <w:r>
        <w:rPr>
          <w:rFonts w:hint="eastAsia" w:ascii="宋体" w:hAnsi="宋体" w:eastAsia="宋体" w:cs="宋体"/>
          <w:b w:val="0"/>
          <w:bCs/>
          <w:color w:val="000000"/>
          <w:sz w:val="24"/>
          <w:szCs w:val="24"/>
          <w:highlight w:val="none"/>
        </w:rPr>
        <w:t>.1投标人应认真阅读招标文件的所有内容，按招标文件的要求提供投标文件，投标文件应当对招标文件提出的要求和条件作出明确响应，并保证所提供的全部资料的真实性、完整性，以使其投标文件对招标文件做出实质性响应。</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lang w:val="en-US" w:eastAsia="zh-CN"/>
        </w:rPr>
        <w:t>8</w:t>
      </w:r>
      <w:r>
        <w:rPr>
          <w:rFonts w:hint="eastAsia" w:ascii="宋体" w:hAnsi="宋体" w:eastAsia="宋体" w:cs="宋体"/>
          <w:b w:val="0"/>
          <w:bCs/>
          <w:color w:val="000000"/>
          <w:sz w:val="24"/>
          <w:szCs w:val="24"/>
          <w:highlight w:val="none"/>
        </w:rPr>
        <w:t>.2采购人或采购代理机构有权随时检查投标人所提供的全部资料的真实性。如果发现投标人在投标资料中使用有虚假的证明材料的，由此所产生的经济责任和法律责任由投标人自行承担。</w:t>
      </w:r>
    </w:p>
    <w:p>
      <w:pPr>
        <w:pageBreakBefore w:val="0"/>
        <w:kinsoku/>
        <w:wordWrap/>
        <w:overflowPunct/>
        <w:topLinePunct w:val="0"/>
        <w:bidi w:val="0"/>
        <w:adjustRightInd w:val="0"/>
        <w:snapToGrid w:val="0"/>
        <w:spacing w:beforeAutospacing="0" w:afterAutospacing="0" w:line="400" w:lineRule="exact"/>
        <w:ind w:firstLine="482" w:firstLineChars="200"/>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9、 投标的语言</w:t>
      </w:r>
    </w:p>
    <w:p>
      <w:pPr>
        <w:pageBreakBefore w:val="0"/>
        <w:kinsoku/>
        <w:wordWrap/>
        <w:overflowPunct/>
        <w:topLinePunct w:val="0"/>
        <w:bidi w:val="0"/>
        <w:adjustRightInd w:val="0"/>
        <w:snapToGrid w:val="0"/>
        <w:spacing w:beforeAutospacing="0" w:afterAutospacing="0" w:line="400" w:lineRule="exac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9.1 投标人提交的投标文件以及投标人与采购</w:t>
      </w:r>
      <w:r>
        <w:rPr>
          <w:rFonts w:hint="eastAsia" w:ascii="宋体" w:hAnsi="宋体" w:eastAsia="宋体" w:cs="宋体"/>
          <w:color w:val="000000"/>
          <w:sz w:val="24"/>
          <w:szCs w:val="24"/>
          <w:highlight w:val="none"/>
          <w:lang w:val="en-US" w:eastAsia="zh-CN"/>
        </w:rPr>
        <w:t>人</w:t>
      </w:r>
      <w:r>
        <w:rPr>
          <w:rFonts w:hint="eastAsia" w:ascii="宋体" w:hAnsi="宋体" w:eastAsia="宋体" w:cs="宋体"/>
          <w:color w:val="000000"/>
          <w:sz w:val="24"/>
          <w:szCs w:val="24"/>
          <w:highlight w:val="none"/>
        </w:rPr>
        <w:t>就有关投标的所有来往通知、函件和文件均应使用简体中文。</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9.2投标文件中使用的计量单位除招标文件中有特殊规定外，一律使用法定计量单位。</w:t>
      </w:r>
    </w:p>
    <w:p>
      <w:pPr>
        <w:pageBreakBefore w:val="0"/>
        <w:kinsoku/>
        <w:wordWrap/>
        <w:overflowPunct/>
        <w:topLinePunct w:val="0"/>
        <w:bidi w:val="0"/>
        <w:adjustRightInd w:val="0"/>
        <w:snapToGrid w:val="0"/>
        <w:spacing w:beforeAutospacing="0" w:afterAutospacing="0" w:line="400" w:lineRule="exact"/>
        <w:ind w:firstLine="560"/>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10、投标文件的格式</w:t>
      </w:r>
    </w:p>
    <w:p>
      <w:pPr>
        <w:pageBreakBefore w:val="0"/>
        <w:kinsoku/>
        <w:wordWrap/>
        <w:overflowPunct/>
        <w:topLinePunct w:val="0"/>
        <w:bidi w:val="0"/>
        <w:adjustRightInd w:val="0"/>
        <w:snapToGrid w:val="0"/>
        <w:spacing w:beforeAutospacing="0" w:afterAutospacing="0" w:line="400" w:lineRule="exact"/>
        <w:ind w:firstLine="56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10.1投标人应按招标文件提供的格式及投标报价说明完整地填写所提供的产品、品牌、服务、数量及价格。</w:t>
      </w:r>
    </w:p>
    <w:p>
      <w:pPr>
        <w:pageBreakBefore w:val="0"/>
        <w:kinsoku/>
        <w:wordWrap/>
        <w:overflowPunct/>
        <w:topLinePunct w:val="0"/>
        <w:bidi w:val="0"/>
        <w:adjustRightInd w:val="0"/>
        <w:snapToGrid w:val="0"/>
        <w:spacing w:beforeAutospacing="0" w:afterAutospacing="0" w:line="400" w:lineRule="exact"/>
        <w:rPr>
          <w:rFonts w:hint="eastAsia" w:ascii="宋体" w:hAnsi="宋体" w:eastAsia="宋体" w:cs="宋体"/>
          <w:color w:val="auto"/>
          <w:sz w:val="24"/>
          <w:szCs w:val="24"/>
          <w:highlight w:val="none"/>
        </w:rPr>
      </w:pPr>
      <w:r>
        <w:rPr>
          <w:rFonts w:hint="eastAsia" w:ascii="宋体" w:hAnsi="宋体" w:eastAsia="宋体" w:cs="宋体"/>
          <w:color w:val="000000"/>
          <w:sz w:val="24"/>
          <w:szCs w:val="24"/>
          <w:highlight w:val="none"/>
        </w:rPr>
        <w:t xml:space="preserve">    10.2如投标人认为需要对招标文件的有关内容做详细的阐述而招标文件中提供的投标文件格式又不能满足，投标人可以在投标文件相关格式后另行添加表格或文字，对招标文件的有关内容做详细的阐述。但阐述的内容不能偏离招标文件的实质性内容，且应完整、表达清晰、准确。如果阐述的内容偏离了招标文件的实质性内容，投标文件按</w:t>
      </w:r>
      <w:r>
        <w:rPr>
          <w:rFonts w:hint="eastAsia" w:ascii="宋体" w:hAnsi="宋体" w:eastAsia="宋体" w:cs="宋体"/>
          <w:color w:val="auto"/>
          <w:sz w:val="24"/>
          <w:szCs w:val="24"/>
          <w:highlight w:val="none"/>
        </w:rPr>
        <w:t>废标处理。</w:t>
      </w:r>
    </w:p>
    <w:p>
      <w:pPr>
        <w:pageBreakBefore w:val="0"/>
        <w:kinsoku/>
        <w:wordWrap/>
        <w:overflowPunct/>
        <w:topLinePunct w:val="0"/>
        <w:bidi w:val="0"/>
        <w:adjustRightInd w:val="0"/>
        <w:snapToGrid w:val="0"/>
        <w:spacing w:beforeAutospacing="0" w:afterAutospacing="0" w:line="40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11、投标文件的组成和顺序:投标文件由经济报价部分、商务部分、技术部分三部分组成。开标一览表需按招标文件提供的格式填写，统一规范，并单独提供且与投标文件中提供的一致。</w:t>
      </w:r>
    </w:p>
    <w:p>
      <w:pPr>
        <w:pageBreakBefore w:val="0"/>
        <w:widowControl/>
        <w:kinsoku/>
        <w:wordWrap/>
        <w:overflowPunct/>
        <w:topLinePunct w:val="0"/>
        <w:bidi w:val="0"/>
        <w:adjustRightInd w:val="0"/>
        <w:snapToGrid w:val="0"/>
        <w:spacing w:line="400" w:lineRule="exact"/>
        <w:ind w:firstLine="460" w:firstLineChars="192"/>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rPr>
        <w:t>11.1.1</w:t>
      </w:r>
      <w:r>
        <w:rPr>
          <w:rFonts w:hint="eastAsia" w:ascii="宋体" w:hAnsi="宋体" w:eastAsia="宋体" w:cs="宋体"/>
          <w:color w:val="000000"/>
          <w:sz w:val="24"/>
          <w:szCs w:val="24"/>
          <w:highlight w:val="none"/>
          <w:lang w:val="en-US" w:eastAsia="zh-CN"/>
        </w:rPr>
        <w:t>投标书</w:t>
      </w:r>
    </w:p>
    <w:p>
      <w:pPr>
        <w:pageBreakBefore w:val="0"/>
        <w:widowControl/>
        <w:kinsoku/>
        <w:wordWrap/>
        <w:overflowPunct/>
        <w:topLinePunct w:val="0"/>
        <w:bidi w:val="0"/>
        <w:adjustRightInd w:val="0"/>
        <w:snapToGrid w:val="0"/>
        <w:spacing w:line="400" w:lineRule="exact"/>
        <w:ind w:firstLine="460" w:firstLineChars="192"/>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11.1.</w:t>
      </w: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rPr>
        <w:t>开标一览表；</w:t>
      </w:r>
    </w:p>
    <w:p>
      <w:pPr>
        <w:pageBreakBefore w:val="0"/>
        <w:widowControl/>
        <w:kinsoku/>
        <w:wordWrap/>
        <w:overflowPunct/>
        <w:topLinePunct w:val="0"/>
        <w:bidi w:val="0"/>
        <w:adjustRightInd w:val="0"/>
        <w:snapToGrid w:val="0"/>
        <w:spacing w:line="400" w:lineRule="exact"/>
        <w:ind w:firstLine="460" w:firstLineChars="192"/>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11.1.</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报价明细表；</w:t>
      </w:r>
    </w:p>
    <w:p>
      <w:pPr>
        <w:pageBreakBefore w:val="0"/>
        <w:widowControl/>
        <w:kinsoku/>
        <w:wordWrap/>
        <w:overflowPunct/>
        <w:topLinePunct w:val="0"/>
        <w:bidi w:val="0"/>
        <w:adjustRightInd w:val="0"/>
        <w:snapToGrid w:val="0"/>
        <w:spacing w:line="400" w:lineRule="exact"/>
        <w:ind w:firstLine="463" w:firstLineChars="192"/>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11.2商务部分：</w:t>
      </w:r>
    </w:p>
    <w:p>
      <w:pPr>
        <w:pageBreakBefore w:val="0"/>
        <w:widowControl/>
        <w:kinsoku/>
        <w:wordWrap/>
        <w:overflowPunct/>
        <w:topLinePunct w:val="0"/>
        <w:bidi w:val="0"/>
        <w:adjustRightInd w:val="0"/>
        <w:snapToGrid w:val="0"/>
        <w:spacing w:line="400" w:lineRule="exact"/>
        <w:ind w:firstLine="460" w:firstLineChars="192"/>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11.2.1投标方的资格声明</w:t>
      </w:r>
    </w:p>
    <w:p>
      <w:pPr>
        <w:pageBreakBefore w:val="0"/>
        <w:widowControl/>
        <w:kinsoku/>
        <w:wordWrap/>
        <w:overflowPunct/>
        <w:topLinePunct w:val="0"/>
        <w:bidi w:val="0"/>
        <w:adjustRightInd w:val="0"/>
        <w:snapToGrid w:val="0"/>
        <w:spacing w:line="400" w:lineRule="exact"/>
        <w:ind w:firstLine="460" w:firstLineChars="192"/>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11.2.</w:t>
      </w: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rPr>
        <w:t>投标单位简介</w:t>
      </w:r>
    </w:p>
    <w:p>
      <w:pPr>
        <w:pageBreakBefore w:val="0"/>
        <w:widowControl/>
        <w:kinsoku/>
        <w:wordWrap/>
        <w:overflowPunct/>
        <w:topLinePunct w:val="0"/>
        <w:bidi w:val="0"/>
        <w:adjustRightInd w:val="0"/>
        <w:snapToGrid w:val="0"/>
        <w:spacing w:line="400" w:lineRule="exact"/>
        <w:ind w:firstLine="460" w:firstLineChars="192"/>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11.2.3</w:t>
      </w:r>
      <w:r>
        <w:rPr>
          <w:rFonts w:hint="eastAsia" w:ascii="宋体" w:hAnsi="宋体" w:eastAsia="宋体" w:cs="宋体"/>
          <w:color w:val="000000"/>
          <w:sz w:val="24"/>
          <w:szCs w:val="24"/>
          <w:highlight w:val="none"/>
        </w:rPr>
        <w:t>法人营业执照函</w:t>
      </w:r>
    </w:p>
    <w:p>
      <w:pPr>
        <w:pageBreakBefore w:val="0"/>
        <w:widowControl/>
        <w:kinsoku/>
        <w:wordWrap/>
        <w:overflowPunct/>
        <w:topLinePunct w:val="0"/>
        <w:bidi w:val="0"/>
        <w:adjustRightInd w:val="0"/>
        <w:snapToGrid w:val="0"/>
        <w:spacing w:line="400" w:lineRule="exact"/>
        <w:ind w:firstLine="460" w:firstLineChars="192"/>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11.2.</w:t>
      </w: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rPr>
        <w:t>法定代表人证明书</w:t>
      </w:r>
    </w:p>
    <w:p>
      <w:pPr>
        <w:pageBreakBefore w:val="0"/>
        <w:widowControl/>
        <w:kinsoku/>
        <w:wordWrap/>
        <w:overflowPunct/>
        <w:topLinePunct w:val="0"/>
        <w:bidi w:val="0"/>
        <w:adjustRightInd w:val="0"/>
        <w:snapToGrid w:val="0"/>
        <w:spacing w:line="400" w:lineRule="exact"/>
        <w:ind w:firstLine="460" w:firstLineChars="192"/>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11.2.</w:t>
      </w:r>
      <w:r>
        <w:rPr>
          <w:rFonts w:hint="eastAsia" w:ascii="宋体" w:hAnsi="宋体" w:eastAsia="宋体" w:cs="宋体"/>
          <w:color w:val="000000"/>
          <w:sz w:val="24"/>
          <w:szCs w:val="24"/>
          <w:highlight w:val="none"/>
          <w:lang w:val="en-US" w:eastAsia="zh-CN"/>
        </w:rPr>
        <w:t>5</w:t>
      </w:r>
      <w:r>
        <w:rPr>
          <w:rFonts w:hint="eastAsia" w:ascii="宋体" w:hAnsi="宋体" w:eastAsia="宋体" w:cs="宋体"/>
          <w:color w:val="000000"/>
          <w:sz w:val="24"/>
          <w:szCs w:val="24"/>
          <w:highlight w:val="none"/>
        </w:rPr>
        <w:t>法定代表人授权委托书</w:t>
      </w:r>
    </w:p>
    <w:p>
      <w:pPr>
        <w:pageBreakBefore w:val="0"/>
        <w:widowControl/>
        <w:kinsoku/>
        <w:wordWrap/>
        <w:overflowPunct/>
        <w:topLinePunct w:val="0"/>
        <w:bidi w:val="0"/>
        <w:adjustRightInd w:val="0"/>
        <w:snapToGrid w:val="0"/>
        <w:spacing w:line="400" w:lineRule="exact"/>
        <w:ind w:firstLine="460" w:firstLineChars="192"/>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11.2.</w:t>
      </w: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rPr>
        <w:t>投标人</w:t>
      </w:r>
      <w:r>
        <w:rPr>
          <w:rFonts w:hint="eastAsia" w:ascii="宋体" w:hAnsi="宋体" w:eastAsia="宋体" w:cs="宋体"/>
          <w:color w:val="000000"/>
          <w:sz w:val="24"/>
          <w:szCs w:val="24"/>
          <w:highlight w:val="none"/>
          <w:lang w:val="en-US" w:eastAsia="zh-CN"/>
        </w:rPr>
        <w:t>在</w:t>
      </w:r>
      <w:r>
        <w:rPr>
          <w:rFonts w:hint="eastAsia" w:ascii="宋体" w:hAnsi="宋体" w:eastAsia="宋体" w:cs="宋体"/>
          <w:color w:val="000000"/>
          <w:sz w:val="24"/>
          <w:szCs w:val="24"/>
          <w:highlight w:val="none"/>
        </w:rPr>
        <w:t>本项目投标截止期前在“信用中国（</w:t>
      </w:r>
      <w:r>
        <w:rPr>
          <w:rFonts w:hint="eastAsia" w:ascii="宋体" w:hAnsi="宋体" w:eastAsia="宋体" w:cs="宋体"/>
          <w:color w:val="000000"/>
          <w:sz w:val="24"/>
          <w:szCs w:val="24"/>
          <w:highlight w:val="none"/>
        </w:rPr>
        <w:fldChar w:fldCharType="begin"/>
      </w:r>
      <w:r>
        <w:rPr>
          <w:rFonts w:hint="eastAsia" w:ascii="宋体" w:hAnsi="宋体" w:eastAsia="宋体" w:cs="宋体"/>
          <w:color w:val="000000"/>
          <w:sz w:val="24"/>
          <w:szCs w:val="24"/>
          <w:highlight w:val="none"/>
        </w:rPr>
        <w:instrText xml:space="preserve"> HYPERLINK </w:instrText>
      </w:r>
      <w:r>
        <w:rPr>
          <w:rFonts w:hint="eastAsia" w:ascii="宋体" w:hAnsi="宋体" w:eastAsia="宋体" w:cs="宋体"/>
          <w:color w:val="000000"/>
          <w:sz w:val="24"/>
          <w:szCs w:val="24"/>
          <w:highlight w:val="none"/>
        </w:rPr>
        <w:fldChar w:fldCharType="separate"/>
      </w:r>
      <w:r>
        <w:rPr>
          <w:rFonts w:hint="eastAsia" w:ascii="宋体" w:hAnsi="宋体" w:eastAsia="宋体" w:cs="宋体"/>
          <w:color w:val="000000"/>
          <w:sz w:val="24"/>
          <w:szCs w:val="24"/>
          <w:highlight w:val="none"/>
        </w:rPr>
        <w:t>www.creditchina.gov.cn）”“中国政府招标网（www.ccgp.gov.cn）”</w:t>
      </w:r>
      <w:r>
        <w:rPr>
          <w:rFonts w:hint="eastAsia" w:ascii="宋体" w:hAnsi="宋体" w:eastAsia="宋体" w:cs="宋体"/>
          <w:color w:val="000000"/>
          <w:sz w:val="24"/>
          <w:szCs w:val="24"/>
          <w:highlight w:val="none"/>
          <w:lang w:val="en-US" w:eastAsia="zh-CN"/>
        </w:rPr>
        <w:t>国家企业信用信息公示系统（www.gsxt.gov.cn）网络查询截图加盖投标企业公章</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rPr>
        <w:fldChar w:fldCharType="end"/>
      </w:r>
    </w:p>
    <w:p>
      <w:pPr>
        <w:pageBreakBefore w:val="0"/>
        <w:widowControl/>
        <w:kinsoku/>
        <w:wordWrap/>
        <w:overflowPunct/>
        <w:topLinePunct w:val="0"/>
        <w:bidi w:val="0"/>
        <w:adjustRightInd w:val="0"/>
        <w:snapToGrid w:val="0"/>
        <w:spacing w:line="400" w:lineRule="exact"/>
        <w:ind w:firstLine="460" w:firstLineChars="192"/>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11.2.7近三年的业绩表及相关证明</w:t>
      </w:r>
    </w:p>
    <w:p>
      <w:pPr>
        <w:pageBreakBefore w:val="0"/>
        <w:widowControl/>
        <w:kinsoku/>
        <w:wordWrap/>
        <w:overflowPunct/>
        <w:topLinePunct w:val="0"/>
        <w:bidi w:val="0"/>
        <w:adjustRightInd w:val="0"/>
        <w:snapToGrid w:val="0"/>
        <w:spacing w:line="400" w:lineRule="exact"/>
        <w:ind w:firstLine="460" w:firstLineChars="192"/>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11.2.8服务评价</w:t>
      </w:r>
    </w:p>
    <w:p>
      <w:pPr>
        <w:pageBreakBefore w:val="0"/>
        <w:widowControl/>
        <w:kinsoku/>
        <w:wordWrap/>
        <w:overflowPunct/>
        <w:topLinePunct w:val="0"/>
        <w:bidi w:val="0"/>
        <w:adjustRightInd w:val="0"/>
        <w:snapToGrid w:val="0"/>
        <w:spacing w:line="400" w:lineRule="exact"/>
        <w:ind w:firstLine="460" w:firstLineChars="192"/>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11.2.9项目人员</w:t>
      </w:r>
    </w:p>
    <w:p>
      <w:pPr>
        <w:pageBreakBefore w:val="0"/>
        <w:widowControl/>
        <w:kinsoku/>
        <w:wordWrap/>
        <w:overflowPunct/>
        <w:topLinePunct w:val="0"/>
        <w:bidi w:val="0"/>
        <w:adjustRightInd w:val="0"/>
        <w:snapToGrid w:val="0"/>
        <w:spacing w:line="400" w:lineRule="exact"/>
        <w:ind w:firstLine="460" w:firstLineChars="192"/>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11.2.1</w:t>
      </w:r>
      <w:r>
        <w:rPr>
          <w:rFonts w:hint="eastAsia" w:ascii="宋体" w:hAnsi="宋体" w:eastAsia="宋体" w:cs="宋体"/>
          <w:color w:val="000000"/>
          <w:sz w:val="24"/>
          <w:szCs w:val="24"/>
          <w:highlight w:val="none"/>
          <w:lang w:val="en-US" w:eastAsia="zh-CN"/>
        </w:rPr>
        <w:t>0</w:t>
      </w:r>
      <w:r>
        <w:rPr>
          <w:rFonts w:hint="eastAsia" w:ascii="宋体" w:hAnsi="宋体" w:eastAsia="宋体" w:cs="宋体"/>
          <w:color w:val="000000"/>
          <w:sz w:val="24"/>
          <w:szCs w:val="24"/>
          <w:highlight w:val="none"/>
        </w:rPr>
        <w:t>商务条款偏离表</w:t>
      </w:r>
    </w:p>
    <w:p>
      <w:pPr>
        <w:pageBreakBefore w:val="0"/>
        <w:widowControl/>
        <w:kinsoku/>
        <w:wordWrap/>
        <w:overflowPunct/>
        <w:topLinePunct w:val="0"/>
        <w:bidi w:val="0"/>
        <w:adjustRightInd w:val="0"/>
        <w:snapToGrid w:val="0"/>
        <w:spacing w:line="400" w:lineRule="exact"/>
        <w:ind w:firstLine="460" w:firstLineChars="192"/>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rPr>
        <w:t>11.2.1</w:t>
      </w: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lang w:val="zh-CN"/>
        </w:rPr>
        <w:t>投标单位（投标人）反商业贿赂承诺书</w:t>
      </w:r>
    </w:p>
    <w:p>
      <w:pPr>
        <w:pageBreakBefore w:val="0"/>
        <w:widowControl/>
        <w:kinsoku/>
        <w:wordWrap/>
        <w:overflowPunct/>
        <w:topLinePunct w:val="0"/>
        <w:bidi w:val="0"/>
        <w:adjustRightInd w:val="0"/>
        <w:snapToGrid w:val="0"/>
        <w:spacing w:line="400" w:lineRule="exact"/>
        <w:ind w:firstLine="460" w:firstLineChars="192"/>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11.2.</w:t>
      </w:r>
      <w:r>
        <w:rPr>
          <w:rFonts w:hint="eastAsia" w:ascii="宋体" w:hAnsi="宋体" w:eastAsia="宋体" w:cs="宋体"/>
          <w:color w:val="000000"/>
          <w:sz w:val="24"/>
          <w:szCs w:val="24"/>
          <w:highlight w:val="none"/>
          <w:lang w:val="en-US" w:eastAsia="zh-CN"/>
        </w:rPr>
        <w:t>12</w:t>
      </w:r>
      <w:r>
        <w:rPr>
          <w:rFonts w:hint="eastAsia" w:ascii="宋体" w:hAnsi="宋体" w:eastAsia="宋体" w:cs="宋体"/>
          <w:color w:val="000000"/>
          <w:sz w:val="24"/>
          <w:szCs w:val="24"/>
          <w:highlight w:val="none"/>
          <w:lang w:val="zh-CN"/>
        </w:rPr>
        <w:t>投标人标人企业类型声明函</w:t>
      </w:r>
    </w:p>
    <w:p>
      <w:pPr>
        <w:pageBreakBefore w:val="0"/>
        <w:widowControl/>
        <w:kinsoku/>
        <w:wordWrap/>
        <w:overflowPunct/>
        <w:topLinePunct w:val="0"/>
        <w:bidi w:val="0"/>
        <w:adjustRightInd w:val="0"/>
        <w:snapToGrid w:val="0"/>
        <w:spacing w:line="400" w:lineRule="exact"/>
        <w:ind w:firstLine="460" w:firstLineChars="192"/>
        <w:rPr>
          <w:rFonts w:hint="eastAsia" w:ascii="宋体" w:hAnsi="宋体" w:eastAsia="宋体" w:cs="宋体"/>
          <w:kern w:val="0"/>
          <w:sz w:val="24"/>
          <w:szCs w:val="24"/>
          <w:lang w:val="en-US" w:eastAsia="zh-CN"/>
        </w:rPr>
      </w:pPr>
      <w:r>
        <w:rPr>
          <w:rFonts w:hint="eastAsia" w:ascii="宋体" w:hAnsi="宋体" w:eastAsia="宋体" w:cs="宋体"/>
          <w:color w:val="000000"/>
          <w:sz w:val="24"/>
          <w:szCs w:val="24"/>
          <w:highlight w:val="none"/>
        </w:rPr>
        <w:t xml:space="preserve">11.3 </w:t>
      </w:r>
      <w:r>
        <w:rPr>
          <w:rFonts w:hint="eastAsia" w:ascii="宋体" w:hAnsi="宋体" w:eastAsia="宋体" w:cs="宋体"/>
          <w:b/>
          <w:color w:val="000000"/>
          <w:sz w:val="24"/>
          <w:szCs w:val="24"/>
          <w:highlight w:val="none"/>
        </w:rPr>
        <w:t>技术部分：</w:t>
      </w:r>
    </w:p>
    <w:p>
      <w:pPr>
        <w:pageBreakBefore w:val="0"/>
        <w:widowControl/>
        <w:kinsoku/>
        <w:wordWrap/>
        <w:overflowPunct/>
        <w:topLinePunct w:val="0"/>
        <w:bidi w:val="0"/>
        <w:adjustRightInd w:val="0"/>
        <w:snapToGrid w:val="0"/>
        <w:spacing w:line="400" w:lineRule="exact"/>
        <w:ind w:firstLine="460" w:firstLineChars="192"/>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11.3.1人员配置</w:t>
      </w:r>
    </w:p>
    <w:p>
      <w:pPr>
        <w:pageBreakBefore w:val="0"/>
        <w:widowControl/>
        <w:kinsoku/>
        <w:wordWrap/>
        <w:overflowPunct/>
        <w:topLinePunct w:val="0"/>
        <w:bidi w:val="0"/>
        <w:adjustRightInd w:val="0"/>
        <w:snapToGrid w:val="0"/>
        <w:spacing w:line="400" w:lineRule="exact"/>
        <w:ind w:firstLine="460" w:firstLineChars="192"/>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11.3.2规章制度</w:t>
      </w:r>
    </w:p>
    <w:p>
      <w:pPr>
        <w:pageBreakBefore w:val="0"/>
        <w:widowControl/>
        <w:kinsoku/>
        <w:wordWrap/>
        <w:overflowPunct/>
        <w:topLinePunct w:val="0"/>
        <w:bidi w:val="0"/>
        <w:adjustRightInd w:val="0"/>
        <w:snapToGrid w:val="0"/>
        <w:spacing w:line="400" w:lineRule="exact"/>
        <w:ind w:firstLine="460" w:firstLineChars="192"/>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11.3.3绿化养护服务实施方案</w:t>
      </w:r>
    </w:p>
    <w:p>
      <w:pPr>
        <w:pageBreakBefore w:val="0"/>
        <w:widowControl/>
        <w:kinsoku/>
        <w:wordWrap/>
        <w:overflowPunct/>
        <w:topLinePunct w:val="0"/>
        <w:bidi w:val="0"/>
        <w:adjustRightInd w:val="0"/>
        <w:snapToGrid w:val="0"/>
        <w:spacing w:line="400" w:lineRule="exact"/>
        <w:ind w:firstLine="460" w:firstLineChars="192"/>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11.3.4环卫保洁服务实施方案</w:t>
      </w:r>
    </w:p>
    <w:p>
      <w:pPr>
        <w:pageBreakBefore w:val="0"/>
        <w:widowControl/>
        <w:kinsoku/>
        <w:wordWrap/>
        <w:overflowPunct/>
        <w:topLinePunct w:val="0"/>
        <w:bidi w:val="0"/>
        <w:adjustRightInd w:val="0"/>
        <w:snapToGrid w:val="0"/>
        <w:spacing w:line="400" w:lineRule="exact"/>
        <w:ind w:firstLine="460" w:firstLineChars="192"/>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11.3.5投入本项目机械、材料、器具设备配置</w:t>
      </w:r>
    </w:p>
    <w:p>
      <w:pPr>
        <w:pageBreakBefore w:val="0"/>
        <w:widowControl/>
        <w:kinsoku/>
        <w:wordWrap/>
        <w:overflowPunct/>
        <w:topLinePunct w:val="0"/>
        <w:bidi w:val="0"/>
        <w:adjustRightInd w:val="0"/>
        <w:snapToGrid w:val="0"/>
        <w:spacing w:line="400" w:lineRule="exact"/>
        <w:ind w:firstLine="460" w:firstLineChars="192"/>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11.3.6安全生产作业措施方案</w:t>
      </w:r>
    </w:p>
    <w:p>
      <w:pPr>
        <w:pageBreakBefore w:val="0"/>
        <w:widowControl/>
        <w:kinsoku/>
        <w:wordWrap/>
        <w:overflowPunct/>
        <w:topLinePunct w:val="0"/>
        <w:bidi w:val="0"/>
        <w:adjustRightInd w:val="0"/>
        <w:snapToGrid w:val="0"/>
        <w:spacing w:line="400" w:lineRule="exact"/>
        <w:ind w:firstLine="460" w:firstLineChars="192"/>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11.3.7应急预案 服务达标承诺及不达标改善措施</w:t>
      </w:r>
    </w:p>
    <w:p>
      <w:pPr>
        <w:pageBreakBefore w:val="0"/>
        <w:widowControl/>
        <w:kinsoku/>
        <w:wordWrap/>
        <w:overflowPunct/>
        <w:topLinePunct w:val="0"/>
        <w:bidi w:val="0"/>
        <w:adjustRightInd w:val="0"/>
        <w:snapToGrid w:val="0"/>
        <w:spacing w:line="400" w:lineRule="exact"/>
        <w:ind w:firstLine="460" w:firstLineChars="192"/>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11.3.8技术条款偏离表</w:t>
      </w:r>
    </w:p>
    <w:p>
      <w:pPr>
        <w:pageBreakBefore w:val="0"/>
        <w:widowControl/>
        <w:kinsoku/>
        <w:wordWrap/>
        <w:overflowPunct/>
        <w:topLinePunct w:val="0"/>
        <w:bidi w:val="0"/>
        <w:adjustRightInd w:val="0"/>
        <w:snapToGrid w:val="0"/>
        <w:spacing w:line="400" w:lineRule="exact"/>
        <w:ind w:firstLine="460" w:firstLineChars="192"/>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11.3.9投标人认为需要提供的其他资料。</w:t>
      </w:r>
    </w:p>
    <w:p>
      <w:pPr>
        <w:tabs>
          <w:tab w:val="left" w:pos="900"/>
        </w:tabs>
        <w:spacing w:line="360" w:lineRule="auto"/>
        <w:ind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11.3.10</w:t>
      </w:r>
      <w:r>
        <w:rPr>
          <w:rFonts w:hint="eastAsia" w:ascii="宋体" w:hAnsi="宋体" w:eastAsia="宋体" w:cs="宋体"/>
          <w:sz w:val="24"/>
          <w:szCs w:val="24"/>
        </w:rPr>
        <w:t>投标服务技术符合招标文件规定的证明文件及投标人认为需加以说明的其他内容。</w:t>
      </w:r>
      <w:r>
        <w:rPr>
          <w:rFonts w:hint="eastAsia" w:ascii="宋体" w:hAnsi="宋体" w:eastAsia="宋体" w:cs="宋体"/>
          <w:color w:val="000000"/>
          <w:sz w:val="24"/>
          <w:szCs w:val="24"/>
          <w:highlight w:val="none"/>
          <w:lang w:val="en-US" w:eastAsia="zh-CN"/>
        </w:rPr>
        <w:t>（如有）。</w:t>
      </w:r>
    </w:p>
    <w:p>
      <w:pPr>
        <w:pageBreakBefore w:val="0"/>
        <w:kinsoku/>
        <w:wordWrap/>
        <w:overflowPunct/>
        <w:topLinePunct w:val="0"/>
        <w:bidi w:val="0"/>
        <w:adjustRightInd w:val="0"/>
        <w:snapToGrid w:val="0"/>
        <w:spacing w:beforeAutospacing="0" w:afterAutospacing="0" w:line="400" w:lineRule="exact"/>
        <w:ind w:firstLine="482" w:firstLineChars="200"/>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12、投标报价：</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bookmarkStart w:id="0" w:name="OLE_LINK1"/>
      <w:r>
        <w:rPr>
          <w:rFonts w:hint="eastAsia" w:ascii="宋体" w:hAnsi="宋体" w:eastAsia="宋体" w:cs="宋体"/>
          <w:color w:val="000000"/>
          <w:sz w:val="24"/>
          <w:szCs w:val="24"/>
          <w:highlight w:val="none"/>
        </w:rPr>
        <w:t>12.1投标单位应在投标</w:t>
      </w:r>
      <w:r>
        <w:rPr>
          <w:rFonts w:hint="eastAsia" w:ascii="宋体" w:hAnsi="宋体" w:eastAsia="宋体" w:cs="宋体"/>
          <w:sz w:val="24"/>
          <w:szCs w:val="24"/>
          <w:highlight w:val="none"/>
        </w:rPr>
        <w:t>的报价表上标</w:t>
      </w:r>
      <w:r>
        <w:rPr>
          <w:rFonts w:hint="eastAsia" w:ascii="宋体" w:hAnsi="宋体" w:eastAsia="宋体" w:cs="宋体"/>
          <w:color w:val="000000"/>
          <w:sz w:val="24"/>
          <w:szCs w:val="24"/>
          <w:highlight w:val="none"/>
        </w:rPr>
        <w:t>明总价。</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12.1.1</w:t>
      </w:r>
      <w:r>
        <w:rPr>
          <w:rFonts w:hint="eastAsia" w:ascii="宋体" w:hAnsi="宋体" w:eastAsia="宋体" w:cs="宋体"/>
          <w:color w:val="000000"/>
          <w:sz w:val="24"/>
          <w:szCs w:val="24"/>
          <w:highlight w:val="none"/>
        </w:rPr>
        <w:t>投标文件中开标一览表内容与投标文件中相应内容不一致的，以开标一览表为准；</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12.1.2</w:t>
      </w:r>
      <w:r>
        <w:rPr>
          <w:rFonts w:hint="eastAsia" w:ascii="宋体" w:hAnsi="宋体" w:eastAsia="宋体" w:cs="宋体"/>
          <w:color w:val="000000"/>
          <w:sz w:val="24"/>
          <w:szCs w:val="24"/>
          <w:highlight w:val="none"/>
        </w:rPr>
        <w:t>大写金额和小写金额不一致的，以大写金额为准；</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12.1.3</w:t>
      </w:r>
      <w:r>
        <w:rPr>
          <w:rFonts w:hint="eastAsia" w:ascii="宋体" w:hAnsi="宋体" w:eastAsia="宋体" w:cs="宋体"/>
          <w:color w:val="000000"/>
          <w:sz w:val="24"/>
          <w:szCs w:val="24"/>
          <w:highlight w:val="none"/>
        </w:rPr>
        <w:t>单价金额小数点或者百分比有明显错位的，以开标一览表的总价为准，并修改单价；</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12.1.4</w:t>
      </w:r>
      <w:r>
        <w:rPr>
          <w:rFonts w:hint="eastAsia" w:ascii="宋体" w:hAnsi="宋体" w:eastAsia="宋体" w:cs="宋体"/>
          <w:color w:val="000000"/>
          <w:sz w:val="24"/>
          <w:szCs w:val="24"/>
          <w:highlight w:val="none"/>
        </w:rPr>
        <w:t>总价金额与按单价汇总金额不一致的，以单价金额计算结果为准。投标单位应在投标报价表中标明其提供的所有货物及其相关工作范围内所在费用的总价。</w:t>
      </w:r>
    </w:p>
    <w:p>
      <w:pPr>
        <w:pageBreakBefore w:val="0"/>
        <w:kinsoku/>
        <w:wordWrap/>
        <w:overflowPunct/>
        <w:topLinePunct w:val="0"/>
        <w:bidi w:val="0"/>
        <w:adjustRightInd w:val="0"/>
        <w:snapToGrid w:val="0"/>
        <w:spacing w:beforeAutospacing="0" w:afterAutospacing="0" w:line="400" w:lineRule="exac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12.2 除非合同中另有规定，投标人对《投标报价表》中的全部</w:t>
      </w:r>
      <w:r>
        <w:rPr>
          <w:rFonts w:hint="eastAsia" w:ascii="宋体" w:hAnsi="宋体" w:eastAsia="宋体" w:cs="宋体"/>
          <w:color w:val="000000"/>
          <w:sz w:val="24"/>
          <w:szCs w:val="24"/>
          <w:highlight w:val="none"/>
          <w:lang w:eastAsia="zh-CN"/>
        </w:rPr>
        <w:t>货物、</w:t>
      </w:r>
      <w:r>
        <w:rPr>
          <w:rFonts w:hint="eastAsia" w:ascii="宋体" w:hAnsi="宋体" w:eastAsia="宋体" w:cs="宋体"/>
          <w:color w:val="000000"/>
          <w:sz w:val="24"/>
          <w:szCs w:val="24"/>
          <w:highlight w:val="none"/>
        </w:rPr>
        <w:t>服务的报价应包括所投</w:t>
      </w:r>
      <w:r>
        <w:rPr>
          <w:rFonts w:hint="eastAsia" w:ascii="宋体" w:hAnsi="宋体" w:eastAsia="宋体" w:cs="宋体"/>
          <w:color w:val="000000"/>
          <w:sz w:val="24"/>
          <w:szCs w:val="24"/>
          <w:highlight w:val="none"/>
          <w:lang w:eastAsia="zh-CN"/>
        </w:rPr>
        <w:t>货物、</w:t>
      </w:r>
      <w:r>
        <w:rPr>
          <w:rFonts w:hint="eastAsia" w:ascii="宋体" w:hAnsi="宋体" w:eastAsia="宋体" w:cs="宋体"/>
          <w:color w:val="000000"/>
          <w:sz w:val="24"/>
          <w:szCs w:val="24"/>
          <w:highlight w:val="none"/>
        </w:rPr>
        <w:t>服务项目所有费用。投标报价为最终报价，除非因特殊原因并经买卖双方及相关监督部门协商同意，投标人不得再要求追加任何费用。同时，除非合同条款中另有规定，否则，投标单位所报价格在合同实施期间不因市场变化因素而变动。</w:t>
      </w:r>
    </w:p>
    <w:p>
      <w:pPr>
        <w:keepNext w:val="0"/>
        <w:keepLines w:val="0"/>
        <w:pageBreakBefore w:val="0"/>
        <w:widowControl w:val="0"/>
        <w:kinsoku/>
        <w:wordWrap/>
        <w:overflowPunct/>
        <w:topLinePunct w:val="0"/>
        <w:autoSpaceDE/>
        <w:autoSpaceDN/>
        <w:bidi w:val="0"/>
        <w:adjustRightInd w:val="0"/>
        <w:snapToGrid w:val="0"/>
        <w:spacing w:beforeAutospacing="0" w:afterAutospacing="0" w:line="400" w:lineRule="exac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12.3 投标人应对招标文件内所要招标的全部内容进行报价，报价采用总</w:t>
      </w:r>
      <w:r>
        <w:rPr>
          <w:rFonts w:hint="eastAsia" w:ascii="宋体" w:hAnsi="宋体" w:eastAsia="宋体" w:cs="宋体"/>
          <w:color w:val="000000"/>
          <w:sz w:val="24"/>
          <w:szCs w:val="24"/>
          <w:highlight w:val="none"/>
          <w:lang w:eastAsia="zh-CN"/>
        </w:rPr>
        <w:t>报价</w:t>
      </w:r>
      <w:r>
        <w:rPr>
          <w:rFonts w:hint="eastAsia" w:ascii="宋体" w:hAnsi="宋体" w:eastAsia="宋体" w:cs="宋体"/>
          <w:color w:val="000000"/>
          <w:sz w:val="24"/>
          <w:szCs w:val="24"/>
          <w:highlight w:val="none"/>
        </w:rPr>
        <w:t>方式，投标人的报价应包括所投产品费用、安装调试费、测试验收费、培训费、运行维护费用、税金、国际国内运输保险及其他有关的为完成本项目发生的所有费用，招标文件中另有规定的除外。</w:t>
      </w:r>
    </w:p>
    <w:p>
      <w:pPr>
        <w:keepNext w:val="0"/>
        <w:keepLines w:val="0"/>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12.4 一项投标内容只允许一个报价，</w:t>
      </w:r>
      <w:r>
        <w:rPr>
          <w:rFonts w:hint="eastAsia" w:ascii="宋体" w:hAnsi="宋体" w:eastAsia="宋体" w:cs="宋体"/>
          <w:color w:val="000000"/>
          <w:sz w:val="24"/>
          <w:szCs w:val="24"/>
          <w:highlight w:val="none"/>
          <w:lang w:eastAsia="zh-CN"/>
        </w:rPr>
        <w:t>采购人</w:t>
      </w:r>
      <w:r>
        <w:rPr>
          <w:rFonts w:hint="eastAsia" w:ascii="宋体" w:hAnsi="宋体" w:eastAsia="宋体" w:cs="宋体"/>
          <w:color w:val="000000"/>
          <w:sz w:val="24"/>
          <w:szCs w:val="24"/>
          <w:highlight w:val="none"/>
        </w:rPr>
        <w:t>不接受任何有选择性的投标报价。</w:t>
      </w:r>
    </w:p>
    <w:p>
      <w:pPr>
        <w:pStyle w:val="2"/>
        <w:keepNext w:val="0"/>
        <w:keepLines w:val="0"/>
        <w:pageBreakBefore w:val="0"/>
        <w:widowControl w:val="0"/>
        <w:kinsoku/>
        <w:wordWrap/>
        <w:overflowPunct/>
        <w:topLinePunct w:val="0"/>
        <w:autoSpaceDE/>
        <w:autoSpaceDN/>
        <w:bidi w:val="0"/>
        <w:spacing w:after="0" w:line="400" w:lineRule="exact"/>
        <w:ind w:left="0" w:leftChars="0" w:firstLine="480" w:firstLineChars="200"/>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12.5投标人不得违反《中华人民共和国反不正当竞争法》的规定，以低于成本的价格销售货物或服务，否则对其价格构成情况做出详细说明并提供相关证明资料。评标委员会认为投标人的报价明显低于其他通过符合性审查投标人的报价，有可能影响产品质量或者不能诚信履约的，应当要求在发出询标函的30分钟内提供书面说明，必要时提交相关证明材料；投标人逾期或拒绝或不能证明其报价合理性的，评标委员会应当将其作为无效投标处理。投标人的澄清、说明或者补正应当采用书面形式，由其授权代表签字，并不得超出投标文件的范围或者改变投标文件的实质性内容，书面承诺为其投标文件的组成部分。</w:t>
      </w:r>
    </w:p>
    <w:p>
      <w:pPr>
        <w:keepNext w:val="0"/>
        <w:keepLines w:val="0"/>
        <w:pageBreakBefore w:val="0"/>
        <w:widowControl w:val="0"/>
        <w:kinsoku/>
        <w:wordWrap/>
        <w:overflowPunct/>
        <w:topLinePunct w:val="0"/>
        <w:autoSpaceDE/>
        <w:autoSpaceDN/>
        <w:bidi w:val="0"/>
        <w:adjustRightInd w:val="0"/>
        <w:snapToGrid w:val="0"/>
        <w:spacing w:beforeAutospacing="0" w:afterAutospacing="0" w:line="400" w:lineRule="exac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12.</w:t>
      </w: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rPr>
        <w:t>投标文件报价中的单价和总价全部采用人民币表示，除非合同的主要条款另有规定。</w:t>
      </w:r>
      <w:bookmarkEnd w:id="0"/>
    </w:p>
    <w:p>
      <w:pPr>
        <w:pageBreakBefore w:val="0"/>
        <w:kinsoku/>
        <w:wordWrap/>
        <w:overflowPunct/>
        <w:topLinePunct w:val="0"/>
        <w:bidi w:val="0"/>
        <w:adjustRightInd w:val="0"/>
        <w:snapToGrid w:val="0"/>
        <w:spacing w:beforeAutospacing="0" w:afterAutospacing="0" w:line="400" w:lineRule="exact"/>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 xml:space="preserve"> </w:t>
      </w:r>
      <w:r>
        <w:rPr>
          <w:rFonts w:hint="eastAsia" w:ascii="宋体" w:hAnsi="宋体" w:eastAsia="宋体" w:cs="宋体"/>
          <w:color w:val="000000"/>
          <w:sz w:val="24"/>
          <w:szCs w:val="24"/>
          <w:highlight w:val="none"/>
        </w:rPr>
        <w:t xml:space="preserve">   </w:t>
      </w:r>
      <w:r>
        <w:rPr>
          <w:rFonts w:hint="eastAsia" w:ascii="宋体" w:hAnsi="宋体" w:eastAsia="宋体" w:cs="宋体"/>
          <w:b/>
          <w:bCs/>
          <w:color w:val="000000"/>
          <w:sz w:val="24"/>
          <w:szCs w:val="24"/>
          <w:highlight w:val="none"/>
        </w:rPr>
        <w:t>13、投标人应逐条详细阅读招标文件有关要求，表明所提供的服务是否对招标文件做出实质性响应。</w:t>
      </w:r>
    </w:p>
    <w:p>
      <w:pPr>
        <w:pageBreakBefore w:val="0"/>
        <w:kinsoku/>
        <w:wordWrap/>
        <w:overflowPunct/>
        <w:topLinePunct w:val="0"/>
        <w:bidi w:val="0"/>
        <w:adjustRightInd w:val="0"/>
        <w:snapToGrid w:val="0"/>
        <w:spacing w:beforeAutospacing="0" w:afterAutospacing="0" w:line="400" w:lineRule="exact"/>
        <w:ind w:firstLine="482" w:firstLineChars="200"/>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14、投标文件的有效期</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14.1 投标文件从实际开标之</w:t>
      </w:r>
      <w:r>
        <w:rPr>
          <w:rFonts w:hint="eastAsia" w:ascii="宋体" w:hAnsi="宋体" w:eastAsia="宋体" w:cs="宋体"/>
          <w:sz w:val="24"/>
          <w:szCs w:val="24"/>
          <w:highlight w:val="none"/>
        </w:rPr>
        <w:t>日起</w:t>
      </w:r>
      <w:r>
        <w:rPr>
          <w:rFonts w:hint="eastAsia" w:ascii="宋体" w:hAnsi="宋体" w:eastAsia="宋体" w:cs="宋体"/>
          <w:b/>
          <w:bCs/>
          <w:sz w:val="24"/>
          <w:szCs w:val="24"/>
          <w:highlight w:val="none"/>
          <w:u w:val="single"/>
        </w:rPr>
        <w:t>60</w:t>
      </w:r>
      <w:r>
        <w:rPr>
          <w:rFonts w:hint="eastAsia" w:ascii="宋体" w:hAnsi="宋体" w:eastAsia="宋体" w:cs="宋体"/>
          <w:sz w:val="24"/>
          <w:szCs w:val="24"/>
          <w:highlight w:val="none"/>
        </w:rPr>
        <w:t>天内有</w:t>
      </w:r>
      <w:r>
        <w:rPr>
          <w:rFonts w:hint="eastAsia" w:ascii="宋体" w:hAnsi="宋体" w:eastAsia="宋体" w:cs="宋体"/>
          <w:color w:val="000000"/>
          <w:sz w:val="24"/>
          <w:szCs w:val="24"/>
          <w:highlight w:val="none"/>
        </w:rPr>
        <w:t>效。</w:t>
      </w:r>
    </w:p>
    <w:p>
      <w:pPr>
        <w:pageBreakBefore w:val="0"/>
        <w:kinsoku/>
        <w:wordWrap/>
        <w:overflowPunct/>
        <w:topLinePunct w:val="0"/>
        <w:bidi w:val="0"/>
        <w:adjustRightInd w:val="0"/>
        <w:snapToGrid w:val="0"/>
        <w:spacing w:beforeAutospacing="0" w:afterAutospacing="0" w:line="400" w:lineRule="exac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14.2 如遇特殊情况，在原投标有效期届满之前，</w:t>
      </w:r>
      <w:r>
        <w:rPr>
          <w:rFonts w:hint="eastAsia" w:ascii="宋体" w:hAnsi="宋体" w:eastAsia="宋体" w:cs="宋体"/>
          <w:color w:val="000000"/>
          <w:sz w:val="24"/>
          <w:szCs w:val="24"/>
          <w:highlight w:val="none"/>
          <w:lang w:eastAsia="zh-CN"/>
        </w:rPr>
        <w:t>采购人</w:t>
      </w:r>
      <w:r>
        <w:rPr>
          <w:rFonts w:hint="eastAsia" w:ascii="宋体" w:hAnsi="宋体" w:eastAsia="宋体" w:cs="宋体"/>
          <w:color w:val="000000"/>
          <w:sz w:val="24"/>
          <w:szCs w:val="24"/>
          <w:highlight w:val="none"/>
        </w:rPr>
        <w:t>可与投标人协商延长投标文件的有效期，并经投标人确认。</w:t>
      </w:r>
    </w:p>
    <w:p>
      <w:pPr>
        <w:pageBreakBefore w:val="0"/>
        <w:kinsoku/>
        <w:wordWrap/>
        <w:overflowPunct/>
        <w:topLinePunct w:val="0"/>
        <w:bidi w:val="0"/>
        <w:adjustRightInd w:val="0"/>
        <w:snapToGrid w:val="0"/>
        <w:spacing w:beforeAutospacing="0" w:afterAutospacing="0" w:line="400" w:lineRule="exact"/>
        <w:ind w:firstLine="482" w:firstLineChars="200"/>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15、投标文件的份数、签署、字体、装订</w:t>
      </w:r>
    </w:p>
    <w:p>
      <w:pPr>
        <w:pageBreakBefore w:val="0"/>
        <w:kinsoku/>
        <w:wordWrap/>
        <w:overflowPunct/>
        <w:topLinePunct w:val="0"/>
        <w:bidi w:val="0"/>
        <w:adjustRightInd w:val="0"/>
        <w:snapToGrid w:val="0"/>
        <w:spacing w:beforeAutospacing="0" w:afterAutospacing="0" w:line="400" w:lineRule="exac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15.1 投标人必须按“投标人须知前附表”中规定的“正本”和“副本”份数，投标文件正本和副本如有不一致之处，以正本为准。</w:t>
      </w:r>
    </w:p>
    <w:p>
      <w:pPr>
        <w:pageBreakBefore w:val="0"/>
        <w:kinsoku/>
        <w:wordWrap/>
        <w:overflowPunct/>
        <w:topLinePunct w:val="0"/>
        <w:bidi w:val="0"/>
        <w:adjustRightInd w:val="0"/>
        <w:snapToGrid w:val="0"/>
        <w:spacing w:beforeAutospacing="0" w:afterAutospacing="0" w:line="400" w:lineRule="exac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15.2 投标文件正本与副本须用不褪色的墨水笔书写或打印。投标文件的书写应清楚工整，修改处应由投标人全权代表签章。</w:t>
      </w:r>
    </w:p>
    <w:p>
      <w:pPr>
        <w:pageBreakBefore w:val="0"/>
        <w:kinsoku/>
        <w:wordWrap/>
        <w:overflowPunct/>
        <w:topLinePunct w:val="0"/>
        <w:bidi w:val="0"/>
        <w:adjustRightInd w:val="0"/>
        <w:snapToGrid w:val="0"/>
        <w:spacing w:beforeAutospacing="0" w:afterAutospacing="0" w:line="400" w:lineRule="exac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15.3 投标文件应由企业法人或法人授权代表在凡规定签章处逐一签署及加盖单位公章。</w:t>
      </w:r>
    </w:p>
    <w:p>
      <w:pPr>
        <w:pageBreakBefore w:val="0"/>
        <w:kinsoku/>
        <w:wordWrap/>
        <w:overflowPunct/>
        <w:topLinePunct w:val="0"/>
        <w:bidi w:val="0"/>
        <w:adjustRightInd w:val="0"/>
        <w:snapToGrid w:val="0"/>
        <w:spacing w:beforeAutospacing="0" w:afterAutospacing="0" w:line="400" w:lineRule="exac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15.4 投标文件一律采用胶装方式进行装订</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不得活页装订</w:t>
      </w:r>
      <w:r>
        <w:rPr>
          <w:rFonts w:hint="eastAsia" w:ascii="宋体" w:hAnsi="宋体" w:eastAsia="宋体" w:cs="宋体"/>
          <w:color w:val="000000"/>
          <w:sz w:val="24"/>
          <w:szCs w:val="24"/>
          <w:highlight w:val="none"/>
        </w:rPr>
        <w:t>。</w:t>
      </w:r>
    </w:p>
    <w:p>
      <w:pPr>
        <w:pageBreakBefore w:val="0"/>
        <w:kinsoku/>
        <w:wordWrap/>
        <w:overflowPunct/>
        <w:topLinePunct w:val="0"/>
        <w:bidi w:val="0"/>
        <w:adjustRightInd w:val="0"/>
        <w:snapToGrid w:val="0"/>
        <w:spacing w:beforeAutospacing="0" w:afterAutospacing="0" w:line="400" w:lineRule="exact"/>
        <w:ind w:firstLine="482" w:firstLineChars="200"/>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16、投标保证金</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16.1 投标保证金数额</w:t>
      </w:r>
      <w:r>
        <w:rPr>
          <w:rFonts w:hint="eastAsia" w:ascii="宋体" w:hAnsi="宋体" w:eastAsia="宋体" w:cs="宋体"/>
          <w:b/>
          <w:color w:val="000000"/>
          <w:sz w:val="24"/>
          <w:szCs w:val="24"/>
          <w:highlight w:val="none"/>
          <w:u w:val="single"/>
        </w:rPr>
        <w:t xml:space="preserve">详见投标人须知前附表 </w:t>
      </w:r>
      <w:r>
        <w:rPr>
          <w:rFonts w:hint="eastAsia" w:ascii="宋体" w:hAnsi="宋体" w:eastAsia="宋体" w:cs="宋体"/>
          <w:color w:val="000000"/>
          <w:sz w:val="24"/>
          <w:szCs w:val="24"/>
          <w:highlight w:val="none"/>
        </w:rPr>
        <w:t>。</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16.2 投标保证金用于应对本次招标因投标人违规、违约而产生的风险。</w:t>
      </w:r>
    </w:p>
    <w:p>
      <w:pPr>
        <w:pageBreakBefore w:val="0"/>
        <w:widowControl/>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16.3</w:t>
      </w:r>
      <w:r>
        <w:rPr>
          <w:rFonts w:hint="eastAsia" w:ascii="宋体" w:hAnsi="宋体" w:eastAsia="宋体" w:cs="宋体"/>
          <w:color w:val="FF0000"/>
          <w:sz w:val="24"/>
          <w:szCs w:val="24"/>
          <w:highlight w:val="none"/>
        </w:rPr>
        <w:t xml:space="preserve"> </w:t>
      </w:r>
      <w:r>
        <w:rPr>
          <w:rFonts w:hint="eastAsia" w:ascii="宋体" w:hAnsi="宋体" w:eastAsia="宋体" w:cs="宋体"/>
          <w:color w:val="000000" w:themeColor="text1"/>
          <w:sz w:val="24"/>
          <w:szCs w:val="24"/>
          <w:highlight w:val="none"/>
          <w14:textFill>
            <w14:solidFill>
              <w14:schemeClr w14:val="tx1"/>
            </w14:solidFill>
          </w14:textFill>
        </w:rPr>
        <w:t>投标人必须于投标截止时间</w:t>
      </w:r>
      <w:r>
        <w:rPr>
          <w:rFonts w:hint="eastAsia" w:ascii="宋体" w:hAnsi="宋体" w:eastAsia="宋体" w:cs="宋体"/>
          <w:sz w:val="24"/>
          <w:szCs w:val="24"/>
          <w:highlight w:val="none"/>
        </w:rPr>
        <w:t>前</w:t>
      </w:r>
      <w:r>
        <w:rPr>
          <w:rFonts w:hint="eastAsia" w:ascii="宋体" w:hAnsi="宋体" w:eastAsia="宋体" w:cs="宋体"/>
          <w:color w:val="000000"/>
          <w:sz w:val="24"/>
          <w:szCs w:val="24"/>
          <w:highlight w:val="none"/>
        </w:rPr>
        <w:t>将投标保证金交纳至规定的帐号，对未按要求提交投标保证金的投标文件，</w:t>
      </w:r>
      <w:r>
        <w:rPr>
          <w:rFonts w:hint="eastAsia" w:ascii="宋体" w:hAnsi="宋体" w:eastAsia="宋体" w:cs="宋体"/>
          <w:color w:val="000000"/>
          <w:sz w:val="24"/>
          <w:szCs w:val="24"/>
          <w:highlight w:val="none"/>
          <w:lang w:eastAsia="zh-CN"/>
        </w:rPr>
        <w:t>招标代理机构</w:t>
      </w:r>
      <w:r>
        <w:rPr>
          <w:rFonts w:hint="eastAsia" w:ascii="宋体" w:hAnsi="宋体" w:eastAsia="宋体" w:cs="宋体"/>
          <w:color w:val="000000"/>
          <w:sz w:val="24"/>
          <w:szCs w:val="24"/>
          <w:highlight w:val="none"/>
        </w:rPr>
        <w:t>将视为不响应投标予以拒绝。</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16.4 投标保证金应以银行电汇或转账</w:t>
      </w:r>
      <w:r>
        <w:rPr>
          <w:rFonts w:hint="eastAsia" w:ascii="宋体" w:hAnsi="宋体" w:eastAsia="宋体" w:cs="宋体"/>
          <w:color w:val="000000"/>
          <w:sz w:val="24"/>
          <w:szCs w:val="24"/>
          <w:highlight w:val="none"/>
          <w:lang w:val="en-US" w:eastAsia="zh-CN"/>
        </w:rPr>
        <w:t>等非现金</w:t>
      </w:r>
      <w:r>
        <w:rPr>
          <w:rFonts w:hint="eastAsia" w:ascii="宋体" w:hAnsi="宋体" w:eastAsia="宋体" w:cs="宋体"/>
          <w:color w:val="000000"/>
          <w:sz w:val="24"/>
          <w:szCs w:val="24"/>
          <w:highlight w:val="none"/>
        </w:rPr>
        <w:t>方式提交。</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16.5投标保证金的退还条件：</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16.5.1</w:t>
      </w:r>
      <w:r>
        <w:rPr>
          <w:rFonts w:hint="eastAsia" w:ascii="宋体" w:hAnsi="宋体" w:eastAsia="宋体" w:cs="宋体"/>
          <w:color w:val="000000"/>
          <w:sz w:val="24"/>
          <w:szCs w:val="24"/>
          <w:highlight w:val="none"/>
        </w:rPr>
        <w:t>未中标的投标人保证金，在该采购项目的中标通知书发出后5个工作日内,投标保证金退回投标人。</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16.5.2</w:t>
      </w:r>
      <w:r>
        <w:rPr>
          <w:rFonts w:hint="eastAsia" w:ascii="宋体" w:hAnsi="宋体" w:eastAsia="宋体" w:cs="宋体"/>
          <w:color w:val="000000"/>
          <w:sz w:val="24"/>
          <w:szCs w:val="24"/>
          <w:highlight w:val="none"/>
        </w:rPr>
        <w:t>中标的投标人，其投标保证金将保持全部的约束力，直至中标人按规定和采购人签订采购合同后，5个工作日内办理投标保证金退回手续。</w:t>
      </w:r>
    </w:p>
    <w:p>
      <w:pPr>
        <w:pageBreakBefore w:val="0"/>
        <w:widowControl/>
        <w:kinsoku/>
        <w:wordWrap/>
        <w:overflowPunct/>
        <w:topLinePunct w:val="0"/>
        <w:bidi w:val="0"/>
        <w:adjustRightInd w:val="0"/>
        <w:snapToGrid w:val="0"/>
        <w:spacing w:beforeAutospacing="0" w:afterAutospacing="0" w:line="400" w:lineRule="exact"/>
        <w:ind w:firstLine="460" w:firstLineChars="192"/>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16.6在招标方规定的投标有效期满之前，招标方将以书面形式发出《中标通知书》，《中标通知书》一经发出即发生法律效力。</w:t>
      </w:r>
    </w:p>
    <w:p>
      <w:pPr>
        <w:pageBreakBefore w:val="0"/>
        <w:widowControl/>
        <w:kinsoku/>
        <w:wordWrap/>
        <w:overflowPunct/>
        <w:topLinePunct w:val="0"/>
        <w:bidi w:val="0"/>
        <w:adjustRightInd w:val="0"/>
        <w:snapToGrid w:val="0"/>
        <w:spacing w:beforeAutospacing="0" w:afterAutospacing="0" w:line="400" w:lineRule="exact"/>
        <w:ind w:firstLine="460" w:firstLineChars="192"/>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16.7 下列情况投标保证金将会被没收：</w:t>
      </w:r>
    </w:p>
    <w:p>
      <w:pPr>
        <w:pageBreakBefore w:val="0"/>
        <w:widowControl/>
        <w:kinsoku/>
        <w:wordWrap/>
        <w:overflowPunct/>
        <w:topLinePunct w:val="0"/>
        <w:bidi w:val="0"/>
        <w:adjustRightInd w:val="0"/>
        <w:snapToGrid w:val="0"/>
        <w:spacing w:beforeAutospacing="0" w:afterAutospacing="0" w:line="400" w:lineRule="exact"/>
        <w:ind w:firstLine="460" w:firstLineChars="192"/>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16.7</w:t>
      </w: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rPr>
        <w:t>供应商在采购文件文件规定的投标有效期内撤回其投标文件文件的；</w:t>
      </w:r>
    </w:p>
    <w:p>
      <w:pPr>
        <w:pageBreakBefore w:val="0"/>
        <w:widowControl/>
        <w:kinsoku/>
        <w:wordWrap/>
        <w:overflowPunct/>
        <w:topLinePunct w:val="0"/>
        <w:bidi w:val="0"/>
        <w:adjustRightInd w:val="0"/>
        <w:snapToGrid w:val="0"/>
        <w:spacing w:beforeAutospacing="0" w:afterAutospacing="0" w:line="400" w:lineRule="exact"/>
        <w:ind w:firstLine="460" w:firstLineChars="192"/>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16.7</w:t>
      </w: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rPr>
        <w:t>开标过程中未经评标委员会同意擅自中途退场；</w:t>
      </w:r>
    </w:p>
    <w:p>
      <w:pPr>
        <w:pageBreakBefore w:val="0"/>
        <w:widowControl/>
        <w:kinsoku/>
        <w:wordWrap/>
        <w:overflowPunct/>
        <w:topLinePunct w:val="0"/>
        <w:bidi w:val="0"/>
        <w:adjustRightInd w:val="0"/>
        <w:snapToGrid w:val="0"/>
        <w:spacing w:beforeAutospacing="0" w:afterAutospacing="0" w:line="400" w:lineRule="exact"/>
        <w:ind w:firstLine="460" w:firstLineChars="192"/>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16.7</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供应商恶意串通使投标失去竞争性的；</w:t>
      </w:r>
    </w:p>
    <w:p>
      <w:pPr>
        <w:pageBreakBefore w:val="0"/>
        <w:widowControl/>
        <w:kinsoku/>
        <w:wordWrap/>
        <w:overflowPunct/>
        <w:topLinePunct w:val="0"/>
        <w:bidi w:val="0"/>
        <w:adjustRightInd w:val="0"/>
        <w:snapToGrid w:val="0"/>
        <w:spacing w:beforeAutospacing="0" w:afterAutospacing="0" w:line="400" w:lineRule="exact"/>
        <w:ind w:firstLine="460" w:firstLineChars="192"/>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16.7</w:t>
      </w: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rPr>
        <w:t>向采购代理机构或评标委员会有意提供虚假材料的；</w:t>
      </w:r>
    </w:p>
    <w:p>
      <w:pPr>
        <w:pageBreakBefore w:val="0"/>
        <w:widowControl/>
        <w:kinsoku/>
        <w:wordWrap/>
        <w:overflowPunct/>
        <w:topLinePunct w:val="0"/>
        <w:bidi w:val="0"/>
        <w:adjustRightInd w:val="0"/>
        <w:snapToGrid w:val="0"/>
        <w:spacing w:beforeAutospacing="0" w:afterAutospacing="0" w:line="400" w:lineRule="exact"/>
        <w:ind w:firstLine="460" w:firstLineChars="192"/>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16.7</w:t>
      </w:r>
      <w:r>
        <w:rPr>
          <w:rFonts w:hint="eastAsia" w:ascii="宋体" w:hAnsi="宋体" w:eastAsia="宋体" w:cs="宋体"/>
          <w:color w:val="000000"/>
          <w:sz w:val="24"/>
          <w:szCs w:val="24"/>
          <w:highlight w:val="none"/>
          <w:lang w:val="en-US" w:eastAsia="zh-CN"/>
        </w:rPr>
        <w:t>.5</w:t>
      </w:r>
      <w:r>
        <w:rPr>
          <w:rFonts w:hint="eastAsia" w:ascii="宋体" w:hAnsi="宋体" w:eastAsia="宋体" w:cs="宋体"/>
          <w:color w:val="000000"/>
          <w:sz w:val="24"/>
          <w:szCs w:val="24"/>
          <w:highlight w:val="none"/>
        </w:rPr>
        <w:t>供应商投标文件出现妨碍公平竞争的行为的；</w:t>
      </w:r>
    </w:p>
    <w:p>
      <w:pPr>
        <w:pageBreakBefore w:val="0"/>
        <w:widowControl/>
        <w:kinsoku/>
        <w:wordWrap/>
        <w:overflowPunct/>
        <w:topLinePunct w:val="0"/>
        <w:bidi w:val="0"/>
        <w:adjustRightInd w:val="0"/>
        <w:snapToGrid w:val="0"/>
        <w:spacing w:beforeAutospacing="0" w:afterAutospacing="0" w:line="400" w:lineRule="exact"/>
        <w:ind w:firstLine="460" w:firstLineChars="192"/>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16.7</w:t>
      </w: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rPr>
        <w:t>未在规定的期限内领取成交通知书的；</w:t>
      </w:r>
    </w:p>
    <w:p>
      <w:pPr>
        <w:pageBreakBefore w:val="0"/>
        <w:widowControl/>
        <w:kinsoku/>
        <w:wordWrap/>
        <w:overflowPunct/>
        <w:topLinePunct w:val="0"/>
        <w:bidi w:val="0"/>
        <w:adjustRightInd w:val="0"/>
        <w:snapToGrid w:val="0"/>
        <w:spacing w:beforeAutospacing="0" w:afterAutospacing="0" w:line="400" w:lineRule="exact"/>
        <w:ind w:firstLine="460" w:firstLineChars="192"/>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16.7</w:t>
      </w:r>
      <w:r>
        <w:rPr>
          <w:rFonts w:hint="eastAsia" w:ascii="宋体" w:hAnsi="宋体" w:eastAsia="宋体" w:cs="宋体"/>
          <w:color w:val="000000"/>
          <w:sz w:val="24"/>
          <w:szCs w:val="24"/>
          <w:highlight w:val="none"/>
          <w:lang w:val="en-US" w:eastAsia="zh-CN"/>
        </w:rPr>
        <w:t>.7</w:t>
      </w:r>
      <w:r>
        <w:rPr>
          <w:rFonts w:hint="eastAsia" w:ascii="宋体" w:hAnsi="宋体" w:eastAsia="宋体" w:cs="宋体"/>
          <w:color w:val="000000"/>
          <w:sz w:val="24"/>
          <w:szCs w:val="24"/>
          <w:highlight w:val="none"/>
        </w:rPr>
        <w:t>成交单位因自身原因在成交通知书规定的时间内未能与采购单位签订合同的；</w:t>
      </w:r>
    </w:p>
    <w:p>
      <w:pPr>
        <w:pageBreakBefore w:val="0"/>
        <w:widowControl/>
        <w:kinsoku/>
        <w:wordWrap/>
        <w:overflowPunct/>
        <w:topLinePunct w:val="0"/>
        <w:bidi w:val="0"/>
        <w:adjustRightInd w:val="0"/>
        <w:snapToGrid w:val="0"/>
        <w:spacing w:beforeAutospacing="0" w:afterAutospacing="0" w:line="400" w:lineRule="exact"/>
        <w:ind w:firstLine="460" w:firstLineChars="192"/>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16.7</w:t>
      </w:r>
      <w:r>
        <w:rPr>
          <w:rFonts w:hint="eastAsia" w:ascii="宋体" w:hAnsi="宋体" w:eastAsia="宋体" w:cs="宋体"/>
          <w:color w:val="000000"/>
          <w:sz w:val="24"/>
          <w:szCs w:val="24"/>
          <w:highlight w:val="none"/>
          <w:lang w:val="en-US" w:eastAsia="zh-CN"/>
        </w:rPr>
        <w:t>.8</w:t>
      </w:r>
      <w:r>
        <w:rPr>
          <w:rFonts w:hint="eastAsia" w:ascii="宋体" w:hAnsi="宋体" w:eastAsia="宋体" w:cs="宋体"/>
          <w:color w:val="000000"/>
          <w:sz w:val="24"/>
          <w:szCs w:val="24"/>
          <w:highlight w:val="none"/>
        </w:rPr>
        <w:t>违反政府采购法及有关法律、法规的。</w:t>
      </w:r>
    </w:p>
    <w:p>
      <w:pPr>
        <w:pageBreakBefore w:val="0"/>
        <w:widowControl/>
        <w:kinsoku/>
        <w:wordWrap/>
        <w:overflowPunct/>
        <w:topLinePunct w:val="0"/>
        <w:bidi w:val="0"/>
        <w:adjustRightInd w:val="0"/>
        <w:snapToGrid w:val="0"/>
        <w:spacing w:beforeAutospacing="0" w:afterAutospacing="0" w:line="400" w:lineRule="exact"/>
        <w:ind w:firstLine="460" w:firstLineChars="192"/>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16.8有下列情形之一的，视为供应商串通投标，其投标无效：</w:t>
      </w:r>
    </w:p>
    <w:p>
      <w:pPr>
        <w:pageBreakBefore w:val="0"/>
        <w:widowControl/>
        <w:kinsoku/>
        <w:wordWrap/>
        <w:overflowPunct/>
        <w:topLinePunct w:val="0"/>
        <w:bidi w:val="0"/>
        <w:adjustRightInd w:val="0"/>
        <w:snapToGrid w:val="0"/>
        <w:spacing w:beforeAutospacing="0" w:afterAutospacing="0" w:line="400" w:lineRule="exact"/>
        <w:ind w:firstLine="460" w:firstLineChars="192"/>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16.8.1不同供应商的投标文件由同一单位或者个人编制;</w:t>
      </w:r>
    </w:p>
    <w:p>
      <w:pPr>
        <w:pageBreakBefore w:val="0"/>
        <w:widowControl/>
        <w:kinsoku/>
        <w:wordWrap/>
        <w:overflowPunct/>
        <w:topLinePunct w:val="0"/>
        <w:bidi w:val="0"/>
        <w:adjustRightInd w:val="0"/>
        <w:snapToGrid w:val="0"/>
        <w:spacing w:beforeAutospacing="0" w:afterAutospacing="0" w:line="400" w:lineRule="exact"/>
        <w:ind w:firstLine="460" w:firstLineChars="192"/>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16.8.2不同供应商委托同一单位或者个人办理投标事宜;</w:t>
      </w:r>
    </w:p>
    <w:p>
      <w:pPr>
        <w:pageBreakBefore w:val="0"/>
        <w:widowControl/>
        <w:kinsoku/>
        <w:wordWrap/>
        <w:overflowPunct/>
        <w:topLinePunct w:val="0"/>
        <w:bidi w:val="0"/>
        <w:adjustRightInd w:val="0"/>
        <w:snapToGrid w:val="0"/>
        <w:spacing w:beforeAutospacing="0" w:afterAutospacing="0" w:line="400" w:lineRule="exact"/>
        <w:ind w:firstLine="460" w:firstLineChars="192"/>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16.8.3不同供应商的投标文件载明的项目管理成员或者联系人员为同一人;</w:t>
      </w:r>
    </w:p>
    <w:p>
      <w:pPr>
        <w:pageBreakBefore w:val="0"/>
        <w:widowControl/>
        <w:kinsoku/>
        <w:wordWrap/>
        <w:overflowPunct/>
        <w:topLinePunct w:val="0"/>
        <w:bidi w:val="0"/>
        <w:adjustRightInd w:val="0"/>
        <w:snapToGrid w:val="0"/>
        <w:spacing w:beforeAutospacing="0" w:afterAutospacing="0" w:line="400" w:lineRule="exact"/>
        <w:ind w:firstLine="460" w:firstLineChars="192"/>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16.8.4不同供应商的投标文件异常一致或者投标报价呈规律性差异;</w:t>
      </w:r>
    </w:p>
    <w:p>
      <w:pPr>
        <w:pageBreakBefore w:val="0"/>
        <w:widowControl/>
        <w:kinsoku/>
        <w:wordWrap/>
        <w:overflowPunct/>
        <w:topLinePunct w:val="0"/>
        <w:bidi w:val="0"/>
        <w:adjustRightInd w:val="0"/>
        <w:snapToGrid w:val="0"/>
        <w:spacing w:beforeAutospacing="0" w:afterAutospacing="0" w:line="400" w:lineRule="exact"/>
        <w:ind w:firstLine="460" w:firstLineChars="192"/>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16.8.5不同供应商的投标文件相互混装;</w:t>
      </w:r>
    </w:p>
    <w:p>
      <w:pPr>
        <w:pageBreakBefore w:val="0"/>
        <w:widowControl/>
        <w:kinsoku/>
        <w:wordWrap/>
        <w:overflowPunct/>
        <w:topLinePunct w:val="0"/>
        <w:bidi w:val="0"/>
        <w:adjustRightInd w:val="0"/>
        <w:snapToGrid w:val="0"/>
        <w:spacing w:beforeAutospacing="0" w:afterAutospacing="0" w:line="400" w:lineRule="exact"/>
        <w:ind w:firstLine="460" w:firstLineChars="192"/>
        <w:rPr>
          <w:rFonts w:hint="eastAsia" w:ascii="宋体" w:hAnsi="宋体" w:eastAsia="宋体" w:cs="宋体"/>
          <w:sz w:val="24"/>
          <w:szCs w:val="24"/>
        </w:rPr>
      </w:pPr>
      <w:r>
        <w:rPr>
          <w:rFonts w:hint="eastAsia" w:ascii="宋体" w:hAnsi="宋体" w:eastAsia="宋体" w:cs="宋体"/>
          <w:color w:val="000000"/>
          <w:sz w:val="24"/>
          <w:szCs w:val="24"/>
          <w:highlight w:val="none"/>
          <w:lang w:val="en-US" w:eastAsia="zh-CN"/>
        </w:rPr>
        <w:t>16.8.6不同供应商的投标保证金从同一单位或者个人的账户转出。</w:t>
      </w:r>
    </w:p>
    <w:p>
      <w:pPr>
        <w:pageBreakBefore w:val="0"/>
        <w:kinsoku/>
        <w:wordWrap/>
        <w:overflowPunct/>
        <w:topLinePunct w:val="0"/>
        <w:bidi w:val="0"/>
        <w:adjustRightInd w:val="0"/>
        <w:snapToGrid w:val="0"/>
        <w:spacing w:beforeAutospacing="0" w:afterAutospacing="0" w:line="400" w:lineRule="exact"/>
        <w:ind w:firstLine="482" w:firstLineChars="200"/>
        <w:rPr>
          <w:rFonts w:hint="eastAsia" w:ascii="宋体" w:hAnsi="宋体" w:eastAsia="宋体" w:cs="宋体"/>
          <w:b/>
          <w:color w:val="000000"/>
          <w:sz w:val="24"/>
          <w:szCs w:val="24"/>
          <w:highlight w:val="none"/>
          <w:lang w:val="en-US" w:eastAsia="zh-CN"/>
        </w:rPr>
      </w:pPr>
      <w:r>
        <w:rPr>
          <w:rFonts w:hint="eastAsia" w:ascii="宋体" w:hAnsi="宋体" w:eastAsia="宋体" w:cs="宋体"/>
          <w:b/>
          <w:color w:val="000000"/>
          <w:sz w:val="24"/>
          <w:szCs w:val="24"/>
          <w:highlight w:val="none"/>
          <w:lang w:val="en-US" w:eastAsia="zh-CN"/>
        </w:rPr>
        <w:t>17. 投标文件的修改和撤销</w:t>
      </w:r>
    </w:p>
    <w:p>
      <w:pPr>
        <w:pageBreakBefore w:val="0"/>
        <w:widowControl/>
        <w:kinsoku/>
        <w:wordWrap/>
        <w:overflowPunct/>
        <w:topLinePunct w:val="0"/>
        <w:bidi w:val="0"/>
        <w:adjustRightInd w:val="0"/>
        <w:snapToGrid w:val="0"/>
        <w:spacing w:beforeAutospacing="0" w:afterAutospacing="0" w:line="400" w:lineRule="exact"/>
        <w:ind w:firstLine="460" w:firstLineChars="192"/>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17.1　投标人在递交投标文件后，可在规定的投标截止时间之前，对其投标文件以书面通知的形式进行修改或撤消。该通知须有投标人的法定代表人或其委托代理人的签字，并得到招标方的确认。</w:t>
      </w:r>
    </w:p>
    <w:p>
      <w:pPr>
        <w:pageBreakBefore w:val="0"/>
        <w:widowControl/>
        <w:kinsoku/>
        <w:wordWrap/>
        <w:overflowPunct/>
        <w:topLinePunct w:val="0"/>
        <w:bidi w:val="0"/>
        <w:adjustRightInd w:val="0"/>
        <w:snapToGrid w:val="0"/>
        <w:spacing w:beforeAutospacing="0" w:afterAutospacing="0" w:line="400" w:lineRule="exact"/>
        <w:ind w:firstLine="460" w:firstLineChars="192"/>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17.2  投标人对投标文件修改的书面材料或撤消通知应按招标文件要求进行密封、标注和递交，并注明“修改投标文件”或“撤消投标”字样，修改或撤销的内容须按招标文件的要求签署、盖章，并作为投标文件的组成部分。</w:t>
      </w:r>
    </w:p>
    <w:p>
      <w:pPr>
        <w:pageBreakBefore w:val="0"/>
        <w:widowControl/>
        <w:kinsoku/>
        <w:wordWrap/>
        <w:overflowPunct/>
        <w:topLinePunct w:val="0"/>
        <w:bidi w:val="0"/>
        <w:adjustRightInd w:val="0"/>
        <w:snapToGrid w:val="0"/>
        <w:spacing w:beforeAutospacing="0" w:afterAutospacing="0" w:line="400" w:lineRule="exact"/>
        <w:ind w:firstLine="460" w:firstLineChars="192"/>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17.3　对投标文件修改的书面材料应于投标截止日前送达招标方，投标截止时间以后不得修改投标文件。</w:t>
      </w:r>
    </w:p>
    <w:p>
      <w:pPr>
        <w:pStyle w:val="8"/>
        <w:pageBreakBefore w:val="0"/>
        <w:kinsoku/>
        <w:wordWrap/>
        <w:overflowPunct/>
        <w:topLinePunct w:val="0"/>
        <w:bidi w:val="0"/>
        <w:spacing w:beforeAutospacing="0" w:afterAutospacing="0" w:line="400" w:lineRule="exact"/>
        <w:rPr>
          <w:rFonts w:hint="eastAsia" w:ascii="宋体" w:hAnsi="宋体" w:eastAsia="宋体" w:cs="宋体"/>
          <w:sz w:val="24"/>
          <w:szCs w:val="24"/>
          <w:lang w:val="en-US" w:eastAsia="zh-CN"/>
        </w:rPr>
      </w:pPr>
    </w:p>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四、投标文件的递交</w:t>
      </w:r>
    </w:p>
    <w:p>
      <w:pPr>
        <w:pageBreakBefore w:val="0"/>
        <w:kinsoku/>
        <w:wordWrap/>
        <w:overflowPunct/>
        <w:topLinePunct w:val="0"/>
        <w:bidi w:val="0"/>
        <w:adjustRightInd w:val="0"/>
        <w:snapToGrid w:val="0"/>
        <w:spacing w:beforeAutospacing="0" w:afterAutospacing="0" w:line="400" w:lineRule="exact"/>
        <w:ind w:firstLine="482" w:firstLineChars="200"/>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1</w:t>
      </w:r>
      <w:r>
        <w:rPr>
          <w:rFonts w:hint="eastAsia" w:ascii="宋体" w:hAnsi="宋体" w:eastAsia="宋体" w:cs="宋体"/>
          <w:b/>
          <w:color w:val="000000"/>
          <w:sz w:val="24"/>
          <w:szCs w:val="24"/>
          <w:highlight w:val="none"/>
          <w:lang w:val="en-US" w:eastAsia="zh-CN"/>
        </w:rPr>
        <w:t>8</w:t>
      </w:r>
      <w:r>
        <w:rPr>
          <w:rFonts w:hint="eastAsia" w:ascii="宋体" w:hAnsi="宋体" w:eastAsia="宋体" w:cs="宋体"/>
          <w:b/>
          <w:color w:val="000000"/>
          <w:sz w:val="24"/>
          <w:szCs w:val="24"/>
          <w:highlight w:val="none"/>
        </w:rPr>
        <w:t>、投标文件的</w:t>
      </w:r>
      <w:r>
        <w:rPr>
          <w:rFonts w:hint="eastAsia" w:ascii="宋体" w:hAnsi="宋体" w:eastAsia="宋体" w:cs="宋体"/>
          <w:b/>
          <w:color w:val="000000"/>
          <w:sz w:val="24"/>
          <w:szCs w:val="24"/>
          <w:highlight w:val="none"/>
          <w:lang w:eastAsia="zh-CN"/>
        </w:rPr>
        <w:t>加密</w:t>
      </w:r>
      <w:r>
        <w:rPr>
          <w:rFonts w:hint="eastAsia" w:ascii="宋体" w:hAnsi="宋体" w:eastAsia="宋体" w:cs="宋体"/>
          <w:b/>
          <w:color w:val="000000"/>
          <w:sz w:val="24"/>
          <w:szCs w:val="24"/>
          <w:highlight w:val="none"/>
        </w:rPr>
        <w:t>和标记</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18.1供应商应通过电子投标文件制作工具严格按招标文件要求制作投标文件，在投标截止时间前完成上传经过数字证书电子签章并加密的投标文件（加密和解密须用同一把数字证书）。供应商在投标截止时间前，可以对其所递交的投标文件进行修改并重新上传，但以投标截止时间前最后一次上传的投标文件为有效投标文件。</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lang w:val="en-US" w:eastAsia="zh-CN"/>
        </w:rPr>
        <w:t>18.2投标截止时间以政采云平台中心交易平台显示的时间为准，逾期系统将自动关闭，未完成上传的投标文件视为逾期送达，将被拒绝</w:t>
      </w:r>
      <w:r>
        <w:rPr>
          <w:rFonts w:hint="eastAsia" w:ascii="宋体" w:hAnsi="宋体" w:eastAsia="宋体" w:cs="宋体"/>
          <w:b w:val="0"/>
          <w:bCs/>
          <w:color w:val="000000"/>
          <w:sz w:val="24"/>
          <w:szCs w:val="24"/>
          <w:highlight w:val="none"/>
        </w:rPr>
        <w:t>。</w:t>
      </w:r>
    </w:p>
    <w:p>
      <w:pPr>
        <w:pageBreakBefore w:val="0"/>
        <w:kinsoku/>
        <w:wordWrap/>
        <w:overflowPunct/>
        <w:topLinePunct w:val="0"/>
        <w:bidi w:val="0"/>
        <w:adjustRightInd w:val="0"/>
        <w:snapToGrid w:val="0"/>
        <w:spacing w:beforeAutospacing="0" w:afterAutospacing="0" w:line="400" w:lineRule="exact"/>
        <w:ind w:firstLine="482" w:firstLineChars="200"/>
        <w:rPr>
          <w:rFonts w:hint="eastAsia" w:ascii="宋体" w:hAnsi="宋体" w:eastAsia="宋体" w:cs="宋体"/>
          <w:b/>
          <w:bCs w:val="0"/>
          <w:color w:val="000000"/>
          <w:sz w:val="24"/>
          <w:szCs w:val="24"/>
          <w:highlight w:val="none"/>
        </w:rPr>
      </w:pPr>
      <w:r>
        <w:rPr>
          <w:rFonts w:hint="eastAsia" w:ascii="宋体" w:hAnsi="宋体" w:eastAsia="宋体" w:cs="宋体"/>
          <w:b/>
          <w:bCs w:val="0"/>
          <w:color w:val="000000"/>
          <w:sz w:val="24"/>
          <w:szCs w:val="24"/>
          <w:highlight w:val="none"/>
        </w:rPr>
        <w:t>1</w:t>
      </w:r>
      <w:r>
        <w:rPr>
          <w:rFonts w:hint="eastAsia" w:ascii="宋体" w:hAnsi="宋体" w:eastAsia="宋体" w:cs="宋体"/>
          <w:b/>
          <w:bCs w:val="0"/>
          <w:color w:val="000000"/>
          <w:sz w:val="24"/>
          <w:szCs w:val="24"/>
          <w:highlight w:val="none"/>
          <w:lang w:val="en-US" w:eastAsia="zh-CN"/>
        </w:rPr>
        <w:t>9</w:t>
      </w:r>
      <w:r>
        <w:rPr>
          <w:rFonts w:hint="eastAsia" w:ascii="宋体" w:hAnsi="宋体" w:eastAsia="宋体" w:cs="宋体"/>
          <w:b/>
          <w:bCs w:val="0"/>
          <w:color w:val="000000"/>
          <w:sz w:val="24"/>
          <w:szCs w:val="24"/>
          <w:highlight w:val="none"/>
        </w:rPr>
        <w:t>、投标文件递交的截止日期</w:t>
      </w:r>
    </w:p>
    <w:p>
      <w:pPr>
        <w:pageBreakBefore w:val="0"/>
        <w:kinsoku/>
        <w:wordWrap/>
        <w:overflowPunct/>
        <w:topLinePunct w:val="0"/>
        <w:bidi w:val="0"/>
        <w:spacing w:beforeAutospacing="0" w:afterAutospacing="0" w:line="40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rPr>
        <w:t>1</w:t>
      </w:r>
      <w:r>
        <w:rPr>
          <w:rFonts w:hint="eastAsia" w:ascii="宋体" w:hAnsi="宋体" w:eastAsia="宋体" w:cs="宋体"/>
          <w:sz w:val="24"/>
          <w:szCs w:val="24"/>
          <w:highlight w:val="none"/>
          <w:lang w:val="en-US" w:eastAsia="zh-CN"/>
        </w:rPr>
        <w:t>9.1本次采用网上评标系统，供应商在线参加开标（无需到开标现场）。开标前供应商完成设备测试，保证摄像头及麦克风正常使用。自开标时间起至评审结束，供应商须登录新疆政府采购网政采云平台并保持网络通畅，随时答复评标委员会的疑问。若供应商未在规定时间内答复的，由此产生的后果将由供应商自行承担。</w:t>
      </w:r>
    </w:p>
    <w:p>
      <w:pPr>
        <w:pageBreakBefore w:val="0"/>
        <w:kinsoku/>
        <w:wordWrap/>
        <w:overflowPunct/>
        <w:topLinePunct w:val="0"/>
        <w:bidi w:val="0"/>
        <w:spacing w:beforeAutospacing="0" w:afterAutospacing="0" w:line="40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19.2供应商登录政采云平台，在开标时间后30分钟内用“项目采购----开标评标”功能进行解密电子版投标文件。若供应商在规定时间内未按时解密的，视为无效响应。解密与加密电子版投标文件须使用同一个CA。</w:t>
      </w:r>
    </w:p>
    <w:p>
      <w:pPr>
        <w:pageBreakBefore w:val="0"/>
        <w:kinsoku/>
        <w:wordWrap/>
        <w:overflowPunct/>
        <w:topLinePunct w:val="0"/>
        <w:bidi w:val="0"/>
        <w:spacing w:beforeAutospacing="0" w:afterAutospacing="0" w:line="40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19.3如果供应商未按上述要求加密并上传，采购代理机构对投标文件的误投、无法解密、传输错误等问题概不负责。对由此造成无法正常开启的投标文件，采购代理机构有权予以拒绝，并退回供应商。</w:t>
      </w:r>
    </w:p>
    <w:p>
      <w:pPr>
        <w:pageBreakBefore w:val="0"/>
        <w:kinsoku/>
        <w:wordWrap/>
        <w:overflowPunct/>
        <w:topLinePunct w:val="0"/>
        <w:bidi w:val="0"/>
        <w:spacing w:beforeAutospacing="0" w:afterAutospacing="0" w:line="40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19.4 开标时检查响应文件上传情况。</w:t>
      </w:r>
    </w:p>
    <w:p>
      <w:pPr>
        <w:pageBreakBefore w:val="0"/>
        <w:kinsoku/>
        <w:wordWrap/>
        <w:overflowPunct/>
        <w:topLinePunct w:val="0"/>
        <w:bidi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sz w:val="24"/>
          <w:szCs w:val="24"/>
          <w:highlight w:val="none"/>
          <w:lang w:val="en-US" w:eastAsia="zh-CN"/>
        </w:rPr>
        <w:t>19.5开标原则在开标会议上宣布。</w:t>
      </w:r>
    </w:p>
    <w:p>
      <w:pPr>
        <w:pageBreakBefore w:val="0"/>
        <w:kinsoku/>
        <w:wordWrap/>
        <w:overflowPunct/>
        <w:topLinePunct w:val="0"/>
        <w:bidi w:val="0"/>
        <w:adjustRightInd w:val="0"/>
        <w:snapToGrid w:val="0"/>
        <w:spacing w:beforeAutospacing="0" w:afterAutospacing="0" w:line="400" w:lineRule="exact"/>
        <w:ind w:firstLine="482" w:firstLineChars="200"/>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lang w:val="en-US" w:eastAsia="zh-CN"/>
        </w:rPr>
        <w:t>20</w:t>
      </w:r>
      <w:r>
        <w:rPr>
          <w:rFonts w:hint="eastAsia" w:ascii="宋体" w:hAnsi="宋体" w:eastAsia="宋体" w:cs="宋体"/>
          <w:b/>
          <w:color w:val="000000"/>
          <w:sz w:val="24"/>
          <w:szCs w:val="24"/>
          <w:highlight w:val="none"/>
          <w:lang w:eastAsia="zh-CN"/>
        </w:rPr>
        <w:t>、</w:t>
      </w:r>
      <w:r>
        <w:rPr>
          <w:rFonts w:hint="eastAsia" w:ascii="宋体" w:hAnsi="宋体" w:eastAsia="宋体" w:cs="宋体"/>
          <w:b/>
          <w:color w:val="000000"/>
          <w:sz w:val="24"/>
          <w:szCs w:val="24"/>
          <w:highlight w:val="none"/>
        </w:rPr>
        <w:t>投标截止时间</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20.1  投标文件应在投标人须知前附表规定的投标截止时间之前上传送到投标人须知前附表指定的地点。</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20.2　所有投标文件不论何种方式递交，都必须在招标方规定的投标截止时间之前递交到招标文件指定地点，在此之后送达的投标文件，为无效投标，投标文件将一律被拒绝。任何单位和个人不得在开标前开启投标文件。</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20.3  出现因招标文件的修改而推迟投标截止时间的情况时，投标人则需按招标方的书面修改通知重新规定的投标时间递交。</w:t>
      </w:r>
    </w:p>
    <w:p>
      <w:pPr>
        <w:pageBreakBefore w:val="0"/>
        <w:kinsoku/>
        <w:wordWrap/>
        <w:overflowPunct/>
        <w:topLinePunct w:val="0"/>
        <w:bidi w:val="0"/>
        <w:adjustRightInd w:val="0"/>
        <w:snapToGrid w:val="0"/>
        <w:spacing w:beforeAutospacing="0" w:afterAutospacing="0" w:line="400" w:lineRule="exact"/>
        <w:ind w:firstLine="482" w:firstLineChars="200"/>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lang w:val="en-US" w:eastAsia="zh-CN"/>
        </w:rPr>
        <w:t>21</w:t>
      </w:r>
      <w:r>
        <w:rPr>
          <w:rFonts w:hint="eastAsia" w:ascii="宋体" w:hAnsi="宋体" w:eastAsia="宋体" w:cs="宋体"/>
          <w:b/>
          <w:color w:val="000000"/>
          <w:sz w:val="24"/>
          <w:szCs w:val="24"/>
          <w:highlight w:val="none"/>
        </w:rPr>
        <w:t>、投标文件的修改和撤消</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21</w:t>
      </w:r>
      <w:r>
        <w:rPr>
          <w:rFonts w:hint="eastAsia" w:ascii="宋体" w:hAnsi="宋体" w:eastAsia="宋体" w:cs="宋体"/>
          <w:color w:val="000000"/>
          <w:sz w:val="24"/>
          <w:szCs w:val="24"/>
          <w:highlight w:val="none"/>
        </w:rPr>
        <w:t>.1 投标人在递交投标文件后，可以修改或撤回其投标文件。但投标人必须在规定的投标截止时间之前向采购代理机构发出书面通知。</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21</w:t>
      </w:r>
      <w:r>
        <w:rPr>
          <w:rFonts w:hint="eastAsia" w:ascii="宋体" w:hAnsi="宋体" w:eastAsia="宋体" w:cs="宋体"/>
          <w:color w:val="000000"/>
          <w:sz w:val="24"/>
          <w:szCs w:val="24"/>
          <w:highlight w:val="none"/>
        </w:rPr>
        <w:t>.2 在投标截止时间之后，投标人不得对其投标文件做任何修改。从投标截止时间起至投标有效终止时间前，投标人不得撤回其投标。</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21</w:t>
      </w:r>
      <w:r>
        <w:rPr>
          <w:rFonts w:hint="eastAsia" w:ascii="宋体" w:hAnsi="宋体" w:eastAsia="宋体" w:cs="宋体"/>
          <w:color w:val="000000"/>
          <w:sz w:val="24"/>
          <w:szCs w:val="24"/>
          <w:highlight w:val="none"/>
        </w:rPr>
        <w:t>.3 采购代理机构不接受电话、电传、传真等形式的投标。</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21</w:t>
      </w:r>
      <w:r>
        <w:rPr>
          <w:rFonts w:hint="eastAsia" w:ascii="宋体" w:hAnsi="宋体" w:eastAsia="宋体" w:cs="宋体"/>
          <w:color w:val="000000"/>
          <w:sz w:val="24"/>
          <w:szCs w:val="24"/>
          <w:highlight w:val="none"/>
        </w:rPr>
        <w:t>.4 采购代理机构对不可抗力事件所造成投标文件的损坏、丢失不承担任何责任。</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p>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五、开    标</w:t>
      </w:r>
    </w:p>
    <w:p>
      <w:pPr>
        <w:pageBreakBefore w:val="0"/>
        <w:kinsoku/>
        <w:wordWrap/>
        <w:overflowPunct/>
        <w:topLinePunct w:val="0"/>
        <w:bidi w:val="0"/>
        <w:adjustRightInd w:val="0"/>
        <w:snapToGrid w:val="0"/>
        <w:spacing w:beforeAutospacing="0" w:afterAutospacing="0" w:line="400" w:lineRule="exact"/>
        <w:ind w:firstLine="482" w:firstLineChars="200"/>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2</w:t>
      </w:r>
      <w:r>
        <w:rPr>
          <w:rFonts w:hint="eastAsia" w:ascii="宋体" w:hAnsi="宋体" w:eastAsia="宋体" w:cs="宋体"/>
          <w:b/>
          <w:color w:val="000000"/>
          <w:sz w:val="24"/>
          <w:szCs w:val="24"/>
          <w:highlight w:val="none"/>
          <w:lang w:val="en-US" w:eastAsia="zh-CN"/>
        </w:rPr>
        <w:t>2</w:t>
      </w:r>
      <w:r>
        <w:rPr>
          <w:rFonts w:hint="eastAsia" w:ascii="宋体" w:hAnsi="宋体" w:eastAsia="宋体" w:cs="宋体"/>
          <w:b/>
          <w:color w:val="000000"/>
          <w:sz w:val="24"/>
          <w:szCs w:val="24"/>
          <w:highlight w:val="none"/>
        </w:rPr>
        <w:t>、开标</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22.2.1采购代理机构按照招标文件规定的时间、地点主持开标。开标前，采购代理机构将会同监督人员进行验标（检查网上招标系统正常与否，检查电子版响应文件，检查供应商报名及保证金交纳情况），确认无误后开标。开标时，各供应商应对本单位的加密的电子响应文件解密，采购代理机构工作人员在监督人员的监督下解密所有响应文件。逾期未解密的投标文件视为无效投标文件（解密时长30分钟）。</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22.2.2开标时，采购代理机构将通过网上开标系统公布供应商名称、投标价格，以及采购代理机构认为合适的其它详细内容。供应商若有报价和优惠未被唱出，应在开标时及时声明或提请注意，否则采购代理机构对此不承担任何责任。</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22.2.3在评审结束前，未得到采购代理机构允许，供应商法定代表人或授权代理人不得离开开标现场。</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22.2.4监督人员对开标过程进行全程监督。</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22</w:t>
      </w:r>
      <w:r>
        <w:rPr>
          <w:rFonts w:hint="eastAsia" w:ascii="宋体" w:hAnsi="宋体" w:eastAsia="宋体" w:cs="宋体"/>
          <w:color w:val="000000"/>
          <w:sz w:val="24"/>
          <w:szCs w:val="24"/>
          <w:highlight w:val="none"/>
        </w:rPr>
        <w:t>.3 开标异议</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供应商对开标有异议的，应当在开标现场提出，采购人当场作出答复，并制作记录。</w:t>
      </w:r>
    </w:p>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b/>
          <w:color w:val="000000"/>
          <w:sz w:val="24"/>
          <w:szCs w:val="24"/>
          <w:highlight w:val="none"/>
        </w:rPr>
      </w:pPr>
    </w:p>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b/>
          <w:color w:val="000000"/>
          <w:sz w:val="24"/>
          <w:szCs w:val="24"/>
          <w:highlight w:val="none"/>
        </w:rPr>
      </w:pPr>
    </w:p>
    <w:p>
      <w:pPr>
        <w:pStyle w:val="2"/>
        <w:rPr>
          <w:rFonts w:hint="eastAsia"/>
        </w:rPr>
      </w:pPr>
    </w:p>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六、评标、定标</w:t>
      </w:r>
    </w:p>
    <w:p>
      <w:pPr>
        <w:pageBreakBefore w:val="0"/>
        <w:kinsoku/>
        <w:wordWrap/>
        <w:overflowPunct/>
        <w:topLinePunct w:val="0"/>
        <w:bidi w:val="0"/>
        <w:adjustRightInd w:val="0"/>
        <w:snapToGrid w:val="0"/>
        <w:spacing w:beforeAutospacing="0" w:afterAutospacing="0" w:line="400" w:lineRule="exact"/>
        <w:ind w:firstLine="472" w:firstLineChars="196"/>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2</w:t>
      </w:r>
      <w:r>
        <w:rPr>
          <w:rFonts w:hint="eastAsia" w:ascii="宋体" w:hAnsi="宋体" w:eastAsia="宋体" w:cs="宋体"/>
          <w:b/>
          <w:color w:val="000000"/>
          <w:sz w:val="24"/>
          <w:szCs w:val="24"/>
          <w:highlight w:val="none"/>
          <w:lang w:val="en-US" w:eastAsia="zh-CN"/>
        </w:rPr>
        <w:t>3</w:t>
      </w:r>
      <w:r>
        <w:rPr>
          <w:rFonts w:hint="eastAsia" w:ascii="宋体" w:hAnsi="宋体" w:eastAsia="宋体" w:cs="宋体"/>
          <w:b/>
          <w:color w:val="000000"/>
          <w:sz w:val="24"/>
          <w:szCs w:val="24"/>
          <w:highlight w:val="none"/>
        </w:rPr>
        <w:t>、评标</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 xml:space="preserve">.1  </w:t>
      </w:r>
      <w:r>
        <w:rPr>
          <w:rFonts w:hint="eastAsia" w:ascii="宋体" w:hAnsi="宋体" w:eastAsia="宋体" w:cs="宋体"/>
          <w:b/>
          <w:color w:val="000000"/>
          <w:sz w:val="24"/>
          <w:szCs w:val="24"/>
          <w:highlight w:val="none"/>
        </w:rPr>
        <w:t xml:space="preserve">评标委员会或评标小组 </w:t>
      </w:r>
    </w:p>
    <w:p>
      <w:pPr>
        <w:pageBreakBefore w:val="0"/>
        <w:kinsoku/>
        <w:wordWrap/>
        <w:overflowPunct/>
        <w:topLinePunct w:val="0"/>
        <w:bidi w:val="0"/>
        <w:spacing w:beforeAutospacing="0" w:afterAutospacing="0" w:line="400" w:lineRule="exac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2</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.1.1评标委员会或评标小组（以下简称评标委员会）的评标工作由招标单位负责组织，具体评标事务由评标委员会负责，并独立履行其法规规定的职责。</w:t>
      </w:r>
    </w:p>
    <w:p>
      <w:pPr>
        <w:pageBreakBefore w:val="0"/>
        <w:kinsoku/>
        <w:wordWrap/>
        <w:overflowPunct/>
        <w:topLinePunct w:val="0"/>
        <w:bidi w:val="0"/>
        <w:adjustRightInd w:val="0"/>
        <w:snapToGrid w:val="0"/>
        <w:spacing w:beforeAutospacing="0" w:afterAutospacing="0" w:line="400" w:lineRule="exac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2</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.1.2评标委员会由</w:t>
      </w:r>
      <w:r>
        <w:rPr>
          <w:rFonts w:hint="eastAsia" w:ascii="宋体" w:hAnsi="宋体" w:eastAsia="宋体" w:cs="宋体"/>
          <w:color w:val="000000"/>
          <w:sz w:val="24"/>
          <w:szCs w:val="24"/>
          <w:highlight w:val="none"/>
          <w:lang w:eastAsia="zh-CN"/>
        </w:rPr>
        <w:t>采购人（</w:t>
      </w:r>
      <w:r>
        <w:rPr>
          <w:rFonts w:hint="eastAsia" w:ascii="宋体" w:hAnsi="宋体" w:cs="宋体"/>
          <w:color w:val="000000"/>
          <w:sz w:val="24"/>
          <w:szCs w:val="24"/>
          <w:highlight w:val="none"/>
          <w:lang w:val="en-US" w:eastAsia="zh-CN"/>
        </w:rPr>
        <w:t>2</w:t>
      </w:r>
      <w:r>
        <w:rPr>
          <w:rFonts w:hint="eastAsia" w:ascii="宋体" w:hAnsi="宋体" w:eastAsia="宋体" w:cs="宋体"/>
          <w:color w:val="000000"/>
          <w:sz w:val="24"/>
          <w:szCs w:val="24"/>
          <w:highlight w:val="none"/>
          <w:lang w:val="en-US" w:eastAsia="zh-CN"/>
        </w:rPr>
        <w:t>名</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和专家库中熟悉相关技术的专家</w:t>
      </w:r>
      <w:r>
        <w:rPr>
          <w:rFonts w:hint="eastAsia" w:ascii="宋体" w:hAnsi="宋体" w:eastAsia="宋体" w:cs="宋体"/>
          <w:color w:val="000000"/>
          <w:sz w:val="24"/>
          <w:szCs w:val="24"/>
          <w:highlight w:val="none"/>
          <w:lang w:eastAsia="zh-CN"/>
        </w:rPr>
        <w:t>（</w:t>
      </w:r>
      <w:r>
        <w:rPr>
          <w:rFonts w:hint="eastAsia" w:ascii="宋体" w:hAnsi="宋体" w:cs="宋体"/>
          <w:color w:val="000000"/>
          <w:sz w:val="24"/>
          <w:szCs w:val="24"/>
          <w:highlight w:val="none"/>
          <w:lang w:val="en-US" w:eastAsia="zh-CN"/>
        </w:rPr>
        <w:t>5</w:t>
      </w:r>
      <w:r>
        <w:rPr>
          <w:rFonts w:hint="eastAsia" w:ascii="宋体" w:hAnsi="宋体" w:eastAsia="宋体" w:cs="宋体"/>
          <w:color w:val="000000"/>
          <w:sz w:val="24"/>
          <w:szCs w:val="24"/>
          <w:highlight w:val="none"/>
          <w:lang w:val="en-US" w:eastAsia="zh-CN"/>
        </w:rPr>
        <w:t>名</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组成，成员人数为</w:t>
      </w:r>
      <w:r>
        <w:rPr>
          <w:rFonts w:hint="eastAsia" w:ascii="宋体" w:hAnsi="宋体" w:eastAsia="宋体" w:cs="宋体"/>
          <w:color w:val="000000"/>
          <w:sz w:val="24"/>
          <w:szCs w:val="24"/>
          <w:highlight w:val="none"/>
          <w:u w:val="single"/>
          <w:lang w:val="en-US" w:eastAsia="zh-CN"/>
        </w:rPr>
        <w:t>7</w:t>
      </w:r>
      <w:r>
        <w:rPr>
          <w:rFonts w:hint="eastAsia" w:ascii="宋体" w:hAnsi="宋体" w:eastAsia="宋体" w:cs="宋体"/>
          <w:color w:val="000000"/>
          <w:sz w:val="24"/>
          <w:szCs w:val="24"/>
          <w:highlight w:val="none"/>
          <w:u w:val="single"/>
        </w:rPr>
        <w:t>人</w:t>
      </w:r>
      <w:r>
        <w:rPr>
          <w:rFonts w:hint="eastAsia" w:ascii="宋体" w:hAnsi="宋体" w:eastAsia="宋体" w:cs="宋体"/>
          <w:color w:val="000000"/>
          <w:sz w:val="24"/>
          <w:szCs w:val="24"/>
          <w:highlight w:val="none"/>
        </w:rPr>
        <w:t>，其中熟悉相关技术方面的专家不得少于成员总数的三之二。评标委员会设负责人的，评标委员会负责人由评标委员会推举产生或者由</w:t>
      </w:r>
      <w:r>
        <w:rPr>
          <w:rFonts w:hint="eastAsia" w:ascii="宋体" w:hAnsi="宋体" w:eastAsia="宋体" w:cs="宋体"/>
          <w:color w:val="000000"/>
          <w:sz w:val="24"/>
          <w:szCs w:val="24"/>
          <w:highlight w:val="none"/>
          <w:lang w:eastAsia="zh-CN"/>
        </w:rPr>
        <w:t>采购人</w:t>
      </w:r>
      <w:r>
        <w:rPr>
          <w:rFonts w:hint="eastAsia" w:ascii="宋体" w:hAnsi="宋体" w:eastAsia="宋体" w:cs="宋体"/>
          <w:color w:val="000000"/>
          <w:sz w:val="24"/>
          <w:szCs w:val="24"/>
          <w:highlight w:val="none"/>
        </w:rPr>
        <w:t>确定。评标委员会负责人与评标委员会的其他成员有同等的表决权。</w:t>
      </w:r>
    </w:p>
    <w:p>
      <w:pPr>
        <w:pageBreakBefore w:val="0"/>
        <w:kinsoku/>
        <w:wordWrap/>
        <w:overflowPunct/>
        <w:topLinePunct w:val="0"/>
        <w:bidi w:val="0"/>
        <w:adjustRightInd w:val="0"/>
        <w:snapToGrid w:val="0"/>
        <w:spacing w:beforeAutospacing="0" w:afterAutospacing="0" w:line="400" w:lineRule="exac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2</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.1.3 评标委员会或评标小组负责具体的评标事务，并独立履行以下职责：</w:t>
      </w:r>
    </w:p>
    <w:p>
      <w:pPr>
        <w:pageBreakBefore w:val="0"/>
        <w:kinsoku/>
        <w:wordWrap/>
        <w:overflowPunct/>
        <w:topLinePunct w:val="0"/>
        <w:bidi w:val="0"/>
        <w:adjustRightInd w:val="0"/>
        <w:snapToGrid w:val="0"/>
        <w:spacing w:beforeAutospacing="0" w:afterAutospacing="0" w:line="400" w:lineRule="exac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2</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.1.3.1 审查投标文件是否符合招标文件的要求，并作出评价；</w:t>
      </w:r>
    </w:p>
    <w:p>
      <w:pPr>
        <w:pageBreakBefore w:val="0"/>
        <w:kinsoku/>
        <w:wordWrap/>
        <w:overflowPunct/>
        <w:topLinePunct w:val="0"/>
        <w:bidi w:val="0"/>
        <w:adjustRightInd w:val="0"/>
        <w:snapToGrid w:val="0"/>
        <w:spacing w:beforeAutospacing="0" w:afterAutospacing="0" w:line="400" w:lineRule="exac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2</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.1.3.2 可以要求投标投标人对投标文件有关事项作出解释或澄清；</w:t>
      </w:r>
    </w:p>
    <w:p>
      <w:pPr>
        <w:pageBreakBefore w:val="0"/>
        <w:kinsoku/>
        <w:wordWrap/>
        <w:overflowPunct/>
        <w:topLinePunct w:val="0"/>
        <w:bidi w:val="0"/>
        <w:adjustRightInd w:val="0"/>
        <w:snapToGrid w:val="0"/>
        <w:spacing w:beforeAutospacing="0" w:afterAutospacing="0" w:line="400" w:lineRule="exac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2</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.1.3.3 推荐中标候选投标人名单，或者受</w:t>
      </w:r>
      <w:r>
        <w:rPr>
          <w:rFonts w:hint="eastAsia" w:ascii="宋体" w:hAnsi="宋体" w:eastAsia="宋体" w:cs="宋体"/>
          <w:color w:val="000000"/>
          <w:sz w:val="24"/>
          <w:szCs w:val="24"/>
          <w:highlight w:val="none"/>
          <w:lang w:eastAsia="zh-CN"/>
        </w:rPr>
        <w:t>采购人</w:t>
      </w:r>
      <w:r>
        <w:rPr>
          <w:rFonts w:hint="eastAsia" w:ascii="宋体" w:hAnsi="宋体" w:eastAsia="宋体" w:cs="宋体"/>
          <w:color w:val="000000"/>
          <w:sz w:val="24"/>
          <w:szCs w:val="24"/>
          <w:highlight w:val="none"/>
        </w:rPr>
        <w:t>委托按照事先确定的办法直接确定中标人；</w:t>
      </w:r>
    </w:p>
    <w:p>
      <w:pPr>
        <w:pageBreakBefore w:val="0"/>
        <w:kinsoku/>
        <w:wordWrap/>
        <w:overflowPunct/>
        <w:topLinePunct w:val="0"/>
        <w:bidi w:val="0"/>
        <w:adjustRightInd w:val="0"/>
        <w:snapToGrid w:val="0"/>
        <w:spacing w:beforeAutospacing="0" w:afterAutospacing="0" w:line="400" w:lineRule="exact"/>
        <w:ind w:firstLine="240" w:firstLineChars="1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2</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.1.3.4 向招标单位或者有关部门报告非法干预评标工作的行为。</w:t>
      </w:r>
    </w:p>
    <w:p>
      <w:pPr>
        <w:pageBreakBefore w:val="0"/>
        <w:kinsoku/>
        <w:wordWrap/>
        <w:overflowPunct/>
        <w:topLinePunct w:val="0"/>
        <w:bidi w:val="0"/>
        <w:adjustRightInd w:val="0"/>
        <w:snapToGrid w:val="0"/>
        <w:spacing w:beforeAutospacing="0" w:afterAutospacing="0" w:line="400" w:lineRule="exac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2</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.1.4 评标委员会成员应当履行下列义务：</w:t>
      </w:r>
    </w:p>
    <w:p>
      <w:pPr>
        <w:pageBreakBefore w:val="0"/>
        <w:kinsoku/>
        <w:wordWrap/>
        <w:overflowPunct/>
        <w:topLinePunct w:val="0"/>
        <w:bidi w:val="0"/>
        <w:adjustRightInd w:val="0"/>
        <w:snapToGrid w:val="0"/>
        <w:spacing w:beforeAutospacing="0" w:afterAutospacing="0" w:line="400" w:lineRule="exac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2</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.1.4.1 遵纪守法，客观、公正、廉洁地履行职责；</w:t>
      </w:r>
    </w:p>
    <w:p>
      <w:pPr>
        <w:pageBreakBefore w:val="0"/>
        <w:kinsoku/>
        <w:wordWrap/>
        <w:overflowPunct/>
        <w:topLinePunct w:val="0"/>
        <w:bidi w:val="0"/>
        <w:adjustRightInd w:val="0"/>
        <w:snapToGrid w:val="0"/>
        <w:spacing w:beforeAutospacing="0" w:afterAutospacing="0" w:line="400" w:lineRule="exac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2</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.1.4.2 按照招标文件规定的评标办法和评标标准进行评标，对评审意见承担个人责任；</w:t>
      </w:r>
    </w:p>
    <w:p>
      <w:pPr>
        <w:pageBreakBefore w:val="0"/>
        <w:kinsoku/>
        <w:wordWrap/>
        <w:overflowPunct/>
        <w:topLinePunct w:val="0"/>
        <w:bidi w:val="0"/>
        <w:adjustRightInd w:val="0"/>
        <w:snapToGrid w:val="0"/>
        <w:spacing w:beforeAutospacing="0" w:afterAutospacing="0" w:line="400" w:lineRule="exac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2</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.1.4.3 对评标过程和结果，以及投标人的商业秘密保密；</w:t>
      </w:r>
    </w:p>
    <w:p>
      <w:pPr>
        <w:pageBreakBefore w:val="0"/>
        <w:kinsoku/>
        <w:wordWrap/>
        <w:overflowPunct/>
        <w:topLinePunct w:val="0"/>
        <w:bidi w:val="0"/>
        <w:adjustRightInd w:val="0"/>
        <w:snapToGrid w:val="0"/>
        <w:spacing w:beforeAutospacing="0" w:afterAutospacing="0" w:line="400" w:lineRule="exac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2</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.1.4.4 参与评标报告的起草；</w:t>
      </w:r>
    </w:p>
    <w:p>
      <w:pPr>
        <w:pageBreakBefore w:val="0"/>
        <w:kinsoku/>
        <w:wordWrap/>
        <w:overflowPunct/>
        <w:topLinePunct w:val="0"/>
        <w:bidi w:val="0"/>
        <w:adjustRightInd w:val="0"/>
        <w:snapToGrid w:val="0"/>
        <w:spacing w:beforeAutospacing="0" w:afterAutospacing="0" w:line="400" w:lineRule="exac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2</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.1.4.5 配合财政部门的投诉处理工作；</w:t>
      </w:r>
    </w:p>
    <w:p>
      <w:pPr>
        <w:pageBreakBefore w:val="0"/>
        <w:kinsoku/>
        <w:wordWrap/>
        <w:overflowPunct/>
        <w:topLinePunct w:val="0"/>
        <w:bidi w:val="0"/>
        <w:adjustRightInd w:val="0"/>
        <w:snapToGrid w:val="0"/>
        <w:spacing w:beforeAutospacing="0" w:afterAutospacing="0" w:line="400" w:lineRule="exac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2</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.1.4.6 配合招标单位答复投标投标人提出的质疑。</w:t>
      </w:r>
    </w:p>
    <w:p>
      <w:pPr>
        <w:pageBreakBefore w:val="0"/>
        <w:kinsoku/>
        <w:wordWrap/>
        <w:overflowPunct/>
        <w:topLinePunct w:val="0"/>
        <w:bidi w:val="0"/>
        <w:adjustRightInd w:val="0"/>
        <w:snapToGrid w:val="0"/>
        <w:spacing w:beforeAutospacing="0" w:afterAutospacing="0" w:line="400" w:lineRule="exact"/>
        <w:ind w:firstLine="482" w:firstLineChars="200"/>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2</w:t>
      </w:r>
      <w:r>
        <w:rPr>
          <w:rFonts w:hint="eastAsia" w:ascii="宋体" w:hAnsi="宋体" w:eastAsia="宋体" w:cs="宋体"/>
          <w:b/>
          <w:color w:val="000000"/>
          <w:sz w:val="24"/>
          <w:szCs w:val="24"/>
          <w:highlight w:val="none"/>
          <w:lang w:val="en-US" w:eastAsia="zh-CN"/>
        </w:rPr>
        <w:t>3</w:t>
      </w:r>
      <w:r>
        <w:rPr>
          <w:rFonts w:hint="eastAsia" w:ascii="宋体" w:hAnsi="宋体" w:eastAsia="宋体" w:cs="宋体"/>
          <w:b/>
          <w:color w:val="000000"/>
          <w:sz w:val="24"/>
          <w:szCs w:val="24"/>
          <w:highlight w:val="none"/>
        </w:rPr>
        <w:t>.2按国家计委等七部委颁发的《评标委员会和评标方法暂行规定》，结合本工程特点，本项目采用综合评分法，对于经济报价的评分，按以下方法进行：价格分采用低价优先法计算，即满足招标文件要求且投标价格最低的投标报价为评标基准价，其价格分为满分。其他投标人的价格分统一按照下列公式计算：</w:t>
      </w:r>
    </w:p>
    <w:p>
      <w:pPr>
        <w:pageBreakBefore w:val="0"/>
        <w:kinsoku/>
        <w:wordWrap/>
        <w:overflowPunct/>
        <w:topLinePunct w:val="0"/>
        <w:bidi w:val="0"/>
        <w:adjustRightInd w:val="0"/>
        <w:snapToGrid w:val="0"/>
        <w:spacing w:beforeAutospacing="0" w:afterAutospacing="0" w:line="400" w:lineRule="exact"/>
        <w:ind w:firstLine="482" w:firstLineChars="200"/>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u w:val="single"/>
        </w:rPr>
        <w:t>投标报价得分=(评标基准价/投标报价)×</w:t>
      </w:r>
      <w:r>
        <w:rPr>
          <w:rFonts w:hint="eastAsia" w:ascii="宋体" w:hAnsi="宋体" w:eastAsia="宋体" w:cs="宋体"/>
          <w:b/>
          <w:color w:val="000000"/>
          <w:sz w:val="24"/>
          <w:szCs w:val="24"/>
          <w:highlight w:val="none"/>
          <w:u w:val="single"/>
          <w:lang w:val="en-US" w:eastAsia="zh-CN"/>
        </w:rPr>
        <w:t>1</w:t>
      </w:r>
      <w:r>
        <w:rPr>
          <w:rFonts w:hint="eastAsia" w:ascii="宋体" w:hAnsi="宋体" w:eastAsia="宋体" w:cs="宋体"/>
          <w:b/>
          <w:color w:val="000000"/>
          <w:sz w:val="24"/>
          <w:szCs w:val="24"/>
          <w:highlight w:val="none"/>
          <w:u w:val="single"/>
        </w:rPr>
        <w:t>0%×100</w:t>
      </w:r>
      <w:r>
        <w:rPr>
          <w:rFonts w:hint="eastAsia" w:ascii="宋体" w:hAnsi="宋体" w:eastAsia="宋体" w:cs="宋体"/>
          <w:b/>
          <w:color w:val="000000"/>
          <w:sz w:val="24"/>
          <w:szCs w:val="24"/>
          <w:highlight w:val="none"/>
        </w:rPr>
        <w:t>（总分100分：其中商务部分和技术部分占</w:t>
      </w:r>
      <w:r>
        <w:rPr>
          <w:rFonts w:hint="eastAsia" w:ascii="宋体" w:hAnsi="宋体" w:eastAsia="宋体" w:cs="宋体"/>
          <w:b/>
          <w:color w:val="000000"/>
          <w:sz w:val="24"/>
          <w:szCs w:val="24"/>
          <w:highlight w:val="none"/>
          <w:lang w:val="en-US" w:eastAsia="zh-CN"/>
        </w:rPr>
        <w:t>90</w:t>
      </w:r>
      <w:r>
        <w:rPr>
          <w:rFonts w:hint="eastAsia" w:ascii="宋体" w:hAnsi="宋体" w:eastAsia="宋体" w:cs="宋体"/>
          <w:b/>
          <w:color w:val="000000"/>
          <w:sz w:val="24"/>
          <w:szCs w:val="24"/>
          <w:highlight w:val="none"/>
        </w:rPr>
        <w:t>分，投标报价占</w:t>
      </w:r>
      <w:r>
        <w:rPr>
          <w:rFonts w:hint="eastAsia" w:ascii="宋体" w:hAnsi="宋体" w:eastAsia="宋体" w:cs="宋体"/>
          <w:b/>
          <w:color w:val="000000"/>
          <w:sz w:val="24"/>
          <w:szCs w:val="24"/>
          <w:highlight w:val="none"/>
          <w:lang w:val="en-US" w:eastAsia="zh-CN"/>
        </w:rPr>
        <w:t>10</w:t>
      </w:r>
      <w:r>
        <w:rPr>
          <w:rFonts w:hint="eastAsia" w:ascii="宋体" w:hAnsi="宋体" w:eastAsia="宋体" w:cs="宋体"/>
          <w:b/>
          <w:color w:val="000000"/>
          <w:sz w:val="24"/>
          <w:szCs w:val="24"/>
          <w:highlight w:val="none"/>
        </w:rPr>
        <w:t>分），最终合计得分最高的投标人作为第一中标候选人，以此类推确定第二、第三中标候选人。</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.3 评标的依据为招标文件和投标文件。</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.4评标过程的保密性。开标后，直到授予中标人合同止，凡是属于审查、澄清、评价和比较的有关资料以及授标建议等均不得向投标人或其他无关的人员透露。</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.5 投标人在评标过程中所进行的力图影响评标结果、有悖于招标规则的活动，可能导致取消其中标资格。</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2</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.6 与招标文件有重大偏离的投标文件将被拒绝。且此重大偏离在开标后不许修改。</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t>2</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.7 按国家计委等七部委颁发的《评标委员会和评标办法暂行规定</w:t>
      </w:r>
      <w:r>
        <w:rPr>
          <w:rFonts w:hint="eastAsia" w:ascii="宋体" w:hAnsi="宋体" w:eastAsia="宋体" w:cs="宋体"/>
          <w:sz w:val="24"/>
          <w:szCs w:val="24"/>
          <w:highlight w:val="none"/>
        </w:rPr>
        <w:t>》及政府招标货物和服务招标投标管理办法（财政部令第87号）以下行为将视为无效投标和废标</w:t>
      </w:r>
      <w:r>
        <w:rPr>
          <w:rFonts w:hint="eastAsia" w:ascii="宋体" w:hAnsi="宋体" w:eastAsia="宋体" w:cs="宋体"/>
          <w:sz w:val="24"/>
          <w:szCs w:val="24"/>
          <w:highlight w:val="none"/>
          <w:lang w:val="en-US" w:eastAsia="zh-CN"/>
        </w:rPr>
        <w:t>条款。</w:t>
      </w:r>
    </w:p>
    <w:p>
      <w:pPr>
        <w:pStyle w:val="6"/>
        <w:pageBreakBefore w:val="0"/>
        <w:kinsoku/>
        <w:wordWrap/>
        <w:overflowPunct/>
        <w:topLinePunct w:val="0"/>
        <w:bidi w:val="0"/>
        <w:spacing w:beforeAutospacing="0" w:afterAutospacing="0" w:line="400" w:lineRule="exact"/>
        <w:ind w:left="639" w:leftChars="184" w:hanging="253" w:hangingChars="105"/>
        <w:rPr>
          <w:rFonts w:hint="eastAsia" w:ascii="宋体" w:hAnsi="宋体" w:eastAsia="宋体" w:cs="宋体"/>
          <w:sz w:val="24"/>
          <w:szCs w:val="24"/>
          <w:lang w:val="en-US" w:eastAsia="zh-CN"/>
        </w:rPr>
      </w:pPr>
      <w:r>
        <w:rPr>
          <w:rFonts w:hint="eastAsia" w:ascii="宋体" w:hAnsi="宋体" w:eastAsia="宋体" w:cs="宋体"/>
          <w:sz w:val="24"/>
          <w:szCs w:val="24"/>
          <w:highlight w:val="none"/>
          <w:lang w:val="en-US" w:eastAsia="zh-CN"/>
        </w:rPr>
        <w:t>23.8无效投标：</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23.8.1</w:t>
      </w:r>
      <w:r>
        <w:rPr>
          <w:rFonts w:hint="eastAsia" w:ascii="宋体" w:hAnsi="宋体" w:eastAsia="宋体" w:cs="宋体"/>
          <w:color w:val="000000"/>
          <w:sz w:val="24"/>
          <w:szCs w:val="24"/>
          <w:highlight w:val="none"/>
        </w:rPr>
        <w:t>投标保证金的缴纳主体与投标人不一致的，没有按照招标文件要求提供投标担保，或者所提供的投标担保有瑕疵的；</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23.8.2</w:t>
      </w:r>
      <w:r>
        <w:rPr>
          <w:rFonts w:hint="eastAsia" w:ascii="宋体" w:hAnsi="宋体" w:eastAsia="宋体" w:cs="宋体"/>
          <w:color w:val="000000"/>
          <w:sz w:val="24"/>
          <w:szCs w:val="24"/>
          <w:highlight w:val="none"/>
        </w:rPr>
        <w:t>投标文件没有投标人法定代表人或其授权代表签字（</w:t>
      </w:r>
      <w:r>
        <w:rPr>
          <w:rFonts w:hint="eastAsia" w:ascii="宋体" w:hAnsi="宋体" w:cs="宋体"/>
          <w:color w:val="000000"/>
          <w:sz w:val="24"/>
          <w:szCs w:val="24"/>
          <w:highlight w:val="none"/>
          <w:lang w:val="en-US" w:eastAsia="zh-CN"/>
        </w:rPr>
        <w:t>或盖</w:t>
      </w:r>
      <w:r>
        <w:rPr>
          <w:rFonts w:hint="eastAsia" w:ascii="宋体" w:hAnsi="宋体" w:eastAsia="宋体" w:cs="宋体"/>
          <w:color w:val="000000"/>
          <w:sz w:val="24"/>
          <w:szCs w:val="24"/>
          <w:highlight w:val="none"/>
        </w:rPr>
        <w:t>章）和加盖投标单位公章的；</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23.8.3</w:t>
      </w:r>
      <w:r>
        <w:rPr>
          <w:rFonts w:hint="eastAsia" w:ascii="宋体" w:hAnsi="宋体" w:eastAsia="宋体" w:cs="宋体"/>
          <w:color w:val="000000"/>
          <w:sz w:val="24"/>
          <w:szCs w:val="24"/>
          <w:highlight w:val="none"/>
        </w:rPr>
        <w:t>投标文件记载的招标项目完成期限超过招标文件规定的完成期限；</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23.8.4</w:t>
      </w:r>
      <w:r>
        <w:rPr>
          <w:rFonts w:hint="eastAsia" w:ascii="宋体" w:hAnsi="宋体" w:eastAsia="宋体" w:cs="宋体"/>
          <w:color w:val="000000"/>
          <w:sz w:val="24"/>
          <w:szCs w:val="24"/>
          <w:highlight w:val="none"/>
        </w:rPr>
        <w:t>不具备招标文件中规定的资格要求的；</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23.8.5</w:t>
      </w:r>
      <w:r>
        <w:rPr>
          <w:rFonts w:hint="eastAsia" w:ascii="宋体" w:hAnsi="宋体" w:eastAsia="宋体" w:cs="宋体"/>
          <w:color w:val="000000"/>
          <w:sz w:val="24"/>
          <w:szCs w:val="24"/>
          <w:highlight w:val="none"/>
        </w:rPr>
        <w:t>明显不符合技术规格和技术标准的要求；</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23.8.6</w:t>
      </w:r>
      <w:r>
        <w:rPr>
          <w:rFonts w:hint="eastAsia" w:ascii="宋体" w:hAnsi="宋体" w:eastAsia="宋体" w:cs="宋体"/>
          <w:color w:val="000000"/>
          <w:sz w:val="24"/>
          <w:szCs w:val="24"/>
          <w:highlight w:val="none"/>
        </w:rPr>
        <w:t>投标附有</w:t>
      </w:r>
      <w:r>
        <w:rPr>
          <w:rFonts w:hint="eastAsia" w:ascii="宋体" w:hAnsi="宋体" w:eastAsia="宋体" w:cs="宋体"/>
          <w:color w:val="000000"/>
          <w:sz w:val="24"/>
          <w:szCs w:val="24"/>
          <w:highlight w:val="none"/>
          <w:lang w:eastAsia="zh-CN"/>
        </w:rPr>
        <w:t>采购人</w:t>
      </w:r>
      <w:r>
        <w:rPr>
          <w:rFonts w:hint="eastAsia" w:ascii="宋体" w:hAnsi="宋体" w:eastAsia="宋体" w:cs="宋体"/>
          <w:color w:val="000000"/>
          <w:sz w:val="24"/>
          <w:szCs w:val="24"/>
          <w:highlight w:val="none"/>
        </w:rPr>
        <w:t>不能接受的条件；</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23.8.7</w:t>
      </w:r>
      <w:r>
        <w:rPr>
          <w:rFonts w:hint="eastAsia" w:ascii="宋体" w:hAnsi="宋体" w:eastAsia="宋体" w:cs="宋体"/>
          <w:color w:val="000000"/>
          <w:sz w:val="24"/>
          <w:szCs w:val="24"/>
          <w:highlight w:val="none"/>
        </w:rPr>
        <w:t>不符合招标文件中规定的其他实质性要求；</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23.8.8</w:t>
      </w:r>
      <w:r>
        <w:rPr>
          <w:rFonts w:hint="eastAsia" w:ascii="宋体" w:hAnsi="宋体" w:eastAsia="宋体" w:cs="宋体"/>
          <w:color w:val="000000"/>
          <w:sz w:val="24"/>
          <w:szCs w:val="24"/>
          <w:highlight w:val="none"/>
        </w:rPr>
        <w:t>投标报价不符合招标文件规定的要求；</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23.8.9</w:t>
      </w:r>
      <w:r>
        <w:rPr>
          <w:rFonts w:hint="eastAsia" w:ascii="宋体" w:hAnsi="宋体" w:eastAsia="宋体" w:cs="宋体"/>
          <w:color w:val="000000"/>
          <w:sz w:val="24"/>
          <w:szCs w:val="24"/>
          <w:highlight w:val="none"/>
        </w:rPr>
        <w:t>在评标过程中，评标委员会发现供应商的报价明显低于其他投标报价，使得其投标报价可能低于其个别成本的，应当要求该供应商做出书面说明并提供相关证明材料。供应商不能合理说明或者不能提供相关证明材料的，由评标委员会认定该供应商以低于成本报价竞标。</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val="en-US" w:eastAsia="zh-CN"/>
        </w:rPr>
        <w:t>23.8.10</w:t>
      </w:r>
      <w:r>
        <w:rPr>
          <w:rFonts w:hint="eastAsia" w:ascii="宋体" w:hAnsi="宋体" w:eastAsia="宋体" w:cs="宋体"/>
          <w:color w:val="000000"/>
          <w:sz w:val="24"/>
          <w:szCs w:val="24"/>
          <w:highlight w:val="none"/>
        </w:rPr>
        <w:t>其他法律、法规及本招标文件规定的属无效投标的情形</w:t>
      </w:r>
      <w:r>
        <w:rPr>
          <w:rFonts w:hint="eastAsia" w:ascii="宋体" w:hAnsi="宋体" w:eastAsia="宋体" w:cs="宋体"/>
          <w:color w:val="000000"/>
          <w:sz w:val="24"/>
          <w:szCs w:val="24"/>
          <w:highlight w:val="none"/>
          <w:lang w:eastAsia="zh-CN"/>
        </w:rPr>
        <w:t>。</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b w:val="0"/>
          <w:bCs w:val="0"/>
          <w:color w:val="000000"/>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23.8.11</w:t>
      </w:r>
      <w:r>
        <w:rPr>
          <w:rFonts w:hint="eastAsia" w:ascii="宋体" w:hAnsi="宋体" w:eastAsia="宋体" w:cs="宋体"/>
          <w:b w:val="0"/>
          <w:bCs w:val="0"/>
          <w:color w:val="000000"/>
          <w:kern w:val="2"/>
          <w:sz w:val="24"/>
          <w:szCs w:val="24"/>
          <w:highlight w:val="none"/>
          <w:lang w:val="en-US" w:eastAsia="zh-CN" w:bidi="ar-SA"/>
        </w:rPr>
        <w:t>投标人被“信用中国”网站（www.creditchina.gov.cn）列入失信被执行人或重大税收违法案件当事人名单或政府采购严重失信行为记录名单。</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投标文件有上述情形之一的，视为非实质性响应招标，并按规定作无效标处理。</w:t>
      </w:r>
    </w:p>
    <w:p>
      <w:pPr>
        <w:pageBreakBefore w:val="0"/>
        <w:kinsoku/>
        <w:wordWrap/>
        <w:overflowPunct/>
        <w:topLinePunct w:val="0"/>
        <w:bidi w:val="0"/>
        <w:adjustRightInd w:val="0"/>
        <w:snapToGrid w:val="0"/>
        <w:spacing w:beforeAutospacing="0" w:afterAutospacing="0" w:line="400" w:lineRule="exact"/>
        <w:ind w:firstLine="482" w:firstLineChars="200"/>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23.9废标条款：</w:t>
      </w:r>
    </w:p>
    <w:p>
      <w:pPr>
        <w:pageBreakBefore w:val="0"/>
        <w:numPr>
          <w:ilvl w:val="0"/>
          <w:numId w:val="0"/>
        </w:numPr>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23.9.1</w:t>
      </w:r>
      <w:r>
        <w:rPr>
          <w:rFonts w:hint="eastAsia" w:ascii="宋体" w:hAnsi="宋体" w:eastAsia="宋体" w:cs="宋体"/>
          <w:color w:val="000000"/>
          <w:sz w:val="24"/>
          <w:szCs w:val="24"/>
          <w:highlight w:val="none"/>
        </w:rPr>
        <w:t>符合专业条件的供应商或者对招标文件作实质响应的供应商不足三家的。</w:t>
      </w:r>
    </w:p>
    <w:p>
      <w:pPr>
        <w:pageBreakBefore w:val="0"/>
        <w:numPr>
          <w:ilvl w:val="0"/>
          <w:numId w:val="0"/>
        </w:numPr>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23.9.2</w:t>
      </w:r>
      <w:r>
        <w:rPr>
          <w:rFonts w:hint="eastAsia" w:ascii="宋体" w:hAnsi="宋体" w:eastAsia="宋体" w:cs="宋体"/>
          <w:color w:val="000000"/>
          <w:sz w:val="24"/>
          <w:szCs w:val="24"/>
          <w:highlight w:val="none"/>
        </w:rPr>
        <w:t>出现影响采购公正的违法、违规行为的。</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23.9.3</w:t>
      </w:r>
      <w:r>
        <w:rPr>
          <w:rFonts w:hint="eastAsia" w:ascii="宋体" w:hAnsi="宋体" w:eastAsia="宋体" w:cs="宋体"/>
          <w:color w:val="000000"/>
          <w:sz w:val="24"/>
          <w:szCs w:val="24"/>
          <w:highlight w:val="none"/>
        </w:rPr>
        <w:t>因重大变故，采购任务取消的。</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23.9.4</w:t>
      </w:r>
      <w:r>
        <w:rPr>
          <w:rFonts w:hint="eastAsia" w:ascii="宋体" w:hAnsi="宋体" w:eastAsia="宋体" w:cs="宋体"/>
          <w:color w:val="000000"/>
          <w:sz w:val="24"/>
          <w:szCs w:val="24"/>
          <w:highlight w:val="none"/>
        </w:rPr>
        <w:t>评标委员会认定招标文件存在歧义、重大缺陷导致评审工作无法进行。</w:t>
      </w:r>
    </w:p>
    <w:p>
      <w:pPr>
        <w:pageBreakBefore w:val="0"/>
        <w:kinsoku/>
        <w:wordWrap/>
        <w:overflowPunct/>
        <w:topLinePunct w:val="0"/>
        <w:bidi w:val="0"/>
        <w:adjustRightInd w:val="0"/>
        <w:snapToGrid w:val="0"/>
        <w:spacing w:beforeAutospacing="0" w:afterAutospacing="0" w:line="400" w:lineRule="exact"/>
        <w:ind w:firstLine="482" w:firstLineChars="200"/>
        <w:rPr>
          <w:rFonts w:hint="eastAsia" w:ascii="宋体" w:hAnsi="宋体" w:eastAsia="宋体" w:cs="宋体"/>
          <w:bCs/>
          <w:sz w:val="24"/>
          <w:szCs w:val="24"/>
        </w:rPr>
      </w:pPr>
      <w:r>
        <w:rPr>
          <w:rFonts w:hint="eastAsia" w:ascii="宋体" w:hAnsi="宋体" w:eastAsia="宋体" w:cs="宋体"/>
          <w:b/>
          <w:color w:val="000000"/>
          <w:sz w:val="24"/>
          <w:szCs w:val="24"/>
          <w:highlight w:val="none"/>
        </w:rPr>
        <w:t>2</w:t>
      </w:r>
      <w:r>
        <w:rPr>
          <w:rFonts w:hint="eastAsia" w:ascii="宋体" w:hAnsi="宋体" w:eastAsia="宋体" w:cs="宋体"/>
          <w:b/>
          <w:color w:val="000000"/>
          <w:sz w:val="24"/>
          <w:szCs w:val="24"/>
          <w:highlight w:val="none"/>
          <w:lang w:val="en-US" w:eastAsia="zh-CN"/>
        </w:rPr>
        <w:t>4</w:t>
      </w:r>
      <w:r>
        <w:rPr>
          <w:rFonts w:hint="eastAsia" w:ascii="宋体" w:hAnsi="宋体" w:eastAsia="宋体" w:cs="宋体"/>
          <w:b/>
          <w:color w:val="000000"/>
          <w:sz w:val="24"/>
          <w:szCs w:val="24"/>
          <w:highlight w:val="none"/>
        </w:rPr>
        <w:t>、对投标文件的初步审查和响应性确定</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rPr>
        <w:t>.1.1 资格审查：依据法律法规和招标文件的规定，由采购人对投标文件中的资格证明文件进行审查。资格审查的结论，采购人以书面形式向评委会进行反馈。</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接受联合体的项目，两个以上的自然人、法人或者其他组织组成一个联合体，以一个供应商的身份共同参加政府采购活动的,联合体成员存在不良信用记录的，视同联合体存在不良应用记录。</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rPr>
        <w:t>.1.2 符合性审查：依据招标文件的规定，由评委会从投标文件的有效性、完整性和对招标文件的响应程度进行审查，以确定是否对招标文件的实质性要求作出响应。</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rPr>
        <w:t>.1.3 未通过资格审查或符合性审查的投标人，</w:t>
      </w:r>
      <w:r>
        <w:rPr>
          <w:rFonts w:hint="eastAsia" w:ascii="宋体" w:hAnsi="宋体" w:eastAsia="宋体" w:cs="宋体"/>
          <w:color w:val="000000"/>
          <w:sz w:val="24"/>
          <w:szCs w:val="24"/>
          <w:highlight w:val="none"/>
          <w:lang w:val="en-US" w:eastAsia="zh-CN"/>
        </w:rPr>
        <w:t>代理机构</w:t>
      </w:r>
      <w:r>
        <w:rPr>
          <w:rFonts w:hint="eastAsia" w:ascii="宋体" w:hAnsi="宋体" w:eastAsia="宋体" w:cs="宋体"/>
          <w:color w:val="000000"/>
          <w:sz w:val="24"/>
          <w:szCs w:val="24"/>
          <w:highlight w:val="none"/>
        </w:rPr>
        <w:t>将在评标现场向其授权代表告知未通过资格审查或符合性审查的原因，评审结束后，</w:t>
      </w:r>
      <w:r>
        <w:rPr>
          <w:rFonts w:hint="eastAsia" w:ascii="宋体" w:hAnsi="宋体" w:eastAsia="宋体" w:cs="宋体"/>
          <w:color w:val="000000"/>
          <w:sz w:val="24"/>
          <w:szCs w:val="24"/>
          <w:highlight w:val="none"/>
          <w:lang w:val="en-US" w:eastAsia="zh-CN"/>
        </w:rPr>
        <w:t>代理机构</w:t>
      </w:r>
      <w:r>
        <w:rPr>
          <w:rFonts w:hint="eastAsia" w:ascii="宋体" w:hAnsi="宋体" w:eastAsia="宋体" w:cs="宋体"/>
          <w:color w:val="000000"/>
          <w:sz w:val="24"/>
          <w:szCs w:val="24"/>
          <w:highlight w:val="none"/>
        </w:rPr>
        <w:t>将不再告知未通过资格审查或符合性审查的原因。</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rPr>
        <w:t>.2在详细评标之前，评委会将首先审查每份投标文件是否实质性响应了招标文件的要求。实质性响应的投标应该是与招标文件要求的全部条款、条件和规格相符，没有重大偏离或保留的投标。</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重大偏离的认定需经过评委会三分二及以上成员的认定。评委决定投标文件的响应性只根据投标文件本身的内容，而不寻求外部的证据。</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rPr>
        <w:t>.3如果投标文件实质上没有响应招标文件的要求，评委会将予以拒绝，投标人不得通过修改或撤销不合要求的偏离或保留而使其投标成为实质性响应的投标。</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rPr>
        <w:t>.4评委会将对确定为实质性响应的投标进行进一步审核，看其是否有计算上或累加上的算术错误，修正错误的原则如下：</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24.4.1</w:t>
      </w:r>
      <w:r>
        <w:rPr>
          <w:rFonts w:hint="eastAsia" w:ascii="宋体" w:hAnsi="宋体" w:eastAsia="宋体" w:cs="宋体"/>
          <w:color w:val="000000"/>
          <w:sz w:val="24"/>
          <w:szCs w:val="24"/>
          <w:highlight w:val="none"/>
        </w:rPr>
        <w:t>投标文件中开标一览表内容与投标文件中相应内容不一致的，以开标一览表为准。</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24.4.2</w:t>
      </w:r>
      <w:r>
        <w:rPr>
          <w:rFonts w:hint="eastAsia" w:ascii="宋体" w:hAnsi="宋体" w:eastAsia="宋体" w:cs="宋体"/>
          <w:color w:val="000000"/>
          <w:sz w:val="24"/>
          <w:szCs w:val="24"/>
          <w:highlight w:val="none"/>
        </w:rPr>
        <w:t>大写金额和小写金额不一致的，以大写金额为准。</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24.4.3</w:t>
      </w:r>
      <w:r>
        <w:rPr>
          <w:rFonts w:hint="eastAsia" w:ascii="宋体" w:hAnsi="宋体" w:eastAsia="宋体" w:cs="宋体"/>
          <w:color w:val="000000"/>
          <w:sz w:val="24"/>
          <w:szCs w:val="24"/>
          <w:highlight w:val="none"/>
        </w:rPr>
        <w:t>单价金额小数点或者百分比有明显错位的，以开标一览表的总价为准，并修改单价。</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24.4.4</w:t>
      </w:r>
      <w:r>
        <w:rPr>
          <w:rFonts w:hint="eastAsia" w:ascii="宋体" w:hAnsi="宋体" w:eastAsia="宋体" w:cs="宋体"/>
          <w:color w:val="000000"/>
          <w:sz w:val="24"/>
          <w:szCs w:val="24"/>
          <w:highlight w:val="none"/>
        </w:rPr>
        <w:t>总价金额与按单价汇总金额不一致的，以单价金额计算结果为准。</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同时出现两种以上错误的，按照前款规定的顺序修正。</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rPr>
        <w:t>.5评委会将按上述修正错误的方法调整投标文件中的投标报价，调整后的价格应对投标人具有约束力。如果投标人不接受修正后的价格，则其投标将被拒绝，其投标保证金不予退还。</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b/>
          <w:color w:val="000000"/>
          <w:kern w:val="2"/>
          <w:sz w:val="24"/>
          <w:szCs w:val="24"/>
          <w:highlight w:val="none"/>
        </w:rPr>
      </w:pPr>
      <w:r>
        <w:rPr>
          <w:rFonts w:hint="eastAsia" w:ascii="宋体" w:hAnsi="宋体" w:eastAsia="宋体" w:cs="宋体"/>
          <w:color w:val="000000"/>
          <w:sz w:val="24"/>
          <w:szCs w:val="24"/>
          <w:highlight w:val="none"/>
        </w:rPr>
        <w:t>2</w:t>
      </w: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rPr>
        <w:t>.6评委会将允许修正投标文件中不构成重大偏离的、微小的、非正规的、不一致的或不规则的地方，但这些修改不能影响任何投标人相应的名次排列。</w:t>
      </w:r>
    </w:p>
    <w:p>
      <w:pPr>
        <w:pageBreakBefore w:val="0"/>
        <w:numPr>
          <w:ilvl w:val="0"/>
          <w:numId w:val="0"/>
        </w:numPr>
        <w:kinsoku/>
        <w:wordWrap/>
        <w:overflowPunct/>
        <w:topLinePunct w:val="0"/>
        <w:bidi w:val="0"/>
        <w:adjustRightInd w:val="0"/>
        <w:snapToGrid w:val="0"/>
        <w:spacing w:beforeAutospacing="0" w:afterAutospacing="0" w:line="400" w:lineRule="exact"/>
        <w:ind w:firstLine="482" w:firstLineChars="200"/>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2</w:t>
      </w:r>
      <w:r>
        <w:rPr>
          <w:rFonts w:hint="eastAsia" w:ascii="宋体" w:hAnsi="宋体" w:eastAsia="宋体" w:cs="宋体"/>
          <w:b/>
          <w:color w:val="000000"/>
          <w:sz w:val="24"/>
          <w:szCs w:val="24"/>
          <w:highlight w:val="none"/>
          <w:lang w:val="en-US" w:eastAsia="zh-CN"/>
        </w:rPr>
        <w:t>5</w:t>
      </w:r>
      <w:r>
        <w:rPr>
          <w:rFonts w:hint="eastAsia" w:ascii="宋体" w:hAnsi="宋体" w:eastAsia="宋体" w:cs="宋体"/>
          <w:b/>
          <w:color w:val="000000"/>
          <w:sz w:val="24"/>
          <w:szCs w:val="24"/>
          <w:highlight w:val="none"/>
        </w:rPr>
        <w:t>、投标文件的澄清</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r>
        <w:rPr>
          <w:rFonts w:hint="eastAsia" w:ascii="宋体" w:hAnsi="宋体" w:eastAsia="宋体" w:cs="宋体"/>
          <w:color w:val="000000"/>
          <w:sz w:val="24"/>
          <w:szCs w:val="24"/>
          <w:highlight w:val="none"/>
          <w:lang w:val="en-US" w:eastAsia="zh-CN"/>
        </w:rPr>
        <w:t>5</w:t>
      </w:r>
      <w:r>
        <w:rPr>
          <w:rFonts w:hint="eastAsia" w:ascii="宋体" w:hAnsi="宋体" w:eastAsia="宋体" w:cs="宋体"/>
          <w:color w:val="000000"/>
          <w:sz w:val="24"/>
          <w:szCs w:val="24"/>
          <w:highlight w:val="none"/>
        </w:rPr>
        <w:t>.1 评标委员会在评标过程中有权随时请投标人就投标文件中含混之处加以澄清或答疑。</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r>
        <w:rPr>
          <w:rFonts w:hint="eastAsia" w:ascii="宋体" w:hAnsi="宋体" w:eastAsia="宋体" w:cs="宋体"/>
          <w:color w:val="000000"/>
          <w:sz w:val="24"/>
          <w:szCs w:val="24"/>
          <w:highlight w:val="none"/>
          <w:lang w:val="en-US" w:eastAsia="zh-CN"/>
        </w:rPr>
        <w:t>5</w:t>
      </w:r>
      <w:r>
        <w:rPr>
          <w:rFonts w:hint="eastAsia" w:ascii="宋体" w:hAnsi="宋体" w:eastAsia="宋体" w:cs="宋体"/>
          <w:color w:val="000000"/>
          <w:sz w:val="24"/>
          <w:szCs w:val="24"/>
          <w:highlight w:val="none"/>
        </w:rPr>
        <w:t>.2 投标人对要求澄清的问题应以书面形式明确答复，并应有法人授权代表的签署。</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r>
        <w:rPr>
          <w:rFonts w:hint="eastAsia" w:ascii="宋体" w:hAnsi="宋体" w:eastAsia="宋体" w:cs="宋体"/>
          <w:color w:val="000000"/>
          <w:sz w:val="24"/>
          <w:szCs w:val="24"/>
          <w:highlight w:val="none"/>
          <w:lang w:val="en-US" w:eastAsia="zh-CN"/>
        </w:rPr>
        <w:t>5</w:t>
      </w:r>
      <w:r>
        <w:rPr>
          <w:rFonts w:hint="eastAsia" w:ascii="宋体" w:hAnsi="宋体" w:eastAsia="宋体" w:cs="宋体"/>
          <w:color w:val="000000"/>
          <w:sz w:val="24"/>
          <w:szCs w:val="24"/>
          <w:highlight w:val="none"/>
        </w:rPr>
        <w:t>.3 投标人的澄清文件是投标文件的组成部分，并取代投标文件中被澄清的部分。</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r>
        <w:rPr>
          <w:rFonts w:hint="eastAsia" w:ascii="宋体" w:hAnsi="宋体" w:eastAsia="宋体" w:cs="宋体"/>
          <w:color w:val="000000"/>
          <w:sz w:val="24"/>
          <w:szCs w:val="24"/>
          <w:highlight w:val="none"/>
          <w:lang w:val="en-US" w:eastAsia="zh-CN"/>
        </w:rPr>
        <w:t>5</w:t>
      </w:r>
      <w:r>
        <w:rPr>
          <w:rFonts w:hint="eastAsia" w:ascii="宋体" w:hAnsi="宋体" w:eastAsia="宋体" w:cs="宋体"/>
          <w:color w:val="000000"/>
          <w:sz w:val="24"/>
          <w:szCs w:val="24"/>
          <w:highlight w:val="none"/>
        </w:rPr>
        <w:t>.4 投标文件的澄清不得改变投标的实质内容。</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r>
        <w:rPr>
          <w:rFonts w:hint="eastAsia" w:ascii="宋体" w:hAnsi="宋体" w:eastAsia="宋体" w:cs="宋体"/>
          <w:color w:val="000000"/>
          <w:sz w:val="24"/>
          <w:szCs w:val="24"/>
          <w:highlight w:val="none"/>
          <w:lang w:val="en-US" w:eastAsia="zh-CN"/>
        </w:rPr>
        <w:t>5</w:t>
      </w:r>
      <w:r>
        <w:rPr>
          <w:rFonts w:hint="eastAsia" w:ascii="宋体" w:hAnsi="宋体" w:eastAsia="宋体" w:cs="宋体"/>
          <w:color w:val="000000"/>
          <w:sz w:val="24"/>
          <w:szCs w:val="24"/>
          <w:highlight w:val="none"/>
        </w:rPr>
        <w:t>.5如果投标人在投标文件中未对招标文件中的条款或参数要求提出偏离意见或澄清将视同投标人同意招标文件的全部或部分要求。</w:t>
      </w:r>
    </w:p>
    <w:p>
      <w:pPr>
        <w:pageBreakBefore w:val="0"/>
        <w:kinsoku/>
        <w:wordWrap/>
        <w:overflowPunct/>
        <w:topLinePunct w:val="0"/>
        <w:bidi w:val="0"/>
        <w:adjustRightInd w:val="0"/>
        <w:snapToGrid w:val="0"/>
        <w:spacing w:beforeAutospacing="0" w:afterAutospacing="0" w:line="400" w:lineRule="exact"/>
        <w:ind w:firstLine="482" w:firstLineChars="200"/>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2</w:t>
      </w:r>
      <w:r>
        <w:rPr>
          <w:rFonts w:hint="eastAsia" w:ascii="宋体" w:hAnsi="宋体" w:eastAsia="宋体" w:cs="宋体"/>
          <w:b/>
          <w:color w:val="000000"/>
          <w:sz w:val="24"/>
          <w:szCs w:val="24"/>
          <w:highlight w:val="none"/>
          <w:lang w:val="en-US" w:eastAsia="zh-CN"/>
        </w:rPr>
        <w:t>6</w:t>
      </w:r>
      <w:r>
        <w:rPr>
          <w:rFonts w:hint="eastAsia" w:ascii="宋体" w:hAnsi="宋体" w:eastAsia="宋体" w:cs="宋体"/>
          <w:b/>
          <w:color w:val="000000"/>
          <w:sz w:val="24"/>
          <w:szCs w:val="24"/>
          <w:highlight w:val="none"/>
        </w:rPr>
        <w:t>、定标</w:t>
      </w:r>
    </w:p>
    <w:p>
      <w:pPr>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rPr>
        <w:t>.1 评标委员会有权选择和拒绝投标人中标，且无需向投标人进行任何有关评标的解释工作。</w:t>
      </w:r>
    </w:p>
    <w:p>
      <w:pPr>
        <w:pStyle w:val="35"/>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rPr>
        <w:t>.2 评标委员会通过上述评标方法以</w:t>
      </w:r>
      <w:r>
        <w:rPr>
          <w:rFonts w:hint="eastAsia" w:ascii="宋体" w:hAnsi="宋体" w:eastAsia="宋体" w:cs="宋体"/>
          <w:b/>
          <w:color w:val="000000"/>
          <w:sz w:val="24"/>
          <w:szCs w:val="24"/>
          <w:highlight w:val="none"/>
        </w:rPr>
        <w:t>最终合计得分最高的投标人作为第一中标候选人，以此类推确定第二、第三中标候选人。</w:t>
      </w:r>
    </w:p>
    <w:p>
      <w:pPr>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rPr>
        <w:t>.3 若有充分证据证明，中标人出现下列情况之一的，一经查实，将被取消中标资格：</w:t>
      </w:r>
    </w:p>
    <w:p>
      <w:pPr>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rPr>
        <w:t>.3</w:t>
      </w: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rPr>
        <w:t>提供虚假材料谋取中标的。</w:t>
      </w:r>
    </w:p>
    <w:p>
      <w:pPr>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rPr>
        <w:t>.3</w:t>
      </w: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rPr>
        <w:t>向采购人、采购中心行贿或者提供其他不正当利益的。</w:t>
      </w:r>
    </w:p>
    <w:p>
      <w:pPr>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rPr>
        <w:t>.3</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恶意竞争，投标总报价明显低于其自身合理成本且又无法提供证明的。</w:t>
      </w:r>
    </w:p>
    <w:p>
      <w:pPr>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rPr>
        <w:t>.3</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属于本文件规定的无效条件，但在评标过程中又未被评委会发现的。</w:t>
      </w:r>
    </w:p>
    <w:p>
      <w:pPr>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rPr>
        <w:t>.3</w:t>
      </w: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rPr>
        <w:t>与采购人或者其他供应商恶意串通的。</w:t>
      </w:r>
    </w:p>
    <w:p>
      <w:pPr>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rPr>
        <w:t>.3</w:t>
      </w:r>
      <w:r>
        <w:rPr>
          <w:rFonts w:hint="eastAsia" w:ascii="宋体" w:hAnsi="宋体" w:eastAsia="宋体" w:cs="宋体"/>
          <w:color w:val="000000"/>
          <w:sz w:val="24"/>
          <w:szCs w:val="24"/>
          <w:highlight w:val="none"/>
          <w:lang w:val="en-US" w:eastAsia="zh-CN"/>
        </w:rPr>
        <w:t>.5</w:t>
      </w:r>
      <w:r>
        <w:rPr>
          <w:rFonts w:hint="eastAsia" w:ascii="宋体" w:hAnsi="宋体" w:eastAsia="宋体" w:cs="宋体"/>
          <w:color w:val="000000"/>
          <w:sz w:val="24"/>
          <w:szCs w:val="24"/>
          <w:highlight w:val="none"/>
        </w:rPr>
        <w:t>采取不正当手段诋毁、排挤其他供应商的。</w:t>
      </w:r>
    </w:p>
    <w:p>
      <w:pPr>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26.4</w:t>
      </w:r>
      <w:r>
        <w:rPr>
          <w:rFonts w:hint="eastAsia" w:ascii="宋体" w:hAnsi="宋体" w:eastAsia="宋体" w:cs="宋体"/>
          <w:color w:val="000000"/>
          <w:sz w:val="24"/>
          <w:szCs w:val="24"/>
          <w:highlight w:val="none"/>
        </w:rPr>
        <w:t>有下列情形之一的，视为投标人串通投标，投标无效：</w:t>
      </w:r>
    </w:p>
    <w:p>
      <w:pPr>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26.4.1</w:t>
      </w:r>
      <w:r>
        <w:rPr>
          <w:rFonts w:hint="eastAsia" w:ascii="宋体" w:hAnsi="宋体" w:eastAsia="宋体" w:cs="宋体"/>
          <w:color w:val="000000"/>
          <w:sz w:val="24"/>
          <w:szCs w:val="24"/>
          <w:highlight w:val="none"/>
        </w:rPr>
        <w:t>不同投标人的投标文件由同一单位或者个人编制。</w:t>
      </w:r>
    </w:p>
    <w:p>
      <w:pPr>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26.4.2</w:t>
      </w:r>
      <w:r>
        <w:rPr>
          <w:rFonts w:hint="eastAsia" w:ascii="宋体" w:hAnsi="宋体" w:eastAsia="宋体" w:cs="宋体"/>
          <w:color w:val="000000"/>
          <w:sz w:val="24"/>
          <w:szCs w:val="24"/>
          <w:highlight w:val="none"/>
        </w:rPr>
        <w:t>不同投标人委托同一单位或者个人办理投标事宜。</w:t>
      </w:r>
    </w:p>
    <w:p>
      <w:pPr>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26.4.3</w:t>
      </w:r>
      <w:r>
        <w:rPr>
          <w:rFonts w:hint="eastAsia" w:ascii="宋体" w:hAnsi="宋体" w:eastAsia="宋体" w:cs="宋体"/>
          <w:color w:val="000000"/>
          <w:sz w:val="24"/>
          <w:szCs w:val="24"/>
          <w:highlight w:val="none"/>
        </w:rPr>
        <w:t>不同投标人的投标文件载明的项目管理成员或者联系人员为同一人。</w:t>
      </w:r>
    </w:p>
    <w:p>
      <w:pPr>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26.4.4</w:t>
      </w:r>
      <w:r>
        <w:rPr>
          <w:rFonts w:hint="eastAsia" w:ascii="宋体" w:hAnsi="宋体" w:eastAsia="宋体" w:cs="宋体"/>
          <w:color w:val="000000"/>
          <w:sz w:val="24"/>
          <w:szCs w:val="24"/>
          <w:highlight w:val="none"/>
        </w:rPr>
        <w:t>不同投标人的投标文件异常一致或者投标报价呈规律性差异。</w:t>
      </w:r>
    </w:p>
    <w:p>
      <w:pPr>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26.4.5</w:t>
      </w:r>
      <w:r>
        <w:rPr>
          <w:rFonts w:hint="eastAsia" w:ascii="宋体" w:hAnsi="宋体" w:eastAsia="宋体" w:cs="宋体"/>
          <w:color w:val="000000"/>
          <w:sz w:val="24"/>
          <w:szCs w:val="24"/>
          <w:highlight w:val="none"/>
        </w:rPr>
        <w:t>不同投标人的投标文件相互混装。</w:t>
      </w:r>
    </w:p>
    <w:p>
      <w:pPr>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26.4.6</w:t>
      </w:r>
      <w:r>
        <w:rPr>
          <w:rFonts w:hint="eastAsia" w:ascii="宋体" w:hAnsi="宋体" w:eastAsia="宋体" w:cs="宋体"/>
          <w:color w:val="000000"/>
          <w:sz w:val="24"/>
          <w:szCs w:val="24"/>
          <w:highlight w:val="none"/>
        </w:rPr>
        <w:t>不同投标人的投标保证金从同一单位或者个人的账户转出。</w:t>
      </w:r>
    </w:p>
    <w:p>
      <w:pPr>
        <w:pageBreakBefore w:val="0"/>
        <w:widowControl w:val="0"/>
        <w:kinsoku/>
        <w:wordWrap/>
        <w:overflowPunct/>
        <w:topLinePunct w:val="0"/>
        <w:autoSpaceDE/>
        <w:autoSpaceDN/>
        <w:bidi w:val="0"/>
        <w:adjustRightInd w:val="0"/>
        <w:snapToGrid w:val="0"/>
        <w:spacing w:beforeAutospacing="0" w:afterAutospacing="0" w:line="400" w:lineRule="exact"/>
        <w:ind w:firstLine="482" w:firstLineChars="200"/>
        <w:textAlignment w:val="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2</w:t>
      </w:r>
      <w:r>
        <w:rPr>
          <w:rFonts w:hint="eastAsia" w:ascii="宋体" w:hAnsi="宋体" w:eastAsia="宋体" w:cs="宋体"/>
          <w:b/>
          <w:color w:val="000000"/>
          <w:sz w:val="24"/>
          <w:szCs w:val="24"/>
          <w:highlight w:val="none"/>
          <w:lang w:val="en-US" w:eastAsia="zh-CN"/>
        </w:rPr>
        <w:t>7</w:t>
      </w:r>
      <w:r>
        <w:rPr>
          <w:rFonts w:hint="eastAsia" w:ascii="宋体" w:hAnsi="宋体" w:eastAsia="宋体" w:cs="宋体"/>
          <w:b/>
          <w:color w:val="000000"/>
          <w:sz w:val="24"/>
          <w:szCs w:val="24"/>
          <w:highlight w:val="none"/>
        </w:rPr>
        <w:t>、中标通知</w:t>
      </w:r>
    </w:p>
    <w:p>
      <w:pPr>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r>
        <w:rPr>
          <w:rFonts w:hint="eastAsia" w:ascii="宋体" w:hAnsi="宋体" w:eastAsia="宋体" w:cs="宋体"/>
          <w:color w:val="000000"/>
          <w:sz w:val="24"/>
          <w:szCs w:val="24"/>
          <w:highlight w:val="none"/>
          <w:lang w:val="en-US" w:eastAsia="zh-CN"/>
        </w:rPr>
        <w:t>7</w:t>
      </w:r>
      <w:r>
        <w:rPr>
          <w:rFonts w:hint="eastAsia" w:ascii="宋体" w:hAnsi="宋体" w:eastAsia="宋体" w:cs="宋体"/>
          <w:color w:val="000000"/>
          <w:sz w:val="24"/>
          <w:szCs w:val="24"/>
          <w:highlight w:val="none"/>
        </w:rPr>
        <w:t>.1中标公示期：在“新疆政府采购网”发布中标公告，期限为1个工作日。</w:t>
      </w:r>
    </w:p>
    <w:p>
      <w:pPr>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r>
        <w:rPr>
          <w:rFonts w:hint="eastAsia" w:ascii="宋体" w:hAnsi="宋体" w:eastAsia="宋体" w:cs="宋体"/>
          <w:color w:val="000000"/>
          <w:sz w:val="24"/>
          <w:szCs w:val="24"/>
          <w:highlight w:val="none"/>
          <w:lang w:val="en-US" w:eastAsia="zh-CN"/>
        </w:rPr>
        <w:t>7</w:t>
      </w:r>
      <w:r>
        <w:rPr>
          <w:rFonts w:hint="eastAsia" w:ascii="宋体" w:hAnsi="宋体" w:eastAsia="宋体" w:cs="宋体"/>
          <w:color w:val="000000"/>
          <w:sz w:val="24"/>
          <w:szCs w:val="24"/>
          <w:highlight w:val="none"/>
        </w:rPr>
        <w:t>.2招标代理机构根据定标结果，在投标有效期届满前，以书面形式向中标单位发出中标通知书。</w:t>
      </w:r>
    </w:p>
    <w:p>
      <w:pPr>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r>
        <w:rPr>
          <w:rFonts w:hint="eastAsia" w:ascii="宋体" w:hAnsi="宋体" w:eastAsia="宋体" w:cs="宋体"/>
          <w:color w:val="000000"/>
          <w:sz w:val="24"/>
          <w:szCs w:val="24"/>
          <w:highlight w:val="none"/>
          <w:lang w:val="en-US" w:eastAsia="zh-CN"/>
        </w:rPr>
        <w:t>7</w:t>
      </w:r>
      <w:r>
        <w:rPr>
          <w:rFonts w:hint="eastAsia" w:ascii="宋体" w:hAnsi="宋体" w:eastAsia="宋体" w:cs="宋体"/>
          <w:color w:val="000000"/>
          <w:sz w:val="24"/>
          <w:szCs w:val="24"/>
          <w:highlight w:val="none"/>
        </w:rPr>
        <w:t>.3 招标代理机构将定标结果及时通知未中标单位并退还投标保证金。无需解释落标原因。</w:t>
      </w:r>
    </w:p>
    <w:p>
      <w:pPr>
        <w:pStyle w:val="14"/>
        <w:pageBreakBefore w:val="0"/>
        <w:widowControl w:val="0"/>
        <w:kinsoku/>
        <w:wordWrap/>
        <w:overflowPunct/>
        <w:topLinePunct w:val="0"/>
        <w:autoSpaceDE/>
        <w:autoSpaceDN/>
        <w:bidi w:val="0"/>
        <w:adjustRightInd w:val="0"/>
        <w:snapToGrid w:val="0"/>
        <w:spacing w:beforeAutospacing="0" w:afterAutospacing="0" w:line="400" w:lineRule="exact"/>
        <w:ind w:firstLine="482" w:firstLineChars="200"/>
        <w:textAlignment w:val="auto"/>
        <w:rPr>
          <w:rFonts w:hint="eastAsia" w:ascii="宋体" w:hAnsi="宋体" w:eastAsia="宋体" w:cs="宋体"/>
          <w:b/>
          <w:bCs/>
          <w:color w:val="000000"/>
          <w:kern w:val="2"/>
          <w:sz w:val="24"/>
          <w:szCs w:val="24"/>
          <w:highlight w:val="none"/>
          <w:lang w:val="en-US" w:eastAsia="zh-CN" w:bidi="ar-SA"/>
        </w:rPr>
      </w:pPr>
      <w:r>
        <w:rPr>
          <w:rFonts w:hint="eastAsia" w:ascii="宋体" w:hAnsi="宋体" w:eastAsia="宋体" w:cs="宋体"/>
          <w:b/>
          <w:bCs/>
          <w:color w:val="000000"/>
          <w:kern w:val="2"/>
          <w:sz w:val="24"/>
          <w:szCs w:val="24"/>
          <w:highlight w:val="none"/>
          <w:lang w:val="en-US" w:eastAsia="zh-CN" w:bidi="ar-SA"/>
        </w:rPr>
        <w:t>28、质疑处理</w:t>
      </w:r>
    </w:p>
    <w:p>
      <w:pPr>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28</w:t>
      </w:r>
      <w:r>
        <w:rPr>
          <w:rFonts w:hint="eastAsia" w:ascii="宋体" w:hAnsi="宋体" w:eastAsia="宋体" w:cs="宋体"/>
          <w:color w:val="000000"/>
          <w:sz w:val="24"/>
          <w:szCs w:val="24"/>
          <w:highlight w:val="none"/>
        </w:rPr>
        <w:t>.1 提出质疑的供应商应当是参与所质疑项目采购活动的供应商。潜在供应商依法获取其可质疑的采购文件的，可以对采购文件提出质疑。</w:t>
      </w:r>
    </w:p>
    <w:p>
      <w:pPr>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28</w:t>
      </w:r>
      <w:r>
        <w:rPr>
          <w:rFonts w:hint="eastAsia" w:ascii="宋体" w:hAnsi="宋体" w:eastAsia="宋体" w:cs="宋体"/>
          <w:color w:val="000000"/>
          <w:sz w:val="24"/>
          <w:szCs w:val="24"/>
          <w:highlight w:val="none"/>
        </w:rPr>
        <w:t>.2供应商认为采购文件、采购过程和采购结果使自己的权益受到损害的，可以在知道或应知其权益受到损害之日起七个工作日内，以书面形式向</w:t>
      </w:r>
      <w:r>
        <w:rPr>
          <w:rFonts w:hint="eastAsia" w:ascii="宋体" w:hAnsi="宋体" w:eastAsia="宋体" w:cs="宋体"/>
          <w:color w:val="000000"/>
          <w:sz w:val="24"/>
          <w:szCs w:val="24"/>
          <w:highlight w:val="none"/>
          <w:lang w:val="en-US" w:eastAsia="zh-CN"/>
        </w:rPr>
        <w:t>招标代理机构</w:t>
      </w:r>
      <w:r>
        <w:rPr>
          <w:rFonts w:hint="eastAsia" w:ascii="宋体" w:hAnsi="宋体" w:eastAsia="宋体" w:cs="宋体"/>
          <w:color w:val="000000"/>
          <w:sz w:val="24"/>
          <w:szCs w:val="24"/>
          <w:highlight w:val="none"/>
        </w:rPr>
        <w:t>或采购人提出质疑。上述应知其权益受到损害之日，是指：</w:t>
      </w:r>
    </w:p>
    <w:p>
      <w:pPr>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28</w:t>
      </w:r>
      <w:r>
        <w:rPr>
          <w:rFonts w:hint="eastAsia" w:ascii="宋体" w:hAnsi="宋体" w:eastAsia="宋体" w:cs="宋体"/>
          <w:color w:val="000000"/>
          <w:sz w:val="24"/>
          <w:szCs w:val="24"/>
          <w:highlight w:val="none"/>
        </w:rPr>
        <w:t>.2.1对可以质疑的采购文件提出质疑的，为收到采购文件之日或者采购文件公告期限届满之日；</w:t>
      </w:r>
      <w:r>
        <w:rPr>
          <w:rFonts w:hint="eastAsia" w:ascii="宋体" w:hAnsi="宋体" w:eastAsia="宋体" w:cs="宋体"/>
          <w:color w:val="000000"/>
          <w:sz w:val="24"/>
          <w:szCs w:val="24"/>
          <w:highlight w:val="none"/>
        </w:rPr>
        <w:br w:type="textWrapping"/>
      </w:r>
      <w:r>
        <w:rPr>
          <w:rFonts w:hint="eastAsia" w:ascii="宋体" w:hAnsi="宋体" w:eastAsia="宋体" w:cs="宋体"/>
          <w:color w:val="000000"/>
          <w:sz w:val="24"/>
          <w:szCs w:val="24"/>
          <w:highlight w:val="none"/>
        </w:rPr>
        <w:t>　　</w:t>
      </w:r>
      <w:r>
        <w:rPr>
          <w:rFonts w:hint="eastAsia" w:ascii="宋体" w:hAnsi="宋体" w:eastAsia="宋体" w:cs="宋体"/>
          <w:color w:val="000000"/>
          <w:sz w:val="24"/>
          <w:szCs w:val="24"/>
          <w:highlight w:val="none"/>
          <w:lang w:val="en-US" w:eastAsia="zh-CN"/>
        </w:rPr>
        <w:t>28</w:t>
      </w:r>
      <w:r>
        <w:rPr>
          <w:rFonts w:hint="eastAsia" w:ascii="宋体" w:hAnsi="宋体" w:eastAsia="宋体" w:cs="宋体"/>
          <w:color w:val="000000"/>
          <w:sz w:val="24"/>
          <w:szCs w:val="24"/>
          <w:highlight w:val="none"/>
        </w:rPr>
        <w:t>.2.2对采购过程提出质疑的，为各采购程序环节结束之日；</w:t>
      </w:r>
      <w:r>
        <w:rPr>
          <w:rFonts w:hint="eastAsia" w:ascii="宋体" w:hAnsi="宋体" w:eastAsia="宋体" w:cs="宋体"/>
          <w:color w:val="000000"/>
          <w:sz w:val="24"/>
          <w:szCs w:val="24"/>
          <w:highlight w:val="none"/>
        </w:rPr>
        <w:br w:type="textWrapping"/>
      </w:r>
      <w:r>
        <w:rPr>
          <w:rFonts w:hint="eastAsia" w:ascii="宋体" w:hAnsi="宋体" w:eastAsia="宋体" w:cs="宋体"/>
          <w:color w:val="000000"/>
          <w:sz w:val="24"/>
          <w:szCs w:val="24"/>
          <w:highlight w:val="none"/>
        </w:rPr>
        <w:t>　　</w:t>
      </w:r>
      <w:r>
        <w:rPr>
          <w:rFonts w:hint="eastAsia" w:ascii="宋体" w:hAnsi="宋体" w:eastAsia="宋体" w:cs="宋体"/>
          <w:color w:val="000000"/>
          <w:sz w:val="24"/>
          <w:szCs w:val="24"/>
          <w:highlight w:val="none"/>
          <w:lang w:val="en-US" w:eastAsia="zh-CN"/>
        </w:rPr>
        <w:t>28</w:t>
      </w:r>
      <w:r>
        <w:rPr>
          <w:rFonts w:hint="eastAsia" w:ascii="宋体" w:hAnsi="宋体" w:eastAsia="宋体" w:cs="宋体"/>
          <w:color w:val="000000"/>
          <w:sz w:val="24"/>
          <w:szCs w:val="24"/>
          <w:highlight w:val="none"/>
        </w:rPr>
        <w:t>.2.3对中标或者成交结果提出质疑的，为中标或者成交结果公告期限届满之日。</w:t>
      </w:r>
    </w:p>
    <w:p>
      <w:pPr>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供应商应当在法定质疑期内一次性提出针对同一采购程序环节的质疑。供应商如在法定期限内对同一采购程序环节提出多次质疑的，</w:t>
      </w:r>
      <w:r>
        <w:rPr>
          <w:rFonts w:hint="eastAsia" w:ascii="宋体" w:hAnsi="宋体" w:eastAsia="宋体" w:cs="宋体"/>
          <w:color w:val="000000"/>
          <w:sz w:val="24"/>
          <w:szCs w:val="24"/>
          <w:highlight w:val="none"/>
          <w:lang w:val="en-US" w:eastAsia="zh-CN"/>
        </w:rPr>
        <w:t>招标代理机构</w:t>
      </w:r>
      <w:r>
        <w:rPr>
          <w:rFonts w:hint="eastAsia" w:ascii="宋体" w:hAnsi="宋体" w:eastAsia="宋体" w:cs="宋体"/>
          <w:color w:val="000000"/>
          <w:sz w:val="24"/>
          <w:szCs w:val="24"/>
          <w:highlight w:val="none"/>
        </w:rPr>
        <w:t>将只对供应商第一次质疑作出答复。</w:t>
      </w:r>
    </w:p>
    <w:p>
      <w:pPr>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28</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 xml:space="preserve"> </w:t>
      </w:r>
      <w:r>
        <w:rPr>
          <w:rFonts w:hint="eastAsia" w:ascii="宋体" w:hAnsi="宋体" w:eastAsia="宋体" w:cs="宋体"/>
          <w:color w:val="000000"/>
          <w:sz w:val="24"/>
          <w:szCs w:val="24"/>
          <w:highlight w:val="none"/>
          <w:lang w:val="en-US" w:eastAsia="zh-CN"/>
        </w:rPr>
        <w:t>招标代理机构</w:t>
      </w:r>
      <w:r>
        <w:rPr>
          <w:rFonts w:hint="eastAsia" w:ascii="宋体" w:hAnsi="宋体" w:eastAsia="宋体" w:cs="宋体"/>
          <w:color w:val="000000"/>
          <w:sz w:val="24"/>
          <w:szCs w:val="24"/>
          <w:highlight w:val="none"/>
        </w:rPr>
        <w:t>只接收以</w:t>
      </w:r>
      <w:r>
        <w:rPr>
          <w:rFonts w:hint="eastAsia" w:ascii="宋体" w:hAnsi="宋体" w:eastAsia="宋体" w:cs="宋体"/>
          <w:color w:val="000000"/>
          <w:sz w:val="24"/>
          <w:szCs w:val="24"/>
          <w:highlight w:val="none"/>
          <w:lang w:eastAsia="zh-CN"/>
        </w:rPr>
        <w:t>书面</w:t>
      </w:r>
      <w:r>
        <w:rPr>
          <w:rFonts w:hint="eastAsia" w:ascii="宋体" w:hAnsi="宋体" w:eastAsia="宋体" w:cs="宋体"/>
          <w:color w:val="000000"/>
          <w:sz w:val="24"/>
          <w:szCs w:val="24"/>
          <w:highlight w:val="none"/>
        </w:rPr>
        <w:t>形式送达的质疑。</w:t>
      </w:r>
      <w:r>
        <w:rPr>
          <w:rFonts w:hint="eastAsia" w:ascii="宋体" w:hAnsi="宋体" w:eastAsia="宋体" w:cs="宋体"/>
          <w:color w:val="000000"/>
          <w:sz w:val="24"/>
          <w:szCs w:val="24"/>
          <w:highlight w:val="none"/>
          <w:lang w:val="en-US" w:eastAsia="zh-CN"/>
        </w:rPr>
        <w:t>联系方式见前附表</w:t>
      </w:r>
      <w:r>
        <w:rPr>
          <w:rFonts w:hint="eastAsia" w:ascii="宋体" w:hAnsi="宋体" w:eastAsia="宋体" w:cs="宋体"/>
          <w:color w:val="000000"/>
          <w:sz w:val="24"/>
          <w:szCs w:val="24"/>
          <w:highlight w:val="none"/>
        </w:rPr>
        <w:t>。</w:t>
      </w:r>
    </w:p>
    <w:p>
      <w:pPr>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28</w:t>
      </w:r>
      <w:r>
        <w:rPr>
          <w:rFonts w:hint="eastAsia" w:ascii="宋体" w:hAnsi="宋体" w:eastAsia="宋体" w:cs="宋体"/>
          <w:color w:val="000000"/>
          <w:sz w:val="24"/>
          <w:szCs w:val="24"/>
          <w:highlight w:val="none"/>
        </w:rPr>
        <w:t>.5 以下情形的质疑不予受理</w:t>
      </w:r>
    </w:p>
    <w:p>
      <w:pPr>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29</w:t>
      </w:r>
      <w:r>
        <w:rPr>
          <w:rFonts w:hint="eastAsia" w:ascii="宋体" w:hAnsi="宋体" w:eastAsia="宋体" w:cs="宋体"/>
          <w:color w:val="000000"/>
          <w:sz w:val="24"/>
          <w:szCs w:val="24"/>
          <w:highlight w:val="none"/>
        </w:rPr>
        <w:t>.5.1 内容不符合《政府采购质疑和投诉办法》第十二条规定的质疑。</w:t>
      </w:r>
    </w:p>
    <w:p>
      <w:pPr>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28</w:t>
      </w:r>
      <w:r>
        <w:rPr>
          <w:rFonts w:hint="eastAsia" w:ascii="宋体" w:hAnsi="宋体" w:eastAsia="宋体" w:cs="宋体"/>
          <w:color w:val="000000"/>
          <w:sz w:val="24"/>
          <w:szCs w:val="24"/>
          <w:highlight w:val="none"/>
        </w:rPr>
        <w:t>.5.2 超出政府采购法定期限的质疑。</w:t>
      </w:r>
    </w:p>
    <w:p>
      <w:pPr>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28</w:t>
      </w:r>
      <w:r>
        <w:rPr>
          <w:rFonts w:hint="eastAsia" w:ascii="宋体" w:hAnsi="宋体" w:eastAsia="宋体" w:cs="宋体"/>
          <w:color w:val="000000"/>
          <w:sz w:val="24"/>
          <w:szCs w:val="24"/>
          <w:highlight w:val="none"/>
        </w:rPr>
        <w:t>.5.</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 xml:space="preserve"> 未参加投标活动的供应商或在投标活动中自身权益未受到损害的供应商所提出的质疑。</w:t>
      </w:r>
    </w:p>
    <w:p>
      <w:pPr>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28</w:t>
      </w:r>
      <w:r>
        <w:rPr>
          <w:rFonts w:hint="eastAsia" w:ascii="宋体" w:hAnsi="宋体" w:eastAsia="宋体" w:cs="宋体"/>
          <w:color w:val="000000"/>
          <w:sz w:val="24"/>
          <w:szCs w:val="24"/>
          <w:highlight w:val="none"/>
        </w:rPr>
        <w:t>.5.</w:t>
      </w: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rPr>
        <w:t>供应商组成联合体参加投标，联合体中任何一方或多方未按要求签字、盖章、加盖公章的质疑。</w:t>
      </w:r>
    </w:p>
    <w:p>
      <w:pPr>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28</w:t>
      </w:r>
      <w:r>
        <w:rPr>
          <w:rFonts w:hint="eastAsia" w:ascii="宋体" w:hAnsi="宋体" w:eastAsia="宋体" w:cs="宋体"/>
          <w:color w:val="000000"/>
          <w:sz w:val="24"/>
          <w:szCs w:val="24"/>
          <w:highlight w:val="none"/>
        </w:rPr>
        <w:t>.6  供应商提出书面质疑必须有理、有据，不得捏造事实、提供虚假材料进行恶意质疑。否则，一经查实，采购中心有权依据政府采购的有关规定，报请政府采购监管部门对该供应商进行相应的行政处罚和记录该供应商的失信信息。</w:t>
      </w:r>
    </w:p>
    <w:p>
      <w:pPr>
        <w:pageBreakBefore w:val="0"/>
        <w:widowControl w:val="0"/>
        <w:kinsoku/>
        <w:wordWrap/>
        <w:overflowPunct/>
        <w:topLinePunct w:val="0"/>
        <w:autoSpaceDE/>
        <w:autoSpaceDN/>
        <w:bidi w:val="0"/>
        <w:spacing w:beforeAutospacing="0" w:afterAutospacing="0" w:line="400" w:lineRule="exact"/>
        <w:textAlignment w:val="auto"/>
        <w:rPr>
          <w:rFonts w:hint="eastAsia" w:ascii="宋体" w:hAnsi="宋体" w:eastAsia="宋体" w:cs="宋体"/>
          <w:sz w:val="24"/>
          <w:szCs w:val="24"/>
          <w:lang w:eastAsia="zh-CN"/>
        </w:rPr>
      </w:pPr>
    </w:p>
    <w:p>
      <w:pPr>
        <w:pageBreakBefore w:val="0"/>
        <w:widowControl w:val="0"/>
        <w:kinsoku/>
        <w:wordWrap/>
        <w:overflowPunct/>
        <w:topLinePunct w:val="0"/>
        <w:autoSpaceDE/>
        <w:autoSpaceDN/>
        <w:bidi w:val="0"/>
        <w:adjustRightInd w:val="0"/>
        <w:snapToGrid w:val="0"/>
        <w:spacing w:beforeAutospacing="0" w:afterAutospacing="0" w:line="400" w:lineRule="exact"/>
        <w:jc w:val="center"/>
        <w:textAlignment w:val="auto"/>
        <w:rPr>
          <w:rFonts w:hint="eastAsia" w:ascii="宋体" w:hAnsi="宋体" w:eastAsia="宋体" w:cs="宋体"/>
          <w:b/>
          <w:color w:val="000000"/>
          <w:sz w:val="24"/>
          <w:szCs w:val="24"/>
          <w:highlight w:val="none"/>
        </w:rPr>
      </w:pPr>
    </w:p>
    <w:p>
      <w:pPr>
        <w:pageBreakBefore w:val="0"/>
        <w:widowControl w:val="0"/>
        <w:kinsoku/>
        <w:wordWrap/>
        <w:overflowPunct/>
        <w:topLinePunct w:val="0"/>
        <w:autoSpaceDE/>
        <w:autoSpaceDN/>
        <w:bidi w:val="0"/>
        <w:adjustRightInd w:val="0"/>
        <w:snapToGrid w:val="0"/>
        <w:spacing w:beforeAutospacing="0" w:afterAutospacing="0" w:line="400" w:lineRule="exact"/>
        <w:jc w:val="center"/>
        <w:textAlignment w:val="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七、签定合同</w:t>
      </w:r>
    </w:p>
    <w:p>
      <w:pPr>
        <w:pageBreakBefore w:val="0"/>
        <w:widowControl w:val="0"/>
        <w:kinsoku/>
        <w:wordWrap/>
        <w:overflowPunct/>
        <w:topLinePunct w:val="0"/>
        <w:autoSpaceDE/>
        <w:autoSpaceDN/>
        <w:bidi w:val="0"/>
        <w:adjustRightInd w:val="0"/>
        <w:snapToGrid w:val="0"/>
        <w:spacing w:beforeAutospacing="0" w:afterAutospacing="0" w:line="400" w:lineRule="exact"/>
        <w:ind w:firstLine="482" w:firstLineChars="200"/>
        <w:textAlignment w:val="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lang w:val="en-US" w:eastAsia="zh-CN"/>
        </w:rPr>
        <w:t>29</w:t>
      </w:r>
      <w:r>
        <w:rPr>
          <w:rFonts w:hint="eastAsia" w:ascii="宋体" w:hAnsi="宋体" w:eastAsia="宋体" w:cs="宋体"/>
          <w:b/>
          <w:color w:val="000000"/>
          <w:sz w:val="24"/>
          <w:szCs w:val="24"/>
          <w:highlight w:val="none"/>
        </w:rPr>
        <w:t>、签定合同</w:t>
      </w:r>
    </w:p>
    <w:p>
      <w:pPr>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29</w:t>
      </w:r>
      <w:r>
        <w:rPr>
          <w:rFonts w:hint="eastAsia" w:ascii="宋体" w:hAnsi="宋体" w:eastAsia="宋体" w:cs="宋体"/>
          <w:color w:val="000000"/>
          <w:sz w:val="24"/>
          <w:szCs w:val="24"/>
          <w:highlight w:val="none"/>
        </w:rPr>
        <w:t xml:space="preserve">.1 </w:t>
      </w:r>
      <w:r>
        <w:rPr>
          <w:rFonts w:hint="eastAsia" w:ascii="宋体" w:hAnsi="宋体" w:eastAsia="宋体" w:cs="宋体"/>
          <w:color w:val="000000"/>
          <w:sz w:val="24"/>
          <w:szCs w:val="24"/>
          <w:highlight w:val="none"/>
          <w:lang w:eastAsia="zh-CN"/>
        </w:rPr>
        <w:t>采购人</w:t>
      </w:r>
      <w:r>
        <w:rPr>
          <w:rFonts w:hint="eastAsia" w:ascii="宋体" w:hAnsi="宋体" w:eastAsia="宋体" w:cs="宋体"/>
          <w:color w:val="000000"/>
          <w:sz w:val="24"/>
          <w:szCs w:val="24"/>
          <w:highlight w:val="none"/>
        </w:rPr>
        <w:t>和中标人在自中标通知书发出之日起</w:t>
      </w:r>
      <w:r>
        <w:rPr>
          <w:rFonts w:hint="eastAsia" w:ascii="宋体" w:hAnsi="宋体" w:eastAsia="宋体" w:cs="宋体"/>
          <w:b/>
          <w:bCs/>
          <w:sz w:val="24"/>
          <w:szCs w:val="24"/>
          <w:highlight w:val="none"/>
        </w:rPr>
        <w:t>30</w:t>
      </w:r>
      <w:r>
        <w:rPr>
          <w:rFonts w:hint="eastAsia" w:ascii="宋体" w:hAnsi="宋体" w:eastAsia="宋体" w:cs="宋体"/>
          <w:color w:val="000000"/>
          <w:sz w:val="24"/>
          <w:szCs w:val="24"/>
          <w:highlight w:val="none"/>
        </w:rPr>
        <w:t>日内，依据《中华人民共和国经济合同法》和有关法规及招、投标文件签定合同。</w:t>
      </w:r>
    </w:p>
    <w:p>
      <w:pPr>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29</w:t>
      </w:r>
      <w:r>
        <w:rPr>
          <w:rFonts w:hint="eastAsia" w:ascii="宋体" w:hAnsi="宋体" w:eastAsia="宋体" w:cs="宋体"/>
          <w:color w:val="000000"/>
          <w:sz w:val="24"/>
          <w:szCs w:val="24"/>
          <w:highlight w:val="none"/>
        </w:rPr>
        <w:t>.2 中标合同不得转让。合同分包需在投标文件中予以说明，并需经</w:t>
      </w:r>
      <w:r>
        <w:rPr>
          <w:rFonts w:hint="eastAsia" w:ascii="宋体" w:hAnsi="宋体" w:eastAsia="宋体" w:cs="宋体"/>
          <w:color w:val="000000"/>
          <w:sz w:val="24"/>
          <w:szCs w:val="24"/>
          <w:highlight w:val="none"/>
          <w:lang w:eastAsia="zh-CN"/>
        </w:rPr>
        <w:t>采购人</w:t>
      </w:r>
      <w:r>
        <w:rPr>
          <w:rFonts w:hint="eastAsia" w:ascii="宋体" w:hAnsi="宋体" w:eastAsia="宋体" w:cs="宋体"/>
          <w:color w:val="000000"/>
          <w:sz w:val="24"/>
          <w:szCs w:val="24"/>
          <w:highlight w:val="none"/>
        </w:rPr>
        <w:t>同意。否则，</w:t>
      </w:r>
      <w:r>
        <w:rPr>
          <w:rFonts w:hint="eastAsia" w:ascii="宋体" w:hAnsi="宋体" w:eastAsia="宋体" w:cs="宋体"/>
          <w:color w:val="000000"/>
          <w:sz w:val="24"/>
          <w:szCs w:val="24"/>
          <w:highlight w:val="none"/>
          <w:lang w:eastAsia="zh-CN"/>
        </w:rPr>
        <w:t>采购人</w:t>
      </w:r>
      <w:r>
        <w:rPr>
          <w:rFonts w:hint="eastAsia" w:ascii="宋体" w:hAnsi="宋体" w:eastAsia="宋体" w:cs="宋体"/>
          <w:color w:val="000000"/>
          <w:sz w:val="24"/>
          <w:szCs w:val="24"/>
          <w:highlight w:val="none"/>
        </w:rPr>
        <w:t>有权取消中标人的中标资格。</w:t>
      </w:r>
    </w:p>
    <w:p>
      <w:pPr>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29</w:t>
      </w:r>
      <w:r>
        <w:rPr>
          <w:rFonts w:hint="eastAsia" w:ascii="宋体" w:hAnsi="宋体" w:eastAsia="宋体" w:cs="宋体"/>
          <w:color w:val="000000"/>
          <w:sz w:val="24"/>
          <w:szCs w:val="24"/>
          <w:highlight w:val="none"/>
        </w:rPr>
        <w:t xml:space="preserve">.3 </w:t>
      </w:r>
      <w:r>
        <w:rPr>
          <w:rFonts w:hint="eastAsia" w:ascii="宋体" w:hAnsi="宋体" w:eastAsia="宋体" w:cs="宋体"/>
          <w:color w:val="000000"/>
          <w:sz w:val="24"/>
          <w:szCs w:val="24"/>
          <w:highlight w:val="none"/>
          <w:lang w:eastAsia="zh-CN"/>
        </w:rPr>
        <w:t>采购人</w:t>
      </w:r>
      <w:r>
        <w:rPr>
          <w:rFonts w:hint="eastAsia" w:ascii="宋体" w:hAnsi="宋体" w:eastAsia="宋体" w:cs="宋体"/>
          <w:color w:val="000000"/>
          <w:sz w:val="24"/>
          <w:szCs w:val="24"/>
          <w:highlight w:val="none"/>
        </w:rPr>
        <w:t>如遇中标人违约，可从侯选中标人中重新选定中标人，并签定经济合同。</w:t>
      </w:r>
    </w:p>
    <w:p>
      <w:pPr>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29</w:t>
      </w:r>
      <w:r>
        <w:rPr>
          <w:rFonts w:hint="eastAsia" w:ascii="宋体" w:hAnsi="宋体" w:eastAsia="宋体" w:cs="宋体"/>
          <w:color w:val="000000"/>
          <w:sz w:val="24"/>
          <w:szCs w:val="24"/>
          <w:highlight w:val="none"/>
        </w:rPr>
        <w:t>.4 合同的制订由</w:t>
      </w:r>
      <w:r>
        <w:rPr>
          <w:rFonts w:hint="eastAsia" w:ascii="宋体" w:hAnsi="宋体" w:eastAsia="宋体" w:cs="宋体"/>
          <w:color w:val="000000"/>
          <w:sz w:val="24"/>
          <w:szCs w:val="24"/>
          <w:highlight w:val="none"/>
          <w:lang w:eastAsia="zh-CN"/>
        </w:rPr>
        <w:t>采购人</w:t>
      </w:r>
      <w:r>
        <w:rPr>
          <w:rFonts w:hint="eastAsia" w:ascii="宋体" w:hAnsi="宋体" w:eastAsia="宋体" w:cs="宋体"/>
          <w:color w:val="000000"/>
          <w:sz w:val="24"/>
          <w:szCs w:val="24"/>
          <w:highlight w:val="none"/>
        </w:rPr>
        <w:t>、中标人、招标代理机构三方参加，为确保合同双方的利益均等，由招标代理机构在合同制订过程中进行协调。</w:t>
      </w:r>
    </w:p>
    <w:p>
      <w:pPr>
        <w:pStyle w:val="7"/>
        <w:pageBreakBefore w:val="0"/>
        <w:widowControl w:val="0"/>
        <w:kinsoku/>
        <w:wordWrap/>
        <w:overflowPunct/>
        <w:topLinePunct w:val="0"/>
        <w:autoSpaceDE/>
        <w:autoSpaceDN/>
        <w:bidi w:val="0"/>
        <w:spacing w:beforeAutospacing="0" w:afterAutospacing="0" w:line="400" w:lineRule="exact"/>
        <w:ind w:firstLine="482" w:firstLineChars="200"/>
        <w:textAlignment w:val="auto"/>
        <w:rPr>
          <w:rFonts w:hint="eastAsia" w:ascii="宋体" w:hAnsi="宋体" w:eastAsia="宋体" w:cs="宋体"/>
          <w:b/>
          <w:color w:val="000000"/>
          <w:kern w:val="2"/>
          <w:sz w:val="24"/>
          <w:szCs w:val="24"/>
          <w:highlight w:val="none"/>
          <w:lang w:val="en-US" w:eastAsia="zh-CN" w:bidi="ar-SA"/>
        </w:rPr>
      </w:pPr>
      <w:bookmarkStart w:id="1" w:name="_Toc20823315"/>
      <w:bookmarkStart w:id="2" w:name="_Toc513029243"/>
      <w:bookmarkStart w:id="3" w:name="_Toc16938559"/>
      <w:r>
        <w:rPr>
          <w:rFonts w:hint="eastAsia" w:ascii="宋体" w:hAnsi="宋体" w:eastAsia="宋体" w:cs="宋体"/>
          <w:b/>
          <w:color w:val="000000"/>
          <w:kern w:val="2"/>
          <w:sz w:val="24"/>
          <w:szCs w:val="24"/>
          <w:highlight w:val="none"/>
          <w:lang w:val="en-US" w:eastAsia="zh-CN" w:bidi="ar-SA"/>
        </w:rPr>
        <w:t>30、货物和服务的追加、减少和添购</w:t>
      </w:r>
    </w:p>
    <w:p>
      <w:pPr>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w:t>
      </w:r>
      <w:r>
        <w:rPr>
          <w:rFonts w:hint="eastAsia" w:ascii="宋体" w:hAnsi="宋体" w:eastAsia="宋体" w:cs="宋体"/>
          <w:color w:val="000000"/>
          <w:sz w:val="24"/>
          <w:szCs w:val="24"/>
          <w:highlight w:val="none"/>
          <w:lang w:val="en-US" w:eastAsia="zh-CN"/>
        </w:rPr>
        <w:t>0</w:t>
      </w:r>
      <w:r>
        <w:rPr>
          <w:rFonts w:hint="eastAsia" w:ascii="宋体" w:hAnsi="宋体" w:eastAsia="宋体" w:cs="宋体"/>
          <w:color w:val="000000"/>
          <w:sz w:val="24"/>
          <w:szCs w:val="24"/>
          <w:highlight w:val="none"/>
        </w:rPr>
        <w:t>.1政府采购合同履行中，采购人需追加与合同标的相同的货物和服务的，经政府采购管理部门同意后，在不改变合同其他条款的前提下，可以与中标人协商签订补充合同，但所有补充合同的采购金额不超过原合同金额10%。</w:t>
      </w:r>
    </w:p>
    <w:p>
      <w:pPr>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3</w:t>
      </w:r>
      <w:r>
        <w:rPr>
          <w:rFonts w:hint="eastAsia" w:ascii="宋体" w:hAnsi="宋体" w:eastAsia="宋体" w:cs="宋体"/>
          <w:color w:val="000000"/>
          <w:sz w:val="24"/>
          <w:szCs w:val="24"/>
          <w:highlight w:val="none"/>
          <w:lang w:val="en-US" w:eastAsia="zh-CN"/>
        </w:rPr>
        <w:t>0</w:t>
      </w:r>
      <w:r>
        <w:rPr>
          <w:rFonts w:hint="eastAsia" w:ascii="宋体" w:hAnsi="宋体" w:eastAsia="宋体" w:cs="宋体"/>
          <w:color w:val="000000"/>
          <w:sz w:val="24"/>
          <w:szCs w:val="24"/>
          <w:highlight w:val="none"/>
        </w:rPr>
        <w:t>.2采购结束后，采购人若由于各种客观原因，必须对采购项目所牵涉的货物和服务进行适当的减少时，在双方协商一致的前提下，可以按照招标采购时的价格水平做相应的调减，并据此签订补充合同</w:t>
      </w:r>
      <w:r>
        <w:rPr>
          <w:rFonts w:hint="eastAsia" w:ascii="宋体" w:hAnsi="宋体" w:eastAsia="宋体" w:cs="宋体"/>
          <w:color w:val="000000"/>
          <w:sz w:val="24"/>
          <w:szCs w:val="24"/>
          <w:highlight w:val="none"/>
          <w:lang w:eastAsia="zh-CN"/>
        </w:rPr>
        <w:t>。</w:t>
      </w:r>
    </w:p>
    <w:p>
      <w:pPr>
        <w:pageBreakBefore w:val="0"/>
        <w:widowControl w:val="0"/>
        <w:kinsoku/>
        <w:wordWrap/>
        <w:overflowPunct/>
        <w:topLinePunct w:val="0"/>
        <w:autoSpaceDE/>
        <w:autoSpaceDN/>
        <w:bidi w:val="0"/>
        <w:adjustRightInd w:val="0"/>
        <w:snapToGrid w:val="0"/>
        <w:spacing w:beforeAutospacing="0" w:afterAutospacing="0" w:line="400" w:lineRule="exact"/>
        <w:ind w:firstLine="482" w:firstLineChars="200"/>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val="en-US" w:eastAsia="zh-CN"/>
        </w:rPr>
        <w:t>31</w:t>
      </w:r>
      <w:r>
        <w:rPr>
          <w:rFonts w:hint="eastAsia" w:ascii="宋体" w:hAnsi="宋体" w:eastAsia="宋体" w:cs="宋体"/>
          <w:b/>
          <w:bCs/>
          <w:color w:val="000000"/>
          <w:sz w:val="24"/>
          <w:szCs w:val="24"/>
          <w:highlight w:val="none"/>
        </w:rPr>
        <w:t>. 履约保证金：</w:t>
      </w:r>
    </w:p>
    <w:p>
      <w:pPr>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31</w:t>
      </w:r>
      <w:r>
        <w:rPr>
          <w:rFonts w:hint="eastAsia" w:ascii="宋体" w:hAnsi="宋体" w:eastAsia="宋体" w:cs="宋体"/>
          <w:color w:val="000000"/>
          <w:sz w:val="24"/>
          <w:szCs w:val="24"/>
          <w:highlight w:val="none"/>
        </w:rPr>
        <w:t>.1．采购文件要求乙方提交履约保证金的，乙方应在中标通知书发出后 3 日(日历日)内一次性足额缴纳履约保证金，以支票、汇票、本票、网银转账或者金融机构、担保机构出具的保函等非现金形式，提交合同价 10%的履约保证金；</w:t>
      </w:r>
    </w:p>
    <w:p>
      <w:pPr>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31</w:t>
      </w:r>
      <w:r>
        <w:rPr>
          <w:rFonts w:hint="eastAsia" w:ascii="宋体" w:hAnsi="宋体" w:eastAsia="宋体" w:cs="宋体"/>
          <w:color w:val="000000"/>
          <w:sz w:val="24"/>
          <w:szCs w:val="24"/>
          <w:highlight w:val="none"/>
        </w:rPr>
        <w:t>.2．履约保证金在合同履行期间内不予退还或者应完全有效，前述约定期间届满之日起 7 个工作日内，甲方应将履约保证金退还乙方；</w:t>
      </w:r>
    </w:p>
    <w:p>
      <w:pPr>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31</w:t>
      </w:r>
      <w:r>
        <w:rPr>
          <w:rFonts w:hint="eastAsia" w:ascii="宋体" w:hAnsi="宋体" w:eastAsia="宋体" w:cs="宋体"/>
          <w:color w:val="000000"/>
          <w:sz w:val="24"/>
          <w:szCs w:val="24"/>
          <w:highlight w:val="none"/>
        </w:rPr>
        <w:t>.3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1"/>
    <w:bookmarkEnd w:id="2"/>
    <w:bookmarkEnd w:id="3"/>
    <w:p>
      <w:pPr>
        <w:pStyle w:val="22"/>
        <w:pageBreakBefore w:val="0"/>
        <w:kinsoku/>
        <w:wordWrap/>
        <w:overflowPunct/>
        <w:topLinePunct w:val="0"/>
        <w:bidi w:val="0"/>
        <w:spacing w:beforeAutospacing="0" w:after="0" w:afterAutospacing="0" w:line="400" w:lineRule="exact"/>
        <w:ind w:left="0" w:leftChars="0" w:firstLine="0" w:firstLineChars="0"/>
        <w:rPr>
          <w:rFonts w:hint="eastAsia" w:ascii="宋体" w:hAnsi="宋体" w:eastAsia="宋体" w:cs="宋体"/>
          <w:sz w:val="24"/>
          <w:szCs w:val="24"/>
        </w:rPr>
      </w:pPr>
    </w:p>
    <w:p>
      <w:pPr>
        <w:pStyle w:val="22"/>
        <w:pageBreakBefore w:val="0"/>
        <w:kinsoku/>
        <w:wordWrap/>
        <w:overflowPunct/>
        <w:topLinePunct w:val="0"/>
        <w:bidi w:val="0"/>
        <w:spacing w:beforeAutospacing="0" w:after="0" w:afterAutospacing="0" w:line="400" w:lineRule="exact"/>
        <w:jc w:val="center"/>
        <w:rPr>
          <w:rStyle w:val="28"/>
          <w:rFonts w:hint="eastAsia" w:ascii="宋体" w:hAnsi="宋体" w:eastAsia="宋体" w:cs="宋体"/>
          <w:b/>
          <w:bCs/>
          <w:color w:val="auto"/>
          <w:w w:val="90"/>
          <w:sz w:val="36"/>
          <w:szCs w:val="36"/>
          <w:u w:val="none"/>
        </w:rPr>
      </w:pPr>
    </w:p>
    <w:p>
      <w:pPr>
        <w:pStyle w:val="22"/>
        <w:pageBreakBefore w:val="0"/>
        <w:kinsoku/>
        <w:wordWrap/>
        <w:overflowPunct/>
        <w:topLinePunct w:val="0"/>
        <w:bidi w:val="0"/>
        <w:spacing w:beforeAutospacing="0" w:after="0" w:afterAutospacing="0" w:line="400" w:lineRule="exact"/>
        <w:jc w:val="center"/>
        <w:rPr>
          <w:rStyle w:val="28"/>
          <w:rFonts w:hint="eastAsia" w:ascii="宋体" w:hAnsi="宋体" w:eastAsia="宋体" w:cs="宋体"/>
          <w:b/>
          <w:bCs/>
          <w:color w:val="auto"/>
          <w:w w:val="90"/>
          <w:sz w:val="36"/>
          <w:szCs w:val="36"/>
          <w:u w:val="none"/>
        </w:rPr>
      </w:pPr>
    </w:p>
    <w:p>
      <w:pPr>
        <w:pStyle w:val="22"/>
        <w:pageBreakBefore w:val="0"/>
        <w:kinsoku/>
        <w:wordWrap/>
        <w:overflowPunct/>
        <w:topLinePunct w:val="0"/>
        <w:bidi w:val="0"/>
        <w:spacing w:beforeAutospacing="0" w:after="0" w:afterAutospacing="0" w:line="400" w:lineRule="exact"/>
        <w:jc w:val="center"/>
        <w:rPr>
          <w:rStyle w:val="28"/>
          <w:rFonts w:hint="eastAsia" w:ascii="宋体" w:hAnsi="宋体" w:eastAsia="宋体" w:cs="宋体"/>
          <w:b/>
          <w:bCs/>
          <w:color w:val="auto"/>
          <w:w w:val="90"/>
          <w:sz w:val="36"/>
          <w:szCs w:val="36"/>
          <w:u w:val="none"/>
        </w:rPr>
      </w:pPr>
    </w:p>
    <w:p>
      <w:pPr>
        <w:pStyle w:val="22"/>
        <w:pageBreakBefore w:val="0"/>
        <w:kinsoku/>
        <w:wordWrap/>
        <w:overflowPunct/>
        <w:topLinePunct w:val="0"/>
        <w:bidi w:val="0"/>
        <w:spacing w:beforeAutospacing="0" w:after="0" w:afterAutospacing="0" w:line="400" w:lineRule="exact"/>
        <w:jc w:val="center"/>
        <w:rPr>
          <w:rStyle w:val="28"/>
          <w:rFonts w:hint="eastAsia" w:ascii="宋体" w:hAnsi="宋体" w:eastAsia="宋体" w:cs="宋体"/>
          <w:b/>
          <w:bCs/>
          <w:color w:val="auto"/>
          <w:w w:val="90"/>
          <w:sz w:val="36"/>
          <w:szCs w:val="36"/>
          <w:u w:val="none"/>
        </w:rPr>
      </w:pPr>
    </w:p>
    <w:p>
      <w:pPr>
        <w:pStyle w:val="22"/>
        <w:pageBreakBefore w:val="0"/>
        <w:kinsoku/>
        <w:wordWrap/>
        <w:overflowPunct/>
        <w:topLinePunct w:val="0"/>
        <w:bidi w:val="0"/>
        <w:spacing w:beforeAutospacing="0" w:after="0" w:afterAutospacing="0" w:line="400" w:lineRule="exact"/>
        <w:jc w:val="center"/>
        <w:rPr>
          <w:rStyle w:val="28"/>
          <w:rFonts w:hint="eastAsia" w:ascii="宋体" w:hAnsi="宋体" w:eastAsia="宋体" w:cs="宋体"/>
          <w:b/>
          <w:bCs/>
          <w:color w:val="auto"/>
          <w:w w:val="90"/>
          <w:sz w:val="36"/>
          <w:szCs w:val="36"/>
          <w:u w:val="none"/>
        </w:rPr>
      </w:pPr>
    </w:p>
    <w:p>
      <w:pPr>
        <w:pStyle w:val="22"/>
        <w:pageBreakBefore w:val="0"/>
        <w:kinsoku/>
        <w:wordWrap/>
        <w:overflowPunct/>
        <w:topLinePunct w:val="0"/>
        <w:bidi w:val="0"/>
        <w:spacing w:beforeAutospacing="0" w:after="0" w:afterAutospacing="0" w:line="400" w:lineRule="exact"/>
        <w:jc w:val="center"/>
        <w:rPr>
          <w:rStyle w:val="28"/>
          <w:rFonts w:hint="eastAsia" w:ascii="宋体" w:hAnsi="宋体" w:eastAsia="宋体" w:cs="宋体"/>
          <w:b/>
          <w:bCs/>
          <w:color w:val="auto"/>
          <w:w w:val="90"/>
          <w:sz w:val="36"/>
          <w:szCs w:val="36"/>
          <w:u w:val="none"/>
        </w:rPr>
      </w:pPr>
    </w:p>
    <w:p>
      <w:pPr>
        <w:pStyle w:val="22"/>
        <w:pageBreakBefore w:val="0"/>
        <w:kinsoku/>
        <w:wordWrap/>
        <w:overflowPunct/>
        <w:topLinePunct w:val="0"/>
        <w:bidi w:val="0"/>
        <w:spacing w:beforeAutospacing="0" w:after="0" w:afterAutospacing="0" w:line="400" w:lineRule="exact"/>
        <w:jc w:val="center"/>
        <w:rPr>
          <w:rStyle w:val="28"/>
          <w:rFonts w:hint="eastAsia" w:ascii="宋体" w:hAnsi="宋体" w:eastAsia="宋体" w:cs="宋体"/>
          <w:b/>
          <w:bCs/>
          <w:color w:val="auto"/>
          <w:w w:val="90"/>
          <w:sz w:val="36"/>
          <w:szCs w:val="36"/>
          <w:u w:val="none"/>
        </w:rPr>
      </w:pPr>
    </w:p>
    <w:p>
      <w:pPr>
        <w:pStyle w:val="22"/>
        <w:pageBreakBefore w:val="0"/>
        <w:kinsoku/>
        <w:wordWrap/>
        <w:overflowPunct/>
        <w:topLinePunct w:val="0"/>
        <w:bidi w:val="0"/>
        <w:spacing w:beforeAutospacing="0" w:after="0" w:afterAutospacing="0" w:line="400" w:lineRule="exact"/>
        <w:ind w:left="0" w:leftChars="0" w:firstLine="0" w:firstLineChars="0"/>
        <w:jc w:val="both"/>
        <w:rPr>
          <w:rStyle w:val="28"/>
          <w:rFonts w:hint="eastAsia" w:asciiTheme="minorEastAsia" w:hAnsiTheme="minorEastAsia" w:eastAsiaTheme="minorEastAsia" w:cstheme="minorEastAsia"/>
          <w:b/>
          <w:bCs/>
          <w:color w:val="auto"/>
          <w:w w:val="90"/>
          <w:sz w:val="36"/>
          <w:szCs w:val="36"/>
          <w:u w:val="none"/>
        </w:rPr>
      </w:pPr>
    </w:p>
    <w:p>
      <w:pPr>
        <w:rPr>
          <w:rStyle w:val="28"/>
          <w:rFonts w:hint="eastAsia" w:asciiTheme="minorEastAsia" w:hAnsiTheme="minorEastAsia" w:eastAsiaTheme="minorEastAsia" w:cstheme="minorEastAsia"/>
          <w:b/>
          <w:bCs/>
          <w:color w:val="auto"/>
          <w:w w:val="90"/>
          <w:sz w:val="36"/>
          <w:szCs w:val="36"/>
          <w:u w:val="none"/>
        </w:rPr>
      </w:pPr>
    </w:p>
    <w:p>
      <w:pPr>
        <w:pStyle w:val="2"/>
        <w:rPr>
          <w:rStyle w:val="28"/>
          <w:rFonts w:hint="eastAsia" w:asciiTheme="minorEastAsia" w:hAnsiTheme="minorEastAsia" w:eastAsiaTheme="minorEastAsia" w:cstheme="minorEastAsia"/>
          <w:b/>
          <w:bCs/>
          <w:color w:val="auto"/>
          <w:w w:val="90"/>
          <w:sz w:val="36"/>
          <w:szCs w:val="36"/>
          <w:u w:val="none"/>
        </w:rPr>
      </w:pPr>
    </w:p>
    <w:p>
      <w:pPr>
        <w:pStyle w:val="2"/>
        <w:rPr>
          <w:rStyle w:val="28"/>
          <w:rFonts w:hint="eastAsia" w:asciiTheme="minorEastAsia" w:hAnsiTheme="minorEastAsia" w:eastAsiaTheme="minorEastAsia" w:cstheme="minorEastAsia"/>
          <w:b/>
          <w:bCs/>
          <w:color w:val="auto"/>
          <w:w w:val="90"/>
          <w:sz w:val="36"/>
          <w:szCs w:val="36"/>
          <w:u w:val="none"/>
        </w:rPr>
      </w:pPr>
    </w:p>
    <w:p>
      <w:pPr>
        <w:pStyle w:val="2"/>
        <w:rPr>
          <w:rStyle w:val="28"/>
          <w:rFonts w:hint="eastAsia" w:asciiTheme="minorEastAsia" w:hAnsiTheme="minorEastAsia" w:eastAsiaTheme="minorEastAsia" w:cstheme="minorEastAsia"/>
          <w:b/>
          <w:bCs/>
          <w:color w:val="auto"/>
          <w:w w:val="90"/>
          <w:sz w:val="36"/>
          <w:szCs w:val="36"/>
          <w:u w:val="none"/>
        </w:rPr>
      </w:pPr>
    </w:p>
    <w:p>
      <w:pPr>
        <w:pStyle w:val="2"/>
        <w:rPr>
          <w:rStyle w:val="28"/>
          <w:rFonts w:hint="eastAsia" w:asciiTheme="minorEastAsia" w:hAnsiTheme="minorEastAsia" w:eastAsiaTheme="minorEastAsia" w:cstheme="minorEastAsia"/>
          <w:b/>
          <w:bCs/>
          <w:color w:val="auto"/>
          <w:w w:val="90"/>
          <w:sz w:val="36"/>
          <w:szCs w:val="36"/>
          <w:u w:val="none"/>
        </w:rPr>
      </w:pPr>
    </w:p>
    <w:p>
      <w:pPr>
        <w:pStyle w:val="2"/>
        <w:rPr>
          <w:rStyle w:val="28"/>
          <w:rFonts w:hint="eastAsia" w:asciiTheme="minorEastAsia" w:hAnsiTheme="minorEastAsia" w:eastAsiaTheme="minorEastAsia" w:cstheme="minorEastAsia"/>
          <w:b/>
          <w:bCs/>
          <w:color w:val="auto"/>
          <w:w w:val="90"/>
          <w:sz w:val="36"/>
          <w:szCs w:val="36"/>
          <w:u w:val="none"/>
        </w:rPr>
      </w:pPr>
    </w:p>
    <w:p>
      <w:pPr>
        <w:pStyle w:val="2"/>
        <w:rPr>
          <w:rStyle w:val="28"/>
          <w:rFonts w:hint="eastAsia" w:asciiTheme="minorEastAsia" w:hAnsiTheme="minorEastAsia" w:eastAsiaTheme="minorEastAsia" w:cstheme="minorEastAsia"/>
          <w:b/>
          <w:bCs/>
          <w:color w:val="auto"/>
          <w:w w:val="90"/>
          <w:sz w:val="36"/>
          <w:szCs w:val="36"/>
          <w:u w:val="none"/>
        </w:rPr>
      </w:pPr>
    </w:p>
    <w:p>
      <w:pPr>
        <w:pStyle w:val="2"/>
        <w:rPr>
          <w:rStyle w:val="28"/>
          <w:rFonts w:hint="eastAsia" w:asciiTheme="minorEastAsia" w:hAnsiTheme="minorEastAsia" w:eastAsiaTheme="minorEastAsia" w:cstheme="minorEastAsia"/>
          <w:b/>
          <w:bCs/>
          <w:color w:val="auto"/>
          <w:w w:val="90"/>
          <w:sz w:val="36"/>
          <w:szCs w:val="36"/>
          <w:u w:val="none"/>
        </w:rPr>
      </w:pPr>
    </w:p>
    <w:p>
      <w:pPr>
        <w:pStyle w:val="2"/>
        <w:rPr>
          <w:rStyle w:val="28"/>
          <w:rFonts w:hint="eastAsia" w:asciiTheme="minorEastAsia" w:hAnsiTheme="minorEastAsia" w:eastAsiaTheme="minorEastAsia" w:cstheme="minorEastAsia"/>
          <w:b/>
          <w:bCs/>
          <w:color w:val="auto"/>
          <w:w w:val="90"/>
          <w:sz w:val="36"/>
          <w:szCs w:val="36"/>
          <w:u w:val="none"/>
        </w:rPr>
      </w:pPr>
    </w:p>
    <w:p>
      <w:pPr>
        <w:pStyle w:val="2"/>
        <w:rPr>
          <w:rStyle w:val="28"/>
          <w:rFonts w:hint="eastAsia" w:asciiTheme="minorEastAsia" w:hAnsiTheme="minorEastAsia" w:eastAsiaTheme="minorEastAsia" w:cstheme="minorEastAsia"/>
          <w:b/>
          <w:bCs/>
          <w:color w:val="auto"/>
          <w:w w:val="90"/>
          <w:sz w:val="36"/>
          <w:szCs w:val="36"/>
          <w:u w:val="none"/>
        </w:rPr>
      </w:pPr>
    </w:p>
    <w:p>
      <w:pPr>
        <w:pStyle w:val="22"/>
        <w:pageBreakBefore w:val="0"/>
        <w:kinsoku/>
        <w:wordWrap/>
        <w:overflowPunct/>
        <w:topLinePunct w:val="0"/>
        <w:bidi w:val="0"/>
        <w:spacing w:beforeAutospacing="0" w:after="0" w:afterAutospacing="0" w:line="400" w:lineRule="exact"/>
        <w:jc w:val="center"/>
        <w:rPr>
          <w:rFonts w:hint="eastAsia" w:asciiTheme="minorEastAsia" w:hAnsiTheme="minorEastAsia" w:eastAsiaTheme="minorEastAsia" w:cstheme="minorEastAsia"/>
          <w:sz w:val="24"/>
          <w:szCs w:val="24"/>
        </w:rPr>
      </w:pPr>
      <w:r>
        <w:rPr>
          <w:rStyle w:val="28"/>
          <w:rFonts w:hint="eastAsia" w:asciiTheme="minorEastAsia" w:hAnsiTheme="minorEastAsia" w:eastAsiaTheme="minorEastAsia" w:cstheme="minorEastAsia"/>
          <w:b/>
          <w:bCs/>
          <w:color w:val="auto"/>
          <w:w w:val="90"/>
          <w:sz w:val="36"/>
          <w:szCs w:val="36"/>
          <w:u w:val="none"/>
        </w:rPr>
        <w:t>第四章 合同文本格式</w:t>
      </w:r>
    </w:p>
    <w:p>
      <w:pPr>
        <w:pStyle w:val="31"/>
        <w:pageBreakBefore w:val="0"/>
        <w:kinsoku/>
        <w:wordWrap/>
        <w:overflowPunct/>
        <w:topLinePunct w:val="0"/>
        <w:bidi w:val="0"/>
        <w:spacing w:beforeAutospacing="0" w:afterAutospacing="0" w:line="400" w:lineRule="exact"/>
        <w:rPr>
          <w:rFonts w:hint="eastAsia" w:asciiTheme="minorEastAsia" w:hAnsiTheme="minorEastAsia" w:eastAsiaTheme="minorEastAsia" w:cstheme="minorEastAsia"/>
          <w:color w:val="FF0000"/>
          <w:sz w:val="24"/>
          <w:szCs w:val="24"/>
        </w:rPr>
      </w:pPr>
    </w:p>
    <w:p>
      <w:pPr>
        <w:pageBreakBefore w:val="0"/>
        <w:kinsoku/>
        <w:wordWrap/>
        <w:overflowPunct/>
        <w:topLinePunct w:val="0"/>
        <w:bidi w:val="0"/>
        <w:spacing w:beforeAutospacing="0" w:afterAutospacing="0" w:line="400" w:lineRule="exact"/>
        <w:jc w:val="center"/>
        <w:outlineLvl w:val="0"/>
        <w:rPr>
          <w:rFonts w:hint="eastAsia" w:asciiTheme="minorEastAsia" w:hAnsiTheme="minorEastAsia" w:eastAsiaTheme="minorEastAsia" w:cstheme="minorEastAsia"/>
          <w:b/>
          <w:color w:val="auto"/>
          <w:sz w:val="24"/>
          <w:szCs w:val="24"/>
        </w:rPr>
      </w:pPr>
      <w:bookmarkStart w:id="4" w:name="_Toc507586162"/>
      <w:bookmarkStart w:id="5" w:name="_Toc16738"/>
      <w:bookmarkStart w:id="6" w:name="_Toc5595"/>
      <w:bookmarkStart w:id="7" w:name="_Toc53757930"/>
      <w:r>
        <w:rPr>
          <w:rFonts w:hint="eastAsia" w:asciiTheme="minorEastAsia" w:hAnsiTheme="minorEastAsia" w:eastAsiaTheme="minorEastAsia" w:cstheme="minorEastAsia"/>
          <w:b/>
          <w:color w:val="auto"/>
          <w:sz w:val="24"/>
          <w:szCs w:val="24"/>
        </w:rPr>
        <w:t>合同条款及格式</w:t>
      </w:r>
      <w:bookmarkEnd w:id="4"/>
      <w:bookmarkEnd w:id="5"/>
      <w:bookmarkEnd w:id="6"/>
      <w:bookmarkEnd w:id="7"/>
    </w:p>
    <w:p>
      <w:pPr>
        <w:keepNext w:val="0"/>
        <w:keepLines w:val="0"/>
        <w:pageBreakBefore w:val="0"/>
        <w:kinsoku/>
        <w:wordWrap/>
        <w:overflowPunct/>
        <w:topLinePunct w:val="0"/>
        <w:bidi w:val="0"/>
        <w:adjustRightInd w:val="0"/>
        <w:snapToGrid w:val="0"/>
        <w:spacing w:beforeAutospacing="0" w:afterAutospacing="0" w:line="320" w:lineRule="exact"/>
        <w:ind w:firstLine="480" w:firstLineChars="20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（仅供参考，以采购人实际签订为准）</w:t>
      </w:r>
    </w:p>
    <w:p>
      <w:pPr>
        <w:keepNext w:val="0"/>
        <w:keepLines w:val="0"/>
        <w:pageBreakBefore w:val="0"/>
        <w:widowControl w:val="0"/>
        <w:kinsoku/>
        <w:wordWrap/>
        <w:overflowPunct/>
        <w:topLinePunct w:val="0"/>
        <w:autoSpaceDN/>
        <w:bidi w:val="0"/>
        <w:snapToGrid/>
        <w:spacing w:line="36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甲方： </w:t>
      </w:r>
    </w:p>
    <w:p>
      <w:pPr>
        <w:keepNext w:val="0"/>
        <w:keepLines w:val="0"/>
        <w:pageBreakBefore w:val="0"/>
        <w:widowControl w:val="0"/>
        <w:kinsoku/>
        <w:wordWrap/>
        <w:overflowPunct/>
        <w:topLinePunct w:val="0"/>
        <w:autoSpaceDN/>
        <w:bidi w:val="0"/>
        <w:snapToGrid/>
        <w:spacing w:line="36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乙方： </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根据《中华人民共和国民法典》及有关法律规定，为保证所购买托克逊县城市环卫园林一体化管理项目第一包的服务质量，明确双方的权利义务，甲乙双方遵循平等、自愿、公平和诚实信用的原则就托克逊县城市环卫园林一体化管理项目第一包有关事项协商一致：</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第一条：项目内容  </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托克逊县建成区道路清扫、保洁，垃圾清运、处置，公厕管理与维护，环卫基础设施的更新与维护等；园林绿化养护，包括养护范围内各类乔灌木绿篱等灌溉、修剪、防治病虫害、缺株补植补种等基础设施维护，绿地保洁和垃圾清运、绿化管网基础设施维护，公园广场等附属设施维护。</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第二条：项目概况及具体服务要求</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1.1清扫保洁</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（1.1.1）市政公共道路的清扫、保洁；</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（1.1.2）机械洗扫、清洗、洒水降尘；</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（1.1.3）辖区路灯杆、护栏、桥栏、废物箱、垃圾箱、公交站台、宣传牌等公共设施的擦洗；</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（1.1.4）机动车道、非机动车道、人行道路面等公共区域的积水、抛洒物、泥土等各类废弃物的清理；</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（1.1.5）城市三乱治理，辖区内公共区域的城市非法小广告清理清除；</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（1.1.6）公共区域</w:t>
      </w:r>
      <w:r>
        <w:rPr>
          <w:rFonts w:hint="eastAsia" w:ascii="宋体" w:hAnsi="宋体" w:cs="宋体"/>
          <w:color w:val="auto"/>
          <w:kern w:val="2"/>
          <w:sz w:val="24"/>
          <w:szCs w:val="24"/>
          <w:highlight w:val="none"/>
          <w:lang w:val="en-US" w:eastAsia="zh-CN" w:bidi="ar-SA"/>
        </w:rPr>
        <w:t>果皮</w:t>
      </w:r>
      <w:r>
        <w:rPr>
          <w:rFonts w:hint="eastAsia" w:ascii="宋体" w:hAnsi="宋体" w:eastAsia="宋体" w:cs="宋体"/>
          <w:color w:val="auto"/>
          <w:kern w:val="2"/>
          <w:sz w:val="24"/>
          <w:szCs w:val="24"/>
          <w:highlight w:val="none"/>
          <w:lang w:val="en-US" w:eastAsia="zh-CN" w:bidi="ar-SA"/>
        </w:rPr>
        <w:t>箱清掏</w:t>
      </w:r>
      <w:r>
        <w:rPr>
          <w:rFonts w:hint="eastAsia" w:ascii="宋体" w:hAnsi="宋体" w:cs="宋体"/>
          <w:color w:val="auto"/>
          <w:kern w:val="2"/>
          <w:sz w:val="24"/>
          <w:szCs w:val="24"/>
          <w:highlight w:val="none"/>
          <w:lang w:val="en-US" w:eastAsia="zh-CN" w:bidi="ar-SA"/>
        </w:rPr>
        <w:t>及</w:t>
      </w:r>
      <w:r>
        <w:rPr>
          <w:rFonts w:hint="eastAsia" w:ascii="宋体" w:hAnsi="宋体" w:eastAsia="宋体" w:cs="宋体"/>
          <w:color w:val="auto"/>
          <w:kern w:val="2"/>
          <w:sz w:val="24"/>
          <w:szCs w:val="24"/>
          <w:highlight w:val="none"/>
          <w:lang w:val="en-US" w:eastAsia="zh-CN" w:bidi="ar-SA"/>
        </w:rPr>
        <w:t>垃圾清运处置；突发事件时环境卫生应急保障等工作</w:t>
      </w:r>
      <w:r>
        <w:rPr>
          <w:rFonts w:hint="eastAsia" w:ascii="宋体" w:hAnsi="宋体" w:cs="宋体"/>
          <w:color w:val="auto"/>
          <w:kern w:val="2"/>
          <w:sz w:val="24"/>
          <w:szCs w:val="24"/>
          <w:highlight w:val="none"/>
          <w:lang w:val="en-US" w:eastAsia="zh-CN" w:bidi="ar-SA"/>
        </w:rPr>
        <w:t>；</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（1.1.7）辖区内公共卫生间的日常保洁和维护管理</w:t>
      </w:r>
      <w:r>
        <w:rPr>
          <w:rFonts w:hint="eastAsia" w:ascii="宋体" w:hAnsi="宋体" w:cs="宋体"/>
          <w:color w:val="auto"/>
          <w:kern w:val="2"/>
          <w:sz w:val="24"/>
          <w:szCs w:val="24"/>
          <w:highlight w:val="none"/>
          <w:lang w:val="en-US" w:eastAsia="zh-CN" w:bidi="ar-SA"/>
        </w:rPr>
        <w:t>。</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（1.1.8）一级保洁区域和公共卫生间数量会按照县内发展情况增加，但费用不再增加，按合同内金额执行。</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1.2生活垃圾收运</w:t>
      </w:r>
      <w:r>
        <w:rPr>
          <w:rFonts w:hint="eastAsia" w:ascii="宋体" w:hAnsi="宋体" w:cs="宋体"/>
          <w:color w:val="auto"/>
          <w:kern w:val="2"/>
          <w:sz w:val="24"/>
          <w:szCs w:val="24"/>
          <w:highlight w:val="none"/>
          <w:lang w:val="en-US" w:eastAsia="zh-CN" w:bidi="ar-SA"/>
        </w:rPr>
        <w:t>及处置</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托克逊县建成区</w:t>
      </w:r>
      <w:r>
        <w:rPr>
          <w:rFonts w:hint="eastAsia" w:ascii="宋体" w:hAnsi="宋体" w:eastAsia="宋体" w:cs="宋体"/>
          <w:color w:val="auto"/>
          <w:kern w:val="2"/>
          <w:sz w:val="24"/>
          <w:szCs w:val="24"/>
          <w:highlight w:val="none"/>
          <w:lang w:val="en-US" w:eastAsia="zh-CN" w:bidi="ar-SA"/>
        </w:rPr>
        <w:t>生活垃圾</w:t>
      </w:r>
      <w:r>
        <w:rPr>
          <w:rFonts w:hint="eastAsia" w:ascii="宋体" w:hAnsi="宋体" w:cs="宋体"/>
          <w:color w:val="auto"/>
          <w:kern w:val="2"/>
          <w:sz w:val="24"/>
          <w:szCs w:val="24"/>
          <w:highlight w:val="none"/>
          <w:lang w:val="en-US" w:eastAsia="zh-CN" w:bidi="ar-SA"/>
        </w:rPr>
        <w:t>收运及处置</w:t>
      </w:r>
      <w:r>
        <w:rPr>
          <w:rFonts w:hint="eastAsia" w:ascii="宋体" w:hAnsi="宋体" w:eastAsia="宋体" w:cs="宋体"/>
          <w:color w:val="auto"/>
          <w:kern w:val="2"/>
          <w:sz w:val="24"/>
          <w:szCs w:val="24"/>
          <w:highlight w:val="none"/>
          <w:lang w:val="en-US" w:eastAsia="zh-CN" w:bidi="ar-SA"/>
        </w:rPr>
        <w:t>。作业内容主要包括：</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（1.2.1）生活垃圾的收集、运输</w:t>
      </w:r>
      <w:r>
        <w:rPr>
          <w:rFonts w:hint="eastAsia" w:ascii="宋体" w:hAnsi="宋体" w:cs="宋体"/>
          <w:color w:val="auto"/>
          <w:kern w:val="2"/>
          <w:sz w:val="24"/>
          <w:szCs w:val="24"/>
          <w:highlight w:val="none"/>
          <w:lang w:val="en-US" w:eastAsia="zh-CN" w:bidi="ar-SA"/>
        </w:rPr>
        <w:t>及处置</w:t>
      </w:r>
      <w:r>
        <w:rPr>
          <w:rFonts w:hint="eastAsia" w:ascii="宋体" w:hAnsi="宋体" w:eastAsia="宋体" w:cs="宋体"/>
          <w:color w:val="auto"/>
          <w:kern w:val="2"/>
          <w:sz w:val="24"/>
          <w:szCs w:val="24"/>
          <w:highlight w:val="none"/>
          <w:lang w:val="en-US" w:eastAsia="zh-CN" w:bidi="ar-SA"/>
        </w:rPr>
        <w:t>；</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（1.2.2）生活垃圾收集容器（垃圾桶、垃圾船、果皮箱等）日常管理和消杀除臭；</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（1.2.3）配备足量垃圾收运箱（桶）</w:t>
      </w:r>
      <w:r>
        <w:rPr>
          <w:rFonts w:hint="eastAsia" w:ascii="宋体" w:hAnsi="宋体" w:cs="宋体"/>
          <w:color w:val="auto"/>
          <w:kern w:val="2"/>
          <w:sz w:val="24"/>
          <w:szCs w:val="24"/>
          <w:highlight w:val="none"/>
          <w:lang w:val="en-US" w:eastAsia="zh-CN" w:bidi="ar-SA"/>
        </w:rPr>
        <w:t>（符合垃圾分类标识要求的垃圾桶）</w:t>
      </w:r>
      <w:r>
        <w:rPr>
          <w:rFonts w:hint="eastAsia" w:ascii="宋体" w:hAnsi="宋体" w:eastAsia="宋体" w:cs="宋体"/>
          <w:color w:val="auto"/>
          <w:kern w:val="2"/>
          <w:sz w:val="24"/>
          <w:szCs w:val="24"/>
          <w:highlight w:val="none"/>
          <w:lang w:val="en-US" w:eastAsia="zh-CN" w:bidi="ar-SA"/>
        </w:rPr>
        <w:t>；</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（1.2.4）</w:t>
      </w:r>
      <w:r>
        <w:rPr>
          <w:rFonts w:hint="eastAsia" w:ascii="宋体" w:hAnsi="宋体" w:cs="宋体"/>
          <w:color w:val="auto"/>
          <w:kern w:val="2"/>
          <w:sz w:val="24"/>
          <w:szCs w:val="24"/>
          <w:highlight w:val="none"/>
          <w:lang w:val="en-US" w:eastAsia="zh-CN" w:bidi="ar-SA"/>
        </w:rPr>
        <w:t>每年</w:t>
      </w:r>
      <w:r>
        <w:rPr>
          <w:rFonts w:hint="eastAsia" w:ascii="宋体" w:hAnsi="宋体" w:eastAsia="宋体" w:cs="宋体"/>
          <w:color w:val="auto"/>
          <w:kern w:val="2"/>
          <w:sz w:val="24"/>
          <w:szCs w:val="24"/>
          <w:highlight w:val="none"/>
          <w:lang w:val="en-US" w:eastAsia="zh-CN" w:bidi="ar-SA"/>
        </w:rPr>
        <w:t>配备不少于</w:t>
      </w:r>
      <w:r>
        <w:rPr>
          <w:rFonts w:hint="eastAsia" w:ascii="宋体" w:hAnsi="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00个</w:t>
      </w:r>
      <w:r>
        <w:rPr>
          <w:rFonts w:hint="eastAsia" w:ascii="宋体" w:hAnsi="宋体" w:cs="宋体"/>
          <w:color w:val="auto"/>
          <w:kern w:val="2"/>
          <w:sz w:val="24"/>
          <w:szCs w:val="24"/>
          <w:highlight w:val="none"/>
          <w:lang w:val="en-US" w:eastAsia="zh-CN" w:bidi="ar-SA"/>
        </w:rPr>
        <w:t>660L型号的城市生活垃圾</w:t>
      </w:r>
      <w:r>
        <w:rPr>
          <w:rFonts w:hint="eastAsia" w:ascii="宋体" w:hAnsi="宋体" w:eastAsia="宋体" w:cs="宋体"/>
          <w:color w:val="auto"/>
          <w:kern w:val="2"/>
          <w:sz w:val="24"/>
          <w:szCs w:val="24"/>
          <w:highlight w:val="none"/>
          <w:lang w:val="en-US" w:eastAsia="zh-CN" w:bidi="ar-SA"/>
        </w:rPr>
        <w:t>分类垃圾箱</w:t>
      </w:r>
      <w:r>
        <w:rPr>
          <w:rFonts w:hint="eastAsia" w:ascii="宋体" w:hAnsi="宋体" w:cs="宋体"/>
          <w:color w:val="auto"/>
          <w:kern w:val="2"/>
          <w:sz w:val="24"/>
          <w:szCs w:val="24"/>
          <w:highlight w:val="none"/>
          <w:lang w:val="en-US" w:eastAsia="zh-CN" w:bidi="ar-SA"/>
        </w:rPr>
        <w:t>（符合垃圾分类标识要求的垃圾箱）</w:t>
      </w:r>
      <w:r>
        <w:rPr>
          <w:rFonts w:hint="eastAsia" w:ascii="宋体" w:hAnsi="宋体" w:eastAsia="宋体" w:cs="宋体"/>
          <w:color w:val="auto"/>
          <w:kern w:val="2"/>
          <w:sz w:val="24"/>
          <w:szCs w:val="24"/>
          <w:highlight w:val="none"/>
          <w:lang w:val="en-US" w:eastAsia="zh-CN" w:bidi="ar-SA"/>
        </w:rPr>
        <w:t>；</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（1.2.5）公共设施设备</w:t>
      </w:r>
      <w:r>
        <w:rPr>
          <w:rFonts w:hint="eastAsia" w:ascii="宋体" w:hAnsi="宋体" w:cs="宋体"/>
          <w:color w:val="auto"/>
          <w:kern w:val="2"/>
          <w:sz w:val="24"/>
          <w:szCs w:val="24"/>
          <w:highlight w:val="none"/>
          <w:lang w:val="en-US" w:eastAsia="zh-CN" w:bidi="ar-SA"/>
        </w:rPr>
        <w:t>更新与</w:t>
      </w:r>
      <w:r>
        <w:rPr>
          <w:rFonts w:hint="eastAsia" w:ascii="宋体" w:hAnsi="宋体" w:eastAsia="宋体" w:cs="宋体"/>
          <w:color w:val="auto"/>
          <w:kern w:val="2"/>
          <w:sz w:val="24"/>
          <w:szCs w:val="24"/>
          <w:highlight w:val="none"/>
          <w:lang w:val="en-US" w:eastAsia="zh-CN" w:bidi="ar-SA"/>
        </w:rPr>
        <w:t>维护</w:t>
      </w:r>
      <w:r>
        <w:rPr>
          <w:rFonts w:hint="eastAsia" w:ascii="宋体" w:hAnsi="宋体" w:cs="宋体"/>
          <w:color w:val="auto"/>
          <w:kern w:val="2"/>
          <w:sz w:val="24"/>
          <w:szCs w:val="24"/>
          <w:highlight w:val="none"/>
          <w:lang w:val="en-US" w:eastAsia="zh-CN" w:bidi="ar-SA"/>
        </w:rPr>
        <w:t>；</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（1.2.</w:t>
      </w:r>
      <w:r>
        <w:rPr>
          <w:rFonts w:hint="eastAsia" w:ascii="宋体" w:hAnsi="宋体" w:cs="宋体"/>
          <w:color w:val="auto"/>
          <w:kern w:val="2"/>
          <w:sz w:val="24"/>
          <w:szCs w:val="24"/>
          <w:highlight w:val="none"/>
          <w:lang w:val="en-US" w:eastAsia="zh-CN" w:bidi="ar-SA"/>
        </w:rPr>
        <w:t>6</w:t>
      </w:r>
      <w:r>
        <w:rPr>
          <w:rFonts w:hint="eastAsia" w:ascii="宋体" w:hAnsi="宋体" w:eastAsia="宋体" w:cs="宋体"/>
          <w:color w:val="auto"/>
          <w:kern w:val="2"/>
          <w:sz w:val="24"/>
          <w:szCs w:val="24"/>
          <w:highlight w:val="none"/>
          <w:lang w:val="en-US" w:eastAsia="zh-CN" w:bidi="ar-SA"/>
        </w:rPr>
        <w:t>）</w:t>
      </w:r>
      <w:r>
        <w:rPr>
          <w:rFonts w:hint="eastAsia" w:ascii="宋体" w:hAnsi="宋体" w:cs="宋体"/>
          <w:color w:val="auto"/>
          <w:kern w:val="2"/>
          <w:sz w:val="24"/>
          <w:szCs w:val="24"/>
          <w:highlight w:val="none"/>
          <w:lang w:val="en-US" w:eastAsia="zh-CN" w:bidi="ar-SA"/>
        </w:rPr>
        <w:t>垃圾填埋场运行及</w:t>
      </w:r>
      <w:r>
        <w:rPr>
          <w:rFonts w:hint="eastAsia" w:ascii="宋体" w:hAnsi="宋体" w:eastAsia="宋体" w:cs="宋体"/>
          <w:color w:val="auto"/>
          <w:kern w:val="2"/>
          <w:sz w:val="24"/>
          <w:szCs w:val="24"/>
          <w:highlight w:val="none"/>
          <w:lang w:val="en-US" w:eastAsia="zh-CN" w:bidi="ar-SA"/>
        </w:rPr>
        <w:t>维护</w:t>
      </w:r>
      <w:r>
        <w:rPr>
          <w:rFonts w:hint="eastAsia" w:ascii="宋体" w:hAnsi="宋体" w:cs="宋体"/>
          <w:color w:val="auto"/>
          <w:kern w:val="2"/>
          <w:sz w:val="24"/>
          <w:szCs w:val="24"/>
          <w:highlight w:val="none"/>
          <w:lang w:val="en-US" w:eastAsia="zh-CN" w:bidi="ar-SA"/>
        </w:rPr>
        <w:t>。</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1.3园林绿化养护</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（1.3.1）</w:t>
      </w:r>
      <w:r>
        <w:rPr>
          <w:rFonts w:hint="eastAsia" w:ascii="宋体" w:hAnsi="宋体" w:eastAsia="宋体" w:cs="宋体"/>
          <w:color w:val="auto"/>
          <w:kern w:val="2"/>
          <w:sz w:val="24"/>
          <w:szCs w:val="24"/>
          <w:highlight w:val="none"/>
          <w:lang w:val="en-US" w:eastAsia="zh-CN" w:bidi="ar-SA"/>
        </w:rPr>
        <w:t xml:space="preserve">包括养护范围内各类乔灌木、绿篱、草坪、花卉、地被植物等的灌溉、施肥、修剪、防治病虫害、树木刷白、松土除草、抹芽、树木扶正、缺株补植补种，绿地保洁和垃圾清运、绿化管网设施的维护和维修、绿地保护、绿地养护项目管理等工作。 </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（1.3.2）</w:t>
      </w:r>
      <w:r>
        <w:rPr>
          <w:rFonts w:hint="eastAsia" w:ascii="宋体" w:hAnsi="宋体" w:eastAsia="宋体" w:cs="宋体"/>
          <w:color w:val="auto"/>
          <w:kern w:val="2"/>
          <w:sz w:val="24"/>
          <w:szCs w:val="24"/>
          <w:highlight w:val="none"/>
          <w:lang w:val="en-US" w:eastAsia="zh-CN" w:bidi="ar-SA"/>
        </w:rPr>
        <w:t xml:space="preserve">公园、游园、广场铺装、护栏、支撑架和护网、园路、桌椅、灯、井盖和标识标牌、安防设施等附属设施维护。     </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b/>
          <w:bCs/>
          <w:color w:val="auto"/>
          <w:sz w:val="24"/>
          <w:szCs w:val="24"/>
          <w:highlight w:val="none"/>
        </w:rPr>
      </w:pPr>
      <w:r>
        <w:rPr>
          <w:rFonts w:hint="eastAsia" w:ascii="宋体" w:hAnsi="宋体" w:cs="宋体"/>
          <w:color w:val="auto"/>
          <w:kern w:val="2"/>
          <w:sz w:val="24"/>
          <w:szCs w:val="24"/>
          <w:highlight w:val="none"/>
          <w:lang w:val="en-US" w:eastAsia="zh-CN" w:bidi="ar-SA"/>
        </w:rPr>
        <w:t>（1.3.3）</w:t>
      </w:r>
      <w:r>
        <w:rPr>
          <w:rFonts w:hint="eastAsia" w:ascii="宋体" w:hAnsi="宋体" w:eastAsia="宋体" w:cs="宋体"/>
          <w:color w:val="auto"/>
          <w:kern w:val="2"/>
          <w:sz w:val="24"/>
          <w:szCs w:val="24"/>
          <w:highlight w:val="none"/>
          <w:lang w:val="en-US" w:eastAsia="zh-CN" w:bidi="ar-SA"/>
        </w:rPr>
        <w:t>积极完成上级部门临时安排各项任务，如突发应急事件或大型检查、重要活动、节日保障、街头摆花等服务产生的费用均包含在本次服务费内，不单独列支。</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（一）环卫作业要求</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1、道路清扫保洁作业要求：</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人工普扫频次：每日不少于1次；洒水降尘：每天洒水不少于</w:t>
      </w:r>
      <w:r>
        <w:rPr>
          <w:rFonts w:hint="eastAsia" w:ascii="宋体" w:hAnsi="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次，洒水时间按照道路交通实际情况实行错峰洒水（雨雪天及低温天气除外）（重点区域及道路按照道路基本无扬尘的标准，</w:t>
      </w:r>
      <w:r>
        <w:rPr>
          <w:rFonts w:hint="eastAsia" w:ascii="宋体" w:hAnsi="宋体" w:cs="宋体"/>
          <w:color w:val="auto"/>
          <w:kern w:val="2"/>
          <w:sz w:val="24"/>
          <w:szCs w:val="24"/>
          <w:highlight w:val="none"/>
          <w:lang w:val="en-US" w:eastAsia="zh-CN" w:bidi="ar-SA"/>
        </w:rPr>
        <w:t>如遇空气质量应急响应期间</w:t>
      </w:r>
      <w:r>
        <w:rPr>
          <w:rFonts w:hint="eastAsia" w:ascii="宋体" w:hAnsi="宋体" w:eastAsia="宋体" w:cs="宋体"/>
          <w:color w:val="auto"/>
          <w:kern w:val="2"/>
          <w:sz w:val="24"/>
          <w:szCs w:val="24"/>
          <w:highlight w:val="none"/>
          <w:lang w:val="en-US" w:eastAsia="zh-CN" w:bidi="ar-SA"/>
        </w:rPr>
        <w:t>洒水降尘次数按</w:t>
      </w:r>
      <w:r>
        <w:rPr>
          <w:rFonts w:hint="eastAsia" w:ascii="宋体" w:hAnsi="宋体" w:cs="宋体"/>
          <w:color w:val="auto"/>
          <w:kern w:val="2"/>
          <w:sz w:val="24"/>
          <w:szCs w:val="24"/>
          <w:highlight w:val="none"/>
          <w:lang w:val="en-US" w:eastAsia="zh-CN" w:bidi="ar-SA"/>
        </w:rPr>
        <w:t>要求</w:t>
      </w:r>
      <w:r>
        <w:rPr>
          <w:rFonts w:hint="eastAsia" w:ascii="宋体" w:hAnsi="宋体" w:eastAsia="宋体" w:cs="宋体"/>
          <w:color w:val="auto"/>
          <w:kern w:val="2"/>
          <w:sz w:val="24"/>
          <w:szCs w:val="24"/>
          <w:highlight w:val="none"/>
          <w:lang w:val="en-US" w:eastAsia="zh-CN" w:bidi="ar-SA"/>
        </w:rPr>
        <w:t>增加）；机械化作业率：达到</w:t>
      </w:r>
      <w:r>
        <w:rPr>
          <w:rFonts w:hint="eastAsia" w:ascii="宋体" w:hAnsi="宋体" w:cs="宋体"/>
          <w:color w:val="auto"/>
          <w:kern w:val="2"/>
          <w:sz w:val="24"/>
          <w:szCs w:val="24"/>
          <w:highlight w:val="none"/>
          <w:lang w:val="en-US" w:eastAsia="zh-CN" w:bidi="ar-SA"/>
        </w:rPr>
        <w:t>90</w:t>
      </w:r>
      <w:r>
        <w:rPr>
          <w:rFonts w:hint="eastAsia" w:ascii="宋体" w:hAnsi="宋体" w:eastAsia="宋体" w:cs="宋体"/>
          <w:color w:val="auto"/>
          <w:kern w:val="2"/>
          <w:sz w:val="24"/>
          <w:szCs w:val="24"/>
          <w:highlight w:val="none"/>
          <w:lang w:val="en-US" w:eastAsia="zh-CN" w:bidi="ar-SA"/>
        </w:rPr>
        <w:t>%以上；洗扫：每</w:t>
      </w:r>
      <w:r>
        <w:rPr>
          <w:rFonts w:hint="eastAsia" w:ascii="宋体" w:hAnsi="宋体" w:cs="宋体"/>
          <w:color w:val="auto"/>
          <w:kern w:val="2"/>
          <w:sz w:val="24"/>
          <w:szCs w:val="24"/>
          <w:highlight w:val="none"/>
          <w:lang w:val="en-US" w:eastAsia="zh-CN" w:bidi="ar-SA"/>
        </w:rPr>
        <w:t>天</w:t>
      </w:r>
      <w:r>
        <w:rPr>
          <w:rFonts w:hint="eastAsia" w:ascii="宋体" w:hAnsi="宋体" w:eastAsia="宋体" w:cs="宋体"/>
          <w:color w:val="auto"/>
          <w:kern w:val="2"/>
          <w:sz w:val="24"/>
          <w:szCs w:val="24"/>
          <w:highlight w:val="none"/>
          <w:lang w:val="en-US" w:eastAsia="zh-CN" w:bidi="ar-SA"/>
        </w:rPr>
        <w:t>至少洗扫1次，如有油污污染，随时清洗。保证整体环境舒适、车行道净、人行道净、无砂石、土、无跳扫漏扫、无烟头纸屑，明沟畅通无沉积物。清扫产生的砂石、土不得扫入下水道或倒入绿化带及沿路边。</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2、生活垃圾收集运输作业标准：</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每日</w:t>
      </w:r>
      <w:r>
        <w:rPr>
          <w:rFonts w:hint="eastAsia" w:ascii="宋体" w:hAnsi="宋体" w:cs="宋体"/>
          <w:color w:val="auto"/>
          <w:kern w:val="2"/>
          <w:sz w:val="24"/>
          <w:szCs w:val="24"/>
          <w:highlight w:val="none"/>
          <w:lang w:val="en-US" w:eastAsia="zh-CN" w:bidi="ar-SA"/>
        </w:rPr>
        <w:t>至少</w:t>
      </w:r>
      <w:r>
        <w:rPr>
          <w:rFonts w:hint="eastAsia" w:ascii="宋体" w:hAnsi="宋体" w:eastAsia="宋体" w:cs="宋体"/>
          <w:color w:val="auto"/>
          <w:kern w:val="2"/>
          <w:sz w:val="24"/>
          <w:szCs w:val="24"/>
          <w:highlight w:val="none"/>
          <w:lang w:val="en-US" w:eastAsia="zh-CN" w:bidi="ar-SA"/>
        </w:rPr>
        <w:t>收集清运垃圾一次，垃圾收集容器应定位设置，摆放整齐。</w:t>
      </w:r>
      <w:r>
        <w:rPr>
          <w:rFonts w:hint="eastAsia" w:ascii="宋体" w:hAnsi="宋体" w:cs="宋体"/>
          <w:color w:val="auto"/>
          <w:kern w:val="2"/>
          <w:sz w:val="24"/>
          <w:szCs w:val="24"/>
          <w:highlight w:val="none"/>
          <w:lang w:val="en-US" w:eastAsia="zh-CN" w:bidi="ar-SA"/>
        </w:rPr>
        <w:t>垃圾箱房容量不能满足一日一清的，应采取一日多清制。</w:t>
      </w:r>
      <w:r>
        <w:rPr>
          <w:rFonts w:hint="eastAsia" w:ascii="宋体" w:hAnsi="宋体" w:eastAsia="宋体" w:cs="宋体"/>
          <w:color w:val="auto"/>
          <w:kern w:val="2"/>
          <w:sz w:val="24"/>
          <w:szCs w:val="24"/>
          <w:highlight w:val="none"/>
          <w:lang w:val="en-US" w:eastAsia="zh-CN" w:bidi="ar-SA"/>
        </w:rPr>
        <w:t>设置点及周围2</w:t>
      </w:r>
      <w:r>
        <w:rPr>
          <w:rFonts w:hint="eastAsia" w:ascii="宋体" w:hAnsi="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t>3m内应整洁，无散落、存留生活垃圾和污水；生活垃圾收集容器应无残缺、破损，封闭性好，外体干净。构筑物内外墙面不得有明显积灰、污物；生活垃圾的收集，必须用设有明显标志、能防止污染扩散的密封容器；蝇、蚊孳生季节，生活垃圾收集站（点）</w:t>
      </w:r>
      <w:r>
        <w:rPr>
          <w:rFonts w:hint="eastAsia" w:ascii="宋体" w:hAnsi="宋体" w:cs="宋体"/>
          <w:color w:val="auto"/>
          <w:kern w:val="2"/>
          <w:sz w:val="24"/>
          <w:szCs w:val="24"/>
          <w:highlight w:val="none"/>
          <w:lang w:val="en-US" w:eastAsia="zh-CN" w:bidi="ar-SA"/>
        </w:rPr>
        <w:t>及垃圾箱</w:t>
      </w:r>
      <w:r>
        <w:rPr>
          <w:rFonts w:hint="eastAsia" w:ascii="宋体" w:hAnsi="宋体" w:eastAsia="宋体" w:cs="宋体"/>
          <w:color w:val="auto"/>
          <w:kern w:val="2"/>
          <w:sz w:val="24"/>
          <w:szCs w:val="24"/>
          <w:highlight w:val="none"/>
          <w:lang w:val="en-US" w:eastAsia="zh-CN" w:bidi="ar-SA"/>
        </w:rPr>
        <w:t>，应定时喷洒消毒、灭蚊蝇药物；</w:t>
      </w:r>
      <w:r>
        <w:rPr>
          <w:rFonts w:hint="eastAsia" w:ascii="宋体" w:hAnsi="宋体" w:cs="宋体"/>
          <w:color w:val="auto"/>
          <w:kern w:val="2"/>
          <w:sz w:val="24"/>
          <w:szCs w:val="24"/>
          <w:highlight w:val="none"/>
          <w:lang w:val="en-US" w:eastAsia="zh-CN" w:bidi="ar-SA"/>
        </w:rPr>
        <w:t>小区</w:t>
      </w:r>
      <w:r>
        <w:rPr>
          <w:rFonts w:hint="eastAsia" w:ascii="宋体" w:hAnsi="宋体" w:eastAsia="宋体" w:cs="宋体"/>
          <w:color w:val="auto"/>
          <w:kern w:val="2"/>
          <w:sz w:val="24"/>
          <w:szCs w:val="24"/>
          <w:highlight w:val="none"/>
          <w:lang w:val="en-US" w:eastAsia="zh-CN" w:bidi="ar-SA"/>
        </w:rPr>
        <w:t>生活垃圾间</w:t>
      </w:r>
      <w:r>
        <w:rPr>
          <w:rFonts w:hint="eastAsia" w:ascii="宋体" w:hAnsi="宋体" w:cs="宋体"/>
          <w:color w:val="auto"/>
          <w:kern w:val="2"/>
          <w:sz w:val="24"/>
          <w:szCs w:val="24"/>
          <w:highlight w:val="none"/>
          <w:lang w:val="en-US" w:eastAsia="zh-CN" w:bidi="ar-SA"/>
        </w:rPr>
        <w:t>（收集房）</w:t>
      </w:r>
      <w:r>
        <w:rPr>
          <w:rFonts w:hint="eastAsia" w:ascii="宋体" w:hAnsi="宋体" w:eastAsia="宋体" w:cs="宋体"/>
          <w:color w:val="auto"/>
          <w:kern w:val="2"/>
          <w:sz w:val="24"/>
          <w:szCs w:val="24"/>
          <w:highlight w:val="none"/>
          <w:lang w:val="en-US" w:eastAsia="zh-CN" w:bidi="ar-SA"/>
        </w:rPr>
        <w:t>应整洁，无散落生活垃圾和积留污水，无恶臭，基本无蝇；收集作业完成后，应及时清理场地，将可移动式生活垃圾收集容器复位，车走地净。生活垃圾应直接送至指定的处置场；废物箱</w:t>
      </w:r>
      <w:r>
        <w:rPr>
          <w:rFonts w:hint="eastAsia" w:ascii="宋体" w:hAnsi="宋体" w:cs="宋体"/>
          <w:color w:val="auto"/>
          <w:kern w:val="2"/>
          <w:sz w:val="24"/>
          <w:szCs w:val="24"/>
          <w:highlight w:val="none"/>
          <w:lang w:val="en-US" w:eastAsia="zh-CN" w:bidi="ar-SA"/>
        </w:rPr>
        <w:t>、果皮箱</w:t>
      </w:r>
      <w:r>
        <w:rPr>
          <w:rFonts w:hint="eastAsia" w:ascii="宋体" w:hAnsi="宋体" w:eastAsia="宋体" w:cs="宋体"/>
          <w:color w:val="auto"/>
          <w:kern w:val="2"/>
          <w:sz w:val="24"/>
          <w:szCs w:val="24"/>
          <w:highlight w:val="none"/>
          <w:lang w:val="en-US" w:eastAsia="zh-CN" w:bidi="ar-SA"/>
        </w:rPr>
        <w:t>内的垃圾应及时清除、无满溢和散落，并定时清洗箱体。</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3、生活垃圾</w:t>
      </w:r>
      <w:r>
        <w:rPr>
          <w:rFonts w:hint="eastAsia" w:ascii="宋体" w:hAnsi="宋体" w:cs="宋体"/>
          <w:color w:val="auto"/>
          <w:kern w:val="2"/>
          <w:sz w:val="24"/>
          <w:szCs w:val="24"/>
          <w:highlight w:val="none"/>
          <w:lang w:val="en-US" w:eastAsia="zh-CN" w:bidi="ar-SA"/>
        </w:rPr>
        <w:t>无害化处置</w:t>
      </w:r>
      <w:r>
        <w:rPr>
          <w:rFonts w:hint="eastAsia" w:ascii="宋体" w:hAnsi="宋体" w:eastAsia="宋体" w:cs="宋体"/>
          <w:color w:val="auto"/>
          <w:kern w:val="2"/>
          <w:sz w:val="24"/>
          <w:szCs w:val="24"/>
          <w:highlight w:val="none"/>
          <w:lang w:val="en-US" w:eastAsia="zh-CN" w:bidi="ar-SA"/>
        </w:rPr>
        <w:t>作业标准：</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生活垃圾</w:t>
      </w:r>
      <w:r>
        <w:rPr>
          <w:rFonts w:hint="eastAsia" w:ascii="宋体" w:hAnsi="宋体" w:cs="宋体"/>
          <w:color w:val="auto"/>
          <w:kern w:val="2"/>
          <w:sz w:val="24"/>
          <w:szCs w:val="24"/>
          <w:highlight w:val="none"/>
          <w:lang w:val="en-US" w:eastAsia="zh-CN" w:bidi="ar-SA"/>
        </w:rPr>
        <w:t>无害化</w:t>
      </w:r>
      <w:r>
        <w:rPr>
          <w:rFonts w:hint="eastAsia" w:ascii="宋体" w:hAnsi="宋体" w:eastAsia="宋体" w:cs="宋体"/>
          <w:color w:val="auto"/>
          <w:kern w:val="2"/>
          <w:sz w:val="24"/>
          <w:szCs w:val="24"/>
          <w:highlight w:val="none"/>
          <w:lang w:val="en-US" w:eastAsia="zh-CN" w:bidi="ar-SA"/>
        </w:rPr>
        <w:t>填埋场和垃圾填埋作业</w:t>
      </w:r>
      <w:r>
        <w:rPr>
          <w:rFonts w:hint="eastAsia" w:ascii="宋体" w:hAnsi="宋体" w:cs="宋体"/>
          <w:color w:val="auto"/>
          <w:kern w:val="2"/>
          <w:sz w:val="24"/>
          <w:szCs w:val="24"/>
          <w:highlight w:val="none"/>
          <w:lang w:val="en-US" w:eastAsia="zh-CN" w:bidi="ar-SA"/>
        </w:rPr>
        <w:t>应</w:t>
      </w:r>
      <w:r>
        <w:rPr>
          <w:rFonts w:hint="eastAsia" w:ascii="宋体" w:hAnsi="宋体" w:eastAsia="宋体" w:cs="宋体"/>
          <w:color w:val="auto"/>
          <w:kern w:val="2"/>
          <w:sz w:val="24"/>
          <w:szCs w:val="24"/>
          <w:highlight w:val="none"/>
          <w:lang w:val="en-US" w:eastAsia="zh-CN" w:bidi="ar-SA"/>
        </w:rPr>
        <w:t>制定管理制度和作业规范，</w:t>
      </w:r>
      <w:r>
        <w:rPr>
          <w:rFonts w:hint="eastAsia" w:ascii="宋体" w:hAnsi="宋体" w:cs="宋体"/>
          <w:color w:val="auto"/>
          <w:kern w:val="2"/>
          <w:sz w:val="24"/>
          <w:szCs w:val="24"/>
          <w:highlight w:val="none"/>
          <w:lang w:val="en-US" w:eastAsia="zh-CN" w:bidi="ar-SA"/>
        </w:rPr>
        <w:t>严格按照</w:t>
      </w:r>
      <w:r>
        <w:rPr>
          <w:rFonts w:hint="eastAsia" w:ascii="宋体" w:hAnsi="宋体" w:eastAsia="宋体" w:cs="宋体"/>
          <w:color w:val="auto"/>
          <w:kern w:val="2"/>
          <w:sz w:val="24"/>
          <w:szCs w:val="24"/>
          <w:highlight w:val="none"/>
          <w:lang w:val="en-US" w:eastAsia="zh-CN" w:bidi="ar-SA"/>
        </w:rPr>
        <w:t>建设部《城市生活垃圾卫生填埋场运行维护技术规范》和《生活垃圾卫生填埋技术规范》</w:t>
      </w:r>
      <w:r>
        <w:rPr>
          <w:rFonts w:hint="eastAsia" w:ascii="宋体" w:hAnsi="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t>加强日常性和规范化管理。做好</w:t>
      </w:r>
      <w:r>
        <w:rPr>
          <w:rFonts w:hint="eastAsia" w:ascii="宋体" w:hAnsi="宋体" w:cs="宋体"/>
          <w:color w:val="auto"/>
          <w:kern w:val="2"/>
          <w:sz w:val="24"/>
          <w:szCs w:val="24"/>
          <w:highlight w:val="none"/>
          <w:lang w:val="en-US" w:eastAsia="zh-CN" w:bidi="ar-SA"/>
        </w:rPr>
        <w:t>机械化填埋和</w:t>
      </w:r>
      <w:r>
        <w:rPr>
          <w:rFonts w:hint="eastAsia" w:ascii="宋体" w:hAnsi="宋体" w:eastAsia="宋体" w:cs="宋体"/>
          <w:color w:val="auto"/>
          <w:kern w:val="2"/>
          <w:sz w:val="24"/>
          <w:szCs w:val="24"/>
          <w:highlight w:val="none"/>
          <w:lang w:val="en-US" w:eastAsia="zh-CN" w:bidi="ar-SA"/>
        </w:rPr>
        <w:t>日常性清扫保洁，</w:t>
      </w:r>
      <w:r>
        <w:rPr>
          <w:rFonts w:hint="eastAsia" w:ascii="宋体" w:hAnsi="宋体" w:cs="宋体"/>
          <w:color w:val="auto"/>
          <w:kern w:val="2"/>
          <w:sz w:val="24"/>
          <w:szCs w:val="24"/>
          <w:highlight w:val="none"/>
          <w:lang w:val="en-US" w:eastAsia="zh-CN" w:bidi="ar-SA"/>
        </w:rPr>
        <w:t>做好</w:t>
      </w:r>
      <w:r>
        <w:rPr>
          <w:rFonts w:hint="eastAsia" w:ascii="宋体" w:hAnsi="宋体" w:eastAsia="宋体" w:cs="宋体"/>
          <w:color w:val="auto"/>
          <w:kern w:val="2"/>
          <w:sz w:val="24"/>
          <w:szCs w:val="24"/>
          <w:highlight w:val="none"/>
          <w:lang w:val="en-US" w:eastAsia="zh-CN" w:bidi="ar-SA"/>
        </w:rPr>
        <w:t>消毒、消防、灭蚊蝇、灭鼠</w:t>
      </w:r>
      <w:r>
        <w:rPr>
          <w:rFonts w:hint="eastAsia" w:ascii="宋体" w:hAnsi="宋体" w:cs="宋体"/>
          <w:color w:val="auto"/>
          <w:kern w:val="2"/>
          <w:sz w:val="24"/>
          <w:szCs w:val="24"/>
          <w:highlight w:val="none"/>
          <w:lang w:val="en-US" w:eastAsia="zh-CN" w:bidi="ar-SA"/>
        </w:rPr>
        <w:t>等</w:t>
      </w:r>
      <w:r>
        <w:rPr>
          <w:rFonts w:hint="eastAsia" w:ascii="宋体" w:hAnsi="宋体" w:eastAsia="宋体" w:cs="宋体"/>
          <w:color w:val="auto"/>
          <w:kern w:val="2"/>
          <w:sz w:val="24"/>
          <w:szCs w:val="24"/>
          <w:highlight w:val="none"/>
          <w:lang w:val="en-US" w:eastAsia="zh-CN" w:bidi="ar-SA"/>
        </w:rPr>
        <w:t>防护</w:t>
      </w:r>
      <w:r>
        <w:rPr>
          <w:rFonts w:hint="eastAsia" w:ascii="宋体" w:hAnsi="宋体" w:cs="宋体"/>
          <w:color w:val="auto"/>
          <w:kern w:val="2"/>
          <w:sz w:val="24"/>
          <w:szCs w:val="24"/>
          <w:highlight w:val="none"/>
          <w:lang w:val="en-US" w:eastAsia="zh-CN" w:bidi="ar-SA"/>
        </w:rPr>
        <w:t>措施，</w:t>
      </w:r>
      <w:r>
        <w:rPr>
          <w:rFonts w:hint="eastAsia" w:ascii="宋体" w:hAnsi="宋体" w:eastAsia="宋体" w:cs="宋体"/>
          <w:color w:val="auto"/>
          <w:kern w:val="2"/>
          <w:sz w:val="24"/>
          <w:szCs w:val="24"/>
          <w:highlight w:val="none"/>
          <w:lang w:val="en-US" w:eastAsia="zh-CN" w:bidi="ar-SA"/>
        </w:rPr>
        <w:t>并开展</w:t>
      </w:r>
      <w:r>
        <w:rPr>
          <w:rFonts w:hint="eastAsia" w:ascii="宋体" w:hAnsi="宋体" w:cs="宋体"/>
          <w:color w:val="auto"/>
          <w:kern w:val="2"/>
          <w:sz w:val="24"/>
          <w:szCs w:val="24"/>
          <w:highlight w:val="none"/>
          <w:lang w:val="en-US" w:eastAsia="zh-CN" w:bidi="ar-SA"/>
        </w:rPr>
        <w:t>场区</w:t>
      </w:r>
      <w:r>
        <w:rPr>
          <w:rFonts w:hint="eastAsia" w:ascii="宋体" w:hAnsi="宋体" w:eastAsia="宋体" w:cs="宋体"/>
          <w:color w:val="auto"/>
          <w:kern w:val="2"/>
          <w:sz w:val="24"/>
          <w:szCs w:val="24"/>
          <w:highlight w:val="none"/>
          <w:lang w:val="en-US" w:eastAsia="zh-CN" w:bidi="ar-SA"/>
        </w:rPr>
        <w:t>绿化。每日作业完毕后应及时覆盖，以有效控制臭气扩散和蚊蝇孳生。制定紧急应急预案和应急措施</w:t>
      </w:r>
      <w:r>
        <w:rPr>
          <w:rFonts w:hint="eastAsia" w:ascii="宋体" w:hAnsi="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t>做好各种资料的收集</w:t>
      </w:r>
      <w:r>
        <w:rPr>
          <w:rFonts w:hint="eastAsia" w:ascii="宋体" w:hAnsi="宋体" w:cs="宋体"/>
          <w:color w:val="auto"/>
          <w:kern w:val="2"/>
          <w:sz w:val="24"/>
          <w:szCs w:val="24"/>
          <w:highlight w:val="none"/>
          <w:lang w:val="en-US" w:eastAsia="zh-CN" w:bidi="ar-SA"/>
        </w:rPr>
        <w:t>上报</w:t>
      </w:r>
      <w:r>
        <w:rPr>
          <w:rFonts w:hint="eastAsia" w:ascii="宋体" w:hAnsi="宋体" w:eastAsia="宋体" w:cs="宋体"/>
          <w:color w:val="auto"/>
          <w:kern w:val="2"/>
          <w:sz w:val="24"/>
          <w:szCs w:val="24"/>
          <w:highlight w:val="none"/>
          <w:lang w:val="en-US" w:eastAsia="zh-CN" w:bidi="ar-SA"/>
        </w:rPr>
        <w:t>，内容包括生产作业量、设备投放量、垃圾处置措施、</w:t>
      </w:r>
      <w:r>
        <w:rPr>
          <w:rFonts w:hint="eastAsia" w:ascii="宋体" w:hAnsi="宋体" w:cs="宋体"/>
          <w:color w:val="auto"/>
          <w:kern w:val="2"/>
          <w:sz w:val="24"/>
          <w:szCs w:val="24"/>
          <w:highlight w:val="none"/>
          <w:lang w:val="en-US" w:eastAsia="zh-CN" w:bidi="ar-SA"/>
        </w:rPr>
        <w:t>安全生产</w:t>
      </w:r>
      <w:r>
        <w:rPr>
          <w:rFonts w:hint="eastAsia" w:ascii="宋体" w:hAnsi="宋体" w:eastAsia="宋体" w:cs="宋体"/>
          <w:color w:val="auto"/>
          <w:kern w:val="2"/>
          <w:sz w:val="24"/>
          <w:szCs w:val="24"/>
          <w:highlight w:val="none"/>
          <w:lang w:val="en-US" w:eastAsia="zh-CN" w:bidi="ar-SA"/>
        </w:rPr>
        <w:t>等。垃圾场</w:t>
      </w:r>
      <w:r>
        <w:rPr>
          <w:rFonts w:hint="eastAsia" w:ascii="宋体" w:hAnsi="宋体" w:cs="宋体"/>
          <w:color w:val="auto"/>
          <w:kern w:val="2"/>
          <w:sz w:val="24"/>
          <w:szCs w:val="24"/>
          <w:highlight w:val="none"/>
          <w:lang w:val="en-US" w:eastAsia="zh-CN" w:bidi="ar-SA"/>
        </w:rPr>
        <w:t>应按要求</w:t>
      </w:r>
      <w:r>
        <w:rPr>
          <w:rFonts w:hint="eastAsia" w:ascii="宋体" w:hAnsi="宋体" w:eastAsia="宋体" w:cs="宋体"/>
          <w:color w:val="auto"/>
          <w:kern w:val="2"/>
          <w:sz w:val="24"/>
          <w:szCs w:val="24"/>
          <w:highlight w:val="none"/>
          <w:lang w:val="en-US" w:eastAsia="zh-CN" w:bidi="ar-SA"/>
        </w:rPr>
        <w:t>进行</w:t>
      </w:r>
      <w:r>
        <w:rPr>
          <w:rFonts w:hint="eastAsia" w:ascii="宋体" w:hAnsi="宋体" w:cs="宋体"/>
          <w:color w:val="auto"/>
          <w:kern w:val="2"/>
          <w:sz w:val="24"/>
          <w:szCs w:val="24"/>
          <w:highlight w:val="none"/>
          <w:lang w:val="en-US" w:eastAsia="zh-CN" w:bidi="ar-SA"/>
        </w:rPr>
        <w:t>渗滤液处理和</w:t>
      </w:r>
      <w:r>
        <w:rPr>
          <w:rFonts w:hint="eastAsia" w:ascii="宋体" w:hAnsi="宋体" w:eastAsia="宋体" w:cs="宋体"/>
          <w:color w:val="auto"/>
          <w:kern w:val="2"/>
          <w:sz w:val="24"/>
          <w:szCs w:val="24"/>
          <w:highlight w:val="none"/>
          <w:lang w:val="en-US" w:eastAsia="zh-CN" w:bidi="ar-SA"/>
        </w:rPr>
        <w:t>环境质量检测评价，有完整的年度垃圾处理卫生监测评价资料，并提出改善环境质量的对策。</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4、其他要求：</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eastAsia="宋体"/>
          <w:b w:val="0"/>
          <w:bCs/>
          <w:color w:val="auto"/>
          <w:sz w:val="24"/>
          <w:highlight w:val="none"/>
        </w:rPr>
        <w:t>保证各种重要活动及节假日环境卫生保障</w:t>
      </w:r>
      <w:r>
        <w:rPr>
          <w:rFonts w:hint="eastAsia" w:ascii="宋体" w:eastAsia="宋体"/>
          <w:b w:val="0"/>
          <w:bCs/>
          <w:color w:val="auto"/>
          <w:sz w:val="24"/>
          <w:highlight w:val="none"/>
          <w:lang w:eastAsia="zh-CN"/>
        </w:rPr>
        <w:t>，</w:t>
      </w:r>
      <w:r>
        <w:rPr>
          <w:rFonts w:hint="eastAsia" w:ascii="宋体" w:eastAsia="宋体"/>
          <w:b w:val="0"/>
          <w:bCs/>
          <w:color w:val="auto"/>
          <w:sz w:val="24"/>
          <w:highlight w:val="none"/>
        </w:rPr>
        <w:t>但费用不</w:t>
      </w:r>
      <w:r>
        <w:rPr>
          <w:rFonts w:hint="eastAsia" w:ascii="宋体" w:eastAsia="宋体"/>
          <w:b w:val="0"/>
          <w:bCs/>
          <w:color w:val="auto"/>
          <w:sz w:val="24"/>
          <w:highlight w:val="none"/>
          <w:lang w:eastAsia="zh-CN"/>
        </w:rPr>
        <w:t>再</w:t>
      </w:r>
      <w:r>
        <w:rPr>
          <w:rFonts w:hint="eastAsia" w:ascii="宋体" w:eastAsia="宋体"/>
          <w:b w:val="0"/>
          <w:bCs/>
          <w:color w:val="auto"/>
          <w:sz w:val="24"/>
          <w:highlight w:val="none"/>
        </w:rPr>
        <w:t>增加，按合同内金额执行</w:t>
      </w:r>
      <w:r>
        <w:rPr>
          <w:rFonts w:hint="eastAsia" w:ascii="宋体" w:eastAsia="宋体"/>
          <w:b w:val="0"/>
          <w:bCs/>
          <w:color w:val="auto"/>
          <w:sz w:val="24"/>
          <w:highlight w:val="none"/>
          <w:lang w:eastAsia="zh-CN"/>
        </w:rPr>
        <w:t>。</w:t>
      </w:r>
    </w:p>
    <w:p>
      <w:pPr>
        <w:pStyle w:val="13"/>
        <w:keepNext w:val="0"/>
        <w:keepLines w:val="0"/>
        <w:pageBreakBefore w:val="0"/>
        <w:widowControl w:val="0"/>
        <w:numPr>
          <w:ilvl w:val="0"/>
          <w:numId w:val="3"/>
        </w:numPr>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园林作业要求</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right="0" w:firstLine="720" w:firstLineChars="3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1、绿化养护技术措施基本完善，植物配置基本合理。</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2、园林植物</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⑴ 生长正常。新建绿地各种植物</w:t>
      </w:r>
      <w:r>
        <w:rPr>
          <w:rFonts w:hint="eastAsia" w:ascii="宋体" w:hAnsi="宋体" w:cs="宋体"/>
          <w:color w:val="auto"/>
          <w:kern w:val="2"/>
          <w:sz w:val="24"/>
          <w:szCs w:val="24"/>
          <w:highlight w:val="none"/>
          <w:lang w:val="en-US" w:eastAsia="zh-CN" w:bidi="ar-SA"/>
        </w:rPr>
        <w:t>在服务期</w:t>
      </w:r>
      <w:r>
        <w:rPr>
          <w:rFonts w:hint="eastAsia" w:ascii="宋体" w:hAnsi="宋体" w:eastAsia="宋体" w:cs="宋体"/>
          <w:color w:val="auto"/>
          <w:kern w:val="2"/>
          <w:sz w:val="24"/>
          <w:szCs w:val="24"/>
          <w:highlight w:val="none"/>
          <w:lang w:val="en-US" w:eastAsia="zh-CN" w:bidi="ar-SA"/>
        </w:rPr>
        <w:t>内达到正常形态。</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⑵ 园林树木树冠基本正常，无明显枯枝死叉。分枝点合适，枝条粗壮，行道树缺株率不超过5%。</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⑶ 落叶树新梢生长基本正常，叶片大小、颜色正常，在正常条件下，有黄叶、焦叶、卷叶和带虫粪、虫网叶片的株数不得超过</w:t>
      </w:r>
      <w:r>
        <w:rPr>
          <w:rFonts w:hint="eastAsia" w:ascii="宋体" w:hAnsi="宋体"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en-US" w:eastAsia="zh-CN" w:bidi="ar-SA"/>
        </w:rPr>
        <w:t>0%，正常叶片保存率在</w:t>
      </w:r>
      <w:r>
        <w:rPr>
          <w:rFonts w:hint="eastAsia" w:ascii="宋体" w:hAnsi="宋体" w:cs="宋体"/>
          <w:color w:val="auto"/>
          <w:kern w:val="2"/>
          <w:sz w:val="24"/>
          <w:szCs w:val="24"/>
          <w:highlight w:val="none"/>
          <w:lang w:val="en-US" w:eastAsia="zh-CN" w:bidi="ar-SA"/>
        </w:rPr>
        <w:t>9</w:t>
      </w:r>
      <w:r>
        <w:rPr>
          <w:rFonts w:hint="eastAsia" w:ascii="宋体" w:hAnsi="宋体" w:eastAsia="宋体" w:cs="宋体"/>
          <w:color w:val="auto"/>
          <w:kern w:val="2"/>
          <w:sz w:val="24"/>
          <w:szCs w:val="24"/>
          <w:highlight w:val="none"/>
          <w:lang w:val="en-US" w:eastAsia="zh-CN" w:bidi="ar-SA"/>
        </w:rPr>
        <w:t>0%以上。</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⑷ 新植树木成活率在90%以上，保存率在90%以上。（凡因受自然灾害、环境污染或非本职能所能控制等原因死亡的植株，</w:t>
      </w:r>
      <w:r>
        <w:rPr>
          <w:rFonts w:hint="eastAsia" w:ascii="宋体" w:hAnsi="宋体" w:cs="宋体"/>
          <w:color w:val="auto"/>
          <w:kern w:val="2"/>
          <w:sz w:val="24"/>
          <w:szCs w:val="24"/>
          <w:highlight w:val="none"/>
          <w:lang w:val="en-US" w:eastAsia="zh-CN" w:bidi="ar-SA"/>
        </w:rPr>
        <w:t>及</w:t>
      </w:r>
      <w:r>
        <w:rPr>
          <w:rFonts w:hint="eastAsia" w:ascii="宋体" w:hAnsi="宋体" w:eastAsia="宋体" w:cs="宋体"/>
          <w:color w:val="auto"/>
          <w:kern w:val="2"/>
          <w:sz w:val="24"/>
          <w:szCs w:val="24"/>
          <w:highlight w:val="none"/>
          <w:lang w:val="en-US" w:eastAsia="zh-CN" w:bidi="ar-SA"/>
        </w:rPr>
        <w:t>时予以剔除）</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⑸ 新植树木视情况做加固性保护，有扶架措施。</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⑹ 每年涂白</w:t>
      </w:r>
      <w:r>
        <w:rPr>
          <w:rFonts w:hint="eastAsia" w:ascii="宋体" w:hAnsi="宋体" w:cs="宋体"/>
          <w:color w:val="auto"/>
          <w:kern w:val="2"/>
          <w:sz w:val="24"/>
          <w:szCs w:val="24"/>
          <w:highlight w:val="none"/>
          <w:lang w:val="en-US" w:eastAsia="zh-CN" w:bidi="ar-SA"/>
        </w:rPr>
        <w:t>至少</w:t>
      </w:r>
      <w:r>
        <w:rPr>
          <w:rFonts w:hint="eastAsia" w:ascii="宋体" w:hAnsi="宋体" w:eastAsia="宋体" w:cs="宋体"/>
          <w:color w:val="auto"/>
          <w:kern w:val="2"/>
          <w:sz w:val="24"/>
          <w:szCs w:val="24"/>
          <w:highlight w:val="none"/>
          <w:lang w:val="en-US" w:eastAsia="zh-CN" w:bidi="ar-SA"/>
        </w:rPr>
        <w:t>1次，涂白标准</w:t>
      </w:r>
      <w:r>
        <w:rPr>
          <w:rFonts w:hint="eastAsia" w:ascii="宋体" w:hAnsi="宋体" w:cs="宋体"/>
          <w:color w:val="auto"/>
          <w:kern w:val="2"/>
          <w:sz w:val="24"/>
          <w:szCs w:val="24"/>
          <w:highlight w:val="none"/>
          <w:lang w:val="en-US" w:eastAsia="zh-CN" w:bidi="ar-SA"/>
        </w:rPr>
        <w:t>至少</w:t>
      </w:r>
      <w:r>
        <w:rPr>
          <w:rFonts w:hint="eastAsia" w:ascii="宋体" w:hAnsi="宋体" w:eastAsia="宋体" w:cs="宋体"/>
          <w:color w:val="auto"/>
          <w:kern w:val="2"/>
          <w:sz w:val="24"/>
          <w:szCs w:val="24"/>
          <w:highlight w:val="none"/>
          <w:lang w:val="en-US" w:eastAsia="zh-CN" w:bidi="ar-SA"/>
        </w:rPr>
        <w:t>为1.</w:t>
      </w:r>
      <w:r>
        <w:rPr>
          <w:rFonts w:hint="eastAsia" w:ascii="宋体" w:hAnsi="宋体" w:cs="宋体"/>
          <w:color w:val="auto"/>
          <w:kern w:val="2"/>
          <w:sz w:val="24"/>
          <w:szCs w:val="24"/>
          <w:highlight w:val="none"/>
          <w:lang w:val="en-US" w:eastAsia="zh-CN" w:bidi="ar-SA"/>
        </w:rPr>
        <w:t>5</w:t>
      </w:r>
      <w:r>
        <w:rPr>
          <w:rFonts w:hint="eastAsia" w:ascii="宋体" w:hAnsi="宋体" w:eastAsia="宋体" w:cs="宋体"/>
          <w:color w:val="auto"/>
          <w:kern w:val="2"/>
          <w:sz w:val="24"/>
          <w:szCs w:val="24"/>
          <w:highlight w:val="none"/>
          <w:lang w:val="en-US" w:eastAsia="zh-CN" w:bidi="ar-SA"/>
        </w:rPr>
        <w:t>m。每年施肥</w:t>
      </w:r>
      <w:r>
        <w:rPr>
          <w:rFonts w:hint="eastAsia" w:ascii="宋体" w:hAnsi="宋体" w:cs="宋体"/>
          <w:color w:val="auto"/>
          <w:kern w:val="2"/>
          <w:sz w:val="24"/>
          <w:szCs w:val="24"/>
          <w:highlight w:val="none"/>
          <w:lang w:val="en-US" w:eastAsia="zh-CN" w:bidi="ar-SA"/>
        </w:rPr>
        <w:t>至少</w:t>
      </w:r>
      <w:r>
        <w:rPr>
          <w:rFonts w:hint="eastAsia" w:ascii="宋体" w:hAnsi="宋体" w:eastAsia="宋体" w:cs="宋体"/>
          <w:color w:val="auto"/>
          <w:kern w:val="2"/>
          <w:sz w:val="24"/>
          <w:szCs w:val="24"/>
          <w:highlight w:val="none"/>
          <w:lang w:val="en-US" w:eastAsia="zh-CN" w:bidi="ar-SA"/>
        </w:rPr>
        <w:t>1次</w:t>
      </w:r>
      <w:r>
        <w:rPr>
          <w:rFonts w:hint="eastAsia" w:ascii="宋体" w:hAnsi="宋体" w:cs="宋体"/>
          <w:color w:val="auto"/>
          <w:kern w:val="2"/>
          <w:sz w:val="24"/>
          <w:szCs w:val="24"/>
          <w:highlight w:val="none"/>
          <w:lang w:val="en-US" w:eastAsia="zh-CN" w:bidi="ar-SA"/>
        </w:rPr>
        <w:t>。</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3</w:t>
      </w:r>
      <w:r>
        <w:rPr>
          <w:rFonts w:hint="eastAsia" w:ascii="宋体" w:hAnsi="宋体" w:eastAsia="宋体" w:cs="宋体"/>
          <w:color w:val="auto"/>
          <w:kern w:val="2"/>
          <w:sz w:val="24"/>
          <w:szCs w:val="24"/>
          <w:highlight w:val="none"/>
          <w:lang w:val="en-US" w:eastAsia="zh-CN" w:bidi="ar-SA"/>
        </w:rPr>
        <w:t>、病虫害控制比较及时，绿地蛀干害虫的有虫株率不能超过7%。枝干病害感病株率不能超过15%。蚜虫、红蜘蛛、叶蝉等枝梢害虫发生时，枝梢被害率不能超过20%或叶片上的有虫率不能超过25%。蚧类害虫在20cm枝条发生数量不能超过12头/20cm枝。食叶害虫虫口密度不能超过7头/50cm枝条，叶片受损率每株不得超过20%。叶部病害感病株率不能超过15%。（以上标准适用绿地养护中的病虫害防治的一般情况，不同于由外界导致而非本能控制的集中爆发式病虫害情况）</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春冬两季要对林带内的树木进行整形修剪工作；根据苗木生长的需要，一般对林带内的苗木进行春冬季施肥，施肥量根据甲方要求，春秋季对绿化带草坪进行打孔，林带和绿篱每年进行松土1次，根据植保防治进行病虫害预防打药，确保树木正常生长。</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4、绿地整洁卫生，无杂草，无杂藤攀援植物，无污物杂物、无积水；对绿化生产垃圾(如树枝、树叶、草屑等),绿地内水面杂物，随产随清。</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5、绿地完整，无堆物、堆料、搭棚，树干上无钉拴刻画等现象。距树干2m范围内无堆物、堆料、圈栏或搭棚设摊等影响树木生长和养护管理的现象。</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6、花箱、栏杆</w:t>
      </w:r>
      <w:r>
        <w:rPr>
          <w:rFonts w:hint="eastAsia" w:ascii="宋体" w:hAnsi="宋体" w:cs="宋体"/>
          <w:color w:val="auto"/>
          <w:kern w:val="2"/>
          <w:sz w:val="24"/>
          <w:szCs w:val="24"/>
          <w:highlight w:val="none"/>
          <w:lang w:val="en-US" w:eastAsia="zh-CN" w:bidi="ar-SA"/>
        </w:rPr>
        <w:t>（汉白玉栏杆除外）</w:t>
      </w:r>
      <w:r>
        <w:rPr>
          <w:rFonts w:hint="eastAsia" w:ascii="宋体" w:hAnsi="宋体" w:eastAsia="宋体" w:cs="宋体"/>
          <w:color w:val="auto"/>
          <w:kern w:val="2"/>
          <w:sz w:val="24"/>
          <w:szCs w:val="24"/>
          <w:highlight w:val="none"/>
          <w:lang w:val="en-US" w:eastAsia="zh-CN" w:bidi="ar-SA"/>
        </w:rPr>
        <w:t>、绿化带护栏、支撑架和护网、园路、桌椅、灯、井盖和标识标牌等附属设施完整、安全，做到维护及时，做好维护记录；如遇损坏丢失，应及时更换；发现有损坏和被违规占用的，在2小时内报告住建局园林绿化中心。每周擦洗绿化带护栏一遍，如遇特殊情况随时擦洗护栏。</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7、公园道路及广场铺装定期进行维护</w:t>
      </w:r>
      <w:r>
        <w:rPr>
          <w:rFonts w:hint="eastAsia" w:ascii="宋体" w:hAnsi="宋体" w:cs="宋体"/>
          <w:color w:val="auto"/>
          <w:kern w:val="2"/>
          <w:sz w:val="24"/>
          <w:szCs w:val="24"/>
          <w:highlight w:val="none"/>
          <w:lang w:val="en-US" w:eastAsia="zh-CN" w:bidi="ar-SA"/>
        </w:rPr>
        <w:t>、维修</w:t>
      </w:r>
      <w:r>
        <w:rPr>
          <w:rFonts w:hint="eastAsia" w:ascii="宋体" w:hAnsi="宋体" w:eastAsia="宋体" w:cs="宋体"/>
          <w:color w:val="auto"/>
          <w:kern w:val="2"/>
          <w:sz w:val="24"/>
          <w:szCs w:val="24"/>
          <w:highlight w:val="none"/>
          <w:lang w:val="en-US" w:eastAsia="zh-CN" w:bidi="ar-SA"/>
        </w:rPr>
        <w:t>，确保完整、安全。</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8、公园内水域面清洁，无垃圾漂浮物，做好湖面安全防护工作，设立安全警示牌，专人巡视，禁止人员进入湖面嬉水、游泳、滑冰等，保证人员安全。</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9、主要设施标示清楚齐全，危及人身安全的隐患处有明显标志和防范措施。</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10、建立消杀工作管理制度，根据实际情况开展消杀工作，适时投放消杀药物，有效控制害虫孽生。</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 11、制定安全生产制度，严格的安全措施和作业操作流程，对上岗作业的工作人员进行安全生产培训。</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12、绿化养护人员在岗期间，要着有安全标志作业服装，反光标志要完整，衣服干净整洁，确保人身安全。设置安全员负责安全工作。养护车辆和安全标识锥要横向摆放，距离养护人员50米停放。保证车体干净、车体喷反光标识，工作间整齐，必须遵守交通规则，不得逆行作业，安全配套设施规范。</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第三条：合同金额，相关费用及支付方式：</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一、合同购买服务价款总额为每年</w:t>
      </w:r>
      <w:r>
        <w:rPr>
          <w:rFonts w:hint="eastAsia" w:asciiTheme="minorEastAsia" w:hAnsiTheme="minorEastAsia" w:eastAsiaTheme="minorEastAsia" w:cstheme="minorEastAsia"/>
          <w:sz w:val="24"/>
          <w:szCs w:val="24"/>
          <w:lang w:val="en-US" w:eastAsia="zh-CN"/>
        </w:rPr>
        <w:t>xxxx</w:t>
      </w:r>
      <w:r>
        <w:rPr>
          <w:rFonts w:hint="eastAsia" w:asciiTheme="minorEastAsia" w:hAnsiTheme="minorEastAsia" w:eastAsiaTheme="minorEastAsia" w:cstheme="minorEastAsia"/>
          <w:sz w:val="24"/>
          <w:szCs w:val="24"/>
          <w:lang w:eastAsia="zh-CN"/>
        </w:rPr>
        <w:t>元(人民币</w:t>
      </w:r>
      <w:r>
        <w:rPr>
          <w:rFonts w:hint="eastAsia" w:asciiTheme="minorEastAsia" w:hAnsiTheme="minorEastAsia" w:eastAsiaTheme="minorEastAsia" w:cstheme="minorEastAsia"/>
          <w:sz w:val="24"/>
          <w:szCs w:val="24"/>
          <w:lang w:val="en-US" w:eastAsia="zh-CN"/>
        </w:rPr>
        <w:t>xxxx</w:t>
      </w:r>
      <w:r>
        <w:rPr>
          <w:rFonts w:hint="eastAsia" w:asciiTheme="minorEastAsia" w:hAnsiTheme="minorEastAsia" w:eastAsiaTheme="minorEastAsia" w:cstheme="minorEastAsia"/>
          <w:sz w:val="24"/>
          <w:szCs w:val="24"/>
          <w:lang w:eastAsia="zh-CN"/>
        </w:rPr>
        <w:t>),已包含乙方向甲方提供环卫保洁和园林养护服务所需一切费用，除此之外需单独列支费用由双方另行明确约定。购买服务费均以实际养护、保洁面积，按季度比例方式支付。乙方在签订合同之日起10日之内需向甲方交纳中标总价的10%为乙方履行合同的保证金，</w:t>
      </w:r>
      <w:r>
        <w:rPr>
          <w:rFonts w:hint="eastAsia" w:asciiTheme="minorEastAsia" w:hAnsiTheme="minorEastAsia" w:eastAsiaTheme="minorEastAsia" w:cstheme="minorEastAsia"/>
          <w:sz w:val="24"/>
          <w:szCs w:val="24"/>
          <w:lang w:val="en-US" w:eastAsia="zh-CN"/>
        </w:rPr>
        <w:t>该</w:t>
      </w:r>
      <w:r>
        <w:rPr>
          <w:rFonts w:hint="eastAsia" w:asciiTheme="minorEastAsia" w:hAnsiTheme="minorEastAsia" w:eastAsiaTheme="minorEastAsia" w:cstheme="minorEastAsia"/>
          <w:sz w:val="24"/>
          <w:szCs w:val="24"/>
          <w:lang w:eastAsia="zh-CN"/>
        </w:rPr>
        <w:t>保证金以保函形式期限为：1年。</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highlight w:val="yellow"/>
          <w:lang w:eastAsia="zh-CN"/>
        </w:rPr>
      </w:pPr>
      <w:r>
        <w:rPr>
          <w:rFonts w:hint="eastAsia" w:asciiTheme="minorEastAsia" w:hAnsiTheme="minorEastAsia" w:eastAsiaTheme="minorEastAsia" w:cstheme="minorEastAsia"/>
          <w:sz w:val="24"/>
          <w:szCs w:val="24"/>
          <w:highlight w:val="none"/>
          <w:lang w:eastAsia="zh-CN"/>
        </w:rPr>
        <w:t>(1)该服务费用</w:t>
      </w:r>
      <w:r>
        <w:rPr>
          <w:rFonts w:hint="eastAsia" w:asciiTheme="minorEastAsia" w:hAnsiTheme="minorEastAsia" w:eastAsiaTheme="minorEastAsia" w:cstheme="minorEastAsia"/>
          <w:sz w:val="24"/>
          <w:szCs w:val="24"/>
          <w:highlight w:val="none"/>
          <w:lang w:val="en-US" w:eastAsia="zh-CN"/>
        </w:rPr>
        <w:t>不</w:t>
      </w:r>
      <w:r>
        <w:rPr>
          <w:rFonts w:hint="eastAsia" w:asciiTheme="minorEastAsia" w:hAnsiTheme="minorEastAsia" w:eastAsiaTheme="minorEastAsia" w:cstheme="minorEastAsia"/>
          <w:sz w:val="24"/>
          <w:szCs w:val="24"/>
          <w:highlight w:val="none"/>
          <w:lang w:eastAsia="zh-CN"/>
        </w:rPr>
        <w:t>包含购买服务中用水的费用，乙方因地制宜合理制定相应用水标准，</w:t>
      </w:r>
      <w:r>
        <w:rPr>
          <w:rFonts w:hint="eastAsia" w:asciiTheme="minorEastAsia" w:hAnsiTheme="minorEastAsia" w:eastAsiaTheme="minorEastAsia" w:cstheme="minorEastAsia"/>
          <w:sz w:val="24"/>
          <w:szCs w:val="24"/>
          <w:highlight w:val="none"/>
          <w:lang w:val="en-US" w:eastAsia="zh-CN"/>
        </w:rPr>
        <w:t>既</w:t>
      </w:r>
      <w:r>
        <w:rPr>
          <w:rFonts w:hint="eastAsia" w:asciiTheme="minorEastAsia" w:hAnsiTheme="minorEastAsia" w:eastAsiaTheme="minorEastAsia" w:cstheme="minorEastAsia"/>
          <w:sz w:val="24"/>
          <w:szCs w:val="24"/>
          <w:highlight w:val="none"/>
          <w:lang w:eastAsia="zh-CN"/>
        </w:rPr>
        <w:t>不能</w:t>
      </w:r>
      <w:r>
        <w:rPr>
          <w:rFonts w:hint="eastAsia" w:asciiTheme="minorEastAsia" w:hAnsiTheme="minorEastAsia" w:eastAsiaTheme="minorEastAsia" w:cstheme="minorEastAsia"/>
          <w:sz w:val="24"/>
          <w:szCs w:val="24"/>
          <w:highlight w:val="none"/>
          <w:lang w:val="en-US" w:eastAsia="zh-CN"/>
        </w:rPr>
        <w:t>浪费水资源又不能</w:t>
      </w:r>
      <w:r>
        <w:rPr>
          <w:rFonts w:hint="eastAsia" w:asciiTheme="minorEastAsia" w:hAnsiTheme="minorEastAsia" w:eastAsiaTheme="minorEastAsia" w:cstheme="minorEastAsia"/>
          <w:sz w:val="24"/>
          <w:szCs w:val="24"/>
          <w:highlight w:val="none"/>
          <w:lang w:eastAsia="zh-CN"/>
        </w:rPr>
        <w:t>导致绿植死亡，</w:t>
      </w:r>
      <w:r>
        <w:rPr>
          <w:rFonts w:hint="eastAsia" w:asciiTheme="minorEastAsia" w:hAnsiTheme="minorEastAsia" w:eastAsiaTheme="minorEastAsia" w:cstheme="minorEastAsia"/>
          <w:sz w:val="24"/>
          <w:szCs w:val="24"/>
          <w:highlight w:val="none"/>
          <w:lang w:val="en-US" w:eastAsia="zh-CN"/>
        </w:rPr>
        <w:t>否则</w:t>
      </w:r>
      <w:r>
        <w:rPr>
          <w:rFonts w:hint="eastAsia" w:asciiTheme="minorEastAsia" w:hAnsiTheme="minorEastAsia" w:eastAsiaTheme="minorEastAsia" w:cstheme="minorEastAsia"/>
          <w:sz w:val="24"/>
          <w:szCs w:val="24"/>
          <w:highlight w:val="none"/>
          <w:lang w:eastAsia="zh-CN"/>
        </w:rPr>
        <w:t>由乙方承担绿植补植费用及补植工作。</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2）在养护期内，因水井及水管爆裂所造成的任何损失及纠纷，</w:t>
      </w:r>
      <w:r>
        <w:rPr>
          <w:rFonts w:hint="eastAsia" w:asciiTheme="minorEastAsia" w:hAnsiTheme="minorEastAsia" w:eastAsiaTheme="minorEastAsia" w:cstheme="minorEastAsia"/>
          <w:color w:val="auto"/>
          <w:sz w:val="24"/>
          <w:szCs w:val="24"/>
          <w:lang w:eastAsia="zh-CN"/>
        </w:rPr>
        <w:t>均由乙方承担</w:t>
      </w:r>
      <w:r>
        <w:rPr>
          <w:rFonts w:hint="eastAsia" w:asciiTheme="minorEastAsia" w:hAnsiTheme="minorEastAsia" w:eastAsiaTheme="minorEastAsia" w:cstheme="minorEastAsia"/>
          <w:color w:val="auto"/>
          <w:sz w:val="24"/>
          <w:szCs w:val="24"/>
          <w:lang w:val="en-US" w:eastAsia="zh-CN"/>
        </w:rPr>
        <w:t>相关责任及费用，甲方概不承担。</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二、支付方式：</w:t>
      </w:r>
      <w:r>
        <w:rPr>
          <w:rFonts w:hint="eastAsia" w:asciiTheme="minorEastAsia" w:hAnsiTheme="minorEastAsia" w:eastAsiaTheme="minorEastAsia" w:cstheme="minorEastAsia"/>
          <w:sz w:val="24"/>
          <w:szCs w:val="24"/>
          <w:lang w:val="en-US" w:eastAsia="zh-CN"/>
        </w:rPr>
        <w:t>依据</w:t>
      </w:r>
      <w:r>
        <w:rPr>
          <w:rFonts w:hint="eastAsia" w:asciiTheme="minorEastAsia" w:hAnsiTheme="minorEastAsia" w:eastAsiaTheme="minorEastAsia" w:cstheme="minorEastAsia"/>
          <w:sz w:val="24"/>
          <w:szCs w:val="24"/>
          <w:lang w:eastAsia="zh-CN"/>
        </w:rPr>
        <w:t>甲方考核</w:t>
      </w:r>
      <w:r>
        <w:rPr>
          <w:rFonts w:hint="eastAsia" w:asciiTheme="minorEastAsia" w:hAnsiTheme="minorEastAsia" w:eastAsiaTheme="minorEastAsia" w:cstheme="minorEastAsia"/>
          <w:sz w:val="24"/>
          <w:szCs w:val="24"/>
          <w:lang w:val="en-US" w:eastAsia="zh-CN"/>
        </w:rPr>
        <w:t>结果</w:t>
      </w:r>
      <w:r>
        <w:rPr>
          <w:rFonts w:hint="eastAsia" w:asciiTheme="minorEastAsia" w:hAnsiTheme="minorEastAsia" w:eastAsiaTheme="minorEastAsia" w:cstheme="minorEastAsia"/>
          <w:sz w:val="24"/>
          <w:szCs w:val="24"/>
          <w:lang w:eastAsia="zh-CN"/>
        </w:rPr>
        <w:t>按照季度支付，在下季度第一个月15日前向乙方支付上季度服务费。乙方领取服务费用时，须出具同等金额的正式发票。</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第四条：合同期限与终止</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1、合同期限为</w:t>
      </w:r>
      <w:r>
        <w:rPr>
          <w:rFonts w:hint="eastAsia" w:asciiTheme="minorEastAsia" w:hAnsiTheme="minorEastAsia" w:eastAsiaTheme="minorEastAsia" w:cstheme="minorEastAsia"/>
          <w:sz w:val="24"/>
          <w:szCs w:val="24"/>
          <w:u w:val="single"/>
          <w:lang w:eastAsia="zh-CN"/>
        </w:rPr>
        <w:t>三年</w:t>
      </w:r>
      <w:r>
        <w:rPr>
          <w:rFonts w:hint="eastAsia" w:asciiTheme="minorEastAsia" w:hAnsiTheme="minorEastAsia" w:eastAsiaTheme="minorEastAsia" w:cstheme="minorEastAsia"/>
          <w:sz w:val="24"/>
          <w:szCs w:val="24"/>
          <w:lang w:eastAsia="zh-CN"/>
        </w:rPr>
        <w:t>，一年一签。合同期满60日前，甲方应书面通知乙方办理合同终止移交或合同续签准备，若移交时设备或物品有损坏，应由乙方承担赔偿责任。逾期既视为合同继续履行，合同延续期最低按照一年时间执行：</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2、合同终止：</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(1)叁年合同期满，双方未续签的；</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(2)甲乙方合同期叁年。在履行合同过程中，发现乙方不符合服务供应方(社会组织)应具备的条件以及未履行招标文件、合同条款中所规定的各项事宜及投标所承诺的事项的；乙方在服务时多次被甲方按照考核细则处罚，经营管理不到位，环境卫生绿化管养达不到制定标准和要求；在承包期内连续三个月或累计四个月考核得</w:t>
      </w:r>
      <w:r>
        <w:rPr>
          <w:rFonts w:hint="eastAsia" w:asciiTheme="minorEastAsia" w:hAnsiTheme="minorEastAsia" w:eastAsiaTheme="minorEastAsia" w:cstheme="minorEastAsia"/>
          <w:sz w:val="24"/>
          <w:szCs w:val="24"/>
          <w:lang w:val="en-US" w:eastAsia="zh-CN"/>
        </w:rPr>
        <w:t>120</w:t>
      </w:r>
      <w:r>
        <w:rPr>
          <w:rFonts w:hint="eastAsia" w:asciiTheme="minorEastAsia" w:hAnsiTheme="minorEastAsia" w:eastAsiaTheme="minorEastAsia" w:cstheme="minorEastAsia"/>
          <w:sz w:val="24"/>
          <w:szCs w:val="24"/>
          <w:lang w:eastAsia="zh-CN"/>
        </w:rPr>
        <w:t>分以下，经甲方督促整改，效果不明显的甲方可终止合同停止支付购买服务费同时不承担任何经济责任。履行合同过程中甲方未按期支付购买服务价款，经甲乙双方协商仍未在合理期限内支付购买服务价款，造成乙方无法继续履行合同的。</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(3)将服务项目整体转让给第三方的；</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(4)因不可抗力解除合同；</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(5)其他违约情形需要解除合同的；</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第五条：双方权利和义务</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(一)甲方的权利、义务：</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1、了解掌握服务标准落实情况，定期按照甲乙双方同意的考核细则对乙方服务情况进行检查考核。</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2、在提供服务过程中协调相关的政府部门和单位，协助乙方解决工作现场遇到的特殊问题。</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3、对乙方制定具体的考评意见。</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4、按合同约定向乙方支付经双方确认的服务费用。</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5、为乙方提供水源、安全用电等配套设施，以保证正常作业。</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6、甲方问乙方移交项目清单，乙方按照项目清单与现场进行核对，经现场核验后，最终以甲乙双方签字(盖章)给予确认的项目清单为准。</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(二)乙方的权利、义务：</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1、遵守甲方各项规章制度，服从甲方的管理，考核详见《</w:t>
      </w:r>
      <w:r>
        <w:rPr>
          <w:rFonts w:hint="eastAsia" w:asciiTheme="minorEastAsia" w:hAnsiTheme="minorEastAsia" w:eastAsiaTheme="minorEastAsia" w:cstheme="minorEastAsia"/>
          <w:sz w:val="24"/>
          <w:szCs w:val="24"/>
          <w:lang w:val="en-US" w:eastAsia="zh-CN"/>
        </w:rPr>
        <w:t>托克逊县城市环卫园林一体化管理项目第一包</w:t>
      </w:r>
      <w:r>
        <w:rPr>
          <w:rFonts w:hint="eastAsia" w:asciiTheme="minorEastAsia" w:hAnsiTheme="minorEastAsia" w:eastAsiaTheme="minorEastAsia" w:cstheme="minorEastAsia"/>
          <w:sz w:val="24"/>
          <w:szCs w:val="24"/>
          <w:lang w:eastAsia="zh-CN"/>
        </w:rPr>
        <w:t>考核</w:t>
      </w:r>
      <w:r>
        <w:rPr>
          <w:rFonts w:hint="eastAsia" w:asciiTheme="minorEastAsia" w:hAnsiTheme="minorEastAsia" w:eastAsiaTheme="minorEastAsia" w:cstheme="minorEastAsia"/>
          <w:sz w:val="24"/>
          <w:szCs w:val="24"/>
          <w:lang w:val="en-US" w:eastAsia="zh-CN"/>
        </w:rPr>
        <w:t>标准</w:t>
      </w:r>
      <w:r>
        <w:rPr>
          <w:rFonts w:hint="eastAsia" w:asciiTheme="minorEastAsia" w:hAnsiTheme="minorEastAsia" w:eastAsiaTheme="minorEastAsia" w:cstheme="minorEastAsia"/>
          <w:sz w:val="24"/>
          <w:szCs w:val="24"/>
          <w:lang w:eastAsia="zh-CN"/>
        </w:rPr>
        <w:t>》。严格按照操作规范以及环卫保洁和绿化养护标准进行工作，确保服务质量。</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2、接受甲方行政主管单位的检查和考核，为检查和考核提供条件。及时向甲方反映环卫绿化情况，确保服务范围内环卫保洁符合要求、花木草坪翠绿茂盛，景色怡人。</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3、对服务过程中的安全工作负全责，包括劳务用工、车辆、机械设备等。规范使用保洁消杀、绿化杀虫药剂等化学物品，杜绝对人员造成伤害和环境造成破坏。在服务过程中造成服务人员和第三人人身损害或财产损害的由乙方承担一切赔偿责任，与甲方无关。</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4、在履行合同过程中，乙方不得在未经甲方同意的情况下，将服务项目全部或部分转包或委托第三方实施，否则以违约视之。</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5、重要节日及庆典活动前必须进行全面巡查保洁，保证树木草坪整洁美观，城区内卫生干净整洁。遇有重要活动、节日庆典等必须全力跟踪配合，确保活动顺利进行。</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6、建立预警机制和各类突发事件预案，落实灾害天气下开展工作的预防措施。</w:t>
      </w:r>
      <w:r>
        <w:rPr>
          <w:rFonts w:hint="eastAsia" w:asciiTheme="minorEastAsia" w:hAnsiTheme="minorEastAsia" w:eastAsiaTheme="minorEastAsia" w:cstheme="minorEastAsia"/>
          <w:sz w:val="24"/>
          <w:szCs w:val="24"/>
          <w:lang w:val="en-US" w:eastAsia="zh-CN"/>
        </w:rPr>
        <w:t>高温、</w:t>
      </w:r>
      <w:r>
        <w:rPr>
          <w:rFonts w:hint="eastAsia" w:asciiTheme="minorEastAsia" w:hAnsiTheme="minorEastAsia" w:eastAsiaTheme="minorEastAsia" w:cstheme="minorEastAsia"/>
          <w:sz w:val="24"/>
          <w:szCs w:val="24"/>
          <w:lang w:eastAsia="zh-CN"/>
        </w:rPr>
        <w:t>防汛、暴雪期间，乙方无条件服从甲方的有关抢险调度。</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7、乙方应与聘用的服务人员签订用工合同，缴纳医疗保险、养老保险、失业保险、工伤保险、生育保险并购买雇主责任险；在重要节日期间，乙方应对一线工人进行走访、发放慰问品、慰问金等活动。乙方在用工期间，不得拖欠聘用服务人员工资，按时发放劳保用品，着装规范统一。</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8、乙方应按照财政部印发的财综[2014]96号文《政府购买服务管理办法 (暂行)》的规定，建立政府购买服务台帐，记录相关文件、工作计划方案、项目和资金批复、项目进展和资金支付、工作汇报总结、重要活动和其它有关资料信息，接受和配合相关部门对资金使用情况进行监督检查及绩效评价。</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9、乙方应按照财政部印发的财综[2014]96号文《政府购买服务管理办法(暂行)》的规定，建立健全财务制度，</w:t>
      </w:r>
      <w:r>
        <w:rPr>
          <w:rFonts w:hint="eastAsia" w:asciiTheme="minorEastAsia" w:hAnsiTheme="minorEastAsia" w:eastAsiaTheme="minorEastAsia" w:cstheme="minorEastAsia"/>
          <w:sz w:val="24"/>
          <w:szCs w:val="24"/>
          <w:lang w:val="en-US" w:eastAsia="zh-CN"/>
        </w:rPr>
        <w:t>严格</w:t>
      </w:r>
      <w:r>
        <w:rPr>
          <w:rFonts w:hint="eastAsia" w:asciiTheme="minorEastAsia" w:hAnsiTheme="minorEastAsia" w:eastAsiaTheme="minorEastAsia" w:cstheme="minorEastAsia"/>
          <w:sz w:val="24"/>
          <w:szCs w:val="24"/>
          <w:lang w:eastAsia="zh-CN"/>
        </w:rPr>
        <w:t>遵守相关财政财务规定，对购买服务的</w:t>
      </w:r>
      <w:r>
        <w:rPr>
          <w:rFonts w:hint="eastAsia" w:asciiTheme="minorEastAsia" w:hAnsiTheme="minorEastAsia" w:eastAsiaTheme="minorEastAsia" w:cstheme="minorEastAsia"/>
          <w:sz w:val="24"/>
          <w:szCs w:val="24"/>
          <w:lang w:val="en-US" w:eastAsia="zh-CN"/>
        </w:rPr>
        <w:t>项目</w:t>
      </w:r>
      <w:r>
        <w:rPr>
          <w:rFonts w:hint="eastAsia" w:asciiTheme="minorEastAsia" w:hAnsiTheme="minorEastAsia" w:eastAsiaTheme="minorEastAsia" w:cstheme="minorEastAsia"/>
          <w:sz w:val="24"/>
          <w:szCs w:val="24"/>
          <w:lang w:eastAsia="zh-CN"/>
        </w:rPr>
        <w:t>资金进行规范的</w:t>
      </w:r>
      <w:r>
        <w:rPr>
          <w:rFonts w:hint="eastAsia" w:asciiTheme="minorEastAsia" w:hAnsiTheme="minorEastAsia" w:eastAsiaTheme="minorEastAsia" w:cstheme="minorEastAsia"/>
          <w:sz w:val="24"/>
          <w:szCs w:val="24"/>
          <w:lang w:val="en-US" w:eastAsia="zh-CN"/>
        </w:rPr>
        <w:t>财</w:t>
      </w:r>
      <w:r>
        <w:rPr>
          <w:rFonts w:hint="eastAsia" w:asciiTheme="minorEastAsia" w:hAnsiTheme="minorEastAsia" w:eastAsiaTheme="minorEastAsia" w:cstheme="minorEastAsia"/>
          <w:sz w:val="24"/>
          <w:szCs w:val="24"/>
          <w:lang w:eastAsia="zh-CN"/>
        </w:rPr>
        <w:t>务管理和会计核算，</w:t>
      </w:r>
      <w:r>
        <w:rPr>
          <w:rFonts w:hint="eastAsia" w:asciiTheme="minorEastAsia" w:hAnsiTheme="minorEastAsia" w:eastAsiaTheme="minorEastAsia" w:cstheme="minorEastAsia"/>
          <w:sz w:val="24"/>
          <w:szCs w:val="24"/>
          <w:lang w:val="en-US" w:eastAsia="zh-CN"/>
        </w:rPr>
        <w:t>加强自身监督</w:t>
      </w:r>
      <w:r>
        <w:rPr>
          <w:rFonts w:hint="eastAsia" w:asciiTheme="minorEastAsia" w:hAnsiTheme="minorEastAsia" w:eastAsiaTheme="minorEastAsia" w:cstheme="minorEastAsia"/>
          <w:sz w:val="24"/>
          <w:szCs w:val="24"/>
          <w:lang w:eastAsia="zh-CN"/>
        </w:rPr>
        <w:t>，确保</w:t>
      </w:r>
      <w:r>
        <w:rPr>
          <w:rFonts w:hint="eastAsia" w:asciiTheme="minorEastAsia" w:hAnsiTheme="minorEastAsia" w:eastAsiaTheme="minorEastAsia" w:cstheme="minorEastAsia"/>
          <w:sz w:val="24"/>
          <w:szCs w:val="24"/>
          <w:lang w:val="en-US" w:eastAsia="zh-CN"/>
        </w:rPr>
        <w:t>资金规范</w:t>
      </w:r>
      <w:r>
        <w:rPr>
          <w:rFonts w:hint="eastAsia" w:asciiTheme="minorEastAsia" w:hAnsiTheme="minorEastAsia" w:eastAsiaTheme="minorEastAsia" w:cstheme="minorEastAsia"/>
          <w:sz w:val="24"/>
          <w:szCs w:val="24"/>
          <w:lang w:eastAsia="zh-CN"/>
        </w:rPr>
        <w:t>管理和使用。</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10、乙方应按照财政部印发的财综[2014]96号文《政府购买服务管理办法(暂行)》的规定，建立</w:t>
      </w:r>
      <w:r>
        <w:rPr>
          <w:rFonts w:hint="eastAsia" w:asciiTheme="minorEastAsia" w:hAnsiTheme="minorEastAsia" w:eastAsiaTheme="minorEastAsia" w:cstheme="minorEastAsia"/>
          <w:sz w:val="24"/>
          <w:szCs w:val="24"/>
          <w:lang w:val="en-US" w:eastAsia="zh-CN"/>
        </w:rPr>
        <w:t>健</w:t>
      </w:r>
      <w:r>
        <w:rPr>
          <w:rFonts w:hint="eastAsia" w:asciiTheme="minorEastAsia" w:hAnsiTheme="minorEastAsia" w:eastAsiaTheme="minorEastAsia" w:cstheme="minorEastAsia"/>
          <w:sz w:val="24"/>
          <w:szCs w:val="24"/>
          <w:lang w:eastAsia="zh-CN"/>
        </w:rPr>
        <w:t>全财务报告制度，按要求向甲方提供资金的使用情况、服务项目执行情况、成果总结等材料。</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11、调价机制。合同执行中，如果服务内容、服务范围等各调价因素单项变动时，甲乙双方均可发起调价程序。（</w:t>
      </w:r>
      <w:r>
        <w:rPr>
          <w:rFonts w:hint="eastAsia" w:asciiTheme="minorEastAsia" w:hAnsiTheme="minorEastAsia" w:eastAsiaTheme="minorEastAsia" w:cstheme="minorEastAsia"/>
          <w:color w:val="auto"/>
          <w:sz w:val="24"/>
          <w:szCs w:val="24"/>
          <w:lang w:val="en-US" w:eastAsia="zh-CN"/>
        </w:rPr>
        <w:t>最终以合同签订为准）</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color w:val="auto"/>
          <w:sz w:val="24"/>
          <w:szCs w:val="24"/>
          <w:lang w:eastAsia="zh-CN"/>
        </w:rPr>
        <w:t>(1)如遇国家或地方税收政策调整，影响服务成本的，甲乙双方均</w:t>
      </w:r>
      <w:r>
        <w:rPr>
          <w:rFonts w:hint="eastAsia" w:asciiTheme="minorEastAsia" w:hAnsiTheme="minorEastAsia" w:eastAsiaTheme="minorEastAsia" w:cstheme="minorEastAsia"/>
          <w:sz w:val="24"/>
          <w:szCs w:val="24"/>
          <w:lang w:eastAsia="zh-CN"/>
        </w:rPr>
        <w:t>可发起调价程序；</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(2)人工成本因政策性调整的，乙方需向甲方提出申请，经审核后按乙方申请调价之日起执行，付费方式按增加作业服务费支付乙方；</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(3)甲方对作业标准提出变化要求的。</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(4)每次调价工作发起方应以书面形式向对方提交调价申请，并提供变动依据。若为乙方发起的调价程序，甲方接到申请后，组织</w:t>
      </w:r>
      <w:r>
        <w:rPr>
          <w:rFonts w:hint="eastAsia" w:asciiTheme="minorEastAsia" w:hAnsiTheme="minorEastAsia" w:eastAsiaTheme="minorEastAsia" w:cstheme="minorEastAsia"/>
          <w:sz w:val="24"/>
          <w:szCs w:val="24"/>
          <w:lang w:val="en-US" w:eastAsia="zh-CN"/>
        </w:rPr>
        <w:t>托克逊县</w:t>
      </w:r>
      <w:r>
        <w:rPr>
          <w:rFonts w:hint="eastAsia" w:asciiTheme="minorEastAsia" w:hAnsiTheme="minorEastAsia" w:eastAsiaTheme="minorEastAsia" w:cstheme="minorEastAsia"/>
          <w:sz w:val="24"/>
          <w:szCs w:val="24"/>
          <w:lang w:eastAsia="zh-CN"/>
        </w:rPr>
        <w:t>财政部门、法制办和相关单位联合对项目财务进行审核，确定调整后的服务费价格；若为甲方发 起的调价程序，乙方应根据甲方核算数据进行核实，以便双方确定调整后的服务费价格。如果就价格调整出现分歧，双方可委托独立的第三方进行评估确认。价格调整的生效时间为触发调价机制的相关因素发生之日，支付时间为提出申请之日起30日内。</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第六条：违约责任</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(一)甲方无正当理由未能按合同约定支付购买服务款的，应向乙方支付同期购买服务款万分之三的违约金。</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(二)乙方违反合同约定，提供的服务不能达到合同约定的标准，在甲方提出整改期限内仍不能达到标准的，甲方有权解除合同，合同当期应付款不予支付，并且乙方向甲方支付当期应付款</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lang w:eastAsia="zh-CN"/>
        </w:rPr>
        <w:t>的违约金。</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三)因甲方原因导致乙方不能履行合同的，甲方除支付乙方当期应付款全部费用外，并应向乙方支付当期应付款项万分之三的违约金。因乙方原因导致甲方不能履行合同的，甲方有权解除合同，拒绝支付剩余款项，且乙方需向甲方支付服务总价款项万分之三的违约金。</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(四)在合同履行过程中，双方因违约或重大过失造成对方经济损失的，应当按照各自的过错程度承担相应的损失比例(包含特种设备)。</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(五)承包期内、如果乙方要终止协议，需提前两个月以书面形式通知对方。</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第七条：奖惩措施</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(一)根据甲方制定的考核细则，甲方按照日常工作标准实行日考核、周汇总、月考核、年评级，乙方提供的服务不符合约定的服务标准时应承担违约责任，甲方依据《合同》附件《</w:t>
      </w:r>
      <w:r>
        <w:rPr>
          <w:rFonts w:hint="eastAsia" w:asciiTheme="minorEastAsia" w:hAnsiTheme="minorEastAsia" w:eastAsiaTheme="minorEastAsia" w:cstheme="minorEastAsia"/>
          <w:sz w:val="24"/>
          <w:szCs w:val="24"/>
          <w:lang w:val="en-US" w:eastAsia="zh-CN"/>
        </w:rPr>
        <w:t>托克逊县城市环卫园林一体化管理项目第一包</w:t>
      </w:r>
      <w:r>
        <w:rPr>
          <w:rFonts w:hint="eastAsia" w:asciiTheme="minorEastAsia" w:hAnsiTheme="minorEastAsia" w:eastAsiaTheme="minorEastAsia" w:cstheme="minorEastAsia"/>
          <w:sz w:val="24"/>
          <w:szCs w:val="24"/>
          <w:lang w:eastAsia="zh-CN"/>
        </w:rPr>
        <w:t>考核</w:t>
      </w:r>
      <w:r>
        <w:rPr>
          <w:rFonts w:hint="eastAsia" w:asciiTheme="minorEastAsia" w:hAnsiTheme="minorEastAsia" w:eastAsiaTheme="minorEastAsia" w:cstheme="minorEastAsia"/>
          <w:sz w:val="24"/>
          <w:szCs w:val="24"/>
          <w:lang w:val="en-US" w:eastAsia="zh-CN"/>
        </w:rPr>
        <w:t>标准</w:t>
      </w:r>
      <w:r>
        <w:rPr>
          <w:rFonts w:hint="eastAsia" w:asciiTheme="minorEastAsia" w:hAnsiTheme="minorEastAsia" w:eastAsiaTheme="minorEastAsia" w:cstheme="minorEastAsia"/>
          <w:sz w:val="24"/>
          <w:szCs w:val="24"/>
          <w:lang w:eastAsia="zh-CN"/>
        </w:rPr>
        <w:t>》对乙方扣除相应分值，每分值对应金额</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000元，违约金从购买服务费中扣除。</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(二)高标准、高质量完成重要政务活动环境保障和园林养护等工作任务，包括领导视察(</w:t>
      </w:r>
      <w:r>
        <w:rPr>
          <w:rFonts w:hint="eastAsia" w:asciiTheme="minorEastAsia" w:hAnsiTheme="minorEastAsia" w:eastAsiaTheme="minorEastAsia" w:cstheme="minorEastAsia"/>
          <w:sz w:val="24"/>
          <w:szCs w:val="24"/>
          <w:lang w:val="en-US" w:eastAsia="zh-CN"/>
        </w:rPr>
        <w:t>县</w:t>
      </w:r>
      <w:r>
        <w:rPr>
          <w:rFonts w:hint="eastAsia" w:asciiTheme="minorEastAsia" w:hAnsiTheme="minorEastAsia" w:eastAsiaTheme="minorEastAsia" w:cstheme="minorEastAsia"/>
          <w:sz w:val="24"/>
          <w:szCs w:val="24"/>
          <w:lang w:eastAsia="zh-CN"/>
        </w:rPr>
        <w:t>级以上领导)或大型活动等，完成非责任范围内的应急保障工作任务的，突发事件应急保障中作用明显，经甲方书面认可，每次加5分；“抓、拍”随手乱扔垃圾，占用、破坏绿地，市政设施，停车占道等不文明视频，及时上报经甲方录用的，每录用20条加1分；环卫、园林工作突出，有</w:t>
      </w:r>
      <w:r>
        <w:rPr>
          <w:rFonts w:hint="eastAsia" w:asciiTheme="minorEastAsia" w:hAnsiTheme="minorEastAsia" w:eastAsiaTheme="minorEastAsia" w:cstheme="minorEastAsia"/>
          <w:sz w:val="24"/>
          <w:szCs w:val="24"/>
          <w:lang w:val="en-US" w:eastAsia="zh-CN"/>
        </w:rPr>
        <w:t>县</w:t>
      </w:r>
      <w:r>
        <w:rPr>
          <w:rFonts w:hint="eastAsia" w:asciiTheme="minorEastAsia" w:hAnsiTheme="minorEastAsia" w:eastAsiaTheme="minorEastAsia" w:cstheme="minorEastAsia"/>
          <w:sz w:val="24"/>
          <w:szCs w:val="24"/>
          <w:lang w:eastAsia="zh-CN"/>
        </w:rPr>
        <w:t>级以上领导表扬批示并有相关文件，经甲方书面认可，每次加3分；被新闻媒体表扬，经核实的，加5分；工作信息经甲方审核上报，被</w:t>
      </w:r>
      <w:r>
        <w:rPr>
          <w:rFonts w:hint="eastAsia" w:asciiTheme="minorEastAsia" w:hAnsiTheme="minorEastAsia" w:eastAsiaTheme="minorEastAsia" w:cstheme="minorEastAsia"/>
          <w:sz w:val="24"/>
          <w:szCs w:val="24"/>
          <w:lang w:val="en-US" w:eastAsia="zh-CN"/>
        </w:rPr>
        <w:t>县</w:t>
      </w:r>
      <w:r>
        <w:rPr>
          <w:rFonts w:hint="eastAsia" w:asciiTheme="minorEastAsia" w:hAnsiTheme="minorEastAsia" w:eastAsiaTheme="minorEastAsia" w:cstheme="minorEastAsia"/>
          <w:sz w:val="24"/>
          <w:szCs w:val="24"/>
          <w:lang w:eastAsia="zh-CN"/>
        </w:rPr>
        <w:t>级网站采用1篇加0.1分，被</w:t>
      </w:r>
      <w:r>
        <w:rPr>
          <w:rFonts w:hint="eastAsia" w:asciiTheme="minorEastAsia" w:hAnsiTheme="minorEastAsia" w:eastAsiaTheme="minorEastAsia" w:cstheme="minorEastAsia"/>
          <w:sz w:val="24"/>
          <w:szCs w:val="24"/>
          <w:lang w:val="en-US" w:eastAsia="zh-CN"/>
        </w:rPr>
        <w:t>市</w:t>
      </w:r>
      <w:r>
        <w:rPr>
          <w:rFonts w:hint="eastAsia" w:asciiTheme="minorEastAsia" w:hAnsiTheme="minorEastAsia" w:eastAsiaTheme="minorEastAsia" w:cstheme="minorEastAsia"/>
          <w:sz w:val="24"/>
          <w:szCs w:val="24"/>
          <w:lang w:eastAsia="zh-CN"/>
        </w:rPr>
        <w:t>级</w:t>
      </w:r>
      <w:r>
        <w:rPr>
          <w:rFonts w:hint="eastAsia" w:asciiTheme="minorEastAsia" w:hAnsiTheme="minorEastAsia" w:eastAsiaTheme="minorEastAsia" w:cstheme="minorEastAsia"/>
          <w:sz w:val="24"/>
          <w:szCs w:val="24"/>
          <w:lang w:val="en-US" w:eastAsia="zh-CN"/>
        </w:rPr>
        <w:t>及以上</w:t>
      </w:r>
      <w:r>
        <w:rPr>
          <w:rFonts w:hint="eastAsia" w:asciiTheme="minorEastAsia" w:hAnsiTheme="minorEastAsia" w:eastAsiaTheme="minorEastAsia" w:cstheme="minorEastAsia"/>
          <w:sz w:val="24"/>
          <w:szCs w:val="24"/>
          <w:lang w:eastAsia="zh-CN"/>
        </w:rPr>
        <w:t>网站采用1篇加0.</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分。</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(三)在合同服务期间，经政府及相关职能部门监督考核或新闻媒体的舆论监督，若发现乙方所提供的服务内容不符合有关标准细则，首先应按照《考核细则》对乙方扣除相应分值，每分值对应金额</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000元，违约金从购买服务费中扣除；若被</w:t>
      </w:r>
      <w:r>
        <w:rPr>
          <w:rFonts w:hint="eastAsia" w:asciiTheme="minorEastAsia" w:hAnsiTheme="minorEastAsia" w:eastAsiaTheme="minorEastAsia" w:cstheme="minorEastAsia"/>
          <w:sz w:val="24"/>
          <w:szCs w:val="24"/>
          <w:lang w:val="en-US" w:eastAsia="zh-CN"/>
        </w:rPr>
        <w:t>县</w:t>
      </w:r>
      <w:r>
        <w:rPr>
          <w:rFonts w:hint="eastAsia" w:asciiTheme="minorEastAsia" w:hAnsiTheme="minorEastAsia" w:eastAsiaTheme="minorEastAsia" w:cstheme="minorEastAsia"/>
          <w:sz w:val="24"/>
          <w:szCs w:val="24"/>
          <w:lang w:eastAsia="zh-CN"/>
        </w:rPr>
        <w:t>级</w:t>
      </w:r>
      <w:r>
        <w:rPr>
          <w:rFonts w:hint="eastAsia" w:asciiTheme="minorEastAsia" w:hAnsiTheme="minorEastAsia" w:eastAsiaTheme="minorEastAsia" w:cstheme="minorEastAsia"/>
          <w:sz w:val="24"/>
          <w:szCs w:val="24"/>
          <w:lang w:val="en-US" w:eastAsia="zh-CN"/>
        </w:rPr>
        <w:t>及以上</w:t>
      </w:r>
      <w:r>
        <w:rPr>
          <w:rFonts w:hint="eastAsia" w:asciiTheme="minorEastAsia" w:hAnsiTheme="minorEastAsia" w:eastAsiaTheme="minorEastAsia" w:cstheme="minorEastAsia"/>
          <w:sz w:val="24"/>
          <w:szCs w:val="24"/>
          <w:lang w:eastAsia="zh-CN"/>
        </w:rPr>
        <w:t>点名批评、通报后，未按甲方给定的期限内改善服务质量的，每次扣款5000元，并以此类推，累积计算，违约金从服务费中扣除。</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(四)迎接</w:t>
      </w:r>
      <w:r>
        <w:rPr>
          <w:rFonts w:hint="eastAsia" w:asciiTheme="minorEastAsia" w:hAnsiTheme="minorEastAsia" w:eastAsiaTheme="minorEastAsia" w:cstheme="minorEastAsia"/>
          <w:sz w:val="24"/>
          <w:szCs w:val="24"/>
          <w:lang w:val="en-US" w:eastAsia="zh-CN"/>
        </w:rPr>
        <w:t>托克逊县</w:t>
      </w:r>
      <w:r>
        <w:rPr>
          <w:rFonts w:hint="eastAsia" w:asciiTheme="minorEastAsia" w:hAnsiTheme="minorEastAsia" w:eastAsiaTheme="minorEastAsia" w:cstheme="minorEastAsia"/>
          <w:sz w:val="24"/>
          <w:szCs w:val="24"/>
          <w:lang w:eastAsia="zh-CN"/>
        </w:rPr>
        <w:t>各类检查验收及领导观摩调研不予重视，对保洁区域卫生不进行清理整治，影响我</w:t>
      </w:r>
      <w:r>
        <w:rPr>
          <w:rFonts w:hint="eastAsia" w:asciiTheme="minorEastAsia" w:hAnsiTheme="minorEastAsia" w:eastAsiaTheme="minorEastAsia" w:cstheme="minorEastAsia"/>
          <w:sz w:val="24"/>
          <w:szCs w:val="24"/>
          <w:lang w:val="en-US" w:eastAsia="zh-CN"/>
        </w:rPr>
        <w:t>县</w:t>
      </w:r>
      <w:r>
        <w:rPr>
          <w:rFonts w:hint="eastAsia" w:asciiTheme="minorEastAsia" w:hAnsiTheme="minorEastAsia" w:eastAsiaTheme="minorEastAsia" w:cstheme="minorEastAsia"/>
          <w:sz w:val="24"/>
          <w:szCs w:val="24"/>
          <w:lang w:eastAsia="zh-CN"/>
        </w:rPr>
        <w:t>整体形象的，被</w:t>
      </w:r>
      <w:r>
        <w:rPr>
          <w:rFonts w:hint="eastAsia" w:asciiTheme="minorEastAsia" w:hAnsiTheme="minorEastAsia" w:eastAsiaTheme="minorEastAsia" w:cstheme="minorEastAsia"/>
          <w:sz w:val="24"/>
          <w:szCs w:val="24"/>
          <w:lang w:val="en-US" w:eastAsia="zh-CN"/>
        </w:rPr>
        <w:t>县</w:t>
      </w:r>
      <w:r>
        <w:rPr>
          <w:rFonts w:hint="eastAsia" w:asciiTheme="minorEastAsia" w:hAnsiTheme="minorEastAsia" w:eastAsiaTheme="minorEastAsia" w:cstheme="minorEastAsia"/>
          <w:sz w:val="24"/>
          <w:szCs w:val="24"/>
          <w:lang w:eastAsia="zh-CN"/>
        </w:rPr>
        <w:t>级曝光、通报的扣违约金5000元；在</w:t>
      </w:r>
      <w:r>
        <w:rPr>
          <w:rFonts w:hint="eastAsia" w:asciiTheme="minorEastAsia" w:hAnsiTheme="minorEastAsia" w:eastAsiaTheme="minorEastAsia" w:cstheme="minorEastAsia"/>
          <w:sz w:val="24"/>
          <w:szCs w:val="24"/>
          <w:lang w:val="en-US" w:eastAsia="zh-CN"/>
        </w:rPr>
        <w:t>托克逊县</w:t>
      </w:r>
      <w:r>
        <w:rPr>
          <w:rFonts w:hint="eastAsia" w:asciiTheme="minorEastAsia" w:hAnsiTheme="minorEastAsia" w:eastAsiaTheme="minorEastAsia" w:cstheme="minorEastAsia"/>
          <w:sz w:val="24"/>
          <w:szCs w:val="24"/>
          <w:lang w:eastAsia="zh-CN"/>
        </w:rPr>
        <w:t>检查、验收观摩中出现问题扣违约金10000元，扣违约金从服务费中扣除。</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第八条：考核实施办法</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1、甲方按照日常工作标准实行日考核、周汇总、月考核、年评级</w:t>
      </w:r>
      <w:r>
        <w:rPr>
          <w:rFonts w:hint="eastAsia" w:asciiTheme="minorEastAsia" w:hAnsiTheme="minorEastAsia" w:eastAsiaTheme="minorEastAsia" w:cstheme="minorEastAsia"/>
          <w:sz w:val="24"/>
          <w:szCs w:val="24"/>
          <w:lang w:val="en-US" w:eastAsia="zh-CN"/>
        </w:rPr>
        <w:t>并按照环卫服务标准、园林服务标准及考核细则作出相应的处罚</w:t>
      </w:r>
      <w:r>
        <w:rPr>
          <w:rFonts w:hint="eastAsia" w:asciiTheme="minorEastAsia" w:hAnsiTheme="minorEastAsia" w:eastAsiaTheme="minorEastAsia" w:cstheme="minorEastAsia"/>
          <w:sz w:val="24"/>
          <w:szCs w:val="24"/>
          <w:lang w:eastAsia="zh-CN"/>
        </w:rPr>
        <w:t>。将考核情况向财政局报备，兑现扣除考核养护管理经费，每次考核完成后将考核扣分结果进行通报。</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2、开展每周随机抽查考核方式，做好日常工作落实和巡查问题整治。对日常巡查发现问题，按发现问题情节轻重给予整改或扣分处理。</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3、开展每月随机抽查考核方式。随机抽不少于5个点位，如被督查出问题，将按考核细则执行。</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4、由甲方组织不定期考核打分制。做到集中考核、随机考核、日考核相结合，并在此范围内，考核组可以随机抽查、定时检查或者通知相关单位共同参与考核。</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由考核小组每月进行考核，等级划分为：优秀、合格、不合格。考核小组成员进行统一打分，以考核分数为最终结果。90分以上（含90分）为优秀，60-90分以上（含60分）为合格，60分以下（不含60分）为不合格。</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第九条：项目移交</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合同期满前十日内，甲方应组织相关人员就甲方享有所有权的特种车辆等设施、设备进行现场验收，甲方享有所有权的特种车辆等设施、设备应当处于经合理使用、维修维护、保养后的正常状态，否则乙方应承担维护维修、保养责任及相关费用。</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第十条：本合同未尽事宜，合同当事人另行签订补充协议，补充协议是合同的组成部分。本合同在履行过程中若发生争议，先由甲、乙方协商解决，经协商后不能达成解决协议的，向</w:t>
      </w:r>
      <w:r>
        <w:rPr>
          <w:rFonts w:hint="eastAsia" w:asciiTheme="minorEastAsia" w:hAnsiTheme="minorEastAsia" w:eastAsiaTheme="minorEastAsia" w:cstheme="minorEastAsia"/>
          <w:sz w:val="24"/>
          <w:szCs w:val="24"/>
          <w:lang w:val="en-US" w:eastAsia="zh-CN"/>
        </w:rPr>
        <w:t>托克逊县</w:t>
      </w:r>
      <w:r>
        <w:rPr>
          <w:rFonts w:hint="eastAsia" w:asciiTheme="minorEastAsia" w:hAnsiTheme="minorEastAsia" w:eastAsiaTheme="minorEastAsia" w:cstheme="minorEastAsia"/>
          <w:sz w:val="24"/>
          <w:szCs w:val="24"/>
          <w:lang w:eastAsia="zh-CN"/>
        </w:rPr>
        <w:t>人民法院提起诉讼。</w:t>
      </w:r>
    </w:p>
    <w:p>
      <w:pPr>
        <w:keepNext w:val="0"/>
        <w:keepLines w:val="0"/>
        <w:pageBreakBefore w:val="0"/>
        <w:widowControl w:val="0"/>
        <w:kinsoku/>
        <w:wordWrap/>
        <w:overflowPunct/>
        <w:topLinePunct w:val="0"/>
        <w:autoSpaceDN/>
        <w:bidi w:val="0"/>
        <w:snapToGrid/>
        <w:spacing w:line="36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第十一条：合同份数一式四份，每份均具有同等法律效力。</w:t>
      </w:r>
    </w:p>
    <w:p>
      <w:pPr>
        <w:keepNext w:val="0"/>
        <w:keepLines w:val="0"/>
        <w:pageBreakBefore w:val="0"/>
        <w:widowControl w:val="0"/>
        <w:kinsoku/>
        <w:wordWrap/>
        <w:overflowPunct/>
        <w:topLinePunct w:val="0"/>
        <w:autoSpaceDN/>
        <w:bidi w:val="0"/>
        <w:snapToGrid/>
        <w:spacing w:line="360" w:lineRule="exact"/>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N/>
        <w:bidi w:val="0"/>
        <w:snapToGrid/>
        <w:spacing w:line="360" w:lineRule="exact"/>
        <w:textAlignment w:val="auto"/>
        <w:rPr>
          <w:rFonts w:hint="eastAsia" w:asciiTheme="minorEastAsia" w:hAnsiTheme="minorEastAsia" w:eastAsiaTheme="minorEastAsia" w:cstheme="minorEastAsia"/>
          <w:spacing w:val="19"/>
          <w:position w:val="20"/>
          <w:sz w:val="24"/>
          <w:szCs w:val="24"/>
        </w:rPr>
      </w:pPr>
      <w:r>
        <w:rPr>
          <w:rFonts w:hint="eastAsia" w:asciiTheme="minorEastAsia" w:hAnsiTheme="minorEastAsia" w:eastAsiaTheme="minorEastAsia" w:cstheme="minorEastAsia"/>
          <w:sz w:val="24"/>
          <w:szCs w:val="24"/>
          <w:lang w:eastAsia="zh-CN"/>
        </w:rPr>
        <w:t>附件：</w:t>
      </w:r>
      <w:r>
        <w:rPr>
          <w:rFonts w:hint="eastAsia" w:asciiTheme="minorEastAsia" w:hAnsiTheme="minorEastAsia" w:eastAsiaTheme="minorEastAsia" w:cstheme="minorEastAsia"/>
          <w:sz w:val="24"/>
          <w:szCs w:val="24"/>
          <w:lang w:val="en-US" w:eastAsia="zh-CN"/>
        </w:rPr>
        <w:t>托克逊县城市环卫园林一体化管理项目第一包</w:t>
      </w:r>
      <w:r>
        <w:rPr>
          <w:rFonts w:hint="eastAsia" w:asciiTheme="minorEastAsia" w:hAnsiTheme="minorEastAsia" w:eastAsiaTheme="minorEastAsia" w:cstheme="minorEastAsia"/>
          <w:sz w:val="24"/>
          <w:szCs w:val="24"/>
          <w:lang w:eastAsia="zh-CN"/>
        </w:rPr>
        <w:t>考核</w:t>
      </w:r>
      <w:r>
        <w:rPr>
          <w:rFonts w:hint="eastAsia" w:asciiTheme="minorEastAsia" w:hAnsiTheme="minorEastAsia" w:eastAsiaTheme="minorEastAsia" w:cstheme="minorEastAsia"/>
          <w:sz w:val="24"/>
          <w:szCs w:val="24"/>
          <w:lang w:val="en-US" w:eastAsia="zh-CN"/>
        </w:rPr>
        <w:t>标准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甲方（盖章）：</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法定代表人(或委托代理):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地址：</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电话：</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日 期 ：     年  月  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乙方（盖章）：</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法定代表人(或委托代理):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地址：</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电话：</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sz w:val="24"/>
          <w:szCs w:val="24"/>
          <w:lang w:eastAsia="zh-CN"/>
        </w:rPr>
        <w:t>日 期 ：     年  月  日</w:t>
      </w:r>
    </w:p>
    <w:p>
      <w:pPr>
        <w:pageBreakBefore w:val="0"/>
        <w:kinsoku/>
        <w:wordWrap/>
        <w:overflowPunct/>
        <w:topLinePunct w:val="0"/>
        <w:bidi w:val="0"/>
        <w:spacing w:beforeAutospacing="0" w:afterAutospacing="0" w:line="400" w:lineRule="exact"/>
        <w:jc w:val="center"/>
        <w:rPr>
          <w:rFonts w:hint="eastAsia" w:asciiTheme="minorEastAsia" w:hAnsiTheme="minorEastAsia" w:eastAsiaTheme="minorEastAsia" w:cstheme="minorEastAsia"/>
          <w:b/>
          <w:bCs/>
          <w:w w:val="90"/>
          <w:sz w:val="24"/>
          <w:szCs w:val="24"/>
        </w:rPr>
      </w:pPr>
    </w:p>
    <w:p>
      <w:pPr>
        <w:pageBreakBefore w:val="0"/>
        <w:kinsoku/>
        <w:wordWrap/>
        <w:overflowPunct/>
        <w:topLinePunct w:val="0"/>
        <w:bidi w:val="0"/>
        <w:spacing w:beforeAutospacing="0" w:afterAutospacing="0" w:line="400" w:lineRule="exact"/>
        <w:jc w:val="center"/>
        <w:rPr>
          <w:rFonts w:hint="eastAsia" w:asciiTheme="minorEastAsia" w:hAnsiTheme="minorEastAsia" w:eastAsiaTheme="minorEastAsia" w:cstheme="minorEastAsia"/>
          <w:b/>
          <w:bCs/>
          <w:w w:val="90"/>
          <w:sz w:val="24"/>
          <w:szCs w:val="24"/>
        </w:rPr>
      </w:pPr>
    </w:p>
    <w:p>
      <w:pPr>
        <w:pageBreakBefore w:val="0"/>
        <w:kinsoku/>
        <w:wordWrap/>
        <w:overflowPunct/>
        <w:topLinePunct w:val="0"/>
        <w:bidi w:val="0"/>
        <w:spacing w:beforeAutospacing="0" w:afterAutospacing="0" w:line="400" w:lineRule="exact"/>
        <w:jc w:val="center"/>
        <w:rPr>
          <w:rFonts w:hint="eastAsia" w:asciiTheme="minorEastAsia" w:hAnsiTheme="minorEastAsia" w:eastAsiaTheme="minorEastAsia" w:cstheme="minorEastAsia"/>
          <w:b/>
          <w:bCs/>
          <w:w w:val="90"/>
          <w:sz w:val="24"/>
          <w:szCs w:val="24"/>
        </w:rPr>
      </w:pPr>
    </w:p>
    <w:p>
      <w:pPr>
        <w:pageBreakBefore w:val="0"/>
        <w:kinsoku/>
        <w:wordWrap/>
        <w:overflowPunct/>
        <w:topLinePunct w:val="0"/>
        <w:bidi w:val="0"/>
        <w:spacing w:beforeAutospacing="0" w:afterAutospacing="0" w:line="400" w:lineRule="exact"/>
        <w:jc w:val="center"/>
        <w:rPr>
          <w:rFonts w:hint="eastAsia" w:asciiTheme="minorEastAsia" w:hAnsiTheme="minorEastAsia" w:eastAsiaTheme="minorEastAsia" w:cstheme="minorEastAsia"/>
          <w:b/>
          <w:bCs/>
          <w:w w:val="90"/>
          <w:sz w:val="24"/>
          <w:szCs w:val="24"/>
        </w:rPr>
      </w:pPr>
    </w:p>
    <w:p>
      <w:pPr>
        <w:pageBreakBefore w:val="0"/>
        <w:kinsoku/>
        <w:wordWrap/>
        <w:overflowPunct/>
        <w:topLinePunct w:val="0"/>
        <w:bidi w:val="0"/>
        <w:spacing w:beforeAutospacing="0" w:afterAutospacing="0" w:line="400" w:lineRule="exact"/>
        <w:jc w:val="center"/>
        <w:rPr>
          <w:rFonts w:hint="eastAsia" w:asciiTheme="minorEastAsia" w:hAnsiTheme="minorEastAsia" w:eastAsiaTheme="minorEastAsia" w:cstheme="minorEastAsia"/>
          <w:b/>
          <w:bCs/>
          <w:w w:val="90"/>
          <w:sz w:val="24"/>
          <w:szCs w:val="24"/>
        </w:rPr>
      </w:pPr>
    </w:p>
    <w:p>
      <w:pPr>
        <w:pageBreakBefore w:val="0"/>
        <w:kinsoku/>
        <w:wordWrap/>
        <w:overflowPunct/>
        <w:topLinePunct w:val="0"/>
        <w:bidi w:val="0"/>
        <w:spacing w:beforeAutospacing="0" w:afterAutospacing="0" w:line="400" w:lineRule="exact"/>
        <w:jc w:val="center"/>
        <w:rPr>
          <w:rFonts w:hint="eastAsia" w:asciiTheme="minorEastAsia" w:hAnsiTheme="minorEastAsia" w:eastAsiaTheme="minorEastAsia" w:cstheme="minorEastAsia"/>
          <w:b/>
          <w:bCs/>
          <w:w w:val="90"/>
          <w:sz w:val="24"/>
          <w:szCs w:val="24"/>
        </w:rPr>
      </w:pPr>
    </w:p>
    <w:p>
      <w:pPr>
        <w:pageBreakBefore w:val="0"/>
        <w:kinsoku/>
        <w:wordWrap/>
        <w:overflowPunct/>
        <w:topLinePunct w:val="0"/>
        <w:bidi w:val="0"/>
        <w:spacing w:beforeAutospacing="0" w:afterAutospacing="0" w:line="400" w:lineRule="exact"/>
        <w:jc w:val="center"/>
        <w:rPr>
          <w:rFonts w:hint="eastAsia" w:asciiTheme="minorEastAsia" w:hAnsiTheme="minorEastAsia" w:eastAsiaTheme="minorEastAsia" w:cstheme="minorEastAsia"/>
          <w:b/>
          <w:bCs/>
          <w:w w:val="90"/>
          <w:sz w:val="24"/>
          <w:szCs w:val="24"/>
        </w:rPr>
      </w:pPr>
    </w:p>
    <w:p>
      <w:pPr>
        <w:pageBreakBefore w:val="0"/>
        <w:kinsoku/>
        <w:wordWrap/>
        <w:overflowPunct/>
        <w:topLinePunct w:val="0"/>
        <w:bidi w:val="0"/>
        <w:spacing w:beforeAutospacing="0" w:afterAutospacing="0" w:line="400" w:lineRule="exact"/>
        <w:jc w:val="center"/>
        <w:rPr>
          <w:rFonts w:hint="eastAsia" w:asciiTheme="minorEastAsia" w:hAnsiTheme="minorEastAsia" w:eastAsiaTheme="minorEastAsia" w:cstheme="minorEastAsia"/>
          <w:b/>
          <w:bCs/>
          <w:w w:val="90"/>
          <w:sz w:val="24"/>
          <w:szCs w:val="24"/>
        </w:rPr>
      </w:pPr>
    </w:p>
    <w:p>
      <w:pPr>
        <w:pStyle w:val="2"/>
        <w:rPr>
          <w:rFonts w:hint="eastAsia" w:asciiTheme="minorEastAsia" w:hAnsiTheme="minorEastAsia" w:eastAsiaTheme="minorEastAsia" w:cstheme="minorEastAsia"/>
          <w:b/>
          <w:bCs/>
          <w:w w:val="90"/>
          <w:sz w:val="24"/>
          <w:szCs w:val="24"/>
        </w:rPr>
      </w:pPr>
    </w:p>
    <w:p>
      <w:pPr>
        <w:pStyle w:val="2"/>
        <w:rPr>
          <w:rFonts w:hint="eastAsia" w:asciiTheme="minorEastAsia" w:hAnsiTheme="minorEastAsia" w:eastAsiaTheme="minorEastAsia" w:cstheme="minorEastAsia"/>
          <w:b/>
          <w:bCs/>
          <w:w w:val="90"/>
          <w:sz w:val="24"/>
          <w:szCs w:val="24"/>
        </w:rPr>
      </w:pPr>
    </w:p>
    <w:p>
      <w:pPr>
        <w:pageBreakBefore w:val="0"/>
        <w:kinsoku/>
        <w:wordWrap/>
        <w:overflowPunct/>
        <w:topLinePunct w:val="0"/>
        <w:bidi w:val="0"/>
        <w:spacing w:beforeAutospacing="0" w:afterAutospacing="0" w:line="400" w:lineRule="exact"/>
        <w:jc w:val="center"/>
        <w:rPr>
          <w:rFonts w:hint="eastAsia" w:asciiTheme="minorEastAsia" w:hAnsiTheme="minorEastAsia" w:eastAsiaTheme="minorEastAsia" w:cstheme="minorEastAsia"/>
          <w:b/>
          <w:bCs/>
          <w:w w:val="90"/>
          <w:sz w:val="24"/>
          <w:szCs w:val="24"/>
        </w:rPr>
      </w:pPr>
    </w:p>
    <w:p>
      <w:pPr>
        <w:pageBreakBefore w:val="0"/>
        <w:kinsoku/>
        <w:wordWrap/>
        <w:overflowPunct/>
        <w:topLinePunct w:val="0"/>
        <w:bidi w:val="0"/>
        <w:spacing w:beforeAutospacing="0" w:afterAutospacing="0" w:line="400" w:lineRule="exact"/>
        <w:jc w:val="center"/>
        <w:rPr>
          <w:rFonts w:hint="eastAsia" w:ascii="宋体" w:hAnsi="宋体" w:eastAsia="宋体" w:cs="宋体"/>
          <w:b/>
          <w:bCs/>
          <w:w w:val="90"/>
          <w:sz w:val="24"/>
          <w:szCs w:val="24"/>
        </w:rPr>
      </w:pPr>
    </w:p>
    <w:p>
      <w:pPr>
        <w:pageBreakBefore w:val="0"/>
        <w:kinsoku/>
        <w:wordWrap/>
        <w:overflowPunct/>
        <w:topLinePunct w:val="0"/>
        <w:bidi w:val="0"/>
        <w:spacing w:beforeAutospacing="0" w:afterAutospacing="0" w:line="400" w:lineRule="exact"/>
        <w:jc w:val="both"/>
        <w:rPr>
          <w:rFonts w:hint="eastAsia" w:ascii="宋体" w:hAnsi="宋体" w:eastAsia="宋体" w:cs="宋体"/>
          <w:b/>
          <w:bCs/>
          <w:w w:val="90"/>
          <w:sz w:val="24"/>
          <w:szCs w:val="24"/>
          <w:lang w:eastAsia="zh-CN"/>
        </w:rPr>
      </w:pPr>
    </w:p>
    <w:p>
      <w:pPr>
        <w:pageBreakBefore w:val="0"/>
        <w:kinsoku/>
        <w:wordWrap/>
        <w:overflowPunct/>
        <w:topLinePunct w:val="0"/>
        <w:bidi w:val="0"/>
        <w:spacing w:beforeAutospacing="0" w:afterAutospacing="0" w:line="400" w:lineRule="exact"/>
        <w:jc w:val="center"/>
        <w:rPr>
          <w:rFonts w:hint="eastAsia" w:ascii="宋体" w:hAnsi="宋体" w:eastAsia="宋体" w:cs="宋体"/>
          <w:b/>
          <w:bCs/>
          <w:w w:val="90"/>
          <w:sz w:val="24"/>
          <w:szCs w:val="24"/>
        </w:rPr>
      </w:pPr>
      <w:r>
        <w:rPr>
          <w:rFonts w:hint="eastAsia" w:ascii="宋体" w:hAnsi="宋体" w:eastAsia="宋体" w:cs="宋体"/>
          <w:b/>
          <w:kern w:val="2"/>
          <w:sz w:val="24"/>
          <w:szCs w:val="24"/>
          <w:lang w:val="en-US" w:eastAsia="zh-CN" w:bidi="ar-SA"/>
        </w:rPr>
        <w:t>合同专用条款</w:t>
      </w:r>
    </w:p>
    <w:p>
      <w:pPr>
        <w:keepNext w:val="0"/>
        <w:keepLines w:val="0"/>
        <w:pageBreakBefore w:val="0"/>
        <w:widowControl w:val="0"/>
        <w:kinsoku/>
        <w:wordWrap/>
        <w:overflowPunct/>
        <w:topLinePunct w:val="0"/>
        <w:autoSpaceDE/>
        <w:autoSpaceDN/>
        <w:bidi w:val="0"/>
        <w:adjustRightInd w:val="0"/>
        <w:snapToGrid w:val="0"/>
        <w:spacing w:beforeAutospacing="0" w:afterAutospacing="0" w:line="3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本部分是对前部分的补充和修改，如果前部分和本部分的约定不一致，应以本部分的约定为准。</w:t>
      </w:r>
    </w:p>
    <w:p>
      <w:pPr>
        <w:keepNext w:val="0"/>
        <w:keepLines w:val="0"/>
        <w:pageBreakBefore w:val="0"/>
        <w:widowControl w:val="0"/>
        <w:kinsoku/>
        <w:wordWrap/>
        <w:overflowPunct/>
        <w:topLinePunct w:val="0"/>
        <w:autoSpaceDE/>
        <w:autoSpaceDN/>
        <w:bidi w:val="0"/>
        <w:adjustRightInd w:val="0"/>
        <w:snapToGrid w:val="0"/>
        <w:spacing w:beforeAutospacing="0" w:afterAutospacing="0" w:line="3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条款号</w:t>
      </w:r>
      <w:r>
        <w:rPr>
          <w:rFonts w:hint="eastAsia" w:ascii="宋体" w:hAnsi="宋体" w:eastAsia="宋体" w:cs="宋体"/>
          <w:sz w:val="24"/>
          <w:szCs w:val="24"/>
        </w:rPr>
        <w:tab/>
      </w:r>
      <w:r>
        <w:rPr>
          <w:rFonts w:hint="eastAsia" w:ascii="宋体" w:hAnsi="宋体" w:eastAsia="宋体" w:cs="宋体"/>
          <w:sz w:val="24"/>
          <w:szCs w:val="24"/>
        </w:rPr>
        <w:t>约定内容</w:t>
      </w:r>
    </w:p>
    <w:p>
      <w:pPr>
        <w:keepNext w:val="0"/>
        <w:keepLines w:val="0"/>
        <w:pageBreakBefore w:val="0"/>
        <w:widowControl w:val="0"/>
        <w:numPr>
          <w:ilvl w:val="0"/>
          <w:numId w:val="4"/>
        </w:numPr>
        <w:kinsoku/>
        <w:wordWrap/>
        <w:overflowPunct/>
        <w:topLinePunct w:val="0"/>
        <w:autoSpaceDE/>
        <w:autoSpaceDN/>
        <w:bidi w:val="0"/>
        <w:adjustRightInd w:val="0"/>
        <w:snapToGrid w:val="0"/>
        <w:spacing w:beforeAutospacing="0" w:afterAutospacing="0" w:line="3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作业内容：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3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环卫：</w:t>
      </w:r>
    </w:p>
    <w:p>
      <w:pPr>
        <w:keepNext w:val="0"/>
        <w:keepLines w:val="0"/>
        <w:pageBreakBefore w:val="0"/>
        <w:widowControl w:val="0"/>
        <w:kinsoku/>
        <w:wordWrap/>
        <w:overflowPunct/>
        <w:topLinePunct w:val="0"/>
        <w:autoSpaceDE/>
        <w:autoSpaceDN/>
        <w:bidi w:val="0"/>
        <w:adjustRightInd w:val="0"/>
        <w:snapToGrid w:val="0"/>
        <w:spacing w:beforeAutospacing="0" w:afterAutospacing="0" w:line="3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1、道路等铺装地面每天进行普扫</w:t>
      </w:r>
      <w:r>
        <w:rPr>
          <w:rFonts w:hint="eastAsia" w:ascii="宋体" w:hAnsi="宋体" w:cs="宋体"/>
          <w:sz w:val="24"/>
          <w:szCs w:val="24"/>
          <w:lang w:eastAsia="zh-CN"/>
        </w:rPr>
        <w:t>，</w:t>
      </w:r>
      <w:r>
        <w:rPr>
          <w:rFonts w:hint="eastAsia" w:ascii="宋体" w:hAnsi="宋体" w:cs="宋体"/>
          <w:sz w:val="24"/>
          <w:szCs w:val="24"/>
          <w:lang w:val="en-US" w:eastAsia="zh-CN"/>
        </w:rPr>
        <w:t>道路、背街小巷等的洒水降尘</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3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2、水电设施、配电箱、座椅、管理房、雕塑、小品、亭廊、桥梁、喷泉、大屏幕、栏杆</w:t>
      </w:r>
      <w:r>
        <w:rPr>
          <w:rFonts w:hint="eastAsia" w:ascii="宋体" w:hAnsi="宋体" w:cs="宋体"/>
          <w:color w:val="auto"/>
          <w:kern w:val="2"/>
          <w:sz w:val="24"/>
          <w:szCs w:val="24"/>
          <w:highlight w:val="none"/>
          <w:lang w:val="en-US" w:eastAsia="zh-CN" w:bidi="ar-SA"/>
        </w:rPr>
        <w:t>（汉白玉栏杆除外）</w:t>
      </w:r>
      <w:r>
        <w:rPr>
          <w:rFonts w:hint="eastAsia" w:ascii="宋体" w:hAnsi="宋体" w:eastAsia="宋体" w:cs="宋体"/>
          <w:sz w:val="24"/>
          <w:szCs w:val="24"/>
        </w:rPr>
        <w:t>、路灯、井盖、标牌、公共卫生间等城市公用设施保持内外干净整洁并进行管理；</w:t>
      </w:r>
    </w:p>
    <w:p>
      <w:pPr>
        <w:keepNext w:val="0"/>
        <w:keepLines w:val="0"/>
        <w:pageBreakBefore w:val="0"/>
        <w:widowControl w:val="0"/>
        <w:kinsoku/>
        <w:wordWrap/>
        <w:overflowPunct/>
        <w:topLinePunct w:val="0"/>
        <w:autoSpaceDE/>
        <w:autoSpaceDN/>
        <w:bidi w:val="0"/>
        <w:adjustRightInd w:val="0"/>
        <w:snapToGrid w:val="0"/>
        <w:spacing w:beforeAutospacing="0" w:afterAutospacing="0" w:line="3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3、水面、围墙四周的杂草、垃圾清理；</w:t>
      </w:r>
    </w:p>
    <w:p>
      <w:pPr>
        <w:keepNext w:val="0"/>
        <w:keepLines w:val="0"/>
        <w:pageBreakBefore w:val="0"/>
        <w:widowControl w:val="0"/>
        <w:kinsoku/>
        <w:wordWrap/>
        <w:overflowPunct/>
        <w:topLinePunct w:val="0"/>
        <w:autoSpaceDE/>
        <w:autoSpaceDN/>
        <w:bidi w:val="0"/>
        <w:adjustRightInd w:val="0"/>
        <w:snapToGrid w:val="0"/>
        <w:spacing w:beforeAutospacing="0" w:afterAutospacing="0" w:line="38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4、</w:t>
      </w:r>
      <w:r>
        <w:rPr>
          <w:rFonts w:hint="eastAsia" w:ascii="宋体" w:hAnsi="宋体" w:cs="宋体"/>
          <w:sz w:val="24"/>
          <w:szCs w:val="24"/>
          <w:lang w:val="en-US" w:eastAsia="zh-CN"/>
        </w:rPr>
        <w:t>垃圾填埋场保持正常运行与维护，按照环保要求开展监测和治理；</w:t>
      </w:r>
    </w:p>
    <w:p>
      <w:pPr>
        <w:keepNext w:val="0"/>
        <w:keepLines w:val="0"/>
        <w:pageBreakBefore w:val="0"/>
        <w:widowControl w:val="0"/>
        <w:kinsoku/>
        <w:wordWrap/>
        <w:overflowPunct/>
        <w:topLinePunct w:val="0"/>
        <w:autoSpaceDE/>
        <w:autoSpaceDN/>
        <w:bidi w:val="0"/>
        <w:adjustRightInd w:val="0"/>
        <w:snapToGrid w:val="0"/>
        <w:spacing w:beforeAutospacing="0" w:afterAutospacing="0" w:line="3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5、建（构）筑物立面、地面、果皮箱、高压线塔、配电室、配电柜、电话亭、消防栓、地下管线标志、桥梁、电线杆、路灯杆、围墙周边等公共设施和树干上乱张贴、刻画、涂写广告、宣传品、电话号码等非</w:t>
      </w:r>
      <w:r>
        <w:rPr>
          <w:rFonts w:hint="eastAsia" w:ascii="宋体" w:hAnsi="宋体" w:cs="宋体"/>
          <w:sz w:val="24"/>
          <w:szCs w:val="24"/>
          <w:lang w:val="en-US" w:eastAsia="zh-CN"/>
        </w:rPr>
        <w:t>法</w:t>
      </w:r>
      <w:r>
        <w:rPr>
          <w:rFonts w:hint="eastAsia" w:ascii="宋体" w:hAnsi="宋体" w:eastAsia="宋体" w:cs="宋体"/>
          <w:sz w:val="24"/>
          <w:szCs w:val="24"/>
        </w:rPr>
        <w:t>“小广告”的清理，不得造成二次污染；</w:t>
      </w:r>
    </w:p>
    <w:p>
      <w:pPr>
        <w:keepNext w:val="0"/>
        <w:keepLines w:val="0"/>
        <w:pageBreakBefore w:val="0"/>
        <w:widowControl w:val="0"/>
        <w:kinsoku/>
        <w:wordWrap/>
        <w:overflowPunct/>
        <w:topLinePunct w:val="0"/>
        <w:autoSpaceDE/>
        <w:autoSpaceDN/>
        <w:bidi w:val="0"/>
        <w:adjustRightInd w:val="0"/>
        <w:snapToGrid w:val="0"/>
        <w:spacing w:beforeAutospacing="0" w:afterAutospacing="0" w:line="3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6、果皮箱、垃圾箱内日产日清</w:t>
      </w:r>
      <w:r>
        <w:rPr>
          <w:rFonts w:hint="eastAsia" w:ascii="宋体" w:hAnsi="宋体" w:cs="宋体"/>
          <w:sz w:val="24"/>
          <w:szCs w:val="24"/>
          <w:lang w:eastAsia="zh-CN"/>
        </w:rPr>
        <w:t>，</w:t>
      </w:r>
      <w:r>
        <w:rPr>
          <w:rFonts w:hint="eastAsia" w:ascii="宋体" w:hAnsi="宋体" w:cs="宋体"/>
          <w:sz w:val="24"/>
          <w:szCs w:val="24"/>
          <w:lang w:val="en-US" w:eastAsia="zh-CN"/>
        </w:rPr>
        <w:t>设施更新与维护，每年补充不少于400个660L垃圾箱</w:t>
      </w:r>
      <w:r>
        <w:rPr>
          <w:rFonts w:hint="eastAsia" w:ascii="宋体" w:hAnsi="宋体" w:cs="宋体"/>
          <w:color w:val="auto"/>
          <w:kern w:val="2"/>
          <w:sz w:val="24"/>
          <w:szCs w:val="24"/>
          <w:highlight w:val="none"/>
          <w:lang w:val="en-US" w:eastAsia="zh-CN" w:bidi="ar-SA"/>
        </w:rPr>
        <w:t>（符合垃圾分类标识要求的垃圾箱）</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3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7、始终保持环境卫生良好、设施表面洁净，做到“六净”（路面净、绿化带净、公共场地净、路沿石根净、墙根净、电线杆净）；</w:t>
      </w:r>
    </w:p>
    <w:p>
      <w:pPr>
        <w:keepNext w:val="0"/>
        <w:keepLines w:val="0"/>
        <w:pageBreakBefore w:val="0"/>
        <w:widowControl w:val="0"/>
        <w:kinsoku/>
        <w:wordWrap/>
        <w:overflowPunct/>
        <w:topLinePunct w:val="0"/>
        <w:autoSpaceDE/>
        <w:autoSpaceDN/>
        <w:bidi w:val="0"/>
        <w:adjustRightInd w:val="0"/>
        <w:snapToGrid w:val="0"/>
        <w:spacing w:beforeAutospacing="0" w:afterAutospacing="0" w:line="38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8、各种重大节会、迎查活动、节假日无条件按要求保质保量完成环境卫生保障</w:t>
      </w:r>
      <w:r>
        <w:rPr>
          <w:rFonts w:hint="eastAsia" w:ascii="宋体" w:hAnsi="宋体" w:cs="宋体"/>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380" w:lineRule="exact"/>
        <w:ind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9、</w:t>
      </w:r>
      <w:r>
        <w:rPr>
          <w:rFonts w:hint="eastAsia" w:ascii="宋体" w:hAnsi="宋体" w:cs="宋体"/>
          <w:color w:val="auto"/>
          <w:sz w:val="24"/>
          <w:szCs w:val="24"/>
          <w:lang w:val="en-US" w:eastAsia="zh-CN"/>
        </w:rPr>
        <w:t>若在城市建设中新增环卫区域，所增加的费用在法律规定的范围内协商进行补充协议。</w:t>
      </w:r>
    </w:p>
    <w:p>
      <w:pPr>
        <w:keepNext w:val="0"/>
        <w:keepLines w:val="0"/>
        <w:pageBreakBefore w:val="0"/>
        <w:widowControl w:val="0"/>
        <w:kinsoku/>
        <w:wordWrap/>
        <w:overflowPunct/>
        <w:topLinePunct w:val="0"/>
        <w:autoSpaceDE/>
        <w:autoSpaceDN/>
        <w:bidi w:val="0"/>
        <w:adjustRightInd w:val="0"/>
        <w:snapToGrid w:val="0"/>
        <w:spacing w:beforeAutospacing="0" w:afterAutospacing="0" w:line="38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绿化：</w:t>
      </w:r>
    </w:p>
    <w:p>
      <w:pPr>
        <w:keepNext w:val="0"/>
        <w:keepLines w:val="0"/>
        <w:pageBreakBefore w:val="0"/>
        <w:widowControl w:val="0"/>
        <w:kinsoku/>
        <w:wordWrap/>
        <w:overflowPunct/>
        <w:topLinePunct w:val="0"/>
        <w:autoSpaceDE/>
        <w:autoSpaceDN/>
        <w:bidi w:val="0"/>
        <w:adjustRightInd w:val="0"/>
        <w:snapToGrid w:val="0"/>
        <w:spacing w:beforeAutospacing="0" w:afterAutospacing="0" w:line="38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按甲方要求进行去除枯死植株、植物补植、树木扶正、病虫害防治和、监测、施肥、浇灌、排水、中耕除草、花坛花景草坪补植、地被覆盖、树木涂白、植物（树木、绿篱、草坪等）修剪、植物防护（防寒、旱、台、涝、高温等）、绿地内垃圾收集、清运，绿化水系、阀门维修等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38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2、对破坏绿地行为及时进行制止、报告，并协助有关部门进行取证和查处；</w:t>
      </w:r>
    </w:p>
    <w:p>
      <w:pPr>
        <w:keepNext w:val="0"/>
        <w:keepLines w:val="0"/>
        <w:pageBreakBefore w:val="0"/>
        <w:widowControl w:val="0"/>
        <w:kinsoku/>
        <w:wordWrap/>
        <w:overflowPunct/>
        <w:topLinePunct w:val="0"/>
        <w:autoSpaceDE/>
        <w:autoSpaceDN/>
        <w:bidi w:val="0"/>
        <w:adjustRightInd w:val="0"/>
        <w:snapToGrid w:val="0"/>
        <w:spacing w:beforeAutospacing="0" w:afterAutospacing="0" w:line="38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3、各种重大节会、迎查活动、节假日无条件按要求保质保量完成美化，甲方不再另行支付费用；</w:t>
      </w:r>
    </w:p>
    <w:p>
      <w:pPr>
        <w:keepNext w:val="0"/>
        <w:keepLines w:val="0"/>
        <w:pageBreakBefore w:val="0"/>
        <w:widowControl w:val="0"/>
        <w:kinsoku/>
        <w:wordWrap/>
        <w:overflowPunct/>
        <w:topLinePunct w:val="0"/>
        <w:autoSpaceDE/>
        <w:autoSpaceDN/>
        <w:bidi w:val="0"/>
        <w:adjustRightInd w:val="0"/>
        <w:snapToGrid w:val="0"/>
        <w:spacing w:beforeAutospacing="0" w:afterAutospacing="0" w:line="38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4、乙方必须保证苗木养护成活率达到100%;须播草籽或种草坪或地被，地被草坪成活率达到100%,做到随死随换。</w:t>
      </w:r>
    </w:p>
    <w:p>
      <w:pPr>
        <w:keepNext w:val="0"/>
        <w:keepLines w:val="0"/>
        <w:pageBreakBefore w:val="0"/>
        <w:widowControl w:val="0"/>
        <w:kinsoku/>
        <w:wordWrap/>
        <w:overflowPunct/>
        <w:topLinePunct w:val="0"/>
        <w:autoSpaceDE/>
        <w:autoSpaceDN/>
        <w:bidi w:val="0"/>
        <w:adjustRightInd w:val="0"/>
        <w:snapToGrid w:val="0"/>
        <w:spacing w:beforeAutospacing="0" w:afterAutospacing="0" w:line="380" w:lineRule="exact"/>
        <w:ind w:firstLine="480" w:firstLineChars="200"/>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rPr>
        <w:t>5、</w:t>
      </w:r>
      <w:r>
        <w:rPr>
          <w:rFonts w:hint="eastAsia" w:ascii="宋体" w:hAnsi="宋体" w:cs="宋体"/>
          <w:color w:val="auto"/>
          <w:sz w:val="24"/>
          <w:szCs w:val="24"/>
          <w:lang w:val="en-US" w:eastAsia="zh-CN"/>
        </w:rPr>
        <w:t xml:space="preserve">若有新增绿化苗木等，所增加的费用在法律规定的范围内协商进行补充协议。 </w:t>
      </w:r>
    </w:p>
    <w:p>
      <w:pPr>
        <w:keepNext w:val="0"/>
        <w:keepLines w:val="0"/>
        <w:pageBreakBefore w:val="0"/>
        <w:widowControl w:val="0"/>
        <w:kinsoku/>
        <w:wordWrap/>
        <w:overflowPunct/>
        <w:topLinePunct w:val="0"/>
        <w:autoSpaceDE/>
        <w:autoSpaceDN/>
        <w:bidi w:val="0"/>
        <w:adjustRightInd w:val="0"/>
        <w:snapToGrid w:val="0"/>
        <w:spacing w:beforeAutospacing="0" w:afterAutospacing="0" w:line="380" w:lineRule="exact"/>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注：</w:t>
      </w:r>
      <w:r>
        <w:rPr>
          <w:rFonts w:hint="eastAsia" w:ascii="宋体" w:hAnsi="宋体" w:eastAsia="宋体" w:cs="宋体"/>
          <w:color w:val="auto"/>
          <w:sz w:val="24"/>
          <w:szCs w:val="24"/>
        </w:rPr>
        <w:t>以上服务内容，甲方一律不再另行支付费用。</w:t>
      </w:r>
    </w:p>
    <w:p>
      <w:pPr>
        <w:keepNext w:val="0"/>
        <w:keepLines w:val="0"/>
        <w:pageBreakBefore w:val="0"/>
        <w:widowControl w:val="0"/>
        <w:kinsoku/>
        <w:wordWrap/>
        <w:overflowPunct/>
        <w:topLinePunct w:val="0"/>
        <w:autoSpaceDE/>
        <w:autoSpaceDN/>
        <w:bidi w:val="0"/>
        <w:adjustRightInd w:val="0"/>
        <w:snapToGrid w:val="0"/>
        <w:spacing w:beforeAutospacing="0" w:afterAutospacing="0" w:line="38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文明安全要求：</w:t>
      </w:r>
    </w:p>
    <w:p>
      <w:pPr>
        <w:keepNext w:val="0"/>
        <w:keepLines w:val="0"/>
        <w:pageBreakBefore w:val="0"/>
        <w:widowControl w:val="0"/>
        <w:kinsoku/>
        <w:wordWrap/>
        <w:overflowPunct/>
        <w:topLinePunct w:val="0"/>
        <w:autoSpaceDE/>
        <w:autoSpaceDN/>
        <w:bidi w:val="0"/>
        <w:adjustRightInd w:val="0"/>
        <w:snapToGrid w:val="0"/>
        <w:spacing w:beforeAutospacing="0" w:afterAutospacing="0" w:line="38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养护作业现场应干净整洁，各类警示标识设置明显；</w:t>
      </w:r>
    </w:p>
    <w:p>
      <w:pPr>
        <w:keepNext w:val="0"/>
        <w:keepLines w:val="0"/>
        <w:pageBreakBefore w:val="0"/>
        <w:widowControl w:val="0"/>
        <w:kinsoku/>
        <w:wordWrap/>
        <w:overflowPunct/>
        <w:topLinePunct w:val="0"/>
        <w:autoSpaceDE/>
        <w:autoSpaceDN/>
        <w:bidi w:val="0"/>
        <w:adjustRightInd w:val="0"/>
        <w:snapToGrid w:val="0"/>
        <w:spacing w:beforeAutospacing="0" w:afterAutospacing="0" w:line="38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各种设施、材料、设备器材、苗木等物料应定点存放、维修、养护垃圾及废料随产随清；</w:t>
      </w:r>
    </w:p>
    <w:p>
      <w:pPr>
        <w:keepNext w:val="0"/>
        <w:keepLines w:val="0"/>
        <w:pageBreakBefore w:val="0"/>
        <w:widowControl w:val="0"/>
        <w:kinsoku/>
        <w:wordWrap/>
        <w:overflowPunct/>
        <w:topLinePunct w:val="0"/>
        <w:autoSpaceDE/>
        <w:autoSpaceDN/>
        <w:bidi w:val="0"/>
        <w:adjustRightInd w:val="0"/>
        <w:snapToGrid w:val="0"/>
        <w:spacing w:beforeAutospacing="0" w:afterAutospacing="0" w:line="38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乙方在承包期间，应当严格遵守安全生产作业的有关管理制度，采取必要的安全防护措施，出现人身伤亡事故，由乙方承担全部经济与法律责任。</w:t>
      </w:r>
    </w:p>
    <w:p>
      <w:pPr>
        <w:keepNext w:val="0"/>
        <w:keepLines w:val="0"/>
        <w:pageBreakBefore w:val="0"/>
        <w:widowControl w:val="0"/>
        <w:kinsoku/>
        <w:wordWrap/>
        <w:overflowPunct/>
        <w:topLinePunct w:val="0"/>
        <w:autoSpaceDE/>
        <w:autoSpaceDN/>
        <w:bidi w:val="0"/>
        <w:adjustRightInd w:val="0"/>
        <w:snapToGrid w:val="0"/>
        <w:spacing w:beforeAutospacing="0" w:afterAutospacing="0" w:line="38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其他：</w:t>
      </w:r>
    </w:p>
    <w:p>
      <w:pPr>
        <w:keepNext w:val="0"/>
        <w:keepLines w:val="0"/>
        <w:pageBreakBefore w:val="0"/>
        <w:widowControl w:val="0"/>
        <w:kinsoku/>
        <w:wordWrap/>
        <w:overflowPunct/>
        <w:topLinePunct w:val="0"/>
        <w:autoSpaceDE/>
        <w:autoSpaceDN/>
        <w:bidi w:val="0"/>
        <w:adjustRightInd w:val="0"/>
        <w:snapToGrid w:val="0"/>
        <w:spacing w:beforeAutospacing="0" w:afterAutospacing="0" w:line="3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对本合同承包项目实施绿地管护和保洁所用的一切作业人员、机械设备（三轮车、草坪修剪机、灌溉机或洒水车、打药机等）、工具材料及工作服装和防护用品由乙方自行组织配备或由甲方指定作业人员来源，由此产生的一切费用由乙方承担。</w:t>
      </w:r>
    </w:p>
    <w:p>
      <w:pPr>
        <w:keepNext w:val="0"/>
        <w:keepLines w:val="0"/>
        <w:pageBreakBefore w:val="0"/>
        <w:widowControl w:val="0"/>
        <w:kinsoku/>
        <w:wordWrap/>
        <w:overflowPunct/>
        <w:topLinePunct w:val="0"/>
        <w:autoSpaceDE/>
        <w:autoSpaceDN/>
        <w:bidi w:val="0"/>
        <w:adjustRightInd w:val="0"/>
        <w:snapToGrid w:val="0"/>
        <w:spacing w:beforeAutospacing="0" w:afterAutospacing="0" w:line="3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2、机械、车辆必须为正规厂家生产的专用车辆，手续齐全，保持车体整洁、车况良好、公司标志明显。</w:t>
      </w:r>
    </w:p>
    <w:p>
      <w:pPr>
        <w:keepNext w:val="0"/>
        <w:keepLines w:val="0"/>
        <w:pageBreakBefore w:val="0"/>
        <w:widowControl w:val="0"/>
        <w:kinsoku/>
        <w:wordWrap/>
        <w:overflowPunct/>
        <w:topLinePunct w:val="0"/>
        <w:autoSpaceDE/>
        <w:autoSpaceDN/>
        <w:bidi w:val="0"/>
        <w:adjustRightInd w:val="0"/>
        <w:snapToGrid w:val="0"/>
        <w:spacing w:beforeAutospacing="0" w:afterAutospacing="0" w:line="3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乙方必须按照《劳动法》要求签订劳动用工合同，缴纳社会保险、意外伤害保险、发放工资（不低于当地最低工资标准），不足约定金额的，甲方有权扣发差额。并按规定发放劳保用品、夏季防暑降温费用、过节福利等。</w:t>
      </w:r>
    </w:p>
    <w:p>
      <w:pPr>
        <w:keepNext w:val="0"/>
        <w:keepLines w:val="0"/>
        <w:pageBreakBefore w:val="0"/>
        <w:widowControl w:val="0"/>
        <w:kinsoku/>
        <w:wordWrap/>
        <w:overflowPunct/>
        <w:topLinePunct w:val="0"/>
        <w:autoSpaceDE/>
        <w:autoSpaceDN/>
        <w:bidi w:val="0"/>
        <w:adjustRightInd w:val="0"/>
        <w:snapToGrid w:val="0"/>
        <w:spacing w:beforeAutospacing="0" w:afterAutospacing="0" w:line="3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4、不得出现上访事件，否则每发生一起上访事件，除及时解决外承包人还需缴纳违约补偿金1万元人民币。如出现越级上访和集体上访且影响恶劣的，甲方将有权向主管部门申请将其列入</w:t>
      </w:r>
      <w:r>
        <w:rPr>
          <w:rFonts w:hint="eastAsia" w:ascii="宋体" w:hAnsi="宋体" w:cs="宋体"/>
          <w:sz w:val="24"/>
          <w:szCs w:val="24"/>
          <w:lang w:val="en-US" w:eastAsia="zh-CN"/>
        </w:rPr>
        <w:t>托克逊县</w:t>
      </w:r>
      <w:r>
        <w:rPr>
          <w:rFonts w:hint="eastAsia" w:ascii="宋体" w:hAnsi="宋体" w:eastAsia="宋体" w:cs="宋体"/>
          <w:sz w:val="24"/>
          <w:szCs w:val="24"/>
        </w:rPr>
        <w:t>不良信誉企业黑名单。</w:t>
      </w:r>
    </w:p>
    <w:p>
      <w:pPr>
        <w:keepNext w:val="0"/>
        <w:keepLines w:val="0"/>
        <w:pageBreakBefore w:val="0"/>
        <w:widowControl w:val="0"/>
        <w:kinsoku/>
        <w:wordWrap/>
        <w:overflowPunct/>
        <w:topLinePunct w:val="0"/>
        <w:autoSpaceDE/>
        <w:autoSpaceDN/>
        <w:bidi w:val="0"/>
        <w:adjustRightInd w:val="0"/>
        <w:snapToGrid w:val="0"/>
        <w:spacing w:beforeAutospacing="0" w:afterAutospacing="0" w:line="3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5、乙方必须于每月月底前将上月雇佣人员工资、福利、服装发放签字记录、保险金缴纳等记录上报甲方。</w:t>
      </w:r>
    </w:p>
    <w:p>
      <w:pPr>
        <w:keepNext w:val="0"/>
        <w:keepLines w:val="0"/>
        <w:pageBreakBefore w:val="0"/>
        <w:widowControl w:val="0"/>
        <w:kinsoku/>
        <w:wordWrap/>
        <w:overflowPunct/>
        <w:topLinePunct w:val="0"/>
        <w:autoSpaceDE/>
        <w:autoSpaceDN/>
        <w:bidi w:val="0"/>
        <w:adjustRightInd w:val="0"/>
        <w:snapToGrid w:val="0"/>
        <w:spacing w:beforeAutospacing="0" w:afterAutospacing="0" w:line="3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6、在养护期起止的时间节点，乙方应将承包范围内的苗本，养护工具及设施进行数量交接。</w:t>
      </w:r>
    </w:p>
    <w:p>
      <w:pPr>
        <w:keepNext w:val="0"/>
        <w:keepLines w:val="0"/>
        <w:pageBreakBefore w:val="0"/>
        <w:widowControl w:val="0"/>
        <w:kinsoku/>
        <w:wordWrap/>
        <w:overflowPunct/>
        <w:topLinePunct w:val="0"/>
        <w:autoSpaceDE/>
        <w:autoSpaceDN/>
        <w:bidi w:val="0"/>
        <w:adjustRightInd w:val="0"/>
        <w:snapToGrid w:val="0"/>
        <w:spacing w:beforeAutospacing="0" w:afterAutospacing="0" w:line="38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二、</w:t>
      </w:r>
      <w:r>
        <w:rPr>
          <w:rFonts w:hint="eastAsia" w:ascii="宋体" w:hAnsi="宋体" w:eastAsia="宋体" w:cs="宋体"/>
          <w:sz w:val="24"/>
          <w:szCs w:val="24"/>
        </w:rPr>
        <w:t>甲方有权要求乙方随时更换在实际工作中不称职的成员，更换人员以须具有同等或以上资质的本单位人员。</w:t>
      </w:r>
    </w:p>
    <w:p>
      <w:pPr>
        <w:keepNext w:val="0"/>
        <w:keepLines w:val="0"/>
        <w:pageBreakBefore w:val="0"/>
        <w:widowControl w:val="0"/>
        <w:kinsoku/>
        <w:wordWrap/>
        <w:overflowPunct/>
        <w:topLinePunct w:val="0"/>
        <w:autoSpaceDE/>
        <w:autoSpaceDN/>
        <w:bidi w:val="0"/>
        <w:adjustRightInd w:val="0"/>
        <w:snapToGrid w:val="0"/>
        <w:spacing w:beforeAutospacing="0" w:afterAutospacing="0" w:line="38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三、</w:t>
      </w:r>
      <w:r>
        <w:rPr>
          <w:rFonts w:hint="eastAsia" w:ascii="宋体" w:hAnsi="宋体" w:eastAsia="宋体" w:cs="宋体"/>
          <w:sz w:val="24"/>
          <w:szCs w:val="24"/>
        </w:rPr>
        <w:t>如乙方连续三个月考核结果不合格，且拒不整改或整改不达标的，甲方有权终止协议。（考核按照《</w:t>
      </w:r>
      <w:r>
        <w:rPr>
          <w:rFonts w:hint="eastAsia" w:ascii="宋体" w:hAnsi="宋体" w:cs="宋体"/>
          <w:sz w:val="24"/>
          <w:szCs w:val="24"/>
          <w:lang w:val="en-US" w:eastAsia="zh-CN"/>
        </w:rPr>
        <w:t>托克逊县城市环卫园林一体化管理项目第一包</w:t>
      </w:r>
      <w:r>
        <w:rPr>
          <w:rFonts w:hint="eastAsia" w:ascii="宋体" w:hAnsi="宋体" w:eastAsia="宋体" w:cs="宋体"/>
          <w:sz w:val="24"/>
          <w:szCs w:val="24"/>
        </w:rPr>
        <w:t>考核标准》实施）</w:t>
      </w:r>
    </w:p>
    <w:p>
      <w:pPr>
        <w:keepNext w:val="0"/>
        <w:keepLines w:val="0"/>
        <w:pageBreakBefore w:val="0"/>
        <w:widowControl w:val="0"/>
        <w:kinsoku/>
        <w:wordWrap/>
        <w:overflowPunct/>
        <w:topLinePunct w:val="0"/>
        <w:autoSpaceDE/>
        <w:autoSpaceDN/>
        <w:bidi w:val="0"/>
        <w:adjustRightInd w:val="0"/>
        <w:snapToGrid w:val="0"/>
        <w:spacing w:beforeAutospacing="0" w:afterAutospacing="0" w:line="380" w:lineRule="exact"/>
        <w:ind w:firstLine="480" w:firstLineChars="200"/>
        <w:textAlignment w:val="auto"/>
        <w:rPr>
          <w:rFonts w:hint="eastAsia" w:ascii="Times New Roman"/>
          <w:sz w:val="22"/>
          <w:lang w:eastAsia="zh-CN"/>
        </w:rPr>
      </w:pPr>
      <w:r>
        <w:rPr>
          <w:rFonts w:hint="eastAsia" w:ascii="宋体" w:hAnsi="宋体" w:cs="宋体"/>
          <w:sz w:val="24"/>
          <w:szCs w:val="24"/>
          <w:lang w:val="en-US" w:eastAsia="zh-CN"/>
        </w:rPr>
        <w:t>四、</w:t>
      </w:r>
      <w:r>
        <w:rPr>
          <w:rFonts w:hint="eastAsia" w:ascii="宋体" w:hAnsi="宋体" w:eastAsia="宋体" w:cs="宋体"/>
          <w:sz w:val="24"/>
          <w:szCs w:val="24"/>
        </w:rPr>
        <w:t>在预算保障的前提下，对于购买内容相对固定、连续性强、经费来源稳定、价格变化幅度小的政府购买服务项目，可以签订履行期限不超过3年的政府购买服务合同。如预算不到位，采购人可与(中标单位或成交供应商)按约定变更采购合同。每年期满后，采购人根据相关政策以及中标人服务质量与</w:t>
      </w:r>
      <w:r>
        <w:rPr>
          <w:rFonts w:hint="eastAsia" w:ascii="Times New Roman"/>
          <w:sz w:val="22"/>
        </w:rPr>
        <w:t>中标人续签下一年合同，且中</w:t>
      </w:r>
      <w:r>
        <w:rPr>
          <w:rFonts w:hint="eastAsia" w:ascii="Times New Roman"/>
          <w:sz w:val="22"/>
          <w:lang w:eastAsia="zh-CN"/>
        </w:rPr>
        <w:t>标单价予以调整。</w:t>
      </w:r>
    </w:p>
    <w:p>
      <w:pPr>
        <w:pStyle w:val="12"/>
        <w:keepNext w:val="0"/>
        <w:keepLines w:val="0"/>
        <w:pageBreakBefore w:val="0"/>
        <w:widowControl w:val="0"/>
        <w:kinsoku/>
        <w:wordWrap/>
        <w:overflowPunct/>
        <w:topLinePunct w:val="0"/>
        <w:autoSpaceDE/>
        <w:autoSpaceDN/>
        <w:bidi w:val="0"/>
        <w:spacing w:beforeAutospacing="0" w:after="0" w:afterAutospacing="0" w:line="380" w:lineRule="exact"/>
        <w:textAlignment w:val="auto"/>
        <w:rPr>
          <w:rFonts w:hint="eastAsia" w:ascii="宋体" w:hAnsi="宋体" w:eastAsia="宋体" w:cs="宋体"/>
          <w:b/>
          <w:sz w:val="24"/>
          <w:szCs w:val="24"/>
        </w:rPr>
      </w:pPr>
      <w:r>
        <w:rPr>
          <w:rFonts w:hint="eastAsia" w:ascii="宋体" w:hAnsi="宋体" w:eastAsia="宋体" w:cs="宋体"/>
          <w:b/>
          <w:sz w:val="24"/>
          <w:szCs w:val="24"/>
        </w:rPr>
        <w:t>注：最终合同以与甲方签订的合同为准。</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方正小标宋简体" w:hAnsi="方正小标宋简体" w:eastAsia="方正小标宋简体" w:cs="方正小标宋简体"/>
          <w:b w:val="0"/>
          <w:bCs/>
          <w:w w:val="90"/>
          <w:sz w:val="30"/>
          <w:szCs w:val="30"/>
        </w:rPr>
      </w:pPr>
      <w:r>
        <w:rPr>
          <w:rFonts w:hint="eastAsia" w:ascii="宋体" w:hAnsi="宋体" w:eastAsia="宋体" w:cs="宋体"/>
          <w:sz w:val="24"/>
          <w:szCs w:val="24"/>
        </w:rPr>
        <w:br w:type="page"/>
      </w:r>
      <w:bookmarkStart w:id="8" w:name="为进一步提高开发区环境卫生建设和管理水平，促进开发区环境卫生常态化管理，营造一个"/>
      <w:bookmarkEnd w:id="8"/>
      <w:bookmarkStart w:id="9" w:name="_bookmark12"/>
      <w:bookmarkEnd w:id="9"/>
      <w:bookmarkStart w:id="10" w:name="喀什经济开发区绿地养护考核管理办法"/>
      <w:bookmarkEnd w:id="10"/>
      <w:bookmarkStart w:id="11" w:name="喀什经济开发区环境卫生考核管理办法"/>
      <w:bookmarkEnd w:id="11"/>
      <w:bookmarkStart w:id="12" w:name="为促进养护管理工作规范化、制度化、精细化，提升绿地养护管理水平，现以考核评分来量"/>
      <w:bookmarkEnd w:id="12"/>
      <w:bookmarkStart w:id="13" w:name="附件1：《喀什经济开发区环境卫生考核评分标准》"/>
      <w:bookmarkEnd w:id="13"/>
      <w:bookmarkStart w:id="14" w:name="喀什经济开发区园林绿化养护考核评分表"/>
      <w:bookmarkEnd w:id="14"/>
      <w:bookmarkStart w:id="15" w:name="_Toc2511976"/>
      <w:bookmarkStart w:id="16" w:name="_Toc14776843"/>
      <w:bookmarkStart w:id="17" w:name="_Toc44705273"/>
      <w:bookmarkStart w:id="18" w:name="_Toc44705052"/>
      <w:bookmarkStart w:id="19" w:name="_Toc44704905"/>
      <w:r>
        <w:rPr>
          <w:rFonts w:hint="eastAsia" w:ascii="宋体" w:hAnsi="宋体" w:cs="宋体"/>
          <w:sz w:val="24"/>
          <w:szCs w:val="24"/>
          <w:lang w:val="en-US" w:eastAsia="zh-CN"/>
        </w:rPr>
        <w:t xml:space="preserve">  </w:t>
      </w:r>
      <w:bookmarkEnd w:id="15"/>
      <w:bookmarkEnd w:id="16"/>
      <w:bookmarkEnd w:id="17"/>
      <w:bookmarkEnd w:id="18"/>
      <w:bookmarkEnd w:id="19"/>
      <w:r>
        <w:rPr>
          <w:rFonts w:hint="eastAsia" w:ascii="宋体" w:hAnsi="宋体" w:cs="宋体"/>
          <w:sz w:val="24"/>
          <w:szCs w:val="24"/>
          <w:lang w:val="en-US" w:eastAsia="zh-CN"/>
        </w:rPr>
        <w:t xml:space="preserve">  </w:t>
      </w:r>
      <w:r>
        <w:rPr>
          <w:rFonts w:hint="eastAsia" w:asciiTheme="majorEastAsia" w:hAnsiTheme="majorEastAsia" w:eastAsiaTheme="majorEastAsia" w:cstheme="majorEastAsia"/>
          <w:b/>
          <w:bCs w:val="0"/>
          <w:color w:val="auto"/>
          <w:kern w:val="44"/>
          <w:sz w:val="30"/>
          <w:szCs w:val="30"/>
          <w:highlight w:val="none"/>
          <w:lang w:val="en-US" w:eastAsia="zh-CN"/>
        </w:rPr>
        <w:t>托克逊县城市环卫园林一体化管理项目第一包</w:t>
      </w:r>
      <w:r>
        <w:rPr>
          <w:rFonts w:hint="eastAsia" w:asciiTheme="majorEastAsia" w:hAnsiTheme="majorEastAsia" w:eastAsiaTheme="majorEastAsia" w:cstheme="majorEastAsia"/>
          <w:b/>
          <w:bCs w:val="0"/>
          <w:w w:val="90"/>
          <w:sz w:val="30"/>
          <w:szCs w:val="30"/>
        </w:rPr>
        <w:t>考核标准</w:t>
      </w:r>
    </w:p>
    <w:p>
      <w:pPr>
        <w:spacing w:line="560" w:lineRule="exact"/>
        <w:ind w:firstLine="480" w:firstLineChars="200"/>
        <w:rPr>
          <w:rFonts w:ascii="宋体" w:hAnsi="宋体" w:cs="宋体"/>
          <w:sz w:val="24"/>
          <w:szCs w:val="24"/>
        </w:rPr>
      </w:pPr>
      <w:r>
        <w:rPr>
          <w:rFonts w:hint="eastAsia" w:ascii="宋体" w:hAnsi="宋体" w:cs="宋体"/>
          <w:sz w:val="24"/>
          <w:szCs w:val="24"/>
        </w:rPr>
        <w:t>为促进环卫保洁</w:t>
      </w:r>
      <w:r>
        <w:rPr>
          <w:rFonts w:hint="eastAsia" w:ascii="宋体" w:hAnsi="宋体" w:cs="宋体"/>
          <w:sz w:val="24"/>
          <w:szCs w:val="24"/>
          <w:lang w:val="en-US" w:eastAsia="zh-CN"/>
        </w:rPr>
        <w:t>和园林养护</w:t>
      </w:r>
      <w:r>
        <w:rPr>
          <w:rFonts w:hint="eastAsia" w:ascii="宋体" w:hAnsi="宋体" w:cs="宋体"/>
          <w:sz w:val="24"/>
          <w:szCs w:val="24"/>
        </w:rPr>
        <w:t>工作规范化、制度化、精细化，提升环卫</w:t>
      </w:r>
      <w:r>
        <w:rPr>
          <w:rFonts w:hint="eastAsia" w:ascii="宋体" w:hAnsi="宋体" w:cs="宋体"/>
          <w:sz w:val="24"/>
          <w:szCs w:val="24"/>
          <w:lang w:val="en-US" w:eastAsia="zh-CN"/>
        </w:rPr>
        <w:t>园林整体</w:t>
      </w:r>
      <w:r>
        <w:rPr>
          <w:rFonts w:hint="eastAsia" w:ascii="宋体" w:hAnsi="宋体" w:cs="宋体"/>
          <w:sz w:val="24"/>
          <w:szCs w:val="24"/>
        </w:rPr>
        <w:t>水平，现以考核评分来量化和区分</w:t>
      </w:r>
      <w:r>
        <w:rPr>
          <w:rFonts w:hint="eastAsia" w:ascii="宋体" w:hAnsi="宋体" w:cs="宋体"/>
          <w:sz w:val="24"/>
          <w:szCs w:val="24"/>
          <w:lang w:val="en-US" w:eastAsia="zh-CN"/>
        </w:rPr>
        <w:t>环卫</w:t>
      </w:r>
      <w:r>
        <w:rPr>
          <w:rFonts w:hint="eastAsia" w:ascii="宋体" w:hAnsi="宋体" w:cs="宋体"/>
          <w:sz w:val="24"/>
          <w:szCs w:val="24"/>
          <w:lang w:eastAsia="zh-CN"/>
        </w:rPr>
        <w:t>保洁</w:t>
      </w:r>
      <w:r>
        <w:rPr>
          <w:rFonts w:hint="eastAsia" w:ascii="宋体" w:hAnsi="宋体" w:cs="宋体"/>
          <w:sz w:val="24"/>
          <w:szCs w:val="24"/>
          <w:lang w:val="en-US" w:eastAsia="zh-CN"/>
        </w:rPr>
        <w:t>和园林养护</w:t>
      </w:r>
      <w:r>
        <w:rPr>
          <w:rFonts w:hint="eastAsia" w:ascii="宋体" w:hAnsi="宋体" w:cs="宋体"/>
          <w:sz w:val="24"/>
          <w:szCs w:val="24"/>
        </w:rPr>
        <w:t>水平，使环卫保洁</w:t>
      </w:r>
      <w:r>
        <w:rPr>
          <w:rFonts w:hint="eastAsia" w:ascii="宋体" w:hAnsi="宋体" w:cs="宋体"/>
          <w:sz w:val="24"/>
          <w:szCs w:val="24"/>
          <w:lang w:val="en-US" w:eastAsia="zh-CN"/>
        </w:rPr>
        <w:t>和园林养护</w:t>
      </w:r>
      <w:r>
        <w:rPr>
          <w:rFonts w:hint="eastAsia" w:ascii="宋体" w:hAnsi="宋体" w:cs="宋体"/>
          <w:sz w:val="24"/>
          <w:szCs w:val="24"/>
        </w:rPr>
        <w:t>经费支付与</w:t>
      </w:r>
      <w:r>
        <w:rPr>
          <w:rFonts w:hint="eastAsia" w:ascii="宋体" w:hAnsi="宋体" w:cs="宋体"/>
          <w:sz w:val="24"/>
          <w:szCs w:val="24"/>
          <w:lang w:val="en-US" w:eastAsia="zh-CN"/>
        </w:rPr>
        <w:t>工作质量</w:t>
      </w:r>
      <w:r>
        <w:rPr>
          <w:rFonts w:hint="eastAsia" w:ascii="宋体" w:hAnsi="宋体" w:cs="宋体"/>
          <w:sz w:val="24"/>
          <w:szCs w:val="24"/>
        </w:rPr>
        <w:t>相挂钩，以起到奖优罚劣和鞭策工作的作用。根据有关法律法规和标准规范的规定，结合实际情况，特制定本办法。</w:t>
      </w:r>
    </w:p>
    <w:p>
      <w:pPr>
        <w:spacing w:line="560" w:lineRule="exact"/>
        <w:ind w:firstLine="241" w:firstLineChars="100"/>
        <w:rPr>
          <w:rFonts w:ascii="宋体" w:hAnsi="宋体" w:cs="宋体"/>
          <w:b/>
          <w:sz w:val="24"/>
          <w:szCs w:val="24"/>
        </w:rPr>
      </w:pPr>
      <w:r>
        <w:rPr>
          <w:rFonts w:hint="eastAsia" w:ascii="宋体" w:hAnsi="宋体" w:cs="宋体"/>
          <w:b/>
          <w:sz w:val="24"/>
          <w:szCs w:val="24"/>
        </w:rPr>
        <w:t>1.考核依据</w:t>
      </w:r>
    </w:p>
    <w:p>
      <w:pPr>
        <w:spacing w:line="560" w:lineRule="exact"/>
        <w:ind w:firstLine="480" w:firstLineChars="200"/>
        <w:rPr>
          <w:rFonts w:hint="eastAsia" w:ascii="宋体" w:hAnsi="宋体" w:cs="宋体"/>
          <w:sz w:val="24"/>
          <w:szCs w:val="24"/>
        </w:rPr>
      </w:pPr>
      <w:r>
        <w:rPr>
          <w:rFonts w:hint="eastAsia" w:ascii="宋体" w:hAnsi="宋体" w:cs="宋体"/>
          <w:sz w:val="24"/>
          <w:szCs w:val="24"/>
        </w:rPr>
        <w:t>1.1</w:t>
      </w:r>
      <w:r>
        <w:rPr>
          <w:rFonts w:hint="eastAsia" w:ascii="宋体" w:hAnsi="宋体" w:cs="宋体"/>
          <w:sz w:val="24"/>
          <w:szCs w:val="24"/>
          <w:lang w:val="en-US" w:eastAsia="zh-CN"/>
        </w:rPr>
        <w:t xml:space="preserve"> </w:t>
      </w:r>
      <w:r>
        <w:rPr>
          <w:rFonts w:hint="eastAsia" w:ascii="宋体" w:hAnsi="宋体" w:cs="宋体"/>
          <w:sz w:val="24"/>
          <w:szCs w:val="24"/>
        </w:rPr>
        <w:t>《城市道路清扫保洁与质量评价标准》（</w:t>
      </w:r>
      <w:r>
        <w:rPr>
          <w:rFonts w:hint="eastAsia" w:ascii="宋体" w:hAnsi="宋体" w:cs="宋体"/>
          <w:sz w:val="24"/>
          <w:szCs w:val="24"/>
          <w:lang w:val="en-US" w:eastAsia="zh-CN"/>
        </w:rPr>
        <w:t>CJJ/T126-2022</w:t>
      </w:r>
      <w:r>
        <w:rPr>
          <w:rFonts w:hint="eastAsia" w:ascii="宋体" w:hAnsi="宋体" w:cs="宋体"/>
          <w:sz w:val="24"/>
          <w:szCs w:val="24"/>
        </w:rPr>
        <w:t>）</w:t>
      </w:r>
    </w:p>
    <w:p>
      <w:pPr>
        <w:spacing w:line="56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 xml:space="preserve">1.2 《城市生活垃圾卫生填埋场运行维护技术规范》 </w:t>
      </w:r>
      <w:r>
        <w:rPr>
          <w:rFonts w:hint="default" w:ascii="宋体" w:hAnsi="宋体" w:eastAsia="宋体" w:cs="宋体"/>
          <w:b w:val="0"/>
          <w:bCs w:val="0"/>
          <w:kern w:val="2"/>
          <w:sz w:val="24"/>
          <w:szCs w:val="24"/>
          <w:lang w:val="en-US" w:eastAsia="zh-CN" w:bidi="ar-SA"/>
        </w:rPr>
        <w:t>(CJJ93－20</w:t>
      </w:r>
      <w:r>
        <w:rPr>
          <w:rFonts w:hint="eastAsia" w:ascii="宋体" w:hAnsi="宋体" w:cs="宋体"/>
          <w:b w:val="0"/>
          <w:bCs w:val="0"/>
          <w:kern w:val="2"/>
          <w:sz w:val="24"/>
          <w:szCs w:val="24"/>
          <w:lang w:val="en-US" w:eastAsia="zh-CN" w:bidi="ar-SA"/>
        </w:rPr>
        <w:t>11</w:t>
      </w:r>
      <w:r>
        <w:rPr>
          <w:rFonts w:hint="default" w:ascii="宋体" w:hAnsi="宋体" w:eastAsia="宋体" w:cs="宋体"/>
          <w:b w:val="0"/>
          <w:bCs w:val="0"/>
          <w:kern w:val="2"/>
          <w:sz w:val="24"/>
          <w:szCs w:val="24"/>
          <w:lang w:val="en-US" w:eastAsia="zh-CN" w:bidi="ar-SA"/>
        </w:rPr>
        <w:t>)</w:t>
      </w:r>
    </w:p>
    <w:p>
      <w:pPr>
        <w:spacing w:line="560" w:lineRule="exact"/>
        <w:ind w:firstLine="480" w:firstLineChars="200"/>
        <w:rPr>
          <w:rFonts w:hint="eastAsia" w:ascii="宋体" w:hAnsi="宋体" w:cs="宋体"/>
          <w:sz w:val="24"/>
          <w:szCs w:val="24"/>
          <w:lang w:val="en-US" w:eastAsia="zh-CN"/>
        </w:rPr>
      </w:pPr>
      <w:r>
        <w:rPr>
          <w:rFonts w:hint="eastAsia" w:ascii="宋体" w:hAnsi="宋体" w:cs="宋体"/>
          <w:sz w:val="24"/>
          <w:szCs w:val="24"/>
        </w:rPr>
        <w:t>1.3</w:t>
      </w:r>
      <w:r>
        <w:rPr>
          <w:rFonts w:hint="eastAsia" w:ascii="宋体" w:hAnsi="宋体" w:cs="宋体"/>
          <w:sz w:val="24"/>
          <w:szCs w:val="24"/>
          <w:lang w:val="en-US" w:eastAsia="zh-CN"/>
        </w:rPr>
        <w:t xml:space="preserve"> </w:t>
      </w:r>
      <w:r>
        <w:rPr>
          <w:rFonts w:hint="eastAsia" w:ascii="宋体" w:hAnsi="宋体" w:eastAsia="宋体" w:cs="宋体"/>
          <w:sz w:val="24"/>
          <w:szCs w:val="24"/>
          <w:lang w:eastAsia="zh-Hans"/>
        </w:rPr>
        <w:t>《生活垃圾卫生填埋</w:t>
      </w:r>
      <w:r>
        <w:rPr>
          <w:rFonts w:hint="eastAsia" w:ascii="宋体" w:hAnsi="宋体" w:cs="宋体"/>
          <w:sz w:val="24"/>
          <w:szCs w:val="24"/>
          <w:lang w:val="en-US" w:eastAsia="zh-CN"/>
        </w:rPr>
        <w:t>处理</w:t>
      </w:r>
      <w:r>
        <w:rPr>
          <w:rFonts w:hint="eastAsia" w:ascii="宋体" w:hAnsi="宋体" w:eastAsia="宋体" w:cs="宋体"/>
          <w:sz w:val="24"/>
          <w:szCs w:val="24"/>
          <w:lang w:eastAsia="zh-Hans"/>
        </w:rPr>
        <w:t>技术规范》</w:t>
      </w:r>
      <w:r>
        <w:rPr>
          <w:rFonts w:hint="eastAsia" w:ascii="宋体" w:hAnsi="宋体" w:cs="宋体"/>
          <w:sz w:val="24"/>
          <w:szCs w:val="24"/>
          <w:lang w:eastAsia="zh-CN"/>
        </w:rPr>
        <w:t>（</w:t>
      </w:r>
      <w:r>
        <w:rPr>
          <w:rFonts w:ascii="宋体" w:hAnsi="宋体" w:eastAsia="宋体" w:cs="宋体"/>
          <w:sz w:val="24"/>
          <w:szCs w:val="24"/>
        </w:rPr>
        <w:t>GB 50869-2013</w:t>
      </w:r>
      <w:r>
        <w:rPr>
          <w:rFonts w:hint="eastAsia" w:ascii="宋体" w:hAnsi="宋体" w:cs="宋体"/>
          <w:sz w:val="24"/>
          <w:szCs w:val="24"/>
          <w:lang w:val="en-US" w:eastAsia="zh-CN"/>
        </w:rPr>
        <w:t>)</w:t>
      </w:r>
    </w:p>
    <w:p>
      <w:pPr>
        <w:spacing w:line="560" w:lineRule="exact"/>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 xml:space="preserve">4 </w:t>
      </w:r>
      <w:r>
        <w:rPr>
          <w:rFonts w:hint="eastAsia" w:ascii="宋体" w:hAnsi="宋体" w:cs="宋体"/>
          <w:sz w:val="24"/>
          <w:szCs w:val="24"/>
        </w:rPr>
        <w:t>《城市园林绿化评价标准》（GB/T 50563-2010）</w:t>
      </w:r>
    </w:p>
    <w:p>
      <w:pPr>
        <w:spacing w:line="560" w:lineRule="exact"/>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 xml:space="preserve">5 </w:t>
      </w:r>
      <w:r>
        <w:rPr>
          <w:rFonts w:hint="eastAsia" w:ascii="宋体" w:hAnsi="宋体" w:cs="宋体"/>
          <w:sz w:val="24"/>
          <w:szCs w:val="24"/>
        </w:rPr>
        <w:t>《城市绿地养护管理标准》（XJJ046-2012）</w:t>
      </w:r>
    </w:p>
    <w:p>
      <w:pPr>
        <w:spacing w:line="560" w:lineRule="exact"/>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 xml:space="preserve">6 </w:t>
      </w:r>
      <w:r>
        <w:rPr>
          <w:rFonts w:hint="eastAsia" w:ascii="宋体" w:hAnsi="宋体" w:cs="宋体"/>
          <w:sz w:val="24"/>
          <w:szCs w:val="24"/>
        </w:rPr>
        <w:t>《园林绿化工程施工及验收规范》（CJJ82-2012）</w:t>
      </w:r>
    </w:p>
    <w:p>
      <w:pPr>
        <w:spacing w:line="560" w:lineRule="exact"/>
        <w:ind w:firstLine="240" w:firstLineChars="100"/>
        <w:rPr>
          <w:rFonts w:ascii="宋体" w:hAnsi="宋体" w:cs="宋体"/>
          <w:b/>
          <w:sz w:val="24"/>
          <w:szCs w:val="24"/>
        </w:rPr>
      </w:pPr>
      <w:r>
        <w:rPr>
          <w:rFonts w:hint="eastAsia" w:ascii="宋体" w:hAnsi="宋体" w:cs="宋体"/>
          <w:b w:val="0"/>
          <w:bCs w:val="0"/>
          <w:kern w:val="2"/>
          <w:sz w:val="24"/>
          <w:szCs w:val="24"/>
          <w:lang w:val="en-US" w:eastAsia="zh-CN" w:bidi="ar-SA"/>
        </w:rPr>
        <w:t xml:space="preserve"> </w:t>
      </w:r>
      <w:r>
        <w:rPr>
          <w:rFonts w:hint="eastAsia" w:ascii="宋体" w:hAnsi="宋体" w:cs="宋体"/>
          <w:b/>
          <w:sz w:val="24"/>
          <w:szCs w:val="24"/>
        </w:rPr>
        <w:t>2.考核内容</w:t>
      </w:r>
    </w:p>
    <w:p>
      <w:pPr>
        <w:spacing w:line="560" w:lineRule="exact"/>
        <w:ind w:firstLine="480" w:firstLineChars="200"/>
        <w:rPr>
          <w:rFonts w:ascii="宋体" w:hAnsi="宋体" w:cs="宋体"/>
          <w:b/>
          <w:sz w:val="24"/>
          <w:szCs w:val="24"/>
        </w:rPr>
      </w:pPr>
      <w:r>
        <w:rPr>
          <w:rFonts w:hint="eastAsia" w:ascii="宋体" w:hAnsi="宋体" w:cs="宋体"/>
          <w:sz w:val="24"/>
          <w:szCs w:val="24"/>
        </w:rPr>
        <w:t>2.1</w:t>
      </w:r>
      <w:r>
        <w:rPr>
          <w:rFonts w:hint="eastAsia" w:ascii="宋体" w:hAnsi="宋体" w:cs="宋体"/>
          <w:sz w:val="24"/>
          <w:szCs w:val="24"/>
          <w:lang w:val="en-US" w:eastAsia="zh-CN"/>
        </w:rPr>
        <w:t xml:space="preserve"> </w:t>
      </w:r>
      <w:r>
        <w:rPr>
          <w:rFonts w:hint="eastAsia" w:ascii="宋体" w:hAnsi="宋体" w:cs="宋体"/>
          <w:sz w:val="24"/>
          <w:szCs w:val="24"/>
        </w:rPr>
        <w:t>对</w:t>
      </w:r>
      <w:r>
        <w:rPr>
          <w:rFonts w:hint="eastAsia" w:ascii="宋体" w:hAnsi="宋体" w:cs="宋体"/>
          <w:sz w:val="24"/>
          <w:szCs w:val="24"/>
          <w:lang w:val="en-US" w:eastAsia="zh-CN"/>
        </w:rPr>
        <w:t>托克逊县城市</w:t>
      </w:r>
      <w:r>
        <w:rPr>
          <w:rFonts w:hint="eastAsia" w:ascii="宋体" w:hAnsi="宋体" w:cs="宋体"/>
          <w:sz w:val="24"/>
          <w:szCs w:val="24"/>
        </w:rPr>
        <w:t>环卫</w:t>
      </w:r>
      <w:r>
        <w:rPr>
          <w:rFonts w:hint="eastAsia" w:ascii="宋体" w:hAnsi="宋体" w:cs="宋体"/>
          <w:sz w:val="24"/>
          <w:szCs w:val="24"/>
          <w:lang w:val="en-US" w:eastAsia="zh-CN"/>
        </w:rPr>
        <w:t>保洁和园林养护</w:t>
      </w:r>
      <w:r>
        <w:rPr>
          <w:rFonts w:hint="eastAsia" w:ascii="宋体" w:hAnsi="宋体" w:cs="宋体"/>
          <w:sz w:val="24"/>
          <w:szCs w:val="24"/>
        </w:rPr>
        <w:t>工作等以及相关单位组织管理工作进行考核。</w:t>
      </w:r>
    </w:p>
    <w:p>
      <w:pPr>
        <w:spacing w:line="560" w:lineRule="exact"/>
        <w:ind w:firstLine="241" w:firstLineChars="100"/>
        <w:rPr>
          <w:rFonts w:ascii="宋体" w:hAnsi="宋体" w:cs="宋体"/>
          <w:b/>
          <w:sz w:val="24"/>
          <w:szCs w:val="24"/>
        </w:rPr>
      </w:pPr>
      <w:r>
        <w:rPr>
          <w:rFonts w:hint="eastAsia" w:ascii="宋体" w:hAnsi="宋体" w:cs="宋体"/>
          <w:b/>
          <w:sz w:val="24"/>
          <w:szCs w:val="24"/>
        </w:rPr>
        <w:t>3.考核办法</w:t>
      </w:r>
    </w:p>
    <w:p>
      <w:pPr>
        <w:spacing w:line="560" w:lineRule="exact"/>
        <w:ind w:firstLine="480" w:firstLineChars="200"/>
        <w:rPr>
          <w:rFonts w:ascii="宋体" w:hAnsi="宋体" w:cs="宋体"/>
          <w:sz w:val="24"/>
          <w:szCs w:val="24"/>
        </w:rPr>
      </w:pPr>
      <w:r>
        <w:rPr>
          <w:rFonts w:hint="eastAsia" w:ascii="宋体" w:hAnsi="宋体" w:cs="宋体"/>
          <w:sz w:val="24"/>
          <w:szCs w:val="24"/>
        </w:rPr>
        <w:t>3.1</w:t>
      </w:r>
      <w:r>
        <w:rPr>
          <w:rFonts w:hint="eastAsia" w:ascii="宋体" w:hAnsi="宋体" w:cs="宋体"/>
          <w:sz w:val="24"/>
          <w:szCs w:val="24"/>
          <w:lang w:val="en-US" w:eastAsia="zh-CN"/>
        </w:rPr>
        <w:t xml:space="preserve"> </w:t>
      </w:r>
      <w:r>
        <w:rPr>
          <w:rFonts w:hint="eastAsia" w:ascii="宋体" w:hAnsi="宋体" w:cs="宋体"/>
          <w:sz w:val="24"/>
          <w:szCs w:val="24"/>
        </w:rPr>
        <w:t>考核工作由</w:t>
      </w:r>
      <w:r>
        <w:rPr>
          <w:rFonts w:hint="eastAsia" w:ascii="宋体" w:hAnsi="宋体" w:cs="宋体"/>
          <w:sz w:val="24"/>
          <w:szCs w:val="24"/>
          <w:lang w:val="en-US" w:eastAsia="zh-CN"/>
        </w:rPr>
        <w:t>托克逊县住建局</w:t>
      </w:r>
      <w:r>
        <w:rPr>
          <w:rFonts w:hint="eastAsia" w:ascii="宋体" w:hAnsi="宋体" w:cs="宋体"/>
          <w:sz w:val="24"/>
          <w:szCs w:val="24"/>
        </w:rPr>
        <w:t>组织实施，成立定期考核组和日常检查组，日常检查组及定期考核组由招标人单位人员组成。组成员必须是单数，如有争议时会议商讨决定。</w:t>
      </w:r>
    </w:p>
    <w:p>
      <w:pPr>
        <w:spacing w:line="560" w:lineRule="exact"/>
        <w:ind w:firstLine="480" w:firstLineChars="200"/>
        <w:rPr>
          <w:rFonts w:ascii="宋体" w:hAnsi="宋体" w:cs="宋体"/>
          <w:sz w:val="24"/>
          <w:szCs w:val="24"/>
        </w:rPr>
      </w:pPr>
      <w:r>
        <w:rPr>
          <w:rFonts w:hint="eastAsia" w:ascii="宋体" w:hAnsi="宋体" w:cs="宋体"/>
          <w:sz w:val="24"/>
          <w:szCs w:val="24"/>
        </w:rPr>
        <w:t>3.2</w:t>
      </w:r>
      <w:r>
        <w:rPr>
          <w:rFonts w:hint="eastAsia" w:ascii="宋体" w:hAnsi="宋体" w:cs="宋体"/>
          <w:sz w:val="24"/>
          <w:szCs w:val="24"/>
          <w:lang w:val="en-US" w:eastAsia="zh-CN"/>
        </w:rPr>
        <w:t xml:space="preserve"> </w:t>
      </w:r>
      <w:r>
        <w:rPr>
          <w:rFonts w:hint="eastAsia" w:ascii="宋体" w:hAnsi="宋体" w:cs="宋体"/>
          <w:sz w:val="24"/>
          <w:szCs w:val="24"/>
        </w:rPr>
        <w:t>定期考核以月考核为主（每月初进行，具体时间提前通知）。每次考核由考核组具体负责组织实施，检查内容见（托克逊县环卫保洁</w:t>
      </w:r>
      <w:r>
        <w:rPr>
          <w:rFonts w:hint="eastAsia" w:ascii="宋体" w:hAnsi="宋体" w:cs="宋体"/>
          <w:sz w:val="24"/>
          <w:szCs w:val="24"/>
          <w:lang w:val="en-US" w:eastAsia="zh-CN"/>
        </w:rPr>
        <w:t>和园林养护</w:t>
      </w:r>
      <w:r>
        <w:rPr>
          <w:rFonts w:hint="eastAsia" w:ascii="宋体" w:hAnsi="宋体" w:cs="宋体"/>
          <w:sz w:val="24"/>
          <w:szCs w:val="24"/>
        </w:rPr>
        <w:t>工作考核</w:t>
      </w:r>
      <w:r>
        <w:rPr>
          <w:rFonts w:hint="eastAsia" w:ascii="宋体" w:hAnsi="宋体" w:cs="宋体"/>
          <w:sz w:val="24"/>
          <w:szCs w:val="24"/>
          <w:lang w:val="en-US" w:eastAsia="zh-CN"/>
        </w:rPr>
        <w:t>细则</w:t>
      </w:r>
      <w:r>
        <w:rPr>
          <w:rFonts w:hint="eastAsia" w:ascii="宋体" w:hAnsi="宋体" w:cs="宋体"/>
          <w:sz w:val="24"/>
          <w:szCs w:val="24"/>
        </w:rPr>
        <w:t>)；实地考核时，被考核单位必须由现场管理人员参加（确因故不能按时参加的需提前书面请假，请假函需签章，另行安排他人参加)。三次无故不参加的企业，将约谈该企业法定代表人，并要求该企业进行书面承诺后期项目进行中，履行处罚，如承诺后</w:t>
      </w:r>
      <w:r>
        <w:rPr>
          <w:rFonts w:hint="eastAsia" w:ascii="宋体" w:hAnsi="宋体" w:cs="宋体"/>
          <w:sz w:val="24"/>
          <w:szCs w:val="24"/>
          <w:lang w:val="en-US" w:eastAsia="zh-CN"/>
        </w:rPr>
        <w:t>仍</w:t>
      </w:r>
      <w:r>
        <w:rPr>
          <w:rFonts w:hint="eastAsia" w:ascii="宋体" w:hAnsi="宋体" w:cs="宋体"/>
          <w:sz w:val="24"/>
          <w:szCs w:val="24"/>
        </w:rPr>
        <w:t>不改正</w:t>
      </w:r>
      <w:r>
        <w:rPr>
          <w:rFonts w:hint="eastAsia" w:ascii="宋体" w:hAnsi="宋体" w:cs="宋体"/>
          <w:sz w:val="24"/>
          <w:szCs w:val="24"/>
          <w:lang w:val="en-US" w:eastAsia="zh-CN"/>
        </w:rPr>
        <w:t>县住建局</w:t>
      </w:r>
      <w:r>
        <w:rPr>
          <w:rFonts w:hint="eastAsia" w:ascii="宋体" w:hAnsi="宋体" w:cs="宋体"/>
          <w:sz w:val="24"/>
          <w:szCs w:val="24"/>
        </w:rPr>
        <w:t>有权利5-10倍处罚。</w:t>
      </w:r>
    </w:p>
    <w:p>
      <w:pPr>
        <w:spacing w:line="560" w:lineRule="exact"/>
        <w:ind w:firstLine="480" w:firstLineChars="200"/>
        <w:rPr>
          <w:rFonts w:ascii="宋体" w:hAnsi="宋体" w:cs="宋体"/>
          <w:sz w:val="24"/>
          <w:szCs w:val="24"/>
        </w:rPr>
      </w:pPr>
      <w:r>
        <w:rPr>
          <w:rFonts w:hint="eastAsia" w:ascii="宋体" w:hAnsi="宋体" w:cs="宋体"/>
          <w:sz w:val="24"/>
          <w:szCs w:val="24"/>
        </w:rPr>
        <w:t>3.3</w:t>
      </w:r>
      <w:r>
        <w:rPr>
          <w:rFonts w:hint="eastAsia" w:ascii="宋体" w:hAnsi="宋体" w:cs="宋体"/>
          <w:sz w:val="24"/>
          <w:szCs w:val="24"/>
          <w:lang w:val="en-US" w:eastAsia="zh-CN"/>
        </w:rPr>
        <w:t xml:space="preserve"> </w:t>
      </w:r>
      <w:r>
        <w:rPr>
          <w:rFonts w:hint="eastAsia" w:ascii="宋体" w:hAnsi="宋体" w:cs="宋体"/>
          <w:sz w:val="24"/>
          <w:szCs w:val="24"/>
        </w:rPr>
        <w:t>考核中发现问题当场下达整改通知或口头通知整改，</w:t>
      </w:r>
      <w:r>
        <w:rPr>
          <w:rFonts w:hint="eastAsia" w:ascii="宋体" w:hAnsi="宋体" w:cs="宋体"/>
          <w:sz w:val="24"/>
          <w:szCs w:val="24"/>
          <w:lang w:val="en-US" w:eastAsia="zh-CN"/>
        </w:rPr>
        <w:t>中标</w:t>
      </w:r>
      <w:r>
        <w:rPr>
          <w:rFonts w:hint="eastAsia" w:ascii="宋体" w:hAnsi="宋体" w:cs="宋体"/>
          <w:sz w:val="24"/>
          <w:szCs w:val="24"/>
        </w:rPr>
        <w:t>单位或个人进行整改，并由日常检查组进行跟踪督察，整改期限已到仍未达到要求的，</w:t>
      </w:r>
      <w:r>
        <w:rPr>
          <w:rFonts w:hint="eastAsia" w:ascii="宋体" w:hAnsi="宋体" w:cs="宋体"/>
          <w:sz w:val="24"/>
          <w:szCs w:val="24"/>
          <w:lang w:val="en-US" w:eastAsia="zh-CN"/>
        </w:rPr>
        <w:t>托克逊县住建局</w:t>
      </w:r>
      <w:r>
        <w:rPr>
          <w:rFonts w:hint="eastAsia" w:ascii="宋体" w:hAnsi="宋体" w:cs="宋体"/>
          <w:sz w:val="24"/>
          <w:szCs w:val="24"/>
        </w:rPr>
        <w:t>将下达处罚通知，考核加倍扣分。</w:t>
      </w:r>
    </w:p>
    <w:p>
      <w:pPr>
        <w:spacing w:line="560" w:lineRule="exact"/>
        <w:ind w:firstLine="480" w:firstLineChars="200"/>
        <w:rPr>
          <w:rFonts w:ascii="宋体" w:hAnsi="宋体" w:cs="宋体"/>
          <w:sz w:val="24"/>
          <w:szCs w:val="24"/>
        </w:rPr>
      </w:pPr>
      <w:r>
        <w:rPr>
          <w:rFonts w:hint="eastAsia" w:ascii="宋体" w:hAnsi="宋体" w:cs="宋体"/>
          <w:sz w:val="24"/>
          <w:szCs w:val="24"/>
        </w:rPr>
        <w:t>3.4</w:t>
      </w:r>
      <w:r>
        <w:rPr>
          <w:rFonts w:hint="eastAsia" w:ascii="宋体" w:hAnsi="宋体" w:cs="宋体"/>
          <w:sz w:val="24"/>
          <w:szCs w:val="24"/>
          <w:lang w:val="en-US" w:eastAsia="zh-CN"/>
        </w:rPr>
        <w:t xml:space="preserve"> </w:t>
      </w:r>
      <w:r>
        <w:rPr>
          <w:rFonts w:hint="eastAsia" w:ascii="宋体" w:hAnsi="宋体" w:cs="宋体"/>
          <w:sz w:val="24"/>
          <w:szCs w:val="24"/>
        </w:rPr>
        <w:t>日常检查每天不定期进行，检查内容包括考核整改、日常巡查及重大节日、庆典、“迎检”等指令性检查。检查组</w:t>
      </w:r>
      <w:r>
        <w:rPr>
          <w:rFonts w:hint="eastAsia" w:ascii="宋体" w:hAnsi="宋体" w:cs="宋体"/>
          <w:sz w:val="24"/>
          <w:szCs w:val="24"/>
          <w:lang w:val="en-US" w:eastAsia="zh-CN"/>
        </w:rPr>
        <w:t>对中标</w:t>
      </w:r>
      <w:r>
        <w:rPr>
          <w:rFonts w:hint="eastAsia" w:ascii="宋体" w:hAnsi="宋体" w:cs="宋体"/>
          <w:sz w:val="24"/>
          <w:szCs w:val="24"/>
        </w:rPr>
        <w:t>企业或个人负责路段（地块）进行日常巡查和不定期检查，对存在的问题及时通知</w:t>
      </w:r>
      <w:r>
        <w:rPr>
          <w:rFonts w:hint="eastAsia" w:ascii="宋体" w:hAnsi="宋体" w:cs="宋体"/>
          <w:sz w:val="24"/>
          <w:szCs w:val="24"/>
          <w:lang w:val="en-US" w:eastAsia="zh-CN"/>
        </w:rPr>
        <w:t>中标</w:t>
      </w:r>
      <w:r>
        <w:rPr>
          <w:rFonts w:hint="eastAsia" w:ascii="宋体" w:hAnsi="宋体" w:cs="宋体"/>
          <w:sz w:val="24"/>
          <w:szCs w:val="24"/>
        </w:rPr>
        <w:t>企业或个人，目常检查组将根据已发出的整改通知安排进行复查。</w:t>
      </w:r>
    </w:p>
    <w:p>
      <w:pPr>
        <w:spacing w:line="560" w:lineRule="exact"/>
        <w:ind w:firstLine="480" w:firstLineChars="200"/>
        <w:rPr>
          <w:rFonts w:ascii="宋体" w:hAnsi="宋体" w:cs="宋体"/>
          <w:sz w:val="24"/>
          <w:szCs w:val="24"/>
        </w:rPr>
      </w:pPr>
      <w:r>
        <w:rPr>
          <w:rFonts w:hint="eastAsia" w:ascii="宋体" w:hAnsi="宋体" w:cs="宋体"/>
          <w:sz w:val="24"/>
          <w:szCs w:val="24"/>
        </w:rPr>
        <w:t>3.5</w:t>
      </w:r>
      <w:r>
        <w:rPr>
          <w:rFonts w:hint="eastAsia" w:ascii="宋体" w:hAnsi="宋体" w:cs="宋体"/>
          <w:sz w:val="24"/>
          <w:szCs w:val="24"/>
          <w:lang w:val="en-US" w:eastAsia="zh-CN"/>
        </w:rPr>
        <w:t xml:space="preserve"> </w:t>
      </w:r>
      <w:r>
        <w:rPr>
          <w:rFonts w:hint="eastAsia" w:ascii="宋体" w:hAnsi="宋体" w:cs="宋体"/>
          <w:sz w:val="24"/>
          <w:szCs w:val="24"/>
        </w:rPr>
        <w:t>每月的考核分由日常检查分和定期每周考核分综合构成，分别占总分的周50%、月50%计入，按月进行汇总。</w:t>
      </w:r>
    </w:p>
    <w:p>
      <w:pPr>
        <w:spacing w:line="560" w:lineRule="exact"/>
        <w:ind w:firstLine="480" w:firstLineChars="200"/>
        <w:rPr>
          <w:rFonts w:ascii="宋体" w:hAnsi="宋体" w:cs="宋体"/>
          <w:sz w:val="24"/>
          <w:szCs w:val="24"/>
        </w:rPr>
      </w:pPr>
      <w:r>
        <w:rPr>
          <w:rFonts w:hint="eastAsia" w:ascii="宋体" w:hAnsi="宋体" w:cs="宋体"/>
          <w:sz w:val="24"/>
          <w:szCs w:val="24"/>
        </w:rPr>
        <w:t>3.6</w:t>
      </w:r>
      <w:r>
        <w:rPr>
          <w:rFonts w:hint="eastAsia" w:ascii="宋体" w:hAnsi="宋体" w:cs="宋体"/>
          <w:sz w:val="24"/>
          <w:szCs w:val="24"/>
          <w:lang w:val="en-US" w:eastAsia="zh-CN"/>
        </w:rPr>
        <w:t xml:space="preserve"> </w:t>
      </w:r>
      <w:r>
        <w:rPr>
          <w:rFonts w:hint="eastAsia" w:ascii="宋体" w:hAnsi="宋体" w:cs="宋体"/>
          <w:sz w:val="24"/>
          <w:szCs w:val="24"/>
        </w:rPr>
        <w:t>日常检查、定期考核均实行百分制考核，检查考核工作人员按照《托克逊县环卫保洁</w:t>
      </w:r>
      <w:r>
        <w:rPr>
          <w:rFonts w:hint="eastAsia" w:ascii="宋体" w:hAnsi="宋体" w:cs="宋体"/>
          <w:sz w:val="24"/>
          <w:szCs w:val="24"/>
          <w:lang w:val="en-US" w:eastAsia="zh-CN"/>
        </w:rPr>
        <w:t>和园林养护</w:t>
      </w:r>
      <w:r>
        <w:rPr>
          <w:rFonts w:hint="eastAsia" w:ascii="宋体" w:hAnsi="宋体" w:cs="宋体"/>
          <w:sz w:val="24"/>
          <w:szCs w:val="24"/>
        </w:rPr>
        <w:t>工作考核</w:t>
      </w:r>
      <w:r>
        <w:rPr>
          <w:rFonts w:hint="eastAsia" w:ascii="宋体" w:hAnsi="宋体" w:cs="宋体"/>
          <w:sz w:val="24"/>
          <w:szCs w:val="24"/>
          <w:lang w:val="en-US" w:eastAsia="zh-CN"/>
        </w:rPr>
        <w:t>细则</w:t>
      </w:r>
      <w:r>
        <w:rPr>
          <w:rFonts w:hint="eastAsia" w:ascii="宋体" w:hAnsi="宋体" w:cs="宋体"/>
          <w:sz w:val="24"/>
          <w:szCs w:val="24"/>
        </w:rPr>
        <w:t>》进行考核评分。</w:t>
      </w:r>
    </w:p>
    <w:p>
      <w:pPr>
        <w:spacing w:line="560" w:lineRule="exact"/>
        <w:ind w:firstLine="480" w:firstLineChars="200"/>
        <w:rPr>
          <w:rFonts w:ascii="宋体" w:hAnsi="宋体" w:cs="宋体"/>
          <w:sz w:val="24"/>
          <w:szCs w:val="24"/>
        </w:rPr>
      </w:pPr>
      <w:r>
        <w:rPr>
          <w:rFonts w:hint="eastAsia" w:ascii="宋体" w:hAnsi="宋体" w:cs="宋体"/>
          <w:sz w:val="24"/>
          <w:szCs w:val="24"/>
        </w:rPr>
        <w:t>3.7</w:t>
      </w:r>
      <w:r>
        <w:rPr>
          <w:rFonts w:hint="eastAsia" w:ascii="宋体" w:hAnsi="宋体" w:cs="宋体"/>
          <w:sz w:val="24"/>
          <w:szCs w:val="24"/>
          <w:lang w:val="en-US" w:eastAsia="zh-CN"/>
        </w:rPr>
        <w:t xml:space="preserve"> </w:t>
      </w:r>
      <w:r>
        <w:rPr>
          <w:rFonts w:hint="eastAsia" w:ascii="宋体" w:hAnsi="宋体" w:cs="宋体"/>
          <w:sz w:val="24"/>
          <w:szCs w:val="24"/>
        </w:rPr>
        <w:t>日常考核现场下整改通知，与下月初定期考核成绩汇总后按月通报。日常考核与定期考核每次考核情况及汇总情况在公示栏定期公示。</w:t>
      </w:r>
    </w:p>
    <w:p>
      <w:pPr>
        <w:spacing w:line="560" w:lineRule="exact"/>
        <w:ind w:firstLine="480" w:firstLineChars="200"/>
        <w:rPr>
          <w:rFonts w:ascii="宋体" w:hAnsi="宋体" w:cs="宋体"/>
          <w:sz w:val="24"/>
          <w:szCs w:val="24"/>
        </w:rPr>
      </w:pPr>
      <w:r>
        <w:rPr>
          <w:rFonts w:hint="eastAsia" w:ascii="宋体" w:hAnsi="宋体" w:cs="宋体"/>
          <w:sz w:val="24"/>
          <w:szCs w:val="24"/>
        </w:rPr>
        <w:t>3.8</w:t>
      </w:r>
      <w:r>
        <w:rPr>
          <w:rFonts w:hint="eastAsia" w:ascii="宋体" w:hAnsi="宋体" w:cs="宋体"/>
          <w:sz w:val="24"/>
          <w:szCs w:val="24"/>
          <w:lang w:val="en-US" w:eastAsia="zh-CN"/>
        </w:rPr>
        <w:t>托克逊县住建局</w:t>
      </w:r>
      <w:r>
        <w:rPr>
          <w:rFonts w:hint="eastAsia" w:ascii="宋体" w:hAnsi="宋体" w:cs="宋体"/>
          <w:sz w:val="24"/>
          <w:szCs w:val="24"/>
        </w:rPr>
        <w:t>将按照周、月、季综合管理评分办法，计合综合评分。</w:t>
      </w:r>
    </w:p>
    <w:p>
      <w:pPr>
        <w:spacing w:line="560" w:lineRule="exact"/>
        <w:ind w:firstLine="480" w:firstLineChars="200"/>
        <w:rPr>
          <w:rFonts w:ascii="宋体" w:hAnsi="宋体" w:cs="宋体"/>
          <w:sz w:val="24"/>
          <w:szCs w:val="24"/>
        </w:rPr>
      </w:pPr>
      <w:r>
        <w:rPr>
          <w:rFonts w:hint="eastAsia" w:ascii="宋体" w:hAnsi="宋体" w:cs="宋体"/>
          <w:sz w:val="24"/>
          <w:szCs w:val="24"/>
        </w:rPr>
        <w:t>3.9 处罚款将从每月支付费用进度款中扣除。</w:t>
      </w:r>
    </w:p>
    <w:p>
      <w:pPr>
        <w:spacing w:line="560" w:lineRule="exact"/>
        <w:ind w:firstLine="241" w:firstLineChars="100"/>
        <w:rPr>
          <w:rFonts w:ascii="宋体" w:hAnsi="宋体" w:cs="宋体"/>
          <w:b/>
          <w:sz w:val="24"/>
          <w:szCs w:val="24"/>
        </w:rPr>
      </w:pPr>
      <w:r>
        <w:rPr>
          <w:rFonts w:hint="eastAsia" w:ascii="宋体" w:hAnsi="宋体" w:cs="宋体"/>
          <w:b/>
          <w:sz w:val="24"/>
          <w:szCs w:val="24"/>
        </w:rPr>
        <w:t>4.经费核定办法</w:t>
      </w:r>
    </w:p>
    <w:p>
      <w:pPr>
        <w:spacing w:line="560" w:lineRule="exact"/>
        <w:ind w:firstLine="480" w:firstLineChars="200"/>
        <w:rPr>
          <w:rFonts w:ascii="宋体" w:hAnsi="宋体" w:cs="宋体"/>
          <w:sz w:val="24"/>
          <w:szCs w:val="24"/>
        </w:rPr>
      </w:pPr>
      <w:r>
        <w:rPr>
          <w:rFonts w:hint="eastAsia" w:ascii="宋体" w:hAnsi="宋体" w:cs="宋体"/>
          <w:sz w:val="24"/>
          <w:szCs w:val="24"/>
        </w:rPr>
        <w:t>4.1为激励先进，鞭策后进，调动积极性，依据考核情况对</w:t>
      </w:r>
      <w:r>
        <w:rPr>
          <w:rFonts w:hint="eastAsia" w:ascii="宋体" w:hAnsi="宋体" w:cs="宋体"/>
          <w:sz w:val="24"/>
          <w:szCs w:val="24"/>
          <w:lang w:val="en-US" w:eastAsia="zh-CN"/>
        </w:rPr>
        <w:t>环卫</w:t>
      </w:r>
      <w:r>
        <w:rPr>
          <w:rFonts w:hint="eastAsia" w:ascii="宋体" w:hAnsi="宋体" w:cs="宋体"/>
          <w:sz w:val="24"/>
          <w:szCs w:val="24"/>
          <w:lang w:eastAsia="zh-CN"/>
        </w:rPr>
        <w:t>保洁</w:t>
      </w:r>
      <w:r>
        <w:rPr>
          <w:rFonts w:hint="eastAsia" w:ascii="宋体" w:hAnsi="宋体" w:cs="宋体"/>
          <w:sz w:val="24"/>
          <w:szCs w:val="24"/>
          <w:lang w:val="en-US" w:eastAsia="zh-CN"/>
        </w:rPr>
        <w:t>和园林养护</w:t>
      </w:r>
      <w:r>
        <w:rPr>
          <w:rFonts w:hint="eastAsia" w:ascii="宋体" w:hAnsi="宋体" w:cs="宋体"/>
          <w:sz w:val="24"/>
          <w:szCs w:val="24"/>
        </w:rPr>
        <w:t>作业单位进行经费核定。</w:t>
      </w:r>
    </w:p>
    <w:p>
      <w:pPr>
        <w:spacing w:line="5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sz w:val="24"/>
          <w:szCs w:val="24"/>
        </w:rPr>
        <w:t>4.2</w:t>
      </w:r>
      <w:r>
        <w:rPr>
          <w:rFonts w:hint="eastAsia" w:ascii="宋体" w:hAnsi="宋体" w:cs="宋体"/>
          <w:sz w:val="24"/>
          <w:szCs w:val="24"/>
          <w:lang w:val="en-US" w:eastAsia="zh-CN"/>
        </w:rPr>
        <w:t xml:space="preserve"> </w:t>
      </w:r>
      <w:r>
        <w:rPr>
          <w:rFonts w:hint="eastAsia" w:ascii="宋体" w:hAnsi="宋体" w:cs="宋体"/>
          <w:sz w:val="24"/>
          <w:szCs w:val="24"/>
        </w:rPr>
        <w:t>月考核（按四周计入）综合得</w:t>
      </w:r>
      <w:r>
        <w:rPr>
          <w:rFonts w:hint="eastAsia" w:ascii="宋体" w:hAnsi="宋体" w:cs="宋体"/>
          <w:color w:val="000000" w:themeColor="text1"/>
          <w:sz w:val="24"/>
          <w:szCs w:val="24"/>
          <w14:textFill>
            <w14:solidFill>
              <w14:schemeClr w14:val="tx1"/>
            </w14:solidFill>
          </w14:textFill>
        </w:rPr>
        <w:t>分≥</w:t>
      </w:r>
      <w:r>
        <w:rPr>
          <w:rFonts w:hint="eastAsia" w:ascii="宋体" w:hAnsi="宋体" w:cs="宋体"/>
          <w:color w:val="000000" w:themeColor="text1"/>
          <w:sz w:val="24"/>
          <w:szCs w:val="24"/>
          <w:lang w:val="en-US" w:eastAsia="zh-CN"/>
          <w14:textFill>
            <w14:solidFill>
              <w14:schemeClr w14:val="tx1"/>
            </w14:solidFill>
          </w14:textFill>
        </w:rPr>
        <w:t>90</w:t>
      </w:r>
      <w:r>
        <w:rPr>
          <w:rFonts w:hint="eastAsia" w:ascii="宋体" w:hAnsi="宋体" w:cs="宋体"/>
          <w:color w:val="000000" w:themeColor="text1"/>
          <w:sz w:val="24"/>
          <w:szCs w:val="24"/>
          <w14:textFill>
            <w14:solidFill>
              <w14:schemeClr w14:val="tx1"/>
            </w14:solidFill>
          </w14:textFill>
        </w:rPr>
        <w:t>分的，全额拨付经费：</w:t>
      </w:r>
    </w:p>
    <w:p>
      <w:pPr>
        <w:spacing w:line="5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4.2.1</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月考核（按四周计入）综合得分&lt;</w:t>
      </w:r>
      <w:r>
        <w:rPr>
          <w:rFonts w:hint="eastAsia" w:ascii="宋体" w:hAnsi="宋体" w:cs="宋体"/>
          <w:color w:val="000000" w:themeColor="text1"/>
          <w:sz w:val="24"/>
          <w:szCs w:val="24"/>
          <w:lang w:val="en-US" w:eastAsia="zh-CN"/>
          <w14:textFill>
            <w14:solidFill>
              <w14:schemeClr w14:val="tx1"/>
            </w14:solidFill>
          </w14:textFill>
        </w:rPr>
        <w:t>90</w:t>
      </w:r>
      <w:r>
        <w:rPr>
          <w:rFonts w:hint="eastAsia" w:ascii="宋体" w:hAnsi="宋体" w:cs="宋体"/>
          <w:color w:val="000000" w:themeColor="text1"/>
          <w:sz w:val="24"/>
          <w:szCs w:val="24"/>
          <w14:textFill>
            <w14:solidFill>
              <w14:schemeClr w14:val="tx1"/>
            </w14:solidFill>
          </w14:textFill>
        </w:rPr>
        <w:t>分的，进行经济处罚，扣除相应分值的</w:t>
      </w:r>
      <w:r>
        <w:rPr>
          <w:rFonts w:hint="eastAsia" w:ascii="宋体" w:hAnsi="宋体" w:cs="宋体"/>
          <w:color w:val="000000" w:themeColor="text1"/>
          <w:sz w:val="24"/>
          <w:szCs w:val="24"/>
          <w:lang w:val="en-US" w:eastAsia="zh-CN"/>
          <w14:textFill>
            <w14:solidFill>
              <w14:schemeClr w14:val="tx1"/>
            </w14:solidFill>
          </w14:textFill>
        </w:rPr>
        <w:t>服务</w:t>
      </w:r>
      <w:r>
        <w:rPr>
          <w:rFonts w:hint="eastAsia" w:ascii="宋体" w:hAnsi="宋体" w:cs="宋体"/>
          <w:color w:val="000000" w:themeColor="text1"/>
          <w:sz w:val="24"/>
          <w:szCs w:val="24"/>
          <w14:textFill>
            <w14:solidFill>
              <w14:schemeClr w14:val="tx1"/>
            </w14:solidFill>
          </w14:textFill>
        </w:rPr>
        <w:t>费。（具体标准如下：</w:t>
      </w:r>
    </w:p>
    <w:p>
      <w:pPr>
        <w:spacing w:line="5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4.2.1.a月考核综合得分≥</w:t>
      </w:r>
      <w:r>
        <w:rPr>
          <w:rFonts w:hint="eastAsia" w:ascii="宋体" w:hAnsi="宋体" w:cs="宋体"/>
          <w:color w:val="000000" w:themeColor="text1"/>
          <w:sz w:val="24"/>
          <w:szCs w:val="24"/>
          <w:lang w:val="en-US" w:eastAsia="zh-CN"/>
          <w14:textFill>
            <w14:solidFill>
              <w14:schemeClr w14:val="tx1"/>
            </w14:solidFill>
          </w14:textFill>
        </w:rPr>
        <w:t>80</w:t>
      </w:r>
      <w:r>
        <w:rPr>
          <w:rFonts w:hint="eastAsia" w:ascii="宋体" w:hAnsi="宋体" w:cs="宋体"/>
          <w:color w:val="000000" w:themeColor="text1"/>
          <w:sz w:val="24"/>
          <w:szCs w:val="24"/>
          <w14:textFill>
            <w14:solidFill>
              <w14:schemeClr w14:val="tx1"/>
            </w14:solidFill>
          </w14:textFill>
        </w:rPr>
        <w:t>、&lt;</w:t>
      </w:r>
      <w:r>
        <w:rPr>
          <w:rFonts w:hint="eastAsia" w:ascii="宋体" w:hAnsi="宋体" w:cs="宋体"/>
          <w:color w:val="000000" w:themeColor="text1"/>
          <w:sz w:val="24"/>
          <w:szCs w:val="24"/>
          <w:lang w:val="en-US" w:eastAsia="zh-CN"/>
          <w14:textFill>
            <w14:solidFill>
              <w14:schemeClr w14:val="tx1"/>
            </w14:solidFill>
          </w14:textFill>
        </w:rPr>
        <w:t>90</w:t>
      </w:r>
      <w:r>
        <w:rPr>
          <w:rFonts w:hint="eastAsia" w:ascii="宋体" w:hAnsi="宋体" w:cs="宋体"/>
          <w:color w:val="000000" w:themeColor="text1"/>
          <w:sz w:val="24"/>
          <w:szCs w:val="24"/>
          <w14:textFill>
            <w14:solidFill>
              <w14:schemeClr w14:val="tx1"/>
            </w14:solidFill>
          </w14:textFill>
        </w:rPr>
        <w:t>的，每低</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分扣拨本月</w:t>
      </w:r>
      <w:r>
        <w:rPr>
          <w:rFonts w:hint="eastAsia" w:ascii="宋体" w:hAnsi="宋体" w:cs="宋体"/>
          <w:color w:val="000000" w:themeColor="text1"/>
          <w:sz w:val="24"/>
          <w:szCs w:val="24"/>
          <w:lang w:val="en-US" w:eastAsia="zh-CN"/>
          <w14:textFill>
            <w14:solidFill>
              <w14:schemeClr w14:val="tx1"/>
            </w14:solidFill>
          </w14:textFill>
        </w:rPr>
        <w:t>服务</w:t>
      </w:r>
      <w:r>
        <w:rPr>
          <w:rFonts w:hint="eastAsia" w:ascii="宋体" w:hAnsi="宋体" w:cs="宋体"/>
          <w:color w:val="000000" w:themeColor="text1"/>
          <w:sz w:val="24"/>
          <w:szCs w:val="24"/>
          <w14:textFill>
            <w14:solidFill>
              <w14:schemeClr w14:val="tx1"/>
            </w14:solidFill>
          </w14:textFill>
        </w:rPr>
        <w:t>费的</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w:t>
      </w:r>
    </w:p>
    <w:p>
      <w:pPr>
        <w:spacing w:line="5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4.2.2.b月考核综合得分在≥</w:t>
      </w:r>
      <w:r>
        <w:rPr>
          <w:rFonts w:hint="eastAsia" w:ascii="宋体" w:hAnsi="宋体" w:cs="宋体"/>
          <w:color w:val="000000" w:themeColor="text1"/>
          <w:sz w:val="24"/>
          <w:szCs w:val="24"/>
          <w:lang w:val="en-US" w:eastAsia="zh-CN"/>
          <w14:textFill>
            <w14:solidFill>
              <w14:schemeClr w14:val="tx1"/>
            </w14:solidFill>
          </w14:textFill>
        </w:rPr>
        <w:t>70</w:t>
      </w:r>
      <w:r>
        <w:rPr>
          <w:rFonts w:hint="eastAsia" w:ascii="宋体" w:hAnsi="宋体" w:cs="宋体"/>
          <w:color w:val="000000" w:themeColor="text1"/>
          <w:sz w:val="24"/>
          <w:szCs w:val="24"/>
          <w14:textFill>
            <w14:solidFill>
              <w14:schemeClr w14:val="tx1"/>
            </w14:solidFill>
          </w14:textFill>
        </w:rPr>
        <w:t>、&lt;</w:t>
      </w:r>
      <w:r>
        <w:rPr>
          <w:rFonts w:hint="eastAsia" w:ascii="宋体" w:hAnsi="宋体" w:cs="宋体"/>
          <w:color w:val="000000" w:themeColor="text1"/>
          <w:sz w:val="24"/>
          <w:szCs w:val="24"/>
          <w:lang w:val="en-US" w:eastAsia="zh-CN"/>
          <w14:textFill>
            <w14:solidFill>
              <w14:schemeClr w14:val="tx1"/>
            </w14:solidFill>
          </w14:textFill>
        </w:rPr>
        <w:t>80</w:t>
      </w:r>
      <w:r>
        <w:rPr>
          <w:rFonts w:hint="eastAsia" w:ascii="宋体" w:hAnsi="宋体" w:cs="宋体"/>
          <w:color w:val="000000" w:themeColor="text1"/>
          <w:sz w:val="24"/>
          <w:szCs w:val="24"/>
          <w14:textFill>
            <w14:solidFill>
              <w14:schemeClr w14:val="tx1"/>
            </w14:solidFill>
          </w14:textFill>
        </w:rPr>
        <w:t>的，每低</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分扣拨本月</w:t>
      </w:r>
      <w:r>
        <w:rPr>
          <w:rFonts w:hint="eastAsia" w:ascii="宋体" w:hAnsi="宋体" w:cs="宋体"/>
          <w:color w:val="000000" w:themeColor="text1"/>
          <w:sz w:val="24"/>
          <w:szCs w:val="24"/>
          <w:lang w:val="en-US" w:eastAsia="zh-CN"/>
          <w14:textFill>
            <w14:solidFill>
              <w14:schemeClr w14:val="tx1"/>
            </w14:solidFill>
          </w14:textFill>
        </w:rPr>
        <w:t>服务</w:t>
      </w:r>
      <w:r>
        <w:rPr>
          <w:rFonts w:hint="eastAsia" w:ascii="宋体" w:hAnsi="宋体" w:cs="宋体"/>
          <w:color w:val="000000" w:themeColor="text1"/>
          <w:sz w:val="24"/>
          <w:szCs w:val="24"/>
          <w14:textFill>
            <w14:solidFill>
              <w14:schemeClr w14:val="tx1"/>
            </w14:solidFill>
          </w14:textFill>
        </w:rPr>
        <w:t>费的</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w:t>
      </w:r>
    </w:p>
    <w:p>
      <w:pPr>
        <w:spacing w:line="5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4.2.3.c月考核综合得分≥</w:t>
      </w:r>
      <w:r>
        <w:rPr>
          <w:rFonts w:hint="eastAsia" w:ascii="宋体" w:hAnsi="宋体" w:cs="宋体"/>
          <w:color w:val="000000" w:themeColor="text1"/>
          <w:sz w:val="24"/>
          <w:szCs w:val="24"/>
          <w:lang w:val="en-US" w:eastAsia="zh-CN"/>
          <w14:textFill>
            <w14:solidFill>
              <w14:schemeClr w14:val="tx1"/>
            </w14:solidFill>
          </w14:textFill>
        </w:rPr>
        <w:t>60</w:t>
      </w:r>
      <w:r>
        <w:rPr>
          <w:rFonts w:hint="eastAsia" w:ascii="宋体" w:hAnsi="宋体" w:cs="宋体"/>
          <w:color w:val="000000" w:themeColor="text1"/>
          <w:sz w:val="24"/>
          <w:szCs w:val="24"/>
          <w14:textFill>
            <w14:solidFill>
              <w14:schemeClr w14:val="tx1"/>
            </w14:solidFill>
          </w14:textFill>
        </w:rPr>
        <w:t>、&lt;</w:t>
      </w:r>
      <w:r>
        <w:rPr>
          <w:rFonts w:hint="eastAsia" w:ascii="宋体" w:hAnsi="宋体" w:cs="宋体"/>
          <w:color w:val="000000" w:themeColor="text1"/>
          <w:sz w:val="24"/>
          <w:szCs w:val="24"/>
          <w:lang w:val="en-US" w:eastAsia="zh-CN"/>
          <w14:textFill>
            <w14:solidFill>
              <w14:schemeClr w14:val="tx1"/>
            </w14:solidFill>
          </w14:textFill>
        </w:rPr>
        <w:t>70</w:t>
      </w:r>
      <w:r>
        <w:rPr>
          <w:rFonts w:hint="eastAsia" w:ascii="宋体" w:hAnsi="宋体" w:cs="宋体"/>
          <w:color w:val="000000" w:themeColor="text1"/>
          <w:sz w:val="24"/>
          <w:szCs w:val="24"/>
          <w14:textFill>
            <w14:solidFill>
              <w14:schemeClr w14:val="tx1"/>
            </w14:solidFill>
          </w14:textFill>
        </w:rPr>
        <w:t>的，每低</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分扣拨本月</w:t>
      </w:r>
      <w:r>
        <w:rPr>
          <w:rFonts w:hint="eastAsia" w:ascii="宋体" w:hAnsi="宋体" w:cs="宋体"/>
          <w:color w:val="000000" w:themeColor="text1"/>
          <w:sz w:val="24"/>
          <w:szCs w:val="24"/>
          <w:lang w:val="en-US" w:eastAsia="zh-CN"/>
          <w14:textFill>
            <w14:solidFill>
              <w14:schemeClr w14:val="tx1"/>
            </w14:solidFill>
          </w14:textFill>
        </w:rPr>
        <w:t>服务</w:t>
      </w:r>
      <w:r>
        <w:rPr>
          <w:rFonts w:hint="eastAsia" w:ascii="宋体" w:hAnsi="宋体" w:cs="宋体"/>
          <w:color w:val="000000" w:themeColor="text1"/>
          <w:sz w:val="24"/>
          <w:szCs w:val="24"/>
          <w14:textFill>
            <w14:solidFill>
              <w14:schemeClr w14:val="tx1"/>
            </w14:solidFill>
          </w14:textFill>
        </w:rPr>
        <w:t>费的</w:t>
      </w: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t>%，</w:t>
      </w:r>
    </w:p>
    <w:p>
      <w:pPr>
        <w:spacing w:line="560" w:lineRule="exact"/>
        <w:ind w:firstLine="480" w:firstLineChars="200"/>
        <w:rPr>
          <w:rFonts w:ascii="宋体" w:hAnsi="宋体" w:cs="宋体"/>
          <w:sz w:val="24"/>
          <w:szCs w:val="24"/>
        </w:rPr>
      </w:pPr>
      <w:r>
        <w:rPr>
          <w:rFonts w:hint="eastAsia" w:ascii="宋体" w:hAnsi="宋体" w:cs="宋体"/>
          <w:color w:val="000000" w:themeColor="text1"/>
          <w:sz w:val="24"/>
          <w:szCs w:val="24"/>
          <w14:textFill>
            <w14:solidFill>
              <w14:schemeClr w14:val="tx1"/>
            </w14:solidFill>
          </w14:textFill>
        </w:rPr>
        <w:t>4.2.4.d月考核综合得分&lt;</w:t>
      </w:r>
      <w:r>
        <w:rPr>
          <w:rFonts w:hint="eastAsia" w:ascii="宋体" w:hAnsi="宋体" w:cs="宋体"/>
          <w:color w:val="000000" w:themeColor="text1"/>
          <w:sz w:val="24"/>
          <w:szCs w:val="24"/>
          <w:lang w:val="en-US" w:eastAsia="zh-CN"/>
          <w14:textFill>
            <w14:solidFill>
              <w14:schemeClr w14:val="tx1"/>
            </w14:solidFill>
          </w14:textFill>
        </w:rPr>
        <w:t>60</w:t>
      </w:r>
      <w:r>
        <w:rPr>
          <w:rFonts w:hint="eastAsia" w:ascii="宋体" w:hAnsi="宋体" w:cs="宋体"/>
          <w:color w:val="000000" w:themeColor="text1"/>
          <w:sz w:val="24"/>
          <w:szCs w:val="24"/>
          <w14:textFill>
            <w14:solidFill>
              <w14:schemeClr w14:val="tx1"/>
            </w14:solidFill>
          </w14:textFill>
        </w:rPr>
        <w:t>的，每低</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分扣拨本月</w:t>
      </w:r>
      <w:r>
        <w:rPr>
          <w:rFonts w:hint="eastAsia" w:ascii="宋体" w:hAnsi="宋体" w:cs="宋体"/>
          <w:color w:val="000000" w:themeColor="text1"/>
          <w:sz w:val="24"/>
          <w:szCs w:val="24"/>
          <w:lang w:val="en-US" w:eastAsia="zh-CN"/>
          <w14:textFill>
            <w14:solidFill>
              <w14:schemeClr w14:val="tx1"/>
            </w14:solidFill>
          </w14:textFill>
        </w:rPr>
        <w:t>服务</w:t>
      </w:r>
      <w:r>
        <w:rPr>
          <w:rFonts w:hint="eastAsia" w:ascii="宋体" w:hAnsi="宋体" w:cs="宋体"/>
          <w:color w:val="000000" w:themeColor="text1"/>
          <w:sz w:val="24"/>
          <w:szCs w:val="24"/>
          <w14:textFill>
            <w14:solidFill>
              <w14:schemeClr w14:val="tx1"/>
            </w14:solidFill>
          </w14:textFill>
        </w:rPr>
        <w:t>费的</w:t>
      </w:r>
      <w:r>
        <w:rPr>
          <w:rFonts w:hint="eastAsia" w:ascii="宋体" w:hAnsi="宋体" w:cs="宋体"/>
          <w:color w:val="000000" w:themeColor="text1"/>
          <w:sz w:val="24"/>
          <w:szCs w:val="24"/>
          <w:lang w:val="en-US" w:eastAsia="zh-CN"/>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t>%，不够部分从</w:t>
      </w:r>
      <w:r>
        <w:rPr>
          <w:rFonts w:hint="eastAsia" w:ascii="宋体" w:hAnsi="宋体" w:cs="宋体"/>
          <w:sz w:val="24"/>
          <w:szCs w:val="24"/>
        </w:rPr>
        <w:t>下月</w:t>
      </w:r>
      <w:r>
        <w:rPr>
          <w:rFonts w:hint="eastAsia" w:ascii="宋体" w:hAnsi="宋体" w:cs="宋体"/>
          <w:sz w:val="24"/>
          <w:szCs w:val="24"/>
          <w:lang w:val="en-US" w:eastAsia="zh-CN"/>
        </w:rPr>
        <w:t>服务</w:t>
      </w:r>
      <w:r>
        <w:rPr>
          <w:rFonts w:hint="eastAsia" w:ascii="宋体" w:hAnsi="宋体" w:cs="宋体"/>
          <w:sz w:val="24"/>
          <w:szCs w:val="24"/>
        </w:rPr>
        <w:t>费中扣除，以上扣款经公示后上报相关部门备案，扣款金额在申请拨付本年度</w:t>
      </w:r>
      <w:r>
        <w:rPr>
          <w:rFonts w:hint="eastAsia" w:ascii="宋体" w:hAnsi="宋体" w:cs="宋体"/>
          <w:sz w:val="24"/>
          <w:szCs w:val="24"/>
          <w:lang w:val="en-US" w:eastAsia="zh-CN"/>
        </w:rPr>
        <w:t>服务</w:t>
      </w:r>
      <w:r>
        <w:rPr>
          <w:rFonts w:hint="eastAsia" w:ascii="宋体" w:hAnsi="宋体" w:cs="宋体"/>
          <w:sz w:val="24"/>
          <w:szCs w:val="24"/>
        </w:rPr>
        <w:t>费时进行核扣。</w:t>
      </w:r>
    </w:p>
    <w:p>
      <w:pPr>
        <w:spacing w:line="560" w:lineRule="exact"/>
        <w:ind w:firstLine="480" w:firstLineChars="200"/>
        <w:rPr>
          <w:rFonts w:ascii="宋体" w:hAnsi="宋体" w:cs="宋体"/>
          <w:sz w:val="24"/>
          <w:szCs w:val="24"/>
        </w:rPr>
      </w:pPr>
      <w:r>
        <w:rPr>
          <w:rFonts w:hint="eastAsia" w:ascii="宋体" w:hAnsi="宋体" w:cs="宋体"/>
          <w:sz w:val="24"/>
          <w:szCs w:val="24"/>
        </w:rPr>
        <w:t>4.3</w:t>
      </w:r>
      <w:r>
        <w:rPr>
          <w:rFonts w:hint="eastAsia" w:ascii="宋体" w:hAnsi="宋体" w:cs="宋体"/>
          <w:sz w:val="24"/>
          <w:szCs w:val="24"/>
          <w:lang w:eastAsia="zh-CN"/>
        </w:rPr>
        <w:t>保洁</w:t>
      </w:r>
      <w:r>
        <w:rPr>
          <w:rFonts w:hint="eastAsia" w:ascii="宋体" w:hAnsi="宋体" w:cs="宋体"/>
          <w:sz w:val="24"/>
          <w:szCs w:val="24"/>
          <w:lang w:val="en-US" w:eastAsia="zh-CN"/>
        </w:rPr>
        <w:t>养护</w:t>
      </w:r>
      <w:r>
        <w:rPr>
          <w:rFonts w:hint="eastAsia" w:ascii="宋体" w:hAnsi="宋体" w:cs="宋体"/>
          <w:sz w:val="24"/>
          <w:szCs w:val="24"/>
        </w:rPr>
        <w:t>期间因</w:t>
      </w:r>
      <w:r>
        <w:rPr>
          <w:rFonts w:hint="eastAsia" w:ascii="宋体" w:hAnsi="宋体" w:cs="宋体"/>
          <w:sz w:val="24"/>
          <w:szCs w:val="24"/>
          <w:lang w:val="en-US" w:eastAsia="zh-CN"/>
        </w:rPr>
        <w:t>中标</w:t>
      </w:r>
      <w:r>
        <w:rPr>
          <w:rFonts w:hint="eastAsia" w:ascii="宋体" w:hAnsi="宋体" w:cs="宋体"/>
          <w:sz w:val="24"/>
          <w:szCs w:val="24"/>
        </w:rPr>
        <w:t>单位责任发生重大安全责任事故，经核查属实，扣除本月</w:t>
      </w:r>
      <w:r>
        <w:rPr>
          <w:rFonts w:hint="eastAsia" w:ascii="宋体" w:hAnsi="宋体" w:cs="宋体"/>
          <w:sz w:val="24"/>
          <w:szCs w:val="24"/>
          <w:lang w:val="en-US" w:eastAsia="zh-CN"/>
        </w:rPr>
        <w:t>考核</w:t>
      </w:r>
      <w:r>
        <w:rPr>
          <w:rFonts w:hint="eastAsia" w:ascii="宋体" w:hAnsi="宋体" w:cs="宋体"/>
          <w:sz w:val="24"/>
          <w:szCs w:val="24"/>
        </w:rPr>
        <w:t>分5分（对造成损失的由责任单位负责并追究其相关责任)。</w:t>
      </w:r>
    </w:p>
    <w:p>
      <w:pPr>
        <w:spacing w:line="560" w:lineRule="exact"/>
        <w:ind w:firstLine="480" w:firstLineChars="200"/>
        <w:rPr>
          <w:rFonts w:ascii="宋体" w:hAnsi="宋体" w:cs="宋体"/>
          <w:sz w:val="24"/>
          <w:szCs w:val="24"/>
        </w:rPr>
      </w:pPr>
      <w:r>
        <w:rPr>
          <w:rFonts w:hint="eastAsia" w:ascii="宋体" w:hAnsi="宋体" w:cs="宋体"/>
          <w:sz w:val="24"/>
          <w:szCs w:val="24"/>
        </w:rPr>
        <w:t>4.4</w:t>
      </w:r>
      <w:r>
        <w:rPr>
          <w:rFonts w:hint="eastAsia" w:ascii="宋体" w:hAnsi="宋体" w:cs="宋体"/>
          <w:sz w:val="24"/>
          <w:szCs w:val="24"/>
          <w:lang w:eastAsia="zh-CN"/>
        </w:rPr>
        <w:t>保洁</w:t>
      </w:r>
      <w:r>
        <w:rPr>
          <w:rFonts w:hint="eastAsia" w:ascii="宋体" w:hAnsi="宋体" w:cs="宋体"/>
          <w:sz w:val="24"/>
          <w:szCs w:val="24"/>
          <w:lang w:val="en-US" w:eastAsia="zh-CN"/>
        </w:rPr>
        <w:t>养护</w:t>
      </w:r>
      <w:r>
        <w:rPr>
          <w:rFonts w:hint="eastAsia" w:ascii="宋体" w:hAnsi="宋体" w:cs="宋体"/>
          <w:sz w:val="24"/>
          <w:szCs w:val="24"/>
        </w:rPr>
        <w:t>单位对考核结果进行现场确认签章，每月考核结于当天签章确认，如无签章本月考核按照不合格计入。</w:t>
      </w:r>
    </w:p>
    <w:p>
      <w:pPr>
        <w:spacing w:line="560" w:lineRule="exact"/>
        <w:ind w:firstLine="482" w:firstLineChars="200"/>
        <w:rPr>
          <w:rFonts w:ascii="宋体" w:hAnsi="宋体" w:cs="宋体"/>
          <w:sz w:val="24"/>
          <w:szCs w:val="24"/>
        </w:rPr>
      </w:pPr>
      <w:r>
        <w:rPr>
          <w:rFonts w:hint="eastAsia" w:ascii="宋体" w:hAnsi="宋体" w:cs="宋体"/>
          <w:b/>
          <w:sz w:val="24"/>
          <w:szCs w:val="24"/>
        </w:rPr>
        <w:t>5.考核结果运用</w:t>
      </w:r>
    </w:p>
    <w:p>
      <w:pPr>
        <w:spacing w:line="560" w:lineRule="exact"/>
        <w:ind w:firstLine="480" w:firstLineChars="200"/>
        <w:rPr>
          <w:rFonts w:hint="eastAsia" w:ascii="宋体" w:hAnsi="宋体" w:cs="宋体"/>
          <w:sz w:val="24"/>
          <w:szCs w:val="24"/>
        </w:rPr>
      </w:pPr>
      <w:r>
        <w:rPr>
          <w:rFonts w:hint="eastAsia" w:ascii="宋体" w:hAnsi="宋体" w:cs="宋体"/>
          <w:sz w:val="24"/>
          <w:szCs w:val="24"/>
        </w:rPr>
        <w:t>5.1</w:t>
      </w:r>
      <w:r>
        <w:rPr>
          <w:rFonts w:hint="eastAsia" w:ascii="宋体" w:hAnsi="宋体" w:cs="宋体"/>
          <w:sz w:val="24"/>
          <w:szCs w:val="24"/>
          <w:lang w:val="en-US" w:eastAsia="zh-CN"/>
        </w:rPr>
        <w:t>环卫保洁和园林养护</w:t>
      </w:r>
      <w:r>
        <w:rPr>
          <w:rFonts w:hint="eastAsia" w:ascii="宋体" w:hAnsi="宋体" w:cs="宋体"/>
          <w:sz w:val="24"/>
          <w:szCs w:val="24"/>
        </w:rPr>
        <w:t>的绩效考核结果与</w:t>
      </w:r>
      <w:r>
        <w:rPr>
          <w:rFonts w:hint="eastAsia" w:ascii="宋体" w:hAnsi="宋体" w:cs="宋体"/>
          <w:sz w:val="24"/>
          <w:szCs w:val="24"/>
          <w:lang w:val="en-US" w:eastAsia="zh-CN"/>
        </w:rPr>
        <w:t>服务</w:t>
      </w:r>
      <w:r>
        <w:rPr>
          <w:rFonts w:hint="eastAsia" w:ascii="宋体" w:hAnsi="宋体" w:cs="宋体"/>
          <w:sz w:val="24"/>
          <w:szCs w:val="24"/>
        </w:rPr>
        <w:t>费挂钩；当考核结果连续三月不达标时（低于</w:t>
      </w:r>
      <w:r>
        <w:rPr>
          <w:rFonts w:hint="eastAsia" w:ascii="宋体" w:hAnsi="宋体" w:cs="宋体"/>
          <w:sz w:val="24"/>
          <w:szCs w:val="24"/>
          <w:lang w:val="en-US" w:eastAsia="zh-CN"/>
        </w:rPr>
        <w:t>60</w:t>
      </w:r>
      <w:r>
        <w:rPr>
          <w:rFonts w:hint="eastAsia" w:ascii="宋体" w:hAnsi="宋体" w:cs="宋体"/>
          <w:sz w:val="24"/>
          <w:szCs w:val="24"/>
        </w:rPr>
        <w:t>分），约谈</w:t>
      </w:r>
      <w:r>
        <w:rPr>
          <w:rFonts w:hint="eastAsia" w:ascii="宋体" w:hAnsi="宋体" w:cs="宋体"/>
          <w:sz w:val="24"/>
          <w:szCs w:val="24"/>
          <w:lang w:val="en-US" w:eastAsia="zh-CN"/>
        </w:rPr>
        <w:t>中标</w:t>
      </w:r>
      <w:r>
        <w:rPr>
          <w:rFonts w:hint="eastAsia" w:ascii="宋体" w:hAnsi="宋体" w:cs="宋体"/>
          <w:sz w:val="24"/>
          <w:szCs w:val="24"/>
        </w:rPr>
        <w:t>单位法定代表人作出承诺，拒不整改或整改不达标的，按协议约定，扣除相应比例的</w:t>
      </w:r>
      <w:r>
        <w:rPr>
          <w:rFonts w:hint="eastAsia" w:ascii="宋体" w:hAnsi="宋体" w:cs="宋体"/>
          <w:sz w:val="24"/>
          <w:szCs w:val="24"/>
          <w:lang w:val="en-US" w:eastAsia="zh-CN"/>
        </w:rPr>
        <w:t>服务</w:t>
      </w:r>
      <w:r>
        <w:rPr>
          <w:rFonts w:hint="eastAsia" w:ascii="宋体" w:hAnsi="宋体" w:cs="宋体"/>
          <w:sz w:val="24"/>
          <w:szCs w:val="24"/>
        </w:rPr>
        <w:t>费或终止协议。并报行政主管部门，取消其</w:t>
      </w:r>
      <w:r>
        <w:rPr>
          <w:rFonts w:hint="eastAsia" w:ascii="宋体" w:hAnsi="宋体" w:cs="宋体"/>
          <w:sz w:val="24"/>
          <w:szCs w:val="24"/>
          <w:lang w:val="en-US" w:eastAsia="zh-CN"/>
        </w:rPr>
        <w:t>环卫</w:t>
      </w:r>
      <w:r>
        <w:rPr>
          <w:rFonts w:hint="eastAsia" w:ascii="宋体" w:hAnsi="宋体" w:cs="宋体"/>
          <w:sz w:val="24"/>
          <w:szCs w:val="24"/>
          <w:lang w:eastAsia="zh-CN"/>
        </w:rPr>
        <w:t>保洁</w:t>
      </w:r>
      <w:r>
        <w:rPr>
          <w:rFonts w:hint="eastAsia" w:ascii="宋体" w:hAnsi="宋体" w:cs="宋体"/>
          <w:sz w:val="24"/>
          <w:szCs w:val="24"/>
          <w:lang w:val="en-US" w:eastAsia="zh-CN"/>
        </w:rPr>
        <w:t>和园林养护</w:t>
      </w:r>
      <w:r>
        <w:rPr>
          <w:rFonts w:hint="eastAsia" w:ascii="宋体" w:hAnsi="宋体" w:cs="宋体"/>
          <w:sz w:val="24"/>
          <w:szCs w:val="24"/>
        </w:rPr>
        <w:t>合格单位的资格。</w:t>
      </w:r>
    </w:p>
    <w:p>
      <w:pPr>
        <w:spacing w:line="560" w:lineRule="exact"/>
        <w:ind w:firstLine="480" w:firstLineChars="200"/>
        <w:rPr>
          <w:rFonts w:hint="eastAsia" w:ascii="宋体" w:hAnsi="宋体" w:cs="宋体"/>
          <w:sz w:val="24"/>
          <w:szCs w:val="24"/>
        </w:rPr>
      </w:pPr>
    </w:p>
    <w:p>
      <w:pPr>
        <w:pStyle w:val="58"/>
        <w:spacing w:line="440" w:lineRule="exact"/>
        <w:jc w:val="center"/>
        <w:rPr>
          <w:rFonts w:hint="eastAsia" w:ascii="宋体" w:hAnsi="宋体"/>
          <w:b/>
          <w:bCs/>
          <w:color w:val="auto"/>
          <w:sz w:val="30"/>
          <w:szCs w:val="30"/>
          <w:highlight w:val="none"/>
          <w:lang w:val="en-US" w:eastAsia="zh-CN"/>
        </w:rPr>
      </w:pPr>
    </w:p>
    <w:p>
      <w:pPr>
        <w:pStyle w:val="58"/>
        <w:spacing w:line="440" w:lineRule="exact"/>
        <w:jc w:val="center"/>
        <w:rPr>
          <w:rFonts w:hint="eastAsia" w:ascii="宋体" w:hAnsi="宋体"/>
          <w:b/>
          <w:bCs/>
          <w:color w:val="auto"/>
          <w:sz w:val="30"/>
          <w:szCs w:val="30"/>
          <w:highlight w:val="none"/>
          <w:lang w:val="en-US" w:eastAsia="zh-CN"/>
        </w:rPr>
      </w:pPr>
    </w:p>
    <w:p>
      <w:pPr>
        <w:pStyle w:val="58"/>
        <w:spacing w:line="440" w:lineRule="exact"/>
        <w:jc w:val="center"/>
        <w:rPr>
          <w:rFonts w:hint="eastAsia" w:ascii="宋体" w:hAnsi="宋体"/>
          <w:b/>
          <w:bCs/>
          <w:color w:val="auto"/>
          <w:sz w:val="30"/>
          <w:szCs w:val="30"/>
          <w:highlight w:val="none"/>
          <w:lang w:val="en-US" w:eastAsia="zh-CN"/>
        </w:rPr>
      </w:pPr>
    </w:p>
    <w:p>
      <w:pPr>
        <w:pStyle w:val="58"/>
        <w:spacing w:line="440" w:lineRule="exact"/>
        <w:jc w:val="center"/>
        <w:rPr>
          <w:rFonts w:hint="eastAsia" w:ascii="宋体" w:hAnsi="宋体"/>
          <w:b/>
          <w:bCs/>
          <w:color w:val="auto"/>
          <w:sz w:val="30"/>
          <w:szCs w:val="30"/>
          <w:highlight w:val="none"/>
          <w:lang w:val="en-US" w:eastAsia="zh-CN"/>
        </w:rPr>
      </w:pPr>
    </w:p>
    <w:p>
      <w:pPr>
        <w:pStyle w:val="58"/>
        <w:spacing w:line="440" w:lineRule="exact"/>
        <w:jc w:val="center"/>
        <w:rPr>
          <w:rFonts w:hint="eastAsia" w:ascii="宋体" w:hAnsi="宋体"/>
          <w:b/>
          <w:bCs/>
          <w:color w:val="auto"/>
          <w:sz w:val="30"/>
          <w:szCs w:val="30"/>
          <w:highlight w:val="none"/>
          <w:lang w:val="en-US" w:eastAsia="zh-CN"/>
        </w:rPr>
      </w:pPr>
    </w:p>
    <w:p>
      <w:pPr>
        <w:pStyle w:val="58"/>
        <w:spacing w:line="440" w:lineRule="exact"/>
        <w:jc w:val="center"/>
        <w:rPr>
          <w:rFonts w:hint="eastAsia" w:ascii="宋体" w:hAnsi="宋体"/>
          <w:b/>
          <w:bCs/>
          <w:color w:val="auto"/>
          <w:sz w:val="30"/>
          <w:szCs w:val="30"/>
          <w:highlight w:val="none"/>
          <w:lang w:val="en-US" w:eastAsia="zh-CN"/>
        </w:rPr>
      </w:pPr>
    </w:p>
    <w:p>
      <w:pPr>
        <w:pStyle w:val="58"/>
        <w:spacing w:line="440" w:lineRule="exact"/>
        <w:jc w:val="center"/>
        <w:rPr>
          <w:rFonts w:hint="eastAsia" w:ascii="宋体" w:hAnsi="宋体"/>
          <w:b/>
          <w:bCs/>
          <w:color w:val="auto"/>
          <w:sz w:val="30"/>
          <w:szCs w:val="30"/>
          <w:highlight w:val="none"/>
          <w:lang w:val="en-US" w:eastAsia="zh-CN"/>
        </w:rPr>
      </w:pPr>
    </w:p>
    <w:p>
      <w:pPr>
        <w:pStyle w:val="58"/>
        <w:spacing w:line="440" w:lineRule="exact"/>
        <w:jc w:val="center"/>
        <w:rPr>
          <w:rFonts w:hint="eastAsia" w:ascii="宋体" w:hAnsi="宋体"/>
          <w:b/>
          <w:bCs/>
          <w:color w:val="auto"/>
          <w:sz w:val="30"/>
          <w:szCs w:val="30"/>
          <w:highlight w:val="none"/>
          <w:lang w:val="en-US" w:eastAsia="zh-CN"/>
        </w:rPr>
      </w:pPr>
    </w:p>
    <w:p>
      <w:pPr>
        <w:pStyle w:val="58"/>
        <w:spacing w:line="440" w:lineRule="exact"/>
        <w:jc w:val="both"/>
        <w:rPr>
          <w:rFonts w:hint="eastAsia" w:ascii="宋体" w:hAnsi="宋体"/>
          <w:b/>
          <w:bCs/>
          <w:color w:val="auto"/>
          <w:sz w:val="30"/>
          <w:szCs w:val="30"/>
          <w:highlight w:val="none"/>
          <w:lang w:val="en-US" w:eastAsia="zh-CN"/>
        </w:rPr>
      </w:pPr>
    </w:p>
    <w:p>
      <w:pPr>
        <w:spacing w:line="600" w:lineRule="exact"/>
        <w:jc w:val="center"/>
        <w:rPr>
          <w:rFonts w:ascii="方正小标宋简体" w:eastAsia="方正小标宋简体"/>
          <w:bCs/>
          <w:color w:val="auto"/>
          <w:kern w:val="0"/>
          <w:sz w:val="36"/>
          <w:szCs w:val="36"/>
        </w:rPr>
      </w:pPr>
      <w:r>
        <w:rPr>
          <w:rFonts w:hint="eastAsia" w:ascii="方正小标宋简体" w:eastAsia="方正小标宋简体"/>
          <w:bCs/>
          <w:color w:val="auto"/>
          <w:kern w:val="0"/>
          <w:sz w:val="36"/>
          <w:szCs w:val="36"/>
          <w:lang w:val="en-US" w:eastAsia="zh-CN"/>
        </w:rPr>
        <w:t>托克逊县城市环卫园林一体化管理项目第一包</w:t>
      </w:r>
      <w:r>
        <w:rPr>
          <w:rFonts w:hint="eastAsia" w:ascii="方正小标宋简体" w:eastAsia="方正小标宋简体"/>
          <w:bCs/>
          <w:color w:val="auto"/>
          <w:kern w:val="0"/>
          <w:sz w:val="36"/>
          <w:szCs w:val="36"/>
        </w:rPr>
        <w:t>评分细则</w:t>
      </w:r>
    </w:p>
    <w:p>
      <w:pPr>
        <w:spacing w:line="300" w:lineRule="exact"/>
        <w:jc w:val="center"/>
        <w:rPr>
          <w:rFonts w:ascii="方正小标宋简体" w:eastAsia="方正小标宋简体"/>
          <w:bCs/>
          <w:color w:val="auto"/>
          <w:kern w:val="0"/>
          <w:sz w:val="36"/>
          <w:szCs w:val="36"/>
        </w:rPr>
      </w:pPr>
    </w:p>
    <w:tbl>
      <w:tblPr>
        <w:tblStyle w:val="23"/>
        <w:tblW w:w="9577" w:type="dxa"/>
        <w:tblInd w:w="0" w:type="dxa"/>
        <w:tblLayout w:type="fixed"/>
        <w:tblCellMar>
          <w:top w:w="0" w:type="dxa"/>
          <w:left w:w="108" w:type="dxa"/>
          <w:bottom w:w="0" w:type="dxa"/>
          <w:right w:w="108" w:type="dxa"/>
        </w:tblCellMar>
      </w:tblPr>
      <w:tblGrid>
        <w:gridCol w:w="809"/>
        <w:gridCol w:w="638"/>
        <w:gridCol w:w="1815"/>
        <w:gridCol w:w="1366"/>
        <w:gridCol w:w="3360"/>
        <w:gridCol w:w="951"/>
        <w:gridCol w:w="638"/>
      </w:tblGrid>
      <w:tr>
        <w:tblPrEx>
          <w:tblCellMar>
            <w:top w:w="0" w:type="dxa"/>
            <w:left w:w="108" w:type="dxa"/>
            <w:bottom w:w="0" w:type="dxa"/>
            <w:right w:w="108" w:type="dxa"/>
          </w:tblCellMar>
        </w:tblPrEx>
        <w:trPr>
          <w:trHeight w:val="691" w:hRule="atLeast"/>
        </w:trPr>
        <w:tc>
          <w:tcPr>
            <w:tcW w:w="8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项目</w:t>
            </w:r>
          </w:p>
        </w:tc>
        <w:tc>
          <w:tcPr>
            <w:tcW w:w="638" w:type="dxa"/>
            <w:tcBorders>
              <w:top w:val="single" w:color="auto" w:sz="4" w:space="0"/>
              <w:left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编号</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考核标准</w:t>
            </w:r>
          </w:p>
        </w:tc>
        <w:tc>
          <w:tcPr>
            <w:tcW w:w="472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评分细则</w:t>
            </w:r>
          </w:p>
        </w:tc>
        <w:tc>
          <w:tcPr>
            <w:tcW w:w="951" w:type="dxa"/>
            <w:tcBorders>
              <w:top w:val="single" w:color="auto" w:sz="4" w:space="0"/>
              <w:left w:val="single" w:color="auto" w:sz="4" w:space="0"/>
              <w:bottom w:val="single" w:color="000000"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实际</w:t>
            </w:r>
          </w:p>
          <w:p>
            <w:pPr>
              <w:adjustRightInd w:val="0"/>
              <w:snapToGrid w:val="0"/>
              <w:spacing w:line="240" w:lineRule="auto"/>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得分</w:t>
            </w:r>
          </w:p>
        </w:tc>
        <w:tc>
          <w:tcPr>
            <w:tcW w:w="638" w:type="dxa"/>
            <w:tcBorders>
              <w:top w:val="single" w:color="auto" w:sz="4" w:space="0"/>
              <w:left w:val="single" w:color="auto" w:sz="4" w:space="0"/>
              <w:bottom w:val="single" w:color="000000"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备注</w:t>
            </w:r>
          </w:p>
        </w:tc>
      </w:tr>
      <w:tr>
        <w:tblPrEx>
          <w:tblCellMar>
            <w:top w:w="0" w:type="dxa"/>
            <w:left w:w="108" w:type="dxa"/>
            <w:bottom w:w="0" w:type="dxa"/>
            <w:right w:w="108" w:type="dxa"/>
          </w:tblCellMar>
        </w:tblPrEx>
        <w:trPr>
          <w:trHeight w:val="687" w:hRule="atLeast"/>
        </w:trPr>
        <w:tc>
          <w:tcPr>
            <w:tcW w:w="809" w:type="dxa"/>
            <w:vMerge w:val="restart"/>
            <w:tcBorders>
              <w:top w:val="nil"/>
              <w:left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管理(</w:t>
            </w:r>
            <w:r>
              <w:rPr>
                <w:rFonts w:hint="eastAsia" w:asciiTheme="minorEastAsia" w:hAnsiTheme="minorEastAsia" w:eastAsiaTheme="minorEastAsia" w:cstheme="minorEastAsia"/>
                <w:b/>
                <w:color w:val="auto"/>
                <w:kern w:val="0"/>
                <w:sz w:val="24"/>
                <w:szCs w:val="24"/>
                <w:lang w:val="en-US" w:eastAsia="zh-CN"/>
              </w:rPr>
              <w:t>5</w:t>
            </w:r>
            <w:r>
              <w:rPr>
                <w:rFonts w:hint="eastAsia" w:asciiTheme="minorEastAsia" w:hAnsiTheme="minorEastAsia" w:eastAsiaTheme="minorEastAsia" w:cstheme="minorEastAsia"/>
                <w:b/>
                <w:color w:val="auto"/>
                <w:kern w:val="0"/>
                <w:sz w:val="24"/>
                <w:szCs w:val="24"/>
              </w:rPr>
              <w:t>分)</w:t>
            </w:r>
          </w:p>
        </w:tc>
        <w:tc>
          <w:tcPr>
            <w:tcW w:w="638" w:type="dxa"/>
            <w:tcBorders>
              <w:top w:val="single" w:color="auto" w:sz="4" w:space="0"/>
              <w:left w:val="nil"/>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1.1</w:t>
            </w:r>
          </w:p>
        </w:tc>
        <w:tc>
          <w:tcPr>
            <w:tcW w:w="1815" w:type="dxa"/>
            <w:tcBorders>
              <w:top w:val="single" w:color="auto" w:sz="4" w:space="0"/>
              <w:left w:val="single" w:color="auto" w:sz="4" w:space="0"/>
              <w:bottom w:val="single" w:color="auto" w:sz="4" w:space="0"/>
              <w:right w:val="single" w:color="000000" w:sz="4" w:space="0"/>
            </w:tcBorders>
            <w:noWrap w:val="0"/>
            <w:vAlign w:val="center"/>
          </w:tcPr>
          <w:p>
            <w:pPr>
              <w:adjustRightInd w:val="0"/>
              <w:snapToGrid w:val="0"/>
              <w:spacing w:before="100" w:beforeAutospacing="1" w:after="100" w:afterAutospacing="1" w:line="24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管理制度</w:t>
            </w:r>
          </w:p>
        </w:tc>
        <w:tc>
          <w:tcPr>
            <w:tcW w:w="472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有健全的养护管理制度，未达要求扣1-2分。</w:t>
            </w:r>
          </w:p>
        </w:tc>
        <w:tc>
          <w:tcPr>
            <w:tcW w:w="951" w:type="dxa"/>
            <w:tcBorders>
              <w:top w:val="nil"/>
              <w:left w:val="single" w:color="auto" w:sz="4" w:space="0"/>
              <w:bottom w:val="single" w:color="auto" w:sz="4" w:space="0"/>
              <w:right w:val="single" w:color="auto" w:sz="4" w:space="0"/>
            </w:tcBorders>
            <w:noWrap w:val="0"/>
            <w:vAlign w:val="top"/>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p>
        </w:tc>
        <w:tc>
          <w:tcPr>
            <w:tcW w:w="638" w:type="dxa"/>
            <w:tcBorders>
              <w:top w:val="nil"/>
              <w:left w:val="single" w:color="auto" w:sz="4" w:space="0"/>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r>
      <w:tr>
        <w:tblPrEx>
          <w:tblCellMar>
            <w:top w:w="0" w:type="dxa"/>
            <w:left w:w="108" w:type="dxa"/>
            <w:bottom w:w="0" w:type="dxa"/>
            <w:right w:w="108" w:type="dxa"/>
          </w:tblCellMar>
        </w:tblPrEx>
        <w:trPr>
          <w:trHeight w:val="1404" w:hRule="atLeast"/>
        </w:trPr>
        <w:tc>
          <w:tcPr>
            <w:tcW w:w="809" w:type="dxa"/>
            <w:vMerge w:val="continue"/>
            <w:tcBorders>
              <w:left w:val="single" w:color="auto" w:sz="4" w:space="0"/>
              <w:right w:val="single" w:color="auto" w:sz="4" w:space="0"/>
            </w:tcBorders>
            <w:noWrap w:val="0"/>
            <w:vAlign w:val="center"/>
          </w:tcPr>
          <w:p>
            <w:pPr>
              <w:adjustRightInd w:val="0"/>
              <w:snapToGrid w:val="0"/>
              <w:spacing w:before="100" w:beforeAutospacing="1" w:after="100" w:afterAutospacing="1" w:line="240" w:lineRule="auto"/>
              <w:jc w:val="center"/>
              <w:rPr>
                <w:rFonts w:hint="eastAsia" w:asciiTheme="minorEastAsia" w:hAnsiTheme="minorEastAsia" w:eastAsiaTheme="minorEastAsia" w:cstheme="minorEastAsia"/>
                <w:b/>
                <w:color w:val="auto"/>
                <w:kern w:val="0"/>
                <w:sz w:val="24"/>
                <w:szCs w:val="24"/>
              </w:rPr>
            </w:pPr>
          </w:p>
        </w:tc>
        <w:tc>
          <w:tcPr>
            <w:tcW w:w="638" w:type="dxa"/>
            <w:tcBorders>
              <w:top w:val="single" w:color="auto" w:sz="4" w:space="0"/>
              <w:left w:val="nil"/>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1.2</w:t>
            </w:r>
          </w:p>
        </w:tc>
        <w:tc>
          <w:tcPr>
            <w:tcW w:w="1815" w:type="dxa"/>
            <w:tcBorders>
              <w:top w:val="single" w:color="auto" w:sz="4" w:space="0"/>
              <w:left w:val="single" w:color="auto" w:sz="4" w:space="0"/>
              <w:bottom w:val="single" w:color="auto" w:sz="4" w:space="0"/>
              <w:right w:val="single" w:color="000000" w:sz="4" w:space="0"/>
            </w:tcBorders>
            <w:noWrap w:val="0"/>
            <w:vAlign w:val="center"/>
          </w:tcPr>
          <w:p>
            <w:pPr>
              <w:adjustRightInd w:val="0"/>
              <w:snapToGrid w:val="0"/>
              <w:spacing w:before="100" w:beforeAutospacing="1" w:after="100" w:afterAutospacing="1" w:line="24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人员管理</w:t>
            </w:r>
          </w:p>
        </w:tc>
        <w:tc>
          <w:tcPr>
            <w:tcW w:w="472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按</w:t>
            </w:r>
            <w:r>
              <w:rPr>
                <w:rFonts w:hint="eastAsia" w:asciiTheme="minorEastAsia" w:hAnsiTheme="minorEastAsia" w:eastAsiaTheme="minorEastAsia" w:cstheme="minorEastAsia"/>
                <w:color w:val="auto"/>
                <w:kern w:val="0"/>
                <w:sz w:val="24"/>
                <w:szCs w:val="24"/>
                <w:lang w:val="en-US" w:eastAsia="zh-CN"/>
              </w:rPr>
              <w:t>环卫保洁和</w:t>
            </w:r>
            <w:r>
              <w:rPr>
                <w:rFonts w:hint="eastAsia" w:asciiTheme="minorEastAsia" w:hAnsiTheme="minorEastAsia" w:eastAsiaTheme="minorEastAsia" w:cstheme="minorEastAsia"/>
                <w:color w:val="auto"/>
                <w:kern w:val="0"/>
                <w:sz w:val="24"/>
                <w:szCs w:val="24"/>
              </w:rPr>
              <w:t>绿地养护面积，合理配备养管人员</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人员配备不合理，扣1分。项目负责人须参加管理部门组织的考核和有关会议，未参加的一次扣1分。</w:t>
            </w:r>
          </w:p>
        </w:tc>
        <w:tc>
          <w:tcPr>
            <w:tcW w:w="951" w:type="dxa"/>
            <w:tcBorders>
              <w:top w:val="nil"/>
              <w:left w:val="single" w:color="auto" w:sz="4" w:space="0"/>
              <w:bottom w:val="single" w:color="auto" w:sz="4" w:space="0"/>
              <w:right w:val="single" w:color="auto" w:sz="4" w:space="0"/>
            </w:tcBorders>
            <w:noWrap w:val="0"/>
            <w:vAlign w:val="top"/>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p>
        </w:tc>
        <w:tc>
          <w:tcPr>
            <w:tcW w:w="638" w:type="dxa"/>
            <w:tcBorders>
              <w:top w:val="nil"/>
              <w:left w:val="single" w:color="auto" w:sz="4" w:space="0"/>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p>
        </w:tc>
      </w:tr>
      <w:tr>
        <w:tblPrEx>
          <w:tblCellMar>
            <w:top w:w="0" w:type="dxa"/>
            <w:left w:w="108" w:type="dxa"/>
            <w:bottom w:w="0" w:type="dxa"/>
            <w:right w:w="108" w:type="dxa"/>
          </w:tblCellMar>
        </w:tblPrEx>
        <w:trPr>
          <w:trHeight w:val="2074" w:hRule="atLeast"/>
        </w:trPr>
        <w:tc>
          <w:tcPr>
            <w:tcW w:w="809" w:type="dxa"/>
            <w:vMerge w:val="continue"/>
            <w:tcBorders>
              <w:left w:val="single" w:color="auto" w:sz="4" w:space="0"/>
              <w:right w:val="single" w:color="auto" w:sz="4" w:space="0"/>
            </w:tcBorders>
            <w:noWrap w:val="0"/>
            <w:vAlign w:val="center"/>
          </w:tcPr>
          <w:p>
            <w:pPr>
              <w:adjustRightInd w:val="0"/>
              <w:snapToGrid w:val="0"/>
              <w:spacing w:line="240" w:lineRule="auto"/>
              <w:jc w:val="left"/>
              <w:rPr>
                <w:rFonts w:hint="eastAsia" w:asciiTheme="minorEastAsia" w:hAnsiTheme="minorEastAsia" w:eastAsiaTheme="minorEastAsia" w:cstheme="minorEastAsia"/>
                <w:color w:val="auto"/>
                <w:kern w:val="0"/>
                <w:sz w:val="24"/>
                <w:szCs w:val="24"/>
              </w:rPr>
            </w:pPr>
          </w:p>
        </w:tc>
        <w:tc>
          <w:tcPr>
            <w:tcW w:w="638" w:type="dxa"/>
            <w:tcBorders>
              <w:top w:val="single" w:color="auto" w:sz="4" w:space="0"/>
              <w:left w:val="nil"/>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1.3</w:t>
            </w:r>
          </w:p>
        </w:tc>
        <w:tc>
          <w:tcPr>
            <w:tcW w:w="1815" w:type="dxa"/>
            <w:tcBorders>
              <w:top w:val="single" w:color="auto" w:sz="4" w:space="0"/>
              <w:left w:val="single" w:color="auto" w:sz="4" w:space="0"/>
              <w:bottom w:val="single" w:color="auto" w:sz="4" w:space="0"/>
              <w:right w:val="single" w:color="000000" w:sz="4" w:space="0"/>
            </w:tcBorders>
            <w:noWrap w:val="0"/>
            <w:vAlign w:val="center"/>
          </w:tcPr>
          <w:p>
            <w:pPr>
              <w:adjustRightInd w:val="0"/>
              <w:snapToGrid w:val="0"/>
              <w:spacing w:before="100" w:beforeAutospacing="1" w:after="100" w:afterAutospacing="1" w:line="24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val="en-US" w:eastAsia="zh-CN"/>
              </w:rPr>
              <w:t>工作</w:t>
            </w:r>
            <w:r>
              <w:rPr>
                <w:rFonts w:hint="eastAsia" w:asciiTheme="minorEastAsia" w:hAnsiTheme="minorEastAsia" w:eastAsiaTheme="minorEastAsia" w:cstheme="minorEastAsia"/>
                <w:color w:val="auto"/>
                <w:kern w:val="0"/>
                <w:sz w:val="24"/>
                <w:szCs w:val="24"/>
              </w:rPr>
              <w:t>计划</w:t>
            </w:r>
          </w:p>
        </w:tc>
        <w:tc>
          <w:tcPr>
            <w:tcW w:w="472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每季度需制定季度</w:t>
            </w:r>
            <w:r>
              <w:rPr>
                <w:rFonts w:hint="eastAsia" w:asciiTheme="minorEastAsia" w:hAnsiTheme="minorEastAsia" w:eastAsiaTheme="minorEastAsia" w:cstheme="minorEastAsia"/>
                <w:color w:val="auto"/>
                <w:kern w:val="0"/>
                <w:sz w:val="24"/>
                <w:szCs w:val="24"/>
                <w:lang w:val="en-US" w:eastAsia="zh-CN"/>
              </w:rPr>
              <w:t>保洁和</w:t>
            </w:r>
            <w:r>
              <w:rPr>
                <w:rFonts w:hint="eastAsia" w:asciiTheme="minorEastAsia" w:hAnsiTheme="minorEastAsia" w:eastAsiaTheme="minorEastAsia" w:cstheme="minorEastAsia"/>
                <w:color w:val="auto"/>
                <w:kern w:val="0"/>
                <w:sz w:val="24"/>
                <w:szCs w:val="24"/>
              </w:rPr>
              <w:t>养护计划，并于4月、7月、10月的10号前向甲方报送</w:t>
            </w:r>
            <w:r>
              <w:rPr>
                <w:rFonts w:hint="eastAsia" w:asciiTheme="minorEastAsia" w:hAnsiTheme="minorEastAsia" w:eastAsiaTheme="minorEastAsia" w:cstheme="minorEastAsia"/>
                <w:color w:val="auto"/>
                <w:kern w:val="0"/>
                <w:sz w:val="24"/>
                <w:szCs w:val="24"/>
                <w:lang w:val="en-US" w:eastAsia="zh-CN"/>
              </w:rPr>
              <w:t>工作</w:t>
            </w:r>
            <w:r>
              <w:rPr>
                <w:rFonts w:hint="eastAsia" w:asciiTheme="minorEastAsia" w:hAnsiTheme="minorEastAsia" w:eastAsiaTheme="minorEastAsia" w:cstheme="minorEastAsia"/>
                <w:color w:val="auto"/>
                <w:kern w:val="0"/>
                <w:sz w:val="24"/>
                <w:szCs w:val="24"/>
              </w:rPr>
              <w:t>计划，无</w:t>
            </w:r>
            <w:r>
              <w:rPr>
                <w:rFonts w:hint="eastAsia" w:asciiTheme="minorEastAsia" w:hAnsiTheme="minorEastAsia" w:eastAsiaTheme="minorEastAsia" w:cstheme="minorEastAsia"/>
                <w:color w:val="auto"/>
                <w:kern w:val="0"/>
                <w:sz w:val="24"/>
                <w:szCs w:val="24"/>
                <w:lang w:val="en-US" w:eastAsia="zh-CN"/>
              </w:rPr>
              <w:t>工作</w:t>
            </w:r>
            <w:r>
              <w:rPr>
                <w:rFonts w:hint="eastAsia" w:asciiTheme="minorEastAsia" w:hAnsiTheme="minorEastAsia" w:eastAsiaTheme="minorEastAsia" w:cstheme="minorEastAsia"/>
                <w:color w:val="auto"/>
                <w:kern w:val="0"/>
                <w:sz w:val="24"/>
                <w:szCs w:val="24"/>
              </w:rPr>
              <w:t>计划，扣0.5分；未按季度</w:t>
            </w:r>
            <w:r>
              <w:rPr>
                <w:rFonts w:hint="eastAsia" w:asciiTheme="minorEastAsia" w:hAnsiTheme="minorEastAsia" w:eastAsiaTheme="minorEastAsia" w:cstheme="minorEastAsia"/>
                <w:color w:val="auto"/>
                <w:kern w:val="0"/>
                <w:sz w:val="24"/>
                <w:szCs w:val="24"/>
                <w:lang w:val="en-US" w:eastAsia="zh-CN"/>
              </w:rPr>
              <w:t>工作</w:t>
            </w:r>
            <w:r>
              <w:rPr>
                <w:rFonts w:hint="eastAsia" w:asciiTheme="minorEastAsia" w:hAnsiTheme="minorEastAsia" w:eastAsiaTheme="minorEastAsia" w:cstheme="minorEastAsia"/>
                <w:color w:val="auto"/>
                <w:kern w:val="0"/>
                <w:sz w:val="24"/>
                <w:szCs w:val="24"/>
              </w:rPr>
              <w:t>计划实施酌情扣0.5分；未按甲方要求及时报送计划的扣0.5分；报送数据失实的扣0.5分。</w:t>
            </w:r>
          </w:p>
        </w:tc>
        <w:tc>
          <w:tcPr>
            <w:tcW w:w="951" w:type="dxa"/>
            <w:tcBorders>
              <w:top w:val="nil"/>
              <w:left w:val="single" w:color="auto" w:sz="4" w:space="0"/>
              <w:bottom w:val="single" w:color="auto" w:sz="4" w:space="0"/>
              <w:right w:val="single" w:color="auto" w:sz="4" w:space="0"/>
            </w:tcBorders>
            <w:noWrap w:val="0"/>
            <w:vAlign w:val="top"/>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p>
        </w:tc>
        <w:tc>
          <w:tcPr>
            <w:tcW w:w="638" w:type="dxa"/>
            <w:tcBorders>
              <w:top w:val="nil"/>
              <w:left w:val="single" w:color="auto" w:sz="4" w:space="0"/>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r>
      <w:tr>
        <w:tblPrEx>
          <w:tblCellMar>
            <w:top w:w="0" w:type="dxa"/>
            <w:left w:w="108" w:type="dxa"/>
            <w:bottom w:w="0" w:type="dxa"/>
            <w:right w:w="108" w:type="dxa"/>
          </w:tblCellMar>
        </w:tblPrEx>
        <w:trPr>
          <w:trHeight w:val="1250" w:hRule="atLeast"/>
        </w:trPr>
        <w:tc>
          <w:tcPr>
            <w:tcW w:w="809" w:type="dxa"/>
            <w:vMerge w:val="continue"/>
            <w:tcBorders>
              <w:left w:val="single" w:color="auto" w:sz="4" w:space="0"/>
              <w:right w:val="single" w:color="auto" w:sz="4" w:space="0"/>
            </w:tcBorders>
            <w:noWrap w:val="0"/>
            <w:vAlign w:val="center"/>
          </w:tcPr>
          <w:p>
            <w:pPr>
              <w:adjustRightInd w:val="0"/>
              <w:snapToGrid w:val="0"/>
              <w:spacing w:line="240" w:lineRule="auto"/>
              <w:jc w:val="left"/>
              <w:rPr>
                <w:rFonts w:hint="eastAsia" w:asciiTheme="minorEastAsia" w:hAnsiTheme="minorEastAsia" w:eastAsiaTheme="minorEastAsia" w:cstheme="minorEastAsia"/>
                <w:color w:val="auto"/>
                <w:kern w:val="0"/>
                <w:sz w:val="24"/>
                <w:szCs w:val="24"/>
              </w:rPr>
            </w:pPr>
          </w:p>
        </w:tc>
        <w:tc>
          <w:tcPr>
            <w:tcW w:w="638" w:type="dxa"/>
            <w:tcBorders>
              <w:top w:val="single" w:color="auto" w:sz="4" w:space="0"/>
              <w:left w:val="nil"/>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1.4</w:t>
            </w:r>
          </w:p>
        </w:tc>
        <w:tc>
          <w:tcPr>
            <w:tcW w:w="1815" w:type="dxa"/>
            <w:tcBorders>
              <w:top w:val="single" w:color="auto" w:sz="4" w:space="0"/>
              <w:left w:val="single" w:color="auto" w:sz="4" w:space="0"/>
              <w:bottom w:val="single" w:color="auto" w:sz="4" w:space="0"/>
              <w:right w:val="single" w:color="000000" w:sz="4" w:space="0"/>
            </w:tcBorders>
            <w:noWrap w:val="0"/>
            <w:vAlign w:val="center"/>
          </w:tcPr>
          <w:p>
            <w:pPr>
              <w:adjustRightInd w:val="0"/>
              <w:snapToGrid w:val="0"/>
              <w:spacing w:before="100" w:beforeAutospacing="1" w:after="100" w:afterAutospacing="1" w:line="24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管理基础档案总结报表</w:t>
            </w:r>
          </w:p>
        </w:tc>
        <w:tc>
          <w:tcPr>
            <w:tcW w:w="472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基础档案详尽，总账分账相符，每缺一处基础资料扣1分</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未按甲方要求及时报送报表的扣2分</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报送数据失实的扣2分。</w:t>
            </w:r>
          </w:p>
        </w:tc>
        <w:tc>
          <w:tcPr>
            <w:tcW w:w="9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p>
        </w:tc>
        <w:tc>
          <w:tcPr>
            <w:tcW w:w="6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p>
        </w:tc>
      </w:tr>
      <w:tr>
        <w:tblPrEx>
          <w:tblCellMar>
            <w:top w:w="0" w:type="dxa"/>
            <w:left w:w="108" w:type="dxa"/>
            <w:bottom w:w="0" w:type="dxa"/>
            <w:right w:w="108" w:type="dxa"/>
          </w:tblCellMar>
        </w:tblPrEx>
        <w:trPr>
          <w:trHeight w:val="578" w:hRule="atLeast"/>
        </w:trPr>
        <w:tc>
          <w:tcPr>
            <w:tcW w:w="809" w:type="dxa"/>
            <w:tcBorders>
              <w:left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项目</w:t>
            </w:r>
          </w:p>
        </w:tc>
        <w:tc>
          <w:tcPr>
            <w:tcW w:w="638"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编号</w:t>
            </w:r>
          </w:p>
        </w:tc>
        <w:tc>
          <w:tcPr>
            <w:tcW w:w="1815" w:type="dxa"/>
            <w:tcBorders>
              <w:top w:val="single" w:color="auto" w:sz="4" w:space="0"/>
              <w:left w:val="single" w:color="auto" w:sz="4" w:space="0"/>
              <w:bottom w:val="single" w:color="auto" w:sz="4" w:space="0"/>
              <w:right w:val="single" w:color="000000"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考核标准</w:t>
            </w:r>
          </w:p>
        </w:tc>
        <w:tc>
          <w:tcPr>
            <w:tcW w:w="472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评分细则</w:t>
            </w:r>
          </w:p>
        </w:tc>
        <w:tc>
          <w:tcPr>
            <w:tcW w:w="9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实际</w:t>
            </w:r>
          </w:p>
          <w:p>
            <w:pPr>
              <w:adjustRightInd w:val="0"/>
              <w:snapToGrid w:val="0"/>
              <w:spacing w:line="240" w:lineRule="auto"/>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得分</w:t>
            </w:r>
          </w:p>
        </w:tc>
        <w:tc>
          <w:tcPr>
            <w:tcW w:w="6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备注</w:t>
            </w:r>
          </w:p>
        </w:tc>
      </w:tr>
      <w:tr>
        <w:tblPrEx>
          <w:tblCellMar>
            <w:top w:w="0" w:type="dxa"/>
            <w:left w:w="108" w:type="dxa"/>
            <w:bottom w:w="0" w:type="dxa"/>
            <w:right w:w="108" w:type="dxa"/>
          </w:tblCellMar>
        </w:tblPrEx>
        <w:trPr>
          <w:trHeight w:val="1113" w:hRule="atLeast"/>
        </w:trPr>
        <w:tc>
          <w:tcPr>
            <w:tcW w:w="809" w:type="dxa"/>
            <w:vMerge w:val="restart"/>
            <w:tcBorders>
              <w:top w:val="single" w:color="auto" w:sz="4" w:space="0"/>
              <w:left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乔木（含2米以上乔木）养护</w:t>
            </w:r>
          </w:p>
          <w:p>
            <w:pPr>
              <w:adjustRightInd w:val="0"/>
              <w:snapToGrid w:val="0"/>
              <w:spacing w:line="240" w:lineRule="auto"/>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w:t>
            </w:r>
            <w:r>
              <w:rPr>
                <w:rFonts w:hint="eastAsia" w:asciiTheme="minorEastAsia" w:hAnsiTheme="minorEastAsia" w:eastAsiaTheme="minorEastAsia" w:cstheme="minorEastAsia"/>
                <w:b/>
                <w:color w:val="auto"/>
                <w:kern w:val="0"/>
                <w:sz w:val="24"/>
                <w:szCs w:val="24"/>
                <w:lang w:val="en-US" w:eastAsia="zh-CN"/>
              </w:rPr>
              <w:t>1</w:t>
            </w:r>
            <w:r>
              <w:rPr>
                <w:rFonts w:hint="eastAsia" w:asciiTheme="minorEastAsia" w:hAnsiTheme="minorEastAsia" w:eastAsiaTheme="minorEastAsia" w:cstheme="minorEastAsia"/>
                <w:b/>
                <w:color w:val="auto"/>
                <w:kern w:val="0"/>
                <w:sz w:val="24"/>
                <w:szCs w:val="24"/>
              </w:rPr>
              <w:t>5分)</w:t>
            </w:r>
          </w:p>
        </w:tc>
        <w:tc>
          <w:tcPr>
            <w:tcW w:w="638" w:type="dxa"/>
            <w:tcBorders>
              <w:top w:val="single" w:color="auto" w:sz="4" w:space="0"/>
              <w:left w:val="nil"/>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2.1</w:t>
            </w:r>
          </w:p>
        </w:tc>
        <w:tc>
          <w:tcPr>
            <w:tcW w:w="1815" w:type="dxa"/>
            <w:tcBorders>
              <w:top w:val="single" w:color="auto" w:sz="4" w:space="0"/>
              <w:left w:val="single" w:color="auto" w:sz="4" w:space="0"/>
              <w:bottom w:val="single" w:color="auto" w:sz="4" w:space="0"/>
              <w:right w:val="single" w:color="000000" w:sz="4" w:space="0"/>
            </w:tcBorders>
            <w:noWrap w:val="0"/>
            <w:vAlign w:val="center"/>
          </w:tcPr>
          <w:p>
            <w:pPr>
              <w:adjustRightInd w:val="0"/>
              <w:snapToGrid w:val="0"/>
              <w:spacing w:before="100" w:beforeAutospacing="1" w:after="100" w:afterAutospacing="1" w:line="24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树木缺株、死亡</w:t>
            </w:r>
          </w:p>
        </w:tc>
        <w:tc>
          <w:tcPr>
            <w:tcW w:w="472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树木保存率未达到98%，缺株、死亡的，每株扣1分</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未及时补植、更换品种不一致、规格差别明显的，每株扣1分。</w:t>
            </w:r>
          </w:p>
        </w:tc>
        <w:tc>
          <w:tcPr>
            <w:tcW w:w="9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p>
        </w:tc>
        <w:tc>
          <w:tcPr>
            <w:tcW w:w="6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r>
      <w:tr>
        <w:tblPrEx>
          <w:tblCellMar>
            <w:top w:w="0" w:type="dxa"/>
            <w:left w:w="108" w:type="dxa"/>
            <w:bottom w:w="0" w:type="dxa"/>
            <w:right w:w="108" w:type="dxa"/>
          </w:tblCellMar>
        </w:tblPrEx>
        <w:trPr>
          <w:trHeight w:val="1208" w:hRule="atLeast"/>
        </w:trPr>
        <w:tc>
          <w:tcPr>
            <w:tcW w:w="809" w:type="dxa"/>
            <w:vMerge w:val="continue"/>
            <w:tcBorders>
              <w:left w:val="single" w:color="auto" w:sz="4" w:space="0"/>
              <w:right w:val="single" w:color="auto" w:sz="4" w:space="0"/>
            </w:tcBorders>
            <w:noWrap w:val="0"/>
            <w:vAlign w:val="center"/>
          </w:tcPr>
          <w:p>
            <w:pPr>
              <w:adjustRightInd w:val="0"/>
              <w:snapToGrid w:val="0"/>
              <w:spacing w:before="100" w:beforeAutospacing="1" w:after="100" w:afterAutospacing="1" w:line="240" w:lineRule="auto"/>
              <w:jc w:val="center"/>
              <w:rPr>
                <w:rFonts w:hint="eastAsia" w:asciiTheme="minorEastAsia" w:hAnsiTheme="minorEastAsia" w:eastAsiaTheme="minorEastAsia" w:cstheme="minorEastAsia"/>
                <w:color w:val="auto"/>
                <w:kern w:val="0"/>
                <w:sz w:val="24"/>
                <w:szCs w:val="24"/>
              </w:rPr>
            </w:pPr>
          </w:p>
        </w:tc>
        <w:tc>
          <w:tcPr>
            <w:tcW w:w="638" w:type="dxa"/>
            <w:tcBorders>
              <w:top w:val="single" w:color="auto" w:sz="4" w:space="0"/>
              <w:left w:val="nil"/>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2.2</w:t>
            </w:r>
          </w:p>
        </w:tc>
        <w:tc>
          <w:tcPr>
            <w:tcW w:w="1815" w:type="dxa"/>
            <w:tcBorders>
              <w:top w:val="single" w:color="auto" w:sz="4" w:space="0"/>
              <w:left w:val="single" w:color="auto" w:sz="4" w:space="0"/>
              <w:bottom w:val="single" w:color="auto" w:sz="4" w:space="0"/>
              <w:right w:val="single" w:color="000000" w:sz="4" w:space="0"/>
            </w:tcBorders>
            <w:noWrap w:val="0"/>
            <w:vAlign w:val="center"/>
          </w:tcPr>
          <w:p>
            <w:pPr>
              <w:adjustRightInd w:val="0"/>
              <w:snapToGrid w:val="0"/>
              <w:spacing w:before="100" w:beforeAutospacing="1" w:after="100" w:afterAutospacing="1" w:line="24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树木长势</w:t>
            </w:r>
          </w:p>
        </w:tc>
        <w:tc>
          <w:tcPr>
            <w:tcW w:w="472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乔木出现萎焉，树叶有明显枯黄，每处（3株以上）每株扣0.5分；树木严重缺冠的，每处（3株以上）每处扣0.5分，依次类推。</w:t>
            </w:r>
          </w:p>
        </w:tc>
        <w:tc>
          <w:tcPr>
            <w:tcW w:w="9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p>
        </w:tc>
        <w:tc>
          <w:tcPr>
            <w:tcW w:w="6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p>
        </w:tc>
      </w:tr>
      <w:tr>
        <w:tblPrEx>
          <w:tblCellMar>
            <w:top w:w="0" w:type="dxa"/>
            <w:left w:w="108" w:type="dxa"/>
            <w:bottom w:w="0" w:type="dxa"/>
            <w:right w:w="108" w:type="dxa"/>
          </w:tblCellMar>
        </w:tblPrEx>
        <w:trPr>
          <w:trHeight w:val="1471" w:hRule="atLeast"/>
        </w:trPr>
        <w:tc>
          <w:tcPr>
            <w:tcW w:w="809" w:type="dxa"/>
            <w:vMerge w:val="continue"/>
            <w:tcBorders>
              <w:left w:val="single" w:color="auto" w:sz="4" w:space="0"/>
              <w:right w:val="single" w:color="auto" w:sz="4" w:space="0"/>
            </w:tcBorders>
            <w:noWrap w:val="0"/>
            <w:vAlign w:val="center"/>
          </w:tcPr>
          <w:p>
            <w:pPr>
              <w:adjustRightInd w:val="0"/>
              <w:snapToGrid w:val="0"/>
              <w:spacing w:before="100" w:beforeAutospacing="1" w:after="100" w:afterAutospacing="1" w:line="240" w:lineRule="auto"/>
              <w:jc w:val="center"/>
              <w:rPr>
                <w:rFonts w:hint="eastAsia" w:asciiTheme="minorEastAsia" w:hAnsiTheme="minorEastAsia" w:eastAsiaTheme="minorEastAsia" w:cstheme="minorEastAsia"/>
                <w:color w:val="auto"/>
                <w:kern w:val="0"/>
                <w:sz w:val="24"/>
                <w:szCs w:val="24"/>
              </w:rPr>
            </w:pPr>
          </w:p>
        </w:tc>
        <w:tc>
          <w:tcPr>
            <w:tcW w:w="638" w:type="dxa"/>
            <w:tcBorders>
              <w:top w:val="single" w:color="auto" w:sz="4" w:space="0"/>
              <w:left w:val="nil"/>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2.3</w:t>
            </w:r>
          </w:p>
        </w:tc>
        <w:tc>
          <w:tcPr>
            <w:tcW w:w="1815" w:type="dxa"/>
            <w:tcBorders>
              <w:top w:val="single" w:color="auto" w:sz="4" w:space="0"/>
              <w:left w:val="single" w:color="auto" w:sz="4" w:space="0"/>
              <w:bottom w:val="single" w:color="auto" w:sz="4" w:space="0"/>
              <w:right w:val="single" w:color="000000" w:sz="4" w:space="0"/>
            </w:tcBorders>
            <w:noWrap w:val="0"/>
            <w:vAlign w:val="center"/>
          </w:tcPr>
          <w:p>
            <w:pPr>
              <w:adjustRightInd w:val="0"/>
              <w:snapToGrid w:val="0"/>
              <w:spacing w:before="100" w:beforeAutospacing="1" w:after="100" w:afterAutospacing="1" w:line="24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树木修剪、扶正</w:t>
            </w:r>
          </w:p>
        </w:tc>
        <w:tc>
          <w:tcPr>
            <w:tcW w:w="472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树木未按时修剪或树木修剪不到位的，有明显的徒长枝、病虫枝、枯枝、伤损枝、萌蘗枝、每株扣0.5分</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树木倾斜明显不及时采取扶正措施的，每株扣0.5分。</w:t>
            </w:r>
          </w:p>
        </w:tc>
        <w:tc>
          <w:tcPr>
            <w:tcW w:w="9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p>
        </w:tc>
        <w:tc>
          <w:tcPr>
            <w:tcW w:w="6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p>
        </w:tc>
      </w:tr>
      <w:tr>
        <w:tblPrEx>
          <w:tblCellMar>
            <w:top w:w="0" w:type="dxa"/>
            <w:left w:w="108" w:type="dxa"/>
            <w:bottom w:w="0" w:type="dxa"/>
            <w:right w:w="108" w:type="dxa"/>
          </w:tblCellMar>
        </w:tblPrEx>
        <w:trPr>
          <w:trHeight w:val="288" w:hRule="atLeast"/>
        </w:trPr>
        <w:tc>
          <w:tcPr>
            <w:tcW w:w="809" w:type="dxa"/>
            <w:vMerge w:val="continue"/>
            <w:tcBorders>
              <w:left w:val="single" w:color="auto" w:sz="4" w:space="0"/>
              <w:bottom w:val="single" w:color="auto" w:sz="4" w:space="0"/>
              <w:right w:val="single" w:color="auto" w:sz="4" w:space="0"/>
            </w:tcBorders>
            <w:noWrap w:val="0"/>
            <w:vAlign w:val="center"/>
          </w:tcPr>
          <w:p>
            <w:pPr>
              <w:adjustRightInd w:val="0"/>
              <w:snapToGrid w:val="0"/>
              <w:spacing w:before="100" w:beforeAutospacing="1" w:after="100" w:afterAutospacing="1" w:line="240" w:lineRule="auto"/>
              <w:rPr>
                <w:rFonts w:hint="eastAsia" w:asciiTheme="minorEastAsia" w:hAnsiTheme="minorEastAsia" w:eastAsiaTheme="minorEastAsia" w:cstheme="minorEastAsia"/>
                <w:b/>
                <w:color w:val="auto"/>
                <w:kern w:val="0"/>
                <w:sz w:val="24"/>
                <w:szCs w:val="24"/>
              </w:rPr>
            </w:pPr>
          </w:p>
        </w:tc>
        <w:tc>
          <w:tcPr>
            <w:tcW w:w="638" w:type="dxa"/>
            <w:tcBorders>
              <w:top w:val="single" w:color="auto" w:sz="4" w:space="0"/>
              <w:left w:val="nil"/>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2.4</w:t>
            </w:r>
          </w:p>
        </w:tc>
        <w:tc>
          <w:tcPr>
            <w:tcW w:w="1815" w:type="dxa"/>
            <w:tcBorders>
              <w:top w:val="single" w:color="auto" w:sz="4" w:space="0"/>
              <w:left w:val="single" w:color="auto" w:sz="4" w:space="0"/>
              <w:bottom w:val="single" w:color="auto" w:sz="4" w:space="0"/>
              <w:right w:val="single" w:color="000000" w:sz="4" w:space="0"/>
            </w:tcBorders>
            <w:noWrap w:val="0"/>
            <w:vAlign w:val="center"/>
          </w:tcPr>
          <w:p>
            <w:pPr>
              <w:adjustRightInd w:val="0"/>
              <w:snapToGrid w:val="0"/>
              <w:spacing w:before="100" w:beforeAutospacing="1" w:after="100" w:afterAutospacing="1" w:line="24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树穴、支撑</w:t>
            </w:r>
          </w:p>
        </w:tc>
        <w:tc>
          <w:tcPr>
            <w:tcW w:w="472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新植、补植树木无树穴，树穴不规范无形的，每株扣0.5分</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新植、补植树木支撑不统一，有断桩、坏桩等不规范的，扣0.5分。</w:t>
            </w:r>
          </w:p>
        </w:tc>
        <w:tc>
          <w:tcPr>
            <w:tcW w:w="9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p>
        </w:tc>
        <w:tc>
          <w:tcPr>
            <w:tcW w:w="6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p>
        </w:tc>
      </w:tr>
      <w:tr>
        <w:tblPrEx>
          <w:tblCellMar>
            <w:top w:w="0" w:type="dxa"/>
            <w:left w:w="108" w:type="dxa"/>
            <w:bottom w:w="0" w:type="dxa"/>
            <w:right w:w="108" w:type="dxa"/>
          </w:tblCellMar>
        </w:tblPrEx>
        <w:trPr>
          <w:trHeight w:val="408" w:hRule="atLeast"/>
        </w:trPr>
        <w:tc>
          <w:tcPr>
            <w:tcW w:w="809" w:type="dxa"/>
            <w:tcBorders>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项目</w:t>
            </w:r>
          </w:p>
        </w:tc>
        <w:tc>
          <w:tcPr>
            <w:tcW w:w="638"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编号</w:t>
            </w:r>
          </w:p>
        </w:tc>
        <w:tc>
          <w:tcPr>
            <w:tcW w:w="1815" w:type="dxa"/>
            <w:tcBorders>
              <w:top w:val="single" w:color="auto" w:sz="4" w:space="0"/>
              <w:left w:val="single" w:color="auto" w:sz="4" w:space="0"/>
              <w:bottom w:val="single" w:color="auto" w:sz="4" w:space="0"/>
              <w:right w:val="single" w:color="000000"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考核标准</w:t>
            </w:r>
          </w:p>
        </w:tc>
        <w:tc>
          <w:tcPr>
            <w:tcW w:w="472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评分细则</w:t>
            </w:r>
          </w:p>
        </w:tc>
        <w:tc>
          <w:tcPr>
            <w:tcW w:w="9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实际</w:t>
            </w:r>
          </w:p>
          <w:p>
            <w:pPr>
              <w:adjustRightInd w:val="0"/>
              <w:snapToGrid w:val="0"/>
              <w:spacing w:line="240" w:lineRule="auto"/>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得分</w:t>
            </w:r>
          </w:p>
        </w:tc>
        <w:tc>
          <w:tcPr>
            <w:tcW w:w="6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备注</w:t>
            </w:r>
          </w:p>
        </w:tc>
      </w:tr>
      <w:tr>
        <w:tblPrEx>
          <w:tblCellMar>
            <w:top w:w="0" w:type="dxa"/>
            <w:left w:w="108" w:type="dxa"/>
            <w:bottom w:w="0" w:type="dxa"/>
            <w:right w:w="108" w:type="dxa"/>
          </w:tblCellMar>
        </w:tblPrEx>
        <w:trPr>
          <w:trHeight w:val="1234" w:hRule="atLeast"/>
        </w:trPr>
        <w:tc>
          <w:tcPr>
            <w:tcW w:w="809"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绿篱</w:t>
            </w:r>
          </w:p>
          <w:p>
            <w:pPr>
              <w:adjustRightInd w:val="0"/>
              <w:snapToGrid w:val="0"/>
              <w:spacing w:line="240" w:lineRule="auto"/>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灌木</w:t>
            </w:r>
          </w:p>
          <w:p>
            <w:pPr>
              <w:adjustRightInd w:val="0"/>
              <w:snapToGrid w:val="0"/>
              <w:spacing w:line="240" w:lineRule="auto"/>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w:t>
            </w:r>
            <w:r>
              <w:rPr>
                <w:rFonts w:hint="eastAsia" w:asciiTheme="minorEastAsia" w:hAnsiTheme="minorEastAsia" w:eastAsiaTheme="minorEastAsia" w:cstheme="minorEastAsia"/>
                <w:b/>
                <w:color w:val="auto"/>
                <w:kern w:val="0"/>
                <w:sz w:val="24"/>
                <w:szCs w:val="24"/>
                <w:lang w:val="en-US" w:eastAsia="zh-CN"/>
              </w:rPr>
              <w:t>1</w:t>
            </w:r>
            <w:r>
              <w:rPr>
                <w:rFonts w:hint="eastAsia" w:asciiTheme="minorEastAsia" w:hAnsiTheme="minorEastAsia" w:eastAsiaTheme="minorEastAsia" w:cstheme="minorEastAsia"/>
                <w:b/>
                <w:color w:val="auto"/>
                <w:kern w:val="0"/>
                <w:sz w:val="24"/>
                <w:szCs w:val="24"/>
              </w:rPr>
              <w:t>5分)</w:t>
            </w:r>
          </w:p>
        </w:tc>
        <w:tc>
          <w:tcPr>
            <w:tcW w:w="638"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3.1</w:t>
            </w:r>
          </w:p>
        </w:tc>
        <w:tc>
          <w:tcPr>
            <w:tcW w:w="1815" w:type="dxa"/>
            <w:tcBorders>
              <w:top w:val="single" w:color="auto" w:sz="4" w:space="0"/>
              <w:left w:val="single" w:color="auto" w:sz="4" w:space="0"/>
              <w:bottom w:val="single" w:color="auto" w:sz="4" w:space="0"/>
              <w:right w:val="single" w:color="000000"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灌木缺株、死亡</w:t>
            </w:r>
          </w:p>
        </w:tc>
        <w:tc>
          <w:tcPr>
            <w:tcW w:w="472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240" w:lineRule="auto"/>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灌木存活率未达到98%，缺株、死亡的，每处（2株）未在7天内及时补植、更换品种不一致、规格差别特别明显的，每处扣1分。</w:t>
            </w:r>
          </w:p>
        </w:tc>
        <w:tc>
          <w:tcPr>
            <w:tcW w:w="9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p>
        </w:tc>
        <w:tc>
          <w:tcPr>
            <w:tcW w:w="6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p>
        </w:tc>
      </w:tr>
      <w:tr>
        <w:tblPrEx>
          <w:tblCellMar>
            <w:top w:w="0" w:type="dxa"/>
            <w:left w:w="108" w:type="dxa"/>
            <w:bottom w:w="0" w:type="dxa"/>
            <w:right w:w="108" w:type="dxa"/>
          </w:tblCellMar>
        </w:tblPrEx>
        <w:trPr>
          <w:trHeight w:val="1942" w:hRule="atLeast"/>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center"/>
              <w:rPr>
                <w:rFonts w:hint="eastAsia" w:asciiTheme="minorEastAsia" w:hAnsiTheme="minorEastAsia" w:eastAsiaTheme="minorEastAsia" w:cstheme="minorEastAsia"/>
                <w:color w:val="auto"/>
                <w:kern w:val="0"/>
                <w:sz w:val="24"/>
                <w:szCs w:val="24"/>
              </w:rPr>
            </w:pPr>
          </w:p>
        </w:tc>
        <w:tc>
          <w:tcPr>
            <w:tcW w:w="638"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3.2</w:t>
            </w:r>
          </w:p>
        </w:tc>
        <w:tc>
          <w:tcPr>
            <w:tcW w:w="1815" w:type="dxa"/>
            <w:tcBorders>
              <w:top w:val="single" w:color="auto" w:sz="4" w:space="0"/>
              <w:left w:val="single" w:color="auto" w:sz="4" w:space="0"/>
              <w:bottom w:val="single" w:color="auto" w:sz="4" w:space="0"/>
              <w:right w:val="single" w:color="000000"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灌木长势、冠形</w:t>
            </w:r>
          </w:p>
        </w:tc>
        <w:tc>
          <w:tcPr>
            <w:tcW w:w="472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240" w:lineRule="auto"/>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灌木出现萎焉，枝叶枯黄，或出现病虫害，枝叶发生病变，未及时采取措施或措施不力者，每处（2株）扣1分</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 xml:space="preserve">灌木严重缺冠的，有明显徒长枝，病虫枝，枯枝，死枝，伤损枝的，每处（2枝）扣0.5分。 </w:t>
            </w:r>
          </w:p>
        </w:tc>
        <w:tc>
          <w:tcPr>
            <w:tcW w:w="9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p>
        </w:tc>
        <w:tc>
          <w:tcPr>
            <w:tcW w:w="6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p>
        </w:tc>
      </w:tr>
      <w:tr>
        <w:tblPrEx>
          <w:tblCellMar>
            <w:top w:w="0" w:type="dxa"/>
            <w:left w:w="108" w:type="dxa"/>
            <w:bottom w:w="0" w:type="dxa"/>
            <w:right w:w="108" w:type="dxa"/>
          </w:tblCellMar>
        </w:tblPrEx>
        <w:trPr>
          <w:trHeight w:val="1214" w:hRule="atLeast"/>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center"/>
              <w:rPr>
                <w:rFonts w:hint="eastAsia" w:asciiTheme="minorEastAsia" w:hAnsiTheme="minorEastAsia" w:eastAsiaTheme="minorEastAsia" w:cstheme="minorEastAsia"/>
                <w:color w:val="auto"/>
                <w:kern w:val="0"/>
                <w:sz w:val="24"/>
                <w:szCs w:val="24"/>
              </w:rPr>
            </w:pPr>
          </w:p>
        </w:tc>
        <w:tc>
          <w:tcPr>
            <w:tcW w:w="638"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3.3</w:t>
            </w:r>
          </w:p>
        </w:tc>
        <w:tc>
          <w:tcPr>
            <w:tcW w:w="1815" w:type="dxa"/>
            <w:tcBorders>
              <w:top w:val="single" w:color="auto" w:sz="4" w:space="0"/>
              <w:left w:val="single" w:color="auto" w:sz="4" w:space="0"/>
              <w:bottom w:val="single" w:color="auto" w:sz="4" w:space="0"/>
              <w:right w:val="single" w:color="000000"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灌木修剪</w:t>
            </w:r>
          </w:p>
        </w:tc>
        <w:tc>
          <w:tcPr>
            <w:tcW w:w="472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240" w:lineRule="auto"/>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val="en-US" w:eastAsia="zh-CN"/>
              </w:rPr>
              <w:t>绿篱修剪后及时清理残枝</w:t>
            </w:r>
            <w:r>
              <w:rPr>
                <w:rFonts w:hint="eastAsia" w:asciiTheme="minorEastAsia" w:hAnsiTheme="minorEastAsia" w:eastAsiaTheme="minorEastAsia" w:cstheme="minorEastAsia"/>
                <w:color w:val="auto"/>
                <w:kern w:val="0"/>
                <w:sz w:val="24"/>
                <w:szCs w:val="24"/>
              </w:rPr>
              <w:t>灌木未按时修剪或修剪不到位的，每处（2枝）扣0.5分；未按色彩、层次、造型要求修剪，每处（2枝）扣0.5分；修剪面不均匀、不美观，不平整，每处（2枝）扣0.5分。</w:t>
            </w:r>
          </w:p>
        </w:tc>
        <w:tc>
          <w:tcPr>
            <w:tcW w:w="9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p>
        </w:tc>
        <w:tc>
          <w:tcPr>
            <w:tcW w:w="6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p>
        </w:tc>
      </w:tr>
      <w:tr>
        <w:tblPrEx>
          <w:tblCellMar>
            <w:top w:w="0" w:type="dxa"/>
            <w:left w:w="108" w:type="dxa"/>
            <w:bottom w:w="0" w:type="dxa"/>
            <w:right w:w="108" w:type="dxa"/>
          </w:tblCellMar>
        </w:tblPrEx>
        <w:trPr>
          <w:trHeight w:val="1348" w:hRule="atLeast"/>
        </w:trPr>
        <w:tc>
          <w:tcPr>
            <w:tcW w:w="8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花卉</w:t>
            </w:r>
          </w:p>
          <w:p>
            <w:pPr>
              <w:adjustRightInd w:val="0"/>
              <w:snapToGrid w:val="0"/>
              <w:spacing w:line="240" w:lineRule="auto"/>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草坪</w:t>
            </w:r>
          </w:p>
          <w:p>
            <w:pPr>
              <w:adjustRightInd w:val="0"/>
              <w:snapToGrid w:val="0"/>
              <w:spacing w:line="240" w:lineRule="auto"/>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(5分)</w:t>
            </w:r>
          </w:p>
        </w:tc>
        <w:tc>
          <w:tcPr>
            <w:tcW w:w="638"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val="en-US" w:eastAsia="zh-CN"/>
              </w:rPr>
              <w:t>4</w:t>
            </w:r>
            <w:r>
              <w:rPr>
                <w:rFonts w:hint="eastAsia" w:asciiTheme="minorEastAsia" w:hAnsiTheme="minorEastAsia" w:eastAsiaTheme="minorEastAsia" w:cstheme="minorEastAsia"/>
                <w:color w:val="auto"/>
                <w:kern w:val="0"/>
                <w:sz w:val="24"/>
                <w:szCs w:val="24"/>
              </w:rPr>
              <w:t>.1</w:t>
            </w:r>
          </w:p>
        </w:tc>
        <w:tc>
          <w:tcPr>
            <w:tcW w:w="1815" w:type="dxa"/>
            <w:tcBorders>
              <w:top w:val="single" w:color="auto" w:sz="4" w:space="0"/>
              <w:left w:val="single" w:color="auto" w:sz="4" w:space="0"/>
              <w:bottom w:val="single" w:color="auto" w:sz="4" w:space="0"/>
              <w:right w:val="single" w:color="000000"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花卉</w:t>
            </w:r>
          </w:p>
        </w:tc>
        <w:tc>
          <w:tcPr>
            <w:tcW w:w="472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24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有缺株倒伏、枯枝残花、枯枝杂草、垃圾，每处扣0.5分</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花卉死亡未按要求补植</w:t>
            </w:r>
            <w:r>
              <w:rPr>
                <w:rFonts w:hint="eastAsia" w:asciiTheme="minorEastAsia" w:hAnsiTheme="minorEastAsia" w:eastAsiaTheme="minorEastAsia" w:cstheme="minorEastAsia"/>
                <w:color w:val="auto"/>
                <w:kern w:val="0"/>
                <w:sz w:val="24"/>
                <w:szCs w:val="24"/>
                <w:lang w:val="en-US" w:eastAsia="zh-CN"/>
              </w:rPr>
              <w:t>同规格、同品种花卉，</w:t>
            </w:r>
            <w:r>
              <w:rPr>
                <w:rFonts w:hint="eastAsia" w:asciiTheme="minorEastAsia" w:hAnsiTheme="minorEastAsia" w:eastAsiaTheme="minorEastAsia" w:cstheme="minorEastAsia"/>
                <w:color w:val="auto"/>
                <w:kern w:val="0"/>
                <w:sz w:val="24"/>
                <w:szCs w:val="24"/>
              </w:rPr>
              <w:t>绿地内季节性花卉未及时更换</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1㎡</w:t>
            </w:r>
            <w:r>
              <w:rPr>
                <w:rFonts w:hint="eastAsia" w:asciiTheme="minorEastAsia" w:hAnsiTheme="minorEastAsia" w:eastAsiaTheme="minorEastAsia" w:cstheme="minorEastAsia"/>
                <w:color w:val="auto"/>
                <w:kern w:val="0"/>
                <w:sz w:val="24"/>
                <w:szCs w:val="24"/>
                <w:lang w:val="en-US" w:eastAsia="zh-CN"/>
              </w:rPr>
              <w:t>扣1分；</w:t>
            </w:r>
            <w:r>
              <w:rPr>
                <w:rFonts w:hint="eastAsia" w:asciiTheme="minorEastAsia" w:hAnsiTheme="minorEastAsia" w:eastAsiaTheme="minorEastAsia" w:cstheme="minorEastAsia"/>
                <w:color w:val="auto"/>
                <w:kern w:val="0"/>
                <w:sz w:val="24"/>
                <w:szCs w:val="24"/>
              </w:rPr>
              <w:t>绿地草花、街头花箱，花堆花卉跟换不及时</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lang w:val="en-US" w:eastAsia="zh-CN"/>
              </w:rPr>
              <w:t>每次扣0.5分。</w:t>
            </w:r>
          </w:p>
        </w:tc>
        <w:tc>
          <w:tcPr>
            <w:tcW w:w="9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p>
        </w:tc>
        <w:tc>
          <w:tcPr>
            <w:tcW w:w="6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w:t>
            </w:r>
          </w:p>
        </w:tc>
      </w:tr>
      <w:tr>
        <w:tblPrEx>
          <w:tblCellMar>
            <w:top w:w="0" w:type="dxa"/>
            <w:left w:w="108" w:type="dxa"/>
            <w:bottom w:w="0" w:type="dxa"/>
            <w:right w:w="108" w:type="dxa"/>
          </w:tblCellMar>
        </w:tblPrEx>
        <w:trPr>
          <w:trHeight w:val="464" w:hRule="atLeast"/>
        </w:trPr>
        <w:tc>
          <w:tcPr>
            <w:tcW w:w="8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lang w:val="en-US" w:eastAsia="zh-CN" w:bidi="ar-SA"/>
              </w:rPr>
            </w:pPr>
            <w:r>
              <w:rPr>
                <w:rFonts w:hint="eastAsia" w:asciiTheme="minorEastAsia" w:hAnsiTheme="minorEastAsia" w:eastAsiaTheme="minorEastAsia" w:cstheme="minorEastAsia"/>
                <w:b/>
                <w:color w:val="auto"/>
                <w:kern w:val="0"/>
                <w:sz w:val="24"/>
                <w:szCs w:val="24"/>
              </w:rPr>
              <w:t>项目</w:t>
            </w:r>
          </w:p>
        </w:tc>
        <w:tc>
          <w:tcPr>
            <w:tcW w:w="638"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lang w:val="en-US" w:eastAsia="zh-CN" w:bidi="ar-SA"/>
              </w:rPr>
            </w:pPr>
            <w:r>
              <w:rPr>
                <w:rFonts w:hint="eastAsia" w:asciiTheme="minorEastAsia" w:hAnsiTheme="minorEastAsia" w:eastAsiaTheme="minorEastAsia" w:cstheme="minorEastAsia"/>
                <w:b/>
                <w:color w:val="auto"/>
                <w:kern w:val="0"/>
                <w:sz w:val="24"/>
                <w:szCs w:val="24"/>
              </w:rPr>
              <w:t>编号</w:t>
            </w:r>
          </w:p>
        </w:tc>
        <w:tc>
          <w:tcPr>
            <w:tcW w:w="1815" w:type="dxa"/>
            <w:tcBorders>
              <w:top w:val="single" w:color="auto" w:sz="4" w:space="0"/>
              <w:left w:val="single" w:color="auto" w:sz="4" w:space="0"/>
              <w:bottom w:val="single" w:color="auto" w:sz="4" w:space="0"/>
              <w:right w:val="single" w:color="000000"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lang w:val="en-US" w:eastAsia="zh-CN" w:bidi="ar-SA"/>
              </w:rPr>
            </w:pPr>
            <w:r>
              <w:rPr>
                <w:rFonts w:hint="eastAsia" w:asciiTheme="minorEastAsia" w:hAnsiTheme="minorEastAsia" w:eastAsiaTheme="minorEastAsia" w:cstheme="minorEastAsia"/>
                <w:b/>
                <w:color w:val="auto"/>
                <w:kern w:val="0"/>
                <w:sz w:val="24"/>
                <w:szCs w:val="24"/>
              </w:rPr>
              <w:t>考核标准</w:t>
            </w:r>
          </w:p>
        </w:tc>
        <w:tc>
          <w:tcPr>
            <w:tcW w:w="472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lang w:val="en-US" w:eastAsia="zh-CN" w:bidi="ar-SA"/>
              </w:rPr>
            </w:pPr>
            <w:r>
              <w:rPr>
                <w:rFonts w:hint="eastAsia" w:asciiTheme="minorEastAsia" w:hAnsiTheme="minorEastAsia" w:eastAsiaTheme="minorEastAsia" w:cstheme="minorEastAsia"/>
                <w:b/>
                <w:color w:val="auto"/>
                <w:kern w:val="0"/>
                <w:sz w:val="24"/>
                <w:szCs w:val="24"/>
              </w:rPr>
              <w:t>评分细则</w:t>
            </w:r>
          </w:p>
        </w:tc>
        <w:tc>
          <w:tcPr>
            <w:tcW w:w="9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实际</w:t>
            </w:r>
          </w:p>
          <w:p>
            <w:pPr>
              <w:adjustRightInd w:val="0"/>
              <w:snapToGrid w:val="0"/>
              <w:spacing w:line="240" w:lineRule="auto"/>
              <w:jc w:val="center"/>
              <w:rPr>
                <w:rFonts w:hint="eastAsia" w:asciiTheme="minorEastAsia" w:hAnsiTheme="minorEastAsia" w:eastAsiaTheme="minorEastAsia" w:cstheme="minorEastAsia"/>
                <w:b/>
                <w:color w:val="auto"/>
                <w:kern w:val="0"/>
                <w:sz w:val="24"/>
                <w:szCs w:val="24"/>
                <w:lang w:val="en-US" w:eastAsia="zh-CN" w:bidi="ar-SA"/>
              </w:rPr>
            </w:pPr>
            <w:r>
              <w:rPr>
                <w:rFonts w:hint="eastAsia" w:asciiTheme="minorEastAsia" w:hAnsiTheme="minorEastAsia" w:eastAsiaTheme="minorEastAsia" w:cstheme="minorEastAsia"/>
                <w:b/>
                <w:color w:val="auto"/>
                <w:kern w:val="0"/>
                <w:sz w:val="24"/>
                <w:szCs w:val="24"/>
              </w:rPr>
              <w:t>得分</w:t>
            </w:r>
          </w:p>
        </w:tc>
        <w:tc>
          <w:tcPr>
            <w:tcW w:w="6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lang w:val="en-US" w:eastAsia="zh-CN" w:bidi="ar-SA"/>
              </w:rPr>
            </w:pPr>
            <w:r>
              <w:rPr>
                <w:rFonts w:hint="eastAsia" w:asciiTheme="minorEastAsia" w:hAnsiTheme="minorEastAsia" w:eastAsiaTheme="minorEastAsia" w:cstheme="minorEastAsia"/>
                <w:b/>
                <w:color w:val="auto"/>
                <w:kern w:val="0"/>
                <w:sz w:val="24"/>
                <w:szCs w:val="24"/>
              </w:rPr>
              <w:t>备注</w:t>
            </w:r>
          </w:p>
        </w:tc>
      </w:tr>
      <w:tr>
        <w:tblPrEx>
          <w:tblCellMar>
            <w:top w:w="0" w:type="dxa"/>
            <w:left w:w="108" w:type="dxa"/>
            <w:bottom w:w="0" w:type="dxa"/>
            <w:right w:w="108" w:type="dxa"/>
          </w:tblCellMar>
        </w:tblPrEx>
        <w:trPr>
          <w:trHeight w:val="1559" w:hRule="atLeast"/>
        </w:trPr>
        <w:tc>
          <w:tcPr>
            <w:tcW w:w="8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花卉</w:t>
            </w:r>
          </w:p>
          <w:p>
            <w:pPr>
              <w:adjustRightInd w:val="0"/>
              <w:snapToGrid w:val="0"/>
              <w:spacing w:line="24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color w:val="auto"/>
                <w:kern w:val="0"/>
                <w:sz w:val="24"/>
                <w:szCs w:val="24"/>
              </w:rPr>
              <w:t>草坪(5分)</w:t>
            </w:r>
          </w:p>
        </w:tc>
        <w:tc>
          <w:tcPr>
            <w:tcW w:w="638"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val="en-US" w:eastAsia="zh-CN"/>
              </w:rPr>
              <w:t>4</w:t>
            </w:r>
            <w:r>
              <w:rPr>
                <w:rFonts w:hint="eastAsia" w:asciiTheme="minorEastAsia" w:hAnsiTheme="minorEastAsia" w:eastAsiaTheme="minorEastAsia" w:cstheme="minorEastAsia"/>
                <w:color w:val="auto"/>
                <w:kern w:val="0"/>
                <w:sz w:val="24"/>
                <w:szCs w:val="24"/>
              </w:rPr>
              <w:t>.2</w:t>
            </w:r>
          </w:p>
        </w:tc>
        <w:tc>
          <w:tcPr>
            <w:tcW w:w="1815" w:type="dxa"/>
            <w:tcBorders>
              <w:top w:val="single" w:color="auto" w:sz="4" w:space="0"/>
              <w:left w:val="single" w:color="auto" w:sz="4" w:space="0"/>
              <w:bottom w:val="single" w:color="auto" w:sz="4" w:space="0"/>
              <w:right w:val="single" w:color="000000"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草坪</w:t>
            </w:r>
          </w:p>
        </w:tc>
        <w:tc>
          <w:tcPr>
            <w:tcW w:w="472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240" w:lineRule="auto"/>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不及时修剪，修剪不到位的，每处扣0.5分</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原有草坪处发现黄土露天，超过1平方米，每平方米扣0.5分，依次类推</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修剪面不均匀、不美观，不平整，每处（1平方米以上）扣0.5分</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有杂草、杂物，每处扣0.5分</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草坪枯黄超过1平方米，绿地内土方被冲刷、塌陷，或泥土外溢，没有按时修复完整</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每处扣0.5分</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依次类推。</w:t>
            </w:r>
          </w:p>
        </w:tc>
        <w:tc>
          <w:tcPr>
            <w:tcW w:w="9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p>
        </w:tc>
        <w:tc>
          <w:tcPr>
            <w:tcW w:w="6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p>
        </w:tc>
      </w:tr>
      <w:tr>
        <w:tblPrEx>
          <w:tblCellMar>
            <w:top w:w="0" w:type="dxa"/>
            <w:left w:w="108" w:type="dxa"/>
            <w:bottom w:w="0" w:type="dxa"/>
            <w:right w:w="108" w:type="dxa"/>
          </w:tblCellMar>
        </w:tblPrEx>
        <w:trPr>
          <w:trHeight w:val="1541" w:hRule="atLeast"/>
        </w:trPr>
        <w:tc>
          <w:tcPr>
            <w:tcW w:w="809"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植物保护及设施维护</w:t>
            </w:r>
          </w:p>
          <w:p>
            <w:pPr>
              <w:adjustRightInd w:val="0"/>
              <w:snapToGrid w:val="0"/>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kern w:val="0"/>
                <w:sz w:val="24"/>
                <w:szCs w:val="24"/>
              </w:rPr>
              <w:t>(</w:t>
            </w:r>
            <w:r>
              <w:rPr>
                <w:rFonts w:hint="eastAsia" w:asciiTheme="minorEastAsia" w:hAnsiTheme="minorEastAsia" w:eastAsiaTheme="minorEastAsia" w:cstheme="minorEastAsia"/>
                <w:b/>
                <w:color w:val="auto"/>
                <w:kern w:val="0"/>
                <w:sz w:val="24"/>
                <w:szCs w:val="24"/>
                <w:lang w:val="en-US" w:eastAsia="zh-CN"/>
              </w:rPr>
              <w:t>5</w:t>
            </w:r>
            <w:r>
              <w:rPr>
                <w:rFonts w:hint="eastAsia" w:asciiTheme="minorEastAsia" w:hAnsiTheme="minorEastAsia" w:eastAsiaTheme="minorEastAsia" w:cstheme="minorEastAsia"/>
                <w:b/>
                <w:color w:val="auto"/>
                <w:kern w:val="0"/>
                <w:sz w:val="24"/>
                <w:szCs w:val="24"/>
              </w:rPr>
              <w:t>分)</w:t>
            </w:r>
          </w:p>
        </w:tc>
        <w:tc>
          <w:tcPr>
            <w:tcW w:w="638"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val="en-US" w:eastAsia="zh-CN"/>
              </w:rPr>
              <w:t>5</w:t>
            </w:r>
            <w:r>
              <w:rPr>
                <w:rFonts w:hint="eastAsia" w:asciiTheme="minorEastAsia" w:hAnsiTheme="minorEastAsia" w:eastAsiaTheme="minorEastAsia" w:cstheme="minorEastAsia"/>
                <w:color w:val="auto"/>
                <w:kern w:val="0"/>
                <w:sz w:val="24"/>
                <w:szCs w:val="24"/>
              </w:rPr>
              <w:t>.1</w:t>
            </w:r>
          </w:p>
        </w:tc>
        <w:tc>
          <w:tcPr>
            <w:tcW w:w="1815" w:type="dxa"/>
            <w:tcBorders>
              <w:top w:val="single" w:color="auto" w:sz="4" w:space="0"/>
              <w:left w:val="single" w:color="auto" w:sz="4" w:space="0"/>
              <w:bottom w:val="single" w:color="auto" w:sz="4" w:space="0"/>
              <w:right w:val="single" w:color="000000"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绿地施肥</w:t>
            </w:r>
          </w:p>
        </w:tc>
        <w:tc>
          <w:tcPr>
            <w:tcW w:w="472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春、秋季绿地树木没有施肥的，每处扣1分</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因缺肥导致植物叶片黄叶、长势不良或因施肥不当出现肥害每处扣0.5分。</w:t>
            </w:r>
          </w:p>
        </w:tc>
        <w:tc>
          <w:tcPr>
            <w:tcW w:w="9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p>
        </w:tc>
        <w:tc>
          <w:tcPr>
            <w:tcW w:w="6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p>
        </w:tc>
      </w:tr>
      <w:tr>
        <w:tblPrEx>
          <w:tblCellMar>
            <w:top w:w="0" w:type="dxa"/>
            <w:left w:w="108" w:type="dxa"/>
            <w:bottom w:w="0" w:type="dxa"/>
            <w:right w:w="108" w:type="dxa"/>
          </w:tblCellMar>
        </w:tblPrEx>
        <w:trPr>
          <w:trHeight w:val="1725" w:hRule="atLeast"/>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left"/>
              <w:rPr>
                <w:rFonts w:hint="eastAsia" w:asciiTheme="minorEastAsia" w:hAnsiTheme="minorEastAsia" w:eastAsiaTheme="minorEastAsia" w:cstheme="minorEastAsia"/>
                <w:color w:val="auto"/>
                <w:kern w:val="0"/>
                <w:sz w:val="24"/>
                <w:szCs w:val="24"/>
              </w:rPr>
            </w:pPr>
          </w:p>
        </w:tc>
        <w:tc>
          <w:tcPr>
            <w:tcW w:w="638"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val="en-US" w:eastAsia="zh-CN"/>
              </w:rPr>
              <w:t>5</w:t>
            </w:r>
            <w:r>
              <w:rPr>
                <w:rFonts w:hint="eastAsia" w:asciiTheme="minorEastAsia" w:hAnsiTheme="minorEastAsia" w:eastAsiaTheme="minorEastAsia" w:cstheme="minorEastAsia"/>
                <w:color w:val="auto"/>
                <w:kern w:val="0"/>
                <w:sz w:val="24"/>
                <w:szCs w:val="24"/>
              </w:rPr>
              <w:t>.2</w:t>
            </w:r>
          </w:p>
        </w:tc>
        <w:tc>
          <w:tcPr>
            <w:tcW w:w="1815" w:type="dxa"/>
            <w:tcBorders>
              <w:top w:val="single" w:color="auto" w:sz="4" w:space="0"/>
              <w:left w:val="single" w:color="auto" w:sz="4" w:space="0"/>
              <w:bottom w:val="single" w:color="auto" w:sz="4" w:space="0"/>
              <w:right w:val="single" w:color="000000"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病虫害防治</w:t>
            </w:r>
          </w:p>
        </w:tc>
        <w:tc>
          <w:tcPr>
            <w:tcW w:w="472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乔灌木有明显病虫害未及时进行防治的，每处扣0.5分；发生病虫害，植株受害面积达8%以上，严重导致死亡的，每处扣</w:t>
            </w:r>
            <w:r>
              <w:rPr>
                <w:rFonts w:hint="eastAsia" w:asciiTheme="minorEastAsia" w:hAnsiTheme="minorEastAsia" w:eastAsiaTheme="minorEastAsia" w:cstheme="minorEastAsia"/>
                <w:color w:val="auto"/>
                <w:kern w:val="0"/>
                <w:sz w:val="24"/>
                <w:szCs w:val="24"/>
                <w:lang w:val="en-US" w:eastAsia="zh-CN"/>
              </w:rPr>
              <w:t>2</w:t>
            </w:r>
            <w:r>
              <w:rPr>
                <w:rFonts w:hint="eastAsia" w:asciiTheme="minorEastAsia" w:hAnsiTheme="minorEastAsia" w:eastAsiaTheme="minorEastAsia" w:cstheme="minorEastAsia"/>
                <w:color w:val="auto"/>
                <w:kern w:val="0"/>
                <w:sz w:val="24"/>
                <w:szCs w:val="24"/>
              </w:rPr>
              <w:t>分；使用不当发生药害，致使植物落叶死亡，每处扣3分；出现攀援或寄生植物影响植物正常生长的，每处扣0.5分。</w:t>
            </w:r>
          </w:p>
        </w:tc>
        <w:tc>
          <w:tcPr>
            <w:tcW w:w="9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p>
        </w:tc>
        <w:tc>
          <w:tcPr>
            <w:tcW w:w="6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p>
        </w:tc>
      </w:tr>
      <w:tr>
        <w:tblPrEx>
          <w:tblCellMar>
            <w:top w:w="0" w:type="dxa"/>
            <w:left w:w="108" w:type="dxa"/>
            <w:bottom w:w="0" w:type="dxa"/>
            <w:right w:w="108" w:type="dxa"/>
          </w:tblCellMar>
        </w:tblPrEx>
        <w:trPr>
          <w:trHeight w:val="1783" w:hRule="atLeast"/>
        </w:trPr>
        <w:tc>
          <w:tcPr>
            <w:tcW w:w="809" w:type="dxa"/>
            <w:vMerge w:val="continue"/>
            <w:tcBorders>
              <w:top w:val="single" w:color="auto" w:sz="4" w:space="0"/>
              <w:left w:val="single" w:color="auto" w:sz="4" w:space="0"/>
              <w:right w:val="single" w:color="auto" w:sz="4" w:space="0"/>
            </w:tcBorders>
            <w:noWrap w:val="0"/>
            <w:vAlign w:val="center"/>
          </w:tcPr>
          <w:p>
            <w:pPr>
              <w:adjustRightInd w:val="0"/>
              <w:snapToGrid w:val="0"/>
              <w:spacing w:line="240" w:lineRule="auto"/>
              <w:jc w:val="left"/>
              <w:rPr>
                <w:rFonts w:hint="eastAsia" w:asciiTheme="minorEastAsia" w:hAnsiTheme="minorEastAsia" w:eastAsiaTheme="minorEastAsia" w:cstheme="minorEastAsia"/>
                <w:color w:val="auto"/>
                <w:kern w:val="0"/>
                <w:sz w:val="24"/>
                <w:szCs w:val="24"/>
              </w:rPr>
            </w:pPr>
          </w:p>
        </w:tc>
        <w:tc>
          <w:tcPr>
            <w:tcW w:w="638"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val="en-US" w:eastAsia="zh-CN"/>
              </w:rPr>
              <w:t>5</w:t>
            </w:r>
            <w:r>
              <w:rPr>
                <w:rFonts w:hint="eastAsia" w:asciiTheme="minorEastAsia" w:hAnsiTheme="minorEastAsia" w:eastAsiaTheme="minorEastAsia" w:cstheme="minorEastAsia"/>
                <w:color w:val="auto"/>
                <w:kern w:val="0"/>
                <w:sz w:val="24"/>
                <w:szCs w:val="24"/>
              </w:rPr>
              <w:t>.3</w:t>
            </w:r>
          </w:p>
        </w:tc>
        <w:tc>
          <w:tcPr>
            <w:tcW w:w="1815" w:type="dxa"/>
            <w:tcBorders>
              <w:top w:val="single" w:color="auto" w:sz="4" w:space="0"/>
              <w:left w:val="single" w:color="auto" w:sz="4" w:space="0"/>
              <w:bottom w:val="single" w:color="auto" w:sz="4" w:space="0"/>
              <w:right w:val="single" w:color="000000"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浇灌设施、栽植容器等</w:t>
            </w:r>
          </w:p>
        </w:tc>
        <w:tc>
          <w:tcPr>
            <w:tcW w:w="472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管线维护不当，日常浇水养护中发现跑、冒、滴、漏</w:t>
            </w:r>
            <w:r>
              <w:rPr>
                <w:rFonts w:hint="eastAsia" w:asciiTheme="minorEastAsia" w:hAnsiTheme="minorEastAsia" w:eastAsiaTheme="minorEastAsia" w:cstheme="minorEastAsia"/>
                <w:color w:val="auto"/>
                <w:kern w:val="0"/>
                <w:sz w:val="24"/>
                <w:szCs w:val="24"/>
                <w:lang w:val="en-US" w:eastAsia="zh-CN"/>
              </w:rPr>
              <w:t>水</w:t>
            </w:r>
            <w:r>
              <w:rPr>
                <w:rFonts w:hint="eastAsia" w:asciiTheme="minorEastAsia" w:hAnsiTheme="minorEastAsia" w:eastAsiaTheme="minorEastAsia" w:cstheme="minorEastAsia"/>
                <w:color w:val="auto"/>
                <w:kern w:val="0"/>
                <w:sz w:val="24"/>
                <w:szCs w:val="24"/>
              </w:rPr>
              <w:t>现象不及时处理的，每处扣0.5分；</w:t>
            </w:r>
            <w:r>
              <w:rPr>
                <w:rFonts w:hint="eastAsia" w:asciiTheme="minorEastAsia" w:hAnsiTheme="minorEastAsia" w:eastAsiaTheme="minorEastAsia" w:cstheme="minorEastAsia"/>
                <w:color w:val="auto"/>
                <w:kern w:val="0"/>
                <w:sz w:val="24"/>
                <w:szCs w:val="24"/>
                <w:lang w:val="en-US" w:eastAsia="zh-CN"/>
              </w:rPr>
              <w:t>绿化带水线布置不规范，</w:t>
            </w:r>
            <w:r>
              <w:rPr>
                <w:rFonts w:hint="eastAsia" w:asciiTheme="minorEastAsia" w:hAnsiTheme="minorEastAsia" w:eastAsiaTheme="minorEastAsia" w:cstheme="minorEastAsia"/>
                <w:color w:val="auto"/>
                <w:kern w:val="0"/>
                <w:sz w:val="24"/>
                <w:szCs w:val="24"/>
              </w:rPr>
              <w:t>浇水人员操作不规范</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每处扣0.5分；辅助设施未及时检修、清洁的</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每处扣0.5分。</w:t>
            </w:r>
          </w:p>
        </w:tc>
        <w:tc>
          <w:tcPr>
            <w:tcW w:w="9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p>
        </w:tc>
        <w:tc>
          <w:tcPr>
            <w:tcW w:w="6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p>
        </w:tc>
      </w:tr>
      <w:tr>
        <w:tblPrEx>
          <w:tblCellMar>
            <w:top w:w="0" w:type="dxa"/>
            <w:left w:w="108" w:type="dxa"/>
            <w:bottom w:w="0" w:type="dxa"/>
            <w:right w:w="108" w:type="dxa"/>
          </w:tblCellMar>
        </w:tblPrEx>
        <w:trPr>
          <w:trHeight w:val="2310" w:hRule="atLeast"/>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left"/>
              <w:rPr>
                <w:rFonts w:hint="eastAsia" w:asciiTheme="minorEastAsia" w:hAnsiTheme="minorEastAsia" w:eastAsiaTheme="minorEastAsia" w:cstheme="minorEastAsia"/>
                <w:color w:val="auto"/>
                <w:kern w:val="0"/>
                <w:sz w:val="24"/>
                <w:szCs w:val="24"/>
              </w:rPr>
            </w:pPr>
          </w:p>
        </w:tc>
        <w:tc>
          <w:tcPr>
            <w:tcW w:w="638"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val="en-US" w:eastAsia="zh-CN"/>
              </w:rPr>
              <w:t>5</w:t>
            </w:r>
            <w:r>
              <w:rPr>
                <w:rFonts w:hint="eastAsia" w:asciiTheme="minorEastAsia" w:hAnsiTheme="minorEastAsia" w:eastAsiaTheme="minorEastAsia" w:cstheme="minorEastAsia"/>
                <w:color w:val="auto"/>
                <w:kern w:val="0"/>
                <w:sz w:val="24"/>
                <w:szCs w:val="24"/>
              </w:rPr>
              <w:t>.4</w:t>
            </w:r>
          </w:p>
        </w:tc>
        <w:tc>
          <w:tcPr>
            <w:tcW w:w="1815" w:type="dxa"/>
            <w:tcBorders>
              <w:top w:val="single" w:color="auto" w:sz="4" w:space="0"/>
              <w:left w:val="single" w:color="auto" w:sz="4" w:space="0"/>
              <w:bottom w:val="single" w:color="auto" w:sz="4" w:space="0"/>
              <w:right w:val="single" w:color="000000"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护栏、围栏基础设施维护</w:t>
            </w:r>
          </w:p>
        </w:tc>
        <w:tc>
          <w:tcPr>
            <w:tcW w:w="472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en-US" w:eastAsia="zh-CN"/>
              </w:rPr>
              <w:t>公园道路及广场铺装定期进行维护，确保完整、安全。花箱、栏杆、绿化带护栏、支撑架和护网、园路、桌椅、灯、井盖和标识标牌等附属设施完整、安全：未做到及时维护，无维护记录的，每处扣1分；如遇损坏丢失，未及时更换，每处扣1分；护栏（汉白玉栏杆除外）损坏未及时修复的，每处扣1分；对路灯、监控、健身器材、木栈道等公共设施定期检查维护，如有破损或丢失未及时更换，每处扣1分。</w:t>
            </w:r>
          </w:p>
        </w:tc>
        <w:tc>
          <w:tcPr>
            <w:tcW w:w="9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p>
        </w:tc>
        <w:tc>
          <w:tcPr>
            <w:tcW w:w="6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p>
        </w:tc>
      </w:tr>
      <w:tr>
        <w:tblPrEx>
          <w:tblCellMar>
            <w:top w:w="0" w:type="dxa"/>
            <w:left w:w="108" w:type="dxa"/>
            <w:bottom w:w="0" w:type="dxa"/>
            <w:right w:w="108" w:type="dxa"/>
          </w:tblCellMar>
        </w:tblPrEx>
        <w:trPr>
          <w:trHeight w:val="583" w:hRule="atLeast"/>
        </w:trPr>
        <w:tc>
          <w:tcPr>
            <w:tcW w:w="8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项目</w:t>
            </w:r>
          </w:p>
        </w:tc>
        <w:tc>
          <w:tcPr>
            <w:tcW w:w="638"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编号</w:t>
            </w:r>
          </w:p>
        </w:tc>
        <w:tc>
          <w:tcPr>
            <w:tcW w:w="1815" w:type="dxa"/>
            <w:tcBorders>
              <w:top w:val="single" w:color="auto" w:sz="4" w:space="0"/>
              <w:left w:val="single" w:color="auto" w:sz="4" w:space="0"/>
              <w:bottom w:val="single" w:color="auto" w:sz="4" w:space="0"/>
              <w:right w:val="single" w:color="000000"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考核标准</w:t>
            </w:r>
          </w:p>
        </w:tc>
        <w:tc>
          <w:tcPr>
            <w:tcW w:w="472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评分细则</w:t>
            </w:r>
          </w:p>
        </w:tc>
        <w:tc>
          <w:tcPr>
            <w:tcW w:w="9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实际</w:t>
            </w:r>
          </w:p>
          <w:p>
            <w:pPr>
              <w:adjustRightInd w:val="0"/>
              <w:snapToGrid w:val="0"/>
              <w:spacing w:line="240" w:lineRule="auto"/>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得分</w:t>
            </w:r>
          </w:p>
        </w:tc>
        <w:tc>
          <w:tcPr>
            <w:tcW w:w="6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备注</w:t>
            </w:r>
          </w:p>
        </w:tc>
      </w:tr>
      <w:tr>
        <w:tblPrEx>
          <w:tblCellMar>
            <w:top w:w="0" w:type="dxa"/>
            <w:left w:w="108" w:type="dxa"/>
            <w:bottom w:w="0" w:type="dxa"/>
            <w:right w:w="108" w:type="dxa"/>
          </w:tblCellMar>
        </w:tblPrEx>
        <w:trPr>
          <w:trHeight w:val="1851" w:hRule="atLeast"/>
        </w:trPr>
        <w:tc>
          <w:tcPr>
            <w:tcW w:w="8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lang w:val="en-US" w:eastAsia="zh-CN"/>
              </w:rPr>
              <w:t>水域面保洁（3分）</w:t>
            </w:r>
          </w:p>
        </w:tc>
        <w:tc>
          <w:tcPr>
            <w:tcW w:w="638" w:type="dxa"/>
            <w:tcBorders>
              <w:top w:val="single" w:color="auto" w:sz="4" w:space="0"/>
              <w:left w:val="nil"/>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6.1</w:t>
            </w:r>
          </w:p>
        </w:tc>
        <w:tc>
          <w:tcPr>
            <w:tcW w:w="1815"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rPr>
              <w:t>湖面卫生清洁</w:t>
            </w:r>
          </w:p>
        </w:tc>
        <w:tc>
          <w:tcPr>
            <w:tcW w:w="472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做好白杨河两岸所有人工湖湖面清理漂流物、杂物、淤泥及时清理，及时做好水域面管护及安全管理工作，设立安全警示牌，禁止下水：配合上游水库汛期泄洪，及时开关闸门，每发现一处扣1分；未做好巡河工作，河道管护不到位，每次扣1分；未设立安全警示牌每处扣0.5 分。</w:t>
            </w:r>
          </w:p>
        </w:tc>
        <w:tc>
          <w:tcPr>
            <w:tcW w:w="95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line="240" w:lineRule="auto"/>
              <w:jc w:val="both"/>
              <w:textAlignment w:val="center"/>
              <w:rPr>
                <w:rFonts w:hint="eastAsia" w:asciiTheme="minorEastAsia" w:hAnsiTheme="minorEastAsia" w:eastAsiaTheme="minorEastAsia" w:cstheme="minorEastAsia"/>
                <w:i w:val="0"/>
                <w:color w:val="auto"/>
                <w:spacing w:val="0"/>
                <w:kern w:val="0"/>
                <w:sz w:val="24"/>
                <w:szCs w:val="24"/>
                <w:highlight w:val="none"/>
                <w:u w:val="none"/>
                <w:lang w:val="en-US" w:eastAsia="zh-CN" w:bidi="ar"/>
              </w:rPr>
            </w:pPr>
          </w:p>
        </w:tc>
        <w:tc>
          <w:tcPr>
            <w:tcW w:w="6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p>
        </w:tc>
      </w:tr>
      <w:tr>
        <w:tblPrEx>
          <w:tblCellMar>
            <w:top w:w="0" w:type="dxa"/>
            <w:left w:w="108" w:type="dxa"/>
            <w:bottom w:w="0" w:type="dxa"/>
            <w:right w:w="108" w:type="dxa"/>
          </w:tblCellMar>
        </w:tblPrEx>
        <w:trPr>
          <w:trHeight w:val="2178" w:hRule="atLeast"/>
        </w:trPr>
        <w:tc>
          <w:tcPr>
            <w:tcW w:w="8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both"/>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绿地</w:t>
            </w:r>
            <w:r>
              <w:rPr>
                <w:rFonts w:hint="eastAsia" w:asciiTheme="minorEastAsia" w:hAnsiTheme="minorEastAsia" w:eastAsiaTheme="minorEastAsia" w:cstheme="minorEastAsia"/>
                <w:b/>
                <w:color w:val="auto"/>
                <w:kern w:val="0"/>
                <w:sz w:val="24"/>
                <w:szCs w:val="24"/>
                <w:lang w:val="en-US" w:eastAsia="zh-CN"/>
              </w:rPr>
              <w:t>完整、</w:t>
            </w:r>
            <w:r>
              <w:rPr>
                <w:rFonts w:hint="eastAsia" w:asciiTheme="minorEastAsia" w:hAnsiTheme="minorEastAsia" w:eastAsiaTheme="minorEastAsia" w:cstheme="minorEastAsia"/>
                <w:b/>
                <w:color w:val="auto"/>
                <w:kern w:val="0"/>
                <w:sz w:val="24"/>
                <w:szCs w:val="24"/>
              </w:rPr>
              <w:t>卫生保洁</w:t>
            </w:r>
          </w:p>
          <w:p>
            <w:pPr>
              <w:adjustRightInd w:val="0"/>
              <w:snapToGrid w:val="0"/>
              <w:spacing w:line="240" w:lineRule="auto"/>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w:t>
            </w:r>
            <w:r>
              <w:rPr>
                <w:rFonts w:hint="eastAsia" w:asciiTheme="minorEastAsia" w:hAnsiTheme="minorEastAsia" w:eastAsiaTheme="minorEastAsia" w:cstheme="minorEastAsia"/>
                <w:b/>
                <w:color w:val="auto"/>
                <w:kern w:val="0"/>
                <w:sz w:val="24"/>
                <w:szCs w:val="24"/>
                <w:lang w:val="en-US" w:eastAsia="zh-CN"/>
              </w:rPr>
              <w:t>2</w:t>
            </w:r>
            <w:r>
              <w:rPr>
                <w:rFonts w:hint="eastAsia" w:asciiTheme="minorEastAsia" w:hAnsiTheme="minorEastAsia" w:eastAsiaTheme="minorEastAsia" w:cstheme="minorEastAsia"/>
                <w:b/>
                <w:color w:val="auto"/>
                <w:kern w:val="0"/>
                <w:sz w:val="24"/>
                <w:szCs w:val="24"/>
              </w:rPr>
              <w:t>分)</w:t>
            </w:r>
          </w:p>
        </w:tc>
        <w:tc>
          <w:tcPr>
            <w:tcW w:w="638" w:type="dxa"/>
            <w:tcBorders>
              <w:top w:val="single" w:color="auto" w:sz="4" w:space="0"/>
              <w:left w:val="nil"/>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7.1</w:t>
            </w:r>
          </w:p>
        </w:tc>
        <w:tc>
          <w:tcPr>
            <w:tcW w:w="1815" w:type="dxa"/>
            <w:tcBorders>
              <w:top w:val="single" w:color="auto" w:sz="4" w:space="0"/>
              <w:left w:val="single" w:color="auto" w:sz="4" w:space="0"/>
              <w:bottom w:val="single" w:color="auto" w:sz="4" w:space="0"/>
              <w:right w:val="single" w:color="000000" w:sz="4" w:space="0"/>
            </w:tcBorders>
            <w:noWrap w:val="0"/>
            <w:vAlign w:val="center"/>
          </w:tcPr>
          <w:p>
            <w:pPr>
              <w:adjustRightInd w:val="0"/>
              <w:snapToGrid w:val="0"/>
              <w:spacing w:before="100" w:beforeAutospacing="1" w:after="100" w:afterAutospacing="1" w:line="240" w:lineRule="auto"/>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rPr>
              <w:t>绿地卫生</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lang w:val="en-US" w:eastAsia="zh-CN"/>
              </w:rPr>
              <w:t>占绿毁绿</w:t>
            </w:r>
          </w:p>
        </w:tc>
        <w:tc>
          <w:tcPr>
            <w:tcW w:w="472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240" w:lineRule="auto"/>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i w:val="0"/>
                <w:color w:val="auto"/>
                <w:spacing w:val="0"/>
                <w:kern w:val="0"/>
                <w:sz w:val="24"/>
                <w:szCs w:val="24"/>
                <w:highlight w:val="none"/>
                <w:u w:val="none"/>
                <w:lang w:val="en-US" w:eastAsia="zh-CN" w:bidi="ar"/>
              </w:rPr>
              <w:t>距树干2m范围内无堆物、堆料、圈栏或搭棚设摊等影响树木生长和养护管理的现象。无杂草，无杂藤攀援植物，无污物杂物、无积水，对绿化生产垃圾(如树枝、树叶、草屑等),绿地内水面杂物，随产随清。无堆物、堆料、搭棚，树干上无钉拴刻画等现象：有垃圾、杂物的，每处扣0.5分；对园林小品、设施、园路等清洁不力的，每处扣0.5分；树冠上有悬挂物的，每处扣0.5分；未及时发现违章占绿、毁绿或发现了未采取相应措施的，每处扣2分。</w:t>
            </w:r>
          </w:p>
        </w:tc>
        <w:tc>
          <w:tcPr>
            <w:tcW w:w="9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p>
        </w:tc>
        <w:tc>
          <w:tcPr>
            <w:tcW w:w="6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p>
        </w:tc>
      </w:tr>
      <w:tr>
        <w:tblPrEx>
          <w:tblCellMar>
            <w:top w:w="0" w:type="dxa"/>
            <w:left w:w="108" w:type="dxa"/>
            <w:bottom w:w="0" w:type="dxa"/>
            <w:right w:w="108" w:type="dxa"/>
          </w:tblCellMar>
        </w:tblPrEx>
        <w:trPr>
          <w:trHeight w:val="724" w:hRule="atLeast"/>
        </w:trPr>
        <w:tc>
          <w:tcPr>
            <w:tcW w:w="8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lang w:val="en-US" w:eastAsia="zh-CN" w:bidi="ar-SA"/>
              </w:rPr>
            </w:pPr>
            <w:r>
              <w:rPr>
                <w:rFonts w:hint="eastAsia" w:asciiTheme="minorEastAsia" w:hAnsiTheme="minorEastAsia" w:eastAsiaTheme="minorEastAsia" w:cstheme="minorEastAsia"/>
                <w:b/>
                <w:color w:val="auto"/>
                <w:kern w:val="0"/>
                <w:sz w:val="24"/>
                <w:szCs w:val="24"/>
              </w:rPr>
              <w:t>项目</w:t>
            </w:r>
          </w:p>
        </w:tc>
        <w:tc>
          <w:tcPr>
            <w:tcW w:w="638"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lang w:val="en-US" w:eastAsia="zh-CN" w:bidi="ar-SA"/>
              </w:rPr>
            </w:pPr>
            <w:r>
              <w:rPr>
                <w:rFonts w:hint="eastAsia" w:asciiTheme="minorEastAsia" w:hAnsiTheme="minorEastAsia" w:eastAsiaTheme="minorEastAsia" w:cstheme="minorEastAsia"/>
                <w:b/>
                <w:color w:val="auto"/>
                <w:kern w:val="0"/>
                <w:sz w:val="24"/>
                <w:szCs w:val="24"/>
              </w:rPr>
              <w:t>编号</w:t>
            </w:r>
          </w:p>
        </w:tc>
        <w:tc>
          <w:tcPr>
            <w:tcW w:w="1815" w:type="dxa"/>
            <w:tcBorders>
              <w:top w:val="single" w:color="auto" w:sz="4" w:space="0"/>
              <w:left w:val="single" w:color="auto" w:sz="4" w:space="0"/>
              <w:bottom w:val="single" w:color="auto" w:sz="4" w:space="0"/>
              <w:right w:val="single" w:color="000000"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lang w:val="en-US" w:eastAsia="zh-CN" w:bidi="ar-SA"/>
              </w:rPr>
            </w:pPr>
            <w:r>
              <w:rPr>
                <w:rFonts w:hint="eastAsia" w:asciiTheme="minorEastAsia" w:hAnsiTheme="minorEastAsia" w:eastAsiaTheme="minorEastAsia" w:cstheme="minorEastAsia"/>
                <w:b/>
                <w:color w:val="auto"/>
                <w:kern w:val="0"/>
                <w:sz w:val="24"/>
                <w:szCs w:val="24"/>
              </w:rPr>
              <w:t>考核标准</w:t>
            </w:r>
          </w:p>
        </w:tc>
        <w:tc>
          <w:tcPr>
            <w:tcW w:w="472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lang w:val="en-US" w:eastAsia="zh-CN" w:bidi="ar-SA"/>
              </w:rPr>
            </w:pPr>
            <w:r>
              <w:rPr>
                <w:rFonts w:hint="eastAsia" w:asciiTheme="minorEastAsia" w:hAnsiTheme="minorEastAsia" w:eastAsiaTheme="minorEastAsia" w:cstheme="minorEastAsia"/>
                <w:b/>
                <w:color w:val="auto"/>
                <w:kern w:val="0"/>
                <w:sz w:val="24"/>
                <w:szCs w:val="24"/>
              </w:rPr>
              <w:t>评分细则</w:t>
            </w:r>
          </w:p>
        </w:tc>
        <w:tc>
          <w:tcPr>
            <w:tcW w:w="9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实际</w:t>
            </w:r>
          </w:p>
          <w:p>
            <w:pPr>
              <w:adjustRightInd w:val="0"/>
              <w:snapToGrid w:val="0"/>
              <w:spacing w:line="240" w:lineRule="auto"/>
              <w:jc w:val="center"/>
              <w:rPr>
                <w:rFonts w:hint="eastAsia" w:asciiTheme="minorEastAsia" w:hAnsiTheme="minorEastAsia" w:eastAsiaTheme="minorEastAsia" w:cstheme="minorEastAsia"/>
                <w:b/>
                <w:color w:val="auto"/>
                <w:kern w:val="0"/>
                <w:sz w:val="24"/>
                <w:szCs w:val="24"/>
                <w:lang w:val="en-US" w:eastAsia="zh-CN" w:bidi="ar-SA"/>
              </w:rPr>
            </w:pPr>
            <w:r>
              <w:rPr>
                <w:rFonts w:hint="eastAsia" w:asciiTheme="minorEastAsia" w:hAnsiTheme="minorEastAsia" w:eastAsiaTheme="minorEastAsia" w:cstheme="minorEastAsia"/>
                <w:b/>
                <w:color w:val="auto"/>
                <w:kern w:val="0"/>
                <w:sz w:val="24"/>
                <w:szCs w:val="24"/>
              </w:rPr>
              <w:t>得分</w:t>
            </w:r>
          </w:p>
        </w:tc>
        <w:tc>
          <w:tcPr>
            <w:tcW w:w="6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lang w:val="en-US" w:eastAsia="zh-CN" w:bidi="ar-SA"/>
              </w:rPr>
            </w:pPr>
            <w:r>
              <w:rPr>
                <w:rFonts w:hint="eastAsia" w:asciiTheme="minorEastAsia" w:hAnsiTheme="minorEastAsia" w:eastAsiaTheme="minorEastAsia" w:cstheme="minorEastAsia"/>
                <w:b/>
                <w:color w:val="auto"/>
                <w:kern w:val="0"/>
                <w:sz w:val="24"/>
                <w:szCs w:val="24"/>
              </w:rPr>
              <w:t>备注</w:t>
            </w:r>
          </w:p>
        </w:tc>
      </w:tr>
      <w:tr>
        <w:tblPrEx>
          <w:tblCellMar>
            <w:top w:w="0" w:type="dxa"/>
            <w:left w:w="108" w:type="dxa"/>
            <w:bottom w:w="0" w:type="dxa"/>
            <w:right w:w="108" w:type="dxa"/>
          </w:tblCellMar>
        </w:tblPrEx>
        <w:trPr>
          <w:trHeight w:val="2699" w:hRule="atLeast"/>
        </w:trPr>
        <w:tc>
          <w:tcPr>
            <w:tcW w:w="8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lang w:val="en-US" w:eastAsia="zh-CN"/>
              </w:rPr>
              <w:t>安全生产（5分</w:t>
            </w:r>
          </w:p>
        </w:tc>
        <w:tc>
          <w:tcPr>
            <w:tcW w:w="638" w:type="dxa"/>
            <w:tcBorders>
              <w:top w:val="single" w:color="auto" w:sz="4" w:space="0"/>
              <w:left w:val="nil"/>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8.1</w:t>
            </w:r>
          </w:p>
        </w:tc>
        <w:tc>
          <w:tcPr>
            <w:tcW w:w="1815" w:type="dxa"/>
            <w:tcBorders>
              <w:top w:val="single" w:color="auto" w:sz="4" w:space="0"/>
              <w:left w:val="single" w:color="auto" w:sz="4" w:space="0"/>
              <w:bottom w:val="single" w:color="auto" w:sz="4" w:space="0"/>
              <w:right w:val="single" w:color="000000" w:sz="4" w:space="0"/>
            </w:tcBorders>
            <w:noWrap w:val="0"/>
            <w:vAlign w:val="center"/>
          </w:tcPr>
          <w:p>
            <w:pPr>
              <w:adjustRightInd w:val="0"/>
              <w:snapToGrid w:val="0"/>
              <w:spacing w:before="100" w:beforeAutospacing="1" w:after="100" w:afterAutospacing="1" w:line="240" w:lineRule="auto"/>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人员、作业安全</w:t>
            </w:r>
          </w:p>
        </w:tc>
        <w:tc>
          <w:tcPr>
            <w:tcW w:w="472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240" w:lineRule="auto"/>
              <w:jc w:val="left"/>
              <w:rPr>
                <w:rFonts w:hint="eastAsia" w:asciiTheme="minorEastAsia" w:hAnsiTheme="minorEastAsia" w:eastAsiaTheme="minorEastAsia" w:cstheme="minorEastAsia"/>
                <w:i w:val="0"/>
                <w:color w:val="auto"/>
                <w:spacing w:val="0"/>
                <w:kern w:val="0"/>
                <w:sz w:val="24"/>
                <w:szCs w:val="24"/>
                <w:highlight w:val="none"/>
                <w:u w:val="none"/>
                <w:lang w:val="en-US" w:eastAsia="zh-CN" w:bidi="ar"/>
              </w:rPr>
            </w:pPr>
            <w:r>
              <w:rPr>
                <w:rFonts w:hint="eastAsia" w:asciiTheme="minorEastAsia" w:hAnsiTheme="minorEastAsia" w:eastAsiaTheme="minorEastAsia" w:cstheme="minorEastAsia"/>
                <w:i w:val="0"/>
                <w:color w:val="auto"/>
                <w:spacing w:val="0"/>
                <w:kern w:val="0"/>
                <w:sz w:val="24"/>
                <w:szCs w:val="24"/>
                <w:highlight w:val="none"/>
                <w:u w:val="none"/>
                <w:lang w:val="en-US" w:eastAsia="zh-CN" w:bidi="ar"/>
              </w:rPr>
              <w:t>人员在岗期间，要着有安全标志作业服装，反光标志要完整，衣服干净整洁，确保人身安全，保证车体干净、车体喷反光标识，工作间整齐：未设置安全员负责安全工作的，每次扣1分；车辆和安全标识锥要横向摆放，距离养护人员50米停放，未按要求的，每次扣1分；必须遵守交通规则，不得逆行作业，未按照安全配套设施规范执行的，每次扣1分。</w:t>
            </w:r>
          </w:p>
        </w:tc>
        <w:tc>
          <w:tcPr>
            <w:tcW w:w="9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p>
        </w:tc>
        <w:tc>
          <w:tcPr>
            <w:tcW w:w="6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p>
        </w:tc>
      </w:tr>
      <w:tr>
        <w:tblPrEx>
          <w:tblCellMar>
            <w:top w:w="0" w:type="dxa"/>
            <w:left w:w="108" w:type="dxa"/>
            <w:bottom w:w="0" w:type="dxa"/>
            <w:right w:w="108" w:type="dxa"/>
          </w:tblCellMar>
        </w:tblPrEx>
        <w:trPr>
          <w:trHeight w:val="2798" w:hRule="atLeast"/>
        </w:trPr>
        <w:tc>
          <w:tcPr>
            <w:tcW w:w="8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lang w:val="en-US" w:eastAsia="zh-CN"/>
              </w:rPr>
            </w:pPr>
            <w:r>
              <w:rPr>
                <w:rFonts w:hint="eastAsia" w:asciiTheme="minorEastAsia" w:hAnsiTheme="minorEastAsia" w:eastAsiaTheme="minorEastAsia" w:cstheme="minorEastAsia"/>
                <w:b/>
                <w:color w:val="auto"/>
                <w:kern w:val="0"/>
                <w:sz w:val="24"/>
                <w:szCs w:val="24"/>
                <w:lang w:val="en-US" w:eastAsia="zh-CN"/>
              </w:rPr>
              <w:t>卫生清扫</w:t>
            </w:r>
          </w:p>
          <w:p>
            <w:pPr>
              <w:adjustRightInd w:val="0"/>
              <w:snapToGrid w:val="0"/>
              <w:spacing w:line="240" w:lineRule="auto"/>
              <w:jc w:val="center"/>
              <w:rPr>
                <w:rFonts w:hint="eastAsia" w:asciiTheme="minorEastAsia" w:hAnsiTheme="minorEastAsia" w:eastAsiaTheme="minorEastAsia" w:cstheme="minorEastAsia"/>
                <w:b/>
                <w:color w:val="auto"/>
                <w:kern w:val="0"/>
                <w:sz w:val="24"/>
                <w:szCs w:val="24"/>
                <w:lang w:val="en-US" w:eastAsia="zh-CN"/>
              </w:rPr>
            </w:pPr>
            <w:r>
              <w:rPr>
                <w:rFonts w:hint="eastAsia" w:asciiTheme="minorEastAsia" w:hAnsiTheme="minorEastAsia" w:eastAsiaTheme="minorEastAsia" w:cstheme="minorEastAsia"/>
                <w:b/>
                <w:color w:val="auto"/>
                <w:kern w:val="0"/>
                <w:sz w:val="24"/>
                <w:szCs w:val="24"/>
                <w:lang w:val="en-US" w:eastAsia="zh-CN"/>
              </w:rPr>
              <w:t>保洁（15分）</w:t>
            </w:r>
          </w:p>
        </w:tc>
        <w:tc>
          <w:tcPr>
            <w:tcW w:w="638" w:type="dxa"/>
            <w:tcBorders>
              <w:top w:val="single" w:color="auto" w:sz="4" w:space="0"/>
              <w:left w:val="nil"/>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9.1</w:t>
            </w:r>
          </w:p>
        </w:tc>
        <w:tc>
          <w:tcPr>
            <w:tcW w:w="1815" w:type="dxa"/>
            <w:tcBorders>
              <w:top w:val="single" w:color="auto" w:sz="4" w:space="0"/>
              <w:left w:val="single" w:color="auto" w:sz="4" w:space="0"/>
              <w:bottom w:val="single" w:color="auto" w:sz="4" w:space="0"/>
              <w:right w:val="single" w:color="000000" w:sz="4" w:space="0"/>
            </w:tcBorders>
            <w:noWrap w:val="0"/>
            <w:vAlign w:val="center"/>
          </w:tcPr>
          <w:p>
            <w:pPr>
              <w:adjustRightInd w:val="0"/>
              <w:snapToGrid w:val="0"/>
              <w:spacing w:before="100" w:beforeAutospacing="1" w:after="100" w:afterAutospacing="1" w:line="240" w:lineRule="auto"/>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道路清扫、保洁</w:t>
            </w:r>
          </w:p>
        </w:tc>
        <w:tc>
          <w:tcPr>
            <w:tcW w:w="472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240" w:lineRule="auto"/>
              <w:jc w:val="left"/>
              <w:rPr>
                <w:rFonts w:hint="eastAsia" w:asciiTheme="minorEastAsia" w:hAnsiTheme="minorEastAsia" w:eastAsiaTheme="minorEastAsia" w:cstheme="minorEastAsia"/>
                <w:i w:val="0"/>
                <w:color w:val="auto"/>
                <w:spacing w:val="0"/>
                <w:kern w:val="0"/>
                <w:sz w:val="24"/>
                <w:szCs w:val="24"/>
                <w:highlight w:val="none"/>
                <w:u w:val="none"/>
                <w:lang w:val="en-US" w:eastAsia="zh-CN" w:bidi="ar"/>
              </w:rPr>
            </w:pPr>
            <w:r>
              <w:rPr>
                <w:rFonts w:hint="eastAsia" w:asciiTheme="minorEastAsia" w:hAnsiTheme="minorEastAsia" w:eastAsiaTheme="minorEastAsia" w:cstheme="minorEastAsia"/>
                <w:i w:val="0"/>
                <w:color w:val="auto"/>
                <w:spacing w:val="0"/>
                <w:kern w:val="0"/>
                <w:sz w:val="24"/>
                <w:szCs w:val="24"/>
                <w:highlight w:val="none"/>
                <w:u w:val="none"/>
                <w:lang w:val="en-US" w:eastAsia="zh-CN" w:bidi="ar"/>
              </w:rPr>
              <w:t>清扫保洁到位，无花扫现象。每发现一处不符合要求的，扣 1分；片区内无暴露垃圾、无卫生死角，每发现一处不符合要求的，扣 1分；道路（包括人行道）每日上午上班时间前普扫一遍，全天巡回保洁。未按规定时间完成普扫任务的，每路段每次扣2分；清扫保洁工作必须做到“六净”标准(路面净、绿化带净、公共场地净、路沿石根净、墙根净、电线杆净)，有一项不达标每次扣1分。全日保持做到果皮箱垃圾每日及时清除，无满溢、无污水溢出，发现一处扣0.5分；公共厕所24小时开放，有专人负责清扫保洁，未按保洁要求落实不达标一次扣1分。</w:t>
            </w:r>
          </w:p>
        </w:tc>
        <w:tc>
          <w:tcPr>
            <w:tcW w:w="9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p>
        </w:tc>
        <w:tc>
          <w:tcPr>
            <w:tcW w:w="6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p>
        </w:tc>
      </w:tr>
      <w:tr>
        <w:tblPrEx>
          <w:tblCellMar>
            <w:top w:w="0" w:type="dxa"/>
            <w:left w:w="108" w:type="dxa"/>
            <w:bottom w:w="0" w:type="dxa"/>
            <w:right w:w="108" w:type="dxa"/>
          </w:tblCellMar>
        </w:tblPrEx>
        <w:trPr>
          <w:trHeight w:val="2699" w:hRule="atLeast"/>
        </w:trPr>
        <w:tc>
          <w:tcPr>
            <w:tcW w:w="8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lang w:val="en-US" w:eastAsia="zh-CN"/>
              </w:rPr>
            </w:pPr>
            <w:r>
              <w:rPr>
                <w:rFonts w:hint="eastAsia" w:asciiTheme="minorEastAsia" w:hAnsiTheme="minorEastAsia" w:eastAsiaTheme="minorEastAsia" w:cstheme="minorEastAsia"/>
                <w:b/>
                <w:color w:val="auto"/>
                <w:kern w:val="0"/>
                <w:sz w:val="24"/>
                <w:szCs w:val="24"/>
                <w:lang w:val="en-US" w:eastAsia="zh-CN"/>
              </w:rPr>
              <w:t>垃圾收运作业</w:t>
            </w:r>
          </w:p>
          <w:p>
            <w:pPr>
              <w:adjustRightInd w:val="0"/>
              <w:snapToGrid w:val="0"/>
              <w:spacing w:line="240" w:lineRule="auto"/>
              <w:jc w:val="center"/>
              <w:rPr>
                <w:rFonts w:hint="eastAsia" w:asciiTheme="minorEastAsia" w:hAnsiTheme="minorEastAsia" w:eastAsiaTheme="minorEastAsia" w:cstheme="minorEastAsia"/>
                <w:b/>
                <w:color w:val="auto"/>
                <w:kern w:val="0"/>
                <w:sz w:val="24"/>
                <w:szCs w:val="24"/>
                <w:lang w:val="en-US" w:eastAsia="zh-CN"/>
              </w:rPr>
            </w:pPr>
            <w:r>
              <w:rPr>
                <w:rFonts w:hint="eastAsia" w:asciiTheme="minorEastAsia" w:hAnsiTheme="minorEastAsia" w:eastAsiaTheme="minorEastAsia" w:cstheme="minorEastAsia"/>
                <w:b/>
                <w:color w:val="auto"/>
                <w:kern w:val="0"/>
                <w:sz w:val="24"/>
                <w:szCs w:val="24"/>
                <w:lang w:val="en-US" w:eastAsia="zh-CN"/>
              </w:rPr>
              <w:t>（15分）</w:t>
            </w:r>
          </w:p>
        </w:tc>
        <w:tc>
          <w:tcPr>
            <w:tcW w:w="638" w:type="dxa"/>
            <w:tcBorders>
              <w:top w:val="single" w:color="auto" w:sz="4" w:space="0"/>
              <w:left w:val="nil"/>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10.1</w:t>
            </w:r>
          </w:p>
        </w:tc>
        <w:tc>
          <w:tcPr>
            <w:tcW w:w="1815" w:type="dxa"/>
            <w:tcBorders>
              <w:top w:val="single" w:color="auto" w:sz="4" w:space="0"/>
              <w:left w:val="single" w:color="auto" w:sz="4" w:space="0"/>
              <w:bottom w:val="single" w:color="auto" w:sz="4" w:space="0"/>
              <w:right w:val="single" w:color="000000" w:sz="4" w:space="0"/>
            </w:tcBorders>
            <w:noWrap w:val="0"/>
            <w:vAlign w:val="center"/>
          </w:tcPr>
          <w:p>
            <w:pPr>
              <w:adjustRightInd w:val="0"/>
              <w:snapToGrid w:val="0"/>
              <w:spacing w:before="100" w:beforeAutospacing="1" w:after="100" w:afterAutospacing="1" w:line="240" w:lineRule="auto"/>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垃圾收运</w:t>
            </w:r>
          </w:p>
        </w:tc>
        <w:tc>
          <w:tcPr>
            <w:tcW w:w="4726" w:type="dxa"/>
            <w:gridSpan w:val="2"/>
            <w:tcBorders>
              <w:top w:val="single" w:color="auto" w:sz="4" w:space="0"/>
              <w:left w:val="nil"/>
              <w:bottom w:val="single" w:color="auto" w:sz="4" w:space="0"/>
              <w:right w:val="single" w:color="auto" w:sz="4" w:space="0"/>
            </w:tcBorders>
            <w:noWrap w:val="0"/>
            <w:vAlign w:val="center"/>
          </w:tcPr>
          <w:p>
            <w:pPr>
              <w:pStyle w:val="57"/>
              <w:keepNext w:val="0"/>
              <w:keepLines w:val="0"/>
              <w:pageBreakBefore w:val="0"/>
              <w:widowControl w:val="0"/>
              <w:kinsoku/>
              <w:wordWrap/>
              <w:overflowPunct/>
              <w:topLinePunct w:val="0"/>
              <w:autoSpaceDE/>
              <w:autoSpaceDN/>
              <w:bidi w:val="0"/>
              <w:adjustRightInd/>
              <w:snapToGrid/>
              <w:spacing w:line="360" w:lineRule="exact"/>
              <w:ind w:left="11"/>
              <w:textAlignment w:val="auto"/>
              <w:rPr>
                <w:rFonts w:hint="eastAsia" w:asciiTheme="minorEastAsia" w:hAnsiTheme="minorEastAsia" w:eastAsiaTheme="minorEastAsia" w:cstheme="minorEastAsia"/>
                <w:i w:val="0"/>
                <w:color w:val="auto"/>
                <w:spacing w:val="0"/>
                <w:kern w:val="0"/>
                <w:sz w:val="24"/>
                <w:szCs w:val="24"/>
                <w:highlight w:val="none"/>
                <w:u w:val="none"/>
                <w:lang w:val="en-US" w:eastAsia="zh-CN" w:bidi="ar"/>
              </w:rPr>
            </w:pPr>
            <w:r>
              <w:rPr>
                <w:rFonts w:hint="eastAsia" w:asciiTheme="minorEastAsia" w:hAnsiTheme="minorEastAsia" w:eastAsiaTheme="minorEastAsia" w:cstheme="minorEastAsia"/>
                <w:i w:val="0"/>
                <w:color w:val="auto"/>
                <w:spacing w:val="0"/>
                <w:kern w:val="0"/>
                <w:sz w:val="24"/>
                <w:szCs w:val="24"/>
                <w:highlight w:val="none"/>
                <w:u w:val="none"/>
                <w:lang w:val="en-US" w:eastAsia="zh-CN" w:bidi="ar"/>
              </w:rPr>
              <w:t>生活垃圾清运达到日产日清，有一项不达标每次扣1分（根据实际路段情况而定）；垃圾必须在指定场地倾倒，发现不按要求倾倒垃圾的，扣 2 分；辖区内无卫生死角，无积存建筑垃圾，发现卫生死角，每处扣 2 分；积存建筑垃圾每处扣 5 分；运输垃圾过程中产生渗漏、掉落、溢出未及时清理抓出一次扣 0.5 分。</w:t>
            </w:r>
          </w:p>
        </w:tc>
        <w:tc>
          <w:tcPr>
            <w:tcW w:w="9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p>
        </w:tc>
        <w:tc>
          <w:tcPr>
            <w:tcW w:w="6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p>
        </w:tc>
      </w:tr>
      <w:tr>
        <w:tblPrEx>
          <w:tblCellMar>
            <w:top w:w="0" w:type="dxa"/>
            <w:left w:w="108" w:type="dxa"/>
            <w:bottom w:w="0" w:type="dxa"/>
            <w:right w:w="108" w:type="dxa"/>
          </w:tblCellMar>
        </w:tblPrEx>
        <w:trPr>
          <w:trHeight w:val="2699" w:hRule="atLeast"/>
        </w:trPr>
        <w:tc>
          <w:tcPr>
            <w:tcW w:w="8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b/>
                <w:color w:val="auto"/>
                <w:kern w:val="0"/>
                <w:sz w:val="24"/>
                <w:szCs w:val="24"/>
                <w:lang w:val="en-US" w:eastAsia="zh-CN"/>
              </w:rPr>
            </w:pPr>
            <w:r>
              <w:rPr>
                <w:rFonts w:hint="eastAsia" w:asciiTheme="minorEastAsia" w:hAnsiTheme="minorEastAsia" w:eastAsiaTheme="minorEastAsia" w:cstheme="minorEastAsia"/>
                <w:b/>
                <w:color w:val="auto"/>
                <w:kern w:val="0"/>
                <w:sz w:val="24"/>
                <w:szCs w:val="24"/>
                <w:lang w:val="en-US" w:eastAsia="zh-CN"/>
              </w:rPr>
              <w:t>垃圾场管理（10分）</w:t>
            </w:r>
          </w:p>
        </w:tc>
        <w:tc>
          <w:tcPr>
            <w:tcW w:w="638" w:type="dxa"/>
            <w:tcBorders>
              <w:top w:val="single" w:color="auto" w:sz="4" w:space="0"/>
              <w:left w:val="nil"/>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11.1</w:t>
            </w:r>
          </w:p>
        </w:tc>
        <w:tc>
          <w:tcPr>
            <w:tcW w:w="1815" w:type="dxa"/>
            <w:tcBorders>
              <w:top w:val="single" w:color="auto" w:sz="4" w:space="0"/>
              <w:left w:val="single" w:color="auto" w:sz="4" w:space="0"/>
              <w:bottom w:val="single" w:color="auto" w:sz="4" w:space="0"/>
              <w:right w:val="single" w:color="000000" w:sz="4" w:space="0"/>
            </w:tcBorders>
            <w:noWrap w:val="0"/>
            <w:vAlign w:val="center"/>
          </w:tcPr>
          <w:p>
            <w:pPr>
              <w:adjustRightInd w:val="0"/>
              <w:snapToGrid w:val="0"/>
              <w:spacing w:before="100" w:beforeAutospacing="1" w:after="100" w:afterAutospacing="1" w:line="240" w:lineRule="auto"/>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垃圾场运营</w:t>
            </w:r>
          </w:p>
        </w:tc>
        <w:tc>
          <w:tcPr>
            <w:tcW w:w="472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240" w:lineRule="auto"/>
              <w:jc w:val="left"/>
              <w:rPr>
                <w:rFonts w:hint="eastAsia" w:asciiTheme="minorEastAsia" w:hAnsiTheme="minorEastAsia" w:eastAsiaTheme="minorEastAsia" w:cstheme="minorEastAsia"/>
                <w:i w:val="0"/>
                <w:color w:val="auto"/>
                <w:spacing w:val="0"/>
                <w:kern w:val="0"/>
                <w:sz w:val="24"/>
                <w:szCs w:val="24"/>
                <w:highlight w:val="none"/>
                <w:u w:val="none"/>
                <w:lang w:val="en-US" w:eastAsia="zh-CN" w:bidi="ar"/>
              </w:rPr>
            </w:pPr>
            <w:r>
              <w:rPr>
                <w:rFonts w:hint="eastAsia" w:asciiTheme="minorEastAsia" w:hAnsiTheme="minorEastAsia" w:eastAsiaTheme="minorEastAsia" w:cstheme="minorEastAsia"/>
                <w:i w:val="0"/>
                <w:color w:val="auto"/>
                <w:spacing w:val="0"/>
                <w:kern w:val="0"/>
                <w:sz w:val="24"/>
                <w:szCs w:val="24"/>
                <w:highlight w:val="none"/>
                <w:u w:val="none"/>
                <w:lang w:val="en-US" w:eastAsia="zh-CN" w:bidi="ar"/>
              </w:rPr>
              <w:t>按规范开展机械化填埋，垃圾进场后当天完成垃圾的摊铺、消杀、压实、覆盖等作业，未采取措施一次扣1分；按照环保要求开展渗滤液处理、环境质量检测等工作，如有违规一次扣3分；加强环境管理和绿化管护，做好绿化、美化、消毒、消防、灭蚊蝇、灭鼠等措施，未采取措施发现一处扣0.5分。</w:t>
            </w:r>
          </w:p>
        </w:tc>
        <w:tc>
          <w:tcPr>
            <w:tcW w:w="9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p>
        </w:tc>
        <w:tc>
          <w:tcPr>
            <w:tcW w:w="6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p>
        </w:tc>
      </w:tr>
      <w:tr>
        <w:tblPrEx>
          <w:tblCellMar>
            <w:top w:w="0" w:type="dxa"/>
            <w:left w:w="108" w:type="dxa"/>
            <w:bottom w:w="0" w:type="dxa"/>
            <w:right w:w="108" w:type="dxa"/>
          </w:tblCellMar>
        </w:tblPrEx>
        <w:trPr>
          <w:trHeight w:val="603" w:hRule="atLeast"/>
        </w:trPr>
        <w:tc>
          <w:tcPr>
            <w:tcW w:w="7988"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color w:val="auto"/>
                <w:kern w:val="0"/>
                <w:sz w:val="24"/>
                <w:szCs w:val="24"/>
              </w:rPr>
              <w:t>合计分数</w:t>
            </w:r>
          </w:p>
        </w:tc>
        <w:tc>
          <w:tcPr>
            <w:tcW w:w="9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p>
        </w:tc>
        <w:tc>
          <w:tcPr>
            <w:tcW w:w="6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p>
        </w:tc>
      </w:tr>
      <w:tr>
        <w:tblPrEx>
          <w:tblCellMar>
            <w:top w:w="0" w:type="dxa"/>
            <w:left w:w="108" w:type="dxa"/>
            <w:bottom w:w="0" w:type="dxa"/>
            <w:right w:w="108" w:type="dxa"/>
          </w:tblCellMar>
        </w:tblPrEx>
        <w:trPr>
          <w:trHeight w:val="603" w:hRule="atLeast"/>
        </w:trPr>
        <w:tc>
          <w:tcPr>
            <w:tcW w:w="7988"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center"/>
              <w:rPr>
                <w:rFonts w:hint="eastAsia" w:asciiTheme="minorEastAsia" w:hAnsiTheme="minorEastAsia" w:eastAsiaTheme="minorEastAsia" w:cstheme="minorEastAsia"/>
                <w:b/>
                <w:color w:val="auto"/>
                <w:kern w:val="0"/>
                <w:sz w:val="24"/>
                <w:szCs w:val="24"/>
              </w:rPr>
            </w:pPr>
          </w:p>
        </w:tc>
        <w:tc>
          <w:tcPr>
            <w:tcW w:w="9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p>
        </w:tc>
        <w:tc>
          <w:tcPr>
            <w:tcW w:w="6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after="100" w:afterAutospacing="1" w:line="240" w:lineRule="auto"/>
              <w:jc w:val="left"/>
              <w:rPr>
                <w:rFonts w:hint="eastAsia" w:asciiTheme="minorEastAsia" w:hAnsiTheme="minorEastAsia" w:eastAsiaTheme="minorEastAsia" w:cstheme="minorEastAsia"/>
                <w:color w:val="auto"/>
                <w:kern w:val="0"/>
                <w:sz w:val="24"/>
                <w:szCs w:val="24"/>
              </w:rPr>
            </w:pPr>
          </w:p>
        </w:tc>
      </w:tr>
      <w:tr>
        <w:tblPrEx>
          <w:tblCellMar>
            <w:top w:w="0" w:type="dxa"/>
            <w:left w:w="108" w:type="dxa"/>
            <w:bottom w:w="0" w:type="dxa"/>
            <w:right w:w="108" w:type="dxa"/>
          </w:tblCellMar>
        </w:tblPrEx>
        <w:trPr>
          <w:trHeight w:val="2967" w:hRule="atLeast"/>
        </w:trPr>
        <w:tc>
          <w:tcPr>
            <w:tcW w:w="4628"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xml:space="preserve">建设单位（签字盖章）： </w:t>
            </w:r>
          </w:p>
          <w:p>
            <w:pPr>
              <w:adjustRightInd w:val="0"/>
              <w:snapToGrid w:val="0"/>
              <w:spacing w:line="240" w:lineRule="auto"/>
              <w:ind w:firstLine="2160" w:firstLineChars="900"/>
              <w:jc w:val="left"/>
              <w:rPr>
                <w:rFonts w:hint="eastAsia" w:asciiTheme="minorEastAsia" w:hAnsiTheme="minorEastAsia" w:eastAsiaTheme="minorEastAsia" w:cstheme="minorEastAsia"/>
                <w:color w:val="auto"/>
                <w:kern w:val="0"/>
                <w:sz w:val="24"/>
                <w:szCs w:val="24"/>
              </w:rPr>
            </w:pPr>
          </w:p>
          <w:p>
            <w:pPr>
              <w:adjustRightInd w:val="0"/>
              <w:snapToGrid w:val="0"/>
              <w:spacing w:line="240" w:lineRule="auto"/>
              <w:ind w:firstLine="2160" w:firstLineChars="900"/>
              <w:jc w:val="left"/>
              <w:rPr>
                <w:rFonts w:hint="eastAsia" w:asciiTheme="minorEastAsia" w:hAnsiTheme="minorEastAsia" w:eastAsiaTheme="minorEastAsia" w:cstheme="minorEastAsia"/>
                <w:color w:val="auto"/>
                <w:kern w:val="0"/>
                <w:sz w:val="24"/>
                <w:szCs w:val="24"/>
              </w:rPr>
            </w:pPr>
          </w:p>
          <w:p>
            <w:pPr>
              <w:adjustRightInd w:val="0"/>
              <w:snapToGrid w:val="0"/>
              <w:spacing w:line="240" w:lineRule="auto"/>
              <w:ind w:firstLine="2160" w:firstLineChars="900"/>
              <w:jc w:val="left"/>
              <w:rPr>
                <w:rFonts w:hint="eastAsia" w:asciiTheme="minorEastAsia" w:hAnsiTheme="minorEastAsia" w:eastAsiaTheme="minorEastAsia" w:cstheme="minorEastAsia"/>
                <w:color w:val="auto"/>
                <w:kern w:val="0"/>
                <w:sz w:val="24"/>
                <w:szCs w:val="24"/>
              </w:rPr>
            </w:pPr>
          </w:p>
          <w:p>
            <w:pPr>
              <w:adjustRightInd w:val="0"/>
              <w:snapToGrid w:val="0"/>
              <w:spacing w:line="240" w:lineRule="auto"/>
              <w:ind w:firstLine="2160" w:firstLineChars="900"/>
              <w:jc w:val="left"/>
              <w:rPr>
                <w:rFonts w:hint="eastAsia" w:asciiTheme="minorEastAsia" w:hAnsiTheme="minorEastAsia" w:eastAsiaTheme="minorEastAsia" w:cstheme="minorEastAsia"/>
                <w:color w:val="auto"/>
                <w:kern w:val="0"/>
                <w:sz w:val="24"/>
                <w:szCs w:val="24"/>
              </w:rPr>
            </w:pPr>
          </w:p>
          <w:p>
            <w:pPr>
              <w:adjustRightInd w:val="0"/>
              <w:snapToGrid w:val="0"/>
              <w:spacing w:line="240" w:lineRule="auto"/>
              <w:ind w:firstLine="3000" w:firstLineChars="125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xml:space="preserve">年   月  日                               </w:t>
            </w:r>
          </w:p>
        </w:tc>
        <w:tc>
          <w:tcPr>
            <w:tcW w:w="494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管养单位（签字盖章）：</w:t>
            </w:r>
          </w:p>
          <w:p>
            <w:pPr>
              <w:adjustRightInd w:val="0"/>
              <w:snapToGrid w:val="0"/>
              <w:spacing w:line="240" w:lineRule="auto"/>
              <w:ind w:firstLine="2160" w:firstLineChars="900"/>
              <w:jc w:val="left"/>
              <w:rPr>
                <w:rFonts w:hint="eastAsia" w:asciiTheme="minorEastAsia" w:hAnsiTheme="minorEastAsia" w:eastAsiaTheme="minorEastAsia" w:cstheme="minorEastAsia"/>
                <w:color w:val="auto"/>
                <w:kern w:val="0"/>
                <w:sz w:val="24"/>
                <w:szCs w:val="24"/>
              </w:rPr>
            </w:pPr>
          </w:p>
          <w:p>
            <w:pPr>
              <w:adjustRightInd w:val="0"/>
              <w:snapToGrid w:val="0"/>
              <w:spacing w:line="240" w:lineRule="auto"/>
              <w:ind w:firstLine="2160" w:firstLineChars="900"/>
              <w:jc w:val="left"/>
              <w:rPr>
                <w:rFonts w:hint="eastAsia" w:asciiTheme="minorEastAsia" w:hAnsiTheme="minorEastAsia" w:eastAsiaTheme="minorEastAsia" w:cstheme="minorEastAsia"/>
                <w:color w:val="auto"/>
                <w:kern w:val="0"/>
                <w:sz w:val="24"/>
                <w:szCs w:val="24"/>
              </w:rPr>
            </w:pPr>
          </w:p>
          <w:p>
            <w:pPr>
              <w:adjustRightInd w:val="0"/>
              <w:snapToGrid w:val="0"/>
              <w:spacing w:line="240" w:lineRule="auto"/>
              <w:ind w:firstLine="2160" w:firstLineChars="900"/>
              <w:jc w:val="left"/>
              <w:rPr>
                <w:rFonts w:hint="eastAsia" w:asciiTheme="minorEastAsia" w:hAnsiTheme="minorEastAsia" w:eastAsiaTheme="minorEastAsia" w:cstheme="minorEastAsia"/>
                <w:color w:val="auto"/>
                <w:kern w:val="0"/>
                <w:sz w:val="24"/>
                <w:szCs w:val="24"/>
              </w:rPr>
            </w:pPr>
          </w:p>
          <w:p>
            <w:pPr>
              <w:adjustRightInd w:val="0"/>
              <w:snapToGrid w:val="0"/>
              <w:spacing w:line="240" w:lineRule="auto"/>
              <w:ind w:firstLine="2160" w:firstLineChars="900"/>
              <w:jc w:val="left"/>
              <w:rPr>
                <w:rFonts w:hint="eastAsia" w:asciiTheme="minorEastAsia" w:hAnsiTheme="minorEastAsia" w:eastAsiaTheme="minorEastAsia" w:cstheme="minorEastAsia"/>
                <w:color w:val="auto"/>
                <w:kern w:val="0"/>
                <w:sz w:val="24"/>
                <w:szCs w:val="24"/>
              </w:rPr>
            </w:pPr>
          </w:p>
          <w:p>
            <w:pPr>
              <w:adjustRightInd w:val="0"/>
              <w:snapToGrid w:val="0"/>
              <w:spacing w:before="100" w:beforeAutospacing="1" w:after="100" w:afterAutospacing="1" w:line="240" w:lineRule="auto"/>
              <w:ind w:firstLine="3360" w:firstLineChars="14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xml:space="preserve">年   月  日 </w:t>
            </w:r>
          </w:p>
        </w:tc>
      </w:tr>
    </w:tbl>
    <w:p>
      <w:pPr>
        <w:tabs>
          <w:tab w:val="left" w:pos="486"/>
        </w:tabs>
        <w:bidi w:val="0"/>
        <w:jc w:val="left"/>
        <w:rPr>
          <w:color w:val="auto"/>
          <w:lang w:val="en-US" w:eastAsia="zh-CN"/>
        </w:rPr>
        <w:sectPr>
          <w:footerReference r:id="rId4" w:type="default"/>
          <w:pgSz w:w="11906" w:h="16838"/>
          <w:pgMar w:top="1928" w:right="1531" w:bottom="1701" w:left="1531" w:header="851" w:footer="992" w:gutter="0"/>
          <w:pgNumType w:fmt="decimal" w:start="1"/>
          <w:cols w:space="720" w:num="1"/>
          <w:docGrid w:type="lines" w:linePitch="312" w:charSpace="0"/>
        </w:sectPr>
      </w:pPr>
    </w:p>
    <w:p>
      <w:pPr>
        <w:keepNext w:val="0"/>
        <w:keepLines w:val="0"/>
        <w:pageBreakBefore w:val="0"/>
        <w:kinsoku/>
        <w:wordWrap/>
        <w:overflowPunct/>
        <w:topLinePunct w:val="0"/>
        <w:autoSpaceDE/>
        <w:autoSpaceDN/>
        <w:bidi w:val="0"/>
        <w:adjustRightInd w:val="0"/>
        <w:snapToGrid w:val="0"/>
        <w:spacing w:beforeAutospacing="0" w:afterAutospacing="0" w:line="400" w:lineRule="exact"/>
        <w:ind w:right="-506" w:rightChars="-241"/>
        <w:jc w:val="center"/>
        <w:textAlignment w:val="auto"/>
        <w:rPr>
          <w:rFonts w:hint="eastAsia" w:ascii="宋体" w:hAnsi="宋体" w:eastAsia="宋体" w:cs="宋体"/>
          <w:kern w:val="0"/>
          <w:sz w:val="24"/>
          <w:szCs w:val="24"/>
        </w:rPr>
      </w:pPr>
      <w:r>
        <w:rPr>
          <w:rFonts w:hint="eastAsia" w:ascii="宋体" w:hAnsi="宋体" w:cs="宋体"/>
          <w:b/>
          <w:bCs/>
          <w:kern w:val="0"/>
          <w:sz w:val="24"/>
          <w:szCs w:val="24"/>
          <w:lang w:val="en-US" w:eastAsia="zh-CN"/>
        </w:rPr>
        <w:t>托克逊县城市环卫园林一体化管理项目第一包</w:t>
      </w:r>
      <w:r>
        <w:rPr>
          <w:rFonts w:hint="eastAsia" w:ascii="宋体" w:hAnsi="宋体" w:eastAsia="宋体" w:cs="宋体"/>
          <w:b/>
          <w:bCs/>
          <w:kern w:val="0"/>
          <w:sz w:val="24"/>
          <w:szCs w:val="24"/>
        </w:rPr>
        <w:t>廉洁合同</w:t>
      </w:r>
    </w:p>
    <w:p>
      <w:pPr>
        <w:keepLines w:val="0"/>
        <w:pageBreakBefore w:val="0"/>
        <w:widowControl/>
        <w:kinsoku/>
        <w:wordWrap/>
        <w:overflowPunct/>
        <w:topLinePunct w:val="0"/>
        <w:bidi w:val="0"/>
        <w:adjustRightInd w:val="0"/>
        <w:snapToGrid w:val="0"/>
        <w:spacing w:beforeAutospacing="0" w:afterAutospacing="0" w:line="400" w:lineRule="exact"/>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甲方：</w:t>
      </w:r>
      <w:r>
        <w:rPr>
          <w:rFonts w:hint="eastAsia" w:ascii="宋体" w:hAnsi="宋体" w:eastAsia="宋体" w:cs="宋体"/>
          <w:kern w:val="0"/>
          <w:sz w:val="24"/>
          <w:szCs w:val="24"/>
          <w:lang w:val="en-US" w:eastAsia="zh-CN"/>
        </w:rPr>
        <w:t>托克逊县住房和城乡建设局</w:t>
      </w:r>
    </w:p>
    <w:p>
      <w:pPr>
        <w:keepLines w:val="0"/>
        <w:pageBreakBefore w:val="0"/>
        <w:widowControl/>
        <w:kinsoku/>
        <w:wordWrap/>
        <w:overflowPunct/>
        <w:topLinePunct w:val="0"/>
        <w:bidi w:val="0"/>
        <w:adjustRightInd w:val="0"/>
        <w:snapToGrid w:val="0"/>
        <w:spacing w:beforeAutospacing="0" w:afterAutospacing="0"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乙方： </w:t>
      </w:r>
    </w:p>
    <w:p>
      <w:pPr>
        <w:keepLines w:val="0"/>
        <w:pageBreakBefore w:val="0"/>
        <w:widowControl/>
        <w:kinsoku/>
        <w:wordWrap/>
        <w:overflowPunct/>
        <w:topLinePunct w:val="0"/>
        <w:bidi w:val="0"/>
        <w:adjustRightInd w:val="0"/>
        <w:snapToGrid w:val="0"/>
        <w:spacing w:beforeAutospacing="0" w:afterAutospacing="0"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项目名称：                        </w:t>
      </w:r>
    </w:p>
    <w:p>
      <w:pPr>
        <w:keepLines w:val="0"/>
        <w:pageBreakBefore w:val="0"/>
        <w:widowControl/>
        <w:kinsoku/>
        <w:wordWrap/>
        <w:overflowPunct/>
        <w:topLinePunct w:val="0"/>
        <w:bidi w:val="0"/>
        <w:adjustRightInd w:val="0"/>
        <w:snapToGrid w:val="0"/>
        <w:spacing w:beforeAutospacing="0" w:afterAutospacing="0"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中标金额：            元</w:t>
      </w:r>
    </w:p>
    <w:p>
      <w:pPr>
        <w:keepLines w:val="0"/>
        <w:pageBreakBefore w:val="0"/>
        <w:widowControl/>
        <w:kinsoku/>
        <w:wordWrap/>
        <w:overflowPunct/>
        <w:topLinePunct w:val="0"/>
        <w:bidi w:val="0"/>
        <w:adjustRightInd w:val="0"/>
        <w:snapToGrid w:val="0"/>
        <w:spacing w:beforeAutospacing="0" w:afterAutospacing="0" w:line="400" w:lineRule="exact"/>
        <w:ind w:firstLine="470" w:firstLineChars="196"/>
        <w:textAlignment w:val="auto"/>
        <w:rPr>
          <w:rFonts w:hint="eastAsia" w:ascii="宋体" w:hAnsi="宋体" w:eastAsia="宋体" w:cs="宋体"/>
          <w:kern w:val="0"/>
          <w:sz w:val="24"/>
          <w:szCs w:val="24"/>
        </w:rPr>
      </w:pPr>
      <w:r>
        <w:rPr>
          <w:rFonts w:hint="eastAsia" w:ascii="宋体" w:hAnsi="宋体" w:eastAsia="宋体" w:cs="宋体"/>
          <w:kern w:val="0"/>
          <w:sz w:val="24"/>
          <w:szCs w:val="24"/>
        </w:rPr>
        <w:t>为进一步加强中心行风建设，规范中心物资采购行为，有效防范商业贿赂行为，营造公平交易、诚实守信的采购环境，经甲、乙双方协商，同意签订本合同，并共同遵守：</w:t>
      </w:r>
    </w:p>
    <w:p>
      <w:pPr>
        <w:keepLines w:val="0"/>
        <w:pageBreakBefore w:val="0"/>
        <w:widowControl/>
        <w:kinsoku/>
        <w:wordWrap/>
        <w:overflowPunct/>
        <w:topLinePunct w:val="0"/>
        <w:bidi w:val="0"/>
        <w:adjustRightInd w:val="0"/>
        <w:snapToGrid w:val="0"/>
        <w:spacing w:beforeAutospacing="0" w:afterAutospacing="0" w:line="400" w:lineRule="exact"/>
        <w:ind w:firstLine="470" w:firstLineChars="196"/>
        <w:textAlignment w:val="auto"/>
        <w:rPr>
          <w:rFonts w:hint="eastAsia" w:ascii="宋体" w:hAnsi="宋体" w:eastAsia="宋体" w:cs="宋体"/>
          <w:kern w:val="0"/>
          <w:sz w:val="24"/>
          <w:szCs w:val="24"/>
        </w:rPr>
      </w:pPr>
      <w:r>
        <w:rPr>
          <w:rFonts w:hint="eastAsia" w:ascii="宋体" w:hAnsi="宋体" w:eastAsia="宋体" w:cs="宋体"/>
          <w:kern w:val="0"/>
          <w:sz w:val="24"/>
          <w:szCs w:val="24"/>
        </w:rPr>
        <w:t>一、甲乙双方按照《合同法》及物资采购合同约定采购工程建设、仪器设备、药品、疫苗、试剂耗材、生物制品、印刷、办公设备、办公用品、图书、后勤物资、服务等等各类物资。</w:t>
      </w:r>
    </w:p>
    <w:p>
      <w:pPr>
        <w:keepLines w:val="0"/>
        <w:pageBreakBefore w:val="0"/>
        <w:widowControl/>
        <w:kinsoku/>
        <w:wordWrap/>
        <w:overflowPunct/>
        <w:topLinePunct w:val="0"/>
        <w:bidi w:val="0"/>
        <w:adjustRightInd w:val="0"/>
        <w:snapToGrid w:val="0"/>
        <w:spacing w:beforeAutospacing="0" w:afterAutospacing="0" w:line="400" w:lineRule="exact"/>
        <w:ind w:firstLine="470" w:firstLineChars="196"/>
        <w:textAlignment w:val="auto"/>
        <w:rPr>
          <w:rFonts w:hint="eastAsia" w:ascii="宋体" w:hAnsi="宋体" w:eastAsia="宋体" w:cs="宋体"/>
          <w:kern w:val="0"/>
          <w:sz w:val="24"/>
          <w:szCs w:val="24"/>
        </w:rPr>
      </w:pPr>
      <w:r>
        <w:rPr>
          <w:rFonts w:hint="eastAsia" w:ascii="宋体" w:hAnsi="宋体" w:eastAsia="宋体" w:cs="宋体"/>
          <w:kern w:val="0"/>
          <w:sz w:val="24"/>
          <w:szCs w:val="24"/>
        </w:rPr>
        <w:t>二、甲方应当严格执行物资采购合同验收、入库制度对采购物资及发票进行查验，不得违反有关规定合同外采购、违价采购或从非规定渠道采购。</w:t>
      </w:r>
    </w:p>
    <w:p>
      <w:pPr>
        <w:keepLines w:val="0"/>
        <w:pageBreakBefore w:val="0"/>
        <w:widowControl/>
        <w:kinsoku/>
        <w:wordWrap/>
        <w:overflowPunct/>
        <w:topLinePunct w:val="0"/>
        <w:bidi w:val="0"/>
        <w:adjustRightInd w:val="0"/>
        <w:snapToGrid w:val="0"/>
        <w:spacing w:beforeAutospacing="0" w:afterAutospacing="0" w:line="400" w:lineRule="exact"/>
        <w:ind w:firstLine="470" w:firstLineChars="196"/>
        <w:textAlignment w:val="auto"/>
        <w:rPr>
          <w:rFonts w:hint="eastAsia" w:ascii="宋体" w:hAnsi="宋体" w:eastAsia="宋体" w:cs="宋体"/>
          <w:kern w:val="0"/>
          <w:sz w:val="24"/>
          <w:szCs w:val="24"/>
        </w:rPr>
      </w:pPr>
      <w:r>
        <w:rPr>
          <w:rFonts w:hint="eastAsia" w:ascii="宋体" w:hAnsi="宋体" w:eastAsia="宋体" w:cs="宋体"/>
          <w:kern w:val="0"/>
          <w:sz w:val="24"/>
          <w:szCs w:val="24"/>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keepLines w:val="0"/>
        <w:pageBreakBefore w:val="0"/>
        <w:widowControl/>
        <w:kinsoku/>
        <w:wordWrap/>
        <w:overflowPunct/>
        <w:topLinePunct w:val="0"/>
        <w:bidi w:val="0"/>
        <w:adjustRightInd w:val="0"/>
        <w:snapToGrid w:val="0"/>
        <w:spacing w:beforeAutospacing="0" w:afterAutospacing="0" w:line="400" w:lineRule="exact"/>
        <w:ind w:firstLine="470" w:firstLineChars="196"/>
        <w:textAlignment w:val="auto"/>
        <w:rPr>
          <w:rFonts w:hint="eastAsia" w:ascii="宋体" w:hAnsi="宋体" w:eastAsia="宋体" w:cs="宋体"/>
          <w:kern w:val="0"/>
          <w:sz w:val="24"/>
          <w:szCs w:val="24"/>
        </w:rPr>
      </w:pPr>
      <w:r>
        <w:rPr>
          <w:rFonts w:hint="eastAsia" w:ascii="宋体" w:hAnsi="宋体" w:eastAsia="宋体" w:cs="宋体"/>
          <w:kern w:val="0"/>
          <w:sz w:val="24"/>
          <w:szCs w:val="24"/>
        </w:rPr>
        <w:t>四、严禁甲方工作人员利用任何途径和方式，私自为乙方提供物资用量、底价等信息，或为乙方投标提供便利。</w:t>
      </w:r>
    </w:p>
    <w:p>
      <w:pPr>
        <w:keepLines w:val="0"/>
        <w:pageBreakBefore w:val="0"/>
        <w:widowControl/>
        <w:kinsoku/>
        <w:wordWrap/>
        <w:overflowPunct/>
        <w:topLinePunct w:val="0"/>
        <w:bidi w:val="0"/>
        <w:adjustRightInd w:val="0"/>
        <w:snapToGrid w:val="0"/>
        <w:spacing w:beforeAutospacing="0" w:afterAutospacing="0" w:line="400" w:lineRule="exact"/>
        <w:ind w:firstLine="470" w:firstLineChars="196"/>
        <w:textAlignment w:val="auto"/>
        <w:rPr>
          <w:rFonts w:hint="eastAsia" w:ascii="宋体" w:hAnsi="宋体" w:eastAsia="宋体" w:cs="宋体"/>
          <w:kern w:val="0"/>
          <w:sz w:val="24"/>
          <w:szCs w:val="24"/>
        </w:rPr>
      </w:pPr>
      <w:r>
        <w:rPr>
          <w:rFonts w:hint="eastAsia" w:ascii="宋体" w:hAnsi="宋体" w:eastAsia="宋体" w:cs="宋体"/>
          <w:kern w:val="0"/>
          <w:sz w:val="24"/>
          <w:szCs w:val="24"/>
        </w:rPr>
        <w:t>五、乙方不得以回扣、宴请等方式影响甲方工作人员采购或使用物资的选择权，不得在学术活动中提供旅游、超标准支付食宿费用。</w:t>
      </w:r>
    </w:p>
    <w:p>
      <w:pPr>
        <w:keepLines w:val="0"/>
        <w:pageBreakBefore w:val="0"/>
        <w:widowControl/>
        <w:kinsoku/>
        <w:wordWrap/>
        <w:overflowPunct/>
        <w:topLinePunct w:val="0"/>
        <w:bidi w:val="0"/>
        <w:adjustRightInd w:val="0"/>
        <w:snapToGrid w:val="0"/>
        <w:spacing w:beforeAutospacing="0" w:afterAutospacing="0" w:line="400" w:lineRule="exact"/>
        <w:ind w:firstLine="470" w:firstLineChars="196"/>
        <w:textAlignment w:val="auto"/>
        <w:rPr>
          <w:rFonts w:hint="eastAsia" w:ascii="宋体" w:hAnsi="宋体" w:eastAsia="宋体" w:cs="宋体"/>
          <w:kern w:val="0"/>
          <w:sz w:val="24"/>
          <w:szCs w:val="24"/>
        </w:rPr>
      </w:pPr>
      <w:r>
        <w:rPr>
          <w:rFonts w:hint="eastAsia" w:ascii="宋体" w:hAnsi="宋体" w:eastAsia="宋体" w:cs="宋体"/>
          <w:kern w:val="0"/>
          <w:sz w:val="24"/>
          <w:szCs w:val="24"/>
        </w:rPr>
        <w:t>六、乙方指定作为销售代表洽谈业务。销售代表必须在工作时间到甲方指定地点联系商谈，不得到各科室推销产品，不得借故到甲方相关领导、部门负责人及相关工作人员家中访谈并提供任何好处费。</w:t>
      </w:r>
    </w:p>
    <w:p>
      <w:pPr>
        <w:keepLines w:val="0"/>
        <w:pageBreakBefore w:val="0"/>
        <w:widowControl/>
        <w:kinsoku/>
        <w:wordWrap/>
        <w:overflowPunct/>
        <w:topLinePunct w:val="0"/>
        <w:bidi w:val="0"/>
        <w:adjustRightInd w:val="0"/>
        <w:snapToGrid w:val="0"/>
        <w:spacing w:beforeAutospacing="0" w:afterAutospacing="0" w:line="400" w:lineRule="exact"/>
        <w:ind w:firstLine="470" w:firstLineChars="196"/>
        <w:textAlignment w:val="auto"/>
        <w:rPr>
          <w:rFonts w:hint="eastAsia" w:ascii="宋体" w:hAnsi="宋体" w:eastAsia="宋体" w:cs="宋体"/>
          <w:kern w:val="0"/>
          <w:sz w:val="24"/>
          <w:szCs w:val="24"/>
        </w:rPr>
      </w:pPr>
      <w:r>
        <w:rPr>
          <w:rFonts w:hint="eastAsia" w:ascii="宋体" w:hAnsi="宋体" w:eastAsia="宋体" w:cs="宋体"/>
          <w:kern w:val="0"/>
          <w:sz w:val="24"/>
          <w:szCs w:val="24"/>
        </w:rPr>
        <w:t>七、乙方如违反本合同，一经发现，甲方有权终止购销合同，并向有关部门报告。如乙方被列入商业贿赂不良记录，</w:t>
      </w:r>
      <w:r>
        <w:rPr>
          <w:rFonts w:hint="eastAsia" w:ascii="宋体" w:hAnsi="宋体" w:eastAsia="宋体" w:cs="宋体"/>
          <w:kern w:val="0"/>
          <w:sz w:val="24"/>
          <w:szCs w:val="24"/>
          <w:lang w:eastAsia="zh-CN"/>
        </w:rPr>
        <w:t>则严格按照</w:t>
      </w:r>
      <w:r>
        <w:rPr>
          <w:rFonts w:hint="eastAsia" w:ascii="宋体" w:hAnsi="宋体" w:eastAsia="宋体" w:cs="宋体"/>
          <w:kern w:val="0"/>
          <w:sz w:val="24"/>
          <w:szCs w:val="24"/>
        </w:rPr>
        <w:t>相关规定处理。</w:t>
      </w:r>
    </w:p>
    <w:p>
      <w:pPr>
        <w:keepLines w:val="0"/>
        <w:pageBreakBefore w:val="0"/>
        <w:widowControl/>
        <w:kinsoku/>
        <w:wordWrap/>
        <w:overflowPunct/>
        <w:topLinePunct w:val="0"/>
        <w:bidi w:val="0"/>
        <w:adjustRightInd w:val="0"/>
        <w:snapToGrid w:val="0"/>
        <w:spacing w:beforeAutospacing="0" w:afterAutospacing="0" w:line="400" w:lineRule="exact"/>
        <w:ind w:firstLine="470" w:firstLineChars="196"/>
        <w:textAlignment w:val="auto"/>
        <w:rPr>
          <w:rFonts w:hint="eastAsia" w:ascii="宋体" w:hAnsi="宋体" w:eastAsia="宋体" w:cs="宋体"/>
          <w:kern w:val="0"/>
          <w:sz w:val="24"/>
          <w:szCs w:val="24"/>
        </w:rPr>
      </w:pPr>
      <w:r>
        <w:rPr>
          <w:rFonts w:hint="eastAsia" w:ascii="宋体" w:hAnsi="宋体" w:eastAsia="宋体" w:cs="宋体"/>
          <w:kern w:val="0"/>
          <w:sz w:val="24"/>
          <w:szCs w:val="24"/>
        </w:rPr>
        <w:t>八、本合同作为中心物资购销合同的重要组成部分，与购销合同一并执行，具有同等的法律效力。</w:t>
      </w:r>
    </w:p>
    <w:p>
      <w:pPr>
        <w:keepLines w:val="0"/>
        <w:pageBreakBefore w:val="0"/>
        <w:widowControl/>
        <w:kinsoku/>
        <w:wordWrap/>
        <w:overflowPunct/>
        <w:topLinePunct w:val="0"/>
        <w:bidi w:val="0"/>
        <w:adjustRightInd w:val="0"/>
        <w:snapToGrid w:val="0"/>
        <w:spacing w:beforeAutospacing="0" w:afterAutospacing="0" w:line="400" w:lineRule="exact"/>
        <w:ind w:firstLine="470" w:firstLineChars="196"/>
        <w:textAlignment w:val="auto"/>
        <w:rPr>
          <w:rFonts w:hint="eastAsia" w:ascii="宋体" w:hAnsi="宋体" w:eastAsia="宋体" w:cs="宋体"/>
          <w:kern w:val="0"/>
          <w:sz w:val="24"/>
          <w:szCs w:val="24"/>
        </w:rPr>
      </w:pPr>
      <w:r>
        <w:rPr>
          <w:rFonts w:hint="eastAsia" w:ascii="宋体" w:hAnsi="宋体" w:eastAsia="宋体" w:cs="宋体"/>
          <w:kern w:val="0"/>
          <w:sz w:val="24"/>
          <w:szCs w:val="24"/>
        </w:rPr>
        <w:t>九、本合同一式四份，甲、乙双方各执一份，甲方纪检监察部门执一份，并从签订之日起生效。</w:t>
      </w:r>
    </w:p>
    <w:p>
      <w:pPr>
        <w:keepLines w:val="0"/>
        <w:pageBreakBefore w:val="0"/>
        <w:widowControl/>
        <w:kinsoku/>
        <w:wordWrap/>
        <w:overflowPunct/>
        <w:topLinePunct w:val="0"/>
        <w:bidi w:val="0"/>
        <w:adjustRightInd w:val="0"/>
        <w:snapToGrid w:val="0"/>
        <w:spacing w:beforeAutospacing="0" w:afterAutospacing="0" w:line="400" w:lineRule="exact"/>
        <w:textAlignment w:val="auto"/>
        <w:rPr>
          <w:rFonts w:hint="eastAsia" w:ascii="宋体" w:hAnsi="宋体" w:eastAsia="宋体" w:cs="宋体"/>
          <w:kern w:val="0"/>
          <w:sz w:val="24"/>
          <w:szCs w:val="24"/>
        </w:rPr>
      </w:pPr>
    </w:p>
    <w:p>
      <w:pPr>
        <w:keepLines w:val="0"/>
        <w:pageBreakBefore w:val="0"/>
        <w:widowControl/>
        <w:kinsoku/>
        <w:wordWrap/>
        <w:overflowPunct/>
        <w:topLinePunct w:val="0"/>
        <w:bidi w:val="0"/>
        <w:adjustRightInd w:val="0"/>
        <w:snapToGrid w:val="0"/>
        <w:spacing w:beforeAutospacing="0" w:afterAutospacing="0"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甲方申请部门负责人：            乙方（盖章）：</w:t>
      </w:r>
    </w:p>
    <w:p>
      <w:pPr>
        <w:keepLines w:val="0"/>
        <w:pageBreakBefore w:val="0"/>
        <w:widowControl/>
        <w:kinsoku/>
        <w:wordWrap/>
        <w:overflowPunct/>
        <w:topLinePunct w:val="0"/>
        <w:bidi w:val="0"/>
        <w:adjustRightInd w:val="0"/>
        <w:snapToGrid w:val="0"/>
        <w:spacing w:beforeAutospacing="0" w:afterAutospacing="0"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甲方采购部门负责人：            法定代表人（负责人）： </w:t>
      </w:r>
    </w:p>
    <w:p>
      <w:pPr>
        <w:keepLines w:val="0"/>
        <w:pageBreakBefore w:val="0"/>
        <w:widowControl/>
        <w:kinsoku/>
        <w:wordWrap/>
        <w:overflowPunct/>
        <w:topLinePunct w:val="0"/>
        <w:bidi w:val="0"/>
        <w:adjustRightInd w:val="0"/>
        <w:snapToGrid w:val="0"/>
        <w:spacing w:beforeAutospacing="0" w:afterAutospacing="0" w:line="400" w:lineRule="exact"/>
        <w:textAlignment w:val="auto"/>
        <w:rPr>
          <w:rFonts w:hint="eastAsia" w:ascii="宋体" w:hAnsi="宋体" w:eastAsia="宋体" w:cs="宋体"/>
          <w:b/>
          <w:color w:val="auto"/>
          <w:sz w:val="24"/>
          <w:szCs w:val="24"/>
          <w:highlight w:val="none"/>
          <w:lang w:val="en-US" w:eastAsia="zh-CN"/>
        </w:rPr>
      </w:pPr>
      <w:r>
        <w:rPr>
          <w:rFonts w:hint="eastAsia" w:ascii="宋体" w:hAnsi="宋体" w:eastAsia="宋体" w:cs="宋体"/>
          <w:kern w:val="0"/>
          <w:sz w:val="24"/>
          <w:szCs w:val="24"/>
        </w:rPr>
        <w:t>甲方纪检监察室签章：             经办人签名：</w:t>
      </w:r>
    </w:p>
    <w:p>
      <w:pPr>
        <w:pStyle w:val="22"/>
        <w:pageBreakBefore w:val="0"/>
        <w:kinsoku/>
        <w:wordWrap/>
        <w:overflowPunct/>
        <w:topLinePunct w:val="0"/>
        <w:bidi w:val="0"/>
        <w:spacing w:beforeAutospacing="0" w:after="0" w:afterAutospacing="0" w:line="400" w:lineRule="exact"/>
        <w:jc w:val="center"/>
        <w:rPr>
          <w:rStyle w:val="28"/>
          <w:rFonts w:hint="eastAsia" w:ascii="宋体" w:hAnsi="宋体" w:eastAsia="宋体" w:cs="宋体"/>
          <w:b/>
          <w:bCs/>
          <w:color w:val="auto"/>
          <w:w w:val="90"/>
          <w:sz w:val="36"/>
          <w:szCs w:val="36"/>
          <w:u w:val="none"/>
          <w:lang w:val="en-US" w:eastAsia="zh-CN"/>
        </w:rPr>
      </w:pPr>
      <w:r>
        <w:rPr>
          <w:rStyle w:val="28"/>
          <w:rFonts w:hint="eastAsia" w:ascii="宋体" w:hAnsi="宋体" w:eastAsia="宋体" w:cs="宋体"/>
          <w:b/>
          <w:bCs/>
          <w:color w:val="auto"/>
          <w:w w:val="90"/>
          <w:sz w:val="36"/>
          <w:szCs w:val="36"/>
          <w:u w:val="none"/>
          <w:lang w:val="en-US" w:eastAsia="zh-CN"/>
        </w:rPr>
        <w:t>第五章</w:t>
      </w:r>
      <w:r>
        <w:rPr>
          <w:rStyle w:val="28"/>
          <w:rFonts w:hint="eastAsia" w:ascii="宋体" w:hAnsi="宋体" w:eastAsia="宋体" w:cs="宋体"/>
          <w:b/>
          <w:bCs/>
          <w:color w:val="auto"/>
          <w:w w:val="90"/>
          <w:sz w:val="36"/>
          <w:szCs w:val="36"/>
          <w:u w:val="none"/>
        </w:rPr>
        <w:t xml:space="preserve">  </w:t>
      </w:r>
      <w:r>
        <w:rPr>
          <w:rStyle w:val="28"/>
          <w:rFonts w:hint="eastAsia" w:ascii="宋体" w:hAnsi="宋体" w:eastAsia="宋体" w:cs="宋体"/>
          <w:b/>
          <w:bCs/>
          <w:color w:val="auto"/>
          <w:w w:val="90"/>
          <w:sz w:val="36"/>
          <w:szCs w:val="36"/>
          <w:u w:val="none"/>
          <w:lang w:eastAsia="zh-Hans"/>
        </w:rPr>
        <w:t>采购需求</w:t>
      </w:r>
      <w:bookmarkStart w:id="20" w:name="_Toc1579209951"/>
      <w:bookmarkEnd w:id="20"/>
      <w:r>
        <w:rPr>
          <w:rStyle w:val="28"/>
          <w:rFonts w:hint="eastAsia" w:ascii="宋体" w:hAnsi="宋体" w:eastAsia="宋体" w:cs="宋体"/>
          <w:b/>
          <w:bCs/>
          <w:color w:val="auto"/>
          <w:w w:val="90"/>
          <w:sz w:val="36"/>
          <w:szCs w:val="36"/>
          <w:u w:val="none"/>
          <w:lang w:val="en-US" w:eastAsia="zh-CN"/>
        </w:rPr>
        <w:t>书</w:t>
      </w:r>
    </w:p>
    <w:p>
      <w:pPr>
        <w:keepNext w:val="0"/>
        <w:keepLines w:val="0"/>
        <w:pageBreakBefore w:val="0"/>
        <w:widowControl/>
        <w:suppressLineNumbers w:val="0"/>
        <w:kinsoku/>
        <w:wordWrap/>
        <w:overflowPunct/>
        <w:topLinePunct w:val="0"/>
        <w:bidi w:val="0"/>
        <w:spacing w:beforeAutospacing="0" w:afterAutospacing="0" w:line="400" w:lineRule="exact"/>
        <w:jc w:val="center"/>
        <w:textAlignment w:val="center"/>
        <w:rPr>
          <w:rFonts w:hint="eastAsia" w:ascii="宋体" w:hAnsi="宋体" w:eastAsia="宋体" w:cs="宋体"/>
          <w:b/>
          <w:bCs/>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bidi w:val="0"/>
        <w:spacing w:beforeAutospacing="0" w:afterAutospacing="0" w:line="400" w:lineRule="exact"/>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cs="宋体"/>
          <w:b/>
          <w:bCs/>
          <w:i w:val="0"/>
          <w:iCs w:val="0"/>
          <w:color w:val="auto"/>
          <w:kern w:val="0"/>
          <w:sz w:val="24"/>
          <w:szCs w:val="24"/>
          <w:u w:val="none"/>
          <w:lang w:val="en-US" w:eastAsia="zh-CN" w:bidi="ar"/>
        </w:rPr>
        <w:t>托克逊县城市环卫园林一体化管理项目第一包</w:t>
      </w:r>
      <w:r>
        <w:rPr>
          <w:rFonts w:hint="eastAsia" w:ascii="宋体" w:hAnsi="宋体" w:eastAsia="宋体" w:cs="宋体"/>
          <w:b/>
          <w:bCs/>
          <w:i w:val="0"/>
          <w:iCs w:val="0"/>
          <w:color w:val="auto"/>
          <w:kern w:val="0"/>
          <w:sz w:val="24"/>
          <w:szCs w:val="24"/>
          <w:u w:val="none"/>
          <w:lang w:val="en-US" w:eastAsia="zh-CN" w:bidi="ar"/>
        </w:rPr>
        <w:t>服务需求</w:t>
      </w:r>
    </w:p>
    <w:p>
      <w:pPr>
        <w:pageBreakBefore w:val="0"/>
        <w:kinsoku/>
        <w:wordWrap/>
        <w:overflowPunct/>
        <w:topLinePunct w:val="0"/>
        <w:bidi w:val="0"/>
        <w:spacing w:beforeAutospacing="0" w:afterAutospacing="0" w:line="400" w:lineRule="exact"/>
        <w:rPr>
          <w:rFonts w:hint="eastAsia" w:ascii="宋体" w:hAnsi="宋体" w:eastAsia="宋体" w:cs="宋体"/>
          <w:color w:val="auto"/>
          <w:kern w:val="2"/>
          <w:sz w:val="24"/>
          <w:szCs w:val="24"/>
          <w:lang w:val="en-US" w:eastAsia="zh-CN" w:bidi="ar-SA"/>
        </w:rPr>
      </w:pPr>
    </w:p>
    <w:p>
      <w:pPr>
        <w:pStyle w:val="13"/>
        <w:pageBreakBefore w:val="0"/>
        <w:shd w:val="clear" w:color="auto" w:fill="FFFFFF"/>
        <w:wordWrap/>
        <w:overflowPunct/>
        <w:autoSpaceDE w:val="0"/>
        <w:bidi w:val="0"/>
        <w:adjustRightInd w:val="0"/>
        <w:snapToGrid w:val="0"/>
        <w:spacing w:line="460" w:lineRule="exact"/>
        <w:ind w:left="0" w:leftChars="0" w:right="0"/>
        <w:outlineLvl w:val="1"/>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一、项目名称</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托克逊县城市环卫园林一体化管理项目第一包</w:t>
      </w:r>
    </w:p>
    <w:p>
      <w:pPr>
        <w:pStyle w:val="5"/>
        <w:pageBreakBefore w:val="0"/>
        <w:numPr>
          <w:ilvl w:val="0"/>
          <w:numId w:val="0"/>
        </w:numPr>
        <w:shd w:val="clear" w:color="auto" w:fill="FFFFFF"/>
        <w:wordWrap/>
        <w:overflowPunct/>
        <w:bidi w:val="0"/>
        <w:adjustRightInd w:val="0"/>
        <w:snapToGrid w:val="0"/>
        <w:spacing w:before="0" w:after="0" w:line="460" w:lineRule="exact"/>
        <w:ind w:left="0" w:leftChars="0" w:right="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w:t>
      </w:r>
      <w:r>
        <w:rPr>
          <w:rFonts w:hint="eastAsia" w:ascii="宋体" w:hAnsi="宋体" w:eastAsia="宋体" w:cs="宋体"/>
          <w:b/>
          <w:bCs/>
          <w:color w:val="auto"/>
          <w:sz w:val="24"/>
          <w:szCs w:val="24"/>
          <w:highlight w:val="none"/>
          <w:lang w:val="en-US" w:eastAsia="zh-CN"/>
        </w:rPr>
        <w:t>项目基本情况及</w:t>
      </w:r>
      <w:r>
        <w:rPr>
          <w:rFonts w:hint="eastAsia" w:ascii="宋体" w:hAnsi="宋体" w:eastAsia="宋体" w:cs="宋体"/>
          <w:b/>
          <w:bCs/>
          <w:color w:val="auto"/>
          <w:sz w:val="24"/>
          <w:szCs w:val="24"/>
          <w:highlight w:val="none"/>
        </w:rPr>
        <w:t>服务范围</w:t>
      </w:r>
    </w:p>
    <w:p>
      <w:pPr>
        <w:pStyle w:val="13"/>
        <w:pageBreakBefore w:val="0"/>
        <w:shd w:val="clear" w:color="auto" w:fill="FFFFFF"/>
        <w:wordWrap/>
        <w:overflowPunct/>
        <w:autoSpaceDE w:val="0"/>
        <w:bidi w:val="0"/>
        <w:adjustRightInd w:val="0"/>
        <w:snapToGrid w:val="0"/>
        <w:spacing w:line="460" w:lineRule="exact"/>
        <w:ind w:left="0" w:leftChars="0" w:right="0" w:firstLine="482"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项目基本情况：</w:t>
      </w:r>
      <w:r>
        <w:rPr>
          <w:rFonts w:hint="eastAsia" w:ascii="宋体" w:hAnsi="宋体" w:eastAsia="宋体" w:cs="宋体"/>
          <w:color w:val="auto"/>
          <w:kern w:val="2"/>
          <w:sz w:val="24"/>
          <w:szCs w:val="24"/>
          <w:highlight w:val="none"/>
          <w:lang w:val="en-US" w:eastAsia="zh-CN" w:bidi="ar-SA"/>
        </w:rPr>
        <w:t>本项目包括园林绿化养护和环卫清扫保洁</w:t>
      </w:r>
      <w:r>
        <w:rPr>
          <w:rFonts w:hint="eastAsia" w:ascii="宋体" w:hAnsi="宋体" w:cs="宋体"/>
          <w:color w:val="auto"/>
          <w:kern w:val="2"/>
          <w:sz w:val="24"/>
          <w:szCs w:val="24"/>
          <w:highlight w:val="none"/>
          <w:lang w:val="en-US" w:eastAsia="zh-CN" w:bidi="ar-SA"/>
        </w:rPr>
        <w:t>，总面积3409530平方米。其中：</w:t>
      </w:r>
      <w:r>
        <w:rPr>
          <w:rFonts w:hint="eastAsia" w:ascii="宋体" w:hAnsi="宋体" w:eastAsia="宋体" w:cs="宋体"/>
          <w:color w:val="auto"/>
          <w:kern w:val="2"/>
          <w:sz w:val="24"/>
          <w:szCs w:val="24"/>
          <w:highlight w:val="none"/>
          <w:lang w:val="en-US" w:eastAsia="zh-CN" w:bidi="ar-SA"/>
        </w:rPr>
        <w:t>绿化养护面积为</w:t>
      </w:r>
      <w:r>
        <w:rPr>
          <w:rFonts w:hint="eastAsia" w:ascii="宋体" w:hAnsi="宋体" w:cs="宋体"/>
          <w:color w:val="auto"/>
          <w:kern w:val="2"/>
          <w:sz w:val="24"/>
          <w:szCs w:val="24"/>
          <w:highlight w:val="none"/>
          <w:lang w:val="en-US" w:eastAsia="zh-CN" w:bidi="ar-SA"/>
        </w:rPr>
        <w:t>2153697平方米（</w:t>
      </w:r>
      <w:r>
        <w:rPr>
          <w:rFonts w:hint="eastAsia" w:ascii="宋体" w:hAnsi="宋体" w:eastAsia="宋体" w:cs="宋体"/>
          <w:color w:val="auto"/>
          <w:kern w:val="2"/>
          <w:sz w:val="24"/>
          <w:szCs w:val="24"/>
          <w:highlight w:val="none"/>
          <w:lang w:val="en-US" w:eastAsia="zh-CN" w:bidi="ar-SA"/>
        </w:rPr>
        <w:t>一级(主要道路)面积</w:t>
      </w:r>
      <w:r>
        <w:rPr>
          <w:rFonts w:hint="eastAsia" w:ascii="宋体" w:hAnsi="宋体" w:cs="宋体"/>
          <w:color w:val="auto"/>
          <w:kern w:val="2"/>
          <w:sz w:val="24"/>
          <w:szCs w:val="24"/>
          <w:highlight w:val="none"/>
          <w:lang w:val="en-US" w:eastAsia="zh-CN" w:bidi="ar-SA"/>
        </w:rPr>
        <w:t>96402</w:t>
      </w:r>
      <w:r>
        <w:rPr>
          <w:rFonts w:hint="eastAsia" w:ascii="宋体" w:hAnsi="宋体" w:eastAsia="宋体" w:cs="宋体"/>
          <w:color w:val="auto"/>
          <w:kern w:val="2"/>
          <w:sz w:val="24"/>
          <w:szCs w:val="24"/>
          <w:highlight w:val="none"/>
          <w:lang w:val="en-US" w:eastAsia="zh-CN" w:bidi="ar-SA"/>
        </w:rPr>
        <w:t>平方米；二级（公园、街头绿地）面积</w:t>
      </w:r>
      <w:r>
        <w:rPr>
          <w:rFonts w:hint="eastAsia" w:ascii="宋体" w:hAnsi="宋体" w:cs="宋体"/>
          <w:color w:val="auto"/>
          <w:kern w:val="2"/>
          <w:sz w:val="24"/>
          <w:szCs w:val="24"/>
          <w:highlight w:val="none"/>
          <w:lang w:val="en-US" w:eastAsia="zh-CN" w:bidi="ar-SA"/>
        </w:rPr>
        <w:t>1200800</w:t>
      </w:r>
      <w:r>
        <w:rPr>
          <w:rFonts w:hint="eastAsia" w:ascii="宋体" w:hAnsi="宋体" w:eastAsia="宋体" w:cs="宋体"/>
          <w:color w:val="auto"/>
          <w:kern w:val="2"/>
          <w:sz w:val="24"/>
          <w:szCs w:val="24"/>
          <w:highlight w:val="none"/>
          <w:lang w:val="en-US" w:eastAsia="zh-CN" w:bidi="ar-SA"/>
        </w:rPr>
        <w:t>平方米；三级面积</w:t>
      </w:r>
      <w:r>
        <w:rPr>
          <w:rFonts w:hint="eastAsia" w:ascii="宋体" w:hAnsi="宋体" w:cs="宋体"/>
          <w:color w:val="auto"/>
          <w:kern w:val="2"/>
          <w:sz w:val="24"/>
          <w:szCs w:val="24"/>
          <w:highlight w:val="none"/>
          <w:lang w:val="en-US" w:eastAsia="zh-CN" w:bidi="ar-SA"/>
        </w:rPr>
        <w:t>856495</w:t>
      </w:r>
      <w:r>
        <w:rPr>
          <w:rFonts w:hint="eastAsia" w:ascii="宋体" w:hAnsi="宋体" w:eastAsia="宋体" w:cs="宋体"/>
          <w:color w:val="auto"/>
          <w:kern w:val="2"/>
          <w:sz w:val="24"/>
          <w:szCs w:val="24"/>
          <w:highlight w:val="none"/>
          <w:lang w:val="en-US" w:eastAsia="zh-CN" w:bidi="ar-SA"/>
        </w:rPr>
        <w:t>平方米</w:t>
      </w:r>
      <w:r>
        <w:rPr>
          <w:rFonts w:hint="eastAsia" w:ascii="宋体" w:hAnsi="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t>清扫保洁面积为</w:t>
      </w:r>
      <w:r>
        <w:rPr>
          <w:rFonts w:hint="eastAsia" w:ascii="宋体" w:hAnsi="宋体" w:cs="宋体"/>
          <w:color w:val="auto"/>
          <w:kern w:val="2"/>
          <w:sz w:val="24"/>
          <w:szCs w:val="24"/>
          <w:highlight w:val="none"/>
          <w:lang w:val="en-US" w:eastAsia="zh-CN" w:bidi="ar-SA"/>
        </w:rPr>
        <w:t>1255833</w:t>
      </w:r>
      <w:r>
        <w:rPr>
          <w:rFonts w:hint="eastAsia" w:ascii="宋体" w:hAnsi="宋体" w:eastAsia="宋体" w:cs="宋体"/>
          <w:color w:val="auto"/>
          <w:kern w:val="2"/>
          <w:sz w:val="24"/>
          <w:szCs w:val="24"/>
          <w:highlight w:val="none"/>
          <w:lang w:val="en-US" w:eastAsia="zh-CN" w:bidi="ar-SA"/>
        </w:rPr>
        <w:t>平米，共计</w:t>
      </w:r>
      <w:r>
        <w:rPr>
          <w:rFonts w:hint="eastAsia" w:ascii="宋体" w:hAnsi="宋体" w:cs="宋体"/>
          <w:color w:val="auto"/>
          <w:kern w:val="2"/>
          <w:sz w:val="24"/>
          <w:szCs w:val="24"/>
          <w:highlight w:val="none"/>
          <w:lang w:val="en-US" w:eastAsia="zh-CN" w:bidi="ar-SA"/>
        </w:rPr>
        <w:t>42</w:t>
      </w:r>
      <w:r>
        <w:rPr>
          <w:rFonts w:hint="eastAsia" w:ascii="宋体" w:hAnsi="宋体" w:eastAsia="宋体" w:cs="宋体"/>
          <w:color w:val="auto"/>
          <w:kern w:val="2"/>
          <w:sz w:val="24"/>
          <w:szCs w:val="24"/>
          <w:highlight w:val="none"/>
          <w:lang w:val="en-US" w:eastAsia="zh-CN" w:bidi="ar-SA"/>
        </w:rPr>
        <w:t>条道路，公共厕所</w:t>
      </w:r>
      <w:r>
        <w:rPr>
          <w:rFonts w:hint="eastAsia" w:ascii="宋体" w:hAnsi="宋体"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en-US" w:eastAsia="zh-CN" w:bidi="ar-SA"/>
        </w:rPr>
        <w:t>6座</w:t>
      </w:r>
      <w:r>
        <w:rPr>
          <w:rFonts w:hint="eastAsia" w:ascii="宋体" w:hAnsi="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t>一级面积287198平方米；三级面积968635平方米</w:t>
      </w:r>
      <w:r>
        <w:rPr>
          <w:rFonts w:hint="eastAsia" w:ascii="宋体" w:hAnsi="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t>。</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服务范围：</w:t>
      </w:r>
    </w:p>
    <w:p>
      <w:pPr>
        <w:pStyle w:val="13"/>
        <w:pageBreakBefore w:val="0"/>
        <w:numPr>
          <w:ilvl w:val="0"/>
          <w:numId w:val="0"/>
        </w:numPr>
        <w:shd w:val="clear" w:color="auto" w:fill="FFFFFF"/>
        <w:wordWrap/>
        <w:overflowPunct/>
        <w:autoSpaceDE w:val="0"/>
        <w:bidi w:val="0"/>
        <w:adjustRightInd w:val="0"/>
        <w:snapToGrid w:val="0"/>
        <w:spacing w:line="460" w:lineRule="exact"/>
        <w:ind w:left="0" w:leftChars="0" w:right="0"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en-US" w:eastAsia="zh-CN" w:bidi="ar-SA"/>
        </w:rPr>
        <w:t>道路清扫保洁</w:t>
      </w:r>
    </w:p>
    <w:p>
      <w:pPr>
        <w:pStyle w:val="13"/>
        <w:pageBreakBefore w:val="0"/>
        <w:shd w:val="clear" w:color="auto" w:fill="FFFFFF"/>
        <w:wordWrap/>
        <w:overflowPunct/>
        <w:autoSpaceDE w:val="0"/>
        <w:bidi w:val="0"/>
        <w:adjustRightInd w:val="0"/>
        <w:snapToGrid w:val="0"/>
        <w:spacing w:line="460" w:lineRule="exact"/>
        <w:ind w:left="0" w:leftChars="0" w:right="0"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2.生活垃圾收运及处置</w:t>
      </w:r>
    </w:p>
    <w:p>
      <w:pPr>
        <w:pStyle w:val="13"/>
        <w:pageBreakBefore w:val="0"/>
        <w:shd w:val="clear" w:color="auto" w:fill="FFFFFF"/>
        <w:wordWrap/>
        <w:overflowPunct/>
        <w:autoSpaceDE w:val="0"/>
        <w:bidi w:val="0"/>
        <w:adjustRightInd w:val="0"/>
        <w:snapToGrid w:val="0"/>
        <w:spacing w:line="460" w:lineRule="exact"/>
        <w:ind w:left="0" w:leftChars="0" w:right="0"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3.园林绿化养护</w:t>
      </w:r>
    </w:p>
    <w:p>
      <w:pPr>
        <w:pStyle w:val="5"/>
        <w:pageBreakBefore w:val="0"/>
        <w:numPr>
          <w:ilvl w:val="0"/>
          <w:numId w:val="0"/>
        </w:numPr>
        <w:shd w:val="clear" w:color="auto" w:fill="FFFFFF"/>
        <w:wordWrap/>
        <w:overflowPunct/>
        <w:bidi w:val="0"/>
        <w:adjustRightInd w:val="0"/>
        <w:snapToGrid w:val="0"/>
        <w:spacing w:before="0" w:after="0" w:line="460" w:lineRule="exact"/>
        <w:ind w:left="0" w:leftChars="0" w:right="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三、服务内容</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1.1清扫保洁</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（1.1.1）市政公共道路的清扫、保洁；</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（1.1.2）机械洗扫、清洗、洒水降尘；</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（1.1.3）辖区路灯杆、护栏、桥栏、废物箱、垃圾箱、公交站台、宣传牌等公共设施的擦洗；</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（1.1.4）机动车道、非机动车道、人行道路面等公共区域的积水、抛洒物、泥土等各类废弃物的清理；</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（1.1.5）城市三乱治理，辖区内公共区域的城市非法小广告清理清除；</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（1.1.6）公共区域</w:t>
      </w:r>
      <w:r>
        <w:rPr>
          <w:rFonts w:hint="eastAsia" w:ascii="宋体" w:hAnsi="宋体" w:cs="宋体"/>
          <w:color w:val="auto"/>
          <w:kern w:val="2"/>
          <w:sz w:val="24"/>
          <w:szCs w:val="24"/>
          <w:highlight w:val="none"/>
          <w:lang w:val="en-US" w:eastAsia="zh-CN" w:bidi="ar-SA"/>
        </w:rPr>
        <w:t>果皮</w:t>
      </w:r>
      <w:r>
        <w:rPr>
          <w:rFonts w:hint="eastAsia" w:ascii="宋体" w:hAnsi="宋体" w:eastAsia="宋体" w:cs="宋体"/>
          <w:color w:val="auto"/>
          <w:kern w:val="2"/>
          <w:sz w:val="24"/>
          <w:szCs w:val="24"/>
          <w:highlight w:val="none"/>
          <w:lang w:val="en-US" w:eastAsia="zh-CN" w:bidi="ar-SA"/>
        </w:rPr>
        <w:t>箱清掏</w:t>
      </w:r>
      <w:r>
        <w:rPr>
          <w:rFonts w:hint="eastAsia" w:ascii="宋体" w:hAnsi="宋体" w:cs="宋体"/>
          <w:color w:val="auto"/>
          <w:kern w:val="2"/>
          <w:sz w:val="24"/>
          <w:szCs w:val="24"/>
          <w:highlight w:val="none"/>
          <w:lang w:val="en-US" w:eastAsia="zh-CN" w:bidi="ar-SA"/>
        </w:rPr>
        <w:t>及</w:t>
      </w:r>
      <w:r>
        <w:rPr>
          <w:rFonts w:hint="eastAsia" w:ascii="宋体" w:hAnsi="宋体" w:eastAsia="宋体" w:cs="宋体"/>
          <w:color w:val="auto"/>
          <w:kern w:val="2"/>
          <w:sz w:val="24"/>
          <w:szCs w:val="24"/>
          <w:highlight w:val="none"/>
          <w:lang w:val="en-US" w:eastAsia="zh-CN" w:bidi="ar-SA"/>
        </w:rPr>
        <w:t>垃圾清运处置；突发事件时环境卫生应急保障等工作</w:t>
      </w:r>
      <w:r>
        <w:rPr>
          <w:rFonts w:hint="eastAsia" w:ascii="宋体" w:hAnsi="宋体" w:cs="宋体"/>
          <w:color w:val="auto"/>
          <w:kern w:val="2"/>
          <w:sz w:val="24"/>
          <w:szCs w:val="24"/>
          <w:highlight w:val="none"/>
          <w:lang w:val="en-US" w:eastAsia="zh-CN" w:bidi="ar-SA"/>
        </w:rPr>
        <w:t>；</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（1.1.7）辖区内公共卫生间的日常保洁和维护管理</w:t>
      </w:r>
      <w:r>
        <w:rPr>
          <w:rFonts w:hint="eastAsia" w:ascii="宋体" w:hAnsi="宋体" w:cs="宋体"/>
          <w:color w:val="auto"/>
          <w:kern w:val="2"/>
          <w:sz w:val="24"/>
          <w:szCs w:val="24"/>
          <w:highlight w:val="none"/>
          <w:lang w:val="en-US" w:eastAsia="zh-CN" w:bidi="ar-SA"/>
        </w:rPr>
        <w:t>。</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（1.1.8）一级保洁区域和公共卫生间数量会按照县内发展情况增加，但费用不再增加，按合同内金额执行。</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1.2生活垃圾收运</w:t>
      </w:r>
      <w:r>
        <w:rPr>
          <w:rFonts w:hint="eastAsia" w:ascii="宋体" w:hAnsi="宋体" w:cs="宋体"/>
          <w:color w:val="auto"/>
          <w:kern w:val="2"/>
          <w:sz w:val="24"/>
          <w:szCs w:val="24"/>
          <w:highlight w:val="none"/>
          <w:lang w:val="en-US" w:eastAsia="zh-CN" w:bidi="ar-SA"/>
        </w:rPr>
        <w:t>及处置</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托克逊县建成区</w:t>
      </w:r>
      <w:r>
        <w:rPr>
          <w:rFonts w:hint="eastAsia" w:ascii="宋体" w:hAnsi="宋体" w:eastAsia="宋体" w:cs="宋体"/>
          <w:color w:val="auto"/>
          <w:kern w:val="2"/>
          <w:sz w:val="24"/>
          <w:szCs w:val="24"/>
          <w:highlight w:val="none"/>
          <w:lang w:val="en-US" w:eastAsia="zh-CN" w:bidi="ar-SA"/>
        </w:rPr>
        <w:t>生活垃圾</w:t>
      </w:r>
      <w:r>
        <w:rPr>
          <w:rFonts w:hint="eastAsia" w:ascii="宋体" w:hAnsi="宋体" w:cs="宋体"/>
          <w:color w:val="auto"/>
          <w:kern w:val="2"/>
          <w:sz w:val="24"/>
          <w:szCs w:val="24"/>
          <w:highlight w:val="none"/>
          <w:lang w:val="en-US" w:eastAsia="zh-CN" w:bidi="ar-SA"/>
        </w:rPr>
        <w:t>收运及处置</w:t>
      </w:r>
      <w:r>
        <w:rPr>
          <w:rFonts w:hint="eastAsia" w:ascii="宋体" w:hAnsi="宋体" w:eastAsia="宋体" w:cs="宋体"/>
          <w:color w:val="auto"/>
          <w:kern w:val="2"/>
          <w:sz w:val="24"/>
          <w:szCs w:val="24"/>
          <w:highlight w:val="none"/>
          <w:lang w:val="en-US" w:eastAsia="zh-CN" w:bidi="ar-SA"/>
        </w:rPr>
        <w:t>。作业内容主要包括：</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（1.2.1）生活垃圾的收集、运输</w:t>
      </w:r>
      <w:r>
        <w:rPr>
          <w:rFonts w:hint="eastAsia" w:ascii="宋体" w:hAnsi="宋体" w:cs="宋体"/>
          <w:color w:val="auto"/>
          <w:kern w:val="2"/>
          <w:sz w:val="24"/>
          <w:szCs w:val="24"/>
          <w:highlight w:val="none"/>
          <w:lang w:val="en-US" w:eastAsia="zh-CN" w:bidi="ar-SA"/>
        </w:rPr>
        <w:t>及处置</w:t>
      </w:r>
      <w:r>
        <w:rPr>
          <w:rFonts w:hint="eastAsia" w:ascii="宋体" w:hAnsi="宋体" w:eastAsia="宋体" w:cs="宋体"/>
          <w:color w:val="auto"/>
          <w:kern w:val="2"/>
          <w:sz w:val="24"/>
          <w:szCs w:val="24"/>
          <w:highlight w:val="none"/>
          <w:lang w:val="en-US" w:eastAsia="zh-CN" w:bidi="ar-SA"/>
        </w:rPr>
        <w:t>；</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（1.2.2）生活垃圾收集容器（垃圾桶、垃圾船、果皮箱等）日常管理和消杀除臭；</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（1.2.3）配备足量垃圾收运箱（桶）</w:t>
      </w:r>
      <w:r>
        <w:rPr>
          <w:rFonts w:hint="eastAsia" w:ascii="宋体" w:hAnsi="宋体" w:cs="宋体"/>
          <w:color w:val="auto"/>
          <w:kern w:val="2"/>
          <w:sz w:val="24"/>
          <w:szCs w:val="24"/>
          <w:highlight w:val="none"/>
          <w:lang w:val="en-US" w:eastAsia="zh-CN" w:bidi="ar-SA"/>
        </w:rPr>
        <w:t>（符合垃圾分类标识要求的垃圾桶）</w:t>
      </w:r>
      <w:r>
        <w:rPr>
          <w:rFonts w:hint="eastAsia" w:ascii="宋体" w:hAnsi="宋体" w:eastAsia="宋体" w:cs="宋体"/>
          <w:color w:val="auto"/>
          <w:kern w:val="2"/>
          <w:sz w:val="24"/>
          <w:szCs w:val="24"/>
          <w:highlight w:val="none"/>
          <w:lang w:val="en-US" w:eastAsia="zh-CN" w:bidi="ar-SA"/>
        </w:rPr>
        <w:t>；</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（1.2.4）</w:t>
      </w:r>
      <w:r>
        <w:rPr>
          <w:rFonts w:hint="eastAsia" w:ascii="宋体" w:hAnsi="宋体" w:cs="宋体"/>
          <w:color w:val="auto"/>
          <w:kern w:val="2"/>
          <w:sz w:val="24"/>
          <w:szCs w:val="24"/>
          <w:highlight w:val="none"/>
          <w:lang w:val="en-US" w:eastAsia="zh-CN" w:bidi="ar-SA"/>
        </w:rPr>
        <w:t>每年</w:t>
      </w:r>
      <w:r>
        <w:rPr>
          <w:rFonts w:hint="eastAsia" w:ascii="宋体" w:hAnsi="宋体" w:eastAsia="宋体" w:cs="宋体"/>
          <w:color w:val="auto"/>
          <w:kern w:val="2"/>
          <w:sz w:val="24"/>
          <w:szCs w:val="24"/>
          <w:highlight w:val="none"/>
          <w:lang w:val="en-US" w:eastAsia="zh-CN" w:bidi="ar-SA"/>
        </w:rPr>
        <w:t>配备不少于</w:t>
      </w:r>
      <w:r>
        <w:rPr>
          <w:rFonts w:hint="eastAsia" w:ascii="宋体" w:hAnsi="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00个</w:t>
      </w:r>
      <w:r>
        <w:rPr>
          <w:rFonts w:hint="eastAsia" w:ascii="宋体" w:hAnsi="宋体" w:cs="宋体"/>
          <w:color w:val="auto"/>
          <w:kern w:val="2"/>
          <w:sz w:val="24"/>
          <w:szCs w:val="24"/>
          <w:highlight w:val="none"/>
          <w:lang w:val="en-US" w:eastAsia="zh-CN" w:bidi="ar-SA"/>
        </w:rPr>
        <w:t>660L型号的城市生活垃圾</w:t>
      </w:r>
      <w:r>
        <w:rPr>
          <w:rFonts w:hint="eastAsia" w:ascii="宋体" w:hAnsi="宋体" w:eastAsia="宋体" w:cs="宋体"/>
          <w:color w:val="auto"/>
          <w:kern w:val="2"/>
          <w:sz w:val="24"/>
          <w:szCs w:val="24"/>
          <w:highlight w:val="none"/>
          <w:lang w:val="en-US" w:eastAsia="zh-CN" w:bidi="ar-SA"/>
        </w:rPr>
        <w:t>分类垃圾箱</w:t>
      </w:r>
      <w:r>
        <w:rPr>
          <w:rFonts w:hint="eastAsia" w:ascii="宋体" w:hAnsi="宋体" w:cs="宋体"/>
          <w:color w:val="auto"/>
          <w:kern w:val="2"/>
          <w:sz w:val="24"/>
          <w:szCs w:val="24"/>
          <w:highlight w:val="none"/>
          <w:lang w:val="en-US" w:eastAsia="zh-CN" w:bidi="ar-SA"/>
        </w:rPr>
        <w:t>（符合垃圾分类标识要求的垃圾箱）</w:t>
      </w:r>
      <w:r>
        <w:rPr>
          <w:rFonts w:hint="eastAsia" w:ascii="宋体" w:hAnsi="宋体" w:eastAsia="宋体" w:cs="宋体"/>
          <w:color w:val="auto"/>
          <w:kern w:val="2"/>
          <w:sz w:val="24"/>
          <w:szCs w:val="24"/>
          <w:highlight w:val="none"/>
          <w:lang w:val="en-US" w:eastAsia="zh-CN" w:bidi="ar-SA"/>
        </w:rPr>
        <w:t>；</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（1.2.5）公共设施设备</w:t>
      </w:r>
      <w:r>
        <w:rPr>
          <w:rFonts w:hint="eastAsia" w:ascii="宋体" w:hAnsi="宋体" w:cs="宋体"/>
          <w:color w:val="auto"/>
          <w:kern w:val="2"/>
          <w:sz w:val="24"/>
          <w:szCs w:val="24"/>
          <w:highlight w:val="none"/>
          <w:lang w:val="en-US" w:eastAsia="zh-CN" w:bidi="ar-SA"/>
        </w:rPr>
        <w:t>更新与</w:t>
      </w:r>
      <w:r>
        <w:rPr>
          <w:rFonts w:hint="eastAsia" w:ascii="宋体" w:hAnsi="宋体" w:eastAsia="宋体" w:cs="宋体"/>
          <w:color w:val="auto"/>
          <w:kern w:val="2"/>
          <w:sz w:val="24"/>
          <w:szCs w:val="24"/>
          <w:highlight w:val="none"/>
          <w:lang w:val="en-US" w:eastAsia="zh-CN" w:bidi="ar-SA"/>
        </w:rPr>
        <w:t>维护</w:t>
      </w:r>
      <w:r>
        <w:rPr>
          <w:rFonts w:hint="eastAsia" w:ascii="宋体" w:hAnsi="宋体" w:cs="宋体"/>
          <w:color w:val="auto"/>
          <w:kern w:val="2"/>
          <w:sz w:val="24"/>
          <w:szCs w:val="24"/>
          <w:highlight w:val="none"/>
          <w:lang w:val="en-US" w:eastAsia="zh-CN" w:bidi="ar-SA"/>
        </w:rPr>
        <w:t>；</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（1.2.</w:t>
      </w:r>
      <w:r>
        <w:rPr>
          <w:rFonts w:hint="eastAsia" w:ascii="宋体" w:hAnsi="宋体" w:cs="宋体"/>
          <w:color w:val="auto"/>
          <w:kern w:val="2"/>
          <w:sz w:val="24"/>
          <w:szCs w:val="24"/>
          <w:highlight w:val="none"/>
          <w:lang w:val="en-US" w:eastAsia="zh-CN" w:bidi="ar-SA"/>
        </w:rPr>
        <w:t>6</w:t>
      </w:r>
      <w:r>
        <w:rPr>
          <w:rFonts w:hint="eastAsia" w:ascii="宋体" w:hAnsi="宋体" w:eastAsia="宋体" w:cs="宋体"/>
          <w:color w:val="auto"/>
          <w:kern w:val="2"/>
          <w:sz w:val="24"/>
          <w:szCs w:val="24"/>
          <w:highlight w:val="none"/>
          <w:lang w:val="en-US" w:eastAsia="zh-CN" w:bidi="ar-SA"/>
        </w:rPr>
        <w:t>）</w:t>
      </w:r>
      <w:r>
        <w:rPr>
          <w:rFonts w:hint="eastAsia" w:ascii="宋体" w:hAnsi="宋体" w:cs="宋体"/>
          <w:color w:val="auto"/>
          <w:kern w:val="2"/>
          <w:sz w:val="24"/>
          <w:szCs w:val="24"/>
          <w:highlight w:val="none"/>
          <w:lang w:val="en-US" w:eastAsia="zh-CN" w:bidi="ar-SA"/>
        </w:rPr>
        <w:t>垃圾填埋场运行及</w:t>
      </w:r>
      <w:r>
        <w:rPr>
          <w:rFonts w:hint="eastAsia" w:ascii="宋体" w:hAnsi="宋体" w:eastAsia="宋体" w:cs="宋体"/>
          <w:color w:val="auto"/>
          <w:kern w:val="2"/>
          <w:sz w:val="24"/>
          <w:szCs w:val="24"/>
          <w:highlight w:val="none"/>
          <w:lang w:val="en-US" w:eastAsia="zh-CN" w:bidi="ar-SA"/>
        </w:rPr>
        <w:t>维护</w:t>
      </w:r>
      <w:r>
        <w:rPr>
          <w:rFonts w:hint="eastAsia" w:ascii="宋体" w:hAnsi="宋体" w:cs="宋体"/>
          <w:color w:val="auto"/>
          <w:kern w:val="2"/>
          <w:sz w:val="24"/>
          <w:szCs w:val="24"/>
          <w:highlight w:val="none"/>
          <w:lang w:val="en-US" w:eastAsia="zh-CN" w:bidi="ar-SA"/>
        </w:rPr>
        <w:t>。</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1.3园林绿化养护</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（1.3.1）</w:t>
      </w:r>
      <w:r>
        <w:rPr>
          <w:rFonts w:hint="eastAsia" w:ascii="宋体" w:hAnsi="宋体" w:eastAsia="宋体" w:cs="宋体"/>
          <w:color w:val="auto"/>
          <w:kern w:val="2"/>
          <w:sz w:val="24"/>
          <w:szCs w:val="24"/>
          <w:highlight w:val="none"/>
          <w:lang w:val="en-US" w:eastAsia="zh-CN" w:bidi="ar-SA"/>
        </w:rPr>
        <w:t xml:space="preserve">包括养护范围内各类乔灌木、绿篱、草坪、花卉、地被植物等的灌溉、施肥、修剪、防治病虫害、树木刷白、松土除草、抹芽、树木扶正、缺株补植补种，绿地保洁和垃圾清运、绿化管网设施的维护和维修、绿地保护、绿地养护项目管理等工作。 </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（1.3.2）</w:t>
      </w:r>
      <w:r>
        <w:rPr>
          <w:rFonts w:hint="eastAsia" w:ascii="宋体" w:hAnsi="宋体" w:eastAsia="宋体" w:cs="宋体"/>
          <w:color w:val="auto"/>
          <w:kern w:val="2"/>
          <w:sz w:val="24"/>
          <w:szCs w:val="24"/>
          <w:highlight w:val="none"/>
          <w:lang w:val="en-US" w:eastAsia="zh-CN" w:bidi="ar-SA"/>
        </w:rPr>
        <w:t xml:space="preserve">公园、游园、广场铺装、护栏、支撑架和护网、园路、桌椅、灯、井盖和标识标牌、安防设施等附属设施维护。     </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b/>
          <w:bCs/>
          <w:color w:val="auto"/>
          <w:sz w:val="24"/>
          <w:szCs w:val="24"/>
          <w:highlight w:val="none"/>
        </w:rPr>
      </w:pPr>
      <w:r>
        <w:rPr>
          <w:rFonts w:hint="eastAsia" w:ascii="宋体" w:hAnsi="宋体" w:cs="宋体"/>
          <w:color w:val="auto"/>
          <w:kern w:val="2"/>
          <w:sz w:val="24"/>
          <w:szCs w:val="24"/>
          <w:highlight w:val="none"/>
          <w:lang w:val="en-US" w:eastAsia="zh-CN" w:bidi="ar-SA"/>
        </w:rPr>
        <w:t>（1.3.3）</w:t>
      </w:r>
      <w:r>
        <w:rPr>
          <w:rFonts w:hint="eastAsia" w:ascii="宋体" w:hAnsi="宋体" w:eastAsia="宋体" w:cs="宋体"/>
          <w:color w:val="auto"/>
          <w:kern w:val="2"/>
          <w:sz w:val="24"/>
          <w:szCs w:val="24"/>
          <w:highlight w:val="none"/>
          <w:lang w:val="en-US" w:eastAsia="zh-CN" w:bidi="ar-SA"/>
        </w:rPr>
        <w:t>积极完成上级部门临时安排各项任务，如突发应急事件或大型检查、重要活动、节日保障、街头摆花等服务产生的费用均包含在本次服务费内，不单独列支。</w:t>
      </w:r>
    </w:p>
    <w:p>
      <w:pPr>
        <w:pStyle w:val="5"/>
        <w:pageBreakBefore w:val="0"/>
        <w:numPr>
          <w:ilvl w:val="0"/>
          <w:numId w:val="0"/>
        </w:numPr>
        <w:shd w:val="clear" w:color="auto" w:fill="FFFFFF"/>
        <w:wordWrap/>
        <w:overflowPunct/>
        <w:bidi w:val="0"/>
        <w:adjustRightInd w:val="0"/>
        <w:snapToGrid w:val="0"/>
        <w:spacing w:before="0" w:after="0" w:line="460" w:lineRule="exact"/>
        <w:ind w:left="0" w:leftChars="0" w:right="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四、服务要求及标准</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（一）环卫作业要求</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1、道路清扫保洁作业要求：</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人工普扫频次：每日不少于1次；洒水降尘：每天洒水不少于</w:t>
      </w:r>
      <w:r>
        <w:rPr>
          <w:rFonts w:hint="eastAsia" w:ascii="宋体" w:hAnsi="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次，洒水时间按照道路交通实际情况实行错峰洒水（雨雪天及低温天气除外）（重点区域及道路按照道路基本无扬尘的标准，</w:t>
      </w:r>
      <w:r>
        <w:rPr>
          <w:rFonts w:hint="eastAsia" w:ascii="宋体" w:hAnsi="宋体" w:cs="宋体"/>
          <w:color w:val="auto"/>
          <w:kern w:val="2"/>
          <w:sz w:val="24"/>
          <w:szCs w:val="24"/>
          <w:highlight w:val="none"/>
          <w:lang w:val="en-US" w:eastAsia="zh-CN" w:bidi="ar-SA"/>
        </w:rPr>
        <w:t>如遇空气质量应急响应期间</w:t>
      </w:r>
      <w:r>
        <w:rPr>
          <w:rFonts w:hint="eastAsia" w:ascii="宋体" w:hAnsi="宋体" w:eastAsia="宋体" w:cs="宋体"/>
          <w:color w:val="auto"/>
          <w:kern w:val="2"/>
          <w:sz w:val="24"/>
          <w:szCs w:val="24"/>
          <w:highlight w:val="none"/>
          <w:lang w:val="en-US" w:eastAsia="zh-CN" w:bidi="ar-SA"/>
        </w:rPr>
        <w:t>洒水降尘次数按</w:t>
      </w:r>
      <w:r>
        <w:rPr>
          <w:rFonts w:hint="eastAsia" w:ascii="宋体" w:hAnsi="宋体" w:cs="宋体"/>
          <w:color w:val="auto"/>
          <w:kern w:val="2"/>
          <w:sz w:val="24"/>
          <w:szCs w:val="24"/>
          <w:highlight w:val="none"/>
          <w:lang w:val="en-US" w:eastAsia="zh-CN" w:bidi="ar-SA"/>
        </w:rPr>
        <w:t>要求</w:t>
      </w:r>
      <w:r>
        <w:rPr>
          <w:rFonts w:hint="eastAsia" w:ascii="宋体" w:hAnsi="宋体" w:eastAsia="宋体" w:cs="宋体"/>
          <w:color w:val="auto"/>
          <w:kern w:val="2"/>
          <w:sz w:val="24"/>
          <w:szCs w:val="24"/>
          <w:highlight w:val="none"/>
          <w:lang w:val="en-US" w:eastAsia="zh-CN" w:bidi="ar-SA"/>
        </w:rPr>
        <w:t>增加）；机械化作业率：达到</w:t>
      </w:r>
      <w:r>
        <w:rPr>
          <w:rFonts w:hint="eastAsia" w:ascii="宋体" w:hAnsi="宋体" w:cs="宋体"/>
          <w:color w:val="auto"/>
          <w:kern w:val="2"/>
          <w:sz w:val="24"/>
          <w:szCs w:val="24"/>
          <w:highlight w:val="none"/>
          <w:lang w:val="en-US" w:eastAsia="zh-CN" w:bidi="ar-SA"/>
        </w:rPr>
        <w:t>90</w:t>
      </w:r>
      <w:r>
        <w:rPr>
          <w:rFonts w:hint="eastAsia" w:ascii="宋体" w:hAnsi="宋体" w:eastAsia="宋体" w:cs="宋体"/>
          <w:color w:val="auto"/>
          <w:kern w:val="2"/>
          <w:sz w:val="24"/>
          <w:szCs w:val="24"/>
          <w:highlight w:val="none"/>
          <w:lang w:val="en-US" w:eastAsia="zh-CN" w:bidi="ar-SA"/>
        </w:rPr>
        <w:t>%以上；洗扫：每</w:t>
      </w:r>
      <w:r>
        <w:rPr>
          <w:rFonts w:hint="eastAsia" w:ascii="宋体" w:hAnsi="宋体" w:cs="宋体"/>
          <w:color w:val="auto"/>
          <w:kern w:val="2"/>
          <w:sz w:val="24"/>
          <w:szCs w:val="24"/>
          <w:highlight w:val="none"/>
          <w:lang w:val="en-US" w:eastAsia="zh-CN" w:bidi="ar-SA"/>
        </w:rPr>
        <w:t>天</w:t>
      </w:r>
      <w:r>
        <w:rPr>
          <w:rFonts w:hint="eastAsia" w:ascii="宋体" w:hAnsi="宋体" w:eastAsia="宋体" w:cs="宋体"/>
          <w:color w:val="auto"/>
          <w:kern w:val="2"/>
          <w:sz w:val="24"/>
          <w:szCs w:val="24"/>
          <w:highlight w:val="none"/>
          <w:lang w:val="en-US" w:eastAsia="zh-CN" w:bidi="ar-SA"/>
        </w:rPr>
        <w:t>至少洗扫1次，如有油污污染，随时清洗。保证整体环境舒适、车行道净、人行道净、无砂石、土、无跳扫漏扫、无烟头纸屑，明沟畅通无沉积物。清扫产生的砂石、土不得扫入下水道或倒入绿化带及沿路边。</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2、生活垃圾收集运输作业标准：</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每日</w:t>
      </w:r>
      <w:r>
        <w:rPr>
          <w:rFonts w:hint="eastAsia" w:ascii="宋体" w:hAnsi="宋体" w:cs="宋体"/>
          <w:color w:val="auto"/>
          <w:kern w:val="2"/>
          <w:sz w:val="24"/>
          <w:szCs w:val="24"/>
          <w:highlight w:val="none"/>
          <w:lang w:val="en-US" w:eastAsia="zh-CN" w:bidi="ar-SA"/>
        </w:rPr>
        <w:t>至少</w:t>
      </w:r>
      <w:r>
        <w:rPr>
          <w:rFonts w:hint="eastAsia" w:ascii="宋体" w:hAnsi="宋体" w:eastAsia="宋体" w:cs="宋体"/>
          <w:color w:val="auto"/>
          <w:kern w:val="2"/>
          <w:sz w:val="24"/>
          <w:szCs w:val="24"/>
          <w:highlight w:val="none"/>
          <w:lang w:val="en-US" w:eastAsia="zh-CN" w:bidi="ar-SA"/>
        </w:rPr>
        <w:t>收集清运垃圾一次，垃圾收集容器应定位设置，摆放整齐。</w:t>
      </w:r>
      <w:r>
        <w:rPr>
          <w:rFonts w:hint="eastAsia" w:ascii="宋体" w:hAnsi="宋体" w:cs="宋体"/>
          <w:color w:val="auto"/>
          <w:kern w:val="2"/>
          <w:sz w:val="24"/>
          <w:szCs w:val="24"/>
          <w:highlight w:val="none"/>
          <w:lang w:val="en-US" w:eastAsia="zh-CN" w:bidi="ar-SA"/>
        </w:rPr>
        <w:t>垃圾箱房容量不能满足一日一清的，应采取一日多清制。</w:t>
      </w:r>
      <w:r>
        <w:rPr>
          <w:rFonts w:hint="eastAsia" w:ascii="宋体" w:hAnsi="宋体" w:eastAsia="宋体" w:cs="宋体"/>
          <w:color w:val="auto"/>
          <w:kern w:val="2"/>
          <w:sz w:val="24"/>
          <w:szCs w:val="24"/>
          <w:highlight w:val="none"/>
          <w:lang w:val="en-US" w:eastAsia="zh-CN" w:bidi="ar-SA"/>
        </w:rPr>
        <w:t>设置点及周围2</w:t>
      </w:r>
      <w:r>
        <w:rPr>
          <w:rFonts w:hint="eastAsia" w:ascii="宋体" w:hAnsi="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t>3m内应整洁，无散落、存留生活垃圾和污水；生活垃圾收集容器应无残缺、破损，封闭性好，外体干净。构筑物内外墙面不得有明显积灰、污物；生活垃圾的收集，必须用设有明显标志、能防止污染扩散的密封容器；蝇、蚊孳生季节，生活垃圾收集站（点）</w:t>
      </w:r>
      <w:r>
        <w:rPr>
          <w:rFonts w:hint="eastAsia" w:ascii="宋体" w:hAnsi="宋体" w:cs="宋体"/>
          <w:color w:val="auto"/>
          <w:kern w:val="2"/>
          <w:sz w:val="24"/>
          <w:szCs w:val="24"/>
          <w:highlight w:val="none"/>
          <w:lang w:val="en-US" w:eastAsia="zh-CN" w:bidi="ar-SA"/>
        </w:rPr>
        <w:t>及垃圾箱</w:t>
      </w:r>
      <w:r>
        <w:rPr>
          <w:rFonts w:hint="eastAsia" w:ascii="宋体" w:hAnsi="宋体" w:eastAsia="宋体" w:cs="宋体"/>
          <w:color w:val="auto"/>
          <w:kern w:val="2"/>
          <w:sz w:val="24"/>
          <w:szCs w:val="24"/>
          <w:highlight w:val="none"/>
          <w:lang w:val="en-US" w:eastAsia="zh-CN" w:bidi="ar-SA"/>
        </w:rPr>
        <w:t>，应定时喷洒消毒、灭蚊蝇药物；</w:t>
      </w:r>
      <w:r>
        <w:rPr>
          <w:rFonts w:hint="eastAsia" w:ascii="宋体" w:hAnsi="宋体" w:cs="宋体"/>
          <w:color w:val="auto"/>
          <w:kern w:val="2"/>
          <w:sz w:val="24"/>
          <w:szCs w:val="24"/>
          <w:highlight w:val="none"/>
          <w:lang w:val="en-US" w:eastAsia="zh-CN" w:bidi="ar-SA"/>
        </w:rPr>
        <w:t>小区</w:t>
      </w:r>
      <w:r>
        <w:rPr>
          <w:rFonts w:hint="eastAsia" w:ascii="宋体" w:hAnsi="宋体" w:eastAsia="宋体" w:cs="宋体"/>
          <w:color w:val="auto"/>
          <w:kern w:val="2"/>
          <w:sz w:val="24"/>
          <w:szCs w:val="24"/>
          <w:highlight w:val="none"/>
          <w:lang w:val="en-US" w:eastAsia="zh-CN" w:bidi="ar-SA"/>
        </w:rPr>
        <w:t>生活垃圾间</w:t>
      </w:r>
      <w:r>
        <w:rPr>
          <w:rFonts w:hint="eastAsia" w:ascii="宋体" w:hAnsi="宋体" w:cs="宋体"/>
          <w:color w:val="auto"/>
          <w:kern w:val="2"/>
          <w:sz w:val="24"/>
          <w:szCs w:val="24"/>
          <w:highlight w:val="none"/>
          <w:lang w:val="en-US" w:eastAsia="zh-CN" w:bidi="ar-SA"/>
        </w:rPr>
        <w:t>（收集房）</w:t>
      </w:r>
      <w:r>
        <w:rPr>
          <w:rFonts w:hint="eastAsia" w:ascii="宋体" w:hAnsi="宋体" w:eastAsia="宋体" w:cs="宋体"/>
          <w:color w:val="auto"/>
          <w:kern w:val="2"/>
          <w:sz w:val="24"/>
          <w:szCs w:val="24"/>
          <w:highlight w:val="none"/>
          <w:lang w:val="en-US" w:eastAsia="zh-CN" w:bidi="ar-SA"/>
        </w:rPr>
        <w:t>应整洁，无散落生活垃圾和积留污水，无恶臭，基本无蝇；收集作业完成后，应及时清理场地，将可移动式生活垃圾收集容器复位，车走地净。生活垃圾应直接送至指定的处置场；废物箱</w:t>
      </w:r>
      <w:r>
        <w:rPr>
          <w:rFonts w:hint="eastAsia" w:ascii="宋体" w:hAnsi="宋体" w:cs="宋体"/>
          <w:color w:val="auto"/>
          <w:kern w:val="2"/>
          <w:sz w:val="24"/>
          <w:szCs w:val="24"/>
          <w:highlight w:val="none"/>
          <w:lang w:val="en-US" w:eastAsia="zh-CN" w:bidi="ar-SA"/>
        </w:rPr>
        <w:t>、果皮箱</w:t>
      </w:r>
      <w:r>
        <w:rPr>
          <w:rFonts w:hint="eastAsia" w:ascii="宋体" w:hAnsi="宋体" w:eastAsia="宋体" w:cs="宋体"/>
          <w:color w:val="auto"/>
          <w:kern w:val="2"/>
          <w:sz w:val="24"/>
          <w:szCs w:val="24"/>
          <w:highlight w:val="none"/>
          <w:lang w:val="en-US" w:eastAsia="zh-CN" w:bidi="ar-SA"/>
        </w:rPr>
        <w:t>内的垃圾应及时清除、无满溢和散落，并定时清洗箱体。</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3、生活垃圾</w:t>
      </w:r>
      <w:r>
        <w:rPr>
          <w:rFonts w:hint="eastAsia" w:ascii="宋体" w:hAnsi="宋体" w:cs="宋体"/>
          <w:color w:val="auto"/>
          <w:kern w:val="2"/>
          <w:sz w:val="24"/>
          <w:szCs w:val="24"/>
          <w:highlight w:val="none"/>
          <w:lang w:val="en-US" w:eastAsia="zh-CN" w:bidi="ar-SA"/>
        </w:rPr>
        <w:t>无害化处置</w:t>
      </w:r>
      <w:r>
        <w:rPr>
          <w:rFonts w:hint="eastAsia" w:ascii="宋体" w:hAnsi="宋体" w:eastAsia="宋体" w:cs="宋体"/>
          <w:color w:val="auto"/>
          <w:kern w:val="2"/>
          <w:sz w:val="24"/>
          <w:szCs w:val="24"/>
          <w:highlight w:val="none"/>
          <w:lang w:val="en-US" w:eastAsia="zh-CN" w:bidi="ar-SA"/>
        </w:rPr>
        <w:t>作业标准：</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生活垃圾</w:t>
      </w:r>
      <w:r>
        <w:rPr>
          <w:rFonts w:hint="eastAsia" w:ascii="宋体" w:hAnsi="宋体" w:cs="宋体"/>
          <w:color w:val="auto"/>
          <w:kern w:val="2"/>
          <w:sz w:val="24"/>
          <w:szCs w:val="24"/>
          <w:highlight w:val="none"/>
          <w:lang w:val="en-US" w:eastAsia="zh-CN" w:bidi="ar-SA"/>
        </w:rPr>
        <w:t>无害化</w:t>
      </w:r>
      <w:r>
        <w:rPr>
          <w:rFonts w:hint="eastAsia" w:ascii="宋体" w:hAnsi="宋体" w:eastAsia="宋体" w:cs="宋体"/>
          <w:color w:val="auto"/>
          <w:kern w:val="2"/>
          <w:sz w:val="24"/>
          <w:szCs w:val="24"/>
          <w:highlight w:val="none"/>
          <w:lang w:val="en-US" w:eastAsia="zh-CN" w:bidi="ar-SA"/>
        </w:rPr>
        <w:t>填埋场和垃圾填埋作业</w:t>
      </w:r>
      <w:r>
        <w:rPr>
          <w:rFonts w:hint="eastAsia" w:ascii="宋体" w:hAnsi="宋体" w:cs="宋体"/>
          <w:color w:val="auto"/>
          <w:kern w:val="2"/>
          <w:sz w:val="24"/>
          <w:szCs w:val="24"/>
          <w:highlight w:val="none"/>
          <w:lang w:val="en-US" w:eastAsia="zh-CN" w:bidi="ar-SA"/>
        </w:rPr>
        <w:t>应</w:t>
      </w:r>
      <w:r>
        <w:rPr>
          <w:rFonts w:hint="eastAsia" w:ascii="宋体" w:hAnsi="宋体" w:eastAsia="宋体" w:cs="宋体"/>
          <w:color w:val="auto"/>
          <w:kern w:val="2"/>
          <w:sz w:val="24"/>
          <w:szCs w:val="24"/>
          <w:highlight w:val="none"/>
          <w:lang w:val="en-US" w:eastAsia="zh-CN" w:bidi="ar-SA"/>
        </w:rPr>
        <w:t>制定管理制度和作业规范，</w:t>
      </w:r>
      <w:r>
        <w:rPr>
          <w:rFonts w:hint="eastAsia" w:ascii="宋体" w:hAnsi="宋体" w:cs="宋体"/>
          <w:color w:val="auto"/>
          <w:kern w:val="2"/>
          <w:sz w:val="24"/>
          <w:szCs w:val="24"/>
          <w:highlight w:val="none"/>
          <w:lang w:val="en-US" w:eastAsia="zh-CN" w:bidi="ar-SA"/>
        </w:rPr>
        <w:t>严格按照</w:t>
      </w:r>
      <w:r>
        <w:rPr>
          <w:rFonts w:hint="eastAsia" w:ascii="宋体" w:hAnsi="宋体" w:eastAsia="宋体" w:cs="宋体"/>
          <w:color w:val="auto"/>
          <w:kern w:val="2"/>
          <w:sz w:val="24"/>
          <w:szCs w:val="24"/>
          <w:highlight w:val="none"/>
          <w:lang w:val="en-US" w:eastAsia="zh-CN" w:bidi="ar-SA"/>
        </w:rPr>
        <w:t>建设部《城市生活垃圾卫生填埋场运行维护技术规范》和《生活垃圾卫生填埋技术规范》</w:t>
      </w:r>
      <w:r>
        <w:rPr>
          <w:rFonts w:hint="eastAsia" w:ascii="宋体" w:hAnsi="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t>加强日常性和规范化管理。做好</w:t>
      </w:r>
      <w:r>
        <w:rPr>
          <w:rFonts w:hint="eastAsia" w:ascii="宋体" w:hAnsi="宋体" w:cs="宋体"/>
          <w:color w:val="auto"/>
          <w:kern w:val="2"/>
          <w:sz w:val="24"/>
          <w:szCs w:val="24"/>
          <w:highlight w:val="none"/>
          <w:lang w:val="en-US" w:eastAsia="zh-CN" w:bidi="ar-SA"/>
        </w:rPr>
        <w:t>机械化填埋和</w:t>
      </w:r>
      <w:r>
        <w:rPr>
          <w:rFonts w:hint="eastAsia" w:ascii="宋体" w:hAnsi="宋体" w:eastAsia="宋体" w:cs="宋体"/>
          <w:color w:val="auto"/>
          <w:kern w:val="2"/>
          <w:sz w:val="24"/>
          <w:szCs w:val="24"/>
          <w:highlight w:val="none"/>
          <w:lang w:val="en-US" w:eastAsia="zh-CN" w:bidi="ar-SA"/>
        </w:rPr>
        <w:t>日常性清扫保洁，</w:t>
      </w:r>
      <w:r>
        <w:rPr>
          <w:rFonts w:hint="eastAsia" w:ascii="宋体" w:hAnsi="宋体" w:cs="宋体"/>
          <w:color w:val="auto"/>
          <w:kern w:val="2"/>
          <w:sz w:val="24"/>
          <w:szCs w:val="24"/>
          <w:highlight w:val="none"/>
          <w:lang w:val="en-US" w:eastAsia="zh-CN" w:bidi="ar-SA"/>
        </w:rPr>
        <w:t>做好</w:t>
      </w:r>
      <w:r>
        <w:rPr>
          <w:rFonts w:hint="eastAsia" w:ascii="宋体" w:hAnsi="宋体" w:eastAsia="宋体" w:cs="宋体"/>
          <w:color w:val="auto"/>
          <w:kern w:val="2"/>
          <w:sz w:val="24"/>
          <w:szCs w:val="24"/>
          <w:highlight w:val="none"/>
          <w:lang w:val="en-US" w:eastAsia="zh-CN" w:bidi="ar-SA"/>
        </w:rPr>
        <w:t>消毒、消防、灭蚊蝇、灭鼠</w:t>
      </w:r>
      <w:r>
        <w:rPr>
          <w:rFonts w:hint="eastAsia" w:ascii="宋体" w:hAnsi="宋体" w:cs="宋体"/>
          <w:color w:val="auto"/>
          <w:kern w:val="2"/>
          <w:sz w:val="24"/>
          <w:szCs w:val="24"/>
          <w:highlight w:val="none"/>
          <w:lang w:val="en-US" w:eastAsia="zh-CN" w:bidi="ar-SA"/>
        </w:rPr>
        <w:t>等</w:t>
      </w:r>
      <w:r>
        <w:rPr>
          <w:rFonts w:hint="eastAsia" w:ascii="宋体" w:hAnsi="宋体" w:eastAsia="宋体" w:cs="宋体"/>
          <w:color w:val="auto"/>
          <w:kern w:val="2"/>
          <w:sz w:val="24"/>
          <w:szCs w:val="24"/>
          <w:highlight w:val="none"/>
          <w:lang w:val="en-US" w:eastAsia="zh-CN" w:bidi="ar-SA"/>
        </w:rPr>
        <w:t>防护</w:t>
      </w:r>
      <w:r>
        <w:rPr>
          <w:rFonts w:hint="eastAsia" w:ascii="宋体" w:hAnsi="宋体" w:cs="宋体"/>
          <w:color w:val="auto"/>
          <w:kern w:val="2"/>
          <w:sz w:val="24"/>
          <w:szCs w:val="24"/>
          <w:highlight w:val="none"/>
          <w:lang w:val="en-US" w:eastAsia="zh-CN" w:bidi="ar-SA"/>
        </w:rPr>
        <w:t>措施，</w:t>
      </w:r>
      <w:r>
        <w:rPr>
          <w:rFonts w:hint="eastAsia" w:ascii="宋体" w:hAnsi="宋体" w:eastAsia="宋体" w:cs="宋体"/>
          <w:color w:val="auto"/>
          <w:kern w:val="2"/>
          <w:sz w:val="24"/>
          <w:szCs w:val="24"/>
          <w:highlight w:val="none"/>
          <w:lang w:val="en-US" w:eastAsia="zh-CN" w:bidi="ar-SA"/>
        </w:rPr>
        <w:t>并开展</w:t>
      </w:r>
      <w:r>
        <w:rPr>
          <w:rFonts w:hint="eastAsia" w:ascii="宋体" w:hAnsi="宋体" w:cs="宋体"/>
          <w:color w:val="auto"/>
          <w:kern w:val="2"/>
          <w:sz w:val="24"/>
          <w:szCs w:val="24"/>
          <w:highlight w:val="none"/>
          <w:lang w:val="en-US" w:eastAsia="zh-CN" w:bidi="ar-SA"/>
        </w:rPr>
        <w:t>场区</w:t>
      </w:r>
      <w:r>
        <w:rPr>
          <w:rFonts w:hint="eastAsia" w:ascii="宋体" w:hAnsi="宋体" w:eastAsia="宋体" w:cs="宋体"/>
          <w:color w:val="auto"/>
          <w:kern w:val="2"/>
          <w:sz w:val="24"/>
          <w:szCs w:val="24"/>
          <w:highlight w:val="none"/>
          <w:lang w:val="en-US" w:eastAsia="zh-CN" w:bidi="ar-SA"/>
        </w:rPr>
        <w:t>绿化。每日作业完毕后应及时覆盖，以有效控制臭气扩散和蚊蝇孳生。制定紧急应急预案和应急措施</w:t>
      </w:r>
      <w:r>
        <w:rPr>
          <w:rFonts w:hint="eastAsia" w:ascii="宋体" w:hAnsi="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t>做好各种资料的收集</w:t>
      </w:r>
      <w:r>
        <w:rPr>
          <w:rFonts w:hint="eastAsia" w:ascii="宋体" w:hAnsi="宋体" w:cs="宋体"/>
          <w:color w:val="auto"/>
          <w:kern w:val="2"/>
          <w:sz w:val="24"/>
          <w:szCs w:val="24"/>
          <w:highlight w:val="none"/>
          <w:lang w:val="en-US" w:eastAsia="zh-CN" w:bidi="ar-SA"/>
        </w:rPr>
        <w:t>上报</w:t>
      </w:r>
      <w:r>
        <w:rPr>
          <w:rFonts w:hint="eastAsia" w:ascii="宋体" w:hAnsi="宋体" w:eastAsia="宋体" w:cs="宋体"/>
          <w:color w:val="auto"/>
          <w:kern w:val="2"/>
          <w:sz w:val="24"/>
          <w:szCs w:val="24"/>
          <w:highlight w:val="none"/>
          <w:lang w:val="en-US" w:eastAsia="zh-CN" w:bidi="ar-SA"/>
        </w:rPr>
        <w:t>，内容包括生产作业量、设备投放量、垃圾处置措施、</w:t>
      </w:r>
      <w:r>
        <w:rPr>
          <w:rFonts w:hint="eastAsia" w:ascii="宋体" w:hAnsi="宋体" w:cs="宋体"/>
          <w:color w:val="auto"/>
          <w:kern w:val="2"/>
          <w:sz w:val="24"/>
          <w:szCs w:val="24"/>
          <w:highlight w:val="none"/>
          <w:lang w:val="en-US" w:eastAsia="zh-CN" w:bidi="ar-SA"/>
        </w:rPr>
        <w:t>安全生产</w:t>
      </w:r>
      <w:r>
        <w:rPr>
          <w:rFonts w:hint="eastAsia" w:ascii="宋体" w:hAnsi="宋体" w:eastAsia="宋体" w:cs="宋体"/>
          <w:color w:val="auto"/>
          <w:kern w:val="2"/>
          <w:sz w:val="24"/>
          <w:szCs w:val="24"/>
          <w:highlight w:val="none"/>
          <w:lang w:val="en-US" w:eastAsia="zh-CN" w:bidi="ar-SA"/>
        </w:rPr>
        <w:t>等。垃圾场</w:t>
      </w:r>
      <w:r>
        <w:rPr>
          <w:rFonts w:hint="eastAsia" w:ascii="宋体" w:hAnsi="宋体" w:cs="宋体"/>
          <w:color w:val="auto"/>
          <w:kern w:val="2"/>
          <w:sz w:val="24"/>
          <w:szCs w:val="24"/>
          <w:highlight w:val="none"/>
          <w:lang w:val="en-US" w:eastAsia="zh-CN" w:bidi="ar-SA"/>
        </w:rPr>
        <w:t>应按要求</w:t>
      </w:r>
      <w:r>
        <w:rPr>
          <w:rFonts w:hint="eastAsia" w:ascii="宋体" w:hAnsi="宋体" w:eastAsia="宋体" w:cs="宋体"/>
          <w:color w:val="auto"/>
          <w:kern w:val="2"/>
          <w:sz w:val="24"/>
          <w:szCs w:val="24"/>
          <w:highlight w:val="none"/>
          <w:lang w:val="en-US" w:eastAsia="zh-CN" w:bidi="ar-SA"/>
        </w:rPr>
        <w:t>进行</w:t>
      </w:r>
      <w:r>
        <w:rPr>
          <w:rFonts w:hint="eastAsia" w:ascii="宋体" w:hAnsi="宋体" w:cs="宋体"/>
          <w:color w:val="auto"/>
          <w:kern w:val="2"/>
          <w:sz w:val="24"/>
          <w:szCs w:val="24"/>
          <w:highlight w:val="none"/>
          <w:lang w:val="en-US" w:eastAsia="zh-CN" w:bidi="ar-SA"/>
        </w:rPr>
        <w:t>渗滤液处理和</w:t>
      </w:r>
      <w:r>
        <w:rPr>
          <w:rFonts w:hint="eastAsia" w:ascii="宋体" w:hAnsi="宋体" w:eastAsia="宋体" w:cs="宋体"/>
          <w:color w:val="auto"/>
          <w:kern w:val="2"/>
          <w:sz w:val="24"/>
          <w:szCs w:val="24"/>
          <w:highlight w:val="none"/>
          <w:lang w:val="en-US" w:eastAsia="zh-CN" w:bidi="ar-SA"/>
        </w:rPr>
        <w:t>环境质量检测评价，有完整的年度垃圾处理卫生监测评价资料，并提出改善环境质量的对策。</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4、其他要求：</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eastAsia="宋体"/>
          <w:b w:val="0"/>
          <w:bCs/>
          <w:color w:val="auto"/>
          <w:sz w:val="24"/>
          <w:highlight w:val="none"/>
        </w:rPr>
        <w:t>保证各种重要活动及节假日环境卫生保障</w:t>
      </w:r>
      <w:r>
        <w:rPr>
          <w:rFonts w:hint="eastAsia" w:ascii="宋体" w:eastAsia="宋体"/>
          <w:b w:val="0"/>
          <w:bCs/>
          <w:color w:val="auto"/>
          <w:sz w:val="24"/>
          <w:highlight w:val="none"/>
          <w:lang w:eastAsia="zh-CN"/>
        </w:rPr>
        <w:t>，</w:t>
      </w:r>
      <w:r>
        <w:rPr>
          <w:rFonts w:hint="eastAsia" w:ascii="宋体" w:eastAsia="宋体"/>
          <w:b w:val="0"/>
          <w:bCs/>
          <w:color w:val="auto"/>
          <w:sz w:val="24"/>
          <w:highlight w:val="none"/>
        </w:rPr>
        <w:t>但费用不</w:t>
      </w:r>
      <w:r>
        <w:rPr>
          <w:rFonts w:hint="eastAsia" w:ascii="宋体" w:eastAsia="宋体"/>
          <w:b w:val="0"/>
          <w:bCs/>
          <w:color w:val="auto"/>
          <w:sz w:val="24"/>
          <w:highlight w:val="none"/>
          <w:lang w:eastAsia="zh-CN"/>
        </w:rPr>
        <w:t>再</w:t>
      </w:r>
      <w:r>
        <w:rPr>
          <w:rFonts w:hint="eastAsia" w:ascii="宋体" w:eastAsia="宋体"/>
          <w:b w:val="0"/>
          <w:bCs/>
          <w:color w:val="auto"/>
          <w:sz w:val="24"/>
          <w:highlight w:val="none"/>
        </w:rPr>
        <w:t>增加，按合同内金额执行</w:t>
      </w:r>
      <w:r>
        <w:rPr>
          <w:rFonts w:hint="eastAsia" w:ascii="宋体" w:eastAsia="宋体"/>
          <w:b w:val="0"/>
          <w:bCs/>
          <w:color w:val="auto"/>
          <w:sz w:val="24"/>
          <w:highlight w:val="none"/>
          <w:lang w:eastAsia="zh-CN"/>
        </w:rPr>
        <w:t>。</w:t>
      </w:r>
    </w:p>
    <w:p>
      <w:pPr>
        <w:pStyle w:val="13"/>
        <w:keepNext w:val="0"/>
        <w:keepLines w:val="0"/>
        <w:pageBreakBefore w:val="0"/>
        <w:widowControl w:val="0"/>
        <w:numPr>
          <w:ilvl w:val="0"/>
          <w:numId w:val="3"/>
        </w:numPr>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园林作业要求</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right="0" w:firstLine="720" w:firstLineChars="3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1、绿化养护技术措施基本完善，植物配置基本合理。</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2、园林植物</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⑴ 生长正常。新建绿地各种植物</w:t>
      </w:r>
      <w:r>
        <w:rPr>
          <w:rFonts w:hint="eastAsia" w:ascii="宋体" w:hAnsi="宋体" w:cs="宋体"/>
          <w:color w:val="auto"/>
          <w:kern w:val="2"/>
          <w:sz w:val="24"/>
          <w:szCs w:val="24"/>
          <w:highlight w:val="none"/>
          <w:lang w:val="en-US" w:eastAsia="zh-CN" w:bidi="ar-SA"/>
        </w:rPr>
        <w:t>在服务期</w:t>
      </w:r>
      <w:r>
        <w:rPr>
          <w:rFonts w:hint="eastAsia" w:ascii="宋体" w:hAnsi="宋体" w:eastAsia="宋体" w:cs="宋体"/>
          <w:color w:val="auto"/>
          <w:kern w:val="2"/>
          <w:sz w:val="24"/>
          <w:szCs w:val="24"/>
          <w:highlight w:val="none"/>
          <w:lang w:val="en-US" w:eastAsia="zh-CN" w:bidi="ar-SA"/>
        </w:rPr>
        <w:t>内达到正常形态。</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⑵ 园林树木树冠基本正常，无明显枯枝死叉。分枝点合适，枝条粗壮，行道树缺株率不超过5%。</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⑶ 落叶树新梢生长基本正常，叶片大小、颜色正常，在正常条件下，有黄叶、焦叶、卷叶和带虫粪、虫网叶片的株数不得超过</w:t>
      </w:r>
      <w:r>
        <w:rPr>
          <w:rFonts w:hint="eastAsia" w:ascii="宋体" w:hAnsi="宋体"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en-US" w:eastAsia="zh-CN" w:bidi="ar-SA"/>
        </w:rPr>
        <w:t>0%，正常叶片保存率在</w:t>
      </w:r>
      <w:r>
        <w:rPr>
          <w:rFonts w:hint="eastAsia" w:ascii="宋体" w:hAnsi="宋体" w:cs="宋体"/>
          <w:color w:val="auto"/>
          <w:kern w:val="2"/>
          <w:sz w:val="24"/>
          <w:szCs w:val="24"/>
          <w:highlight w:val="none"/>
          <w:lang w:val="en-US" w:eastAsia="zh-CN" w:bidi="ar-SA"/>
        </w:rPr>
        <w:t>9</w:t>
      </w:r>
      <w:r>
        <w:rPr>
          <w:rFonts w:hint="eastAsia" w:ascii="宋体" w:hAnsi="宋体" w:eastAsia="宋体" w:cs="宋体"/>
          <w:color w:val="auto"/>
          <w:kern w:val="2"/>
          <w:sz w:val="24"/>
          <w:szCs w:val="24"/>
          <w:highlight w:val="none"/>
          <w:lang w:val="en-US" w:eastAsia="zh-CN" w:bidi="ar-SA"/>
        </w:rPr>
        <w:t>0%以上。</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⑷ 新植树木成活率在90%以上，保存率在90%以上。（凡因受自然灾害、环境污染或非本职能所能控制等原因死亡的植株，</w:t>
      </w:r>
      <w:r>
        <w:rPr>
          <w:rFonts w:hint="eastAsia" w:ascii="宋体" w:hAnsi="宋体" w:cs="宋体"/>
          <w:color w:val="auto"/>
          <w:kern w:val="2"/>
          <w:sz w:val="24"/>
          <w:szCs w:val="24"/>
          <w:highlight w:val="none"/>
          <w:lang w:val="en-US" w:eastAsia="zh-CN" w:bidi="ar-SA"/>
        </w:rPr>
        <w:t>及</w:t>
      </w:r>
      <w:r>
        <w:rPr>
          <w:rFonts w:hint="eastAsia" w:ascii="宋体" w:hAnsi="宋体" w:eastAsia="宋体" w:cs="宋体"/>
          <w:color w:val="auto"/>
          <w:kern w:val="2"/>
          <w:sz w:val="24"/>
          <w:szCs w:val="24"/>
          <w:highlight w:val="none"/>
          <w:lang w:val="en-US" w:eastAsia="zh-CN" w:bidi="ar-SA"/>
        </w:rPr>
        <w:t>时予以剔除）</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⑸ 新植树木视情况做加固性保护，有扶架措施。</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⑹ 每年涂白</w:t>
      </w:r>
      <w:r>
        <w:rPr>
          <w:rFonts w:hint="eastAsia" w:ascii="宋体" w:hAnsi="宋体" w:cs="宋体"/>
          <w:color w:val="auto"/>
          <w:kern w:val="2"/>
          <w:sz w:val="24"/>
          <w:szCs w:val="24"/>
          <w:highlight w:val="none"/>
          <w:lang w:val="en-US" w:eastAsia="zh-CN" w:bidi="ar-SA"/>
        </w:rPr>
        <w:t>至少</w:t>
      </w:r>
      <w:r>
        <w:rPr>
          <w:rFonts w:hint="eastAsia" w:ascii="宋体" w:hAnsi="宋体" w:eastAsia="宋体" w:cs="宋体"/>
          <w:color w:val="auto"/>
          <w:kern w:val="2"/>
          <w:sz w:val="24"/>
          <w:szCs w:val="24"/>
          <w:highlight w:val="none"/>
          <w:lang w:val="en-US" w:eastAsia="zh-CN" w:bidi="ar-SA"/>
        </w:rPr>
        <w:t>1次，涂白标准</w:t>
      </w:r>
      <w:r>
        <w:rPr>
          <w:rFonts w:hint="eastAsia" w:ascii="宋体" w:hAnsi="宋体" w:cs="宋体"/>
          <w:color w:val="auto"/>
          <w:kern w:val="2"/>
          <w:sz w:val="24"/>
          <w:szCs w:val="24"/>
          <w:highlight w:val="none"/>
          <w:lang w:val="en-US" w:eastAsia="zh-CN" w:bidi="ar-SA"/>
        </w:rPr>
        <w:t>至少</w:t>
      </w:r>
      <w:r>
        <w:rPr>
          <w:rFonts w:hint="eastAsia" w:ascii="宋体" w:hAnsi="宋体" w:eastAsia="宋体" w:cs="宋体"/>
          <w:color w:val="auto"/>
          <w:kern w:val="2"/>
          <w:sz w:val="24"/>
          <w:szCs w:val="24"/>
          <w:highlight w:val="none"/>
          <w:lang w:val="en-US" w:eastAsia="zh-CN" w:bidi="ar-SA"/>
        </w:rPr>
        <w:t>为1.</w:t>
      </w:r>
      <w:r>
        <w:rPr>
          <w:rFonts w:hint="eastAsia" w:ascii="宋体" w:hAnsi="宋体" w:cs="宋体"/>
          <w:color w:val="auto"/>
          <w:kern w:val="2"/>
          <w:sz w:val="24"/>
          <w:szCs w:val="24"/>
          <w:highlight w:val="none"/>
          <w:lang w:val="en-US" w:eastAsia="zh-CN" w:bidi="ar-SA"/>
        </w:rPr>
        <w:t>5</w:t>
      </w:r>
      <w:r>
        <w:rPr>
          <w:rFonts w:hint="eastAsia" w:ascii="宋体" w:hAnsi="宋体" w:eastAsia="宋体" w:cs="宋体"/>
          <w:color w:val="auto"/>
          <w:kern w:val="2"/>
          <w:sz w:val="24"/>
          <w:szCs w:val="24"/>
          <w:highlight w:val="none"/>
          <w:lang w:val="en-US" w:eastAsia="zh-CN" w:bidi="ar-SA"/>
        </w:rPr>
        <w:t>m。每年施肥</w:t>
      </w:r>
      <w:r>
        <w:rPr>
          <w:rFonts w:hint="eastAsia" w:ascii="宋体" w:hAnsi="宋体" w:cs="宋体"/>
          <w:color w:val="auto"/>
          <w:kern w:val="2"/>
          <w:sz w:val="24"/>
          <w:szCs w:val="24"/>
          <w:highlight w:val="none"/>
          <w:lang w:val="en-US" w:eastAsia="zh-CN" w:bidi="ar-SA"/>
        </w:rPr>
        <w:t>至少</w:t>
      </w:r>
      <w:r>
        <w:rPr>
          <w:rFonts w:hint="eastAsia" w:ascii="宋体" w:hAnsi="宋体" w:eastAsia="宋体" w:cs="宋体"/>
          <w:color w:val="auto"/>
          <w:kern w:val="2"/>
          <w:sz w:val="24"/>
          <w:szCs w:val="24"/>
          <w:highlight w:val="none"/>
          <w:lang w:val="en-US" w:eastAsia="zh-CN" w:bidi="ar-SA"/>
        </w:rPr>
        <w:t>1次</w:t>
      </w:r>
      <w:r>
        <w:rPr>
          <w:rFonts w:hint="eastAsia" w:ascii="宋体" w:hAnsi="宋体" w:cs="宋体"/>
          <w:color w:val="auto"/>
          <w:kern w:val="2"/>
          <w:sz w:val="24"/>
          <w:szCs w:val="24"/>
          <w:highlight w:val="none"/>
          <w:lang w:val="en-US" w:eastAsia="zh-CN" w:bidi="ar-SA"/>
        </w:rPr>
        <w:t>。</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3</w:t>
      </w:r>
      <w:r>
        <w:rPr>
          <w:rFonts w:hint="eastAsia" w:ascii="宋体" w:hAnsi="宋体" w:eastAsia="宋体" w:cs="宋体"/>
          <w:color w:val="auto"/>
          <w:kern w:val="2"/>
          <w:sz w:val="24"/>
          <w:szCs w:val="24"/>
          <w:highlight w:val="none"/>
          <w:lang w:val="en-US" w:eastAsia="zh-CN" w:bidi="ar-SA"/>
        </w:rPr>
        <w:t>、病虫害控制比较及时，绿地蛀干害虫的有虫株率不能超过7%。枝干病害感病株率不能超过15%。蚜虫、红蜘蛛、叶蝉等枝梢害虫发生时，枝梢被害率不能超过20%或叶片上的有虫率不能超过25%。蚧类害虫在20cm枝条发生数量不能超过12头/20cm枝。食叶害虫虫口密度不能超过7头/50cm枝条，叶片受损率每株不得超过20%。叶部病害感病株率不能超过15%。（以上标准适用绿地养护中的病虫害防治的一般情况，不同于由外界导致而非本能控制的集中爆发式病虫害情况）</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春冬两季要对林带内的树木进行整形修剪工作；根据苗木生长的需要，一般对林带内的苗木进行春冬季施肥，施肥量根据甲方要求，春秋季对绿化带草坪进行打孔，林带和绿篱每年进行松土1次，根据植保防治进行病虫害预防打药，确保树木正常生长。</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4、绿地整洁卫生，无杂草，无杂藤攀援植物，无污物杂物、无积水；对绿化生产垃圾(如树枝、树叶、草屑等),绿地内水面杂物，随产随清。</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5、绿地完整，无堆物、堆料、搭棚，树干上无钉拴刻画等现象。距树干2m范围内无堆物、堆料、圈栏或搭棚设摊等影响树木生长和养护管理的现象。</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6、花箱、栏杆</w:t>
      </w:r>
      <w:r>
        <w:rPr>
          <w:rFonts w:hint="eastAsia" w:ascii="宋体" w:hAnsi="宋体" w:cs="宋体"/>
          <w:color w:val="auto"/>
          <w:kern w:val="2"/>
          <w:sz w:val="24"/>
          <w:szCs w:val="24"/>
          <w:highlight w:val="none"/>
          <w:lang w:val="en-US" w:eastAsia="zh-CN" w:bidi="ar-SA"/>
        </w:rPr>
        <w:t>（汉白玉栏杆除外）</w:t>
      </w:r>
      <w:r>
        <w:rPr>
          <w:rFonts w:hint="eastAsia" w:ascii="宋体" w:hAnsi="宋体" w:eastAsia="宋体" w:cs="宋体"/>
          <w:color w:val="auto"/>
          <w:kern w:val="2"/>
          <w:sz w:val="24"/>
          <w:szCs w:val="24"/>
          <w:highlight w:val="none"/>
          <w:lang w:val="en-US" w:eastAsia="zh-CN" w:bidi="ar-SA"/>
        </w:rPr>
        <w:t>、绿化带护栏、支撑架和护网、园路、桌椅、灯、井盖和标识标牌等附属设施完整、安全，做到维护及时，做好维护记录；如遇损坏丢失，应及时更换；发现有损坏和被违规占用的，在2小时内报告住建局园林绿化中心。每周擦洗绿化带护栏一遍，如遇特殊情况随时擦洗护栏。</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7、公园道路及广场铺装定期进行维护</w:t>
      </w:r>
      <w:r>
        <w:rPr>
          <w:rFonts w:hint="eastAsia" w:ascii="宋体" w:hAnsi="宋体" w:cs="宋体"/>
          <w:color w:val="auto"/>
          <w:kern w:val="2"/>
          <w:sz w:val="24"/>
          <w:szCs w:val="24"/>
          <w:highlight w:val="none"/>
          <w:lang w:val="en-US" w:eastAsia="zh-CN" w:bidi="ar-SA"/>
        </w:rPr>
        <w:t>、维修</w:t>
      </w:r>
      <w:r>
        <w:rPr>
          <w:rFonts w:hint="eastAsia" w:ascii="宋体" w:hAnsi="宋体" w:eastAsia="宋体" w:cs="宋体"/>
          <w:color w:val="auto"/>
          <w:kern w:val="2"/>
          <w:sz w:val="24"/>
          <w:szCs w:val="24"/>
          <w:highlight w:val="none"/>
          <w:lang w:val="en-US" w:eastAsia="zh-CN" w:bidi="ar-SA"/>
        </w:rPr>
        <w:t>，确保完整、安全。</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8、公园内水域面清洁，无垃圾漂浮物，做好湖面安全防护工作，设立安全警示牌，专人巡视，禁止人员进入湖面嬉水、游泳、滑冰等，保证人员安全。</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9、主要设施标示清楚齐全，危及人身安全的隐患处有明显标志和防范措施。</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10、建立消杀工作管理制度，根据实际情况开展消杀工作，适时投放消杀药物，有效控制害虫孽生。</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 11、制定安全生产制度，严格的安全措施和作业操作流程，对上岗作业的工作人员进行安全生产培训。</w:t>
      </w:r>
    </w:p>
    <w:p>
      <w:pPr>
        <w:pStyle w:val="13"/>
        <w:keepNext w:val="0"/>
        <w:keepLines w:val="0"/>
        <w:pageBreakBefore w:val="0"/>
        <w:widowControl w:val="0"/>
        <w:shd w:val="clear" w:color="auto" w:fill="FFFFFF"/>
        <w:kinsoku/>
        <w:wordWrap/>
        <w:overflowPunct/>
        <w:autoSpaceDE w:val="0"/>
        <w:autoSpaceDN/>
        <w:bidi w:val="0"/>
        <w:adjustRightInd w:val="0"/>
        <w:snapToGrid w:val="0"/>
        <w:spacing w:line="36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12、绿化养护人员在岗期间，要着有安全标志作业服装，反光标志要完整，衣服干净整洁，确保人身安全。设置安全员负责安全工作。养护车辆和安全标识锥要横向摆放，距离养护人员50米停放。保证车体干净、车体喷反光标识，工作间整齐，必须遵守交通规则，不得逆行作业，安全配套设施规范。</w:t>
      </w:r>
    </w:p>
    <w:p>
      <w:pPr>
        <w:pStyle w:val="12"/>
        <w:ind w:firstLine="480" w:firstLineChars="200"/>
        <w:rPr>
          <w:rFonts w:hint="eastAsia" w:ascii="宋体" w:hAnsi="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w:t>
      </w:r>
      <w:r>
        <w:rPr>
          <w:rFonts w:hint="eastAsia" w:ascii="宋体" w:hAnsi="宋体" w:cs="宋体"/>
          <w:color w:val="auto"/>
          <w:kern w:val="2"/>
          <w:sz w:val="24"/>
          <w:szCs w:val="24"/>
          <w:highlight w:val="none"/>
          <w:lang w:val="en-US" w:eastAsia="zh-CN" w:bidi="ar-SA"/>
        </w:rPr>
        <w:t>三</w:t>
      </w:r>
      <w:r>
        <w:rPr>
          <w:rFonts w:hint="eastAsia" w:ascii="宋体" w:hAnsi="宋体" w:eastAsia="宋体" w:cs="宋体"/>
          <w:color w:val="auto"/>
          <w:kern w:val="2"/>
          <w:sz w:val="24"/>
          <w:szCs w:val="24"/>
          <w:highlight w:val="none"/>
          <w:lang w:val="en-US" w:eastAsia="zh-CN" w:bidi="ar-SA"/>
        </w:rPr>
        <w:t>）</w:t>
      </w:r>
      <w:r>
        <w:rPr>
          <w:rFonts w:hint="eastAsia" w:ascii="宋体" w:hAnsi="宋体" w:cs="宋体"/>
          <w:color w:val="auto"/>
          <w:kern w:val="2"/>
          <w:sz w:val="24"/>
          <w:szCs w:val="24"/>
          <w:highlight w:val="none"/>
          <w:lang w:val="en-US" w:eastAsia="zh-CN" w:bidi="ar-SA"/>
        </w:rPr>
        <w:t>现有人员移交</w:t>
      </w:r>
    </w:p>
    <w:p>
      <w:pPr>
        <w:ind w:firstLine="480" w:firstLineChars="200"/>
        <w:rPr>
          <w:rFonts w:hint="eastAsia" w:ascii="宋体" w:hAnsi="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接纳现有</w:t>
      </w:r>
      <w:r>
        <w:rPr>
          <w:rFonts w:hint="eastAsia" w:ascii="宋体" w:hAnsi="宋体" w:cs="宋体"/>
          <w:color w:val="auto"/>
          <w:kern w:val="2"/>
          <w:sz w:val="24"/>
          <w:szCs w:val="24"/>
          <w:highlight w:val="none"/>
          <w:lang w:val="en-US" w:eastAsia="zh-CN" w:bidi="ar-SA"/>
        </w:rPr>
        <w:t>工作人员</w:t>
      </w:r>
      <w:r>
        <w:rPr>
          <w:rFonts w:hint="eastAsia" w:ascii="宋体" w:hAnsi="宋体" w:eastAsia="宋体" w:cs="宋体"/>
          <w:color w:val="auto"/>
          <w:kern w:val="2"/>
          <w:sz w:val="24"/>
          <w:szCs w:val="24"/>
          <w:highlight w:val="none"/>
          <w:lang w:val="en-US" w:eastAsia="zh-CN" w:bidi="ar-SA"/>
        </w:rPr>
        <w:t>150人</w:t>
      </w:r>
      <w:r>
        <w:rPr>
          <w:rFonts w:hint="eastAsia" w:ascii="宋体" w:hAnsi="宋体" w:cs="宋体"/>
          <w:color w:val="auto"/>
          <w:kern w:val="2"/>
          <w:sz w:val="24"/>
          <w:szCs w:val="24"/>
          <w:highlight w:val="none"/>
          <w:lang w:val="en-US" w:eastAsia="zh-CN" w:bidi="ar-SA"/>
        </w:rPr>
        <w:t>左右</w:t>
      </w:r>
      <w:r>
        <w:rPr>
          <w:rFonts w:hint="eastAsia" w:ascii="宋体" w:hAnsi="宋体" w:eastAsia="宋体" w:cs="宋体"/>
          <w:color w:val="auto"/>
          <w:kern w:val="2"/>
          <w:sz w:val="24"/>
          <w:szCs w:val="24"/>
          <w:highlight w:val="none"/>
          <w:lang w:val="en-US" w:eastAsia="zh-CN" w:bidi="ar-SA"/>
        </w:rPr>
        <w:t>（</w:t>
      </w:r>
      <w:r>
        <w:rPr>
          <w:rFonts w:hint="eastAsia" w:ascii="宋体" w:hAnsi="宋体" w:cs="宋体"/>
          <w:color w:val="auto"/>
          <w:kern w:val="2"/>
          <w:sz w:val="24"/>
          <w:szCs w:val="24"/>
          <w:highlight w:val="none"/>
          <w:lang w:val="en-US" w:eastAsia="zh-CN" w:bidi="ar-SA"/>
        </w:rPr>
        <w:t>其中</w:t>
      </w:r>
      <w:r>
        <w:rPr>
          <w:rFonts w:hint="eastAsia" w:ascii="宋体" w:hAnsi="宋体" w:eastAsia="宋体" w:cs="宋体"/>
          <w:color w:val="auto"/>
          <w:kern w:val="2"/>
          <w:sz w:val="24"/>
          <w:szCs w:val="24"/>
          <w:highlight w:val="none"/>
          <w:lang w:val="en-US" w:eastAsia="zh-CN" w:bidi="ar-SA"/>
        </w:rPr>
        <w:t>残疾人</w:t>
      </w:r>
      <w:r>
        <w:rPr>
          <w:rFonts w:hint="eastAsia" w:ascii="宋体" w:hAnsi="宋体" w:cs="宋体"/>
          <w:color w:val="auto"/>
          <w:kern w:val="2"/>
          <w:sz w:val="24"/>
          <w:szCs w:val="24"/>
          <w:highlight w:val="none"/>
          <w:lang w:val="en-US" w:eastAsia="zh-CN" w:bidi="ar-SA"/>
        </w:rPr>
        <w:t>员7人），工资待遇不低于目前工资待遇。以上人员若3年之内无重大过失，不允许解聘。</w:t>
      </w:r>
    </w:p>
    <w:p>
      <w:pPr>
        <w:pStyle w:val="22"/>
        <w:rPr>
          <w:rFonts w:hint="default"/>
          <w:color w:val="auto"/>
          <w:lang w:val="en-US" w:eastAsia="zh-CN"/>
        </w:rPr>
      </w:pPr>
      <w:r>
        <w:rPr>
          <w:rFonts w:hint="eastAsia" w:ascii="宋体" w:hAnsi="宋体" w:cs="宋体"/>
          <w:color w:val="auto"/>
          <w:kern w:val="2"/>
          <w:sz w:val="24"/>
          <w:szCs w:val="24"/>
          <w:highlight w:val="none"/>
          <w:lang w:val="en-US" w:eastAsia="zh-CN" w:bidi="ar-SA"/>
        </w:rPr>
        <w:t>注：以实际移交人数为准。</w:t>
      </w:r>
    </w:p>
    <w:p>
      <w:pPr>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w:t>
      </w:r>
      <w:r>
        <w:rPr>
          <w:rFonts w:hint="eastAsia" w:ascii="宋体" w:hAnsi="宋体" w:cs="宋体"/>
          <w:color w:val="auto"/>
          <w:kern w:val="2"/>
          <w:sz w:val="24"/>
          <w:szCs w:val="24"/>
          <w:highlight w:val="none"/>
          <w:lang w:val="en-US" w:eastAsia="zh-CN" w:bidi="ar-SA"/>
        </w:rPr>
        <w:t>四</w:t>
      </w:r>
      <w:r>
        <w:rPr>
          <w:rFonts w:hint="eastAsia" w:ascii="宋体" w:hAnsi="宋体" w:eastAsia="宋体" w:cs="宋体"/>
          <w:color w:val="auto"/>
          <w:kern w:val="2"/>
          <w:sz w:val="24"/>
          <w:szCs w:val="24"/>
          <w:highlight w:val="none"/>
          <w:lang w:val="en-US" w:eastAsia="zh-CN" w:bidi="ar-SA"/>
        </w:rPr>
        <w:t>）应急处置</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1、如有需要（遇上级部门考察视察等原因），中标单位必须无条件实行突击保洁，确保保洁质量达到</w:t>
      </w:r>
      <w:r>
        <w:rPr>
          <w:rFonts w:hint="eastAsia" w:ascii="宋体" w:hAnsi="宋体" w:cs="宋体"/>
          <w:color w:val="auto"/>
          <w:kern w:val="2"/>
          <w:sz w:val="24"/>
          <w:szCs w:val="24"/>
          <w:highlight w:val="none"/>
          <w:lang w:val="en-US" w:eastAsia="zh-CN" w:bidi="ar-SA"/>
        </w:rPr>
        <w:t>托克逊县住房和城乡建设局</w:t>
      </w:r>
      <w:r>
        <w:rPr>
          <w:rFonts w:hint="eastAsia" w:ascii="宋体" w:hAnsi="宋体" w:eastAsia="宋体" w:cs="宋体"/>
          <w:color w:val="auto"/>
          <w:kern w:val="2"/>
          <w:sz w:val="24"/>
          <w:szCs w:val="24"/>
          <w:highlight w:val="none"/>
          <w:lang w:val="en-US" w:eastAsia="zh-CN" w:bidi="ar-SA"/>
        </w:rPr>
        <w:t>要求。</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w:t>
      </w:r>
      <w:r>
        <w:rPr>
          <w:rFonts w:hint="eastAsia" w:ascii="宋体" w:hAnsi="宋体" w:cs="宋体"/>
          <w:color w:val="auto"/>
          <w:kern w:val="2"/>
          <w:sz w:val="24"/>
          <w:szCs w:val="24"/>
          <w:highlight w:val="none"/>
          <w:lang w:val="en-US" w:eastAsia="zh-CN" w:bidi="ar-SA"/>
        </w:rPr>
        <w:t>五</w:t>
      </w:r>
      <w:r>
        <w:rPr>
          <w:rFonts w:hint="eastAsia" w:ascii="宋体" w:hAnsi="宋体" w:eastAsia="宋体" w:cs="宋体"/>
          <w:color w:val="auto"/>
          <w:kern w:val="2"/>
          <w:sz w:val="24"/>
          <w:szCs w:val="24"/>
          <w:highlight w:val="none"/>
          <w:lang w:val="en-US" w:eastAsia="zh-CN" w:bidi="ar-SA"/>
        </w:rPr>
        <w:t>）报价说明</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1、投标报价包含对管理服务工作所配备的工具、材料、运输车辆，所有人员工资、劳保福利、保险、税金等一切费用。住建局不再支付其他费用。</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2.该服务费用不包含购买服务中绿化</w:t>
      </w:r>
      <w:r>
        <w:rPr>
          <w:rFonts w:hint="eastAsia" w:ascii="宋体" w:hAnsi="宋体" w:cs="宋体"/>
          <w:color w:val="auto"/>
          <w:kern w:val="2"/>
          <w:sz w:val="24"/>
          <w:szCs w:val="24"/>
          <w:highlight w:val="none"/>
          <w:lang w:val="en-US" w:eastAsia="zh-CN" w:bidi="ar-SA"/>
        </w:rPr>
        <w:t>及环卫用水、用电</w:t>
      </w:r>
      <w:r>
        <w:rPr>
          <w:rFonts w:hint="eastAsia" w:ascii="宋体" w:hAnsi="宋体" w:eastAsia="宋体" w:cs="宋体"/>
          <w:color w:val="auto"/>
          <w:kern w:val="2"/>
          <w:sz w:val="24"/>
          <w:szCs w:val="24"/>
          <w:highlight w:val="none"/>
          <w:lang w:val="en-US" w:eastAsia="zh-CN" w:bidi="ar-SA"/>
        </w:rPr>
        <w:t>的费用。</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color w:val="auto"/>
          <w:highlight w:val="none"/>
          <w:lang w:val="en-US" w:eastAsia="zh-CN"/>
        </w:rPr>
      </w:pPr>
      <w:r>
        <w:rPr>
          <w:rFonts w:hint="eastAsia" w:ascii="宋体" w:hAnsi="宋体" w:eastAsia="宋体" w:cs="宋体"/>
          <w:color w:val="auto"/>
          <w:kern w:val="2"/>
          <w:sz w:val="24"/>
          <w:szCs w:val="24"/>
          <w:highlight w:val="none"/>
          <w:lang w:val="en-US" w:eastAsia="zh-CN" w:bidi="ar-SA"/>
        </w:rPr>
        <w:t>（</w:t>
      </w:r>
      <w:r>
        <w:rPr>
          <w:rFonts w:hint="eastAsia" w:ascii="宋体" w:hAnsi="宋体" w:cs="宋体"/>
          <w:color w:val="auto"/>
          <w:kern w:val="2"/>
          <w:sz w:val="24"/>
          <w:szCs w:val="24"/>
          <w:highlight w:val="none"/>
          <w:lang w:val="en-US" w:eastAsia="zh-CN" w:bidi="ar-SA"/>
        </w:rPr>
        <w:t>六</w:t>
      </w:r>
      <w:r>
        <w:rPr>
          <w:rFonts w:hint="eastAsia" w:ascii="宋体" w:hAnsi="宋体" w:eastAsia="宋体" w:cs="宋体"/>
          <w:color w:val="auto"/>
          <w:kern w:val="2"/>
          <w:sz w:val="24"/>
          <w:szCs w:val="24"/>
          <w:highlight w:val="none"/>
          <w:lang w:val="en-US" w:eastAsia="zh-CN" w:bidi="ar-SA"/>
        </w:rPr>
        <w:t>）项目等级分类</w:t>
      </w:r>
    </w:p>
    <w:tbl>
      <w:tblPr>
        <w:tblStyle w:val="23"/>
        <w:tblpPr w:leftFromText="180" w:rightFromText="180" w:vertAnchor="text" w:horzAnchor="page" w:tblpX="1796" w:tblpY="1163"/>
        <w:tblOverlap w:val="never"/>
        <w:tblW w:w="86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0"/>
        <w:gridCol w:w="3273"/>
        <w:gridCol w:w="2310"/>
        <w:gridCol w:w="23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614" w:type="dxa"/>
            <w:gridSpan w:val="4"/>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绿化养护等级表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3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道路路名称</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绿化面积（㎡）</w:t>
            </w:r>
          </w:p>
        </w:tc>
        <w:tc>
          <w:tcPr>
            <w:tcW w:w="23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养护等级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3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友好中路（金汇十字-一中）</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15000 </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振兴路</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14099 </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和谐路（滨河路）</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9671 </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3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解放路（北大桥-巴扎市场）</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6571 </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金泉路（迎宾大道起点-飞马）</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14265 </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始昌路（市场监督管理局-北大桥）</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3654 </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吐托快道S202</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33142 </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3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胡杨公园</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354600 </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白杨河公园</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593300 </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玫瑰公园</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164300 </w:t>
            </w:r>
          </w:p>
        </w:tc>
        <w:tc>
          <w:tcPr>
            <w:tcW w:w="23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3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体育公园</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27400 </w:t>
            </w:r>
          </w:p>
        </w:tc>
        <w:tc>
          <w:tcPr>
            <w:tcW w:w="23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3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团结公园（托克逊镇政府门口）</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8400 </w:t>
            </w:r>
          </w:p>
        </w:tc>
        <w:tc>
          <w:tcPr>
            <w:tcW w:w="23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13</w:t>
            </w:r>
          </w:p>
        </w:tc>
        <w:tc>
          <w:tcPr>
            <w:tcW w:w="3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禁毒公园</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 xml:space="preserve">5900 </w:t>
            </w:r>
          </w:p>
        </w:tc>
        <w:tc>
          <w:tcPr>
            <w:tcW w:w="23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二级养护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法治公园</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10900 </w:t>
            </w:r>
          </w:p>
        </w:tc>
        <w:tc>
          <w:tcPr>
            <w:tcW w:w="23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榆园</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24700 </w:t>
            </w:r>
          </w:p>
        </w:tc>
        <w:tc>
          <w:tcPr>
            <w:tcW w:w="23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府西公园</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11300 </w:t>
            </w:r>
          </w:p>
        </w:tc>
        <w:tc>
          <w:tcPr>
            <w:tcW w:w="23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3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友好西路（杏园-金汇十字）</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37313 </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3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友好东路（源泉-夏乡段）</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4180 </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3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银泉路（飞马-第一辅道）</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12730 </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3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西域路（人民路-第一辅道）</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34587 </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3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团结路</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7552 </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3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人民路</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12264 </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3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九龙路（团结路-第一辅道）</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144972 </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3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华安路</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3575 </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3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九龙山公园</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66000 </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3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合欢公园</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54700 </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3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友好路北侧绿地（我家宾馆前）</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1400 </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3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伊拉湖立交桥两侧林地</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9860 </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w:t>
            </w:r>
          </w:p>
        </w:tc>
        <w:tc>
          <w:tcPr>
            <w:tcW w:w="3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人民路街头绿地（九龙路十字至财政局）</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6520 </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3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自来水公司旁游园</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9280 </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w:t>
            </w:r>
          </w:p>
        </w:tc>
        <w:tc>
          <w:tcPr>
            <w:tcW w:w="3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源泉花园一期南侧小绿地 </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3350 </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3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美食天下东侧、南侧绿地</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8658 </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w:t>
            </w: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林水路</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12180 </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w:t>
            </w: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外环路（纬四路-纬一路）</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40808 </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w:t>
            </w: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迎宾大道</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128706 </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w:t>
            </w: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小康路（煤矿路）</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17857 </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37</w:t>
            </w: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纬四路</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22602 </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w:t>
            </w: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滨河小区东侧道路</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13869 </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w:t>
            </w: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胜利路</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7782 </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滨河社区前游园</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7493 </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41</w:t>
            </w: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酒庄对面国营牧场西侧绿地</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7980 </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w:t>
            </w: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滨河保险公司</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2000 </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43</w:t>
            </w: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二小西侧绿地</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23237 </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w:t>
            </w: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滨河小区二期外围绿地</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23884 </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三角花园街头绿地</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3451 </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新华书店前游园</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8799 </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w:t>
            </w: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S202北侧绿地</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31525 </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w:t>
            </w: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S202三角绿地</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25500 </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49</w:t>
            </w:r>
          </w:p>
        </w:tc>
        <w:tc>
          <w:tcPr>
            <w:tcW w:w="3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棉纺厂</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12401 </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90" w:type="dxa"/>
            <w:tcBorders>
              <w:top w:val="single" w:color="000000" w:sz="4" w:space="0"/>
              <w:left w:val="single" w:color="000000" w:sz="8"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w:t>
            </w:r>
          </w:p>
        </w:tc>
        <w:tc>
          <w:tcPr>
            <w:tcW w:w="3273"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龙泉路(团结西路)</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33880 </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90" w:type="dxa"/>
            <w:tcBorders>
              <w:top w:val="single" w:color="000000" w:sz="4" w:space="0"/>
              <w:left w:val="single" w:color="000000" w:sz="8"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w:t>
            </w:r>
          </w:p>
        </w:tc>
        <w:tc>
          <w:tcPr>
            <w:tcW w:w="3273"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经四路</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3000 </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90" w:type="dxa"/>
            <w:tcBorders>
              <w:top w:val="single" w:color="000000" w:sz="4" w:space="0"/>
              <w:left w:val="single" w:color="000000" w:sz="8"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52</w:t>
            </w:r>
          </w:p>
        </w:tc>
        <w:tc>
          <w:tcPr>
            <w:tcW w:w="3273"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文化路</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12600 </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96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合计：</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2153697 </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auto"/>
                <w:sz w:val="20"/>
                <w:szCs w:val="20"/>
                <w:highlight w:val="none"/>
                <w:u w:val="none"/>
              </w:rPr>
            </w:pPr>
          </w:p>
        </w:tc>
      </w:tr>
    </w:tbl>
    <w:p>
      <w:pPr>
        <w:pStyle w:val="12"/>
        <w:rPr>
          <w:rFonts w:hint="eastAsia"/>
          <w:color w:val="auto"/>
          <w:highlight w:val="none"/>
          <w:lang w:val="en-US" w:eastAsia="zh-CN"/>
        </w:rPr>
      </w:pPr>
    </w:p>
    <w:tbl>
      <w:tblPr>
        <w:tblStyle w:val="23"/>
        <w:tblpPr w:leftFromText="180" w:rightFromText="180" w:vertAnchor="text" w:horzAnchor="page" w:tblpX="1840" w:tblpY="699"/>
        <w:tblOverlap w:val="never"/>
        <w:tblW w:w="85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0"/>
        <w:gridCol w:w="2494"/>
        <w:gridCol w:w="2970"/>
        <w:gridCol w:w="2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552" w:type="dxa"/>
            <w:gridSpan w:val="4"/>
            <w:tcBorders>
              <w:top w:val="nil"/>
              <w:left w:val="nil"/>
              <w:bottom w:val="single" w:color="auto"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清扫保洁等级统计表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249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道路路名称</w:t>
            </w:r>
          </w:p>
        </w:tc>
        <w:tc>
          <w:tcPr>
            <w:tcW w:w="2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环卫面积（㎡）</w:t>
            </w:r>
          </w:p>
        </w:tc>
        <w:tc>
          <w:tcPr>
            <w:tcW w:w="239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清扫等级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c>
          <w:tcPr>
            <w:tcW w:w="249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i w:val="0"/>
                <w:iCs w:val="0"/>
                <w:color w:val="auto"/>
                <w:sz w:val="20"/>
                <w:szCs w:val="20"/>
                <w:highlight w:val="none"/>
                <w:u w:val="none"/>
              </w:rPr>
            </w:pPr>
          </w:p>
        </w:tc>
        <w:tc>
          <w:tcPr>
            <w:tcW w:w="2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道路宽度*道路长度</w:t>
            </w:r>
          </w:p>
        </w:tc>
        <w:tc>
          <w:tcPr>
            <w:tcW w:w="239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9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友好中路</w:t>
            </w:r>
          </w:p>
        </w:tc>
        <w:tc>
          <w:tcPr>
            <w:tcW w:w="297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63300</w:t>
            </w:r>
          </w:p>
        </w:tc>
        <w:tc>
          <w:tcPr>
            <w:tcW w:w="239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9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金泉路B段</w:t>
            </w:r>
          </w:p>
        </w:tc>
        <w:tc>
          <w:tcPr>
            <w:tcW w:w="297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19716</w:t>
            </w:r>
          </w:p>
        </w:tc>
        <w:tc>
          <w:tcPr>
            <w:tcW w:w="239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9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振兴路</w:t>
            </w:r>
          </w:p>
        </w:tc>
        <w:tc>
          <w:tcPr>
            <w:tcW w:w="297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35356</w:t>
            </w:r>
          </w:p>
        </w:tc>
        <w:tc>
          <w:tcPr>
            <w:tcW w:w="239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9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和谐路</w:t>
            </w:r>
          </w:p>
        </w:tc>
        <w:tc>
          <w:tcPr>
            <w:tcW w:w="297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38928</w:t>
            </w:r>
          </w:p>
        </w:tc>
        <w:tc>
          <w:tcPr>
            <w:tcW w:w="239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9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吐托快道S202</w:t>
            </w:r>
          </w:p>
        </w:tc>
        <w:tc>
          <w:tcPr>
            <w:tcW w:w="297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33240</w:t>
            </w:r>
          </w:p>
        </w:tc>
        <w:tc>
          <w:tcPr>
            <w:tcW w:w="239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9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始昌路B段</w:t>
            </w:r>
          </w:p>
        </w:tc>
        <w:tc>
          <w:tcPr>
            <w:tcW w:w="297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38398</w:t>
            </w:r>
          </w:p>
        </w:tc>
        <w:tc>
          <w:tcPr>
            <w:tcW w:w="239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9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友好西路</w:t>
            </w:r>
          </w:p>
        </w:tc>
        <w:tc>
          <w:tcPr>
            <w:tcW w:w="297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58260</w:t>
            </w:r>
          </w:p>
        </w:tc>
        <w:tc>
          <w:tcPr>
            <w:tcW w:w="239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9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林水路</w:t>
            </w:r>
          </w:p>
        </w:tc>
        <w:tc>
          <w:tcPr>
            <w:tcW w:w="297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32928</w:t>
            </w:r>
          </w:p>
        </w:tc>
        <w:tc>
          <w:tcPr>
            <w:tcW w:w="239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9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九龙路</w:t>
            </w:r>
          </w:p>
        </w:tc>
        <w:tc>
          <w:tcPr>
            <w:tcW w:w="297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111740</w:t>
            </w:r>
          </w:p>
        </w:tc>
        <w:tc>
          <w:tcPr>
            <w:tcW w:w="239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9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外环路B段</w:t>
            </w:r>
          </w:p>
        </w:tc>
        <w:tc>
          <w:tcPr>
            <w:tcW w:w="297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34765</w:t>
            </w:r>
          </w:p>
        </w:tc>
        <w:tc>
          <w:tcPr>
            <w:tcW w:w="239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9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杏花路</w:t>
            </w:r>
          </w:p>
        </w:tc>
        <w:tc>
          <w:tcPr>
            <w:tcW w:w="297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17622</w:t>
            </w:r>
          </w:p>
        </w:tc>
        <w:tc>
          <w:tcPr>
            <w:tcW w:w="239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9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天山路</w:t>
            </w:r>
          </w:p>
        </w:tc>
        <w:tc>
          <w:tcPr>
            <w:tcW w:w="297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13137</w:t>
            </w:r>
          </w:p>
        </w:tc>
        <w:tc>
          <w:tcPr>
            <w:tcW w:w="239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9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龙泉路</w:t>
            </w:r>
          </w:p>
        </w:tc>
        <w:tc>
          <w:tcPr>
            <w:tcW w:w="297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17941</w:t>
            </w:r>
          </w:p>
        </w:tc>
        <w:tc>
          <w:tcPr>
            <w:tcW w:w="239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9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龙泉西路</w:t>
            </w:r>
          </w:p>
        </w:tc>
        <w:tc>
          <w:tcPr>
            <w:tcW w:w="297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2310</w:t>
            </w:r>
          </w:p>
        </w:tc>
        <w:tc>
          <w:tcPr>
            <w:tcW w:w="239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9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经三路</w:t>
            </w:r>
          </w:p>
        </w:tc>
        <w:tc>
          <w:tcPr>
            <w:tcW w:w="297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10108</w:t>
            </w:r>
          </w:p>
        </w:tc>
        <w:tc>
          <w:tcPr>
            <w:tcW w:w="239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9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经二路</w:t>
            </w:r>
          </w:p>
        </w:tc>
        <w:tc>
          <w:tcPr>
            <w:tcW w:w="297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10800</w:t>
            </w:r>
          </w:p>
        </w:tc>
        <w:tc>
          <w:tcPr>
            <w:tcW w:w="239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9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纬一路</w:t>
            </w:r>
          </w:p>
        </w:tc>
        <w:tc>
          <w:tcPr>
            <w:tcW w:w="297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7824</w:t>
            </w:r>
          </w:p>
        </w:tc>
        <w:tc>
          <w:tcPr>
            <w:tcW w:w="239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9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胡杨名筑西侧道路</w:t>
            </w:r>
          </w:p>
        </w:tc>
        <w:tc>
          <w:tcPr>
            <w:tcW w:w="297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3510</w:t>
            </w:r>
          </w:p>
        </w:tc>
        <w:tc>
          <w:tcPr>
            <w:tcW w:w="239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9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银泉路</w:t>
            </w:r>
          </w:p>
        </w:tc>
        <w:tc>
          <w:tcPr>
            <w:tcW w:w="297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62920</w:t>
            </w:r>
          </w:p>
        </w:tc>
        <w:tc>
          <w:tcPr>
            <w:tcW w:w="239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9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西域路</w:t>
            </w:r>
          </w:p>
        </w:tc>
        <w:tc>
          <w:tcPr>
            <w:tcW w:w="297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46176</w:t>
            </w:r>
          </w:p>
        </w:tc>
        <w:tc>
          <w:tcPr>
            <w:tcW w:w="239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9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团结路</w:t>
            </w:r>
          </w:p>
        </w:tc>
        <w:tc>
          <w:tcPr>
            <w:tcW w:w="297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25485</w:t>
            </w:r>
          </w:p>
        </w:tc>
        <w:tc>
          <w:tcPr>
            <w:tcW w:w="239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9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人民路</w:t>
            </w:r>
          </w:p>
        </w:tc>
        <w:tc>
          <w:tcPr>
            <w:tcW w:w="297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41431</w:t>
            </w:r>
          </w:p>
        </w:tc>
        <w:tc>
          <w:tcPr>
            <w:tcW w:w="239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9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环山路</w:t>
            </w:r>
          </w:p>
        </w:tc>
        <w:tc>
          <w:tcPr>
            <w:tcW w:w="297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11803</w:t>
            </w:r>
          </w:p>
        </w:tc>
        <w:tc>
          <w:tcPr>
            <w:tcW w:w="239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9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团结巷</w:t>
            </w:r>
          </w:p>
        </w:tc>
        <w:tc>
          <w:tcPr>
            <w:tcW w:w="297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2400</w:t>
            </w:r>
          </w:p>
        </w:tc>
        <w:tc>
          <w:tcPr>
            <w:tcW w:w="239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9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幸福路</w:t>
            </w:r>
          </w:p>
        </w:tc>
        <w:tc>
          <w:tcPr>
            <w:tcW w:w="297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13870</w:t>
            </w:r>
          </w:p>
        </w:tc>
        <w:tc>
          <w:tcPr>
            <w:tcW w:w="239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9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华安路</w:t>
            </w:r>
          </w:p>
        </w:tc>
        <w:tc>
          <w:tcPr>
            <w:tcW w:w="297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17336</w:t>
            </w:r>
          </w:p>
        </w:tc>
        <w:tc>
          <w:tcPr>
            <w:tcW w:w="239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9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金泉路A段</w:t>
            </w:r>
          </w:p>
        </w:tc>
        <w:tc>
          <w:tcPr>
            <w:tcW w:w="297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44774</w:t>
            </w:r>
          </w:p>
        </w:tc>
        <w:tc>
          <w:tcPr>
            <w:tcW w:w="239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9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外环路A段</w:t>
            </w:r>
          </w:p>
        </w:tc>
        <w:tc>
          <w:tcPr>
            <w:tcW w:w="297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37791</w:t>
            </w:r>
          </w:p>
        </w:tc>
        <w:tc>
          <w:tcPr>
            <w:tcW w:w="239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9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迎宾大道</w:t>
            </w:r>
          </w:p>
        </w:tc>
        <w:tc>
          <w:tcPr>
            <w:tcW w:w="297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192143</w:t>
            </w:r>
          </w:p>
        </w:tc>
        <w:tc>
          <w:tcPr>
            <w:tcW w:w="239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9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始昌路A段</w:t>
            </w:r>
          </w:p>
        </w:tc>
        <w:tc>
          <w:tcPr>
            <w:tcW w:w="297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20784</w:t>
            </w:r>
          </w:p>
        </w:tc>
        <w:tc>
          <w:tcPr>
            <w:tcW w:w="239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9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31</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红山路</w:t>
            </w:r>
          </w:p>
        </w:tc>
        <w:tc>
          <w:tcPr>
            <w:tcW w:w="297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35714</w:t>
            </w:r>
          </w:p>
        </w:tc>
        <w:tc>
          <w:tcPr>
            <w:tcW w:w="239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9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文化路</w:t>
            </w:r>
          </w:p>
        </w:tc>
        <w:tc>
          <w:tcPr>
            <w:tcW w:w="297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48716</w:t>
            </w:r>
          </w:p>
        </w:tc>
        <w:tc>
          <w:tcPr>
            <w:tcW w:w="239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9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33</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滨河小区东侧道路</w:t>
            </w:r>
          </w:p>
        </w:tc>
        <w:tc>
          <w:tcPr>
            <w:tcW w:w="297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15440</w:t>
            </w:r>
          </w:p>
        </w:tc>
        <w:tc>
          <w:tcPr>
            <w:tcW w:w="239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9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34</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胜利路</w:t>
            </w:r>
          </w:p>
        </w:tc>
        <w:tc>
          <w:tcPr>
            <w:tcW w:w="297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9728</w:t>
            </w:r>
          </w:p>
        </w:tc>
        <w:tc>
          <w:tcPr>
            <w:tcW w:w="239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9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35</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生态环境局北侧</w:t>
            </w:r>
          </w:p>
        </w:tc>
        <w:tc>
          <w:tcPr>
            <w:tcW w:w="297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2750</w:t>
            </w:r>
          </w:p>
        </w:tc>
        <w:tc>
          <w:tcPr>
            <w:tcW w:w="239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9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36</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永安路</w:t>
            </w:r>
          </w:p>
        </w:tc>
        <w:tc>
          <w:tcPr>
            <w:tcW w:w="297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3960</w:t>
            </w:r>
          </w:p>
        </w:tc>
        <w:tc>
          <w:tcPr>
            <w:tcW w:w="239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9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人民医院北侧</w:t>
            </w:r>
          </w:p>
        </w:tc>
        <w:tc>
          <w:tcPr>
            <w:tcW w:w="297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4375</w:t>
            </w:r>
          </w:p>
        </w:tc>
        <w:tc>
          <w:tcPr>
            <w:tcW w:w="239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9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38</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人民医院西侧</w:t>
            </w:r>
          </w:p>
        </w:tc>
        <w:tc>
          <w:tcPr>
            <w:tcW w:w="297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10530</w:t>
            </w:r>
          </w:p>
        </w:tc>
        <w:tc>
          <w:tcPr>
            <w:tcW w:w="239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9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39</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人民医院南侧</w:t>
            </w:r>
          </w:p>
        </w:tc>
        <w:tc>
          <w:tcPr>
            <w:tcW w:w="297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4000</w:t>
            </w:r>
          </w:p>
        </w:tc>
        <w:tc>
          <w:tcPr>
            <w:tcW w:w="239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9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40</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依泉路</w:t>
            </w:r>
          </w:p>
        </w:tc>
        <w:tc>
          <w:tcPr>
            <w:tcW w:w="297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19200</w:t>
            </w:r>
          </w:p>
        </w:tc>
        <w:tc>
          <w:tcPr>
            <w:tcW w:w="239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9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山泉路</w:t>
            </w:r>
          </w:p>
        </w:tc>
        <w:tc>
          <w:tcPr>
            <w:tcW w:w="297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10784</w:t>
            </w:r>
          </w:p>
        </w:tc>
        <w:tc>
          <w:tcPr>
            <w:tcW w:w="239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9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42</w:t>
            </w:r>
          </w:p>
        </w:tc>
        <w:tc>
          <w:tcPr>
            <w:tcW w:w="2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行政学院至碧水云天道路</w:t>
            </w:r>
          </w:p>
        </w:tc>
        <w:tc>
          <w:tcPr>
            <w:tcW w:w="297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23840</w:t>
            </w:r>
          </w:p>
        </w:tc>
        <w:tc>
          <w:tcPr>
            <w:tcW w:w="239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9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auto"/>
                <w:sz w:val="18"/>
                <w:szCs w:val="18"/>
                <w:highlight w:val="none"/>
                <w:u w:val="none"/>
              </w:rPr>
            </w:pPr>
          </w:p>
        </w:tc>
        <w:tc>
          <w:tcPr>
            <w:tcW w:w="2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合计</w:t>
            </w:r>
          </w:p>
        </w:tc>
        <w:tc>
          <w:tcPr>
            <w:tcW w:w="297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1255833</w:t>
            </w:r>
          </w:p>
        </w:tc>
        <w:tc>
          <w:tcPr>
            <w:tcW w:w="239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auto"/>
                <w:sz w:val="18"/>
                <w:szCs w:val="18"/>
                <w:highlight w:val="none"/>
                <w:u w:val="none"/>
              </w:rPr>
            </w:pPr>
          </w:p>
        </w:tc>
      </w:tr>
    </w:tbl>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460" w:lineRule="exact"/>
        <w:ind w:right="0"/>
        <w:textAlignment w:val="baseline"/>
        <w:outlineLvl w:val="1"/>
        <w:rPr>
          <w:rFonts w:hint="eastAsia" w:ascii="宋体" w:hAnsi="宋体" w:eastAsia="宋体" w:cs="宋体"/>
          <w:b/>
          <w:bCs/>
          <w:color w:val="auto"/>
          <w:kern w:val="2"/>
          <w:sz w:val="24"/>
          <w:szCs w:val="24"/>
          <w:highlight w:val="none"/>
          <w:lang w:val="en-US" w:eastAsia="zh-CN" w:bidi="ar-SA"/>
        </w:rPr>
      </w:pP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460" w:lineRule="exact"/>
        <w:ind w:right="0"/>
        <w:textAlignment w:val="baseline"/>
        <w:outlineLvl w:val="1"/>
        <w:rPr>
          <w:rFonts w:hint="eastAsia" w:ascii="宋体" w:hAnsi="宋体" w:eastAsia="宋体" w:cs="宋体"/>
          <w:b/>
          <w:bCs/>
          <w:color w:val="auto"/>
          <w:kern w:val="2"/>
          <w:sz w:val="24"/>
          <w:szCs w:val="24"/>
          <w:highlight w:val="none"/>
          <w:lang w:val="en-US" w:eastAsia="zh-CN" w:bidi="ar-SA"/>
        </w:rPr>
      </w:pP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460" w:lineRule="exact"/>
        <w:ind w:right="0" w:firstLine="482" w:firstLineChars="200"/>
        <w:textAlignment w:val="baseline"/>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w:t>
      </w:r>
      <w:r>
        <w:rPr>
          <w:rFonts w:hint="eastAsia" w:ascii="宋体" w:hAnsi="宋体" w:cs="宋体"/>
          <w:b/>
          <w:bCs/>
          <w:color w:val="auto"/>
          <w:kern w:val="2"/>
          <w:sz w:val="24"/>
          <w:szCs w:val="24"/>
          <w:highlight w:val="none"/>
          <w:lang w:val="en-US" w:eastAsia="zh-CN" w:bidi="ar-SA"/>
        </w:rPr>
        <w:t>七</w:t>
      </w:r>
      <w:r>
        <w:rPr>
          <w:rFonts w:hint="eastAsia" w:ascii="宋体" w:hAnsi="宋体" w:eastAsia="宋体" w:cs="宋体"/>
          <w:b/>
          <w:bCs/>
          <w:color w:val="auto"/>
          <w:kern w:val="2"/>
          <w:sz w:val="24"/>
          <w:szCs w:val="24"/>
          <w:highlight w:val="none"/>
          <w:lang w:val="en-US" w:eastAsia="zh-CN" w:bidi="ar-SA"/>
        </w:rPr>
        <w:t>）项目管理标准</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(1)园林绿化养护等级及标准</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等级划分和标准参考新疆维吾尔自治区《城市绿地养护管理标准》XJJ046-2012，结合本项目所在地实际情况，制定如下：</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1.绿地养护管理等级划分及适用范围：</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依据绿地内植物配置形式，结合绿地所处地理位置和绿地功能确定绿地等级。</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一级绿地养护管理：适用于植物配置为乔灌草(花)结合的复合式绿地或园区主要景观道路及节点绿地。</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二级绿地养护管理：适用于植物配置为乔灌(绿篱、色块)结合的绿地或园区次要景观道路及节点绿地。</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三级绿地养护管理：适用植物配置为单一乔木绿地或园区一般道路绿地。</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项目移交管理前绿化内缺失树木补植，由甲方负责提供苗木，养护单位负责种植。交由养护单位管理后，由于养护单位管理不善造成的树木死亡，由养护单位无自行承担树木补植。</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2.绿地养护管理标准：</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2.1 一级绿地养护管理标准</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2.1.1 树木树冠完整美观，分枝点合适，枝条粗壮，无枯枝死杈及病虫枝；主侧枝分布匀称、数量适宜、修剪科学合理；内膛疏空,通风透光；落叶树新梢生长健壮，无黄叶、焦叶、卷叶；树干挺直，歪斜树木及时扶正，树木倾斜度小于10度，树木支架措施得当。</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2.1.2 绿篱、色块、模纹等修剪及时，枝叶茂密整齐，按要求高度修剪，修剪要符合几何图案要求，平面、立面平整，边角整齐，曲线流畅，修剪下枝叶及时清理。</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2.1.3 花坛、花带、花境轮廓清晰，整齐美观，色彩艳丽，花期一致，花大叶肥，植株高矮一致；定植前施基肥，养护月里定期中耕除草松土。</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2.1.4 草坪草生长旺盛，生机勃勃，高度一致，色泽正常，无枯黄；草坪定期修剪，草坪高度、边缘整齐，无漏剪，高度控制在10cm~15cm，秋季最后一次修剪高度控制在6cm。</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2.1.5 灌溉根据不同植物生物学特性(树木、花、草)大小、季节、土壤情况确定。须做到及时、适量、浇足浇遍、不遗漏地块和植株，植物生长无枯黄、萎蔫、非正常落叶等旱相，无跑冒滴漏、过量灌溉浪费水现象。</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2.1.6 施肥符合施肥技术标准要求，不因过量或不均匀引起烧伤肥害现象；化学肥料和有机肥料交替使用，施肥后及时灌溉。</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2.1.7 病虫害及时控制，绿地内枝稍被害率不超过5%。病害感病株率不超过5%；无药害。</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2.1.8 及时清除绿地内杂草，按技术要求开展除草工作，不损伤植物根系。</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2.1.9 树木涂白的高度为1.2m~1.4m，花灌木1m。刷白均匀细致，同一路段、区域的涂干高度一致，树皮的裂隙应全部粉刷，粉刷材料不滴溅到路面或地被植物上。</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2.1.10 绿化灌溉设施完好，运行正常；滴管摆放整齐美观，喷头布置科学合理，喷洒全面均匀；滴头无堵塞，出现故障及时排除。</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2.1.11 绿地内园林建筑、栏杆</w:t>
      </w:r>
      <w:r>
        <w:rPr>
          <w:rFonts w:hint="eastAsia" w:ascii="宋体" w:hAnsi="宋体" w:cs="宋体"/>
          <w:color w:val="auto"/>
          <w:kern w:val="2"/>
          <w:sz w:val="24"/>
          <w:szCs w:val="24"/>
          <w:highlight w:val="none"/>
          <w:lang w:val="en-US" w:eastAsia="zh-CN" w:bidi="ar-SA"/>
        </w:rPr>
        <w:t>（汉白玉栏杆除外）</w:t>
      </w:r>
      <w:r>
        <w:rPr>
          <w:rFonts w:hint="eastAsia" w:ascii="宋体" w:hAnsi="宋体" w:eastAsia="宋体" w:cs="宋体"/>
          <w:color w:val="auto"/>
          <w:kern w:val="2"/>
          <w:sz w:val="24"/>
          <w:szCs w:val="24"/>
          <w:highlight w:val="none"/>
          <w:lang w:val="en-US" w:eastAsia="zh-CN" w:bidi="ar-SA"/>
        </w:rPr>
        <w:t>、园路、桌椅、路灯、指示牌、果皮箱等园林设施完好、整洁。</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2.1.12 绿地整洁，无各类杂物、建筑垃圾(砖头、石块等)，无绿化生产垃圾(如树枝、树叶、草屑、杂草、废土等)，无焚烧垃圾等现象，以上垃圾做到随产随清，加大巡视保洁。</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2.1.13 绿化带红线不被侵占，无乱摆、乱放、乱停、人为践踏等现象；灌溉设施完备，无盗窃丢失及盗用绿化用水等现象；花草树木不受破坏，树干上无拴挂和刻划；无树木倾倒、树根裸露现象。</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2.1.14 养护区域内苗木因大风、雨水、冰雹、雪灾等灾害性天气及突发事件造成树枝弯折或倒伏或根部裸露的，应24小时内处理完毕，存在安全隐患的，要即时进行安全防护。</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2.2 二级绿地养护管理标准</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2.2.1 树木树冠完整美观，分枝点合适,枝条粗壮，无枯枝死杈及病虫枝；主侧枝分布匀称、数量适宜、修剪科学合理；内膛疏空，通风透光；落叶树新梢生长健壮，无黄叶、焦叶、卷叶；树干挺直，歪斜树木及时扶正，树木倾斜度小于10度，树木支架措施得当。</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2.2.2 绿篱修剪及时，枝叶茂密整齐，按要求高度修剪，平面、立面三面平整，边角整齐，修剪下枝叶及时清理，无死株、断档，苗木长势良好；无明显落叶积压，无垃圾污物，新生萌蘖枝条高于原面长度，紫穗槐应不大于30cm，其他不大于15cm。</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2.2.3 灌溉根据不同植物生物学特性(树木、花、草)大小、季节、土壤情况确定。须做到及时、适量、浇足浇遍、不遗漏地块和植株，植物生长无枯黄、萎蔫、非正常落叶等旱相，无跑冒滴漏、过量灌溉浪费水现象。</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2.2.4 施肥适量、均匀，符合技术标准要求，不因过量或不均匀引起肥害；化学肥料和有机肥料交替使用，施肥后及时灌溉。</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2.2.5 病虫害及时控制，绿地内枝稍被害率不超过8%。病害感病株率不超过8%；无药害。</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2.2.6 及时清除绿地内杂草，无大株杂草，按技术要求开展除草工作，不损伤植物根系。</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2.2.7 树木涂白的刷白高度为1.2m-1.4m，花灌木1m。刷白均匀细致，同一路段、区域的涂干高度一致，树皮的裂隙应全部粉刷，粉刷材料不滴溅到路面或地被植物上。</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2.2.8 绿化灌溉设施完好，运行正常；整体无滴漏现象。</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2.2.9 绿地整洁，无各类杂物、建筑垃圾(砖头、石块等)，无绿化生产垃圾(如树枝、树叶、草屑、杂草、废土等)，无焚烧垃圾现象等，以上垃圾做到日产日清，加大巡视保洁。</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2.2.10 绿化带红线不被侵占，无乱摆、乱放、乱停、人为践踏等现象；灌溉设施完备，无盗窃丢失及盗用绿化用水等现象；花草树木不受破坏，树干上无钉钉、拴挂和刻划；无树木倾倒、树根裸露现象。</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2.2.11 养护区域内苗木因大风、雨水、冰雹、雪灾等灾害性天气及突发事件造成树枝弯折或倒伏或根部裸露的，应24小时内处理完毕，存在安全隐患的，要即时进行安全防护。</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2.3 三级绿地养护管理标准</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2.3.1 树木树冠完整美观，分枝点合适，枝条粗壮，无枯枝死杈及病虫枝；主侧枝分布匀称、数量适宜、修剪科学合理；内膛疏空，通风透光；落叶树新梢生长健壮，无黄叶、焦叶、卷叶。</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2.3.2 灌溉根据不同植物生物学特性(树木、花、草)大小、季节、土壤情况确定，须做到及时、适量、浇足浇遍、不遗漏地块和植株，植物生长无枯黄、萎蔫、非正常落叶等旱相，无跑冒滴漏、过量灌溉浪费水现象。</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2.3.3 施肥适量、均匀，符合技术标准要求，不因过量或不均匀引起肥害；化学肥料和有机肥料交替使用，施肥后及时灌溉。</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2.3.4 病虫害及时控制，无药害。及时抹芽，及时清除绿地内杂草，按技术要求开展除草工作，不损伤植物根系。</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2.3.5 树木涂白的刷白高度为1.2m。刷白均匀细致，高度一致，树皮的裂隙应全部粉刷，粉刷材料不滴溅到路面。</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2.3.6 绿化灌溉设施完好，运行正常；绿地整洁，无各类杂物、建筑垃圾(砖头、石块等)，无绿化生产垃圾(如树枝、树叶、草屑、杂草、废土等)等。</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2.3.7 绿地完整，绿地红线不被侵占，无乱摆、乱放、乱停、人为践踏等现象；灌溉设施完备，无盗窃丢失及盗用绿化用水等现象；花草树木不受破坏，树干上无钉钉、拴挂和刻划；无树木倾倒、树根裸露现象。</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2.3.8 养护区域内苗木因大风、雨水、冰雹、雪灾等灾害性天气及突发事件造成树枝弯折或倒伏或根部裸露的，存在安全隐患的，要即时进行安全防护。</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(2) 环卫清扫保洁标准</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1. 清扫保洁等级划分及适用范围</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1.1 道路保洁范围</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1.1.1 道路保洁范围应为机动车行道、非机动车行道、人行道及其他设施等。</w:t>
      </w:r>
    </w:p>
    <w:p>
      <w:pPr>
        <w:pStyle w:val="13"/>
        <w:pageBreakBefore w:val="0"/>
        <w:numPr>
          <w:ilvl w:val="0"/>
          <w:numId w:val="5"/>
        </w:numPr>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kern w:val="2"/>
          <w:sz w:val="24"/>
          <w:szCs w:val="24"/>
          <w:highlight w:val="none"/>
          <w:lang w:val="en-US" w:eastAsia="zh-CN" w:bidi="ar-SA"/>
        </w:rPr>
        <w:t>道路清扫、保洁的通用质量要求：</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2.1 各级道路保洁质量要求表</w:t>
      </w:r>
    </w:p>
    <w:tbl>
      <w:tblPr>
        <w:tblStyle w:val="54"/>
        <w:tblW w:w="832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3"/>
        <w:gridCol w:w="559"/>
        <w:gridCol w:w="654"/>
        <w:gridCol w:w="1308"/>
        <w:gridCol w:w="900"/>
        <w:gridCol w:w="806"/>
        <w:gridCol w:w="882"/>
        <w:gridCol w:w="881"/>
        <w:gridCol w:w="900"/>
        <w:gridCol w:w="9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3" w:hRule="atLeast"/>
        </w:trPr>
        <w:tc>
          <w:tcPr>
            <w:tcW w:w="533" w:type="dxa"/>
            <w:noWrap w:val="0"/>
            <w:vAlign w:val="center"/>
          </w:tcPr>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460" w:lineRule="exact"/>
              <w:ind w:left="0" w:leftChars="0" w:right="0"/>
              <w:jc w:val="center"/>
              <w:textAlignment w:val="baseline"/>
              <w:outlineLvl w:val="9"/>
              <w:rPr>
                <w:rFonts w:hint="eastAsia" w:ascii="宋体" w:hAnsi="宋体" w:eastAsia="宋体" w:cs="宋体"/>
                <w:color w:val="auto"/>
                <w:sz w:val="22"/>
                <w:szCs w:val="22"/>
                <w:highlight w:val="none"/>
              </w:rPr>
            </w:pPr>
          </w:p>
        </w:tc>
        <w:tc>
          <w:tcPr>
            <w:tcW w:w="4227" w:type="dxa"/>
            <w:gridSpan w:val="5"/>
            <w:noWrap w:val="0"/>
            <w:vAlign w:val="center"/>
          </w:tcPr>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460" w:lineRule="exact"/>
              <w:ind w:left="0" w:leftChars="0" w:right="0"/>
              <w:jc w:val="center"/>
              <w:textAlignment w:val="baseline"/>
              <w:outlineLvl w:val="9"/>
              <w:rPr>
                <w:rFonts w:hint="eastAsia" w:ascii="宋体" w:hAnsi="宋体" w:eastAsia="宋体" w:cs="宋体"/>
                <w:color w:val="auto"/>
                <w:sz w:val="22"/>
                <w:szCs w:val="22"/>
                <w:highlight w:val="none"/>
              </w:rPr>
            </w:pPr>
            <w:r>
              <w:rPr>
                <w:rFonts w:hint="eastAsia" w:ascii="宋体" w:hAnsi="宋体" w:eastAsia="宋体" w:cs="宋体"/>
                <w:color w:val="auto"/>
                <w:spacing w:val="9"/>
                <w:sz w:val="22"/>
                <w:szCs w:val="22"/>
                <w:highlight w:val="none"/>
              </w:rPr>
              <w:t>道路清扫</w:t>
            </w:r>
          </w:p>
        </w:tc>
        <w:tc>
          <w:tcPr>
            <w:tcW w:w="2663" w:type="dxa"/>
            <w:gridSpan w:val="3"/>
            <w:noWrap w:val="0"/>
            <w:vAlign w:val="center"/>
          </w:tcPr>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460" w:lineRule="exact"/>
              <w:ind w:left="0" w:leftChars="0" w:right="0"/>
              <w:jc w:val="center"/>
              <w:textAlignment w:val="baseline"/>
              <w:outlineLvl w:val="9"/>
              <w:rPr>
                <w:rFonts w:hint="eastAsia" w:ascii="宋体" w:hAnsi="宋体" w:eastAsia="宋体" w:cs="宋体"/>
                <w:color w:val="auto"/>
                <w:sz w:val="22"/>
                <w:szCs w:val="22"/>
                <w:highlight w:val="none"/>
              </w:rPr>
            </w:pPr>
            <w:r>
              <w:rPr>
                <w:rFonts w:hint="eastAsia" w:ascii="宋体" w:hAnsi="宋体" w:eastAsia="宋体" w:cs="宋体"/>
                <w:color w:val="auto"/>
                <w:spacing w:val="9"/>
                <w:sz w:val="22"/>
                <w:szCs w:val="22"/>
                <w:highlight w:val="none"/>
              </w:rPr>
              <w:t>道路保洁</w:t>
            </w:r>
          </w:p>
        </w:tc>
        <w:tc>
          <w:tcPr>
            <w:tcW w:w="900" w:type="dxa"/>
            <w:vMerge w:val="restart"/>
            <w:tcBorders>
              <w:bottom w:val="nil"/>
            </w:tcBorders>
            <w:noWrap w:val="0"/>
            <w:vAlign w:val="center"/>
          </w:tcPr>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460" w:lineRule="exact"/>
              <w:ind w:left="0" w:leftChars="0" w:right="0"/>
              <w:jc w:val="center"/>
              <w:textAlignment w:val="baseline"/>
              <w:outlineLvl w:val="9"/>
              <w:rPr>
                <w:rFonts w:hint="eastAsia" w:ascii="宋体" w:hAnsi="宋体" w:eastAsia="宋体" w:cs="宋体"/>
                <w:color w:val="auto"/>
                <w:sz w:val="22"/>
                <w:szCs w:val="22"/>
                <w:highlight w:val="none"/>
              </w:rPr>
            </w:pPr>
            <w:r>
              <w:rPr>
                <w:rFonts w:hint="eastAsia" w:ascii="宋体" w:hAnsi="宋体" w:eastAsia="宋体" w:cs="宋体"/>
                <w:color w:val="auto"/>
                <w:spacing w:val="10"/>
                <w:sz w:val="22"/>
                <w:szCs w:val="22"/>
                <w:highlight w:val="none"/>
              </w:rPr>
              <w:t>整</w:t>
            </w:r>
            <w:r>
              <w:rPr>
                <w:rFonts w:hint="eastAsia" w:ascii="宋体" w:hAnsi="宋体" w:eastAsia="宋体" w:cs="宋体"/>
                <w:color w:val="auto"/>
                <w:spacing w:val="9"/>
                <w:sz w:val="22"/>
                <w:szCs w:val="22"/>
                <w:highlight w:val="none"/>
              </w:rPr>
              <w:t>改</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460" w:lineRule="exact"/>
              <w:ind w:left="0" w:leftChars="0" w:right="0"/>
              <w:jc w:val="center"/>
              <w:textAlignment w:val="baseline"/>
              <w:outlineLvl w:val="9"/>
              <w:rPr>
                <w:rFonts w:hint="eastAsia" w:ascii="宋体" w:hAnsi="宋体" w:eastAsia="宋体" w:cs="宋体"/>
                <w:color w:val="auto"/>
                <w:sz w:val="22"/>
                <w:szCs w:val="22"/>
                <w:highlight w:val="none"/>
              </w:rPr>
            </w:pPr>
            <w:r>
              <w:rPr>
                <w:rFonts w:hint="eastAsia" w:ascii="宋体" w:hAnsi="宋体" w:eastAsia="宋体" w:cs="宋体"/>
                <w:color w:val="auto"/>
                <w:spacing w:val="8"/>
                <w:sz w:val="22"/>
                <w:szCs w:val="22"/>
                <w:highlight w:val="none"/>
              </w:rPr>
              <w:t>完</w:t>
            </w:r>
            <w:r>
              <w:rPr>
                <w:rFonts w:hint="eastAsia" w:ascii="宋体" w:hAnsi="宋体" w:eastAsia="宋体" w:cs="宋体"/>
                <w:color w:val="auto"/>
                <w:spacing w:val="7"/>
                <w:sz w:val="22"/>
                <w:szCs w:val="22"/>
                <w:highlight w:val="none"/>
              </w:rPr>
              <w:t>成</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460" w:lineRule="exact"/>
              <w:ind w:left="0" w:leftChars="0" w:right="0"/>
              <w:jc w:val="center"/>
              <w:textAlignment w:val="baseline"/>
              <w:outlineLvl w:val="9"/>
              <w:rPr>
                <w:rFonts w:hint="eastAsia" w:ascii="宋体" w:hAnsi="宋体" w:eastAsia="宋体" w:cs="宋体"/>
                <w:color w:val="auto"/>
                <w:sz w:val="22"/>
                <w:szCs w:val="22"/>
                <w:highlight w:val="none"/>
              </w:rPr>
            </w:pPr>
            <w:r>
              <w:rPr>
                <w:rFonts w:hint="eastAsia" w:ascii="宋体" w:hAnsi="宋体" w:eastAsia="宋体" w:cs="宋体"/>
                <w:color w:val="auto"/>
                <w:spacing w:val="4"/>
                <w:sz w:val="22"/>
                <w:szCs w:val="22"/>
                <w:highlight w:val="none"/>
              </w:rPr>
              <w:t>时</w:t>
            </w:r>
            <w:r>
              <w:rPr>
                <w:rFonts w:hint="eastAsia" w:ascii="宋体" w:hAnsi="宋体" w:eastAsia="宋体" w:cs="宋体"/>
                <w:color w:val="auto"/>
                <w:spacing w:val="3"/>
                <w:sz w:val="22"/>
                <w:szCs w:val="22"/>
                <w:highlight w:val="none"/>
              </w:rPr>
              <w:t>间</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460" w:lineRule="exact"/>
              <w:ind w:left="0" w:leftChars="0" w:right="0"/>
              <w:jc w:val="center"/>
              <w:textAlignment w:val="baseline"/>
              <w:outlineLvl w:val="9"/>
              <w:rPr>
                <w:rFonts w:hint="eastAsia" w:ascii="宋体" w:hAnsi="宋体" w:eastAsia="宋体" w:cs="宋体"/>
                <w:color w:val="auto"/>
                <w:sz w:val="22"/>
                <w:szCs w:val="22"/>
                <w:highlight w:val="none"/>
              </w:rPr>
            </w:pPr>
            <w:r>
              <w:rPr>
                <w:rFonts w:hint="eastAsia" w:ascii="宋体" w:hAnsi="宋体" w:eastAsia="宋体" w:cs="宋体"/>
                <w:color w:val="auto"/>
                <w:spacing w:val="4"/>
                <w:sz w:val="22"/>
                <w:szCs w:val="22"/>
                <w:highlight w:val="none"/>
              </w:rPr>
              <w:t>(</w:t>
            </w:r>
            <w:r>
              <w:rPr>
                <w:rFonts w:hint="eastAsia" w:ascii="宋体" w:hAnsi="宋体" w:eastAsia="宋体" w:cs="宋体"/>
                <w:color w:val="auto"/>
                <w:sz w:val="22"/>
                <w:szCs w:val="22"/>
                <w:highlight w:val="none"/>
              </w:rPr>
              <w:t>min</w:t>
            </w:r>
            <w:r>
              <w:rPr>
                <w:rFonts w:hint="eastAsia" w:ascii="宋体" w:hAnsi="宋体" w:eastAsia="宋体" w:cs="宋体"/>
                <w:color w:val="auto"/>
                <w:spacing w:val="4"/>
                <w:sz w:val="22"/>
                <w:szCs w:val="22"/>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3" w:hRule="atLeast"/>
        </w:trPr>
        <w:tc>
          <w:tcPr>
            <w:tcW w:w="533" w:type="dxa"/>
            <w:noWrap w:val="0"/>
            <w:textDirection w:val="tbRlV"/>
            <w:vAlign w:val="center"/>
          </w:tcPr>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460" w:lineRule="exact"/>
              <w:ind w:left="0" w:leftChars="0" w:right="0"/>
              <w:jc w:val="center"/>
              <w:textAlignment w:val="baseline"/>
              <w:outlineLvl w:val="9"/>
              <w:rPr>
                <w:rFonts w:hint="eastAsia" w:ascii="宋体" w:hAnsi="宋体" w:eastAsia="宋体" w:cs="宋体"/>
                <w:color w:val="auto"/>
                <w:sz w:val="22"/>
                <w:szCs w:val="22"/>
                <w:highlight w:val="none"/>
              </w:rPr>
            </w:pPr>
            <w:r>
              <w:rPr>
                <w:rFonts w:hint="eastAsia" w:ascii="宋体" w:hAnsi="宋体" w:eastAsia="宋体" w:cs="宋体"/>
                <w:color w:val="auto"/>
                <w:spacing w:val="2"/>
                <w:sz w:val="22"/>
                <w:szCs w:val="22"/>
                <w:highlight w:val="none"/>
              </w:rPr>
              <w:t>道路</w:t>
            </w:r>
            <w:r>
              <w:rPr>
                <w:rFonts w:hint="eastAsia" w:ascii="宋体" w:hAnsi="宋体" w:eastAsia="宋体" w:cs="宋体"/>
                <w:color w:val="auto"/>
                <w:spacing w:val="1"/>
                <w:sz w:val="22"/>
                <w:szCs w:val="22"/>
                <w:highlight w:val="none"/>
              </w:rPr>
              <w:t>等级</w:t>
            </w:r>
          </w:p>
        </w:tc>
        <w:tc>
          <w:tcPr>
            <w:tcW w:w="559" w:type="dxa"/>
            <w:noWrap w:val="0"/>
            <w:textDirection w:val="tbRlV"/>
            <w:vAlign w:val="center"/>
          </w:tcPr>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460" w:lineRule="exact"/>
              <w:ind w:left="0" w:leftChars="0" w:right="0"/>
              <w:jc w:val="center"/>
              <w:textAlignment w:val="baseline"/>
              <w:outlineLvl w:val="9"/>
              <w:rPr>
                <w:rFonts w:hint="eastAsia" w:ascii="宋体" w:hAnsi="宋体" w:eastAsia="宋体" w:cs="宋体"/>
                <w:color w:val="auto"/>
                <w:sz w:val="22"/>
                <w:szCs w:val="22"/>
                <w:highlight w:val="none"/>
              </w:rPr>
            </w:pPr>
            <w:r>
              <w:rPr>
                <w:rFonts w:hint="eastAsia" w:ascii="宋体" w:hAnsi="宋体" w:eastAsia="宋体" w:cs="宋体"/>
                <w:color w:val="auto"/>
                <w:spacing w:val="2"/>
                <w:sz w:val="22"/>
                <w:szCs w:val="22"/>
                <w:highlight w:val="none"/>
              </w:rPr>
              <w:t>清扫次数</w:t>
            </w:r>
          </w:p>
        </w:tc>
        <w:tc>
          <w:tcPr>
            <w:tcW w:w="654" w:type="dxa"/>
            <w:noWrap w:val="0"/>
            <w:vAlign w:val="center"/>
          </w:tcPr>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460" w:lineRule="exact"/>
              <w:ind w:left="0" w:leftChars="0" w:right="0"/>
              <w:jc w:val="center"/>
              <w:textAlignment w:val="baseline"/>
              <w:outlineLvl w:val="9"/>
              <w:rPr>
                <w:rFonts w:hint="eastAsia" w:ascii="宋体" w:hAnsi="宋体" w:eastAsia="宋体" w:cs="宋体"/>
                <w:color w:val="auto"/>
                <w:sz w:val="22"/>
                <w:szCs w:val="22"/>
                <w:highlight w:val="none"/>
              </w:rPr>
            </w:pPr>
            <w:r>
              <w:rPr>
                <w:rFonts w:hint="eastAsia" w:ascii="宋体" w:hAnsi="宋体" w:eastAsia="宋体" w:cs="宋体"/>
                <w:color w:val="auto"/>
                <w:spacing w:val="8"/>
                <w:sz w:val="22"/>
                <w:szCs w:val="22"/>
                <w:highlight w:val="none"/>
              </w:rPr>
              <w:t>路面</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460" w:lineRule="exact"/>
              <w:ind w:left="0" w:leftChars="0" w:right="0"/>
              <w:jc w:val="center"/>
              <w:textAlignment w:val="baseline"/>
              <w:outlineLvl w:val="9"/>
              <w:rPr>
                <w:rFonts w:hint="eastAsia" w:ascii="宋体" w:hAnsi="宋体" w:eastAsia="宋体" w:cs="宋体"/>
                <w:color w:val="auto"/>
                <w:sz w:val="22"/>
                <w:szCs w:val="22"/>
                <w:highlight w:val="none"/>
              </w:rPr>
            </w:pPr>
            <w:r>
              <w:rPr>
                <w:rFonts w:hint="eastAsia" w:ascii="宋体" w:hAnsi="宋体" w:eastAsia="宋体" w:cs="宋体"/>
                <w:color w:val="auto"/>
                <w:spacing w:val="7"/>
                <w:sz w:val="22"/>
                <w:szCs w:val="22"/>
                <w:highlight w:val="none"/>
              </w:rPr>
              <w:t>冲</w:t>
            </w:r>
            <w:r>
              <w:rPr>
                <w:rFonts w:hint="eastAsia" w:ascii="宋体" w:hAnsi="宋体" w:eastAsia="宋体" w:cs="宋体"/>
                <w:color w:val="auto"/>
                <w:spacing w:val="6"/>
                <w:sz w:val="22"/>
                <w:szCs w:val="22"/>
                <w:highlight w:val="none"/>
              </w:rPr>
              <w:t>洗</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460" w:lineRule="exact"/>
              <w:ind w:left="0" w:leftChars="0" w:right="0"/>
              <w:jc w:val="center"/>
              <w:textAlignment w:val="baseline"/>
              <w:outlineLvl w:val="9"/>
              <w:rPr>
                <w:rFonts w:hint="eastAsia" w:ascii="宋体" w:hAnsi="宋体" w:eastAsia="宋体" w:cs="宋体"/>
                <w:color w:val="auto"/>
                <w:sz w:val="22"/>
                <w:szCs w:val="22"/>
                <w:highlight w:val="none"/>
              </w:rPr>
            </w:pPr>
            <w:r>
              <w:rPr>
                <w:rFonts w:hint="eastAsia" w:ascii="宋体" w:hAnsi="宋体" w:eastAsia="宋体" w:cs="宋体"/>
                <w:color w:val="auto"/>
                <w:spacing w:val="9"/>
                <w:sz w:val="22"/>
                <w:szCs w:val="22"/>
                <w:highlight w:val="none"/>
              </w:rPr>
              <w:t>次</w:t>
            </w:r>
            <w:r>
              <w:rPr>
                <w:rFonts w:hint="eastAsia" w:ascii="宋体" w:hAnsi="宋体" w:eastAsia="宋体" w:cs="宋体"/>
                <w:color w:val="auto"/>
                <w:spacing w:val="8"/>
                <w:sz w:val="22"/>
                <w:szCs w:val="22"/>
                <w:highlight w:val="none"/>
              </w:rPr>
              <w:t>数</w:t>
            </w:r>
          </w:p>
        </w:tc>
        <w:tc>
          <w:tcPr>
            <w:tcW w:w="1308" w:type="dxa"/>
            <w:noWrap w:val="0"/>
            <w:vAlign w:val="center"/>
          </w:tcPr>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460" w:lineRule="exact"/>
              <w:ind w:left="0" w:leftChars="0" w:right="0"/>
              <w:jc w:val="center"/>
              <w:textAlignment w:val="baseline"/>
              <w:outlineLvl w:val="9"/>
              <w:rPr>
                <w:rFonts w:hint="eastAsia" w:ascii="宋体" w:hAnsi="宋体" w:eastAsia="宋体" w:cs="宋体"/>
                <w:color w:val="auto"/>
                <w:sz w:val="22"/>
                <w:szCs w:val="22"/>
                <w:highlight w:val="none"/>
              </w:rPr>
            </w:pPr>
            <w:r>
              <w:rPr>
                <w:rFonts w:hint="eastAsia" w:ascii="宋体" w:hAnsi="宋体" w:eastAsia="宋体" w:cs="宋体"/>
                <w:color w:val="auto"/>
                <w:spacing w:val="9"/>
                <w:sz w:val="22"/>
                <w:szCs w:val="22"/>
                <w:highlight w:val="none"/>
              </w:rPr>
              <w:t>清扫保洁</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460" w:lineRule="exact"/>
              <w:ind w:left="0" w:leftChars="0" w:right="0"/>
              <w:jc w:val="center"/>
              <w:textAlignment w:val="baseline"/>
              <w:outlineLvl w:val="9"/>
              <w:rPr>
                <w:rFonts w:hint="eastAsia" w:ascii="宋体" w:hAnsi="宋体" w:eastAsia="宋体" w:cs="宋体"/>
                <w:color w:val="auto"/>
                <w:sz w:val="22"/>
                <w:szCs w:val="22"/>
                <w:highlight w:val="none"/>
              </w:rPr>
            </w:pPr>
            <w:r>
              <w:rPr>
                <w:rFonts w:hint="eastAsia" w:ascii="宋体" w:hAnsi="宋体" w:eastAsia="宋体" w:cs="宋体"/>
                <w:color w:val="auto"/>
                <w:spacing w:val="4"/>
                <w:sz w:val="22"/>
                <w:szCs w:val="22"/>
                <w:highlight w:val="none"/>
              </w:rPr>
              <w:t>时</w:t>
            </w:r>
            <w:r>
              <w:rPr>
                <w:rFonts w:hint="eastAsia" w:ascii="宋体" w:hAnsi="宋体" w:eastAsia="宋体" w:cs="宋体"/>
                <w:color w:val="auto"/>
                <w:spacing w:val="3"/>
                <w:sz w:val="22"/>
                <w:szCs w:val="22"/>
                <w:highlight w:val="none"/>
              </w:rPr>
              <w:t>间</w:t>
            </w:r>
          </w:p>
        </w:tc>
        <w:tc>
          <w:tcPr>
            <w:tcW w:w="900" w:type="dxa"/>
            <w:noWrap w:val="0"/>
            <w:vAlign w:val="center"/>
          </w:tcPr>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460" w:lineRule="exact"/>
              <w:ind w:left="0" w:leftChars="0" w:right="0"/>
              <w:jc w:val="center"/>
              <w:textAlignment w:val="baseline"/>
              <w:outlineLvl w:val="9"/>
              <w:rPr>
                <w:rFonts w:hint="eastAsia" w:ascii="宋体" w:hAnsi="宋体" w:eastAsia="宋体" w:cs="宋体"/>
                <w:color w:val="auto"/>
                <w:sz w:val="22"/>
                <w:szCs w:val="22"/>
                <w:highlight w:val="none"/>
              </w:rPr>
            </w:pPr>
            <w:r>
              <w:rPr>
                <w:rFonts w:hint="eastAsia" w:ascii="宋体" w:hAnsi="宋体" w:eastAsia="宋体" w:cs="宋体"/>
                <w:color w:val="auto"/>
                <w:spacing w:val="8"/>
                <w:sz w:val="22"/>
                <w:szCs w:val="22"/>
                <w:highlight w:val="none"/>
              </w:rPr>
              <w:t>洒水</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460" w:lineRule="exact"/>
              <w:ind w:left="0" w:leftChars="0" w:right="0"/>
              <w:jc w:val="center"/>
              <w:textAlignment w:val="baseline"/>
              <w:outlineLvl w:val="9"/>
              <w:rPr>
                <w:rFonts w:hint="eastAsia" w:ascii="宋体" w:hAnsi="宋体" w:eastAsia="宋体" w:cs="宋体"/>
                <w:color w:val="auto"/>
                <w:sz w:val="22"/>
                <w:szCs w:val="22"/>
                <w:highlight w:val="none"/>
              </w:rPr>
            </w:pPr>
            <w:r>
              <w:rPr>
                <w:rFonts w:hint="eastAsia" w:ascii="宋体" w:hAnsi="宋体" w:eastAsia="宋体" w:cs="宋体"/>
                <w:color w:val="auto"/>
                <w:spacing w:val="8"/>
                <w:sz w:val="22"/>
                <w:szCs w:val="22"/>
                <w:highlight w:val="none"/>
              </w:rPr>
              <w:t>抑尘</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460" w:lineRule="exact"/>
              <w:ind w:left="0" w:leftChars="0" w:right="0"/>
              <w:jc w:val="center"/>
              <w:textAlignment w:val="baseline"/>
              <w:outlineLvl w:val="9"/>
              <w:rPr>
                <w:rFonts w:hint="eastAsia" w:ascii="宋体" w:hAnsi="宋体" w:eastAsia="宋体" w:cs="宋体"/>
                <w:color w:val="auto"/>
                <w:sz w:val="22"/>
                <w:szCs w:val="22"/>
                <w:highlight w:val="none"/>
              </w:rPr>
            </w:pPr>
            <w:r>
              <w:rPr>
                <w:rFonts w:hint="eastAsia" w:ascii="宋体" w:hAnsi="宋体" w:eastAsia="宋体" w:cs="宋体"/>
                <w:color w:val="auto"/>
                <w:spacing w:val="9"/>
                <w:sz w:val="22"/>
                <w:szCs w:val="22"/>
                <w:highlight w:val="none"/>
              </w:rPr>
              <w:t>次</w:t>
            </w:r>
            <w:r>
              <w:rPr>
                <w:rFonts w:hint="eastAsia" w:ascii="宋体" w:hAnsi="宋体" w:eastAsia="宋体" w:cs="宋体"/>
                <w:color w:val="auto"/>
                <w:spacing w:val="8"/>
                <w:sz w:val="22"/>
                <w:szCs w:val="22"/>
                <w:highlight w:val="none"/>
              </w:rPr>
              <w:t>数</w:t>
            </w:r>
          </w:p>
        </w:tc>
        <w:tc>
          <w:tcPr>
            <w:tcW w:w="806" w:type="dxa"/>
            <w:noWrap w:val="0"/>
            <w:vAlign w:val="center"/>
          </w:tcPr>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460" w:lineRule="exact"/>
              <w:ind w:left="0" w:leftChars="0" w:right="0"/>
              <w:jc w:val="center"/>
              <w:textAlignment w:val="baseline"/>
              <w:outlineLvl w:val="9"/>
              <w:rPr>
                <w:rFonts w:hint="eastAsia" w:ascii="宋体" w:hAnsi="宋体" w:eastAsia="宋体" w:cs="宋体"/>
                <w:color w:val="auto"/>
                <w:sz w:val="22"/>
                <w:szCs w:val="22"/>
                <w:highlight w:val="none"/>
              </w:rPr>
            </w:pPr>
            <w:r>
              <w:rPr>
                <w:rFonts w:hint="eastAsia" w:ascii="宋体" w:hAnsi="宋体" w:eastAsia="宋体" w:cs="宋体"/>
                <w:color w:val="auto"/>
                <w:spacing w:val="9"/>
                <w:sz w:val="22"/>
                <w:szCs w:val="22"/>
                <w:highlight w:val="none"/>
              </w:rPr>
              <w:t>废物</w:t>
            </w:r>
            <w:r>
              <w:rPr>
                <w:rFonts w:hint="eastAsia" w:ascii="宋体" w:hAnsi="宋体" w:eastAsia="宋体" w:cs="宋体"/>
                <w:color w:val="auto"/>
                <w:spacing w:val="8"/>
                <w:sz w:val="22"/>
                <w:szCs w:val="22"/>
                <w:highlight w:val="none"/>
              </w:rPr>
              <w:t>箱清洁清掏</w:t>
            </w:r>
          </w:p>
        </w:tc>
        <w:tc>
          <w:tcPr>
            <w:tcW w:w="882" w:type="dxa"/>
            <w:noWrap w:val="0"/>
            <w:vAlign w:val="center"/>
          </w:tcPr>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460" w:lineRule="exact"/>
              <w:ind w:left="0" w:leftChars="0" w:right="0"/>
              <w:jc w:val="center"/>
              <w:textAlignment w:val="baseline"/>
              <w:outlineLvl w:val="9"/>
              <w:rPr>
                <w:rFonts w:hint="eastAsia" w:ascii="宋体" w:hAnsi="宋体" w:eastAsia="宋体" w:cs="宋体"/>
                <w:color w:val="auto"/>
                <w:sz w:val="22"/>
                <w:szCs w:val="22"/>
                <w:highlight w:val="none"/>
              </w:rPr>
            </w:pPr>
            <w:r>
              <w:rPr>
                <w:rFonts w:hint="eastAsia" w:ascii="宋体" w:hAnsi="宋体" w:eastAsia="宋体" w:cs="宋体"/>
                <w:color w:val="auto"/>
                <w:spacing w:val="10"/>
                <w:sz w:val="22"/>
                <w:szCs w:val="22"/>
                <w:highlight w:val="none"/>
              </w:rPr>
              <w:t>果</w:t>
            </w:r>
            <w:r>
              <w:rPr>
                <w:rFonts w:hint="eastAsia" w:ascii="宋体" w:hAnsi="宋体" w:eastAsia="宋体" w:cs="宋体"/>
                <w:color w:val="auto"/>
                <w:spacing w:val="9"/>
                <w:sz w:val="22"/>
                <w:szCs w:val="22"/>
                <w:highlight w:val="none"/>
              </w:rPr>
              <w:t>皮、纸</w:t>
            </w:r>
            <w:r>
              <w:rPr>
                <w:rFonts w:hint="eastAsia" w:ascii="宋体" w:hAnsi="宋体" w:eastAsia="宋体" w:cs="宋体"/>
                <w:color w:val="auto"/>
                <w:spacing w:val="-2"/>
                <w:sz w:val="22"/>
                <w:szCs w:val="22"/>
                <w:highlight w:val="none"/>
              </w:rPr>
              <w:t>屑</w:t>
            </w:r>
            <w:r>
              <w:rPr>
                <w:rFonts w:hint="eastAsia" w:ascii="宋体" w:hAnsi="宋体" w:eastAsia="宋体" w:cs="宋体"/>
                <w:color w:val="auto"/>
                <w:spacing w:val="-1"/>
                <w:sz w:val="22"/>
                <w:szCs w:val="22"/>
                <w:highlight w:val="none"/>
              </w:rPr>
              <w:t>、烟蒂、</w:t>
            </w:r>
            <w:r>
              <w:rPr>
                <w:rFonts w:hint="eastAsia" w:ascii="宋体" w:hAnsi="宋体" w:eastAsia="宋体" w:cs="宋体"/>
                <w:color w:val="auto"/>
                <w:spacing w:val="7"/>
                <w:sz w:val="22"/>
                <w:szCs w:val="22"/>
                <w:highlight w:val="none"/>
              </w:rPr>
              <w:t>痰</w:t>
            </w:r>
            <w:r>
              <w:rPr>
                <w:rFonts w:hint="eastAsia" w:ascii="宋体" w:hAnsi="宋体" w:eastAsia="宋体" w:cs="宋体"/>
                <w:color w:val="auto"/>
                <w:spacing w:val="6"/>
                <w:sz w:val="22"/>
                <w:szCs w:val="22"/>
                <w:highlight w:val="none"/>
              </w:rPr>
              <w:t>迹/1000</w:t>
            </w:r>
            <w:r>
              <w:rPr>
                <w:rFonts w:hint="eastAsia" w:ascii="宋体" w:hAnsi="宋体" w:eastAsia="宋体" w:cs="宋体"/>
                <w:color w:val="auto"/>
                <w:sz w:val="22"/>
                <w:szCs w:val="22"/>
                <w:highlight w:val="none"/>
              </w:rPr>
              <w:t>㎡</w:t>
            </w:r>
          </w:p>
        </w:tc>
        <w:tc>
          <w:tcPr>
            <w:tcW w:w="881" w:type="dxa"/>
            <w:noWrap w:val="0"/>
            <w:vAlign w:val="center"/>
          </w:tcPr>
          <w:p>
            <w:pPr>
              <w:keepNext w:val="0"/>
              <w:keepLines w:val="0"/>
              <w:pageBreakBefore w:val="0"/>
              <w:widowControl/>
              <w:shd w:val="clear" w:color="auto" w:fill="FFFFFF"/>
              <w:tabs>
                <w:tab w:val="left" w:pos="263"/>
              </w:tabs>
              <w:kinsoku w:val="0"/>
              <w:wordWrap/>
              <w:overflowPunct/>
              <w:topLinePunct w:val="0"/>
              <w:autoSpaceDE w:val="0"/>
              <w:autoSpaceDN w:val="0"/>
              <w:bidi w:val="0"/>
              <w:adjustRightInd w:val="0"/>
              <w:snapToGrid w:val="0"/>
              <w:spacing w:line="460" w:lineRule="exact"/>
              <w:ind w:left="0" w:leftChars="0" w:right="0" w:firstLine="5"/>
              <w:jc w:val="center"/>
              <w:textAlignment w:val="baseline"/>
              <w:outlineLvl w:val="9"/>
              <w:rPr>
                <w:rFonts w:hint="eastAsia" w:ascii="宋体" w:hAnsi="宋体" w:eastAsia="宋体" w:cs="宋体"/>
                <w:color w:val="auto"/>
                <w:sz w:val="22"/>
                <w:szCs w:val="22"/>
                <w:highlight w:val="none"/>
              </w:rPr>
            </w:pPr>
            <w:r>
              <w:rPr>
                <w:rFonts w:hint="eastAsia" w:ascii="宋体" w:hAnsi="宋体" w:eastAsia="宋体" w:cs="宋体"/>
                <w:color w:val="auto"/>
                <w:spacing w:val="9"/>
                <w:sz w:val="22"/>
                <w:szCs w:val="22"/>
                <w:highlight w:val="none"/>
              </w:rPr>
              <w:t>污水</w:t>
            </w:r>
            <w:r>
              <w:rPr>
                <w:rFonts w:hint="eastAsia" w:ascii="宋体" w:hAnsi="宋体" w:eastAsia="宋体" w:cs="宋体"/>
                <w:color w:val="auto"/>
                <w:sz w:val="22"/>
                <w:szCs w:val="22"/>
                <w:highlight w:val="none"/>
              </w:rPr>
              <w:tab/>
            </w:r>
            <w:r>
              <w:rPr>
                <w:rFonts w:hint="eastAsia" w:ascii="宋体" w:hAnsi="宋体" w:eastAsia="宋体" w:cs="宋体"/>
                <w:color w:val="auto"/>
                <w:spacing w:val="-4"/>
                <w:sz w:val="22"/>
                <w:szCs w:val="22"/>
                <w:highlight w:val="none"/>
              </w:rPr>
              <w:t>(</w:t>
            </w:r>
            <w:r>
              <w:rPr>
                <w:rFonts w:hint="eastAsia" w:ascii="宋体" w:hAnsi="宋体" w:eastAsia="宋体" w:cs="宋体"/>
                <w:color w:val="auto"/>
                <w:spacing w:val="-3"/>
                <w:sz w:val="22"/>
                <w:szCs w:val="22"/>
                <w:highlight w:val="none"/>
              </w:rPr>
              <w:t>㎡</w:t>
            </w:r>
            <w:r>
              <w:rPr>
                <w:rFonts w:hint="eastAsia" w:ascii="宋体" w:hAnsi="宋体" w:eastAsia="宋体" w:cs="宋体"/>
                <w:color w:val="auto"/>
                <w:spacing w:val="6"/>
                <w:sz w:val="22"/>
                <w:szCs w:val="22"/>
                <w:highlight w:val="none"/>
              </w:rPr>
              <w:t>/100</w:t>
            </w:r>
            <w:r>
              <w:rPr>
                <w:rFonts w:hint="eastAsia" w:ascii="宋体" w:hAnsi="宋体" w:eastAsia="宋体" w:cs="宋体"/>
                <w:color w:val="auto"/>
                <w:spacing w:val="5"/>
                <w:sz w:val="22"/>
                <w:szCs w:val="22"/>
                <w:highlight w:val="none"/>
              </w:rPr>
              <w:t>0</w:t>
            </w:r>
            <w:r>
              <w:rPr>
                <w:rFonts w:hint="eastAsia" w:ascii="宋体" w:hAnsi="宋体" w:eastAsia="宋体" w:cs="宋体"/>
                <w:color w:val="auto"/>
                <w:spacing w:val="10"/>
                <w:sz w:val="22"/>
                <w:szCs w:val="22"/>
                <w:highlight w:val="none"/>
              </w:rPr>
              <w:t>㎡)</w:t>
            </w:r>
          </w:p>
        </w:tc>
        <w:tc>
          <w:tcPr>
            <w:tcW w:w="900" w:type="dxa"/>
            <w:noWrap w:val="0"/>
            <w:vAlign w:val="center"/>
          </w:tcPr>
          <w:p>
            <w:pPr>
              <w:keepNext w:val="0"/>
              <w:keepLines w:val="0"/>
              <w:pageBreakBefore w:val="0"/>
              <w:widowControl/>
              <w:shd w:val="clear" w:color="auto" w:fill="FFFFFF"/>
              <w:tabs>
                <w:tab w:val="left" w:pos="263"/>
              </w:tabs>
              <w:kinsoku w:val="0"/>
              <w:wordWrap/>
              <w:overflowPunct/>
              <w:topLinePunct w:val="0"/>
              <w:autoSpaceDE w:val="0"/>
              <w:autoSpaceDN w:val="0"/>
              <w:bidi w:val="0"/>
              <w:adjustRightInd w:val="0"/>
              <w:snapToGrid w:val="0"/>
              <w:spacing w:line="460" w:lineRule="exact"/>
              <w:ind w:left="0" w:leftChars="0" w:right="0" w:firstLine="7"/>
              <w:jc w:val="center"/>
              <w:textAlignment w:val="baseline"/>
              <w:outlineLvl w:val="9"/>
              <w:rPr>
                <w:rFonts w:hint="eastAsia" w:ascii="宋体" w:hAnsi="宋体" w:eastAsia="宋体" w:cs="宋体"/>
                <w:color w:val="auto"/>
                <w:sz w:val="22"/>
                <w:szCs w:val="22"/>
                <w:highlight w:val="none"/>
              </w:rPr>
            </w:pPr>
            <w:r>
              <w:rPr>
                <w:rFonts w:hint="eastAsia" w:ascii="宋体" w:hAnsi="宋体" w:eastAsia="宋体" w:cs="宋体"/>
                <w:color w:val="auto"/>
                <w:spacing w:val="8"/>
                <w:sz w:val="22"/>
                <w:szCs w:val="22"/>
                <w:highlight w:val="none"/>
              </w:rPr>
              <w:t>其他</w:t>
            </w:r>
            <w:r>
              <w:rPr>
                <w:rFonts w:hint="eastAsia" w:ascii="宋体" w:hAnsi="宋体" w:eastAsia="宋体" w:cs="宋体"/>
                <w:color w:val="auto"/>
                <w:sz w:val="22"/>
                <w:szCs w:val="22"/>
                <w:highlight w:val="none"/>
              </w:rPr>
              <w:tab/>
            </w:r>
            <w:r>
              <w:rPr>
                <w:rFonts w:hint="eastAsia" w:ascii="宋体" w:hAnsi="宋体" w:eastAsia="宋体" w:cs="宋体"/>
                <w:color w:val="auto"/>
                <w:spacing w:val="9"/>
                <w:sz w:val="22"/>
                <w:szCs w:val="22"/>
                <w:highlight w:val="none"/>
              </w:rPr>
              <w:t>(</w:t>
            </w:r>
            <w:r>
              <w:rPr>
                <w:rFonts w:hint="eastAsia" w:ascii="宋体" w:hAnsi="宋体" w:eastAsia="宋体" w:cs="宋体"/>
                <w:color w:val="auto"/>
                <w:spacing w:val="8"/>
                <w:sz w:val="22"/>
                <w:szCs w:val="22"/>
                <w:highlight w:val="none"/>
              </w:rPr>
              <w:t>处</w:t>
            </w:r>
            <w:r>
              <w:rPr>
                <w:rFonts w:hint="eastAsia" w:ascii="宋体" w:hAnsi="宋体" w:eastAsia="宋体" w:cs="宋体"/>
                <w:color w:val="auto"/>
                <w:spacing w:val="7"/>
                <w:sz w:val="22"/>
                <w:szCs w:val="22"/>
                <w:highlight w:val="none"/>
              </w:rPr>
              <w:t>/</w:t>
            </w:r>
            <w:r>
              <w:rPr>
                <w:rFonts w:hint="eastAsia" w:ascii="宋体" w:hAnsi="宋体" w:eastAsia="宋体" w:cs="宋体"/>
                <w:color w:val="auto"/>
                <w:spacing w:val="6"/>
                <w:sz w:val="22"/>
                <w:szCs w:val="22"/>
                <w:highlight w:val="none"/>
              </w:rPr>
              <w:t>100</w:t>
            </w:r>
            <w:r>
              <w:rPr>
                <w:rFonts w:hint="eastAsia" w:ascii="宋体" w:hAnsi="宋体" w:eastAsia="宋体" w:cs="宋体"/>
                <w:color w:val="auto"/>
                <w:spacing w:val="4"/>
                <w:sz w:val="22"/>
                <w:szCs w:val="22"/>
                <w:highlight w:val="none"/>
              </w:rPr>
              <w:t>0㎡)</w:t>
            </w:r>
          </w:p>
        </w:tc>
        <w:tc>
          <w:tcPr>
            <w:tcW w:w="900" w:type="dxa"/>
            <w:vMerge w:val="continue"/>
            <w:tcBorders>
              <w:top w:val="nil"/>
            </w:tcBorders>
            <w:noWrap w:val="0"/>
            <w:vAlign w:val="center"/>
          </w:tcPr>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460" w:lineRule="exact"/>
              <w:ind w:left="0" w:leftChars="0" w:right="0"/>
              <w:jc w:val="center"/>
              <w:textAlignment w:val="baseline"/>
              <w:outlineLvl w:val="9"/>
              <w:rPr>
                <w:rFonts w:hint="eastAsia" w:ascii="宋体" w:hAnsi="宋体" w:eastAsia="宋体" w:cs="宋体"/>
                <w:color w:val="auto"/>
                <w:sz w:val="22"/>
                <w:szCs w:val="22"/>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3" w:hRule="atLeast"/>
        </w:trPr>
        <w:tc>
          <w:tcPr>
            <w:tcW w:w="533" w:type="dxa"/>
            <w:noWrap w:val="0"/>
            <w:vAlign w:val="center"/>
          </w:tcPr>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460" w:lineRule="exact"/>
              <w:ind w:right="0"/>
              <w:jc w:val="center"/>
              <w:textAlignment w:val="baseline"/>
              <w:outlineLvl w:val="9"/>
              <w:rPr>
                <w:rFonts w:hint="eastAsia" w:ascii="宋体" w:hAnsi="宋体" w:eastAsia="宋体" w:cs="宋体"/>
                <w:b/>
                <w:bCs/>
                <w:color w:val="auto"/>
                <w:sz w:val="22"/>
                <w:szCs w:val="22"/>
                <w:highlight w:val="none"/>
                <w:lang w:val="en-US" w:eastAsia="zh-CN"/>
              </w:rPr>
            </w:pPr>
            <w:r>
              <w:rPr>
                <w:rFonts w:hint="eastAsia" w:ascii="宋体" w:hAnsi="宋体" w:eastAsia="宋体" w:cs="宋体"/>
                <w:b/>
                <w:bCs/>
                <w:color w:val="auto"/>
                <w:sz w:val="22"/>
                <w:szCs w:val="22"/>
                <w:highlight w:val="none"/>
                <w:lang w:val="en-US" w:eastAsia="zh-CN"/>
              </w:rPr>
              <w:t>一</w:t>
            </w:r>
          </w:p>
          <w:p>
            <w:pPr>
              <w:keepNext w:val="0"/>
              <w:keepLines w:val="0"/>
              <w:pageBreakBefore w:val="0"/>
              <w:widowControl/>
              <w:shd w:val="clear" w:color="auto" w:fill="FFFFFF"/>
              <w:kinsoku w:val="0"/>
              <w:wordWrap/>
              <w:overflowPunct/>
              <w:topLinePunct w:val="0"/>
              <w:autoSpaceDE w:val="0"/>
              <w:autoSpaceDN w:val="0"/>
              <w:bidi w:val="0"/>
              <w:adjustRightInd w:val="0"/>
              <w:snapToGrid w:val="0"/>
              <w:spacing w:line="460" w:lineRule="exact"/>
              <w:ind w:left="0" w:leftChars="0" w:right="0"/>
              <w:jc w:val="center"/>
              <w:textAlignment w:val="baseline"/>
              <w:outlineLvl w:val="9"/>
              <w:rPr>
                <w:rFonts w:hint="eastAsia" w:ascii="宋体" w:hAnsi="宋体" w:eastAsia="宋体" w:cs="宋体"/>
                <w:b/>
                <w:bCs/>
                <w:color w:val="auto"/>
                <w:sz w:val="22"/>
                <w:szCs w:val="22"/>
                <w:highlight w:val="none"/>
              </w:rPr>
            </w:pPr>
            <w:r>
              <w:rPr>
                <w:rFonts w:hint="eastAsia" w:ascii="宋体" w:hAnsi="宋体" w:eastAsia="宋体" w:cs="宋体"/>
                <w:b/>
                <w:bCs/>
                <w:color w:val="auto"/>
                <w:spacing w:val="6"/>
                <w:sz w:val="22"/>
                <w:szCs w:val="22"/>
                <w:highlight w:val="none"/>
              </w:rPr>
              <w:t>级</w:t>
            </w:r>
          </w:p>
        </w:tc>
        <w:tc>
          <w:tcPr>
            <w:tcW w:w="559" w:type="dxa"/>
            <w:noWrap w:val="0"/>
            <w:vAlign w:val="center"/>
          </w:tcPr>
          <w:p>
            <w:pPr>
              <w:keepNext w:val="0"/>
              <w:keepLines w:val="0"/>
              <w:pageBreakBefore w:val="0"/>
              <w:widowControl/>
              <w:suppressLineNumbers w:val="0"/>
              <w:shd w:val="clear" w:color="auto" w:fill="FFFFFF"/>
              <w:wordWrap/>
              <w:overflowPunct/>
              <w:bidi w:val="0"/>
              <w:adjustRightInd w:val="0"/>
              <w:snapToGrid w:val="0"/>
              <w:spacing w:line="460" w:lineRule="exact"/>
              <w:ind w:left="0" w:leftChars="0" w:right="0"/>
              <w:jc w:val="center"/>
              <w:outlineLvl w:val="9"/>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val="en-US" w:eastAsia="zh-CN" w:bidi="ar"/>
              </w:rPr>
              <w:t>每天</w:t>
            </w:r>
          </w:p>
          <w:p>
            <w:pPr>
              <w:keepNext w:val="0"/>
              <w:keepLines w:val="0"/>
              <w:pageBreakBefore w:val="0"/>
              <w:widowControl/>
              <w:suppressLineNumbers w:val="0"/>
              <w:shd w:val="clear" w:color="auto" w:fill="FFFFFF"/>
              <w:wordWrap/>
              <w:overflowPunct/>
              <w:bidi w:val="0"/>
              <w:adjustRightInd w:val="0"/>
              <w:snapToGrid w:val="0"/>
              <w:spacing w:line="460" w:lineRule="exact"/>
              <w:ind w:left="0" w:leftChars="0" w:right="0"/>
              <w:jc w:val="center"/>
              <w:outlineLvl w:val="9"/>
              <w:rPr>
                <w:rFonts w:hint="eastAsia" w:ascii="宋体" w:hAnsi="宋体" w:eastAsia="宋体" w:cs="宋体"/>
                <w:color w:val="auto"/>
                <w:sz w:val="22"/>
                <w:szCs w:val="22"/>
                <w:highlight w:val="none"/>
              </w:rPr>
            </w:pPr>
            <w:r>
              <w:rPr>
                <w:rFonts w:hint="eastAsia" w:ascii="宋体" w:hAnsi="宋体" w:cs="宋体"/>
                <w:color w:val="auto"/>
                <w:kern w:val="0"/>
                <w:sz w:val="22"/>
                <w:szCs w:val="22"/>
                <w:highlight w:val="none"/>
                <w:lang w:val="en-US" w:eastAsia="zh-CN" w:bidi="ar"/>
              </w:rPr>
              <w:t>1</w:t>
            </w:r>
            <w:r>
              <w:rPr>
                <w:rFonts w:hint="eastAsia" w:ascii="宋体" w:hAnsi="宋体" w:eastAsia="宋体" w:cs="宋体"/>
                <w:color w:val="auto"/>
                <w:kern w:val="0"/>
                <w:sz w:val="22"/>
                <w:szCs w:val="22"/>
                <w:highlight w:val="none"/>
                <w:lang w:val="en-US" w:eastAsia="zh-CN" w:bidi="ar"/>
              </w:rPr>
              <w:t>次</w:t>
            </w:r>
          </w:p>
        </w:tc>
        <w:tc>
          <w:tcPr>
            <w:tcW w:w="654" w:type="dxa"/>
            <w:noWrap w:val="0"/>
            <w:vAlign w:val="center"/>
          </w:tcPr>
          <w:p>
            <w:pPr>
              <w:keepNext w:val="0"/>
              <w:keepLines w:val="0"/>
              <w:pageBreakBefore w:val="0"/>
              <w:widowControl/>
              <w:suppressLineNumbers w:val="0"/>
              <w:shd w:val="clear" w:color="auto" w:fill="FFFFFF"/>
              <w:wordWrap/>
              <w:overflowPunct/>
              <w:bidi w:val="0"/>
              <w:adjustRightInd w:val="0"/>
              <w:snapToGrid w:val="0"/>
              <w:spacing w:line="460" w:lineRule="exact"/>
              <w:ind w:left="0" w:leftChars="0" w:right="0"/>
              <w:jc w:val="center"/>
              <w:outlineLvl w:val="9"/>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val="en-US" w:eastAsia="zh-CN" w:bidi="ar"/>
              </w:rPr>
              <w:t>每天</w:t>
            </w:r>
          </w:p>
          <w:p>
            <w:pPr>
              <w:keepNext w:val="0"/>
              <w:keepLines w:val="0"/>
              <w:pageBreakBefore w:val="0"/>
              <w:widowControl/>
              <w:suppressLineNumbers w:val="0"/>
              <w:shd w:val="clear" w:color="auto" w:fill="FFFFFF"/>
              <w:wordWrap/>
              <w:overflowPunct/>
              <w:bidi w:val="0"/>
              <w:adjustRightInd w:val="0"/>
              <w:snapToGrid w:val="0"/>
              <w:spacing w:line="460" w:lineRule="exact"/>
              <w:ind w:left="0" w:leftChars="0" w:right="0"/>
              <w:jc w:val="center"/>
              <w:outlineLvl w:val="9"/>
              <w:rPr>
                <w:rFonts w:hint="eastAsia" w:ascii="宋体" w:hAnsi="宋体" w:eastAsia="宋体" w:cs="宋体"/>
                <w:color w:val="auto"/>
                <w:sz w:val="22"/>
                <w:szCs w:val="22"/>
                <w:highlight w:val="none"/>
              </w:rPr>
            </w:pPr>
            <w:r>
              <w:rPr>
                <w:rFonts w:hint="eastAsia" w:ascii="宋体" w:hAnsi="宋体" w:cs="宋体"/>
                <w:color w:val="auto"/>
                <w:kern w:val="0"/>
                <w:sz w:val="22"/>
                <w:szCs w:val="22"/>
                <w:highlight w:val="none"/>
                <w:lang w:val="en-US" w:eastAsia="zh-CN" w:bidi="ar"/>
              </w:rPr>
              <w:t>1</w:t>
            </w:r>
            <w:r>
              <w:rPr>
                <w:rFonts w:hint="eastAsia" w:ascii="宋体" w:hAnsi="宋体" w:eastAsia="宋体" w:cs="宋体"/>
                <w:color w:val="auto"/>
                <w:kern w:val="0"/>
                <w:sz w:val="22"/>
                <w:szCs w:val="22"/>
                <w:highlight w:val="none"/>
                <w:lang w:val="en-US" w:eastAsia="zh-CN" w:bidi="ar"/>
              </w:rPr>
              <w:t>次</w:t>
            </w:r>
          </w:p>
        </w:tc>
        <w:tc>
          <w:tcPr>
            <w:tcW w:w="1308" w:type="dxa"/>
            <w:noWrap w:val="0"/>
            <w:vAlign w:val="center"/>
          </w:tcPr>
          <w:p>
            <w:pPr>
              <w:keepNext w:val="0"/>
              <w:keepLines w:val="0"/>
              <w:pageBreakBefore w:val="0"/>
              <w:widowControl/>
              <w:suppressLineNumbers w:val="0"/>
              <w:shd w:val="clear" w:color="auto" w:fill="FFFFFF"/>
              <w:overflowPunct/>
              <w:bidi w:val="0"/>
              <w:adjustRightInd w:val="0"/>
              <w:snapToGrid w:val="0"/>
              <w:spacing w:line="480" w:lineRule="atLeast"/>
              <w:jc w:val="center"/>
              <w:outlineLvl w:val="9"/>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val="en-US" w:eastAsia="zh-CN" w:bidi="ar"/>
              </w:rPr>
              <w:t>夏季9：00 之前，冬季9：30 之前完成第一次清扫保洁，其他时间为全时段巡回保洁。</w:t>
            </w:r>
          </w:p>
        </w:tc>
        <w:tc>
          <w:tcPr>
            <w:tcW w:w="900" w:type="dxa"/>
            <w:noWrap w:val="0"/>
            <w:vAlign w:val="center"/>
          </w:tcPr>
          <w:p>
            <w:pPr>
              <w:keepNext w:val="0"/>
              <w:keepLines w:val="0"/>
              <w:pageBreakBefore w:val="0"/>
              <w:widowControl/>
              <w:suppressLineNumbers w:val="0"/>
              <w:shd w:val="clear" w:color="auto" w:fill="FFFFFF"/>
              <w:overflowPunct/>
              <w:bidi w:val="0"/>
              <w:adjustRightInd w:val="0"/>
              <w:snapToGrid w:val="0"/>
              <w:spacing w:line="480" w:lineRule="atLeast"/>
              <w:jc w:val="center"/>
              <w:outlineLvl w:val="9"/>
              <w:rPr>
                <w:rFonts w:hint="default" w:ascii="宋体" w:hAnsi="宋体" w:eastAsia="宋体" w:cs="宋体"/>
                <w:color w:val="auto"/>
                <w:sz w:val="22"/>
                <w:szCs w:val="22"/>
                <w:highlight w:val="none"/>
                <w:lang w:val="en-US"/>
              </w:rPr>
            </w:pPr>
            <w:r>
              <w:rPr>
                <w:rFonts w:hint="eastAsia" w:ascii="宋体" w:hAnsi="宋体" w:eastAsia="宋体" w:cs="宋体"/>
                <w:color w:val="auto"/>
                <w:kern w:val="0"/>
                <w:sz w:val="22"/>
                <w:szCs w:val="22"/>
                <w:highlight w:val="none"/>
                <w:lang w:val="en-US" w:eastAsia="zh-CN" w:bidi="ar"/>
              </w:rPr>
              <w:t>每天4次，30℃以上高温天气适当增加频次</w:t>
            </w:r>
          </w:p>
          <w:p>
            <w:pPr>
              <w:keepNext w:val="0"/>
              <w:keepLines w:val="0"/>
              <w:pageBreakBefore w:val="0"/>
              <w:widowControl/>
              <w:suppressLineNumbers w:val="0"/>
              <w:shd w:val="clear" w:color="auto" w:fill="FFFFFF"/>
              <w:overflowPunct/>
              <w:bidi w:val="0"/>
              <w:adjustRightInd w:val="0"/>
              <w:snapToGrid w:val="0"/>
              <w:spacing w:line="480" w:lineRule="atLeast"/>
              <w:jc w:val="center"/>
              <w:outlineLvl w:val="9"/>
              <w:rPr>
                <w:rFonts w:hint="eastAsia" w:ascii="宋体" w:hAnsi="宋体" w:eastAsia="宋体" w:cs="宋体"/>
                <w:color w:val="auto"/>
                <w:sz w:val="22"/>
                <w:szCs w:val="22"/>
                <w:highlight w:val="none"/>
              </w:rPr>
            </w:pPr>
          </w:p>
        </w:tc>
        <w:tc>
          <w:tcPr>
            <w:tcW w:w="806" w:type="dxa"/>
            <w:noWrap w:val="0"/>
            <w:vAlign w:val="center"/>
          </w:tcPr>
          <w:p>
            <w:pPr>
              <w:keepNext w:val="0"/>
              <w:keepLines w:val="0"/>
              <w:pageBreakBefore w:val="0"/>
              <w:widowControl/>
              <w:suppressLineNumbers w:val="0"/>
              <w:shd w:val="clear" w:color="auto" w:fill="FFFFFF"/>
              <w:overflowPunct/>
              <w:bidi w:val="0"/>
              <w:adjustRightInd w:val="0"/>
              <w:snapToGrid w:val="0"/>
              <w:spacing w:line="480" w:lineRule="atLeast"/>
              <w:jc w:val="center"/>
              <w:outlineLvl w:val="9"/>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val="en-US" w:eastAsia="zh-CN" w:bidi="ar"/>
              </w:rPr>
              <w:t>每日擦洗，集满即淘</w:t>
            </w:r>
          </w:p>
          <w:p>
            <w:pPr>
              <w:keepNext w:val="0"/>
              <w:keepLines w:val="0"/>
              <w:pageBreakBefore w:val="0"/>
              <w:widowControl/>
              <w:suppressLineNumbers w:val="0"/>
              <w:shd w:val="clear" w:color="auto" w:fill="FFFFFF"/>
              <w:overflowPunct/>
              <w:bidi w:val="0"/>
              <w:adjustRightInd w:val="0"/>
              <w:snapToGrid w:val="0"/>
              <w:spacing w:line="480" w:lineRule="atLeast"/>
              <w:jc w:val="center"/>
              <w:outlineLvl w:val="9"/>
              <w:rPr>
                <w:rFonts w:hint="eastAsia" w:ascii="宋体" w:hAnsi="宋体" w:eastAsia="宋体" w:cs="宋体"/>
                <w:color w:val="auto"/>
                <w:sz w:val="22"/>
                <w:szCs w:val="22"/>
                <w:highlight w:val="none"/>
              </w:rPr>
            </w:pPr>
          </w:p>
        </w:tc>
        <w:tc>
          <w:tcPr>
            <w:tcW w:w="882" w:type="dxa"/>
            <w:noWrap w:val="0"/>
            <w:vAlign w:val="center"/>
          </w:tcPr>
          <w:p>
            <w:pPr>
              <w:keepNext w:val="0"/>
              <w:keepLines w:val="0"/>
              <w:pageBreakBefore w:val="0"/>
              <w:widowControl/>
              <w:suppressLineNumbers w:val="0"/>
              <w:shd w:val="clear" w:color="auto" w:fill="FFFFFF"/>
              <w:overflowPunct/>
              <w:bidi w:val="0"/>
              <w:adjustRightInd w:val="0"/>
              <w:snapToGrid w:val="0"/>
              <w:spacing w:line="480" w:lineRule="atLeast"/>
              <w:jc w:val="center"/>
              <w:outlineLvl w:val="9"/>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val="en-US" w:eastAsia="zh-CN" w:bidi="ar"/>
              </w:rPr>
              <w:t>果皮≤4</w:t>
            </w:r>
          </w:p>
          <w:p>
            <w:pPr>
              <w:keepNext w:val="0"/>
              <w:keepLines w:val="0"/>
              <w:pageBreakBefore w:val="0"/>
              <w:widowControl/>
              <w:suppressLineNumbers w:val="0"/>
              <w:shd w:val="clear" w:color="auto" w:fill="FFFFFF"/>
              <w:overflowPunct/>
              <w:bidi w:val="0"/>
              <w:adjustRightInd w:val="0"/>
              <w:snapToGrid w:val="0"/>
              <w:spacing w:line="480" w:lineRule="atLeast"/>
              <w:jc w:val="center"/>
              <w:outlineLvl w:val="9"/>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val="en-US" w:eastAsia="zh-CN" w:bidi="ar"/>
              </w:rPr>
              <w:t>纸屑≤4</w:t>
            </w:r>
          </w:p>
          <w:p>
            <w:pPr>
              <w:keepNext w:val="0"/>
              <w:keepLines w:val="0"/>
              <w:pageBreakBefore w:val="0"/>
              <w:widowControl/>
              <w:suppressLineNumbers w:val="0"/>
              <w:shd w:val="clear" w:color="auto" w:fill="FFFFFF"/>
              <w:overflowPunct/>
              <w:bidi w:val="0"/>
              <w:adjustRightInd w:val="0"/>
              <w:snapToGrid w:val="0"/>
              <w:spacing w:line="480" w:lineRule="atLeast"/>
              <w:jc w:val="center"/>
              <w:outlineLvl w:val="9"/>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val="en-US" w:eastAsia="zh-CN" w:bidi="ar"/>
              </w:rPr>
              <w:t>烟蒂≤4</w:t>
            </w:r>
          </w:p>
          <w:p>
            <w:pPr>
              <w:keepNext w:val="0"/>
              <w:keepLines w:val="0"/>
              <w:pageBreakBefore w:val="0"/>
              <w:widowControl/>
              <w:suppressLineNumbers w:val="0"/>
              <w:shd w:val="clear" w:color="auto" w:fill="FFFFFF"/>
              <w:overflowPunct/>
              <w:bidi w:val="0"/>
              <w:adjustRightInd w:val="0"/>
              <w:snapToGrid w:val="0"/>
              <w:spacing w:line="480" w:lineRule="atLeast"/>
              <w:jc w:val="center"/>
              <w:outlineLvl w:val="9"/>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val="en-US" w:eastAsia="zh-CN" w:bidi="ar"/>
              </w:rPr>
              <w:t>痰迹≤4</w:t>
            </w:r>
          </w:p>
        </w:tc>
        <w:tc>
          <w:tcPr>
            <w:tcW w:w="881" w:type="dxa"/>
            <w:noWrap w:val="0"/>
            <w:vAlign w:val="center"/>
          </w:tcPr>
          <w:p>
            <w:pPr>
              <w:keepNext w:val="0"/>
              <w:keepLines w:val="0"/>
              <w:pageBreakBefore w:val="0"/>
              <w:widowControl/>
              <w:suppressLineNumbers w:val="0"/>
              <w:shd w:val="clear" w:color="auto" w:fill="FFFFFF"/>
              <w:overflowPunct/>
              <w:bidi w:val="0"/>
              <w:adjustRightInd w:val="0"/>
              <w:snapToGrid w:val="0"/>
              <w:spacing w:line="480" w:lineRule="atLeast"/>
              <w:jc w:val="center"/>
              <w:outlineLvl w:val="9"/>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val="en-US" w:eastAsia="zh-CN" w:bidi="ar"/>
              </w:rPr>
              <w:t>≤0.5</w:t>
            </w:r>
          </w:p>
          <w:p>
            <w:pPr>
              <w:keepNext w:val="0"/>
              <w:keepLines w:val="0"/>
              <w:pageBreakBefore w:val="0"/>
              <w:widowControl/>
              <w:suppressLineNumbers w:val="0"/>
              <w:shd w:val="clear" w:color="auto" w:fill="FFFFFF"/>
              <w:overflowPunct/>
              <w:bidi w:val="0"/>
              <w:adjustRightInd w:val="0"/>
              <w:snapToGrid w:val="0"/>
              <w:spacing w:line="480" w:lineRule="atLeast"/>
              <w:jc w:val="center"/>
              <w:outlineLvl w:val="9"/>
              <w:rPr>
                <w:rFonts w:hint="eastAsia" w:ascii="宋体" w:hAnsi="宋体" w:eastAsia="宋体" w:cs="宋体"/>
                <w:color w:val="auto"/>
                <w:sz w:val="22"/>
                <w:szCs w:val="22"/>
                <w:highlight w:val="none"/>
              </w:rPr>
            </w:pPr>
          </w:p>
        </w:tc>
        <w:tc>
          <w:tcPr>
            <w:tcW w:w="900" w:type="dxa"/>
            <w:noWrap w:val="0"/>
            <w:vAlign w:val="center"/>
          </w:tcPr>
          <w:p>
            <w:pPr>
              <w:keepNext w:val="0"/>
              <w:keepLines w:val="0"/>
              <w:pageBreakBefore w:val="0"/>
              <w:widowControl/>
              <w:suppressLineNumbers w:val="0"/>
              <w:shd w:val="clear" w:color="auto" w:fill="FFFFFF"/>
              <w:overflowPunct/>
              <w:bidi w:val="0"/>
              <w:adjustRightInd w:val="0"/>
              <w:snapToGrid w:val="0"/>
              <w:spacing w:line="480" w:lineRule="atLeast"/>
              <w:jc w:val="center"/>
              <w:outlineLvl w:val="9"/>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val="en-US" w:eastAsia="zh-CN" w:bidi="ar"/>
              </w:rPr>
              <w:t>≤2</w:t>
            </w:r>
          </w:p>
          <w:p>
            <w:pPr>
              <w:keepNext w:val="0"/>
              <w:keepLines w:val="0"/>
              <w:pageBreakBefore w:val="0"/>
              <w:widowControl/>
              <w:suppressLineNumbers w:val="0"/>
              <w:shd w:val="clear" w:color="auto" w:fill="FFFFFF"/>
              <w:overflowPunct/>
              <w:bidi w:val="0"/>
              <w:adjustRightInd w:val="0"/>
              <w:snapToGrid w:val="0"/>
              <w:spacing w:line="480" w:lineRule="atLeast"/>
              <w:jc w:val="center"/>
              <w:outlineLvl w:val="9"/>
              <w:rPr>
                <w:rFonts w:hint="eastAsia" w:ascii="宋体" w:hAnsi="宋体" w:eastAsia="宋体" w:cs="宋体"/>
                <w:color w:val="auto"/>
                <w:sz w:val="22"/>
                <w:szCs w:val="22"/>
                <w:highlight w:val="none"/>
              </w:rPr>
            </w:pPr>
          </w:p>
        </w:tc>
        <w:tc>
          <w:tcPr>
            <w:tcW w:w="900" w:type="dxa"/>
            <w:noWrap w:val="0"/>
            <w:vAlign w:val="center"/>
          </w:tcPr>
          <w:p>
            <w:pPr>
              <w:keepNext w:val="0"/>
              <w:keepLines w:val="0"/>
              <w:pageBreakBefore w:val="0"/>
              <w:widowControl/>
              <w:suppressLineNumbers w:val="0"/>
              <w:shd w:val="clear" w:color="auto" w:fill="FFFFFF"/>
              <w:overflowPunct/>
              <w:bidi w:val="0"/>
              <w:adjustRightInd w:val="0"/>
              <w:snapToGrid w:val="0"/>
              <w:spacing w:line="480" w:lineRule="atLeast"/>
              <w:jc w:val="center"/>
              <w:outlineLvl w:val="9"/>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val="en-US" w:eastAsia="zh-CN" w:bidi="ar"/>
              </w:rPr>
              <w:t>15</w:t>
            </w:r>
          </w:p>
          <w:p>
            <w:pPr>
              <w:keepNext w:val="0"/>
              <w:keepLines w:val="0"/>
              <w:pageBreakBefore w:val="0"/>
              <w:widowControl/>
              <w:suppressLineNumbers w:val="0"/>
              <w:shd w:val="clear" w:color="auto" w:fill="FFFFFF"/>
              <w:overflowPunct/>
              <w:bidi w:val="0"/>
              <w:adjustRightInd w:val="0"/>
              <w:snapToGrid w:val="0"/>
              <w:spacing w:line="480" w:lineRule="atLeast"/>
              <w:jc w:val="center"/>
              <w:outlineLvl w:val="9"/>
              <w:rPr>
                <w:rFonts w:hint="default" w:ascii="宋体" w:hAnsi="宋体" w:eastAsia="宋体" w:cs="宋体"/>
                <w:color w:val="auto"/>
                <w:sz w:val="22"/>
                <w:szCs w:val="22"/>
                <w:highlight w:val="none"/>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3" w:hRule="atLeast"/>
        </w:trPr>
        <w:tc>
          <w:tcPr>
            <w:tcW w:w="533" w:type="dxa"/>
            <w:noWrap w:val="0"/>
            <w:vAlign w:val="center"/>
          </w:tcPr>
          <w:p>
            <w:pPr>
              <w:keepNext w:val="0"/>
              <w:keepLines w:val="0"/>
              <w:pageBreakBefore w:val="0"/>
              <w:widowControl/>
              <w:suppressLineNumbers w:val="0"/>
              <w:shd w:val="clear" w:color="auto" w:fill="FFFFFF"/>
              <w:overflowPunct/>
              <w:bidi w:val="0"/>
              <w:adjustRightInd w:val="0"/>
              <w:snapToGrid w:val="0"/>
              <w:spacing w:line="480" w:lineRule="atLeast"/>
              <w:jc w:val="center"/>
              <w:outlineLvl w:val="9"/>
              <w:rPr>
                <w:rFonts w:hint="eastAsia" w:ascii="宋体" w:hAnsi="宋体" w:eastAsia="宋体" w:cs="宋体"/>
                <w:b/>
                <w:bCs/>
                <w:color w:val="auto"/>
                <w:kern w:val="0"/>
                <w:sz w:val="22"/>
                <w:szCs w:val="22"/>
                <w:highlight w:val="none"/>
                <w:lang w:val="en-US" w:eastAsia="zh-CN" w:bidi="ar"/>
              </w:rPr>
            </w:pPr>
            <w:r>
              <w:rPr>
                <w:rFonts w:hint="eastAsia" w:ascii="宋体" w:hAnsi="宋体" w:eastAsia="宋体" w:cs="宋体"/>
                <w:b/>
                <w:bCs/>
                <w:color w:val="auto"/>
                <w:kern w:val="0"/>
                <w:sz w:val="22"/>
                <w:szCs w:val="22"/>
                <w:highlight w:val="none"/>
                <w:lang w:val="en-US" w:eastAsia="zh-CN" w:bidi="ar"/>
              </w:rPr>
              <w:t>三</w:t>
            </w:r>
          </w:p>
          <w:p>
            <w:pPr>
              <w:keepNext w:val="0"/>
              <w:keepLines w:val="0"/>
              <w:pageBreakBefore w:val="0"/>
              <w:widowControl/>
              <w:suppressLineNumbers w:val="0"/>
              <w:shd w:val="clear" w:color="auto" w:fill="FFFFFF"/>
              <w:overflowPunct/>
              <w:bidi w:val="0"/>
              <w:adjustRightInd w:val="0"/>
              <w:snapToGrid w:val="0"/>
              <w:spacing w:line="480" w:lineRule="atLeast"/>
              <w:jc w:val="center"/>
              <w:outlineLvl w:val="9"/>
              <w:rPr>
                <w:rFonts w:hint="eastAsia" w:ascii="宋体" w:hAnsi="宋体" w:eastAsia="宋体" w:cs="宋体"/>
                <w:b/>
                <w:bCs/>
                <w:color w:val="auto"/>
                <w:kern w:val="0"/>
                <w:sz w:val="22"/>
                <w:szCs w:val="22"/>
                <w:highlight w:val="none"/>
                <w:lang w:val="en-US" w:eastAsia="zh-CN" w:bidi="ar"/>
              </w:rPr>
            </w:pPr>
            <w:r>
              <w:rPr>
                <w:rFonts w:hint="eastAsia" w:ascii="宋体" w:hAnsi="宋体" w:eastAsia="宋体" w:cs="宋体"/>
                <w:b/>
                <w:bCs/>
                <w:color w:val="auto"/>
                <w:kern w:val="0"/>
                <w:sz w:val="22"/>
                <w:szCs w:val="22"/>
                <w:highlight w:val="none"/>
                <w:lang w:val="en-US" w:eastAsia="zh-CN" w:bidi="ar"/>
              </w:rPr>
              <w:t>级</w:t>
            </w:r>
          </w:p>
        </w:tc>
        <w:tc>
          <w:tcPr>
            <w:tcW w:w="559" w:type="dxa"/>
            <w:noWrap w:val="0"/>
            <w:vAlign w:val="center"/>
          </w:tcPr>
          <w:p>
            <w:pPr>
              <w:keepNext w:val="0"/>
              <w:keepLines w:val="0"/>
              <w:pageBreakBefore w:val="0"/>
              <w:widowControl/>
              <w:suppressLineNumbers w:val="0"/>
              <w:shd w:val="clear" w:color="auto" w:fill="FFFFFF"/>
              <w:overflowPunct/>
              <w:bidi w:val="0"/>
              <w:adjustRightInd w:val="0"/>
              <w:snapToGrid w:val="0"/>
              <w:spacing w:line="480" w:lineRule="atLeast"/>
              <w:jc w:val="center"/>
              <w:outlineLvl w:val="9"/>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每天</w:t>
            </w:r>
          </w:p>
          <w:p>
            <w:pPr>
              <w:keepNext w:val="0"/>
              <w:keepLines w:val="0"/>
              <w:pageBreakBefore w:val="0"/>
              <w:widowControl/>
              <w:suppressLineNumbers w:val="0"/>
              <w:shd w:val="clear" w:color="auto" w:fill="FFFFFF"/>
              <w:overflowPunct/>
              <w:bidi w:val="0"/>
              <w:adjustRightInd w:val="0"/>
              <w:snapToGrid w:val="0"/>
              <w:spacing w:line="480" w:lineRule="atLeast"/>
              <w:jc w:val="center"/>
              <w:outlineLvl w:val="9"/>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1次</w:t>
            </w:r>
          </w:p>
        </w:tc>
        <w:tc>
          <w:tcPr>
            <w:tcW w:w="654" w:type="dxa"/>
            <w:noWrap w:val="0"/>
            <w:vAlign w:val="center"/>
          </w:tcPr>
          <w:p>
            <w:pPr>
              <w:keepNext w:val="0"/>
              <w:keepLines w:val="0"/>
              <w:pageBreakBefore w:val="0"/>
              <w:widowControl/>
              <w:suppressLineNumbers w:val="0"/>
              <w:shd w:val="clear" w:color="auto" w:fill="FFFFFF"/>
              <w:wordWrap/>
              <w:overflowPunct/>
              <w:bidi w:val="0"/>
              <w:adjustRightInd w:val="0"/>
              <w:snapToGrid w:val="0"/>
              <w:spacing w:line="460" w:lineRule="exact"/>
              <w:ind w:left="0" w:leftChars="0" w:right="0"/>
              <w:jc w:val="center"/>
              <w:outlineLvl w:val="9"/>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val="en-US" w:eastAsia="zh-CN" w:bidi="ar"/>
              </w:rPr>
              <w:t>每天</w:t>
            </w:r>
          </w:p>
          <w:p>
            <w:pPr>
              <w:keepNext w:val="0"/>
              <w:keepLines w:val="0"/>
              <w:pageBreakBefore w:val="0"/>
              <w:widowControl/>
              <w:suppressLineNumbers w:val="0"/>
              <w:shd w:val="clear" w:color="auto" w:fill="FFFFFF"/>
              <w:wordWrap/>
              <w:overflowPunct/>
              <w:bidi w:val="0"/>
              <w:adjustRightInd w:val="0"/>
              <w:snapToGrid w:val="0"/>
              <w:spacing w:line="460" w:lineRule="exact"/>
              <w:ind w:left="0" w:leftChars="0" w:right="0"/>
              <w:jc w:val="center"/>
              <w:outlineLvl w:val="9"/>
              <w:rPr>
                <w:rFonts w:hint="eastAsia"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1</w:t>
            </w:r>
            <w:r>
              <w:rPr>
                <w:rFonts w:hint="eastAsia" w:ascii="宋体" w:hAnsi="宋体" w:eastAsia="宋体" w:cs="宋体"/>
                <w:color w:val="auto"/>
                <w:kern w:val="0"/>
                <w:sz w:val="22"/>
                <w:szCs w:val="22"/>
                <w:highlight w:val="none"/>
                <w:lang w:val="en-US" w:eastAsia="zh-CN" w:bidi="ar"/>
              </w:rPr>
              <w:t>次</w:t>
            </w:r>
          </w:p>
        </w:tc>
        <w:tc>
          <w:tcPr>
            <w:tcW w:w="1308" w:type="dxa"/>
            <w:noWrap w:val="0"/>
            <w:vAlign w:val="center"/>
          </w:tcPr>
          <w:p>
            <w:pPr>
              <w:keepNext w:val="0"/>
              <w:keepLines w:val="0"/>
              <w:pageBreakBefore w:val="0"/>
              <w:widowControl/>
              <w:suppressLineNumbers w:val="0"/>
              <w:shd w:val="clear" w:color="auto" w:fill="FFFFFF"/>
              <w:overflowPunct/>
              <w:bidi w:val="0"/>
              <w:adjustRightInd w:val="0"/>
              <w:snapToGrid w:val="0"/>
              <w:spacing w:line="480" w:lineRule="atLeast"/>
              <w:jc w:val="center"/>
              <w:outlineLvl w:val="9"/>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夏季 9：30 之前，冬季10：00 之前完成第一次清扫保洁，其他时间为全时段巡回保洁。</w:t>
            </w:r>
          </w:p>
        </w:tc>
        <w:tc>
          <w:tcPr>
            <w:tcW w:w="900" w:type="dxa"/>
            <w:noWrap w:val="0"/>
            <w:vAlign w:val="center"/>
          </w:tcPr>
          <w:p>
            <w:pPr>
              <w:keepNext w:val="0"/>
              <w:keepLines w:val="0"/>
              <w:pageBreakBefore w:val="0"/>
              <w:widowControl/>
              <w:suppressLineNumbers w:val="0"/>
              <w:shd w:val="clear" w:color="auto" w:fill="FFFFFF"/>
              <w:overflowPunct/>
              <w:bidi w:val="0"/>
              <w:adjustRightInd w:val="0"/>
              <w:snapToGrid w:val="0"/>
              <w:spacing w:line="480" w:lineRule="atLeast"/>
              <w:jc w:val="center"/>
              <w:outlineLvl w:val="9"/>
              <w:rPr>
                <w:rFonts w:hint="default" w:ascii="宋体" w:hAnsi="宋体" w:eastAsia="宋体" w:cs="宋体"/>
                <w:color w:val="auto"/>
                <w:sz w:val="22"/>
                <w:szCs w:val="22"/>
                <w:highlight w:val="none"/>
                <w:lang w:val="en-US"/>
              </w:rPr>
            </w:pPr>
            <w:r>
              <w:rPr>
                <w:rFonts w:hint="eastAsia" w:ascii="宋体" w:hAnsi="宋体" w:eastAsia="宋体" w:cs="宋体"/>
                <w:color w:val="auto"/>
                <w:kern w:val="0"/>
                <w:sz w:val="22"/>
                <w:szCs w:val="22"/>
                <w:highlight w:val="none"/>
                <w:lang w:val="en-US" w:eastAsia="zh-CN" w:bidi="ar"/>
              </w:rPr>
              <w:t>每天4次，30℃以上高温天气适当增加频次</w:t>
            </w:r>
          </w:p>
          <w:p>
            <w:pPr>
              <w:keepNext w:val="0"/>
              <w:keepLines w:val="0"/>
              <w:pageBreakBefore w:val="0"/>
              <w:widowControl/>
              <w:suppressLineNumbers w:val="0"/>
              <w:shd w:val="clear" w:color="auto" w:fill="FFFFFF"/>
              <w:overflowPunct/>
              <w:bidi w:val="0"/>
              <w:adjustRightInd w:val="0"/>
              <w:snapToGrid w:val="0"/>
              <w:spacing w:line="480" w:lineRule="atLeast"/>
              <w:jc w:val="center"/>
              <w:outlineLvl w:val="9"/>
              <w:rPr>
                <w:rFonts w:hint="eastAsia" w:ascii="宋体" w:hAnsi="宋体" w:eastAsia="宋体" w:cs="宋体"/>
                <w:color w:val="auto"/>
                <w:kern w:val="0"/>
                <w:sz w:val="22"/>
                <w:szCs w:val="22"/>
                <w:highlight w:val="none"/>
                <w:lang w:val="en-US" w:eastAsia="zh-CN" w:bidi="ar"/>
              </w:rPr>
            </w:pPr>
          </w:p>
        </w:tc>
        <w:tc>
          <w:tcPr>
            <w:tcW w:w="806" w:type="dxa"/>
            <w:noWrap w:val="0"/>
            <w:vAlign w:val="center"/>
          </w:tcPr>
          <w:p>
            <w:pPr>
              <w:keepNext w:val="0"/>
              <w:keepLines w:val="0"/>
              <w:pageBreakBefore w:val="0"/>
              <w:widowControl/>
              <w:suppressLineNumbers w:val="0"/>
              <w:shd w:val="clear" w:color="auto" w:fill="FFFFFF"/>
              <w:overflowPunct/>
              <w:bidi w:val="0"/>
              <w:adjustRightInd w:val="0"/>
              <w:snapToGrid w:val="0"/>
              <w:spacing w:line="480" w:lineRule="atLeast"/>
              <w:jc w:val="center"/>
              <w:outlineLvl w:val="9"/>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每日擦洗，集满即淘</w:t>
            </w:r>
          </w:p>
          <w:p>
            <w:pPr>
              <w:keepNext w:val="0"/>
              <w:keepLines w:val="0"/>
              <w:pageBreakBefore w:val="0"/>
              <w:widowControl/>
              <w:suppressLineNumbers w:val="0"/>
              <w:shd w:val="clear" w:color="auto" w:fill="FFFFFF"/>
              <w:overflowPunct/>
              <w:bidi w:val="0"/>
              <w:adjustRightInd w:val="0"/>
              <w:snapToGrid w:val="0"/>
              <w:spacing w:line="480" w:lineRule="atLeast"/>
              <w:jc w:val="center"/>
              <w:outlineLvl w:val="9"/>
              <w:rPr>
                <w:rFonts w:hint="eastAsia" w:ascii="宋体" w:hAnsi="宋体" w:eastAsia="宋体" w:cs="宋体"/>
                <w:color w:val="auto"/>
                <w:kern w:val="0"/>
                <w:sz w:val="22"/>
                <w:szCs w:val="22"/>
                <w:highlight w:val="none"/>
                <w:lang w:val="en-US" w:eastAsia="zh-CN" w:bidi="ar"/>
              </w:rPr>
            </w:pPr>
          </w:p>
        </w:tc>
        <w:tc>
          <w:tcPr>
            <w:tcW w:w="882" w:type="dxa"/>
            <w:noWrap w:val="0"/>
            <w:vAlign w:val="center"/>
          </w:tcPr>
          <w:p>
            <w:pPr>
              <w:keepNext w:val="0"/>
              <w:keepLines w:val="0"/>
              <w:pageBreakBefore w:val="0"/>
              <w:widowControl/>
              <w:suppressLineNumbers w:val="0"/>
              <w:shd w:val="clear" w:color="auto" w:fill="FFFFFF"/>
              <w:overflowPunct/>
              <w:bidi w:val="0"/>
              <w:adjustRightInd w:val="0"/>
              <w:snapToGrid w:val="0"/>
              <w:spacing w:line="480" w:lineRule="atLeast"/>
              <w:jc w:val="center"/>
              <w:outlineLvl w:val="9"/>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果皮≤6</w:t>
            </w:r>
          </w:p>
          <w:p>
            <w:pPr>
              <w:keepNext w:val="0"/>
              <w:keepLines w:val="0"/>
              <w:pageBreakBefore w:val="0"/>
              <w:widowControl/>
              <w:suppressLineNumbers w:val="0"/>
              <w:shd w:val="clear" w:color="auto" w:fill="FFFFFF"/>
              <w:overflowPunct/>
              <w:bidi w:val="0"/>
              <w:adjustRightInd w:val="0"/>
              <w:snapToGrid w:val="0"/>
              <w:spacing w:line="480" w:lineRule="atLeast"/>
              <w:jc w:val="center"/>
              <w:outlineLvl w:val="9"/>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纸屑≤6</w:t>
            </w:r>
          </w:p>
          <w:p>
            <w:pPr>
              <w:keepNext w:val="0"/>
              <w:keepLines w:val="0"/>
              <w:pageBreakBefore w:val="0"/>
              <w:widowControl/>
              <w:suppressLineNumbers w:val="0"/>
              <w:shd w:val="clear" w:color="auto" w:fill="FFFFFF"/>
              <w:overflowPunct/>
              <w:bidi w:val="0"/>
              <w:adjustRightInd w:val="0"/>
              <w:snapToGrid w:val="0"/>
              <w:spacing w:line="480" w:lineRule="atLeast"/>
              <w:jc w:val="center"/>
              <w:outlineLvl w:val="9"/>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烟蒂≤8</w:t>
            </w:r>
          </w:p>
          <w:p>
            <w:pPr>
              <w:keepNext w:val="0"/>
              <w:keepLines w:val="0"/>
              <w:pageBreakBefore w:val="0"/>
              <w:widowControl/>
              <w:suppressLineNumbers w:val="0"/>
              <w:shd w:val="clear" w:color="auto" w:fill="FFFFFF"/>
              <w:overflowPunct/>
              <w:bidi w:val="0"/>
              <w:adjustRightInd w:val="0"/>
              <w:snapToGrid w:val="0"/>
              <w:spacing w:line="480" w:lineRule="atLeast"/>
              <w:jc w:val="center"/>
              <w:outlineLvl w:val="9"/>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痰迹≤8</w:t>
            </w:r>
          </w:p>
        </w:tc>
        <w:tc>
          <w:tcPr>
            <w:tcW w:w="881" w:type="dxa"/>
            <w:noWrap w:val="0"/>
            <w:vAlign w:val="center"/>
          </w:tcPr>
          <w:p>
            <w:pPr>
              <w:keepNext w:val="0"/>
              <w:keepLines w:val="0"/>
              <w:pageBreakBefore w:val="0"/>
              <w:widowControl/>
              <w:suppressLineNumbers w:val="0"/>
              <w:shd w:val="clear" w:color="auto" w:fill="FFFFFF"/>
              <w:overflowPunct/>
              <w:bidi w:val="0"/>
              <w:adjustRightInd w:val="0"/>
              <w:snapToGrid w:val="0"/>
              <w:spacing w:line="480" w:lineRule="atLeast"/>
              <w:jc w:val="center"/>
              <w:outlineLvl w:val="9"/>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≤1.5</w:t>
            </w:r>
          </w:p>
          <w:p>
            <w:pPr>
              <w:keepNext w:val="0"/>
              <w:keepLines w:val="0"/>
              <w:pageBreakBefore w:val="0"/>
              <w:widowControl/>
              <w:suppressLineNumbers w:val="0"/>
              <w:shd w:val="clear" w:color="auto" w:fill="FFFFFF"/>
              <w:overflowPunct/>
              <w:bidi w:val="0"/>
              <w:adjustRightInd w:val="0"/>
              <w:snapToGrid w:val="0"/>
              <w:spacing w:line="480" w:lineRule="atLeast"/>
              <w:jc w:val="center"/>
              <w:outlineLvl w:val="9"/>
              <w:rPr>
                <w:rFonts w:hint="eastAsia" w:ascii="宋体" w:hAnsi="宋体" w:eastAsia="宋体" w:cs="宋体"/>
                <w:color w:val="auto"/>
                <w:kern w:val="0"/>
                <w:sz w:val="22"/>
                <w:szCs w:val="22"/>
                <w:highlight w:val="none"/>
                <w:lang w:val="en-US" w:eastAsia="zh-CN" w:bidi="ar"/>
              </w:rPr>
            </w:pPr>
          </w:p>
        </w:tc>
        <w:tc>
          <w:tcPr>
            <w:tcW w:w="900" w:type="dxa"/>
            <w:noWrap w:val="0"/>
            <w:vAlign w:val="center"/>
          </w:tcPr>
          <w:p>
            <w:pPr>
              <w:keepNext w:val="0"/>
              <w:keepLines w:val="0"/>
              <w:pageBreakBefore w:val="0"/>
              <w:widowControl/>
              <w:suppressLineNumbers w:val="0"/>
              <w:shd w:val="clear" w:color="auto" w:fill="FFFFFF"/>
              <w:overflowPunct/>
              <w:bidi w:val="0"/>
              <w:adjustRightInd w:val="0"/>
              <w:snapToGrid w:val="0"/>
              <w:spacing w:line="480" w:lineRule="atLeast"/>
              <w:jc w:val="center"/>
              <w:outlineLvl w:val="9"/>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≤6</w:t>
            </w:r>
          </w:p>
          <w:p>
            <w:pPr>
              <w:keepNext w:val="0"/>
              <w:keepLines w:val="0"/>
              <w:pageBreakBefore w:val="0"/>
              <w:widowControl/>
              <w:suppressLineNumbers w:val="0"/>
              <w:shd w:val="clear" w:color="auto" w:fill="FFFFFF"/>
              <w:overflowPunct/>
              <w:bidi w:val="0"/>
              <w:adjustRightInd w:val="0"/>
              <w:snapToGrid w:val="0"/>
              <w:spacing w:line="480" w:lineRule="atLeast"/>
              <w:jc w:val="center"/>
              <w:outlineLvl w:val="9"/>
              <w:rPr>
                <w:rFonts w:hint="eastAsia" w:ascii="宋体" w:hAnsi="宋体" w:eastAsia="宋体" w:cs="宋体"/>
                <w:color w:val="auto"/>
                <w:kern w:val="0"/>
                <w:sz w:val="22"/>
                <w:szCs w:val="22"/>
                <w:highlight w:val="none"/>
                <w:lang w:val="en-US" w:eastAsia="zh-CN" w:bidi="ar"/>
              </w:rPr>
            </w:pPr>
          </w:p>
        </w:tc>
        <w:tc>
          <w:tcPr>
            <w:tcW w:w="900" w:type="dxa"/>
            <w:noWrap w:val="0"/>
            <w:vAlign w:val="center"/>
          </w:tcPr>
          <w:p>
            <w:pPr>
              <w:keepNext w:val="0"/>
              <w:keepLines w:val="0"/>
              <w:pageBreakBefore w:val="0"/>
              <w:widowControl/>
              <w:suppressLineNumbers w:val="0"/>
              <w:shd w:val="clear" w:color="auto" w:fill="FFFFFF"/>
              <w:overflowPunct/>
              <w:bidi w:val="0"/>
              <w:adjustRightInd w:val="0"/>
              <w:snapToGrid w:val="0"/>
              <w:spacing w:line="480" w:lineRule="atLeast"/>
              <w:jc w:val="center"/>
              <w:outlineLvl w:val="9"/>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30</w:t>
            </w:r>
          </w:p>
          <w:p>
            <w:pPr>
              <w:keepNext w:val="0"/>
              <w:keepLines w:val="0"/>
              <w:pageBreakBefore w:val="0"/>
              <w:widowControl/>
              <w:suppressLineNumbers w:val="0"/>
              <w:shd w:val="clear" w:color="auto" w:fill="FFFFFF"/>
              <w:overflowPunct/>
              <w:bidi w:val="0"/>
              <w:adjustRightInd w:val="0"/>
              <w:snapToGrid w:val="0"/>
              <w:spacing w:line="480" w:lineRule="atLeast"/>
              <w:jc w:val="center"/>
              <w:outlineLvl w:val="9"/>
              <w:rPr>
                <w:rFonts w:hint="eastAsia" w:ascii="宋体" w:hAnsi="宋体" w:eastAsia="宋体" w:cs="宋体"/>
                <w:color w:val="auto"/>
                <w:kern w:val="0"/>
                <w:sz w:val="22"/>
                <w:szCs w:val="22"/>
                <w:highlight w:val="none"/>
                <w:lang w:val="en-US" w:eastAsia="zh-CN" w:bidi="ar"/>
              </w:rPr>
            </w:pPr>
          </w:p>
        </w:tc>
      </w:tr>
    </w:tbl>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2.2 桥面的保洁质量应与所连接的道路保洁质量标准相同。桥栏杆应整洁，无乱贴、乱画。</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2.3 道路清扫保洁其他要求</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2.3.1 路面煤渣、灰沙及其它废弃物应及时清扫干净。</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2.3.2 路面冲洗、洒水作业时应鸣报信号；道路洒水和喷雾作业频次应根据路面尘土量、天气情况和空气质量确定；冲洗作业频次应根据路面垃圾尘土量确定。冲洗后路面应干净，下水口不应堵塞。没有下水口的道路可不冲洗。结冰期不宜冲洗。</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2.3.3 每日的清扫作业和冲洗作业必须在每日清晨人流和车流高峰以前完成；道路清扫及冲洗结束后应开始道路保洁作业。</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2.3.4 道路清扫保洁机械作业应提高垃圾扫净率并防止扬尘污染。</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2.3.5 在机械不能作业的情况下，应采用人工作业；人工作业过程亦应提高垃圾扫净率并防止扬尘污染。</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2.3.6 道路清扫保洁收集的垃圾必须按指定场地存放,严禁裸露和扫入绿化带。</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2.3.7 </w:t>
      </w:r>
      <w:r>
        <w:rPr>
          <w:rFonts w:hint="eastAsia" w:ascii="宋体" w:hAnsi="宋体" w:cs="宋体"/>
          <w:color w:val="auto"/>
          <w:kern w:val="2"/>
          <w:sz w:val="24"/>
          <w:szCs w:val="24"/>
          <w:highlight w:val="none"/>
          <w:lang w:val="en-US" w:eastAsia="zh-CN" w:bidi="ar-SA"/>
        </w:rPr>
        <w:t>机关单位、市场</w:t>
      </w:r>
      <w:r>
        <w:rPr>
          <w:rFonts w:hint="eastAsia" w:ascii="宋体" w:hAnsi="宋体" w:eastAsia="宋体" w:cs="宋体"/>
          <w:color w:val="auto"/>
          <w:kern w:val="2"/>
          <w:sz w:val="24"/>
          <w:szCs w:val="24"/>
          <w:highlight w:val="none"/>
          <w:lang w:val="en-US" w:eastAsia="zh-CN" w:bidi="ar-SA"/>
        </w:rPr>
        <w:t>和建筑工地等周边道路应适当增加各项作业频次。</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3. 公共设施的保洁</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3.1 公共设施应规范设置,标识明显,并应保持完好、整洁、美观,无污迹、尘土,无乱涂写、乱刻画、乱张贴、乱吊挂,无破损、表面脱落现象,设施完好率不应低于95%。</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3.2 废物箱等垃圾收集容器应保持完好、清洁、卫生,无残缺、破损,无垃圾满溢,箱体无污迹,周边地面无垃圾、污水和污迹。</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3.3 非机动车道、人行道路面、路沿石及道路两侧的建筑物外墙应无明显污迹，无乱贴、乱挂和过时破损标语。</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w:t>
      </w:r>
      <w:r>
        <w:rPr>
          <w:rFonts w:hint="eastAsia" w:ascii="宋体" w:hAnsi="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 xml:space="preserve"> 道路两侧广告牌、路铭牌等设施应保持完好，无污迹、积尘。</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default"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4. 生活垃圾收集、运输</w:t>
      </w:r>
      <w:r>
        <w:rPr>
          <w:rFonts w:hint="eastAsia" w:ascii="宋体" w:hAnsi="宋体" w:cs="宋体"/>
          <w:b/>
          <w:bCs/>
          <w:color w:val="auto"/>
          <w:kern w:val="2"/>
          <w:sz w:val="24"/>
          <w:szCs w:val="24"/>
          <w:highlight w:val="none"/>
          <w:lang w:val="en-US" w:eastAsia="zh-CN" w:bidi="ar-SA"/>
        </w:rPr>
        <w:t>、处置</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4.1 垃圾收集</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4.1.1 垃圾收集容器应定位设置，摆放整齐。设置点及周围2-3m内应整洁，无散落、存留垃圾和污水。</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4.1.2 垃圾收集容器应无残缺、破损，封闭性好，外体干净。构筑物内外墙面不得有明显积灰、污物。</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4.1.3 特种垃圾的收集，必须用设有明显标志、能防止污染扩散的密封容器。</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4.1.4 蝇、蚊孳生季节，垃圾收集站(点)，应定时喷洒消毒、灭蚊蝇药物。</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4.1.5 生活垃圾(含餐厨垃圾)应全部实行容器收集。</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4.1.6 特种垃圾必须与生活垃圾分开存放，分别收集。</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4.1.7 居民的生活垃圾应每日清除，无堆积；单位的生活垃圾应按时清除，无满溢和散落，不腐烂发臭。每月2次定时消毒。</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4.1.8 收集作业完成后，应及时清理场地，将可移动式垃圾收集容器复位，车走地净。垃圾应直接送至指定的处置场。</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4.1.9 地面清扫的垃圾应及时收集和运输，不遗漏，不得堆放在路边。</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w:t>
      </w: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 xml:space="preserve"> 垃圾运输</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4.2.1 车容应整洁，车体外部无污物、灰垢，标志应清晰。</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4.2.2 运输垃圾应密闭，在运输过程中无垃圾扬、撒、拖挂和污水滴漏。</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4.2.3 垃圾装运量应以车辆的额定荷载和有效容积为限，不得超重、超高运输。</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4.2.4 装卸垃圾应符合作业要求，不得乱倒、乱卸、乱抛垃圾。</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4.2.5 运输作业结束，将车辆清洗干净(结冰期除外），清洗污水符合现行行业标准《污水排入城市下水道水质标准》(CJI8-86)或现行国家标准《污水综合排放标准》(GB8978)后，方可排入城市污水管网或附近水体。</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w:t>
      </w:r>
      <w:r>
        <w:rPr>
          <w:rFonts w:hint="eastAsia" w:ascii="宋体" w:hAnsi="宋体" w:cs="宋体"/>
          <w:color w:val="auto"/>
          <w:kern w:val="2"/>
          <w:sz w:val="24"/>
          <w:szCs w:val="24"/>
          <w:highlight w:val="none"/>
          <w:lang w:val="en-US" w:eastAsia="zh-CN" w:bidi="ar-SA"/>
        </w:rPr>
        <w:t>3</w:t>
      </w:r>
      <w:r>
        <w:rPr>
          <w:rFonts w:hint="eastAsia" w:ascii="宋体" w:hAnsi="宋体" w:eastAsia="宋体" w:cs="宋体"/>
          <w:color w:val="auto"/>
          <w:kern w:val="2"/>
          <w:sz w:val="24"/>
          <w:szCs w:val="24"/>
          <w:highlight w:val="none"/>
          <w:lang w:val="en-US" w:eastAsia="zh-CN" w:bidi="ar-SA"/>
        </w:rPr>
        <w:t xml:space="preserve"> 垃圾</w:t>
      </w:r>
      <w:r>
        <w:rPr>
          <w:rFonts w:hint="eastAsia" w:ascii="宋体" w:hAnsi="宋体" w:cs="宋体"/>
          <w:color w:val="auto"/>
          <w:kern w:val="2"/>
          <w:sz w:val="24"/>
          <w:szCs w:val="24"/>
          <w:highlight w:val="none"/>
          <w:lang w:val="en-US" w:eastAsia="zh-CN" w:bidi="ar-SA"/>
        </w:rPr>
        <w:t>处置</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 xml:space="preserve">4.3.1 </w:t>
      </w:r>
      <w:r>
        <w:rPr>
          <w:rFonts w:hint="eastAsia" w:ascii="宋体" w:hAnsi="宋体" w:eastAsia="宋体" w:cs="宋体"/>
          <w:color w:val="auto"/>
          <w:kern w:val="2"/>
          <w:sz w:val="24"/>
          <w:szCs w:val="24"/>
          <w:highlight w:val="none"/>
          <w:lang w:val="en-US" w:eastAsia="zh-CN" w:bidi="ar-SA"/>
        </w:rPr>
        <w:t>生活垃圾应急填埋场应保证连续运行，依据建设部《城市生活垃圾卫生填埋场运行维护技术规范》和《生活垃圾卫生填埋技术规范》</w:t>
      </w:r>
      <w:r>
        <w:rPr>
          <w:rFonts w:hint="eastAsia" w:ascii="宋体" w:hAnsi="宋体" w:cs="宋体"/>
          <w:color w:val="auto"/>
          <w:kern w:val="2"/>
          <w:sz w:val="24"/>
          <w:szCs w:val="24"/>
          <w:highlight w:val="none"/>
          <w:lang w:val="en-US" w:eastAsia="zh-CN" w:bidi="ar-SA"/>
        </w:rPr>
        <w:t>执行，</w:t>
      </w:r>
      <w:r>
        <w:rPr>
          <w:rFonts w:hint="eastAsia" w:ascii="宋体" w:hAnsi="宋体" w:eastAsia="宋体" w:cs="宋体"/>
          <w:color w:val="auto"/>
          <w:kern w:val="2"/>
          <w:sz w:val="24"/>
          <w:szCs w:val="24"/>
          <w:highlight w:val="none"/>
          <w:lang w:val="en-US" w:eastAsia="zh-CN" w:bidi="ar-SA"/>
        </w:rPr>
        <w:t>制定详细的工艺运行管理手册，定期对填埋场相关设施，包括雨污分流导排系统、渗滤液收集处理系统，填埋气收集处理系统、数据计量称重系统、场区道路、地下水监测井等进行维护管理，保证填埋设施、工艺正常运行。</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 xml:space="preserve">4.3.2 </w:t>
      </w:r>
      <w:r>
        <w:rPr>
          <w:rFonts w:hint="eastAsia" w:ascii="宋体" w:hAnsi="宋体" w:eastAsia="宋体" w:cs="宋体"/>
          <w:color w:val="auto"/>
          <w:kern w:val="2"/>
          <w:sz w:val="24"/>
          <w:szCs w:val="24"/>
          <w:highlight w:val="none"/>
          <w:lang w:val="en-US" w:eastAsia="zh-CN" w:bidi="ar-SA"/>
        </w:rPr>
        <w:t>进入生活垃圾填埋场的垃圾应采取计量和检验措施。严禁未经处理的工业垃圾、医废垃圾及来源不清的垃圾进入生活垃圾填埋场填埋。</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 xml:space="preserve">4.3.3 </w:t>
      </w:r>
      <w:r>
        <w:rPr>
          <w:rFonts w:hint="eastAsia" w:ascii="宋体" w:hAnsi="宋体" w:eastAsia="宋体" w:cs="宋体"/>
          <w:color w:val="auto"/>
          <w:kern w:val="2"/>
          <w:sz w:val="24"/>
          <w:szCs w:val="24"/>
          <w:highlight w:val="none"/>
          <w:lang w:val="en-US" w:eastAsia="zh-CN" w:bidi="ar-SA"/>
        </w:rPr>
        <w:t>填埋作业应分区、分单元逐区、逐层进行，垃圾进场后应于</w:t>
      </w:r>
      <w:r>
        <w:rPr>
          <w:rFonts w:hint="eastAsia" w:ascii="宋体" w:hAnsi="宋体" w:cs="宋体"/>
          <w:color w:val="auto"/>
          <w:kern w:val="2"/>
          <w:sz w:val="24"/>
          <w:szCs w:val="24"/>
          <w:highlight w:val="none"/>
          <w:lang w:val="en-US" w:eastAsia="zh-CN" w:bidi="ar-SA"/>
        </w:rPr>
        <w:t>当天</w:t>
      </w:r>
      <w:r>
        <w:rPr>
          <w:rFonts w:hint="eastAsia" w:ascii="宋体" w:hAnsi="宋体" w:eastAsia="宋体" w:cs="宋体"/>
          <w:color w:val="auto"/>
          <w:kern w:val="2"/>
          <w:sz w:val="24"/>
          <w:szCs w:val="24"/>
          <w:highlight w:val="none"/>
          <w:lang w:val="en-US" w:eastAsia="zh-CN" w:bidi="ar-SA"/>
        </w:rPr>
        <w:t>完成垃圾的摊铺、消杀、压实、覆盖作业。</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 xml:space="preserve">4.3.4 </w:t>
      </w:r>
      <w:r>
        <w:rPr>
          <w:rFonts w:hint="eastAsia" w:ascii="宋体" w:hAnsi="宋体" w:eastAsia="宋体" w:cs="宋体"/>
          <w:color w:val="auto"/>
          <w:kern w:val="2"/>
          <w:sz w:val="24"/>
          <w:szCs w:val="24"/>
          <w:highlight w:val="none"/>
          <w:lang w:val="en-US" w:eastAsia="zh-CN" w:bidi="ar-SA"/>
        </w:rPr>
        <w:t>生活垃圾填埋场运行期内，应控制堆体的坡度，确保填埋堆体的稳定性，并</w:t>
      </w:r>
      <w:r>
        <w:rPr>
          <w:rFonts w:hint="eastAsia" w:ascii="宋体" w:hAnsi="宋体" w:cs="宋体"/>
          <w:color w:val="auto"/>
          <w:kern w:val="2"/>
          <w:sz w:val="24"/>
          <w:szCs w:val="24"/>
          <w:highlight w:val="none"/>
          <w:lang w:val="en-US" w:eastAsia="zh-CN" w:bidi="ar-SA"/>
        </w:rPr>
        <w:t>开展渗滤液处理和</w:t>
      </w:r>
      <w:r>
        <w:rPr>
          <w:rFonts w:hint="eastAsia" w:ascii="宋体" w:hAnsi="宋体" w:eastAsia="宋体" w:cs="宋体"/>
          <w:color w:val="auto"/>
          <w:kern w:val="2"/>
          <w:sz w:val="24"/>
          <w:szCs w:val="24"/>
          <w:highlight w:val="none"/>
          <w:lang w:val="en-US" w:eastAsia="zh-CN" w:bidi="ar-SA"/>
        </w:rPr>
        <w:t>环境质量检测评价，有完整的年度垃圾处理卫生监测评价资料，</w:t>
      </w:r>
      <w:r>
        <w:rPr>
          <w:rFonts w:hint="eastAsia" w:ascii="宋体" w:hAnsi="宋体" w:cs="宋体"/>
          <w:color w:val="auto"/>
          <w:kern w:val="2"/>
          <w:sz w:val="24"/>
          <w:szCs w:val="24"/>
          <w:highlight w:val="none"/>
          <w:lang w:val="en-US" w:eastAsia="zh-CN" w:bidi="ar-SA"/>
        </w:rPr>
        <w:t>定期</w:t>
      </w:r>
      <w:r>
        <w:rPr>
          <w:rFonts w:hint="eastAsia" w:ascii="宋体" w:hAnsi="宋体" w:eastAsia="宋体" w:cs="宋体"/>
          <w:color w:val="auto"/>
          <w:kern w:val="2"/>
          <w:sz w:val="24"/>
          <w:szCs w:val="24"/>
          <w:highlight w:val="none"/>
          <w:lang w:val="en-US" w:eastAsia="zh-CN" w:bidi="ar-SA"/>
        </w:rPr>
        <w:t>检测防渗衬层系统、渗滤液导排系统及地下水质，一旦发生污染事故，必须及时采取补救措施。</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 xml:space="preserve">4.3.5 </w:t>
      </w:r>
      <w:r>
        <w:rPr>
          <w:rFonts w:hint="eastAsia" w:ascii="宋体" w:hAnsi="宋体" w:eastAsia="宋体" w:cs="宋体"/>
          <w:color w:val="auto"/>
          <w:kern w:val="2"/>
          <w:sz w:val="24"/>
          <w:szCs w:val="24"/>
          <w:highlight w:val="none"/>
          <w:lang w:val="en-US" w:eastAsia="zh-CN" w:bidi="ar-SA"/>
        </w:rPr>
        <w:t>生活垃圾应急填埋场运行</w:t>
      </w:r>
      <w:r>
        <w:rPr>
          <w:rFonts w:hint="eastAsia" w:ascii="宋体" w:hAnsi="宋体" w:cs="宋体"/>
          <w:color w:val="auto"/>
          <w:kern w:val="2"/>
          <w:sz w:val="24"/>
          <w:szCs w:val="24"/>
          <w:highlight w:val="none"/>
          <w:lang w:val="en-US" w:eastAsia="zh-CN" w:bidi="ar-SA"/>
        </w:rPr>
        <w:t>期间</w:t>
      </w:r>
      <w:r>
        <w:rPr>
          <w:rFonts w:hint="eastAsia" w:ascii="宋体" w:hAnsi="宋体" w:eastAsia="宋体" w:cs="宋体"/>
          <w:color w:val="auto"/>
          <w:kern w:val="2"/>
          <w:sz w:val="24"/>
          <w:szCs w:val="24"/>
          <w:highlight w:val="none"/>
          <w:lang w:val="en-US" w:eastAsia="zh-CN" w:bidi="ar-SA"/>
        </w:rPr>
        <w:t>，应逐日记载有关运行管理情况，主要包括生活垃圾处理、处置设备工艺控制参数，进入生活生活垃圾应急填埋场处置的垃圾来源、种类、数量、填埋位置。运行情况记录簿应当按照国家有关档案管理等法律法规进行整理和保管。</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 xml:space="preserve">4.3.6 </w:t>
      </w:r>
      <w:r>
        <w:rPr>
          <w:rFonts w:hint="eastAsia" w:ascii="宋体" w:hAnsi="宋体" w:eastAsia="宋体" w:cs="宋体"/>
          <w:color w:val="auto"/>
          <w:kern w:val="2"/>
          <w:sz w:val="24"/>
          <w:szCs w:val="24"/>
          <w:highlight w:val="none"/>
          <w:lang w:val="en-US" w:eastAsia="zh-CN" w:bidi="ar-SA"/>
        </w:rPr>
        <w:t>垃圾填埋区达到设计填埋高度时应及时封场。封场后应继续对填埋气体、渗滤液的收集与处理及环境与安全监测等进行管理，直至填埋堆体稳定。</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 xml:space="preserve">4.3.7 </w:t>
      </w:r>
      <w:r>
        <w:rPr>
          <w:rFonts w:hint="eastAsia" w:ascii="宋体" w:hAnsi="宋体" w:eastAsia="宋体" w:cs="宋体"/>
          <w:color w:val="auto"/>
          <w:kern w:val="2"/>
          <w:sz w:val="24"/>
          <w:szCs w:val="24"/>
          <w:highlight w:val="none"/>
          <w:lang w:val="en-US" w:eastAsia="zh-CN" w:bidi="ar-SA"/>
        </w:rPr>
        <w:t>加强场区与场容环境管理和绿化管护工作，保证场区环境卫生整洁、美观。</w:t>
      </w:r>
      <w:r>
        <w:rPr>
          <w:rFonts w:hint="eastAsia" w:ascii="宋体" w:hAnsi="宋体" w:cs="宋体"/>
          <w:color w:val="auto"/>
          <w:kern w:val="2"/>
          <w:sz w:val="24"/>
          <w:szCs w:val="24"/>
          <w:highlight w:val="none"/>
          <w:lang w:val="en-US" w:eastAsia="zh-CN" w:bidi="ar-SA"/>
        </w:rPr>
        <w:t>做好绿化、美化、</w:t>
      </w:r>
      <w:r>
        <w:rPr>
          <w:rFonts w:hint="eastAsia" w:ascii="宋体" w:hAnsi="宋体" w:eastAsia="宋体" w:cs="宋体"/>
          <w:color w:val="auto"/>
          <w:kern w:val="2"/>
          <w:sz w:val="24"/>
          <w:szCs w:val="24"/>
          <w:highlight w:val="none"/>
          <w:lang w:val="en-US" w:eastAsia="zh-CN" w:bidi="ar-SA"/>
        </w:rPr>
        <w:t>消毒、消防、灭蚊蝇、灭鼠</w:t>
      </w:r>
      <w:r>
        <w:rPr>
          <w:rFonts w:hint="eastAsia" w:ascii="宋体" w:hAnsi="宋体" w:cs="宋体"/>
          <w:color w:val="auto"/>
          <w:kern w:val="2"/>
          <w:sz w:val="24"/>
          <w:szCs w:val="24"/>
          <w:highlight w:val="none"/>
          <w:lang w:val="en-US" w:eastAsia="zh-CN" w:bidi="ar-SA"/>
        </w:rPr>
        <w:t>等措施</w:t>
      </w:r>
      <w:r>
        <w:rPr>
          <w:rFonts w:hint="eastAsia" w:ascii="宋体" w:hAnsi="宋体" w:eastAsia="宋体" w:cs="宋体"/>
          <w:color w:val="auto"/>
          <w:kern w:val="2"/>
          <w:sz w:val="24"/>
          <w:szCs w:val="24"/>
          <w:highlight w:val="none"/>
          <w:lang w:val="en-US" w:eastAsia="zh-CN" w:bidi="ar-SA"/>
        </w:rPr>
        <w:t>。蝇密度要求填埋区小于10只/（笼•日），填埋场内工作和生活用室无蝇。</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 xml:space="preserve">4.3.8 </w:t>
      </w:r>
      <w:r>
        <w:rPr>
          <w:rFonts w:hint="eastAsia" w:ascii="宋体" w:hAnsi="宋体" w:eastAsia="宋体" w:cs="宋体"/>
          <w:color w:val="auto"/>
          <w:kern w:val="2"/>
          <w:sz w:val="24"/>
          <w:szCs w:val="24"/>
          <w:highlight w:val="none"/>
          <w:lang w:val="en-US" w:eastAsia="zh-CN" w:bidi="ar-SA"/>
        </w:rPr>
        <w:t>渗滤液处理必须建立规范化质量保证体系，制定完善的运营管理制度和预防、处理应急污染事故预案。必须按规定采购、运转，使用和保管处理垃圾渗滤液所需的药剂等危险化学品。渗滤液处理必须达到环保标准。</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 xml:space="preserve">4.3.9 </w:t>
      </w:r>
      <w:r>
        <w:rPr>
          <w:rFonts w:hint="eastAsia" w:ascii="宋体" w:hAnsi="宋体" w:eastAsia="宋体" w:cs="宋体"/>
          <w:color w:val="auto"/>
          <w:kern w:val="2"/>
          <w:sz w:val="24"/>
          <w:szCs w:val="24"/>
          <w:highlight w:val="none"/>
          <w:lang w:val="en-US" w:eastAsia="zh-CN" w:bidi="ar-SA"/>
        </w:rPr>
        <w:t>全面负责生活垃圾填埋场运行期间的安全生产工作。做好车辆安全生产、场区内人员安全作业、用电用水安全、消毒消杀物资安全等相关工作。</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 xml:space="preserve">4.3.10 </w:t>
      </w:r>
      <w:r>
        <w:rPr>
          <w:rFonts w:hint="eastAsia" w:ascii="宋体" w:hAnsi="宋体" w:eastAsia="宋体" w:cs="宋体"/>
          <w:color w:val="auto"/>
          <w:kern w:val="2"/>
          <w:sz w:val="24"/>
          <w:szCs w:val="24"/>
          <w:highlight w:val="none"/>
          <w:lang w:val="en-US" w:eastAsia="zh-CN" w:bidi="ar-SA"/>
        </w:rPr>
        <w:t>全面负责生活垃圾应急填埋场运行期间的其他相关工作。</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5. 公共公厕(以下简称“公厕”)管理</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5.1 公厕的清扫、保洁范围：</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公厕的清扫和保洁范围为公厕内及公厕周边5米范围内的公共场所。</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5.2 公厕的卫生应符合下列质量要求：公厕内地面应保持整洁，粪槽、便槽(斗)和管道应无破损，内外墙应无剥落。</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5.3 公厕保洁标准应符合下列规定：</w:t>
      </w:r>
    </w:p>
    <w:p>
      <w:pPr>
        <w:pStyle w:val="13"/>
        <w:pageBreakBefore w:val="0"/>
        <w:shd w:val="clear" w:color="auto" w:fill="FFFFFF"/>
        <w:wordWrap/>
        <w:overflowPunct/>
        <w:autoSpaceDE w:val="0"/>
        <w:bidi w:val="0"/>
        <w:adjustRightInd w:val="0"/>
        <w:snapToGrid w:val="0"/>
        <w:spacing w:line="460" w:lineRule="exact"/>
        <w:ind w:left="0" w:leftChars="0" w:right="0" w:firstLine="6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5.3.1 公厕内采光、照明和通风应良好，无明显臭味。</w:t>
      </w:r>
    </w:p>
    <w:p>
      <w:pPr>
        <w:pStyle w:val="13"/>
        <w:pageBreakBefore w:val="0"/>
        <w:widowControl w:val="0"/>
        <w:shd w:val="clear" w:color="auto" w:fill="FFFFFF"/>
        <w:kinsoku/>
        <w:wordWrap/>
        <w:overflowPunct/>
        <w:autoSpaceDE w:val="0"/>
        <w:autoSpaceDN/>
        <w:bidi w:val="0"/>
        <w:adjustRightInd w:val="0"/>
        <w:snapToGrid w:val="0"/>
        <w:spacing w:line="42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5.3.2 公厕内墙面、天花板、门窗和隔离板应无积灰、污迹、蛛网，无乱涂乱画，墙面应光洁，公厕外墙面应整洁。</w:t>
      </w:r>
    </w:p>
    <w:p>
      <w:pPr>
        <w:pStyle w:val="13"/>
        <w:pageBreakBefore w:val="0"/>
        <w:widowControl w:val="0"/>
        <w:shd w:val="clear" w:color="auto" w:fill="FFFFFF"/>
        <w:kinsoku/>
        <w:wordWrap/>
        <w:overflowPunct/>
        <w:autoSpaceDE w:val="0"/>
        <w:autoSpaceDN/>
        <w:bidi w:val="0"/>
        <w:adjustRightInd w:val="0"/>
        <w:snapToGrid w:val="0"/>
        <w:spacing w:line="42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5.3.3 公厕内地面应光洁，无积水。</w:t>
      </w:r>
    </w:p>
    <w:p>
      <w:pPr>
        <w:pStyle w:val="13"/>
        <w:pageBreakBefore w:val="0"/>
        <w:widowControl w:val="0"/>
        <w:shd w:val="clear" w:color="auto" w:fill="FFFFFF"/>
        <w:kinsoku/>
        <w:wordWrap/>
        <w:overflowPunct/>
        <w:autoSpaceDE w:val="0"/>
        <w:autoSpaceDN/>
        <w:bidi w:val="0"/>
        <w:adjustRightInd w:val="0"/>
        <w:snapToGrid w:val="0"/>
        <w:spacing w:line="42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5.3.4 蹲位应整洁，大便槽两侧应无粪便污物，槽内无积粪，洁净见底。</w:t>
      </w:r>
    </w:p>
    <w:p>
      <w:pPr>
        <w:pStyle w:val="13"/>
        <w:pageBreakBefore w:val="0"/>
        <w:widowControl w:val="0"/>
        <w:shd w:val="clear" w:color="auto" w:fill="FFFFFF"/>
        <w:kinsoku/>
        <w:wordWrap/>
        <w:overflowPunct/>
        <w:autoSpaceDE w:val="0"/>
        <w:autoSpaceDN/>
        <w:bidi w:val="0"/>
        <w:adjustRightInd w:val="0"/>
        <w:snapToGrid w:val="0"/>
        <w:spacing w:line="42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5.3.5 小便槽(斗)应无水锈、尿垢、垃圾，基本无臭；沟眼、管道保持畅通。</w:t>
      </w:r>
    </w:p>
    <w:p>
      <w:pPr>
        <w:pStyle w:val="13"/>
        <w:pageBreakBefore w:val="0"/>
        <w:widowControl w:val="0"/>
        <w:shd w:val="clear" w:color="auto" w:fill="FFFFFF"/>
        <w:kinsoku/>
        <w:wordWrap/>
        <w:overflowPunct/>
        <w:autoSpaceDE w:val="0"/>
        <w:autoSpaceDN/>
        <w:bidi w:val="0"/>
        <w:adjustRightInd w:val="0"/>
        <w:snapToGrid w:val="0"/>
        <w:spacing w:line="42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5.3.6 公厕内照明灯具、洗手器具、镜子、挂衣钩、烘手器、冲水设备等应完好，无积灰、污物。</w:t>
      </w:r>
    </w:p>
    <w:p>
      <w:pPr>
        <w:pStyle w:val="13"/>
        <w:pageBreakBefore w:val="0"/>
        <w:widowControl w:val="0"/>
        <w:shd w:val="clear" w:color="auto" w:fill="FFFFFF"/>
        <w:kinsoku/>
        <w:wordWrap/>
        <w:overflowPunct/>
        <w:autoSpaceDE w:val="0"/>
        <w:autoSpaceDN/>
        <w:bidi w:val="0"/>
        <w:adjustRightInd w:val="0"/>
        <w:snapToGrid w:val="0"/>
        <w:spacing w:line="42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5.3.7 公厕外环境应整洁，无乱堆杂物，保洁工具应放置整齐。公厕四周5m范围内，应无垃圾、粪便、污水等污物。</w:t>
      </w:r>
    </w:p>
    <w:p>
      <w:pPr>
        <w:pStyle w:val="13"/>
        <w:pageBreakBefore w:val="0"/>
        <w:widowControl w:val="0"/>
        <w:shd w:val="clear" w:color="auto" w:fill="FFFFFF"/>
        <w:kinsoku/>
        <w:wordWrap/>
        <w:overflowPunct/>
        <w:autoSpaceDE w:val="0"/>
        <w:autoSpaceDN/>
        <w:bidi w:val="0"/>
        <w:adjustRightInd w:val="0"/>
        <w:snapToGrid w:val="0"/>
        <w:spacing w:line="42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5.3.8 蝇蚊孳生季节，应定时喷洒灭蚊蝇药物，有效控制蝇蛆孳生。</w:t>
      </w:r>
    </w:p>
    <w:p>
      <w:pPr>
        <w:pStyle w:val="13"/>
        <w:pageBreakBefore w:val="0"/>
        <w:widowControl w:val="0"/>
        <w:shd w:val="clear" w:color="auto" w:fill="FFFFFF"/>
        <w:kinsoku/>
        <w:wordWrap/>
        <w:overflowPunct/>
        <w:autoSpaceDE w:val="0"/>
        <w:autoSpaceDN/>
        <w:bidi w:val="0"/>
        <w:adjustRightInd w:val="0"/>
        <w:snapToGrid w:val="0"/>
        <w:spacing w:line="42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5.3.9 公厕管理保洁要有专人保洁，一般不少于1人，必须保持管道畅通完好，公厕设施有人维修维护。</w:t>
      </w:r>
    </w:p>
    <w:p>
      <w:pPr>
        <w:pStyle w:val="13"/>
        <w:pageBreakBefore w:val="0"/>
        <w:widowControl w:val="0"/>
        <w:shd w:val="clear" w:color="auto" w:fill="FFFFFF"/>
        <w:kinsoku/>
        <w:wordWrap/>
        <w:overflowPunct/>
        <w:autoSpaceDE w:val="0"/>
        <w:autoSpaceDN/>
        <w:bidi w:val="0"/>
        <w:adjustRightInd w:val="0"/>
        <w:snapToGrid w:val="0"/>
        <w:spacing w:line="42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5.4 公厕的清扫、保洁作业时间：</w:t>
      </w:r>
    </w:p>
    <w:p>
      <w:pPr>
        <w:pStyle w:val="13"/>
        <w:pageBreakBefore w:val="0"/>
        <w:widowControl w:val="0"/>
        <w:shd w:val="clear" w:color="auto" w:fill="FFFFFF"/>
        <w:kinsoku/>
        <w:wordWrap/>
        <w:overflowPunct/>
        <w:autoSpaceDE w:val="0"/>
        <w:autoSpaceDN/>
        <w:bidi w:val="0"/>
        <w:adjustRightInd w:val="0"/>
        <w:snapToGrid w:val="0"/>
        <w:spacing w:line="42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5.4.1 公厕每日彻底冲洗不少于3次，上午彻底洗刷1次，每日消毒不少于2次。</w:t>
      </w:r>
    </w:p>
    <w:p>
      <w:pPr>
        <w:pStyle w:val="13"/>
        <w:pageBreakBefore w:val="0"/>
        <w:widowControl w:val="0"/>
        <w:shd w:val="clear" w:color="auto" w:fill="FFFFFF"/>
        <w:kinsoku/>
        <w:wordWrap/>
        <w:overflowPunct/>
        <w:autoSpaceDE w:val="0"/>
        <w:autoSpaceDN/>
        <w:bidi w:val="0"/>
        <w:adjustRightInd w:val="0"/>
        <w:snapToGrid w:val="0"/>
        <w:spacing w:line="420" w:lineRule="exact"/>
        <w:ind w:left="0" w:leftChars="0" w:right="0" w:firstLine="64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5.4.2 公厕的保洁时间应覆盖公厕的开放时段。</w:t>
      </w:r>
    </w:p>
    <w:p>
      <w:pPr>
        <w:pStyle w:val="5"/>
        <w:pageBreakBefore w:val="0"/>
        <w:widowControl w:val="0"/>
        <w:numPr>
          <w:ilvl w:val="0"/>
          <w:numId w:val="0"/>
        </w:numPr>
        <w:shd w:val="clear" w:color="auto" w:fill="FFFFFF"/>
        <w:kinsoku/>
        <w:wordWrap/>
        <w:overflowPunct/>
        <w:autoSpaceDN/>
        <w:bidi w:val="0"/>
        <w:adjustRightInd w:val="0"/>
        <w:snapToGrid w:val="0"/>
        <w:spacing w:before="0" w:after="0" w:line="420" w:lineRule="exact"/>
        <w:ind w:left="0" w:leftChars="0" w:right="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五、项目模式及服务周期</w:t>
      </w:r>
    </w:p>
    <w:p>
      <w:pPr>
        <w:pStyle w:val="13"/>
        <w:pageBreakBefore w:val="0"/>
        <w:widowControl w:val="0"/>
        <w:shd w:val="clear" w:color="auto" w:fill="FFFFFF"/>
        <w:kinsoku/>
        <w:wordWrap/>
        <w:overflowPunct/>
        <w:autoSpaceDE w:val="0"/>
        <w:autoSpaceDN/>
        <w:bidi w:val="0"/>
        <w:adjustRightInd w:val="0"/>
        <w:snapToGrid w:val="0"/>
        <w:spacing w:line="420" w:lineRule="exact"/>
        <w:ind w:left="0" w:leftChars="0" w:right="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（一）项目模式</w:t>
      </w:r>
    </w:p>
    <w:p>
      <w:pPr>
        <w:pStyle w:val="13"/>
        <w:pageBreakBefore w:val="0"/>
        <w:widowControl w:val="0"/>
        <w:shd w:val="clear" w:color="auto" w:fill="FFFFFF"/>
        <w:kinsoku/>
        <w:wordWrap/>
        <w:overflowPunct/>
        <w:autoSpaceDE w:val="0"/>
        <w:autoSpaceDN/>
        <w:bidi w:val="0"/>
        <w:adjustRightInd w:val="0"/>
        <w:snapToGrid w:val="0"/>
        <w:spacing w:line="420" w:lineRule="exact"/>
        <w:ind w:left="0" w:leftChars="0" w:right="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以政府购买服务方式进行公开招标。</w:t>
      </w:r>
    </w:p>
    <w:p>
      <w:pPr>
        <w:pStyle w:val="13"/>
        <w:pageBreakBefore w:val="0"/>
        <w:widowControl w:val="0"/>
        <w:shd w:val="clear" w:color="auto" w:fill="FFFFFF"/>
        <w:kinsoku/>
        <w:wordWrap/>
        <w:overflowPunct/>
        <w:autoSpaceDE w:val="0"/>
        <w:autoSpaceDN/>
        <w:bidi w:val="0"/>
        <w:adjustRightInd w:val="0"/>
        <w:snapToGrid w:val="0"/>
        <w:spacing w:line="420" w:lineRule="exact"/>
        <w:ind w:left="0" w:leftChars="0" w:right="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（二）项目周期</w:t>
      </w:r>
    </w:p>
    <w:p>
      <w:pPr>
        <w:pStyle w:val="13"/>
        <w:pageBreakBefore w:val="0"/>
        <w:widowControl w:val="0"/>
        <w:shd w:val="clear" w:color="auto" w:fill="FFFFFF"/>
        <w:kinsoku/>
        <w:wordWrap/>
        <w:overflowPunct/>
        <w:autoSpaceDE w:val="0"/>
        <w:autoSpaceDN/>
        <w:bidi w:val="0"/>
        <w:adjustRightInd w:val="0"/>
        <w:snapToGrid w:val="0"/>
        <w:spacing w:line="420" w:lineRule="exact"/>
        <w:ind w:left="0" w:leftChars="0" w:right="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合同签订之日起3年。</w:t>
      </w:r>
    </w:p>
    <w:p>
      <w:pPr>
        <w:pStyle w:val="5"/>
        <w:pageBreakBefore w:val="0"/>
        <w:widowControl w:val="0"/>
        <w:numPr>
          <w:ilvl w:val="0"/>
          <w:numId w:val="0"/>
        </w:numPr>
        <w:shd w:val="clear" w:color="auto" w:fill="FFFFFF"/>
        <w:kinsoku/>
        <w:wordWrap/>
        <w:overflowPunct/>
        <w:autoSpaceDN/>
        <w:bidi w:val="0"/>
        <w:adjustRightInd w:val="0"/>
        <w:snapToGrid w:val="0"/>
        <w:spacing w:before="0" w:after="0" w:line="420" w:lineRule="exact"/>
        <w:ind w:left="0" w:leftChars="0" w:right="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六、项目招标控制价格</w:t>
      </w:r>
    </w:p>
    <w:p>
      <w:pPr>
        <w:pStyle w:val="13"/>
        <w:pageBreakBefore w:val="0"/>
        <w:widowControl w:val="0"/>
        <w:shd w:val="clear" w:color="auto" w:fill="FFFFFF"/>
        <w:kinsoku/>
        <w:wordWrap/>
        <w:overflowPunct/>
        <w:autoSpaceDE w:val="0"/>
        <w:autoSpaceDN/>
        <w:bidi w:val="0"/>
        <w:adjustRightInd w:val="0"/>
        <w:snapToGrid w:val="0"/>
        <w:spacing w:line="420" w:lineRule="exact"/>
        <w:ind w:left="0" w:leftChars="0" w:right="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控制价：</w:t>
      </w:r>
      <w:r>
        <w:rPr>
          <w:rFonts w:hint="eastAsia" w:ascii="宋体" w:hAnsi="宋体" w:eastAsia="宋体" w:cs="宋体"/>
          <w:color w:val="auto"/>
          <w:kern w:val="2"/>
          <w:sz w:val="24"/>
          <w:szCs w:val="24"/>
          <w:highlight w:val="none"/>
          <w:lang w:val="en-US" w:eastAsia="zh-CN" w:bidi="ar-SA"/>
        </w:rPr>
        <w:t>1636.5万元/年。</w:t>
      </w:r>
    </w:p>
    <w:p>
      <w:pPr>
        <w:pStyle w:val="5"/>
        <w:pageBreakBefore w:val="0"/>
        <w:widowControl w:val="0"/>
        <w:numPr>
          <w:ilvl w:val="0"/>
          <w:numId w:val="0"/>
        </w:numPr>
        <w:shd w:val="clear" w:color="auto" w:fill="FFFFFF"/>
        <w:kinsoku/>
        <w:wordWrap/>
        <w:overflowPunct/>
        <w:autoSpaceDN/>
        <w:bidi w:val="0"/>
        <w:adjustRightInd w:val="0"/>
        <w:snapToGrid w:val="0"/>
        <w:spacing w:before="0" w:after="0" w:line="420" w:lineRule="exact"/>
        <w:ind w:left="0" w:leftChars="0" w:right="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七、考核原则</w:t>
      </w:r>
    </w:p>
    <w:p>
      <w:pPr>
        <w:pStyle w:val="13"/>
        <w:pageBreakBefore w:val="0"/>
        <w:widowControl w:val="0"/>
        <w:shd w:val="clear" w:color="auto" w:fill="FFFFFF"/>
        <w:kinsoku/>
        <w:wordWrap/>
        <w:overflowPunct/>
        <w:autoSpaceDE w:val="0"/>
        <w:autoSpaceDN/>
        <w:bidi w:val="0"/>
        <w:adjustRightInd w:val="0"/>
        <w:snapToGrid w:val="0"/>
        <w:spacing w:line="420" w:lineRule="exact"/>
        <w:ind w:left="0" w:leftChars="0" w:right="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实行</w:t>
      </w:r>
      <w:r>
        <w:rPr>
          <w:rFonts w:hint="eastAsia" w:ascii="宋体" w:hAnsi="宋体" w:eastAsia="宋体" w:cs="宋体"/>
          <w:color w:val="auto"/>
          <w:kern w:val="2"/>
          <w:sz w:val="24"/>
          <w:szCs w:val="24"/>
          <w:highlight w:val="none"/>
          <w:lang w:val="en-US" w:eastAsia="zh-CN" w:bidi="ar-SA"/>
        </w:rPr>
        <w:t>考核制度兑现</w:t>
      </w:r>
      <w:r>
        <w:rPr>
          <w:rFonts w:hint="eastAsia" w:ascii="宋体" w:hAnsi="宋体" w:cs="宋体"/>
          <w:color w:val="auto"/>
          <w:kern w:val="2"/>
          <w:sz w:val="24"/>
          <w:szCs w:val="24"/>
          <w:highlight w:val="none"/>
          <w:lang w:val="en-US" w:eastAsia="zh-CN" w:bidi="ar-SA"/>
        </w:rPr>
        <w:t>管理服务</w:t>
      </w:r>
      <w:r>
        <w:rPr>
          <w:rFonts w:hint="eastAsia" w:ascii="宋体" w:hAnsi="宋体" w:eastAsia="宋体" w:cs="宋体"/>
          <w:color w:val="auto"/>
          <w:kern w:val="2"/>
          <w:sz w:val="24"/>
          <w:szCs w:val="24"/>
          <w:highlight w:val="none"/>
          <w:lang w:val="en-US" w:eastAsia="zh-CN" w:bidi="ar-SA"/>
        </w:rPr>
        <w:t>费用，制定考核办法和奖罚制度，组织人员不定期对管理</w:t>
      </w:r>
      <w:r>
        <w:rPr>
          <w:rFonts w:hint="eastAsia" w:ascii="宋体" w:hAnsi="宋体" w:cs="宋体"/>
          <w:color w:val="auto"/>
          <w:kern w:val="2"/>
          <w:sz w:val="24"/>
          <w:szCs w:val="24"/>
          <w:highlight w:val="none"/>
          <w:lang w:val="en-US" w:eastAsia="zh-CN" w:bidi="ar-SA"/>
        </w:rPr>
        <w:t>服务</w:t>
      </w:r>
      <w:r>
        <w:rPr>
          <w:rFonts w:hint="eastAsia" w:ascii="宋体" w:hAnsi="宋体" w:eastAsia="宋体" w:cs="宋体"/>
          <w:color w:val="auto"/>
          <w:kern w:val="2"/>
          <w:sz w:val="24"/>
          <w:szCs w:val="24"/>
          <w:highlight w:val="none"/>
          <w:lang w:val="en-US" w:eastAsia="zh-CN" w:bidi="ar-SA"/>
        </w:rPr>
        <w:t>范围进行检查考核，考核采用当场记录扣分，每月考核情况予以公布，考核不合格，招标人有权随时终止合同，重新发包，该单位记入不良记录，三年内不得参加</w:t>
      </w:r>
      <w:r>
        <w:rPr>
          <w:rFonts w:hint="eastAsia" w:ascii="宋体" w:hAnsi="宋体" w:cs="宋体"/>
          <w:color w:val="auto"/>
          <w:kern w:val="2"/>
          <w:sz w:val="24"/>
          <w:szCs w:val="24"/>
          <w:highlight w:val="none"/>
          <w:lang w:val="en-US" w:eastAsia="zh-CN" w:bidi="ar-SA"/>
        </w:rPr>
        <w:t>招标单位</w:t>
      </w:r>
      <w:r>
        <w:rPr>
          <w:rFonts w:hint="eastAsia" w:ascii="宋体" w:hAnsi="宋体" w:eastAsia="宋体" w:cs="宋体"/>
          <w:color w:val="auto"/>
          <w:kern w:val="2"/>
          <w:sz w:val="24"/>
          <w:szCs w:val="24"/>
          <w:highlight w:val="none"/>
          <w:lang w:val="en-US" w:eastAsia="zh-CN" w:bidi="ar-SA"/>
        </w:rPr>
        <w:t>投标活动。</w:t>
      </w:r>
    </w:p>
    <w:p>
      <w:pPr>
        <w:pStyle w:val="5"/>
        <w:pageBreakBefore w:val="0"/>
        <w:widowControl w:val="0"/>
        <w:numPr>
          <w:ilvl w:val="0"/>
          <w:numId w:val="0"/>
        </w:numPr>
        <w:shd w:val="clear" w:color="auto" w:fill="FFFFFF"/>
        <w:kinsoku/>
        <w:wordWrap/>
        <w:overflowPunct/>
        <w:autoSpaceDN/>
        <w:bidi w:val="0"/>
        <w:adjustRightInd w:val="0"/>
        <w:snapToGrid w:val="0"/>
        <w:spacing w:before="0" w:after="0" w:line="420" w:lineRule="exact"/>
        <w:ind w:left="0" w:leftChars="0" w:right="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八、付款方式</w:t>
      </w:r>
    </w:p>
    <w:p>
      <w:pPr>
        <w:pStyle w:val="12"/>
        <w:pageBreakBefore w:val="0"/>
        <w:widowControl w:val="0"/>
        <w:numPr>
          <w:ilvl w:val="0"/>
          <w:numId w:val="0"/>
        </w:numPr>
        <w:shd w:val="clear" w:color="auto" w:fill="FFFFFF"/>
        <w:kinsoku/>
        <w:wordWrap/>
        <w:overflowPunct/>
        <w:autoSpaceDN/>
        <w:bidi w:val="0"/>
        <w:adjustRightInd w:val="0"/>
        <w:snapToGrid w:val="0"/>
        <w:spacing w:after="0" w:line="420" w:lineRule="exact"/>
        <w:ind w:left="0" w:leftChars="0" w:right="0" w:firstLine="480" w:firstLineChars="200"/>
        <w:textAlignment w:val="auto"/>
        <w:rPr>
          <w:rFonts w:hint="eastAsia" w:ascii="宋体" w:hAnsi="宋体" w:eastAsia="宋体" w:cs="宋体"/>
          <w:b/>
          <w:color w:val="auto"/>
          <w:sz w:val="32"/>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招标人根据考核结果支付应付款。</w:t>
      </w:r>
    </w:p>
    <w:p>
      <w:pPr>
        <w:pageBreakBefore w:val="0"/>
        <w:kinsoku/>
        <w:wordWrap/>
        <w:overflowPunct/>
        <w:topLinePunct w:val="0"/>
        <w:bidi w:val="0"/>
        <w:spacing w:beforeAutospacing="0" w:afterAutospacing="0" w:line="400" w:lineRule="exact"/>
        <w:rPr>
          <w:rFonts w:hint="eastAsia" w:ascii="宋体" w:hAnsi="宋体" w:eastAsia="宋体" w:cs="宋体"/>
          <w:sz w:val="24"/>
          <w:szCs w:val="24"/>
          <w:lang w:val="en-US" w:eastAsia="zh-CN"/>
        </w:rPr>
      </w:pPr>
    </w:p>
    <w:p>
      <w:pPr>
        <w:pageBreakBefore w:val="0"/>
        <w:kinsoku/>
        <w:wordWrap/>
        <w:overflowPunct/>
        <w:topLinePunct w:val="0"/>
        <w:bidi w:val="0"/>
        <w:spacing w:beforeAutospacing="0" w:afterAutospacing="0" w:line="400" w:lineRule="exact"/>
        <w:rPr>
          <w:rFonts w:hint="eastAsia" w:ascii="宋体" w:hAnsi="宋体" w:eastAsia="宋体" w:cs="宋体"/>
          <w:sz w:val="24"/>
          <w:szCs w:val="24"/>
          <w:lang w:val="en-US" w:eastAsia="zh-CN"/>
        </w:rPr>
      </w:pPr>
    </w:p>
    <w:p>
      <w:pPr>
        <w:pStyle w:val="22"/>
        <w:pageBreakBefore w:val="0"/>
        <w:kinsoku/>
        <w:wordWrap/>
        <w:overflowPunct/>
        <w:topLinePunct w:val="0"/>
        <w:bidi w:val="0"/>
        <w:spacing w:beforeAutospacing="0" w:after="0" w:afterAutospacing="0" w:line="400" w:lineRule="exact"/>
        <w:jc w:val="center"/>
        <w:rPr>
          <w:rStyle w:val="28"/>
          <w:rFonts w:hint="eastAsia" w:ascii="宋体" w:hAnsi="宋体" w:eastAsia="宋体" w:cs="宋体"/>
          <w:b/>
          <w:bCs/>
          <w:color w:val="auto"/>
          <w:w w:val="90"/>
          <w:sz w:val="36"/>
          <w:szCs w:val="36"/>
          <w:u w:val="none"/>
          <w:lang w:val="en-US" w:eastAsia="zh-CN"/>
        </w:rPr>
      </w:pPr>
      <w:r>
        <w:rPr>
          <w:rStyle w:val="28"/>
          <w:rFonts w:hint="eastAsia" w:ascii="宋体" w:hAnsi="宋体" w:eastAsia="宋体" w:cs="宋体"/>
          <w:b/>
          <w:bCs/>
          <w:color w:val="auto"/>
          <w:w w:val="90"/>
          <w:sz w:val="36"/>
          <w:szCs w:val="36"/>
          <w:u w:val="none"/>
          <w:lang w:val="en-US" w:eastAsia="zh-CN"/>
        </w:rPr>
        <w:t>第六章 评标方法及评标标准</w:t>
      </w:r>
    </w:p>
    <w:p>
      <w:pPr>
        <w:pageBreakBefore w:val="0"/>
        <w:kinsoku/>
        <w:wordWrap/>
        <w:overflowPunct/>
        <w:topLinePunct w:val="0"/>
        <w:bidi w:val="0"/>
        <w:spacing w:beforeAutospacing="0" w:afterAutospacing="0" w:line="400" w:lineRule="exact"/>
        <w:rPr>
          <w:rFonts w:hint="eastAsia" w:ascii="宋体" w:hAnsi="宋体" w:eastAsia="宋体" w:cs="宋体"/>
          <w:sz w:val="24"/>
          <w:szCs w:val="24"/>
          <w:lang w:val="en-US" w:eastAsia="zh-CN"/>
        </w:rPr>
      </w:pPr>
    </w:p>
    <w:p>
      <w:pPr>
        <w:pStyle w:val="31"/>
        <w:pageBreakBefore w:val="0"/>
        <w:kinsoku/>
        <w:wordWrap/>
        <w:overflowPunct/>
        <w:topLinePunct w:val="0"/>
        <w:bidi w:val="0"/>
        <w:spacing w:beforeAutospacing="0" w:afterAutospacing="0" w:line="400" w:lineRule="exact"/>
        <w:ind w:firstLine="482" w:firstLineChars="200"/>
        <w:rPr>
          <w:rFonts w:hint="eastAsia" w:ascii="宋体" w:hAnsi="宋体" w:eastAsia="宋体" w:cs="宋体"/>
          <w:b/>
          <w:color w:val="000000"/>
          <w:kern w:val="2"/>
          <w:sz w:val="24"/>
          <w:szCs w:val="24"/>
          <w:highlight w:val="none"/>
        </w:rPr>
      </w:pPr>
      <w:r>
        <w:rPr>
          <w:rFonts w:hint="eastAsia" w:ascii="宋体" w:hAnsi="宋体" w:eastAsia="宋体" w:cs="宋体"/>
          <w:b/>
          <w:color w:val="000000"/>
          <w:kern w:val="2"/>
          <w:sz w:val="24"/>
          <w:szCs w:val="24"/>
          <w:highlight w:val="none"/>
          <w:lang w:val="en-US" w:eastAsia="zh-CN"/>
        </w:rPr>
        <w:t>一</w:t>
      </w:r>
      <w:r>
        <w:rPr>
          <w:rFonts w:hint="eastAsia" w:ascii="宋体" w:hAnsi="宋体" w:eastAsia="宋体" w:cs="宋体"/>
          <w:b/>
          <w:color w:val="000000"/>
          <w:kern w:val="2"/>
          <w:sz w:val="24"/>
          <w:szCs w:val="24"/>
          <w:highlight w:val="none"/>
        </w:rPr>
        <w:t>、评标办法</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一</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招标评标标准——综合评分法</w:t>
      </w:r>
    </w:p>
    <w:p>
      <w:pPr>
        <w:pageBreakBefore w:val="0"/>
        <w:kinsoku/>
        <w:wordWrap/>
        <w:overflowPunct/>
        <w:topLinePunct w:val="0"/>
        <w:bidi w:val="0"/>
        <w:spacing w:beforeAutospacing="0" w:afterAutospacing="0" w:line="400" w:lineRule="exact"/>
        <w:ind w:firstLine="480"/>
        <w:rPr>
          <w:rFonts w:hint="eastAsia" w:ascii="宋体" w:hAnsi="宋体" w:eastAsia="宋体" w:cs="宋体"/>
          <w:sz w:val="24"/>
          <w:szCs w:val="24"/>
        </w:rPr>
      </w:pPr>
      <w:r>
        <w:rPr>
          <w:rFonts w:hint="eastAsia" w:ascii="宋体" w:hAnsi="宋体" w:eastAsia="宋体" w:cs="宋体"/>
          <w:sz w:val="24"/>
          <w:szCs w:val="24"/>
        </w:rPr>
        <w:t>本项目采用综合评分法（是指投标文件满足招标文件全部实质性要求，且按照评审因素的量化指标评审得分最高的投标人为中标候选人的评标方法），总分100分，其中商务技术部分占90分</w:t>
      </w:r>
      <w:r>
        <w:rPr>
          <w:rFonts w:hint="eastAsia" w:ascii="宋体" w:hAnsi="宋体" w:eastAsia="宋体" w:cs="宋体"/>
          <w:sz w:val="24"/>
          <w:szCs w:val="24"/>
          <w:lang w:eastAsia="zh-CN"/>
        </w:rPr>
        <w:t>、</w:t>
      </w:r>
      <w:r>
        <w:rPr>
          <w:rFonts w:hint="eastAsia" w:ascii="宋体" w:hAnsi="宋体" w:eastAsia="宋体" w:cs="宋体"/>
          <w:sz w:val="24"/>
          <w:szCs w:val="24"/>
        </w:rPr>
        <w:t>价格占10分。</w:t>
      </w:r>
    </w:p>
    <w:p>
      <w:pPr>
        <w:pageBreakBefore w:val="0"/>
        <w:kinsoku/>
        <w:wordWrap/>
        <w:overflowPunct/>
        <w:topLinePunct w:val="0"/>
        <w:bidi w:val="0"/>
        <w:spacing w:beforeAutospacing="0" w:afterAutospacing="0" w:line="4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lang w:val="en-US" w:eastAsia="zh-CN"/>
        </w:rPr>
        <w:t>1、资格性审查及</w:t>
      </w:r>
      <w:r>
        <w:rPr>
          <w:rFonts w:hint="eastAsia" w:ascii="宋体" w:hAnsi="宋体" w:eastAsia="宋体" w:cs="宋体"/>
          <w:b/>
          <w:bCs/>
          <w:sz w:val="24"/>
          <w:szCs w:val="24"/>
        </w:rPr>
        <w:t>符合性审查</w:t>
      </w:r>
    </w:p>
    <w:p>
      <w:pPr>
        <w:pageBreakBefore w:val="0"/>
        <w:kinsoku/>
        <w:wordWrap/>
        <w:overflowPunct/>
        <w:topLinePunct w:val="0"/>
        <w:bidi w:val="0"/>
        <w:spacing w:beforeAutospacing="0" w:afterAutospacing="0"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评标委员会根据招标文件</w:t>
      </w:r>
      <w:r>
        <w:rPr>
          <w:rFonts w:hint="eastAsia" w:ascii="宋体" w:hAnsi="宋体" w:eastAsia="宋体" w:cs="宋体"/>
          <w:color w:val="000000" w:themeColor="text1"/>
          <w:sz w:val="24"/>
          <w:szCs w:val="24"/>
          <w14:textFill>
            <w14:solidFill>
              <w14:schemeClr w14:val="tx1"/>
            </w14:solidFill>
          </w14:textFill>
        </w:rPr>
        <w:t>第三章投标人须知</w:t>
      </w:r>
      <w:r>
        <w:rPr>
          <w:rFonts w:hint="eastAsia" w:ascii="宋体" w:hAnsi="宋体" w:eastAsia="宋体" w:cs="宋体"/>
          <w:sz w:val="24"/>
          <w:szCs w:val="24"/>
        </w:rPr>
        <w:t>的规定，对通过资格审查的合格投标人的投标文件进行符合性审查，未通过符合性审查的投标不进入详细评审。</w:t>
      </w:r>
    </w:p>
    <w:p>
      <w:pPr>
        <w:pageBreakBefore w:val="0"/>
        <w:kinsoku/>
        <w:wordWrap/>
        <w:overflowPunct/>
        <w:topLinePunct w:val="0"/>
        <w:bidi w:val="0"/>
        <w:adjustRightInd w:val="0"/>
        <w:snapToGrid w:val="0"/>
        <w:spacing w:beforeAutospacing="0" w:afterAutospacing="0" w:line="400" w:lineRule="exact"/>
        <w:jc w:val="both"/>
        <w:rPr>
          <w:rFonts w:hint="eastAsia" w:ascii="宋体" w:hAnsi="宋体" w:eastAsia="宋体" w:cs="宋体"/>
          <w:b/>
          <w:sz w:val="24"/>
          <w:szCs w:val="24"/>
          <w:highlight w:val="none"/>
        </w:rPr>
      </w:pPr>
    </w:p>
    <w:p>
      <w:pPr>
        <w:pageBreakBefore w:val="0"/>
        <w:kinsoku/>
        <w:wordWrap/>
        <w:overflowPunct/>
        <w:topLinePunct w:val="0"/>
        <w:bidi w:val="0"/>
        <w:adjustRightInd w:val="0"/>
        <w:snapToGrid w:val="0"/>
        <w:spacing w:beforeAutospacing="0" w:afterAutospacing="0" w:line="400" w:lineRule="exact"/>
        <w:ind w:firstLine="482" w:firstLineChars="20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资格审查表</w:t>
      </w:r>
    </w:p>
    <w:tbl>
      <w:tblPr>
        <w:tblStyle w:val="23"/>
        <w:tblpPr w:leftFromText="180" w:rightFromText="180" w:vertAnchor="text" w:horzAnchor="page" w:tblpX="1691" w:tblpY="227"/>
        <w:tblOverlap w:val="never"/>
        <w:tblW w:w="8655" w:type="dxa"/>
        <w:tblInd w:w="0" w:type="dxa"/>
        <w:tblLayout w:type="fixed"/>
        <w:tblCellMar>
          <w:top w:w="15" w:type="dxa"/>
          <w:left w:w="15" w:type="dxa"/>
          <w:bottom w:w="15" w:type="dxa"/>
          <w:right w:w="15" w:type="dxa"/>
        </w:tblCellMar>
      </w:tblPr>
      <w:tblGrid>
        <w:gridCol w:w="1988"/>
        <w:gridCol w:w="4475"/>
        <w:gridCol w:w="2192"/>
      </w:tblGrid>
      <w:tr>
        <w:tblPrEx>
          <w:tblCellMar>
            <w:top w:w="15" w:type="dxa"/>
            <w:left w:w="15" w:type="dxa"/>
            <w:bottom w:w="15" w:type="dxa"/>
            <w:right w:w="15" w:type="dxa"/>
          </w:tblCellMar>
        </w:tblPrEx>
        <w:trPr>
          <w:trHeight w:val="1194" w:hRule="atLeast"/>
        </w:trPr>
        <w:tc>
          <w:tcPr>
            <w:tcW w:w="198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beforeAutospacing="0" w:afterAutospacing="0" w:line="400" w:lineRule="exact"/>
              <w:jc w:val="lef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序号</w:t>
            </w:r>
          </w:p>
        </w:tc>
        <w:tc>
          <w:tcPr>
            <w:tcW w:w="447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beforeAutospacing="0" w:afterAutospacing="0" w:line="400" w:lineRule="exact"/>
              <w:jc w:val="lef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评审内容</w:t>
            </w:r>
          </w:p>
        </w:tc>
        <w:tc>
          <w:tcPr>
            <w:tcW w:w="219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beforeAutospacing="0" w:afterAutospacing="0" w:line="400" w:lineRule="exact"/>
              <w:jc w:val="center"/>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是否通过评审</w:t>
            </w:r>
          </w:p>
          <w:p>
            <w:pPr>
              <w:pageBreakBefore w:val="0"/>
              <w:widowControl/>
              <w:kinsoku/>
              <w:wordWrap/>
              <w:overflowPunct/>
              <w:topLinePunct w:val="0"/>
              <w:bidi w:val="0"/>
              <w:spacing w:beforeAutospacing="0" w:afterAutospacing="0" w:line="400" w:lineRule="exact"/>
              <w:jc w:val="center"/>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（注：通过的打“√”，未通过的打“×”）</w:t>
            </w:r>
          </w:p>
        </w:tc>
      </w:tr>
      <w:tr>
        <w:tblPrEx>
          <w:tblCellMar>
            <w:top w:w="15" w:type="dxa"/>
            <w:left w:w="15" w:type="dxa"/>
            <w:bottom w:w="15" w:type="dxa"/>
            <w:right w:w="15" w:type="dxa"/>
          </w:tblCellMar>
        </w:tblPrEx>
        <w:trPr>
          <w:trHeight w:val="488" w:hRule="atLeast"/>
        </w:trPr>
        <w:tc>
          <w:tcPr>
            <w:tcW w:w="198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beforeAutospacing="0" w:afterAutospacing="0" w:line="400" w:lineRule="exact"/>
              <w:jc w:val="center"/>
              <w:textAlignment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w:t>
            </w:r>
          </w:p>
        </w:tc>
        <w:tc>
          <w:tcPr>
            <w:tcW w:w="447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beforeAutospacing="0" w:afterAutospacing="0" w:line="400" w:lineRule="exact"/>
              <w:jc w:val="left"/>
              <w:textAlignment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是否提供合格的营业执照；</w:t>
            </w:r>
          </w:p>
        </w:tc>
        <w:tc>
          <w:tcPr>
            <w:tcW w:w="219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beforeAutospacing="0" w:afterAutospacing="0" w:line="400" w:lineRule="exact"/>
              <w:jc w:val="left"/>
              <w:textAlignment w:val="center"/>
              <w:rPr>
                <w:rFonts w:hint="eastAsia" w:ascii="宋体" w:hAnsi="宋体" w:eastAsia="宋体" w:cs="宋体"/>
                <w:kern w:val="0"/>
                <w:sz w:val="24"/>
                <w:szCs w:val="24"/>
                <w:highlight w:val="none"/>
              </w:rPr>
            </w:pPr>
          </w:p>
        </w:tc>
      </w:tr>
      <w:tr>
        <w:tblPrEx>
          <w:tblCellMar>
            <w:top w:w="15" w:type="dxa"/>
            <w:left w:w="15" w:type="dxa"/>
            <w:bottom w:w="15" w:type="dxa"/>
            <w:right w:w="15" w:type="dxa"/>
          </w:tblCellMar>
        </w:tblPrEx>
        <w:trPr>
          <w:trHeight w:val="488" w:hRule="atLeast"/>
        </w:trPr>
        <w:tc>
          <w:tcPr>
            <w:tcW w:w="198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beforeAutospacing="0" w:afterAutospacing="0" w:line="400" w:lineRule="exact"/>
              <w:jc w:val="center"/>
              <w:textAlignment w:val="center"/>
              <w:rPr>
                <w:rFonts w:hint="eastAsia" w:ascii="宋体" w:hAnsi="宋体" w:eastAsia="宋体" w:cs="宋体"/>
                <w:kern w:val="0"/>
                <w:sz w:val="24"/>
                <w:szCs w:val="24"/>
                <w:highlight w:val="none"/>
                <w:lang w:eastAsia="zh-CN"/>
              </w:rPr>
            </w:pPr>
            <w:r>
              <w:rPr>
                <w:rFonts w:hint="eastAsia" w:ascii="宋体" w:hAnsi="宋体" w:cs="宋体"/>
                <w:kern w:val="0"/>
                <w:sz w:val="24"/>
                <w:szCs w:val="24"/>
                <w:highlight w:val="none"/>
                <w:lang w:val="en-US" w:eastAsia="zh-CN"/>
              </w:rPr>
              <w:t>2</w:t>
            </w:r>
          </w:p>
        </w:tc>
        <w:tc>
          <w:tcPr>
            <w:tcW w:w="447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beforeAutospacing="0" w:afterAutospacing="0" w:line="400" w:lineRule="exact"/>
              <w:jc w:val="left"/>
              <w:textAlignment w:val="cente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是否具有法定代表人证明书/法人授权委托书；</w:t>
            </w:r>
          </w:p>
        </w:tc>
        <w:tc>
          <w:tcPr>
            <w:tcW w:w="219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beforeAutospacing="0" w:afterAutospacing="0" w:line="400" w:lineRule="exact"/>
              <w:jc w:val="left"/>
              <w:textAlignment w:val="center"/>
              <w:rPr>
                <w:rFonts w:hint="eastAsia" w:ascii="宋体" w:hAnsi="宋体" w:eastAsia="宋体" w:cs="宋体"/>
                <w:kern w:val="0"/>
                <w:sz w:val="24"/>
                <w:szCs w:val="24"/>
                <w:highlight w:val="none"/>
              </w:rPr>
            </w:pPr>
          </w:p>
        </w:tc>
      </w:tr>
      <w:tr>
        <w:tblPrEx>
          <w:tblCellMar>
            <w:top w:w="15" w:type="dxa"/>
            <w:left w:w="15" w:type="dxa"/>
            <w:bottom w:w="15" w:type="dxa"/>
            <w:right w:w="15" w:type="dxa"/>
          </w:tblCellMar>
        </w:tblPrEx>
        <w:trPr>
          <w:trHeight w:val="523" w:hRule="atLeast"/>
        </w:trPr>
        <w:tc>
          <w:tcPr>
            <w:tcW w:w="198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beforeAutospacing="0" w:afterAutospacing="0" w:line="400" w:lineRule="exact"/>
              <w:jc w:val="center"/>
              <w:textAlignment w:val="center"/>
              <w:rPr>
                <w:rFonts w:hint="eastAsia" w:ascii="宋体" w:hAnsi="宋体" w:eastAsia="宋体" w:cs="宋体"/>
                <w:kern w:val="0"/>
                <w:sz w:val="24"/>
                <w:szCs w:val="24"/>
                <w:highlight w:val="none"/>
                <w:lang w:eastAsia="zh-CN"/>
              </w:rPr>
            </w:pPr>
            <w:r>
              <w:rPr>
                <w:rFonts w:hint="eastAsia" w:ascii="宋体" w:hAnsi="宋体" w:cs="宋体"/>
                <w:kern w:val="0"/>
                <w:sz w:val="24"/>
                <w:szCs w:val="24"/>
                <w:highlight w:val="none"/>
                <w:lang w:val="en-US" w:eastAsia="zh-CN"/>
              </w:rPr>
              <w:t>3</w:t>
            </w:r>
          </w:p>
        </w:tc>
        <w:tc>
          <w:tcPr>
            <w:tcW w:w="447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beforeAutospacing="0" w:afterAutospacing="0" w:line="400" w:lineRule="exact"/>
              <w:jc w:val="left"/>
              <w:textAlignment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投标保证金</w:t>
            </w:r>
            <w:r>
              <w:rPr>
                <w:rFonts w:hint="eastAsia" w:ascii="宋体" w:hAnsi="宋体" w:eastAsia="宋体" w:cs="宋体"/>
                <w:kern w:val="0"/>
                <w:sz w:val="24"/>
                <w:szCs w:val="24"/>
                <w:highlight w:val="none"/>
                <w:lang w:val="en-US" w:eastAsia="zh-CN"/>
              </w:rPr>
              <w:t>收据</w:t>
            </w:r>
            <w:r>
              <w:rPr>
                <w:rFonts w:hint="eastAsia" w:ascii="宋体" w:hAnsi="宋体" w:eastAsia="宋体" w:cs="宋体"/>
                <w:kern w:val="0"/>
                <w:sz w:val="24"/>
                <w:szCs w:val="24"/>
                <w:highlight w:val="none"/>
              </w:rPr>
              <w:t>；</w:t>
            </w:r>
          </w:p>
        </w:tc>
        <w:tc>
          <w:tcPr>
            <w:tcW w:w="219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beforeAutospacing="0" w:afterAutospacing="0" w:line="400" w:lineRule="exact"/>
              <w:jc w:val="left"/>
              <w:textAlignment w:val="center"/>
              <w:rPr>
                <w:rFonts w:hint="eastAsia" w:ascii="宋体" w:hAnsi="宋体" w:eastAsia="宋体" w:cs="宋体"/>
                <w:kern w:val="0"/>
                <w:sz w:val="24"/>
                <w:szCs w:val="24"/>
                <w:highlight w:val="none"/>
              </w:rPr>
            </w:pPr>
          </w:p>
        </w:tc>
      </w:tr>
    </w:tbl>
    <w:p>
      <w:pPr>
        <w:pageBreakBefore w:val="0"/>
        <w:kinsoku/>
        <w:wordWrap/>
        <w:overflowPunct/>
        <w:topLinePunct w:val="0"/>
        <w:bidi w:val="0"/>
        <w:spacing w:beforeAutospacing="0" w:afterAutospacing="0" w:line="400" w:lineRule="exact"/>
        <w:rPr>
          <w:rFonts w:hint="eastAsia" w:ascii="宋体" w:hAnsi="宋体" w:eastAsia="宋体" w:cs="宋体"/>
          <w:color w:val="auto"/>
          <w:kern w:val="0"/>
          <w:sz w:val="24"/>
          <w:szCs w:val="24"/>
          <w:highlight w:val="none"/>
        </w:rPr>
      </w:pPr>
    </w:p>
    <w:p>
      <w:pPr>
        <w:pageBreakBefore w:val="0"/>
        <w:kinsoku/>
        <w:wordWrap/>
        <w:overflowPunct/>
        <w:topLinePunct w:val="0"/>
        <w:bidi w:val="0"/>
        <w:spacing w:beforeAutospacing="0" w:afterAutospacing="0" w:line="400" w:lineRule="exact"/>
        <w:rPr>
          <w:rFonts w:hint="eastAsia" w:ascii="宋体" w:hAnsi="宋体" w:eastAsia="宋体" w:cs="宋体"/>
          <w:color w:val="auto"/>
          <w:kern w:val="0"/>
          <w:sz w:val="24"/>
          <w:szCs w:val="24"/>
          <w:highlight w:val="none"/>
        </w:rPr>
      </w:pPr>
    </w:p>
    <w:p>
      <w:pPr>
        <w:pageBreakBefore w:val="0"/>
        <w:kinsoku/>
        <w:wordWrap/>
        <w:overflowPunct/>
        <w:topLinePunct w:val="0"/>
        <w:bidi w:val="0"/>
        <w:spacing w:beforeAutospacing="0" w:afterAutospacing="0" w:line="400" w:lineRule="exact"/>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注：投标人有一项未通过不得参与下阶段评审，视为废标。</w:t>
      </w:r>
    </w:p>
    <w:p>
      <w:pPr>
        <w:pStyle w:val="6"/>
        <w:pageBreakBefore w:val="0"/>
        <w:kinsoku/>
        <w:wordWrap/>
        <w:overflowPunct/>
        <w:topLinePunct w:val="0"/>
        <w:bidi w:val="0"/>
        <w:spacing w:beforeAutospacing="0" w:afterAutospacing="0" w:line="400" w:lineRule="exact"/>
        <w:jc w:val="center"/>
        <w:outlineLvl w:val="9"/>
        <w:rPr>
          <w:rFonts w:hint="eastAsia" w:ascii="宋体" w:hAnsi="宋体" w:eastAsia="宋体" w:cs="宋体"/>
          <w:bCs w:val="0"/>
          <w:sz w:val="24"/>
          <w:szCs w:val="24"/>
          <w:highlight w:val="none"/>
        </w:rPr>
      </w:pPr>
    </w:p>
    <w:p>
      <w:pPr>
        <w:pStyle w:val="6"/>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r>
        <w:rPr>
          <w:rFonts w:hint="eastAsia" w:ascii="宋体" w:hAnsi="宋体" w:eastAsia="宋体" w:cs="宋体"/>
          <w:bCs w:val="0"/>
          <w:sz w:val="24"/>
          <w:szCs w:val="24"/>
          <w:highlight w:val="none"/>
        </w:rPr>
        <w:t>符合性审查表</w:t>
      </w:r>
    </w:p>
    <w:tbl>
      <w:tblPr>
        <w:tblStyle w:val="23"/>
        <w:tblW w:w="888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9"/>
        <w:gridCol w:w="5190"/>
        <w:gridCol w:w="964"/>
        <w:gridCol w:w="930"/>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9" w:hRule="atLeast"/>
        </w:trPr>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beforeAutospacing="0" w:afterAutospacing="0"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51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beforeAutospacing="0" w:afterAutospacing="0"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评审内容</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Autospacing="0" w:afterAutospacing="0" w:line="400" w:lineRule="exact"/>
              <w:jc w:val="center"/>
              <w:textAlignment w:val="center"/>
              <w:rPr>
                <w:rFonts w:hint="eastAsia" w:ascii="宋体" w:hAnsi="宋体" w:eastAsia="宋体" w:cs="宋体"/>
                <w:i w:val="0"/>
                <w:iCs w:val="0"/>
                <w:color w:val="000000"/>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Autospacing="0" w:afterAutospacing="0" w:line="400" w:lineRule="exact"/>
              <w:jc w:val="center"/>
              <w:textAlignment w:val="center"/>
              <w:rPr>
                <w:rFonts w:hint="eastAsia" w:ascii="宋体" w:hAnsi="宋体" w:eastAsia="宋体" w:cs="宋体"/>
                <w:i w:val="0"/>
                <w:iCs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Autospacing="0" w:afterAutospacing="0" w:line="400" w:lineRule="exact"/>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beforeAutospacing="0" w:afterAutospacing="0" w:line="40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Autospacing="0" w:afterAutospacing="0" w:line="400" w:lineRule="exact"/>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报价不是唯一且报价高于设定的采购限价；</w:t>
            </w:r>
          </w:p>
        </w:tc>
        <w:tc>
          <w:tcPr>
            <w:tcW w:w="964" w:type="dxa"/>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i w:val="0"/>
                <w:iCs w:val="0"/>
                <w:color w:val="000000"/>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i w:val="0"/>
                <w:iCs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beforeAutospacing="0" w:afterAutospacing="0"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Autospacing="0" w:afterAutospacing="0" w:line="40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投标文件未按招标文件要求签署、签章的；</w:t>
            </w:r>
          </w:p>
        </w:tc>
        <w:tc>
          <w:tcPr>
            <w:tcW w:w="964" w:type="dxa"/>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i w:val="0"/>
                <w:iCs w:val="0"/>
                <w:color w:val="000000"/>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i w:val="0"/>
                <w:iCs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beforeAutospacing="0" w:afterAutospacing="0"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Autospacing="0" w:afterAutospacing="0" w:line="40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投标有效期不满足招标文件要求的；</w:t>
            </w:r>
          </w:p>
        </w:tc>
        <w:tc>
          <w:tcPr>
            <w:tcW w:w="964" w:type="dxa"/>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i w:val="0"/>
                <w:iCs w:val="0"/>
                <w:color w:val="000000"/>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i w:val="0"/>
                <w:iCs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beforeAutospacing="0" w:afterAutospacing="0"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Autospacing="0" w:afterAutospacing="0" w:line="40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明显不符合招标文件要求的</w:t>
            </w:r>
            <w:r>
              <w:rPr>
                <w:rFonts w:hint="eastAsia" w:ascii="宋体" w:hAnsi="宋体" w:cs="宋体"/>
                <w:i w:val="0"/>
                <w:iCs w:val="0"/>
                <w:color w:val="auto"/>
                <w:kern w:val="0"/>
                <w:sz w:val="24"/>
                <w:szCs w:val="24"/>
                <w:u w:val="none"/>
                <w:lang w:val="en-US" w:eastAsia="zh-CN" w:bidi="ar"/>
              </w:rPr>
              <w:t>；</w:t>
            </w:r>
          </w:p>
        </w:tc>
        <w:tc>
          <w:tcPr>
            <w:tcW w:w="964" w:type="dxa"/>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i w:val="0"/>
                <w:iCs w:val="0"/>
                <w:color w:val="000000"/>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i w:val="0"/>
                <w:iCs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beforeAutospacing="0" w:afterAutospacing="0"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Autospacing="0" w:afterAutospacing="0" w:line="4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投标文件中含有采购人不能接受的附加条件的；</w:t>
            </w:r>
          </w:p>
        </w:tc>
        <w:tc>
          <w:tcPr>
            <w:tcW w:w="964" w:type="dxa"/>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i w:val="0"/>
                <w:iCs w:val="0"/>
                <w:color w:val="000000"/>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i w:val="0"/>
                <w:iCs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8" w:hRule="atLeast"/>
        </w:trPr>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beforeAutospacing="0" w:afterAutospacing="0"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Autospacing="0" w:afterAutospacing="0" w:line="4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投标声明书无法定代表人签名，或委托人未提供法定代表人授权委托书、填写项目不齐全的；</w:t>
            </w:r>
          </w:p>
        </w:tc>
        <w:tc>
          <w:tcPr>
            <w:tcW w:w="964" w:type="dxa"/>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i w:val="0"/>
                <w:iCs w:val="0"/>
                <w:color w:val="000000"/>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i w:val="0"/>
                <w:iCs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beforeAutospacing="0" w:afterAutospacing="0"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Autospacing="0" w:afterAutospacing="0" w:line="4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投标文件格式不规范、提供资料不齐全或者内容虚假的；</w:t>
            </w:r>
          </w:p>
        </w:tc>
        <w:tc>
          <w:tcPr>
            <w:tcW w:w="964" w:type="dxa"/>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i w:val="0"/>
                <w:iCs w:val="0"/>
                <w:color w:val="000000"/>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i w:val="0"/>
                <w:iCs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2" w:hRule="atLeast"/>
        </w:trPr>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beforeAutospacing="0" w:afterAutospacing="0"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Autospacing="0" w:afterAutospacing="0" w:line="4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投标文件的实质性内容未使用中文表述、表述不明确、前后矛盾或者使用计量单位不符合招标文件要求的（经评标委员会认定并允许其当场更正的笔误除外）；</w:t>
            </w:r>
          </w:p>
        </w:tc>
        <w:tc>
          <w:tcPr>
            <w:tcW w:w="964" w:type="dxa"/>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i w:val="0"/>
                <w:iCs w:val="0"/>
                <w:color w:val="000000"/>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i w:val="0"/>
                <w:iCs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3" w:hRule="atLeast"/>
        </w:trPr>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beforeAutospacing="0" w:afterAutospacing="0"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Autospacing="0" w:afterAutospacing="0" w:line="4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投标文件的关键内容字迹模糊、无法辨认的，或者投标文件中经修正的内容字迹模糊难以辩认或者修改处未按规定签署、盖章的； </w:t>
            </w:r>
          </w:p>
        </w:tc>
        <w:tc>
          <w:tcPr>
            <w:tcW w:w="964" w:type="dxa"/>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i w:val="0"/>
                <w:iCs w:val="0"/>
                <w:color w:val="000000"/>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i w:val="0"/>
                <w:iCs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beforeAutospacing="0" w:afterAutospacing="0" w:line="400" w:lineRule="exact"/>
              <w:jc w:val="center"/>
              <w:textAlignment w:val="center"/>
              <w:rPr>
                <w:rFonts w:hint="eastAsia"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10</w:t>
            </w:r>
          </w:p>
        </w:tc>
        <w:tc>
          <w:tcPr>
            <w:tcW w:w="5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Autospacing="0" w:afterAutospacing="0" w:line="4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法律、法规和招标文件规定的其他无效情形；</w:t>
            </w:r>
          </w:p>
        </w:tc>
        <w:tc>
          <w:tcPr>
            <w:tcW w:w="964" w:type="dxa"/>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i w:val="0"/>
                <w:iCs w:val="0"/>
                <w:color w:val="000000"/>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i w:val="0"/>
                <w:iCs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96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Autospacing="0" w:afterAutospacing="0"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评审结果</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i w:val="0"/>
                <w:iCs w:val="0"/>
                <w:color w:val="000000"/>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i w:val="0"/>
                <w:iCs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6" w:hRule="atLeast"/>
        </w:trPr>
        <w:tc>
          <w:tcPr>
            <w:tcW w:w="8883"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pacing w:beforeAutospacing="0" w:afterAutospacing="0"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注：符合性评审内容只有“通过”与“不通过”，“通过”打“√”，“不通过”打“╳”，只要有一项为“不通过”， 符合性评审结果为“不通过”，“不通过”的供货商将无资格进行后续</w:t>
            </w:r>
            <w:r>
              <w:rPr>
                <w:rFonts w:hint="eastAsia" w:ascii="宋体" w:hAnsi="宋体" w:cs="宋体"/>
                <w:i w:val="0"/>
                <w:iCs w:val="0"/>
                <w:color w:val="000000"/>
                <w:kern w:val="0"/>
                <w:sz w:val="24"/>
                <w:szCs w:val="24"/>
                <w:u w:val="none"/>
                <w:lang w:val="en-US" w:eastAsia="zh-CN" w:bidi="ar"/>
              </w:rPr>
              <w:t>评审</w:t>
            </w:r>
            <w:r>
              <w:rPr>
                <w:rFonts w:hint="eastAsia" w:ascii="宋体" w:hAnsi="宋体" w:eastAsia="宋体" w:cs="宋体"/>
                <w:i w:val="0"/>
                <w:iCs w:val="0"/>
                <w:color w:val="000000"/>
                <w:kern w:val="0"/>
                <w:sz w:val="24"/>
                <w:szCs w:val="24"/>
                <w:u w:val="none"/>
                <w:lang w:val="en-US" w:eastAsia="zh-CN" w:bidi="ar"/>
              </w:rPr>
              <w:t>。</w:t>
            </w:r>
          </w:p>
        </w:tc>
      </w:tr>
    </w:tbl>
    <w:p>
      <w:pPr>
        <w:pageBreakBefore w:val="0"/>
        <w:widowControl/>
        <w:kinsoku/>
        <w:wordWrap/>
        <w:overflowPunct/>
        <w:topLinePunct w:val="0"/>
        <w:bidi w:val="0"/>
        <w:spacing w:beforeAutospacing="0" w:afterAutospacing="0" w:line="400" w:lineRule="exact"/>
        <w:jc w:val="lef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 </w:t>
      </w:r>
    </w:p>
    <w:p>
      <w:pPr>
        <w:pageBreakBefore w:val="0"/>
        <w:widowControl/>
        <w:kinsoku/>
        <w:wordWrap/>
        <w:overflowPunct/>
        <w:topLinePunct w:val="0"/>
        <w:bidi w:val="0"/>
        <w:spacing w:beforeAutospacing="0" w:afterAutospacing="0" w:line="400" w:lineRule="exact"/>
        <w:ind w:firstLine="1680" w:firstLineChars="700"/>
        <w:jc w:val="left"/>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rPr>
        <w:t>注：投标人有一项未通过不得参与下阶段评审，视为废标。</w:t>
      </w:r>
    </w:p>
    <w:p>
      <w:pPr>
        <w:pStyle w:val="31"/>
        <w:pageBreakBefore w:val="0"/>
        <w:kinsoku/>
        <w:wordWrap/>
        <w:overflowPunct/>
        <w:topLinePunct w:val="0"/>
        <w:bidi w:val="0"/>
        <w:spacing w:beforeAutospacing="0" w:afterAutospacing="0" w:line="400" w:lineRule="exact"/>
        <w:jc w:val="both"/>
        <w:rPr>
          <w:rFonts w:hint="eastAsia" w:ascii="宋体" w:hAnsi="宋体" w:eastAsia="宋体" w:cs="宋体"/>
          <w:b/>
          <w:bCs/>
          <w:sz w:val="24"/>
          <w:szCs w:val="24"/>
        </w:rPr>
      </w:pPr>
    </w:p>
    <w:p>
      <w:pPr>
        <w:pageBreakBefore w:val="0"/>
        <w:kinsoku/>
        <w:wordWrap/>
        <w:overflowPunct/>
        <w:topLinePunct w:val="0"/>
        <w:bidi w:val="0"/>
        <w:spacing w:beforeAutospacing="0" w:afterAutospacing="0" w:line="40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（二）、</w:t>
      </w:r>
      <w:r>
        <w:rPr>
          <w:rFonts w:hint="eastAsia" w:ascii="宋体" w:hAnsi="宋体" w:eastAsia="宋体" w:cs="宋体"/>
          <w:sz w:val="24"/>
          <w:szCs w:val="24"/>
          <w:lang w:val="en-US" w:eastAsia="zh-CN"/>
        </w:rPr>
        <w:t>价格部分（10分）、</w:t>
      </w:r>
      <w:r>
        <w:rPr>
          <w:rFonts w:hint="eastAsia" w:ascii="宋体" w:hAnsi="宋体" w:eastAsia="宋体" w:cs="宋体"/>
          <w:sz w:val="24"/>
          <w:szCs w:val="24"/>
        </w:rPr>
        <w:t>商务技术部分（90分）</w:t>
      </w:r>
    </w:p>
    <w:tbl>
      <w:tblPr>
        <w:tblStyle w:val="23"/>
        <w:tblW w:w="10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1341"/>
        <w:gridCol w:w="8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844"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评分因素</w:t>
            </w:r>
          </w:p>
        </w:tc>
        <w:tc>
          <w:tcPr>
            <w:tcW w:w="9433" w:type="dxa"/>
            <w:gridSpan w:val="2"/>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4"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价格部分</w:t>
            </w:r>
          </w:p>
          <w:p>
            <w:pPr>
              <w:pageBreakBefore w:val="0"/>
              <w:kinsoku/>
              <w:wordWrap/>
              <w:overflowPunct/>
              <w:topLinePunct w:val="0"/>
              <w:bidi w:val="0"/>
              <w:spacing w:beforeAutospacing="0" w:afterAutospacing="0" w:line="4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（10分）</w:t>
            </w:r>
          </w:p>
        </w:tc>
        <w:tc>
          <w:tcPr>
            <w:tcW w:w="9433" w:type="dxa"/>
            <w:gridSpan w:val="2"/>
            <w:vAlign w:val="center"/>
          </w:tcPr>
          <w:p>
            <w:pPr>
              <w:pageBreakBefore w:val="0"/>
              <w:kinsoku/>
              <w:wordWrap/>
              <w:overflowPunct/>
              <w:topLinePunct w:val="0"/>
              <w:bidi w:val="0"/>
              <w:snapToGrid w:val="0"/>
              <w:spacing w:beforeAutospacing="0" w:afterAutospacing="0" w:line="400" w:lineRule="exact"/>
              <w:rPr>
                <w:rFonts w:hint="eastAsia" w:ascii="宋体" w:hAnsi="宋体" w:eastAsia="宋体" w:cs="宋体"/>
                <w:sz w:val="24"/>
                <w:szCs w:val="24"/>
              </w:rPr>
            </w:pPr>
            <w:r>
              <w:rPr>
                <w:rFonts w:hint="eastAsia" w:ascii="宋体" w:hAnsi="宋体" w:eastAsia="宋体" w:cs="宋体"/>
                <w:sz w:val="24"/>
                <w:szCs w:val="24"/>
              </w:rPr>
              <w:t>综合评分法中的价格分统一采用低价优先法计算，即满足招标文件要求且价格最低的投标报价为评标基准价，其价格分为满分。其他投标人的价格分统一按照下列公式计算：</w:t>
            </w:r>
          </w:p>
          <w:p>
            <w:pPr>
              <w:pStyle w:val="11"/>
              <w:pageBreakBefore w:val="0"/>
              <w:kinsoku/>
              <w:wordWrap/>
              <w:overflowPunct/>
              <w:topLinePunct w:val="0"/>
              <w:bidi w:val="0"/>
              <w:spacing w:beforeAutospacing="0" w:after="0" w:afterAutospacing="0"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投标人报价得分=(评标基准价／投标价格)×10%×100</w:t>
            </w:r>
          </w:p>
          <w:p>
            <w:pPr>
              <w:pageBreakBefore w:val="0"/>
              <w:kinsoku/>
              <w:wordWrap/>
              <w:overflowPunct/>
              <w:topLinePunct w:val="0"/>
              <w:bidi w:val="0"/>
              <w:spacing w:beforeAutospacing="0" w:afterAutospacing="0" w:line="400" w:lineRule="exact"/>
              <w:rPr>
                <w:rFonts w:hint="eastAsia" w:ascii="宋体" w:hAnsi="宋体" w:eastAsia="宋体" w:cs="宋体"/>
                <w:kern w:val="0"/>
                <w:sz w:val="24"/>
                <w:szCs w:val="24"/>
              </w:rPr>
            </w:pPr>
            <w:r>
              <w:rPr>
                <w:rFonts w:hint="eastAsia" w:ascii="宋体" w:hAnsi="宋体" w:eastAsia="宋体" w:cs="宋体"/>
                <w:sz w:val="24"/>
                <w:szCs w:val="24"/>
              </w:rPr>
              <w:t>对小型和微型企业的价格给予10%的扣除，用扣除后的价格参与评审。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844" w:type="dxa"/>
            <w:vMerge w:val="restart"/>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商务部分</w:t>
            </w:r>
          </w:p>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lang w:val="en-US" w:eastAsia="zh-CN"/>
                <w14:textFill>
                  <w14:solidFill>
                    <w14:schemeClr w14:val="tx1"/>
                  </w14:solidFill>
                </w14:textFill>
              </w:rPr>
              <w:t>16</w:t>
            </w:r>
            <w:r>
              <w:rPr>
                <w:rFonts w:hint="eastAsia" w:ascii="宋体" w:hAnsi="宋体" w:eastAsia="宋体" w:cs="宋体"/>
                <w:color w:val="000000" w:themeColor="text1"/>
                <w:kern w:val="0"/>
                <w:sz w:val="24"/>
                <w:szCs w:val="24"/>
                <w14:textFill>
                  <w14:solidFill>
                    <w14:schemeClr w14:val="tx1"/>
                  </w14:solidFill>
                </w14:textFill>
              </w:rPr>
              <w:t>分）</w:t>
            </w:r>
          </w:p>
        </w:tc>
        <w:tc>
          <w:tcPr>
            <w:tcW w:w="1341" w:type="dxa"/>
            <w:vAlign w:val="center"/>
          </w:tcPr>
          <w:p>
            <w:pPr>
              <w:pageBreakBefore w:val="0"/>
              <w:kinsoku/>
              <w:wordWrap/>
              <w:overflowPunct/>
              <w:topLinePunct w:val="0"/>
              <w:bidi w:val="0"/>
              <w:snapToGrid w:val="0"/>
              <w:spacing w:beforeAutospacing="0" w:afterAutospacing="0" w:line="4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投标人业绩（</w:t>
            </w: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分）</w:t>
            </w:r>
          </w:p>
        </w:tc>
        <w:tc>
          <w:tcPr>
            <w:tcW w:w="8092" w:type="dxa"/>
            <w:vAlign w:val="center"/>
          </w:tcPr>
          <w:p>
            <w:pPr>
              <w:pageBreakBefore w:val="0"/>
              <w:kinsoku/>
              <w:wordWrap/>
              <w:overflowPunct/>
              <w:topLinePunct w:val="0"/>
              <w:bidi w:val="0"/>
              <w:spacing w:beforeAutospacing="0" w:afterAutospacing="0" w:line="400" w:lineRule="exact"/>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对投标人提供</w:t>
            </w:r>
            <w:r>
              <w:rPr>
                <w:rFonts w:hint="eastAsia" w:ascii="宋体" w:hAnsi="宋体" w:eastAsia="宋体" w:cs="宋体"/>
                <w:color w:val="000000" w:themeColor="text1"/>
                <w:kern w:val="0"/>
                <w:sz w:val="24"/>
                <w:szCs w:val="24"/>
                <w:lang w:val="en-US" w:eastAsia="zh-CN"/>
                <w14:textFill>
                  <w14:solidFill>
                    <w14:schemeClr w14:val="tx1"/>
                  </w14:solidFill>
                </w14:textFill>
              </w:rPr>
              <w:t>近三年（投标截止日期前三年）</w:t>
            </w:r>
            <w:r>
              <w:rPr>
                <w:rFonts w:hint="eastAsia" w:ascii="宋体" w:hAnsi="宋体" w:eastAsia="宋体" w:cs="宋体"/>
                <w:color w:val="000000" w:themeColor="text1"/>
                <w:kern w:val="0"/>
                <w:sz w:val="24"/>
                <w:szCs w:val="24"/>
                <w14:textFill>
                  <w14:solidFill>
                    <w14:schemeClr w14:val="tx1"/>
                  </w14:solidFill>
                </w14:textFill>
              </w:rPr>
              <w:t>至今的</w:t>
            </w:r>
            <w:r>
              <w:rPr>
                <w:rFonts w:hint="eastAsia" w:ascii="宋体" w:hAnsi="宋体" w:cs="宋体"/>
                <w:color w:val="000000" w:themeColor="text1"/>
                <w:kern w:val="0"/>
                <w:sz w:val="24"/>
                <w:szCs w:val="24"/>
                <w:lang w:val="en-US" w:eastAsia="zh-CN"/>
                <w14:textFill>
                  <w14:solidFill>
                    <w14:schemeClr w14:val="tx1"/>
                  </w14:solidFill>
                </w14:textFill>
              </w:rPr>
              <w:t>园林、环卫服务</w:t>
            </w:r>
            <w:r>
              <w:rPr>
                <w:rFonts w:hint="eastAsia" w:ascii="宋体" w:hAnsi="宋体" w:eastAsia="宋体" w:cs="宋体"/>
                <w:color w:val="000000" w:themeColor="text1"/>
                <w:kern w:val="0"/>
                <w:sz w:val="24"/>
                <w:szCs w:val="24"/>
                <w14:textFill>
                  <w14:solidFill>
                    <w14:schemeClr w14:val="tx1"/>
                  </w14:solidFill>
                </w14:textFill>
              </w:rPr>
              <w:t>业绩，一</w:t>
            </w:r>
            <w:r>
              <w:rPr>
                <w:rFonts w:hint="eastAsia" w:ascii="宋体" w:hAnsi="宋体" w:cs="宋体"/>
                <w:color w:val="000000" w:themeColor="text1"/>
                <w:kern w:val="0"/>
                <w:sz w:val="24"/>
                <w:szCs w:val="24"/>
                <w:lang w:val="en-US" w:eastAsia="zh-CN"/>
                <w14:textFill>
                  <w14:solidFill>
                    <w14:schemeClr w14:val="tx1"/>
                  </w14:solidFill>
                </w14:textFill>
              </w:rPr>
              <w:t>个</w:t>
            </w:r>
            <w:r>
              <w:rPr>
                <w:rFonts w:hint="eastAsia" w:ascii="宋体" w:hAnsi="宋体" w:eastAsia="宋体" w:cs="宋体"/>
                <w:color w:val="000000" w:themeColor="text1"/>
                <w:kern w:val="0"/>
                <w:sz w:val="24"/>
                <w:szCs w:val="24"/>
                <w14:textFill>
                  <w14:solidFill>
                    <w14:schemeClr w14:val="tx1"/>
                  </w14:solidFill>
                </w14:textFill>
              </w:rPr>
              <w:t>业绩得</w:t>
            </w:r>
            <w:r>
              <w:rPr>
                <w:rFonts w:hint="eastAsia" w:ascii="宋体" w:hAnsi="宋体" w:cs="宋体"/>
                <w:color w:val="000000" w:themeColor="text1"/>
                <w:kern w:val="0"/>
                <w:sz w:val="24"/>
                <w:szCs w:val="24"/>
                <w:lang w:val="en-US" w:eastAsia="zh-CN"/>
                <w14:textFill>
                  <w14:solidFill>
                    <w14:schemeClr w14:val="tx1"/>
                  </w14:solidFill>
                </w14:textFill>
              </w:rPr>
              <w:t>2</w:t>
            </w:r>
            <w:r>
              <w:rPr>
                <w:rFonts w:hint="eastAsia" w:ascii="宋体" w:hAnsi="宋体" w:eastAsia="宋体" w:cs="宋体"/>
                <w:color w:val="000000" w:themeColor="text1"/>
                <w:kern w:val="0"/>
                <w:sz w:val="24"/>
                <w:szCs w:val="24"/>
                <w14:textFill>
                  <w14:solidFill>
                    <w14:schemeClr w14:val="tx1"/>
                  </w14:solidFill>
                </w14:textFill>
              </w:rPr>
              <w:t>分，最多得</w:t>
            </w:r>
            <w:r>
              <w:rPr>
                <w:rFonts w:hint="eastAsia" w:ascii="宋体" w:hAnsi="宋体" w:cs="宋体"/>
                <w:color w:val="000000" w:themeColor="text1"/>
                <w:kern w:val="0"/>
                <w:sz w:val="24"/>
                <w:szCs w:val="24"/>
                <w:lang w:val="en-US" w:eastAsia="zh-CN"/>
                <w14:textFill>
                  <w14:solidFill>
                    <w14:schemeClr w14:val="tx1"/>
                  </w14:solidFill>
                </w14:textFill>
              </w:rPr>
              <w:t>6</w:t>
            </w:r>
            <w:r>
              <w:rPr>
                <w:rFonts w:hint="eastAsia" w:ascii="宋体" w:hAnsi="宋体" w:eastAsia="宋体" w:cs="宋体"/>
                <w:color w:val="000000" w:themeColor="text1"/>
                <w:kern w:val="0"/>
                <w:sz w:val="24"/>
                <w:szCs w:val="24"/>
                <w14:textFill>
                  <w14:solidFill>
                    <w14:schemeClr w14:val="tx1"/>
                  </w14:solidFill>
                </w14:textFill>
              </w:rPr>
              <w:t>分。</w:t>
            </w:r>
          </w:p>
          <w:p>
            <w:pPr>
              <w:pageBreakBefore w:val="0"/>
              <w:kinsoku/>
              <w:wordWrap/>
              <w:overflowPunct/>
              <w:topLinePunct w:val="0"/>
              <w:bidi w:val="0"/>
              <w:spacing w:beforeAutospacing="0" w:afterAutospacing="0" w:line="400" w:lineRule="exact"/>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注：项目业绩证明以加盖投标人公章的合同复印件</w:t>
            </w:r>
            <w:r>
              <w:rPr>
                <w:rFonts w:hint="eastAsia" w:ascii="宋体" w:hAnsi="宋体" w:cs="宋体"/>
                <w:color w:val="000000" w:themeColor="text1"/>
                <w:kern w:val="0"/>
                <w:sz w:val="24"/>
                <w:szCs w:val="24"/>
                <w:lang w:val="en-US" w:eastAsia="zh-CN"/>
                <w14:textFill>
                  <w14:solidFill>
                    <w14:schemeClr w14:val="tx1"/>
                  </w14:solidFill>
                </w14:textFill>
              </w:rPr>
              <w:t>及</w:t>
            </w:r>
            <w:r>
              <w:rPr>
                <w:rFonts w:hint="eastAsia" w:ascii="宋体" w:hAnsi="宋体" w:eastAsia="宋体" w:cs="宋体"/>
                <w:color w:val="000000" w:themeColor="text1"/>
                <w:kern w:val="0"/>
                <w:sz w:val="24"/>
                <w:szCs w:val="24"/>
                <w14:textFill>
                  <w14:solidFill>
                    <w14:schemeClr w14:val="tx1"/>
                  </w14:solidFill>
                </w14:textFill>
              </w:rPr>
              <w:t>中标/成交通知书作为依据。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844" w:type="dxa"/>
            <w:vMerge w:val="continue"/>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themeColor="text1"/>
                <w:kern w:val="0"/>
                <w:sz w:val="24"/>
                <w:szCs w:val="24"/>
                <w14:textFill>
                  <w14:solidFill>
                    <w14:schemeClr w14:val="tx1"/>
                  </w14:solidFill>
                </w14:textFill>
              </w:rPr>
            </w:pPr>
          </w:p>
        </w:tc>
        <w:tc>
          <w:tcPr>
            <w:tcW w:w="1341" w:type="dxa"/>
            <w:vAlign w:val="center"/>
          </w:tcPr>
          <w:p>
            <w:pPr>
              <w:pageBreakBefore w:val="0"/>
              <w:kinsoku/>
              <w:wordWrap/>
              <w:overflowPunct/>
              <w:topLinePunct w:val="0"/>
              <w:bidi w:val="0"/>
              <w:snapToGrid w:val="0"/>
              <w:spacing w:beforeAutospacing="0" w:afterAutospacing="0" w:line="4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服务评价（</w:t>
            </w:r>
            <w:r>
              <w:rPr>
                <w:rFonts w:hint="eastAsia" w:ascii="宋体" w:hAnsi="宋体" w:cs="宋体"/>
                <w:color w:val="000000" w:themeColor="text1"/>
                <w:kern w:val="0"/>
                <w:sz w:val="24"/>
                <w:szCs w:val="24"/>
                <w:lang w:val="en-US" w:eastAsia="zh-CN"/>
                <w14:textFill>
                  <w14:solidFill>
                    <w14:schemeClr w14:val="tx1"/>
                  </w14:solidFill>
                </w14:textFill>
              </w:rPr>
              <w:t>3</w:t>
            </w:r>
            <w:r>
              <w:rPr>
                <w:rFonts w:hint="eastAsia" w:ascii="宋体" w:hAnsi="宋体" w:eastAsia="宋体" w:cs="宋体"/>
                <w:color w:val="000000" w:themeColor="text1"/>
                <w:kern w:val="0"/>
                <w:sz w:val="24"/>
                <w:szCs w:val="24"/>
                <w14:textFill>
                  <w14:solidFill>
                    <w14:schemeClr w14:val="tx1"/>
                  </w14:solidFill>
                </w14:textFill>
              </w:rPr>
              <w:t>分）</w:t>
            </w:r>
          </w:p>
        </w:tc>
        <w:tc>
          <w:tcPr>
            <w:tcW w:w="8092" w:type="dxa"/>
            <w:vAlign w:val="center"/>
          </w:tcPr>
          <w:p>
            <w:pPr>
              <w:pageBreakBefore w:val="0"/>
              <w:kinsoku/>
              <w:wordWrap/>
              <w:overflowPunct/>
              <w:topLinePunct w:val="0"/>
              <w:bidi w:val="0"/>
              <w:spacing w:beforeAutospacing="0" w:afterAutospacing="0" w:line="400" w:lineRule="exact"/>
              <w:jc w:val="left"/>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default" w:ascii="宋体" w:hAnsi="宋体" w:eastAsia="宋体" w:cs="宋体"/>
                <w:color w:val="000000" w:themeColor="text1"/>
                <w:kern w:val="0"/>
                <w:sz w:val="24"/>
                <w:szCs w:val="24"/>
                <w:lang w:val="en-US" w:eastAsia="zh-CN"/>
                <w14:textFill>
                  <w14:solidFill>
                    <w14:schemeClr w14:val="tx1"/>
                  </w14:solidFill>
                </w14:textFill>
              </w:rPr>
              <w:t>投标单位在其所承接的环卫</w:t>
            </w:r>
            <w:r>
              <w:rPr>
                <w:rFonts w:hint="eastAsia" w:ascii="宋体" w:hAnsi="宋体" w:cs="宋体"/>
                <w:color w:val="000000" w:themeColor="text1"/>
                <w:kern w:val="0"/>
                <w:sz w:val="24"/>
                <w:szCs w:val="24"/>
                <w:lang w:val="en-US" w:eastAsia="zh-CN"/>
                <w14:textFill>
                  <w14:solidFill>
                    <w14:schemeClr w14:val="tx1"/>
                  </w14:solidFill>
                </w14:textFill>
              </w:rPr>
              <w:t>或园林</w:t>
            </w:r>
            <w:r>
              <w:rPr>
                <w:rFonts w:hint="default" w:ascii="宋体" w:hAnsi="宋体" w:eastAsia="宋体" w:cs="宋体"/>
                <w:color w:val="000000" w:themeColor="text1"/>
                <w:kern w:val="0"/>
                <w:sz w:val="24"/>
                <w:szCs w:val="24"/>
                <w:lang w:val="en-US" w:eastAsia="zh-CN"/>
                <w14:textFill>
                  <w14:solidFill>
                    <w14:schemeClr w14:val="tx1"/>
                  </w14:solidFill>
                </w14:textFill>
              </w:rPr>
              <w:t>项目服务期间，服务的城市成功创建或保留文明城市（含县城）</w:t>
            </w:r>
            <w:r>
              <w:rPr>
                <w:rFonts w:hint="eastAsia" w:ascii="宋体" w:hAnsi="宋体" w:cs="宋体"/>
                <w:color w:val="000000" w:themeColor="text1"/>
                <w:kern w:val="0"/>
                <w:sz w:val="24"/>
                <w:szCs w:val="24"/>
                <w:lang w:val="en-US" w:eastAsia="zh-CN"/>
                <w14:textFill>
                  <w14:solidFill>
                    <w14:schemeClr w14:val="tx1"/>
                  </w14:solidFill>
                </w14:textFill>
              </w:rPr>
              <w:t>、</w:t>
            </w:r>
            <w:r>
              <w:rPr>
                <w:rFonts w:hint="default" w:ascii="宋体" w:hAnsi="宋体" w:eastAsia="宋体" w:cs="宋体"/>
                <w:color w:val="000000" w:themeColor="text1"/>
                <w:kern w:val="0"/>
                <w:sz w:val="24"/>
                <w:szCs w:val="24"/>
                <w:lang w:val="en-US" w:eastAsia="zh-CN"/>
                <w14:textFill>
                  <w14:solidFill>
                    <w14:schemeClr w14:val="tx1"/>
                  </w14:solidFill>
                </w14:textFill>
              </w:rPr>
              <w:t>卫生城市（含县城）</w:t>
            </w:r>
            <w:r>
              <w:rPr>
                <w:rFonts w:hint="eastAsia" w:ascii="宋体" w:hAnsi="宋体" w:cs="宋体"/>
                <w:color w:val="000000" w:themeColor="text1"/>
                <w:kern w:val="0"/>
                <w:sz w:val="24"/>
                <w:szCs w:val="24"/>
                <w:lang w:val="en-US" w:eastAsia="zh-CN"/>
                <w14:textFill>
                  <w14:solidFill>
                    <w14:schemeClr w14:val="tx1"/>
                  </w14:solidFill>
                </w14:textFill>
              </w:rPr>
              <w:t>或园林城市（</w:t>
            </w:r>
            <w:r>
              <w:rPr>
                <w:rFonts w:hint="default" w:ascii="宋体" w:hAnsi="宋体" w:eastAsia="宋体" w:cs="宋体"/>
                <w:color w:val="000000" w:themeColor="text1"/>
                <w:kern w:val="0"/>
                <w:sz w:val="24"/>
                <w:szCs w:val="24"/>
                <w:lang w:val="en-US" w:eastAsia="zh-CN"/>
                <w14:textFill>
                  <w14:solidFill>
                    <w14:schemeClr w14:val="tx1"/>
                  </w14:solidFill>
                </w14:textFill>
              </w:rPr>
              <w:t>含县城</w:t>
            </w:r>
            <w:r>
              <w:rPr>
                <w:rFonts w:hint="eastAsia" w:ascii="宋体" w:hAnsi="宋体" w:cs="宋体"/>
                <w:color w:val="000000" w:themeColor="text1"/>
                <w:kern w:val="0"/>
                <w:sz w:val="24"/>
                <w:szCs w:val="24"/>
                <w:lang w:val="en-US" w:eastAsia="zh-CN"/>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相关</w:t>
            </w:r>
            <w:r>
              <w:rPr>
                <w:rFonts w:hint="default" w:ascii="宋体" w:hAnsi="宋体" w:eastAsia="宋体" w:cs="宋体"/>
                <w:color w:val="000000" w:themeColor="text1"/>
                <w:kern w:val="0"/>
                <w:sz w:val="24"/>
                <w:szCs w:val="24"/>
                <w:lang w:val="en-US" w:eastAsia="zh-CN"/>
                <w14:textFill>
                  <w14:solidFill>
                    <w14:schemeClr w14:val="tx1"/>
                  </w14:solidFill>
                </w14:textFill>
              </w:rPr>
              <w:t>荣誉的</w:t>
            </w:r>
            <w:r>
              <w:rPr>
                <w:rFonts w:hint="eastAsia" w:ascii="宋体" w:hAnsi="宋体" w:cs="宋体"/>
                <w:color w:val="000000" w:themeColor="text1"/>
                <w:kern w:val="0"/>
                <w:sz w:val="24"/>
                <w:szCs w:val="24"/>
                <w:lang w:val="en-US" w:eastAsia="zh-CN"/>
                <w14:textFill>
                  <w14:solidFill>
                    <w14:schemeClr w14:val="tx1"/>
                  </w14:solidFill>
                </w14:textFill>
              </w:rPr>
              <w:t>，获得国家级的每有1个得1分，获得省级、自治区级的每有1个得0.5分，最高得3分。</w:t>
            </w:r>
          </w:p>
          <w:p>
            <w:pPr>
              <w:pageBreakBefore w:val="0"/>
              <w:kinsoku/>
              <w:wordWrap/>
              <w:overflowPunct/>
              <w:topLinePunct w:val="0"/>
              <w:bidi w:val="0"/>
              <w:spacing w:beforeAutospacing="0" w:afterAutospacing="0" w:line="400" w:lineRule="exact"/>
              <w:jc w:val="left"/>
              <w:rPr>
                <w:rFonts w:hint="eastAsia" w:ascii="宋体" w:hAnsi="宋体" w:eastAsia="宋体" w:cs="宋体"/>
                <w:color w:val="000000" w:themeColor="text1"/>
                <w:kern w:val="0"/>
                <w:sz w:val="24"/>
                <w:szCs w:val="24"/>
                <w14:textFill>
                  <w14:solidFill>
                    <w14:schemeClr w14:val="tx1"/>
                  </w14:solidFill>
                </w14:textFill>
              </w:rPr>
            </w:pPr>
            <w:r>
              <w:rPr>
                <w:rFonts w:hint="default" w:ascii="宋体" w:hAnsi="宋体" w:eastAsia="宋体" w:cs="宋体"/>
                <w:color w:val="000000" w:themeColor="text1"/>
                <w:kern w:val="0"/>
                <w:sz w:val="24"/>
                <w:szCs w:val="24"/>
                <w:lang w:val="en-US" w:eastAsia="zh-CN"/>
                <w14:textFill>
                  <w14:solidFill>
                    <w14:schemeClr w14:val="tx1"/>
                  </w14:solidFill>
                </w14:textFill>
              </w:rPr>
              <w:t xml:space="preserve"> 评审依据 ：</w:t>
            </w:r>
            <w:r>
              <w:rPr>
                <w:rFonts w:hint="eastAsia" w:ascii="宋体" w:hAnsi="宋体" w:eastAsia="宋体" w:cs="宋体"/>
                <w:color w:val="000000" w:themeColor="text1"/>
                <w:kern w:val="0"/>
                <w:sz w:val="24"/>
                <w:szCs w:val="24"/>
                <w:lang w:val="en-US" w:eastAsia="zh-CN"/>
                <w14:textFill>
                  <w14:solidFill>
                    <w14:schemeClr w14:val="tx1"/>
                  </w14:solidFill>
                </w14:textFill>
              </w:rPr>
              <w:t>投标单位提供</w:t>
            </w:r>
            <w:r>
              <w:rPr>
                <w:rFonts w:hint="default" w:ascii="宋体" w:hAnsi="宋体" w:eastAsia="宋体" w:cs="宋体"/>
                <w:color w:val="000000" w:themeColor="text1"/>
                <w:kern w:val="0"/>
                <w:sz w:val="24"/>
                <w:szCs w:val="24"/>
                <w:lang w:val="en-US" w:eastAsia="zh-CN"/>
                <w14:textFill>
                  <w14:solidFill>
                    <w14:schemeClr w14:val="tx1"/>
                  </w14:solidFill>
                </w14:textFill>
              </w:rPr>
              <w:t>中标通知书、政府或行政部门批复的红头文件</w:t>
            </w:r>
            <w:r>
              <w:rPr>
                <w:rFonts w:hint="eastAsia" w:ascii="宋体" w:hAnsi="宋体" w:eastAsia="宋体" w:cs="宋体"/>
                <w:color w:val="000000" w:themeColor="text1"/>
                <w:kern w:val="0"/>
                <w:sz w:val="24"/>
                <w:szCs w:val="24"/>
                <w:lang w:val="en-US" w:eastAsia="zh-CN"/>
                <w14:textFill>
                  <w14:solidFill>
                    <w14:schemeClr w14:val="tx1"/>
                  </w14:solidFill>
                </w14:textFill>
              </w:rPr>
              <w:t>（</w:t>
            </w:r>
            <w:r>
              <w:rPr>
                <w:rFonts w:hint="default" w:ascii="宋体" w:hAnsi="宋体" w:eastAsia="宋体" w:cs="宋体"/>
                <w:color w:val="000000" w:themeColor="text1"/>
                <w:kern w:val="0"/>
                <w:sz w:val="24"/>
                <w:szCs w:val="24"/>
                <w:lang w:val="en-US" w:eastAsia="zh-CN"/>
                <w14:textFill>
                  <w14:solidFill>
                    <w14:schemeClr w14:val="tx1"/>
                  </w14:solidFill>
                </w14:textFill>
              </w:rPr>
              <w:t>或授牌或相关官方网站公示查询截图</w:t>
            </w:r>
            <w:r>
              <w:rPr>
                <w:rFonts w:hint="eastAsia" w:ascii="宋体" w:hAnsi="宋体" w:eastAsia="宋体" w:cs="宋体"/>
                <w:color w:val="000000" w:themeColor="text1"/>
                <w:kern w:val="0"/>
                <w:sz w:val="24"/>
                <w:szCs w:val="24"/>
                <w:lang w:val="en-US" w:eastAsia="zh-CN"/>
                <w14:textFill>
                  <w14:solidFill>
                    <w14:schemeClr w14:val="tx1"/>
                  </w14:solidFill>
                </w14:textFill>
              </w:rPr>
              <w:t>）扫描件</w:t>
            </w:r>
            <w:r>
              <w:rPr>
                <w:rFonts w:hint="default" w:ascii="宋体" w:hAnsi="宋体" w:eastAsia="宋体" w:cs="宋体"/>
                <w:color w:val="000000" w:themeColor="text1"/>
                <w:kern w:val="0"/>
                <w:sz w:val="24"/>
                <w:szCs w:val="24"/>
                <w:lang w:val="en-US" w:eastAsia="zh-CN"/>
                <w14:textFill>
                  <w14:solidFill>
                    <w14:schemeClr w14:val="tx1"/>
                  </w14:solidFill>
                </w14:textFill>
              </w:rPr>
              <w:t>并加盖供应商公章（以证书获奖或颁发时间为准），否则不得分。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4" w:type="dxa"/>
            <w:vMerge w:val="continue"/>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themeColor="text1"/>
                <w:kern w:val="0"/>
                <w:sz w:val="24"/>
                <w:szCs w:val="24"/>
                <w14:textFill>
                  <w14:solidFill>
                    <w14:schemeClr w14:val="tx1"/>
                  </w14:solidFill>
                </w14:textFill>
              </w:rPr>
            </w:pPr>
          </w:p>
        </w:tc>
        <w:tc>
          <w:tcPr>
            <w:tcW w:w="1341" w:type="dxa"/>
            <w:vAlign w:val="center"/>
          </w:tcPr>
          <w:p>
            <w:pPr>
              <w:pageBreakBefore w:val="0"/>
              <w:kinsoku/>
              <w:wordWrap/>
              <w:overflowPunct/>
              <w:topLinePunct w:val="0"/>
              <w:bidi w:val="0"/>
              <w:snapToGrid w:val="0"/>
              <w:spacing w:beforeAutospacing="0" w:afterAutospacing="0" w:line="400" w:lineRule="exact"/>
              <w:jc w:val="center"/>
              <w:rPr>
                <w:rFonts w:hint="eastAsia" w:ascii="宋体" w:hAnsi="宋体" w:eastAsia="宋体" w:cs="宋体"/>
                <w:color w:val="000000" w:themeColor="text1"/>
                <w:sz w:val="24"/>
                <w:szCs w:val="24"/>
                <w:highlight w:val="yellow"/>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项目人员（</w:t>
            </w: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分）</w:t>
            </w:r>
          </w:p>
        </w:tc>
        <w:tc>
          <w:tcPr>
            <w:tcW w:w="8092" w:type="dxa"/>
            <w:vAlign w:val="center"/>
          </w:tcPr>
          <w:p>
            <w:pPr>
              <w:pageBreakBefore w:val="0"/>
              <w:kinsoku/>
              <w:wordWrap/>
              <w:overflowPunct/>
              <w:topLinePunct w:val="0"/>
              <w:bidi w:val="0"/>
              <w:spacing w:beforeAutospacing="0" w:afterAutospacing="0" w:line="400" w:lineRule="exact"/>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根据投标人拟投入本项目的项目负责人进行评分：</w:t>
            </w:r>
          </w:p>
          <w:p>
            <w:pPr>
              <w:pageBreakBefore w:val="0"/>
              <w:kinsoku/>
              <w:wordWrap/>
              <w:overflowPunct/>
              <w:topLinePunct w:val="0"/>
              <w:bidi w:val="0"/>
              <w:spacing w:beforeAutospacing="0" w:afterAutospacing="0" w:line="400" w:lineRule="exact"/>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default" w:ascii="宋体" w:hAnsi="宋体" w:eastAsia="宋体" w:cs="宋体"/>
                <w:color w:val="000000" w:themeColor="text1"/>
                <w:kern w:val="0"/>
                <w:sz w:val="24"/>
                <w:szCs w:val="24"/>
                <w:lang w:val="en-US" w:eastAsia="zh-CN"/>
                <w14:textFill>
                  <w14:solidFill>
                    <w14:schemeClr w14:val="tx1"/>
                  </w14:solidFill>
                </w14:textFill>
              </w:rPr>
              <w:t>1</w:t>
            </w:r>
            <w:r>
              <w:rPr>
                <w:rFonts w:hint="eastAsia" w:ascii="宋体" w:hAnsi="宋体" w:eastAsia="宋体" w:cs="宋体"/>
                <w:color w:val="000000" w:themeColor="text1"/>
                <w:kern w:val="0"/>
                <w:sz w:val="24"/>
                <w:szCs w:val="24"/>
                <w:lang w:val="en-US" w:eastAsia="zh-CN"/>
                <w14:textFill>
                  <w14:solidFill>
                    <w14:schemeClr w14:val="tx1"/>
                  </w14:solidFill>
                </w14:textFill>
              </w:rPr>
              <w:t>、投标人拟派本项目的项目经理（</w:t>
            </w:r>
            <w:r>
              <w:rPr>
                <w:rFonts w:hint="eastAsia" w:ascii="宋体" w:hAnsi="宋体" w:cs="宋体"/>
                <w:color w:val="000000" w:themeColor="text1"/>
                <w:kern w:val="0"/>
                <w:sz w:val="24"/>
                <w:szCs w:val="24"/>
                <w:lang w:val="en-US" w:eastAsia="zh-CN"/>
                <w14:textFill>
                  <w14:solidFill>
                    <w14:schemeClr w14:val="tx1"/>
                  </w14:solidFill>
                </w14:textFill>
              </w:rPr>
              <w:t>2.5</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分）： </w:t>
            </w:r>
          </w:p>
          <w:p>
            <w:pPr>
              <w:pageBreakBefore w:val="0"/>
              <w:kinsoku/>
              <w:wordWrap/>
              <w:overflowPunct/>
              <w:topLinePunct w:val="0"/>
              <w:bidi w:val="0"/>
              <w:spacing w:beforeAutospacing="0" w:afterAutospacing="0" w:line="400" w:lineRule="exact"/>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①具有</w:t>
            </w:r>
            <w:r>
              <w:rPr>
                <w:rFonts w:hint="eastAsia" w:ascii="宋体" w:hAnsi="宋体" w:cs="宋体"/>
                <w:color w:val="000000" w:themeColor="text1"/>
                <w:kern w:val="0"/>
                <w:sz w:val="24"/>
                <w:szCs w:val="24"/>
                <w:lang w:val="en-US" w:eastAsia="zh-CN"/>
                <w14:textFill>
                  <w14:solidFill>
                    <w14:schemeClr w14:val="tx1"/>
                  </w14:solidFill>
                </w14:textFill>
              </w:rPr>
              <w:t>本科及以上</w:t>
            </w:r>
            <w:r>
              <w:rPr>
                <w:rFonts w:hint="eastAsia" w:ascii="宋体" w:hAnsi="宋体" w:eastAsia="宋体" w:cs="宋体"/>
                <w:color w:val="000000" w:themeColor="text1"/>
                <w:kern w:val="0"/>
                <w:sz w:val="24"/>
                <w:szCs w:val="24"/>
                <w:lang w:val="en-US" w:eastAsia="zh-CN"/>
                <w14:textFill>
                  <w14:solidFill>
                    <w14:schemeClr w14:val="tx1"/>
                  </w14:solidFill>
                </w14:textFill>
              </w:rPr>
              <w:t>学历的得</w:t>
            </w:r>
            <w:r>
              <w:rPr>
                <w:rFonts w:hint="eastAsia" w:ascii="宋体" w:hAnsi="宋体" w:cs="宋体"/>
                <w:color w:val="000000" w:themeColor="text1"/>
                <w:kern w:val="0"/>
                <w:sz w:val="24"/>
                <w:szCs w:val="24"/>
                <w:lang w:val="en-US" w:eastAsia="zh-CN"/>
                <w14:textFill>
                  <w14:solidFill>
                    <w14:schemeClr w14:val="tx1"/>
                  </w14:solidFill>
                </w14:textFill>
              </w:rPr>
              <w:t>0.5</w:t>
            </w:r>
            <w:r>
              <w:rPr>
                <w:rFonts w:hint="eastAsia" w:ascii="宋体" w:hAnsi="宋体" w:eastAsia="宋体" w:cs="宋体"/>
                <w:color w:val="000000" w:themeColor="text1"/>
                <w:kern w:val="0"/>
                <w:sz w:val="24"/>
                <w:szCs w:val="24"/>
                <w:lang w:val="en-US" w:eastAsia="zh-CN"/>
                <w14:textFill>
                  <w14:solidFill>
                    <w14:schemeClr w14:val="tx1"/>
                  </w14:solidFill>
                </w14:textFill>
              </w:rPr>
              <w:t>分；</w:t>
            </w:r>
          </w:p>
          <w:p>
            <w:pPr>
              <w:pageBreakBefore w:val="0"/>
              <w:kinsoku/>
              <w:wordWrap/>
              <w:overflowPunct/>
              <w:topLinePunct w:val="0"/>
              <w:bidi w:val="0"/>
              <w:spacing w:beforeAutospacing="0" w:afterAutospacing="0" w:line="400" w:lineRule="exact"/>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default" w:ascii="宋体" w:hAnsi="宋体" w:eastAsia="宋体" w:cs="宋体"/>
                <w:color w:val="000000" w:themeColor="text1"/>
                <w:kern w:val="0"/>
                <w:sz w:val="24"/>
                <w:szCs w:val="24"/>
                <w:lang w:val="en-US" w:eastAsia="zh-CN"/>
                <w14:textFill>
                  <w14:solidFill>
                    <w14:schemeClr w14:val="tx1"/>
                  </w14:solidFill>
                </w14:textFill>
              </w:rPr>
              <w:t>②</w:t>
            </w:r>
            <w:r>
              <w:rPr>
                <w:rFonts w:hint="eastAsia" w:ascii="宋体" w:hAnsi="宋体" w:eastAsia="宋体" w:cs="宋体"/>
                <w:color w:val="000000" w:themeColor="text1"/>
                <w:kern w:val="0"/>
                <w:sz w:val="24"/>
                <w:szCs w:val="24"/>
                <w:lang w:val="en-US" w:eastAsia="zh-CN"/>
                <w14:textFill>
                  <w14:solidFill>
                    <w14:schemeClr w14:val="tx1"/>
                  </w14:solidFill>
                </w14:textFill>
              </w:rPr>
              <w:t>具有</w:t>
            </w:r>
            <w:r>
              <w:rPr>
                <w:rFonts w:hint="eastAsia" w:ascii="宋体" w:hAnsi="宋体" w:cs="宋体"/>
                <w:color w:val="000000" w:themeColor="text1"/>
                <w:kern w:val="0"/>
                <w:sz w:val="24"/>
                <w:szCs w:val="24"/>
                <w:lang w:val="en-US" w:eastAsia="zh-CN"/>
                <w14:textFill>
                  <w14:solidFill>
                    <w14:schemeClr w14:val="tx1"/>
                  </w14:solidFill>
                </w14:textFill>
              </w:rPr>
              <w:t>与环卫、园林</w:t>
            </w:r>
            <w:r>
              <w:rPr>
                <w:rFonts w:hint="eastAsia" w:ascii="宋体" w:hAnsi="宋体" w:eastAsia="宋体" w:cs="宋体"/>
                <w:color w:val="000000" w:themeColor="text1"/>
                <w:kern w:val="0"/>
                <w:sz w:val="24"/>
                <w:szCs w:val="24"/>
                <w:lang w:val="en-US" w:eastAsia="zh-CN"/>
                <w14:textFill>
                  <w14:solidFill>
                    <w14:schemeClr w14:val="tx1"/>
                  </w14:solidFill>
                </w14:textFill>
              </w:rPr>
              <w:t>相关专业中级职称证书的得</w:t>
            </w:r>
            <w:r>
              <w:rPr>
                <w:rFonts w:hint="eastAsia" w:ascii="宋体" w:hAnsi="宋体" w:cs="宋体"/>
                <w:color w:val="000000" w:themeColor="text1"/>
                <w:kern w:val="0"/>
                <w:sz w:val="24"/>
                <w:szCs w:val="24"/>
                <w:lang w:val="en-US" w:eastAsia="zh-CN"/>
                <w14:textFill>
                  <w14:solidFill>
                    <w14:schemeClr w14:val="tx1"/>
                  </w14:solidFill>
                </w14:textFill>
              </w:rPr>
              <w:t>0.5</w:t>
            </w:r>
            <w:r>
              <w:rPr>
                <w:rFonts w:hint="eastAsia" w:ascii="宋体" w:hAnsi="宋体" w:eastAsia="宋体" w:cs="宋体"/>
                <w:color w:val="000000" w:themeColor="text1"/>
                <w:kern w:val="0"/>
                <w:sz w:val="24"/>
                <w:szCs w:val="24"/>
                <w:lang w:val="en-US" w:eastAsia="zh-CN"/>
                <w14:textFill>
                  <w14:solidFill>
                    <w14:schemeClr w14:val="tx1"/>
                  </w14:solidFill>
                </w14:textFill>
              </w:rPr>
              <w:t>分，高级及以上职称证书的得</w:t>
            </w:r>
            <w:r>
              <w:rPr>
                <w:rFonts w:hint="eastAsia" w:ascii="宋体" w:hAnsi="宋体" w:cs="宋体"/>
                <w:color w:val="000000" w:themeColor="text1"/>
                <w:kern w:val="0"/>
                <w:sz w:val="24"/>
                <w:szCs w:val="24"/>
                <w:lang w:val="en-US" w:eastAsia="zh-CN"/>
                <w14:textFill>
                  <w14:solidFill>
                    <w14:schemeClr w14:val="tx1"/>
                  </w14:solidFill>
                </w14:textFill>
              </w:rPr>
              <w:t>1</w:t>
            </w:r>
            <w:r>
              <w:rPr>
                <w:rFonts w:hint="eastAsia" w:ascii="宋体" w:hAnsi="宋体" w:eastAsia="宋体" w:cs="宋体"/>
                <w:color w:val="000000" w:themeColor="text1"/>
                <w:kern w:val="0"/>
                <w:sz w:val="24"/>
                <w:szCs w:val="24"/>
                <w:lang w:val="en-US" w:eastAsia="zh-CN"/>
                <w14:textFill>
                  <w14:solidFill>
                    <w14:schemeClr w14:val="tx1"/>
                  </w14:solidFill>
                </w14:textFill>
              </w:rPr>
              <w:t>分；本项最多得</w:t>
            </w:r>
            <w:r>
              <w:rPr>
                <w:rFonts w:hint="eastAsia" w:ascii="宋体" w:hAnsi="宋体" w:cs="宋体"/>
                <w:color w:val="000000" w:themeColor="text1"/>
                <w:kern w:val="0"/>
                <w:sz w:val="24"/>
                <w:szCs w:val="24"/>
                <w:lang w:val="en-US" w:eastAsia="zh-CN"/>
                <w14:textFill>
                  <w14:solidFill>
                    <w14:schemeClr w14:val="tx1"/>
                  </w14:solidFill>
                </w14:textFill>
              </w:rPr>
              <w:t>1</w:t>
            </w:r>
            <w:r>
              <w:rPr>
                <w:rFonts w:hint="eastAsia" w:ascii="宋体" w:hAnsi="宋体" w:eastAsia="宋体" w:cs="宋体"/>
                <w:color w:val="000000" w:themeColor="text1"/>
                <w:kern w:val="0"/>
                <w:sz w:val="24"/>
                <w:szCs w:val="24"/>
                <w:lang w:val="en-US" w:eastAsia="zh-CN"/>
                <w14:textFill>
                  <w14:solidFill>
                    <w14:schemeClr w14:val="tx1"/>
                  </w14:solidFill>
                </w14:textFill>
              </w:rPr>
              <w:t>分。</w:t>
            </w:r>
          </w:p>
          <w:p>
            <w:pPr>
              <w:pageBreakBefore w:val="0"/>
              <w:kinsoku/>
              <w:wordWrap/>
              <w:overflowPunct/>
              <w:topLinePunct w:val="0"/>
              <w:bidi w:val="0"/>
              <w:spacing w:beforeAutospacing="0" w:afterAutospacing="0" w:line="400" w:lineRule="exact"/>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③</w:t>
            </w:r>
            <w:r>
              <w:rPr>
                <w:rFonts w:hint="eastAsia" w:ascii="宋体" w:hAnsi="宋体" w:eastAsia="宋体" w:cs="宋体"/>
                <w:color w:val="000000" w:themeColor="text1"/>
                <w:kern w:val="0"/>
                <w:sz w:val="24"/>
                <w:szCs w:val="24"/>
                <w:lang w:val="en-US" w:eastAsia="zh-CN"/>
                <w14:textFill>
                  <w14:solidFill>
                    <w14:schemeClr w14:val="tx1"/>
                  </w14:solidFill>
                </w14:textFill>
              </w:rPr>
              <w:t>具有</w:t>
            </w:r>
            <w:r>
              <w:rPr>
                <w:rFonts w:hint="eastAsia" w:ascii="宋体" w:hAnsi="宋体" w:cs="宋体"/>
                <w:color w:val="000000" w:themeColor="text1"/>
                <w:kern w:val="0"/>
                <w:sz w:val="24"/>
                <w:szCs w:val="24"/>
                <w:lang w:val="en-US" w:eastAsia="zh-CN"/>
                <w14:textFill>
                  <w14:solidFill>
                    <w14:schemeClr w14:val="tx1"/>
                  </w14:solidFill>
                </w14:textFill>
              </w:rPr>
              <w:t>相关项目</w:t>
            </w:r>
            <w:r>
              <w:rPr>
                <w:rFonts w:hint="eastAsia" w:ascii="宋体" w:hAnsi="宋体" w:eastAsia="宋体" w:cs="宋体"/>
                <w:color w:val="000000" w:themeColor="text1"/>
                <w:kern w:val="0"/>
                <w:sz w:val="24"/>
                <w:szCs w:val="24"/>
                <w:lang w:val="en-US" w:eastAsia="zh-CN"/>
                <w14:textFill>
                  <w14:solidFill>
                    <w14:schemeClr w14:val="tx1"/>
                  </w14:solidFill>
                </w14:textFill>
              </w:rPr>
              <w:t>管理经验3年的得0.5分，5年及以上的得1分。</w:t>
            </w:r>
          </w:p>
          <w:p>
            <w:pPr>
              <w:pageBreakBefore w:val="0"/>
              <w:kinsoku/>
              <w:wordWrap/>
              <w:overflowPunct/>
              <w:topLinePunct w:val="0"/>
              <w:bidi w:val="0"/>
              <w:spacing w:beforeAutospacing="0" w:afterAutospacing="0" w:line="400" w:lineRule="exact"/>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2、投标人拟派本项目的技术负责人（</w:t>
            </w:r>
            <w:r>
              <w:rPr>
                <w:rFonts w:hint="eastAsia" w:ascii="宋体" w:hAnsi="宋体" w:cs="宋体"/>
                <w:color w:val="000000" w:themeColor="text1"/>
                <w:kern w:val="0"/>
                <w:sz w:val="24"/>
                <w:szCs w:val="24"/>
                <w:lang w:val="en-US" w:eastAsia="zh-CN"/>
                <w14:textFill>
                  <w14:solidFill>
                    <w14:schemeClr w14:val="tx1"/>
                  </w14:solidFill>
                </w14:textFill>
              </w:rPr>
              <w:t>1.5</w:t>
            </w:r>
            <w:r>
              <w:rPr>
                <w:rFonts w:hint="eastAsia" w:ascii="宋体" w:hAnsi="宋体" w:eastAsia="宋体" w:cs="宋体"/>
                <w:color w:val="000000" w:themeColor="text1"/>
                <w:kern w:val="0"/>
                <w:sz w:val="24"/>
                <w:szCs w:val="24"/>
                <w:lang w:val="en-US" w:eastAsia="zh-CN"/>
                <w14:textFill>
                  <w14:solidFill>
                    <w14:schemeClr w14:val="tx1"/>
                  </w14:solidFill>
                </w14:textFill>
              </w:rPr>
              <w:t>分）</w:t>
            </w:r>
          </w:p>
          <w:p>
            <w:pPr>
              <w:pageBreakBefore w:val="0"/>
              <w:kinsoku/>
              <w:wordWrap/>
              <w:overflowPunct/>
              <w:topLinePunct w:val="0"/>
              <w:bidi w:val="0"/>
              <w:spacing w:beforeAutospacing="0" w:afterAutospacing="0" w:line="400" w:lineRule="exact"/>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①具有本科</w:t>
            </w:r>
            <w:r>
              <w:rPr>
                <w:rFonts w:hint="eastAsia" w:ascii="宋体" w:hAnsi="宋体" w:cs="宋体"/>
                <w:color w:val="000000" w:themeColor="text1"/>
                <w:kern w:val="0"/>
                <w:sz w:val="24"/>
                <w:szCs w:val="24"/>
                <w:lang w:val="en-US" w:eastAsia="zh-CN"/>
                <w14:textFill>
                  <w14:solidFill>
                    <w14:schemeClr w14:val="tx1"/>
                  </w14:solidFill>
                </w14:textFill>
              </w:rPr>
              <w:t>及以上</w:t>
            </w:r>
            <w:r>
              <w:rPr>
                <w:rFonts w:hint="eastAsia" w:ascii="宋体" w:hAnsi="宋体" w:eastAsia="宋体" w:cs="宋体"/>
                <w:color w:val="000000" w:themeColor="text1"/>
                <w:kern w:val="0"/>
                <w:sz w:val="24"/>
                <w:szCs w:val="24"/>
                <w:lang w:val="en-US" w:eastAsia="zh-CN"/>
                <w14:textFill>
                  <w14:solidFill>
                    <w14:schemeClr w14:val="tx1"/>
                  </w14:solidFill>
                </w14:textFill>
              </w:rPr>
              <w:t>学历的得</w:t>
            </w:r>
            <w:r>
              <w:rPr>
                <w:rFonts w:hint="eastAsia" w:ascii="宋体" w:hAnsi="宋体" w:cs="宋体"/>
                <w:color w:val="000000" w:themeColor="text1"/>
                <w:kern w:val="0"/>
                <w:sz w:val="24"/>
                <w:szCs w:val="24"/>
                <w:lang w:val="en-US" w:eastAsia="zh-CN"/>
                <w14:textFill>
                  <w14:solidFill>
                    <w14:schemeClr w14:val="tx1"/>
                  </w14:solidFill>
                </w14:textFill>
              </w:rPr>
              <w:t>0.5</w:t>
            </w:r>
            <w:r>
              <w:rPr>
                <w:rFonts w:hint="eastAsia" w:ascii="宋体" w:hAnsi="宋体" w:eastAsia="宋体" w:cs="宋体"/>
                <w:color w:val="000000" w:themeColor="text1"/>
                <w:kern w:val="0"/>
                <w:sz w:val="24"/>
                <w:szCs w:val="24"/>
                <w:lang w:val="en-US" w:eastAsia="zh-CN"/>
                <w14:textFill>
                  <w14:solidFill>
                    <w14:schemeClr w14:val="tx1"/>
                  </w14:solidFill>
                </w14:textFill>
              </w:rPr>
              <w:t>分；</w:t>
            </w:r>
          </w:p>
          <w:p>
            <w:pPr>
              <w:pageBreakBefore w:val="0"/>
              <w:kinsoku/>
              <w:wordWrap/>
              <w:overflowPunct/>
              <w:topLinePunct w:val="0"/>
              <w:bidi w:val="0"/>
              <w:spacing w:beforeAutospacing="0" w:afterAutospacing="0" w:line="400" w:lineRule="exact"/>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default" w:ascii="宋体" w:hAnsi="宋体" w:eastAsia="宋体" w:cs="宋体"/>
                <w:color w:val="000000" w:themeColor="text1"/>
                <w:kern w:val="0"/>
                <w:sz w:val="24"/>
                <w:szCs w:val="24"/>
                <w:lang w:val="en-US" w:eastAsia="zh-CN"/>
                <w14:textFill>
                  <w14:solidFill>
                    <w14:schemeClr w14:val="tx1"/>
                  </w14:solidFill>
                </w14:textFill>
              </w:rPr>
              <w:t>②</w:t>
            </w:r>
            <w:r>
              <w:rPr>
                <w:rFonts w:hint="eastAsia" w:ascii="宋体" w:hAnsi="宋体" w:eastAsia="宋体" w:cs="宋体"/>
                <w:color w:val="000000" w:themeColor="text1"/>
                <w:kern w:val="0"/>
                <w:sz w:val="24"/>
                <w:szCs w:val="24"/>
                <w:lang w:val="en-US" w:eastAsia="zh-CN"/>
                <w14:textFill>
                  <w14:solidFill>
                    <w14:schemeClr w14:val="tx1"/>
                  </w14:solidFill>
                </w14:textFill>
              </w:rPr>
              <w:t>获得</w:t>
            </w:r>
            <w:r>
              <w:rPr>
                <w:rFonts w:hint="eastAsia" w:ascii="宋体" w:hAnsi="宋体" w:cs="宋体"/>
                <w:color w:val="000000" w:themeColor="text1"/>
                <w:kern w:val="0"/>
                <w:sz w:val="24"/>
                <w:szCs w:val="24"/>
                <w:lang w:val="en-US" w:eastAsia="zh-CN"/>
                <w14:textFill>
                  <w14:solidFill>
                    <w14:schemeClr w14:val="tx1"/>
                  </w14:solidFill>
                </w14:textFill>
              </w:rPr>
              <w:t>与环卫、园林</w:t>
            </w:r>
            <w:r>
              <w:rPr>
                <w:rFonts w:hint="eastAsia" w:ascii="宋体" w:hAnsi="宋体" w:eastAsia="宋体" w:cs="宋体"/>
                <w:color w:val="000000" w:themeColor="text1"/>
                <w:kern w:val="0"/>
                <w:sz w:val="24"/>
                <w:szCs w:val="24"/>
                <w:lang w:val="en-US" w:eastAsia="zh-CN"/>
                <w14:textFill>
                  <w14:solidFill>
                    <w14:schemeClr w14:val="tx1"/>
                  </w14:solidFill>
                </w14:textFill>
              </w:rPr>
              <w:t>相关专业中级以上（含中级）职称证书的得1分；</w:t>
            </w:r>
          </w:p>
          <w:p>
            <w:pPr>
              <w:pageBreakBefore w:val="0"/>
              <w:kinsoku/>
              <w:wordWrap/>
              <w:overflowPunct/>
              <w:topLinePunct w:val="0"/>
              <w:bidi w:val="0"/>
              <w:spacing w:beforeAutospacing="0" w:afterAutospacing="0" w:line="400" w:lineRule="exact"/>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3、投标人拟为本项目配备的安全</w:t>
            </w:r>
            <w:r>
              <w:rPr>
                <w:rFonts w:hint="eastAsia" w:ascii="宋体" w:hAnsi="宋体" w:cs="宋体"/>
                <w:color w:val="000000" w:themeColor="text1"/>
                <w:kern w:val="0"/>
                <w:sz w:val="24"/>
                <w:szCs w:val="24"/>
                <w:lang w:val="en-US" w:eastAsia="zh-CN"/>
                <w14:textFill>
                  <w14:solidFill>
                    <w14:schemeClr w14:val="tx1"/>
                  </w14:solidFill>
                </w14:textFill>
              </w:rPr>
              <w:t>管理人员</w:t>
            </w:r>
            <w:r>
              <w:rPr>
                <w:rFonts w:hint="eastAsia" w:ascii="宋体" w:hAnsi="宋体" w:eastAsia="宋体" w:cs="宋体"/>
                <w:color w:val="000000" w:themeColor="text1"/>
                <w:kern w:val="0"/>
                <w:sz w:val="24"/>
                <w:szCs w:val="24"/>
                <w:lang w:val="en-US" w:eastAsia="zh-CN"/>
                <w14:textFill>
                  <w14:solidFill>
                    <w14:schemeClr w14:val="tx1"/>
                  </w14:solidFill>
                </w14:textFill>
              </w:rPr>
              <w:t>（</w:t>
            </w:r>
            <w:r>
              <w:rPr>
                <w:rFonts w:hint="eastAsia" w:ascii="宋体" w:hAnsi="宋体" w:cs="宋体"/>
                <w:color w:val="000000" w:themeColor="text1"/>
                <w:kern w:val="0"/>
                <w:sz w:val="24"/>
                <w:szCs w:val="24"/>
                <w:lang w:val="en-US" w:eastAsia="zh-CN"/>
                <w14:textFill>
                  <w14:solidFill>
                    <w14:schemeClr w14:val="tx1"/>
                  </w14:solidFill>
                </w14:textFill>
              </w:rPr>
              <w:t>1</w:t>
            </w:r>
            <w:r>
              <w:rPr>
                <w:rFonts w:hint="eastAsia" w:ascii="宋体" w:hAnsi="宋体" w:eastAsia="宋体" w:cs="宋体"/>
                <w:color w:val="000000" w:themeColor="text1"/>
                <w:kern w:val="0"/>
                <w:sz w:val="24"/>
                <w:szCs w:val="24"/>
                <w:lang w:val="en-US" w:eastAsia="zh-CN"/>
                <w14:textFill>
                  <w14:solidFill>
                    <w14:schemeClr w14:val="tx1"/>
                  </w14:solidFill>
                </w14:textFill>
              </w:rPr>
              <w:t>分）：</w:t>
            </w:r>
          </w:p>
          <w:p>
            <w:pPr>
              <w:pageBreakBefore w:val="0"/>
              <w:kinsoku/>
              <w:wordWrap/>
              <w:overflowPunct/>
              <w:topLinePunct w:val="0"/>
              <w:bidi w:val="0"/>
              <w:spacing w:beforeAutospacing="0" w:afterAutospacing="0" w:line="400" w:lineRule="exact"/>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①具有</w:t>
            </w:r>
            <w:r>
              <w:rPr>
                <w:rFonts w:hint="eastAsia" w:ascii="宋体" w:hAnsi="宋体" w:cs="宋体"/>
                <w:color w:val="000000" w:themeColor="text1"/>
                <w:kern w:val="0"/>
                <w:sz w:val="24"/>
                <w:szCs w:val="24"/>
                <w:lang w:val="en-US" w:eastAsia="zh-CN"/>
                <w14:textFill>
                  <w14:solidFill>
                    <w14:schemeClr w14:val="tx1"/>
                  </w14:solidFill>
                </w14:textFill>
              </w:rPr>
              <w:t>大专</w:t>
            </w:r>
            <w:r>
              <w:rPr>
                <w:rFonts w:hint="eastAsia" w:ascii="宋体" w:hAnsi="宋体" w:eastAsia="宋体" w:cs="宋体"/>
                <w:color w:val="000000" w:themeColor="text1"/>
                <w:kern w:val="0"/>
                <w:sz w:val="24"/>
                <w:szCs w:val="24"/>
                <w:lang w:val="en-US" w:eastAsia="zh-CN"/>
                <w14:textFill>
                  <w14:solidFill>
                    <w14:schemeClr w14:val="tx1"/>
                  </w14:solidFill>
                </w14:textFill>
              </w:rPr>
              <w:t>及以上学历的得</w:t>
            </w:r>
            <w:r>
              <w:rPr>
                <w:rFonts w:hint="eastAsia" w:ascii="宋体" w:hAnsi="宋体" w:cs="宋体"/>
                <w:color w:val="000000" w:themeColor="text1"/>
                <w:kern w:val="0"/>
                <w:sz w:val="24"/>
                <w:szCs w:val="24"/>
                <w:lang w:val="en-US" w:eastAsia="zh-CN"/>
                <w14:textFill>
                  <w14:solidFill>
                    <w14:schemeClr w14:val="tx1"/>
                  </w14:solidFill>
                </w14:textFill>
              </w:rPr>
              <w:t>0.5</w:t>
            </w:r>
            <w:r>
              <w:rPr>
                <w:rFonts w:hint="eastAsia" w:ascii="宋体" w:hAnsi="宋体" w:eastAsia="宋体" w:cs="宋体"/>
                <w:color w:val="000000" w:themeColor="text1"/>
                <w:kern w:val="0"/>
                <w:sz w:val="24"/>
                <w:szCs w:val="24"/>
                <w:lang w:val="en-US" w:eastAsia="zh-CN"/>
                <w14:textFill>
                  <w14:solidFill>
                    <w14:schemeClr w14:val="tx1"/>
                  </w14:solidFill>
                </w14:textFill>
              </w:rPr>
              <w:t>分；</w:t>
            </w:r>
          </w:p>
          <w:p>
            <w:pPr>
              <w:pageBreakBefore w:val="0"/>
              <w:kinsoku/>
              <w:wordWrap/>
              <w:overflowPunct/>
              <w:topLinePunct w:val="0"/>
              <w:bidi w:val="0"/>
              <w:spacing w:beforeAutospacing="0" w:afterAutospacing="0" w:line="400" w:lineRule="exact"/>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default" w:ascii="宋体" w:hAnsi="宋体" w:eastAsia="宋体" w:cs="宋体"/>
                <w:color w:val="000000" w:themeColor="text1"/>
                <w:kern w:val="0"/>
                <w:sz w:val="24"/>
                <w:szCs w:val="24"/>
                <w:lang w:val="en-US" w:eastAsia="zh-CN"/>
                <w14:textFill>
                  <w14:solidFill>
                    <w14:schemeClr w14:val="tx1"/>
                  </w14:solidFill>
                </w14:textFill>
              </w:rPr>
              <w:t>②</w:t>
            </w:r>
            <w:r>
              <w:rPr>
                <w:rFonts w:hint="eastAsia" w:ascii="宋体" w:hAnsi="宋体" w:eastAsia="宋体" w:cs="宋体"/>
                <w:color w:val="000000" w:themeColor="text1"/>
                <w:kern w:val="0"/>
                <w:sz w:val="24"/>
                <w:szCs w:val="24"/>
                <w:lang w:val="en-US" w:eastAsia="zh-CN"/>
                <w14:textFill>
                  <w14:solidFill>
                    <w14:schemeClr w14:val="tx1"/>
                  </w14:solidFill>
                </w14:textFill>
              </w:rPr>
              <w:t>具有</w:t>
            </w:r>
            <w:r>
              <w:rPr>
                <w:rFonts w:hint="eastAsia" w:ascii="宋体" w:hAnsi="宋体" w:cs="宋体"/>
                <w:color w:val="000000" w:themeColor="text1"/>
                <w:kern w:val="0"/>
                <w:sz w:val="24"/>
                <w:szCs w:val="24"/>
                <w:lang w:val="en-US" w:eastAsia="zh-CN"/>
                <w14:textFill>
                  <w14:solidFill>
                    <w14:schemeClr w14:val="tx1"/>
                  </w14:solidFill>
                </w14:textFill>
              </w:rPr>
              <w:t>在</w:t>
            </w:r>
            <w:r>
              <w:rPr>
                <w:rFonts w:hint="eastAsia" w:ascii="宋体" w:hAnsi="宋体" w:eastAsia="宋体" w:cs="宋体"/>
                <w:color w:val="000000" w:themeColor="text1"/>
                <w:kern w:val="0"/>
                <w:sz w:val="24"/>
                <w:szCs w:val="24"/>
                <w:lang w:val="en-US" w:eastAsia="zh-CN"/>
                <w14:textFill>
                  <w14:solidFill>
                    <w14:schemeClr w14:val="tx1"/>
                  </w14:solidFill>
                </w14:textFill>
              </w:rPr>
              <w:t>有效期内的安全员证书的计</w:t>
            </w:r>
            <w:r>
              <w:rPr>
                <w:rFonts w:hint="eastAsia" w:ascii="宋体" w:hAnsi="宋体" w:cs="宋体"/>
                <w:color w:val="000000" w:themeColor="text1"/>
                <w:kern w:val="0"/>
                <w:sz w:val="24"/>
                <w:szCs w:val="24"/>
                <w:lang w:val="en-US" w:eastAsia="zh-CN"/>
                <w14:textFill>
                  <w14:solidFill>
                    <w14:schemeClr w14:val="tx1"/>
                  </w14:solidFill>
                </w14:textFill>
              </w:rPr>
              <w:t>0.5</w:t>
            </w:r>
            <w:r>
              <w:rPr>
                <w:rFonts w:hint="eastAsia" w:ascii="宋体" w:hAnsi="宋体" w:eastAsia="宋体" w:cs="宋体"/>
                <w:color w:val="000000" w:themeColor="text1"/>
                <w:kern w:val="0"/>
                <w:sz w:val="24"/>
                <w:szCs w:val="24"/>
                <w:lang w:val="en-US" w:eastAsia="zh-CN"/>
                <w14:textFill>
                  <w14:solidFill>
                    <w14:schemeClr w14:val="tx1"/>
                  </w14:solidFill>
                </w14:textFill>
              </w:rPr>
              <w:t>分。</w:t>
            </w:r>
          </w:p>
          <w:p>
            <w:pPr>
              <w:pStyle w:val="2"/>
              <w:ind w:left="0" w:leftChars="0" w:firstLine="0" w:firstLineChars="0"/>
              <w:rPr>
                <w:rFonts w:hint="eastAsia" w:ascii="宋体" w:hAnsi="宋体" w:eastAsia="宋体" w:cs="宋体"/>
                <w:color w:val="000000" w:themeColor="text1"/>
                <w:kern w:val="0"/>
                <w:sz w:val="24"/>
                <w:szCs w:val="24"/>
                <w14:textFill>
                  <w14:solidFill>
                    <w14:schemeClr w14:val="tx1"/>
                  </w14:solidFill>
                </w14:textFill>
              </w:rPr>
            </w:pPr>
            <w:r>
              <w:rPr>
                <w:rFonts w:hint="default" w:ascii="宋体" w:hAnsi="宋体" w:eastAsia="宋体" w:cs="宋体"/>
                <w:color w:val="000000" w:themeColor="text1"/>
                <w:kern w:val="0"/>
                <w:sz w:val="24"/>
                <w:szCs w:val="24"/>
                <w:lang w:val="en-US" w:eastAsia="zh-CN"/>
                <w14:textFill>
                  <w14:solidFill>
                    <w14:schemeClr w14:val="tx1"/>
                  </w14:solidFill>
                </w14:textFill>
              </w:rPr>
              <w:t>1</w:t>
            </w:r>
            <w:r>
              <w:rPr>
                <w:rFonts w:hint="eastAsia" w:ascii="宋体" w:hAnsi="宋体" w:eastAsia="宋体" w:cs="宋体"/>
                <w:color w:val="000000" w:themeColor="text1"/>
                <w:kern w:val="0"/>
                <w:sz w:val="24"/>
                <w:szCs w:val="24"/>
                <w:lang w:val="en-US" w:eastAsia="zh-CN"/>
                <w14:textFill>
                  <w14:solidFill>
                    <w14:schemeClr w14:val="tx1"/>
                  </w14:solidFill>
                </w14:textFill>
              </w:rPr>
              <w:t>、</w:t>
            </w:r>
            <w:r>
              <w:rPr>
                <w:rFonts w:hint="eastAsia" w:ascii="宋体" w:hAnsi="宋体" w:cs="宋体"/>
                <w:color w:val="000000" w:themeColor="text1"/>
                <w:kern w:val="0"/>
                <w:sz w:val="24"/>
                <w:szCs w:val="24"/>
                <w:lang w:val="en-US" w:eastAsia="zh-CN"/>
                <w14:textFill>
                  <w14:solidFill>
                    <w14:schemeClr w14:val="tx1"/>
                  </w14:solidFill>
                </w14:textFill>
              </w:rPr>
              <w:t>2、3条</w:t>
            </w:r>
            <w:r>
              <w:rPr>
                <w:rFonts w:hint="eastAsia" w:ascii="宋体" w:hAnsi="宋体" w:eastAsia="宋体" w:cs="宋体"/>
                <w:color w:val="000000" w:themeColor="text1"/>
                <w:kern w:val="0"/>
                <w:sz w:val="24"/>
                <w:szCs w:val="24"/>
                <w:lang w:val="en-US" w:eastAsia="zh-CN"/>
                <w14:textFill>
                  <w14:solidFill>
                    <w14:schemeClr w14:val="tx1"/>
                  </w14:solidFill>
                </w14:textFill>
              </w:rPr>
              <w:t>评审依据:投标文件中提供相关部门颁发的</w:t>
            </w:r>
            <w:r>
              <w:rPr>
                <w:rFonts w:hint="eastAsia" w:ascii="宋体" w:hAnsi="宋体" w:cs="宋体"/>
                <w:color w:val="000000" w:themeColor="text1"/>
                <w:kern w:val="0"/>
                <w:sz w:val="24"/>
                <w:szCs w:val="24"/>
                <w:lang w:val="en-US" w:eastAsia="zh-CN"/>
                <w14:textFill>
                  <w14:solidFill>
                    <w14:schemeClr w14:val="tx1"/>
                  </w14:solidFill>
                </w14:textFill>
              </w:rPr>
              <w:t>学历证书、</w:t>
            </w:r>
            <w:r>
              <w:rPr>
                <w:rFonts w:hint="eastAsia" w:ascii="宋体" w:hAnsi="宋体" w:eastAsia="宋体" w:cs="宋体"/>
                <w:color w:val="000000" w:themeColor="text1"/>
                <w:kern w:val="0"/>
                <w:sz w:val="24"/>
                <w:szCs w:val="24"/>
                <w:lang w:val="en-US" w:eastAsia="zh-CN"/>
                <w14:textFill>
                  <w14:solidFill>
                    <w14:schemeClr w14:val="tx1"/>
                  </w14:solidFill>
                </w14:textFill>
              </w:rPr>
              <w:t>人员证书</w:t>
            </w:r>
            <w:r>
              <w:rPr>
                <w:rFonts w:hint="eastAsia" w:ascii="宋体" w:hAnsi="宋体" w:cs="宋体"/>
                <w:color w:val="000000" w:themeColor="text1"/>
                <w:kern w:val="0"/>
                <w:sz w:val="24"/>
                <w:szCs w:val="24"/>
                <w:lang w:val="en-US" w:eastAsia="zh-CN"/>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投标单位缴纳社保</w:t>
            </w:r>
            <w:r>
              <w:rPr>
                <w:rFonts w:hint="eastAsia" w:ascii="宋体" w:hAnsi="宋体" w:cs="宋体"/>
                <w:color w:val="000000" w:themeColor="text1"/>
                <w:kern w:val="0"/>
                <w:sz w:val="24"/>
                <w:szCs w:val="24"/>
                <w:lang w:val="en-US" w:eastAsia="zh-CN"/>
                <w14:textFill>
                  <w14:solidFill>
                    <w14:schemeClr w14:val="tx1"/>
                  </w14:solidFill>
                </w14:textFill>
              </w:rPr>
              <w:t>年限</w:t>
            </w:r>
            <w:r>
              <w:rPr>
                <w:rFonts w:hint="eastAsia" w:ascii="宋体" w:hAnsi="宋体" w:eastAsia="宋体" w:cs="宋体"/>
                <w:color w:val="000000" w:themeColor="text1"/>
                <w:kern w:val="0"/>
                <w:sz w:val="24"/>
                <w:szCs w:val="24"/>
                <w:lang w:val="en-US" w:eastAsia="zh-CN"/>
                <w14:textFill>
                  <w14:solidFill>
                    <w14:schemeClr w14:val="tx1"/>
                  </w14:solidFill>
                </w14:textFill>
              </w:rPr>
              <w:t>凭证</w:t>
            </w:r>
            <w:r>
              <w:rPr>
                <w:rFonts w:hint="eastAsia" w:ascii="宋体" w:hAnsi="宋体" w:cs="宋体"/>
                <w:color w:val="000000" w:themeColor="text1"/>
                <w:kern w:val="0"/>
                <w:sz w:val="24"/>
                <w:szCs w:val="24"/>
                <w:lang w:val="en-US" w:eastAsia="zh-CN"/>
                <w14:textFill>
                  <w14:solidFill>
                    <w14:schemeClr w14:val="tx1"/>
                  </w14:solidFill>
                </w14:textFill>
              </w:rPr>
              <w:t>（退休人员提供退休证书），以上证件均需</w:t>
            </w:r>
            <w:r>
              <w:rPr>
                <w:rFonts w:hint="eastAsia" w:ascii="宋体" w:hAnsi="宋体" w:eastAsia="宋体" w:cs="宋体"/>
                <w:color w:val="000000" w:themeColor="text1"/>
                <w:kern w:val="0"/>
                <w:sz w:val="24"/>
                <w:szCs w:val="24"/>
                <w:lang w:val="en-US" w:eastAsia="zh-CN"/>
                <w14:textFill>
                  <w14:solidFill>
                    <w14:schemeClr w14:val="tx1"/>
                  </w14:solidFill>
                </w14:textFill>
              </w:rPr>
              <w:t>扫描件加盖公章佐证；</w:t>
            </w:r>
            <w:r>
              <w:rPr>
                <w:rFonts w:hint="eastAsia" w:ascii="宋体" w:hAnsi="宋体" w:eastAsia="宋体" w:cs="宋体"/>
                <w:color w:val="000000" w:themeColor="text1"/>
                <w:kern w:val="0"/>
                <w:sz w:val="24"/>
                <w:szCs w:val="24"/>
                <w14:textFill>
                  <w14:solidFill>
                    <w14:schemeClr w14:val="tx1"/>
                  </w14:solidFill>
                </w14:textFill>
              </w:rPr>
              <w:t>成立年限不足一个月的投标人，提供自成立起至投标截止时间前(不含投标截止时间的当月)投标人为其缴纳社保的证明材料或承诺文件，未提供的不得分</w:t>
            </w:r>
          </w:p>
          <w:p>
            <w:pPr>
              <w:pageBreakBefore w:val="0"/>
              <w:kinsoku/>
              <w:wordWrap/>
              <w:overflowPunct/>
              <w:topLinePunct w:val="0"/>
              <w:bidi w:val="0"/>
              <w:spacing w:beforeAutospacing="0" w:afterAutospacing="0" w:line="400" w:lineRule="exact"/>
              <w:jc w:val="left"/>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4</w:t>
            </w:r>
            <w:r>
              <w:rPr>
                <w:rFonts w:hint="eastAsia" w:ascii="宋体" w:hAnsi="宋体" w:cs="宋体"/>
                <w:color w:val="000000" w:themeColor="text1"/>
                <w:kern w:val="0"/>
                <w:sz w:val="24"/>
                <w:szCs w:val="24"/>
                <w:lang w:val="en-US" w:eastAsia="zh-CN"/>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投标人拟派本项目的园林</w:t>
            </w:r>
            <w:r>
              <w:rPr>
                <w:rFonts w:hint="eastAsia" w:ascii="宋体" w:hAnsi="宋体" w:cs="宋体"/>
                <w:color w:val="000000" w:themeColor="text1"/>
                <w:kern w:val="0"/>
                <w:sz w:val="24"/>
                <w:szCs w:val="24"/>
                <w:lang w:val="en-US" w:eastAsia="zh-CN"/>
                <w14:textFill>
                  <w14:solidFill>
                    <w14:schemeClr w14:val="tx1"/>
                  </w14:solidFill>
                </w14:textFill>
              </w:rPr>
              <w:t>、环卫</w:t>
            </w:r>
            <w:r>
              <w:rPr>
                <w:rFonts w:hint="eastAsia" w:ascii="宋体" w:hAnsi="宋体" w:eastAsia="宋体" w:cs="宋体"/>
                <w:color w:val="000000" w:themeColor="text1"/>
                <w:kern w:val="0"/>
                <w:sz w:val="24"/>
                <w:szCs w:val="24"/>
                <w:lang w:val="en-US" w:eastAsia="zh-CN"/>
                <w14:textFill>
                  <w14:solidFill>
                    <w14:schemeClr w14:val="tx1"/>
                  </w14:solidFill>
                </w14:textFill>
              </w:rPr>
              <w:t>主管（</w:t>
            </w:r>
            <w:r>
              <w:rPr>
                <w:rFonts w:hint="eastAsia" w:ascii="宋体" w:hAnsi="宋体" w:cs="宋体"/>
                <w:color w:val="000000" w:themeColor="text1"/>
                <w:kern w:val="0"/>
                <w:sz w:val="24"/>
                <w:szCs w:val="24"/>
                <w:lang w:val="en-US" w:eastAsia="zh-CN"/>
                <w14:textFill>
                  <w14:solidFill>
                    <w14:schemeClr w14:val="tx1"/>
                  </w14:solidFill>
                </w14:textFill>
              </w:rPr>
              <w:t>2</w:t>
            </w:r>
            <w:r>
              <w:rPr>
                <w:rFonts w:hint="eastAsia" w:ascii="宋体" w:hAnsi="宋体" w:eastAsia="宋体" w:cs="宋体"/>
                <w:color w:val="000000" w:themeColor="text1"/>
                <w:kern w:val="0"/>
                <w:sz w:val="24"/>
                <w:szCs w:val="24"/>
                <w:lang w:val="en-US" w:eastAsia="zh-CN"/>
                <w14:textFill>
                  <w14:solidFill>
                    <w14:schemeClr w14:val="tx1"/>
                  </w14:solidFill>
                </w14:textFill>
              </w:rPr>
              <w:t>分）：</w:t>
            </w:r>
          </w:p>
          <w:p>
            <w:pPr>
              <w:pageBreakBefore w:val="0"/>
              <w:kinsoku/>
              <w:wordWrap/>
              <w:overflowPunct/>
              <w:topLinePunct w:val="0"/>
              <w:bidi w:val="0"/>
              <w:spacing w:beforeAutospacing="0" w:afterAutospacing="0" w:line="400" w:lineRule="exact"/>
              <w:jc w:val="left"/>
              <w:rPr>
                <w:rFonts w:hint="eastAsia" w:ascii="宋体" w:hAnsi="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①具</w:t>
            </w:r>
            <w:r>
              <w:rPr>
                <w:rFonts w:hint="eastAsia" w:ascii="宋体" w:hAnsi="宋体" w:cs="宋体"/>
                <w:color w:val="000000" w:themeColor="text1"/>
                <w:kern w:val="0"/>
                <w:sz w:val="24"/>
                <w:szCs w:val="24"/>
                <w:lang w:val="en-US" w:eastAsia="zh-CN"/>
                <w14:textFill>
                  <w14:solidFill>
                    <w14:schemeClr w14:val="tx1"/>
                  </w14:solidFill>
                </w14:textFill>
              </w:rPr>
              <w:t>有三年及以上相关工作经验的得1分；</w:t>
            </w:r>
          </w:p>
          <w:p>
            <w:pPr>
              <w:pageBreakBefore w:val="0"/>
              <w:kinsoku/>
              <w:wordWrap/>
              <w:overflowPunct/>
              <w:topLinePunct w:val="0"/>
              <w:bidi w:val="0"/>
              <w:spacing w:beforeAutospacing="0" w:afterAutospacing="0" w:line="400" w:lineRule="exact"/>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default" w:ascii="宋体" w:hAnsi="宋体" w:eastAsia="宋体" w:cs="宋体"/>
                <w:color w:val="000000" w:themeColor="text1"/>
                <w:kern w:val="0"/>
                <w:sz w:val="24"/>
                <w:szCs w:val="24"/>
                <w:lang w:val="en-US" w:eastAsia="zh-CN"/>
                <w14:textFill>
                  <w14:solidFill>
                    <w14:schemeClr w14:val="tx1"/>
                  </w14:solidFill>
                </w14:textFill>
              </w:rPr>
              <w:t>②</w:t>
            </w:r>
            <w:r>
              <w:rPr>
                <w:rFonts w:hint="eastAsia" w:ascii="宋体" w:hAnsi="宋体" w:eastAsia="宋体" w:cs="宋体"/>
                <w:color w:val="000000" w:themeColor="text1"/>
                <w:kern w:val="0"/>
                <w:sz w:val="24"/>
                <w:szCs w:val="24"/>
                <w:lang w:val="en-US" w:eastAsia="zh-CN"/>
                <w14:textFill>
                  <w14:solidFill>
                    <w14:schemeClr w14:val="tx1"/>
                  </w14:solidFill>
                </w14:textFill>
              </w:rPr>
              <w:t>具有</w:t>
            </w:r>
            <w:r>
              <w:rPr>
                <w:rFonts w:hint="eastAsia" w:ascii="宋体" w:hAnsi="宋体" w:cs="宋体"/>
                <w:color w:val="000000" w:themeColor="text1"/>
                <w:kern w:val="0"/>
                <w:sz w:val="24"/>
                <w:szCs w:val="24"/>
                <w:lang w:val="en-US" w:eastAsia="zh-CN"/>
                <w14:textFill>
                  <w14:solidFill>
                    <w14:schemeClr w14:val="tx1"/>
                  </w14:solidFill>
                </w14:textFill>
              </w:rPr>
              <w:t>五年及以上相关工作经验的得</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2分。 </w:t>
            </w:r>
          </w:p>
          <w:p>
            <w:pPr>
              <w:pageBreakBefore w:val="0"/>
              <w:kinsoku/>
              <w:wordWrap/>
              <w:overflowPunct/>
              <w:topLinePunct w:val="0"/>
              <w:bidi w:val="0"/>
              <w:spacing w:beforeAutospacing="0" w:afterAutospacing="0" w:line="400" w:lineRule="exact"/>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评审依据:</w:t>
            </w:r>
            <w:r>
              <w:rPr>
                <w:rFonts w:hint="eastAsia" w:ascii="宋体" w:hAnsi="宋体" w:cs="宋体"/>
                <w:color w:val="000000" w:themeColor="text1"/>
                <w:kern w:val="0"/>
                <w:sz w:val="24"/>
                <w:szCs w:val="24"/>
                <w:lang w:val="en-US" w:eastAsia="zh-CN"/>
                <w14:textFill>
                  <w14:solidFill>
                    <w14:schemeClr w14:val="tx1"/>
                  </w14:solidFill>
                </w14:textFill>
              </w:rPr>
              <w:t>提供从业期间社保证明材料，</w:t>
            </w:r>
            <w:r>
              <w:rPr>
                <w:rFonts w:hint="eastAsia" w:ascii="宋体" w:hAnsi="宋体" w:eastAsia="宋体" w:cs="宋体"/>
                <w:color w:val="000000" w:themeColor="text1"/>
                <w:kern w:val="0"/>
                <w:sz w:val="24"/>
                <w:szCs w:val="24"/>
                <w14:textFill>
                  <w14:solidFill>
                    <w14:schemeClr w14:val="tx1"/>
                  </w14:solidFill>
                </w14:textFill>
              </w:rPr>
              <w:t>未提供的不得分</w:t>
            </w:r>
            <w:r>
              <w:rPr>
                <w:rFonts w:hint="eastAsia" w:ascii="宋体" w:hAnsi="宋体" w:eastAsia="宋体" w:cs="宋体"/>
                <w:color w:val="000000" w:themeColor="text1"/>
                <w:kern w:val="0"/>
                <w:sz w:val="24"/>
                <w:szCs w:val="24"/>
                <w:lang w:val="en-US" w:eastAsia="zh-CN"/>
                <w14:textFill>
                  <w14:solidFill>
                    <w14:schemeClr w14:val="tx1"/>
                  </w14:solidFill>
                </w14:textFill>
              </w:rPr>
              <w:t>。</w:t>
            </w:r>
          </w:p>
          <w:p>
            <w:pPr>
              <w:pageBreakBefore w:val="0"/>
              <w:kinsoku/>
              <w:wordWrap/>
              <w:overflowPunct/>
              <w:topLinePunct w:val="0"/>
              <w:bidi w:val="0"/>
              <w:spacing w:beforeAutospacing="0" w:afterAutospacing="0" w:line="400" w:lineRule="exact"/>
              <w:jc w:val="left"/>
              <w:rPr>
                <w:rFonts w:hint="eastAsia" w:ascii="宋体" w:hAnsi="宋体" w:eastAsia="宋体" w:cs="宋体"/>
                <w:color w:val="000000" w:themeColor="text1"/>
                <w:kern w:val="0"/>
                <w:sz w:val="24"/>
                <w:szCs w:val="24"/>
                <w14:textFill>
                  <w14:solidFill>
                    <w14:schemeClr w14:val="tx1"/>
                  </w14:solidFill>
                </w14:textFill>
              </w:rPr>
            </w:pPr>
            <w:r>
              <w:rPr>
                <w:rFonts w:hint="default" w:ascii="宋体" w:hAnsi="宋体" w:eastAsia="宋体" w:cs="宋体"/>
                <w:color w:val="000000" w:themeColor="text1"/>
                <w:kern w:val="0"/>
                <w:sz w:val="24"/>
                <w:szCs w:val="24"/>
                <w:lang w:val="en-US" w:eastAsia="zh-CN"/>
                <w14:textFill>
                  <w14:solidFill>
                    <w14:schemeClr w14:val="tx1"/>
                  </w14:solidFill>
                </w14:textFill>
              </w:rPr>
              <w:t xml:space="preserve"> 以上拟投入人员不得有重复</w:t>
            </w:r>
            <w:r>
              <w:rPr>
                <w:rFonts w:hint="eastAsia" w:ascii="宋体" w:hAnsi="宋体" w:cs="宋体"/>
                <w:color w:val="000000" w:themeColor="text1"/>
                <w:kern w:val="0"/>
                <w:sz w:val="24"/>
                <w:szCs w:val="24"/>
                <w:lang w:val="en-US" w:eastAsia="zh-CN"/>
                <w14:textFill>
                  <w14:solidFill>
                    <w14:schemeClr w14:val="tx1"/>
                  </w14:solidFill>
                </w14:textFill>
              </w:rPr>
              <w:t>，重复的不计分</w:t>
            </w:r>
            <w:r>
              <w:rPr>
                <w:rFonts w:hint="default" w:ascii="宋体" w:hAnsi="宋体" w:eastAsia="宋体" w:cs="宋体"/>
                <w:color w:val="000000" w:themeColor="text1"/>
                <w:kern w:val="0"/>
                <w:sz w:val="24"/>
                <w:szCs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4" w:type="dxa"/>
            <w:vMerge w:val="restart"/>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技术部分</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lang w:val="en-US" w:eastAsia="zh-CN"/>
                <w14:textFill>
                  <w14:solidFill>
                    <w14:schemeClr w14:val="tx1"/>
                  </w14:solidFill>
                </w14:textFill>
              </w:rPr>
              <w:t>74</w:t>
            </w:r>
            <w:r>
              <w:rPr>
                <w:rFonts w:hint="eastAsia" w:ascii="宋体" w:hAnsi="宋体" w:eastAsia="宋体" w:cs="宋体"/>
                <w:color w:val="000000" w:themeColor="text1"/>
                <w:kern w:val="0"/>
                <w:sz w:val="24"/>
                <w:szCs w:val="24"/>
                <w14:textFill>
                  <w14:solidFill>
                    <w14:schemeClr w14:val="tx1"/>
                  </w14:solidFill>
                </w14:textFill>
              </w:rPr>
              <w:t>分）</w:t>
            </w:r>
          </w:p>
        </w:tc>
        <w:tc>
          <w:tcPr>
            <w:tcW w:w="1341"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人员配置（</w:t>
            </w:r>
            <w:r>
              <w:rPr>
                <w:rFonts w:hint="eastAsia" w:ascii="宋体" w:hAnsi="宋体" w:cs="宋体"/>
                <w:color w:val="000000" w:themeColor="text1"/>
                <w:kern w:val="0"/>
                <w:sz w:val="24"/>
                <w:szCs w:val="24"/>
                <w:lang w:val="en-US" w:eastAsia="zh-CN"/>
                <w14:textFill>
                  <w14:solidFill>
                    <w14:schemeClr w14:val="tx1"/>
                  </w14:solidFill>
                </w14:textFill>
              </w:rPr>
              <w:t>8</w:t>
            </w:r>
            <w:r>
              <w:rPr>
                <w:rFonts w:hint="eastAsia" w:ascii="宋体" w:hAnsi="宋体" w:eastAsia="宋体" w:cs="宋体"/>
                <w:color w:val="000000" w:themeColor="text1"/>
                <w:kern w:val="0"/>
                <w:sz w:val="24"/>
                <w:szCs w:val="24"/>
                <w14:textFill>
                  <w14:solidFill>
                    <w14:schemeClr w14:val="tx1"/>
                  </w14:solidFill>
                </w14:textFill>
              </w:rPr>
              <w:t>分）</w:t>
            </w:r>
          </w:p>
        </w:tc>
        <w:tc>
          <w:tcPr>
            <w:tcW w:w="8092" w:type="dxa"/>
            <w:vAlign w:val="center"/>
          </w:tcPr>
          <w:p>
            <w:pPr>
              <w:pageBreakBefore w:val="0"/>
              <w:kinsoku/>
              <w:wordWrap/>
              <w:overflowPunct/>
              <w:topLinePunct w:val="0"/>
              <w:bidi w:val="0"/>
              <w:spacing w:beforeAutospacing="0" w:afterAutospacing="0" w:line="400" w:lineRule="exac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根据投标人拟投入本项目的服务人员构成是否合理、对本项目的熟悉程度等进行综合打分。</w:t>
            </w:r>
          </w:p>
          <w:p>
            <w:pPr>
              <w:pageBreakBefore w:val="0"/>
              <w:kinsoku/>
              <w:wordWrap/>
              <w:overflowPunct/>
              <w:topLinePunct w:val="0"/>
              <w:bidi w:val="0"/>
              <w:spacing w:beforeAutospacing="0" w:afterAutospacing="0" w:line="400" w:lineRule="exac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①项目拟投入人员充足；</w:t>
            </w:r>
          </w:p>
          <w:p>
            <w:pPr>
              <w:pageBreakBefore w:val="0"/>
              <w:kinsoku/>
              <w:wordWrap/>
              <w:overflowPunct/>
              <w:topLinePunct w:val="0"/>
              <w:bidi w:val="0"/>
              <w:spacing w:beforeAutospacing="0" w:afterAutospacing="0" w:line="400" w:lineRule="exac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②人员配置方案科学合理；</w:t>
            </w:r>
          </w:p>
          <w:p>
            <w:pPr>
              <w:pageBreakBefore w:val="0"/>
              <w:kinsoku/>
              <w:wordWrap/>
              <w:overflowPunct/>
              <w:topLinePunct w:val="0"/>
              <w:bidi w:val="0"/>
              <w:spacing w:beforeAutospacing="0" w:afterAutospacing="0" w:line="400" w:lineRule="exac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③人员分工明确；</w:t>
            </w:r>
          </w:p>
          <w:p>
            <w:pPr>
              <w:pageBreakBefore w:val="0"/>
              <w:kinsoku/>
              <w:wordWrap/>
              <w:overflowPunct/>
              <w:topLinePunct w:val="0"/>
              <w:bidi w:val="0"/>
              <w:spacing w:beforeAutospacing="0" w:afterAutospacing="0" w:line="400" w:lineRule="exac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④工作经验丰富。</w:t>
            </w:r>
          </w:p>
          <w:p>
            <w:pPr>
              <w:pageBreakBefore w:val="0"/>
              <w:kinsoku/>
              <w:wordWrap/>
              <w:overflowPunct/>
              <w:topLinePunct w:val="0"/>
              <w:bidi w:val="0"/>
              <w:spacing w:beforeAutospacing="0" w:afterAutospacing="0" w:line="400" w:lineRule="exac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以上内容齐全的，每项计</w:t>
            </w:r>
            <w:r>
              <w:rPr>
                <w:rFonts w:hint="eastAsia" w:ascii="宋体" w:hAnsi="宋体" w:cs="宋体"/>
                <w:color w:val="000000" w:themeColor="text1"/>
                <w:kern w:val="0"/>
                <w:sz w:val="24"/>
                <w:szCs w:val="24"/>
                <w:lang w:val="en-US" w:eastAsia="zh-CN"/>
                <w14:textFill>
                  <w14:solidFill>
                    <w14:schemeClr w14:val="tx1"/>
                  </w14:solidFill>
                </w14:textFill>
              </w:rPr>
              <w:t>2</w:t>
            </w:r>
            <w:r>
              <w:rPr>
                <w:rFonts w:hint="eastAsia" w:ascii="宋体" w:hAnsi="宋体" w:eastAsia="宋体" w:cs="宋体"/>
                <w:color w:val="000000" w:themeColor="text1"/>
                <w:kern w:val="0"/>
                <w:sz w:val="24"/>
                <w:szCs w:val="24"/>
                <w14:textFill>
                  <w14:solidFill>
                    <w14:schemeClr w14:val="tx1"/>
                  </w14:solidFill>
                </w14:textFill>
              </w:rPr>
              <w:t>分，最高得</w:t>
            </w:r>
            <w:r>
              <w:rPr>
                <w:rFonts w:hint="eastAsia" w:ascii="宋体" w:hAnsi="宋体" w:cs="宋体"/>
                <w:color w:val="000000" w:themeColor="text1"/>
                <w:kern w:val="0"/>
                <w:sz w:val="24"/>
                <w:szCs w:val="24"/>
                <w:lang w:val="en-US" w:eastAsia="zh-CN"/>
                <w14:textFill>
                  <w14:solidFill>
                    <w14:schemeClr w14:val="tx1"/>
                  </w14:solidFill>
                </w14:textFill>
              </w:rPr>
              <w:t>8</w:t>
            </w:r>
            <w:r>
              <w:rPr>
                <w:rFonts w:hint="eastAsia" w:ascii="宋体" w:hAnsi="宋体" w:eastAsia="宋体" w:cs="宋体"/>
                <w:color w:val="000000" w:themeColor="text1"/>
                <w:kern w:val="0"/>
                <w:sz w:val="24"/>
                <w:szCs w:val="24"/>
                <w14:textFill>
                  <w14:solidFill>
                    <w14:schemeClr w14:val="tx1"/>
                  </w14:solidFill>
                </w14:textFill>
              </w:rPr>
              <w:t>分。每有一项内容不详</w:t>
            </w:r>
            <w:r>
              <w:rPr>
                <w:rFonts w:hint="eastAsia" w:ascii="宋体" w:hAnsi="宋体" w:cs="宋体"/>
                <w:color w:val="000000" w:themeColor="text1"/>
                <w:kern w:val="0"/>
                <w:sz w:val="24"/>
                <w:szCs w:val="24"/>
                <w:lang w:val="en-US" w:eastAsia="zh-CN"/>
                <w14:textFill>
                  <w14:solidFill>
                    <w14:schemeClr w14:val="tx1"/>
                  </w14:solidFill>
                </w14:textFill>
              </w:rPr>
              <w:t>细</w:t>
            </w:r>
            <w:r>
              <w:rPr>
                <w:rFonts w:hint="eastAsia" w:ascii="宋体" w:hAnsi="宋体" w:eastAsia="宋体" w:cs="宋体"/>
                <w:color w:val="000000" w:themeColor="text1"/>
                <w:kern w:val="0"/>
                <w:sz w:val="24"/>
                <w:szCs w:val="24"/>
                <w14:textFill>
                  <w14:solidFill>
                    <w14:schemeClr w14:val="tx1"/>
                  </w14:solidFill>
                </w14:textFill>
              </w:rPr>
              <w:t>或不能满足采购需求的每处扣分，扣完为止。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844" w:type="dxa"/>
            <w:vMerge w:val="continue"/>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themeColor="text1"/>
                <w:sz w:val="24"/>
                <w:szCs w:val="24"/>
                <w14:textFill>
                  <w14:solidFill>
                    <w14:schemeClr w14:val="tx1"/>
                  </w14:solidFill>
                </w14:textFill>
              </w:rPr>
            </w:pPr>
          </w:p>
        </w:tc>
        <w:tc>
          <w:tcPr>
            <w:tcW w:w="1341" w:type="dxa"/>
            <w:vAlign w:val="center"/>
          </w:tcPr>
          <w:p>
            <w:pPr>
              <w:pageBreakBefore w:val="0"/>
              <w:kinsoku/>
              <w:wordWrap/>
              <w:overflowPunct/>
              <w:topLinePunct w:val="0"/>
              <w:bidi w:val="0"/>
              <w:spacing w:beforeAutospacing="0" w:afterAutospacing="0" w:line="40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规章制度 （</w:t>
            </w:r>
            <w:r>
              <w:rPr>
                <w:rFonts w:hint="eastAsia" w:ascii="宋体" w:hAnsi="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分）</w:t>
            </w:r>
          </w:p>
        </w:tc>
        <w:tc>
          <w:tcPr>
            <w:tcW w:w="8092" w:type="dxa"/>
            <w:vAlign w:val="center"/>
          </w:tcPr>
          <w:p>
            <w:pPr>
              <w:pageBreakBefore w:val="0"/>
              <w:kinsoku/>
              <w:wordWrap/>
              <w:overflowPunct/>
              <w:topLinePunct w:val="0"/>
              <w:bidi w:val="0"/>
              <w:spacing w:beforeAutospacing="0" w:afterAutospacing="0" w:line="400" w:lineRule="exac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企业管理规章制度完善，程序规范、责任明确、具有可操作性，内容包括但不限于：</w:t>
            </w:r>
          </w:p>
          <w:p>
            <w:pPr>
              <w:pageBreakBefore w:val="0"/>
              <w:kinsoku/>
              <w:wordWrap/>
              <w:overflowPunct/>
              <w:topLinePunct w:val="0"/>
              <w:bidi w:val="0"/>
              <w:spacing w:beforeAutospacing="0" w:afterAutospacing="0" w:line="400" w:lineRule="exac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①</w:t>
            </w:r>
            <w:r>
              <w:rPr>
                <w:rFonts w:hint="eastAsia" w:ascii="宋体" w:hAnsi="宋体" w:cs="宋体"/>
                <w:color w:val="000000" w:themeColor="text1"/>
                <w:kern w:val="0"/>
                <w:sz w:val="24"/>
                <w:szCs w:val="24"/>
                <w:lang w:val="en-US" w:eastAsia="zh-CN"/>
                <w14:textFill>
                  <w14:solidFill>
                    <w14:schemeClr w14:val="tx1"/>
                  </w14:solidFill>
                </w14:textFill>
              </w:rPr>
              <w:t>园林</w:t>
            </w:r>
            <w:r>
              <w:rPr>
                <w:rFonts w:hint="eastAsia" w:ascii="宋体" w:hAnsi="宋体" w:eastAsia="宋体" w:cs="宋体"/>
                <w:color w:val="000000" w:themeColor="text1"/>
                <w:kern w:val="0"/>
                <w:sz w:val="24"/>
                <w:szCs w:val="24"/>
                <w14:textFill>
                  <w14:solidFill>
                    <w14:schemeClr w14:val="tx1"/>
                  </w14:solidFill>
                </w14:textFill>
              </w:rPr>
              <w:t>养护</w:t>
            </w:r>
            <w:r>
              <w:rPr>
                <w:rFonts w:hint="eastAsia" w:ascii="宋体" w:hAnsi="宋体" w:cs="宋体"/>
                <w:color w:val="000000" w:themeColor="text1"/>
                <w:kern w:val="0"/>
                <w:sz w:val="24"/>
                <w:szCs w:val="24"/>
                <w:lang w:val="en-US" w:eastAsia="zh-CN"/>
                <w14:textFill>
                  <w14:solidFill>
                    <w14:schemeClr w14:val="tx1"/>
                  </w14:solidFill>
                </w14:textFill>
              </w:rPr>
              <w:t>和</w:t>
            </w:r>
            <w:r>
              <w:rPr>
                <w:rFonts w:hint="eastAsia" w:ascii="宋体" w:hAnsi="宋体" w:eastAsia="宋体" w:cs="宋体"/>
                <w:color w:val="000000" w:themeColor="text1"/>
                <w:kern w:val="0"/>
                <w:sz w:val="24"/>
                <w:szCs w:val="24"/>
                <w14:textFill>
                  <w14:solidFill>
                    <w14:schemeClr w14:val="tx1"/>
                  </w14:solidFill>
                </w14:textFill>
              </w:rPr>
              <w:t>环卫管理台账制度；</w:t>
            </w:r>
          </w:p>
          <w:p>
            <w:pPr>
              <w:pageBreakBefore w:val="0"/>
              <w:kinsoku/>
              <w:wordWrap/>
              <w:overflowPunct/>
              <w:topLinePunct w:val="0"/>
              <w:bidi w:val="0"/>
              <w:spacing w:beforeAutospacing="0" w:afterAutospacing="0" w:line="400" w:lineRule="exac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②人员考核机制；</w:t>
            </w:r>
          </w:p>
          <w:p>
            <w:pPr>
              <w:pageBreakBefore w:val="0"/>
              <w:kinsoku/>
              <w:wordWrap/>
              <w:overflowPunct/>
              <w:topLinePunct w:val="0"/>
              <w:bidi w:val="0"/>
              <w:spacing w:beforeAutospacing="0" w:afterAutospacing="0" w:line="400" w:lineRule="exac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③安全操作规范；</w:t>
            </w:r>
          </w:p>
          <w:p>
            <w:pPr>
              <w:pageBreakBefore w:val="0"/>
              <w:kinsoku/>
              <w:wordWrap/>
              <w:overflowPunct/>
              <w:topLinePunct w:val="0"/>
              <w:bidi w:val="0"/>
              <w:spacing w:beforeAutospacing="0" w:afterAutospacing="0" w:line="400" w:lineRule="exac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④人员配置及岗位划分图。</w:t>
            </w:r>
          </w:p>
          <w:p>
            <w:pPr>
              <w:pageBreakBefore w:val="0"/>
              <w:kinsoku/>
              <w:wordWrap/>
              <w:overflowPunct/>
              <w:topLinePunct w:val="0"/>
              <w:bidi w:val="0"/>
              <w:spacing w:beforeAutospacing="0" w:afterAutospacing="0" w:line="400" w:lineRule="exac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以上方案内容完整清晰明确、科学合理且满足采购需求的，每项计2分，最高得</w:t>
            </w:r>
            <w:r>
              <w:rPr>
                <w:rFonts w:hint="eastAsia" w:ascii="宋体" w:hAnsi="宋体" w:cs="宋体"/>
                <w:color w:val="000000" w:themeColor="text1"/>
                <w:kern w:val="0"/>
                <w:sz w:val="24"/>
                <w:szCs w:val="24"/>
                <w:lang w:val="en-US" w:eastAsia="zh-CN"/>
                <w14:textFill>
                  <w14:solidFill>
                    <w14:schemeClr w14:val="tx1"/>
                  </w14:solidFill>
                </w14:textFill>
              </w:rPr>
              <w:t>8</w:t>
            </w:r>
            <w:r>
              <w:rPr>
                <w:rFonts w:hint="eastAsia" w:ascii="宋体" w:hAnsi="宋体" w:eastAsia="宋体" w:cs="宋体"/>
                <w:color w:val="000000" w:themeColor="text1"/>
                <w:kern w:val="0"/>
                <w:sz w:val="24"/>
                <w:szCs w:val="24"/>
                <w14:textFill>
                  <w14:solidFill>
                    <w14:schemeClr w14:val="tx1"/>
                  </w14:solidFill>
                </w14:textFill>
              </w:rPr>
              <w:t>分。每有一处不具有合理性、不详</w:t>
            </w:r>
            <w:r>
              <w:rPr>
                <w:rFonts w:hint="eastAsia" w:ascii="宋体" w:hAnsi="宋体" w:cs="宋体"/>
                <w:color w:val="000000" w:themeColor="text1"/>
                <w:kern w:val="0"/>
                <w:sz w:val="24"/>
                <w:szCs w:val="24"/>
                <w:lang w:val="en-US" w:eastAsia="zh-CN"/>
                <w14:textFill>
                  <w14:solidFill>
                    <w14:schemeClr w14:val="tx1"/>
                  </w14:solidFill>
                </w14:textFill>
              </w:rPr>
              <w:t>细</w:t>
            </w:r>
            <w:r>
              <w:rPr>
                <w:rFonts w:hint="eastAsia" w:ascii="宋体" w:hAnsi="宋体" w:eastAsia="宋体" w:cs="宋体"/>
                <w:color w:val="000000" w:themeColor="text1"/>
                <w:kern w:val="0"/>
                <w:sz w:val="24"/>
                <w:szCs w:val="24"/>
                <w14:textFill>
                  <w14:solidFill>
                    <w14:schemeClr w14:val="tx1"/>
                  </w14:solidFill>
                </w14:textFill>
              </w:rPr>
              <w:t>或不能满足采购需求的扣分；扣完为止。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44" w:type="dxa"/>
            <w:vMerge w:val="continue"/>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themeColor="text1"/>
                <w:sz w:val="24"/>
                <w:szCs w:val="24"/>
                <w14:textFill>
                  <w14:solidFill>
                    <w14:schemeClr w14:val="tx1"/>
                  </w14:solidFill>
                </w14:textFill>
              </w:rPr>
            </w:pPr>
          </w:p>
        </w:tc>
        <w:tc>
          <w:tcPr>
            <w:tcW w:w="1341"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绿化养护服务实施方案（</w:t>
            </w:r>
            <w:r>
              <w:rPr>
                <w:rFonts w:hint="eastAsia" w:ascii="宋体" w:hAnsi="宋体" w:cs="宋体"/>
                <w:color w:val="000000" w:themeColor="text1"/>
                <w:kern w:val="0"/>
                <w:sz w:val="24"/>
                <w:szCs w:val="24"/>
                <w:lang w:val="en-US" w:eastAsia="zh-CN"/>
                <w14:textFill>
                  <w14:solidFill>
                    <w14:schemeClr w14:val="tx1"/>
                  </w14:solidFill>
                </w14:textFill>
              </w:rPr>
              <w:t>18</w:t>
            </w:r>
            <w:r>
              <w:rPr>
                <w:rFonts w:hint="eastAsia" w:ascii="宋体" w:hAnsi="宋体" w:eastAsia="宋体" w:cs="宋体"/>
                <w:color w:val="000000" w:themeColor="text1"/>
                <w:kern w:val="0"/>
                <w:sz w:val="24"/>
                <w:szCs w:val="24"/>
                <w14:textFill>
                  <w14:solidFill>
                    <w14:schemeClr w14:val="tx1"/>
                  </w14:solidFill>
                </w14:textFill>
              </w:rPr>
              <w:t>分）</w:t>
            </w:r>
          </w:p>
        </w:tc>
        <w:tc>
          <w:tcPr>
            <w:tcW w:w="8092" w:type="dxa"/>
            <w:vAlign w:val="center"/>
          </w:tcPr>
          <w:p>
            <w:pPr>
              <w:pageBreakBefore w:val="0"/>
              <w:kinsoku/>
              <w:wordWrap/>
              <w:overflowPunct/>
              <w:topLinePunct w:val="0"/>
              <w:bidi w:val="0"/>
              <w:spacing w:beforeAutospacing="0" w:afterAutospacing="0" w:line="400" w:lineRule="exac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投标人根据本项目需求提供详细的项目绿化养护实施方案，绿化养护方案结合当地环境及季节变化，考虑各类园林植物特性，养护计划周密，措施有效，且方案能结合实地现场，内容包括但不限于：</w:t>
            </w:r>
          </w:p>
          <w:p>
            <w:pPr>
              <w:pageBreakBefore w:val="0"/>
              <w:kinsoku/>
              <w:wordWrap/>
              <w:overflowPunct/>
              <w:topLinePunct w:val="0"/>
              <w:bidi w:val="0"/>
              <w:adjustRightInd w:val="0"/>
              <w:snapToGrid w:val="0"/>
              <w:spacing w:beforeAutospacing="0" w:afterAutospacing="0" w:line="400" w:lineRule="exact"/>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①养护方案及措施</w:t>
            </w:r>
            <w:r>
              <w:rPr>
                <w:rFonts w:hint="eastAsia" w:ascii="宋体" w:hAnsi="宋体" w:cs="宋体"/>
                <w:color w:val="000000" w:themeColor="text1"/>
                <w:kern w:val="0"/>
                <w:sz w:val="24"/>
                <w:szCs w:val="24"/>
                <w:lang w:eastAsia="zh-CN"/>
                <w14:textFill>
                  <w14:solidFill>
                    <w14:schemeClr w14:val="tx1"/>
                  </w14:solidFill>
                </w14:textFill>
              </w:rPr>
              <w:t>（</w:t>
            </w:r>
            <w:r>
              <w:rPr>
                <w:rFonts w:hint="eastAsia" w:ascii="宋体" w:hAnsi="宋体" w:cs="宋体"/>
                <w:color w:val="000000" w:themeColor="text1"/>
                <w:kern w:val="0"/>
                <w:sz w:val="24"/>
                <w:szCs w:val="24"/>
                <w:lang w:val="en-US" w:eastAsia="zh-CN"/>
                <w14:textFill>
                  <w14:solidFill>
                    <w14:schemeClr w14:val="tx1"/>
                  </w14:solidFill>
                </w14:textFill>
              </w:rPr>
              <w:t>含浇水、施肥、病虫害防治、修剪、除草、林带清理、涂白等）</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lang w:val="en-US" w:eastAsia="zh-CN"/>
                <w14:textFill>
                  <w14:solidFill>
                    <w14:schemeClr w14:val="tx1"/>
                  </w14:solidFill>
                </w14:textFill>
              </w:rPr>
              <w:t>6分</w:t>
            </w:r>
          </w:p>
          <w:p>
            <w:pPr>
              <w:pageBreakBefore w:val="0"/>
              <w:kinsoku/>
              <w:wordWrap/>
              <w:overflowPunct/>
              <w:topLinePunct w:val="0"/>
              <w:bidi w:val="0"/>
              <w:spacing w:beforeAutospacing="0" w:afterAutospacing="0" w:line="400" w:lineRule="exac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②</w:t>
            </w:r>
            <w:r>
              <w:rPr>
                <w:rFonts w:hint="eastAsia" w:ascii="宋体" w:hAnsi="宋体" w:eastAsia="宋体" w:cs="宋体"/>
                <w:color w:val="000000" w:themeColor="text1"/>
                <w:kern w:val="0"/>
                <w:sz w:val="24"/>
                <w:szCs w:val="24"/>
                <w14:textFill>
                  <w14:solidFill>
                    <w14:schemeClr w14:val="tx1"/>
                  </w14:solidFill>
                </w14:textFill>
              </w:rPr>
              <w:t>苗木补植措施等内容；</w:t>
            </w:r>
            <w:r>
              <w:rPr>
                <w:rFonts w:hint="eastAsia" w:ascii="宋体" w:hAnsi="宋体" w:cs="宋体"/>
                <w:color w:val="000000" w:themeColor="text1"/>
                <w:kern w:val="0"/>
                <w:sz w:val="24"/>
                <w:szCs w:val="24"/>
                <w:lang w:val="en-US" w:eastAsia="zh-CN"/>
                <w14:textFill>
                  <w14:solidFill>
                    <w14:schemeClr w14:val="tx1"/>
                  </w14:solidFill>
                </w14:textFill>
              </w:rPr>
              <w:t>4</w:t>
            </w:r>
            <w:r>
              <w:rPr>
                <w:rFonts w:hint="eastAsia" w:ascii="宋体" w:hAnsi="宋体" w:eastAsia="宋体" w:cs="宋体"/>
                <w:color w:val="000000" w:themeColor="text1"/>
                <w:kern w:val="0"/>
                <w:sz w:val="24"/>
                <w:szCs w:val="24"/>
                <w14:textFill>
                  <w14:solidFill>
                    <w14:schemeClr w14:val="tx1"/>
                  </w14:solidFill>
                </w14:textFill>
              </w:rPr>
              <w:t>分</w:t>
            </w:r>
          </w:p>
          <w:p>
            <w:pPr>
              <w:pageBreakBefore w:val="0"/>
              <w:kinsoku/>
              <w:wordWrap/>
              <w:overflowPunct/>
              <w:topLinePunct w:val="0"/>
              <w:bidi w:val="0"/>
              <w:spacing w:beforeAutospacing="0" w:afterAutospacing="0" w:line="400" w:lineRule="exac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③</w:t>
            </w:r>
            <w:r>
              <w:rPr>
                <w:rFonts w:hint="eastAsia" w:ascii="宋体" w:hAnsi="宋体" w:eastAsia="宋体" w:cs="宋体"/>
                <w:color w:val="000000" w:themeColor="text1"/>
                <w:kern w:val="0"/>
                <w:sz w:val="24"/>
                <w:szCs w:val="24"/>
                <w14:textFill>
                  <w14:solidFill>
                    <w14:schemeClr w14:val="tx1"/>
                  </w14:solidFill>
                </w14:textFill>
              </w:rPr>
              <w:t>附属设施维护方案</w:t>
            </w:r>
            <w:r>
              <w:rPr>
                <w:rFonts w:hint="eastAsia" w:ascii="宋体" w:hAnsi="宋体" w:cs="宋体"/>
                <w:color w:val="000000" w:themeColor="text1"/>
                <w:kern w:val="0"/>
                <w:sz w:val="24"/>
                <w:szCs w:val="24"/>
                <w:lang w:eastAsia="zh-CN"/>
                <w14:textFill>
                  <w14:solidFill>
                    <w14:schemeClr w14:val="tx1"/>
                  </w14:solidFill>
                </w14:textFill>
              </w:rPr>
              <w:t>（</w:t>
            </w:r>
            <w:r>
              <w:rPr>
                <w:rFonts w:hint="eastAsia" w:ascii="宋体" w:hAnsi="宋体" w:cs="宋体"/>
                <w:color w:val="000000" w:themeColor="text1"/>
                <w:kern w:val="0"/>
                <w:sz w:val="24"/>
                <w:szCs w:val="24"/>
                <w:lang w:val="en-US" w:eastAsia="zh-CN"/>
                <w14:textFill>
                  <w14:solidFill>
                    <w14:schemeClr w14:val="tx1"/>
                  </w14:solidFill>
                </w14:textFill>
              </w:rPr>
              <w:t>根据采购需求配置相应方案）</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lang w:val="en-US" w:eastAsia="zh-CN"/>
                <w14:textFill>
                  <w14:solidFill>
                    <w14:schemeClr w14:val="tx1"/>
                  </w14:solidFill>
                </w14:textFill>
              </w:rPr>
              <w:t>4</w:t>
            </w:r>
            <w:r>
              <w:rPr>
                <w:rFonts w:hint="eastAsia" w:ascii="宋体" w:hAnsi="宋体" w:eastAsia="宋体" w:cs="宋体"/>
                <w:color w:val="000000" w:themeColor="text1"/>
                <w:kern w:val="0"/>
                <w:sz w:val="24"/>
                <w:szCs w:val="24"/>
                <w14:textFill>
                  <w14:solidFill>
                    <w14:schemeClr w14:val="tx1"/>
                  </w14:solidFill>
                </w14:textFill>
              </w:rPr>
              <w:t>分</w:t>
            </w:r>
          </w:p>
          <w:p>
            <w:pPr>
              <w:pageBreakBefore w:val="0"/>
              <w:kinsoku/>
              <w:wordWrap/>
              <w:overflowPunct/>
              <w:topLinePunct w:val="0"/>
              <w:bidi w:val="0"/>
              <w:spacing w:beforeAutospacing="0" w:afterAutospacing="0" w:line="400" w:lineRule="exac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④</w:t>
            </w:r>
            <w:r>
              <w:rPr>
                <w:rFonts w:hint="eastAsia" w:ascii="宋体" w:hAnsi="宋体" w:eastAsia="宋体" w:cs="宋体"/>
                <w:color w:val="000000" w:themeColor="text1"/>
                <w:kern w:val="0"/>
                <w:sz w:val="24"/>
                <w:szCs w:val="24"/>
                <w14:textFill>
                  <w14:solidFill>
                    <w14:schemeClr w14:val="tx1"/>
                  </w14:solidFill>
                </w14:textFill>
              </w:rPr>
              <w:t>绿化作业</w:t>
            </w:r>
            <w:r>
              <w:rPr>
                <w:rFonts w:hint="eastAsia" w:ascii="宋体" w:hAnsi="宋体" w:cs="宋体"/>
                <w:color w:val="000000" w:themeColor="text1"/>
                <w:kern w:val="0"/>
                <w:sz w:val="24"/>
                <w:szCs w:val="24"/>
                <w:lang w:val="en-US" w:eastAsia="zh-CN"/>
                <w14:textFill>
                  <w14:solidFill>
                    <w14:schemeClr w14:val="tx1"/>
                  </w14:solidFill>
                </w14:textFill>
              </w:rPr>
              <w:t>管理</w:t>
            </w:r>
            <w:r>
              <w:rPr>
                <w:rFonts w:hint="eastAsia" w:ascii="宋体" w:hAnsi="宋体" w:eastAsia="宋体" w:cs="宋体"/>
                <w:color w:val="000000" w:themeColor="text1"/>
                <w:kern w:val="0"/>
                <w:sz w:val="24"/>
                <w:szCs w:val="24"/>
                <w14:textFill>
                  <w14:solidFill>
                    <w14:schemeClr w14:val="tx1"/>
                  </w14:solidFill>
                </w14:textFill>
              </w:rPr>
              <w:t>制度。</w:t>
            </w:r>
            <w:r>
              <w:rPr>
                <w:rFonts w:hint="eastAsia" w:ascii="宋体" w:hAnsi="宋体" w:cs="宋体"/>
                <w:color w:val="000000" w:themeColor="text1"/>
                <w:kern w:val="0"/>
                <w:sz w:val="24"/>
                <w:szCs w:val="24"/>
                <w:lang w:val="en-US" w:eastAsia="zh-CN"/>
                <w14:textFill>
                  <w14:solidFill>
                    <w14:schemeClr w14:val="tx1"/>
                  </w14:solidFill>
                </w14:textFill>
              </w:rPr>
              <w:t>4</w:t>
            </w:r>
            <w:r>
              <w:rPr>
                <w:rFonts w:hint="eastAsia" w:ascii="宋体" w:hAnsi="宋体" w:eastAsia="宋体" w:cs="宋体"/>
                <w:color w:val="000000" w:themeColor="text1"/>
                <w:kern w:val="0"/>
                <w:sz w:val="24"/>
                <w:szCs w:val="24"/>
                <w14:textFill>
                  <w14:solidFill>
                    <w14:schemeClr w14:val="tx1"/>
                  </w14:solidFill>
                </w14:textFill>
              </w:rPr>
              <w:t>分</w:t>
            </w:r>
          </w:p>
          <w:p>
            <w:pPr>
              <w:pageBreakBefore w:val="0"/>
              <w:kinsoku/>
              <w:wordWrap/>
              <w:overflowPunct/>
              <w:topLinePunct w:val="0"/>
              <w:autoSpaceDE w:val="0"/>
              <w:autoSpaceDN w:val="0"/>
              <w:bidi w:val="0"/>
              <w:adjustRightInd w:val="0"/>
              <w:spacing w:beforeAutospacing="0" w:afterAutospacing="0" w:line="400" w:lineRule="exact"/>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以上方案内容完整清晰明确且科学合理、可行性高具有针对性并满足采购需求的</w:t>
            </w:r>
            <w:r>
              <w:rPr>
                <w:rFonts w:hint="eastAsia" w:ascii="宋体" w:hAnsi="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每有一项内容不完整或未能满足采购需求的或每有一处不具有针对性或逻辑性错误且不完整的扣分；扣完为止。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844" w:type="dxa"/>
            <w:vMerge w:val="continue"/>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themeColor="text1"/>
                <w:sz w:val="24"/>
                <w:szCs w:val="24"/>
                <w14:textFill>
                  <w14:solidFill>
                    <w14:schemeClr w14:val="tx1"/>
                  </w14:solidFill>
                </w14:textFill>
              </w:rPr>
            </w:pPr>
          </w:p>
        </w:tc>
        <w:tc>
          <w:tcPr>
            <w:tcW w:w="1341"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环卫保洁服务实施方案（1</w:t>
            </w:r>
            <w:r>
              <w:rPr>
                <w:rFonts w:hint="eastAsia" w:ascii="宋体" w:hAnsi="宋体" w:cs="宋体"/>
                <w:color w:val="000000" w:themeColor="text1"/>
                <w:kern w:val="0"/>
                <w:sz w:val="24"/>
                <w:szCs w:val="24"/>
                <w:lang w:val="en-US" w:eastAsia="zh-CN"/>
                <w14:textFill>
                  <w14:solidFill>
                    <w14:schemeClr w14:val="tx1"/>
                  </w14:solidFill>
                </w14:textFill>
              </w:rPr>
              <w:t>5</w:t>
            </w:r>
            <w:r>
              <w:rPr>
                <w:rFonts w:hint="eastAsia" w:ascii="宋体" w:hAnsi="宋体" w:eastAsia="宋体" w:cs="宋体"/>
                <w:color w:val="000000" w:themeColor="text1"/>
                <w:kern w:val="0"/>
                <w:sz w:val="24"/>
                <w:szCs w:val="24"/>
                <w14:textFill>
                  <w14:solidFill>
                    <w14:schemeClr w14:val="tx1"/>
                  </w14:solidFill>
                </w14:textFill>
              </w:rPr>
              <w:t>分）</w:t>
            </w:r>
          </w:p>
        </w:tc>
        <w:tc>
          <w:tcPr>
            <w:tcW w:w="8092" w:type="dxa"/>
            <w:vAlign w:val="center"/>
          </w:tcPr>
          <w:p>
            <w:pPr>
              <w:pageBreakBefore w:val="0"/>
              <w:kinsoku/>
              <w:wordWrap/>
              <w:overflowPunct/>
              <w:topLinePunct w:val="0"/>
              <w:bidi w:val="0"/>
              <w:adjustRightInd w:val="0"/>
              <w:snapToGrid w:val="0"/>
              <w:spacing w:beforeAutospacing="0" w:afterAutospacing="0" w:line="400" w:lineRule="exac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投标人根据本项目需求提供详细的环卫服务措施方案等内容，内容包含但不限于：</w:t>
            </w:r>
          </w:p>
          <w:p>
            <w:pPr>
              <w:pageBreakBefore w:val="0"/>
              <w:kinsoku/>
              <w:wordWrap/>
              <w:overflowPunct/>
              <w:topLinePunct w:val="0"/>
              <w:bidi w:val="0"/>
              <w:adjustRightInd w:val="0"/>
              <w:snapToGrid w:val="0"/>
              <w:spacing w:beforeAutospacing="0" w:afterAutospacing="0" w:line="400" w:lineRule="exac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①清扫保洁</w:t>
            </w:r>
            <w:r>
              <w:rPr>
                <w:rFonts w:hint="eastAsia" w:ascii="宋体" w:hAnsi="宋体" w:cs="宋体"/>
                <w:color w:val="000000" w:themeColor="text1"/>
                <w:kern w:val="0"/>
                <w:sz w:val="24"/>
                <w:szCs w:val="24"/>
                <w:lang w:eastAsia="zh-CN"/>
                <w14:textFill>
                  <w14:solidFill>
                    <w14:schemeClr w14:val="tx1"/>
                  </w14:solidFill>
                </w14:textFill>
              </w:rPr>
              <w:t>（</w:t>
            </w:r>
            <w:r>
              <w:rPr>
                <w:rFonts w:hint="eastAsia" w:ascii="宋体" w:hAnsi="宋体" w:cs="宋体"/>
                <w:color w:val="000000" w:themeColor="text1"/>
                <w:kern w:val="0"/>
                <w:sz w:val="24"/>
                <w:szCs w:val="24"/>
                <w:lang w:val="en-US" w:eastAsia="zh-CN"/>
                <w14:textFill>
                  <w14:solidFill>
                    <w14:schemeClr w14:val="tx1"/>
                  </w14:solidFill>
                </w14:textFill>
              </w:rPr>
              <w:t>含公厕）</w:t>
            </w:r>
            <w:r>
              <w:rPr>
                <w:rFonts w:hint="eastAsia" w:ascii="宋体" w:hAnsi="宋体" w:eastAsia="宋体" w:cs="宋体"/>
                <w:color w:val="000000" w:themeColor="text1"/>
                <w:kern w:val="0"/>
                <w:sz w:val="24"/>
                <w:szCs w:val="24"/>
                <w14:textFill>
                  <w14:solidFill>
                    <w14:schemeClr w14:val="tx1"/>
                  </w14:solidFill>
                </w14:textFill>
              </w:rPr>
              <w:t>方案；</w:t>
            </w:r>
            <w:r>
              <w:rPr>
                <w:rFonts w:hint="eastAsia" w:ascii="宋体" w:hAnsi="宋体" w:cs="宋体"/>
                <w:color w:val="000000" w:themeColor="text1"/>
                <w:kern w:val="0"/>
                <w:sz w:val="24"/>
                <w:szCs w:val="24"/>
                <w:lang w:val="en-US" w:eastAsia="zh-CN"/>
                <w14:textFill>
                  <w14:solidFill>
                    <w14:schemeClr w14:val="tx1"/>
                  </w14:solidFill>
                </w14:textFill>
              </w:rPr>
              <w:t>4</w:t>
            </w:r>
            <w:r>
              <w:rPr>
                <w:rFonts w:hint="eastAsia" w:ascii="宋体" w:hAnsi="宋体" w:eastAsia="宋体" w:cs="宋体"/>
                <w:color w:val="000000" w:themeColor="text1"/>
                <w:kern w:val="0"/>
                <w:sz w:val="24"/>
                <w:szCs w:val="24"/>
                <w14:textFill>
                  <w14:solidFill>
                    <w14:schemeClr w14:val="tx1"/>
                  </w14:solidFill>
                </w14:textFill>
              </w:rPr>
              <w:t>分</w:t>
            </w:r>
          </w:p>
          <w:p>
            <w:pPr>
              <w:pageBreakBefore w:val="0"/>
              <w:kinsoku/>
              <w:wordWrap/>
              <w:overflowPunct/>
              <w:topLinePunct w:val="0"/>
              <w:bidi w:val="0"/>
              <w:adjustRightInd w:val="0"/>
              <w:snapToGrid w:val="0"/>
              <w:spacing w:beforeAutospacing="0" w:afterAutospacing="0" w:line="400" w:lineRule="exac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②垃圾清运方案；</w:t>
            </w:r>
            <w:r>
              <w:rPr>
                <w:rFonts w:hint="eastAsia" w:ascii="宋体" w:hAnsi="宋体" w:cs="宋体"/>
                <w:color w:val="000000" w:themeColor="text1"/>
                <w:kern w:val="0"/>
                <w:sz w:val="24"/>
                <w:szCs w:val="24"/>
                <w:lang w:val="en-US" w:eastAsia="zh-CN"/>
                <w14:textFill>
                  <w14:solidFill>
                    <w14:schemeClr w14:val="tx1"/>
                  </w14:solidFill>
                </w14:textFill>
              </w:rPr>
              <w:t>4</w:t>
            </w:r>
            <w:r>
              <w:rPr>
                <w:rFonts w:hint="eastAsia" w:ascii="宋体" w:hAnsi="宋体" w:eastAsia="宋体" w:cs="宋体"/>
                <w:color w:val="000000" w:themeColor="text1"/>
                <w:kern w:val="0"/>
                <w:sz w:val="24"/>
                <w:szCs w:val="24"/>
                <w14:textFill>
                  <w14:solidFill>
                    <w14:schemeClr w14:val="tx1"/>
                  </w14:solidFill>
                </w14:textFill>
              </w:rPr>
              <w:t>分</w:t>
            </w:r>
          </w:p>
          <w:p>
            <w:pPr>
              <w:pStyle w:val="2"/>
              <w:ind w:left="0" w:leftChars="0" w:firstLine="0" w:firstLineChars="0"/>
              <w:rPr>
                <w:rFonts w:hint="default" w:eastAsia="宋体"/>
                <w:color w:val="000000" w:themeColor="text1"/>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③</w:t>
            </w:r>
            <w:r>
              <w:rPr>
                <w:rFonts w:hint="eastAsia" w:ascii="宋体" w:hAnsi="宋体" w:cs="宋体"/>
                <w:color w:val="000000" w:themeColor="text1"/>
                <w:kern w:val="0"/>
                <w:sz w:val="24"/>
                <w:szCs w:val="24"/>
                <w:lang w:val="en-US" w:eastAsia="zh-CN"/>
                <w14:textFill>
                  <w14:solidFill>
                    <w14:schemeClr w14:val="tx1"/>
                  </w14:solidFill>
                </w14:textFill>
              </w:rPr>
              <w:t>垃圾处置方案；4</w:t>
            </w:r>
            <w:r>
              <w:rPr>
                <w:rFonts w:hint="eastAsia" w:ascii="宋体" w:hAnsi="宋体" w:eastAsia="宋体" w:cs="宋体"/>
                <w:color w:val="000000" w:themeColor="text1"/>
                <w:kern w:val="0"/>
                <w:sz w:val="24"/>
                <w:szCs w:val="24"/>
                <w14:textFill>
                  <w14:solidFill>
                    <w14:schemeClr w14:val="tx1"/>
                  </w14:solidFill>
                </w14:textFill>
              </w:rPr>
              <w:t>分</w:t>
            </w:r>
          </w:p>
          <w:p>
            <w:pPr>
              <w:pageBreakBefore w:val="0"/>
              <w:kinsoku/>
              <w:wordWrap/>
              <w:overflowPunct/>
              <w:topLinePunct w:val="0"/>
              <w:bidi w:val="0"/>
              <w:adjustRightInd w:val="0"/>
              <w:snapToGrid w:val="0"/>
              <w:spacing w:beforeAutospacing="0" w:afterAutospacing="0" w:line="400" w:lineRule="exac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④洒水降尘方案；</w:t>
            </w:r>
            <w:r>
              <w:rPr>
                <w:rFonts w:hint="eastAsia" w:ascii="宋体" w:hAnsi="宋体" w:cs="宋体"/>
                <w:color w:val="000000" w:themeColor="text1"/>
                <w:kern w:val="0"/>
                <w:sz w:val="24"/>
                <w:szCs w:val="24"/>
                <w:lang w:val="en-US" w:eastAsia="zh-CN"/>
                <w14:textFill>
                  <w14:solidFill>
                    <w14:schemeClr w14:val="tx1"/>
                  </w14:solidFill>
                </w14:textFill>
              </w:rPr>
              <w:t>2</w:t>
            </w:r>
            <w:r>
              <w:rPr>
                <w:rFonts w:hint="eastAsia" w:ascii="宋体" w:hAnsi="宋体" w:eastAsia="宋体" w:cs="宋体"/>
                <w:color w:val="000000" w:themeColor="text1"/>
                <w:kern w:val="0"/>
                <w:sz w:val="24"/>
                <w:szCs w:val="24"/>
                <w14:textFill>
                  <w14:solidFill>
                    <w14:schemeClr w14:val="tx1"/>
                  </w14:solidFill>
                </w14:textFill>
              </w:rPr>
              <w:t>分</w:t>
            </w:r>
          </w:p>
          <w:p>
            <w:pPr>
              <w:pageBreakBefore w:val="0"/>
              <w:kinsoku/>
              <w:wordWrap/>
              <w:overflowPunct/>
              <w:topLinePunct w:val="0"/>
              <w:bidi w:val="0"/>
              <w:adjustRightInd w:val="0"/>
              <w:snapToGrid w:val="0"/>
              <w:spacing w:beforeAutospacing="0" w:afterAutospacing="0" w:line="400" w:lineRule="exac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⑤</w:t>
            </w:r>
            <w:r>
              <w:rPr>
                <w:rFonts w:hint="eastAsia" w:ascii="宋体" w:hAnsi="宋体" w:eastAsia="宋体" w:cs="宋体"/>
                <w:color w:val="000000" w:themeColor="text1"/>
                <w:kern w:val="0"/>
                <w:sz w:val="24"/>
                <w:szCs w:val="24"/>
                <w14:textFill>
                  <w14:solidFill>
                    <w14:schemeClr w14:val="tx1"/>
                  </w14:solidFill>
                </w14:textFill>
              </w:rPr>
              <w:t>冬季清雪除冰、积雪拉运方案。</w:t>
            </w:r>
            <w:r>
              <w:rPr>
                <w:rFonts w:hint="eastAsia" w:ascii="宋体" w:hAnsi="宋体" w:cs="宋体"/>
                <w:color w:val="000000" w:themeColor="text1"/>
                <w:kern w:val="0"/>
                <w:sz w:val="24"/>
                <w:szCs w:val="24"/>
                <w:lang w:val="en-US" w:eastAsia="zh-CN"/>
                <w14:textFill>
                  <w14:solidFill>
                    <w14:schemeClr w14:val="tx1"/>
                  </w14:solidFill>
                </w14:textFill>
              </w:rPr>
              <w:t>1</w:t>
            </w:r>
            <w:r>
              <w:rPr>
                <w:rFonts w:hint="eastAsia" w:ascii="宋体" w:hAnsi="宋体" w:eastAsia="宋体" w:cs="宋体"/>
                <w:color w:val="000000" w:themeColor="text1"/>
                <w:kern w:val="0"/>
                <w:sz w:val="24"/>
                <w:szCs w:val="24"/>
                <w14:textFill>
                  <w14:solidFill>
                    <w14:schemeClr w14:val="tx1"/>
                  </w14:solidFill>
                </w14:textFill>
              </w:rPr>
              <w:t>分</w:t>
            </w:r>
          </w:p>
          <w:p>
            <w:pPr>
              <w:pageBreakBefore w:val="0"/>
              <w:kinsoku/>
              <w:wordWrap/>
              <w:overflowPunct/>
              <w:topLinePunct w:val="0"/>
              <w:bidi w:val="0"/>
              <w:adjustRightInd w:val="0"/>
              <w:snapToGrid w:val="0"/>
              <w:spacing w:beforeAutospacing="0" w:afterAutospacing="0" w:line="400" w:lineRule="exac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以上方案内容完整清晰明确且科学合理、可行性高具有针对性并满足采购需求的。每有一项内容不完整或未能满足采购需求的或每有一处不具有针对性或逻辑性错误且不完整的</w:t>
            </w:r>
            <w:r>
              <w:rPr>
                <w:rFonts w:hint="eastAsia" w:ascii="宋体" w:hAnsi="宋体" w:cs="宋体"/>
                <w:color w:val="000000" w:themeColor="text1"/>
                <w:kern w:val="0"/>
                <w:sz w:val="24"/>
                <w:szCs w:val="24"/>
                <w:lang w:val="en-US" w:eastAsia="zh-CN"/>
                <w14:textFill>
                  <w14:solidFill>
                    <w14:schemeClr w14:val="tx1"/>
                  </w14:solidFill>
                </w14:textFill>
              </w:rPr>
              <w:t>扣分</w:t>
            </w:r>
            <w:r>
              <w:rPr>
                <w:rFonts w:hint="eastAsia" w:ascii="宋体" w:hAnsi="宋体" w:eastAsia="宋体" w:cs="宋体"/>
                <w:color w:val="000000" w:themeColor="text1"/>
                <w:kern w:val="0"/>
                <w:sz w:val="24"/>
                <w:szCs w:val="24"/>
                <w14:textFill>
                  <w14:solidFill>
                    <w14:schemeClr w14:val="tx1"/>
                  </w14:solidFill>
                </w14:textFill>
              </w:rPr>
              <w:t>；扣完为止。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844" w:type="dxa"/>
            <w:vMerge w:val="continue"/>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themeColor="text1"/>
                <w:sz w:val="24"/>
                <w:szCs w:val="24"/>
                <w14:textFill>
                  <w14:solidFill>
                    <w14:schemeClr w14:val="tx1"/>
                  </w14:solidFill>
                </w14:textFill>
              </w:rPr>
            </w:pPr>
          </w:p>
        </w:tc>
        <w:tc>
          <w:tcPr>
            <w:tcW w:w="1341"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投入本项目机械、材料、器具设备配置（</w:t>
            </w:r>
            <w:r>
              <w:rPr>
                <w:rFonts w:hint="eastAsia" w:ascii="宋体" w:hAnsi="宋体" w:cs="宋体"/>
                <w:color w:val="000000" w:themeColor="text1"/>
                <w:kern w:val="0"/>
                <w:sz w:val="24"/>
                <w:szCs w:val="24"/>
                <w:lang w:val="en-US" w:eastAsia="zh-CN"/>
                <w14:textFill>
                  <w14:solidFill>
                    <w14:schemeClr w14:val="tx1"/>
                  </w14:solidFill>
                </w14:textFill>
              </w:rPr>
              <w:t>5</w:t>
            </w:r>
            <w:r>
              <w:rPr>
                <w:rFonts w:hint="eastAsia" w:ascii="宋体" w:hAnsi="宋体" w:eastAsia="宋体" w:cs="宋体"/>
                <w:color w:val="000000" w:themeColor="text1"/>
                <w:kern w:val="0"/>
                <w:sz w:val="24"/>
                <w:szCs w:val="24"/>
                <w14:textFill>
                  <w14:solidFill>
                    <w14:schemeClr w14:val="tx1"/>
                  </w14:solidFill>
                </w14:textFill>
              </w:rPr>
              <w:t>分）</w:t>
            </w:r>
          </w:p>
        </w:tc>
        <w:tc>
          <w:tcPr>
            <w:tcW w:w="8092" w:type="dxa"/>
            <w:vAlign w:val="center"/>
          </w:tcPr>
          <w:p>
            <w:pPr>
              <w:pageBreakBefore w:val="0"/>
              <w:kinsoku/>
              <w:wordWrap/>
              <w:overflowPunct/>
              <w:topLinePunct w:val="0"/>
              <w:bidi w:val="0"/>
              <w:adjustRightInd w:val="0"/>
              <w:snapToGrid w:val="0"/>
              <w:spacing w:beforeAutospacing="0" w:afterAutospacing="0" w:line="400" w:lineRule="exac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针对本项目配备的</w:t>
            </w:r>
            <w:r>
              <w:rPr>
                <w:rFonts w:hint="eastAsia" w:ascii="宋体" w:hAnsi="宋体" w:cs="宋体"/>
                <w:color w:val="000000" w:themeColor="text1"/>
                <w:kern w:val="0"/>
                <w:sz w:val="24"/>
                <w:szCs w:val="24"/>
                <w:lang w:val="en-US" w:eastAsia="zh-CN"/>
                <w14:textFill>
                  <w14:solidFill>
                    <w14:schemeClr w14:val="tx1"/>
                  </w14:solidFill>
                </w14:textFill>
              </w:rPr>
              <w:t>车辆、</w:t>
            </w:r>
            <w:r>
              <w:rPr>
                <w:rFonts w:hint="eastAsia" w:ascii="宋体" w:hAnsi="宋体" w:eastAsia="宋体" w:cs="宋体"/>
                <w:color w:val="000000" w:themeColor="text1"/>
                <w:kern w:val="0"/>
                <w:sz w:val="24"/>
                <w:szCs w:val="24"/>
                <w14:textFill>
                  <w14:solidFill>
                    <w14:schemeClr w14:val="tx1"/>
                  </w14:solidFill>
                </w14:textFill>
              </w:rPr>
              <w:t>机械</w:t>
            </w:r>
            <w:r>
              <w:rPr>
                <w:rFonts w:hint="eastAsia" w:ascii="宋体" w:hAnsi="宋体" w:cs="宋体"/>
                <w:color w:val="000000" w:themeColor="text1"/>
                <w:kern w:val="0"/>
                <w:sz w:val="24"/>
                <w:szCs w:val="24"/>
                <w:lang w:val="en-US" w:eastAsia="zh-CN"/>
                <w14:textFill>
                  <w14:solidFill>
                    <w14:schemeClr w14:val="tx1"/>
                  </w14:solidFill>
                </w14:textFill>
              </w:rPr>
              <w:t>设备等</w:t>
            </w:r>
            <w:r>
              <w:rPr>
                <w:rFonts w:hint="eastAsia" w:ascii="宋体" w:hAnsi="宋体" w:eastAsia="宋体" w:cs="宋体"/>
                <w:color w:val="000000" w:themeColor="text1"/>
                <w:kern w:val="0"/>
                <w:sz w:val="24"/>
                <w:szCs w:val="24"/>
                <w14:textFill>
                  <w14:solidFill>
                    <w14:schemeClr w14:val="tx1"/>
                  </w14:solidFill>
                </w14:textFill>
              </w:rPr>
              <w:t>进行评审。拟配置</w:t>
            </w:r>
            <w:r>
              <w:rPr>
                <w:rFonts w:hint="eastAsia" w:ascii="宋体" w:hAnsi="宋体" w:cs="宋体"/>
                <w:color w:val="000000" w:themeColor="text1"/>
                <w:kern w:val="0"/>
                <w:sz w:val="24"/>
                <w:szCs w:val="24"/>
                <w:lang w:val="en-US" w:eastAsia="zh-CN"/>
                <w14:textFill>
                  <w14:solidFill>
                    <w14:schemeClr w14:val="tx1"/>
                  </w14:solidFill>
                </w14:textFill>
              </w:rPr>
              <w:t>的</w:t>
            </w:r>
            <w:r>
              <w:rPr>
                <w:rFonts w:hint="eastAsia" w:ascii="宋体" w:hAnsi="宋体" w:eastAsia="宋体" w:cs="宋体"/>
                <w:color w:val="000000" w:themeColor="text1"/>
                <w:kern w:val="0"/>
                <w:sz w:val="24"/>
                <w:szCs w:val="24"/>
                <w14:textFill>
                  <w14:solidFill>
                    <w14:schemeClr w14:val="tx1"/>
                  </w14:solidFill>
                </w14:textFill>
              </w:rPr>
              <w:t>机具设备、作业工具等</w:t>
            </w:r>
            <w:r>
              <w:rPr>
                <w:rFonts w:hint="eastAsia" w:ascii="宋体" w:hAnsi="宋体" w:cs="宋体"/>
                <w:color w:val="000000" w:themeColor="text1"/>
                <w:kern w:val="0"/>
                <w:sz w:val="24"/>
                <w:szCs w:val="24"/>
                <w:lang w:val="en-US" w:eastAsia="zh-CN"/>
                <w14:textFill>
                  <w14:solidFill>
                    <w14:schemeClr w14:val="tx1"/>
                  </w14:solidFill>
                </w14:textFill>
              </w:rPr>
              <w:t>的</w:t>
            </w:r>
            <w:r>
              <w:rPr>
                <w:rFonts w:hint="eastAsia" w:ascii="宋体" w:hAnsi="宋体" w:eastAsia="宋体" w:cs="宋体"/>
                <w:color w:val="000000" w:themeColor="text1"/>
                <w:kern w:val="0"/>
                <w:sz w:val="24"/>
                <w:szCs w:val="24"/>
                <w14:textFill>
                  <w14:solidFill>
                    <w14:schemeClr w14:val="tx1"/>
                  </w14:solidFill>
                </w14:textFill>
              </w:rPr>
              <w:t>选用档次及是否齐备、合理（包括但不限于</w:t>
            </w:r>
            <w:r>
              <w:rPr>
                <w:rFonts w:hint="eastAsia" w:ascii="宋体" w:hAnsi="宋体" w:cs="宋体"/>
                <w:color w:val="000000" w:themeColor="text1"/>
                <w:kern w:val="0"/>
                <w:sz w:val="24"/>
                <w:szCs w:val="24"/>
                <w:lang w:val="en-US" w:eastAsia="zh-CN"/>
                <w14:textFill>
                  <w14:solidFill>
                    <w14:schemeClr w14:val="tx1"/>
                  </w14:solidFill>
                </w14:textFill>
              </w:rPr>
              <w:t>垃圾清运车、</w:t>
            </w:r>
            <w:r>
              <w:rPr>
                <w:rFonts w:hint="eastAsia" w:ascii="宋体" w:hAnsi="宋体" w:eastAsia="宋体" w:cs="宋体"/>
                <w:color w:val="000000" w:themeColor="text1"/>
                <w:kern w:val="0"/>
                <w:sz w:val="24"/>
                <w:szCs w:val="24"/>
                <w14:textFill>
                  <w14:solidFill>
                    <w14:schemeClr w14:val="tx1"/>
                  </w14:solidFill>
                </w14:textFill>
              </w:rPr>
              <w:t>道路清扫设备、绿化喷洒车、登高车、</w:t>
            </w:r>
            <w:r>
              <w:rPr>
                <w:rFonts w:hint="eastAsia" w:ascii="宋体" w:hAnsi="宋体" w:cs="宋体"/>
                <w:color w:val="000000" w:themeColor="text1"/>
                <w:kern w:val="0"/>
                <w:sz w:val="24"/>
                <w:szCs w:val="24"/>
                <w:lang w:val="en-US" w:eastAsia="zh-CN"/>
                <w14:textFill>
                  <w14:solidFill>
                    <w14:schemeClr w14:val="tx1"/>
                  </w14:solidFill>
                </w14:textFill>
              </w:rPr>
              <w:t>洒水车、</w:t>
            </w:r>
            <w:r>
              <w:rPr>
                <w:rFonts w:hint="eastAsia" w:ascii="宋体" w:hAnsi="宋体" w:eastAsia="宋体" w:cs="宋体"/>
                <w:color w:val="000000" w:themeColor="text1"/>
                <w:kern w:val="0"/>
                <w:sz w:val="24"/>
                <w:szCs w:val="24"/>
                <w14:textFill>
                  <w14:solidFill>
                    <w14:schemeClr w14:val="tx1"/>
                  </w14:solidFill>
                </w14:textFill>
              </w:rPr>
              <w:t>高压喷药机</w:t>
            </w:r>
            <w:r>
              <w:rPr>
                <w:rFonts w:hint="eastAsia" w:ascii="宋体" w:hAnsi="宋体" w:cs="宋体"/>
                <w:color w:val="000000" w:themeColor="text1"/>
                <w:kern w:val="0"/>
                <w:sz w:val="24"/>
                <w:szCs w:val="24"/>
                <w:lang w:eastAsia="zh-CN"/>
                <w14:textFill>
                  <w14:solidFill>
                    <w14:schemeClr w14:val="tx1"/>
                  </w14:solidFill>
                </w14:textFill>
              </w:rPr>
              <w:t>、</w:t>
            </w:r>
            <w:r>
              <w:rPr>
                <w:rFonts w:hint="eastAsia" w:ascii="宋体" w:hAnsi="宋体" w:cs="宋体"/>
                <w:color w:val="000000" w:themeColor="text1"/>
                <w:kern w:val="0"/>
                <w:sz w:val="24"/>
                <w:szCs w:val="24"/>
                <w:lang w:val="en-US" w:eastAsia="zh-CN"/>
                <w14:textFill>
                  <w14:solidFill>
                    <w14:schemeClr w14:val="tx1"/>
                  </w14:solidFill>
                </w14:textFill>
              </w:rPr>
              <w:t>垃圾处置设备</w:t>
            </w:r>
            <w:r>
              <w:rPr>
                <w:rFonts w:hint="eastAsia" w:ascii="宋体" w:hAnsi="宋体" w:eastAsia="宋体" w:cs="宋体"/>
                <w:color w:val="000000" w:themeColor="text1"/>
                <w:kern w:val="0"/>
                <w:sz w:val="24"/>
                <w:szCs w:val="24"/>
                <w14:textFill>
                  <w14:solidFill>
                    <w14:schemeClr w14:val="tx1"/>
                  </w14:solidFill>
                </w14:textFill>
              </w:rPr>
              <w:t>）</w:t>
            </w:r>
          </w:p>
          <w:p>
            <w:pPr>
              <w:pageBreakBefore w:val="0"/>
              <w:kinsoku/>
              <w:wordWrap/>
              <w:overflowPunct/>
              <w:topLinePunct w:val="0"/>
              <w:bidi w:val="0"/>
              <w:adjustRightInd w:val="0"/>
              <w:snapToGrid w:val="0"/>
              <w:spacing w:beforeAutospacing="0" w:afterAutospacing="0" w:line="400" w:lineRule="exac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每提供一项设备加0.</w:t>
            </w:r>
            <w:r>
              <w:rPr>
                <w:rFonts w:hint="eastAsia" w:ascii="宋体" w:hAnsi="宋体" w:cs="宋体"/>
                <w:color w:val="000000" w:themeColor="text1"/>
                <w:kern w:val="0"/>
                <w:sz w:val="24"/>
                <w:szCs w:val="24"/>
                <w:lang w:val="en-US" w:eastAsia="zh-CN"/>
                <w14:textFill>
                  <w14:solidFill>
                    <w14:schemeClr w14:val="tx1"/>
                  </w14:solidFill>
                </w14:textFill>
              </w:rPr>
              <w:t>5</w:t>
            </w:r>
            <w:r>
              <w:rPr>
                <w:rFonts w:hint="eastAsia" w:ascii="宋体" w:hAnsi="宋体" w:eastAsia="宋体" w:cs="宋体"/>
                <w:color w:val="000000" w:themeColor="text1"/>
                <w:kern w:val="0"/>
                <w:sz w:val="24"/>
                <w:szCs w:val="24"/>
                <w14:textFill>
                  <w14:solidFill>
                    <w14:schemeClr w14:val="tx1"/>
                  </w14:solidFill>
                </w14:textFill>
              </w:rPr>
              <w:t>分，最多加</w:t>
            </w:r>
            <w:r>
              <w:rPr>
                <w:rFonts w:hint="eastAsia" w:ascii="宋体" w:hAnsi="宋体" w:eastAsia="宋体" w:cs="宋体"/>
                <w:color w:val="000000" w:themeColor="text1"/>
                <w:kern w:val="0"/>
                <w:sz w:val="24"/>
                <w:szCs w:val="24"/>
                <w:lang w:val="en-US" w:eastAsia="zh-CN"/>
                <w14:textFill>
                  <w14:solidFill>
                    <w14:schemeClr w14:val="tx1"/>
                  </w14:solidFill>
                </w14:textFill>
              </w:rPr>
              <w:t>5</w:t>
            </w:r>
            <w:r>
              <w:rPr>
                <w:rFonts w:hint="eastAsia" w:ascii="宋体" w:hAnsi="宋体" w:eastAsia="宋体" w:cs="宋体"/>
                <w:color w:val="000000" w:themeColor="text1"/>
                <w:kern w:val="0"/>
                <w:sz w:val="24"/>
                <w:szCs w:val="24"/>
                <w14:textFill>
                  <w14:solidFill>
                    <w14:schemeClr w14:val="tx1"/>
                  </w14:solidFill>
                </w14:textFill>
              </w:rPr>
              <w:t>分</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cs="宋体"/>
                <w:color w:val="000000" w:themeColor="text1"/>
                <w:kern w:val="0"/>
                <w:sz w:val="24"/>
                <w:szCs w:val="24"/>
                <w:highlight w:val="none"/>
                <w:lang w:val="en-US" w:eastAsia="zh-CN"/>
                <w14:textFill>
                  <w14:solidFill>
                    <w14:schemeClr w14:val="tx1"/>
                  </w14:solidFill>
                </w14:textFill>
              </w:rPr>
              <w:t>提供设备配置清单及租赁合同或车辆登记证</w:t>
            </w:r>
            <w:r>
              <w:rPr>
                <w:rFonts w:hint="eastAsia" w:ascii="宋体" w:hAnsi="宋体" w:eastAsia="宋体" w:cs="宋体"/>
                <w:color w:val="000000" w:themeColor="text1"/>
                <w:kern w:val="0"/>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844" w:type="dxa"/>
            <w:vMerge w:val="continue"/>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themeColor="text1"/>
                <w:sz w:val="24"/>
                <w:szCs w:val="24"/>
                <w14:textFill>
                  <w14:solidFill>
                    <w14:schemeClr w14:val="tx1"/>
                  </w14:solidFill>
                </w14:textFill>
              </w:rPr>
            </w:pPr>
          </w:p>
        </w:tc>
        <w:tc>
          <w:tcPr>
            <w:tcW w:w="1341"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安全生产作业措施方案(6分)</w:t>
            </w:r>
          </w:p>
        </w:tc>
        <w:tc>
          <w:tcPr>
            <w:tcW w:w="8092" w:type="dxa"/>
            <w:vAlign w:val="center"/>
          </w:tcPr>
          <w:p>
            <w:pPr>
              <w:pageBreakBefore w:val="0"/>
              <w:kinsoku/>
              <w:wordWrap/>
              <w:overflowPunct/>
              <w:topLinePunct w:val="0"/>
              <w:autoSpaceDE w:val="0"/>
              <w:autoSpaceDN w:val="0"/>
              <w:bidi w:val="0"/>
              <w:adjustRightInd w:val="0"/>
              <w:spacing w:beforeAutospacing="0" w:afterAutospacing="0" w:line="400" w:lineRule="exact"/>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投标人根据本项目需求提供详细的安全生产作业措施方案，内容包括但不限于：</w:t>
            </w:r>
          </w:p>
          <w:p>
            <w:pPr>
              <w:pageBreakBefore w:val="0"/>
              <w:kinsoku/>
              <w:wordWrap/>
              <w:overflowPunct/>
              <w:topLinePunct w:val="0"/>
              <w:autoSpaceDE w:val="0"/>
              <w:autoSpaceDN w:val="0"/>
              <w:bidi w:val="0"/>
              <w:adjustRightInd w:val="0"/>
              <w:spacing w:beforeAutospacing="0" w:afterAutospacing="0" w:line="400" w:lineRule="exact"/>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①安全防护措施；</w:t>
            </w:r>
          </w:p>
          <w:p>
            <w:pPr>
              <w:pageBreakBefore w:val="0"/>
              <w:kinsoku/>
              <w:wordWrap/>
              <w:overflowPunct/>
              <w:topLinePunct w:val="0"/>
              <w:autoSpaceDE w:val="0"/>
              <w:autoSpaceDN w:val="0"/>
              <w:bidi w:val="0"/>
              <w:adjustRightInd w:val="0"/>
              <w:spacing w:beforeAutospacing="0" w:afterAutospacing="0" w:line="400" w:lineRule="exact"/>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②设备使用安全操作规程。</w:t>
            </w:r>
          </w:p>
          <w:p>
            <w:pPr>
              <w:pageBreakBefore w:val="0"/>
              <w:kinsoku/>
              <w:wordWrap/>
              <w:overflowPunct/>
              <w:topLinePunct w:val="0"/>
              <w:autoSpaceDE w:val="0"/>
              <w:autoSpaceDN w:val="0"/>
              <w:bidi w:val="0"/>
              <w:adjustRightInd w:val="0"/>
              <w:spacing w:beforeAutospacing="0" w:afterAutospacing="0" w:line="40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以上方案内容完整清晰明确、科学合理、提高作业能力且满足采购需求的，每项计3分，最高得6分。每缺少一项内容扣3分，每有一处不具有合理性、不详</w:t>
            </w:r>
            <w:r>
              <w:rPr>
                <w:rFonts w:hint="eastAsia" w:ascii="宋体" w:hAnsi="宋体" w:cs="宋体"/>
                <w:color w:val="000000" w:themeColor="text1"/>
                <w:kern w:val="0"/>
                <w:sz w:val="24"/>
                <w:szCs w:val="24"/>
                <w:lang w:val="en-US" w:eastAsia="zh-CN"/>
                <w14:textFill>
                  <w14:solidFill>
                    <w14:schemeClr w14:val="tx1"/>
                  </w14:solidFill>
                </w14:textFill>
              </w:rPr>
              <w:t>细</w:t>
            </w:r>
            <w:r>
              <w:rPr>
                <w:rFonts w:hint="eastAsia" w:ascii="宋体" w:hAnsi="宋体" w:eastAsia="宋体" w:cs="宋体"/>
                <w:color w:val="000000" w:themeColor="text1"/>
                <w:kern w:val="0"/>
                <w:sz w:val="24"/>
                <w:szCs w:val="24"/>
                <w14:textFill>
                  <w14:solidFill>
                    <w14:schemeClr w14:val="tx1"/>
                  </w14:solidFill>
                </w14:textFill>
              </w:rPr>
              <w:t>或不能满足采购需求的扣分；扣完为止。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844" w:type="dxa"/>
            <w:vMerge w:val="continue"/>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themeColor="text1"/>
                <w:sz w:val="24"/>
                <w:szCs w:val="24"/>
                <w14:textFill>
                  <w14:solidFill>
                    <w14:schemeClr w14:val="tx1"/>
                  </w14:solidFill>
                </w14:textFill>
              </w:rPr>
            </w:pPr>
          </w:p>
        </w:tc>
        <w:tc>
          <w:tcPr>
            <w:tcW w:w="1341"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应急预案 （6分）</w:t>
            </w:r>
          </w:p>
        </w:tc>
        <w:tc>
          <w:tcPr>
            <w:tcW w:w="8092" w:type="dxa"/>
            <w:vAlign w:val="center"/>
          </w:tcPr>
          <w:p>
            <w:pPr>
              <w:pageBreakBefore w:val="0"/>
              <w:kinsoku/>
              <w:wordWrap/>
              <w:overflowPunct/>
              <w:topLinePunct w:val="0"/>
              <w:autoSpaceDE w:val="0"/>
              <w:autoSpaceDN w:val="0"/>
              <w:bidi w:val="0"/>
              <w:adjustRightInd w:val="0"/>
              <w:spacing w:beforeAutospacing="0" w:afterAutospacing="0" w:line="400" w:lineRule="exact"/>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投标人根据本项目需求提供详细的应急预案等内容，内容包含但不限于：</w:t>
            </w:r>
          </w:p>
          <w:p>
            <w:pPr>
              <w:pageBreakBefore w:val="0"/>
              <w:kinsoku/>
              <w:wordWrap/>
              <w:overflowPunct/>
              <w:topLinePunct w:val="0"/>
              <w:autoSpaceDE w:val="0"/>
              <w:autoSpaceDN w:val="0"/>
              <w:bidi w:val="0"/>
              <w:adjustRightInd w:val="0"/>
              <w:spacing w:beforeAutospacing="0" w:afterAutospacing="0" w:line="400" w:lineRule="exact"/>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①重大节点、迎检应急预案；</w:t>
            </w:r>
          </w:p>
          <w:p>
            <w:pPr>
              <w:pageBreakBefore w:val="0"/>
              <w:kinsoku/>
              <w:wordWrap/>
              <w:overflowPunct/>
              <w:topLinePunct w:val="0"/>
              <w:autoSpaceDE w:val="0"/>
              <w:autoSpaceDN w:val="0"/>
              <w:bidi w:val="0"/>
              <w:adjustRightInd w:val="0"/>
              <w:spacing w:beforeAutospacing="0" w:afterAutospacing="0" w:line="400" w:lineRule="exact"/>
              <w:jc w:val="left"/>
              <w:rPr>
                <w:rFonts w:hint="eastAsia"/>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②</w:t>
            </w:r>
            <w:r>
              <w:rPr>
                <w:rFonts w:hint="eastAsia" w:ascii="宋体" w:hAnsi="宋体" w:cs="宋体"/>
                <w:color w:val="000000" w:themeColor="text1"/>
                <w:kern w:val="0"/>
                <w:sz w:val="24"/>
                <w:szCs w:val="24"/>
                <w:lang w:val="en-US" w:eastAsia="zh-CN"/>
                <w14:textFill>
                  <w14:solidFill>
                    <w14:schemeClr w14:val="tx1"/>
                  </w14:solidFill>
                </w14:textFill>
              </w:rPr>
              <w:t>防风、</w:t>
            </w:r>
            <w:r>
              <w:rPr>
                <w:rFonts w:hint="eastAsia" w:ascii="宋体" w:hAnsi="宋体" w:eastAsia="宋体" w:cs="宋体"/>
                <w:color w:val="000000" w:themeColor="text1"/>
                <w:kern w:val="0"/>
                <w:sz w:val="24"/>
                <w:szCs w:val="24"/>
                <w14:textFill>
                  <w14:solidFill>
                    <w14:schemeClr w14:val="tx1"/>
                  </w14:solidFill>
                </w14:textFill>
              </w:rPr>
              <w:t>防火</w:t>
            </w:r>
            <w:r>
              <w:rPr>
                <w:rFonts w:hint="eastAsia" w:ascii="宋体" w:hAnsi="宋体" w:cs="宋体"/>
                <w:color w:val="000000" w:themeColor="text1"/>
                <w:kern w:val="0"/>
                <w:sz w:val="24"/>
                <w:szCs w:val="24"/>
                <w:lang w:eastAsia="zh-CN"/>
                <w14:textFill>
                  <w14:solidFill>
                    <w14:schemeClr w14:val="tx1"/>
                  </w14:solidFill>
                </w14:textFill>
              </w:rPr>
              <w:t>、</w:t>
            </w:r>
            <w:r>
              <w:rPr>
                <w:rFonts w:hint="eastAsia" w:ascii="宋体" w:hAnsi="宋体" w:cs="宋体"/>
                <w:color w:val="000000" w:themeColor="text1"/>
                <w:kern w:val="0"/>
                <w:sz w:val="24"/>
                <w:szCs w:val="24"/>
                <w:lang w:val="en-US" w:eastAsia="zh-CN"/>
                <w14:textFill>
                  <w14:solidFill>
                    <w14:schemeClr w14:val="tx1"/>
                  </w14:solidFill>
                </w14:textFill>
              </w:rPr>
              <w:t>防溺水</w:t>
            </w:r>
            <w:r>
              <w:rPr>
                <w:rFonts w:hint="eastAsia" w:ascii="宋体" w:hAnsi="宋体" w:eastAsia="宋体" w:cs="宋体"/>
                <w:color w:val="000000" w:themeColor="text1"/>
                <w:kern w:val="0"/>
                <w:sz w:val="24"/>
                <w:szCs w:val="24"/>
                <w14:textFill>
                  <w14:solidFill>
                    <w14:schemeClr w14:val="tx1"/>
                  </w14:solidFill>
                </w14:textFill>
              </w:rPr>
              <w:t>突发应急方案；</w:t>
            </w:r>
          </w:p>
          <w:p>
            <w:pPr>
              <w:pageBreakBefore w:val="0"/>
              <w:kinsoku/>
              <w:wordWrap/>
              <w:overflowPunct/>
              <w:topLinePunct w:val="0"/>
              <w:autoSpaceDE w:val="0"/>
              <w:autoSpaceDN w:val="0"/>
              <w:bidi w:val="0"/>
              <w:adjustRightInd w:val="0"/>
              <w:spacing w:beforeAutospacing="0" w:afterAutospacing="0" w:line="400" w:lineRule="exact"/>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以上方案内容完整清晰明确、科学合理的，每项计</w:t>
            </w:r>
            <w:r>
              <w:rPr>
                <w:rFonts w:hint="eastAsia" w:ascii="宋体" w:hAnsi="宋体" w:cs="宋体"/>
                <w:color w:val="000000" w:themeColor="text1"/>
                <w:kern w:val="0"/>
                <w:sz w:val="24"/>
                <w:szCs w:val="24"/>
                <w:lang w:val="en-US" w:eastAsia="zh-CN"/>
                <w14:textFill>
                  <w14:solidFill>
                    <w14:schemeClr w14:val="tx1"/>
                  </w14:solidFill>
                </w14:textFill>
              </w:rPr>
              <w:t>3</w:t>
            </w:r>
            <w:r>
              <w:rPr>
                <w:rFonts w:hint="eastAsia" w:ascii="宋体" w:hAnsi="宋体" w:eastAsia="宋体" w:cs="宋体"/>
                <w:color w:val="000000" w:themeColor="text1"/>
                <w:kern w:val="0"/>
                <w:sz w:val="24"/>
                <w:szCs w:val="24"/>
                <w14:textFill>
                  <w14:solidFill>
                    <w14:schemeClr w14:val="tx1"/>
                  </w14:solidFill>
                </w14:textFill>
              </w:rPr>
              <w:t>分，最高得6分。每有一项内容不完整或每有一处不具有针对性或逻辑性错误的扣分，扣完为止。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844" w:type="dxa"/>
            <w:vMerge w:val="continue"/>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themeColor="text1"/>
                <w:sz w:val="24"/>
                <w:szCs w:val="24"/>
                <w14:textFill>
                  <w14:solidFill>
                    <w14:schemeClr w14:val="tx1"/>
                  </w14:solidFill>
                </w14:textFill>
              </w:rPr>
            </w:pPr>
          </w:p>
        </w:tc>
        <w:tc>
          <w:tcPr>
            <w:tcW w:w="1341"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服务达标承诺及不达标改善措施（</w:t>
            </w:r>
            <w:r>
              <w:rPr>
                <w:rFonts w:hint="eastAsia" w:ascii="宋体" w:hAnsi="宋体" w:cs="宋体"/>
                <w:color w:val="000000" w:themeColor="text1"/>
                <w:kern w:val="0"/>
                <w:sz w:val="24"/>
                <w:szCs w:val="24"/>
                <w:lang w:val="en-US" w:eastAsia="zh-CN"/>
                <w14:textFill>
                  <w14:solidFill>
                    <w14:schemeClr w14:val="tx1"/>
                  </w14:solidFill>
                </w14:textFill>
              </w:rPr>
              <w:t>8</w:t>
            </w:r>
            <w:r>
              <w:rPr>
                <w:rFonts w:hint="eastAsia" w:ascii="宋体" w:hAnsi="宋体" w:eastAsia="宋体" w:cs="宋体"/>
                <w:color w:val="000000" w:themeColor="text1"/>
                <w:kern w:val="0"/>
                <w:sz w:val="24"/>
                <w:szCs w:val="24"/>
                <w14:textFill>
                  <w14:solidFill>
                    <w14:schemeClr w14:val="tx1"/>
                  </w14:solidFill>
                </w14:textFill>
              </w:rPr>
              <w:t>分）</w:t>
            </w:r>
          </w:p>
        </w:tc>
        <w:tc>
          <w:tcPr>
            <w:tcW w:w="8092" w:type="dxa"/>
            <w:vAlign w:val="center"/>
          </w:tcPr>
          <w:p>
            <w:pPr>
              <w:pageBreakBefore w:val="0"/>
              <w:kinsoku/>
              <w:wordWrap/>
              <w:overflowPunct/>
              <w:topLinePunct w:val="0"/>
              <w:autoSpaceDE w:val="0"/>
              <w:autoSpaceDN w:val="0"/>
              <w:bidi w:val="0"/>
              <w:adjustRightInd w:val="0"/>
              <w:spacing w:beforeAutospacing="0" w:afterAutospacing="0" w:line="400" w:lineRule="exact"/>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投标人根据本项目服务要求提供相应的承诺，内容包含但不限于：</w:t>
            </w:r>
          </w:p>
          <w:p>
            <w:pPr>
              <w:pageBreakBefore w:val="0"/>
              <w:kinsoku/>
              <w:wordWrap/>
              <w:overflowPunct/>
              <w:topLinePunct w:val="0"/>
              <w:autoSpaceDE w:val="0"/>
              <w:autoSpaceDN w:val="0"/>
              <w:bidi w:val="0"/>
              <w:adjustRightInd w:val="0"/>
              <w:spacing w:beforeAutospacing="0" w:afterAutospacing="0" w:line="400" w:lineRule="exact"/>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①服务达标承诺；</w:t>
            </w:r>
            <w:r>
              <w:rPr>
                <w:rFonts w:hint="eastAsia" w:ascii="宋体" w:hAnsi="宋体" w:cs="宋体"/>
                <w:color w:val="000000" w:themeColor="text1"/>
                <w:kern w:val="0"/>
                <w:sz w:val="24"/>
                <w:szCs w:val="24"/>
                <w:lang w:val="en-US" w:eastAsia="zh-CN"/>
                <w14:textFill>
                  <w14:solidFill>
                    <w14:schemeClr w14:val="tx1"/>
                  </w14:solidFill>
                </w14:textFill>
              </w:rPr>
              <w:t>2</w:t>
            </w:r>
            <w:r>
              <w:rPr>
                <w:rFonts w:hint="eastAsia" w:ascii="宋体" w:hAnsi="宋体" w:eastAsia="宋体" w:cs="宋体"/>
                <w:color w:val="000000" w:themeColor="text1"/>
                <w:kern w:val="0"/>
                <w:sz w:val="24"/>
                <w:szCs w:val="24"/>
                <w14:textFill>
                  <w14:solidFill>
                    <w14:schemeClr w14:val="tx1"/>
                  </w14:solidFill>
                </w14:textFill>
              </w:rPr>
              <w:t>分</w:t>
            </w:r>
          </w:p>
          <w:p>
            <w:pPr>
              <w:pageBreakBefore w:val="0"/>
              <w:kinsoku/>
              <w:wordWrap/>
              <w:overflowPunct/>
              <w:topLinePunct w:val="0"/>
              <w:autoSpaceDE w:val="0"/>
              <w:autoSpaceDN w:val="0"/>
              <w:bidi w:val="0"/>
              <w:adjustRightInd w:val="0"/>
              <w:spacing w:beforeAutospacing="0" w:afterAutospacing="0" w:line="400" w:lineRule="exact"/>
              <w:jc w:val="left"/>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②服务未达标改善措施</w:t>
            </w:r>
            <w:r>
              <w:rPr>
                <w:rFonts w:hint="eastAsia" w:ascii="宋体" w:hAnsi="宋体" w:cs="宋体"/>
                <w:color w:val="000000" w:themeColor="text1"/>
                <w:kern w:val="0"/>
                <w:sz w:val="24"/>
                <w:szCs w:val="24"/>
                <w:lang w:eastAsia="zh-CN"/>
                <w14:textFill>
                  <w14:solidFill>
                    <w14:schemeClr w14:val="tx1"/>
                  </w14:solidFill>
                </w14:textFill>
              </w:rPr>
              <w:t>；</w:t>
            </w:r>
            <w:r>
              <w:rPr>
                <w:rFonts w:hint="eastAsia" w:ascii="宋体" w:hAnsi="宋体" w:cs="宋体"/>
                <w:color w:val="000000" w:themeColor="text1"/>
                <w:kern w:val="0"/>
                <w:sz w:val="24"/>
                <w:szCs w:val="24"/>
                <w:lang w:val="en-US" w:eastAsia="zh-CN"/>
                <w14:textFill>
                  <w14:solidFill>
                    <w14:schemeClr w14:val="tx1"/>
                  </w14:solidFill>
                </w14:textFill>
              </w:rPr>
              <w:t>2</w:t>
            </w:r>
            <w:r>
              <w:rPr>
                <w:rFonts w:hint="eastAsia" w:ascii="宋体" w:hAnsi="宋体" w:eastAsia="宋体" w:cs="宋体"/>
                <w:color w:val="000000" w:themeColor="text1"/>
                <w:kern w:val="0"/>
                <w:sz w:val="24"/>
                <w:szCs w:val="24"/>
                <w14:textFill>
                  <w14:solidFill>
                    <w14:schemeClr w14:val="tx1"/>
                  </w14:solidFill>
                </w14:textFill>
              </w:rPr>
              <w:t>分</w:t>
            </w:r>
          </w:p>
          <w:p>
            <w:pPr>
              <w:pStyle w:val="2"/>
              <w:ind w:left="0" w:leftChars="0" w:firstLine="0" w:firstLineChars="0"/>
              <w:rPr>
                <w:rFonts w:hint="default" w:eastAsia="宋体"/>
                <w:color w:val="000000" w:themeColor="text1"/>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③服务优惠承诺；每有一项得1分，最高得4分。</w:t>
            </w:r>
          </w:p>
          <w:p>
            <w:pPr>
              <w:pageBreakBefore w:val="0"/>
              <w:kinsoku/>
              <w:wordWrap/>
              <w:overflowPunct/>
              <w:topLinePunct w:val="0"/>
              <w:autoSpaceDE w:val="0"/>
              <w:autoSpaceDN w:val="0"/>
              <w:bidi w:val="0"/>
              <w:adjustRightInd w:val="0"/>
              <w:spacing w:beforeAutospacing="0" w:afterAutospacing="0" w:line="40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以上内容每有一项内容不完整或每有一处不具有针对性或逻辑性错误的扣分，扣完为止。</w:t>
            </w:r>
          </w:p>
        </w:tc>
      </w:tr>
    </w:tbl>
    <w:p>
      <w:pPr>
        <w:pageBreakBefore w:val="0"/>
        <w:kinsoku/>
        <w:wordWrap/>
        <w:overflowPunct/>
        <w:topLinePunct w:val="0"/>
        <w:bidi w:val="0"/>
        <w:spacing w:beforeAutospacing="0" w:afterAutospacing="0" w:line="400" w:lineRule="exact"/>
        <w:ind w:firstLine="24" w:firstLineChars="10"/>
        <w:jc w:val="left"/>
        <w:rPr>
          <w:rFonts w:hint="eastAsia" w:ascii="宋体" w:hAnsi="宋体" w:eastAsia="宋体" w:cs="宋体"/>
          <w:sz w:val="24"/>
          <w:szCs w:val="24"/>
        </w:rPr>
      </w:pPr>
      <w:r>
        <w:rPr>
          <w:rStyle w:val="53"/>
          <w:rFonts w:hint="eastAsia" w:ascii="宋体" w:hAnsi="宋体" w:eastAsia="宋体" w:cs="宋体"/>
          <w:b w:val="0"/>
          <w:i w:val="0"/>
          <w:caps w:val="0"/>
          <w:spacing w:val="0"/>
          <w:w w:val="100"/>
          <w:kern w:val="2"/>
          <w:sz w:val="24"/>
          <w:szCs w:val="24"/>
          <w:lang w:val="en-US" w:eastAsia="zh-CN" w:bidi="ar-SA"/>
        </w:rPr>
        <w:t>注:评委对各投标人同一评分内容量化打分时，对畸高、畸低重大差异，如评审得分与截尾平均值偏差大于25%(含25%)以上时，应做出合理的书面说明。</w:t>
      </w:r>
    </w:p>
    <w:p>
      <w:pPr>
        <w:pageBreakBefore w:val="0"/>
        <w:widowControl/>
        <w:kinsoku/>
        <w:wordWrap/>
        <w:overflowPunct/>
        <w:topLinePunct w:val="0"/>
        <w:bidi w:val="0"/>
        <w:spacing w:beforeAutospacing="0" w:afterAutospacing="0" w:line="400" w:lineRule="exact"/>
        <w:jc w:val="left"/>
        <w:textAlignment w:val="center"/>
        <w:rPr>
          <w:rFonts w:hint="eastAsia" w:ascii="宋体" w:hAnsi="宋体" w:eastAsia="宋体" w:cs="宋体"/>
          <w:color w:val="000000"/>
          <w:kern w:val="0"/>
          <w:sz w:val="24"/>
          <w:szCs w:val="24"/>
          <w:highlight w:val="none"/>
        </w:rPr>
      </w:pPr>
    </w:p>
    <w:p>
      <w:pPr>
        <w:pageBreakBefore w:val="0"/>
        <w:widowControl/>
        <w:kinsoku/>
        <w:wordWrap/>
        <w:overflowPunct/>
        <w:topLinePunct w:val="0"/>
        <w:bidi w:val="0"/>
        <w:spacing w:beforeAutospacing="0" w:afterAutospacing="0" w:line="400" w:lineRule="exact"/>
        <w:jc w:val="left"/>
        <w:textAlignment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二、 价格部分（</w:t>
      </w:r>
      <w:r>
        <w:rPr>
          <w:rFonts w:hint="eastAsia" w:ascii="宋体" w:hAnsi="宋体" w:eastAsia="宋体" w:cs="宋体"/>
          <w:color w:val="000000"/>
          <w:kern w:val="0"/>
          <w:sz w:val="24"/>
          <w:szCs w:val="24"/>
          <w:highlight w:val="none"/>
          <w:lang w:val="en-US" w:eastAsia="zh-CN"/>
        </w:rPr>
        <w:t>1</w:t>
      </w:r>
      <w:r>
        <w:rPr>
          <w:rFonts w:hint="eastAsia" w:ascii="宋体" w:hAnsi="宋体" w:eastAsia="宋体" w:cs="宋体"/>
          <w:color w:val="000000"/>
          <w:kern w:val="0"/>
          <w:sz w:val="24"/>
          <w:szCs w:val="24"/>
          <w:highlight w:val="none"/>
        </w:rPr>
        <w:t>0分）</w:t>
      </w:r>
    </w:p>
    <w:p>
      <w:pPr>
        <w:pageBreakBefore w:val="0"/>
        <w:widowControl/>
        <w:kinsoku/>
        <w:wordWrap/>
        <w:overflowPunct/>
        <w:topLinePunct w:val="0"/>
        <w:bidi w:val="0"/>
        <w:spacing w:beforeAutospacing="0" w:afterAutospacing="0" w:line="400" w:lineRule="exact"/>
        <w:jc w:val="left"/>
        <w:textAlignment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zh-CN" w:eastAsia="zh-CN"/>
          <w14:textFill>
            <w14:solidFill>
              <w14:schemeClr w14:val="tx1"/>
            </w14:solidFill>
          </w14:textFill>
        </w:rPr>
        <w:t>1、投标报价得分</w:t>
      </w:r>
      <w:r>
        <w:rPr>
          <w:rFonts w:hint="eastAsia" w:ascii="宋体" w:hAnsi="宋体" w:eastAsia="宋体" w:cs="宋体"/>
          <w:color w:val="000000" w:themeColor="text1"/>
          <w:kern w:val="0"/>
          <w:sz w:val="24"/>
          <w:szCs w:val="24"/>
          <w:highlight w:val="none"/>
          <w14:textFill>
            <w14:solidFill>
              <w14:schemeClr w14:val="tx1"/>
            </w14:solidFill>
          </w14:textFill>
        </w:rPr>
        <w:t>=（投标基准价/投标报价）*0.</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w:t>
      </w:r>
      <w:r>
        <w:rPr>
          <w:rFonts w:hint="eastAsia" w:ascii="宋体" w:hAnsi="宋体" w:eastAsia="宋体" w:cs="宋体"/>
          <w:color w:val="000000" w:themeColor="text1"/>
          <w:kern w:val="0"/>
          <w:sz w:val="24"/>
          <w:szCs w:val="24"/>
          <w:highlight w:val="none"/>
          <w14:textFill>
            <w14:solidFill>
              <w14:schemeClr w14:val="tx1"/>
            </w14:solidFill>
          </w14:textFill>
        </w:rPr>
        <w:t>*100</w:t>
      </w:r>
    </w:p>
    <w:p>
      <w:pPr>
        <w:pageBreakBefore w:val="0"/>
        <w:widowControl/>
        <w:kinsoku/>
        <w:wordWrap/>
        <w:overflowPunct/>
        <w:topLinePunct w:val="0"/>
        <w:bidi w:val="0"/>
        <w:spacing w:beforeAutospacing="0" w:afterAutospacing="0" w:line="400" w:lineRule="exact"/>
        <w:jc w:val="left"/>
        <w:textAlignment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2、投标基准价为满足招标文件要求且价格最低的投标报价，价格权值为</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w:t>
      </w:r>
      <w:r>
        <w:rPr>
          <w:rFonts w:hint="eastAsia" w:ascii="宋体" w:hAnsi="宋体" w:eastAsia="宋体" w:cs="宋体"/>
          <w:color w:val="000000" w:themeColor="text1"/>
          <w:kern w:val="0"/>
          <w:sz w:val="24"/>
          <w:szCs w:val="24"/>
          <w:highlight w:val="none"/>
          <w14:textFill>
            <w14:solidFill>
              <w14:schemeClr w14:val="tx1"/>
            </w14:solidFill>
          </w14:textFill>
        </w:rPr>
        <w:t>0%</w:t>
      </w:r>
    </w:p>
    <w:p>
      <w:pPr>
        <w:pageBreakBefore w:val="0"/>
        <w:widowControl/>
        <w:kinsoku/>
        <w:wordWrap/>
        <w:overflowPunct/>
        <w:topLinePunct w:val="0"/>
        <w:bidi w:val="0"/>
        <w:spacing w:beforeAutospacing="0" w:afterAutospacing="0" w:line="400" w:lineRule="exact"/>
        <w:jc w:val="left"/>
        <w:textAlignment w:val="center"/>
        <w:rPr>
          <w:rFonts w:hint="eastAsia" w:ascii="宋体" w:hAnsi="宋体" w:eastAsia="宋体" w:cs="宋体"/>
          <w:color w:val="000000" w:themeColor="text1"/>
          <w:kern w:val="0"/>
          <w:sz w:val="24"/>
          <w:szCs w:val="24"/>
          <w:highlight w:val="none"/>
          <w:lang w:val="zh-CN"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zh-CN" w:eastAsia="zh-CN"/>
          <w14:textFill>
            <w14:solidFill>
              <w14:schemeClr w14:val="tx1"/>
            </w14:solidFill>
          </w14:textFill>
        </w:rPr>
        <w:t>3、报价得分为负数的按零分计。</w:t>
      </w:r>
    </w:p>
    <w:p>
      <w:pPr>
        <w:pStyle w:val="34"/>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jc w:val="both"/>
        <w:textAlignment w:val="auto"/>
        <w:rPr>
          <w:rFonts w:hint="eastAsia" w:ascii="宋体" w:hAnsi="宋体" w:eastAsia="宋体" w:cs="宋体"/>
          <w:b w:val="0"/>
          <w:color w:val="000000" w:themeColor="text1"/>
          <w:kern w:val="0"/>
          <w:sz w:val="24"/>
          <w:szCs w:val="24"/>
          <w:highlight w:val="none"/>
          <w:lang w:val="zh-CN" w:eastAsia="zh-CN" w:bidi="ar-SA"/>
          <w14:textFill>
            <w14:solidFill>
              <w14:schemeClr w14:val="tx1"/>
            </w14:solidFill>
          </w14:textFill>
        </w:rPr>
      </w:pPr>
      <w:r>
        <w:rPr>
          <w:rFonts w:hint="eastAsia" w:ascii="宋体" w:hAnsi="宋体" w:eastAsia="宋体" w:cs="宋体"/>
          <w:b w:val="0"/>
          <w:color w:val="000000" w:themeColor="text1"/>
          <w:kern w:val="0"/>
          <w:sz w:val="24"/>
          <w:szCs w:val="24"/>
          <w:highlight w:val="none"/>
          <w:lang w:val="en-US" w:eastAsia="zh-CN" w:bidi="ar-SA"/>
          <w14:textFill>
            <w14:solidFill>
              <w14:schemeClr w14:val="tx1"/>
            </w14:solidFill>
          </w14:textFill>
        </w:rPr>
        <w:t>4、</w:t>
      </w:r>
      <w:r>
        <w:rPr>
          <w:rFonts w:hint="eastAsia" w:ascii="宋体" w:hAnsi="宋体" w:eastAsia="宋体" w:cs="宋体"/>
          <w:b w:val="0"/>
          <w:color w:val="000000" w:themeColor="text1"/>
          <w:kern w:val="0"/>
          <w:sz w:val="24"/>
          <w:szCs w:val="24"/>
          <w:highlight w:val="none"/>
          <w:lang w:val="zh-CN" w:eastAsia="zh-CN" w:bidi="ar-SA"/>
          <w14:textFill>
            <w14:solidFill>
              <w14:schemeClr w14:val="tx1"/>
            </w14:solidFill>
          </w14:textFill>
        </w:rPr>
        <w:t>对于非专门面向中小企业的项目，对小型和微型企业（或联合体各方均为小型、微型企业的）产品的价格给予</w:t>
      </w:r>
      <w:r>
        <w:rPr>
          <w:rFonts w:hint="eastAsia" w:ascii="宋体" w:hAnsi="宋体" w:eastAsia="宋体" w:cs="宋体"/>
          <w:b w:val="0"/>
          <w:color w:val="000000" w:themeColor="text1"/>
          <w:kern w:val="0"/>
          <w:sz w:val="24"/>
          <w:szCs w:val="24"/>
          <w:highlight w:val="none"/>
          <w:lang w:val="en-US" w:eastAsia="zh-CN" w:bidi="ar-SA"/>
          <w14:textFill>
            <w14:solidFill>
              <w14:schemeClr w14:val="tx1"/>
            </w14:solidFill>
          </w14:textFill>
        </w:rPr>
        <w:t>10</w:t>
      </w:r>
      <w:r>
        <w:rPr>
          <w:rFonts w:hint="eastAsia" w:ascii="宋体" w:hAnsi="宋体" w:eastAsia="宋体" w:cs="宋体"/>
          <w:b w:val="0"/>
          <w:color w:val="000000" w:themeColor="text1"/>
          <w:kern w:val="0"/>
          <w:sz w:val="24"/>
          <w:szCs w:val="24"/>
          <w:highlight w:val="none"/>
          <w:lang w:val="zh-CN" w:eastAsia="zh-CN" w:bidi="ar-SA"/>
          <w14:textFill>
            <w14:solidFill>
              <w14:schemeClr w14:val="tx1"/>
            </w14:solidFill>
          </w14:textFill>
        </w:rPr>
        <w:t>%的扣除，用扣除后的价格参与价格分的评审。</w:t>
      </w:r>
    </w:p>
    <w:p>
      <w:pPr>
        <w:pageBreakBefore w:val="0"/>
        <w:widowControl/>
        <w:kinsoku/>
        <w:wordWrap/>
        <w:overflowPunct/>
        <w:topLinePunct w:val="0"/>
        <w:bidi w:val="0"/>
        <w:spacing w:beforeAutospacing="0" w:afterAutospacing="0" w:line="400" w:lineRule="exact"/>
        <w:jc w:val="left"/>
        <w:textAlignment w:val="center"/>
        <w:rPr>
          <w:rFonts w:hint="eastAsia" w:ascii="宋体" w:hAnsi="宋体" w:eastAsia="宋体" w:cs="宋体"/>
          <w:color w:val="000000" w:themeColor="text1"/>
          <w:kern w:val="0"/>
          <w:sz w:val="24"/>
          <w:szCs w:val="24"/>
          <w:highlight w:val="none"/>
          <w:lang w:val="zh-CN"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4.1</w:t>
      </w:r>
      <w:r>
        <w:rPr>
          <w:rFonts w:hint="eastAsia" w:ascii="宋体" w:hAnsi="宋体" w:eastAsia="宋体" w:cs="宋体"/>
          <w:color w:val="000000" w:themeColor="text1"/>
          <w:kern w:val="0"/>
          <w:sz w:val="24"/>
          <w:szCs w:val="24"/>
          <w:highlight w:val="none"/>
          <w:lang w:val="zh-CN" w:eastAsia="zh-CN"/>
          <w14:textFill>
            <w14:solidFill>
              <w14:schemeClr w14:val="tx1"/>
            </w14:solidFill>
          </w14:textFill>
        </w:rPr>
        <w:t xml:space="preserve"> 节能、环境标志产品评审优惠内容及加分幅度：</w:t>
      </w:r>
    </w:p>
    <w:p>
      <w:pPr>
        <w:pageBreakBefore w:val="0"/>
        <w:widowControl/>
        <w:kinsoku/>
        <w:wordWrap/>
        <w:overflowPunct/>
        <w:topLinePunct w:val="0"/>
        <w:bidi w:val="0"/>
        <w:spacing w:beforeAutospacing="0" w:afterAutospacing="0" w:line="400" w:lineRule="exact"/>
        <w:jc w:val="left"/>
        <w:textAlignment w:val="center"/>
        <w:rPr>
          <w:rFonts w:hint="eastAsia" w:ascii="宋体" w:hAnsi="宋体" w:eastAsia="宋体" w:cs="宋体"/>
          <w:color w:val="000000" w:themeColor="text1"/>
          <w:kern w:val="0"/>
          <w:sz w:val="24"/>
          <w:szCs w:val="24"/>
          <w:highlight w:val="none"/>
          <w:lang w:val="zh-CN"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zh-CN" w:eastAsia="zh-CN"/>
          <w14:textFill>
            <w14:solidFill>
              <w14:schemeClr w14:val="tx1"/>
            </w14:solidFill>
          </w14:textFill>
        </w:rPr>
        <w:t>财政部、发展改革委、生态环境部、市场监管总局《关于调整优化节能产品、环境标志产品政府采购执行机制的通知》（财库〔2019〕9号），本次采购货物中属政府强制采购节能产品的，供应商所投产品必须是品目清单内产品，并提供清单内证明材料，否则投标无效。其他产品若属于“节能产品政府采购清单”内产品，在同等条件下，优先采购清单中的产品。</w:t>
      </w:r>
    </w:p>
    <w:p>
      <w:pPr>
        <w:pStyle w:val="34"/>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560"/>
        <w:jc w:val="both"/>
        <w:textAlignment w:val="auto"/>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节能产品”系指列入财政部、国家发改委最新公布《节能产品政府采购清单》的产品；“环境标志产品”系指列入财政部、环保部最新公布的《环境标志政府采购清单》的产品。同一合同包内的节能、环境标志、政府采购产品部分加分只对属于清单内的非强制类产品进行加分，强制类产品已作为投标时强制性要求不再给予加分。若节能、环境标志清单内的产品仅是构成投标产品的部件、组件或零件的，则该投标产品不予加分。</w:t>
      </w:r>
    </w:p>
    <w:p>
      <w:pPr>
        <w:pStyle w:val="34"/>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240" w:firstLineChars="100"/>
        <w:jc w:val="both"/>
        <w:textAlignment w:val="auto"/>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价格项加分：</w:t>
      </w:r>
    </w:p>
    <w:p>
      <w:pPr>
        <w:pStyle w:val="34"/>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240" w:firstLineChars="100"/>
        <w:jc w:val="both"/>
        <w:textAlignment w:val="auto"/>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1、（节能清单部分产品的价格/投标报价）×3%×价格项满分值</w:t>
      </w:r>
    </w:p>
    <w:p>
      <w:pPr>
        <w:pStyle w:val="34"/>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240" w:firstLineChars="100"/>
        <w:jc w:val="both"/>
        <w:textAlignment w:val="auto"/>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2、（环境清单部分产品的价格/投标报价）×3%×价格项满分值</w:t>
      </w:r>
    </w:p>
    <w:p>
      <w:pPr>
        <w:pStyle w:val="34"/>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240" w:firstLineChars="100"/>
        <w:jc w:val="both"/>
        <w:textAlignment w:val="auto"/>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技术项加分：</w:t>
      </w:r>
    </w:p>
    <w:p>
      <w:pPr>
        <w:pStyle w:val="34"/>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240" w:firstLineChars="100"/>
        <w:jc w:val="both"/>
        <w:textAlignment w:val="auto"/>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1、（节能清单部分产品的价格/投标报价）×3%×技术项满分值</w:t>
      </w:r>
    </w:p>
    <w:p>
      <w:pPr>
        <w:pStyle w:val="34"/>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240" w:firstLineChars="100"/>
        <w:jc w:val="both"/>
        <w:textAlignment w:val="auto"/>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2、（环境清单部分产品的价格/投标报价）×3%×技术项满分值</w:t>
      </w:r>
    </w:p>
    <w:p>
      <w:pPr>
        <w:pStyle w:val="34"/>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240" w:firstLineChars="100"/>
        <w:jc w:val="both"/>
        <w:textAlignment w:val="auto"/>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注：1、供应商须提供23期《节能产品政府采购清单》关于投标产品当前页的打印件；</w:t>
      </w:r>
    </w:p>
    <w:p>
      <w:pPr>
        <w:pStyle w:val="34"/>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240" w:firstLineChars="100"/>
        <w:jc w:val="both"/>
        <w:textAlignment w:val="auto"/>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2、供应商提供21期《环境标志产品政府采购清单》关于投标产品当前页的打印件；</w:t>
      </w:r>
    </w:p>
    <w:p>
      <w:pPr>
        <w:pStyle w:val="34"/>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240" w:firstLineChars="100"/>
        <w:jc w:val="both"/>
        <w:textAlignment w:val="auto"/>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lang w:val="en-US" w:eastAsia="zh-CN"/>
          <w14:textFill>
            <w14:solidFill>
              <w14:schemeClr w14:val="tx1"/>
            </w14:solidFill>
          </w14:textFill>
        </w:rPr>
        <w:t>4</w:t>
      </w:r>
      <w:r>
        <w:rPr>
          <w:rFonts w:hint="eastAsia" w:ascii="宋体" w:hAnsi="宋体" w:eastAsia="宋体" w:cs="宋体"/>
          <w:b w:val="0"/>
          <w:color w:val="000000" w:themeColor="text1"/>
          <w:sz w:val="24"/>
          <w:szCs w:val="24"/>
          <w:highlight w:val="none"/>
          <w14:textFill>
            <w14:solidFill>
              <w14:schemeClr w14:val="tx1"/>
            </w14:solidFill>
          </w14:textFill>
        </w:rPr>
        <w:t>.</w:t>
      </w:r>
      <w:r>
        <w:rPr>
          <w:rFonts w:hint="eastAsia" w:ascii="宋体" w:hAnsi="宋体" w:eastAsia="宋体" w:cs="宋体"/>
          <w:b w:val="0"/>
          <w:color w:val="000000" w:themeColor="text1"/>
          <w:sz w:val="24"/>
          <w:szCs w:val="24"/>
          <w:highlight w:val="none"/>
          <w:lang w:val="en-US" w:eastAsia="zh-CN"/>
          <w14:textFill>
            <w14:solidFill>
              <w14:schemeClr w14:val="tx1"/>
            </w14:solidFill>
          </w14:textFill>
        </w:rPr>
        <w:t>2</w:t>
      </w:r>
      <w:r>
        <w:rPr>
          <w:rFonts w:hint="eastAsia" w:ascii="宋体" w:hAnsi="宋体" w:eastAsia="宋体" w:cs="宋体"/>
          <w:b w:val="0"/>
          <w:color w:val="000000" w:themeColor="text1"/>
          <w:sz w:val="24"/>
          <w:szCs w:val="24"/>
          <w:highlight w:val="none"/>
          <w14:textFill>
            <w14:solidFill>
              <w14:schemeClr w14:val="tx1"/>
            </w14:solidFill>
          </w14:textFill>
        </w:rPr>
        <w:t>属于中小企业评审优惠内容及价格扣除幅度：</w:t>
      </w:r>
    </w:p>
    <w:p>
      <w:pPr>
        <w:pStyle w:val="34"/>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240" w:firstLineChars="100"/>
        <w:jc w:val="both"/>
        <w:textAlignment w:val="auto"/>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根据中华人民共和国工业和信息化部《政府采购促进中小企业发展暂行办法》（财库[2020]46号）文件的规定，属于中小企业评审优惠内容及幅度如下：</w:t>
      </w:r>
    </w:p>
    <w:p>
      <w:pPr>
        <w:pStyle w:val="34"/>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240" w:firstLineChars="100"/>
        <w:jc w:val="both"/>
        <w:textAlignment w:val="auto"/>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（一）中小企业（含中型、小型、微型企业）应当同时符合以下条件：</w:t>
      </w:r>
    </w:p>
    <w:p>
      <w:pPr>
        <w:pStyle w:val="34"/>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240" w:firstLineChars="100"/>
        <w:jc w:val="both"/>
        <w:textAlignment w:val="auto"/>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①符合中小企业划分标准（按《关于印发中小企业划型标准规定的通知》（工信部联企业〔2011〕300号）执行）；</w:t>
      </w:r>
    </w:p>
    <w:p>
      <w:pPr>
        <w:pStyle w:val="34"/>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240" w:firstLineChars="100"/>
        <w:jc w:val="both"/>
        <w:textAlignment w:val="auto"/>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②提供本企业制造的货物、承担的项目或者服务，或者提供其他中小企业制造的货物。本项所称货物不包括使用大型企业注册商标的货物；</w:t>
      </w:r>
    </w:p>
    <w:p>
      <w:pPr>
        <w:pStyle w:val="34"/>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240" w:firstLineChars="100"/>
        <w:jc w:val="both"/>
        <w:textAlignment w:val="auto"/>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③小型、微型企业提供中型企业制造的货物的，视同为中型企业。</w:t>
      </w:r>
    </w:p>
    <w:p>
      <w:pPr>
        <w:pStyle w:val="34"/>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240" w:firstLineChars="100"/>
        <w:jc w:val="both"/>
        <w:textAlignment w:val="auto"/>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（二）价格扣除办法：</w:t>
      </w:r>
    </w:p>
    <w:p>
      <w:pPr>
        <w:pStyle w:val="34"/>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240" w:firstLineChars="100"/>
        <w:jc w:val="both"/>
        <w:textAlignment w:val="auto"/>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fldChar w:fldCharType="begin"/>
      </w:r>
      <w:r>
        <w:rPr>
          <w:rFonts w:hint="eastAsia" w:ascii="宋体" w:hAnsi="宋体" w:eastAsia="宋体" w:cs="宋体"/>
          <w:b w:val="0"/>
          <w:color w:val="000000" w:themeColor="text1"/>
          <w:sz w:val="24"/>
          <w:szCs w:val="24"/>
          <w:highlight w:val="none"/>
          <w14:textFill>
            <w14:solidFill>
              <w14:schemeClr w14:val="tx1"/>
            </w14:solidFill>
          </w14:textFill>
        </w:rPr>
        <w:instrText xml:space="preserve"> = 1 \* GB3 </w:instrText>
      </w:r>
      <w:r>
        <w:rPr>
          <w:rFonts w:hint="eastAsia" w:ascii="宋体" w:hAnsi="宋体" w:eastAsia="宋体" w:cs="宋体"/>
          <w:b w:val="0"/>
          <w:color w:val="000000" w:themeColor="text1"/>
          <w:sz w:val="24"/>
          <w:szCs w:val="24"/>
          <w:highlight w:val="none"/>
          <w14:textFill>
            <w14:solidFill>
              <w14:schemeClr w14:val="tx1"/>
            </w14:solidFill>
          </w14:textFill>
        </w:rPr>
        <w:fldChar w:fldCharType="separate"/>
      </w:r>
      <w:r>
        <w:rPr>
          <w:rFonts w:hint="eastAsia" w:ascii="宋体" w:hAnsi="宋体" w:eastAsia="宋体" w:cs="宋体"/>
          <w:b w:val="0"/>
          <w:color w:val="000000" w:themeColor="text1"/>
          <w:sz w:val="24"/>
          <w:szCs w:val="24"/>
          <w:highlight w:val="none"/>
          <w14:textFill>
            <w14:solidFill>
              <w14:schemeClr w14:val="tx1"/>
            </w14:solidFill>
          </w14:textFill>
        </w:rPr>
        <w:t>①</w:t>
      </w:r>
      <w:r>
        <w:rPr>
          <w:rFonts w:hint="eastAsia" w:ascii="宋体" w:hAnsi="宋体" w:eastAsia="宋体" w:cs="宋体"/>
          <w:b w:val="0"/>
          <w:color w:val="000000" w:themeColor="text1"/>
          <w:sz w:val="24"/>
          <w:szCs w:val="24"/>
          <w:highlight w:val="none"/>
          <w14:textFill>
            <w14:solidFill>
              <w14:schemeClr w14:val="tx1"/>
            </w14:solidFill>
          </w14:textFill>
        </w:rPr>
        <w:fldChar w:fldCharType="end"/>
      </w:r>
      <w:r>
        <w:rPr>
          <w:rFonts w:hint="eastAsia" w:ascii="宋体" w:hAnsi="宋体" w:eastAsia="宋体" w:cs="宋体"/>
          <w:b w:val="0"/>
          <w:color w:val="000000" w:themeColor="text1"/>
          <w:sz w:val="24"/>
          <w:szCs w:val="24"/>
          <w:highlight w:val="none"/>
          <w14:textFill>
            <w14:solidFill>
              <w14:schemeClr w14:val="tx1"/>
            </w14:solidFill>
          </w14:textFill>
        </w:rPr>
        <w:t>对于非专门面向中小企业的项目，对小型和微型企业（或联合体各方均为小型、微型企业的）产品的价格给予</w:t>
      </w:r>
      <w:r>
        <w:rPr>
          <w:rFonts w:hint="eastAsia" w:ascii="宋体" w:hAnsi="宋体" w:eastAsia="宋体" w:cs="宋体"/>
          <w:b w:val="0"/>
          <w:color w:val="000000" w:themeColor="text1"/>
          <w:sz w:val="24"/>
          <w:szCs w:val="24"/>
          <w:highlight w:val="none"/>
          <w:lang w:val="en-US" w:eastAsia="zh-CN"/>
          <w14:textFill>
            <w14:solidFill>
              <w14:schemeClr w14:val="tx1"/>
            </w14:solidFill>
          </w14:textFill>
        </w:rPr>
        <w:t>10</w:t>
      </w:r>
      <w:r>
        <w:rPr>
          <w:rFonts w:hint="eastAsia" w:ascii="宋体" w:hAnsi="宋体" w:eastAsia="宋体" w:cs="宋体"/>
          <w:b w:val="0"/>
          <w:color w:val="000000" w:themeColor="text1"/>
          <w:sz w:val="24"/>
          <w:szCs w:val="24"/>
          <w:highlight w:val="none"/>
          <w14:textFill>
            <w14:solidFill>
              <w14:schemeClr w14:val="tx1"/>
            </w14:solidFill>
          </w14:textFill>
        </w:rPr>
        <w:t>%的扣除，用扣除后的价格参与价格分的评审。</w:t>
      </w:r>
    </w:p>
    <w:p>
      <w:pPr>
        <w:pStyle w:val="34"/>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240" w:firstLineChars="100"/>
        <w:jc w:val="both"/>
        <w:textAlignment w:val="auto"/>
        <w:rPr>
          <w:rFonts w:hint="eastAsia" w:ascii="宋体" w:hAnsi="宋体" w:eastAsia="宋体" w:cs="宋体"/>
          <w:b w:val="0"/>
          <w:color w:val="000000" w:themeColor="text1"/>
          <w:sz w:val="24"/>
          <w:szCs w:val="24"/>
          <w:highlight w:val="none"/>
          <w14:textFill>
            <w14:solidFill>
              <w14:schemeClr w14:val="tx1"/>
            </w14:solidFill>
          </w14:textFill>
        </w:rPr>
      </w:pPr>
      <w:r>
        <w:rPr>
          <w:rFonts w:hint="eastAsia" w:ascii="宋体" w:hAnsi="宋体" w:eastAsia="宋体" w:cs="宋体"/>
          <w:b w:val="0"/>
          <w:color w:val="000000" w:themeColor="text1"/>
          <w:sz w:val="24"/>
          <w:szCs w:val="24"/>
          <w:highlight w:val="none"/>
          <w14:textFill>
            <w14:solidFill>
              <w14:schemeClr w14:val="tx1"/>
            </w14:solidFill>
          </w14:textFill>
        </w:rPr>
        <w:t>（三）小型和微型企业适用价格扣除办法时应提供的相关资料：</w:t>
      </w:r>
    </w:p>
    <w:p>
      <w:pPr>
        <w:pStyle w:val="34"/>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240" w:firstLineChars="100"/>
        <w:jc w:val="both"/>
        <w:textAlignment w:val="auto"/>
        <w:rPr>
          <w:rFonts w:hint="eastAsia" w:ascii="宋体" w:hAnsi="宋体" w:eastAsia="宋体" w:cs="宋体"/>
          <w:b w:val="0"/>
          <w:color w:val="000000"/>
          <w:sz w:val="24"/>
          <w:szCs w:val="24"/>
          <w:highlight w:val="none"/>
        </w:rPr>
      </w:pPr>
      <w:r>
        <w:rPr>
          <w:rFonts w:hint="eastAsia" w:ascii="宋体" w:hAnsi="宋体" w:eastAsia="宋体" w:cs="宋体"/>
          <w:b w:val="0"/>
          <w:color w:val="000000"/>
          <w:sz w:val="24"/>
          <w:szCs w:val="24"/>
          <w:highlight w:val="none"/>
        </w:rPr>
        <w:fldChar w:fldCharType="begin"/>
      </w:r>
      <w:r>
        <w:rPr>
          <w:rFonts w:hint="eastAsia" w:ascii="宋体" w:hAnsi="宋体" w:eastAsia="宋体" w:cs="宋体"/>
          <w:b w:val="0"/>
          <w:color w:val="000000"/>
          <w:sz w:val="24"/>
          <w:szCs w:val="24"/>
          <w:highlight w:val="none"/>
        </w:rPr>
        <w:instrText xml:space="preserve"> = 1 \* GB3 </w:instrText>
      </w:r>
      <w:r>
        <w:rPr>
          <w:rFonts w:hint="eastAsia" w:ascii="宋体" w:hAnsi="宋体" w:eastAsia="宋体" w:cs="宋体"/>
          <w:b w:val="0"/>
          <w:color w:val="000000"/>
          <w:sz w:val="24"/>
          <w:szCs w:val="24"/>
          <w:highlight w:val="none"/>
        </w:rPr>
        <w:fldChar w:fldCharType="separate"/>
      </w:r>
      <w:r>
        <w:rPr>
          <w:rFonts w:hint="eastAsia" w:ascii="宋体" w:hAnsi="宋体" w:eastAsia="宋体" w:cs="宋体"/>
          <w:b w:val="0"/>
          <w:color w:val="000000"/>
          <w:sz w:val="24"/>
          <w:szCs w:val="24"/>
          <w:highlight w:val="none"/>
        </w:rPr>
        <w:t>①</w:t>
      </w:r>
      <w:r>
        <w:rPr>
          <w:rFonts w:hint="eastAsia" w:ascii="宋体" w:hAnsi="宋体" w:eastAsia="宋体" w:cs="宋体"/>
          <w:b w:val="0"/>
          <w:color w:val="000000"/>
          <w:sz w:val="24"/>
          <w:szCs w:val="24"/>
          <w:highlight w:val="none"/>
        </w:rPr>
        <w:fldChar w:fldCharType="end"/>
      </w:r>
      <w:r>
        <w:rPr>
          <w:rFonts w:hint="eastAsia" w:ascii="宋体" w:hAnsi="宋体" w:eastAsia="宋体" w:cs="宋体"/>
          <w:b w:val="0"/>
          <w:color w:val="000000"/>
          <w:sz w:val="24"/>
          <w:szCs w:val="24"/>
          <w:highlight w:val="none"/>
        </w:rPr>
        <w:t xml:space="preserve"> 《中小企业声明函》。</w:t>
      </w:r>
    </w:p>
    <w:p>
      <w:pPr>
        <w:pStyle w:val="34"/>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240" w:firstLineChars="100"/>
        <w:jc w:val="both"/>
        <w:textAlignment w:val="auto"/>
        <w:rPr>
          <w:rFonts w:hint="eastAsia" w:ascii="宋体" w:hAnsi="宋体" w:eastAsia="宋体" w:cs="宋体"/>
          <w:b w:val="0"/>
          <w:color w:val="000000"/>
          <w:sz w:val="24"/>
          <w:szCs w:val="24"/>
          <w:highlight w:val="none"/>
        </w:rPr>
      </w:pPr>
      <w:r>
        <w:rPr>
          <w:rFonts w:hint="eastAsia" w:ascii="宋体" w:hAnsi="宋体" w:eastAsia="宋体" w:cs="宋体"/>
          <w:b w:val="0"/>
          <w:color w:val="000000"/>
          <w:sz w:val="24"/>
          <w:szCs w:val="24"/>
          <w:highlight w:val="none"/>
        </w:rPr>
        <w:t>② 供应商应提供所投标产品生产厂家的属地主管部门出具的证明函；</w:t>
      </w:r>
    </w:p>
    <w:p>
      <w:pPr>
        <w:pStyle w:val="34"/>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240" w:firstLineChars="100"/>
        <w:jc w:val="both"/>
        <w:textAlignment w:val="auto"/>
        <w:rPr>
          <w:rFonts w:hint="eastAsia" w:ascii="宋体" w:hAnsi="宋体" w:eastAsia="宋体" w:cs="宋体"/>
          <w:b w:val="0"/>
          <w:color w:val="000000"/>
          <w:sz w:val="24"/>
          <w:szCs w:val="24"/>
          <w:highlight w:val="none"/>
        </w:rPr>
      </w:pPr>
      <w:r>
        <w:rPr>
          <w:rFonts w:hint="eastAsia" w:ascii="宋体" w:hAnsi="宋体" w:eastAsia="宋体" w:cs="宋体"/>
          <w:b w:val="0"/>
          <w:color w:val="000000"/>
          <w:sz w:val="24"/>
          <w:szCs w:val="24"/>
          <w:highlight w:val="none"/>
        </w:rPr>
        <w:t>③ 供应商应同时提供以上二个材料，否则将不给予价格扣除。</w:t>
      </w:r>
    </w:p>
    <w:p>
      <w:pPr>
        <w:pStyle w:val="34"/>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240" w:firstLineChars="100"/>
        <w:jc w:val="both"/>
        <w:textAlignment w:val="auto"/>
        <w:rPr>
          <w:rFonts w:hint="eastAsia" w:ascii="宋体" w:hAnsi="宋体" w:eastAsia="宋体" w:cs="宋体"/>
          <w:b w:val="0"/>
          <w:color w:val="000000"/>
          <w:sz w:val="24"/>
          <w:szCs w:val="24"/>
          <w:highlight w:val="none"/>
        </w:rPr>
      </w:pPr>
      <w:r>
        <w:rPr>
          <w:rFonts w:hint="eastAsia" w:ascii="宋体" w:hAnsi="宋体" w:eastAsia="宋体" w:cs="宋体"/>
          <w:b w:val="0"/>
          <w:color w:val="000000"/>
          <w:sz w:val="24"/>
          <w:szCs w:val="24"/>
          <w:highlight w:val="none"/>
        </w:rPr>
        <w:t>④ 供应商需在投标文件报价部分中“投标分项报价表”中逐项注明所投产品的生产厂家具体名称并备注是否属于小型、微型企业。</w:t>
      </w:r>
    </w:p>
    <w:p>
      <w:pPr>
        <w:pStyle w:val="34"/>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240" w:firstLineChars="100"/>
        <w:jc w:val="both"/>
        <w:textAlignment w:val="auto"/>
        <w:rPr>
          <w:rFonts w:hint="eastAsia" w:ascii="宋体" w:hAnsi="宋体" w:eastAsia="宋体" w:cs="宋体"/>
          <w:b w:val="0"/>
          <w:color w:val="000000"/>
          <w:sz w:val="24"/>
          <w:szCs w:val="24"/>
          <w:highlight w:val="none"/>
        </w:rPr>
      </w:pPr>
      <w:r>
        <w:rPr>
          <w:rFonts w:hint="eastAsia" w:ascii="宋体" w:hAnsi="宋体" w:eastAsia="宋体" w:cs="宋体"/>
          <w:b w:val="0"/>
          <w:color w:val="000000"/>
          <w:sz w:val="24"/>
          <w:szCs w:val="24"/>
          <w:highlight w:val="none"/>
        </w:rPr>
        <w:t>若所投标产品为进口产品的，不适用《政府采购促进中小企业发展暂行办法》。</w:t>
      </w:r>
    </w:p>
    <w:p>
      <w:pPr>
        <w:pStyle w:val="34"/>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240" w:firstLineChars="100"/>
        <w:jc w:val="both"/>
        <w:textAlignment w:val="auto"/>
        <w:rPr>
          <w:rFonts w:hint="eastAsia" w:ascii="宋体" w:hAnsi="宋体" w:eastAsia="宋体" w:cs="宋体"/>
          <w:b w:val="0"/>
          <w:color w:val="000000"/>
          <w:sz w:val="24"/>
          <w:szCs w:val="24"/>
          <w:highlight w:val="none"/>
        </w:rPr>
      </w:pPr>
      <w:r>
        <w:rPr>
          <w:rFonts w:hint="eastAsia" w:ascii="宋体" w:hAnsi="宋体" w:eastAsia="宋体" w:cs="宋体"/>
          <w:b w:val="0"/>
          <w:color w:val="000000"/>
          <w:sz w:val="24"/>
          <w:szCs w:val="24"/>
          <w:highlight w:val="none"/>
        </w:rPr>
        <w:t>根据中华人民共和国财政部、中华人民共和国民政部、中国残疾人联合会《关于促进残疾人就业政府采购政策的通知》（财库[2017]141号）文件的规定：残疾人福利性单位视同小型、微型企业。</w:t>
      </w:r>
    </w:p>
    <w:p>
      <w:pPr>
        <w:pStyle w:val="34"/>
        <w:pageBreakBefore w:val="0"/>
        <w:kinsoku/>
        <w:wordWrap/>
        <w:overflowPunct/>
        <w:topLinePunct w:val="0"/>
        <w:bidi w:val="0"/>
        <w:spacing w:beforeAutospacing="0" w:afterAutospacing="0" w:line="400" w:lineRule="exact"/>
        <w:ind w:firstLine="240" w:firstLineChars="100"/>
        <w:jc w:val="both"/>
        <w:rPr>
          <w:rFonts w:hint="eastAsia" w:ascii="宋体" w:hAnsi="宋体" w:eastAsia="宋体" w:cs="宋体"/>
          <w:sz w:val="24"/>
          <w:szCs w:val="24"/>
          <w:lang w:val="en-US" w:eastAsia="zh-CN"/>
        </w:rPr>
        <w:sectPr>
          <w:footerReference r:id="rId5" w:type="default"/>
          <w:pgSz w:w="11960" w:h="16880"/>
          <w:pgMar w:top="1440" w:right="1800" w:bottom="1440" w:left="1800" w:header="0" w:footer="0" w:gutter="0"/>
          <w:pgNumType w:fmt="decimal"/>
          <w:cols w:space="720" w:num="1"/>
        </w:sectPr>
      </w:pPr>
      <w:r>
        <w:rPr>
          <w:rFonts w:hint="eastAsia" w:ascii="宋体" w:hAnsi="宋体" w:eastAsia="宋体" w:cs="宋体"/>
          <w:b w:val="0"/>
          <w:color w:val="000000"/>
          <w:sz w:val="24"/>
          <w:szCs w:val="24"/>
          <w:highlight w:val="none"/>
        </w:rPr>
        <w:t>供应商若为残疾人福利性单位，须在投标文件中提供《残疾人福利性单位声明函》，否则将不给予价格扣除。供应商须对其声明的真实性负责，若与事实不符的，将依照《政府采购法》第七十七条第一款的规定追究法律责任。</w:t>
      </w:r>
    </w:p>
    <w:p>
      <w:pPr>
        <w:pStyle w:val="36"/>
        <w:pageBreakBefore w:val="0"/>
        <w:kinsoku/>
        <w:wordWrap/>
        <w:overflowPunct/>
        <w:topLinePunct w:val="0"/>
        <w:bidi w:val="0"/>
        <w:spacing w:beforeAutospacing="0" w:afterAutospacing="0" w:line="400" w:lineRule="exact"/>
        <w:jc w:val="both"/>
        <w:outlineLvl w:val="0"/>
        <w:rPr>
          <w:rFonts w:hint="eastAsia" w:ascii="宋体" w:hAnsi="宋体" w:eastAsia="宋体" w:cs="宋体"/>
          <w:b/>
          <w:sz w:val="24"/>
          <w:szCs w:val="24"/>
          <w:highlight w:val="none"/>
        </w:rPr>
      </w:pPr>
    </w:p>
    <w:p>
      <w:pPr>
        <w:pStyle w:val="22"/>
        <w:pageBreakBefore w:val="0"/>
        <w:kinsoku/>
        <w:wordWrap/>
        <w:overflowPunct/>
        <w:topLinePunct w:val="0"/>
        <w:bidi w:val="0"/>
        <w:spacing w:beforeAutospacing="0" w:after="0" w:afterAutospacing="0" w:line="400" w:lineRule="exact"/>
        <w:jc w:val="center"/>
        <w:rPr>
          <w:rStyle w:val="28"/>
          <w:rFonts w:hint="eastAsia" w:ascii="宋体" w:hAnsi="宋体" w:eastAsia="宋体" w:cs="宋体"/>
          <w:b/>
          <w:bCs/>
          <w:color w:val="auto"/>
          <w:w w:val="90"/>
          <w:sz w:val="36"/>
          <w:szCs w:val="36"/>
          <w:u w:val="none"/>
          <w:lang w:val="en-US" w:eastAsia="zh-CN"/>
        </w:rPr>
      </w:pPr>
      <w:r>
        <w:rPr>
          <w:rStyle w:val="28"/>
          <w:rFonts w:hint="eastAsia" w:ascii="宋体" w:hAnsi="宋体" w:eastAsia="宋体" w:cs="宋体"/>
          <w:b/>
          <w:bCs/>
          <w:color w:val="auto"/>
          <w:w w:val="90"/>
          <w:sz w:val="36"/>
          <w:szCs w:val="36"/>
          <w:u w:val="none"/>
          <w:lang w:val="en-US" w:eastAsia="zh-CN"/>
        </w:rPr>
        <w:t>第七章   投标文件格式</w:t>
      </w:r>
    </w:p>
    <w:p>
      <w:pPr>
        <w:pStyle w:val="36"/>
        <w:pageBreakBefore w:val="0"/>
        <w:kinsoku/>
        <w:wordWrap/>
        <w:overflowPunct/>
        <w:topLinePunct w:val="0"/>
        <w:bidi w:val="0"/>
        <w:spacing w:beforeAutospacing="0" w:afterAutospacing="0" w:line="400" w:lineRule="exact"/>
        <w:jc w:val="center"/>
        <w:rPr>
          <w:rFonts w:hint="eastAsia" w:ascii="宋体" w:hAnsi="宋体" w:eastAsia="宋体" w:cs="宋体"/>
          <w:b/>
          <w:sz w:val="24"/>
          <w:szCs w:val="24"/>
          <w:highlight w:val="none"/>
        </w:rPr>
      </w:pPr>
      <w:r>
        <w:rPr>
          <w:rFonts w:hint="eastAsia" w:ascii="宋体" w:hAnsi="宋体" w:eastAsia="宋体" w:cs="宋体"/>
          <w:sz w:val="24"/>
          <w:szCs w:val="24"/>
          <w:highlight w:val="none"/>
        </w:rPr>
        <mc:AlternateContent>
          <mc:Choice Requires="wps">
            <w:drawing>
              <wp:anchor distT="0" distB="0" distL="114300" distR="114300" simplePos="0" relativeHeight="251660288" behindDoc="0" locked="0" layoutInCell="1" allowOverlap="1">
                <wp:simplePos x="0" y="0"/>
                <wp:positionH relativeFrom="column">
                  <wp:posOffset>4482465</wp:posOffset>
                </wp:positionH>
                <wp:positionV relativeFrom="paragraph">
                  <wp:posOffset>137160</wp:posOffset>
                </wp:positionV>
                <wp:extent cx="825500" cy="404495"/>
                <wp:effectExtent l="5080" t="4445" r="7620" b="10160"/>
                <wp:wrapNone/>
                <wp:docPr id="6" name="文本框 6"/>
                <wp:cNvGraphicFramePr/>
                <a:graphic xmlns:a="http://schemas.openxmlformats.org/drawingml/2006/main">
                  <a:graphicData uri="http://schemas.microsoft.com/office/word/2010/wordprocessingShape">
                    <wps:wsp>
                      <wps:cNvSpPr txBox="1"/>
                      <wps:spPr>
                        <a:xfrm>
                          <a:off x="0" y="0"/>
                          <a:ext cx="825500" cy="404495"/>
                        </a:xfrm>
                        <a:prstGeom prst="rect">
                          <a:avLst/>
                        </a:prstGeom>
                        <a:noFill/>
                        <a:ln w="9525" cap="flat" cmpd="sng">
                          <a:solidFill>
                            <a:srgbClr val="000000"/>
                          </a:solidFill>
                          <a:prstDash val="solid"/>
                          <a:miter/>
                          <a:headEnd type="none" w="med" len="med"/>
                          <a:tailEnd type="none" w="med" len="med"/>
                        </a:ln>
                      </wps:spPr>
                      <wps:txbx>
                        <w:txbxContent>
                          <w:p>
                            <w:pPr>
                              <w:jc w:val="center"/>
                              <w:rPr>
                                <w:sz w:val="36"/>
                                <w:szCs w:val="36"/>
                              </w:rPr>
                            </w:pPr>
                            <w:r>
                              <w:rPr>
                                <w:rFonts w:hint="eastAsia"/>
                                <w:sz w:val="36"/>
                                <w:szCs w:val="36"/>
                              </w:rPr>
                              <w:t>正本</w:t>
                            </w:r>
                          </w:p>
                        </w:txbxContent>
                      </wps:txbx>
                      <wps:bodyPr lIns="91439" tIns="45720" rIns="91439" bIns="45720" upright="1"/>
                    </wps:wsp>
                  </a:graphicData>
                </a:graphic>
              </wp:anchor>
            </w:drawing>
          </mc:Choice>
          <mc:Fallback>
            <w:pict>
              <v:shape id="_x0000_s1026" o:spid="_x0000_s1026" o:spt="202" type="#_x0000_t202" style="position:absolute;left:0pt;margin-left:352.95pt;margin-top:10.8pt;height:31.85pt;width:65pt;z-index:251660288;mso-width-relative:page;mso-height-relative:page;" filled="f" stroked="t" coordsize="21600,21600" o:gfxdata="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TS6pL1gAAAAkB&#10;AAAPAAAAAAAAAAEAIAAAACIAAABkcnMvZG93bnJldi54bWxQSwECFAAUAAAACACHTuJAMh9XcR0C&#10;AABABAAADgAAAAAAAAABACAAAAAlAQAAZHJzL2Uyb0RvYy54bWxQSwUGAAAAAAYABgBZAQAAtAUA&#10;AAAA&#10;">
                <v:fill on="f" focussize="0,0"/>
                <v:stroke color="#000000" joinstyle="miter"/>
                <v:imagedata o:title=""/>
                <o:lock v:ext="edit" aspectratio="f"/>
                <v:textbox inset="7.19992125984252pt,1.27mm,7.19992125984252pt,1.27mm">
                  <w:txbxContent>
                    <w:p>
                      <w:pPr>
                        <w:jc w:val="center"/>
                        <w:rPr>
                          <w:sz w:val="36"/>
                          <w:szCs w:val="36"/>
                        </w:rPr>
                      </w:pPr>
                      <w:r>
                        <w:rPr>
                          <w:rFonts w:hint="eastAsia"/>
                          <w:sz w:val="36"/>
                          <w:szCs w:val="36"/>
                        </w:rPr>
                        <w:t>正本</w:t>
                      </w:r>
                    </w:p>
                  </w:txbxContent>
                </v:textbox>
              </v:shape>
            </w:pict>
          </mc:Fallback>
        </mc:AlternateContent>
      </w:r>
    </w:p>
    <w:p>
      <w:pPr>
        <w:pStyle w:val="36"/>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bdr w:val="single" w:color="auto" w:sz="4" w:space="0"/>
        </w:rPr>
      </w:pPr>
    </w:p>
    <w:p>
      <w:pPr>
        <w:pStyle w:val="36"/>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p>
      <w:pPr>
        <w:pageBreakBefore w:val="0"/>
        <w:kinsoku/>
        <w:wordWrap/>
        <w:overflowPunct/>
        <w:topLinePunct w:val="0"/>
        <w:bidi w:val="0"/>
        <w:spacing w:beforeAutospacing="0" w:afterAutospacing="0" w:line="400" w:lineRule="exact"/>
        <w:ind w:right="980" w:firstLine="720" w:firstLineChars="3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（项目名称）</w:t>
      </w:r>
    </w:p>
    <w:p>
      <w:pPr>
        <w:pageBreakBefore w:val="0"/>
        <w:kinsoku/>
        <w:wordWrap/>
        <w:overflowPunct/>
        <w:topLinePunct w:val="0"/>
        <w:bidi w:val="0"/>
        <w:spacing w:beforeAutospacing="0" w:afterAutospacing="0" w:line="400" w:lineRule="exact"/>
        <w:ind w:firstLine="840" w:firstLineChars="35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w:t>
      </w:r>
    </w:p>
    <w:p>
      <w:pPr>
        <w:pageBreakBefore w:val="0"/>
        <w:kinsoku/>
        <w:wordWrap/>
        <w:overflowPunct/>
        <w:topLinePunct w:val="0"/>
        <w:bidi w:val="0"/>
        <w:spacing w:beforeAutospacing="0" w:afterAutospacing="0" w:line="400" w:lineRule="exact"/>
        <w:ind w:firstLine="840" w:firstLineChars="350"/>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 xml:space="preserve">项目编号： </w:t>
      </w:r>
    </w:p>
    <w:p>
      <w:pPr>
        <w:pageBreakBefore w:val="0"/>
        <w:kinsoku/>
        <w:wordWrap/>
        <w:overflowPunct/>
        <w:topLinePunct w:val="0"/>
        <w:bidi w:val="0"/>
        <w:spacing w:beforeAutospacing="0" w:afterAutospacing="0" w:line="400" w:lineRule="exact"/>
        <w:rPr>
          <w:rFonts w:hint="eastAsia" w:ascii="宋体" w:hAnsi="宋体" w:eastAsia="宋体" w:cs="宋体"/>
          <w:bCs/>
          <w:color w:val="000000"/>
          <w:sz w:val="24"/>
          <w:szCs w:val="24"/>
          <w:highlight w:val="none"/>
        </w:rPr>
      </w:pPr>
    </w:p>
    <w:p>
      <w:pPr>
        <w:pageBreakBefore w:val="0"/>
        <w:kinsoku/>
        <w:wordWrap/>
        <w:overflowPunct/>
        <w:topLinePunct w:val="0"/>
        <w:bidi w:val="0"/>
        <w:spacing w:beforeAutospacing="0" w:afterAutospacing="0" w:line="400" w:lineRule="exact"/>
        <w:rPr>
          <w:rFonts w:hint="eastAsia" w:ascii="宋体" w:hAnsi="宋体" w:eastAsia="宋体" w:cs="宋体"/>
          <w:bCs/>
          <w:color w:val="000000"/>
          <w:sz w:val="24"/>
          <w:szCs w:val="24"/>
          <w:highlight w:val="none"/>
        </w:rPr>
      </w:pPr>
    </w:p>
    <w:p>
      <w:pPr>
        <w:pageBreakBefore w:val="0"/>
        <w:kinsoku/>
        <w:wordWrap/>
        <w:overflowPunct/>
        <w:topLinePunct w:val="0"/>
        <w:bidi w:val="0"/>
        <w:spacing w:beforeAutospacing="0" w:afterAutospacing="0" w:line="400" w:lineRule="exact"/>
        <w:rPr>
          <w:rFonts w:hint="eastAsia" w:ascii="宋体" w:hAnsi="宋体" w:eastAsia="宋体" w:cs="宋体"/>
          <w:bCs/>
          <w:color w:val="000000"/>
          <w:sz w:val="24"/>
          <w:szCs w:val="24"/>
          <w:highlight w:val="none"/>
        </w:rPr>
      </w:pPr>
    </w:p>
    <w:p>
      <w:pPr>
        <w:pageBreakBefore w:val="0"/>
        <w:kinsoku/>
        <w:wordWrap/>
        <w:overflowPunct/>
        <w:topLinePunct w:val="0"/>
        <w:bidi w:val="0"/>
        <w:spacing w:beforeAutospacing="0" w:afterAutospacing="0" w:line="400" w:lineRule="exact"/>
        <w:jc w:val="center"/>
        <w:outlineLvl w:val="0"/>
        <w:rPr>
          <w:rFonts w:hint="eastAsia" w:ascii="宋体" w:hAnsi="宋体" w:eastAsia="宋体" w:cs="宋体"/>
          <w:b/>
          <w:bCs/>
          <w:color w:val="000000"/>
          <w:sz w:val="24"/>
          <w:szCs w:val="24"/>
          <w:highlight w:val="none"/>
        </w:rPr>
      </w:pPr>
      <w:bookmarkStart w:id="21" w:name="_Toc29518"/>
      <w:bookmarkStart w:id="22" w:name="_Toc10629"/>
      <w:bookmarkStart w:id="23" w:name="_Toc11015"/>
      <w:bookmarkStart w:id="24" w:name="_Toc7996"/>
      <w:r>
        <w:rPr>
          <w:rFonts w:hint="eastAsia" w:ascii="宋体" w:hAnsi="宋体" w:eastAsia="宋体" w:cs="宋体"/>
          <w:b/>
          <w:bCs/>
          <w:color w:val="000000"/>
          <w:sz w:val="24"/>
          <w:szCs w:val="24"/>
          <w:highlight w:val="none"/>
        </w:rPr>
        <w:t>投  标  文  件</w:t>
      </w:r>
      <w:bookmarkEnd w:id="21"/>
      <w:bookmarkEnd w:id="22"/>
      <w:bookmarkEnd w:id="23"/>
      <w:bookmarkEnd w:id="24"/>
    </w:p>
    <w:p>
      <w:pPr>
        <w:pageBreakBefore w:val="0"/>
        <w:kinsoku/>
        <w:wordWrap/>
        <w:overflowPunct/>
        <w:topLinePunct w:val="0"/>
        <w:bidi w:val="0"/>
        <w:spacing w:beforeAutospacing="0" w:afterAutospacing="0" w:line="400" w:lineRule="exact"/>
        <w:rPr>
          <w:rFonts w:hint="eastAsia" w:ascii="宋体" w:hAnsi="宋体" w:eastAsia="宋体" w:cs="宋体"/>
          <w:b/>
          <w:bCs/>
          <w:color w:val="000000"/>
          <w:sz w:val="24"/>
          <w:szCs w:val="24"/>
          <w:highlight w:val="none"/>
        </w:rPr>
      </w:pPr>
    </w:p>
    <w:p>
      <w:pPr>
        <w:pageBreakBefore w:val="0"/>
        <w:kinsoku/>
        <w:wordWrap/>
        <w:overflowPunct/>
        <w:topLinePunct w:val="0"/>
        <w:bidi w:val="0"/>
        <w:spacing w:beforeAutospacing="0" w:afterAutospacing="0" w:line="400" w:lineRule="exact"/>
        <w:rPr>
          <w:rFonts w:hint="eastAsia" w:ascii="宋体" w:hAnsi="宋体" w:eastAsia="宋体" w:cs="宋体"/>
          <w:color w:val="000000"/>
          <w:sz w:val="24"/>
          <w:szCs w:val="24"/>
          <w:highlight w:val="none"/>
        </w:rPr>
      </w:pPr>
    </w:p>
    <w:p>
      <w:pPr>
        <w:pageBreakBefore w:val="0"/>
        <w:kinsoku/>
        <w:wordWrap/>
        <w:overflowPunct/>
        <w:topLinePunct w:val="0"/>
        <w:bidi w:val="0"/>
        <w:spacing w:beforeAutospacing="0" w:afterAutospacing="0" w:line="400" w:lineRule="exact"/>
        <w:rPr>
          <w:rFonts w:hint="eastAsia" w:ascii="宋体" w:hAnsi="宋体" w:eastAsia="宋体" w:cs="宋体"/>
          <w:bCs/>
          <w:color w:val="000000"/>
          <w:sz w:val="24"/>
          <w:szCs w:val="24"/>
          <w:highlight w:val="none"/>
        </w:rPr>
      </w:pPr>
    </w:p>
    <w:p>
      <w:pPr>
        <w:pageBreakBefore w:val="0"/>
        <w:kinsoku/>
        <w:wordWrap/>
        <w:overflowPunct/>
        <w:topLinePunct w:val="0"/>
        <w:bidi w:val="0"/>
        <w:spacing w:beforeAutospacing="0" w:afterAutospacing="0" w:line="400" w:lineRule="exact"/>
        <w:rPr>
          <w:rFonts w:hint="eastAsia" w:ascii="宋体" w:hAnsi="宋体" w:eastAsia="宋体" w:cs="宋体"/>
          <w:bCs/>
          <w:color w:val="000000"/>
          <w:sz w:val="24"/>
          <w:szCs w:val="24"/>
          <w:highlight w:val="none"/>
        </w:rPr>
      </w:pPr>
    </w:p>
    <w:p>
      <w:pPr>
        <w:pageBreakBefore w:val="0"/>
        <w:kinsoku/>
        <w:wordWrap/>
        <w:overflowPunct/>
        <w:topLinePunct w:val="0"/>
        <w:bidi w:val="0"/>
        <w:spacing w:beforeAutospacing="0" w:afterAutospacing="0" w:line="400" w:lineRule="exac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投标人</w:t>
      </w:r>
      <w:r>
        <w:rPr>
          <w:rFonts w:hint="eastAsia" w:ascii="宋体" w:hAnsi="宋体" w:eastAsia="宋体" w:cs="宋体"/>
          <w:color w:val="000000"/>
          <w:sz w:val="24"/>
          <w:szCs w:val="24"/>
          <w:highlight w:val="none"/>
          <w:lang w:eastAsia="zh-CN"/>
        </w:rPr>
        <w:t>名称</w:t>
      </w:r>
      <w:r>
        <w:rPr>
          <w:rFonts w:hint="eastAsia" w:ascii="宋体" w:hAnsi="宋体" w:eastAsia="宋体" w:cs="宋体"/>
          <w:color w:val="000000"/>
          <w:sz w:val="24"/>
          <w:szCs w:val="24"/>
          <w:highlight w:val="none"/>
        </w:rPr>
        <w:t>：（盖单位章）</w:t>
      </w:r>
    </w:p>
    <w:p>
      <w:pPr>
        <w:pStyle w:val="17"/>
        <w:pageBreakBefore w:val="0"/>
        <w:kinsoku/>
        <w:wordWrap/>
        <w:overflowPunct/>
        <w:topLinePunct w:val="0"/>
        <w:bidi w:val="0"/>
        <w:spacing w:beforeAutospacing="0" w:afterAutospacing="0" w:line="400" w:lineRule="exact"/>
        <w:rPr>
          <w:rFonts w:hint="eastAsia" w:ascii="宋体" w:hAnsi="宋体" w:eastAsia="宋体" w:cs="宋体"/>
          <w:sz w:val="24"/>
          <w:szCs w:val="24"/>
          <w:lang w:val="en-US" w:eastAsia="zh-CN"/>
        </w:rPr>
      </w:pPr>
      <w:r>
        <w:rPr>
          <w:rFonts w:hint="eastAsia" w:ascii="宋体" w:hAnsi="宋体" w:eastAsia="宋体" w:cs="宋体"/>
          <w:color w:val="000000"/>
          <w:sz w:val="24"/>
          <w:szCs w:val="24"/>
          <w:highlight w:val="none"/>
          <w:lang w:val="en-US" w:eastAsia="zh-CN"/>
        </w:rPr>
        <w:t xml:space="preserve">      投标人地址：</w:t>
      </w:r>
    </w:p>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p>
      <w:pPr>
        <w:pageBreakBefore w:val="0"/>
        <w:kinsoku/>
        <w:wordWrap/>
        <w:overflowPunct/>
        <w:topLinePunct w:val="0"/>
        <w:bidi w:val="0"/>
        <w:spacing w:beforeAutospacing="0" w:afterAutospacing="0" w:line="400" w:lineRule="exact"/>
        <w:ind w:firstLine="600" w:firstLineChars="25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法定代表人：（签字或盖章）</w:t>
      </w:r>
    </w:p>
    <w:p>
      <w:pPr>
        <w:pStyle w:val="17"/>
        <w:pageBreakBefore w:val="0"/>
        <w:kinsoku/>
        <w:wordWrap/>
        <w:overflowPunct/>
        <w:topLinePunct w:val="0"/>
        <w:bidi w:val="0"/>
        <w:spacing w:beforeAutospacing="0" w:afterAutospacing="0" w:line="400" w:lineRule="exac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 xml:space="preserve">      授权委托人：</w:t>
      </w:r>
    </w:p>
    <w:p>
      <w:pPr>
        <w:pageBreakBefore w:val="0"/>
        <w:kinsoku/>
        <w:wordWrap/>
        <w:overflowPunct/>
        <w:topLinePunct w:val="0"/>
        <w:bidi w:val="0"/>
        <w:spacing w:beforeAutospacing="0" w:afterAutospacing="0" w:line="400" w:lineRule="exact"/>
        <w:rPr>
          <w:rFonts w:hint="eastAsia" w:ascii="宋体" w:hAnsi="宋体" w:eastAsia="宋体" w:cs="宋体"/>
          <w:sz w:val="24"/>
          <w:szCs w:val="24"/>
          <w:lang w:val="en-US" w:eastAsia="zh-CN"/>
        </w:rPr>
      </w:pPr>
      <w:r>
        <w:rPr>
          <w:rFonts w:hint="eastAsia" w:ascii="宋体" w:hAnsi="宋体" w:eastAsia="宋体" w:cs="宋体"/>
          <w:color w:val="000000"/>
          <w:sz w:val="24"/>
          <w:szCs w:val="24"/>
          <w:highlight w:val="none"/>
          <w:lang w:val="en-US" w:eastAsia="zh-CN"/>
        </w:rPr>
        <w:t xml:space="preserve">      联系电话：</w:t>
      </w:r>
    </w:p>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p>
      <w:pPr>
        <w:pageBreakBefore w:val="0"/>
        <w:kinsoku/>
        <w:wordWrap/>
        <w:overflowPunct/>
        <w:topLinePunct w:val="0"/>
        <w:bidi w:val="0"/>
        <w:spacing w:beforeAutospacing="0" w:afterAutospacing="0" w:line="400" w:lineRule="exact"/>
        <w:jc w:val="center"/>
        <w:outlineLvl w:val="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w:t>
      </w:r>
      <w:bookmarkStart w:id="25" w:name="_Toc11239"/>
      <w:bookmarkStart w:id="26" w:name="_Toc10107"/>
      <w:bookmarkStart w:id="27" w:name="_Toc7073"/>
      <w:bookmarkStart w:id="28" w:name="_Toc22228"/>
      <w:r>
        <w:rPr>
          <w:rFonts w:hint="eastAsia" w:ascii="宋体" w:hAnsi="宋体" w:eastAsia="宋体" w:cs="宋体"/>
          <w:color w:val="000000"/>
          <w:sz w:val="24"/>
          <w:szCs w:val="24"/>
          <w:highlight w:val="none"/>
        </w:rPr>
        <w:t>年        月        日</w:t>
      </w:r>
      <w:bookmarkEnd w:id="25"/>
      <w:bookmarkEnd w:id="26"/>
      <w:bookmarkEnd w:id="27"/>
      <w:bookmarkEnd w:id="28"/>
    </w:p>
    <w:p>
      <w:pPr>
        <w:pStyle w:val="36"/>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p>
    <w:p>
      <w:pPr>
        <w:pStyle w:val="36"/>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p>
    <w:p>
      <w:pPr>
        <w:pStyle w:val="36"/>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p>
    <w:p>
      <w:pPr>
        <w:pageBreakBefore w:val="0"/>
        <w:kinsoku/>
        <w:wordWrap/>
        <w:overflowPunct/>
        <w:topLinePunct w:val="0"/>
        <w:bidi w:val="0"/>
        <w:spacing w:beforeAutospacing="0" w:afterAutospacing="0" w:line="400" w:lineRule="exact"/>
        <w:jc w:val="center"/>
        <w:rPr>
          <w:rFonts w:hint="eastAsia" w:ascii="宋体" w:hAnsi="宋体" w:eastAsia="宋体" w:cs="宋体"/>
          <w:b/>
          <w:bCs/>
          <w:color w:val="000000"/>
          <w:sz w:val="24"/>
          <w:szCs w:val="24"/>
          <w:highlight w:val="none"/>
        </w:rPr>
      </w:pPr>
    </w:p>
    <w:p>
      <w:pPr>
        <w:pageBreakBefore w:val="0"/>
        <w:kinsoku/>
        <w:wordWrap/>
        <w:overflowPunct/>
        <w:topLinePunct w:val="0"/>
        <w:bidi w:val="0"/>
        <w:spacing w:beforeAutospacing="0" w:afterAutospacing="0" w:line="400" w:lineRule="exact"/>
        <w:jc w:val="center"/>
        <w:rPr>
          <w:rFonts w:hint="eastAsia" w:ascii="宋体" w:hAnsi="宋体" w:eastAsia="宋体" w:cs="宋体"/>
          <w:b/>
          <w:bCs/>
          <w:color w:val="000000"/>
          <w:sz w:val="24"/>
          <w:szCs w:val="24"/>
          <w:highlight w:val="none"/>
        </w:rPr>
      </w:pPr>
    </w:p>
    <w:p>
      <w:pPr>
        <w:pageBreakBefore w:val="0"/>
        <w:kinsoku/>
        <w:wordWrap/>
        <w:overflowPunct/>
        <w:topLinePunct w:val="0"/>
        <w:bidi w:val="0"/>
        <w:spacing w:beforeAutospacing="0" w:afterAutospacing="0" w:line="400" w:lineRule="exact"/>
        <w:jc w:val="center"/>
        <w:rPr>
          <w:rFonts w:hint="eastAsia" w:ascii="宋体" w:hAnsi="宋体" w:eastAsia="宋体" w:cs="宋体"/>
          <w:b/>
          <w:bCs/>
          <w:color w:val="000000"/>
          <w:sz w:val="24"/>
          <w:szCs w:val="24"/>
          <w:highlight w:val="none"/>
        </w:rPr>
      </w:pPr>
    </w:p>
    <w:p>
      <w:pPr>
        <w:pageBreakBefore w:val="0"/>
        <w:kinsoku/>
        <w:wordWrap/>
        <w:overflowPunct/>
        <w:topLinePunct w:val="0"/>
        <w:bidi w:val="0"/>
        <w:spacing w:beforeAutospacing="0" w:afterAutospacing="0" w:line="400" w:lineRule="exact"/>
        <w:jc w:val="center"/>
        <w:rPr>
          <w:rFonts w:hint="eastAsia" w:ascii="宋体" w:hAnsi="宋体" w:eastAsia="宋体" w:cs="宋体"/>
          <w:b/>
          <w:bCs/>
          <w:color w:val="000000"/>
          <w:sz w:val="24"/>
          <w:szCs w:val="24"/>
          <w:highlight w:val="none"/>
        </w:rPr>
      </w:pPr>
    </w:p>
    <w:p>
      <w:pPr>
        <w:pStyle w:val="31"/>
        <w:pageBreakBefore w:val="0"/>
        <w:kinsoku/>
        <w:wordWrap/>
        <w:overflowPunct/>
        <w:topLinePunct w:val="0"/>
        <w:bidi w:val="0"/>
        <w:spacing w:beforeAutospacing="0" w:afterAutospacing="0" w:line="400" w:lineRule="exact"/>
        <w:rPr>
          <w:rFonts w:hint="eastAsia" w:ascii="宋体" w:hAnsi="宋体" w:eastAsia="宋体" w:cs="宋体"/>
          <w:sz w:val="24"/>
          <w:szCs w:val="24"/>
        </w:rPr>
      </w:pPr>
    </w:p>
    <w:p>
      <w:pPr>
        <w:pageBreakBefore w:val="0"/>
        <w:kinsoku/>
        <w:wordWrap/>
        <w:overflowPunct/>
        <w:topLinePunct w:val="0"/>
        <w:bidi w:val="0"/>
        <w:spacing w:beforeAutospacing="0" w:afterAutospacing="0" w:line="400" w:lineRule="exact"/>
        <w:jc w:val="both"/>
        <w:rPr>
          <w:rFonts w:hint="eastAsia" w:ascii="宋体" w:hAnsi="宋体" w:eastAsia="宋体" w:cs="宋体"/>
          <w:b/>
          <w:bCs/>
          <w:color w:val="000000"/>
          <w:sz w:val="24"/>
          <w:szCs w:val="24"/>
          <w:highlight w:val="none"/>
        </w:rPr>
      </w:pPr>
    </w:p>
    <w:p>
      <w:pPr>
        <w:pageBreakBefore w:val="0"/>
        <w:numPr>
          <w:ilvl w:val="0"/>
          <w:numId w:val="6"/>
        </w:numPr>
        <w:kinsoku/>
        <w:wordWrap/>
        <w:overflowPunct/>
        <w:topLinePunct w:val="0"/>
        <w:bidi w:val="0"/>
        <w:spacing w:beforeAutospacing="0" w:afterAutospacing="0" w:line="400" w:lineRule="exact"/>
        <w:jc w:val="center"/>
        <w:outlineLvl w:val="0"/>
        <w:rPr>
          <w:rFonts w:hint="eastAsia" w:ascii="宋体" w:hAnsi="宋体" w:eastAsia="宋体" w:cs="宋体"/>
          <w:b/>
          <w:bCs/>
          <w:color w:val="000000"/>
          <w:sz w:val="24"/>
          <w:szCs w:val="24"/>
          <w:highlight w:val="none"/>
        </w:rPr>
      </w:pPr>
      <w:bookmarkStart w:id="29" w:name="_Toc7184"/>
      <w:bookmarkStart w:id="30" w:name="_Toc23088"/>
      <w:r>
        <w:rPr>
          <w:rFonts w:hint="eastAsia" w:ascii="宋体" w:hAnsi="宋体" w:eastAsia="宋体" w:cs="宋体"/>
          <w:b/>
          <w:bCs/>
          <w:color w:val="000000"/>
          <w:sz w:val="24"/>
          <w:szCs w:val="24"/>
          <w:highlight w:val="none"/>
        </w:rPr>
        <w:t xml:space="preserve"> </w:t>
      </w:r>
      <w:bookmarkStart w:id="31" w:name="_Toc2645"/>
      <w:bookmarkStart w:id="32" w:name="_Toc10635"/>
      <w:r>
        <w:rPr>
          <w:rFonts w:hint="eastAsia" w:ascii="宋体" w:hAnsi="宋体" w:eastAsia="宋体" w:cs="宋体"/>
          <w:b/>
          <w:bCs/>
          <w:color w:val="000000"/>
          <w:sz w:val="24"/>
          <w:szCs w:val="24"/>
          <w:highlight w:val="none"/>
        </w:rPr>
        <w:t>经济报价部</w:t>
      </w:r>
      <w:bookmarkEnd w:id="29"/>
      <w:bookmarkEnd w:id="30"/>
      <w:bookmarkEnd w:id="31"/>
      <w:bookmarkEnd w:id="32"/>
    </w:p>
    <w:p>
      <w:pPr>
        <w:pageBreakBefore w:val="0"/>
        <w:kinsoku/>
        <w:wordWrap/>
        <w:overflowPunct/>
        <w:topLinePunct w:val="0"/>
        <w:bidi w:val="0"/>
        <w:spacing w:beforeAutospacing="0" w:afterAutospacing="0" w:line="400" w:lineRule="exact"/>
        <w:rPr>
          <w:rFonts w:hint="eastAsia" w:ascii="宋体" w:hAnsi="宋体" w:eastAsia="宋体" w:cs="宋体"/>
          <w:sz w:val="24"/>
          <w:szCs w:val="24"/>
        </w:rPr>
      </w:pPr>
    </w:p>
    <w:p>
      <w:pPr>
        <w:pageBreakBefore w:val="0"/>
        <w:numPr>
          <w:ilvl w:val="0"/>
          <w:numId w:val="0"/>
        </w:numPr>
        <w:kinsoku/>
        <w:wordWrap/>
        <w:overflowPunct/>
        <w:topLinePunct w:val="0"/>
        <w:bidi w:val="0"/>
        <w:spacing w:beforeAutospacing="0" w:afterAutospacing="0" w:line="400" w:lineRule="exact"/>
        <w:jc w:val="center"/>
        <w:rPr>
          <w:rFonts w:hint="eastAsia" w:ascii="宋体" w:hAnsi="宋体" w:eastAsia="宋体" w:cs="宋体"/>
          <w:sz w:val="24"/>
          <w:szCs w:val="24"/>
        </w:rPr>
      </w:pPr>
      <w:r>
        <w:rPr>
          <w:rFonts w:hint="eastAsia" w:ascii="宋体" w:hAnsi="宋体" w:eastAsia="宋体" w:cs="宋体"/>
          <w:b/>
          <w:color w:val="000000"/>
          <w:sz w:val="24"/>
          <w:szCs w:val="24"/>
          <w:highlight w:val="none"/>
          <w:lang w:val="en-US" w:eastAsia="zh-CN"/>
        </w:rPr>
        <w:t>1、</w:t>
      </w:r>
      <w:r>
        <w:rPr>
          <w:rFonts w:hint="eastAsia" w:ascii="宋体" w:hAnsi="宋体" w:eastAsia="宋体" w:cs="宋体"/>
          <w:b/>
          <w:color w:val="000000"/>
          <w:sz w:val="24"/>
          <w:szCs w:val="24"/>
          <w:highlight w:val="none"/>
        </w:rPr>
        <w:t>投   标   书</w:t>
      </w:r>
    </w:p>
    <w:p>
      <w:pPr>
        <w:pageBreakBefore w:val="0"/>
        <w:kinsoku/>
        <w:wordWrap/>
        <w:overflowPunct/>
        <w:topLinePunct w:val="0"/>
        <w:bidi w:val="0"/>
        <w:spacing w:beforeAutospacing="0" w:afterAutospacing="0" w:line="4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400" w:lineRule="exac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采购人</w:t>
      </w:r>
      <w:r>
        <w:rPr>
          <w:rFonts w:hint="eastAsia" w:ascii="宋体" w:hAnsi="宋体" w:eastAsia="宋体" w:cs="宋体"/>
          <w:color w:val="000000"/>
          <w:sz w:val="24"/>
          <w:szCs w:val="24"/>
          <w:highlight w:val="none"/>
        </w:rPr>
        <w:t>：</w:t>
      </w:r>
    </w:p>
    <w:p>
      <w:pPr>
        <w:pStyle w:val="6"/>
        <w:pageBreakBefore w:val="0"/>
        <w:kinsoku/>
        <w:wordWrap/>
        <w:overflowPunct/>
        <w:topLinePunct w:val="0"/>
        <w:bidi w:val="0"/>
        <w:spacing w:beforeAutospacing="0" w:afterAutospacing="0" w:line="4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我们收到你们的</w:t>
      </w:r>
      <w:r>
        <w:rPr>
          <w:rFonts w:hint="eastAsia" w:ascii="宋体" w:hAnsi="宋体" w:eastAsia="宋体" w:cs="宋体"/>
          <w:color w:val="000000"/>
          <w:sz w:val="24"/>
          <w:szCs w:val="24"/>
          <w:highlight w:val="none"/>
          <w:u w:val="single"/>
        </w:rPr>
        <w:t xml:space="preserve">     （项目名称）     （项目编号：  ）</w:t>
      </w:r>
      <w:r>
        <w:rPr>
          <w:rFonts w:hint="eastAsia" w:ascii="宋体" w:hAnsi="宋体" w:eastAsia="宋体" w:cs="宋体"/>
          <w:color w:val="000000"/>
          <w:sz w:val="24"/>
          <w:szCs w:val="24"/>
          <w:highlight w:val="none"/>
        </w:rPr>
        <w:t>招标文件，经认真研究，我们决定参加本次招标活动。</w:t>
      </w:r>
    </w:p>
    <w:p>
      <w:pPr>
        <w:keepNext w:val="0"/>
        <w:keepLines w:val="0"/>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1、按照招标文件中的一切要求，提供招标相关服务。人民币    </w:t>
      </w:r>
      <w:r>
        <w:rPr>
          <w:rFonts w:hint="eastAsia" w:ascii="宋体" w:hAnsi="宋体" w:eastAsia="宋体" w:cs="宋体"/>
          <w:sz w:val="24"/>
          <w:szCs w:val="24"/>
          <w:highlight w:val="none"/>
        </w:rPr>
        <w:t>元（用阿拉伯数字书写），大写：     。</w:t>
      </w:r>
      <w:r>
        <w:rPr>
          <w:rFonts w:hint="eastAsia" w:ascii="宋体" w:hAnsi="宋体" w:eastAsia="宋体" w:cs="宋体"/>
          <w:color w:val="000000"/>
          <w:sz w:val="24"/>
          <w:szCs w:val="24"/>
          <w:highlight w:val="none"/>
        </w:rPr>
        <w:t>明细见投标报价表。</w:t>
      </w:r>
    </w:p>
    <w:p>
      <w:pPr>
        <w:keepNext w:val="0"/>
        <w:keepLines w:val="0"/>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2、如果我们的投标文件被接受，我们将履行招标文件中规定的每一项义务和要求，按期、按质、按量完成交货。</w:t>
      </w:r>
    </w:p>
    <w:p>
      <w:pPr>
        <w:keepNext w:val="0"/>
        <w:keepLines w:val="0"/>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3、我们同意按招标文件的规定，本投标文件的有效期为开标后</w:t>
      </w:r>
      <w:r>
        <w:rPr>
          <w:rFonts w:hint="eastAsia" w:ascii="宋体" w:hAnsi="宋体" w:eastAsia="宋体" w:cs="宋体"/>
          <w:color w:val="000000"/>
          <w:sz w:val="24"/>
          <w:szCs w:val="24"/>
          <w:highlight w:val="none"/>
          <w:u w:val="single"/>
        </w:rPr>
        <w:t>60</w:t>
      </w:r>
      <w:r>
        <w:rPr>
          <w:rFonts w:hint="eastAsia" w:ascii="宋体" w:hAnsi="宋体" w:eastAsia="宋体" w:cs="宋体"/>
          <w:color w:val="000000"/>
          <w:sz w:val="24"/>
          <w:szCs w:val="24"/>
          <w:highlight w:val="none"/>
        </w:rPr>
        <w:t>天。</w:t>
      </w:r>
    </w:p>
    <w:p>
      <w:pPr>
        <w:keepNext w:val="0"/>
        <w:keepLines w:val="0"/>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4、我们愿意提供</w:t>
      </w:r>
      <w:r>
        <w:rPr>
          <w:rFonts w:hint="eastAsia" w:ascii="宋体" w:hAnsi="宋体" w:eastAsia="宋体" w:cs="宋体"/>
          <w:color w:val="000000"/>
          <w:sz w:val="24"/>
          <w:szCs w:val="24"/>
          <w:highlight w:val="none"/>
          <w:lang w:eastAsia="zh-CN"/>
        </w:rPr>
        <w:t>采购人</w:t>
      </w:r>
      <w:r>
        <w:rPr>
          <w:rFonts w:hint="eastAsia" w:ascii="宋体" w:hAnsi="宋体" w:eastAsia="宋体" w:cs="宋体"/>
          <w:color w:val="000000"/>
          <w:sz w:val="24"/>
          <w:szCs w:val="24"/>
          <w:highlight w:val="none"/>
        </w:rPr>
        <w:t>在招标文件中要求的所有资料。</w:t>
      </w:r>
    </w:p>
    <w:p>
      <w:pPr>
        <w:keepNext w:val="0"/>
        <w:keepLines w:val="0"/>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5、我们认为你们有选择或拒绝任何投标者中标的权力。我们理解，最低报价不是中标的唯一条件。</w:t>
      </w:r>
    </w:p>
    <w:p>
      <w:pPr>
        <w:keepNext w:val="0"/>
        <w:keepLines w:val="0"/>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6、我们愿按合同法履行自己的全部责任。</w:t>
      </w:r>
    </w:p>
    <w:p>
      <w:pPr>
        <w:keepNext w:val="0"/>
        <w:keepLines w:val="0"/>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7、我们愿意遵守国家有关规定和招标文件中规定的收费标准，承付中标服务费。</w:t>
      </w:r>
    </w:p>
    <w:p>
      <w:pPr>
        <w:keepNext w:val="0"/>
        <w:keepLines w:val="0"/>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8、该项投标在开标后的全过程中保持有效，不作任何更改和变动。</w:t>
      </w:r>
    </w:p>
    <w:p>
      <w:pPr>
        <w:keepNext w:val="0"/>
        <w:keepLines w:val="0"/>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9、我们同意按招标文件规定，交纳投标保证金。</w:t>
      </w:r>
    </w:p>
    <w:p>
      <w:pPr>
        <w:keepNext w:val="0"/>
        <w:keepLines w:val="0"/>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10、其它说明。</w:t>
      </w:r>
    </w:p>
    <w:p>
      <w:pPr>
        <w:keepNext w:val="0"/>
        <w:keepLines w:val="0"/>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11、所有有关本标书的函电，请按下列地址联系：</w:t>
      </w:r>
    </w:p>
    <w:p>
      <w:pPr>
        <w:keepNext w:val="0"/>
        <w:keepLines w:val="0"/>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投标单位：（单位公章）</w:t>
      </w:r>
    </w:p>
    <w:p>
      <w:pPr>
        <w:keepNext w:val="0"/>
        <w:keepLines w:val="0"/>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法定代表人或授权代表人（签字或盖章）：</w:t>
      </w:r>
    </w:p>
    <w:p>
      <w:pPr>
        <w:keepNext w:val="0"/>
        <w:keepLines w:val="0"/>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地址：</w:t>
      </w:r>
    </w:p>
    <w:p>
      <w:pPr>
        <w:keepNext w:val="0"/>
        <w:keepLines w:val="0"/>
        <w:pageBreakBefore w:val="0"/>
        <w:widowControl w:val="0"/>
        <w:kinsoku/>
        <w:wordWrap/>
        <w:overflowPunct/>
        <w:topLinePunct w:val="0"/>
        <w:autoSpaceDE/>
        <w:autoSpaceDN/>
        <w:bidi w:val="0"/>
        <w:adjustRightInd w:val="0"/>
        <w:snapToGrid w:val="0"/>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电话：           联系人：</w:t>
      </w:r>
    </w:p>
    <w:p>
      <w:pPr>
        <w:keepNext w:val="0"/>
        <w:keepLines w:val="0"/>
        <w:pageBreakBefore w:val="0"/>
        <w:widowControl w:val="0"/>
        <w:kinsoku/>
        <w:wordWrap/>
        <w:overflowPunct/>
        <w:topLinePunct w:val="0"/>
        <w:autoSpaceDE/>
        <w:autoSpaceDN/>
        <w:bidi w:val="0"/>
        <w:adjustRightInd w:val="0"/>
        <w:snapToGrid w:val="0"/>
        <w:spacing w:beforeAutospacing="0" w:afterAutospacing="0" w:line="400" w:lineRule="exact"/>
        <w:jc w:val="right"/>
        <w:textAlignment w:val="auto"/>
        <w:rPr>
          <w:rFonts w:hint="eastAsia" w:ascii="宋体" w:hAnsi="宋体" w:eastAsia="宋体" w:cs="宋体"/>
          <w:color w:val="000000"/>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400" w:lineRule="exact"/>
        <w:jc w:val="right"/>
        <w:textAlignment w:val="auto"/>
        <w:rPr>
          <w:rFonts w:hint="eastAsia" w:ascii="宋体" w:hAnsi="宋体" w:eastAsia="宋体" w:cs="宋体"/>
          <w:sz w:val="24"/>
          <w:szCs w:val="24"/>
          <w:lang w:eastAsia="zh-CN"/>
        </w:rPr>
        <w:sectPr>
          <w:headerReference r:id="rId6" w:type="default"/>
          <w:footerReference r:id="rId7" w:type="default"/>
          <w:pgSz w:w="11906" w:h="16838"/>
          <w:pgMar w:top="1440" w:right="1800" w:bottom="1440" w:left="1380" w:header="851" w:footer="992" w:gutter="0"/>
          <w:pgNumType w:fmt="decimal"/>
          <w:cols w:space="720" w:num="1"/>
          <w:docGrid w:type="lines" w:linePitch="312" w:charSpace="0"/>
        </w:sectPr>
      </w:pPr>
      <w:r>
        <w:rPr>
          <w:rFonts w:hint="eastAsia" w:ascii="宋体" w:hAnsi="宋体" w:eastAsia="宋体" w:cs="宋体"/>
          <w:color w:val="000000"/>
          <w:sz w:val="24"/>
          <w:szCs w:val="24"/>
          <w:highlight w:val="none"/>
        </w:rPr>
        <w:t>年  月  日</w:t>
      </w:r>
    </w:p>
    <w:p>
      <w:pPr>
        <w:pStyle w:val="9"/>
        <w:pageBreakBefore w:val="0"/>
        <w:kinsoku/>
        <w:wordWrap/>
        <w:overflowPunct/>
        <w:topLinePunct w:val="0"/>
        <w:bidi w:val="0"/>
        <w:spacing w:before="0" w:beforeAutospacing="0" w:afterAutospacing="0" w:line="400" w:lineRule="exact"/>
        <w:rPr>
          <w:rFonts w:hint="eastAsia" w:ascii="宋体" w:hAnsi="宋体" w:eastAsia="宋体" w:cs="宋体"/>
          <w:sz w:val="24"/>
          <w:szCs w:val="24"/>
        </w:rPr>
      </w:pPr>
    </w:p>
    <w:p>
      <w:pPr>
        <w:pageBreakBefore w:val="0"/>
        <w:kinsoku/>
        <w:wordWrap/>
        <w:overflowPunct/>
        <w:topLinePunct w:val="0"/>
        <w:bidi w:val="0"/>
        <w:spacing w:beforeAutospacing="0" w:afterAutospacing="0" w:line="400" w:lineRule="exact"/>
        <w:jc w:val="center"/>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2、 开标一览表</w:t>
      </w:r>
    </w:p>
    <w:p>
      <w:pPr>
        <w:pageBreakBefore w:val="0"/>
        <w:kinsoku/>
        <w:wordWrap/>
        <w:overflowPunct/>
        <w:topLinePunct w:val="0"/>
        <w:bidi w:val="0"/>
        <w:spacing w:beforeAutospacing="0" w:afterAutospacing="0" w:line="400" w:lineRule="exact"/>
        <w:jc w:val="left"/>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项目名称：</w:t>
      </w:r>
    </w:p>
    <w:p>
      <w:pPr>
        <w:pageBreakBefore w:val="0"/>
        <w:kinsoku/>
        <w:wordWrap/>
        <w:overflowPunct/>
        <w:topLinePunct w:val="0"/>
        <w:bidi w:val="0"/>
        <w:spacing w:beforeAutospacing="0" w:afterAutospacing="0" w:line="400" w:lineRule="exact"/>
        <w:jc w:val="left"/>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项目编号：</w:t>
      </w:r>
    </w:p>
    <w:tbl>
      <w:tblPr>
        <w:tblStyle w:val="23"/>
        <w:tblW w:w="8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3023"/>
        <w:gridCol w:w="1830"/>
        <w:gridCol w:w="1456"/>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10"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序号</w:t>
            </w:r>
          </w:p>
        </w:tc>
        <w:tc>
          <w:tcPr>
            <w:tcW w:w="3023"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项目名称</w:t>
            </w:r>
          </w:p>
        </w:tc>
        <w:tc>
          <w:tcPr>
            <w:tcW w:w="1830"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rPr>
              <w:t>投标报价（元）</w:t>
            </w:r>
            <w:r>
              <w:rPr>
                <w:rFonts w:hint="eastAsia" w:ascii="宋体" w:hAnsi="宋体" w:eastAsia="宋体" w:cs="宋体"/>
                <w:color w:val="000000"/>
                <w:sz w:val="24"/>
                <w:szCs w:val="24"/>
                <w:highlight w:val="none"/>
                <w:lang w:val="en-US" w:eastAsia="zh-CN"/>
              </w:rPr>
              <w:t>/年</w:t>
            </w:r>
          </w:p>
        </w:tc>
        <w:tc>
          <w:tcPr>
            <w:tcW w:w="1456"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履约期限</w:t>
            </w:r>
          </w:p>
        </w:tc>
        <w:tc>
          <w:tcPr>
            <w:tcW w:w="1790"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10"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p>
        </w:tc>
        <w:tc>
          <w:tcPr>
            <w:tcW w:w="3023"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830"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456"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790"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10"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3023"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总计：（人民币小写）：</w:t>
            </w:r>
          </w:p>
        </w:tc>
        <w:tc>
          <w:tcPr>
            <w:tcW w:w="5076" w:type="dxa"/>
            <w:gridSpan w:val="3"/>
            <w:vAlign w:val="center"/>
          </w:tcPr>
          <w:p>
            <w:pPr>
              <w:pageBreakBefore w:val="0"/>
              <w:kinsoku/>
              <w:wordWrap/>
              <w:overflowPunct/>
              <w:topLinePunct w:val="0"/>
              <w:bidi w:val="0"/>
              <w:spacing w:beforeAutospacing="0" w:afterAutospacing="0" w:line="400" w:lineRule="exac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10"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3023"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总计</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（人民币大写）：</w:t>
            </w:r>
          </w:p>
        </w:tc>
        <w:tc>
          <w:tcPr>
            <w:tcW w:w="5076" w:type="dxa"/>
            <w:gridSpan w:val="3"/>
            <w:vAlign w:val="center"/>
          </w:tcPr>
          <w:p>
            <w:pPr>
              <w:pageBreakBefore w:val="0"/>
              <w:kinsoku/>
              <w:wordWrap/>
              <w:overflowPunct/>
              <w:topLinePunct w:val="0"/>
              <w:bidi w:val="0"/>
              <w:spacing w:beforeAutospacing="0" w:afterAutospacing="0" w:line="400" w:lineRule="exact"/>
              <w:rPr>
                <w:rFonts w:hint="eastAsia" w:ascii="宋体" w:hAnsi="宋体" w:eastAsia="宋体" w:cs="宋体"/>
                <w:color w:val="000000"/>
                <w:sz w:val="24"/>
                <w:szCs w:val="24"/>
                <w:highlight w:val="none"/>
              </w:rPr>
            </w:pPr>
          </w:p>
        </w:tc>
      </w:tr>
    </w:tbl>
    <w:p>
      <w:pPr>
        <w:pStyle w:val="42"/>
        <w:keepNext w:val="0"/>
        <w:keepLines w:val="0"/>
        <w:pageBreakBefore w:val="0"/>
        <w:kinsoku/>
        <w:wordWrap/>
        <w:overflowPunct/>
        <w:topLinePunct w:val="0"/>
        <w:bidi w:val="0"/>
        <w:adjustRightInd/>
        <w:spacing w:before="0" w:beforeAutospacing="0" w:afterAutospacing="0" w:line="400" w:lineRule="exact"/>
        <w:textAlignment w:val="auto"/>
        <w:outlineLvl w:val="9"/>
        <w:rPr>
          <w:rFonts w:hint="eastAsia" w:ascii="宋体" w:hAnsi="宋体" w:eastAsia="宋体" w:cs="宋体"/>
          <w:color w:val="auto"/>
          <w:sz w:val="24"/>
          <w:szCs w:val="24"/>
          <w:highlight w:val="none"/>
        </w:rPr>
      </w:pPr>
      <w:bookmarkStart w:id="33" w:name="_Toc20945"/>
      <w:r>
        <w:rPr>
          <w:rFonts w:hint="eastAsia" w:ascii="宋体" w:hAnsi="宋体" w:eastAsia="宋体" w:cs="宋体"/>
          <w:color w:val="auto"/>
          <w:sz w:val="24"/>
          <w:szCs w:val="24"/>
          <w:highlight w:val="none"/>
        </w:rPr>
        <w:t>注：</w:t>
      </w:r>
    </w:p>
    <w:p>
      <w:pPr>
        <w:pStyle w:val="42"/>
        <w:keepNext w:val="0"/>
        <w:keepLines w:val="0"/>
        <w:pageBreakBefore w:val="0"/>
        <w:kinsoku/>
        <w:wordWrap/>
        <w:overflowPunct/>
        <w:topLinePunct w:val="0"/>
        <w:bidi w:val="0"/>
        <w:adjustRightInd/>
        <w:spacing w:before="0" w:beforeAutospacing="0" w:afterAutospacing="0" w:line="400" w:lineRule="exact"/>
        <w:textAlignment w:val="auto"/>
        <w:outlineLvl w:val="9"/>
        <w:rPr>
          <w:rFonts w:hint="eastAsia" w:ascii="宋体" w:hAnsi="宋体" w:eastAsia="宋体" w:cs="宋体"/>
          <w:color w:val="auto"/>
          <w:kern w:val="2"/>
          <w:sz w:val="24"/>
          <w:szCs w:val="24"/>
          <w:highlight w:val="none"/>
        </w:rPr>
      </w:pPr>
      <w:r>
        <w:rPr>
          <w:rFonts w:hint="eastAsia" w:ascii="宋体" w:hAnsi="宋体" w:eastAsia="宋体" w:cs="宋体"/>
          <w:color w:val="auto"/>
          <w:sz w:val="24"/>
          <w:szCs w:val="24"/>
          <w:highlight w:val="none"/>
        </w:rPr>
        <w:t>1、此表</w:t>
      </w:r>
      <w:r>
        <w:rPr>
          <w:rFonts w:hint="eastAsia" w:cs="宋体"/>
          <w:color w:val="auto"/>
          <w:sz w:val="24"/>
          <w:szCs w:val="24"/>
          <w:highlight w:val="none"/>
          <w:lang w:val="en-US" w:eastAsia="zh-CN"/>
        </w:rPr>
        <w:t>须包含在</w:t>
      </w:r>
      <w:r>
        <w:rPr>
          <w:rFonts w:hint="eastAsia" w:ascii="宋体" w:hAnsi="宋体" w:eastAsia="宋体" w:cs="宋体"/>
          <w:color w:val="auto"/>
          <w:sz w:val="24"/>
          <w:szCs w:val="24"/>
          <w:highlight w:val="none"/>
          <w:lang w:eastAsia="zh-CN"/>
        </w:rPr>
        <w:t>投标文件中</w:t>
      </w:r>
      <w:r>
        <w:rPr>
          <w:rFonts w:hint="eastAsia" w:ascii="宋体" w:hAnsi="宋体" w:eastAsia="宋体" w:cs="宋体"/>
          <w:color w:val="auto"/>
          <w:sz w:val="24"/>
          <w:szCs w:val="24"/>
          <w:highlight w:val="none"/>
        </w:rPr>
        <w:t>。</w:t>
      </w:r>
      <w:bookmarkEnd w:id="33"/>
    </w:p>
    <w:p>
      <w:pPr>
        <w:pStyle w:val="36"/>
        <w:pageBreakBefore w:val="0"/>
        <w:numPr>
          <w:ilvl w:val="0"/>
          <w:numId w:val="0"/>
        </w:numPr>
        <w:kinsoku/>
        <w:wordWrap/>
        <w:overflowPunct/>
        <w:topLinePunct w:val="0"/>
        <w:bidi w:val="0"/>
        <w:spacing w:beforeAutospacing="0" w:afterAutospacing="0" w:line="400" w:lineRule="exact"/>
        <w:ind w:leftChars="0"/>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lang w:val="en-US" w:eastAsia="zh-CN"/>
        </w:rPr>
        <w:t>2、</w:t>
      </w:r>
      <w:r>
        <w:rPr>
          <w:rFonts w:hint="eastAsia" w:ascii="宋体" w:hAnsi="宋体" w:eastAsia="宋体" w:cs="宋体"/>
          <w:b/>
          <w:bCs/>
          <w:color w:val="auto"/>
          <w:kern w:val="2"/>
          <w:sz w:val="24"/>
          <w:szCs w:val="24"/>
          <w:highlight w:val="none"/>
        </w:rPr>
        <w:t>本表格式</w:t>
      </w:r>
      <w:r>
        <w:rPr>
          <w:rFonts w:hint="eastAsia" w:ascii="宋体" w:hAnsi="宋体" w:eastAsia="宋体" w:cs="宋体"/>
          <w:b/>
          <w:bCs/>
          <w:color w:val="auto"/>
          <w:kern w:val="2"/>
          <w:sz w:val="24"/>
          <w:szCs w:val="24"/>
          <w:highlight w:val="none"/>
          <w:lang w:val="en-US" w:eastAsia="zh-CN"/>
        </w:rPr>
        <w:t>及内容</w:t>
      </w:r>
      <w:r>
        <w:rPr>
          <w:rFonts w:hint="eastAsia" w:ascii="宋体" w:hAnsi="宋体" w:eastAsia="宋体" w:cs="宋体"/>
          <w:b/>
          <w:bCs/>
          <w:color w:val="auto"/>
          <w:kern w:val="2"/>
          <w:sz w:val="24"/>
          <w:szCs w:val="24"/>
          <w:highlight w:val="none"/>
        </w:rPr>
        <w:t>不得更改，投标人只能按要求填报，否则将被视为无效投标。</w:t>
      </w:r>
    </w:p>
    <w:p>
      <w:pPr>
        <w:pageBreakBefore w:val="0"/>
        <w:kinsoku/>
        <w:wordWrap/>
        <w:overflowPunct/>
        <w:topLinePunct w:val="0"/>
        <w:bidi w:val="0"/>
        <w:spacing w:beforeAutospacing="0" w:afterAutospacing="0" w:line="400" w:lineRule="exact"/>
        <w:rPr>
          <w:rFonts w:hint="eastAsia" w:ascii="宋体" w:hAnsi="宋体" w:eastAsia="宋体" w:cs="宋体"/>
          <w:color w:val="auto"/>
          <w:kern w:val="0"/>
          <w:sz w:val="24"/>
          <w:szCs w:val="24"/>
          <w:lang w:val="zh-CN" w:eastAsia="zh-CN" w:bidi="ar-SA"/>
        </w:rPr>
      </w:pPr>
      <w:r>
        <w:rPr>
          <w:rFonts w:hint="eastAsia" w:ascii="宋体" w:hAnsi="宋体" w:eastAsia="宋体" w:cs="宋体"/>
          <w:color w:val="auto"/>
          <w:kern w:val="0"/>
          <w:sz w:val="24"/>
          <w:szCs w:val="24"/>
          <w:lang w:val="zh-CN" w:eastAsia="zh-CN" w:bidi="ar-SA"/>
        </w:rPr>
        <w:t>（基准价/投标报价）×价格权值×100</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投标基准价为通过初步审查且价格最</w:t>
      </w:r>
      <w:r>
        <w:rPr>
          <w:rFonts w:hint="eastAsia" w:ascii="宋体" w:hAnsi="宋体" w:eastAsia="宋体" w:cs="宋体"/>
          <w:color w:val="auto"/>
          <w:sz w:val="24"/>
          <w:szCs w:val="24"/>
          <w:lang w:eastAsia="zh-CN"/>
        </w:rPr>
        <w:t>低</w:t>
      </w:r>
      <w:r>
        <w:rPr>
          <w:rFonts w:hint="eastAsia" w:ascii="宋体" w:hAnsi="宋体" w:eastAsia="宋体" w:cs="宋体"/>
          <w:color w:val="auto"/>
          <w:sz w:val="24"/>
          <w:szCs w:val="24"/>
        </w:rPr>
        <w:t>的投标报价，价格权值为</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w:t>
      </w:r>
    </w:p>
    <w:p>
      <w:pPr>
        <w:pageBreakBefore w:val="0"/>
        <w:kinsoku/>
        <w:wordWrap/>
        <w:overflowPunct/>
        <w:topLinePunct w:val="0"/>
        <w:bidi w:val="0"/>
        <w:spacing w:beforeAutospacing="0" w:afterAutospacing="0" w:line="400" w:lineRule="exact"/>
        <w:rPr>
          <w:rFonts w:hint="eastAsia" w:ascii="宋体" w:hAnsi="宋体" w:eastAsia="宋体" w:cs="宋体"/>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val="zh-CN"/>
        </w:rPr>
        <w:t>报价得分为负数的按零分计</w:t>
      </w:r>
      <w:r>
        <w:rPr>
          <w:rFonts w:hint="eastAsia" w:ascii="宋体" w:hAnsi="宋体" w:eastAsia="宋体" w:cs="宋体"/>
          <w:color w:val="auto"/>
          <w:sz w:val="24"/>
          <w:szCs w:val="24"/>
        </w:rPr>
        <w:t>。</w:t>
      </w:r>
    </w:p>
    <w:p>
      <w:pPr>
        <w:pageBreakBefore w:val="0"/>
        <w:kinsoku/>
        <w:wordWrap/>
        <w:overflowPunct/>
        <w:topLinePunct w:val="0"/>
        <w:bidi w:val="0"/>
        <w:spacing w:beforeAutospacing="0" w:afterAutospacing="0" w:line="400" w:lineRule="exact"/>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val="zh-CN"/>
        </w:rPr>
        <w:t>、投标总价应为各分项报价之和，投标文件差异修正准则参见投标报价说明。</w:t>
      </w:r>
    </w:p>
    <w:p>
      <w:pPr>
        <w:pageBreakBefore w:val="0"/>
        <w:kinsoku/>
        <w:wordWrap/>
        <w:overflowPunct/>
        <w:topLinePunct w:val="0"/>
        <w:bidi w:val="0"/>
        <w:spacing w:beforeAutospacing="0" w:afterAutospacing="0" w:line="400" w:lineRule="exact"/>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val="zh-CN"/>
        </w:rPr>
        <w:t>、报价中必须包含前期调研、技术咨询、资料收集、报告编制、协调服务、交通差旅费、文档和图档的打印、装订及寄送费用、成果初审、专家评审（含专家评审费、交通费、餐费、场地费、住宿费等）等所产生的费用、全额含税发票、雇员费用、合同实施过程中的应预见和不可预见费用等完成合同规定责任和义务、达到合同目的的一切费用及企业利润。并应包含应由中标人缴纳的本次招标代理服务费。</w:t>
      </w:r>
    </w:p>
    <w:p>
      <w:pPr>
        <w:pageBreakBefore w:val="0"/>
        <w:kinsoku/>
        <w:wordWrap/>
        <w:overflowPunct/>
        <w:topLinePunct w:val="0"/>
        <w:bidi w:val="0"/>
        <w:spacing w:beforeAutospacing="0" w:afterAutospacing="0" w:line="400" w:lineRule="exact"/>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lang w:val="zh-CN"/>
        </w:rPr>
        <w:t>、投标人必须自行考虑本项目在实施期间的一切可能产生的费用。在合同执行过程中，招标人将不再另行支付与本项目相关的任何费用（非本项目要求的其它内容除外）。</w:t>
      </w:r>
    </w:p>
    <w:p>
      <w:pPr>
        <w:pageBreakBefore w:val="0"/>
        <w:kinsoku/>
        <w:wordWrap/>
        <w:overflowPunct/>
        <w:topLinePunct w:val="0"/>
        <w:bidi w:val="0"/>
        <w:spacing w:beforeAutospacing="0" w:afterAutospacing="0" w:line="400" w:lineRule="exact"/>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lang w:val="zh-CN"/>
        </w:rPr>
        <w:t>、报价表述限于中文大写或阿拉伯数字小写，均已核定准确无误，若投标报价大小写不一致，以大写金额为准。</w:t>
      </w:r>
    </w:p>
    <w:p>
      <w:pPr>
        <w:pageBreakBefore w:val="0"/>
        <w:kinsoku/>
        <w:wordWrap/>
        <w:overflowPunct/>
        <w:topLinePunct w:val="0"/>
        <w:bidi w:val="0"/>
        <w:spacing w:beforeAutospacing="0" w:afterAutospacing="0" w:line="400" w:lineRule="exact"/>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lang w:val="zh-CN"/>
        </w:rPr>
        <w:t>、如果我方未中标，贵方没有必要对我方做出任何解释和说明，我方将充分尊重和理解贵方的选择。</w:t>
      </w:r>
    </w:p>
    <w:p>
      <w:pPr>
        <w:pStyle w:val="36"/>
        <w:pageBreakBefore w:val="0"/>
        <w:kinsoku/>
        <w:wordWrap/>
        <w:overflowPunct/>
        <w:topLinePunct w:val="0"/>
        <w:bidi w:val="0"/>
        <w:spacing w:beforeAutospacing="0" w:afterAutospacing="0"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兹声明：以上投标报价在投标有效期内一直有效。</w:t>
      </w:r>
    </w:p>
    <w:p>
      <w:pPr>
        <w:pageBreakBefore w:val="0"/>
        <w:kinsoku/>
        <w:wordWrap/>
        <w:overflowPunct/>
        <w:topLinePunct w:val="0"/>
        <w:bidi w:val="0"/>
        <w:spacing w:beforeAutospacing="0" w:afterAutospacing="0" w:line="40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投标人名称（加盖公章）：</w:t>
      </w:r>
      <w:r>
        <w:rPr>
          <w:rFonts w:hint="eastAsia" w:ascii="宋体" w:hAnsi="宋体" w:eastAsia="宋体" w:cs="宋体"/>
          <w:bCs/>
          <w:color w:val="auto"/>
          <w:sz w:val="24"/>
          <w:szCs w:val="24"/>
          <w:highlight w:val="none"/>
          <w:u w:val="single"/>
        </w:rPr>
        <w:t xml:space="preserve">                               </w:t>
      </w:r>
    </w:p>
    <w:p>
      <w:pPr>
        <w:pStyle w:val="42"/>
        <w:keepNext w:val="0"/>
        <w:keepLines w:val="0"/>
        <w:pageBreakBefore w:val="0"/>
        <w:kinsoku/>
        <w:wordWrap/>
        <w:overflowPunct/>
        <w:topLinePunct w:val="0"/>
        <w:bidi w:val="0"/>
        <w:adjustRightInd/>
        <w:spacing w:before="0" w:beforeAutospacing="0" w:afterAutospacing="0" w:line="400" w:lineRule="exact"/>
        <w:textAlignment w:val="auto"/>
        <w:outlineLvl w:val="9"/>
        <w:rPr>
          <w:rFonts w:hint="eastAsia" w:ascii="宋体" w:hAnsi="宋体" w:eastAsia="宋体" w:cs="宋体"/>
          <w:b w:val="0"/>
          <w:color w:val="auto"/>
          <w:kern w:val="2"/>
          <w:sz w:val="24"/>
          <w:szCs w:val="24"/>
          <w:highlight w:val="none"/>
        </w:rPr>
      </w:pPr>
      <w:bookmarkStart w:id="34" w:name="_Toc19201"/>
      <w:r>
        <w:rPr>
          <w:rFonts w:hint="eastAsia" w:ascii="宋体" w:hAnsi="宋体" w:eastAsia="宋体" w:cs="宋体"/>
          <w:b w:val="0"/>
          <w:color w:val="auto"/>
          <w:sz w:val="24"/>
          <w:szCs w:val="24"/>
          <w:highlight w:val="none"/>
        </w:rPr>
        <w:t>代理（被授权人）签字：</w:t>
      </w:r>
      <w:bookmarkEnd w:id="34"/>
      <w:r>
        <w:rPr>
          <w:rFonts w:hint="eastAsia" w:ascii="宋体" w:hAnsi="宋体" w:eastAsia="宋体" w:cs="宋体"/>
          <w:b w:val="0"/>
          <w:color w:val="auto"/>
          <w:sz w:val="24"/>
          <w:szCs w:val="24"/>
          <w:highlight w:val="none"/>
          <w:u w:val="single"/>
        </w:rPr>
        <w:t xml:space="preserve">                  </w:t>
      </w:r>
    </w:p>
    <w:p>
      <w:pPr>
        <w:pStyle w:val="42"/>
        <w:keepNext w:val="0"/>
        <w:keepLines w:val="0"/>
        <w:pageBreakBefore w:val="0"/>
        <w:kinsoku/>
        <w:wordWrap/>
        <w:overflowPunct/>
        <w:topLinePunct w:val="0"/>
        <w:bidi w:val="0"/>
        <w:adjustRightInd/>
        <w:spacing w:before="0" w:beforeAutospacing="0" w:afterAutospacing="0" w:line="400" w:lineRule="exact"/>
        <w:textAlignment w:val="auto"/>
        <w:outlineLvl w:val="9"/>
        <w:rPr>
          <w:rFonts w:hint="eastAsia" w:ascii="宋体" w:hAnsi="宋体" w:eastAsia="宋体" w:cs="宋体"/>
          <w:b/>
          <w:color w:val="000000"/>
          <w:sz w:val="24"/>
          <w:szCs w:val="24"/>
          <w:highlight w:val="none"/>
        </w:rPr>
      </w:pPr>
      <w:bookmarkStart w:id="35" w:name="_Toc10411"/>
      <w:r>
        <w:rPr>
          <w:rFonts w:hint="eastAsia" w:ascii="宋体" w:hAnsi="宋体" w:eastAsia="宋体" w:cs="宋体"/>
          <w:b w:val="0"/>
          <w:color w:val="auto"/>
          <w:spacing w:val="36"/>
          <w:kern w:val="2"/>
          <w:sz w:val="24"/>
          <w:szCs w:val="24"/>
          <w:highlight w:val="none"/>
        </w:rPr>
        <w:t>日期</w:t>
      </w:r>
      <w:r>
        <w:rPr>
          <w:rFonts w:hint="eastAsia" w:ascii="宋体" w:hAnsi="宋体" w:eastAsia="宋体" w:cs="宋体"/>
          <w:b w:val="0"/>
          <w:color w:val="auto"/>
          <w:kern w:val="2"/>
          <w:sz w:val="24"/>
          <w:szCs w:val="24"/>
          <w:highlight w:val="none"/>
        </w:rPr>
        <w:t>：</w:t>
      </w:r>
      <w:r>
        <w:rPr>
          <w:rFonts w:hint="eastAsia" w:ascii="宋体" w:hAnsi="宋体" w:eastAsia="宋体" w:cs="宋体"/>
          <w:b w:val="0"/>
          <w:color w:val="auto"/>
          <w:kern w:val="2"/>
          <w:sz w:val="24"/>
          <w:szCs w:val="24"/>
          <w:highlight w:val="none"/>
          <w:u w:val="single"/>
        </w:rPr>
        <w:t xml:space="preserve">       </w:t>
      </w:r>
      <w:r>
        <w:rPr>
          <w:rFonts w:hint="eastAsia" w:ascii="宋体" w:hAnsi="宋体" w:eastAsia="宋体" w:cs="宋体"/>
          <w:b w:val="0"/>
          <w:color w:val="auto"/>
          <w:kern w:val="2"/>
          <w:sz w:val="24"/>
          <w:szCs w:val="24"/>
          <w:highlight w:val="none"/>
        </w:rPr>
        <w:t>年</w:t>
      </w:r>
      <w:r>
        <w:rPr>
          <w:rFonts w:hint="eastAsia" w:ascii="宋体" w:hAnsi="宋体" w:eastAsia="宋体" w:cs="宋体"/>
          <w:b w:val="0"/>
          <w:color w:val="auto"/>
          <w:kern w:val="2"/>
          <w:sz w:val="24"/>
          <w:szCs w:val="24"/>
          <w:highlight w:val="none"/>
          <w:u w:val="single"/>
        </w:rPr>
        <w:t xml:space="preserve">     </w:t>
      </w:r>
      <w:r>
        <w:rPr>
          <w:rFonts w:hint="eastAsia" w:ascii="宋体" w:hAnsi="宋体" w:eastAsia="宋体" w:cs="宋体"/>
          <w:b w:val="0"/>
          <w:color w:val="auto"/>
          <w:kern w:val="2"/>
          <w:sz w:val="24"/>
          <w:szCs w:val="24"/>
          <w:highlight w:val="none"/>
        </w:rPr>
        <w:t>月</w:t>
      </w:r>
      <w:r>
        <w:rPr>
          <w:rFonts w:hint="eastAsia" w:ascii="宋体" w:hAnsi="宋体" w:eastAsia="宋体" w:cs="宋体"/>
          <w:b w:val="0"/>
          <w:color w:val="auto"/>
          <w:kern w:val="2"/>
          <w:sz w:val="24"/>
          <w:szCs w:val="24"/>
          <w:highlight w:val="none"/>
          <w:u w:val="single"/>
        </w:rPr>
        <w:t xml:space="preserve">    </w:t>
      </w:r>
      <w:r>
        <w:rPr>
          <w:rFonts w:hint="eastAsia" w:ascii="宋体" w:hAnsi="宋体" w:eastAsia="宋体" w:cs="宋体"/>
          <w:b w:val="0"/>
          <w:color w:val="auto"/>
          <w:kern w:val="2"/>
          <w:sz w:val="24"/>
          <w:szCs w:val="24"/>
          <w:highlight w:val="none"/>
        </w:rPr>
        <w:t>日</w:t>
      </w:r>
      <w:bookmarkEnd w:id="35"/>
    </w:p>
    <w:p>
      <w:pPr>
        <w:pageBreakBefore w:val="0"/>
        <w:kinsoku/>
        <w:wordWrap/>
        <w:overflowPunct/>
        <w:topLinePunct w:val="0"/>
        <w:bidi w:val="0"/>
        <w:adjustRightInd w:val="0"/>
        <w:snapToGrid w:val="0"/>
        <w:spacing w:beforeAutospacing="0" w:afterAutospacing="0" w:line="400" w:lineRule="exact"/>
        <w:rPr>
          <w:rFonts w:hint="eastAsia" w:ascii="宋体" w:hAnsi="宋体" w:eastAsia="宋体" w:cs="宋体"/>
          <w:b/>
          <w:color w:val="000000"/>
          <w:sz w:val="24"/>
          <w:szCs w:val="24"/>
          <w:highlight w:val="none"/>
        </w:rPr>
      </w:pPr>
    </w:p>
    <w:p>
      <w:pPr>
        <w:pageBreakBefore w:val="0"/>
        <w:kinsoku/>
        <w:wordWrap/>
        <w:overflowPunct/>
        <w:topLinePunct w:val="0"/>
        <w:bidi w:val="0"/>
        <w:adjustRightInd w:val="0"/>
        <w:snapToGrid w:val="0"/>
        <w:spacing w:beforeAutospacing="0" w:afterAutospacing="0" w:line="400" w:lineRule="exact"/>
        <w:rPr>
          <w:rFonts w:hint="eastAsia" w:ascii="宋体" w:hAnsi="宋体" w:eastAsia="宋体" w:cs="宋体"/>
          <w:b/>
          <w:color w:val="000000"/>
          <w:sz w:val="24"/>
          <w:szCs w:val="24"/>
          <w:highlight w:val="none"/>
        </w:rPr>
      </w:pPr>
    </w:p>
    <w:p>
      <w:pPr>
        <w:pStyle w:val="31"/>
        <w:rPr>
          <w:rFonts w:hint="eastAsia" w:ascii="宋体" w:hAnsi="宋体" w:eastAsia="宋体" w:cs="宋体"/>
        </w:rPr>
      </w:pPr>
    </w:p>
    <w:p>
      <w:pPr>
        <w:pageBreakBefore w:val="0"/>
        <w:kinsoku/>
        <w:wordWrap/>
        <w:overflowPunct/>
        <w:topLinePunct w:val="0"/>
        <w:bidi w:val="0"/>
        <w:spacing w:beforeAutospacing="0" w:afterAutospacing="0" w:line="400" w:lineRule="exact"/>
        <w:jc w:val="center"/>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3、报价明细表</w:t>
      </w:r>
    </w:p>
    <w:p>
      <w:pPr>
        <w:pageBreakBefore w:val="0"/>
        <w:kinsoku/>
        <w:wordWrap/>
        <w:overflowPunct/>
        <w:topLinePunct w:val="0"/>
        <w:bidi w:val="0"/>
        <w:spacing w:beforeAutospacing="0" w:afterAutospacing="0" w:line="400" w:lineRule="exact"/>
        <w:jc w:val="left"/>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项目名称：</w:t>
      </w:r>
    </w:p>
    <w:p>
      <w:pPr>
        <w:pageBreakBefore w:val="0"/>
        <w:kinsoku/>
        <w:wordWrap/>
        <w:overflowPunct/>
        <w:topLinePunct w:val="0"/>
        <w:bidi w:val="0"/>
        <w:spacing w:beforeAutospacing="0" w:afterAutospacing="0" w:line="400" w:lineRule="exact"/>
        <w:jc w:val="left"/>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项目编号：</w:t>
      </w:r>
    </w:p>
    <w:tbl>
      <w:tblPr>
        <w:tblStyle w:val="23"/>
        <w:tblW w:w="8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1433"/>
        <w:gridCol w:w="1550"/>
        <w:gridCol w:w="1367"/>
        <w:gridCol w:w="1166"/>
        <w:gridCol w:w="1035"/>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1" w:hRule="atLeast"/>
          <w:jc w:val="center"/>
        </w:trPr>
        <w:tc>
          <w:tcPr>
            <w:tcW w:w="971"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序号</w:t>
            </w:r>
          </w:p>
        </w:tc>
        <w:tc>
          <w:tcPr>
            <w:tcW w:w="1433"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名称</w:t>
            </w:r>
          </w:p>
        </w:tc>
        <w:tc>
          <w:tcPr>
            <w:tcW w:w="1550"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单位</w:t>
            </w:r>
          </w:p>
        </w:tc>
        <w:tc>
          <w:tcPr>
            <w:tcW w:w="1367"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单价</w:t>
            </w:r>
          </w:p>
        </w:tc>
        <w:tc>
          <w:tcPr>
            <w:tcW w:w="1166"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数量</w:t>
            </w:r>
          </w:p>
        </w:tc>
        <w:tc>
          <w:tcPr>
            <w:tcW w:w="1035"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总价</w:t>
            </w:r>
          </w:p>
        </w:tc>
        <w:tc>
          <w:tcPr>
            <w:tcW w:w="1017"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71"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433"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550"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367"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166"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035"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017"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71"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433"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550"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367"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166"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035"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017"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71"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433"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550"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367"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166"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035"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017"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71"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433"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550"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367"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166"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035"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017"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71"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433"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550"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367"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166"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035"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017"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71"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433"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550"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367"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166"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035"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017"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71"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433"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550"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367"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166"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035"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017"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71"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433"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550"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367"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166"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035"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017"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71"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433"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550"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367"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166"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035"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017"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2404" w:type="dxa"/>
            <w:gridSpan w:val="2"/>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总价</w:t>
            </w:r>
          </w:p>
        </w:tc>
        <w:tc>
          <w:tcPr>
            <w:tcW w:w="1550"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367"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166"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035"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017"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r>
    </w:tbl>
    <w:p>
      <w:pPr>
        <w:pageBreakBefore w:val="0"/>
        <w:kinsoku/>
        <w:wordWrap/>
        <w:overflowPunct/>
        <w:topLinePunct w:val="0"/>
        <w:bidi w:val="0"/>
        <w:spacing w:beforeAutospacing="0" w:afterAutospacing="0" w:line="400" w:lineRule="exac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注：本表具体内容参照本招标文件“材料要求、规格及需求表”所列全部内容，此表可由投标投标人根据内容自行延长。</w:t>
      </w:r>
    </w:p>
    <w:p>
      <w:pPr>
        <w:pageBreakBefore w:val="0"/>
        <w:kinsoku/>
        <w:wordWrap/>
        <w:overflowPunct/>
        <w:topLinePunct w:val="0"/>
        <w:bidi w:val="0"/>
        <w:spacing w:beforeAutospacing="0" w:afterAutospacing="0" w:line="400" w:lineRule="exact"/>
        <w:rPr>
          <w:rFonts w:hint="eastAsia" w:ascii="宋体" w:hAnsi="宋体" w:eastAsia="宋体" w:cs="宋体"/>
          <w:b/>
          <w:bCs/>
          <w:color w:val="000000"/>
          <w:sz w:val="24"/>
          <w:szCs w:val="24"/>
          <w:highlight w:val="none"/>
        </w:rPr>
      </w:pPr>
    </w:p>
    <w:p>
      <w:pPr>
        <w:pageBreakBefore w:val="0"/>
        <w:kinsoku/>
        <w:wordWrap/>
        <w:overflowPunct/>
        <w:topLinePunct w:val="0"/>
        <w:bidi w:val="0"/>
        <w:spacing w:beforeAutospacing="0" w:afterAutospacing="0" w:line="400" w:lineRule="exac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投标单位：（单位公章）</w:t>
      </w:r>
    </w:p>
    <w:p>
      <w:pPr>
        <w:pageBreakBefore w:val="0"/>
        <w:kinsoku/>
        <w:wordWrap/>
        <w:overflowPunct/>
        <w:topLinePunct w:val="0"/>
        <w:bidi w:val="0"/>
        <w:spacing w:beforeAutospacing="0" w:afterAutospacing="0" w:line="400" w:lineRule="exact"/>
        <w:rPr>
          <w:rFonts w:hint="eastAsia" w:ascii="宋体" w:hAnsi="宋体" w:eastAsia="宋体" w:cs="宋体"/>
          <w:color w:val="000000"/>
          <w:sz w:val="24"/>
          <w:szCs w:val="24"/>
          <w:highlight w:val="none"/>
        </w:rPr>
      </w:pPr>
    </w:p>
    <w:p>
      <w:pPr>
        <w:pageBreakBefore w:val="0"/>
        <w:kinsoku/>
        <w:wordWrap/>
        <w:overflowPunct/>
        <w:topLinePunct w:val="0"/>
        <w:bidi w:val="0"/>
        <w:spacing w:beforeAutospacing="0" w:afterAutospacing="0" w:line="400" w:lineRule="exac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法定代表人或授权代表人（签字或盖章）：</w:t>
      </w:r>
    </w:p>
    <w:p>
      <w:pPr>
        <w:pageBreakBefore w:val="0"/>
        <w:kinsoku/>
        <w:wordWrap/>
        <w:overflowPunct/>
        <w:topLinePunct w:val="0"/>
        <w:bidi w:val="0"/>
        <w:spacing w:beforeAutospacing="0" w:afterAutospacing="0" w:line="400" w:lineRule="exact"/>
        <w:rPr>
          <w:rFonts w:hint="eastAsia" w:ascii="宋体" w:hAnsi="宋体" w:eastAsia="宋体" w:cs="宋体"/>
          <w:color w:val="000000"/>
          <w:sz w:val="24"/>
          <w:szCs w:val="24"/>
          <w:highlight w:val="none"/>
          <w:u w:val="single"/>
        </w:rPr>
      </w:pPr>
    </w:p>
    <w:p>
      <w:pPr>
        <w:pStyle w:val="8"/>
        <w:pageBreakBefore w:val="0"/>
        <w:kinsoku/>
        <w:wordWrap/>
        <w:overflowPunct/>
        <w:topLinePunct w:val="0"/>
        <w:bidi w:val="0"/>
        <w:spacing w:beforeAutospacing="0" w:afterAutospacing="0" w:line="400" w:lineRule="exact"/>
        <w:rPr>
          <w:rFonts w:hint="eastAsia" w:ascii="宋体" w:hAnsi="宋体" w:eastAsia="宋体" w:cs="宋体"/>
          <w:color w:val="000000"/>
          <w:sz w:val="24"/>
          <w:szCs w:val="24"/>
          <w:highlight w:val="none"/>
          <w:u w:val="single"/>
        </w:rPr>
      </w:pPr>
    </w:p>
    <w:p>
      <w:pPr>
        <w:pStyle w:val="9"/>
        <w:pageBreakBefore w:val="0"/>
        <w:kinsoku/>
        <w:wordWrap/>
        <w:overflowPunct/>
        <w:topLinePunct w:val="0"/>
        <w:bidi w:val="0"/>
        <w:spacing w:before="0" w:beforeAutospacing="0" w:afterAutospacing="0" w:line="400" w:lineRule="exact"/>
        <w:rPr>
          <w:rFonts w:hint="eastAsia" w:ascii="宋体" w:hAnsi="宋体" w:eastAsia="宋体" w:cs="宋体"/>
          <w:sz w:val="24"/>
          <w:szCs w:val="24"/>
        </w:rPr>
      </w:pPr>
    </w:p>
    <w:p>
      <w:pPr>
        <w:pageBreakBefore w:val="0"/>
        <w:kinsoku/>
        <w:wordWrap/>
        <w:overflowPunct/>
        <w:topLinePunct w:val="0"/>
        <w:bidi w:val="0"/>
        <w:spacing w:beforeAutospacing="0" w:afterAutospacing="0" w:line="400" w:lineRule="exact"/>
        <w:jc w:val="righ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日期：  年  月  日</w:t>
      </w:r>
    </w:p>
    <w:p>
      <w:pPr>
        <w:pageBreakBefore w:val="0"/>
        <w:kinsoku/>
        <w:wordWrap/>
        <w:overflowPunct/>
        <w:topLinePunct w:val="0"/>
        <w:bidi w:val="0"/>
        <w:spacing w:beforeAutospacing="0" w:afterAutospacing="0" w:line="400" w:lineRule="exact"/>
        <w:rPr>
          <w:rFonts w:hint="eastAsia" w:ascii="宋体" w:hAnsi="宋体" w:eastAsia="宋体" w:cs="宋体"/>
          <w:b/>
          <w:color w:val="000000"/>
          <w:sz w:val="24"/>
          <w:szCs w:val="24"/>
          <w:highlight w:val="none"/>
        </w:rPr>
      </w:pPr>
    </w:p>
    <w:p>
      <w:pPr>
        <w:pageBreakBefore w:val="0"/>
        <w:kinsoku/>
        <w:wordWrap/>
        <w:overflowPunct/>
        <w:topLinePunct w:val="0"/>
        <w:bidi w:val="0"/>
        <w:spacing w:beforeAutospacing="0" w:afterAutospacing="0" w:line="400" w:lineRule="exact"/>
        <w:rPr>
          <w:rFonts w:hint="eastAsia" w:ascii="宋体" w:hAnsi="宋体" w:eastAsia="宋体" w:cs="宋体"/>
          <w:b/>
          <w:color w:val="000000"/>
          <w:sz w:val="24"/>
          <w:szCs w:val="24"/>
          <w:highlight w:val="none"/>
        </w:rPr>
      </w:pPr>
    </w:p>
    <w:p>
      <w:pPr>
        <w:pageBreakBefore w:val="0"/>
        <w:kinsoku/>
        <w:wordWrap/>
        <w:overflowPunct/>
        <w:topLinePunct w:val="0"/>
        <w:bidi w:val="0"/>
        <w:spacing w:beforeAutospacing="0" w:afterAutospacing="0" w:line="400" w:lineRule="exact"/>
        <w:rPr>
          <w:rFonts w:hint="eastAsia" w:ascii="宋体" w:hAnsi="宋体" w:eastAsia="宋体" w:cs="宋体"/>
          <w:b/>
          <w:color w:val="000000"/>
          <w:sz w:val="24"/>
          <w:szCs w:val="24"/>
          <w:highlight w:val="none"/>
        </w:rPr>
      </w:pPr>
    </w:p>
    <w:p>
      <w:pPr>
        <w:pageBreakBefore w:val="0"/>
        <w:kinsoku/>
        <w:wordWrap/>
        <w:overflowPunct/>
        <w:topLinePunct w:val="0"/>
        <w:bidi w:val="0"/>
        <w:spacing w:beforeAutospacing="0" w:afterAutospacing="0" w:line="400" w:lineRule="exact"/>
        <w:rPr>
          <w:rFonts w:hint="eastAsia" w:ascii="宋体" w:hAnsi="宋体" w:eastAsia="宋体" w:cs="宋体"/>
          <w:b/>
          <w:color w:val="000000"/>
          <w:sz w:val="24"/>
          <w:szCs w:val="24"/>
          <w:highlight w:val="none"/>
        </w:rPr>
      </w:pPr>
    </w:p>
    <w:p>
      <w:pPr>
        <w:pageBreakBefore w:val="0"/>
        <w:kinsoku/>
        <w:wordWrap/>
        <w:overflowPunct/>
        <w:topLinePunct w:val="0"/>
        <w:bidi w:val="0"/>
        <w:spacing w:beforeAutospacing="0" w:afterAutospacing="0" w:line="400" w:lineRule="exact"/>
        <w:jc w:val="center"/>
        <w:outlineLvl w:val="0"/>
        <w:rPr>
          <w:rFonts w:hint="eastAsia" w:ascii="宋体" w:hAnsi="宋体" w:eastAsia="宋体" w:cs="宋体"/>
          <w:b/>
          <w:bCs/>
          <w:color w:val="000000"/>
          <w:sz w:val="24"/>
          <w:szCs w:val="24"/>
          <w:highlight w:val="none"/>
        </w:rPr>
      </w:pPr>
      <w:bookmarkStart w:id="36" w:name="_Toc14389"/>
      <w:bookmarkStart w:id="37" w:name="_Toc14281"/>
      <w:bookmarkStart w:id="38" w:name="_Toc31526"/>
      <w:bookmarkStart w:id="39" w:name="_Toc13823"/>
      <w:r>
        <w:rPr>
          <w:rFonts w:hint="eastAsia" w:ascii="宋体" w:hAnsi="宋体" w:eastAsia="宋体" w:cs="宋体"/>
          <w:b/>
          <w:bCs/>
          <w:color w:val="000000"/>
          <w:sz w:val="24"/>
          <w:szCs w:val="24"/>
          <w:highlight w:val="none"/>
        </w:rPr>
        <w:t>第二部分  商务部分</w:t>
      </w:r>
      <w:bookmarkEnd w:id="36"/>
      <w:bookmarkEnd w:id="37"/>
      <w:bookmarkEnd w:id="38"/>
      <w:bookmarkEnd w:id="39"/>
    </w:p>
    <w:p>
      <w:pPr>
        <w:pageBreakBefore w:val="0"/>
        <w:kinsoku/>
        <w:wordWrap/>
        <w:overflowPunct/>
        <w:topLinePunct w:val="0"/>
        <w:bidi w:val="0"/>
        <w:spacing w:beforeAutospacing="0" w:afterAutospacing="0" w:line="400" w:lineRule="exact"/>
        <w:rPr>
          <w:rFonts w:hint="eastAsia" w:ascii="宋体" w:hAnsi="宋体" w:eastAsia="宋体" w:cs="宋体"/>
          <w:b/>
          <w:color w:val="000000"/>
          <w:sz w:val="24"/>
          <w:szCs w:val="24"/>
          <w:highlight w:val="none"/>
        </w:rPr>
      </w:pPr>
    </w:p>
    <w:p>
      <w:pPr>
        <w:pageBreakBefore w:val="0"/>
        <w:kinsoku/>
        <w:wordWrap/>
        <w:overflowPunct/>
        <w:topLinePunct w:val="0"/>
        <w:bidi w:val="0"/>
        <w:spacing w:beforeAutospacing="0" w:afterAutospacing="0" w:line="400" w:lineRule="exact"/>
        <w:rPr>
          <w:rFonts w:hint="eastAsia" w:ascii="宋体" w:hAnsi="宋体" w:eastAsia="宋体" w:cs="宋体"/>
          <w:color w:val="000000"/>
          <w:sz w:val="24"/>
          <w:szCs w:val="24"/>
          <w:highlight w:val="none"/>
          <w:u w:val="single"/>
        </w:rPr>
      </w:pPr>
    </w:p>
    <w:p>
      <w:pPr>
        <w:pStyle w:val="5"/>
        <w:pageBreakBefore w:val="0"/>
        <w:kinsoku/>
        <w:wordWrap/>
        <w:overflowPunct/>
        <w:topLinePunct w:val="0"/>
        <w:bidi w:val="0"/>
        <w:spacing w:before="0" w:beforeAutospacing="0" w:after="0" w:afterAutospacing="0" w:line="400" w:lineRule="exact"/>
        <w:jc w:val="center"/>
        <w:rPr>
          <w:rFonts w:hint="eastAsia" w:ascii="宋体" w:hAnsi="宋体" w:eastAsia="宋体" w:cs="宋体"/>
          <w:color w:val="000000"/>
          <w:sz w:val="24"/>
          <w:szCs w:val="24"/>
          <w:highlight w:val="none"/>
        </w:rPr>
      </w:pPr>
      <w:r>
        <w:rPr>
          <w:rFonts w:hint="eastAsia" w:ascii="宋体" w:hAnsi="宋体" w:eastAsia="宋体" w:cs="宋体"/>
          <w:b w:val="0"/>
          <w:color w:val="000000"/>
          <w:sz w:val="24"/>
          <w:szCs w:val="24"/>
          <w:highlight w:val="none"/>
        </w:rPr>
        <w:t>1、</w:t>
      </w:r>
      <w:r>
        <w:rPr>
          <w:rFonts w:hint="eastAsia" w:ascii="宋体" w:hAnsi="宋体" w:eastAsia="宋体" w:cs="宋体"/>
          <w:color w:val="000000"/>
          <w:sz w:val="24"/>
          <w:szCs w:val="24"/>
          <w:highlight w:val="none"/>
        </w:rPr>
        <w:t>投标方的资格声明</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采购人</w:t>
      </w:r>
      <w:r>
        <w:rPr>
          <w:rFonts w:hint="eastAsia" w:ascii="宋体" w:hAnsi="宋体" w:eastAsia="宋体" w:cs="宋体"/>
          <w:color w:val="000000"/>
          <w:sz w:val="24"/>
          <w:szCs w:val="24"/>
          <w:highlight w:val="none"/>
        </w:rPr>
        <w:t>：</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宋体" w:hAnsi="宋体" w:eastAsia="宋体" w:cs="宋体"/>
          <w:color w:val="000000"/>
          <w:sz w:val="24"/>
          <w:szCs w:val="24"/>
          <w:highlight w:val="none"/>
        </w:rPr>
      </w:pP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关于贵方年月日发出的</w:t>
      </w:r>
      <w:r>
        <w:rPr>
          <w:rFonts w:hint="eastAsia" w:ascii="宋体" w:hAnsi="宋体" w:eastAsia="宋体" w:cs="宋体"/>
          <w:color w:val="000000"/>
          <w:sz w:val="24"/>
          <w:szCs w:val="24"/>
          <w:highlight w:val="none"/>
          <w:u w:val="single"/>
        </w:rPr>
        <w:t xml:space="preserve">     （项目名称）  （项目编号：  ）</w:t>
      </w:r>
      <w:r>
        <w:rPr>
          <w:rFonts w:hint="eastAsia" w:ascii="宋体" w:hAnsi="宋体" w:eastAsia="宋体" w:cs="宋体"/>
          <w:color w:val="000000"/>
          <w:sz w:val="24"/>
          <w:szCs w:val="24"/>
          <w:highlight w:val="none"/>
        </w:rPr>
        <w:t>项目招标文件，本投标方愿意参加投标，并证明资格文件中和所要求的说明是真实和准确无误的。</w:t>
      </w:r>
    </w:p>
    <w:p>
      <w:pPr>
        <w:keepNext w:val="0"/>
        <w:keepLines w:val="0"/>
        <w:pageBreakBefore w:val="0"/>
        <w:kinsoku/>
        <w:wordWrap/>
        <w:overflowPunct/>
        <w:topLinePunct w:val="0"/>
        <w:autoSpaceDE/>
        <w:autoSpaceDN/>
        <w:bidi w:val="0"/>
        <w:adjustRightInd/>
        <w:snapToGrid/>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本投标方对可能要求的进一步的资格资料表示理解和同意，并同意按贵方的要求提供任何有关资料。</w:t>
      </w:r>
    </w:p>
    <w:p>
      <w:pPr>
        <w:keepNext w:val="0"/>
        <w:keepLines w:val="0"/>
        <w:pageBreakBefore w:val="0"/>
        <w:kinsoku/>
        <w:wordWrap/>
        <w:overflowPunct/>
        <w:topLinePunct w:val="0"/>
        <w:autoSpaceDE/>
        <w:autoSpaceDN/>
        <w:bidi w:val="0"/>
        <w:adjustRightInd/>
        <w:snapToGrid/>
        <w:spacing w:beforeAutospacing="0" w:afterAutospacing="0" w:line="400" w:lineRule="exact"/>
        <w:ind w:firstLine="576"/>
        <w:textAlignment w:val="auto"/>
        <w:rPr>
          <w:rFonts w:hint="eastAsia" w:ascii="宋体" w:hAnsi="宋体" w:eastAsia="宋体" w:cs="宋体"/>
          <w:color w:val="000000"/>
          <w:sz w:val="24"/>
          <w:szCs w:val="24"/>
          <w:highlight w:val="none"/>
        </w:rPr>
      </w:pPr>
    </w:p>
    <w:p>
      <w:pPr>
        <w:keepNext w:val="0"/>
        <w:keepLines w:val="0"/>
        <w:pageBreakBefore w:val="0"/>
        <w:kinsoku/>
        <w:wordWrap/>
        <w:overflowPunct/>
        <w:topLinePunct w:val="0"/>
        <w:autoSpaceDE/>
        <w:autoSpaceDN/>
        <w:bidi w:val="0"/>
        <w:adjustRightInd/>
        <w:snapToGrid/>
        <w:spacing w:beforeAutospacing="0" w:afterAutospacing="0" w:line="400" w:lineRule="exact"/>
        <w:ind w:firstLine="576"/>
        <w:textAlignment w:val="auto"/>
        <w:rPr>
          <w:rFonts w:hint="eastAsia" w:ascii="宋体" w:hAnsi="宋体" w:eastAsia="宋体" w:cs="宋体"/>
          <w:color w:val="000000"/>
          <w:sz w:val="24"/>
          <w:szCs w:val="24"/>
          <w:highlight w:val="none"/>
        </w:rPr>
      </w:pPr>
    </w:p>
    <w:p>
      <w:pPr>
        <w:keepNext w:val="0"/>
        <w:keepLines w:val="0"/>
        <w:pageBreakBefore w:val="0"/>
        <w:kinsoku/>
        <w:wordWrap/>
        <w:overflowPunct/>
        <w:topLinePunct w:val="0"/>
        <w:autoSpaceDE/>
        <w:autoSpaceDN/>
        <w:bidi w:val="0"/>
        <w:adjustRightInd/>
        <w:snapToGrid/>
        <w:spacing w:beforeAutospacing="0" w:afterAutospacing="0" w:line="400" w:lineRule="exact"/>
        <w:ind w:firstLine="576"/>
        <w:textAlignment w:val="auto"/>
        <w:rPr>
          <w:rFonts w:hint="eastAsia" w:ascii="宋体" w:hAnsi="宋体" w:eastAsia="宋体" w:cs="宋体"/>
          <w:color w:val="000000"/>
          <w:sz w:val="24"/>
          <w:szCs w:val="24"/>
          <w:highlight w:val="none"/>
        </w:rPr>
      </w:pPr>
    </w:p>
    <w:p>
      <w:pPr>
        <w:keepNext w:val="0"/>
        <w:keepLines w:val="0"/>
        <w:pageBreakBefore w:val="0"/>
        <w:kinsoku/>
        <w:wordWrap/>
        <w:overflowPunct/>
        <w:topLinePunct w:val="0"/>
        <w:autoSpaceDE/>
        <w:autoSpaceDN/>
        <w:bidi w:val="0"/>
        <w:adjustRightInd/>
        <w:snapToGrid/>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投标单位名称： （单位公章）</w:t>
      </w:r>
    </w:p>
    <w:p>
      <w:pPr>
        <w:keepNext w:val="0"/>
        <w:keepLines w:val="0"/>
        <w:pageBreakBefore w:val="0"/>
        <w:kinsoku/>
        <w:wordWrap/>
        <w:overflowPunct/>
        <w:topLinePunct w:val="0"/>
        <w:autoSpaceDE/>
        <w:autoSpaceDN/>
        <w:bidi w:val="0"/>
        <w:adjustRightInd/>
        <w:snapToGrid/>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法定代表人或授权代表人：（签字或盖章）</w:t>
      </w:r>
    </w:p>
    <w:p>
      <w:pPr>
        <w:keepNext w:val="0"/>
        <w:keepLines w:val="0"/>
        <w:pageBreakBefore w:val="0"/>
        <w:kinsoku/>
        <w:wordWrap/>
        <w:overflowPunct/>
        <w:topLinePunct w:val="0"/>
        <w:autoSpaceDE/>
        <w:autoSpaceDN/>
        <w:bidi w:val="0"/>
        <w:adjustRightInd/>
        <w:snapToGrid/>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地址：</w:t>
      </w:r>
    </w:p>
    <w:p>
      <w:pPr>
        <w:keepNext w:val="0"/>
        <w:keepLines w:val="0"/>
        <w:pageBreakBefore w:val="0"/>
        <w:kinsoku/>
        <w:wordWrap/>
        <w:overflowPunct/>
        <w:topLinePunct w:val="0"/>
        <w:autoSpaceDE/>
        <w:autoSpaceDN/>
        <w:bidi w:val="0"/>
        <w:adjustRightInd/>
        <w:snapToGrid/>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传真：</w:t>
      </w:r>
    </w:p>
    <w:p>
      <w:pPr>
        <w:keepNext w:val="0"/>
        <w:keepLines w:val="0"/>
        <w:pageBreakBefore w:val="0"/>
        <w:kinsoku/>
        <w:wordWrap/>
        <w:overflowPunct/>
        <w:topLinePunct w:val="0"/>
        <w:autoSpaceDE/>
        <w:autoSpaceDN/>
        <w:bidi w:val="0"/>
        <w:adjustRightInd/>
        <w:snapToGrid/>
        <w:spacing w:beforeAutospacing="0" w:afterAutospacing="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电话：</w:t>
      </w:r>
    </w:p>
    <w:p>
      <w:pPr>
        <w:pageBreakBefore w:val="0"/>
        <w:kinsoku/>
        <w:wordWrap/>
        <w:overflowPunct/>
        <w:topLinePunct w:val="0"/>
        <w:bidi w:val="0"/>
        <w:spacing w:beforeAutospacing="0" w:afterAutospacing="0" w:line="400" w:lineRule="exact"/>
        <w:jc w:val="center"/>
        <w:rPr>
          <w:rFonts w:hint="eastAsia" w:ascii="宋体" w:hAnsi="宋体" w:eastAsia="宋体" w:cs="宋体"/>
          <w:b/>
          <w:color w:val="000000"/>
          <w:sz w:val="24"/>
          <w:szCs w:val="24"/>
          <w:highlight w:val="none"/>
        </w:rPr>
      </w:pPr>
    </w:p>
    <w:p>
      <w:pPr>
        <w:pageBreakBefore w:val="0"/>
        <w:kinsoku/>
        <w:wordWrap/>
        <w:overflowPunct/>
        <w:topLinePunct w:val="0"/>
        <w:bidi w:val="0"/>
        <w:spacing w:beforeAutospacing="0" w:afterAutospacing="0" w:line="400" w:lineRule="exact"/>
        <w:jc w:val="center"/>
        <w:rPr>
          <w:rFonts w:hint="eastAsia" w:ascii="宋体" w:hAnsi="宋体" w:eastAsia="宋体" w:cs="宋体"/>
          <w:b/>
          <w:color w:val="000000"/>
          <w:sz w:val="24"/>
          <w:szCs w:val="24"/>
          <w:highlight w:val="none"/>
        </w:rPr>
      </w:pPr>
    </w:p>
    <w:p>
      <w:pPr>
        <w:pageBreakBefore w:val="0"/>
        <w:kinsoku/>
        <w:wordWrap/>
        <w:overflowPunct/>
        <w:topLinePunct w:val="0"/>
        <w:bidi w:val="0"/>
        <w:spacing w:beforeAutospacing="0" w:afterAutospacing="0" w:line="400" w:lineRule="exact"/>
        <w:jc w:val="center"/>
        <w:rPr>
          <w:rFonts w:hint="eastAsia" w:ascii="宋体" w:hAnsi="宋体" w:eastAsia="宋体" w:cs="宋体"/>
          <w:b/>
          <w:color w:val="000000"/>
          <w:sz w:val="24"/>
          <w:szCs w:val="24"/>
          <w:highlight w:val="none"/>
        </w:rPr>
      </w:pPr>
    </w:p>
    <w:p>
      <w:pPr>
        <w:pageBreakBefore w:val="0"/>
        <w:kinsoku/>
        <w:wordWrap/>
        <w:overflowPunct/>
        <w:topLinePunct w:val="0"/>
        <w:bidi w:val="0"/>
        <w:spacing w:beforeAutospacing="0" w:afterAutospacing="0" w:line="400" w:lineRule="exact"/>
        <w:jc w:val="center"/>
        <w:rPr>
          <w:rFonts w:hint="eastAsia" w:ascii="宋体" w:hAnsi="宋体" w:eastAsia="宋体" w:cs="宋体"/>
          <w:b/>
          <w:color w:val="000000"/>
          <w:sz w:val="24"/>
          <w:szCs w:val="24"/>
          <w:highlight w:val="none"/>
        </w:rPr>
      </w:pPr>
    </w:p>
    <w:p>
      <w:pPr>
        <w:pageBreakBefore w:val="0"/>
        <w:kinsoku/>
        <w:wordWrap/>
        <w:overflowPunct/>
        <w:topLinePunct w:val="0"/>
        <w:bidi w:val="0"/>
        <w:spacing w:beforeAutospacing="0" w:afterAutospacing="0" w:line="400" w:lineRule="exact"/>
        <w:jc w:val="center"/>
        <w:rPr>
          <w:rFonts w:hint="eastAsia" w:ascii="宋体" w:hAnsi="宋体" w:eastAsia="宋体" w:cs="宋体"/>
          <w:b/>
          <w:color w:val="000000"/>
          <w:sz w:val="24"/>
          <w:szCs w:val="24"/>
          <w:highlight w:val="none"/>
        </w:rPr>
      </w:pPr>
    </w:p>
    <w:p>
      <w:pPr>
        <w:pStyle w:val="8"/>
        <w:pageBreakBefore w:val="0"/>
        <w:kinsoku/>
        <w:wordWrap/>
        <w:overflowPunct/>
        <w:topLinePunct w:val="0"/>
        <w:bidi w:val="0"/>
        <w:spacing w:beforeAutospacing="0" w:afterAutospacing="0" w:line="400" w:lineRule="exact"/>
        <w:rPr>
          <w:rFonts w:hint="eastAsia" w:ascii="宋体" w:hAnsi="宋体" w:eastAsia="宋体" w:cs="宋体"/>
          <w:b/>
          <w:color w:val="000000"/>
          <w:sz w:val="24"/>
          <w:szCs w:val="24"/>
          <w:highlight w:val="none"/>
        </w:rPr>
      </w:pPr>
    </w:p>
    <w:p>
      <w:pPr>
        <w:pStyle w:val="9"/>
        <w:pageBreakBefore w:val="0"/>
        <w:kinsoku/>
        <w:wordWrap/>
        <w:overflowPunct/>
        <w:topLinePunct w:val="0"/>
        <w:bidi w:val="0"/>
        <w:spacing w:before="0" w:beforeAutospacing="0" w:afterAutospacing="0" w:line="400" w:lineRule="exact"/>
        <w:rPr>
          <w:rFonts w:hint="eastAsia" w:ascii="宋体" w:hAnsi="宋体" w:eastAsia="宋体" w:cs="宋体"/>
          <w:sz w:val="24"/>
          <w:szCs w:val="24"/>
        </w:rPr>
      </w:pPr>
    </w:p>
    <w:p>
      <w:pPr>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ageBreakBefore w:val="0"/>
        <w:kinsoku/>
        <w:wordWrap/>
        <w:overflowPunct/>
        <w:topLinePunct w:val="0"/>
        <w:bidi w:val="0"/>
        <w:spacing w:beforeAutospacing="0" w:afterAutospacing="0" w:line="400" w:lineRule="exact"/>
        <w:jc w:val="center"/>
        <w:rPr>
          <w:rFonts w:hint="eastAsia" w:ascii="宋体" w:hAnsi="宋体" w:eastAsia="宋体" w:cs="宋体"/>
          <w:b/>
          <w:color w:val="000000"/>
          <w:sz w:val="24"/>
          <w:szCs w:val="24"/>
          <w:highlight w:val="none"/>
        </w:rPr>
      </w:pPr>
    </w:p>
    <w:p>
      <w:pPr>
        <w:pageBreakBefore w:val="0"/>
        <w:kinsoku/>
        <w:wordWrap/>
        <w:overflowPunct/>
        <w:topLinePunct w:val="0"/>
        <w:bidi w:val="0"/>
        <w:spacing w:beforeAutospacing="0" w:afterAutospacing="0" w:line="400" w:lineRule="exact"/>
        <w:jc w:val="center"/>
        <w:rPr>
          <w:rFonts w:hint="eastAsia" w:ascii="宋体" w:hAnsi="宋体" w:eastAsia="宋体" w:cs="宋体"/>
          <w:b/>
          <w:color w:val="000000"/>
          <w:sz w:val="24"/>
          <w:szCs w:val="24"/>
          <w:highlight w:val="none"/>
        </w:rPr>
      </w:pPr>
    </w:p>
    <w:p>
      <w:pPr>
        <w:pageBreakBefore w:val="0"/>
        <w:kinsoku/>
        <w:wordWrap/>
        <w:overflowPunct/>
        <w:topLinePunct w:val="0"/>
        <w:bidi w:val="0"/>
        <w:spacing w:beforeAutospacing="0" w:afterAutospacing="0" w:line="400" w:lineRule="exact"/>
        <w:jc w:val="center"/>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2、投标单位简介</w:t>
      </w:r>
    </w:p>
    <w:tbl>
      <w:tblPr>
        <w:tblStyle w:val="23"/>
        <w:tblpPr w:leftFromText="180" w:rightFromText="180" w:vertAnchor="text" w:horzAnchor="page" w:tblpX="1135" w:tblpY="566"/>
        <w:tblOverlap w:val="never"/>
        <w:tblW w:w="9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5"/>
        <w:gridCol w:w="2743"/>
        <w:gridCol w:w="718"/>
        <w:gridCol w:w="1408"/>
        <w:gridCol w:w="3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trPr>
        <w:tc>
          <w:tcPr>
            <w:tcW w:w="2035" w:type="dxa"/>
            <w:vAlign w:val="center"/>
          </w:tcPr>
          <w:p>
            <w:pPr>
              <w:pStyle w:val="14"/>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投标人全称</w:t>
            </w:r>
          </w:p>
        </w:tc>
        <w:tc>
          <w:tcPr>
            <w:tcW w:w="2743" w:type="dxa"/>
            <w:vAlign w:val="center"/>
          </w:tcPr>
          <w:p>
            <w:pPr>
              <w:pStyle w:val="14"/>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snapToGrid w:val="0"/>
                <w:kern w:val="0"/>
                <w:sz w:val="24"/>
                <w:szCs w:val="24"/>
                <w:highlight w:val="none"/>
              </w:rPr>
            </w:pPr>
          </w:p>
        </w:tc>
        <w:tc>
          <w:tcPr>
            <w:tcW w:w="2126" w:type="dxa"/>
            <w:gridSpan w:val="2"/>
            <w:vAlign w:val="center"/>
          </w:tcPr>
          <w:p>
            <w:pPr>
              <w:pStyle w:val="14"/>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企业性质</w:t>
            </w:r>
          </w:p>
        </w:tc>
        <w:tc>
          <w:tcPr>
            <w:tcW w:w="3084" w:type="dxa"/>
            <w:vAlign w:val="center"/>
          </w:tcPr>
          <w:p>
            <w:pPr>
              <w:pStyle w:val="14"/>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snapToGrid w:val="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trPr>
        <w:tc>
          <w:tcPr>
            <w:tcW w:w="2035" w:type="dxa"/>
            <w:vAlign w:val="center"/>
          </w:tcPr>
          <w:p>
            <w:pPr>
              <w:pStyle w:val="14"/>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地址</w:t>
            </w:r>
          </w:p>
        </w:tc>
        <w:tc>
          <w:tcPr>
            <w:tcW w:w="2743" w:type="dxa"/>
            <w:vAlign w:val="center"/>
          </w:tcPr>
          <w:p>
            <w:pPr>
              <w:pStyle w:val="14"/>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snapToGrid w:val="0"/>
                <w:kern w:val="0"/>
                <w:sz w:val="24"/>
                <w:szCs w:val="24"/>
                <w:highlight w:val="none"/>
              </w:rPr>
            </w:pPr>
          </w:p>
        </w:tc>
        <w:tc>
          <w:tcPr>
            <w:tcW w:w="2126" w:type="dxa"/>
            <w:gridSpan w:val="2"/>
            <w:vAlign w:val="center"/>
          </w:tcPr>
          <w:p>
            <w:pPr>
              <w:pStyle w:val="14"/>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电话/传真</w:t>
            </w:r>
          </w:p>
        </w:tc>
        <w:tc>
          <w:tcPr>
            <w:tcW w:w="3084" w:type="dxa"/>
            <w:vAlign w:val="center"/>
          </w:tcPr>
          <w:p>
            <w:pPr>
              <w:pStyle w:val="14"/>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snapToGrid w:val="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trPr>
        <w:tc>
          <w:tcPr>
            <w:tcW w:w="2035" w:type="dxa"/>
            <w:vAlign w:val="center"/>
          </w:tcPr>
          <w:p>
            <w:pPr>
              <w:pStyle w:val="14"/>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成立年月</w:t>
            </w:r>
          </w:p>
        </w:tc>
        <w:tc>
          <w:tcPr>
            <w:tcW w:w="2743" w:type="dxa"/>
            <w:vAlign w:val="center"/>
          </w:tcPr>
          <w:p>
            <w:pPr>
              <w:pStyle w:val="14"/>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snapToGrid w:val="0"/>
                <w:kern w:val="0"/>
                <w:sz w:val="24"/>
                <w:szCs w:val="24"/>
                <w:highlight w:val="none"/>
              </w:rPr>
            </w:pPr>
          </w:p>
        </w:tc>
        <w:tc>
          <w:tcPr>
            <w:tcW w:w="2126" w:type="dxa"/>
            <w:gridSpan w:val="2"/>
            <w:vMerge w:val="restart"/>
            <w:vAlign w:val="center"/>
          </w:tcPr>
          <w:p>
            <w:pPr>
              <w:pStyle w:val="14"/>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经营范围</w:t>
            </w:r>
          </w:p>
        </w:tc>
        <w:tc>
          <w:tcPr>
            <w:tcW w:w="3084" w:type="dxa"/>
            <w:vMerge w:val="restart"/>
            <w:vAlign w:val="center"/>
          </w:tcPr>
          <w:p>
            <w:pPr>
              <w:pStyle w:val="14"/>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snapToGrid w:val="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trPr>
        <w:tc>
          <w:tcPr>
            <w:tcW w:w="2035" w:type="dxa"/>
            <w:vAlign w:val="center"/>
          </w:tcPr>
          <w:p>
            <w:pPr>
              <w:pStyle w:val="14"/>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营业执照号码</w:t>
            </w:r>
          </w:p>
        </w:tc>
        <w:tc>
          <w:tcPr>
            <w:tcW w:w="2743" w:type="dxa"/>
            <w:vAlign w:val="center"/>
          </w:tcPr>
          <w:p>
            <w:pPr>
              <w:pStyle w:val="14"/>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snapToGrid w:val="0"/>
                <w:kern w:val="0"/>
                <w:sz w:val="24"/>
                <w:szCs w:val="24"/>
                <w:highlight w:val="none"/>
              </w:rPr>
            </w:pPr>
          </w:p>
        </w:tc>
        <w:tc>
          <w:tcPr>
            <w:tcW w:w="2126" w:type="dxa"/>
            <w:gridSpan w:val="2"/>
            <w:vMerge w:val="continue"/>
            <w:vAlign w:val="center"/>
          </w:tcPr>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p>
        </w:tc>
        <w:tc>
          <w:tcPr>
            <w:tcW w:w="3084" w:type="dxa"/>
            <w:vMerge w:val="continue"/>
            <w:vAlign w:val="center"/>
          </w:tcPr>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trPr>
        <w:tc>
          <w:tcPr>
            <w:tcW w:w="2035" w:type="dxa"/>
            <w:vAlign w:val="center"/>
          </w:tcPr>
          <w:p>
            <w:pPr>
              <w:pStyle w:val="14"/>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注册资金</w:t>
            </w:r>
          </w:p>
        </w:tc>
        <w:tc>
          <w:tcPr>
            <w:tcW w:w="2743" w:type="dxa"/>
            <w:vAlign w:val="center"/>
          </w:tcPr>
          <w:p>
            <w:pPr>
              <w:pStyle w:val="14"/>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snapToGrid w:val="0"/>
                <w:kern w:val="0"/>
                <w:sz w:val="24"/>
                <w:szCs w:val="24"/>
                <w:highlight w:val="none"/>
              </w:rPr>
            </w:pPr>
          </w:p>
        </w:tc>
        <w:tc>
          <w:tcPr>
            <w:tcW w:w="2126" w:type="dxa"/>
            <w:gridSpan w:val="2"/>
            <w:vAlign w:val="center"/>
          </w:tcPr>
          <w:p>
            <w:pPr>
              <w:pStyle w:val="14"/>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职工人数</w:t>
            </w:r>
          </w:p>
        </w:tc>
        <w:tc>
          <w:tcPr>
            <w:tcW w:w="3084" w:type="dxa"/>
            <w:vAlign w:val="center"/>
          </w:tcPr>
          <w:p>
            <w:pPr>
              <w:pStyle w:val="14"/>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snapToGrid w:val="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trPr>
        <w:tc>
          <w:tcPr>
            <w:tcW w:w="2035" w:type="dxa"/>
            <w:vMerge w:val="restart"/>
            <w:vAlign w:val="center"/>
          </w:tcPr>
          <w:p>
            <w:pPr>
              <w:pStyle w:val="14"/>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公司所获证书</w:t>
            </w:r>
          </w:p>
        </w:tc>
        <w:tc>
          <w:tcPr>
            <w:tcW w:w="2743" w:type="dxa"/>
            <w:vAlign w:val="center"/>
          </w:tcPr>
          <w:p>
            <w:pPr>
              <w:pStyle w:val="14"/>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snapToGrid w:val="0"/>
                <w:kern w:val="0"/>
                <w:sz w:val="24"/>
                <w:szCs w:val="24"/>
                <w:highlight w:val="none"/>
              </w:rPr>
            </w:pPr>
          </w:p>
        </w:tc>
        <w:tc>
          <w:tcPr>
            <w:tcW w:w="718" w:type="dxa"/>
            <w:vMerge w:val="restart"/>
            <w:vAlign w:val="center"/>
          </w:tcPr>
          <w:p>
            <w:pPr>
              <w:pStyle w:val="14"/>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其</w:t>
            </w:r>
          </w:p>
          <w:p>
            <w:pPr>
              <w:pStyle w:val="14"/>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中</w:t>
            </w:r>
          </w:p>
        </w:tc>
        <w:tc>
          <w:tcPr>
            <w:tcW w:w="1408" w:type="dxa"/>
            <w:vAlign w:val="center"/>
          </w:tcPr>
          <w:p>
            <w:pPr>
              <w:pStyle w:val="14"/>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管理人员</w:t>
            </w:r>
          </w:p>
        </w:tc>
        <w:tc>
          <w:tcPr>
            <w:tcW w:w="3084" w:type="dxa"/>
            <w:vAlign w:val="center"/>
          </w:tcPr>
          <w:p>
            <w:pPr>
              <w:pStyle w:val="14"/>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snapToGrid w:val="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trPr>
        <w:tc>
          <w:tcPr>
            <w:tcW w:w="2035" w:type="dxa"/>
            <w:vMerge w:val="continue"/>
            <w:vAlign w:val="center"/>
          </w:tcPr>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p>
        </w:tc>
        <w:tc>
          <w:tcPr>
            <w:tcW w:w="2743" w:type="dxa"/>
            <w:vAlign w:val="center"/>
          </w:tcPr>
          <w:p>
            <w:pPr>
              <w:pStyle w:val="14"/>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snapToGrid w:val="0"/>
                <w:kern w:val="0"/>
                <w:sz w:val="24"/>
                <w:szCs w:val="24"/>
                <w:highlight w:val="none"/>
              </w:rPr>
            </w:pPr>
          </w:p>
        </w:tc>
        <w:tc>
          <w:tcPr>
            <w:tcW w:w="718" w:type="dxa"/>
            <w:vMerge w:val="continue"/>
            <w:vAlign w:val="center"/>
          </w:tcPr>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p>
        </w:tc>
        <w:tc>
          <w:tcPr>
            <w:tcW w:w="1408" w:type="dxa"/>
            <w:vAlign w:val="center"/>
          </w:tcPr>
          <w:p>
            <w:pPr>
              <w:pStyle w:val="14"/>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技术人员</w:t>
            </w:r>
          </w:p>
        </w:tc>
        <w:tc>
          <w:tcPr>
            <w:tcW w:w="3084" w:type="dxa"/>
            <w:vAlign w:val="center"/>
          </w:tcPr>
          <w:p>
            <w:pPr>
              <w:pStyle w:val="14"/>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snapToGrid w:val="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trPr>
        <w:tc>
          <w:tcPr>
            <w:tcW w:w="2035" w:type="dxa"/>
            <w:vMerge w:val="continue"/>
            <w:vAlign w:val="center"/>
          </w:tcPr>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p>
        </w:tc>
        <w:tc>
          <w:tcPr>
            <w:tcW w:w="2743" w:type="dxa"/>
            <w:vAlign w:val="center"/>
          </w:tcPr>
          <w:p>
            <w:pPr>
              <w:pStyle w:val="14"/>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snapToGrid w:val="0"/>
                <w:kern w:val="0"/>
                <w:sz w:val="24"/>
                <w:szCs w:val="24"/>
                <w:highlight w:val="none"/>
              </w:rPr>
            </w:pPr>
          </w:p>
        </w:tc>
        <w:tc>
          <w:tcPr>
            <w:tcW w:w="718" w:type="dxa"/>
            <w:vMerge w:val="continue"/>
            <w:vAlign w:val="center"/>
          </w:tcPr>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p>
        </w:tc>
        <w:tc>
          <w:tcPr>
            <w:tcW w:w="1408" w:type="dxa"/>
            <w:vAlign w:val="center"/>
          </w:tcPr>
          <w:p>
            <w:pPr>
              <w:pStyle w:val="14"/>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工人</w:t>
            </w:r>
          </w:p>
        </w:tc>
        <w:tc>
          <w:tcPr>
            <w:tcW w:w="3084" w:type="dxa"/>
            <w:vAlign w:val="center"/>
          </w:tcPr>
          <w:p>
            <w:pPr>
              <w:pStyle w:val="14"/>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snapToGrid w:val="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exact"/>
        </w:trPr>
        <w:tc>
          <w:tcPr>
            <w:tcW w:w="2035" w:type="dxa"/>
            <w:vMerge w:val="restart"/>
            <w:vAlign w:val="center"/>
          </w:tcPr>
          <w:p>
            <w:pPr>
              <w:pStyle w:val="14"/>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固定资产</w:t>
            </w:r>
          </w:p>
        </w:tc>
        <w:tc>
          <w:tcPr>
            <w:tcW w:w="2743" w:type="dxa"/>
            <w:vAlign w:val="center"/>
          </w:tcPr>
          <w:p>
            <w:pPr>
              <w:pStyle w:val="14"/>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原值          万元</w:t>
            </w:r>
          </w:p>
        </w:tc>
        <w:tc>
          <w:tcPr>
            <w:tcW w:w="2126" w:type="dxa"/>
            <w:gridSpan w:val="2"/>
            <w:vMerge w:val="restart"/>
            <w:vAlign w:val="center"/>
          </w:tcPr>
          <w:p>
            <w:pPr>
              <w:pStyle w:val="14"/>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流动资金</w:t>
            </w:r>
          </w:p>
        </w:tc>
        <w:tc>
          <w:tcPr>
            <w:tcW w:w="3084" w:type="dxa"/>
            <w:vMerge w:val="restart"/>
            <w:vAlign w:val="center"/>
          </w:tcPr>
          <w:p>
            <w:pPr>
              <w:pStyle w:val="14"/>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exact"/>
        </w:trPr>
        <w:tc>
          <w:tcPr>
            <w:tcW w:w="2035" w:type="dxa"/>
            <w:vMerge w:val="continue"/>
            <w:vAlign w:val="center"/>
          </w:tcPr>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p>
        </w:tc>
        <w:tc>
          <w:tcPr>
            <w:tcW w:w="2743" w:type="dxa"/>
            <w:vAlign w:val="center"/>
          </w:tcPr>
          <w:p>
            <w:pPr>
              <w:pStyle w:val="14"/>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净值          万元</w:t>
            </w:r>
          </w:p>
        </w:tc>
        <w:tc>
          <w:tcPr>
            <w:tcW w:w="2126" w:type="dxa"/>
            <w:gridSpan w:val="2"/>
            <w:vMerge w:val="continue"/>
            <w:vAlign w:val="center"/>
          </w:tcPr>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p>
        </w:tc>
        <w:tc>
          <w:tcPr>
            <w:tcW w:w="3084" w:type="dxa"/>
            <w:vMerge w:val="continue"/>
            <w:vAlign w:val="center"/>
          </w:tcPr>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exact"/>
        </w:trPr>
        <w:tc>
          <w:tcPr>
            <w:tcW w:w="2035" w:type="dxa"/>
            <w:vMerge w:val="restart"/>
            <w:tcBorders>
              <w:bottom w:val="single" w:color="auto" w:sz="4" w:space="0"/>
            </w:tcBorders>
            <w:vAlign w:val="center"/>
          </w:tcPr>
          <w:p>
            <w:pPr>
              <w:pStyle w:val="14"/>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上年度主要经济指标</w:t>
            </w:r>
          </w:p>
        </w:tc>
        <w:tc>
          <w:tcPr>
            <w:tcW w:w="7953" w:type="dxa"/>
            <w:gridSpan w:val="4"/>
            <w:tcBorders>
              <w:bottom w:val="single" w:color="auto" w:sz="4" w:space="0"/>
            </w:tcBorders>
            <w:vAlign w:val="center"/>
          </w:tcPr>
          <w:p>
            <w:pPr>
              <w:pStyle w:val="14"/>
              <w:pageBreakBefore w:val="0"/>
              <w:kinsoku/>
              <w:wordWrap/>
              <w:overflowPunct/>
              <w:topLinePunct w:val="0"/>
              <w:bidi w:val="0"/>
              <w:adjustRightInd w:val="0"/>
              <w:snapToGrid w:val="0"/>
              <w:spacing w:beforeAutospacing="0" w:afterAutospacing="0" w:line="400" w:lineRule="exact"/>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服务总产值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exact"/>
        </w:trPr>
        <w:tc>
          <w:tcPr>
            <w:tcW w:w="2035" w:type="dxa"/>
            <w:vMerge w:val="continue"/>
            <w:vAlign w:val="center"/>
          </w:tcPr>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p>
        </w:tc>
        <w:tc>
          <w:tcPr>
            <w:tcW w:w="7953" w:type="dxa"/>
            <w:gridSpan w:val="4"/>
            <w:vAlign w:val="center"/>
          </w:tcPr>
          <w:p>
            <w:pPr>
              <w:pStyle w:val="14"/>
              <w:pageBreakBefore w:val="0"/>
              <w:kinsoku/>
              <w:wordWrap/>
              <w:overflowPunct/>
              <w:topLinePunct w:val="0"/>
              <w:bidi w:val="0"/>
              <w:adjustRightInd w:val="0"/>
              <w:snapToGrid w:val="0"/>
              <w:spacing w:beforeAutospacing="0" w:afterAutospacing="0" w:line="400" w:lineRule="exact"/>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实现利润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5" w:hRule="atLeast"/>
        </w:trPr>
        <w:tc>
          <w:tcPr>
            <w:tcW w:w="2035" w:type="dxa"/>
            <w:vAlign w:val="center"/>
          </w:tcPr>
          <w:p>
            <w:pPr>
              <w:pStyle w:val="14"/>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snapToGrid w:val="0"/>
                <w:kern w:val="0"/>
                <w:sz w:val="24"/>
                <w:szCs w:val="24"/>
                <w:highlight w:val="none"/>
              </w:rPr>
            </w:pPr>
            <w:r>
              <w:rPr>
                <w:rFonts w:hint="eastAsia" w:ascii="宋体" w:hAnsi="宋体" w:eastAsia="宋体" w:cs="宋体"/>
                <w:snapToGrid w:val="0"/>
                <w:kern w:val="0"/>
                <w:sz w:val="24"/>
                <w:szCs w:val="24"/>
                <w:highlight w:val="none"/>
              </w:rPr>
              <w:t>企业简介</w:t>
            </w:r>
          </w:p>
        </w:tc>
        <w:tc>
          <w:tcPr>
            <w:tcW w:w="7953" w:type="dxa"/>
            <w:gridSpan w:val="4"/>
            <w:vAlign w:val="center"/>
          </w:tcPr>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请在简介中说明但不限于以下内容：</w:t>
            </w:r>
          </w:p>
          <w:p>
            <w:pPr>
              <w:pageBreakBefore w:val="0"/>
              <w:numPr>
                <w:ilvl w:val="0"/>
                <w:numId w:val="7"/>
              </w:numPr>
              <w:kinsoku/>
              <w:wordWrap/>
              <w:overflowPunct/>
              <w:topLinePunct w:val="0"/>
              <w:bidi w:val="0"/>
              <w:spacing w:beforeAutospacing="0" w:afterAutospacing="0" w:line="40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是否具有健全稳定的组织结构；</w:t>
            </w:r>
          </w:p>
          <w:p>
            <w:pPr>
              <w:pageBreakBefore w:val="0"/>
              <w:numPr>
                <w:ilvl w:val="0"/>
                <w:numId w:val="7"/>
              </w:numPr>
              <w:kinsoku/>
              <w:wordWrap/>
              <w:overflowPunct/>
              <w:topLinePunct w:val="0"/>
              <w:bidi w:val="0"/>
              <w:spacing w:beforeAutospacing="0" w:afterAutospacing="0" w:line="40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是否已经具备履行合同所需的人力、财力、物力和服务等相关能力；</w:t>
            </w:r>
          </w:p>
          <w:p>
            <w:pPr>
              <w:pageBreakBefore w:val="0"/>
              <w:numPr>
                <w:ilvl w:val="0"/>
                <w:numId w:val="7"/>
              </w:numPr>
              <w:kinsoku/>
              <w:wordWrap/>
              <w:overflowPunct/>
              <w:topLinePunct w:val="0"/>
              <w:bidi w:val="0"/>
              <w:spacing w:beforeAutospacing="0" w:afterAutospacing="0" w:line="40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是否有较完善的质量保证体系和售后服务体系。</w:t>
            </w:r>
          </w:p>
        </w:tc>
      </w:tr>
    </w:tbl>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p>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加盖单位公章：                           授权代表人签字：</w:t>
      </w:r>
    </w:p>
    <w:p>
      <w:pPr>
        <w:pageBreakBefore w:val="0"/>
        <w:kinsoku/>
        <w:wordWrap/>
        <w:overflowPunct/>
        <w:topLinePunct w:val="0"/>
        <w:bidi w:val="0"/>
        <w:spacing w:beforeAutospacing="0" w:afterAutospacing="0" w:line="400" w:lineRule="exact"/>
        <w:ind w:firstLine="120" w:firstLineChars="50"/>
        <w:jc w:val="righ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年   月   日</w:t>
      </w:r>
    </w:p>
    <w:p>
      <w:pPr>
        <w:pageBreakBefore w:val="0"/>
        <w:kinsoku/>
        <w:wordWrap/>
        <w:overflowPunct/>
        <w:topLinePunct w:val="0"/>
        <w:bidi w:val="0"/>
        <w:spacing w:beforeAutospacing="0" w:afterAutospacing="0" w:line="400" w:lineRule="exact"/>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后附：投标单位相关证件</w:t>
      </w:r>
    </w:p>
    <w:p>
      <w:pPr>
        <w:pageBreakBefore w:val="0"/>
        <w:kinsoku/>
        <w:wordWrap/>
        <w:overflowPunct/>
        <w:topLinePunct w:val="0"/>
        <w:bidi w:val="0"/>
        <w:spacing w:beforeAutospacing="0" w:afterAutospacing="0" w:line="400" w:lineRule="exact"/>
        <w:ind w:firstLine="482" w:firstLineChars="200"/>
        <w:rPr>
          <w:rFonts w:hint="eastAsia" w:ascii="宋体" w:hAnsi="宋体" w:eastAsia="宋体" w:cs="宋体"/>
          <w:b/>
          <w:color w:val="000000"/>
          <w:sz w:val="24"/>
          <w:szCs w:val="24"/>
          <w:highlight w:val="none"/>
        </w:rPr>
      </w:pPr>
    </w:p>
    <w:p>
      <w:pPr>
        <w:pStyle w:val="8"/>
        <w:pageBreakBefore w:val="0"/>
        <w:kinsoku/>
        <w:wordWrap/>
        <w:overflowPunct/>
        <w:topLinePunct w:val="0"/>
        <w:bidi w:val="0"/>
        <w:spacing w:beforeAutospacing="0" w:afterAutospacing="0" w:line="400" w:lineRule="exact"/>
        <w:rPr>
          <w:rFonts w:hint="eastAsia" w:ascii="宋体" w:hAnsi="宋体" w:eastAsia="宋体" w:cs="宋体"/>
          <w:b/>
          <w:color w:val="000000"/>
          <w:sz w:val="24"/>
          <w:szCs w:val="24"/>
          <w:highlight w:val="none"/>
        </w:rPr>
      </w:pPr>
    </w:p>
    <w:p>
      <w:pPr>
        <w:pStyle w:val="9"/>
        <w:pageBreakBefore w:val="0"/>
        <w:kinsoku/>
        <w:wordWrap/>
        <w:overflowPunct/>
        <w:topLinePunct w:val="0"/>
        <w:bidi w:val="0"/>
        <w:spacing w:before="0" w:beforeAutospacing="0" w:afterAutospacing="0" w:line="400" w:lineRule="exact"/>
        <w:rPr>
          <w:rFonts w:hint="eastAsia" w:ascii="宋体" w:hAnsi="宋体" w:eastAsia="宋体" w:cs="宋体"/>
          <w:b/>
          <w:color w:val="000000"/>
          <w:sz w:val="24"/>
          <w:szCs w:val="24"/>
          <w:highlight w:val="none"/>
        </w:rPr>
      </w:pPr>
    </w:p>
    <w:p>
      <w:pPr>
        <w:pageBreakBefore w:val="0"/>
        <w:kinsoku/>
        <w:wordWrap/>
        <w:overflowPunct/>
        <w:topLinePunct w:val="0"/>
        <w:bidi w:val="0"/>
        <w:spacing w:beforeAutospacing="0" w:afterAutospacing="0" w:line="400" w:lineRule="exact"/>
        <w:rPr>
          <w:rFonts w:hint="eastAsia" w:ascii="宋体" w:hAnsi="宋体" w:eastAsia="宋体" w:cs="宋体"/>
          <w:sz w:val="24"/>
          <w:szCs w:val="24"/>
        </w:rPr>
      </w:pPr>
    </w:p>
    <w:p>
      <w:pPr>
        <w:pageBreakBefore w:val="0"/>
        <w:kinsoku/>
        <w:wordWrap/>
        <w:overflowPunct/>
        <w:topLinePunct w:val="0"/>
        <w:bidi w:val="0"/>
        <w:spacing w:beforeAutospacing="0" w:afterAutospacing="0" w:line="400" w:lineRule="exact"/>
        <w:ind w:firstLine="482" w:firstLineChars="200"/>
        <w:rPr>
          <w:rFonts w:hint="eastAsia" w:ascii="宋体" w:hAnsi="宋体" w:eastAsia="宋体" w:cs="宋体"/>
          <w:b/>
          <w:color w:val="000000"/>
          <w:sz w:val="24"/>
          <w:szCs w:val="24"/>
          <w:highlight w:val="none"/>
        </w:rPr>
      </w:pPr>
    </w:p>
    <w:p>
      <w:pPr>
        <w:pStyle w:val="3"/>
        <w:pageBreakBefore w:val="0"/>
        <w:kinsoku/>
        <w:wordWrap/>
        <w:overflowPunct/>
        <w:topLinePunct w:val="0"/>
        <w:bidi w:val="0"/>
        <w:spacing w:beforeAutospacing="0" w:afterAutospacing="0" w:line="400" w:lineRule="exact"/>
        <w:ind w:firstLine="643"/>
        <w:jc w:val="center"/>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3、出具法人营业执照函</w:t>
      </w:r>
    </w:p>
    <w:p>
      <w:pPr>
        <w:pageBreakBefore w:val="0"/>
        <w:kinsoku/>
        <w:wordWrap/>
        <w:overflowPunct/>
        <w:topLinePunct w:val="0"/>
        <w:bidi w:val="0"/>
        <w:spacing w:beforeAutospacing="0" w:afterAutospacing="0" w:line="400" w:lineRule="exact"/>
        <w:rPr>
          <w:rFonts w:hint="eastAsia" w:ascii="宋体" w:hAnsi="宋体" w:eastAsia="宋体" w:cs="宋体"/>
          <w:color w:val="000000"/>
          <w:sz w:val="24"/>
          <w:szCs w:val="24"/>
          <w:highlight w:val="none"/>
        </w:rPr>
      </w:pPr>
    </w:p>
    <w:p>
      <w:pPr>
        <w:pageBreakBefore w:val="0"/>
        <w:kinsoku/>
        <w:wordWrap/>
        <w:overflowPunct/>
        <w:topLinePunct w:val="0"/>
        <w:bidi w:val="0"/>
        <w:spacing w:beforeAutospacing="0" w:afterAutospacing="0" w:line="400" w:lineRule="exac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采购人</w:t>
      </w:r>
      <w:r>
        <w:rPr>
          <w:rFonts w:hint="eastAsia" w:ascii="宋体" w:hAnsi="宋体" w:eastAsia="宋体" w:cs="宋体"/>
          <w:color w:val="000000"/>
          <w:sz w:val="24"/>
          <w:szCs w:val="24"/>
          <w:highlight w:val="none"/>
        </w:rPr>
        <w:t>：</w:t>
      </w:r>
    </w:p>
    <w:p>
      <w:pPr>
        <w:pageBreakBefore w:val="0"/>
        <w:kinsoku/>
        <w:wordWrap/>
        <w:overflowPunct/>
        <w:topLinePunct w:val="0"/>
        <w:bidi w:val="0"/>
        <w:spacing w:beforeAutospacing="0" w:afterAutospacing="0" w:line="400" w:lineRule="exact"/>
        <w:rPr>
          <w:rFonts w:hint="eastAsia" w:ascii="宋体" w:hAnsi="宋体" w:eastAsia="宋体" w:cs="宋体"/>
          <w:color w:val="000000"/>
          <w:sz w:val="24"/>
          <w:szCs w:val="24"/>
          <w:highlight w:val="none"/>
        </w:rPr>
      </w:pPr>
    </w:p>
    <w:p>
      <w:pPr>
        <w:pageBreakBefore w:val="0"/>
        <w:kinsoku/>
        <w:wordWrap/>
        <w:overflowPunct/>
        <w:topLinePunct w:val="0"/>
        <w:bidi w:val="0"/>
        <w:spacing w:beforeAutospacing="0" w:afterAutospacing="0" w:line="400" w:lineRule="exac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现附上由（签发机关名称）签发的我方法人营业执照复印件，该执照已经年检，真实有效。</w:t>
      </w:r>
    </w:p>
    <w:p>
      <w:pPr>
        <w:pageBreakBefore w:val="0"/>
        <w:kinsoku/>
        <w:wordWrap/>
        <w:overflowPunct/>
        <w:topLinePunct w:val="0"/>
        <w:bidi w:val="0"/>
        <w:spacing w:beforeAutospacing="0" w:afterAutospacing="0" w:line="400" w:lineRule="exact"/>
        <w:ind w:firstLine="852"/>
        <w:rPr>
          <w:rFonts w:hint="eastAsia" w:ascii="宋体" w:hAnsi="宋体" w:eastAsia="宋体" w:cs="宋体"/>
          <w:color w:val="000000"/>
          <w:sz w:val="24"/>
          <w:szCs w:val="24"/>
          <w:highlight w:val="none"/>
        </w:rPr>
      </w:pPr>
    </w:p>
    <w:p>
      <w:pPr>
        <w:pageBreakBefore w:val="0"/>
        <w:kinsoku/>
        <w:wordWrap/>
        <w:overflowPunct/>
        <w:topLinePunct w:val="0"/>
        <w:bidi w:val="0"/>
        <w:spacing w:beforeAutospacing="0" w:afterAutospacing="0" w:line="400" w:lineRule="exact"/>
        <w:rPr>
          <w:rFonts w:hint="eastAsia" w:ascii="宋体" w:hAnsi="宋体" w:eastAsia="宋体" w:cs="宋体"/>
          <w:color w:val="000000"/>
          <w:sz w:val="24"/>
          <w:szCs w:val="24"/>
          <w:highlight w:val="none"/>
        </w:rPr>
      </w:pPr>
    </w:p>
    <w:p>
      <w:pPr>
        <w:pageBreakBefore w:val="0"/>
        <w:kinsoku/>
        <w:wordWrap/>
        <w:overflowPunct/>
        <w:topLinePunct w:val="0"/>
        <w:bidi w:val="0"/>
        <w:spacing w:beforeAutospacing="0" w:afterAutospacing="0" w:line="400" w:lineRule="exac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投标单位名称： （单位公章）</w:t>
      </w:r>
    </w:p>
    <w:p>
      <w:pPr>
        <w:pageBreakBefore w:val="0"/>
        <w:kinsoku/>
        <w:wordWrap/>
        <w:overflowPunct/>
        <w:topLinePunct w:val="0"/>
        <w:bidi w:val="0"/>
        <w:spacing w:beforeAutospacing="0" w:afterAutospacing="0" w:line="400" w:lineRule="exact"/>
        <w:rPr>
          <w:rFonts w:hint="eastAsia" w:ascii="宋体" w:hAnsi="宋体" w:eastAsia="宋体" w:cs="宋体"/>
          <w:color w:val="000000"/>
          <w:sz w:val="24"/>
          <w:szCs w:val="24"/>
          <w:highlight w:val="none"/>
        </w:rPr>
      </w:pPr>
    </w:p>
    <w:p>
      <w:pPr>
        <w:pageBreakBefore w:val="0"/>
        <w:kinsoku/>
        <w:wordWrap/>
        <w:overflowPunct/>
        <w:topLinePunct w:val="0"/>
        <w:bidi w:val="0"/>
        <w:spacing w:beforeAutospacing="0" w:afterAutospacing="0" w:line="400" w:lineRule="exact"/>
        <w:rPr>
          <w:rFonts w:hint="eastAsia" w:ascii="宋体" w:hAnsi="宋体" w:eastAsia="宋体" w:cs="宋体"/>
          <w:color w:val="000000"/>
          <w:sz w:val="24"/>
          <w:szCs w:val="24"/>
          <w:highlight w:val="none"/>
        </w:rPr>
      </w:pPr>
    </w:p>
    <w:p>
      <w:pPr>
        <w:pageBreakBefore w:val="0"/>
        <w:kinsoku/>
        <w:wordWrap/>
        <w:overflowPunct/>
        <w:topLinePunct w:val="0"/>
        <w:bidi w:val="0"/>
        <w:spacing w:beforeAutospacing="0" w:afterAutospacing="0" w:line="400" w:lineRule="exac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法定代表人或授权代表人：（签字或盖章）</w:t>
      </w:r>
    </w:p>
    <w:p>
      <w:pPr>
        <w:pageBreakBefore w:val="0"/>
        <w:kinsoku/>
        <w:wordWrap/>
        <w:overflowPunct/>
        <w:topLinePunct w:val="0"/>
        <w:bidi w:val="0"/>
        <w:spacing w:beforeAutospacing="0" w:afterAutospacing="0" w:line="400" w:lineRule="exact"/>
        <w:rPr>
          <w:rFonts w:hint="eastAsia" w:ascii="宋体" w:hAnsi="宋体" w:eastAsia="宋体" w:cs="宋体"/>
          <w:color w:val="000000"/>
          <w:sz w:val="24"/>
          <w:szCs w:val="24"/>
          <w:highlight w:val="none"/>
        </w:rPr>
      </w:pPr>
    </w:p>
    <w:p>
      <w:pPr>
        <w:pageBreakBefore w:val="0"/>
        <w:kinsoku/>
        <w:wordWrap/>
        <w:overflowPunct/>
        <w:topLinePunct w:val="0"/>
        <w:bidi w:val="0"/>
        <w:spacing w:beforeAutospacing="0" w:afterAutospacing="0" w:line="400" w:lineRule="exact"/>
        <w:jc w:val="righ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日期：    年   月   日</w:t>
      </w:r>
    </w:p>
    <w:p>
      <w:pPr>
        <w:pageBreakBefore w:val="0"/>
        <w:kinsoku/>
        <w:wordWrap/>
        <w:overflowPunct/>
        <w:topLinePunct w:val="0"/>
        <w:bidi w:val="0"/>
        <w:spacing w:beforeAutospacing="0" w:afterAutospacing="0" w:line="400" w:lineRule="exact"/>
        <w:rPr>
          <w:rFonts w:hint="eastAsia" w:ascii="宋体" w:hAnsi="宋体" w:eastAsia="宋体" w:cs="宋体"/>
          <w:color w:val="000000"/>
          <w:sz w:val="24"/>
          <w:szCs w:val="24"/>
          <w:highlight w:val="none"/>
        </w:rPr>
      </w:pPr>
    </w:p>
    <w:p>
      <w:pPr>
        <w:pageBreakBefore w:val="0"/>
        <w:kinsoku/>
        <w:wordWrap/>
        <w:overflowPunct/>
        <w:topLinePunct w:val="0"/>
        <w:bidi w:val="0"/>
        <w:spacing w:beforeAutospacing="0" w:afterAutospacing="0" w:line="400" w:lineRule="exact"/>
        <w:jc w:val="left"/>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后附：投标单位营业执照</w:t>
      </w:r>
    </w:p>
    <w:p>
      <w:pPr>
        <w:pageBreakBefore w:val="0"/>
        <w:kinsoku/>
        <w:wordWrap/>
        <w:overflowPunct/>
        <w:topLinePunct w:val="0"/>
        <w:bidi w:val="0"/>
        <w:spacing w:beforeAutospacing="0" w:afterAutospacing="0" w:line="400" w:lineRule="exact"/>
        <w:rPr>
          <w:rFonts w:hint="eastAsia" w:ascii="宋体" w:hAnsi="宋体" w:eastAsia="宋体" w:cs="宋体"/>
          <w:b/>
          <w:color w:val="000000"/>
          <w:sz w:val="24"/>
          <w:szCs w:val="24"/>
          <w:highlight w:val="none"/>
        </w:rPr>
      </w:pPr>
    </w:p>
    <w:p>
      <w:pPr>
        <w:pStyle w:val="3"/>
        <w:pageBreakBefore w:val="0"/>
        <w:kinsoku/>
        <w:wordWrap/>
        <w:overflowPunct/>
        <w:topLinePunct w:val="0"/>
        <w:bidi w:val="0"/>
        <w:spacing w:beforeAutospacing="0" w:afterAutospacing="0" w:line="400" w:lineRule="exact"/>
        <w:ind w:firstLine="643"/>
        <w:jc w:val="center"/>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4、法定代表人身份证明（法定代表人投标提供）</w:t>
      </w:r>
    </w:p>
    <w:p>
      <w:pPr>
        <w:pStyle w:val="5"/>
        <w:pageBreakBefore w:val="0"/>
        <w:kinsoku/>
        <w:wordWrap/>
        <w:overflowPunct/>
        <w:topLinePunct w:val="0"/>
        <w:bidi w:val="0"/>
        <w:spacing w:before="0" w:beforeAutospacing="0" w:after="0" w:afterAutospacing="0" w:line="400" w:lineRule="exact"/>
        <w:jc w:val="center"/>
        <w:rPr>
          <w:rFonts w:hint="eastAsia" w:ascii="宋体" w:hAnsi="宋体" w:eastAsia="宋体" w:cs="宋体"/>
          <w:color w:val="000000"/>
          <w:sz w:val="24"/>
          <w:szCs w:val="24"/>
          <w:highlight w:val="none"/>
        </w:rPr>
      </w:pPr>
      <w:bookmarkStart w:id="40" w:name="_Toc251236133"/>
      <w:r>
        <w:rPr>
          <w:rFonts w:hint="eastAsia" w:ascii="宋体" w:hAnsi="宋体" w:eastAsia="宋体" w:cs="宋体"/>
          <w:color w:val="000000"/>
          <w:sz w:val="24"/>
          <w:szCs w:val="24"/>
          <w:highlight w:val="none"/>
        </w:rPr>
        <w:t>法定代表人证明书</w:t>
      </w:r>
      <w:bookmarkEnd w:id="40"/>
    </w:p>
    <w:p>
      <w:pPr>
        <w:pageBreakBefore w:val="0"/>
        <w:kinsoku/>
        <w:wordWrap/>
        <w:overflowPunct/>
        <w:topLinePunct w:val="0"/>
        <w:bidi w:val="0"/>
        <w:spacing w:beforeAutospacing="0" w:afterAutospacing="0" w:line="400" w:lineRule="exact"/>
        <w:rPr>
          <w:rFonts w:hint="eastAsia" w:ascii="宋体" w:hAnsi="宋体" w:eastAsia="宋体" w:cs="宋体"/>
          <w:b/>
          <w:bCs/>
          <w:color w:val="000000"/>
          <w:sz w:val="24"/>
          <w:szCs w:val="24"/>
          <w:highlight w:val="none"/>
        </w:rPr>
      </w:pPr>
    </w:p>
    <w:p>
      <w:pPr>
        <w:pageBreakBefore w:val="0"/>
        <w:tabs>
          <w:tab w:val="left" w:pos="900"/>
        </w:tabs>
        <w:kinsoku/>
        <w:wordWrap/>
        <w:overflowPunct/>
        <w:topLinePunct w:val="0"/>
        <w:bidi w:val="0"/>
        <w:spacing w:beforeAutospacing="0" w:afterAutospacing="0" w:line="400" w:lineRule="exact"/>
        <w:ind w:firstLine="840" w:firstLineChars="350"/>
        <w:rPr>
          <w:rFonts w:hint="eastAsia" w:ascii="宋体" w:hAnsi="宋体" w:eastAsia="宋体" w:cs="宋体"/>
          <w:sz w:val="24"/>
          <w:szCs w:val="24"/>
          <w:highlight w:val="none"/>
        </w:rPr>
      </w:pPr>
      <w:r>
        <w:rPr>
          <w:rFonts w:hint="eastAsia" w:ascii="宋体" w:hAnsi="宋体" w:eastAsia="宋体" w:cs="宋体"/>
          <w:sz w:val="24"/>
          <w:szCs w:val="24"/>
          <w:highlight w:val="none"/>
        </w:rPr>
        <w:t>（                  ）同志，现任我单位</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职务，为法定代表人，特此证明。</w:t>
      </w:r>
    </w:p>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p>
    <w:tbl>
      <w:tblPr>
        <w:tblStyle w:val="23"/>
        <w:tblW w:w="8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8"/>
        <w:gridCol w:w="3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88" w:type="dxa"/>
          </w:tcPr>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营业执照(注册号)： </w:t>
            </w:r>
          </w:p>
        </w:tc>
        <w:tc>
          <w:tcPr>
            <w:tcW w:w="3152" w:type="dxa"/>
          </w:tcPr>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经济性质：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0" w:type="dxa"/>
            <w:gridSpan w:val="2"/>
          </w:tcPr>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0" w:type="dxa"/>
            <w:gridSpan w:val="2"/>
          </w:tcPr>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8" w:type="dxa"/>
          </w:tcPr>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法定代表人年龄：</w:t>
            </w:r>
          </w:p>
        </w:tc>
        <w:tc>
          <w:tcPr>
            <w:tcW w:w="3152" w:type="dxa"/>
          </w:tcPr>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法定代表人性别：</w:t>
            </w:r>
          </w:p>
        </w:tc>
      </w:tr>
    </w:tbl>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p>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投标单位：（</w:t>
      </w:r>
      <w:r>
        <w:rPr>
          <w:rFonts w:hint="eastAsia" w:ascii="宋体" w:hAnsi="宋体" w:eastAsia="宋体" w:cs="宋体"/>
          <w:color w:val="000000"/>
          <w:sz w:val="24"/>
          <w:szCs w:val="24"/>
          <w:highlight w:val="none"/>
        </w:rPr>
        <w:t>单位</w:t>
      </w:r>
      <w:r>
        <w:rPr>
          <w:rFonts w:hint="eastAsia" w:ascii="宋体" w:hAnsi="宋体" w:eastAsia="宋体" w:cs="宋体"/>
          <w:sz w:val="24"/>
          <w:szCs w:val="24"/>
          <w:highlight w:val="none"/>
        </w:rPr>
        <w:t>公章）</w:t>
      </w:r>
    </w:p>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有效日期：</w:t>
      </w:r>
    </w:p>
    <w:p>
      <w:pPr>
        <w:pageBreakBefore w:val="0"/>
        <w:kinsoku/>
        <w:wordWrap/>
        <w:overflowPunct/>
        <w:topLinePunct w:val="0"/>
        <w:bidi w:val="0"/>
        <w:spacing w:beforeAutospacing="0" w:afterAutospacing="0" w:line="400" w:lineRule="exact"/>
        <w:jc w:val="right"/>
        <w:rPr>
          <w:rFonts w:hint="eastAsia" w:ascii="宋体" w:hAnsi="宋体" w:eastAsia="宋体" w:cs="宋体"/>
          <w:color w:val="000000"/>
          <w:sz w:val="24"/>
          <w:szCs w:val="24"/>
          <w:highlight w:val="none"/>
        </w:rPr>
      </w:pPr>
      <w:r>
        <w:rPr>
          <w:rFonts w:hint="eastAsia" w:ascii="宋体" w:hAnsi="宋体" w:eastAsia="宋体" w:cs="宋体"/>
          <w:sz w:val="24"/>
          <w:szCs w:val="24"/>
          <w:highlight w:val="none"/>
        </w:rPr>
        <w:t xml:space="preserve"> 年   月   日</w:t>
      </w:r>
    </w:p>
    <w:p>
      <w:pPr>
        <w:pStyle w:val="31"/>
        <w:pageBreakBefore w:val="0"/>
        <w:kinsoku/>
        <w:wordWrap/>
        <w:overflowPunct/>
        <w:topLinePunct w:val="0"/>
        <w:bidi w:val="0"/>
        <w:spacing w:beforeAutospacing="0" w:afterAutospacing="0" w:line="400" w:lineRule="exact"/>
        <w:rPr>
          <w:rFonts w:hint="eastAsia" w:ascii="宋体" w:hAnsi="宋体" w:eastAsia="宋体" w:cs="宋体"/>
          <w:color w:val="000000"/>
          <w:sz w:val="24"/>
          <w:szCs w:val="24"/>
          <w:highlight w:val="none"/>
        </w:rPr>
      </w:pPr>
    </w:p>
    <w:p>
      <w:pPr>
        <w:pStyle w:val="31"/>
        <w:pageBreakBefore w:val="0"/>
        <w:kinsoku/>
        <w:wordWrap/>
        <w:overflowPunct/>
        <w:topLinePunct w:val="0"/>
        <w:bidi w:val="0"/>
        <w:spacing w:beforeAutospacing="0" w:afterAutospacing="0" w:line="400" w:lineRule="exact"/>
        <w:jc w:val="center"/>
        <w:rPr>
          <w:rFonts w:hint="eastAsia" w:ascii="宋体" w:hAnsi="宋体" w:eastAsia="宋体" w:cs="宋体"/>
          <w:b/>
          <w:bCs/>
          <w:color w:val="000000"/>
          <w:kern w:val="2"/>
          <w:sz w:val="24"/>
          <w:szCs w:val="24"/>
          <w:highlight w:val="none"/>
          <w:lang w:val="en-US" w:eastAsia="zh-CN"/>
        </w:rPr>
      </w:pPr>
      <w:bookmarkStart w:id="41" w:name="_Toc251236134"/>
      <w:bookmarkStart w:id="42" w:name="_Toc50737329"/>
      <w:bookmarkStart w:id="43" w:name="_Toc50736477"/>
      <w:bookmarkStart w:id="44" w:name="_Toc50737297"/>
      <w:bookmarkStart w:id="45" w:name="_Toc52165081"/>
    </w:p>
    <w:p>
      <w:pPr>
        <w:pStyle w:val="31"/>
        <w:pageBreakBefore w:val="0"/>
        <w:kinsoku/>
        <w:wordWrap/>
        <w:overflowPunct/>
        <w:topLinePunct w:val="0"/>
        <w:bidi w:val="0"/>
        <w:spacing w:beforeAutospacing="0" w:afterAutospacing="0" w:line="400" w:lineRule="exact"/>
        <w:jc w:val="center"/>
        <w:rPr>
          <w:rFonts w:hint="eastAsia" w:ascii="宋体" w:hAnsi="宋体" w:eastAsia="宋体" w:cs="宋体"/>
          <w:b/>
          <w:bCs/>
          <w:color w:val="000000"/>
          <w:kern w:val="2"/>
          <w:sz w:val="24"/>
          <w:szCs w:val="24"/>
          <w:highlight w:val="none"/>
          <w:lang w:val="en-US" w:eastAsia="zh-CN"/>
        </w:rPr>
      </w:pPr>
    </w:p>
    <w:p>
      <w:pPr>
        <w:pStyle w:val="31"/>
        <w:pageBreakBefore w:val="0"/>
        <w:kinsoku/>
        <w:wordWrap/>
        <w:overflowPunct/>
        <w:topLinePunct w:val="0"/>
        <w:bidi w:val="0"/>
        <w:spacing w:beforeAutospacing="0" w:afterAutospacing="0" w:line="400" w:lineRule="exact"/>
        <w:jc w:val="center"/>
        <w:rPr>
          <w:rFonts w:hint="eastAsia" w:ascii="宋体" w:hAnsi="宋体" w:eastAsia="宋体" w:cs="宋体"/>
          <w:b/>
          <w:bCs/>
          <w:color w:val="000000"/>
          <w:kern w:val="2"/>
          <w:sz w:val="24"/>
          <w:szCs w:val="24"/>
          <w:highlight w:val="none"/>
          <w:lang w:val="en-US" w:eastAsia="zh-CN"/>
        </w:rPr>
      </w:pPr>
    </w:p>
    <w:p>
      <w:pPr>
        <w:pStyle w:val="31"/>
        <w:pageBreakBefore w:val="0"/>
        <w:kinsoku/>
        <w:wordWrap/>
        <w:overflowPunct/>
        <w:topLinePunct w:val="0"/>
        <w:bidi w:val="0"/>
        <w:spacing w:beforeAutospacing="0" w:afterAutospacing="0" w:line="400" w:lineRule="exact"/>
        <w:jc w:val="center"/>
        <w:rPr>
          <w:rFonts w:hint="eastAsia" w:ascii="宋体" w:hAnsi="宋体" w:eastAsia="宋体" w:cs="宋体"/>
          <w:b/>
          <w:bCs/>
          <w:color w:val="000000"/>
          <w:kern w:val="2"/>
          <w:sz w:val="24"/>
          <w:szCs w:val="24"/>
          <w:highlight w:val="none"/>
          <w:lang w:val="en-US" w:eastAsia="zh-CN"/>
        </w:rPr>
      </w:pPr>
    </w:p>
    <w:p>
      <w:pPr>
        <w:pStyle w:val="31"/>
        <w:pageBreakBefore w:val="0"/>
        <w:kinsoku/>
        <w:wordWrap/>
        <w:overflowPunct/>
        <w:topLinePunct w:val="0"/>
        <w:bidi w:val="0"/>
        <w:spacing w:beforeAutospacing="0" w:afterAutospacing="0" w:line="400" w:lineRule="exact"/>
        <w:jc w:val="center"/>
        <w:rPr>
          <w:rFonts w:hint="eastAsia" w:ascii="宋体" w:hAnsi="宋体" w:eastAsia="宋体" w:cs="宋体"/>
          <w:b/>
          <w:bCs/>
          <w:color w:val="000000"/>
          <w:kern w:val="2"/>
          <w:sz w:val="24"/>
          <w:szCs w:val="24"/>
          <w:highlight w:val="none"/>
        </w:rPr>
      </w:pPr>
      <w:r>
        <w:rPr>
          <w:rFonts w:hint="eastAsia" w:ascii="宋体" w:hAnsi="宋体" w:eastAsia="宋体" w:cs="宋体"/>
          <w:b/>
          <w:bCs/>
          <w:color w:val="000000"/>
          <w:kern w:val="2"/>
          <w:sz w:val="24"/>
          <w:szCs w:val="24"/>
          <w:highlight w:val="none"/>
          <w:lang w:val="en-US" w:eastAsia="zh-CN"/>
        </w:rPr>
        <w:t>5、</w:t>
      </w:r>
      <w:r>
        <w:rPr>
          <w:rFonts w:hint="eastAsia" w:ascii="宋体" w:hAnsi="宋体" w:eastAsia="宋体" w:cs="宋体"/>
          <w:b/>
          <w:bCs/>
          <w:color w:val="000000"/>
          <w:kern w:val="2"/>
          <w:sz w:val="24"/>
          <w:szCs w:val="24"/>
          <w:highlight w:val="none"/>
        </w:rPr>
        <w:t>法定代表人授权委托书</w:t>
      </w:r>
      <w:bookmarkEnd w:id="41"/>
      <w:bookmarkEnd w:id="42"/>
      <w:bookmarkEnd w:id="43"/>
      <w:bookmarkEnd w:id="44"/>
      <w:bookmarkEnd w:id="45"/>
    </w:p>
    <w:p>
      <w:pPr>
        <w:pStyle w:val="31"/>
        <w:pageBreakBefore w:val="0"/>
        <w:kinsoku/>
        <w:wordWrap/>
        <w:overflowPunct/>
        <w:topLinePunct w:val="0"/>
        <w:bidi w:val="0"/>
        <w:spacing w:beforeAutospacing="0" w:afterAutospacing="0" w:line="400" w:lineRule="exact"/>
        <w:jc w:val="center"/>
        <w:rPr>
          <w:rFonts w:hint="eastAsia" w:ascii="宋体" w:hAnsi="宋体" w:eastAsia="宋体" w:cs="宋体"/>
          <w:b/>
          <w:bCs/>
          <w:color w:val="000000"/>
          <w:kern w:val="2"/>
          <w:sz w:val="24"/>
          <w:szCs w:val="24"/>
          <w:highlight w:val="none"/>
        </w:rPr>
      </w:pPr>
    </w:p>
    <w:tbl>
      <w:tblPr>
        <w:tblStyle w:val="23"/>
        <w:tblW w:w="8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4"/>
        <w:gridCol w:w="2781"/>
        <w:gridCol w:w="2385"/>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74" w:type="dxa"/>
            <w:vAlign w:val="center"/>
          </w:tcPr>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投标人（全称）</w:t>
            </w:r>
          </w:p>
        </w:tc>
        <w:tc>
          <w:tcPr>
            <w:tcW w:w="6381" w:type="dxa"/>
            <w:gridSpan w:val="3"/>
            <w:vAlign w:val="center"/>
          </w:tcPr>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74" w:type="dxa"/>
            <w:vAlign w:val="center"/>
          </w:tcPr>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地址</w:t>
            </w:r>
          </w:p>
        </w:tc>
        <w:tc>
          <w:tcPr>
            <w:tcW w:w="6381" w:type="dxa"/>
            <w:gridSpan w:val="3"/>
            <w:vAlign w:val="center"/>
          </w:tcPr>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74" w:type="dxa"/>
            <w:vAlign w:val="center"/>
          </w:tcPr>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w:t>
            </w:r>
          </w:p>
        </w:tc>
        <w:tc>
          <w:tcPr>
            <w:tcW w:w="2781" w:type="dxa"/>
            <w:vAlign w:val="center"/>
          </w:tcPr>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p>
        </w:tc>
        <w:tc>
          <w:tcPr>
            <w:tcW w:w="2385" w:type="dxa"/>
            <w:vAlign w:val="center"/>
          </w:tcPr>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p>
        </w:tc>
        <w:tc>
          <w:tcPr>
            <w:tcW w:w="1215" w:type="dxa"/>
            <w:vAlign w:val="center"/>
          </w:tcPr>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74" w:type="dxa"/>
            <w:vAlign w:val="center"/>
          </w:tcPr>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法人营业执照注册号</w:t>
            </w:r>
          </w:p>
        </w:tc>
        <w:tc>
          <w:tcPr>
            <w:tcW w:w="2781" w:type="dxa"/>
            <w:vAlign w:val="center"/>
          </w:tcPr>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p>
        </w:tc>
        <w:tc>
          <w:tcPr>
            <w:tcW w:w="2385" w:type="dxa"/>
            <w:vAlign w:val="center"/>
          </w:tcPr>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注册于（国家或地区）</w:t>
            </w:r>
          </w:p>
        </w:tc>
        <w:tc>
          <w:tcPr>
            <w:tcW w:w="1215" w:type="dxa"/>
            <w:vAlign w:val="center"/>
          </w:tcPr>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74" w:type="dxa"/>
            <w:vAlign w:val="center"/>
          </w:tcPr>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授权代表人</w:t>
            </w:r>
          </w:p>
        </w:tc>
        <w:tc>
          <w:tcPr>
            <w:tcW w:w="2781" w:type="dxa"/>
            <w:vAlign w:val="center"/>
          </w:tcPr>
          <w:p>
            <w:pPr>
              <w:pageBreakBefore w:val="0"/>
              <w:kinsoku/>
              <w:wordWrap/>
              <w:overflowPunct/>
              <w:topLinePunct w:val="0"/>
              <w:bidi w:val="0"/>
              <w:spacing w:beforeAutospacing="0" w:afterAutospacing="0" w:line="400" w:lineRule="exact"/>
              <w:ind w:right="105"/>
              <w:rPr>
                <w:rFonts w:hint="eastAsia" w:ascii="宋体" w:hAnsi="宋体" w:eastAsia="宋体" w:cs="宋体"/>
                <w:sz w:val="24"/>
                <w:szCs w:val="24"/>
                <w:highlight w:val="none"/>
              </w:rPr>
            </w:pPr>
          </w:p>
        </w:tc>
        <w:tc>
          <w:tcPr>
            <w:tcW w:w="2385" w:type="dxa"/>
            <w:vAlign w:val="center"/>
          </w:tcPr>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授权代表人性别</w:t>
            </w:r>
          </w:p>
        </w:tc>
        <w:tc>
          <w:tcPr>
            <w:tcW w:w="1215" w:type="dxa"/>
            <w:vAlign w:val="center"/>
          </w:tcPr>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74" w:type="dxa"/>
            <w:vAlign w:val="center"/>
          </w:tcPr>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授权代表人身份证号</w:t>
            </w:r>
          </w:p>
        </w:tc>
        <w:tc>
          <w:tcPr>
            <w:tcW w:w="2781" w:type="dxa"/>
            <w:vAlign w:val="center"/>
          </w:tcPr>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p>
        </w:tc>
        <w:tc>
          <w:tcPr>
            <w:tcW w:w="2385" w:type="dxa"/>
            <w:vAlign w:val="center"/>
          </w:tcPr>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授权代表人职务</w:t>
            </w:r>
          </w:p>
        </w:tc>
        <w:tc>
          <w:tcPr>
            <w:tcW w:w="1215" w:type="dxa"/>
            <w:vAlign w:val="center"/>
          </w:tcPr>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p>
        </w:tc>
      </w:tr>
    </w:tbl>
    <w:p>
      <w:pPr>
        <w:pageBreakBefore w:val="0"/>
        <w:kinsoku/>
        <w:wordWrap/>
        <w:overflowPunct/>
        <w:topLinePunct w:val="0"/>
        <w:bidi w:val="0"/>
        <w:spacing w:beforeAutospacing="0" w:afterAutospacing="0" w:line="400" w:lineRule="exact"/>
        <w:ind w:left="2" w:firstLine="460" w:firstLineChars="192"/>
        <w:rPr>
          <w:rFonts w:hint="eastAsia" w:ascii="宋体" w:hAnsi="宋体" w:eastAsia="宋体" w:cs="宋体"/>
          <w:color w:val="000000"/>
          <w:sz w:val="24"/>
          <w:szCs w:val="24"/>
          <w:highlight w:val="none"/>
        </w:rPr>
      </w:pPr>
    </w:p>
    <w:p>
      <w:pPr>
        <w:pageBreakBefore w:val="0"/>
        <w:kinsoku/>
        <w:wordWrap/>
        <w:overflowPunct/>
        <w:topLinePunct w:val="0"/>
        <w:bidi w:val="0"/>
        <w:spacing w:beforeAutospacing="0" w:afterAutospacing="0" w:line="4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兹委托（            ）全权代表我企业（公司）参与</w:t>
      </w:r>
      <w:r>
        <w:rPr>
          <w:rFonts w:hint="eastAsia" w:ascii="宋体" w:hAnsi="宋体" w:eastAsia="宋体" w:cs="宋体"/>
          <w:bCs/>
          <w:sz w:val="24"/>
          <w:szCs w:val="24"/>
          <w:highlight w:val="none"/>
          <w:u w:val="single"/>
          <w:lang w:val="zh-CN"/>
        </w:rPr>
        <w:t xml:space="preserve">                     </w:t>
      </w:r>
      <w:r>
        <w:rPr>
          <w:rFonts w:hint="eastAsia" w:ascii="宋体" w:hAnsi="宋体" w:eastAsia="宋体" w:cs="宋体"/>
          <w:sz w:val="24"/>
          <w:szCs w:val="24"/>
          <w:highlight w:val="none"/>
        </w:rPr>
        <w:t>（招标编号：</w:t>
      </w:r>
      <w:r>
        <w:rPr>
          <w:rFonts w:hint="eastAsia" w:ascii="宋体" w:hAnsi="宋体" w:eastAsia="宋体" w:cs="宋体"/>
          <w:sz w:val="24"/>
          <w:szCs w:val="24"/>
          <w:highlight w:val="none"/>
          <w:u w:val="single"/>
          <w:lang w:val="zh-CN"/>
        </w:rPr>
        <w:t xml:space="preserve">    </w:t>
      </w:r>
      <w:r>
        <w:rPr>
          <w:rFonts w:hint="eastAsia" w:ascii="宋体" w:hAnsi="宋体" w:eastAsia="宋体" w:cs="宋体"/>
          <w:sz w:val="24"/>
          <w:szCs w:val="24"/>
          <w:highlight w:val="none"/>
        </w:rPr>
        <w:t>）的投标活动及签订合同，作为投标人代表以本公司的名义处理一切与之有关的事宜。（            ）以我企业（公司）名义所为的行为及签署的文件，我企业（公司）均予以认可。有关法律责任均由我企业（公司）承担。特此声明。</w:t>
      </w:r>
    </w:p>
    <w:p>
      <w:pPr>
        <w:pageBreakBefore w:val="0"/>
        <w:kinsoku/>
        <w:wordWrap/>
        <w:overflowPunct/>
        <w:topLinePunct w:val="0"/>
        <w:bidi w:val="0"/>
        <w:spacing w:beforeAutospacing="0" w:afterAutospacing="0" w:line="4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有效期：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pageBreakBefore w:val="0"/>
        <w:kinsoku/>
        <w:wordWrap/>
        <w:overflowPunct/>
        <w:topLinePunct w:val="0"/>
        <w:bidi w:val="0"/>
        <w:spacing w:beforeAutospacing="0" w:afterAutospacing="0" w:line="4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签发日期：</w:t>
      </w:r>
      <w:r>
        <w:rPr>
          <w:rFonts w:hint="eastAsia" w:ascii="宋体" w:hAnsi="宋体" w:eastAsia="宋体" w:cs="宋体"/>
          <w:sz w:val="24"/>
          <w:szCs w:val="24"/>
          <w:highlight w:val="none"/>
          <w:u w:val="single"/>
        </w:rPr>
        <w:t xml:space="preserve">      年   月   日</w:t>
      </w:r>
      <w:r>
        <w:rPr>
          <w:rFonts w:hint="eastAsia" w:ascii="宋体" w:hAnsi="宋体" w:eastAsia="宋体" w:cs="宋体"/>
          <w:sz w:val="24"/>
          <w:szCs w:val="24"/>
          <w:highlight w:val="none"/>
        </w:rPr>
        <w:t>。</w:t>
      </w:r>
    </w:p>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p>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投标单位（</w:t>
      </w:r>
      <w:r>
        <w:rPr>
          <w:rFonts w:hint="eastAsia" w:ascii="宋体" w:hAnsi="宋体" w:eastAsia="宋体" w:cs="宋体"/>
          <w:color w:val="000000"/>
          <w:sz w:val="24"/>
          <w:szCs w:val="24"/>
          <w:highlight w:val="none"/>
        </w:rPr>
        <w:t>单位</w:t>
      </w:r>
      <w:r>
        <w:rPr>
          <w:rFonts w:hint="eastAsia" w:ascii="宋体" w:hAnsi="宋体" w:eastAsia="宋体" w:cs="宋体"/>
          <w:sz w:val="24"/>
          <w:szCs w:val="24"/>
          <w:highlight w:val="none"/>
        </w:rPr>
        <w:t>公章）：</w:t>
      </w:r>
    </w:p>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mc:AlternateContent>
          <mc:Choice Requires="wps">
            <w:drawing>
              <wp:anchor distT="0" distB="0" distL="114300" distR="114300" simplePos="0" relativeHeight="251659264" behindDoc="0" locked="0" layoutInCell="1" allowOverlap="1">
                <wp:simplePos x="0" y="0"/>
                <wp:positionH relativeFrom="column">
                  <wp:posOffset>2439035</wp:posOffset>
                </wp:positionH>
                <wp:positionV relativeFrom="paragraph">
                  <wp:posOffset>70485</wp:posOffset>
                </wp:positionV>
                <wp:extent cx="3485515" cy="1979295"/>
                <wp:effectExtent l="4445" t="4445" r="15240" b="16510"/>
                <wp:wrapNone/>
                <wp:docPr id="2" name="矩形 2"/>
                <wp:cNvGraphicFramePr/>
                <a:graphic xmlns:a="http://schemas.openxmlformats.org/drawingml/2006/main">
                  <a:graphicData uri="http://schemas.microsoft.com/office/word/2010/wordprocessingShape">
                    <wps:wsp>
                      <wps:cNvSpPr/>
                      <wps:spPr>
                        <a:xfrm>
                          <a:off x="0" y="0"/>
                          <a:ext cx="3485515" cy="19792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eastAsia="黑体"/>
                                <w:b/>
                                <w:sz w:val="30"/>
                              </w:rPr>
                            </w:pPr>
                          </w:p>
                          <w:p>
                            <w:pPr>
                              <w:rPr>
                                <w:rFonts w:eastAsia="黑体"/>
                                <w:b/>
                                <w:sz w:val="30"/>
                              </w:rPr>
                            </w:pPr>
                          </w:p>
                          <w:p>
                            <w:pPr>
                              <w:jc w:val="center"/>
                              <w:rPr>
                                <w:rFonts w:ascii="宋体"/>
                                <w:b/>
                                <w:bCs/>
                                <w:szCs w:val="21"/>
                              </w:rPr>
                            </w:pPr>
                            <w:r>
                              <w:rPr>
                                <w:rFonts w:hint="eastAsia" w:ascii="宋体"/>
                                <w:b/>
                                <w:color w:val="000000"/>
                              </w:rPr>
                              <w:t>法人及授权代表</w:t>
                            </w:r>
                            <w:r>
                              <w:rPr>
                                <w:rFonts w:hint="eastAsia" w:ascii="宋体"/>
                                <w:b/>
                                <w:bCs/>
                                <w:color w:val="000000"/>
                                <w:szCs w:val="21"/>
                              </w:rPr>
                              <w:t>身份证</w:t>
                            </w:r>
                            <w:r>
                              <w:rPr>
                                <w:rFonts w:hint="eastAsia" w:ascii="宋体"/>
                                <w:b/>
                                <w:bCs/>
                                <w:color w:val="000000"/>
                                <w:szCs w:val="21"/>
                                <w:lang w:val="en-US" w:eastAsia="zh-CN"/>
                              </w:rPr>
                              <w:t>正反面</w:t>
                            </w:r>
                            <w:r>
                              <w:rPr>
                                <w:rFonts w:hint="eastAsia" w:ascii="宋体"/>
                                <w:b/>
                                <w:bCs/>
                                <w:color w:val="000000"/>
                                <w:szCs w:val="21"/>
                              </w:rPr>
                              <w:t>复印件粘贴处</w:t>
                            </w:r>
                          </w:p>
                        </w:txbxContent>
                      </wps:txbx>
                      <wps:bodyPr upright="1"/>
                    </wps:wsp>
                  </a:graphicData>
                </a:graphic>
              </wp:anchor>
            </w:drawing>
          </mc:Choice>
          <mc:Fallback>
            <w:pict>
              <v:rect id="_x0000_s1026" o:spid="_x0000_s1026" o:spt="1" style="position:absolute;left:0pt;margin-left:192.05pt;margin-top:5.55pt;height:155.85pt;width:274.45pt;z-index:251659264;mso-width-relative:page;mso-height-relative:page;" fillcolor="#FFFFFF" filled="t" stroked="t" coordsize="21600,21600" o:gfxdata="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FEpl51wAAAAoBAAAPAAAAAAAAAAEAIAAAACIAAABkcnMvZG93&#10;bnJldi54bWxQSwECFAAUAAAACACHTuJAElnFIQECAAAqBAAADgAAAAAAAAABACAAAAAmAQAAZHJz&#10;L2Uyb0RvYy54bWxQSwUGAAAAAAYABgBZAQAAmQUAAAAA&#10;">
                <v:fill on="t" focussize="0,0"/>
                <v:stroke color="#000000" joinstyle="miter"/>
                <v:imagedata o:title=""/>
                <o:lock v:ext="edit" aspectratio="f"/>
                <v:textbox>
                  <w:txbxContent>
                    <w:p>
                      <w:pPr>
                        <w:rPr>
                          <w:rFonts w:eastAsia="黑体"/>
                          <w:b/>
                          <w:sz w:val="30"/>
                        </w:rPr>
                      </w:pPr>
                    </w:p>
                    <w:p>
                      <w:pPr>
                        <w:rPr>
                          <w:rFonts w:eastAsia="黑体"/>
                          <w:b/>
                          <w:sz w:val="30"/>
                        </w:rPr>
                      </w:pPr>
                    </w:p>
                    <w:p>
                      <w:pPr>
                        <w:jc w:val="center"/>
                        <w:rPr>
                          <w:rFonts w:ascii="宋体"/>
                          <w:b/>
                          <w:bCs/>
                          <w:szCs w:val="21"/>
                        </w:rPr>
                      </w:pPr>
                      <w:r>
                        <w:rPr>
                          <w:rFonts w:hint="eastAsia" w:ascii="宋体"/>
                          <w:b/>
                          <w:color w:val="000000"/>
                        </w:rPr>
                        <w:t>法人及授权代表</w:t>
                      </w:r>
                      <w:r>
                        <w:rPr>
                          <w:rFonts w:hint="eastAsia" w:ascii="宋体"/>
                          <w:b/>
                          <w:bCs/>
                          <w:color w:val="000000"/>
                          <w:szCs w:val="21"/>
                        </w:rPr>
                        <w:t>身份证</w:t>
                      </w:r>
                      <w:r>
                        <w:rPr>
                          <w:rFonts w:hint="eastAsia" w:ascii="宋体"/>
                          <w:b/>
                          <w:bCs/>
                          <w:color w:val="000000"/>
                          <w:szCs w:val="21"/>
                          <w:lang w:val="en-US" w:eastAsia="zh-CN"/>
                        </w:rPr>
                        <w:t>正反面</w:t>
                      </w:r>
                      <w:r>
                        <w:rPr>
                          <w:rFonts w:hint="eastAsia" w:ascii="宋体"/>
                          <w:b/>
                          <w:bCs/>
                          <w:color w:val="000000"/>
                          <w:szCs w:val="21"/>
                        </w:rPr>
                        <w:t>复印件粘贴处</w:t>
                      </w:r>
                    </w:p>
                  </w:txbxContent>
                </v:textbox>
              </v:rect>
            </w:pict>
          </mc:Fallback>
        </mc:AlternateContent>
      </w:r>
    </w:p>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法定代表人签字或盖章：</w:t>
      </w:r>
    </w:p>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p>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授权代表人签字或盖章：</w:t>
      </w:r>
    </w:p>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p>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p>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p>
    <w:p>
      <w:pPr>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p>
    <w:p>
      <w:pPr>
        <w:pageBreakBefore w:val="0"/>
        <w:kinsoku/>
        <w:wordWrap/>
        <w:overflowPunct/>
        <w:topLinePunct w:val="0"/>
        <w:bidi w:val="0"/>
        <w:spacing w:beforeAutospacing="0" w:afterAutospacing="0" w:line="400" w:lineRule="exact"/>
        <w:jc w:val="right"/>
        <w:rPr>
          <w:rFonts w:hint="eastAsia" w:ascii="宋体" w:hAnsi="宋体" w:eastAsia="宋体" w:cs="宋体"/>
          <w:color w:val="000000"/>
          <w:sz w:val="24"/>
          <w:szCs w:val="24"/>
          <w:highlight w:val="none"/>
        </w:rPr>
      </w:pPr>
    </w:p>
    <w:p>
      <w:pPr>
        <w:pageBreakBefore w:val="0"/>
        <w:kinsoku/>
        <w:wordWrap/>
        <w:overflowPunct/>
        <w:topLinePunct w:val="0"/>
        <w:bidi w:val="0"/>
        <w:spacing w:beforeAutospacing="0" w:afterAutospacing="0" w:line="400" w:lineRule="exact"/>
        <w:jc w:val="both"/>
        <w:rPr>
          <w:rFonts w:hint="eastAsia" w:ascii="宋体" w:hAnsi="宋体" w:eastAsia="宋体" w:cs="宋体"/>
          <w:b/>
          <w:sz w:val="24"/>
          <w:szCs w:val="24"/>
          <w:highlight w:val="none"/>
        </w:rPr>
      </w:pPr>
    </w:p>
    <w:p>
      <w:pPr>
        <w:pageBreakBefore w:val="0"/>
        <w:kinsoku/>
        <w:wordWrap/>
        <w:overflowPunct/>
        <w:topLinePunct w:val="0"/>
        <w:bidi w:val="0"/>
        <w:spacing w:beforeAutospacing="0" w:afterAutospacing="0" w:line="400" w:lineRule="exact"/>
        <w:jc w:val="left"/>
        <w:rPr>
          <w:rFonts w:hint="eastAsia" w:ascii="宋体" w:hAnsi="宋体" w:eastAsia="宋体" w:cs="宋体"/>
          <w:b/>
          <w:color w:val="000000"/>
          <w:sz w:val="24"/>
          <w:szCs w:val="24"/>
          <w:highlight w:val="none"/>
          <w:lang w:val="en-US" w:eastAsia="zh-CN"/>
        </w:rPr>
      </w:pPr>
      <w:r>
        <w:rPr>
          <w:rFonts w:hint="eastAsia" w:ascii="宋体" w:hAnsi="宋体" w:eastAsia="宋体" w:cs="宋体"/>
          <w:b/>
          <w:color w:val="000000"/>
          <w:sz w:val="24"/>
          <w:szCs w:val="24"/>
          <w:highlight w:val="none"/>
          <w:lang w:val="en-US" w:eastAsia="zh-CN"/>
        </w:rPr>
        <w:t>6、</w:t>
      </w:r>
      <w:r>
        <w:rPr>
          <w:rFonts w:hint="eastAsia" w:ascii="宋体" w:hAnsi="宋体" w:eastAsia="宋体" w:cs="宋体"/>
          <w:sz w:val="24"/>
          <w:szCs w:val="24"/>
          <w:highlight w:val="none"/>
        </w:rPr>
        <w:t>投标人</w:t>
      </w:r>
      <w:r>
        <w:rPr>
          <w:rFonts w:hint="eastAsia" w:ascii="宋体" w:hAnsi="宋体" w:eastAsia="宋体" w:cs="宋体"/>
          <w:sz w:val="24"/>
          <w:szCs w:val="24"/>
          <w:highlight w:val="none"/>
          <w:lang w:val="en-US" w:eastAsia="zh-CN"/>
        </w:rPr>
        <w:t>在</w:t>
      </w:r>
      <w:r>
        <w:rPr>
          <w:rFonts w:hint="eastAsia" w:ascii="宋体" w:hAnsi="宋体" w:eastAsia="宋体" w:cs="宋体"/>
          <w:sz w:val="24"/>
          <w:szCs w:val="24"/>
          <w:highlight w:val="none"/>
        </w:rPr>
        <w:t>本项目投标截止期前在“信用中国（</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www.creditchina.gov.cn）”“中国政府招标网（www.ccgp.gov.cn）”</w:t>
      </w:r>
      <w:r>
        <w:rPr>
          <w:rFonts w:hint="eastAsia" w:ascii="宋体" w:hAnsi="宋体" w:eastAsia="宋体" w:cs="宋体"/>
          <w:sz w:val="24"/>
          <w:szCs w:val="24"/>
          <w:highlight w:val="none"/>
          <w:lang w:val="en-US" w:eastAsia="zh-CN"/>
        </w:rPr>
        <w:t>国家企业信用信息公示系统（www.gsxt.gov.cn）网络查询截图加盖投标企业公章</w:t>
      </w:r>
      <w:r>
        <w:rPr>
          <w:rFonts w:hint="eastAsia" w:ascii="宋体" w:hAnsi="宋体" w:eastAsia="宋体" w:cs="宋体"/>
          <w:sz w:val="24"/>
          <w:szCs w:val="24"/>
          <w:highlight w:val="none"/>
        </w:rPr>
        <w:t>。</w:t>
      </w:r>
      <w:r>
        <w:rPr>
          <w:rFonts w:hint="eastAsia" w:ascii="宋体" w:hAnsi="宋体" w:eastAsia="宋体" w:cs="宋体"/>
          <w:sz w:val="24"/>
          <w:szCs w:val="24"/>
          <w:highlight w:val="none"/>
        </w:rPr>
        <w:fldChar w:fldCharType="end"/>
      </w:r>
    </w:p>
    <w:p>
      <w:pPr>
        <w:pStyle w:val="5"/>
        <w:pageBreakBefore w:val="0"/>
        <w:kinsoku/>
        <w:wordWrap/>
        <w:overflowPunct/>
        <w:topLinePunct w:val="0"/>
        <w:bidi w:val="0"/>
        <w:spacing w:before="0" w:beforeAutospacing="0" w:after="0" w:afterAutospacing="0" w:line="400" w:lineRule="exact"/>
        <w:jc w:val="center"/>
        <w:rPr>
          <w:rFonts w:hint="eastAsia" w:ascii="宋体" w:hAnsi="宋体" w:eastAsia="宋体" w:cs="宋体"/>
          <w:color w:val="000000"/>
          <w:sz w:val="24"/>
          <w:szCs w:val="24"/>
          <w:highlight w:val="none"/>
          <w:lang w:val="en-US" w:eastAsia="zh-CN"/>
        </w:rPr>
      </w:pPr>
    </w:p>
    <w:p>
      <w:pPr>
        <w:pStyle w:val="5"/>
        <w:pageBreakBefore w:val="0"/>
        <w:kinsoku/>
        <w:wordWrap/>
        <w:overflowPunct/>
        <w:topLinePunct w:val="0"/>
        <w:bidi w:val="0"/>
        <w:spacing w:before="0" w:beforeAutospacing="0" w:after="0" w:afterAutospacing="0" w:line="400" w:lineRule="exact"/>
        <w:jc w:val="center"/>
        <w:rPr>
          <w:rFonts w:hint="eastAsia" w:ascii="宋体" w:hAnsi="宋体" w:eastAsia="宋体" w:cs="宋体"/>
          <w:color w:val="000000"/>
          <w:sz w:val="24"/>
          <w:szCs w:val="24"/>
          <w:highlight w:val="none"/>
          <w:lang w:val="en-US" w:eastAsia="zh-CN"/>
        </w:rPr>
      </w:pPr>
    </w:p>
    <w:p>
      <w:pPr>
        <w:pStyle w:val="5"/>
        <w:pageBreakBefore w:val="0"/>
        <w:kinsoku/>
        <w:wordWrap/>
        <w:overflowPunct/>
        <w:topLinePunct w:val="0"/>
        <w:bidi w:val="0"/>
        <w:spacing w:before="0" w:beforeAutospacing="0" w:after="0" w:afterAutospacing="0" w:line="400" w:lineRule="exact"/>
        <w:jc w:val="center"/>
        <w:rPr>
          <w:rFonts w:hint="eastAsia" w:ascii="宋体" w:hAnsi="宋体" w:eastAsia="宋体" w:cs="宋体"/>
          <w:color w:val="000000"/>
          <w:sz w:val="24"/>
          <w:szCs w:val="24"/>
          <w:highlight w:val="none"/>
          <w:lang w:val="en-US" w:eastAsia="zh-CN"/>
        </w:rPr>
      </w:pPr>
    </w:p>
    <w:p>
      <w:pPr>
        <w:pStyle w:val="5"/>
        <w:pageBreakBefore w:val="0"/>
        <w:kinsoku/>
        <w:wordWrap/>
        <w:overflowPunct/>
        <w:topLinePunct w:val="0"/>
        <w:bidi w:val="0"/>
        <w:spacing w:before="0" w:beforeAutospacing="0" w:after="0" w:afterAutospacing="0" w:line="40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7</w:t>
      </w:r>
      <w:r>
        <w:rPr>
          <w:rFonts w:hint="eastAsia" w:ascii="宋体" w:hAnsi="宋体" w:eastAsia="宋体" w:cs="宋体"/>
          <w:color w:val="000000"/>
          <w:sz w:val="24"/>
          <w:szCs w:val="24"/>
          <w:highlight w:val="none"/>
        </w:rPr>
        <w:t>、近三年的业绩表及相关证明</w:t>
      </w:r>
    </w:p>
    <w:p>
      <w:pPr>
        <w:pStyle w:val="36"/>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项目名称 ：  </w:t>
      </w:r>
    </w:p>
    <w:p>
      <w:pPr>
        <w:pStyle w:val="36"/>
        <w:pageBreakBefore w:val="0"/>
        <w:kinsoku/>
        <w:wordWrap/>
        <w:overflowPunct/>
        <w:topLinePunct w:val="0"/>
        <w:bidi w:val="0"/>
        <w:spacing w:beforeAutospacing="0" w:afterAutospacing="0" w:line="40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项目</w:t>
      </w:r>
      <w:r>
        <w:rPr>
          <w:rFonts w:hint="eastAsia" w:ascii="宋体" w:hAnsi="宋体" w:cs="宋体"/>
          <w:sz w:val="24"/>
          <w:szCs w:val="24"/>
          <w:highlight w:val="none"/>
          <w:lang w:val="en-US" w:eastAsia="zh-CN"/>
        </w:rPr>
        <w:t>编</w:t>
      </w:r>
      <w:r>
        <w:rPr>
          <w:rFonts w:hint="eastAsia" w:ascii="宋体" w:hAnsi="宋体" w:eastAsia="宋体" w:cs="宋体"/>
          <w:sz w:val="24"/>
          <w:szCs w:val="24"/>
          <w:highlight w:val="none"/>
        </w:rPr>
        <w:t xml:space="preserve">号 ：                      </w:t>
      </w:r>
    </w:p>
    <w:tbl>
      <w:tblPr>
        <w:tblStyle w:val="23"/>
        <w:tblW w:w="9476" w:type="dxa"/>
        <w:jc w:val="center"/>
        <w:tblLayout w:type="fixed"/>
        <w:tblCellMar>
          <w:top w:w="0" w:type="dxa"/>
          <w:left w:w="108" w:type="dxa"/>
          <w:bottom w:w="0" w:type="dxa"/>
          <w:right w:w="108" w:type="dxa"/>
        </w:tblCellMar>
      </w:tblPr>
      <w:tblGrid>
        <w:gridCol w:w="873"/>
        <w:gridCol w:w="1456"/>
        <w:gridCol w:w="1719"/>
        <w:gridCol w:w="1712"/>
        <w:gridCol w:w="1858"/>
        <w:gridCol w:w="1858"/>
      </w:tblGrid>
      <w:tr>
        <w:tblPrEx>
          <w:tblCellMar>
            <w:top w:w="0" w:type="dxa"/>
            <w:left w:w="108" w:type="dxa"/>
            <w:bottom w:w="0" w:type="dxa"/>
            <w:right w:w="108" w:type="dxa"/>
          </w:tblCellMar>
        </w:tblPrEx>
        <w:trPr>
          <w:trHeight w:val="908" w:hRule="atLeast"/>
          <w:jc w:val="center"/>
        </w:trPr>
        <w:tc>
          <w:tcPr>
            <w:tcW w:w="873"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地点</w:t>
            </w:r>
          </w:p>
        </w:tc>
        <w:tc>
          <w:tcPr>
            <w:tcW w:w="1456"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项目名称</w:t>
            </w:r>
          </w:p>
        </w:tc>
        <w:tc>
          <w:tcPr>
            <w:tcW w:w="1719"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项目内容</w:t>
            </w:r>
          </w:p>
        </w:tc>
        <w:tc>
          <w:tcPr>
            <w:tcW w:w="1712"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合同金额</w:t>
            </w:r>
          </w:p>
        </w:tc>
        <w:tc>
          <w:tcPr>
            <w:tcW w:w="1858"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项目单位联系人及电话</w:t>
            </w:r>
          </w:p>
        </w:tc>
        <w:tc>
          <w:tcPr>
            <w:tcW w:w="1858"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备  注</w:t>
            </w:r>
          </w:p>
        </w:tc>
      </w:tr>
      <w:tr>
        <w:tblPrEx>
          <w:tblCellMar>
            <w:top w:w="0" w:type="dxa"/>
            <w:left w:w="108" w:type="dxa"/>
            <w:bottom w:w="0" w:type="dxa"/>
            <w:right w:w="108" w:type="dxa"/>
          </w:tblCellMar>
        </w:tblPrEx>
        <w:trPr>
          <w:trHeight w:val="624" w:hRule="atLeast"/>
          <w:jc w:val="center"/>
        </w:trPr>
        <w:tc>
          <w:tcPr>
            <w:tcW w:w="873"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c>
          <w:tcPr>
            <w:tcW w:w="1456"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c>
          <w:tcPr>
            <w:tcW w:w="1719"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c>
          <w:tcPr>
            <w:tcW w:w="1712"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r>
      <w:tr>
        <w:tblPrEx>
          <w:tblCellMar>
            <w:top w:w="0" w:type="dxa"/>
            <w:left w:w="108" w:type="dxa"/>
            <w:bottom w:w="0" w:type="dxa"/>
            <w:right w:w="108" w:type="dxa"/>
          </w:tblCellMar>
        </w:tblPrEx>
        <w:trPr>
          <w:trHeight w:val="624" w:hRule="atLeast"/>
          <w:jc w:val="center"/>
        </w:trPr>
        <w:tc>
          <w:tcPr>
            <w:tcW w:w="873"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c>
          <w:tcPr>
            <w:tcW w:w="1456"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c>
          <w:tcPr>
            <w:tcW w:w="1719"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c>
          <w:tcPr>
            <w:tcW w:w="1712"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r>
      <w:tr>
        <w:tblPrEx>
          <w:tblCellMar>
            <w:top w:w="0" w:type="dxa"/>
            <w:left w:w="108" w:type="dxa"/>
            <w:bottom w:w="0" w:type="dxa"/>
            <w:right w:w="108" w:type="dxa"/>
          </w:tblCellMar>
        </w:tblPrEx>
        <w:trPr>
          <w:trHeight w:val="624" w:hRule="atLeast"/>
          <w:jc w:val="center"/>
        </w:trPr>
        <w:tc>
          <w:tcPr>
            <w:tcW w:w="873"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c>
          <w:tcPr>
            <w:tcW w:w="1456"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c>
          <w:tcPr>
            <w:tcW w:w="1719"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c>
          <w:tcPr>
            <w:tcW w:w="1712"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r>
      <w:tr>
        <w:tblPrEx>
          <w:tblCellMar>
            <w:top w:w="0" w:type="dxa"/>
            <w:left w:w="108" w:type="dxa"/>
            <w:bottom w:w="0" w:type="dxa"/>
            <w:right w:w="108" w:type="dxa"/>
          </w:tblCellMar>
        </w:tblPrEx>
        <w:trPr>
          <w:trHeight w:val="624" w:hRule="atLeast"/>
          <w:jc w:val="center"/>
        </w:trPr>
        <w:tc>
          <w:tcPr>
            <w:tcW w:w="873"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c>
          <w:tcPr>
            <w:tcW w:w="1456"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c>
          <w:tcPr>
            <w:tcW w:w="1719"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c>
          <w:tcPr>
            <w:tcW w:w="1712"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r>
      <w:tr>
        <w:tblPrEx>
          <w:tblCellMar>
            <w:top w:w="0" w:type="dxa"/>
            <w:left w:w="108" w:type="dxa"/>
            <w:bottom w:w="0" w:type="dxa"/>
            <w:right w:w="108" w:type="dxa"/>
          </w:tblCellMar>
        </w:tblPrEx>
        <w:trPr>
          <w:trHeight w:val="624" w:hRule="atLeast"/>
          <w:jc w:val="center"/>
        </w:trPr>
        <w:tc>
          <w:tcPr>
            <w:tcW w:w="873"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c>
          <w:tcPr>
            <w:tcW w:w="1456"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c>
          <w:tcPr>
            <w:tcW w:w="1719"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c>
          <w:tcPr>
            <w:tcW w:w="1712"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r>
      <w:tr>
        <w:tblPrEx>
          <w:tblCellMar>
            <w:top w:w="0" w:type="dxa"/>
            <w:left w:w="108" w:type="dxa"/>
            <w:bottom w:w="0" w:type="dxa"/>
            <w:right w:w="108" w:type="dxa"/>
          </w:tblCellMar>
        </w:tblPrEx>
        <w:trPr>
          <w:trHeight w:val="624" w:hRule="atLeast"/>
          <w:jc w:val="center"/>
        </w:trPr>
        <w:tc>
          <w:tcPr>
            <w:tcW w:w="873"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c>
          <w:tcPr>
            <w:tcW w:w="1456"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c>
          <w:tcPr>
            <w:tcW w:w="1719"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c>
          <w:tcPr>
            <w:tcW w:w="1712"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r>
      <w:tr>
        <w:tblPrEx>
          <w:tblCellMar>
            <w:top w:w="0" w:type="dxa"/>
            <w:left w:w="108" w:type="dxa"/>
            <w:bottom w:w="0" w:type="dxa"/>
            <w:right w:w="108" w:type="dxa"/>
          </w:tblCellMar>
        </w:tblPrEx>
        <w:trPr>
          <w:trHeight w:val="624" w:hRule="atLeast"/>
          <w:jc w:val="center"/>
        </w:trPr>
        <w:tc>
          <w:tcPr>
            <w:tcW w:w="873"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c>
          <w:tcPr>
            <w:tcW w:w="1456"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c>
          <w:tcPr>
            <w:tcW w:w="1719"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c>
          <w:tcPr>
            <w:tcW w:w="1712"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r>
      <w:tr>
        <w:tblPrEx>
          <w:tblCellMar>
            <w:top w:w="0" w:type="dxa"/>
            <w:left w:w="108" w:type="dxa"/>
            <w:bottom w:w="0" w:type="dxa"/>
            <w:right w:w="108" w:type="dxa"/>
          </w:tblCellMar>
        </w:tblPrEx>
        <w:trPr>
          <w:trHeight w:val="624" w:hRule="atLeast"/>
          <w:jc w:val="center"/>
        </w:trPr>
        <w:tc>
          <w:tcPr>
            <w:tcW w:w="873"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c>
          <w:tcPr>
            <w:tcW w:w="1456"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c>
          <w:tcPr>
            <w:tcW w:w="1719"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c>
          <w:tcPr>
            <w:tcW w:w="1712"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r>
      <w:tr>
        <w:tblPrEx>
          <w:tblCellMar>
            <w:top w:w="0" w:type="dxa"/>
            <w:left w:w="108" w:type="dxa"/>
            <w:bottom w:w="0" w:type="dxa"/>
            <w:right w:w="108" w:type="dxa"/>
          </w:tblCellMar>
        </w:tblPrEx>
        <w:trPr>
          <w:trHeight w:val="624" w:hRule="atLeast"/>
          <w:jc w:val="center"/>
        </w:trPr>
        <w:tc>
          <w:tcPr>
            <w:tcW w:w="873"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c>
          <w:tcPr>
            <w:tcW w:w="1456"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c>
          <w:tcPr>
            <w:tcW w:w="1719"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c>
          <w:tcPr>
            <w:tcW w:w="1712"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c>
          <w:tcPr>
            <w:tcW w:w="1858" w:type="dxa"/>
            <w:tcBorders>
              <w:top w:val="single" w:color="auto" w:sz="6" w:space="0"/>
              <w:left w:val="single" w:color="auto" w:sz="6" w:space="0"/>
              <w:bottom w:val="single" w:color="auto" w:sz="6" w:space="0"/>
              <w:right w:val="single" w:color="auto" w:sz="6" w:space="0"/>
            </w:tcBorders>
            <w:vAlign w:val="center"/>
          </w:tcPr>
          <w:p>
            <w:pPr>
              <w:pStyle w:val="38"/>
              <w:pageBreakBefore w:val="0"/>
              <w:kinsoku/>
              <w:wordWrap/>
              <w:overflowPunct/>
              <w:topLinePunct w:val="0"/>
              <w:bidi w:val="0"/>
              <w:spacing w:beforeAutospacing="0" w:afterAutospacing="0" w:line="400" w:lineRule="exact"/>
              <w:jc w:val="center"/>
              <w:rPr>
                <w:rFonts w:hint="eastAsia" w:ascii="宋体" w:hAnsi="宋体" w:eastAsia="宋体" w:cs="宋体"/>
                <w:sz w:val="24"/>
                <w:szCs w:val="24"/>
                <w:highlight w:val="none"/>
              </w:rPr>
            </w:pPr>
          </w:p>
        </w:tc>
      </w:tr>
    </w:tbl>
    <w:p>
      <w:pPr>
        <w:pageBreakBefore w:val="0"/>
        <w:kinsoku/>
        <w:wordWrap/>
        <w:overflowPunct/>
        <w:topLinePunct w:val="0"/>
        <w:bidi w:val="0"/>
        <w:spacing w:beforeAutospacing="0" w:afterAutospacing="0" w:line="400" w:lineRule="exact"/>
        <w:rPr>
          <w:rFonts w:hint="eastAsia" w:ascii="宋体" w:hAnsi="宋体" w:eastAsia="宋体" w:cs="宋体"/>
          <w:color w:val="000000"/>
          <w:sz w:val="24"/>
          <w:szCs w:val="24"/>
          <w:highlight w:val="none"/>
        </w:rPr>
      </w:pPr>
    </w:p>
    <w:p>
      <w:pPr>
        <w:pageBreakBefore w:val="0"/>
        <w:kinsoku/>
        <w:wordWrap/>
        <w:overflowPunct/>
        <w:topLinePunct w:val="0"/>
        <w:bidi w:val="0"/>
        <w:spacing w:beforeAutospacing="0" w:afterAutospacing="0" w:line="400" w:lineRule="exact"/>
        <w:rPr>
          <w:rFonts w:hint="eastAsia" w:ascii="宋体" w:hAnsi="宋体" w:eastAsia="宋体" w:cs="宋体"/>
          <w:kern w:val="0"/>
          <w:sz w:val="24"/>
          <w:szCs w:val="24"/>
          <w:lang w:val="en-US" w:eastAsia="zh-CN"/>
        </w:rPr>
      </w:pPr>
      <w:r>
        <w:rPr>
          <w:rFonts w:hint="eastAsia" w:ascii="宋体" w:hAnsi="宋体" w:eastAsia="宋体" w:cs="宋体"/>
          <w:color w:val="auto"/>
          <w:sz w:val="24"/>
          <w:szCs w:val="24"/>
          <w:highlight w:val="none"/>
        </w:rPr>
        <w:t>附:近三年（</w:t>
      </w:r>
      <w:r>
        <w:rPr>
          <w:rFonts w:hint="eastAsia" w:ascii="宋体" w:hAnsi="宋体" w:eastAsia="宋体" w:cs="宋体"/>
          <w:kern w:val="0"/>
          <w:sz w:val="24"/>
          <w:szCs w:val="24"/>
          <w:lang w:val="en-US" w:eastAsia="zh-CN"/>
        </w:rPr>
        <w:t>投标截止日期前三年</w:t>
      </w:r>
      <w:r>
        <w:rPr>
          <w:rFonts w:hint="eastAsia" w:ascii="宋体" w:hAnsi="宋体" w:eastAsia="宋体" w:cs="宋体"/>
          <w:color w:val="auto"/>
          <w:sz w:val="24"/>
          <w:szCs w:val="24"/>
          <w:highlight w:val="none"/>
        </w:rPr>
        <w:t>）有</w:t>
      </w:r>
      <w:r>
        <w:rPr>
          <w:rFonts w:hint="eastAsia" w:ascii="宋体" w:hAnsi="宋体" w:eastAsia="宋体" w:cs="宋体"/>
          <w:color w:val="auto"/>
          <w:sz w:val="24"/>
          <w:szCs w:val="24"/>
          <w:highlight w:val="none"/>
          <w:lang w:val="en-US" w:eastAsia="zh-CN"/>
        </w:rPr>
        <w:t>相关</w:t>
      </w:r>
      <w:r>
        <w:rPr>
          <w:rFonts w:hint="eastAsia" w:ascii="宋体" w:hAnsi="宋体" w:eastAsia="宋体" w:cs="宋体"/>
          <w:color w:val="auto"/>
          <w:sz w:val="24"/>
          <w:szCs w:val="24"/>
          <w:highlight w:val="none"/>
        </w:rPr>
        <w:t>业绩表及相</w:t>
      </w:r>
      <w:r>
        <w:rPr>
          <w:rFonts w:hint="eastAsia" w:ascii="宋体" w:hAnsi="宋体" w:eastAsia="宋体" w:cs="宋体"/>
          <w:kern w:val="0"/>
          <w:sz w:val="24"/>
          <w:szCs w:val="24"/>
          <w:lang w:val="en-US" w:eastAsia="zh-CN"/>
        </w:rPr>
        <w:t>关证明（包含加盖投标人公章的合同复印件或中标/成交通知书），如未提供视为无效业绩。</w:t>
      </w:r>
    </w:p>
    <w:p>
      <w:pPr>
        <w:pageBreakBefore w:val="0"/>
        <w:kinsoku/>
        <w:wordWrap/>
        <w:overflowPunct/>
        <w:topLinePunct w:val="0"/>
        <w:bidi w:val="0"/>
        <w:spacing w:beforeAutospacing="0" w:afterAutospacing="0" w:line="400" w:lineRule="exact"/>
        <w:rPr>
          <w:rFonts w:hint="eastAsia" w:ascii="宋体" w:hAnsi="宋体" w:eastAsia="宋体" w:cs="宋体"/>
          <w:color w:val="000000"/>
          <w:sz w:val="24"/>
          <w:szCs w:val="24"/>
          <w:highlight w:val="none"/>
        </w:rPr>
      </w:pPr>
    </w:p>
    <w:p>
      <w:pPr>
        <w:pageBreakBefore w:val="0"/>
        <w:kinsoku/>
        <w:wordWrap/>
        <w:overflowPunct/>
        <w:topLinePunct w:val="0"/>
        <w:bidi w:val="0"/>
        <w:spacing w:beforeAutospacing="0" w:afterAutospacing="0" w:line="400" w:lineRule="exact"/>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投标单位：</w:t>
      </w:r>
      <w:r>
        <w:rPr>
          <w:rFonts w:hint="eastAsia" w:ascii="宋体" w:hAnsi="宋体" w:eastAsia="宋体" w:cs="宋体"/>
          <w:color w:val="000000"/>
          <w:sz w:val="24"/>
          <w:szCs w:val="24"/>
          <w:highlight w:val="none"/>
          <w:u w:val="none"/>
        </w:rPr>
        <w:t>（单位公章）</w:t>
      </w:r>
    </w:p>
    <w:p>
      <w:pPr>
        <w:pageBreakBefore w:val="0"/>
        <w:kinsoku/>
        <w:wordWrap/>
        <w:overflowPunct/>
        <w:topLinePunct w:val="0"/>
        <w:bidi w:val="0"/>
        <w:spacing w:beforeAutospacing="0" w:afterAutospacing="0" w:line="400" w:lineRule="exac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法定代表人或授权代表人：（签字或盖章）</w:t>
      </w:r>
    </w:p>
    <w:p>
      <w:pPr>
        <w:pageBreakBefore w:val="0"/>
        <w:kinsoku/>
        <w:wordWrap/>
        <w:overflowPunct/>
        <w:topLinePunct w:val="0"/>
        <w:bidi w:val="0"/>
        <w:spacing w:beforeAutospacing="0" w:afterAutospacing="0" w:line="400" w:lineRule="exact"/>
        <w:jc w:val="righ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日期：   年  月  日</w:t>
      </w:r>
    </w:p>
    <w:p>
      <w:pPr>
        <w:pStyle w:val="36"/>
        <w:pageBreakBefore w:val="0"/>
        <w:tabs>
          <w:tab w:val="left" w:pos="540"/>
          <w:tab w:val="left" w:pos="1080"/>
        </w:tabs>
        <w:kinsoku/>
        <w:wordWrap/>
        <w:overflowPunct/>
        <w:topLinePunct w:val="0"/>
        <w:bidi w:val="0"/>
        <w:spacing w:beforeAutospacing="0" w:afterAutospacing="0" w:line="400" w:lineRule="exact"/>
        <w:ind w:firstLine="236" w:firstLineChars="98"/>
        <w:jc w:val="center"/>
        <w:rPr>
          <w:rFonts w:hint="eastAsia" w:ascii="宋体" w:hAnsi="宋体" w:eastAsia="宋体" w:cs="宋体"/>
          <w:b/>
          <w:sz w:val="24"/>
          <w:szCs w:val="24"/>
          <w:highlight w:val="none"/>
        </w:rPr>
        <w:sectPr>
          <w:footerReference r:id="rId9" w:type="first"/>
          <w:footerReference r:id="rId8" w:type="default"/>
          <w:pgSz w:w="11906" w:h="16838"/>
          <w:pgMar w:top="1134" w:right="1814" w:bottom="1134" w:left="1814" w:header="851" w:footer="992" w:gutter="0"/>
          <w:pgNumType w:fmt="decimal"/>
          <w:cols w:space="720" w:num="1"/>
          <w:titlePg/>
          <w:docGrid w:type="lines" w:linePitch="312" w:charSpace="0"/>
        </w:sectPr>
      </w:pPr>
    </w:p>
    <w:p>
      <w:pPr>
        <w:pageBreakBefore w:val="0"/>
        <w:widowControl/>
        <w:kinsoku/>
        <w:wordWrap/>
        <w:overflowPunct/>
        <w:topLinePunct w:val="0"/>
        <w:bidi w:val="0"/>
        <w:adjustRightInd w:val="0"/>
        <w:snapToGrid w:val="0"/>
        <w:spacing w:beforeAutospacing="0" w:afterAutospacing="0" w:line="400" w:lineRule="exact"/>
        <w:ind w:firstLine="460" w:firstLineChars="192"/>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8服务评价</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根据评标办法格式自拟</w:t>
      </w:r>
      <w:r>
        <w:rPr>
          <w:rFonts w:hint="eastAsia" w:ascii="宋体" w:hAnsi="宋体" w:eastAsia="宋体" w:cs="宋体"/>
          <w:color w:val="auto"/>
          <w:sz w:val="24"/>
          <w:szCs w:val="24"/>
          <w:highlight w:val="none"/>
          <w:lang w:eastAsia="zh-CN"/>
        </w:rPr>
        <w:t>）</w:t>
      </w:r>
    </w:p>
    <w:p>
      <w:pPr>
        <w:pageBreakBefore w:val="0"/>
        <w:widowControl/>
        <w:kinsoku/>
        <w:wordWrap/>
        <w:overflowPunct/>
        <w:topLinePunct w:val="0"/>
        <w:bidi w:val="0"/>
        <w:adjustRightInd w:val="0"/>
        <w:snapToGrid w:val="0"/>
        <w:spacing w:beforeAutospacing="0" w:afterAutospacing="0" w:line="400" w:lineRule="exact"/>
        <w:ind w:firstLine="460" w:firstLineChars="192"/>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9项目人员；</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根据评标办法格式自拟</w:t>
      </w:r>
      <w:r>
        <w:rPr>
          <w:rFonts w:hint="eastAsia" w:ascii="宋体" w:hAnsi="宋体" w:eastAsia="宋体" w:cs="宋体"/>
          <w:color w:val="auto"/>
          <w:sz w:val="24"/>
          <w:szCs w:val="24"/>
          <w:highlight w:val="none"/>
          <w:lang w:eastAsia="zh-CN"/>
        </w:rPr>
        <w:t>）</w:t>
      </w:r>
    </w:p>
    <w:p>
      <w:pPr>
        <w:pageBreakBefore w:val="0"/>
        <w:kinsoku/>
        <w:wordWrap/>
        <w:overflowPunct/>
        <w:topLinePunct w:val="0"/>
        <w:bidi w:val="0"/>
        <w:spacing w:beforeAutospacing="0" w:afterAutospacing="0" w:line="400" w:lineRule="exact"/>
        <w:ind w:firstLine="482" w:firstLineChars="200"/>
        <w:jc w:val="both"/>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1</w:t>
      </w:r>
      <w:r>
        <w:rPr>
          <w:rFonts w:hint="eastAsia" w:ascii="宋体" w:hAnsi="宋体" w:eastAsia="宋体" w:cs="宋体"/>
          <w:b/>
          <w:color w:val="000000"/>
          <w:sz w:val="24"/>
          <w:szCs w:val="24"/>
          <w:highlight w:val="none"/>
          <w:lang w:val="en-US" w:eastAsia="zh-CN"/>
        </w:rPr>
        <w:t>0</w:t>
      </w:r>
      <w:r>
        <w:rPr>
          <w:rFonts w:hint="eastAsia" w:ascii="宋体" w:hAnsi="宋体" w:eastAsia="宋体" w:cs="宋体"/>
          <w:b/>
          <w:color w:val="000000"/>
          <w:sz w:val="24"/>
          <w:szCs w:val="24"/>
          <w:highlight w:val="none"/>
        </w:rPr>
        <w:t>、商务条款偏离表</w:t>
      </w:r>
    </w:p>
    <w:p>
      <w:pPr>
        <w:pageBreakBefore w:val="0"/>
        <w:kinsoku/>
        <w:wordWrap/>
        <w:overflowPunct/>
        <w:topLinePunct w:val="0"/>
        <w:bidi w:val="0"/>
        <w:adjustRightInd w:val="0"/>
        <w:snapToGrid w:val="0"/>
        <w:spacing w:beforeAutospacing="0" w:afterAutospacing="0" w:line="400" w:lineRule="exact"/>
        <w:rPr>
          <w:rFonts w:hint="eastAsia" w:ascii="宋体" w:hAnsi="宋体" w:eastAsia="宋体" w:cs="宋体"/>
          <w:b/>
          <w:color w:val="000000"/>
          <w:sz w:val="24"/>
          <w:szCs w:val="24"/>
          <w:highlight w:val="none"/>
        </w:rPr>
      </w:pPr>
    </w:p>
    <w:p>
      <w:pPr>
        <w:pageBreakBefore w:val="0"/>
        <w:kinsoku/>
        <w:wordWrap/>
        <w:overflowPunct/>
        <w:topLinePunct w:val="0"/>
        <w:bidi w:val="0"/>
        <w:adjustRightInd w:val="0"/>
        <w:snapToGrid w:val="0"/>
        <w:spacing w:beforeAutospacing="0" w:afterAutospacing="0" w:line="400" w:lineRule="exact"/>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项目名称：</w:t>
      </w:r>
    </w:p>
    <w:p>
      <w:pPr>
        <w:pageBreakBefore w:val="0"/>
        <w:kinsoku/>
        <w:wordWrap/>
        <w:overflowPunct/>
        <w:topLinePunct w:val="0"/>
        <w:bidi w:val="0"/>
        <w:adjustRightInd w:val="0"/>
        <w:snapToGrid w:val="0"/>
        <w:spacing w:beforeAutospacing="0" w:afterAutospacing="0" w:line="400" w:lineRule="exact"/>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项目编号：</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2552"/>
        <w:gridCol w:w="2551"/>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jc w:val="center"/>
        </w:trPr>
        <w:tc>
          <w:tcPr>
            <w:tcW w:w="1150"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序号</w:t>
            </w:r>
          </w:p>
        </w:tc>
        <w:tc>
          <w:tcPr>
            <w:tcW w:w="2552"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招标文件的商务条款</w:t>
            </w:r>
          </w:p>
        </w:tc>
        <w:tc>
          <w:tcPr>
            <w:tcW w:w="2551"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投标文件的商务条款</w:t>
            </w:r>
          </w:p>
        </w:tc>
        <w:tc>
          <w:tcPr>
            <w:tcW w:w="2145"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jc w:val="center"/>
        </w:trPr>
        <w:tc>
          <w:tcPr>
            <w:tcW w:w="1150"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p>
        </w:tc>
        <w:tc>
          <w:tcPr>
            <w:tcW w:w="2552"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p>
        </w:tc>
        <w:tc>
          <w:tcPr>
            <w:tcW w:w="2551"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p>
        </w:tc>
        <w:tc>
          <w:tcPr>
            <w:tcW w:w="2145"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jc w:val="center"/>
        </w:trPr>
        <w:tc>
          <w:tcPr>
            <w:tcW w:w="1150"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p>
        </w:tc>
        <w:tc>
          <w:tcPr>
            <w:tcW w:w="2552"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p>
        </w:tc>
        <w:tc>
          <w:tcPr>
            <w:tcW w:w="2551"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p>
        </w:tc>
        <w:tc>
          <w:tcPr>
            <w:tcW w:w="2145"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jc w:val="center"/>
        </w:trPr>
        <w:tc>
          <w:tcPr>
            <w:tcW w:w="1150"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w:t>
            </w:r>
          </w:p>
        </w:tc>
        <w:tc>
          <w:tcPr>
            <w:tcW w:w="2552"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p>
        </w:tc>
        <w:tc>
          <w:tcPr>
            <w:tcW w:w="2551"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p>
        </w:tc>
        <w:tc>
          <w:tcPr>
            <w:tcW w:w="2145"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jc w:val="center"/>
        </w:trPr>
        <w:tc>
          <w:tcPr>
            <w:tcW w:w="1150"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c>
          <w:tcPr>
            <w:tcW w:w="2552"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p>
        </w:tc>
        <w:tc>
          <w:tcPr>
            <w:tcW w:w="2551"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p>
        </w:tc>
        <w:tc>
          <w:tcPr>
            <w:tcW w:w="2145"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p>
        </w:tc>
      </w:tr>
    </w:tbl>
    <w:p>
      <w:pPr>
        <w:pageBreakBefore w:val="0"/>
        <w:kinsoku/>
        <w:wordWrap/>
        <w:overflowPunct/>
        <w:topLinePunct w:val="0"/>
        <w:bidi w:val="0"/>
        <w:adjustRightInd w:val="0"/>
        <w:snapToGrid w:val="0"/>
        <w:spacing w:beforeAutospacing="0" w:afterAutospacing="0" w:line="400" w:lineRule="exact"/>
        <w:rPr>
          <w:rFonts w:hint="eastAsia" w:ascii="宋体" w:hAnsi="宋体" w:eastAsia="宋体" w:cs="宋体"/>
          <w:color w:val="000000"/>
          <w:sz w:val="24"/>
          <w:szCs w:val="24"/>
          <w:highlight w:val="none"/>
        </w:rPr>
      </w:pPr>
    </w:p>
    <w:p>
      <w:pPr>
        <w:pageBreakBefore w:val="0"/>
        <w:kinsoku/>
        <w:wordWrap/>
        <w:overflowPunct/>
        <w:topLinePunct w:val="0"/>
        <w:bidi w:val="0"/>
        <w:adjustRightInd w:val="0"/>
        <w:snapToGrid w:val="0"/>
        <w:spacing w:beforeAutospacing="0" w:afterAutospacing="0" w:line="40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说明：</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1、本项目商务条款至少包括：</w:t>
      </w:r>
      <w:r>
        <w:rPr>
          <w:rFonts w:hint="eastAsia" w:ascii="宋体" w:hAnsi="宋体" w:eastAsia="宋体" w:cs="宋体"/>
          <w:sz w:val="24"/>
          <w:szCs w:val="24"/>
          <w:highlight w:val="none"/>
          <w:lang w:eastAsia="zh-CN"/>
        </w:rPr>
        <w:t>履约期限</w:t>
      </w:r>
      <w:r>
        <w:rPr>
          <w:rFonts w:hint="eastAsia" w:ascii="宋体" w:hAnsi="宋体" w:eastAsia="宋体" w:cs="宋体"/>
          <w:sz w:val="24"/>
          <w:szCs w:val="24"/>
          <w:highlight w:val="none"/>
        </w:rPr>
        <w:t>、招标内容、投标保证金响应、投标文件有效期等，投标人必须按招标文件给定的条款填写，否则视为不响应招标。</w:t>
      </w:r>
    </w:p>
    <w:p>
      <w:pPr>
        <w:pageBreakBefore w:val="0"/>
        <w:kinsoku/>
        <w:wordWrap/>
        <w:overflowPunct/>
        <w:topLinePunct w:val="0"/>
        <w:bidi w:val="0"/>
        <w:adjustRightInd w:val="0"/>
        <w:snapToGrid w:val="0"/>
        <w:spacing w:beforeAutospacing="0" w:afterAutospacing="0" w:line="4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2、招标文件条目号指投标须知所对应项目名称。</w:t>
      </w:r>
    </w:p>
    <w:p>
      <w:pPr>
        <w:pageBreakBefore w:val="0"/>
        <w:kinsoku/>
        <w:wordWrap/>
        <w:overflowPunct/>
        <w:topLinePunct w:val="0"/>
        <w:bidi w:val="0"/>
        <w:adjustRightInd w:val="0"/>
        <w:snapToGrid w:val="0"/>
        <w:spacing w:beforeAutospacing="0" w:afterAutospacing="0" w:line="400" w:lineRule="exact"/>
        <w:rPr>
          <w:rFonts w:hint="eastAsia" w:ascii="宋体" w:hAnsi="宋体" w:eastAsia="宋体" w:cs="宋体"/>
          <w:color w:val="000000"/>
          <w:sz w:val="24"/>
          <w:szCs w:val="24"/>
          <w:highlight w:val="none"/>
        </w:rPr>
      </w:pPr>
    </w:p>
    <w:p>
      <w:pPr>
        <w:pageBreakBefore w:val="0"/>
        <w:kinsoku/>
        <w:wordWrap/>
        <w:overflowPunct/>
        <w:topLinePunct w:val="0"/>
        <w:bidi w:val="0"/>
        <w:adjustRightInd w:val="0"/>
        <w:snapToGrid w:val="0"/>
        <w:spacing w:beforeAutospacing="0" w:afterAutospacing="0" w:line="400" w:lineRule="exact"/>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　投标单位：（单位公章）</w:t>
      </w:r>
    </w:p>
    <w:p>
      <w:pPr>
        <w:pageBreakBefore w:val="0"/>
        <w:kinsoku/>
        <w:wordWrap/>
        <w:overflowPunct/>
        <w:topLinePunct w:val="0"/>
        <w:bidi w:val="0"/>
        <w:adjustRightInd w:val="0"/>
        <w:snapToGrid w:val="0"/>
        <w:spacing w:beforeAutospacing="0" w:afterAutospacing="0" w:line="400" w:lineRule="exac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法定代表人或授权代表人：（签字或盖章）</w:t>
      </w:r>
    </w:p>
    <w:p>
      <w:pPr>
        <w:pageBreakBefore w:val="0"/>
        <w:kinsoku/>
        <w:wordWrap/>
        <w:overflowPunct/>
        <w:topLinePunct w:val="0"/>
        <w:bidi w:val="0"/>
        <w:adjustRightInd w:val="0"/>
        <w:snapToGrid w:val="0"/>
        <w:spacing w:beforeAutospacing="0" w:afterAutospacing="0" w:line="400" w:lineRule="exact"/>
        <w:rPr>
          <w:rFonts w:hint="eastAsia" w:ascii="宋体" w:hAnsi="宋体" w:eastAsia="宋体" w:cs="宋体"/>
          <w:color w:val="000000"/>
          <w:sz w:val="24"/>
          <w:szCs w:val="24"/>
          <w:highlight w:val="none"/>
        </w:rPr>
      </w:pPr>
    </w:p>
    <w:p>
      <w:pPr>
        <w:pageBreakBefore w:val="0"/>
        <w:kinsoku/>
        <w:wordWrap/>
        <w:overflowPunct/>
        <w:topLinePunct w:val="0"/>
        <w:bidi w:val="0"/>
        <w:adjustRightInd w:val="0"/>
        <w:snapToGrid w:val="0"/>
        <w:spacing w:beforeAutospacing="0" w:afterAutospacing="0" w:line="400" w:lineRule="exact"/>
        <w:rPr>
          <w:rFonts w:hint="eastAsia" w:ascii="宋体" w:hAnsi="宋体" w:eastAsia="宋体" w:cs="宋体"/>
          <w:color w:val="000000"/>
          <w:sz w:val="24"/>
          <w:szCs w:val="24"/>
          <w:highlight w:val="none"/>
        </w:rPr>
      </w:pPr>
    </w:p>
    <w:p>
      <w:pPr>
        <w:pageBreakBefore w:val="0"/>
        <w:kinsoku/>
        <w:wordWrap/>
        <w:overflowPunct/>
        <w:topLinePunct w:val="0"/>
        <w:bidi w:val="0"/>
        <w:adjustRightInd w:val="0"/>
        <w:snapToGrid w:val="0"/>
        <w:spacing w:beforeAutospacing="0" w:afterAutospacing="0" w:line="400" w:lineRule="exact"/>
        <w:jc w:val="righ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日期：   年   月   日</w:t>
      </w:r>
    </w:p>
    <w:p>
      <w:pPr>
        <w:pageBreakBefore w:val="0"/>
        <w:widowControl/>
        <w:kinsoku/>
        <w:wordWrap/>
        <w:overflowPunct/>
        <w:topLinePunct w:val="0"/>
        <w:bidi w:val="0"/>
        <w:adjustRightInd w:val="0"/>
        <w:snapToGrid w:val="0"/>
        <w:spacing w:beforeAutospacing="0" w:afterAutospacing="0" w:line="400" w:lineRule="exact"/>
        <w:ind w:firstLine="460" w:firstLineChars="192"/>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w:t>
      </w:r>
    </w:p>
    <w:p>
      <w:pPr>
        <w:pStyle w:val="31"/>
        <w:pageBreakBefore w:val="0"/>
        <w:kinsoku/>
        <w:wordWrap/>
        <w:overflowPunct/>
        <w:topLinePunct w:val="0"/>
        <w:bidi w:val="0"/>
        <w:spacing w:beforeAutospacing="0" w:afterAutospacing="0" w:line="400" w:lineRule="exact"/>
        <w:rPr>
          <w:rFonts w:hint="eastAsia" w:ascii="宋体" w:hAnsi="宋体" w:eastAsia="宋体" w:cs="宋体"/>
          <w:sz w:val="24"/>
          <w:szCs w:val="24"/>
        </w:rPr>
      </w:pPr>
    </w:p>
    <w:p>
      <w:pPr>
        <w:pageBreakBefore w:val="0"/>
        <w:widowControl/>
        <w:kinsoku/>
        <w:wordWrap/>
        <w:overflowPunct/>
        <w:topLinePunct w:val="0"/>
        <w:bidi w:val="0"/>
        <w:adjustRightInd w:val="0"/>
        <w:snapToGrid w:val="0"/>
        <w:spacing w:beforeAutospacing="0" w:afterAutospacing="0" w:line="400" w:lineRule="exact"/>
        <w:ind w:firstLine="460" w:firstLineChars="192"/>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w:t>
      </w:r>
    </w:p>
    <w:p>
      <w:pPr>
        <w:pStyle w:val="2"/>
        <w:rPr>
          <w:rFonts w:hint="eastAsia" w:ascii="宋体" w:hAnsi="宋体" w:eastAsia="宋体" w:cs="宋体"/>
          <w:color w:val="000000"/>
          <w:sz w:val="24"/>
          <w:szCs w:val="24"/>
          <w:highlight w:val="none"/>
        </w:rPr>
      </w:pPr>
    </w:p>
    <w:p>
      <w:pPr>
        <w:pStyle w:val="2"/>
        <w:rPr>
          <w:rFonts w:hint="eastAsia" w:ascii="宋体" w:hAnsi="宋体" w:eastAsia="宋体" w:cs="宋体"/>
          <w:color w:val="000000"/>
          <w:sz w:val="24"/>
          <w:szCs w:val="24"/>
          <w:highlight w:val="none"/>
        </w:rPr>
      </w:pPr>
    </w:p>
    <w:p>
      <w:pPr>
        <w:pageBreakBefore w:val="0"/>
        <w:kinsoku/>
        <w:wordWrap/>
        <w:overflowPunct/>
        <w:topLinePunct w:val="0"/>
        <w:autoSpaceDE w:val="0"/>
        <w:autoSpaceDN w:val="0"/>
        <w:bidi w:val="0"/>
        <w:adjustRightInd w:val="0"/>
        <w:spacing w:beforeAutospacing="0" w:afterAutospacing="0" w:line="400" w:lineRule="exact"/>
        <w:ind w:left="220" w:leftChars="105" w:firstLine="361" w:firstLineChars="150"/>
        <w:jc w:val="center"/>
        <w:rPr>
          <w:rFonts w:hint="eastAsia" w:ascii="宋体" w:hAnsi="宋体" w:eastAsia="宋体" w:cs="宋体"/>
          <w:b/>
          <w:color w:val="000000"/>
          <w:kern w:val="0"/>
          <w:sz w:val="24"/>
          <w:szCs w:val="24"/>
          <w:highlight w:val="none"/>
          <w:lang w:val="zh-CN"/>
        </w:rPr>
      </w:pPr>
      <w:r>
        <w:rPr>
          <w:rFonts w:hint="eastAsia" w:ascii="宋体" w:hAnsi="宋体" w:eastAsia="宋体" w:cs="宋体"/>
          <w:b/>
          <w:color w:val="000000"/>
          <w:sz w:val="24"/>
          <w:szCs w:val="24"/>
          <w:highlight w:val="none"/>
        </w:rPr>
        <w:t>1</w:t>
      </w:r>
      <w:r>
        <w:rPr>
          <w:rFonts w:hint="eastAsia" w:ascii="宋体" w:hAnsi="宋体" w:eastAsia="宋体" w:cs="宋体"/>
          <w:b/>
          <w:color w:val="000000"/>
          <w:sz w:val="24"/>
          <w:szCs w:val="24"/>
          <w:highlight w:val="none"/>
          <w:lang w:val="en-US" w:eastAsia="zh-CN"/>
        </w:rPr>
        <w:t>1</w:t>
      </w:r>
      <w:r>
        <w:rPr>
          <w:rFonts w:hint="eastAsia" w:ascii="宋体" w:hAnsi="宋体" w:eastAsia="宋体" w:cs="宋体"/>
          <w:b/>
          <w:color w:val="000000"/>
          <w:sz w:val="24"/>
          <w:szCs w:val="24"/>
          <w:highlight w:val="none"/>
        </w:rPr>
        <w:t>、</w:t>
      </w:r>
      <w:r>
        <w:rPr>
          <w:rFonts w:hint="eastAsia" w:ascii="宋体" w:hAnsi="宋体" w:eastAsia="宋体" w:cs="宋体"/>
          <w:b/>
          <w:color w:val="000000"/>
          <w:kern w:val="0"/>
          <w:sz w:val="24"/>
          <w:szCs w:val="24"/>
          <w:highlight w:val="none"/>
          <w:lang w:val="zh-CN"/>
        </w:rPr>
        <w:t>投标单位（投标人）反商业贿赂承诺书</w:t>
      </w:r>
    </w:p>
    <w:p>
      <w:pPr>
        <w:pageBreakBefore w:val="0"/>
        <w:kinsoku/>
        <w:wordWrap/>
        <w:overflowPunct/>
        <w:topLinePunct w:val="0"/>
        <w:autoSpaceDE w:val="0"/>
        <w:autoSpaceDN w:val="0"/>
        <w:bidi w:val="0"/>
        <w:adjustRightInd w:val="0"/>
        <w:spacing w:beforeAutospacing="0" w:afterAutospacing="0" w:line="400" w:lineRule="exact"/>
        <w:ind w:left="220"/>
        <w:jc w:val="left"/>
        <w:rPr>
          <w:rFonts w:hint="eastAsia" w:ascii="宋体" w:hAnsi="宋体" w:eastAsia="宋体" w:cs="宋体"/>
          <w:color w:val="000000"/>
          <w:kern w:val="0"/>
          <w:sz w:val="24"/>
          <w:szCs w:val="24"/>
          <w:highlight w:val="none"/>
          <w:lang w:val="zh-CN"/>
        </w:rPr>
      </w:pPr>
    </w:p>
    <w:p>
      <w:pPr>
        <w:pageBreakBefore w:val="0"/>
        <w:kinsoku/>
        <w:wordWrap/>
        <w:overflowPunct/>
        <w:topLinePunct w:val="0"/>
        <w:autoSpaceDE w:val="0"/>
        <w:autoSpaceDN w:val="0"/>
        <w:bidi w:val="0"/>
        <w:adjustRightInd w:val="0"/>
        <w:spacing w:beforeAutospacing="0" w:afterAutospacing="0" w:line="400" w:lineRule="exact"/>
        <w:ind w:firstLine="600" w:firstLineChars="250"/>
        <w:rPr>
          <w:rFonts w:hint="eastAsia" w:ascii="宋体" w:hAnsi="宋体" w:eastAsia="宋体" w:cs="宋体"/>
          <w:color w:val="000000"/>
          <w:kern w:val="0"/>
          <w:sz w:val="24"/>
          <w:szCs w:val="24"/>
          <w:highlight w:val="none"/>
          <w:lang w:val="zh-CN"/>
        </w:rPr>
      </w:pPr>
      <w:r>
        <w:rPr>
          <w:rFonts w:hint="eastAsia" w:ascii="宋体" w:hAnsi="宋体" w:eastAsia="宋体" w:cs="宋体"/>
          <w:color w:val="000000"/>
          <w:kern w:val="0"/>
          <w:sz w:val="24"/>
          <w:szCs w:val="24"/>
          <w:highlight w:val="none"/>
          <w:lang w:val="zh-CN"/>
        </w:rPr>
        <w:t>我公司承诺在公开招标活动中，不给予国家工作人员及其亲属各种形式的商业贿赂（包括送礼金礼品、有价证券、购物券、回扣、佣金、咨询费、劳务费、赞助费、宣传费、支付旅游费用、报销各种消费凭证、宴请、娱乐等），如有上述行为，我公司及项目参与人员愿意按照《政府招标法》、《反不正当竞争法》的有关规定接受处罚。</w:t>
      </w:r>
    </w:p>
    <w:p>
      <w:pPr>
        <w:pageBreakBefore w:val="0"/>
        <w:kinsoku/>
        <w:wordWrap/>
        <w:overflowPunct/>
        <w:topLinePunct w:val="0"/>
        <w:autoSpaceDE w:val="0"/>
        <w:autoSpaceDN w:val="0"/>
        <w:bidi w:val="0"/>
        <w:adjustRightInd w:val="0"/>
        <w:spacing w:beforeAutospacing="0" w:afterAutospacing="0" w:line="400" w:lineRule="exact"/>
        <w:ind w:firstLine="600" w:firstLineChars="250"/>
        <w:rPr>
          <w:rFonts w:hint="eastAsia" w:ascii="宋体" w:hAnsi="宋体" w:eastAsia="宋体" w:cs="宋体"/>
          <w:bCs/>
          <w:color w:val="000000"/>
          <w:sz w:val="24"/>
          <w:szCs w:val="24"/>
          <w:highlight w:val="none"/>
          <w:lang w:val="zh-CN"/>
        </w:rPr>
      </w:pPr>
    </w:p>
    <w:p>
      <w:pPr>
        <w:pageBreakBefore w:val="0"/>
        <w:kinsoku/>
        <w:wordWrap/>
        <w:overflowPunct/>
        <w:topLinePunct w:val="0"/>
        <w:bidi w:val="0"/>
        <w:spacing w:beforeAutospacing="0" w:afterAutospacing="0" w:line="400" w:lineRule="exact"/>
        <w:ind w:firstLine="480" w:firstLineChars="200"/>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投标单位：（单位公章）</w:t>
      </w:r>
    </w:p>
    <w:p>
      <w:pPr>
        <w:pageBreakBefore w:val="0"/>
        <w:kinsoku/>
        <w:wordWrap/>
        <w:overflowPunct/>
        <w:topLinePunct w:val="0"/>
        <w:bidi w:val="0"/>
        <w:spacing w:beforeAutospacing="0" w:afterAutospacing="0" w:line="400" w:lineRule="exact"/>
        <w:ind w:firstLine="240" w:firstLineChars="100"/>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rPr>
        <w:t xml:space="preserve">  法定代表人或授权代表人：（签字或盖章）</w:t>
      </w:r>
    </w:p>
    <w:p>
      <w:pPr>
        <w:pageBreakBefore w:val="0"/>
        <w:kinsoku/>
        <w:wordWrap/>
        <w:overflowPunct/>
        <w:topLinePunct w:val="0"/>
        <w:bidi w:val="0"/>
        <w:spacing w:beforeAutospacing="0" w:afterAutospacing="0" w:line="400" w:lineRule="exact"/>
        <w:ind w:firstLine="465"/>
        <w:rPr>
          <w:rFonts w:hint="eastAsia" w:ascii="宋体" w:hAnsi="宋体" w:eastAsia="宋体" w:cs="宋体"/>
          <w:color w:val="000000"/>
          <w:sz w:val="24"/>
          <w:szCs w:val="24"/>
          <w:highlight w:val="none"/>
          <w:lang w:val="zh-CN"/>
        </w:rPr>
      </w:pPr>
    </w:p>
    <w:p>
      <w:pPr>
        <w:pageBreakBefore w:val="0"/>
        <w:kinsoku/>
        <w:wordWrap/>
        <w:overflowPunct/>
        <w:topLinePunct w:val="0"/>
        <w:bidi w:val="0"/>
        <w:spacing w:beforeAutospacing="0" w:afterAutospacing="0" w:line="400" w:lineRule="exact"/>
        <w:ind w:firstLine="465"/>
        <w:rPr>
          <w:rFonts w:hint="eastAsia" w:ascii="宋体" w:hAnsi="宋体" w:eastAsia="宋体" w:cs="宋体"/>
          <w:color w:val="000000"/>
          <w:sz w:val="24"/>
          <w:szCs w:val="24"/>
          <w:highlight w:val="none"/>
          <w:lang w:val="zh-CN"/>
        </w:rPr>
      </w:pPr>
    </w:p>
    <w:p>
      <w:pPr>
        <w:pStyle w:val="31"/>
        <w:pageBreakBefore w:val="0"/>
        <w:kinsoku/>
        <w:wordWrap/>
        <w:overflowPunct/>
        <w:topLinePunct w:val="0"/>
        <w:bidi w:val="0"/>
        <w:spacing w:beforeAutospacing="0" w:afterAutospacing="0" w:line="400" w:lineRule="exact"/>
        <w:rPr>
          <w:rFonts w:hint="eastAsia" w:ascii="宋体" w:hAnsi="宋体" w:eastAsia="宋体" w:cs="宋体"/>
          <w:color w:val="000000"/>
          <w:sz w:val="24"/>
          <w:szCs w:val="24"/>
          <w:highlight w:val="none"/>
          <w:lang w:val="zh-CN"/>
        </w:rPr>
      </w:pPr>
    </w:p>
    <w:p>
      <w:pPr>
        <w:pStyle w:val="31"/>
        <w:pageBreakBefore w:val="0"/>
        <w:kinsoku/>
        <w:wordWrap/>
        <w:overflowPunct/>
        <w:topLinePunct w:val="0"/>
        <w:bidi w:val="0"/>
        <w:spacing w:beforeAutospacing="0" w:afterAutospacing="0" w:line="400" w:lineRule="exact"/>
        <w:rPr>
          <w:rFonts w:hint="eastAsia" w:ascii="宋体" w:hAnsi="宋体" w:eastAsia="宋体" w:cs="宋体"/>
          <w:color w:val="000000"/>
          <w:sz w:val="24"/>
          <w:szCs w:val="24"/>
          <w:highlight w:val="none"/>
          <w:lang w:val="zh-CN"/>
        </w:rPr>
      </w:pPr>
    </w:p>
    <w:p>
      <w:pPr>
        <w:pageBreakBefore w:val="0"/>
        <w:kinsoku/>
        <w:wordWrap/>
        <w:overflowPunct/>
        <w:topLinePunct w:val="0"/>
        <w:bidi w:val="0"/>
        <w:spacing w:beforeAutospacing="0" w:afterAutospacing="0" w:line="400" w:lineRule="exact"/>
        <w:jc w:val="righ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日期：   年   月   日</w:t>
      </w:r>
    </w:p>
    <w:p>
      <w:pPr>
        <w:pStyle w:val="8"/>
        <w:pageBreakBefore w:val="0"/>
        <w:kinsoku/>
        <w:wordWrap/>
        <w:overflowPunct/>
        <w:topLinePunct w:val="0"/>
        <w:bidi w:val="0"/>
        <w:spacing w:beforeAutospacing="0" w:afterAutospacing="0" w:line="400" w:lineRule="exact"/>
        <w:rPr>
          <w:rFonts w:hint="eastAsia" w:ascii="宋体" w:hAnsi="宋体" w:eastAsia="宋体" w:cs="宋体"/>
          <w:sz w:val="24"/>
          <w:szCs w:val="24"/>
        </w:rPr>
      </w:pPr>
    </w:p>
    <w:p>
      <w:pPr>
        <w:pStyle w:val="22"/>
        <w:pageBreakBefore w:val="0"/>
        <w:kinsoku/>
        <w:wordWrap/>
        <w:overflowPunct/>
        <w:topLinePunct w:val="0"/>
        <w:bidi w:val="0"/>
        <w:spacing w:beforeAutospacing="0" w:after="0" w:afterAutospacing="0" w:line="400" w:lineRule="exact"/>
        <w:rPr>
          <w:rFonts w:hint="eastAsia" w:ascii="宋体" w:hAnsi="宋体" w:eastAsia="宋体" w:cs="宋体"/>
          <w:b/>
          <w:bCs/>
          <w:color w:val="000000"/>
          <w:sz w:val="24"/>
          <w:szCs w:val="24"/>
          <w:highlight w:val="none"/>
        </w:rPr>
      </w:pPr>
    </w:p>
    <w:p>
      <w:pPr>
        <w:pStyle w:val="36"/>
        <w:pageBreakBefore w:val="0"/>
        <w:tabs>
          <w:tab w:val="left" w:pos="540"/>
          <w:tab w:val="left" w:pos="1080"/>
        </w:tabs>
        <w:kinsoku/>
        <w:wordWrap/>
        <w:overflowPunct/>
        <w:topLinePunct w:val="0"/>
        <w:bidi w:val="0"/>
        <w:spacing w:beforeAutospacing="0" w:afterAutospacing="0" w:line="400" w:lineRule="exact"/>
        <w:rPr>
          <w:rFonts w:hint="eastAsia" w:ascii="宋体" w:hAnsi="宋体" w:eastAsia="宋体" w:cs="宋体"/>
          <w:b/>
          <w:sz w:val="24"/>
          <w:szCs w:val="24"/>
          <w:highlight w:val="none"/>
        </w:rPr>
        <w:sectPr>
          <w:footerReference r:id="rId11" w:type="first"/>
          <w:footerReference r:id="rId10" w:type="default"/>
          <w:pgSz w:w="11906" w:h="16838"/>
          <w:pgMar w:top="1134" w:right="1814" w:bottom="1134" w:left="1814" w:header="851" w:footer="992" w:gutter="0"/>
          <w:pgNumType w:fmt="decimal"/>
          <w:cols w:space="720" w:num="1"/>
          <w:titlePg/>
          <w:docGrid w:type="lines" w:linePitch="312" w:charSpace="0"/>
        </w:sectPr>
      </w:pPr>
    </w:p>
    <w:p>
      <w:pPr>
        <w:pageBreakBefore w:val="0"/>
        <w:tabs>
          <w:tab w:val="left" w:pos="2880"/>
        </w:tabs>
        <w:kinsoku/>
        <w:wordWrap/>
        <w:overflowPunct/>
        <w:topLinePunct w:val="0"/>
        <w:bidi w:val="0"/>
        <w:spacing w:beforeAutospacing="0" w:afterAutospacing="0" w:line="400" w:lineRule="exact"/>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lang w:val="en-US" w:eastAsia="zh-CN"/>
        </w:rPr>
        <w:t>12、</w:t>
      </w:r>
      <w:r>
        <w:rPr>
          <w:rFonts w:hint="eastAsia" w:ascii="宋体" w:hAnsi="宋体" w:eastAsia="宋体" w:cs="宋体"/>
          <w:b/>
          <w:color w:val="auto"/>
          <w:kern w:val="0"/>
          <w:sz w:val="24"/>
          <w:szCs w:val="24"/>
          <w:highlight w:val="none"/>
        </w:rPr>
        <w:t>投标人标人企业类型声明函</w:t>
      </w:r>
    </w:p>
    <w:p>
      <w:pPr>
        <w:pageBreakBefore w:val="0"/>
        <w:kinsoku/>
        <w:wordWrap/>
        <w:overflowPunct/>
        <w:topLinePunct w:val="0"/>
        <w:bidi w:val="0"/>
        <w:spacing w:beforeAutospacing="0" w:afterAutospacing="0" w:line="400" w:lineRule="exact"/>
        <w:jc w:val="both"/>
        <w:rPr>
          <w:rFonts w:hint="eastAsia" w:ascii="宋体" w:hAnsi="宋体" w:eastAsia="宋体" w:cs="宋体"/>
          <w:bCs w:val="0"/>
          <w:color w:val="000000"/>
          <w:kern w:val="0"/>
          <w:sz w:val="24"/>
          <w:szCs w:val="24"/>
          <w:highlight w:val="none"/>
          <w:lang w:val="zh-CN"/>
        </w:rPr>
      </w:pPr>
      <w:r>
        <w:rPr>
          <w:rFonts w:hint="eastAsia" w:ascii="宋体" w:hAnsi="宋体" w:eastAsia="宋体" w:cs="宋体"/>
          <w:bCs w:val="0"/>
          <w:color w:val="000000"/>
          <w:kern w:val="0"/>
          <w:sz w:val="24"/>
          <w:szCs w:val="24"/>
          <w:highlight w:val="none"/>
        </w:rPr>
        <w:t>1</w:t>
      </w:r>
      <w:r>
        <w:rPr>
          <w:rFonts w:hint="eastAsia" w:ascii="宋体" w:hAnsi="宋体" w:eastAsia="宋体" w:cs="宋体"/>
          <w:bCs w:val="0"/>
          <w:color w:val="000000"/>
          <w:kern w:val="0"/>
          <w:sz w:val="24"/>
          <w:szCs w:val="24"/>
          <w:highlight w:val="none"/>
          <w:lang w:val="en-US" w:eastAsia="zh-CN"/>
        </w:rPr>
        <w:t>2.1</w:t>
      </w:r>
      <w:r>
        <w:rPr>
          <w:rFonts w:hint="eastAsia" w:ascii="宋体" w:hAnsi="宋体" w:eastAsia="宋体" w:cs="宋体"/>
          <w:bCs w:val="0"/>
          <w:color w:val="000000"/>
          <w:kern w:val="0"/>
          <w:sz w:val="24"/>
          <w:szCs w:val="24"/>
          <w:highlight w:val="none"/>
        </w:rPr>
        <w:t>、</w:t>
      </w:r>
      <w:r>
        <w:rPr>
          <w:rFonts w:hint="eastAsia" w:ascii="宋体" w:hAnsi="宋体" w:eastAsia="宋体" w:cs="宋体"/>
          <w:bCs w:val="0"/>
          <w:color w:val="000000"/>
          <w:kern w:val="0"/>
          <w:sz w:val="24"/>
          <w:szCs w:val="24"/>
          <w:highlight w:val="none"/>
          <w:lang w:val="zh-CN"/>
        </w:rPr>
        <w:t>中小企业声明函</w:t>
      </w:r>
    </w:p>
    <w:p>
      <w:pPr>
        <w:pStyle w:val="12"/>
        <w:pageBreakBefore w:val="0"/>
        <w:kinsoku/>
        <w:wordWrap/>
        <w:overflowPunct/>
        <w:topLinePunct w:val="0"/>
        <w:bidi w:val="0"/>
        <w:spacing w:beforeAutospacing="0" w:after="0" w:afterAutospacing="0" w:line="400" w:lineRule="exact"/>
        <w:ind w:right="714"/>
        <w:jc w:val="both"/>
        <w:rPr>
          <w:rFonts w:hint="eastAsia" w:ascii="宋体" w:hAnsi="宋体" w:eastAsia="宋体" w:cs="宋体"/>
          <w:color w:val="000000"/>
          <w:sz w:val="24"/>
          <w:szCs w:val="24"/>
          <w:highlight w:val="none"/>
        </w:rPr>
      </w:pPr>
    </w:p>
    <w:p>
      <w:pPr>
        <w:pStyle w:val="12"/>
        <w:pageBreakBefore w:val="0"/>
        <w:kinsoku/>
        <w:wordWrap/>
        <w:overflowPunct/>
        <w:topLinePunct w:val="0"/>
        <w:bidi w:val="0"/>
        <w:spacing w:beforeAutospacing="0" w:after="0" w:afterAutospacing="0" w:line="400" w:lineRule="exact"/>
        <w:ind w:right="714"/>
        <w:jc w:val="center"/>
        <w:outlineLvl w:val="0"/>
        <w:rPr>
          <w:rFonts w:hint="eastAsia" w:ascii="宋体" w:hAnsi="宋体" w:eastAsia="宋体" w:cs="宋体"/>
          <w:color w:val="000000"/>
          <w:kern w:val="0"/>
          <w:sz w:val="24"/>
          <w:szCs w:val="24"/>
          <w:highlight w:val="none"/>
          <w:lang w:val="zh-CN"/>
        </w:rPr>
      </w:pPr>
      <w:bookmarkStart w:id="46" w:name="_Toc2043"/>
      <w:bookmarkStart w:id="47" w:name="_Toc8363"/>
      <w:bookmarkStart w:id="48" w:name="_Toc28917"/>
      <w:bookmarkStart w:id="49" w:name="_Toc18018"/>
      <w:r>
        <w:rPr>
          <w:rFonts w:hint="eastAsia" w:ascii="宋体" w:hAnsi="宋体" w:eastAsia="宋体" w:cs="宋体"/>
          <w:bCs w:val="0"/>
          <w:color w:val="000000"/>
          <w:kern w:val="0"/>
          <w:sz w:val="24"/>
          <w:szCs w:val="24"/>
          <w:highlight w:val="none"/>
          <w:lang w:val="zh-CN"/>
        </w:rPr>
        <w:t>中小企业声明函</w:t>
      </w:r>
      <w:bookmarkEnd w:id="46"/>
      <w:bookmarkEnd w:id="47"/>
      <w:r>
        <w:rPr>
          <w:rFonts w:hint="eastAsia" w:ascii="宋体" w:hAnsi="宋体" w:eastAsia="宋体" w:cs="宋体"/>
          <w:bCs w:val="0"/>
          <w:color w:val="000000"/>
          <w:kern w:val="0"/>
          <w:sz w:val="24"/>
          <w:szCs w:val="24"/>
          <w:highlight w:val="none"/>
          <w:lang w:val="zh-CN"/>
        </w:rPr>
        <w:t>（</w:t>
      </w:r>
      <w:r>
        <w:rPr>
          <w:rFonts w:hint="eastAsia" w:ascii="宋体" w:hAnsi="宋体" w:eastAsia="宋体" w:cs="宋体"/>
          <w:bCs w:val="0"/>
          <w:color w:val="000000"/>
          <w:kern w:val="0"/>
          <w:sz w:val="24"/>
          <w:szCs w:val="24"/>
          <w:highlight w:val="none"/>
          <w:lang w:val="en-US" w:eastAsia="zh-CN"/>
        </w:rPr>
        <w:t>实质性条款必须提供</w:t>
      </w:r>
      <w:r>
        <w:rPr>
          <w:rFonts w:hint="eastAsia" w:ascii="宋体" w:hAnsi="宋体" w:eastAsia="宋体" w:cs="宋体"/>
          <w:bCs w:val="0"/>
          <w:color w:val="000000"/>
          <w:kern w:val="0"/>
          <w:sz w:val="24"/>
          <w:szCs w:val="24"/>
          <w:highlight w:val="none"/>
          <w:lang w:val="zh-CN"/>
        </w:rPr>
        <w:t>）</w:t>
      </w:r>
      <w:bookmarkEnd w:id="48"/>
      <w:bookmarkEnd w:id="49"/>
    </w:p>
    <w:p>
      <w:pPr>
        <w:pStyle w:val="12"/>
        <w:pageBreakBefore w:val="0"/>
        <w:kinsoku/>
        <w:wordWrap/>
        <w:overflowPunct/>
        <w:topLinePunct w:val="0"/>
        <w:bidi w:val="0"/>
        <w:spacing w:beforeAutospacing="0" w:after="0" w:afterAutospacing="0" w:line="400" w:lineRule="exact"/>
        <w:ind w:left="210" w:leftChars="100" w:right="210" w:rightChars="100" w:firstLine="199" w:firstLineChars="83"/>
        <w:rPr>
          <w:rFonts w:hint="eastAsia" w:ascii="宋体" w:hAnsi="宋体" w:eastAsia="宋体" w:cs="宋体"/>
          <w:color w:val="000000"/>
          <w:kern w:val="0"/>
          <w:sz w:val="24"/>
          <w:szCs w:val="24"/>
          <w:highlight w:val="none"/>
          <w:lang w:val="zh-CN"/>
        </w:rPr>
      </w:pPr>
    </w:p>
    <w:p>
      <w:pPr>
        <w:pStyle w:val="12"/>
        <w:pageBreakBefore w:val="0"/>
        <w:kinsoku/>
        <w:wordWrap/>
        <w:overflowPunct/>
        <w:topLinePunct w:val="0"/>
        <w:bidi w:val="0"/>
        <w:spacing w:beforeAutospacing="0" w:after="0" w:afterAutospacing="0" w:line="400" w:lineRule="exact"/>
        <w:ind w:firstLine="480" w:firstLineChars="200"/>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的具体情况如下：</w:t>
      </w:r>
    </w:p>
    <w:p>
      <w:pPr>
        <w:pStyle w:val="12"/>
        <w:pageBreakBefore w:val="0"/>
        <w:kinsoku/>
        <w:wordWrap/>
        <w:overflowPunct/>
        <w:topLinePunct w:val="0"/>
        <w:bidi w:val="0"/>
        <w:spacing w:beforeAutospacing="0" w:after="0" w:afterAutospacing="0" w:line="400" w:lineRule="exact"/>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1. （标的名称） ，属于（采购文件中明确的所属行业）行业；承接企业（企业名称），从业人员</w:t>
      </w:r>
      <w:r>
        <w:rPr>
          <w:rFonts w:hint="eastAsia" w:ascii="宋体" w:hAnsi="宋体" w:eastAsia="宋体" w:cs="宋体"/>
          <w:color w:val="000000"/>
          <w:kern w:val="2"/>
          <w:sz w:val="24"/>
          <w:szCs w:val="24"/>
          <w:highlight w:val="none"/>
          <w:u w:val="single"/>
          <w:lang w:val="en-US" w:eastAsia="zh-CN" w:bidi="ar-SA"/>
        </w:rPr>
        <w:t xml:space="preserve">     </w:t>
      </w:r>
      <w:r>
        <w:rPr>
          <w:rFonts w:hint="eastAsia" w:ascii="宋体" w:hAnsi="宋体" w:eastAsia="宋体" w:cs="宋体"/>
          <w:color w:val="000000"/>
          <w:kern w:val="2"/>
          <w:sz w:val="24"/>
          <w:szCs w:val="24"/>
          <w:highlight w:val="none"/>
          <w:lang w:val="en-US" w:eastAsia="zh-CN" w:bidi="ar-SA"/>
        </w:rPr>
        <w:t>人，营业收入为</w:t>
      </w:r>
      <w:r>
        <w:rPr>
          <w:rFonts w:hint="eastAsia" w:ascii="宋体" w:hAnsi="宋体" w:eastAsia="宋体" w:cs="宋体"/>
          <w:color w:val="000000"/>
          <w:kern w:val="2"/>
          <w:sz w:val="24"/>
          <w:szCs w:val="24"/>
          <w:highlight w:val="none"/>
          <w:u w:val="single"/>
          <w:lang w:val="en-US" w:eastAsia="zh-CN" w:bidi="ar-SA"/>
        </w:rPr>
        <w:t xml:space="preserve">       </w:t>
      </w:r>
      <w:r>
        <w:rPr>
          <w:rFonts w:hint="eastAsia" w:ascii="宋体" w:hAnsi="宋体" w:eastAsia="宋体" w:cs="宋体"/>
          <w:color w:val="000000"/>
          <w:kern w:val="2"/>
          <w:sz w:val="24"/>
          <w:szCs w:val="24"/>
          <w:highlight w:val="none"/>
          <w:lang w:val="en-US" w:eastAsia="zh-CN" w:bidi="ar-SA"/>
        </w:rPr>
        <w:t>万元，资产总额为</w:t>
      </w:r>
      <w:r>
        <w:rPr>
          <w:rFonts w:hint="eastAsia" w:ascii="宋体" w:hAnsi="宋体" w:eastAsia="宋体" w:cs="宋体"/>
          <w:color w:val="000000"/>
          <w:kern w:val="2"/>
          <w:sz w:val="24"/>
          <w:szCs w:val="24"/>
          <w:highlight w:val="none"/>
          <w:u w:val="single"/>
          <w:lang w:val="en-US" w:eastAsia="zh-CN" w:bidi="ar-SA"/>
        </w:rPr>
        <w:t xml:space="preserve">      </w:t>
      </w:r>
      <w:r>
        <w:rPr>
          <w:rFonts w:hint="eastAsia" w:ascii="宋体" w:hAnsi="宋体" w:eastAsia="宋体" w:cs="宋体"/>
          <w:color w:val="000000"/>
          <w:kern w:val="2"/>
          <w:sz w:val="24"/>
          <w:szCs w:val="24"/>
          <w:highlight w:val="none"/>
          <w:lang w:val="en-US" w:eastAsia="zh-CN" w:bidi="ar-SA"/>
        </w:rPr>
        <w:t>万元，属于（中型企业、小型企业、微型企业）；</w:t>
      </w:r>
    </w:p>
    <w:p>
      <w:pPr>
        <w:pStyle w:val="12"/>
        <w:pageBreakBefore w:val="0"/>
        <w:kinsoku/>
        <w:wordWrap/>
        <w:overflowPunct/>
        <w:topLinePunct w:val="0"/>
        <w:bidi w:val="0"/>
        <w:spacing w:beforeAutospacing="0" w:after="0" w:afterAutospacing="0" w:line="400" w:lineRule="exact"/>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2. （标的名称） ，属于（采购文件中明确的所属行业）行业；承接企业（企业名称），从业人员</w:t>
      </w:r>
      <w:r>
        <w:rPr>
          <w:rFonts w:hint="eastAsia" w:ascii="宋体" w:hAnsi="宋体" w:eastAsia="宋体" w:cs="宋体"/>
          <w:color w:val="000000"/>
          <w:kern w:val="2"/>
          <w:sz w:val="24"/>
          <w:szCs w:val="24"/>
          <w:highlight w:val="none"/>
          <w:u w:val="single"/>
          <w:lang w:val="en-US" w:eastAsia="zh-CN" w:bidi="ar-SA"/>
        </w:rPr>
        <w:t xml:space="preserve">     </w:t>
      </w:r>
      <w:r>
        <w:rPr>
          <w:rFonts w:hint="eastAsia" w:ascii="宋体" w:hAnsi="宋体" w:eastAsia="宋体" w:cs="宋体"/>
          <w:color w:val="000000"/>
          <w:kern w:val="2"/>
          <w:sz w:val="24"/>
          <w:szCs w:val="24"/>
          <w:highlight w:val="none"/>
          <w:lang w:val="en-US" w:eastAsia="zh-CN" w:bidi="ar-SA"/>
        </w:rPr>
        <w:t>人，营业收入为   万元，资产总额为万元，属于（中型企业、小型企业、微型企业）；</w:t>
      </w:r>
    </w:p>
    <w:p>
      <w:pPr>
        <w:pStyle w:val="12"/>
        <w:pageBreakBefore w:val="0"/>
        <w:kinsoku/>
        <w:wordWrap/>
        <w:overflowPunct/>
        <w:topLinePunct w:val="0"/>
        <w:bidi w:val="0"/>
        <w:spacing w:beforeAutospacing="0" w:after="0" w:afterAutospacing="0" w:line="400" w:lineRule="exact"/>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w:t>
      </w:r>
    </w:p>
    <w:p>
      <w:pPr>
        <w:pStyle w:val="12"/>
        <w:pageBreakBefore w:val="0"/>
        <w:kinsoku/>
        <w:wordWrap/>
        <w:overflowPunct/>
        <w:topLinePunct w:val="0"/>
        <w:bidi w:val="0"/>
        <w:spacing w:beforeAutospacing="0" w:after="0" w:afterAutospacing="0" w:line="400" w:lineRule="exact"/>
        <w:ind w:firstLine="480" w:firstLineChars="200"/>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以上企业，不属于大企业的分支机构，不存在控股股东为大企业的情形，也不存在与大企业的负责人为同一人的情形。</w:t>
      </w:r>
    </w:p>
    <w:p>
      <w:pPr>
        <w:pStyle w:val="12"/>
        <w:pageBreakBefore w:val="0"/>
        <w:kinsoku/>
        <w:wordWrap/>
        <w:overflowPunct/>
        <w:topLinePunct w:val="0"/>
        <w:bidi w:val="0"/>
        <w:spacing w:beforeAutospacing="0" w:after="0" w:afterAutospacing="0" w:line="400" w:lineRule="exact"/>
        <w:rPr>
          <w:rFonts w:hint="eastAsia" w:ascii="宋体" w:hAnsi="宋体" w:eastAsia="宋体" w:cs="宋体"/>
          <w:color w:val="000000"/>
          <w:kern w:val="2"/>
          <w:sz w:val="24"/>
          <w:szCs w:val="24"/>
          <w:highlight w:val="none"/>
          <w:lang w:val="en-US" w:eastAsia="zh-CN" w:bidi="ar-SA"/>
        </w:rPr>
      </w:pPr>
    </w:p>
    <w:p>
      <w:pPr>
        <w:pStyle w:val="12"/>
        <w:pageBreakBefore w:val="0"/>
        <w:kinsoku/>
        <w:wordWrap/>
        <w:overflowPunct/>
        <w:topLinePunct w:val="0"/>
        <w:bidi w:val="0"/>
        <w:spacing w:beforeAutospacing="0" w:after="0" w:afterAutospacing="0" w:line="400" w:lineRule="exact"/>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本企业对上述声明内容的真实性负责。如有虚假，将依法承担相应责任。</w:t>
      </w:r>
    </w:p>
    <w:p>
      <w:pPr>
        <w:pStyle w:val="12"/>
        <w:pageBreakBefore w:val="0"/>
        <w:kinsoku/>
        <w:wordWrap/>
        <w:overflowPunct/>
        <w:topLinePunct w:val="0"/>
        <w:bidi w:val="0"/>
        <w:spacing w:beforeAutospacing="0" w:after="0" w:afterAutospacing="0" w:line="400" w:lineRule="exact"/>
        <w:rPr>
          <w:rFonts w:hint="eastAsia" w:ascii="宋体" w:hAnsi="宋体" w:eastAsia="宋体" w:cs="宋体"/>
          <w:color w:val="000000"/>
          <w:kern w:val="2"/>
          <w:sz w:val="24"/>
          <w:szCs w:val="24"/>
          <w:highlight w:val="none"/>
          <w:lang w:val="en-US" w:eastAsia="zh-CN" w:bidi="ar-SA"/>
        </w:rPr>
      </w:pPr>
    </w:p>
    <w:p>
      <w:pPr>
        <w:pStyle w:val="12"/>
        <w:pageBreakBefore w:val="0"/>
        <w:kinsoku/>
        <w:wordWrap/>
        <w:overflowPunct/>
        <w:topLinePunct w:val="0"/>
        <w:bidi w:val="0"/>
        <w:spacing w:beforeAutospacing="0" w:after="0" w:afterAutospacing="0" w:line="400" w:lineRule="exact"/>
        <w:rPr>
          <w:rFonts w:hint="eastAsia" w:ascii="宋体" w:hAnsi="宋体" w:eastAsia="宋体" w:cs="宋体"/>
          <w:color w:val="000000"/>
          <w:kern w:val="2"/>
          <w:sz w:val="24"/>
          <w:szCs w:val="24"/>
          <w:highlight w:val="none"/>
          <w:lang w:val="en-US" w:eastAsia="zh-CN" w:bidi="ar-SA"/>
        </w:rPr>
      </w:pPr>
    </w:p>
    <w:p>
      <w:pPr>
        <w:pStyle w:val="12"/>
        <w:pageBreakBefore w:val="0"/>
        <w:kinsoku/>
        <w:wordWrap/>
        <w:overflowPunct/>
        <w:topLinePunct w:val="0"/>
        <w:bidi w:val="0"/>
        <w:spacing w:beforeAutospacing="0" w:after="0" w:afterAutospacing="0" w:line="400" w:lineRule="exact"/>
        <w:ind w:firstLine="2640" w:firstLineChars="1100"/>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sz w:val="24"/>
          <w:szCs w:val="24"/>
          <w:highlight w:val="none"/>
        </w:rPr>
        <w:t>投标单位</w:t>
      </w:r>
      <w:r>
        <w:rPr>
          <w:rFonts w:hint="eastAsia" w:ascii="宋体" w:hAnsi="宋体" w:cs="宋体"/>
          <w:color w:val="000000"/>
          <w:sz w:val="24"/>
          <w:szCs w:val="24"/>
          <w:highlight w:val="none"/>
          <w:lang w:eastAsia="zh-CN"/>
        </w:rPr>
        <w:t>：</w:t>
      </w:r>
      <w:r>
        <w:rPr>
          <w:rFonts w:hint="eastAsia" w:ascii="宋体" w:hAnsi="宋体" w:eastAsia="宋体" w:cs="宋体"/>
          <w:color w:val="000000"/>
          <w:sz w:val="24"/>
          <w:szCs w:val="24"/>
          <w:highlight w:val="none"/>
        </w:rPr>
        <w:t>（单位公章）</w:t>
      </w:r>
    </w:p>
    <w:p>
      <w:pPr>
        <w:pStyle w:val="12"/>
        <w:pageBreakBefore w:val="0"/>
        <w:kinsoku/>
        <w:wordWrap/>
        <w:overflowPunct/>
        <w:topLinePunct w:val="0"/>
        <w:bidi w:val="0"/>
        <w:spacing w:beforeAutospacing="0" w:after="0" w:afterAutospacing="0" w:line="400" w:lineRule="exact"/>
        <w:ind w:firstLine="3840" w:firstLineChars="1600"/>
        <w:rPr>
          <w:rFonts w:hint="eastAsia" w:ascii="宋体" w:hAnsi="宋体" w:eastAsia="宋体" w:cs="宋体"/>
          <w:color w:val="000000"/>
          <w:kern w:val="0"/>
          <w:sz w:val="24"/>
          <w:szCs w:val="24"/>
          <w:highlight w:val="none"/>
          <w:lang w:val="zh-CN"/>
        </w:rPr>
      </w:pPr>
      <w:r>
        <w:rPr>
          <w:rFonts w:hint="eastAsia" w:ascii="宋体" w:hAnsi="宋体" w:eastAsia="宋体" w:cs="宋体"/>
          <w:color w:val="000000"/>
          <w:kern w:val="2"/>
          <w:sz w:val="24"/>
          <w:szCs w:val="24"/>
          <w:highlight w:val="none"/>
          <w:lang w:val="en-US" w:eastAsia="zh-CN" w:bidi="ar-SA"/>
        </w:rPr>
        <w:t>日 期</w:t>
      </w:r>
      <w:r>
        <w:rPr>
          <w:rFonts w:hint="eastAsia" w:ascii="宋体" w:hAnsi="宋体" w:eastAsia="宋体" w:cs="宋体"/>
          <w:b/>
          <w:color w:val="auto"/>
          <w:sz w:val="24"/>
          <w:szCs w:val="24"/>
          <w:highlight w:val="none"/>
        </w:rPr>
        <w:t>：</w:t>
      </w:r>
    </w:p>
    <w:p>
      <w:pPr>
        <w:pStyle w:val="12"/>
        <w:pageBreakBefore w:val="0"/>
        <w:kinsoku/>
        <w:wordWrap/>
        <w:overflowPunct/>
        <w:topLinePunct w:val="0"/>
        <w:bidi w:val="0"/>
        <w:spacing w:beforeAutospacing="0" w:after="0" w:afterAutospacing="0" w:line="400" w:lineRule="exact"/>
        <w:rPr>
          <w:rFonts w:hint="eastAsia" w:ascii="宋体" w:hAnsi="宋体" w:eastAsia="宋体" w:cs="宋体"/>
          <w:color w:val="000000"/>
          <w:kern w:val="0"/>
          <w:sz w:val="24"/>
          <w:szCs w:val="24"/>
          <w:highlight w:val="none"/>
          <w:lang w:val="zh-CN"/>
        </w:rPr>
      </w:pPr>
    </w:p>
    <w:p>
      <w:pPr>
        <w:pStyle w:val="12"/>
        <w:pageBreakBefore w:val="0"/>
        <w:kinsoku/>
        <w:wordWrap/>
        <w:overflowPunct/>
        <w:topLinePunct w:val="0"/>
        <w:bidi w:val="0"/>
        <w:spacing w:beforeAutospacing="0" w:after="0" w:afterAutospacing="0" w:line="400" w:lineRule="exact"/>
        <w:rPr>
          <w:rFonts w:hint="eastAsia" w:ascii="宋体" w:hAnsi="宋体" w:eastAsia="宋体" w:cs="宋体"/>
          <w:color w:val="000000"/>
          <w:kern w:val="0"/>
          <w:sz w:val="24"/>
          <w:szCs w:val="24"/>
          <w:highlight w:val="none"/>
          <w:lang w:val="zh-CN"/>
        </w:rPr>
      </w:pPr>
    </w:p>
    <w:p>
      <w:pPr>
        <w:pageBreakBefore w:val="0"/>
        <w:kinsoku/>
        <w:wordWrap/>
        <w:overflowPunct/>
        <w:topLinePunct w:val="0"/>
        <w:bidi w:val="0"/>
        <w:spacing w:beforeAutospacing="0" w:afterAutospacing="0" w:line="400" w:lineRule="exact"/>
        <w:jc w:val="center"/>
        <w:rPr>
          <w:rFonts w:hint="eastAsia" w:ascii="宋体" w:hAnsi="宋体" w:eastAsia="宋体" w:cs="宋体"/>
          <w:b/>
          <w:color w:val="auto"/>
          <w:kern w:val="0"/>
          <w:sz w:val="24"/>
          <w:szCs w:val="24"/>
          <w:highlight w:val="none"/>
          <w:lang w:val="en-US" w:eastAsia="zh-CN"/>
        </w:rPr>
      </w:pPr>
    </w:p>
    <w:p>
      <w:pPr>
        <w:pageBreakBefore w:val="0"/>
        <w:kinsoku/>
        <w:wordWrap/>
        <w:overflowPunct/>
        <w:topLinePunct w:val="0"/>
        <w:bidi w:val="0"/>
        <w:spacing w:beforeAutospacing="0" w:afterAutospacing="0" w:line="400" w:lineRule="exact"/>
        <w:jc w:val="center"/>
        <w:rPr>
          <w:rFonts w:hint="eastAsia" w:ascii="宋体" w:hAnsi="宋体" w:eastAsia="宋体" w:cs="宋体"/>
          <w:b/>
          <w:color w:val="auto"/>
          <w:kern w:val="0"/>
          <w:sz w:val="24"/>
          <w:szCs w:val="24"/>
          <w:highlight w:val="none"/>
          <w:lang w:val="en-US" w:eastAsia="zh-CN"/>
        </w:rPr>
      </w:pPr>
    </w:p>
    <w:p>
      <w:pPr>
        <w:pageBreakBefore w:val="0"/>
        <w:kinsoku/>
        <w:wordWrap/>
        <w:overflowPunct/>
        <w:topLinePunct w:val="0"/>
        <w:bidi w:val="0"/>
        <w:spacing w:beforeAutospacing="0" w:afterAutospacing="0" w:line="400" w:lineRule="exact"/>
        <w:jc w:val="center"/>
        <w:rPr>
          <w:rFonts w:hint="eastAsia" w:ascii="宋体" w:hAnsi="宋体" w:eastAsia="宋体" w:cs="宋体"/>
          <w:b/>
          <w:color w:val="auto"/>
          <w:kern w:val="0"/>
          <w:sz w:val="24"/>
          <w:szCs w:val="24"/>
          <w:highlight w:val="none"/>
          <w:lang w:val="en-US" w:eastAsia="zh-CN"/>
        </w:rPr>
      </w:pPr>
    </w:p>
    <w:p>
      <w:pPr>
        <w:pageBreakBefore w:val="0"/>
        <w:kinsoku/>
        <w:wordWrap/>
        <w:overflowPunct/>
        <w:topLinePunct w:val="0"/>
        <w:bidi w:val="0"/>
        <w:spacing w:beforeAutospacing="0" w:afterAutospacing="0" w:line="400" w:lineRule="exact"/>
        <w:jc w:val="center"/>
        <w:rPr>
          <w:rFonts w:hint="eastAsia" w:ascii="宋体" w:hAnsi="宋体" w:eastAsia="宋体" w:cs="宋体"/>
          <w:b/>
          <w:color w:val="auto"/>
          <w:kern w:val="0"/>
          <w:sz w:val="24"/>
          <w:szCs w:val="24"/>
          <w:highlight w:val="none"/>
          <w:lang w:val="en-US" w:eastAsia="zh-CN"/>
        </w:rPr>
      </w:pPr>
    </w:p>
    <w:p>
      <w:pPr>
        <w:pageBreakBefore w:val="0"/>
        <w:kinsoku/>
        <w:wordWrap/>
        <w:overflowPunct/>
        <w:topLinePunct w:val="0"/>
        <w:bidi w:val="0"/>
        <w:spacing w:beforeAutospacing="0" w:afterAutospacing="0" w:line="400" w:lineRule="exact"/>
        <w:jc w:val="center"/>
        <w:rPr>
          <w:rFonts w:hint="eastAsia" w:ascii="宋体" w:hAnsi="宋体" w:eastAsia="宋体" w:cs="宋体"/>
          <w:b/>
          <w:color w:val="auto"/>
          <w:kern w:val="0"/>
          <w:sz w:val="24"/>
          <w:szCs w:val="24"/>
          <w:highlight w:val="none"/>
          <w:lang w:val="en-US" w:eastAsia="zh-CN"/>
        </w:rPr>
      </w:pPr>
    </w:p>
    <w:p>
      <w:pPr>
        <w:pageBreakBefore w:val="0"/>
        <w:kinsoku/>
        <w:wordWrap/>
        <w:overflowPunct/>
        <w:topLinePunct w:val="0"/>
        <w:bidi w:val="0"/>
        <w:spacing w:beforeAutospacing="0" w:afterAutospacing="0" w:line="400" w:lineRule="exact"/>
        <w:jc w:val="center"/>
        <w:rPr>
          <w:rFonts w:hint="eastAsia" w:ascii="宋体" w:hAnsi="宋体" w:eastAsia="宋体" w:cs="宋体"/>
          <w:b/>
          <w:color w:val="auto"/>
          <w:kern w:val="0"/>
          <w:sz w:val="24"/>
          <w:szCs w:val="24"/>
          <w:highlight w:val="none"/>
          <w:lang w:val="en-US" w:eastAsia="zh-CN"/>
        </w:rPr>
      </w:pPr>
    </w:p>
    <w:p>
      <w:pPr>
        <w:pageBreakBefore w:val="0"/>
        <w:kinsoku/>
        <w:wordWrap/>
        <w:overflowPunct/>
        <w:topLinePunct w:val="0"/>
        <w:bidi w:val="0"/>
        <w:spacing w:beforeAutospacing="0" w:afterAutospacing="0" w:line="400" w:lineRule="exact"/>
        <w:jc w:val="center"/>
        <w:rPr>
          <w:rFonts w:hint="eastAsia" w:ascii="宋体" w:hAnsi="宋体" w:eastAsia="宋体" w:cs="宋体"/>
          <w:b/>
          <w:color w:val="auto"/>
          <w:kern w:val="0"/>
          <w:sz w:val="24"/>
          <w:szCs w:val="24"/>
          <w:highlight w:val="none"/>
          <w:lang w:val="en-US" w:eastAsia="zh-CN"/>
        </w:rPr>
      </w:pPr>
    </w:p>
    <w:p>
      <w:pPr>
        <w:pageBreakBefore w:val="0"/>
        <w:kinsoku/>
        <w:wordWrap/>
        <w:overflowPunct/>
        <w:topLinePunct w:val="0"/>
        <w:bidi w:val="0"/>
        <w:spacing w:beforeAutospacing="0" w:afterAutospacing="0" w:line="400" w:lineRule="exact"/>
        <w:jc w:val="center"/>
        <w:rPr>
          <w:rFonts w:hint="eastAsia" w:ascii="宋体" w:hAnsi="宋体" w:eastAsia="宋体" w:cs="宋体"/>
          <w:b/>
          <w:color w:val="auto"/>
          <w:kern w:val="0"/>
          <w:sz w:val="24"/>
          <w:szCs w:val="24"/>
          <w:highlight w:val="none"/>
          <w:lang w:val="en-US" w:eastAsia="zh-CN"/>
        </w:rPr>
      </w:pPr>
    </w:p>
    <w:p>
      <w:pPr>
        <w:pageBreakBefore w:val="0"/>
        <w:kinsoku/>
        <w:wordWrap/>
        <w:overflowPunct/>
        <w:topLinePunct w:val="0"/>
        <w:bidi w:val="0"/>
        <w:spacing w:beforeAutospacing="0" w:afterAutospacing="0" w:line="400" w:lineRule="exact"/>
        <w:jc w:val="center"/>
        <w:rPr>
          <w:rFonts w:hint="eastAsia" w:ascii="宋体" w:hAnsi="宋体" w:eastAsia="宋体" w:cs="宋体"/>
          <w:b/>
          <w:color w:val="auto"/>
          <w:kern w:val="0"/>
          <w:sz w:val="24"/>
          <w:szCs w:val="24"/>
          <w:highlight w:val="none"/>
          <w:lang w:val="en-US" w:eastAsia="zh-CN"/>
        </w:rPr>
      </w:pPr>
    </w:p>
    <w:p>
      <w:pPr>
        <w:pageBreakBefore w:val="0"/>
        <w:kinsoku/>
        <w:wordWrap/>
        <w:overflowPunct/>
        <w:topLinePunct w:val="0"/>
        <w:bidi w:val="0"/>
        <w:spacing w:beforeAutospacing="0" w:afterAutospacing="0" w:line="400" w:lineRule="exact"/>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lang w:val="en-US" w:eastAsia="zh-CN"/>
        </w:rPr>
        <w:t>12.1.1</w:t>
      </w:r>
      <w:r>
        <w:rPr>
          <w:rFonts w:hint="eastAsia" w:ascii="宋体" w:hAnsi="宋体" w:eastAsia="宋体" w:cs="宋体"/>
          <w:b/>
          <w:color w:val="auto"/>
          <w:kern w:val="0"/>
          <w:sz w:val="24"/>
          <w:szCs w:val="24"/>
          <w:highlight w:val="none"/>
        </w:rPr>
        <w:t>中小企业</w:t>
      </w:r>
      <w:r>
        <w:rPr>
          <w:rFonts w:hint="eastAsia" w:ascii="宋体" w:hAnsi="宋体" w:eastAsia="宋体" w:cs="宋体"/>
          <w:b/>
          <w:color w:val="auto"/>
          <w:kern w:val="0"/>
          <w:sz w:val="24"/>
          <w:szCs w:val="24"/>
          <w:highlight w:val="none"/>
          <w:lang w:eastAsia="zh-CN"/>
        </w:rPr>
        <w:t>服务</w:t>
      </w:r>
      <w:r>
        <w:rPr>
          <w:rFonts w:hint="eastAsia" w:ascii="宋体" w:hAnsi="宋体" w:eastAsia="宋体" w:cs="宋体"/>
          <w:b/>
          <w:color w:val="auto"/>
          <w:kern w:val="0"/>
          <w:sz w:val="24"/>
          <w:szCs w:val="24"/>
          <w:highlight w:val="none"/>
        </w:rPr>
        <w:t>优惠明细表</w:t>
      </w:r>
    </w:p>
    <w:p>
      <w:pPr>
        <w:pageBreakBefore w:val="0"/>
        <w:kinsoku/>
        <w:wordWrap/>
        <w:overflowPunct/>
        <w:topLinePunct w:val="0"/>
        <w:bidi w:val="0"/>
        <w:spacing w:beforeAutospacing="0" w:afterAutospacing="0" w:line="400" w:lineRule="exact"/>
        <w:jc w:val="center"/>
        <w:rPr>
          <w:rFonts w:hint="eastAsia" w:ascii="宋体" w:hAnsi="宋体" w:eastAsia="宋体" w:cs="宋体"/>
          <w:bCs/>
          <w:color w:val="auto"/>
          <w:sz w:val="24"/>
          <w:szCs w:val="24"/>
          <w:highlight w:val="none"/>
        </w:rPr>
      </w:pPr>
      <w:bookmarkStart w:id="50" w:name="_Toc439149569"/>
      <w:r>
        <w:rPr>
          <w:rFonts w:hint="eastAsia" w:ascii="宋体" w:hAnsi="宋体" w:eastAsia="宋体" w:cs="宋体"/>
          <w:bCs/>
          <w:color w:val="auto"/>
          <w:sz w:val="24"/>
          <w:szCs w:val="24"/>
          <w:highlight w:val="none"/>
        </w:rPr>
        <w:t>（若有，请如实填写）</w:t>
      </w:r>
      <w:bookmarkEnd w:id="50"/>
    </w:p>
    <w:p>
      <w:pPr>
        <w:pStyle w:val="43"/>
        <w:pageBreakBefore w:val="0"/>
        <w:numPr>
          <w:ilvl w:val="0"/>
          <w:numId w:val="0"/>
        </w:numPr>
        <w:kinsoku/>
        <w:wordWrap/>
        <w:overflowPunct/>
        <w:topLinePunct w:val="0"/>
        <w:bidi w:val="0"/>
        <w:spacing w:beforeAutospacing="0" w:afterAutospacing="0" w:line="400" w:lineRule="exact"/>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rPr>
        <w:t>报价货币种类：</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9"/>
        <w:gridCol w:w="1868"/>
        <w:gridCol w:w="1043"/>
        <w:gridCol w:w="975"/>
        <w:gridCol w:w="1251"/>
        <w:gridCol w:w="1251"/>
        <w:gridCol w:w="1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612" w:type="pct"/>
            <w:noWrap w:val="0"/>
            <w:vAlign w:val="center"/>
          </w:tcPr>
          <w:p>
            <w:pPr>
              <w:pageBreakBefore w:val="0"/>
              <w:tabs>
                <w:tab w:val="left" w:pos="5355"/>
              </w:tabs>
              <w:kinsoku/>
              <w:wordWrap/>
              <w:overflowPunct/>
              <w:topLinePunct w:val="0"/>
              <w:bidi w:val="0"/>
              <w:spacing w:beforeAutospacing="0" w:afterAutospacing="0"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021" w:type="pct"/>
            <w:noWrap w:val="0"/>
            <w:vAlign w:val="center"/>
          </w:tcPr>
          <w:p>
            <w:pPr>
              <w:pageBreakBefore w:val="0"/>
              <w:tabs>
                <w:tab w:val="left" w:pos="5355"/>
              </w:tabs>
              <w:kinsoku/>
              <w:wordWrap/>
              <w:overflowPunct/>
              <w:topLinePunct w:val="0"/>
              <w:bidi w:val="0"/>
              <w:spacing w:beforeAutospacing="0" w:afterAutospacing="0"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570" w:type="pct"/>
            <w:noWrap w:val="0"/>
            <w:vAlign w:val="center"/>
          </w:tcPr>
          <w:p>
            <w:pPr>
              <w:pageBreakBefore w:val="0"/>
              <w:tabs>
                <w:tab w:val="left" w:pos="5355"/>
              </w:tabs>
              <w:kinsoku/>
              <w:wordWrap/>
              <w:overflowPunct/>
              <w:topLinePunct w:val="0"/>
              <w:bidi w:val="0"/>
              <w:spacing w:beforeAutospacing="0" w:afterAutospacing="0"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533" w:type="pct"/>
            <w:noWrap w:val="0"/>
            <w:vAlign w:val="center"/>
          </w:tcPr>
          <w:p>
            <w:pPr>
              <w:pageBreakBefore w:val="0"/>
              <w:tabs>
                <w:tab w:val="left" w:pos="5355"/>
              </w:tabs>
              <w:kinsoku/>
              <w:wordWrap/>
              <w:overflowPunct/>
              <w:topLinePunct w:val="0"/>
              <w:bidi w:val="0"/>
              <w:spacing w:beforeAutospacing="0" w:afterAutospacing="0"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684" w:type="pct"/>
            <w:noWrap w:val="0"/>
            <w:vAlign w:val="center"/>
          </w:tcPr>
          <w:p>
            <w:pPr>
              <w:pageBreakBefore w:val="0"/>
              <w:tabs>
                <w:tab w:val="left" w:pos="5355"/>
              </w:tabs>
              <w:kinsoku/>
              <w:wordWrap/>
              <w:overflowPunct/>
              <w:topLinePunct w:val="0"/>
              <w:bidi w:val="0"/>
              <w:spacing w:beforeAutospacing="0" w:afterAutospacing="0"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684" w:type="pct"/>
            <w:noWrap w:val="0"/>
            <w:vAlign w:val="center"/>
          </w:tcPr>
          <w:p>
            <w:pPr>
              <w:pageBreakBefore w:val="0"/>
              <w:tabs>
                <w:tab w:val="left" w:pos="5355"/>
              </w:tabs>
              <w:kinsoku/>
              <w:wordWrap/>
              <w:overflowPunct/>
              <w:topLinePunct w:val="0"/>
              <w:bidi w:val="0"/>
              <w:spacing w:beforeAutospacing="0" w:afterAutospacing="0"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896" w:type="pct"/>
            <w:noWrap w:val="0"/>
            <w:vAlign w:val="center"/>
          </w:tcPr>
          <w:p>
            <w:pPr>
              <w:pageBreakBefore w:val="0"/>
              <w:tabs>
                <w:tab w:val="left" w:pos="5355"/>
              </w:tabs>
              <w:kinsoku/>
              <w:wordWrap/>
              <w:overflowPunct/>
              <w:topLinePunct w:val="0"/>
              <w:bidi w:val="0"/>
              <w:spacing w:beforeAutospacing="0" w:afterAutospacing="0"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12" w:type="pct"/>
            <w:tcBorders>
              <w:bottom w:val="single" w:color="auto" w:sz="6" w:space="0"/>
            </w:tcBorders>
            <w:noWrap w:val="0"/>
            <w:vAlign w:val="center"/>
          </w:tcPr>
          <w:p>
            <w:pPr>
              <w:pageBreakBefore w:val="0"/>
              <w:tabs>
                <w:tab w:val="left" w:pos="5355"/>
              </w:tabs>
              <w:kinsoku/>
              <w:wordWrap/>
              <w:overflowPunct/>
              <w:topLinePunct w:val="0"/>
              <w:bidi w:val="0"/>
              <w:spacing w:beforeAutospacing="0" w:afterAutospacing="0"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标段（包）</w:t>
            </w:r>
          </w:p>
        </w:tc>
        <w:tc>
          <w:tcPr>
            <w:tcW w:w="1021" w:type="pct"/>
            <w:noWrap w:val="0"/>
            <w:vAlign w:val="center"/>
          </w:tcPr>
          <w:p>
            <w:pPr>
              <w:pageBreakBefore w:val="0"/>
              <w:tabs>
                <w:tab w:val="left" w:pos="5355"/>
              </w:tabs>
              <w:kinsoku/>
              <w:wordWrap/>
              <w:overflowPunct/>
              <w:topLinePunct w:val="0"/>
              <w:bidi w:val="0"/>
              <w:spacing w:beforeAutospacing="0" w:afterAutospacing="0"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小型和微型企业产品名称</w:t>
            </w:r>
          </w:p>
        </w:tc>
        <w:tc>
          <w:tcPr>
            <w:tcW w:w="570" w:type="pct"/>
            <w:noWrap w:val="0"/>
            <w:vAlign w:val="center"/>
          </w:tcPr>
          <w:p>
            <w:pPr>
              <w:pageBreakBefore w:val="0"/>
              <w:tabs>
                <w:tab w:val="left" w:pos="5355"/>
              </w:tabs>
              <w:kinsoku/>
              <w:wordWrap/>
              <w:overflowPunct/>
              <w:topLinePunct w:val="0"/>
              <w:bidi w:val="0"/>
              <w:spacing w:beforeAutospacing="0" w:afterAutospacing="0"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533" w:type="pct"/>
            <w:noWrap w:val="0"/>
            <w:vAlign w:val="center"/>
          </w:tcPr>
          <w:p>
            <w:pPr>
              <w:pageBreakBefore w:val="0"/>
              <w:tabs>
                <w:tab w:val="left" w:pos="5355"/>
              </w:tabs>
              <w:kinsoku/>
              <w:wordWrap/>
              <w:overflowPunct/>
              <w:topLinePunct w:val="0"/>
              <w:bidi w:val="0"/>
              <w:spacing w:beforeAutospacing="0" w:afterAutospacing="0"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报价（元）</w:t>
            </w:r>
          </w:p>
        </w:tc>
        <w:tc>
          <w:tcPr>
            <w:tcW w:w="684" w:type="pct"/>
            <w:noWrap w:val="0"/>
            <w:vAlign w:val="center"/>
          </w:tcPr>
          <w:p>
            <w:pPr>
              <w:pageBreakBefore w:val="0"/>
              <w:tabs>
                <w:tab w:val="left" w:pos="5355"/>
              </w:tabs>
              <w:kinsoku/>
              <w:wordWrap/>
              <w:overflowPunct/>
              <w:topLinePunct w:val="0"/>
              <w:bidi w:val="0"/>
              <w:spacing w:beforeAutospacing="0" w:afterAutospacing="0"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价格评审扣除金额（元）</w:t>
            </w:r>
          </w:p>
        </w:tc>
        <w:tc>
          <w:tcPr>
            <w:tcW w:w="684" w:type="pct"/>
            <w:noWrap w:val="0"/>
            <w:vAlign w:val="center"/>
          </w:tcPr>
          <w:p>
            <w:pPr>
              <w:pageBreakBefore w:val="0"/>
              <w:tabs>
                <w:tab w:val="left" w:pos="5355"/>
              </w:tabs>
              <w:kinsoku/>
              <w:wordWrap/>
              <w:overflowPunct/>
              <w:topLinePunct w:val="0"/>
              <w:bidi w:val="0"/>
              <w:spacing w:beforeAutospacing="0" w:afterAutospacing="0" w:line="400" w:lineRule="exact"/>
              <w:jc w:val="center"/>
              <w:rPr>
                <w:rFonts w:hint="eastAsia" w:ascii="宋体" w:hAnsi="宋体" w:eastAsia="宋体" w:cs="宋体"/>
                <w:color w:val="auto"/>
                <w:sz w:val="24"/>
                <w:szCs w:val="24"/>
                <w:highlight w:val="none"/>
              </w:rPr>
            </w:pPr>
          </w:p>
        </w:tc>
        <w:tc>
          <w:tcPr>
            <w:tcW w:w="896" w:type="pct"/>
            <w:noWrap w:val="0"/>
            <w:vAlign w:val="center"/>
          </w:tcPr>
          <w:p>
            <w:pPr>
              <w:pageBreakBefore w:val="0"/>
              <w:tabs>
                <w:tab w:val="left" w:pos="5355"/>
              </w:tabs>
              <w:kinsoku/>
              <w:wordWrap/>
              <w:overflowPunct/>
              <w:topLinePunct w:val="0"/>
              <w:bidi w:val="0"/>
              <w:spacing w:beforeAutospacing="0" w:afterAutospacing="0" w:line="400" w:lineRule="exac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12" w:type="pct"/>
            <w:tcBorders>
              <w:top w:val="single" w:color="auto" w:sz="6" w:space="0"/>
              <w:bottom w:val="single" w:color="auto" w:sz="6" w:space="0"/>
            </w:tcBorders>
            <w:noWrap w:val="0"/>
            <w:vAlign w:val="center"/>
          </w:tcPr>
          <w:p>
            <w:pPr>
              <w:pageBreakBefore w:val="0"/>
              <w:tabs>
                <w:tab w:val="left" w:pos="5355"/>
              </w:tabs>
              <w:kinsoku/>
              <w:wordWrap/>
              <w:overflowPunct/>
              <w:topLinePunct w:val="0"/>
              <w:bidi w:val="0"/>
              <w:spacing w:beforeAutospacing="0" w:afterAutospacing="0" w:line="400" w:lineRule="exact"/>
              <w:jc w:val="center"/>
              <w:rPr>
                <w:rFonts w:hint="eastAsia" w:ascii="宋体" w:hAnsi="宋体" w:eastAsia="宋体" w:cs="宋体"/>
                <w:color w:val="auto"/>
                <w:sz w:val="24"/>
                <w:szCs w:val="24"/>
                <w:highlight w:val="none"/>
              </w:rPr>
            </w:pPr>
          </w:p>
        </w:tc>
        <w:tc>
          <w:tcPr>
            <w:tcW w:w="1021" w:type="pct"/>
            <w:noWrap w:val="0"/>
            <w:vAlign w:val="top"/>
          </w:tcPr>
          <w:p>
            <w:pPr>
              <w:pageBreakBefore w:val="0"/>
              <w:tabs>
                <w:tab w:val="left" w:pos="5355"/>
              </w:tabs>
              <w:kinsoku/>
              <w:wordWrap/>
              <w:overflowPunct/>
              <w:topLinePunct w:val="0"/>
              <w:bidi w:val="0"/>
              <w:spacing w:beforeAutospacing="0" w:afterAutospacing="0" w:line="400" w:lineRule="exact"/>
              <w:jc w:val="center"/>
              <w:rPr>
                <w:rFonts w:hint="eastAsia" w:ascii="宋体" w:hAnsi="宋体" w:eastAsia="宋体" w:cs="宋体"/>
                <w:color w:val="auto"/>
                <w:sz w:val="24"/>
                <w:szCs w:val="24"/>
                <w:highlight w:val="none"/>
              </w:rPr>
            </w:pPr>
          </w:p>
        </w:tc>
        <w:tc>
          <w:tcPr>
            <w:tcW w:w="570" w:type="pct"/>
            <w:noWrap w:val="0"/>
            <w:vAlign w:val="center"/>
          </w:tcPr>
          <w:p>
            <w:pPr>
              <w:pageBreakBefore w:val="0"/>
              <w:tabs>
                <w:tab w:val="left" w:pos="5355"/>
              </w:tabs>
              <w:kinsoku/>
              <w:wordWrap/>
              <w:overflowPunct/>
              <w:topLinePunct w:val="0"/>
              <w:bidi w:val="0"/>
              <w:spacing w:beforeAutospacing="0" w:afterAutospacing="0" w:line="400" w:lineRule="exact"/>
              <w:jc w:val="center"/>
              <w:rPr>
                <w:rFonts w:hint="eastAsia" w:ascii="宋体" w:hAnsi="宋体" w:eastAsia="宋体" w:cs="宋体"/>
                <w:color w:val="auto"/>
                <w:sz w:val="24"/>
                <w:szCs w:val="24"/>
                <w:highlight w:val="none"/>
              </w:rPr>
            </w:pPr>
          </w:p>
        </w:tc>
        <w:tc>
          <w:tcPr>
            <w:tcW w:w="533" w:type="pct"/>
            <w:noWrap w:val="0"/>
            <w:vAlign w:val="center"/>
          </w:tcPr>
          <w:p>
            <w:pPr>
              <w:pageBreakBefore w:val="0"/>
              <w:tabs>
                <w:tab w:val="left" w:pos="5355"/>
              </w:tabs>
              <w:kinsoku/>
              <w:wordWrap/>
              <w:overflowPunct/>
              <w:topLinePunct w:val="0"/>
              <w:bidi w:val="0"/>
              <w:spacing w:beforeAutospacing="0" w:afterAutospacing="0" w:line="400" w:lineRule="exact"/>
              <w:jc w:val="center"/>
              <w:rPr>
                <w:rFonts w:hint="eastAsia" w:ascii="宋体" w:hAnsi="宋体" w:eastAsia="宋体" w:cs="宋体"/>
                <w:color w:val="auto"/>
                <w:sz w:val="24"/>
                <w:szCs w:val="24"/>
                <w:highlight w:val="none"/>
              </w:rPr>
            </w:pPr>
          </w:p>
        </w:tc>
        <w:tc>
          <w:tcPr>
            <w:tcW w:w="684" w:type="pct"/>
            <w:noWrap w:val="0"/>
            <w:vAlign w:val="center"/>
          </w:tcPr>
          <w:p>
            <w:pPr>
              <w:pageBreakBefore w:val="0"/>
              <w:tabs>
                <w:tab w:val="left" w:pos="5355"/>
              </w:tabs>
              <w:kinsoku/>
              <w:wordWrap/>
              <w:overflowPunct/>
              <w:topLinePunct w:val="0"/>
              <w:bidi w:val="0"/>
              <w:spacing w:beforeAutospacing="0" w:afterAutospacing="0" w:line="400" w:lineRule="exact"/>
              <w:jc w:val="center"/>
              <w:rPr>
                <w:rFonts w:hint="eastAsia" w:ascii="宋体" w:hAnsi="宋体" w:eastAsia="宋体" w:cs="宋体"/>
                <w:color w:val="auto"/>
                <w:sz w:val="24"/>
                <w:szCs w:val="24"/>
                <w:highlight w:val="none"/>
              </w:rPr>
            </w:pPr>
          </w:p>
        </w:tc>
        <w:tc>
          <w:tcPr>
            <w:tcW w:w="684" w:type="pct"/>
            <w:noWrap w:val="0"/>
            <w:vAlign w:val="center"/>
          </w:tcPr>
          <w:p>
            <w:pPr>
              <w:pageBreakBefore w:val="0"/>
              <w:tabs>
                <w:tab w:val="left" w:pos="5355"/>
              </w:tabs>
              <w:kinsoku/>
              <w:wordWrap/>
              <w:overflowPunct/>
              <w:topLinePunct w:val="0"/>
              <w:bidi w:val="0"/>
              <w:spacing w:beforeAutospacing="0" w:afterAutospacing="0" w:line="400" w:lineRule="exact"/>
              <w:jc w:val="center"/>
              <w:rPr>
                <w:rFonts w:hint="eastAsia" w:ascii="宋体" w:hAnsi="宋体" w:eastAsia="宋体" w:cs="宋体"/>
                <w:color w:val="auto"/>
                <w:sz w:val="24"/>
                <w:szCs w:val="24"/>
                <w:highlight w:val="none"/>
              </w:rPr>
            </w:pPr>
          </w:p>
        </w:tc>
        <w:tc>
          <w:tcPr>
            <w:tcW w:w="896" w:type="pct"/>
            <w:noWrap w:val="0"/>
            <w:vAlign w:val="center"/>
          </w:tcPr>
          <w:p>
            <w:pPr>
              <w:pageBreakBefore w:val="0"/>
              <w:tabs>
                <w:tab w:val="left" w:pos="5355"/>
              </w:tabs>
              <w:kinsoku/>
              <w:wordWrap/>
              <w:overflowPunct/>
              <w:topLinePunct w:val="0"/>
              <w:bidi w:val="0"/>
              <w:spacing w:beforeAutospacing="0" w:afterAutospacing="0" w:line="400" w:lineRule="exac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12" w:type="pct"/>
            <w:tcBorders>
              <w:top w:val="single" w:color="auto" w:sz="6" w:space="0"/>
              <w:bottom w:val="single" w:color="auto" w:sz="6" w:space="0"/>
            </w:tcBorders>
            <w:noWrap w:val="0"/>
            <w:vAlign w:val="center"/>
          </w:tcPr>
          <w:p>
            <w:pPr>
              <w:pageBreakBefore w:val="0"/>
              <w:tabs>
                <w:tab w:val="left" w:pos="5355"/>
              </w:tabs>
              <w:kinsoku/>
              <w:wordWrap/>
              <w:overflowPunct/>
              <w:topLinePunct w:val="0"/>
              <w:bidi w:val="0"/>
              <w:spacing w:beforeAutospacing="0" w:afterAutospacing="0" w:line="400" w:lineRule="exact"/>
              <w:jc w:val="center"/>
              <w:rPr>
                <w:rFonts w:hint="eastAsia" w:ascii="宋体" w:hAnsi="宋体" w:eastAsia="宋体" w:cs="宋体"/>
                <w:color w:val="auto"/>
                <w:sz w:val="24"/>
                <w:szCs w:val="24"/>
                <w:highlight w:val="none"/>
              </w:rPr>
            </w:pPr>
          </w:p>
        </w:tc>
        <w:tc>
          <w:tcPr>
            <w:tcW w:w="1021" w:type="pct"/>
            <w:noWrap w:val="0"/>
            <w:vAlign w:val="top"/>
          </w:tcPr>
          <w:p>
            <w:pPr>
              <w:pageBreakBefore w:val="0"/>
              <w:tabs>
                <w:tab w:val="left" w:pos="5355"/>
              </w:tabs>
              <w:kinsoku/>
              <w:wordWrap/>
              <w:overflowPunct/>
              <w:topLinePunct w:val="0"/>
              <w:bidi w:val="0"/>
              <w:spacing w:beforeAutospacing="0" w:afterAutospacing="0" w:line="400" w:lineRule="exact"/>
              <w:jc w:val="center"/>
              <w:rPr>
                <w:rFonts w:hint="eastAsia" w:ascii="宋体" w:hAnsi="宋体" w:eastAsia="宋体" w:cs="宋体"/>
                <w:color w:val="auto"/>
                <w:sz w:val="24"/>
                <w:szCs w:val="24"/>
                <w:highlight w:val="none"/>
              </w:rPr>
            </w:pPr>
          </w:p>
        </w:tc>
        <w:tc>
          <w:tcPr>
            <w:tcW w:w="570" w:type="pct"/>
            <w:noWrap w:val="0"/>
            <w:vAlign w:val="center"/>
          </w:tcPr>
          <w:p>
            <w:pPr>
              <w:pageBreakBefore w:val="0"/>
              <w:tabs>
                <w:tab w:val="left" w:pos="5355"/>
              </w:tabs>
              <w:kinsoku/>
              <w:wordWrap/>
              <w:overflowPunct/>
              <w:topLinePunct w:val="0"/>
              <w:bidi w:val="0"/>
              <w:spacing w:beforeAutospacing="0" w:afterAutospacing="0" w:line="400" w:lineRule="exact"/>
              <w:jc w:val="center"/>
              <w:rPr>
                <w:rFonts w:hint="eastAsia" w:ascii="宋体" w:hAnsi="宋体" w:eastAsia="宋体" w:cs="宋体"/>
                <w:color w:val="auto"/>
                <w:sz w:val="24"/>
                <w:szCs w:val="24"/>
                <w:highlight w:val="none"/>
              </w:rPr>
            </w:pPr>
          </w:p>
        </w:tc>
        <w:tc>
          <w:tcPr>
            <w:tcW w:w="533" w:type="pct"/>
            <w:noWrap w:val="0"/>
            <w:vAlign w:val="center"/>
          </w:tcPr>
          <w:p>
            <w:pPr>
              <w:pageBreakBefore w:val="0"/>
              <w:tabs>
                <w:tab w:val="left" w:pos="5355"/>
              </w:tabs>
              <w:kinsoku/>
              <w:wordWrap/>
              <w:overflowPunct/>
              <w:topLinePunct w:val="0"/>
              <w:bidi w:val="0"/>
              <w:spacing w:beforeAutospacing="0" w:afterAutospacing="0" w:line="400" w:lineRule="exact"/>
              <w:jc w:val="center"/>
              <w:rPr>
                <w:rFonts w:hint="eastAsia" w:ascii="宋体" w:hAnsi="宋体" w:eastAsia="宋体" w:cs="宋体"/>
                <w:color w:val="auto"/>
                <w:sz w:val="24"/>
                <w:szCs w:val="24"/>
                <w:highlight w:val="none"/>
              </w:rPr>
            </w:pPr>
          </w:p>
        </w:tc>
        <w:tc>
          <w:tcPr>
            <w:tcW w:w="684" w:type="pct"/>
            <w:noWrap w:val="0"/>
            <w:vAlign w:val="center"/>
          </w:tcPr>
          <w:p>
            <w:pPr>
              <w:pageBreakBefore w:val="0"/>
              <w:tabs>
                <w:tab w:val="left" w:pos="5355"/>
              </w:tabs>
              <w:kinsoku/>
              <w:wordWrap/>
              <w:overflowPunct/>
              <w:topLinePunct w:val="0"/>
              <w:bidi w:val="0"/>
              <w:spacing w:beforeAutospacing="0" w:afterAutospacing="0" w:line="400" w:lineRule="exact"/>
              <w:jc w:val="center"/>
              <w:rPr>
                <w:rFonts w:hint="eastAsia" w:ascii="宋体" w:hAnsi="宋体" w:eastAsia="宋体" w:cs="宋体"/>
                <w:color w:val="auto"/>
                <w:sz w:val="24"/>
                <w:szCs w:val="24"/>
                <w:highlight w:val="none"/>
              </w:rPr>
            </w:pPr>
          </w:p>
        </w:tc>
        <w:tc>
          <w:tcPr>
            <w:tcW w:w="684" w:type="pct"/>
            <w:noWrap w:val="0"/>
            <w:vAlign w:val="center"/>
          </w:tcPr>
          <w:p>
            <w:pPr>
              <w:pageBreakBefore w:val="0"/>
              <w:tabs>
                <w:tab w:val="left" w:pos="5355"/>
              </w:tabs>
              <w:kinsoku/>
              <w:wordWrap/>
              <w:overflowPunct/>
              <w:topLinePunct w:val="0"/>
              <w:bidi w:val="0"/>
              <w:spacing w:beforeAutospacing="0" w:afterAutospacing="0" w:line="400" w:lineRule="exact"/>
              <w:jc w:val="center"/>
              <w:rPr>
                <w:rFonts w:hint="eastAsia" w:ascii="宋体" w:hAnsi="宋体" w:eastAsia="宋体" w:cs="宋体"/>
                <w:color w:val="auto"/>
                <w:sz w:val="24"/>
                <w:szCs w:val="24"/>
                <w:highlight w:val="none"/>
              </w:rPr>
            </w:pPr>
          </w:p>
        </w:tc>
        <w:tc>
          <w:tcPr>
            <w:tcW w:w="896" w:type="pct"/>
            <w:noWrap w:val="0"/>
            <w:vAlign w:val="center"/>
          </w:tcPr>
          <w:p>
            <w:pPr>
              <w:pageBreakBefore w:val="0"/>
              <w:tabs>
                <w:tab w:val="left" w:pos="5355"/>
              </w:tabs>
              <w:kinsoku/>
              <w:wordWrap/>
              <w:overflowPunct/>
              <w:topLinePunct w:val="0"/>
              <w:bidi w:val="0"/>
              <w:spacing w:beforeAutospacing="0" w:afterAutospacing="0" w:line="400" w:lineRule="exac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612" w:type="pct"/>
            <w:tcBorders>
              <w:top w:val="single" w:color="auto" w:sz="6" w:space="0"/>
            </w:tcBorders>
            <w:noWrap w:val="0"/>
            <w:vAlign w:val="center"/>
          </w:tcPr>
          <w:p>
            <w:pPr>
              <w:pageBreakBefore w:val="0"/>
              <w:tabs>
                <w:tab w:val="left" w:pos="5355"/>
              </w:tabs>
              <w:kinsoku/>
              <w:wordWrap/>
              <w:overflowPunct/>
              <w:topLinePunct w:val="0"/>
              <w:bidi w:val="0"/>
              <w:spacing w:beforeAutospacing="0" w:afterAutospacing="0" w:line="400" w:lineRule="exact"/>
              <w:jc w:val="center"/>
              <w:rPr>
                <w:rFonts w:hint="eastAsia" w:ascii="宋体" w:hAnsi="宋体" w:eastAsia="宋体" w:cs="宋体"/>
                <w:color w:val="auto"/>
                <w:sz w:val="24"/>
                <w:szCs w:val="24"/>
                <w:highlight w:val="none"/>
              </w:rPr>
            </w:pPr>
          </w:p>
        </w:tc>
        <w:tc>
          <w:tcPr>
            <w:tcW w:w="4388" w:type="pct"/>
            <w:gridSpan w:val="6"/>
            <w:noWrap w:val="0"/>
            <w:vAlign w:val="center"/>
          </w:tcPr>
          <w:p>
            <w:pPr>
              <w:pageBreakBefore w:val="0"/>
              <w:tabs>
                <w:tab w:val="left" w:pos="5355"/>
              </w:tabs>
              <w:kinsoku/>
              <w:wordWrap/>
              <w:overflowPunct/>
              <w:topLinePunct w:val="0"/>
              <w:bidi w:val="0"/>
              <w:spacing w:beforeAutospacing="0" w:afterAutospacing="0"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本标段（包）报价总计：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12" w:type="pct"/>
            <w:tcBorders>
              <w:top w:val="single" w:color="auto" w:sz="6" w:space="0"/>
            </w:tcBorders>
            <w:noWrap w:val="0"/>
            <w:vAlign w:val="center"/>
          </w:tcPr>
          <w:p>
            <w:pPr>
              <w:pageBreakBefore w:val="0"/>
              <w:tabs>
                <w:tab w:val="left" w:pos="5355"/>
              </w:tabs>
              <w:kinsoku/>
              <w:wordWrap/>
              <w:overflowPunct/>
              <w:topLinePunct w:val="0"/>
              <w:bidi w:val="0"/>
              <w:spacing w:beforeAutospacing="0" w:afterAutospacing="0" w:line="400" w:lineRule="exact"/>
              <w:jc w:val="center"/>
              <w:rPr>
                <w:rFonts w:hint="eastAsia" w:ascii="宋体" w:hAnsi="宋体" w:eastAsia="宋体" w:cs="宋体"/>
                <w:color w:val="auto"/>
                <w:sz w:val="24"/>
                <w:szCs w:val="24"/>
                <w:highlight w:val="none"/>
              </w:rPr>
            </w:pPr>
          </w:p>
        </w:tc>
        <w:tc>
          <w:tcPr>
            <w:tcW w:w="4388" w:type="pct"/>
            <w:gridSpan w:val="6"/>
            <w:noWrap w:val="0"/>
            <w:vAlign w:val="center"/>
          </w:tcPr>
          <w:p>
            <w:pPr>
              <w:pageBreakBefore w:val="0"/>
              <w:tabs>
                <w:tab w:val="left" w:pos="5355"/>
              </w:tabs>
              <w:kinsoku/>
              <w:wordWrap/>
              <w:overflowPunct/>
              <w:topLinePunct w:val="0"/>
              <w:bidi w:val="0"/>
              <w:spacing w:beforeAutospacing="0" w:afterAutospacing="0"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本标段（包）价格评审扣除金额总计：           （元）</w:t>
            </w:r>
          </w:p>
        </w:tc>
      </w:tr>
    </w:tbl>
    <w:p>
      <w:pPr>
        <w:pStyle w:val="43"/>
        <w:pageBreakBefore w:val="0"/>
        <w:numPr>
          <w:ilvl w:val="0"/>
          <w:numId w:val="8"/>
        </w:numPr>
        <w:kinsoku/>
        <w:wordWrap/>
        <w:overflowPunct/>
        <w:topLinePunct w:val="0"/>
        <w:bidi w:val="0"/>
        <w:spacing w:beforeAutospacing="0" w:afterAutospacing="0" w:line="400" w:lineRule="exact"/>
        <w:ind w:left="0" w:firstLine="0"/>
        <w:rPr>
          <w:rFonts w:hint="eastAsia" w:ascii="宋体" w:hAnsi="宋体" w:eastAsia="宋体" w:cs="宋体"/>
          <w:bCs/>
          <w:color w:val="auto"/>
          <w:sz w:val="24"/>
          <w:szCs w:val="24"/>
          <w:highlight w:val="none"/>
        </w:rPr>
      </w:pPr>
    </w:p>
    <w:p>
      <w:pPr>
        <w:pageBreakBefore w:val="0"/>
        <w:tabs>
          <w:tab w:val="left" w:pos="13000"/>
        </w:tabs>
        <w:kinsoku/>
        <w:wordWrap/>
        <w:overflowPunct/>
        <w:topLinePunct w:val="0"/>
        <w:bidi w:val="0"/>
        <w:spacing w:beforeAutospacing="0" w:afterAutospacing="0"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w:t>
      </w:r>
    </w:p>
    <w:p>
      <w:pPr>
        <w:pageBreakBefore w:val="0"/>
        <w:kinsoku/>
        <w:wordWrap/>
        <w:overflowPunct/>
        <w:topLinePunct w:val="0"/>
        <w:bidi w:val="0"/>
        <w:spacing w:beforeAutospacing="0" w:afterAutospacing="0"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1、当一个标段（包）内有多个属于小型和微型企业的产品时， </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应按序号详细填写。</w:t>
      </w:r>
    </w:p>
    <w:p>
      <w:pPr>
        <w:pageBreakBefore w:val="0"/>
        <w:kinsoku/>
        <w:wordWrap/>
        <w:overflowPunct/>
        <w:topLinePunct w:val="0"/>
        <w:bidi w:val="0"/>
        <w:spacing w:beforeAutospacing="0" w:afterAutospacing="0"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2、栏目5=栏目4×招标文件规定的价格扣除比率的优惠幅度。</w:t>
      </w:r>
    </w:p>
    <w:p>
      <w:pPr>
        <w:pageBreakBefore w:val="0"/>
        <w:kinsoku/>
        <w:wordWrap/>
        <w:overflowPunct/>
        <w:topLinePunct w:val="0"/>
        <w:bidi w:val="0"/>
        <w:spacing w:beforeAutospacing="0" w:afterAutospacing="0" w:line="400" w:lineRule="exact"/>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3、若所供应的产品不具备此类评审优惠条件，本“中小价格扣除明细表” 不必填写。</w:t>
      </w:r>
    </w:p>
    <w:p>
      <w:pPr>
        <w:pageBreakBefore w:val="0"/>
        <w:kinsoku/>
        <w:wordWrap/>
        <w:overflowPunct/>
        <w:topLinePunct w:val="0"/>
        <w:bidi w:val="0"/>
        <w:spacing w:beforeAutospacing="0" w:afterAutospacing="0" w:line="400" w:lineRule="exact"/>
        <w:ind w:firstLine="600"/>
        <w:rPr>
          <w:rFonts w:hint="eastAsia" w:ascii="宋体" w:hAnsi="宋体" w:eastAsia="宋体" w:cs="宋体"/>
          <w:color w:val="auto"/>
          <w:sz w:val="24"/>
          <w:szCs w:val="24"/>
          <w:highlight w:val="none"/>
        </w:rPr>
      </w:pPr>
    </w:p>
    <w:p>
      <w:pPr>
        <w:pageBreakBefore w:val="0"/>
        <w:kinsoku/>
        <w:wordWrap/>
        <w:overflowPunct/>
        <w:topLinePunct w:val="0"/>
        <w:bidi w:val="0"/>
        <w:adjustRightInd w:val="0"/>
        <w:snapToGrid w:val="0"/>
        <w:spacing w:beforeAutospacing="0" w:afterAutospacing="0" w:line="400" w:lineRule="exact"/>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w:t>
      </w:r>
      <w:r>
        <w:rPr>
          <w:rFonts w:hint="eastAsia" w:ascii="宋体" w:hAnsi="宋体" w:eastAsia="宋体" w:cs="宋体"/>
          <w:color w:val="000000"/>
          <w:sz w:val="24"/>
          <w:szCs w:val="24"/>
          <w:highlight w:val="none"/>
        </w:rPr>
        <w:t>（单位公章）</w:t>
      </w:r>
    </w:p>
    <w:p>
      <w:pPr>
        <w:pageBreakBefore w:val="0"/>
        <w:kinsoku/>
        <w:wordWrap/>
        <w:overflowPunct/>
        <w:topLinePunct w:val="0"/>
        <w:bidi w:val="0"/>
        <w:adjustRightInd w:val="0"/>
        <w:snapToGrid w:val="0"/>
        <w:spacing w:beforeAutospacing="0" w:afterAutospacing="0" w:line="400" w:lineRule="exact"/>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法定代表人</w:t>
      </w:r>
      <w:r>
        <w:rPr>
          <w:rFonts w:hint="eastAsia" w:ascii="宋体" w:hAnsi="宋体" w:eastAsia="宋体" w:cs="宋体"/>
          <w:color w:val="auto"/>
          <w:sz w:val="24"/>
          <w:szCs w:val="24"/>
          <w:highlight w:val="none"/>
        </w:rPr>
        <w:t>或其委托代理人签字：</w:t>
      </w:r>
      <w:r>
        <w:rPr>
          <w:rFonts w:hint="eastAsia" w:ascii="宋体" w:hAnsi="宋体" w:eastAsia="宋体" w:cs="宋体"/>
          <w:color w:val="auto"/>
          <w:sz w:val="24"/>
          <w:szCs w:val="24"/>
          <w:highlight w:val="none"/>
          <w:u w:val="single"/>
        </w:rPr>
        <w:t xml:space="preserve">       </w:t>
      </w:r>
    </w:p>
    <w:p>
      <w:pPr>
        <w:pStyle w:val="2"/>
        <w:pageBreakBefore w:val="0"/>
        <w:kinsoku/>
        <w:wordWrap/>
        <w:overflowPunct/>
        <w:topLinePunct w:val="0"/>
        <w:bidi w:val="0"/>
        <w:spacing w:beforeAutospacing="0" w:after="0" w:afterAutospacing="0" w:line="400" w:lineRule="exact"/>
        <w:ind w:firstLine="480"/>
        <w:jc w:val="right"/>
        <w:rPr>
          <w:rFonts w:hint="eastAsia" w:ascii="宋体" w:hAnsi="宋体" w:eastAsia="宋体" w:cs="宋体"/>
          <w:color w:val="000000"/>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pageBreakBefore w:val="0"/>
        <w:tabs>
          <w:tab w:val="left" w:pos="2880"/>
        </w:tabs>
        <w:kinsoku/>
        <w:wordWrap/>
        <w:overflowPunct/>
        <w:topLinePunct w:val="0"/>
        <w:bidi w:val="0"/>
        <w:spacing w:beforeAutospacing="0" w:afterAutospacing="0" w:line="400" w:lineRule="exact"/>
        <w:jc w:val="center"/>
        <w:rPr>
          <w:rFonts w:hint="eastAsia" w:ascii="宋体" w:hAnsi="宋体" w:eastAsia="宋体" w:cs="宋体"/>
          <w:b/>
          <w:color w:val="auto"/>
          <w:kern w:val="0"/>
          <w:sz w:val="24"/>
          <w:szCs w:val="24"/>
          <w:highlight w:val="none"/>
          <w:lang w:val="en-US" w:eastAsia="zh-CN"/>
        </w:rPr>
      </w:pPr>
    </w:p>
    <w:p>
      <w:pPr>
        <w:pageBreakBefore w:val="0"/>
        <w:tabs>
          <w:tab w:val="left" w:pos="2880"/>
        </w:tabs>
        <w:kinsoku/>
        <w:wordWrap/>
        <w:overflowPunct/>
        <w:topLinePunct w:val="0"/>
        <w:bidi w:val="0"/>
        <w:spacing w:beforeAutospacing="0" w:afterAutospacing="0" w:line="400" w:lineRule="exact"/>
        <w:jc w:val="center"/>
        <w:rPr>
          <w:rFonts w:hint="eastAsia" w:ascii="宋体" w:hAnsi="宋体" w:eastAsia="宋体" w:cs="宋体"/>
          <w:b/>
          <w:color w:val="auto"/>
          <w:kern w:val="0"/>
          <w:sz w:val="24"/>
          <w:szCs w:val="24"/>
          <w:highlight w:val="none"/>
          <w:lang w:val="en-US" w:eastAsia="zh-CN"/>
        </w:rPr>
      </w:pPr>
    </w:p>
    <w:p>
      <w:pPr>
        <w:pStyle w:val="8"/>
        <w:pageBreakBefore w:val="0"/>
        <w:kinsoku/>
        <w:wordWrap/>
        <w:overflowPunct/>
        <w:topLinePunct w:val="0"/>
        <w:bidi w:val="0"/>
        <w:spacing w:beforeAutospacing="0" w:afterAutospacing="0" w:line="400" w:lineRule="exact"/>
        <w:rPr>
          <w:rFonts w:hint="eastAsia" w:ascii="宋体" w:hAnsi="宋体" w:eastAsia="宋体" w:cs="宋体"/>
          <w:b/>
          <w:color w:val="auto"/>
          <w:kern w:val="0"/>
          <w:sz w:val="24"/>
          <w:szCs w:val="24"/>
          <w:highlight w:val="none"/>
          <w:lang w:val="en-US" w:eastAsia="zh-CN"/>
        </w:rPr>
      </w:pPr>
    </w:p>
    <w:p>
      <w:pPr>
        <w:pStyle w:val="9"/>
        <w:pageBreakBefore w:val="0"/>
        <w:kinsoku/>
        <w:wordWrap/>
        <w:overflowPunct/>
        <w:topLinePunct w:val="0"/>
        <w:bidi w:val="0"/>
        <w:spacing w:before="0" w:beforeAutospacing="0" w:afterAutospacing="0" w:line="400" w:lineRule="exact"/>
        <w:rPr>
          <w:rFonts w:hint="eastAsia" w:ascii="宋体" w:hAnsi="宋体" w:eastAsia="宋体" w:cs="宋体"/>
          <w:sz w:val="24"/>
          <w:szCs w:val="24"/>
          <w:lang w:val="en-US" w:eastAsia="zh-CN"/>
        </w:rPr>
      </w:pPr>
    </w:p>
    <w:p>
      <w:pPr>
        <w:pageBreakBefore w:val="0"/>
        <w:tabs>
          <w:tab w:val="left" w:pos="2880"/>
        </w:tabs>
        <w:kinsoku/>
        <w:wordWrap/>
        <w:overflowPunct/>
        <w:topLinePunct w:val="0"/>
        <w:bidi w:val="0"/>
        <w:spacing w:beforeAutospacing="0" w:afterAutospacing="0" w:line="400" w:lineRule="exact"/>
        <w:jc w:val="center"/>
        <w:rPr>
          <w:rFonts w:hint="eastAsia" w:ascii="宋体" w:hAnsi="宋体" w:eastAsia="宋体" w:cs="宋体"/>
          <w:b/>
          <w:color w:val="auto"/>
          <w:kern w:val="0"/>
          <w:sz w:val="24"/>
          <w:szCs w:val="24"/>
          <w:highlight w:val="none"/>
          <w:lang w:val="en-US" w:eastAsia="zh-CN"/>
        </w:rPr>
      </w:pPr>
    </w:p>
    <w:p>
      <w:pPr>
        <w:pageBreakBefore w:val="0"/>
        <w:tabs>
          <w:tab w:val="left" w:pos="2880"/>
        </w:tabs>
        <w:kinsoku/>
        <w:wordWrap/>
        <w:overflowPunct/>
        <w:topLinePunct w:val="0"/>
        <w:bidi w:val="0"/>
        <w:spacing w:beforeAutospacing="0" w:afterAutospacing="0" w:line="400" w:lineRule="exact"/>
        <w:jc w:val="center"/>
        <w:rPr>
          <w:rFonts w:hint="eastAsia" w:ascii="宋体" w:hAnsi="宋体" w:eastAsia="宋体" w:cs="宋体"/>
          <w:b/>
          <w:color w:val="auto"/>
          <w:kern w:val="0"/>
          <w:sz w:val="24"/>
          <w:szCs w:val="24"/>
          <w:highlight w:val="none"/>
          <w:lang w:val="en-US" w:eastAsia="zh-CN"/>
        </w:rPr>
      </w:pPr>
    </w:p>
    <w:p>
      <w:pPr>
        <w:pageBreakBefore w:val="0"/>
        <w:tabs>
          <w:tab w:val="left" w:pos="2880"/>
        </w:tabs>
        <w:kinsoku/>
        <w:wordWrap/>
        <w:overflowPunct/>
        <w:topLinePunct w:val="0"/>
        <w:bidi w:val="0"/>
        <w:spacing w:beforeAutospacing="0" w:afterAutospacing="0" w:line="400" w:lineRule="exact"/>
        <w:jc w:val="center"/>
        <w:rPr>
          <w:rFonts w:hint="eastAsia" w:ascii="宋体" w:hAnsi="宋体" w:eastAsia="宋体" w:cs="宋体"/>
          <w:b/>
          <w:color w:val="auto"/>
          <w:kern w:val="0"/>
          <w:sz w:val="24"/>
          <w:szCs w:val="24"/>
          <w:highlight w:val="none"/>
          <w:lang w:val="en-US" w:eastAsia="zh-CN"/>
        </w:rPr>
      </w:pPr>
    </w:p>
    <w:p>
      <w:pPr>
        <w:pageBreakBefore w:val="0"/>
        <w:tabs>
          <w:tab w:val="left" w:pos="2880"/>
        </w:tabs>
        <w:kinsoku/>
        <w:wordWrap/>
        <w:overflowPunct/>
        <w:topLinePunct w:val="0"/>
        <w:bidi w:val="0"/>
        <w:spacing w:beforeAutospacing="0" w:afterAutospacing="0" w:line="400" w:lineRule="exact"/>
        <w:jc w:val="center"/>
        <w:rPr>
          <w:rFonts w:hint="eastAsia" w:ascii="宋体" w:hAnsi="宋体" w:eastAsia="宋体" w:cs="宋体"/>
          <w:b/>
          <w:color w:val="auto"/>
          <w:kern w:val="0"/>
          <w:sz w:val="24"/>
          <w:szCs w:val="24"/>
          <w:highlight w:val="none"/>
          <w:lang w:val="en-US" w:eastAsia="zh-CN"/>
        </w:rPr>
      </w:pPr>
    </w:p>
    <w:p>
      <w:pPr>
        <w:pageBreakBefore w:val="0"/>
        <w:tabs>
          <w:tab w:val="left" w:pos="2880"/>
        </w:tabs>
        <w:kinsoku/>
        <w:wordWrap/>
        <w:overflowPunct/>
        <w:topLinePunct w:val="0"/>
        <w:bidi w:val="0"/>
        <w:spacing w:beforeAutospacing="0" w:afterAutospacing="0" w:line="400" w:lineRule="exact"/>
        <w:jc w:val="center"/>
        <w:rPr>
          <w:rFonts w:hint="eastAsia" w:ascii="宋体" w:hAnsi="宋体" w:eastAsia="宋体" w:cs="宋体"/>
          <w:b/>
          <w:color w:val="auto"/>
          <w:kern w:val="0"/>
          <w:sz w:val="24"/>
          <w:szCs w:val="24"/>
          <w:highlight w:val="none"/>
          <w:lang w:val="en-US" w:eastAsia="zh-CN"/>
        </w:rPr>
      </w:pPr>
    </w:p>
    <w:p>
      <w:pPr>
        <w:pageBreakBefore w:val="0"/>
        <w:tabs>
          <w:tab w:val="left" w:pos="2880"/>
        </w:tabs>
        <w:kinsoku/>
        <w:wordWrap/>
        <w:overflowPunct/>
        <w:topLinePunct w:val="0"/>
        <w:bidi w:val="0"/>
        <w:spacing w:beforeAutospacing="0" w:afterAutospacing="0" w:line="400" w:lineRule="exact"/>
        <w:jc w:val="center"/>
        <w:rPr>
          <w:rFonts w:hint="eastAsia" w:ascii="宋体" w:hAnsi="宋体" w:eastAsia="宋体" w:cs="宋体"/>
          <w:b/>
          <w:color w:val="auto"/>
          <w:kern w:val="0"/>
          <w:sz w:val="24"/>
          <w:szCs w:val="24"/>
          <w:highlight w:val="none"/>
          <w:lang w:val="en-US" w:eastAsia="zh-CN"/>
        </w:rPr>
      </w:pPr>
    </w:p>
    <w:p>
      <w:pPr>
        <w:pageBreakBefore w:val="0"/>
        <w:tabs>
          <w:tab w:val="left" w:pos="2880"/>
        </w:tabs>
        <w:kinsoku/>
        <w:wordWrap/>
        <w:overflowPunct/>
        <w:topLinePunct w:val="0"/>
        <w:bidi w:val="0"/>
        <w:spacing w:beforeAutospacing="0" w:afterAutospacing="0" w:line="400" w:lineRule="exact"/>
        <w:jc w:val="center"/>
        <w:rPr>
          <w:rFonts w:hint="eastAsia" w:ascii="宋体" w:hAnsi="宋体" w:eastAsia="宋体" w:cs="宋体"/>
          <w:b/>
          <w:color w:val="auto"/>
          <w:kern w:val="0"/>
          <w:sz w:val="24"/>
          <w:szCs w:val="24"/>
          <w:highlight w:val="none"/>
          <w:lang w:val="en-US" w:eastAsia="zh-CN"/>
        </w:rPr>
      </w:pPr>
    </w:p>
    <w:p>
      <w:pPr>
        <w:pageBreakBefore w:val="0"/>
        <w:tabs>
          <w:tab w:val="left" w:pos="2880"/>
        </w:tabs>
        <w:kinsoku/>
        <w:wordWrap/>
        <w:overflowPunct/>
        <w:topLinePunct w:val="0"/>
        <w:bidi w:val="0"/>
        <w:spacing w:beforeAutospacing="0" w:afterAutospacing="0" w:line="400" w:lineRule="exact"/>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lang w:val="en-US" w:eastAsia="zh-CN"/>
        </w:rPr>
        <w:t>12.2</w:t>
      </w:r>
      <w:r>
        <w:rPr>
          <w:rFonts w:hint="eastAsia" w:ascii="宋体" w:hAnsi="宋体" w:eastAsia="宋体" w:cs="宋体"/>
          <w:b/>
          <w:color w:val="auto"/>
          <w:kern w:val="0"/>
          <w:sz w:val="24"/>
          <w:szCs w:val="24"/>
          <w:highlight w:val="none"/>
        </w:rPr>
        <w:t>监狱企业声明函</w:t>
      </w:r>
    </w:p>
    <w:p>
      <w:pPr>
        <w:pageBreakBefore w:val="0"/>
        <w:kinsoku/>
        <w:wordWrap/>
        <w:overflowPunct/>
        <w:topLinePunct w:val="0"/>
        <w:bidi w:val="0"/>
        <w:spacing w:beforeAutospacing="0" w:afterAutospacing="0" w:line="400" w:lineRule="exac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（监狱企业适用）</w:t>
      </w:r>
    </w:p>
    <w:p>
      <w:pPr>
        <w:pageBreakBefore w:val="0"/>
        <w:kinsoku/>
        <w:wordWrap/>
        <w:overflowPunct/>
        <w:topLinePunct w:val="0"/>
        <w:bidi w:val="0"/>
        <w:spacing w:beforeAutospacing="0" w:afterAutospacing="0" w:line="400" w:lineRule="exact"/>
        <w:ind w:firstLine="540" w:firstLineChars="225"/>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本公司郑重声明，根据《关于政府采购支持监狱企业发展有关问题的通知》（财库[2014]68号）的规定，本公司为监狱企业。</w:t>
      </w:r>
    </w:p>
    <w:p>
      <w:pPr>
        <w:pageBreakBefore w:val="0"/>
        <w:kinsoku/>
        <w:wordWrap/>
        <w:overflowPunct/>
        <w:topLinePunct w:val="0"/>
        <w:bidi w:val="0"/>
        <w:spacing w:beforeAutospacing="0" w:afterAutospacing="0" w:line="400" w:lineRule="exact"/>
        <w:ind w:firstLine="540" w:firstLineChars="225"/>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本公司参加______单位的______项目采购活动，采购活动提供本企业（</w:t>
      </w:r>
      <w:r>
        <w:rPr>
          <w:rFonts w:hint="eastAsia" w:ascii="宋体"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填写制造的货物，由本企业承担工程、提供服务）。</w:t>
      </w:r>
    </w:p>
    <w:p>
      <w:pPr>
        <w:pageBreakBefore w:val="0"/>
        <w:kinsoku/>
        <w:wordWrap/>
        <w:overflowPunct/>
        <w:topLinePunct w:val="0"/>
        <w:bidi w:val="0"/>
        <w:spacing w:beforeAutospacing="0" w:afterAutospacing="0" w:line="400" w:lineRule="exact"/>
        <w:ind w:firstLine="540" w:firstLineChars="225"/>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本条所称货物不包括使用大型企业注册商标的货物和服务。</w:t>
      </w:r>
    </w:p>
    <w:p>
      <w:pPr>
        <w:pageBreakBefore w:val="0"/>
        <w:kinsoku/>
        <w:wordWrap/>
        <w:overflowPunct/>
        <w:topLinePunct w:val="0"/>
        <w:bidi w:val="0"/>
        <w:spacing w:beforeAutospacing="0" w:afterAutospacing="0" w:line="400" w:lineRule="exact"/>
        <w:ind w:firstLine="540" w:firstLineChars="225"/>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本公司对上述声明的真实性负责。如有虚假，将依法承担相应责任。</w:t>
      </w:r>
    </w:p>
    <w:p>
      <w:pPr>
        <w:pageBreakBefore w:val="0"/>
        <w:kinsoku/>
        <w:wordWrap/>
        <w:overflowPunct/>
        <w:topLinePunct w:val="0"/>
        <w:bidi w:val="0"/>
        <w:spacing w:beforeAutospacing="0" w:afterAutospacing="0" w:line="400" w:lineRule="exact"/>
        <w:ind w:firstLine="4860" w:firstLineChars="2025"/>
        <w:rPr>
          <w:rFonts w:hint="eastAsia" w:ascii="宋体" w:hAnsi="宋体" w:eastAsia="宋体" w:cs="宋体"/>
          <w:color w:val="auto"/>
          <w:kern w:val="0"/>
          <w:sz w:val="24"/>
          <w:szCs w:val="24"/>
          <w:highlight w:val="none"/>
        </w:rPr>
      </w:pPr>
    </w:p>
    <w:p>
      <w:pPr>
        <w:pageBreakBefore w:val="0"/>
        <w:kinsoku/>
        <w:wordWrap/>
        <w:overflowPunct/>
        <w:topLinePunct w:val="0"/>
        <w:bidi w:val="0"/>
        <w:spacing w:beforeAutospacing="0" w:afterAutospacing="0" w:line="400" w:lineRule="exact"/>
        <w:ind w:firstLine="4860" w:firstLineChars="2025"/>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企业名称（盖公章）：</w:t>
      </w:r>
    </w:p>
    <w:p>
      <w:pPr>
        <w:pageBreakBefore w:val="0"/>
        <w:kinsoku/>
        <w:wordWrap/>
        <w:overflowPunct/>
        <w:topLinePunct w:val="0"/>
        <w:bidi w:val="0"/>
        <w:spacing w:beforeAutospacing="0" w:afterAutospacing="0" w:line="400" w:lineRule="exact"/>
        <w:ind w:firstLine="2880" w:firstLineChars="1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法定代表人</w:t>
      </w:r>
      <w:r>
        <w:rPr>
          <w:rFonts w:hint="eastAsia" w:ascii="宋体" w:hAnsi="宋体" w:eastAsia="宋体" w:cs="宋体"/>
          <w:color w:val="auto"/>
          <w:kern w:val="0"/>
          <w:sz w:val="24"/>
          <w:szCs w:val="24"/>
          <w:highlight w:val="none"/>
        </w:rPr>
        <w:t>（负责人）或其授权代表(签字)：</w:t>
      </w:r>
    </w:p>
    <w:p>
      <w:pPr>
        <w:pageBreakBefore w:val="0"/>
        <w:tabs>
          <w:tab w:val="left" w:pos="2880"/>
        </w:tabs>
        <w:kinsoku/>
        <w:wordWrap/>
        <w:overflowPunct/>
        <w:topLinePunct w:val="0"/>
        <w:bidi w:val="0"/>
        <w:spacing w:beforeAutospacing="0" w:afterAutospacing="0" w:line="400" w:lineRule="exact"/>
        <w:ind w:firstLine="4800" w:firstLineChars="20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日期：</w:t>
      </w:r>
    </w:p>
    <w:p>
      <w:pPr>
        <w:pStyle w:val="9"/>
        <w:pageBreakBefore w:val="0"/>
        <w:kinsoku/>
        <w:wordWrap/>
        <w:overflowPunct/>
        <w:topLinePunct w:val="0"/>
        <w:bidi w:val="0"/>
        <w:spacing w:before="0" w:beforeAutospacing="0" w:afterAutospacing="0" w:line="400" w:lineRule="exact"/>
        <w:rPr>
          <w:rFonts w:hint="eastAsia" w:ascii="宋体" w:hAnsi="宋体" w:eastAsia="宋体" w:cs="宋体"/>
          <w:sz w:val="24"/>
          <w:szCs w:val="24"/>
        </w:rPr>
      </w:pPr>
    </w:p>
    <w:p>
      <w:pPr>
        <w:pStyle w:val="5"/>
        <w:pageBreakBefore w:val="0"/>
        <w:kinsoku/>
        <w:wordWrap/>
        <w:overflowPunct/>
        <w:topLinePunct w:val="0"/>
        <w:bidi w:val="0"/>
        <w:spacing w:before="0" w:beforeAutospacing="0" w:after="0" w:afterAutospacing="0" w:line="400" w:lineRule="exact"/>
        <w:jc w:val="center"/>
        <w:rPr>
          <w:rFonts w:hint="eastAsia" w:ascii="宋体" w:hAnsi="宋体" w:eastAsia="宋体" w:cs="宋体"/>
          <w:bCs w:val="0"/>
          <w:color w:val="000000"/>
          <w:kern w:val="0"/>
          <w:sz w:val="24"/>
          <w:szCs w:val="24"/>
          <w:highlight w:val="none"/>
          <w:lang w:val="zh-CN"/>
        </w:rPr>
      </w:pPr>
      <w:r>
        <w:rPr>
          <w:rFonts w:hint="eastAsia" w:ascii="宋体" w:hAnsi="宋体" w:eastAsia="宋体" w:cs="宋体"/>
          <w:bCs w:val="0"/>
          <w:color w:val="000000"/>
          <w:kern w:val="0"/>
          <w:sz w:val="24"/>
          <w:szCs w:val="24"/>
          <w:highlight w:val="none"/>
        </w:rPr>
        <w:t>1</w:t>
      </w:r>
      <w:r>
        <w:rPr>
          <w:rFonts w:hint="eastAsia" w:ascii="宋体" w:hAnsi="宋体" w:eastAsia="宋体" w:cs="宋体"/>
          <w:bCs w:val="0"/>
          <w:color w:val="000000"/>
          <w:kern w:val="0"/>
          <w:sz w:val="24"/>
          <w:szCs w:val="24"/>
          <w:highlight w:val="none"/>
          <w:lang w:val="en-US" w:eastAsia="zh-CN"/>
        </w:rPr>
        <w:t>2.3</w:t>
      </w:r>
      <w:r>
        <w:rPr>
          <w:rFonts w:hint="eastAsia" w:ascii="宋体" w:hAnsi="宋体" w:eastAsia="宋体" w:cs="宋体"/>
          <w:bCs w:val="0"/>
          <w:color w:val="000000"/>
          <w:kern w:val="0"/>
          <w:sz w:val="24"/>
          <w:szCs w:val="24"/>
          <w:highlight w:val="none"/>
        </w:rPr>
        <w:t>、</w:t>
      </w:r>
      <w:r>
        <w:rPr>
          <w:rFonts w:hint="eastAsia" w:ascii="宋体" w:hAnsi="宋体" w:eastAsia="宋体" w:cs="宋体"/>
          <w:bCs w:val="0"/>
          <w:color w:val="000000"/>
          <w:kern w:val="0"/>
          <w:sz w:val="24"/>
          <w:szCs w:val="24"/>
          <w:highlight w:val="none"/>
          <w:lang w:val="zh-CN"/>
        </w:rPr>
        <w:t>残疾人福利性单位声明函</w:t>
      </w:r>
    </w:p>
    <w:p>
      <w:pPr>
        <w:pStyle w:val="12"/>
        <w:pageBreakBefore w:val="0"/>
        <w:kinsoku/>
        <w:wordWrap/>
        <w:overflowPunct/>
        <w:topLinePunct w:val="0"/>
        <w:bidi w:val="0"/>
        <w:spacing w:beforeAutospacing="0" w:after="0" w:afterAutospacing="0" w:line="400" w:lineRule="exact"/>
        <w:rPr>
          <w:rFonts w:hint="eastAsia" w:ascii="宋体" w:hAnsi="宋体" w:eastAsia="宋体" w:cs="宋体"/>
          <w:color w:val="000000"/>
          <w:sz w:val="24"/>
          <w:szCs w:val="24"/>
          <w:highlight w:val="none"/>
        </w:rPr>
      </w:pPr>
    </w:p>
    <w:p>
      <w:pPr>
        <w:pStyle w:val="12"/>
        <w:pageBreakBefore w:val="0"/>
        <w:kinsoku/>
        <w:wordWrap/>
        <w:overflowPunct/>
        <w:topLinePunct w:val="0"/>
        <w:bidi w:val="0"/>
        <w:spacing w:beforeAutospacing="0" w:after="0" w:afterAutospacing="0" w:line="400" w:lineRule="exact"/>
        <w:ind w:left="567" w:right="567" w:firstLine="1512" w:firstLineChars="630"/>
        <w:rPr>
          <w:rFonts w:hint="eastAsia" w:ascii="宋体" w:hAnsi="宋体" w:eastAsia="宋体" w:cs="宋体"/>
          <w:color w:val="000000"/>
          <w:kern w:val="0"/>
          <w:sz w:val="24"/>
          <w:szCs w:val="24"/>
          <w:highlight w:val="none"/>
          <w:lang w:val="zh-CN"/>
        </w:rPr>
      </w:pPr>
      <w:r>
        <w:rPr>
          <w:rFonts w:hint="eastAsia" w:ascii="宋体" w:hAnsi="宋体" w:eastAsia="宋体" w:cs="宋体"/>
          <w:color w:val="000000"/>
          <w:kern w:val="0"/>
          <w:sz w:val="24"/>
          <w:szCs w:val="24"/>
          <w:highlight w:val="none"/>
          <w:lang w:val="zh-CN"/>
        </w:rPr>
        <w:t>（非残疾人福利性单位投标，不需此件）</w:t>
      </w:r>
    </w:p>
    <w:p>
      <w:pPr>
        <w:pStyle w:val="12"/>
        <w:pageBreakBefore w:val="0"/>
        <w:kinsoku/>
        <w:wordWrap/>
        <w:overflowPunct/>
        <w:topLinePunct w:val="0"/>
        <w:bidi w:val="0"/>
        <w:spacing w:beforeAutospacing="0" w:after="0" w:afterAutospacing="0" w:line="400" w:lineRule="exact"/>
        <w:ind w:left="567" w:right="567" w:firstLine="559" w:firstLineChars="233"/>
        <w:rPr>
          <w:rFonts w:hint="eastAsia" w:ascii="宋体" w:hAnsi="宋体" w:eastAsia="宋体" w:cs="宋体"/>
          <w:color w:val="000000"/>
          <w:kern w:val="0"/>
          <w:sz w:val="24"/>
          <w:szCs w:val="24"/>
          <w:highlight w:val="none"/>
          <w:lang w:val="zh-CN"/>
        </w:rPr>
      </w:pPr>
      <w:r>
        <w:rPr>
          <w:rFonts w:hint="eastAsia" w:ascii="宋体" w:hAnsi="宋体" w:eastAsia="宋体" w:cs="宋体"/>
          <w:color w:val="000000"/>
          <w:kern w:val="0"/>
          <w:sz w:val="24"/>
          <w:szCs w:val="24"/>
          <w:highlight w:val="none"/>
          <w:lang w:val="zh-CN"/>
        </w:rPr>
        <w:t xml:space="preserve">本单位郑重声明，根据《财政部 民政部 中国残疾人联合会关于促进残疾人就业政府采购政策的通知》（财库〔2017〕 141 号）的规定，本单位为□符合□不符合（对应勾选）条件的残疾人福利性单位，且本单位参加本项目采购活动由本单位提供服务。 </w:t>
      </w:r>
    </w:p>
    <w:p>
      <w:pPr>
        <w:pStyle w:val="12"/>
        <w:pageBreakBefore w:val="0"/>
        <w:kinsoku/>
        <w:wordWrap/>
        <w:overflowPunct/>
        <w:topLinePunct w:val="0"/>
        <w:bidi w:val="0"/>
        <w:spacing w:beforeAutospacing="0" w:after="0" w:afterAutospacing="0" w:line="400" w:lineRule="exact"/>
        <w:ind w:left="567" w:right="567" w:firstLine="559" w:firstLineChars="233"/>
        <w:rPr>
          <w:rFonts w:hint="eastAsia" w:ascii="宋体" w:hAnsi="宋体" w:eastAsia="宋体" w:cs="宋体"/>
          <w:color w:val="000000"/>
          <w:kern w:val="0"/>
          <w:sz w:val="24"/>
          <w:szCs w:val="24"/>
          <w:highlight w:val="none"/>
          <w:lang w:val="zh-CN"/>
        </w:rPr>
      </w:pPr>
      <w:r>
        <w:rPr>
          <w:rFonts w:hint="eastAsia" w:ascii="宋体" w:hAnsi="宋体" w:eastAsia="宋体" w:cs="宋体"/>
          <w:color w:val="000000"/>
          <w:kern w:val="0"/>
          <w:sz w:val="24"/>
          <w:szCs w:val="24"/>
          <w:highlight w:val="none"/>
          <w:lang w:val="zh-CN"/>
        </w:rPr>
        <w:t xml:space="preserve">本单位对上述声明的真实性负责。如有虚假，将依法承担相应责任。 </w:t>
      </w:r>
    </w:p>
    <w:p>
      <w:pPr>
        <w:pageBreakBefore w:val="0"/>
        <w:kinsoku/>
        <w:wordWrap/>
        <w:overflowPunct/>
        <w:topLinePunct w:val="0"/>
        <w:bidi w:val="0"/>
        <w:spacing w:beforeAutospacing="0" w:afterAutospacing="0" w:line="400" w:lineRule="exact"/>
        <w:jc w:val="left"/>
        <w:rPr>
          <w:rFonts w:hint="eastAsia" w:ascii="宋体" w:hAnsi="宋体" w:eastAsia="宋体" w:cs="宋体"/>
          <w:color w:val="000000"/>
          <w:sz w:val="24"/>
          <w:szCs w:val="24"/>
          <w:highlight w:val="none"/>
        </w:rPr>
      </w:pPr>
    </w:p>
    <w:p>
      <w:pPr>
        <w:pageBreakBefore w:val="0"/>
        <w:kinsoku/>
        <w:wordWrap/>
        <w:overflowPunct/>
        <w:topLinePunct w:val="0"/>
        <w:bidi w:val="0"/>
        <w:spacing w:beforeAutospacing="0" w:afterAutospacing="0" w:line="400" w:lineRule="exact"/>
        <w:ind w:firstLine="480" w:firstLineChars="200"/>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投标单位：（单位公章）</w:t>
      </w:r>
    </w:p>
    <w:p>
      <w:pPr>
        <w:pageBreakBefore w:val="0"/>
        <w:kinsoku/>
        <w:wordWrap/>
        <w:overflowPunct/>
        <w:topLinePunct w:val="0"/>
        <w:bidi w:val="0"/>
        <w:spacing w:beforeAutospacing="0" w:afterAutospacing="0" w:line="400" w:lineRule="exact"/>
        <w:ind w:firstLine="240" w:firstLineChars="100"/>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rPr>
        <w:t xml:space="preserve">  法定代表人或授权代表人：（签字或盖章）</w:t>
      </w:r>
    </w:p>
    <w:p>
      <w:pPr>
        <w:pStyle w:val="12"/>
        <w:pageBreakBefore w:val="0"/>
        <w:tabs>
          <w:tab w:val="left" w:pos="5765"/>
          <w:tab w:val="left" w:pos="8831"/>
          <w:tab w:val="left" w:pos="8927"/>
        </w:tabs>
        <w:kinsoku/>
        <w:wordWrap/>
        <w:overflowPunct/>
        <w:topLinePunct w:val="0"/>
        <w:bidi w:val="0"/>
        <w:spacing w:beforeAutospacing="0" w:after="0" w:afterAutospacing="0" w:line="400" w:lineRule="exact"/>
        <w:ind w:left="4798" w:right="2257" w:hanging="24"/>
        <w:jc w:val="left"/>
        <w:rPr>
          <w:rFonts w:hint="eastAsia" w:ascii="宋体" w:hAnsi="宋体" w:eastAsia="宋体" w:cs="宋体"/>
          <w:color w:val="000000"/>
          <w:kern w:val="0"/>
          <w:sz w:val="24"/>
          <w:szCs w:val="24"/>
          <w:highlight w:val="none"/>
          <w:lang w:val="zh-CN"/>
        </w:rPr>
      </w:pPr>
      <w:r>
        <w:rPr>
          <w:rFonts w:hint="eastAsia" w:ascii="宋体" w:hAnsi="宋体" w:eastAsia="宋体" w:cs="宋体"/>
          <w:color w:val="000000"/>
          <w:kern w:val="0"/>
          <w:sz w:val="24"/>
          <w:szCs w:val="24"/>
          <w:highlight w:val="none"/>
          <w:lang w:val="zh-CN"/>
        </w:rPr>
        <w:tab/>
      </w:r>
      <w:r>
        <w:rPr>
          <w:rFonts w:hint="eastAsia" w:ascii="宋体" w:hAnsi="宋体" w:eastAsia="宋体" w:cs="宋体"/>
          <w:color w:val="000000"/>
          <w:kern w:val="0"/>
          <w:sz w:val="24"/>
          <w:szCs w:val="24"/>
          <w:highlight w:val="none"/>
          <w:lang w:val="zh-CN"/>
        </w:rPr>
        <w:tab/>
      </w:r>
    </w:p>
    <w:p>
      <w:pPr>
        <w:pStyle w:val="31"/>
        <w:pageBreakBefore w:val="0"/>
        <w:kinsoku/>
        <w:wordWrap/>
        <w:overflowPunct/>
        <w:topLinePunct w:val="0"/>
        <w:bidi w:val="0"/>
        <w:spacing w:beforeAutospacing="0" w:afterAutospacing="0" w:line="400" w:lineRule="exact"/>
        <w:ind w:firstLine="480" w:firstLineChars="200"/>
        <w:rPr>
          <w:rFonts w:hint="eastAsia" w:ascii="宋体" w:hAnsi="宋体" w:eastAsia="宋体" w:cs="宋体"/>
          <w:sz w:val="24"/>
          <w:szCs w:val="24"/>
          <w:highlight w:val="none"/>
        </w:rPr>
      </w:pPr>
      <w:r>
        <w:rPr>
          <w:rFonts w:hint="eastAsia" w:ascii="宋体" w:hAnsi="宋体" w:eastAsia="宋体" w:cs="宋体"/>
          <w:color w:val="000000"/>
          <w:sz w:val="24"/>
          <w:szCs w:val="24"/>
          <w:highlight w:val="none"/>
          <w:lang w:val="zh-CN"/>
        </w:rPr>
        <w:t>日</w:t>
      </w:r>
      <w:r>
        <w:rPr>
          <w:rFonts w:hint="eastAsia" w:ascii="宋体" w:hAnsi="宋体" w:eastAsia="宋体" w:cs="宋体"/>
          <w:color w:val="000000"/>
          <w:sz w:val="24"/>
          <w:szCs w:val="24"/>
          <w:highlight w:val="none"/>
          <w:lang w:val="zh-CN"/>
        </w:rPr>
        <w:tab/>
      </w:r>
      <w:r>
        <w:rPr>
          <w:rFonts w:hint="eastAsia" w:ascii="宋体" w:hAnsi="宋体" w:eastAsia="宋体" w:cs="宋体"/>
          <w:color w:val="000000"/>
          <w:sz w:val="24"/>
          <w:szCs w:val="24"/>
          <w:highlight w:val="none"/>
          <w:lang w:val="zh-CN"/>
        </w:rPr>
        <w:t>期：</w:t>
      </w:r>
    </w:p>
    <w:p>
      <w:pPr>
        <w:pageBreakBefore w:val="0"/>
        <w:kinsoku/>
        <w:wordWrap/>
        <w:overflowPunct/>
        <w:topLinePunct w:val="0"/>
        <w:bidi w:val="0"/>
        <w:spacing w:beforeAutospacing="0" w:afterAutospacing="0" w:line="400" w:lineRule="exact"/>
        <w:jc w:val="center"/>
        <w:outlineLvl w:val="0"/>
        <w:rPr>
          <w:rFonts w:hint="eastAsia" w:ascii="宋体" w:hAnsi="宋体" w:eastAsia="宋体" w:cs="宋体"/>
          <w:b/>
          <w:bCs/>
          <w:color w:val="000000"/>
          <w:sz w:val="24"/>
          <w:szCs w:val="24"/>
          <w:highlight w:val="none"/>
        </w:rPr>
      </w:pPr>
      <w:bookmarkStart w:id="51" w:name="_Toc3634"/>
      <w:bookmarkStart w:id="52" w:name="_Toc9299"/>
      <w:bookmarkStart w:id="53" w:name="_Toc17566"/>
      <w:bookmarkStart w:id="54" w:name="_Toc29831"/>
    </w:p>
    <w:p>
      <w:pPr>
        <w:pageBreakBefore w:val="0"/>
        <w:kinsoku/>
        <w:wordWrap/>
        <w:overflowPunct/>
        <w:topLinePunct w:val="0"/>
        <w:bidi w:val="0"/>
        <w:spacing w:beforeAutospacing="0" w:afterAutospacing="0" w:line="400" w:lineRule="exact"/>
        <w:jc w:val="center"/>
        <w:outlineLvl w:val="0"/>
        <w:rPr>
          <w:rFonts w:hint="eastAsia" w:ascii="宋体" w:hAnsi="宋体" w:eastAsia="宋体" w:cs="宋体"/>
          <w:b/>
          <w:bCs/>
          <w:color w:val="000000"/>
          <w:sz w:val="24"/>
          <w:szCs w:val="24"/>
          <w:highlight w:val="none"/>
        </w:rPr>
      </w:pPr>
    </w:p>
    <w:p>
      <w:pPr>
        <w:pStyle w:val="2"/>
        <w:rPr>
          <w:rFonts w:hint="eastAsia" w:ascii="宋体" w:hAnsi="宋体" w:eastAsia="宋体" w:cs="宋体"/>
          <w:b/>
          <w:bCs/>
          <w:color w:val="000000"/>
          <w:sz w:val="24"/>
          <w:szCs w:val="24"/>
          <w:highlight w:val="none"/>
        </w:rPr>
      </w:pPr>
    </w:p>
    <w:p>
      <w:pPr>
        <w:pStyle w:val="2"/>
        <w:rPr>
          <w:rFonts w:hint="eastAsia" w:ascii="宋体" w:hAnsi="宋体" w:eastAsia="宋体" w:cs="宋体"/>
          <w:b/>
          <w:bCs/>
          <w:color w:val="000000"/>
          <w:sz w:val="24"/>
          <w:szCs w:val="24"/>
          <w:highlight w:val="none"/>
        </w:rPr>
      </w:pPr>
    </w:p>
    <w:p>
      <w:pPr>
        <w:pageBreakBefore w:val="0"/>
        <w:widowControl/>
        <w:kinsoku/>
        <w:wordWrap/>
        <w:overflowPunct/>
        <w:topLinePunct w:val="0"/>
        <w:bidi w:val="0"/>
        <w:adjustRightInd w:val="0"/>
        <w:snapToGrid w:val="0"/>
        <w:spacing w:beforeAutospacing="0" w:afterAutospacing="0" w:line="400" w:lineRule="exact"/>
        <w:ind w:firstLine="460" w:firstLineChars="192"/>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val="en-US" w:eastAsia="zh-CN"/>
        </w:rPr>
        <w:t>13</w:t>
      </w:r>
      <w:r>
        <w:rPr>
          <w:rFonts w:hint="eastAsia" w:ascii="宋体" w:hAnsi="宋体" w:eastAsia="宋体" w:cs="宋体"/>
          <w:color w:val="000000"/>
          <w:sz w:val="24"/>
          <w:szCs w:val="24"/>
          <w:highlight w:val="none"/>
        </w:rPr>
        <w:t>投标保证金收据影印件</w:t>
      </w:r>
      <w:r>
        <w:rPr>
          <w:rFonts w:hint="eastAsia" w:ascii="宋体" w:hAnsi="宋体" w:eastAsia="宋体" w:cs="宋体"/>
          <w:color w:val="000000"/>
          <w:sz w:val="24"/>
          <w:szCs w:val="24"/>
          <w:highlight w:val="none"/>
          <w:lang w:eastAsia="zh-CN"/>
        </w:rPr>
        <w:t>、开户许可证</w:t>
      </w:r>
      <w:r>
        <w:rPr>
          <w:rFonts w:hint="eastAsia" w:ascii="宋体" w:hAnsi="宋体" w:eastAsia="宋体" w:cs="宋体"/>
          <w:color w:val="000000"/>
          <w:sz w:val="24"/>
          <w:szCs w:val="24"/>
          <w:highlight w:val="none"/>
        </w:rPr>
        <w:t>影印件；</w:t>
      </w:r>
    </w:p>
    <w:p>
      <w:pPr>
        <w:pageBreakBefore w:val="0"/>
        <w:widowControl/>
        <w:kinsoku/>
        <w:wordWrap/>
        <w:overflowPunct/>
        <w:topLinePunct w:val="0"/>
        <w:bidi w:val="0"/>
        <w:adjustRightInd w:val="0"/>
        <w:snapToGrid w:val="0"/>
        <w:spacing w:beforeAutospacing="0" w:afterAutospacing="0" w:line="400" w:lineRule="exact"/>
        <w:ind w:firstLine="460" w:firstLineChars="192"/>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val="en-US" w:eastAsia="zh-CN"/>
        </w:rPr>
        <w:t>14</w:t>
      </w:r>
      <w:r>
        <w:rPr>
          <w:rFonts w:hint="eastAsia" w:ascii="宋体" w:hAnsi="宋体" w:eastAsia="宋体" w:cs="宋体"/>
          <w:color w:val="000000"/>
          <w:sz w:val="24"/>
          <w:szCs w:val="24"/>
          <w:highlight w:val="none"/>
        </w:rPr>
        <w:t>投标人认为有必要提供的声明及文件资料。</w:t>
      </w:r>
    </w:p>
    <w:p>
      <w:pPr>
        <w:pageBreakBefore w:val="0"/>
        <w:kinsoku/>
        <w:wordWrap/>
        <w:overflowPunct/>
        <w:topLinePunct w:val="0"/>
        <w:bidi w:val="0"/>
        <w:spacing w:beforeAutospacing="0" w:afterAutospacing="0" w:line="400" w:lineRule="exact"/>
        <w:jc w:val="center"/>
        <w:outlineLvl w:val="0"/>
        <w:rPr>
          <w:rFonts w:hint="eastAsia" w:ascii="宋体" w:hAnsi="宋体" w:eastAsia="宋体" w:cs="宋体"/>
          <w:b/>
          <w:bCs/>
          <w:color w:val="000000"/>
          <w:sz w:val="24"/>
          <w:szCs w:val="24"/>
          <w:highlight w:val="none"/>
        </w:rPr>
      </w:pPr>
    </w:p>
    <w:p>
      <w:pPr>
        <w:pageBreakBefore w:val="0"/>
        <w:kinsoku/>
        <w:wordWrap/>
        <w:overflowPunct/>
        <w:topLinePunct w:val="0"/>
        <w:bidi w:val="0"/>
        <w:spacing w:beforeAutospacing="0" w:afterAutospacing="0" w:line="400" w:lineRule="exact"/>
        <w:jc w:val="center"/>
        <w:outlineLvl w:val="0"/>
        <w:rPr>
          <w:rFonts w:hint="eastAsia" w:ascii="宋体" w:hAnsi="宋体" w:eastAsia="宋体" w:cs="宋体"/>
          <w:b/>
          <w:bCs/>
          <w:color w:val="000000"/>
          <w:sz w:val="24"/>
          <w:szCs w:val="24"/>
          <w:highlight w:val="none"/>
        </w:rPr>
      </w:pPr>
    </w:p>
    <w:p>
      <w:pPr>
        <w:pageBreakBefore w:val="0"/>
        <w:kinsoku/>
        <w:wordWrap/>
        <w:overflowPunct/>
        <w:topLinePunct w:val="0"/>
        <w:bidi w:val="0"/>
        <w:spacing w:beforeAutospacing="0" w:afterAutospacing="0" w:line="400" w:lineRule="exact"/>
        <w:jc w:val="both"/>
        <w:outlineLvl w:val="0"/>
        <w:rPr>
          <w:rFonts w:hint="eastAsia" w:ascii="宋体" w:hAnsi="宋体" w:eastAsia="宋体" w:cs="宋体"/>
          <w:b/>
          <w:bCs/>
          <w:color w:val="000000"/>
          <w:sz w:val="24"/>
          <w:szCs w:val="24"/>
          <w:highlight w:val="none"/>
        </w:rPr>
      </w:pPr>
    </w:p>
    <w:p>
      <w:pPr>
        <w:pageBreakBefore w:val="0"/>
        <w:kinsoku/>
        <w:wordWrap/>
        <w:overflowPunct/>
        <w:topLinePunct w:val="0"/>
        <w:bidi w:val="0"/>
        <w:spacing w:beforeAutospacing="0" w:afterAutospacing="0" w:line="400" w:lineRule="exact"/>
        <w:jc w:val="center"/>
        <w:outlineLvl w:val="0"/>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第三部分  技术部分</w:t>
      </w:r>
      <w:bookmarkEnd w:id="51"/>
      <w:bookmarkEnd w:id="52"/>
      <w:bookmarkEnd w:id="53"/>
      <w:bookmarkEnd w:id="54"/>
    </w:p>
    <w:p>
      <w:pPr>
        <w:pageBreakBefore w:val="0"/>
        <w:kinsoku/>
        <w:wordWrap/>
        <w:overflowPunct/>
        <w:topLinePunct w:val="0"/>
        <w:bidi w:val="0"/>
        <w:spacing w:beforeAutospacing="0" w:afterAutospacing="0" w:line="400" w:lineRule="exact"/>
        <w:ind w:left="2880" w:hanging="2880"/>
        <w:jc w:val="center"/>
        <w:rPr>
          <w:rFonts w:hint="eastAsia" w:ascii="宋体" w:hAnsi="宋体" w:eastAsia="宋体" w:cs="宋体"/>
          <w:b/>
          <w:color w:val="000000"/>
          <w:sz w:val="24"/>
          <w:szCs w:val="24"/>
          <w:highlight w:val="none"/>
        </w:rPr>
      </w:pPr>
    </w:p>
    <w:p>
      <w:pPr>
        <w:pageBreakBefore w:val="0"/>
        <w:kinsoku/>
        <w:wordWrap/>
        <w:overflowPunct/>
        <w:topLinePunct w:val="0"/>
        <w:bidi w:val="0"/>
        <w:spacing w:beforeAutospacing="0" w:afterAutospacing="0" w:line="400" w:lineRule="exact"/>
        <w:ind w:left="2880" w:hanging="2880"/>
        <w:jc w:val="center"/>
        <w:rPr>
          <w:rFonts w:hint="eastAsia" w:ascii="宋体" w:hAnsi="宋体" w:eastAsia="宋体" w:cs="宋体"/>
          <w:b/>
          <w:color w:val="000000"/>
          <w:sz w:val="24"/>
          <w:szCs w:val="24"/>
          <w:highlight w:val="none"/>
        </w:rPr>
      </w:pPr>
    </w:p>
    <w:p>
      <w:pPr>
        <w:pageBreakBefore w:val="0"/>
        <w:kinsoku/>
        <w:wordWrap/>
        <w:overflowPunct/>
        <w:topLinePunct w:val="0"/>
        <w:bidi w:val="0"/>
        <w:spacing w:beforeAutospacing="0" w:afterAutospacing="0" w:line="400" w:lineRule="exact"/>
        <w:jc w:val="both"/>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lang w:val="en-US" w:eastAsia="zh-CN"/>
        </w:rPr>
        <w:t>1</w:t>
      </w:r>
      <w:r>
        <w:rPr>
          <w:rFonts w:hint="eastAsia" w:ascii="宋体" w:hAnsi="宋体" w:eastAsia="宋体" w:cs="宋体"/>
          <w:b w:val="0"/>
          <w:bCs/>
          <w:sz w:val="24"/>
          <w:szCs w:val="24"/>
          <w:highlight w:val="none"/>
        </w:rPr>
        <w:t>、</w:t>
      </w:r>
      <w:r>
        <w:rPr>
          <w:rFonts w:hint="eastAsia" w:ascii="宋体" w:hAnsi="宋体" w:eastAsia="宋体" w:cs="宋体"/>
          <w:b w:val="0"/>
          <w:bCs/>
          <w:sz w:val="24"/>
          <w:szCs w:val="24"/>
          <w:highlight w:val="none"/>
          <w:lang w:val="en-US" w:eastAsia="zh-CN"/>
        </w:rPr>
        <w:t>配备的人员</w:t>
      </w:r>
      <w:r>
        <w:rPr>
          <w:rFonts w:hint="eastAsia" w:ascii="宋体" w:hAnsi="宋体" w:eastAsia="宋体" w:cs="宋体"/>
          <w:b w:val="0"/>
          <w:bCs/>
          <w:sz w:val="24"/>
          <w:szCs w:val="24"/>
          <w:highlight w:val="none"/>
        </w:rPr>
        <w:t>主要成员表</w:t>
      </w:r>
    </w:p>
    <w:tbl>
      <w:tblPr>
        <w:tblStyle w:val="23"/>
        <w:tblpPr w:leftFromText="180" w:rightFromText="180" w:vertAnchor="text" w:horzAnchor="page" w:tblpXSpec="center" w:tblpY="566"/>
        <w:tblOverlap w:val="never"/>
        <w:tblW w:w="7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4"/>
        <w:gridCol w:w="1456"/>
        <w:gridCol w:w="3309"/>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2054"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序号</w:t>
            </w:r>
          </w:p>
        </w:tc>
        <w:tc>
          <w:tcPr>
            <w:tcW w:w="1456"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姓名</w:t>
            </w:r>
          </w:p>
        </w:tc>
        <w:tc>
          <w:tcPr>
            <w:tcW w:w="3309"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本项目中拟担任职务</w:t>
            </w:r>
          </w:p>
        </w:tc>
        <w:tc>
          <w:tcPr>
            <w:tcW w:w="1086"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54"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456"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3309"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086"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54"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bCs/>
                <w:color w:val="000000"/>
                <w:sz w:val="24"/>
                <w:szCs w:val="24"/>
                <w:highlight w:val="none"/>
              </w:rPr>
            </w:pPr>
          </w:p>
        </w:tc>
        <w:tc>
          <w:tcPr>
            <w:tcW w:w="1456" w:type="dxa"/>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3309" w:type="dxa"/>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086" w:type="dxa"/>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54"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bCs/>
                <w:color w:val="000000"/>
                <w:sz w:val="24"/>
                <w:szCs w:val="24"/>
                <w:highlight w:val="none"/>
              </w:rPr>
            </w:pPr>
          </w:p>
        </w:tc>
        <w:tc>
          <w:tcPr>
            <w:tcW w:w="1456" w:type="dxa"/>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3309" w:type="dxa"/>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086" w:type="dxa"/>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54"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bCs/>
                <w:color w:val="000000"/>
                <w:sz w:val="24"/>
                <w:szCs w:val="24"/>
                <w:highlight w:val="none"/>
              </w:rPr>
            </w:pPr>
          </w:p>
        </w:tc>
        <w:tc>
          <w:tcPr>
            <w:tcW w:w="1456" w:type="dxa"/>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3309" w:type="dxa"/>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086" w:type="dxa"/>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54"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bCs/>
                <w:color w:val="000000"/>
                <w:sz w:val="24"/>
                <w:szCs w:val="24"/>
                <w:highlight w:val="none"/>
              </w:rPr>
            </w:pPr>
          </w:p>
        </w:tc>
        <w:tc>
          <w:tcPr>
            <w:tcW w:w="1456" w:type="dxa"/>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3309" w:type="dxa"/>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086" w:type="dxa"/>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54"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bCs/>
                <w:color w:val="000000"/>
                <w:sz w:val="24"/>
                <w:szCs w:val="24"/>
                <w:highlight w:val="none"/>
              </w:rPr>
            </w:pPr>
          </w:p>
        </w:tc>
        <w:tc>
          <w:tcPr>
            <w:tcW w:w="1456" w:type="dxa"/>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3309" w:type="dxa"/>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086" w:type="dxa"/>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54"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bCs/>
                <w:color w:val="000000"/>
                <w:sz w:val="24"/>
                <w:szCs w:val="24"/>
                <w:highlight w:val="none"/>
              </w:rPr>
            </w:pPr>
          </w:p>
        </w:tc>
        <w:tc>
          <w:tcPr>
            <w:tcW w:w="1456" w:type="dxa"/>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3309" w:type="dxa"/>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086" w:type="dxa"/>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54" w:type="dxa"/>
            <w:vAlign w:val="center"/>
          </w:tcPr>
          <w:p>
            <w:pPr>
              <w:pageBreakBefore w:val="0"/>
              <w:kinsoku/>
              <w:wordWrap/>
              <w:overflowPunct/>
              <w:topLinePunct w:val="0"/>
              <w:bidi w:val="0"/>
              <w:spacing w:beforeAutospacing="0" w:afterAutospacing="0" w:line="400" w:lineRule="exact"/>
              <w:jc w:val="center"/>
              <w:rPr>
                <w:rFonts w:hint="eastAsia" w:ascii="宋体" w:hAnsi="宋体" w:eastAsia="宋体" w:cs="宋体"/>
                <w:bCs/>
                <w:color w:val="000000"/>
                <w:sz w:val="24"/>
                <w:szCs w:val="24"/>
                <w:highlight w:val="none"/>
              </w:rPr>
            </w:pPr>
          </w:p>
        </w:tc>
        <w:tc>
          <w:tcPr>
            <w:tcW w:w="1456" w:type="dxa"/>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3309" w:type="dxa"/>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086" w:type="dxa"/>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54" w:type="dxa"/>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456" w:type="dxa"/>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3309" w:type="dxa"/>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086" w:type="dxa"/>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54" w:type="dxa"/>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456" w:type="dxa"/>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3309" w:type="dxa"/>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086" w:type="dxa"/>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54" w:type="dxa"/>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456" w:type="dxa"/>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3309" w:type="dxa"/>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c>
          <w:tcPr>
            <w:tcW w:w="1086" w:type="dxa"/>
          </w:tcPr>
          <w:p>
            <w:pPr>
              <w:pageBreakBefore w:val="0"/>
              <w:kinsoku/>
              <w:wordWrap/>
              <w:overflowPunct/>
              <w:topLinePunct w:val="0"/>
              <w:bidi w:val="0"/>
              <w:spacing w:beforeAutospacing="0" w:afterAutospacing="0" w:line="400" w:lineRule="exact"/>
              <w:jc w:val="center"/>
              <w:rPr>
                <w:rFonts w:hint="eastAsia" w:ascii="宋体" w:hAnsi="宋体" w:eastAsia="宋体" w:cs="宋体"/>
                <w:color w:val="000000"/>
                <w:sz w:val="24"/>
                <w:szCs w:val="24"/>
                <w:highlight w:val="none"/>
              </w:rPr>
            </w:pPr>
          </w:p>
        </w:tc>
      </w:tr>
    </w:tbl>
    <w:p>
      <w:pPr>
        <w:pStyle w:val="5"/>
        <w:pageBreakBefore w:val="0"/>
        <w:kinsoku/>
        <w:wordWrap/>
        <w:overflowPunct/>
        <w:topLinePunct w:val="0"/>
        <w:bidi w:val="0"/>
        <w:spacing w:before="0" w:beforeAutospacing="0" w:after="0" w:afterAutospacing="0"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w:t>
      </w:r>
      <w:r>
        <w:rPr>
          <w:rFonts w:hint="eastAsia" w:ascii="宋体" w:hAnsi="宋体" w:eastAsia="宋体" w:cs="宋体"/>
          <w:color w:val="auto"/>
          <w:sz w:val="24"/>
          <w:szCs w:val="24"/>
          <w:highlight w:val="none"/>
          <w:lang w:val="en-US" w:eastAsia="zh-CN"/>
        </w:rPr>
        <w:t>以上人员</w:t>
      </w:r>
      <w:r>
        <w:rPr>
          <w:rFonts w:hint="eastAsia" w:ascii="宋体" w:hAnsi="宋体" w:eastAsia="宋体" w:cs="宋体"/>
          <w:color w:val="auto"/>
          <w:sz w:val="24"/>
          <w:szCs w:val="24"/>
          <w:highlight w:val="none"/>
        </w:rPr>
        <w:t>必须附上有效的身份证正反面扫描件、与投标人签订的有效的劳动合同扫描件、经社保管理单位盖章确认的近</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个月由投标人进行社保缴纳的证明材料。</w:t>
      </w:r>
    </w:p>
    <w:p>
      <w:pPr>
        <w:pageBreakBefore w:val="0"/>
        <w:kinsoku/>
        <w:wordWrap/>
        <w:overflowPunct/>
        <w:topLinePunct w:val="0"/>
        <w:bidi w:val="0"/>
        <w:spacing w:beforeAutospacing="0" w:afterAutospacing="0" w:line="400" w:lineRule="exact"/>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投标单位：（单位公章）</w:t>
      </w:r>
    </w:p>
    <w:p>
      <w:pPr>
        <w:pageBreakBefore w:val="0"/>
        <w:kinsoku/>
        <w:wordWrap/>
        <w:overflowPunct/>
        <w:topLinePunct w:val="0"/>
        <w:bidi w:val="0"/>
        <w:spacing w:beforeAutospacing="0" w:afterAutospacing="0" w:line="400" w:lineRule="exac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法定代表人或其委托代理人：（签字或盖章）</w:t>
      </w:r>
    </w:p>
    <w:p>
      <w:pPr>
        <w:pageBreakBefore w:val="0"/>
        <w:kinsoku/>
        <w:wordWrap/>
        <w:overflowPunct/>
        <w:topLinePunct w:val="0"/>
        <w:bidi w:val="0"/>
        <w:spacing w:beforeAutospacing="0" w:afterAutospacing="0" w:line="400" w:lineRule="exact"/>
        <w:jc w:val="left"/>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日期</w:t>
      </w:r>
      <w:r>
        <w:rPr>
          <w:rFonts w:hint="eastAsia" w:ascii="宋体" w:hAnsi="宋体" w:eastAsia="宋体" w:cs="宋体"/>
          <w:color w:val="000000"/>
          <w:sz w:val="24"/>
          <w:szCs w:val="24"/>
          <w:highlight w:val="none"/>
          <w:lang w:eastAsia="zh-CN"/>
        </w:rPr>
        <w:t>：</w:t>
      </w:r>
    </w:p>
    <w:p>
      <w:pPr>
        <w:pStyle w:val="2"/>
        <w:ind w:left="0" w:leftChars="0" w:firstLine="0" w:firstLineChars="0"/>
        <w:rPr>
          <w:rFonts w:hint="eastAsia" w:ascii="宋体" w:hAnsi="宋体" w:eastAsia="宋体" w:cs="宋体"/>
          <w:color w:val="000000"/>
          <w:sz w:val="24"/>
          <w:szCs w:val="24"/>
          <w:highlight w:val="none"/>
          <w:lang w:eastAsia="zh-CN"/>
        </w:rPr>
      </w:pPr>
    </w:p>
    <w:p>
      <w:pPr>
        <w:pStyle w:val="2"/>
        <w:ind w:left="0" w:leftChars="0" w:firstLine="0" w:firstLineChars="0"/>
        <w:rPr>
          <w:rFonts w:hint="eastAsia" w:ascii="宋体" w:hAnsi="宋体" w:eastAsia="宋体" w:cs="宋体"/>
          <w:color w:val="000000"/>
          <w:sz w:val="24"/>
          <w:szCs w:val="24"/>
          <w:highlight w:val="none"/>
          <w:lang w:eastAsia="zh-CN"/>
        </w:rPr>
      </w:pPr>
    </w:p>
    <w:p>
      <w:pPr>
        <w:pageBreakBefore w:val="0"/>
        <w:widowControl/>
        <w:kinsoku/>
        <w:wordWrap/>
        <w:overflowPunct/>
        <w:topLinePunct w:val="0"/>
        <w:bidi w:val="0"/>
        <w:adjustRightInd w:val="0"/>
        <w:snapToGrid w:val="0"/>
        <w:spacing w:line="400" w:lineRule="exact"/>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2规章制度；</w:t>
      </w:r>
      <w:r>
        <w:rPr>
          <w:rFonts w:hint="eastAsia" w:ascii="宋体" w:hAnsi="宋体" w:eastAsia="宋体" w:cs="宋体"/>
          <w:color w:val="auto"/>
          <w:kern w:val="2"/>
          <w:sz w:val="24"/>
          <w:szCs w:val="24"/>
          <w:highlight w:val="none"/>
          <w:lang w:val="en-US" w:eastAsia="zh-CN" w:bidi="ar-SA"/>
        </w:rPr>
        <w:t>（格式自拟，根据评标办法提供）</w:t>
      </w:r>
    </w:p>
    <w:p>
      <w:pPr>
        <w:pageBreakBefore w:val="0"/>
        <w:widowControl/>
        <w:kinsoku/>
        <w:wordWrap/>
        <w:overflowPunct/>
        <w:topLinePunct w:val="0"/>
        <w:bidi w:val="0"/>
        <w:adjustRightInd w:val="0"/>
        <w:snapToGrid w:val="0"/>
        <w:spacing w:line="400" w:lineRule="exact"/>
        <w:ind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3绿化养护服务实施方案</w:t>
      </w:r>
      <w:r>
        <w:rPr>
          <w:rFonts w:hint="eastAsia" w:ascii="宋体" w:hAnsi="宋体" w:eastAsia="宋体" w:cs="宋体"/>
          <w:color w:val="auto"/>
          <w:kern w:val="2"/>
          <w:sz w:val="24"/>
          <w:szCs w:val="24"/>
          <w:highlight w:val="none"/>
          <w:lang w:val="en-US" w:eastAsia="zh-CN" w:bidi="ar-SA"/>
        </w:rPr>
        <w:t>（格式自拟，根据评标办法提供）</w:t>
      </w:r>
    </w:p>
    <w:p>
      <w:pPr>
        <w:pageBreakBefore w:val="0"/>
        <w:widowControl/>
        <w:kinsoku/>
        <w:wordWrap/>
        <w:overflowPunct/>
        <w:topLinePunct w:val="0"/>
        <w:bidi w:val="0"/>
        <w:adjustRightInd w:val="0"/>
        <w:snapToGrid w:val="0"/>
        <w:spacing w:line="400" w:lineRule="exact"/>
        <w:ind w:firstLine="460" w:firstLineChars="192"/>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4环卫保洁服务实施方案</w:t>
      </w:r>
      <w:r>
        <w:rPr>
          <w:rFonts w:hint="eastAsia" w:ascii="宋体" w:hAnsi="宋体" w:eastAsia="宋体" w:cs="宋体"/>
          <w:color w:val="auto"/>
          <w:kern w:val="2"/>
          <w:sz w:val="24"/>
          <w:szCs w:val="24"/>
          <w:highlight w:val="none"/>
          <w:lang w:val="en-US" w:eastAsia="zh-CN" w:bidi="ar-SA"/>
        </w:rPr>
        <w:t>（格式自拟，根据评标办法提供）</w:t>
      </w:r>
    </w:p>
    <w:p>
      <w:pPr>
        <w:pageBreakBefore w:val="0"/>
        <w:widowControl/>
        <w:kinsoku/>
        <w:wordWrap/>
        <w:overflowPunct/>
        <w:topLinePunct w:val="0"/>
        <w:bidi w:val="0"/>
        <w:adjustRightInd w:val="0"/>
        <w:snapToGrid w:val="0"/>
        <w:spacing w:line="400" w:lineRule="exact"/>
        <w:ind w:firstLine="460" w:firstLineChars="192"/>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5投入本项目机械、材料、器具设备配置</w:t>
      </w:r>
      <w:r>
        <w:rPr>
          <w:rFonts w:hint="eastAsia" w:ascii="宋体" w:hAnsi="宋体" w:eastAsia="宋体" w:cs="宋体"/>
          <w:color w:val="auto"/>
          <w:kern w:val="2"/>
          <w:sz w:val="24"/>
          <w:szCs w:val="24"/>
          <w:highlight w:val="none"/>
          <w:lang w:val="en-US" w:eastAsia="zh-CN" w:bidi="ar-SA"/>
        </w:rPr>
        <w:t>（格式自拟，根据评标办法提供）</w:t>
      </w:r>
    </w:p>
    <w:p>
      <w:pPr>
        <w:pageBreakBefore w:val="0"/>
        <w:widowControl/>
        <w:kinsoku/>
        <w:wordWrap/>
        <w:overflowPunct/>
        <w:topLinePunct w:val="0"/>
        <w:bidi w:val="0"/>
        <w:adjustRightInd w:val="0"/>
        <w:snapToGrid w:val="0"/>
        <w:spacing w:line="400" w:lineRule="exact"/>
        <w:ind w:firstLine="460" w:firstLineChars="192"/>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6安全生产作业措施方案</w:t>
      </w:r>
      <w:r>
        <w:rPr>
          <w:rFonts w:hint="eastAsia" w:ascii="宋体" w:hAnsi="宋体" w:eastAsia="宋体" w:cs="宋体"/>
          <w:color w:val="auto"/>
          <w:kern w:val="2"/>
          <w:sz w:val="24"/>
          <w:szCs w:val="24"/>
          <w:highlight w:val="none"/>
          <w:lang w:val="en-US" w:eastAsia="zh-CN" w:bidi="ar-SA"/>
        </w:rPr>
        <w:t>（格式自拟，根据评标办法提供）</w:t>
      </w:r>
    </w:p>
    <w:p>
      <w:pPr>
        <w:pageBreakBefore w:val="0"/>
        <w:widowControl/>
        <w:kinsoku/>
        <w:wordWrap/>
        <w:overflowPunct/>
        <w:topLinePunct w:val="0"/>
        <w:bidi w:val="0"/>
        <w:adjustRightInd w:val="0"/>
        <w:snapToGrid w:val="0"/>
        <w:spacing w:line="400" w:lineRule="exact"/>
        <w:ind w:firstLine="460" w:firstLineChars="192"/>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7应急预案服务达标承诺及不达标改善措施</w:t>
      </w:r>
      <w:r>
        <w:rPr>
          <w:rFonts w:hint="eastAsia" w:ascii="宋体" w:hAnsi="宋体" w:eastAsia="宋体" w:cs="宋体"/>
          <w:color w:val="auto"/>
          <w:kern w:val="2"/>
          <w:sz w:val="24"/>
          <w:szCs w:val="24"/>
          <w:highlight w:val="none"/>
          <w:lang w:val="en-US" w:eastAsia="zh-CN" w:bidi="ar-SA"/>
        </w:rPr>
        <w:t>（格式自拟，根据评标办法提供）</w:t>
      </w:r>
    </w:p>
    <w:p>
      <w:pPr>
        <w:pageBreakBefore w:val="0"/>
        <w:kinsoku/>
        <w:wordWrap/>
        <w:overflowPunct/>
        <w:topLinePunct w:val="0"/>
        <w:bidi w:val="0"/>
        <w:spacing w:beforeAutospacing="0" w:afterAutospacing="0" w:line="400" w:lineRule="exact"/>
        <w:ind w:left="2890" w:leftChars="200" w:hanging="2470" w:hangingChars="1025"/>
        <w:jc w:val="left"/>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lang w:val="en-US" w:eastAsia="zh-CN"/>
        </w:rPr>
        <w:t>8</w:t>
      </w:r>
      <w:r>
        <w:rPr>
          <w:rFonts w:hint="eastAsia" w:ascii="宋体" w:hAnsi="宋体" w:eastAsia="宋体" w:cs="宋体"/>
          <w:b/>
          <w:color w:val="000000"/>
          <w:sz w:val="24"/>
          <w:szCs w:val="24"/>
          <w:highlight w:val="none"/>
        </w:rPr>
        <w:t>技术条款偏离表</w:t>
      </w:r>
    </w:p>
    <w:p>
      <w:pPr>
        <w:pageBreakBefore w:val="0"/>
        <w:kinsoku/>
        <w:wordWrap/>
        <w:overflowPunct/>
        <w:topLinePunct w:val="0"/>
        <w:bidi w:val="0"/>
        <w:spacing w:beforeAutospacing="0" w:afterAutospacing="0" w:line="400" w:lineRule="exact"/>
        <w:ind w:left="2880" w:leftChars="200" w:hanging="2460" w:hangingChars="1025"/>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项目名称：</w:t>
      </w:r>
    </w:p>
    <w:p>
      <w:pPr>
        <w:pageBreakBefore w:val="0"/>
        <w:kinsoku/>
        <w:wordWrap/>
        <w:overflowPunct/>
        <w:topLinePunct w:val="0"/>
        <w:bidi w:val="0"/>
        <w:spacing w:beforeAutospacing="0" w:afterAutospacing="0" w:line="400" w:lineRule="exact"/>
        <w:ind w:left="2880" w:leftChars="200" w:hanging="2460" w:hangingChars="1025"/>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招标编号：</w:t>
      </w:r>
    </w:p>
    <w:p>
      <w:pPr>
        <w:pStyle w:val="2"/>
        <w:rPr>
          <w:rFonts w:hint="eastAsia" w:ascii="宋体" w:hAnsi="宋体" w:eastAsia="宋体" w:cs="宋体"/>
          <w:lang w:val="en-US" w:eastAsia="zh-CN"/>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093"/>
        <w:gridCol w:w="2227"/>
        <w:gridCol w:w="160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 w:hRule="atLeast"/>
          <w:jc w:val="center"/>
        </w:trPr>
        <w:tc>
          <w:tcPr>
            <w:tcW w:w="820"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序号</w:t>
            </w:r>
          </w:p>
        </w:tc>
        <w:tc>
          <w:tcPr>
            <w:tcW w:w="2093"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招标规格</w:t>
            </w:r>
          </w:p>
        </w:tc>
        <w:tc>
          <w:tcPr>
            <w:tcW w:w="2227"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投标规格</w:t>
            </w:r>
          </w:p>
        </w:tc>
        <w:tc>
          <w:tcPr>
            <w:tcW w:w="1600"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偏离</w:t>
            </w:r>
          </w:p>
        </w:tc>
        <w:tc>
          <w:tcPr>
            <w:tcW w:w="1134"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820"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p>
        </w:tc>
        <w:tc>
          <w:tcPr>
            <w:tcW w:w="2093"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p>
        </w:tc>
        <w:tc>
          <w:tcPr>
            <w:tcW w:w="2227"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p>
        </w:tc>
        <w:tc>
          <w:tcPr>
            <w:tcW w:w="1600"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p>
        </w:tc>
        <w:tc>
          <w:tcPr>
            <w:tcW w:w="1134"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20"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p>
        </w:tc>
        <w:tc>
          <w:tcPr>
            <w:tcW w:w="2093"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p>
        </w:tc>
        <w:tc>
          <w:tcPr>
            <w:tcW w:w="2227"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p>
        </w:tc>
        <w:tc>
          <w:tcPr>
            <w:tcW w:w="1600"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p>
        </w:tc>
        <w:tc>
          <w:tcPr>
            <w:tcW w:w="1134"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820"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w:t>
            </w:r>
          </w:p>
        </w:tc>
        <w:tc>
          <w:tcPr>
            <w:tcW w:w="2093"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p>
        </w:tc>
        <w:tc>
          <w:tcPr>
            <w:tcW w:w="2227"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p>
        </w:tc>
        <w:tc>
          <w:tcPr>
            <w:tcW w:w="1600"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p>
        </w:tc>
        <w:tc>
          <w:tcPr>
            <w:tcW w:w="1134"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820"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c>
          <w:tcPr>
            <w:tcW w:w="2093"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p>
        </w:tc>
        <w:tc>
          <w:tcPr>
            <w:tcW w:w="2227"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p>
        </w:tc>
        <w:tc>
          <w:tcPr>
            <w:tcW w:w="1600"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p>
        </w:tc>
        <w:tc>
          <w:tcPr>
            <w:tcW w:w="1134" w:type="dxa"/>
            <w:vAlign w:val="center"/>
          </w:tcPr>
          <w:p>
            <w:pPr>
              <w:pageBreakBefore w:val="0"/>
              <w:kinsoku/>
              <w:wordWrap/>
              <w:overflowPunct/>
              <w:topLinePunct w:val="0"/>
              <w:bidi w:val="0"/>
              <w:adjustRightInd w:val="0"/>
              <w:snapToGrid w:val="0"/>
              <w:spacing w:beforeAutospacing="0" w:afterAutospacing="0" w:line="400" w:lineRule="exact"/>
              <w:jc w:val="center"/>
              <w:rPr>
                <w:rFonts w:hint="eastAsia" w:ascii="宋体" w:hAnsi="宋体" w:eastAsia="宋体" w:cs="宋体"/>
                <w:color w:val="000000"/>
                <w:sz w:val="24"/>
                <w:szCs w:val="24"/>
                <w:highlight w:val="none"/>
              </w:rPr>
            </w:pPr>
          </w:p>
        </w:tc>
      </w:tr>
    </w:tbl>
    <w:p>
      <w:pPr>
        <w:pageBreakBefore w:val="0"/>
        <w:kinsoku/>
        <w:wordWrap/>
        <w:overflowPunct/>
        <w:topLinePunct w:val="0"/>
        <w:bidi w:val="0"/>
        <w:spacing w:beforeAutospacing="0" w:afterAutospacing="0" w:line="400" w:lineRule="exact"/>
        <w:rPr>
          <w:rFonts w:hint="eastAsia" w:ascii="宋体" w:hAnsi="宋体" w:eastAsia="宋体" w:cs="宋体"/>
          <w:color w:val="000000"/>
          <w:sz w:val="24"/>
          <w:szCs w:val="24"/>
          <w:highlight w:val="none"/>
        </w:rPr>
      </w:pPr>
    </w:p>
    <w:p>
      <w:pPr>
        <w:pageBreakBefore w:val="0"/>
        <w:kinsoku/>
        <w:wordWrap/>
        <w:overflowPunct/>
        <w:topLinePunct w:val="0"/>
        <w:bidi w:val="0"/>
        <w:spacing w:beforeAutospacing="0" w:afterAutospacing="0" w:line="400" w:lineRule="exact"/>
        <w:ind w:left="525" w:right="292" w:rightChars="139" w:hanging="63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注：投标人必须对应招标文件的第</w:t>
      </w:r>
      <w:r>
        <w:rPr>
          <w:rFonts w:hint="eastAsia" w:ascii="宋体" w:hAnsi="宋体" w:eastAsia="宋体" w:cs="宋体"/>
          <w:color w:val="000000"/>
          <w:sz w:val="24"/>
          <w:szCs w:val="24"/>
          <w:highlight w:val="none"/>
          <w:lang w:val="en-US" w:eastAsia="zh-CN"/>
        </w:rPr>
        <w:t>五</w:t>
      </w:r>
      <w:r>
        <w:rPr>
          <w:rFonts w:hint="eastAsia" w:ascii="宋体" w:hAnsi="宋体" w:eastAsia="宋体" w:cs="宋体"/>
          <w:color w:val="000000"/>
          <w:sz w:val="24"/>
          <w:szCs w:val="24"/>
          <w:highlight w:val="none"/>
        </w:rPr>
        <w:t>章“</w:t>
      </w:r>
      <w:r>
        <w:rPr>
          <w:rFonts w:hint="eastAsia" w:ascii="宋体" w:hAnsi="宋体" w:cs="宋体"/>
          <w:color w:val="000000"/>
          <w:sz w:val="24"/>
          <w:szCs w:val="24"/>
          <w:highlight w:val="none"/>
          <w:lang w:val="en-US" w:eastAsia="zh-CN"/>
        </w:rPr>
        <w:t>采购</w:t>
      </w:r>
      <w:r>
        <w:rPr>
          <w:rFonts w:hint="eastAsia" w:ascii="宋体" w:hAnsi="宋体" w:eastAsia="宋体" w:cs="宋体"/>
          <w:color w:val="000000"/>
          <w:sz w:val="24"/>
          <w:szCs w:val="24"/>
          <w:highlight w:val="none"/>
        </w:rPr>
        <w:t>需求书”的内容逐条响应。如有缺漏，缺漏项视同不符合招标要求。投标人响应采购需求应具体、明确，含糊不清、不确切或伪造、变造证明材料的，按照不完全响应或者完全不响应处理。构成提供虚假材料的，移送监管部门查处。</w:t>
      </w:r>
    </w:p>
    <w:p>
      <w:pPr>
        <w:pageBreakBefore w:val="0"/>
        <w:kinsoku/>
        <w:wordWrap/>
        <w:overflowPunct/>
        <w:topLinePunct w:val="0"/>
        <w:bidi w:val="0"/>
        <w:spacing w:beforeAutospacing="0" w:afterAutospacing="0" w:line="400" w:lineRule="exact"/>
        <w:rPr>
          <w:rFonts w:hint="eastAsia" w:ascii="宋体" w:hAnsi="宋体" w:eastAsia="宋体" w:cs="宋体"/>
          <w:color w:val="000000"/>
          <w:sz w:val="24"/>
          <w:szCs w:val="24"/>
          <w:highlight w:val="none"/>
        </w:rPr>
      </w:pPr>
    </w:p>
    <w:p>
      <w:pPr>
        <w:pageBreakBefore w:val="0"/>
        <w:kinsoku/>
        <w:wordWrap/>
        <w:overflowPunct/>
        <w:topLinePunct w:val="0"/>
        <w:bidi w:val="0"/>
        <w:spacing w:beforeAutospacing="0" w:afterAutospacing="0" w:line="400" w:lineRule="exac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投标单位：（单位公章）</w:t>
      </w:r>
    </w:p>
    <w:p>
      <w:pPr>
        <w:pageBreakBefore w:val="0"/>
        <w:kinsoku/>
        <w:wordWrap/>
        <w:overflowPunct/>
        <w:topLinePunct w:val="0"/>
        <w:bidi w:val="0"/>
        <w:spacing w:beforeAutospacing="0" w:afterAutospacing="0" w:line="400" w:lineRule="exac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法定代表人或授权代表人：（签字或盖章）</w:t>
      </w:r>
    </w:p>
    <w:p>
      <w:pPr>
        <w:pageBreakBefore w:val="0"/>
        <w:kinsoku/>
        <w:wordWrap/>
        <w:overflowPunct/>
        <w:topLinePunct w:val="0"/>
        <w:bidi w:val="0"/>
        <w:spacing w:beforeAutospacing="0" w:afterAutospacing="0" w:line="400" w:lineRule="exact"/>
        <w:rPr>
          <w:rFonts w:hint="eastAsia" w:ascii="宋体" w:hAnsi="宋体" w:eastAsia="宋体" w:cs="宋体"/>
          <w:color w:val="000000"/>
          <w:sz w:val="24"/>
          <w:szCs w:val="24"/>
          <w:highlight w:val="none"/>
        </w:rPr>
      </w:pPr>
    </w:p>
    <w:p>
      <w:pPr>
        <w:pageBreakBefore w:val="0"/>
        <w:kinsoku/>
        <w:wordWrap/>
        <w:overflowPunct/>
        <w:topLinePunct w:val="0"/>
        <w:bidi w:val="0"/>
        <w:spacing w:beforeAutospacing="0" w:afterAutospacing="0" w:line="400" w:lineRule="exact"/>
        <w:rPr>
          <w:rFonts w:hint="eastAsia" w:ascii="宋体" w:hAnsi="宋体" w:eastAsia="宋体" w:cs="宋体"/>
          <w:color w:val="000000"/>
          <w:sz w:val="24"/>
          <w:szCs w:val="24"/>
          <w:highlight w:val="none"/>
        </w:rPr>
      </w:pPr>
    </w:p>
    <w:p>
      <w:pPr>
        <w:pageBreakBefore w:val="0"/>
        <w:kinsoku/>
        <w:wordWrap/>
        <w:overflowPunct/>
        <w:topLinePunct w:val="0"/>
        <w:bidi w:val="0"/>
        <w:spacing w:beforeAutospacing="0" w:afterAutospacing="0" w:line="400" w:lineRule="exact"/>
        <w:jc w:val="right"/>
        <w:rPr>
          <w:rFonts w:hint="eastAsia" w:ascii="宋体" w:hAnsi="宋体" w:eastAsia="宋体" w:cs="宋体"/>
          <w:sz w:val="24"/>
          <w:szCs w:val="24"/>
        </w:rPr>
      </w:pPr>
      <w:r>
        <w:rPr>
          <w:rFonts w:hint="eastAsia" w:ascii="宋体" w:hAnsi="宋体" w:eastAsia="宋体" w:cs="宋体"/>
          <w:color w:val="000000"/>
          <w:sz w:val="24"/>
          <w:szCs w:val="24"/>
          <w:highlight w:val="none"/>
        </w:rPr>
        <w:t>日期：   年   月   日</w:t>
      </w:r>
    </w:p>
    <w:p>
      <w:pPr>
        <w:pStyle w:val="8"/>
        <w:rPr>
          <w:rFonts w:hint="eastAsia" w:ascii="宋体" w:hAnsi="宋体" w:eastAsia="宋体" w:cs="宋体"/>
          <w:sz w:val="24"/>
          <w:szCs w:val="24"/>
        </w:rPr>
      </w:pPr>
    </w:p>
    <w:p>
      <w:pPr>
        <w:pStyle w:val="8"/>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9投标人认为需要提供的其他资料</w:t>
      </w:r>
    </w:p>
    <w:p>
      <w:pPr>
        <w:pageBreakBefore w:val="0"/>
        <w:kinsoku/>
        <w:wordWrap/>
        <w:overflowPunct/>
        <w:topLinePunct w:val="0"/>
        <w:bidi w:val="0"/>
        <w:spacing w:line="400" w:lineRule="exact"/>
        <w:rPr>
          <w:rFonts w:hint="eastAsia" w:ascii="宋体" w:hAnsi="宋体" w:eastAsia="宋体" w:cs="宋体"/>
          <w:b/>
          <w:color w:val="000000"/>
          <w:sz w:val="24"/>
          <w:szCs w:val="24"/>
          <w:highlight w:val="none"/>
        </w:rPr>
      </w:pPr>
    </w:p>
    <w:sectPr>
      <w:footerReference r:id="rId12" w:type="default"/>
      <w:pgSz w:w="11906" w:h="16838"/>
      <w:pgMar w:top="1559" w:right="1416" w:bottom="1134" w:left="1560" w:header="851" w:footer="680"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0FDD2BC-EC4D-48DE-A850-6288DC612C0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Angsana New">
    <w:altName w:val="Times New Roman"/>
    <w:panose1 w:val="02020603050405020304"/>
    <w:charset w:val="00"/>
    <w:family w:val="roman"/>
    <w:pitch w:val="default"/>
    <w:sig w:usb0="00000000" w:usb1="00000000" w:usb2="00000000" w:usb3="00000000" w:csb0="0001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2" w:fontKey="{779DB8E7-AB1E-4C54-ACA8-6B77B5566B7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5201"/>
        <w:tab w:val="clear" w:pos="4153"/>
      </w:tabs>
      <w:ind w:firstLine="3960" w:firstLineChars="2200"/>
      <w:rPr>
        <w:rFonts w:hint="default" w:eastAsia="宋体"/>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posOffset>2584450</wp:posOffset>
              </wp:positionH>
              <wp:positionV relativeFrom="paragraph">
                <wp:posOffset>-180975</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3.5pt;margin-top:-14.25pt;height:144pt;width:144pt;mso-position-horizontal-relative:margin;mso-wrap-style:none;z-index:251661312;mso-width-relative:page;mso-height-relative:page;" filled="f" stroked="f" coordsize="21600,21600" o:gfxdata="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Hdz+d/ZAAAACwEAAA8AAAAAAAAAAQAgAAAAIgAAAGRycy9kb3ducmV2Lnht&#10;bFBLAQIUABQAAAAIAIdO4kDrADh6MQIAAGMEAAAOAAAAAAAAAAEAIAAAACgBAABkcnMvZTJvRG9j&#10;LnhtbFBLBQYAAAAABgAGAFkBAADL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46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69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69</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69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69</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5201"/>
        <w:tab w:val="clear" w:pos="4153"/>
      </w:tabs>
      <w:ind w:firstLine="3960" w:firstLineChars="2200"/>
      <w:rPr>
        <w:rFonts w:hint="default" w:eastAsia="宋体"/>
        <w:lang w:val="en-US" w:eastAsia="zh-CN"/>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71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71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69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69</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5201"/>
        <w:tab w:val="clear" w:pos="4153"/>
      </w:tabs>
      <w:ind w:firstLine="3960" w:firstLineChars="2200"/>
      <w:rPr>
        <w:rFonts w:hint="default" w:eastAsia="宋体"/>
        <w:lang w:val="en-US" w:eastAsia="zh-CN"/>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78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78</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69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69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C31F03"/>
    <w:multiLevelType w:val="singleLevel"/>
    <w:tmpl w:val="B2C31F03"/>
    <w:lvl w:ilvl="0" w:tentative="0">
      <w:start w:val="2"/>
      <w:numFmt w:val="decimal"/>
      <w:suff w:val="space"/>
      <w:lvlText w:val="%1."/>
      <w:lvlJc w:val="left"/>
    </w:lvl>
  </w:abstractNum>
  <w:abstractNum w:abstractNumId="1">
    <w:nsid w:val="0000000F"/>
    <w:multiLevelType w:val="multilevel"/>
    <w:tmpl w:val="0000000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2E16D48F"/>
    <w:multiLevelType w:val="singleLevel"/>
    <w:tmpl w:val="2E16D48F"/>
    <w:lvl w:ilvl="0" w:tentative="0">
      <w:start w:val="2"/>
      <w:numFmt w:val="decimal"/>
      <w:suff w:val="nothing"/>
      <w:lvlText w:val="（%1）"/>
      <w:lvlJc w:val="left"/>
    </w:lvl>
  </w:abstractNum>
  <w:abstractNum w:abstractNumId="3">
    <w:nsid w:val="511E2E1F"/>
    <w:multiLevelType w:val="multilevel"/>
    <w:tmpl w:val="511E2E1F"/>
    <w:lvl w:ilvl="0" w:tentative="0">
      <w:start w:val="25"/>
      <w:numFmt w:val="decimal"/>
      <w:lvlText w:val="%1"/>
      <w:lvlJc w:val="left"/>
      <w:pPr>
        <w:tabs>
          <w:tab w:val="left" w:pos="480"/>
        </w:tabs>
        <w:ind w:left="480" w:hanging="480"/>
      </w:pPr>
      <w:rPr>
        <w:rFonts w:hint="default"/>
      </w:rPr>
    </w:lvl>
    <w:lvl w:ilvl="1" w:tentative="0">
      <w:start w:val="6"/>
      <w:numFmt w:val="decimal"/>
      <w:lvlText w:val="%1.%2"/>
      <w:lvlJc w:val="left"/>
      <w:pPr>
        <w:tabs>
          <w:tab w:val="left" w:pos="480"/>
        </w:tabs>
        <w:ind w:left="480" w:hanging="48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
    <w:nsid w:val="57A9A282"/>
    <w:multiLevelType w:val="singleLevel"/>
    <w:tmpl w:val="57A9A282"/>
    <w:lvl w:ilvl="0" w:tentative="0">
      <w:start w:val="3"/>
      <w:numFmt w:val="decimal"/>
      <w:suff w:val="nothing"/>
      <w:lvlText w:val="%1、"/>
      <w:lvlJc w:val="left"/>
    </w:lvl>
  </w:abstractNum>
  <w:abstractNum w:abstractNumId="5">
    <w:nsid w:val="5920E9B3"/>
    <w:multiLevelType w:val="singleLevel"/>
    <w:tmpl w:val="5920E9B3"/>
    <w:lvl w:ilvl="0" w:tentative="0">
      <w:start w:val="1"/>
      <w:numFmt w:val="chineseCounting"/>
      <w:suff w:val="space"/>
      <w:lvlText w:val="第%1部分"/>
      <w:lvlJc w:val="left"/>
      <w:rPr>
        <w:rFonts w:hint="eastAsia"/>
      </w:rPr>
    </w:lvl>
  </w:abstractNum>
  <w:abstractNum w:abstractNumId="6">
    <w:nsid w:val="6EA2E228"/>
    <w:multiLevelType w:val="singleLevel"/>
    <w:tmpl w:val="6EA2E228"/>
    <w:lvl w:ilvl="0" w:tentative="0">
      <w:start w:val="1"/>
      <w:numFmt w:val="chineseCounting"/>
      <w:lvlText w:val="%1、"/>
      <w:lvlJc w:val="left"/>
      <w:rPr>
        <w:rFonts w:hint="eastAsia"/>
      </w:rPr>
    </w:lvl>
  </w:abstractNum>
  <w:abstractNum w:abstractNumId="7">
    <w:nsid w:val="7A2EA0CE"/>
    <w:multiLevelType w:val="singleLevel"/>
    <w:tmpl w:val="7A2EA0CE"/>
    <w:lvl w:ilvl="0" w:tentative="0">
      <w:start w:val="2"/>
      <w:numFmt w:val="chineseCounting"/>
      <w:suff w:val="nothing"/>
      <w:lvlText w:val="（%1）"/>
      <w:lvlJc w:val="left"/>
      <w:rPr>
        <w:rFonts w:hint="eastAsia"/>
      </w:rPr>
    </w:lvl>
  </w:abstractNum>
  <w:num w:numId="1">
    <w:abstractNumId w:val="2"/>
  </w:num>
  <w:num w:numId="2">
    <w:abstractNumId w:val="4"/>
  </w:num>
  <w:num w:numId="3">
    <w:abstractNumId w:val="7"/>
  </w:num>
  <w:num w:numId="4">
    <w:abstractNumId w:val="6"/>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2NDIwN2M2ODljYmVjN2ZmM2NiOGFkNDlmMDNhNzQifQ=="/>
  </w:docVars>
  <w:rsids>
    <w:rsidRoot w:val="595C61D5"/>
    <w:rsid w:val="000B44D3"/>
    <w:rsid w:val="000F6A86"/>
    <w:rsid w:val="00101AE9"/>
    <w:rsid w:val="00207A14"/>
    <w:rsid w:val="00264E69"/>
    <w:rsid w:val="002E01C1"/>
    <w:rsid w:val="0047478A"/>
    <w:rsid w:val="005D2854"/>
    <w:rsid w:val="00663916"/>
    <w:rsid w:val="008B7D2A"/>
    <w:rsid w:val="008C6C96"/>
    <w:rsid w:val="00930024"/>
    <w:rsid w:val="009A4CCE"/>
    <w:rsid w:val="009A7605"/>
    <w:rsid w:val="00A364B9"/>
    <w:rsid w:val="00A52A4E"/>
    <w:rsid w:val="00AB7A64"/>
    <w:rsid w:val="00B20DF2"/>
    <w:rsid w:val="00CD79DA"/>
    <w:rsid w:val="00CF2BFF"/>
    <w:rsid w:val="00D47748"/>
    <w:rsid w:val="00D64AE1"/>
    <w:rsid w:val="00E100E8"/>
    <w:rsid w:val="00E32D5A"/>
    <w:rsid w:val="00EB60B2"/>
    <w:rsid w:val="00EC00DA"/>
    <w:rsid w:val="00F22F9D"/>
    <w:rsid w:val="0102159D"/>
    <w:rsid w:val="01101675"/>
    <w:rsid w:val="011473B7"/>
    <w:rsid w:val="01176EA7"/>
    <w:rsid w:val="01347A59"/>
    <w:rsid w:val="013730A5"/>
    <w:rsid w:val="01395070"/>
    <w:rsid w:val="01415CD2"/>
    <w:rsid w:val="01487061"/>
    <w:rsid w:val="014A102B"/>
    <w:rsid w:val="015123B9"/>
    <w:rsid w:val="01545A05"/>
    <w:rsid w:val="0159126E"/>
    <w:rsid w:val="016112EA"/>
    <w:rsid w:val="01675739"/>
    <w:rsid w:val="01730582"/>
    <w:rsid w:val="01763F6E"/>
    <w:rsid w:val="017E6677"/>
    <w:rsid w:val="01995B0E"/>
    <w:rsid w:val="01AA357A"/>
    <w:rsid w:val="01B3097E"/>
    <w:rsid w:val="01C54B55"/>
    <w:rsid w:val="01CC2BB3"/>
    <w:rsid w:val="01CD4D28"/>
    <w:rsid w:val="01DF79C5"/>
    <w:rsid w:val="01E557E7"/>
    <w:rsid w:val="01EA636A"/>
    <w:rsid w:val="01F66C28"/>
    <w:rsid w:val="01FD3617"/>
    <w:rsid w:val="02035593"/>
    <w:rsid w:val="02105DD0"/>
    <w:rsid w:val="021A0C65"/>
    <w:rsid w:val="02315AF4"/>
    <w:rsid w:val="024B505A"/>
    <w:rsid w:val="025D08EA"/>
    <w:rsid w:val="028A501C"/>
    <w:rsid w:val="028D5673"/>
    <w:rsid w:val="02B0310F"/>
    <w:rsid w:val="02BF3353"/>
    <w:rsid w:val="02C00827"/>
    <w:rsid w:val="02C1531D"/>
    <w:rsid w:val="02C31095"/>
    <w:rsid w:val="02D36DFE"/>
    <w:rsid w:val="02DA4630"/>
    <w:rsid w:val="02EB264D"/>
    <w:rsid w:val="02ED7EC0"/>
    <w:rsid w:val="03105C95"/>
    <w:rsid w:val="032A4C70"/>
    <w:rsid w:val="03321EFC"/>
    <w:rsid w:val="033B50CF"/>
    <w:rsid w:val="033D2D9E"/>
    <w:rsid w:val="03435D32"/>
    <w:rsid w:val="03443858"/>
    <w:rsid w:val="03587717"/>
    <w:rsid w:val="035A09FF"/>
    <w:rsid w:val="0365214C"/>
    <w:rsid w:val="036C2D55"/>
    <w:rsid w:val="03710AF1"/>
    <w:rsid w:val="03722553"/>
    <w:rsid w:val="03907D82"/>
    <w:rsid w:val="03AA7B5F"/>
    <w:rsid w:val="03AB423B"/>
    <w:rsid w:val="03AD5E0D"/>
    <w:rsid w:val="03AE3AF3"/>
    <w:rsid w:val="03B37E16"/>
    <w:rsid w:val="03B76654"/>
    <w:rsid w:val="03FD011D"/>
    <w:rsid w:val="0430667E"/>
    <w:rsid w:val="0434636C"/>
    <w:rsid w:val="04390EE3"/>
    <w:rsid w:val="043A35D9"/>
    <w:rsid w:val="043D11AF"/>
    <w:rsid w:val="04471852"/>
    <w:rsid w:val="0452341B"/>
    <w:rsid w:val="047A39D5"/>
    <w:rsid w:val="047C774D"/>
    <w:rsid w:val="049525BD"/>
    <w:rsid w:val="049D615B"/>
    <w:rsid w:val="04B65370"/>
    <w:rsid w:val="04B9536B"/>
    <w:rsid w:val="04BC5D9C"/>
    <w:rsid w:val="04BE01A4"/>
    <w:rsid w:val="04BF763A"/>
    <w:rsid w:val="04C609C8"/>
    <w:rsid w:val="04CE63E3"/>
    <w:rsid w:val="04DC643E"/>
    <w:rsid w:val="04E96190"/>
    <w:rsid w:val="04FF3EDA"/>
    <w:rsid w:val="051A712F"/>
    <w:rsid w:val="0520520E"/>
    <w:rsid w:val="05243941"/>
    <w:rsid w:val="052676B9"/>
    <w:rsid w:val="053022E6"/>
    <w:rsid w:val="05340028"/>
    <w:rsid w:val="053D2A70"/>
    <w:rsid w:val="054162A1"/>
    <w:rsid w:val="054F6C10"/>
    <w:rsid w:val="055C757F"/>
    <w:rsid w:val="05663F59"/>
    <w:rsid w:val="05822D1E"/>
    <w:rsid w:val="058D14E6"/>
    <w:rsid w:val="058D598A"/>
    <w:rsid w:val="058F525E"/>
    <w:rsid w:val="059B00A7"/>
    <w:rsid w:val="05AB7BBE"/>
    <w:rsid w:val="05B47256"/>
    <w:rsid w:val="05BE3D95"/>
    <w:rsid w:val="05C173E2"/>
    <w:rsid w:val="05C50C80"/>
    <w:rsid w:val="05C759FB"/>
    <w:rsid w:val="05C80770"/>
    <w:rsid w:val="05C84C14"/>
    <w:rsid w:val="05D47115"/>
    <w:rsid w:val="05E93075"/>
    <w:rsid w:val="05F41565"/>
    <w:rsid w:val="06120B6F"/>
    <w:rsid w:val="061340E1"/>
    <w:rsid w:val="0616772D"/>
    <w:rsid w:val="06255FDE"/>
    <w:rsid w:val="0633208D"/>
    <w:rsid w:val="06497B03"/>
    <w:rsid w:val="068505F6"/>
    <w:rsid w:val="069625D8"/>
    <w:rsid w:val="069A3EBB"/>
    <w:rsid w:val="069F5975"/>
    <w:rsid w:val="06DE2BA7"/>
    <w:rsid w:val="06DF5865"/>
    <w:rsid w:val="06E3363B"/>
    <w:rsid w:val="06E8731C"/>
    <w:rsid w:val="06F9319A"/>
    <w:rsid w:val="06FF745C"/>
    <w:rsid w:val="07007F1F"/>
    <w:rsid w:val="07101279"/>
    <w:rsid w:val="07294629"/>
    <w:rsid w:val="073F077E"/>
    <w:rsid w:val="074862E0"/>
    <w:rsid w:val="0757624F"/>
    <w:rsid w:val="076369A2"/>
    <w:rsid w:val="076646E5"/>
    <w:rsid w:val="077961C6"/>
    <w:rsid w:val="077C7A64"/>
    <w:rsid w:val="0788465B"/>
    <w:rsid w:val="07930A17"/>
    <w:rsid w:val="07B23486"/>
    <w:rsid w:val="07CB33CC"/>
    <w:rsid w:val="07CB4548"/>
    <w:rsid w:val="07D07A84"/>
    <w:rsid w:val="07DA05C2"/>
    <w:rsid w:val="07DE0F2D"/>
    <w:rsid w:val="07EA2C20"/>
    <w:rsid w:val="07EB460E"/>
    <w:rsid w:val="07F96F2F"/>
    <w:rsid w:val="07FF3A37"/>
    <w:rsid w:val="08145EEF"/>
    <w:rsid w:val="08202AE5"/>
    <w:rsid w:val="08397703"/>
    <w:rsid w:val="086A485C"/>
    <w:rsid w:val="08884D84"/>
    <w:rsid w:val="08920B48"/>
    <w:rsid w:val="08964B56"/>
    <w:rsid w:val="08C571E9"/>
    <w:rsid w:val="08D21C65"/>
    <w:rsid w:val="08D538D0"/>
    <w:rsid w:val="08D86F1C"/>
    <w:rsid w:val="08E0380F"/>
    <w:rsid w:val="09045F63"/>
    <w:rsid w:val="09287EA3"/>
    <w:rsid w:val="092959CA"/>
    <w:rsid w:val="093700E7"/>
    <w:rsid w:val="094F0649"/>
    <w:rsid w:val="09736C45"/>
    <w:rsid w:val="097A4477"/>
    <w:rsid w:val="09947FFE"/>
    <w:rsid w:val="099512B1"/>
    <w:rsid w:val="0995305F"/>
    <w:rsid w:val="09992B4F"/>
    <w:rsid w:val="09A45050"/>
    <w:rsid w:val="09AF5ECF"/>
    <w:rsid w:val="09B90AFC"/>
    <w:rsid w:val="09C13E54"/>
    <w:rsid w:val="09D26061"/>
    <w:rsid w:val="09FC4E8C"/>
    <w:rsid w:val="09FE227D"/>
    <w:rsid w:val="0A03621B"/>
    <w:rsid w:val="0A272298"/>
    <w:rsid w:val="0A2F3E81"/>
    <w:rsid w:val="0A36214C"/>
    <w:rsid w:val="0A424F95"/>
    <w:rsid w:val="0A740EC6"/>
    <w:rsid w:val="0A783C8C"/>
    <w:rsid w:val="0A7D7D7B"/>
    <w:rsid w:val="0A8A5906"/>
    <w:rsid w:val="0A960E3D"/>
    <w:rsid w:val="0AA07F0D"/>
    <w:rsid w:val="0AAC0660"/>
    <w:rsid w:val="0AB6328D"/>
    <w:rsid w:val="0AD62BFC"/>
    <w:rsid w:val="0B3F7726"/>
    <w:rsid w:val="0B444D3D"/>
    <w:rsid w:val="0B4D3BF1"/>
    <w:rsid w:val="0B522679"/>
    <w:rsid w:val="0B682AB4"/>
    <w:rsid w:val="0B6E3B68"/>
    <w:rsid w:val="0B703A4D"/>
    <w:rsid w:val="0B756CA4"/>
    <w:rsid w:val="0B867103"/>
    <w:rsid w:val="0B884C29"/>
    <w:rsid w:val="0B8F6344"/>
    <w:rsid w:val="0B910C45"/>
    <w:rsid w:val="0B941752"/>
    <w:rsid w:val="0B98567B"/>
    <w:rsid w:val="0BA15CEB"/>
    <w:rsid w:val="0BC35C62"/>
    <w:rsid w:val="0BC67500"/>
    <w:rsid w:val="0BD240F7"/>
    <w:rsid w:val="0BF503CF"/>
    <w:rsid w:val="0C022F84"/>
    <w:rsid w:val="0C0A1AE2"/>
    <w:rsid w:val="0C0E42CE"/>
    <w:rsid w:val="0C152235"/>
    <w:rsid w:val="0C233289"/>
    <w:rsid w:val="0C2C1FAA"/>
    <w:rsid w:val="0C346B5F"/>
    <w:rsid w:val="0C393981"/>
    <w:rsid w:val="0C3D11EC"/>
    <w:rsid w:val="0C4D5E73"/>
    <w:rsid w:val="0C4E3306"/>
    <w:rsid w:val="0C4F5747"/>
    <w:rsid w:val="0C526FE5"/>
    <w:rsid w:val="0C6311F3"/>
    <w:rsid w:val="0C6D3E1F"/>
    <w:rsid w:val="0C7305BB"/>
    <w:rsid w:val="0C78199D"/>
    <w:rsid w:val="0C7B478E"/>
    <w:rsid w:val="0C814A8D"/>
    <w:rsid w:val="0C8A677F"/>
    <w:rsid w:val="0C8D7232"/>
    <w:rsid w:val="0C9670E0"/>
    <w:rsid w:val="0CA10943"/>
    <w:rsid w:val="0CA64379"/>
    <w:rsid w:val="0CAA5073"/>
    <w:rsid w:val="0CAE2E86"/>
    <w:rsid w:val="0CC7352F"/>
    <w:rsid w:val="0CC954FA"/>
    <w:rsid w:val="0CCD28F4"/>
    <w:rsid w:val="0CFB142B"/>
    <w:rsid w:val="0D0C4A71"/>
    <w:rsid w:val="0D0E437B"/>
    <w:rsid w:val="0D0E73B0"/>
    <w:rsid w:val="0D0F1F6B"/>
    <w:rsid w:val="0D1A3FA7"/>
    <w:rsid w:val="0D1A5D55"/>
    <w:rsid w:val="0D3130BF"/>
    <w:rsid w:val="0D3C216F"/>
    <w:rsid w:val="0D3D37F2"/>
    <w:rsid w:val="0D3D766C"/>
    <w:rsid w:val="0D3F2EDF"/>
    <w:rsid w:val="0D533015"/>
    <w:rsid w:val="0D7116ED"/>
    <w:rsid w:val="0D755681"/>
    <w:rsid w:val="0D896A37"/>
    <w:rsid w:val="0D8C4B4D"/>
    <w:rsid w:val="0DA442E1"/>
    <w:rsid w:val="0DBF4B4E"/>
    <w:rsid w:val="0DC932D7"/>
    <w:rsid w:val="0DCE08EE"/>
    <w:rsid w:val="0DD52A00"/>
    <w:rsid w:val="0DF57B00"/>
    <w:rsid w:val="0DFA0EFB"/>
    <w:rsid w:val="0DFE4D0E"/>
    <w:rsid w:val="0E0D7668"/>
    <w:rsid w:val="0E172295"/>
    <w:rsid w:val="0E210EF6"/>
    <w:rsid w:val="0E2A646C"/>
    <w:rsid w:val="0E3A7AA7"/>
    <w:rsid w:val="0E4868F2"/>
    <w:rsid w:val="0E552DBD"/>
    <w:rsid w:val="0E63197E"/>
    <w:rsid w:val="0E804F97"/>
    <w:rsid w:val="0E963048"/>
    <w:rsid w:val="0EAD49A7"/>
    <w:rsid w:val="0ED308B1"/>
    <w:rsid w:val="0EE26D46"/>
    <w:rsid w:val="0EF854C5"/>
    <w:rsid w:val="0F077513"/>
    <w:rsid w:val="0F130BF4"/>
    <w:rsid w:val="0F1669F0"/>
    <w:rsid w:val="0F29227F"/>
    <w:rsid w:val="0F4075C9"/>
    <w:rsid w:val="0F4470B9"/>
    <w:rsid w:val="0F461C36"/>
    <w:rsid w:val="0F491AF8"/>
    <w:rsid w:val="0F4B669A"/>
    <w:rsid w:val="0F5816C1"/>
    <w:rsid w:val="0F706100"/>
    <w:rsid w:val="0F841BAC"/>
    <w:rsid w:val="0F8D7A59"/>
    <w:rsid w:val="0F8E47D8"/>
    <w:rsid w:val="0F9A1E23"/>
    <w:rsid w:val="0F9B5E73"/>
    <w:rsid w:val="0FC81CD8"/>
    <w:rsid w:val="0FE31D1E"/>
    <w:rsid w:val="0FE4264A"/>
    <w:rsid w:val="0FF52AA9"/>
    <w:rsid w:val="100920B1"/>
    <w:rsid w:val="103A0AE7"/>
    <w:rsid w:val="103A3261"/>
    <w:rsid w:val="103C4234"/>
    <w:rsid w:val="10523A58"/>
    <w:rsid w:val="10545A22"/>
    <w:rsid w:val="10607B05"/>
    <w:rsid w:val="10616BA3"/>
    <w:rsid w:val="106D43EE"/>
    <w:rsid w:val="10771710"/>
    <w:rsid w:val="10784C45"/>
    <w:rsid w:val="108B0D18"/>
    <w:rsid w:val="108F3EB7"/>
    <w:rsid w:val="10A83678"/>
    <w:rsid w:val="10BA2700"/>
    <w:rsid w:val="10C3199C"/>
    <w:rsid w:val="10CF1430"/>
    <w:rsid w:val="10D66437"/>
    <w:rsid w:val="10DD4308"/>
    <w:rsid w:val="10F1501F"/>
    <w:rsid w:val="10FE598E"/>
    <w:rsid w:val="110A68BF"/>
    <w:rsid w:val="110E3E23"/>
    <w:rsid w:val="11102EB9"/>
    <w:rsid w:val="11157B28"/>
    <w:rsid w:val="112F21F4"/>
    <w:rsid w:val="11374628"/>
    <w:rsid w:val="114C7480"/>
    <w:rsid w:val="1154735C"/>
    <w:rsid w:val="116F4196"/>
    <w:rsid w:val="1198193E"/>
    <w:rsid w:val="11997B02"/>
    <w:rsid w:val="11A402E3"/>
    <w:rsid w:val="11A53328"/>
    <w:rsid w:val="11A958FA"/>
    <w:rsid w:val="11B322D4"/>
    <w:rsid w:val="11CC3396"/>
    <w:rsid w:val="11D34725"/>
    <w:rsid w:val="11FE3E97"/>
    <w:rsid w:val="12002EAA"/>
    <w:rsid w:val="12096398"/>
    <w:rsid w:val="121D3BF2"/>
    <w:rsid w:val="12260E20"/>
    <w:rsid w:val="12374CB3"/>
    <w:rsid w:val="12491A73"/>
    <w:rsid w:val="125C296C"/>
    <w:rsid w:val="12631F4C"/>
    <w:rsid w:val="126A32DB"/>
    <w:rsid w:val="126F08F1"/>
    <w:rsid w:val="127203CB"/>
    <w:rsid w:val="12891287"/>
    <w:rsid w:val="128B3251"/>
    <w:rsid w:val="129245E0"/>
    <w:rsid w:val="12B70B53"/>
    <w:rsid w:val="12BB58E4"/>
    <w:rsid w:val="12CD7BDC"/>
    <w:rsid w:val="12CF1390"/>
    <w:rsid w:val="12DE7274"/>
    <w:rsid w:val="12EF70B7"/>
    <w:rsid w:val="13006247"/>
    <w:rsid w:val="13054DB2"/>
    <w:rsid w:val="131274CE"/>
    <w:rsid w:val="13135720"/>
    <w:rsid w:val="13367661"/>
    <w:rsid w:val="133B4C77"/>
    <w:rsid w:val="133D454B"/>
    <w:rsid w:val="13500FC7"/>
    <w:rsid w:val="13510A26"/>
    <w:rsid w:val="136C6BDF"/>
    <w:rsid w:val="13806FF7"/>
    <w:rsid w:val="1399374C"/>
    <w:rsid w:val="139C59AD"/>
    <w:rsid w:val="13A20852"/>
    <w:rsid w:val="13A91BE1"/>
    <w:rsid w:val="13A97E33"/>
    <w:rsid w:val="13B80076"/>
    <w:rsid w:val="13BD2301"/>
    <w:rsid w:val="13D41AA3"/>
    <w:rsid w:val="13E2362F"/>
    <w:rsid w:val="13F05A62"/>
    <w:rsid w:val="13F306E3"/>
    <w:rsid w:val="13F37300"/>
    <w:rsid w:val="14060AFB"/>
    <w:rsid w:val="14164D9C"/>
    <w:rsid w:val="14432035"/>
    <w:rsid w:val="144638D4"/>
    <w:rsid w:val="145A1E9B"/>
    <w:rsid w:val="145A5736"/>
    <w:rsid w:val="147B3986"/>
    <w:rsid w:val="14903E6E"/>
    <w:rsid w:val="14A34882"/>
    <w:rsid w:val="14A66120"/>
    <w:rsid w:val="14A81E98"/>
    <w:rsid w:val="14B6441E"/>
    <w:rsid w:val="14C0130D"/>
    <w:rsid w:val="14C31152"/>
    <w:rsid w:val="14CD7B51"/>
    <w:rsid w:val="14EC4CF7"/>
    <w:rsid w:val="14ED3D4F"/>
    <w:rsid w:val="150572EB"/>
    <w:rsid w:val="150A2B53"/>
    <w:rsid w:val="151412DC"/>
    <w:rsid w:val="15180BB5"/>
    <w:rsid w:val="151E6A48"/>
    <w:rsid w:val="15204125"/>
    <w:rsid w:val="15284DA2"/>
    <w:rsid w:val="152A2598"/>
    <w:rsid w:val="153100E0"/>
    <w:rsid w:val="1536087D"/>
    <w:rsid w:val="153D5D57"/>
    <w:rsid w:val="1542618C"/>
    <w:rsid w:val="15521054"/>
    <w:rsid w:val="15605210"/>
    <w:rsid w:val="15916DD0"/>
    <w:rsid w:val="159F4E9C"/>
    <w:rsid w:val="15A5228D"/>
    <w:rsid w:val="15A703A2"/>
    <w:rsid w:val="15B84EEB"/>
    <w:rsid w:val="15BC38F3"/>
    <w:rsid w:val="15BD1974"/>
    <w:rsid w:val="15D60C87"/>
    <w:rsid w:val="15E46F61"/>
    <w:rsid w:val="15F66C34"/>
    <w:rsid w:val="16161084"/>
    <w:rsid w:val="161F6F3A"/>
    <w:rsid w:val="16210154"/>
    <w:rsid w:val="162163A6"/>
    <w:rsid w:val="1633086D"/>
    <w:rsid w:val="1634734C"/>
    <w:rsid w:val="163C4DDE"/>
    <w:rsid w:val="164476E2"/>
    <w:rsid w:val="1647748F"/>
    <w:rsid w:val="16534086"/>
    <w:rsid w:val="16677B31"/>
    <w:rsid w:val="1683496B"/>
    <w:rsid w:val="16834DE7"/>
    <w:rsid w:val="16842491"/>
    <w:rsid w:val="168B1A72"/>
    <w:rsid w:val="16AD19E8"/>
    <w:rsid w:val="16B94831"/>
    <w:rsid w:val="16CD5BE6"/>
    <w:rsid w:val="16E91643"/>
    <w:rsid w:val="16F2564D"/>
    <w:rsid w:val="1707127F"/>
    <w:rsid w:val="170F4451"/>
    <w:rsid w:val="17181F24"/>
    <w:rsid w:val="1726179A"/>
    <w:rsid w:val="17377504"/>
    <w:rsid w:val="173C0FBE"/>
    <w:rsid w:val="174B0F64"/>
    <w:rsid w:val="174D04CC"/>
    <w:rsid w:val="174F2A9F"/>
    <w:rsid w:val="175956CC"/>
    <w:rsid w:val="17790F56"/>
    <w:rsid w:val="177B5642"/>
    <w:rsid w:val="178564C1"/>
    <w:rsid w:val="17B34241"/>
    <w:rsid w:val="17C214C3"/>
    <w:rsid w:val="17C55432"/>
    <w:rsid w:val="17C7104C"/>
    <w:rsid w:val="17CC4C05"/>
    <w:rsid w:val="17D375A5"/>
    <w:rsid w:val="17FE0021"/>
    <w:rsid w:val="18382622"/>
    <w:rsid w:val="18511AC3"/>
    <w:rsid w:val="18560AD3"/>
    <w:rsid w:val="185F4129"/>
    <w:rsid w:val="186E164B"/>
    <w:rsid w:val="187138F5"/>
    <w:rsid w:val="188E75F7"/>
    <w:rsid w:val="18920086"/>
    <w:rsid w:val="18953CCD"/>
    <w:rsid w:val="189E7349"/>
    <w:rsid w:val="18A522A1"/>
    <w:rsid w:val="18AD3F21"/>
    <w:rsid w:val="18B0756E"/>
    <w:rsid w:val="18B2778A"/>
    <w:rsid w:val="18B3705E"/>
    <w:rsid w:val="18CD6371"/>
    <w:rsid w:val="18D314AE"/>
    <w:rsid w:val="18E611E1"/>
    <w:rsid w:val="18E90CD1"/>
    <w:rsid w:val="18EB2C9C"/>
    <w:rsid w:val="18EC3602"/>
    <w:rsid w:val="19202945"/>
    <w:rsid w:val="193208CA"/>
    <w:rsid w:val="19373188"/>
    <w:rsid w:val="19466124"/>
    <w:rsid w:val="19552A86"/>
    <w:rsid w:val="19597C05"/>
    <w:rsid w:val="19696E0C"/>
    <w:rsid w:val="198D78AF"/>
    <w:rsid w:val="19940776"/>
    <w:rsid w:val="199E1ABC"/>
    <w:rsid w:val="199E7D0E"/>
    <w:rsid w:val="19AC242B"/>
    <w:rsid w:val="19C57049"/>
    <w:rsid w:val="19EA2F53"/>
    <w:rsid w:val="19F33BB6"/>
    <w:rsid w:val="19F618F8"/>
    <w:rsid w:val="1A192827"/>
    <w:rsid w:val="1A352D11"/>
    <w:rsid w:val="1A385A6D"/>
    <w:rsid w:val="1A4C68B1"/>
    <w:rsid w:val="1A4E5290"/>
    <w:rsid w:val="1A584361"/>
    <w:rsid w:val="1A5944BB"/>
    <w:rsid w:val="1A5B5BFF"/>
    <w:rsid w:val="1A5F2FF9"/>
    <w:rsid w:val="1A642D06"/>
    <w:rsid w:val="1A750A6F"/>
    <w:rsid w:val="1A772A39"/>
    <w:rsid w:val="1A807414"/>
    <w:rsid w:val="1A8B2040"/>
    <w:rsid w:val="1A8D59CC"/>
    <w:rsid w:val="1A913318"/>
    <w:rsid w:val="1AB5530F"/>
    <w:rsid w:val="1AB86BAD"/>
    <w:rsid w:val="1AC775D5"/>
    <w:rsid w:val="1ACB4722"/>
    <w:rsid w:val="1AE45BF4"/>
    <w:rsid w:val="1AE6196C"/>
    <w:rsid w:val="1AEE0821"/>
    <w:rsid w:val="1AF5395E"/>
    <w:rsid w:val="1AF9438C"/>
    <w:rsid w:val="1B010CBE"/>
    <w:rsid w:val="1B041DF3"/>
    <w:rsid w:val="1B0E67CD"/>
    <w:rsid w:val="1B1A121B"/>
    <w:rsid w:val="1B274CD4"/>
    <w:rsid w:val="1B2C7D7E"/>
    <w:rsid w:val="1B4E3C41"/>
    <w:rsid w:val="1B593EEC"/>
    <w:rsid w:val="1B5C39DD"/>
    <w:rsid w:val="1B632FBD"/>
    <w:rsid w:val="1B6771DF"/>
    <w:rsid w:val="1B7A20B5"/>
    <w:rsid w:val="1B7D50C4"/>
    <w:rsid w:val="1B7F1479"/>
    <w:rsid w:val="1B862808"/>
    <w:rsid w:val="1B8705E3"/>
    <w:rsid w:val="1B8847D2"/>
    <w:rsid w:val="1B952124"/>
    <w:rsid w:val="1B98062B"/>
    <w:rsid w:val="1BB235FD"/>
    <w:rsid w:val="1BD21EF1"/>
    <w:rsid w:val="1BD25A4D"/>
    <w:rsid w:val="1BDB39AC"/>
    <w:rsid w:val="1BDC68CC"/>
    <w:rsid w:val="1BF400B9"/>
    <w:rsid w:val="1BF704FB"/>
    <w:rsid w:val="1C27118C"/>
    <w:rsid w:val="1C36128C"/>
    <w:rsid w:val="1C3D380E"/>
    <w:rsid w:val="1C3F4D1E"/>
    <w:rsid w:val="1C3F79B0"/>
    <w:rsid w:val="1C444B9D"/>
    <w:rsid w:val="1C4E1E20"/>
    <w:rsid w:val="1C531AF6"/>
    <w:rsid w:val="1C6256C4"/>
    <w:rsid w:val="1C71170A"/>
    <w:rsid w:val="1C766D20"/>
    <w:rsid w:val="1CA74430"/>
    <w:rsid w:val="1CB00AFB"/>
    <w:rsid w:val="1CBA17E0"/>
    <w:rsid w:val="1CCE26B8"/>
    <w:rsid w:val="1CD06430"/>
    <w:rsid w:val="1CD145B6"/>
    <w:rsid w:val="1CDD0537"/>
    <w:rsid w:val="1CEB2DB3"/>
    <w:rsid w:val="1CEF491D"/>
    <w:rsid w:val="1CF33ECD"/>
    <w:rsid w:val="1CF5183B"/>
    <w:rsid w:val="1CFB2B21"/>
    <w:rsid w:val="1D181B85"/>
    <w:rsid w:val="1D1A58FD"/>
    <w:rsid w:val="1D264AB0"/>
    <w:rsid w:val="1D2B7B0B"/>
    <w:rsid w:val="1D320E99"/>
    <w:rsid w:val="1D3369BF"/>
    <w:rsid w:val="1D444728"/>
    <w:rsid w:val="1D465BD9"/>
    <w:rsid w:val="1D4D4A5F"/>
    <w:rsid w:val="1D4D5CD3"/>
    <w:rsid w:val="1D70551D"/>
    <w:rsid w:val="1D721295"/>
    <w:rsid w:val="1D813BCE"/>
    <w:rsid w:val="1D8F0099"/>
    <w:rsid w:val="1D942EB9"/>
    <w:rsid w:val="1D9751A0"/>
    <w:rsid w:val="1D9A07EC"/>
    <w:rsid w:val="1D9C27B6"/>
    <w:rsid w:val="1DA027CC"/>
    <w:rsid w:val="1DCA3E7C"/>
    <w:rsid w:val="1DCF493A"/>
    <w:rsid w:val="1DE859FC"/>
    <w:rsid w:val="1DEC54EC"/>
    <w:rsid w:val="1DF919B7"/>
    <w:rsid w:val="1DFD22D8"/>
    <w:rsid w:val="1E0B5930"/>
    <w:rsid w:val="1E2D5F4A"/>
    <w:rsid w:val="1E324D9F"/>
    <w:rsid w:val="1E335A32"/>
    <w:rsid w:val="1E380731"/>
    <w:rsid w:val="1E3B1FCF"/>
    <w:rsid w:val="1E430E84"/>
    <w:rsid w:val="1E434545"/>
    <w:rsid w:val="1E4827C0"/>
    <w:rsid w:val="1E594C26"/>
    <w:rsid w:val="1E5E66C1"/>
    <w:rsid w:val="1E5E6DE2"/>
    <w:rsid w:val="1E6D7CAF"/>
    <w:rsid w:val="1E6E4153"/>
    <w:rsid w:val="1E7679C4"/>
    <w:rsid w:val="1E7775FF"/>
    <w:rsid w:val="1E7E1ED8"/>
    <w:rsid w:val="1E7E516C"/>
    <w:rsid w:val="1E82232E"/>
    <w:rsid w:val="1E8A6AB3"/>
    <w:rsid w:val="1E984D2C"/>
    <w:rsid w:val="1EA2204E"/>
    <w:rsid w:val="1EBF675C"/>
    <w:rsid w:val="1EC5773A"/>
    <w:rsid w:val="1ECD294E"/>
    <w:rsid w:val="1ED16490"/>
    <w:rsid w:val="1ED33FB6"/>
    <w:rsid w:val="1EE64774"/>
    <w:rsid w:val="1EE7458B"/>
    <w:rsid w:val="1EF13E7C"/>
    <w:rsid w:val="1F095B9C"/>
    <w:rsid w:val="1F0B3750"/>
    <w:rsid w:val="1F0D396C"/>
    <w:rsid w:val="1F170DBA"/>
    <w:rsid w:val="1F394761"/>
    <w:rsid w:val="1F43738D"/>
    <w:rsid w:val="1F5A5233"/>
    <w:rsid w:val="1F642E60"/>
    <w:rsid w:val="1F7A6B27"/>
    <w:rsid w:val="1F813A12"/>
    <w:rsid w:val="1F855CC1"/>
    <w:rsid w:val="1F882FF2"/>
    <w:rsid w:val="1F925C1F"/>
    <w:rsid w:val="1F9279CD"/>
    <w:rsid w:val="1F9D4872"/>
    <w:rsid w:val="1FAA740D"/>
    <w:rsid w:val="1FAF67D1"/>
    <w:rsid w:val="1FB5190D"/>
    <w:rsid w:val="1FBA5176"/>
    <w:rsid w:val="1FBA6F24"/>
    <w:rsid w:val="1FC71331"/>
    <w:rsid w:val="1FCF7AFB"/>
    <w:rsid w:val="1FF16DE9"/>
    <w:rsid w:val="20014C4D"/>
    <w:rsid w:val="20052895"/>
    <w:rsid w:val="20062169"/>
    <w:rsid w:val="20297BF0"/>
    <w:rsid w:val="203F19EB"/>
    <w:rsid w:val="205E1FA5"/>
    <w:rsid w:val="20601879"/>
    <w:rsid w:val="207E43F5"/>
    <w:rsid w:val="209239FD"/>
    <w:rsid w:val="20A852BE"/>
    <w:rsid w:val="20AD0837"/>
    <w:rsid w:val="20B13C44"/>
    <w:rsid w:val="20B83463"/>
    <w:rsid w:val="20C43317"/>
    <w:rsid w:val="20D64231"/>
    <w:rsid w:val="20DE6C42"/>
    <w:rsid w:val="20EA3839"/>
    <w:rsid w:val="20F6042F"/>
    <w:rsid w:val="20F85819"/>
    <w:rsid w:val="21022930"/>
    <w:rsid w:val="21162880"/>
    <w:rsid w:val="213A47C0"/>
    <w:rsid w:val="2149055F"/>
    <w:rsid w:val="21555156"/>
    <w:rsid w:val="215A6137"/>
    <w:rsid w:val="215A6C10"/>
    <w:rsid w:val="216C735A"/>
    <w:rsid w:val="21751354"/>
    <w:rsid w:val="21793170"/>
    <w:rsid w:val="217C6B87"/>
    <w:rsid w:val="218D6331"/>
    <w:rsid w:val="219C14EA"/>
    <w:rsid w:val="219C4B33"/>
    <w:rsid w:val="21AA0945"/>
    <w:rsid w:val="21B46321"/>
    <w:rsid w:val="21BE719F"/>
    <w:rsid w:val="21C81DCC"/>
    <w:rsid w:val="21C85928"/>
    <w:rsid w:val="21CD2F3E"/>
    <w:rsid w:val="21DF2C72"/>
    <w:rsid w:val="21EF0395"/>
    <w:rsid w:val="21F726B1"/>
    <w:rsid w:val="22192627"/>
    <w:rsid w:val="22196184"/>
    <w:rsid w:val="221C5C74"/>
    <w:rsid w:val="22244B28"/>
    <w:rsid w:val="222F59A7"/>
    <w:rsid w:val="22315FE8"/>
    <w:rsid w:val="22327245"/>
    <w:rsid w:val="223363F5"/>
    <w:rsid w:val="224F6049"/>
    <w:rsid w:val="22543660"/>
    <w:rsid w:val="225B2099"/>
    <w:rsid w:val="225D56AD"/>
    <w:rsid w:val="22857CBD"/>
    <w:rsid w:val="22943A5C"/>
    <w:rsid w:val="22966B03"/>
    <w:rsid w:val="22AC349C"/>
    <w:rsid w:val="22B12860"/>
    <w:rsid w:val="22B60126"/>
    <w:rsid w:val="22BA0269"/>
    <w:rsid w:val="22C165E8"/>
    <w:rsid w:val="22D76E3C"/>
    <w:rsid w:val="22E177D9"/>
    <w:rsid w:val="22E26EBD"/>
    <w:rsid w:val="22F10EAE"/>
    <w:rsid w:val="22F4099F"/>
    <w:rsid w:val="2303281C"/>
    <w:rsid w:val="230E1A60"/>
    <w:rsid w:val="23266752"/>
    <w:rsid w:val="23270D74"/>
    <w:rsid w:val="23290736"/>
    <w:rsid w:val="232E02C0"/>
    <w:rsid w:val="233A4603"/>
    <w:rsid w:val="23403BE4"/>
    <w:rsid w:val="23466363"/>
    <w:rsid w:val="23476D20"/>
    <w:rsid w:val="234C0665"/>
    <w:rsid w:val="235F406A"/>
    <w:rsid w:val="2371150A"/>
    <w:rsid w:val="237308A7"/>
    <w:rsid w:val="237D4E22"/>
    <w:rsid w:val="23922691"/>
    <w:rsid w:val="23A10C3C"/>
    <w:rsid w:val="23A63411"/>
    <w:rsid w:val="23BC770E"/>
    <w:rsid w:val="23C14D25"/>
    <w:rsid w:val="23CD6900"/>
    <w:rsid w:val="23D21FE8"/>
    <w:rsid w:val="23D34A58"/>
    <w:rsid w:val="23DA1943"/>
    <w:rsid w:val="23E17175"/>
    <w:rsid w:val="23E46C65"/>
    <w:rsid w:val="23ED320B"/>
    <w:rsid w:val="23FB0A5B"/>
    <w:rsid w:val="240510B5"/>
    <w:rsid w:val="240D4F24"/>
    <w:rsid w:val="24103ACD"/>
    <w:rsid w:val="24172B97"/>
    <w:rsid w:val="241E5CD3"/>
    <w:rsid w:val="24275D38"/>
    <w:rsid w:val="24277FE5"/>
    <w:rsid w:val="24344A48"/>
    <w:rsid w:val="244F2209"/>
    <w:rsid w:val="245960DD"/>
    <w:rsid w:val="245D1E94"/>
    <w:rsid w:val="246A53BC"/>
    <w:rsid w:val="247508D3"/>
    <w:rsid w:val="247C1A1B"/>
    <w:rsid w:val="24816262"/>
    <w:rsid w:val="24875A24"/>
    <w:rsid w:val="248E21AF"/>
    <w:rsid w:val="249203D9"/>
    <w:rsid w:val="24A563F4"/>
    <w:rsid w:val="24AD2130"/>
    <w:rsid w:val="24B2466D"/>
    <w:rsid w:val="24B86128"/>
    <w:rsid w:val="24BC729A"/>
    <w:rsid w:val="24BD373E"/>
    <w:rsid w:val="24C81666"/>
    <w:rsid w:val="24CA19B7"/>
    <w:rsid w:val="24CE259C"/>
    <w:rsid w:val="24D7664B"/>
    <w:rsid w:val="24DE756E"/>
    <w:rsid w:val="24EA16DC"/>
    <w:rsid w:val="24EF289D"/>
    <w:rsid w:val="24F44C86"/>
    <w:rsid w:val="24F4656C"/>
    <w:rsid w:val="24F5112A"/>
    <w:rsid w:val="2500362B"/>
    <w:rsid w:val="250273A3"/>
    <w:rsid w:val="2503311B"/>
    <w:rsid w:val="25034EC9"/>
    <w:rsid w:val="25070E5D"/>
    <w:rsid w:val="25237319"/>
    <w:rsid w:val="252E6E8A"/>
    <w:rsid w:val="254826D1"/>
    <w:rsid w:val="254C061E"/>
    <w:rsid w:val="256F7B27"/>
    <w:rsid w:val="2591155E"/>
    <w:rsid w:val="2596422C"/>
    <w:rsid w:val="259A6D17"/>
    <w:rsid w:val="259D60D1"/>
    <w:rsid w:val="25B82157"/>
    <w:rsid w:val="25D66AED"/>
    <w:rsid w:val="25DC5E46"/>
    <w:rsid w:val="25DD326C"/>
    <w:rsid w:val="25ED0053"/>
    <w:rsid w:val="26021720"/>
    <w:rsid w:val="26055EB0"/>
    <w:rsid w:val="2609454D"/>
    <w:rsid w:val="26127ABA"/>
    <w:rsid w:val="261C6242"/>
    <w:rsid w:val="2628108B"/>
    <w:rsid w:val="262B46D7"/>
    <w:rsid w:val="26323CB8"/>
    <w:rsid w:val="263537A8"/>
    <w:rsid w:val="263E440B"/>
    <w:rsid w:val="264D1F34"/>
    <w:rsid w:val="26722306"/>
    <w:rsid w:val="26740622"/>
    <w:rsid w:val="267E514F"/>
    <w:rsid w:val="26837610"/>
    <w:rsid w:val="26862310"/>
    <w:rsid w:val="26976211"/>
    <w:rsid w:val="26B11081"/>
    <w:rsid w:val="26B2663E"/>
    <w:rsid w:val="26C32B62"/>
    <w:rsid w:val="26CF1150"/>
    <w:rsid w:val="26D44D6F"/>
    <w:rsid w:val="26D71E4A"/>
    <w:rsid w:val="26E33204"/>
    <w:rsid w:val="26E86A6C"/>
    <w:rsid w:val="26EE1123"/>
    <w:rsid w:val="26F70A5D"/>
    <w:rsid w:val="270C62B7"/>
    <w:rsid w:val="27111B1F"/>
    <w:rsid w:val="27127645"/>
    <w:rsid w:val="271B474C"/>
    <w:rsid w:val="272560F0"/>
    <w:rsid w:val="27333B64"/>
    <w:rsid w:val="273D458E"/>
    <w:rsid w:val="275245C2"/>
    <w:rsid w:val="27542B39"/>
    <w:rsid w:val="275639D6"/>
    <w:rsid w:val="27637EA1"/>
    <w:rsid w:val="2768302A"/>
    <w:rsid w:val="27814EF7"/>
    <w:rsid w:val="278B7B24"/>
    <w:rsid w:val="278C389C"/>
    <w:rsid w:val="27912C60"/>
    <w:rsid w:val="279A1B15"/>
    <w:rsid w:val="27B32BD6"/>
    <w:rsid w:val="27BB697F"/>
    <w:rsid w:val="27C052F3"/>
    <w:rsid w:val="27CC38E8"/>
    <w:rsid w:val="27D25752"/>
    <w:rsid w:val="27DA1FA7"/>
    <w:rsid w:val="27DA63B5"/>
    <w:rsid w:val="27DF1C1D"/>
    <w:rsid w:val="27E37B96"/>
    <w:rsid w:val="28021DAF"/>
    <w:rsid w:val="28094EEC"/>
    <w:rsid w:val="281A0EA7"/>
    <w:rsid w:val="281C2391"/>
    <w:rsid w:val="28377363"/>
    <w:rsid w:val="284063F2"/>
    <w:rsid w:val="284615CB"/>
    <w:rsid w:val="28486918"/>
    <w:rsid w:val="286D0FD7"/>
    <w:rsid w:val="28843D57"/>
    <w:rsid w:val="28893937"/>
    <w:rsid w:val="288A1B89"/>
    <w:rsid w:val="288D3427"/>
    <w:rsid w:val="288F719F"/>
    <w:rsid w:val="28A1297A"/>
    <w:rsid w:val="28B74948"/>
    <w:rsid w:val="28C037FD"/>
    <w:rsid w:val="28C332ED"/>
    <w:rsid w:val="28C42EEC"/>
    <w:rsid w:val="28CB3175"/>
    <w:rsid w:val="28CF3A40"/>
    <w:rsid w:val="28D14107"/>
    <w:rsid w:val="28DB23E5"/>
    <w:rsid w:val="28DE3C83"/>
    <w:rsid w:val="28E079FB"/>
    <w:rsid w:val="28EC45F2"/>
    <w:rsid w:val="28F337C0"/>
    <w:rsid w:val="28FB1E62"/>
    <w:rsid w:val="291E6775"/>
    <w:rsid w:val="292673D8"/>
    <w:rsid w:val="292A6EC8"/>
    <w:rsid w:val="292D69B8"/>
    <w:rsid w:val="293164A9"/>
    <w:rsid w:val="29353D69"/>
    <w:rsid w:val="293B04AE"/>
    <w:rsid w:val="2940493E"/>
    <w:rsid w:val="29452074"/>
    <w:rsid w:val="294C6E3F"/>
    <w:rsid w:val="29693E94"/>
    <w:rsid w:val="296971A8"/>
    <w:rsid w:val="296D6FB3"/>
    <w:rsid w:val="299A5F1B"/>
    <w:rsid w:val="299F78B6"/>
    <w:rsid w:val="29A85E27"/>
    <w:rsid w:val="29C11732"/>
    <w:rsid w:val="29D01312"/>
    <w:rsid w:val="29D92EB9"/>
    <w:rsid w:val="29E057D9"/>
    <w:rsid w:val="29E249EB"/>
    <w:rsid w:val="29E90B31"/>
    <w:rsid w:val="29E95828"/>
    <w:rsid w:val="29F3375E"/>
    <w:rsid w:val="29F342D4"/>
    <w:rsid w:val="29FA2D3E"/>
    <w:rsid w:val="29FB25D1"/>
    <w:rsid w:val="2A0E2346"/>
    <w:rsid w:val="2A167548"/>
    <w:rsid w:val="2A1F27A5"/>
    <w:rsid w:val="2A32072A"/>
    <w:rsid w:val="2A355B25"/>
    <w:rsid w:val="2A390483"/>
    <w:rsid w:val="2A4B5348"/>
    <w:rsid w:val="2A4C1A18"/>
    <w:rsid w:val="2A585B80"/>
    <w:rsid w:val="2A5A1A2F"/>
    <w:rsid w:val="2A5A558B"/>
    <w:rsid w:val="2A6601A2"/>
    <w:rsid w:val="2A68414C"/>
    <w:rsid w:val="2A691C72"/>
    <w:rsid w:val="2A760C39"/>
    <w:rsid w:val="2A866380"/>
    <w:rsid w:val="2A9036A3"/>
    <w:rsid w:val="2AA416B0"/>
    <w:rsid w:val="2AB503FD"/>
    <w:rsid w:val="2AC0493A"/>
    <w:rsid w:val="2AC1560A"/>
    <w:rsid w:val="2AC670C5"/>
    <w:rsid w:val="2AE15CAC"/>
    <w:rsid w:val="2AE8528D"/>
    <w:rsid w:val="2AEB08D9"/>
    <w:rsid w:val="2AF046A6"/>
    <w:rsid w:val="2AF14141"/>
    <w:rsid w:val="2AF27EBA"/>
    <w:rsid w:val="2AF459E0"/>
    <w:rsid w:val="2AF608D3"/>
    <w:rsid w:val="2AFA0B1C"/>
    <w:rsid w:val="2AFA1A47"/>
    <w:rsid w:val="2AFB4FC0"/>
    <w:rsid w:val="2B053749"/>
    <w:rsid w:val="2B1C6CE5"/>
    <w:rsid w:val="2B204A27"/>
    <w:rsid w:val="2B366200"/>
    <w:rsid w:val="2B660607"/>
    <w:rsid w:val="2B6D2330"/>
    <w:rsid w:val="2B8F395A"/>
    <w:rsid w:val="2BBA09D7"/>
    <w:rsid w:val="2BC03B14"/>
    <w:rsid w:val="2BC314D4"/>
    <w:rsid w:val="2BC43604"/>
    <w:rsid w:val="2BD82C0B"/>
    <w:rsid w:val="2BDF21EC"/>
    <w:rsid w:val="2BF07F0E"/>
    <w:rsid w:val="2BF14D65"/>
    <w:rsid w:val="2BFC0FF0"/>
    <w:rsid w:val="2C1E6354"/>
    <w:rsid w:val="2C2422F5"/>
    <w:rsid w:val="2C2D7517"/>
    <w:rsid w:val="2C3B319A"/>
    <w:rsid w:val="2C4509EF"/>
    <w:rsid w:val="2C4D184B"/>
    <w:rsid w:val="2C55425C"/>
    <w:rsid w:val="2C574478"/>
    <w:rsid w:val="2C5E6435"/>
    <w:rsid w:val="2C6B3A80"/>
    <w:rsid w:val="2C730B86"/>
    <w:rsid w:val="2C7D37B3"/>
    <w:rsid w:val="2C800539"/>
    <w:rsid w:val="2C81312E"/>
    <w:rsid w:val="2C822369"/>
    <w:rsid w:val="2C8965FC"/>
    <w:rsid w:val="2C8B42D2"/>
    <w:rsid w:val="2CA451E4"/>
    <w:rsid w:val="2CA46F92"/>
    <w:rsid w:val="2CB05936"/>
    <w:rsid w:val="2CBB79FD"/>
    <w:rsid w:val="2CBC42DB"/>
    <w:rsid w:val="2CE8602F"/>
    <w:rsid w:val="2D09627B"/>
    <w:rsid w:val="2D23435A"/>
    <w:rsid w:val="2D282599"/>
    <w:rsid w:val="2D355E3C"/>
    <w:rsid w:val="2D3622E0"/>
    <w:rsid w:val="2D5409B8"/>
    <w:rsid w:val="2D5E5392"/>
    <w:rsid w:val="2D6904DB"/>
    <w:rsid w:val="2D7F58FA"/>
    <w:rsid w:val="2D872B3B"/>
    <w:rsid w:val="2D942742"/>
    <w:rsid w:val="2D960FD0"/>
    <w:rsid w:val="2D9F5AAB"/>
    <w:rsid w:val="2DA059AB"/>
    <w:rsid w:val="2DAD1E76"/>
    <w:rsid w:val="2DC9254F"/>
    <w:rsid w:val="2DE007D6"/>
    <w:rsid w:val="2DE735DA"/>
    <w:rsid w:val="2DEA131C"/>
    <w:rsid w:val="2DF00258"/>
    <w:rsid w:val="2DF002CB"/>
    <w:rsid w:val="2DF87595"/>
    <w:rsid w:val="2DFA7E53"/>
    <w:rsid w:val="2E00644A"/>
    <w:rsid w:val="2E0143CE"/>
    <w:rsid w:val="2E0979F4"/>
    <w:rsid w:val="2E0A551A"/>
    <w:rsid w:val="2E3C1B78"/>
    <w:rsid w:val="2E6E5AA9"/>
    <w:rsid w:val="2E7F7181"/>
    <w:rsid w:val="2E9574DA"/>
    <w:rsid w:val="2EA96AE1"/>
    <w:rsid w:val="2EC13E2B"/>
    <w:rsid w:val="2EC23C82"/>
    <w:rsid w:val="2EC42B2F"/>
    <w:rsid w:val="2ED26038"/>
    <w:rsid w:val="2ED61D9E"/>
    <w:rsid w:val="2EE67D35"/>
    <w:rsid w:val="2F0F73DE"/>
    <w:rsid w:val="2F10684B"/>
    <w:rsid w:val="2F106B60"/>
    <w:rsid w:val="2F2D2619"/>
    <w:rsid w:val="2F350375"/>
    <w:rsid w:val="2F436268"/>
    <w:rsid w:val="2F4D7D91"/>
    <w:rsid w:val="2F5A5701"/>
    <w:rsid w:val="2F5C1DA5"/>
    <w:rsid w:val="2F601896"/>
    <w:rsid w:val="2F736A5D"/>
    <w:rsid w:val="2F7E2C59"/>
    <w:rsid w:val="2F880DEC"/>
    <w:rsid w:val="2F8F0EBA"/>
    <w:rsid w:val="2F950E14"/>
    <w:rsid w:val="2F967065"/>
    <w:rsid w:val="2F974B8C"/>
    <w:rsid w:val="2FA04132"/>
    <w:rsid w:val="2FA8323D"/>
    <w:rsid w:val="2FAD43AF"/>
    <w:rsid w:val="2FB621EB"/>
    <w:rsid w:val="2FC31E25"/>
    <w:rsid w:val="2FCB45DC"/>
    <w:rsid w:val="2FD8767E"/>
    <w:rsid w:val="2FE37DD1"/>
    <w:rsid w:val="2FF63FA8"/>
    <w:rsid w:val="30000983"/>
    <w:rsid w:val="3002294D"/>
    <w:rsid w:val="300264A9"/>
    <w:rsid w:val="300C7328"/>
    <w:rsid w:val="300F0BC6"/>
    <w:rsid w:val="302E0A63"/>
    <w:rsid w:val="302F3016"/>
    <w:rsid w:val="303D5733"/>
    <w:rsid w:val="30405223"/>
    <w:rsid w:val="30470360"/>
    <w:rsid w:val="30477E3E"/>
    <w:rsid w:val="30542A7D"/>
    <w:rsid w:val="30560FE3"/>
    <w:rsid w:val="30586A11"/>
    <w:rsid w:val="30734F38"/>
    <w:rsid w:val="307849BD"/>
    <w:rsid w:val="30915A7F"/>
    <w:rsid w:val="30980BBB"/>
    <w:rsid w:val="30992B52"/>
    <w:rsid w:val="309E3334"/>
    <w:rsid w:val="30A471F6"/>
    <w:rsid w:val="30B31E99"/>
    <w:rsid w:val="30C23E8A"/>
    <w:rsid w:val="30D51E0F"/>
    <w:rsid w:val="30DA7426"/>
    <w:rsid w:val="30E16777"/>
    <w:rsid w:val="30EB518F"/>
    <w:rsid w:val="30F74B66"/>
    <w:rsid w:val="30FD3114"/>
    <w:rsid w:val="30FF50DE"/>
    <w:rsid w:val="310B66D2"/>
    <w:rsid w:val="310D2353"/>
    <w:rsid w:val="310E70CF"/>
    <w:rsid w:val="312C26C3"/>
    <w:rsid w:val="312E32CE"/>
    <w:rsid w:val="312F7772"/>
    <w:rsid w:val="31322DBE"/>
    <w:rsid w:val="313B4368"/>
    <w:rsid w:val="313C3C3D"/>
    <w:rsid w:val="31491AE3"/>
    <w:rsid w:val="315F792B"/>
    <w:rsid w:val="317C04DD"/>
    <w:rsid w:val="31857392"/>
    <w:rsid w:val="318A0E4C"/>
    <w:rsid w:val="3196159F"/>
    <w:rsid w:val="319A0622"/>
    <w:rsid w:val="319D3D2B"/>
    <w:rsid w:val="31A51E5A"/>
    <w:rsid w:val="31B7169F"/>
    <w:rsid w:val="31E16BB0"/>
    <w:rsid w:val="31FB3DE2"/>
    <w:rsid w:val="320B7BFA"/>
    <w:rsid w:val="3210297E"/>
    <w:rsid w:val="32137850"/>
    <w:rsid w:val="32140715"/>
    <w:rsid w:val="321F6E11"/>
    <w:rsid w:val="322F72FD"/>
    <w:rsid w:val="32340DB8"/>
    <w:rsid w:val="32342B66"/>
    <w:rsid w:val="325925CC"/>
    <w:rsid w:val="32622E39"/>
    <w:rsid w:val="3264344B"/>
    <w:rsid w:val="32674CE9"/>
    <w:rsid w:val="326C67A3"/>
    <w:rsid w:val="32800850"/>
    <w:rsid w:val="328868C2"/>
    <w:rsid w:val="328C4750"/>
    <w:rsid w:val="32903C4D"/>
    <w:rsid w:val="32911317"/>
    <w:rsid w:val="32A415AE"/>
    <w:rsid w:val="32A43A33"/>
    <w:rsid w:val="32A83BE9"/>
    <w:rsid w:val="32B803DE"/>
    <w:rsid w:val="32C24615"/>
    <w:rsid w:val="32C37B36"/>
    <w:rsid w:val="32D305D1"/>
    <w:rsid w:val="32DB1233"/>
    <w:rsid w:val="32EE0F67"/>
    <w:rsid w:val="32F52902"/>
    <w:rsid w:val="32F770E2"/>
    <w:rsid w:val="33010C9A"/>
    <w:rsid w:val="330C763F"/>
    <w:rsid w:val="331F7372"/>
    <w:rsid w:val="33226E62"/>
    <w:rsid w:val="33321433"/>
    <w:rsid w:val="33353039"/>
    <w:rsid w:val="33492641"/>
    <w:rsid w:val="33525999"/>
    <w:rsid w:val="336A2CE3"/>
    <w:rsid w:val="33721B98"/>
    <w:rsid w:val="33746DD8"/>
    <w:rsid w:val="338D69D1"/>
    <w:rsid w:val="339531E1"/>
    <w:rsid w:val="339A10EE"/>
    <w:rsid w:val="339A5589"/>
    <w:rsid w:val="33AF6948"/>
    <w:rsid w:val="33C06DA7"/>
    <w:rsid w:val="33C65770"/>
    <w:rsid w:val="33D41102"/>
    <w:rsid w:val="33D60378"/>
    <w:rsid w:val="33D939C5"/>
    <w:rsid w:val="33F425AD"/>
    <w:rsid w:val="33F7209D"/>
    <w:rsid w:val="340541A5"/>
    <w:rsid w:val="341D504B"/>
    <w:rsid w:val="34311A53"/>
    <w:rsid w:val="3431735D"/>
    <w:rsid w:val="343D21A6"/>
    <w:rsid w:val="344A1546"/>
    <w:rsid w:val="345707EA"/>
    <w:rsid w:val="346D47E3"/>
    <w:rsid w:val="346E05B1"/>
    <w:rsid w:val="34705599"/>
    <w:rsid w:val="348C4EDB"/>
    <w:rsid w:val="348F22D5"/>
    <w:rsid w:val="34947CAF"/>
    <w:rsid w:val="34952040"/>
    <w:rsid w:val="34AA2C62"/>
    <w:rsid w:val="34B306BA"/>
    <w:rsid w:val="34B873A0"/>
    <w:rsid w:val="34C06933"/>
    <w:rsid w:val="34DD3449"/>
    <w:rsid w:val="34E40873"/>
    <w:rsid w:val="34E55AC4"/>
    <w:rsid w:val="34FD2CC6"/>
    <w:rsid w:val="350014F0"/>
    <w:rsid w:val="35101668"/>
    <w:rsid w:val="35223149"/>
    <w:rsid w:val="35415CC5"/>
    <w:rsid w:val="354F3660"/>
    <w:rsid w:val="35507CB7"/>
    <w:rsid w:val="355377A7"/>
    <w:rsid w:val="35577297"/>
    <w:rsid w:val="3584486B"/>
    <w:rsid w:val="35847960"/>
    <w:rsid w:val="358B0CEF"/>
    <w:rsid w:val="35971885"/>
    <w:rsid w:val="35A3072E"/>
    <w:rsid w:val="35A95619"/>
    <w:rsid w:val="35C0308E"/>
    <w:rsid w:val="35DA1B08"/>
    <w:rsid w:val="35DE1766"/>
    <w:rsid w:val="35E166DA"/>
    <w:rsid w:val="36112D6D"/>
    <w:rsid w:val="361138EA"/>
    <w:rsid w:val="361C3EBD"/>
    <w:rsid w:val="362A32DD"/>
    <w:rsid w:val="364F39A5"/>
    <w:rsid w:val="364F61C0"/>
    <w:rsid w:val="366B28CE"/>
    <w:rsid w:val="366E4D55"/>
    <w:rsid w:val="36746BAD"/>
    <w:rsid w:val="367E0853"/>
    <w:rsid w:val="369B7657"/>
    <w:rsid w:val="36B51ED3"/>
    <w:rsid w:val="36BB5604"/>
    <w:rsid w:val="36C721FA"/>
    <w:rsid w:val="36DD1A1E"/>
    <w:rsid w:val="36F17277"/>
    <w:rsid w:val="36F24934"/>
    <w:rsid w:val="36F6663C"/>
    <w:rsid w:val="3718335F"/>
    <w:rsid w:val="37256F21"/>
    <w:rsid w:val="37362EDC"/>
    <w:rsid w:val="373F6FEF"/>
    <w:rsid w:val="3748158D"/>
    <w:rsid w:val="374C2700"/>
    <w:rsid w:val="37652B59"/>
    <w:rsid w:val="376C4B50"/>
    <w:rsid w:val="376C7D04"/>
    <w:rsid w:val="377834F5"/>
    <w:rsid w:val="37976071"/>
    <w:rsid w:val="379A16BD"/>
    <w:rsid w:val="37BC5AD7"/>
    <w:rsid w:val="37D4605F"/>
    <w:rsid w:val="37E56DDC"/>
    <w:rsid w:val="37FA7109"/>
    <w:rsid w:val="381B0A50"/>
    <w:rsid w:val="381C58C4"/>
    <w:rsid w:val="38262F51"/>
    <w:rsid w:val="382A0C93"/>
    <w:rsid w:val="38325D99"/>
    <w:rsid w:val="38437481"/>
    <w:rsid w:val="384C25B1"/>
    <w:rsid w:val="384D672F"/>
    <w:rsid w:val="3869495B"/>
    <w:rsid w:val="386F66A6"/>
    <w:rsid w:val="38767A34"/>
    <w:rsid w:val="388F0AF6"/>
    <w:rsid w:val="389B22E9"/>
    <w:rsid w:val="38A65312"/>
    <w:rsid w:val="38B144A1"/>
    <w:rsid w:val="38B365AD"/>
    <w:rsid w:val="38B5603D"/>
    <w:rsid w:val="38BF587F"/>
    <w:rsid w:val="38D76175"/>
    <w:rsid w:val="38D806EF"/>
    <w:rsid w:val="38E235CB"/>
    <w:rsid w:val="38EE7F12"/>
    <w:rsid w:val="39007C46"/>
    <w:rsid w:val="39045DEA"/>
    <w:rsid w:val="3914549F"/>
    <w:rsid w:val="39180127"/>
    <w:rsid w:val="391D07F7"/>
    <w:rsid w:val="391E0899"/>
    <w:rsid w:val="3929703F"/>
    <w:rsid w:val="392E0314"/>
    <w:rsid w:val="39355B41"/>
    <w:rsid w:val="393B0C7E"/>
    <w:rsid w:val="39433B79"/>
    <w:rsid w:val="39461AFC"/>
    <w:rsid w:val="395F671A"/>
    <w:rsid w:val="39691347"/>
    <w:rsid w:val="396D45FF"/>
    <w:rsid w:val="396F26D5"/>
    <w:rsid w:val="39777F08"/>
    <w:rsid w:val="39785A2E"/>
    <w:rsid w:val="39803209"/>
    <w:rsid w:val="39893797"/>
    <w:rsid w:val="399C171C"/>
    <w:rsid w:val="399C6C8E"/>
    <w:rsid w:val="39A82FD8"/>
    <w:rsid w:val="39C406C0"/>
    <w:rsid w:val="39DD3AE3"/>
    <w:rsid w:val="39ED7FCB"/>
    <w:rsid w:val="3A304F3B"/>
    <w:rsid w:val="3A3556CD"/>
    <w:rsid w:val="3A4D1D3F"/>
    <w:rsid w:val="3A5169AB"/>
    <w:rsid w:val="3A575643"/>
    <w:rsid w:val="3A6D30B9"/>
    <w:rsid w:val="3A777A93"/>
    <w:rsid w:val="3A797CAF"/>
    <w:rsid w:val="3A80103E"/>
    <w:rsid w:val="3A86417A"/>
    <w:rsid w:val="3A8A77C7"/>
    <w:rsid w:val="3A9B7C26"/>
    <w:rsid w:val="3AAC3BE1"/>
    <w:rsid w:val="3AC23405"/>
    <w:rsid w:val="3AFA0DF0"/>
    <w:rsid w:val="3B0E5C90"/>
    <w:rsid w:val="3B0F23C2"/>
    <w:rsid w:val="3B105AF9"/>
    <w:rsid w:val="3B2B6D8A"/>
    <w:rsid w:val="3B334302"/>
    <w:rsid w:val="3B5330AD"/>
    <w:rsid w:val="3B556027"/>
    <w:rsid w:val="3B6224F2"/>
    <w:rsid w:val="3B634EC9"/>
    <w:rsid w:val="3B64270E"/>
    <w:rsid w:val="3B651FE2"/>
    <w:rsid w:val="3B837F8F"/>
    <w:rsid w:val="3B8C57C0"/>
    <w:rsid w:val="3B903503"/>
    <w:rsid w:val="3B9A7EDD"/>
    <w:rsid w:val="3BA90120"/>
    <w:rsid w:val="3BAB6E46"/>
    <w:rsid w:val="3BB52F69"/>
    <w:rsid w:val="3BC34996"/>
    <w:rsid w:val="3BC62A80"/>
    <w:rsid w:val="3BC74A4B"/>
    <w:rsid w:val="3BF21AC7"/>
    <w:rsid w:val="3BFC5EF5"/>
    <w:rsid w:val="3C0D6901"/>
    <w:rsid w:val="3C221C81"/>
    <w:rsid w:val="3C2D0D52"/>
    <w:rsid w:val="3C37397E"/>
    <w:rsid w:val="3C6632BA"/>
    <w:rsid w:val="3C6C3297"/>
    <w:rsid w:val="3C700E2B"/>
    <w:rsid w:val="3C805A5B"/>
    <w:rsid w:val="3C860462"/>
    <w:rsid w:val="3C8D17F0"/>
    <w:rsid w:val="3C8E63DE"/>
    <w:rsid w:val="3C951AAB"/>
    <w:rsid w:val="3C9D7253"/>
    <w:rsid w:val="3C9E77ED"/>
    <w:rsid w:val="3CB26D00"/>
    <w:rsid w:val="3CBF5346"/>
    <w:rsid w:val="3CD1792F"/>
    <w:rsid w:val="3CF90C34"/>
    <w:rsid w:val="3D0C69C3"/>
    <w:rsid w:val="3D1F4B30"/>
    <w:rsid w:val="3D3103CE"/>
    <w:rsid w:val="3D314871"/>
    <w:rsid w:val="3D600CB3"/>
    <w:rsid w:val="3D785FFC"/>
    <w:rsid w:val="3D7B5AED"/>
    <w:rsid w:val="3D826E7B"/>
    <w:rsid w:val="3D827DBA"/>
    <w:rsid w:val="3D8A3F82"/>
    <w:rsid w:val="3D8C7CFA"/>
    <w:rsid w:val="3DA768E2"/>
    <w:rsid w:val="3DAE01CF"/>
    <w:rsid w:val="3DB81B78"/>
    <w:rsid w:val="3DC2196D"/>
    <w:rsid w:val="3E10092B"/>
    <w:rsid w:val="3E2B12C1"/>
    <w:rsid w:val="3E3E013F"/>
    <w:rsid w:val="3E43485C"/>
    <w:rsid w:val="3E55633E"/>
    <w:rsid w:val="3E682515"/>
    <w:rsid w:val="3E742C68"/>
    <w:rsid w:val="3E7762B4"/>
    <w:rsid w:val="3E7C1B1C"/>
    <w:rsid w:val="3EA11583"/>
    <w:rsid w:val="3EA13331"/>
    <w:rsid w:val="3EB70DA6"/>
    <w:rsid w:val="3EBF1A09"/>
    <w:rsid w:val="3EC27CA4"/>
    <w:rsid w:val="3ECD05CA"/>
    <w:rsid w:val="3ECF4342"/>
    <w:rsid w:val="3EED2ADA"/>
    <w:rsid w:val="3EF06066"/>
    <w:rsid w:val="3EF23B8C"/>
    <w:rsid w:val="3F0264C5"/>
    <w:rsid w:val="3F0A537A"/>
    <w:rsid w:val="3F12422F"/>
    <w:rsid w:val="3F1261D2"/>
    <w:rsid w:val="3F2350B4"/>
    <w:rsid w:val="3F335631"/>
    <w:rsid w:val="3F5D7BA0"/>
    <w:rsid w:val="3F6902F3"/>
    <w:rsid w:val="3F6E5AF7"/>
    <w:rsid w:val="3F760C61"/>
    <w:rsid w:val="3F7D5B4C"/>
    <w:rsid w:val="3F823162"/>
    <w:rsid w:val="3F877201"/>
    <w:rsid w:val="3F9418DA"/>
    <w:rsid w:val="3F9C32DB"/>
    <w:rsid w:val="3FA255B3"/>
    <w:rsid w:val="3FA502BE"/>
    <w:rsid w:val="3FB157F6"/>
    <w:rsid w:val="3FB3156E"/>
    <w:rsid w:val="3FB34C03"/>
    <w:rsid w:val="3FC25C55"/>
    <w:rsid w:val="3FC46504"/>
    <w:rsid w:val="3FC91A13"/>
    <w:rsid w:val="3FD35C28"/>
    <w:rsid w:val="3FDD3F12"/>
    <w:rsid w:val="3FEE25A6"/>
    <w:rsid w:val="3FF04570"/>
    <w:rsid w:val="3FF116D3"/>
    <w:rsid w:val="3FFF2A05"/>
    <w:rsid w:val="40015B6F"/>
    <w:rsid w:val="40226D9C"/>
    <w:rsid w:val="40291830"/>
    <w:rsid w:val="402B1A4C"/>
    <w:rsid w:val="402E32EA"/>
    <w:rsid w:val="40316936"/>
    <w:rsid w:val="40363F4D"/>
    <w:rsid w:val="403F2E01"/>
    <w:rsid w:val="404228F2"/>
    <w:rsid w:val="404448BC"/>
    <w:rsid w:val="404B17A6"/>
    <w:rsid w:val="40640ABA"/>
    <w:rsid w:val="40672358"/>
    <w:rsid w:val="406B16A3"/>
    <w:rsid w:val="406B3BF6"/>
    <w:rsid w:val="406D5BC1"/>
    <w:rsid w:val="407D392A"/>
    <w:rsid w:val="40886147"/>
    <w:rsid w:val="408E1DBB"/>
    <w:rsid w:val="409D3379"/>
    <w:rsid w:val="40B03CFF"/>
    <w:rsid w:val="40C31BDC"/>
    <w:rsid w:val="40C94DC1"/>
    <w:rsid w:val="40D0614F"/>
    <w:rsid w:val="40D75730"/>
    <w:rsid w:val="40F72D63"/>
    <w:rsid w:val="40FF07E3"/>
    <w:rsid w:val="410022CB"/>
    <w:rsid w:val="410D2F00"/>
    <w:rsid w:val="410F6C78"/>
    <w:rsid w:val="412519EF"/>
    <w:rsid w:val="4135788C"/>
    <w:rsid w:val="413C5593"/>
    <w:rsid w:val="41410DFB"/>
    <w:rsid w:val="41536C1F"/>
    <w:rsid w:val="4162149D"/>
    <w:rsid w:val="41662610"/>
    <w:rsid w:val="417752DD"/>
    <w:rsid w:val="41831414"/>
    <w:rsid w:val="418C02C8"/>
    <w:rsid w:val="418E1F84"/>
    <w:rsid w:val="41952BC8"/>
    <w:rsid w:val="41981547"/>
    <w:rsid w:val="41A27AEC"/>
    <w:rsid w:val="41B17D2F"/>
    <w:rsid w:val="41B220EF"/>
    <w:rsid w:val="41C31810"/>
    <w:rsid w:val="41CF6407"/>
    <w:rsid w:val="41D139B0"/>
    <w:rsid w:val="41D81760"/>
    <w:rsid w:val="41E81277"/>
    <w:rsid w:val="41F06AA9"/>
    <w:rsid w:val="42051E29"/>
    <w:rsid w:val="42114C71"/>
    <w:rsid w:val="42380450"/>
    <w:rsid w:val="423B584A"/>
    <w:rsid w:val="423D7815"/>
    <w:rsid w:val="424D087B"/>
    <w:rsid w:val="4251506E"/>
    <w:rsid w:val="42593669"/>
    <w:rsid w:val="426D00FA"/>
    <w:rsid w:val="428E0070"/>
    <w:rsid w:val="42925DB2"/>
    <w:rsid w:val="429A6A15"/>
    <w:rsid w:val="42A81866"/>
    <w:rsid w:val="42B90E50"/>
    <w:rsid w:val="42BC4BDD"/>
    <w:rsid w:val="42D02437"/>
    <w:rsid w:val="42DA1507"/>
    <w:rsid w:val="42DC527F"/>
    <w:rsid w:val="42E303BC"/>
    <w:rsid w:val="42E61C5A"/>
    <w:rsid w:val="42F0224E"/>
    <w:rsid w:val="42FA5706"/>
    <w:rsid w:val="431E7646"/>
    <w:rsid w:val="43212C92"/>
    <w:rsid w:val="432D2F63"/>
    <w:rsid w:val="4335673E"/>
    <w:rsid w:val="43362BE2"/>
    <w:rsid w:val="433D2560"/>
    <w:rsid w:val="434075BC"/>
    <w:rsid w:val="43686B13"/>
    <w:rsid w:val="436A6DC0"/>
    <w:rsid w:val="43707776"/>
    <w:rsid w:val="43A25593"/>
    <w:rsid w:val="43B24E18"/>
    <w:rsid w:val="43B27D8E"/>
    <w:rsid w:val="43C27FD1"/>
    <w:rsid w:val="43CC6427"/>
    <w:rsid w:val="43D917BF"/>
    <w:rsid w:val="43E05B41"/>
    <w:rsid w:val="43FA3C0F"/>
    <w:rsid w:val="44185E43"/>
    <w:rsid w:val="441A605F"/>
    <w:rsid w:val="44246EDE"/>
    <w:rsid w:val="44307D6F"/>
    <w:rsid w:val="443749C3"/>
    <w:rsid w:val="44421112"/>
    <w:rsid w:val="445A35C0"/>
    <w:rsid w:val="446077EA"/>
    <w:rsid w:val="4464552C"/>
    <w:rsid w:val="447514E8"/>
    <w:rsid w:val="4486788D"/>
    <w:rsid w:val="448E151E"/>
    <w:rsid w:val="449851D6"/>
    <w:rsid w:val="44AB453E"/>
    <w:rsid w:val="44C22253"/>
    <w:rsid w:val="44C83FBE"/>
    <w:rsid w:val="44CD30D2"/>
    <w:rsid w:val="44E93C84"/>
    <w:rsid w:val="44F20D8A"/>
    <w:rsid w:val="44FA19ED"/>
    <w:rsid w:val="450A60D4"/>
    <w:rsid w:val="45107462"/>
    <w:rsid w:val="45190AAC"/>
    <w:rsid w:val="453C2C0A"/>
    <w:rsid w:val="4541586E"/>
    <w:rsid w:val="4557299B"/>
    <w:rsid w:val="4562430E"/>
    <w:rsid w:val="4575533A"/>
    <w:rsid w:val="457E261E"/>
    <w:rsid w:val="459E681C"/>
    <w:rsid w:val="45A100BA"/>
    <w:rsid w:val="45BE336B"/>
    <w:rsid w:val="45CF6516"/>
    <w:rsid w:val="45EF0E26"/>
    <w:rsid w:val="46132D66"/>
    <w:rsid w:val="461940F5"/>
    <w:rsid w:val="461B7E6D"/>
    <w:rsid w:val="46203326"/>
    <w:rsid w:val="462E4075"/>
    <w:rsid w:val="46357180"/>
    <w:rsid w:val="464463B4"/>
    <w:rsid w:val="46490517"/>
    <w:rsid w:val="46767799"/>
    <w:rsid w:val="467B6B5D"/>
    <w:rsid w:val="467D3FE1"/>
    <w:rsid w:val="467D4684"/>
    <w:rsid w:val="468E6891"/>
    <w:rsid w:val="46C87FF5"/>
    <w:rsid w:val="46D85D5E"/>
    <w:rsid w:val="46EF66E2"/>
    <w:rsid w:val="470C786A"/>
    <w:rsid w:val="47106542"/>
    <w:rsid w:val="471B25DC"/>
    <w:rsid w:val="471C35FB"/>
    <w:rsid w:val="471E6E34"/>
    <w:rsid w:val="47330814"/>
    <w:rsid w:val="473F7B8B"/>
    <w:rsid w:val="47466FB1"/>
    <w:rsid w:val="47495B1E"/>
    <w:rsid w:val="4750714C"/>
    <w:rsid w:val="47574ED5"/>
    <w:rsid w:val="475C073D"/>
    <w:rsid w:val="4760218C"/>
    <w:rsid w:val="476240E5"/>
    <w:rsid w:val="476615BC"/>
    <w:rsid w:val="476D1EFD"/>
    <w:rsid w:val="477F7D52"/>
    <w:rsid w:val="478963B2"/>
    <w:rsid w:val="47961EA1"/>
    <w:rsid w:val="479A005B"/>
    <w:rsid w:val="479F062A"/>
    <w:rsid w:val="47B42327"/>
    <w:rsid w:val="47B55F78"/>
    <w:rsid w:val="47C95AE7"/>
    <w:rsid w:val="47F54AA9"/>
    <w:rsid w:val="48000D2C"/>
    <w:rsid w:val="480076EC"/>
    <w:rsid w:val="48166B3E"/>
    <w:rsid w:val="48201EA6"/>
    <w:rsid w:val="48217291"/>
    <w:rsid w:val="4837077E"/>
    <w:rsid w:val="48382F58"/>
    <w:rsid w:val="483D40CA"/>
    <w:rsid w:val="483E5766"/>
    <w:rsid w:val="4848139A"/>
    <w:rsid w:val="484E277B"/>
    <w:rsid w:val="485667D0"/>
    <w:rsid w:val="4880045B"/>
    <w:rsid w:val="488B752C"/>
    <w:rsid w:val="48A00AFD"/>
    <w:rsid w:val="48AE6D76"/>
    <w:rsid w:val="48B87BF5"/>
    <w:rsid w:val="48BC5937"/>
    <w:rsid w:val="48BF1616"/>
    <w:rsid w:val="48CB5A3A"/>
    <w:rsid w:val="48D41EFB"/>
    <w:rsid w:val="48E1539E"/>
    <w:rsid w:val="48E1714C"/>
    <w:rsid w:val="48E42798"/>
    <w:rsid w:val="48E450EF"/>
    <w:rsid w:val="48F13107"/>
    <w:rsid w:val="48FF75D2"/>
    <w:rsid w:val="49064E04"/>
    <w:rsid w:val="49245493"/>
    <w:rsid w:val="49366D6C"/>
    <w:rsid w:val="49396F88"/>
    <w:rsid w:val="493F20C4"/>
    <w:rsid w:val="49522931"/>
    <w:rsid w:val="495A5150"/>
    <w:rsid w:val="496D6C31"/>
    <w:rsid w:val="498A2208"/>
    <w:rsid w:val="499046CE"/>
    <w:rsid w:val="49940662"/>
    <w:rsid w:val="499441BE"/>
    <w:rsid w:val="499C7517"/>
    <w:rsid w:val="49A41DE2"/>
    <w:rsid w:val="49AD523B"/>
    <w:rsid w:val="49BC757A"/>
    <w:rsid w:val="49C949C2"/>
    <w:rsid w:val="49CF169A"/>
    <w:rsid w:val="49D24CE6"/>
    <w:rsid w:val="49EB75CB"/>
    <w:rsid w:val="49F27137"/>
    <w:rsid w:val="49F853E5"/>
    <w:rsid w:val="4A035091"/>
    <w:rsid w:val="4A0A26D2"/>
    <w:rsid w:val="4A233794"/>
    <w:rsid w:val="4A235B57"/>
    <w:rsid w:val="4A3069FB"/>
    <w:rsid w:val="4A462381"/>
    <w:rsid w:val="4A477482"/>
    <w:rsid w:val="4A4A0D21"/>
    <w:rsid w:val="4A5412BD"/>
    <w:rsid w:val="4A5575C5"/>
    <w:rsid w:val="4A563B69"/>
    <w:rsid w:val="4A5723F4"/>
    <w:rsid w:val="4A69564B"/>
    <w:rsid w:val="4A6A41AB"/>
    <w:rsid w:val="4A6B36E5"/>
    <w:rsid w:val="4A7D10F6"/>
    <w:rsid w:val="4A881849"/>
    <w:rsid w:val="4A9106FD"/>
    <w:rsid w:val="4AB12CDE"/>
    <w:rsid w:val="4AB777A6"/>
    <w:rsid w:val="4AC10B3A"/>
    <w:rsid w:val="4AF41E4B"/>
    <w:rsid w:val="4AF55130"/>
    <w:rsid w:val="4AFA44F5"/>
    <w:rsid w:val="4B007A08"/>
    <w:rsid w:val="4B101F6A"/>
    <w:rsid w:val="4B137364"/>
    <w:rsid w:val="4B3D0885"/>
    <w:rsid w:val="4B3F5EA6"/>
    <w:rsid w:val="4B615D22"/>
    <w:rsid w:val="4B6C1631"/>
    <w:rsid w:val="4B6C4CC7"/>
    <w:rsid w:val="4B871B00"/>
    <w:rsid w:val="4B8B73A0"/>
    <w:rsid w:val="4B95421D"/>
    <w:rsid w:val="4B971D44"/>
    <w:rsid w:val="4BA24842"/>
    <w:rsid w:val="4BA6467C"/>
    <w:rsid w:val="4BB24502"/>
    <w:rsid w:val="4BBB7216"/>
    <w:rsid w:val="4BD765E4"/>
    <w:rsid w:val="4BEA14D5"/>
    <w:rsid w:val="4C0F5D7E"/>
    <w:rsid w:val="4C175738"/>
    <w:rsid w:val="4C177328"/>
    <w:rsid w:val="4C2C2DD4"/>
    <w:rsid w:val="4C410725"/>
    <w:rsid w:val="4C4A5008"/>
    <w:rsid w:val="4C547C35"/>
    <w:rsid w:val="4C571903"/>
    <w:rsid w:val="4C575977"/>
    <w:rsid w:val="4C5E5BE5"/>
    <w:rsid w:val="4C687B84"/>
    <w:rsid w:val="4C793B3F"/>
    <w:rsid w:val="4C8B404E"/>
    <w:rsid w:val="4C994D97"/>
    <w:rsid w:val="4CB32B59"/>
    <w:rsid w:val="4CB4635D"/>
    <w:rsid w:val="4CC76658"/>
    <w:rsid w:val="4CC90623"/>
    <w:rsid w:val="4CCE5C39"/>
    <w:rsid w:val="4CD945DE"/>
    <w:rsid w:val="4CE6787B"/>
    <w:rsid w:val="4CEC3D70"/>
    <w:rsid w:val="4CF80F08"/>
    <w:rsid w:val="4CFA6A2E"/>
    <w:rsid w:val="4D057181"/>
    <w:rsid w:val="4D090A1F"/>
    <w:rsid w:val="4D133278"/>
    <w:rsid w:val="4D2139CF"/>
    <w:rsid w:val="4D2864DA"/>
    <w:rsid w:val="4D2E2B7B"/>
    <w:rsid w:val="4D491763"/>
    <w:rsid w:val="4D61085B"/>
    <w:rsid w:val="4D6C25B0"/>
    <w:rsid w:val="4D782049"/>
    <w:rsid w:val="4D7D31BB"/>
    <w:rsid w:val="4D8712BE"/>
    <w:rsid w:val="4D950505"/>
    <w:rsid w:val="4D9964EA"/>
    <w:rsid w:val="4DC26BB7"/>
    <w:rsid w:val="4DD52FF7"/>
    <w:rsid w:val="4DD94895"/>
    <w:rsid w:val="4DD95D49"/>
    <w:rsid w:val="4DDD3C5A"/>
    <w:rsid w:val="4DF039FC"/>
    <w:rsid w:val="4DFD2317"/>
    <w:rsid w:val="4E067654"/>
    <w:rsid w:val="4E1F4272"/>
    <w:rsid w:val="4E2310FC"/>
    <w:rsid w:val="4E2A0F73"/>
    <w:rsid w:val="4E320449"/>
    <w:rsid w:val="4E3221F7"/>
    <w:rsid w:val="4E340E42"/>
    <w:rsid w:val="4E4B32B9"/>
    <w:rsid w:val="4E4D0DDF"/>
    <w:rsid w:val="4E54216E"/>
    <w:rsid w:val="4E6631BA"/>
    <w:rsid w:val="4E6F6FA8"/>
    <w:rsid w:val="4E766588"/>
    <w:rsid w:val="4E7B3B9E"/>
    <w:rsid w:val="4E995C7A"/>
    <w:rsid w:val="4EA03605"/>
    <w:rsid w:val="4EAC3D58"/>
    <w:rsid w:val="4EDE2193"/>
    <w:rsid w:val="4EEC4650"/>
    <w:rsid w:val="4EEF633A"/>
    <w:rsid w:val="4EF37BD9"/>
    <w:rsid w:val="4EF7095A"/>
    <w:rsid w:val="4EF72E6F"/>
    <w:rsid w:val="4EFA0F67"/>
    <w:rsid w:val="4EFC670B"/>
    <w:rsid w:val="4F05120B"/>
    <w:rsid w:val="4F0C47F7"/>
    <w:rsid w:val="4F165675"/>
    <w:rsid w:val="4F270144"/>
    <w:rsid w:val="4F3159C1"/>
    <w:rsid w:val="4F474168"/>
    <w:rsid w:val="4F5C2822"/>
    <w:rsid w:val="4F602D94"/>
    <w:rsid w:val="4F70158F"/>
    <w:rsid w:val="4F7370F3"/>
    <w:rsid w:val="4F764366"/>
    <w:rsid w:val="4F7725B8"/>
    <w:rsid w:val="4F7B197C"/>
    <w:rsid w:val="4F8366F9"/>
    <w:rsid w:val="4F9254B8"/>
    <w:rsid w:val="4F960564"/>
    <w:rsid w:val="4F9D5CD1"/>
    <w:rsid w:val="4FA345DA"/>
    <w:rsid w:val="4FA67E1D"/>
    <w:rsid w:val="4FAB2261"/>
    <w:rsid w:val="4FCC3F86"/>
    <w:rsid w:val="4FCD667C"/>
    <w:rsid w:val="4FD86DCF"/>
    <w:rsid w:val="4FDB395E"/>
    <w:rsid w:val="4FE030B4"/>
    <w:rsid w:val="4FE93487"/>
    <w:rsid w:val="4FF85861"/>
    <w:rsid w:val="50034F5C"/>
    <w:rsid w:val="50100316"/>
    <w:rsid w:val="501778F7"/>
    <w:rsid w:val="501F49FD"/>
    <w:rsid w:val="502D0EC8"/>
    <w:rsid w:val="503C110B"/>
    <w:rsid w:val="50502E09"/>
    <w:rsid w:val="505C4D2B"/>
    <w:rsid w:val="505F3B57"/>
    <w:rsid w:val="506568B4"/>
    <w:rsid w:val="506955FB"/>
    <w:rsid w:val="50746AF7"/>
    <w:rsid w:val="50962F12"/>
    <w:rsid w:val="50B156B3"/>
    <w:rsid w:val="50BD049E"/>
    <w:rsid w:val="50C7131D"/>
    <w:rsid w:val="50E31267"/>
    <w:rsid w:val="50F32112"/>
    <w:rsid w:val="510B18D7"/>
    <w:rsid w:val="51145BE4"/>
    <w:rsid w:val="5116195C"/>
    <w:rsid w:val="512F31EC"/>
    <w:rsid w:val="51344C2F"/>
    <w:rsid w:val="513D4D08"/>
    <w:rsid w:val="513D6D37"/>
    <w:rsid w:val="514209A3"/>
    <w:rsid w:val="51432A9D"/>
    <w:rsid w:val="514A7858"/>
    <w:rsid w:val="514C537E"/>
    <w:rsid w:val="51713037"/>
    <w:rsid w:val="5186516E"/>
    <w:rsid w:val="518A7661"/>
    <w:rsid w:val="519D3E2C"/>
    <w:rsid w:val="51B75533"/>
    <w:rsid w:val="51B90B92"/>
    <w:rsid w:val="51DA0BDC"/>
    <w:rsid w:val="51DC0DF8"/>
    <w:rsid w:val="51F10006"/>
    <w:rsid w:val="51F22C7B"/>
    <w:rsid w:val="521A36CE"/>
    <w:rsid w:val="52262073"/>
    <w:rsid w:val="5253098E"/>
    <w:rsid w:val="52556A4B"/>
    <w:rsid w:val="52563347"/>
    <w:rsid w:val="525941F7"/>
    <w:rsid w:val="525A7F6F"/>
    <w:rsid w:val="529D37F6"/>
    <w:rsid w:val="52AC4521"/>
    <w:rsid w:val="52BE405A"/>
    <w:rsid w:val="52CB6E2F"/>
    <w:rsid w:val="52D4387D"/>
    <w:rsid w:val="530028C4"/>
    <w:rsid w:val="530161A8"/>
    <w:rsid w:val="53081779"/>
    <w:rsid w:val="53095C1D"/>
    <w:rsid w:val="53165C44"/>
    <w:rsid w:val="53472FC7"/>
    <w:rsid w:val="5355711F"/>
    <w:rsid w:val="53755060"/>
    <w:rsid w:val="537D4BBD"/>
    <w:rsid w:val="537F56AD"/>
    <w:rsid w:val="538610B8"/>
    <w:rsid w:val="539B3EAD"/>
    <w:rsid w:val="539D0113"/>
    <w:rsid w:val="53A4453C"/>
    <w:rsid w:val="53B13BBE"/>
    <w:rsid w:val="53B92A73"/>
    <w:rsid w:val="53C9715A"/>
    <w:rsid w:val="53D61877"/>
    <w:rsid w:val="53E06252"/>
    <w:rsid w:val="53E6108E"/>
    <w:rsid w:val="53F266B1"/>
    <w:rsid w:val="542326EA"/>
    <w:rsid w:val="54574766"/>
    <w:rsid w:val="54617393"/>
    <w:rsid w:val="54622C48"/>
    <w:rsid w:val="5463310B"/>
    <w:rsid w:val="546B4FF7"/>
    <w:rsid w:val="546E1AAF"/>
    <w:rsid w:val="54770964"/>
    <w:rsid w:val="548B2661"/>
    <w:rsid w:val="549239F0"/>
    <w:rsid w:val="54A2071D"/>
    <w:rsid w:val="54A84FC1"/>
    <w:rsid w:val="54AC551B"/>
    <w:rsid w:val="54B25E40"/>
    <w:rsid w:val="54B5148C"/>
    <w:rsid w:val="54B53E12"/>
    <w:rsid w:val="54B73456"/>
    <w:rsid w:val="54B75204"/>
    <w:rsid w:val="54C673AD"/>
    <w:rsid w:val="54CD4A28"/>
    <w:rsid w:val="54D05BB2"/>
    <w:rsid w:val="54D15E48"/>
    <w:rsid w:val="54D20290"/>
    <w:rsid w:val="54D67D81"/>
    <w:rsid w:val="54E87AB4"/>
    <w:rsid w:val="550101AA"/>
    <w:rsid w:val="55061CE8"/>
    <w:rsid w:val="550F3292"/>
    <w:rsid w:val="55104775"/>
    <w:rsid w:val="55173EF5"/>
    <w:rsid w:val="55213BF1"/>
    <w:rsid w:val="552542D2"/>
    <w:rsid w:val="55403826"/>
    <w:rsid w:val="55592760"/>
    <w:rsid w:val="55794BB0"/>
    <w:rsid w:val="557F21C6"/>
    <w:rsid w:val="557F3BF8"/>
    <w:rsid w:val="55886BA1"/>
    <w:rsid w:val="55915A56"/>
    <w:rsid w:val="559A78B2"/>
    <w:rsid w:val="55AA6B17"/>
    <w:rsid w:val="55BD2CEE"/>
    <w:rsid w:val="55C04C68"/>
    <w:rsid w:val="55C328FA"/>
    <w:rsid w:val="55C951EF"/>
    <w:rsid w:val="55D65B5E"/>
    <w:rsid w:val="55DB7EE4"/>
    <w:rsid w:val="55E069DD"/>
    <w:rsid w:val="55EB785C"/>
    <w:rsid w:val="55EE6D06"/>
    <w:rsid w:val="55F10BEA"/>
    <w:rsid w:val="55F83D27"/>
    <w:rsid w:val="56026953"/>
    <w:rsid w:val="56150435"/>
    <w:rsid w:val="563325B0"/>
    <w:rsid w:val="563B652C"/>
    <w:rsid w:val="56447AD9"/>
    <w:rsid w:val="56642D65"/>
    <w:rsid w:val="56644961"/>
    <w:rsid w:val="56691886"/>
    <w:rsid w:val="566B4549"/>
    <w:rsid w:val="566C29CD"/>
    <w:rsid w:val="5687524E"/>
    <w:rsid w:val="56905D0D"/>
    <w:rsid w:val="56921A85"/>
    <w:rsid w:val="569A6B8C"/>
    <w:rsid w:val="56BD76C2"/>
    <w:rsid w:val="56C3222C"/>
    <w:rsid w:val="56C82147"/>
    <w:rsid w:val="56C87B9D"/>
    <w:rsid w:val="56CA1A9C"/>
    <w:rsid w:val="56E878F7"/>
    <w:rsid w:val="56F55A83"/>
    <w:rsid w:val="56F664B8"/>
    <w:rsid w:val="56FE536D"/>
    <w:rsid w:val="5712700E"/>
    <w:rsid w:val="571903F8"/>
    <w:rsid w:val="571A43BF"/>
    <w:rsid w:val="57246ADE"/>
    <w:rsid w:val="57276214"/>
    <w:rsid w:val="573A3ECB"/>
    <w:rsid w:val="574A6804"/>
    <w:rsid w:val="574E3CA7"/>
    <w:rsid w:val="576158FB"/>
    <w:rsid w:val="57770C7B"/>
    <w:rsid w:val="577B4C0F"/>
    <w:rsid w:val="578A6C00"/>
    <w:rsid w:val="578F2469"/>
    <w:rsid w:val="57925AB5"/>
    <w:rsid w:val="57C87729"/>
    <w:rsid w:val="57CF2661"/>
    <w:rsid w:val="57D727E0"/>
    <w:rsid w:val="57E06B2A"/>
    <w:rsid w:val="57EA3B43"/>
    <w:rsid w:val="57F4051E"/>
    <w:rsid w:val="57FD73D2"/>
    <w:rsid w:val="580503C9"/>
    <w:rsid w:val="5814296E"/>
    <w:rsid w:val="5816571C"/>
    <w:rsid w:val="581D5B34"/>
    <w:rsid w:val="581F685D"/>
    <w:rsid w:val="583B7EFB"/>
    <w:rsid w:val="584E53FC"/>
    <w:rsid w:val="5866141B"/>
    <w:rsid w:val="5872595D"/>
    <w:rsid w:val="587A0A23"/>
    <w:rsid w:val="587A6C75"/>
    <w:rsid w:val="588673C8"/>
    <w:rsid w:val="58B51F64"/>
    <w:rsid w:val="58CD4FF7"/>
    <w:rsid w:val="58D520FD"/>
    <w:rsid w:val="58DF4D2A"/>
    <w:rsid w:val="58EB36CF"/>
    <w:rsid w:val="58F06F08"/>
    <w:rsid w:val="58F248FC"/>
    <w:rsid w:val="590E560F"/>
    <w:rsid w:val="59301A29"/>
    <w:rsid w:val="59372DB8"/>
    <w:rsid w:val="593908DE"/>
    <w:rsid w:val="593B4656"/>
    <w:rsid w:val="593E6B46"/>
    <w:rsid w:val="595B6AA6"/>
    <w:rsid w:val="595C61D5"/>
    <w:rsid w:val="596A4F3B"/>
    <w:rsid w:val="59741916"/>
    <w:rsid w:val="59871EFA"/>
    <w:rsid w:val="59961079"/>
    <w:rsid w:val="59AB3E45"/>
    <w:rsid w:val="59C05885"/>
    <w:rsid w:val="59C3464B"/>
    <w:rsid w:val="59D95C1D"/>
    <w:rsid w:val="59F70802"/>
    <w:rsid w:val="5A026F22"/>
    <w:rsid w:val="5A1A6CEB"/>
    <w:rsid w:val="5A274BDA"/>
    <w:rsid w:val="5A47527D"/>
    <w:rsid w:val="5A481A6A"/>
    <w:rsid w:val="5A530D01"/>
    <w:rsid w:val="5A537A69"/>
    <w:rsid w:val="5A551247"/>
    <w:rsid w:val="5A6951F3"/>
    <w:rsid w:val="5A7616BE"/>
    <w:rsid w:val="5A851901"/>
    <w:rsid w:val="5A905CD7"/>
    <w:rsid w:val="5A936E30"/>
    <w:rsid w:val="5A953685"/>
    <w:rsid w:val="5A963B0E"/>
    <w:rsid w:val="5A9B1124"/>
    <w:rsid w:val="5AB02E22"/>
    <w:rsid w:val="5AB32912"/>
    <w:rsid w:val="5ABA133E"/>
    <w:rsid w:val="5ABD72ED"/>
    <w:rsid w:val="5AC73CC7"/>
    <w:rsid w:val="5AD308BE"/>
    <w:rsid w:val="5AE0597A"/>
    <w:rsid w:val="5AEB3E5A"/>
    <w:rsid w:val="5B092B25"/>
    <w:rsid w:val="5B127639"/>
    <w:rsid w:val="5B3B6725"/>
    <w:rsid w:val="5B3B7914"/>
    <w:rsid w:val="5B4041A6"/>
    <w:rsid w:val="5B48305A"/>
    <w:rsid w:val="5B6360E6"/>
    <w:rsid w:val="5B641919"/>
    <w:rsid w:val="5B7A55BF"/>
    <w:rsid w:val="5B8723C2"/>
    <w:rsid w:val="5B9462A0"/>
    <w:rsid w:val="5B9E0ECC"/>
    <w:rsid w:val="5BA74225"/>
    <w:rsid w:val="5BA87F9D"/>
    <w:rsid w:val="5BAA161F"/>
    <w:rsid w:val="5BBA54B2"/>
    <w:rsid w:val="5BC528FD"/>
    <w:rsid w:val="5BC86642"/>
    <w:rsid w:val="5BCA2690"/>
    <w:rsid w:val="5BD65D53"/>
    <w:rsid w:val="5BE67F37"/>
    <w:rsid w:val="5BFD2097"/>
    <w:rsid w:val="5C073CD7"/>
    <w:rsid w:val="5C163158"/>
    <w:rsid w:val="5C341831"/>
    <w:rsid w:val="5C3B671B"/>
    <w:rsid w:val="5C442095"/>
    <w:rsid w:val="5C45759A"/>
    <w:rsid w:val="5C4A4BB0"/>
    <w:rsid w:val="5C4E7CAF"/>
    <w:rsid w:val="5C6921D2"/>
    <w:rsid w:val="5C69772C"/>
    <w:rsid w:val="5C7B2FBB"/>
    <w:rsid w:val="5C8207EE"/>
    <w:rsid w:val="5C8E2CEF"/>
    <w:rsid w:val="5C952E62"/>
    <w:rsid w:val="5C98591B"/>
    <w:rsid w:val="5CA40764"/>
    <w:rsid w:val="5CAB38A1"/>
    <w:rsid w:val="5CAE75C8"/>
    <w:rsid w:val="5CD5091E"/>
    <w:rsid w:val="5D0B1753"/>
    <w:rsid w:val="5D237AA4"/>
    <w:rsid w:val="5D4C0510"/>
    <w:rsid w:val="5D584DCA"/>
    <w:rsid w:val="5D5E32AB"/>
    <w:rsid w:val="5D656145"/>
    <w:rsid w:val="5D6F2B20"/>
    <w:rsid w:val="5D7A14C5"/>
    <w:rsid w:val="5D7A3273"/>
    <w:rsid w:val="5D7C34A4"/>
    <w:rsid w:val="5D8D11F8"/>
    <w:rsid w:val="5D942587"/>
    <w:rsid w:val="5DA768D4"/>
    <w:rsid w:val="5DA87DE0"/>
    <w:rsid w:val="5DB06C95"/>
    <w:rsid w:val="5DC32E6C"/>
    <w:rsid w:val="5DCD5A99"/>
    <w:rsid w:val="5DDC09E9"/>
    <w:rsid w:val="5DF94AE0"/>
    <w:rsid w:val="5E0A0A9B"/>
    <w:rsid w:val="5E0F7E5F"/>
    <w:rsid w:val="5E1611EE"/>
    <w:rsid w:val="5E2002BE"/>
    <w:rsid w:val="5E27164D"/>
    <w:rsid w:val="5E2A3E5C"/>
    <w:rsid w:val="5E2C27BF"/>
    <w:rsid w:val="5E2D4789"/>
    <w:rsid w:val="5E785A05"/>
    <w:rsid w:val="5E7B72A3"/>
    <w:rsid w:val="5E9B7945"/>
    <w:rsid w:val="5EA22A81"/>
    <w:rsid w:val="5EA40C24"/>
    <w:rsid w:val="5EA52572"/>
    <w:rsid w:val="5EA92062"/>
    <w:rsid w:val="5EAA1E65"/>
    <w:rsid w:val="5EB67C4E"/>
    <w:rsid w:val="5EBE2F3E"/>
    <w:rsid w:val="5EBF2243"/>
    <w:rsid w:val="5EDF5A84"/>
    <w:rsid w:val="5EE477F0"/>
    <w:rsid w:val="5EE47F1F"/>
    <w:rsid w:val="5F0279C4"/>
    <w:rsid w:val="5F0F6EA7"/>
    <w:rsid w:val="5F1F2324"/>
    <w:rsid w:val="5F38005A"/>
    <w:rsid w:val="5F4D50E3"/>
    <w:rsid w:val="5F610B8F"/>
    <w:rsid w:val="5F675A73"/>
    <w:rsid w:val="5F7A57AC"/>
    <w:rsid w:val="5F8264B2"/>
    <w:rsid w:val="5F85487D"/>
    <w:rsid w:val="5F91655E"/>
    <w:rsid w:val="5F996788"/>
    <w:rsid w:val="5FB32A6C"/>
    <w:rsid w:val="5FB76A00"/>
    <w:rsid w:val="5FC8476A"/>
    <w:rsid w:val="5FE1243E"/>
    <w:rsid w:val="5FEA46E0"/>
    <w:rsid w:val="5FFC4413"/>
    <w:rsid w:val="60082DB8"/>
    <w:rsid w:val="600F4147"/>
    <w:rsid w:val="601C4AB5"/>
    <w:rsid w:val="601C6864"/>
    <w:rsid w:val="6026216E"/>
    <w:rsid w:val="603851FF"/>
    <w:rsid w:val="604A1623"/>
    <w:rsid w:val="60504B25"/>
    <w:rsid w:val="606A75CF"/>
    <w:rsid w:val="606F6C09"/>
    <w:rsid w:val="607B17DC"/>
    <w:rsid w:val="608F7035"/>
    <w:rsid w:val="60936B26"/>
    <w:rsid w:val="60BB7E2A"/>
    <w:rsid w:val="60DF0DF4"/>
    <w:rsid w:val="60E05AE3"/>
    <w:rsid w:val="60EA6962"/>
    <w:rsid w:val="60EC4488"/>
    <w:rsid w:val="60F11A9E"/>
    <w:rsid w:val="60F46B68"/>
    <w:rsid w:val="60FB407F"/>
    <w:rsid w:val="60FD0443"/>
    <w:rsid w:val="61082B97"/>
    <w:rsid w:val="610F5B9A"/>
    <w:rsid w:val="61161505"/>
    <w:rsid w:val="611F6F3D"/>
    <w:rsid w:val="612400C6"/>
    <w:rsid w:val="61467F1B"/>
    <w:rsid w:val="614D20BD"/>
    <w:rsid w:val="61504A17"/>
    <w:rsid w:val="6162299C"/>
    <w:rsid w:val="616B35FF"/>
    <w:rsid w:val="616C020C"/>
    <w:rsid w:val="616C5544"/>
    <w:rsid w:val="617A1A94"/>
    <w:rsid w:val="617C3A5E"/>
    <w:rsid w:val="61811074"/>
    <w:rsid w:val="61941B7F"/>
    <w:rsid w:val="61945FD9"/>
    <w:rsid w:val="61AB4343"/>
    <w:rsid w:val="61AD1E69"/>
    <w:rsid w:val="61C251E9"/>
    <w:rsid w:val="61D373F6"/>
    <w:rsid w:val="61D90EB0"/>
    <w:rsid w:val="61D967BF"/>
    <w:rsid w:val="61DC44FC"/>
    <w:rsid w:val="61DC6B3A"/>
    <w:rsid w:val="61ED495B"/>
    <w:rsid w:val="62122F41"/>
    <w:rsid w:val="62214605"/>
    <w:rsid w:val="62225D4A"/>
    <w:rsid w:val="622C5484"/>
    <w:rsid w:val="624F1172"/>
    <w:rsid w:val="62514EEA"/>
    <w:rsid w:val="62516C98"/>
    <w:rsid w:val="62540537"/>
    <w:rsid w:val="625D128F"/>
    <w:rsid w:val="62675548"/>
    <w:rsid w:val="627604AD"/>
    <w:rsid w:val="627B1F67"/>
    <w:rsid w:val="628249B5"/>
    <w:rsid w:val="62867444"/>
    <w:rsid w:val="62A0377C"/>
    <w:rsid w:val="62BF00A6"/>
    <w:rsid w:val="62C0797A"/>
    <w:rsid w:val="62C84A81"/>
    <w:rsid w:val="62C864AE"/>
    <w:rsid w:val="62CF7BBD"/>
    <w:rsid w:val="62D03B5C"/>
    <w:rsid w:val="62DE6052"/>
    <w:rsid w:val="62EC076F"/>
    <w:rsid w:val="62EE3482"/>
    <w:rsid w:val="632B666D"/>
    <w:rsid w:val="63350368"/>
    <w:rsid w:val="63381C06"/>
    <w:rsid w:val="63416D0D"/>
    <w:rsid w:val="6345292E"/>
    <w:rsid w:val="635C1273"/>
    <w:rsid w:val="636A0DA9"/>
    <w:rsid w:val="636B30BC"/>
    <w:rsid w:val="638915D0"/>
    <w:rsid w:val="63A66B70"/>
    <w:rsid w:val="63A710E9"/>
    <w:rsid w:val="63DE1377"/>
    <w:rsid w:val="63E31B72"/>
    <w:rsid w:val="63EC49B5"/>
    <w:rsid w:val="63F91396"/>
    <w:rsid w:val="640A365A"/>
    <w:rsid w:val="640C3047"/>
    <w:rsid w:val="640F1388"/>
    <w:rsid w:val="64281C7B"/>
    <w:rsid w:val="64340620"/>
    <w:rsid w:val="645B2050"/>
    <w:rsid w:val="645B3DFE"/>
    <w:rsid w:val="64760C38"/>
    <w:rsid w:val="6481138B"/>
    <w:rsid w:val="64A01811"/>
    <w:rsid w:val="64A82DBC"/>
    <w:rsid w:val="64AD03D2"/>
    <w:rsid w:val="64B17EC2"/>
    <w:rsid w:val="64B4350F"/>
    <w:rsid w:val="64BB7692"/>
    <w:rsid w:val="64BD0615"/>
    <w:rsid w:val="64CE0433"/>
    <w:rsid w:val="64D91F3D"/>
    <w:rsid w:val="64F14A15"/>
    <w:rsid w:val="65006754"/>
    <w:rsid w:val="650730DA"/>
    <w:rsid w:val="65270184"/>
    <w:rsid w:val="652C12F7"/>
    <w:rsid w:val="653A7E8C"/>
    <w:rsid w:val="654416A1"/>
    <w:rsid w:val="655F548E"/>
    <w:rsid w:val="656A52FB"/>
    <w:rsid w:val="656C3548"/>
    <w:rsid w:val="65700669"/>
    <w:rsid w:val="65735178"/>
    <w:rsid w:val="65847385"/>
    <w:rsid w:val="65896749"/>
    <w:rsid w:val="65931376"/>
    <w:rsid w:val="65956E9C"/>
    <w:rsid w:val="65A10768"/>
    <w:rsid w:val="65AE5912"/>
    <w:rsid w:val="65C504AF"/>
    <w:rsid w:val="65CE6852"/>
    <w:rsid w:val="65D521FE"/>
    <w:rsid w:val="65D8322D"/>
    <w:rsid w:val="65ED7C94"/>
    <w:rsid w:val="65EE0CA2"/>
    <w:rsid w:val="65F04A1A"/>
    <w:rsid w:val="65FE7137"/>
    <w:rsid w:val="66101A71"/>
    <w:rsid w:val="6612673F"/>
    <w:rsid w:val="66196DE7"/>
    <w:rsid w:val="663469D1"/>
    <w:rsid w:val="66377F53"/>
    <w:rsid w:val="66417024"/>
    <w:rsid w:val="665A00E6"/>
    <w:rsid w:val="666130C7"/>
    <w:rsid w:val="666845B1"/>
    <w:rsid w:val="666A0329"/>
    <w:rsid w:val="666B30FC"/>
    <w:rsid w:val="666D7E19"/>
    <w:rsid w:val="66737BEF"/>
    <w:rsid w:val="66740704"/>
    <w:rsid w:val="667565E0"/>
    <w:rsid w:val="667A42E4"/>
    <w:rsid w:val="667E3DD4"/>
    <w:rsid w:val="667F14F6"/>
    <w:rsid w:val="668C531E"/>
    <w:rsid w:val="66973195"/>
    <w:rsid w:val="669A294B"/>
    <w:rsid w:val="66A51361"/>
    <w:rsid w:val="66A650D9"/>
    <w:rsid w:val="66A870A3"/>
    <w:rsid w:val="66AB0941"/>
    <w:rsid w:val="66B94E0C"/>
    <w:rsid w:val="66BB1946"/>
    <w:rsid w:val="66C17142"/>
    <w:rsid w:val="66D6776C"/>
    <w:rsid w:val="66EE7AE8"/>
    <w:rsid w:val="67317098"/>
    <w:rsid w:val="67375BBB"/>
    <w:rsid w:val="67397CFB"/>
    <w:rsid w:val="674D780B"/>
    <w:rsid w:val="675114E9"/>
    <w:rsid w:val="67580AC9"/>
    <w:rsid w:val="675E59B4"/>
    <w:rsid w:val="676F7BC1"/>
    <w:rsid w:val="67782D7F"/>
    <w:rsid w:val="6784541A"/>
    <w:rsid w:val="67876CB8"/>
    <w:rsid w:val="678E5BEE"/>
    <w:rsid w:val="679118E5"/>
    <w:rsid w:val="67987117"/>
    <w:rsid w:val="67B72BA3"/>
    <w:rsid w:val="67B81568"/>
    <w:rsid w:val="67EB086B"/>
    <w:rsid w:val="67F51E74"/>
    <w:rsid w:val="680227E3"/>
    <w:rsid w:val="680D7083"/>
    <w:rsid w:val="68327203"/>
    <w:rsid w:val="683F63B3"/>
    <w:rsid w:val="685968A7"/>
    <w:rsid w:val="686314D3"/>
    <w:rsid w:val="68703BF0"/>
    <w:rsid w:val="68745341"/>
    <w:rsid w:val="68763722"/>
    <w:rsid w:val="68906740"/>
    <w:rsid w:val="689773CF"/>
    <w:rsid w:val="68CF048B"/>
    <w:rsid w:val="68D4417F"/>
    <w:rsid w:val="68D91796"/>
    <w:rsid w:val="68E02B24"/>
    <w:rsid w:val="68E162F6"/>
    <w:rsid w:val="68E6198D"/>
    <w:rsid w:val="68EA5751"/>
    <w:rsid w:val="68F6059A"/>
    <w:rsid w:val="68F95994"/>
    <w:rsid w:val="690031C6"/>
    <w:rsid w:val="690E2DE0"/>
    <w:rsid w:val="6911701E"/>
    <w:rsid w:val="69224EEB"/>
    <w:rsid w:val="693B41FE"/>
    <w:rsid w:val="694D5CE0"/>
    <w:rsid w:val="696A6892"/>
    <w:rsid w:val="696B6C9C"/>
    <w:rsid w:val="696F3EA8"/>
    <w:rsid w:val="696F5C56"/>
    <w:rsid w:val="69733998"/>
    <w:rsid w:val="69804C34"/>
    <w:rsid w:val="699833FF"/>
    <w:rsid w:val="69A43B52"/>
    <w:rsid w:val="69A449B2"/>
    <w:rsid w:val="69A65340"/>
    <w:rsid w:val="69BB0E9B"/>
    <w:rsid w:val="69C02956"/>
    <w:rsid w:val="69C42446"/>
    <w:rsid w:val="69CB1149"/>
    <w:rsid w:val="69CB37D4"/>
    <w:rsid w:val="69D106BF"/>
    <w:rsid w:val="69E23671"/>
    <w:rsid w:val="6A0445F0"/>
    <w:rsid w:val="6A0C7949"/>
    <w:rsid w:val="6A1832F0"/>
    <w:rsid w:val="6A4B66C3"/>
    <w:rsid w:val="6A5A06B4"/>
    <w:rsid w:val="6A6B28C1"/>
    <w:rsid w:val="6A7B6335"/>
    <w:rsid w:val="6A7F636D"/>
    <w:rsid w:val="6A830498"/>
    <w:rsid w:val="6A8614A9"/>
    <w:rsid w:val="6A863F6D"/>
    <w:rsid w:val="6A8D4668"/>
    <w:rsid w:val="6A9736B6"/>
    <w:rsid w:val="6A99742E"/>
    <w:rsid w:val="6ABF5A82"/>
    <w:rsid w:val="6AC736B6"/>
    <w:rsid w:val="6AD246EE"/>
    <w:rsid w:val="6AD70591"/>
    <w:rsid w:val="6ADC556D"/>
    <w:rsid w:val="6ADF2E8D"/>
    <w:rsid w:val="6AE461D0"/>
    <w:rsid w:val="6AF262EA"/>
    <w:rsid w:val="6B0D1BCA"/>
    <w:rsid w:val="6B17268F"/>
    <w:rsid w:val="6B182A49"/>
    <w:rsid w:val="6B207688"/>
    <w:rsid w:val="6B252A70"/>
    <w:rsid w:val="6B286A04"/>
    <w:rsid w:val="6B2A713F"/>
    <w:rsid w:val="6B2D401B"/>
    <w:rsid w:val="6B2D47E7"/>
    <w:rsid w:val="6B362ECF"/>
    <w:rsid w:val="6B3929BF"/>
    <w:rsid w:val="6B3D5CD6"/>
    <w:rsid w:val="6B4207CF"/>
    <w:rsid w:val="6B451364"/>
    <w:rsid w:val="6B4B3B36"/>
    <w:rsid w:val="6B4B624F"/>
    <w:rsid w:val="6B5275DD"/>
    <w:rsid w:val="6B596466"/>
    <w:rsid w:val="6B60619E"/>
    <w:rsid w:val="6B633598"/>
    <w:rsid w:val="6B6932A5"/>
    <w:rsid w:val="6B6939B1"/>
    <w:rsid w:val="6B7E6624"/>
    <w:rsid w:val="6B8359E9"/>
    <w:rsid w:val="6B844E8A"/>
    <w:rsid w:val="6B8F438D"/>
    <w:rsid w:val="6BA77929"/>
    <w:rsid w:val="6BB12556"/>
    <w:rsid w:val="6BC4672D"/>
    <w:rsid w:val="6BC54253"/>
    <w:rsid w:val="6BCA046F"/>
    <w:rsid w:val="6BCA186A"/>
    <w:rsid w:val="6BCC3834"/>
    <w:rsid w:val="6BDF6A14"/>
    <w:rsid w:val="6BED6C25"/>
    <w:rsid w:val="6BF15048"/>
    <w:rsid w:val="6BFD669F"/>
    <w:rsid w:val="6C022DB1"/>
    <w:rsid w:val="6C07486C"/>
    <w:rsid w:val="6C14738D"/>
    <w:rsid w:val="6C152AE5"/>
    <w:rsid w:val="6C184383"/>
    <w:rsid w:val="6C360CAD"/>
    <w:rsid w:val="6C383D9C"/>
    <w:rsid w:val="6C436BF6"/>
    <w:rsid w:val="6C4E4249"/>
    <w:rsid w:val="6C52747B"/>
    <w:rsid w:val="6C591D36"/>
    <w:rsid w:val="6C5F6456"/>
    <w:rsid w:val="6C6406FB"/>
    <w:rsid w:val="6C7F4402"/>
    <w:rsid w:val="6C850101"/>
    <w:rsid w:val="6C8C37A3"/>
    <w:rsid w:val="6C9003BD"/>
    <w:rsid w:val="6C9C6D62"/>
    <w:rsid w:val="6CA420BB"/>
    <w:rsid w:val="6CAD0F6F"/>
    <w:rsid w:val="6CB369C5"/>
    <w:rsid w:val="6CBF5146"/>
    <w:rsid w:val="6CC87B57"/>
    <w:rsid w:val="6CE03ECA"/>
    <w:rsid w:val="6D147240"/>
    <w:rsid w:val="6D2154B9"/>
    <w:rsid w:val="6D275520"/>
    <w:rsid w:val="6D486EEA"/>
    <w:rsid w:val="6D4D49CF"/>
    <w:rsid w:val="6D51792F"/>
    <w:rsid w:val="6D550B29"/>
    <w:rsid w:val="6D5835D1"/>
    <w:rsid w:val="6D621D77"/>
    <w:rsid w:val="6D904A91"/>
    <w:rsid w:val="6DB9605E"/>
    <w:rsid w:val="6DC04CD2"/>
    <w:rsid w:val="6DD469CF"/>
    <w:rsid w:val="6DE309C1"/>
    <w:rsid w:val="6DEF7365"/>
    <w:rsid w:val="6DFC7823"/>
    <w:rsid w:val="6E027099"/>
    <w:rsid w:val="6E0C0963"/>
    <w:rsid w:val="6E2371FE"/>
    <w:rsid w:val="6E34121C"/>
    <w:rsid w:val="6E3F209B"/>
    <w:rsid w:val="6E5F098F"/>
    <w:rsid w:val="6E711527"/>
    <w:rsid w:val="6E71421E"/>
    <w:rsid w:val="6E7B50E1"/>
    <w:rsid w:val="6E7B6E4B"/>
    <w:rsid w:val="6E8421A4"/>
    <w:rsid w:val="6E85656F"/>
    <w:rsid w:val="6E8E6B7E"/>
    <w:rsid w:val="6EA2087C"/>
    <w:rsid w:val="6EA939B8"/>
    <w:rsid w:val="6EB1286D"/>
    <w:rsid w:val="6EB14DA4"/>
    <w:rsid w:val="6EBE15CC"/>
    <w:rsid w:val="6EC627BC"/>
    <w:rsid w:val="6ECD58F9"/>
    <w:rsid w:val="6EE635D2"/>
    <w:rsid w:val="6F086931"/>
    <w:rsid w:val="6F1E2564"/>
    <w:rsid w:val="6F202238"/>
    <w:rsid w:val="6F2B0871"/>
    <w:rsid w:val="6F3670AA"/>
    <w:rsid w:val="6F3B3C0A"/>
    <w:rsid w:val="6F433E0D"/>
    <w:rsid w:val="6F653D83"/>
    <w:rsid w:val="6F6618A9"/>
    <w:rsid w:val="6F6D294A"/>
    <w:rsid w:val="6F7C4FD9"/>
    <w:rsid w:val="6F7F4719"/>
    <w:rsid w:val="6F8561D3"/>
    <w:rsid w:val="6FA973ED"/>
    <w:rsid w:val="6FC116B3"/>
    <w:rsid w:val="6FCD7766"/>
    <w:rsid w:val="6FEF189F"/>
    <w:rsid w:val="6FF36ACE"/>
    <w:rsid w:val="6FF670D1"/>
    <w:rsid w:val="6FFD3FBC"/>
    <w:rsid w:val="6FFF2BCE"/>
    <w:rsid w:val="70001540"/>
    <w:rsid w:val="70057314"/>
    <w:rsid w:val="70253512"/>
    <w:rsid w:val="704D1660"/>
    <w:rsid w:val="70510B30"/>
    <w:rsid w:val="70531E2E"/>
    <w:rsid w:val="705838E8"/>
    <w:rsid w:val="705F07D2"/>
    <w:rsid w:val="706D25DF"/>
    <w:rsid w:val="70710506"/>
    <w:rsid w:val="7078380A"/>
    <w:rsid w:val="70785D38"/>
    <w:rsid w:val="70814BED"/>
    <w:rsid w:val="70862203"/>
    <w:rsid w:val="708B7819"/>
    <w:rsid w:val="709A7A5C"/>
    <w:rsid w:val="70BC5C25"/>
    <w:rsid w:val="70BD199D"/>
    <w:rsid w:val="70CE6331"/>
    <w:rsid w:val="70D72A5F"/>
    <w:rsid w:val="70E909E4"/>
    <w:rsid w:val="70EE7DA8"/>
    <w:rsid w:val="70F51137"/>
    <w:rsid w:val="70FC4273"/>
    <w:rsid w:val="71021EA5"/>
    <w:rsid w:val="71155335"/>
    <w:rsid w:val="7130216F"/>
    <w:rsid w:val="71364BC1"/>
    <w:rsid w:val="713C4FB8"/>
    <w:rsid w:val="714479C8"/>
    <w:rsid w:val="71453E6C"/>
    <w:rsid w:val="71566079"/>
    <w:rsid w:val="716D5171"/>
    <w:rsid w:val="717C6975"/>
    <w:rsid w:val="717C7162"/>
    <w:rsid w:val="717E2EDA"/>
    <w:rsid w:val="71851522"/>
    <w:rsid w:val="71881FAB"/>
    <w:rsid w:val="718B3849"/>
    <w:rsid w:val="71A072F4"/>
    <w:rsid w:val="71A62431"/>
    <w:rsid w:val="71A87F57"/>
    <w:rsid w:val="71AA0173"/>
    <w:rsid w:val="71B20DD6"/>
    <w:rsid w:val="71E35433"/>
    <w:rsid w:val="71EF3DD8"/>
    <w:rsid w:val="71F17B50"/>
    <w:rsid w:val="71F96A05"/>
    <w:rsid w:val="71FE04BF"/>
    <w:rsid w:val="72062ED0"/>
    <w:rsid w:val="721B4BCD"/>
    <w:rsid w:val="72324E14"/>
    <w:rsid w:val="7238752D"/>
    <w:rsid w:val="72423634"/>
    <w:rsid w:val="72440DCF"/>
    <w:rsid w:val="724E4FA2"/>
    <w:rsid w:val="72646574"/>
    <w:rsid w:val="72732BC1"/>
    <w:rsid w:val="727F0AC4"/>
    <w:rsid w:val="728409C4"/>
    <w:rsid w:val="72874010"/>
    <w:rsid w:val="72A050D2"/>
    <w:rsid w:val="72E044D5"/>
    <w:rsid w:val="72F53670"/>
    <w:rsid w:val="7309711B"/>
    <w:rsid w:val="731F25E1"/>
    <w:rsid w:val="73217FC1"/>
    <w:rsid w:val="73301B0B"/>
    <w:rsid w:val="733A1083"/>
    <w:rsid w:val="734704D0"/>
    <w:rsid w:val="73576F3C"/>
    <w:rsid w:val="7371736D"/>
    <w:rsid w:val="737970D6"/>
    <w:rsid w:val="73912EBD"/>
    <w:rsid w:val="73C31078"/>
    <w:rsid w:val="73C372CA"/>
    <w:rsid w:val="73C92407"/>
    <w:rsid w:val="73D6524F"/>
    <w:rsid w:val="73EB3463"/>
    <w:rsid w:val="74070859"/>
    <w:rsid w:val="740C16A3"/>
    <w:rsid w:val="740F250F"/>
    <w:rsid w:val="74145D78"/>
    <w:rsid w:val="742A7ABE"/>
    <w:rsid w:val="74312486"/>
    <w:rsid w:val="74343D24"/>
    <w:rsid w:val="74343F5B"/>
    <w:rsid w:val="74381A66"/>
    <w:rsid w:val="744321B9"/>
    <w:rsid w:val="74435076"/>
    <w:rsid w:val="744D4DE6"/>
    <w:rsid w:val="744D7589"/>
    <w:rsid w:val="7460720F"/>
    <w:rsid w:val="74620891"/>
    <w:rsid w:val="746E5488"/>
    <w:rsid w:val="746F2FAE"/>
    <w:rsid w:val="74715F31"/>
    <w:rsid w:val="747405C4"/>
    <w:rsid w:val="749649DF"/>
    <w:rsid w:val="7496678D"/>
    <w:rsid w:val="749B262E"/>
    <w:rsid w:val="749C274C"/>
    <w:rsid w:val="74A1611F"/>
    <w:rsid w:val="74AE3AD6"/>
    <w:rsid w:val="74C10F48"/>
    <w:rsid w:val="74CF1C9F"/>
    <w:rsid w:val="74D3353D"/>
    <w:rsid w:val="74D9476A"/>
    <w:rsid w:val="74E7348C"/>
    <w:rsid w:val="74EE1529"/>
    <w:rsid w:val="74EE6765"/>
    <w:rsid w:val="74F8738F"/>
    <w:rsid w:val="75023E22"/>
    <w:rsid w:val="7518696C"/>
    <w:rsid w:val="751D21C1"/>
    <w:rsid w:val="75204A12"/>
    <w:rsid w:val="75220020"/>
    <w:rsid w:val="75247492"/>
    <w:rsid w:val="752B5127"/>
    <w:rsid w:val="753C7334"/>
    <w:rsid w:val="753F0BD2"/>
    <w:rsid w:val="755102BF"/>
    <w:rsid w:val="75510906"/>
    <w:rsid w:val="75524DAA"/>
    <w:rsid w:val="75565720"/>
    <w:rsid w:val="755C3532"/>
    <w:rsid w:val="75630D65"/>
    <w:rsid w:val="7573644F"/>
    <w:rsid w:val="7584645D"/>
    <w:rsid w:val="7592164A"/>
    <w:rsid w:val="759F5B15"/>
    <w:rsid w:val="75A21FAA"/>
    <w:rsid w:val="75A373B3"/>
    <w:rsid w:val="75D831EF"/>
    <w:rsid w:val="75E672A0"/>
    <w:rsid w:val="760065B4"/>
    <w:rsid w:val="7616632D"/>
    <w:rsid w:val="76261D92"/>
    <w:rsid w:val="76286F0E"/>
    <w:rsid w:val="76344645"/>
    <w:rsid w:val="76426A7A"/>
    <w:rsid w:val="76432944"/>
    <w:rsid w:val="76592168"/>
    <w:rsid w:val="766823AB"/>
    <w:rsid w:val="766905FD"/>
    <w:rsid w:val="767E397C"/>
    <w:rsid w:val="76A038F3"/>
    <w:rsid w:val="76A80185"/>
    <w:rsid w:val="76B37ACA"/>
    <w:rsid w:val="76B850E0"/>
    <w:rsid w:val="76CC46E8"/>
    <w:rsid w:val="76CF41D8"/>
    <w:rsid w:val="76D13197"/>
    <w:rsid w:val="76DC7C2A"/>
    <w:rsid w:val="76F45266"/>
    <w:rsid w:val="76F75961"/>
    <w:rsid w:val="77020109"/>
    <w:rsid w:val="770519A8"/>
    <w:rsid w:val="771A18F7"/>
    <w:rsid w:val="771C566F"/>
    <w:rsid w:val="77476464"/>
    <w:rsid w:val="774E15A1"/>
    <w:rsid w:val="775070C7"/>
    <w:rsid w:val="77513928"/>
    <w:rsid w:val="775766A7"/>
    <w:rsid w:val="776072D9"/>
    <w:rsid w:val="77664B3C"/>
    <w:rsid w:val="77692D92"/>
    <w:rsid w:val="77731007"/>
    <w:rsid w:val="778154D2"/>
    <w:rsid w:val="778E5E41"/>
    <w:rsid w:val="77B5517C"/>
    <w:rsid w:val="77C16217"/>
    <w:rsid w:val="77C47AB5"/>
    <w:rsid w:val="77C53C34"/>
    <w:rsid w:val="77CB499F"/>
    <w:rsid w:val="77CE623E"/>
    <w:rsid w:val="77E53282"/>
    <w:rsid w:val="77F01BC2"/>
    <w:rsid w:val="77F15368"/>
    <w:rsid w:val="78016613"/>
    <w:rsid w:val="780240D6"/>
    <w:rsid w:val="780305DD"/>
    <w:rsid w:val="780A371A"/>
    <w:rsid w:val="780B3511"/>
    <w:rsid w:val="782C7B34"/>
    <w:rsid w:val="784B4D6A"/>
    <w:rsid w:val="7872306D"/>
    <w:rsid w:val="78827754"/>
    <w:rsid w:val="78866ABF"/>
    <w:rsid w:val="78874D6A"/>
    <w:rsid w:val="789D4B82"/>
    <w:rsid w:val="78AD1B9D"/>
    <w:rsid w:val="78AF42C1"/>
    <w:rsid w:val="78B35B5F"/>
    <w:rsid w:val="78BB1DEB"/>
    <w:rsid w:val="78BD078C"/>
    <w:rsid w:val="78CC4217"/>
    <w:rsid w:val="78CF4963"/>
    <w:rsid w:val="78D21D5D"/>
    <w:rsid w:val="78DB6E64"/>
    <w:rsid w:val="78DD0E2E"/>
    <w:rsid w:val="78F320B8"/>
    <w:rsid w:val="78F32400"/>
    <w:rsid w:val="79030169"/>
    <w:rsid w:val="79102FB2"/>
    <w:rsid w:val="79167E9C"/>
    <w:rsid w:val="792A1B99"/>
    <w:rsid w:val="792F40B6"/>
    <w:rsid w:val="79393B8B"/>
    <w:rsid w:val="7947274B"/>
    <w:rsid w:val="79507FD7"/>
    <w:rsid w:val="79554E68"/>
    <w:rsid w:val="796B643A"/>
    <w:rsid w:val="796C3F60"/>
    <w:rsid w:val="79751047"/>
    <w:rsid w:val="797D43BF"/>
    <w:rsid w:val="79863274"/>
    <w:rsid w:val="79877573"/>
    <w:rsid w:val="799D05BD"/>
    <w:rsid w:val="79A35019"/>
    <w:rsid w:val="79A951B4"/>
    <w:rsid w:val="79CE4C1B"/>
    <w:rsid w:val="79E9735F"/>
    <w:rsid w:val="79F91C98"/>
    <w:rsid w:val="7A13262E"/>
    <w:rsid w:val="7A2F56B9"/>
    <w:rsid w:val="7A390725"/>
    <w:rsid w:val="7A391673"/>
    <w:rsid w:val="7A495A8F"/>
    <w:rsid w:val="7A536490"/>
    <w:rsid w:val="7A5C5D83"/>
    <w:rsid w:val="7A645345"/>
    <w:rsid w:val="7A65732D"/>
    <w:rsid w:val="7A6F1F5A"/>
    <w:rsid w:val="7A725D8C"/>
    <w:rsid w:val="7A745707"/>
    <w:rsid w:val="7A7F77A4"/>
    <w:rsid w:val="7A8E3857"/>
    <w:rsid w:val="7A922676"/>
    <w:rsid w:val="7A97500D"/>
    <w:rsid w:val="7AA15E8B"/>
    <w:rsid w:val="7AB42531"/>
    <w:rsid w:val="7AB94F83"/>
    <w:rsid w:val="7AC878BC"/>
    <w:rsid w:val="7AD46E57"/>
    <w:rsid w:val="7ADE297D"/>
    <w:rsid w:val="7AEA5A84"/>
    <w:rsid w:val="7B000E04"/>
    <w:rsid w:val="7B022DCE"/>
    <w:rsid w:val="7B193C74"/>
    <w:rsid w:val="7B2014A6"/>
    <w:rsid w:val="7B2C4929"/>
    <w:rsid w:val="7B2D5625"/>
    <w:rsid w:val="7B2F5245"/>
    <w:rsid w:val="7B322A32"/>
    <w:rsid w:val="7B364826"/>
    <w:rsid w:val="7B39121D"/>
    <w:rsid w:val="7B3B1E3C"/>
    <w:rsid w:val="7B4A7231"/>
    <w:rsid w:val="7B5F1FCE"/>
    <w:rsid w:val="7B643141"/>
    <w:rsid w:val="7B851426"/>
    <w:rsid w:val="7BA36C72"/>
    <w:rsid w:val="7BA619AB"/>
    <w:rsid w:val="7BB2194B"/>
    <w:rsid w:val="7BD44756"/>
    <w:rsid w:val="7BD659DE"/>
    <w:rsid w:val="7C0A75AC"/>
    <w:rsid w:val="7C27396F"/>
    <w:rsid w:val="7C3074C7"/>
    <w:rsid w:val="7C3245B2"/>
    <w:rsid w:val="7C4371FA"/>
    <w:rsid w:val="7C46731F"/>
    <w:rsid w:val="7C572CA5"/>
    <w:rsid w:val="7C5C069A"/>
    <w:rsid w:val="7C7478B9"/>
    <w:rsid w:val="7C7B27EB"/>
    <w:rsid w:val="7C7C095E"/>
    <w:rsid w:val="7C7D2C09"/>
    <w:rsid w:val="7C9E6B26"/>
    <w:rsid w:val="7CA81753"/>
    <w:rsid w:val="7CAA075C"/>
    <w:rsid w:val="7CAA1027"/>
    <w:rsid w:val="7CAB734F"/>
    <w:rsid w:val="7CB2612E"/>
    <w:rsid w:val="7CB77E6C"/>
    <w:rsid w:val="7CBC6FAC"/>
    <w:rsid w:val="7CD048AA"/>
    <w:rsid w:val="7CD21CA4"/>
    <w:rsid w:val="7CE7227B"/>
    <w:rsid w:val="7CE86FC3"/>
    <w:rsid w:val="7CF9764F"/>
    <w:rsid w:val="7CFC55FB"/>
    <w:rsid w:val="7D00333D"/>
    <w:rsid w:val="7D0821F2"/>
    <w:rsid w:val="7D16490F"/>
    <w:rsid w:val="7D1B1F25"/>
    <w:rsid w:val="7D2A660C"/>
    <w:rsid w:val="7D350383"/>
    <w:rsid w:val="7D376E3C"/>
    <w:rsid w:val="7D440FC1"/>
    <w:rsid w:val="7D523A71"/>
    <w:rsid w:val="7D711B45"/>
    <w:rsid w:val="7D80622C"/>
    <w:rsid w:val="7D847ACA"/>
    <w:rsid w:val="7D913F95"/>
    <w:rsid w:val="7D985324"/>
    <w:rsid w:val="7D9A72EE"/>
    <w:rsid w:val="7D9B3066"/>
    <w:rsid w:val="7DBB7264"/>
    <w:rsid w:val="7DBF4FA6"/>
    <w:rsid w:val="7DF54524"/>
    <w:rsid w:val="7E02533C"/>
    <w:rsid w:val="7E040C0B"/>
    <w:rsid w:val="7E1C3341"/>
    <w:rsid w:val="7E4577B8"/>
    <w:rsid w:val="7E5435C9"/>
    <w:rsid w:val="7E5861CC"/>
    <w:rsid w:val="7E68119A"/>
    <w:rsid w:val="7E8A55B4"/>
    <w:rsid w:val="7E90249F"/>
    <w:rsid w:val="7E906943"/>
    <w:rsid w:val="7E9E5A62"/>
    <w:rsid w:val="7EA1645A"/>
    <w:rsid w:val="7EAA7A04"/>
    <w:rsid w:val="7EB919F5"/>
    <w:rsid w:val="7ED72A0A"/>
    <w:rsid w:val="7EF84FD8"/>
    <w:rsid w:val="7F2063D5"/>
    <w:rsid w:val="7F480FCB"/>
    <w:rsid w:val="7F5931D8"/>
    <w:rsid w:val="7F5D5059"/>
    <w:rsid w:val="7F5D547A"/>
    <w:rsid w:val="7F635CDA"/>
    <w:rsid w:val="7F71229F"/>
    <w:rsid w:val="7F7818B1"/>
    <w:rsid w:val="7F800765"/>
    <w:rsid w:val="7F8A5140"/>
    <w:rsid w:val="7F9D1317"/>
    <w:rsid w:val="7FA94E28"/>
    <w:rsid w:val="7FC05006"/>
    <w:rsid w:val="7FC801F6"/>
    <w:rsid w:val="7FDD5BB8"/>
    <w:rsid w:val="7FDF723A"/>
    <w:rsid w:val="7FEA5BDF"/>
    <w:rsid w:val="7FFD18D5"/>
    <w:rsid w:val="7FFD5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qFormat="1"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qFormat="1" w:uiPriority="99"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iPriority="99"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2"/>
    <w:basedOn w:val="1"/>
    <w:next w:val="1"/>
    <w:qFormat/>
    <w:uiPriority w:val="0"/>
    <w:pPr>
      <w:keepNext/>
      <w:keepLines/>
      <w:tabs>
        <w:tab w:val="left" w:pos="1080"/>
      </w:tabs>
      <w:spacing w:before="260" w:after="260" w:line="416" w:lineRule="auto"/>
      <w:outlineLvl w:val="1"/>
    </w:pPr>
    <w:rPr>
      <w:rFonts w:ascii="Arial Black" w:hAnsi="Arial Black" w:eastAsia="黑体"/>
      <w:b/>
      <w:bCs/>
      <w:sz w:val="32"/>
      <w:szCs w:val="32"/>
    </w:rPr>
  </w:style>
  <w:style w:type="paragraph" w:styleId="6">
    <w:name w:val="heading 3"/>
    <w:basedOn w:val="1"/>
    <w:next w:val="1"/>
    <w:qFormat/>
    <w:uiPriority w:val="0"/>
    <w:pPr>
      <w:keepNext/>
      <w:keepLines/>
      <w:tabs>
        <w:tab w:val="left" w:pos="720"/>
      </w:tabs>
      <w:spacing w:line="360" w:lineRule="auto"/>
      <w:ind w:left="720" w:hanging="432"/>
      <w:outlineLvl w:val="2"/>
    </w:pPr>
    <w:rPr>
      <w:b/>
      <w:bCs/>
      <w:sz w:val="24"/>
      <w:szCs w:val="32"/>
    </w:rPr>
  </w:style>
  <w:style w:type="paragraph" w:styleId="7">
    <w:name w:val="heading 4"/>
    <w:basedOn w:val="1"/>
    <w:next w:val="8"/>
    <w:qFormat/>
    <w:uiPriority w:val="0"/>
    <w:pPr>
      <w:keepNext/>
      <w:keepLines/>
      <w:ind w:firstLine="420" w:firstLineChars="150"/>
      <w:outlineLvl w:val="3"/>
    </w:pPr>
    <w:rPr>
      <w:rFonts w:ascii="Arial" w:hAnsi="Arial" w:cs="Arial"/>
      <w:b/>
      <w:sz w:val="28"/>
      <w:szCs w:val="28"/>
    </w:rPr>
  </w:style>
  <w:style w:type="character" w:default="1" w:styleId="25">
    <w:name w:val="Default Paragraph Font"/>
    <w:semiHidden/>
    <w:qFormat/>
    <w:uiPriority w:val="0"/>
  </w:style>
  <w:style w:type="table" w:default="1" w:styleId="23">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0"/>
    <w:pPr>
      <w:spacing w:after="120" w:line="240" w:lineRule="auto"/>
      <w:ind w:left="420" w:leftChars="200" w:firstLine="420"/>
    </w:pPr>
    <w:rPr>
      <w:sz w:val="21"/>
    </w:rPr>
  </w:style>
  <w:style w:type="paragraph" w:styleId="3">
    <w:name w:val="Body Text Indent"/>
    <w:basedOn w:val="1"/>
    <w:qFormat/>
    <w:uiPriority w:val="0"/>
    <w:pPr>
      <w:spacing w:line="360" w:lineRule="auto"/>
      <w:ind w:firstLine="560" w:firstLineChars="200"/>
    </w:pPr>
    <w:rPr>
      <w:sz w:val="28"/>
    </w:rPr>
  </w:style>
  <w:style w:type="paragraph" w:styleId="8">
    <w:name w:val="Normal Indent"/>
    <w:basedOn w:val="1"/>
    <w:next w:val="1"/>
    <w:qFormat/>
    <w:uiPriority w:val="0"/>
    <w:pPr>
      <w:ind w:firstLine="420"/>
    </w:pPr>
  </w:style>
  <w:style w:type="paragraph" w:styleId="9">
    <w:name w:val="toa heading"/>
    <w:basedOn w:val="1"/>
    <w:next w:val="1"/>
    <w:qFormat/>
    <w:uiPriority w:val="0"/>
    <w:pPr>
      <w:spacing w:before="120"/>
    </w:pPr>
    <w:rPr>
      <w:rFonts w:ascii="Cambria" w:hAnsi="Cambria" w:cs="Times New Roman"/>
      <w:sz w:val="24"/>
      <w:szCs w:val="24"/>
    </w:rPr>
  </w:style>
  <w:style w:type="paragraph" w:styleId="10">
    <w:name w:val="annotation text"/>
    <w:basedOn w:val="1"/>
    <w:semiHidden/>
    <w:qFormat/>
    <w:uiPriority w:val="0"/>
    <w:pPr>
      <w:jc w:val="left"/>
    </w:pPr>
  </w:style>
  <w:style w:type="paragraph" w:styleId="11">
    <w:name w:val="Body Text 3"/>
    <w:basedOn w:val="1"/>
    <w:qFormat/>
    <w:uiPriority w:val="99"/>
    <w:pPr>
      <w:spacing w:after="120"/>
    </w:pPr>
    <w:rPr>
      <w:sz w:val="16"/>
      <w:szCs w:val="16"/>
    </w:rPr>
  </w:style>
  <w:style w:type="paragraph" w:styleId="12">
    <w:name w:val="Body Text"/>
    <w:basedOn w:val="1"/>
    <w:next w:val="1"/>
    <w:qFormat/>
    <w:uiPriority w:val="0"/>
    <w:pPr>
      <w:spacing w:after="120"/>
    </w:pPr>
  </w:style>
  <w:style w:type="paragraph" w:styleId="13">
    <w:name w:val="HTML Address"/>
    <w:basedOn w:val="1"/>
    <w:next w:val="12"/>
    <w:unhideWhenUsed/>
    <w:qFormat/>
    <w:uiPriority w:val="99"/>
    <w:pPr>
      <w:topLinePunct/>
    </w:pPr>
  </w:style>
  <w:style w:type="paragraph" w:styleId="14">
    <w:name w:val="Plain Text"/>
    <w:basedOn w:val="1"/>
    <w:qFormat/>
    <w:uiPriority w:val="0"/>
    <w:rPr>
      <w:rFonts w:ascii="宋体" w:hAnsi="Courier New"/>
    </w:rPr>
  </w:style>
  <w:style w:type="paragraph" w:styleId="15">
    <w:name w:val="footer"/>
    <w:basedOn w:val="1"/>
    <w:qFormat/>
    <w:uiPriority w:val="99"/>
    <w:pPr>
      <w:tabs>
        <w:tab w:val="center" w:pos="4153"/>
        <w:tab w:val="right" w:pos="8306"/>
      </w:tabs>
      <w:snapToGrid w:val="0"/>
      <w:jc w:val="left"/>
    </w:pPr>
    <w:rPr>
      <w:sz w:val="18"/>
    </w:rPr>
  </w:style>
  <w:style w:type="paragraph" w:styleId="16">
    <w:name w:val="header"/>
    <w:basedOn w:val="1"/>
    <w:qFormat/>
    <w:uiPriority w:val="99"/>
    <w:pPr>
      <w:pBdr>
        <w:bottom w:val="single" w:color="auto" w:sz="6" w:space="1"/>
      </w:pBdr>
      <w:tabs>
        <w:tab w:val="center" w:pos="4153"/>
        <w:tab w:val="right" w:pos="8306"/>
      </w:tabs>
      <w:snapToGrid w:val="0"/>
      <w:jc w:val="center"/>
    </w:pPr>
    <w:rPr>
      <w:sz w:val="18"/>
    </w:rPr>
  </w:style>
  <w:style w:type="paragraph" w:styleId="17">
    <w:name w:val="toc 1"/>
    <w:basedOn w:val="1"/>
    <w:next w:val="1"/>
    <w:qFormat/>
    <w:uiPriority w:val="0"/>
  </w:style>
  <w:style w:type="paragraph" w:styleId="18">
    <w:name w:val="footnote text"/>
    <w:basedOn w:val="1"/>
    <w:next w:val="12"/>
    <w:qFormat/>
    <w:uiPriority w:val="0"/>
    <w:pPr>
      <w:adjustRightInd w:val="0"/>
      <w:snapToGrid w:val="0"/>
      <w:spacing w:line="312" w:lineRule="atLeast"/>
      <w:jc w:val="left"/>
      <w:textAlignment w:val="baseline"/>
    </w:pPr>
    <w:rPr>
      <w:rFonts w:eastAsia="仿宋"/>
      <w:kern w:val="0"/>
      <w:sz w:val="18"/>
      <w:szCs w:val="18"/>
    </w:rPr>
  </w:style>
  <w:style w:type="paragraph" w:styleId="19">
    <w:name w:val="toc 2"/>
    <w:basedOn w:val="1"/>
    <w:next w:val="1"/>
    <w:qFormat/>
    <w:uiPriority w:val="39"/>
    <w:pPr>
      <w:ind w:left="420" w:leftChars="200"/>
    </w:pPr>
    <w:rPr>
      <w:rFonts w:cs="Angsana New"/>
      <w:lang w:bidi="th-TH"/>
    </w:rPr>
  </w:style>
  <w:style w:type="paragraph" w:styleId="20">
    <w:name w:val="Body Text 2"/>
    <w:basedOn w:val="1"/>
    <w:unhideWhenUsed/>
    <w:qFormat/>
    <w:uiPriority w:val="99"/>
    <w:pPr>
      <w:spacing w:line="360" w:lineRule="auto"/>
      <w:ind w:firstLine="0" w:firstLineChars="0"/>
    </w:pPr>
  </w:style>
  <w:style w:type="paragraph" w:styleId="21">
    <w:name w:val="Normal (Web)"/>
    <w:basedOn w:val="1"/>
    <w:next w:val="1"/>
    <w:qFormat/>
    <w:uiPriority w:val="99"/>
    <w:pPr>
      <w:widowControl/>
      <w:spacing w:before="100" w:beforeAutospacing="1" w:after="100" w:afterAutospacing="1"/>
      <w:jc w:val="left"/>
    </w:pPr>
    <w:rPr>
      <w:rFonts w:ascii="宋体" w:hAnsi="宋体"/>
      <w:kern w:val="0"/>
      <w:sz w:val="24"/>
      <w:szCs w:val="24"/>
    </w:rPr>
  </w:style>
  <w:style w:type="paragraph" w:styleId="22">
    <w:name w:val="Body Text First Indent"/>
    <w:basedOn w:val="12"/>
    <w:next w:val="1"/>
    <w:qFormat/>
    <w:uiPriority w:val="0"/>
    <w:pPr>
      <w:widowControl/>
      <w:ind w:firstLine="420"/>
      <w:jc w:val="left"/>
    </w:pPr>
    <w:rPr>
      <w:kern w:val="0"/>
      <w:sz w:val="20"/>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b/>
    </w:rPr>
  </w:style>
  <w:style w:type="character" w:styleId="27">
    <w:name w:val="page number"/>
    <w:basedOn w:val="25"/>
    <w:qFormat/>
    <w:uiPriority w:val="0"/>
  </w:style>
  <w:style w:type="character" w:styleId="28">
    <w:name w:val="Hyperlink"/>
    <w:basedOn w:val="25"/>
    <w:qFormat/>
    <w:uiPriority w:val="0"/>
    <w:rPr>
      <w:color w:val="0000FF"/>
      <w:u w:val="single"/>
    </w:rPr>
  </w:style>
  <w:style w:type="character" w:styleId="29">
    <w:name w:val="HTML Sample"/>
    <w:basedOn w:val="25"/>
    <w:qFormat/>
    <w:uiPriority w:val="0"/>
    <w:rPr>
      <w:rFonts w:ascii="Courier New" w:hAnsi="Courier New"/>
    </w:rPr>
  </w:style>
  <w:style w:type="paragraph" w:customStyle="1" w:styleId="30">
    <w:name w:val="Default"/>
    <w:qFormat/>
    <w:uiPriority w:val="0"/>
    <w:pPr>
      <w:widowControl w:val="0"/>
      <w:autoSpaceDE w:val="0"/>
      <w:autoSpaceDN w:val="0"/>
      <w:adjustRightInd w:val="0"/>
    </w:pPr>
    <w:rPr>
      <w:rFonts w:ascii="黑体" w:hAnsi="Calibri" w:eastAsia="黑体" w:cs="Times New Roman"/>
      <w:lang w:val="en-US" w:eastAsia="zh-CN" w:bidi="ar-SA"/>
    </w:rPr>
  </w:style>
  <w:style w:type="paragraph" w:customStyle="1" w:styleId="31">
    <w:name w:val="正文1"/>
    <w:qFormat/>
    <w:uiPriority w:val="0"/>
    <w:pPr>
      <w:widowControl w:val="0"/>
      <w:adjustRightInd w:val="0"/>
      <w:spacing w:line="360" w:lineRule="atLeast"/>
      <w:textAlignment w:val="baseline"/>
    </w:pPr>
    <w:rPr>
      <w:rFonts w:hint="eastAsia" w:ascii="宋体" w:hAnsi="Times New Roman" w:eastAsia="宋体" w:cs="Times New Roman"/>
      <w:sz w:val="34"/>
      <w:lang w:val="en-US" w:eastAsia="zh-CN" w:bidi="ar-SA"/>
    </w:rPr>
  </w:style>
  <w:style w:type="paragraph" w:customStyle="1" w:styleId="32">
    <w:name w:val="Char1"/>
    <w:basedOn w:val="1"/>
    <w:qFormat/>
    <w:uiPriority w:val="0"/>
    <w:rPr>
      <w:szCs w:val="21"/>
    </w:rPr>
  </w:style>
  <w:style w:type="paragraph" w:styleId="33">
    <w:name w:val="List Paragraph"/>
    <w:basedOn w:val="1"/>
    <w:qFormat/>
    <w:uiPriority w:val="99"/>
    <w:pPr>
      <w:ind w:firstLine="420" w:firstLineChars="200"/>
    </w:pPr>
  </w:style>
  <w:style w:type="paragraph" w:customStyle="1" w:styleId="34">
    <w:name w:val="标书正文"/>
    <w:basedOn w:val="1"/>
    <w:qFormat/>
    <w:uiPriority w:val="0"/>
    <w:pPr>
      <w:spacing w:line="560" w:lineRule="exact"/>
      <w:ind w:firstLine="723" w:firstLineChars="200"/>
      <w:jc w:val="center"/>
    </w:pPr>
    <w:rPr>
      <w:rFonts w:ascii="仿宋_GB2312" w:eastAsia="仿宋_GB2312"/>
      <w:b/>
      <w:sz w:val="36"/>
      <w:szCs w:val="24"/>
    </w:rPr>
  </w:style>
  <w:style w:type="paragraph" w:customStyle="1" w:styleId="35">
    <w:name w:val="_Style 7"/>
    <w:basedOn w:val="1"/>
    <w:qFormat/>
    <w:uiPriority w:val="0"/>
    <w:pPr>
      <w:tabs>
        <w:tab w:val="left" w:pos="360"/>
      </w:tabs>
      <w:ind w:firstLine="420" w:firstLineChars="150"/>
    </w:pPr>
    <w:rPr>
      <w:rFonts w:ascii="Arial" w:hAnsi="Arial" w:cs="Arial"/>
      <w:sz w:val="20"/>
    </w:rPr>
  </w:style>
  <w:style w:type="paragraph" w:customStyle="1" w:styleId="36">
    <w:name w:val="缺省文本"/>
    <w:qFormat/>
    <w:uiPriority w:val="0"/>
    <w:pPr>
      <w:widowControl w:val="0"/>
      <w:autoSpaceDE w:val="0"/>
      <w:autoSpaceDN w:val="0"/>
      <w:adjustRightInd w:val="0"/>
    </w:pPr>
    <w:rPr>
      <w:rFonts w:ascii="Times New Roman" w:hAnsi="Times New Roman" w:eastAsia="宋体" w:cs="Times New Roman"/>
      <w:color w:val="000000"/>
      <w:sz w:val="24"/>
      <w:lang w:val="en-US" w:eastAsia="zh-CN" w:bidi="ar-SA"/>
    </w:rPr>
  </w:style>
  <w:style w:type="character" w:customStyle="1" w:styleId="37">
    <w:name w:val="font21"/>
    <w:basedOn w:val="25"/>
    <w:qFormat/>
    <w:uiPriority w:val="0"/>
    <w:rPr>
      <w:rFonts w:hint="eastAsia" w:ascii="宋体" w:hAnsi="宋体" w:eastAsia="宋体" w:cs="宋体"/>
      <w:color w:val="000000"/>
      <w:sz w:val="20"/>
      <w:szCs w:val="20"/>
      <w:u w:val="none"/>
      <w:vertAlign w:val="superscript"/>
    </w:rPr>
  </w:style>
  <w:style w:type="paragraph" w:customStyle="1" w:styleId="38">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9">
    <w:name w:val="WPSOffice手动目录 1"/>
    <w:qFormat/>
    <w:uiPriority w:val="0"/>
    <w:pPr>
      <w:ind w:leftChars="0"/>
    </w:pPr>
    <w:rPr>
      <w:rFonts w:asciiTheme="minorHAnsi" w:hAnsiTheme="minorHAnsi" w:eastAsiaTheme="minorEastAsia" w:cstheme="minorBidi"/>
      <w:sz w:val="20"/>
      <w:szCs w:val="20"/>
    </w:rPr>
  </w:style>
  <w:style w:type="character" w:customStyle="1" w:styleId="40">
    <w:name w:val="font61"/>
    <w:basedOn w:val="25"/>
    <w:qFormat/>
    <w:uiPriority w:val="0"/>
    <w:rPr>
      <w:rFonts w:hint="eastAsia" w:ascii="宋体" w:hAnsi="宋体" w:eastAsia="宋体" w:cs="宋体"/>
      <w:color w:val="000000"/>
      <w:sz w:val="20"/>
      <w:szCs w:val="20"/>
      <w:u w:val="none"/>
    </w:rPr>
  </w:style>
  <w:style w:type="paragraph" w:customStyle="1" w:styleId="4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2">
    <w:name w:val="样式 样式 样式 样式 标题 2 + 宋体 五号 非加粗 黑色 + 段前: 6 磅 段后: 0 磅 行距: 单倍行距 + 段前:..."/>
    <w:basedOn w:val="1"/>
    <w:qFormat/>
    <w:uiPriority w:val="0"/>
    <w:pPr>
      <w:keepNext/>
      <w:keepLines/>
      <w:adjustRightInd w:val="0"/>
      <w:spacing w:before="240"/>
      <w:textAlignment w:val="baseline"/>
      <w:outlineLvl w:val="1"/>
    </w:pPr>
    <w:rPr>
      <w:rFonts w:ascii="宋体" w:hAnsi="宋体"/>
      <w:b/>
      <w:bCs/>
      <w:kern w:val="0"/>
      <w:szCs w:val="20"/>
    </w:rPr>
  </w:style>
  <w:style w:type="paragraph" w:customStyle="1" w:styleId="43">
    <w:name w:val="样式1"/>
    <w:basedOn w:val="1"/>
    <w:qFormat/>
    <w:uiPriority w:val="0"/>
    <w:pPr>
      <w:tabs>
        <w:tab w:val="left" w:pos="480"/>
      </w:tabs>
      <w:adjustRightInd w:val="0"/>
      <w:ind w:left="480" w:hanging="480"/>
      <w:textAlignment w:val="baseline"/>
    </w:pPr>
    <w:rPr>
      <w:rFonts w:ascii="宋体" w:hAnsi="宋体"/>
      <w:kern w:val="0"/>
      <w:szCs w:val="21"/>
    </w:rPr>
  </w:style>
  <w:style w:type="character" w:customStyle="1" w:styleId="44">
    <w:name w:val="font01"/>
    <w:basedOn w:val="25"/>
    <w:qFormat/>
    <w:uiPriority w:val="0"/>
    <w:rPr>
      <w:rFonts w:hint="eastAsia" w:ascii="宋体" w:hAnsi="宋体" w:eastAsia="宋体" w:cs="宋体"/>
      <w:color w:val="000000"/>
      <w:sz w:val="20"/>
      <w:szCs w:val="20"/>
      <w:u w:val="none"/>
    </w:rPr>
  </w:style>
  <w:style w:type="character" w:customStyle="1" w:styleId="45">
    <w:name w:val="font11"/>
    <w:basedOn w:val="25"/>
    <w:qFormat/>
    <w:uiPriority w:val="0"/>
    <w:rPr>
      <w:rFonts w:hint="eastAsia" w:ascii="宋体" w:hAnsi="宋体" w:eastAsia="宋体" w:cs="宋体"/>
      <w:color w:val="000000"/>
      <w:sz w:val="20"/>
      <w:szCs w:val="20"/>
      <w:u w:val="none"/>
    </w:rPr>
  </w:style>
  <w:style w:type="character" w:customStyle="1" w:styleId="46">
    <w:name w:val="font81"/>
    <w:basedOn w:val="25"/>
    <w:qFormat/>
    <w:uiPriority w:val="0"/>
    <w:rPr>
      <w:rFonts w:ascii="Calibri" w:hAnsi="Calibri" w:cs="Calibri"/>
      <w:color w:val="000000"/>
      <w:sz w:val="20"/>
      <w:szCs w:val="20"/>
      <w:u w:val="none"/>
    </w:rPr>
  </w:style>
  <w:style w:type="table" w:customStyle="1" w:styleId="47">
    <w:name w:val="网格型1"/>
    <w:basedOn w:val="23"/>
    <w:qFormat/>
    <w:uiPriority w:val="99"/>
    <w:rPr>
      <w:rFonts w:ascii="Calibri" w:hAnsi="Calibri"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48">
    <w:name w:val="font91"/>
    <w:basedOn w:val="25"/>
    <w:qFormat/>
    <w:uiPriority w:val="0"/>
    <w:rPr>
      <w:rFonts w:hint="eastAsia" w:ascii="宋体" w:hAnsi="宋体" w:eastAsia="宋体" w:cs="宋体"/>
      <w:color w:val="000000"/>
      <w:sz w:val="20"/>
      <w:szCs w:val="20"/>
      <w:u w:val="none"/>
    </w:rPr>
  </w:style>
  <w:style w:type="character" w:customStyle="1" w:styleId="49">
    <w:name w:val="font41"/>
    <w:basedOn w:val="25"/>
    <w:qFormat/>
    <w:uiPriority w:val="0"/>
    <w:rPr>
      <w:rFonts w:hint="eastAsia" w:ascii="宋体" w:hAnsi="宋体" w:eastAsia="宋体" w:cs="宋体"/>
      <w:color w:val="000000"/>
      <w:sz w:val="22"/>
      <w:szCs w:val="22"/>
      <w:u w:val="none"/>
    </w:rPr>
  </w:style>
  <w:style w:type="character" w:customStyle="1" w:styleId="50">
    <w:name w:val="font101"/>
    <w:basedOn w:val="25"/>
    <w:qFormat/>
    <w:uiPriority w:val="0"/>
    <w:rPr>
      <w:rFonts w:hint="default" w:ascii="Calibri" w:hAnsi="Calibri" w:cs="Calibri"/>
      <w:color w:val="000000"/>
      <w:sz w:val="22"/>
      <w:szCs w:val="22"/>
      <w:u w:val="none"/>
    </w:rPr>
  </w:style>
  <w:style w:type="character" w:customStyle="1" w:styleId="51">
    <w:name w:val="font51"/>
    <w:basedOn w:val="25"/>
    <w:qFormat/>
    <w:uiPriority w:val="0"/>
    <w:rPr>
      <w:rFonts w:hint="eastAsia" w:ascii="宋体" w:hAnsi="宋体" w:eastAsia="宋体" w:cs="宋体"/>
      <w:color w:val="000000"/>
      <w:sz w:val="22"/>
      <w:szCs w:val="22"/>
      <w:u w:val="none"/>
    </w:rPr>
  </w:style>
  <w:style w:type="character" w:customStyle="1" w:styleId="52">
    <w:name w:val="font71"/>
    <w:basedOn w:val="25"/>
    <w:qFormat/>
    <w:uiPriority w:val="0"/>
    <w:rPr>
      <w:rFonts w:hint="eastAsia" w:ascii="宋体" w:hAnsi="宋体" w:eastAsia="宋体" w:cs="宋体"/>
      <w:color w:val="000000"/>
      <w:sz w:val="20"/>
      <w:szCs w:val="20"/>
      <w:u w:val="none"/>
    </w:rPr>
  </w:style>
  <w:style w:type="character" w:customStyle="1" w:styleId="53">
    <w:name w:val="NormalCharacter"/>
    <w:qFormat/>
    <w:uiPriority w:val="0"/>
    <w:rPr>
      <w:kern w:val="2"/>
      <w:sz w:val="21"/>
      <w:szCs w:val="24"/>
      <w:lang w:val="en-US" w:eastAsia="zh-CN" w:bidi="ar-SA"/>
    </w:rPr>
  </w:style>
  <w:style w:type="table" w:customStyle="1" w:styleId="54">
    <w:name w:val="Table Normal"/>
    <w:semiHidden/>
    <w:unhideWhenUsed/>
    <w:qFormat/>
    <w:uiPriority w:val="0"/>
    <w:tblPr>
      <w:tblCellMar>
        <w:top w:w="0" w:type="dxa"/>
        <w:left w:w="0" w:type="dxa"/>
        <w:bottom w:w="0" w:type="dxa"/>
        <w:right w:w="0" w:type="dxa"/>
      </w:tblCellMar>
    </w:tblPr>
  </w:style>
  <w:style w:type="paragraph" w:customStyle="1" w:styleId="55">
    <w:name w:val="Table Text"/>
    <w:basedOn w:val="1"/>
    <w:semiHidden/>
    <w:qFormat/>
    <w:uiPriority w:val="0"/>
    <w:rPr>
      <w:rFonts w:ascii="Arial" w:hAnsi="Arial" w:eastAsia="Arial" w:cs="Arial"/>
      <w:sz w:val="21"/>
      <w:szCs w:val="21"/>
      <w:lang w:val="en-US" w:eastAsia="en-US" w:bidi="ar-SA"/>
    </w:rPr>
  </w:style>
  <w:style w:type="paragraph" w:customStyle="1" w:styleId="56">
    <w:name w:val="_Style 2"/>
    <w:basedOn w:val="1"/>
    <w:qFormat/>
    <w:uiPriority w:val="0"/>
    <w:pPr>
      <w:ind w:firstLine="420" w:firstLineChars="200"/>
    </w:pPr>
    <w:rPr>
      <w:szCs w:val="24"/>
    </w:rPr>
  </w:style>
  <w:style w:type="paragraph" w:customStyle="1" w:styleId="57">
    <w:name w:val="Table Paragraph"/>
    <w:basedOn w:val="1"/>
    <w:qFormat/>
    <w:uiPriority w:val="1"/>
    <w:pPr>
      <w:jc w:val="left"/>
    </w:pPr>
    <w:rPr>
      <w:rFonts w:ascii="宋体" w:hAnsi="宋体" w:cs="宋体"/>
      <w:kern w:val="0"/>
      <w:sz w:val="22"/>
      <w:szCs w:val="22"/>
      <w:lang w:eastAsia="en-US"/>
    </w:rPr>
  </w:style>
  <w:style w:type="paragraph" w:customStyle="1" w:styleId="58">
    <w:name w:val="?????????????????¡ì?????????????????????????¡ì?????????????????????????¡§????????????????????????¡ì??????????????????????¡ì????????????????????????¡ì????????o????????????????????¡§????????????????????????¡ì??????????????????????¡ì????????"/>
    <w:basedOn w:val="1"/>
    <w:qFormat/>
    <w:uiPriority w:val="0"/>
    <w:pPr>
      <w:jc w:val="left"/>
    </w:pPr>
    <w:rPr>
      <w:rFonts w:ascii="Times New Roman" w:hAnsi="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63</Pages>
  <Words>34803</Words>
  <Characters>37192</Characters>
  <Lines>0</Lines>
  <Paragraphs>0</Paragraphs>
  <TotalTime>0</TotalTime>
  <ScaleCrop>false</ScaleCrop>
  <LinksUpToDate>false</LinksUpToDate>
  <CharactersWithSpaces>38590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2021-09-17T03:33:00Z</dcterms:created>
  <dc:creator>86180</dc:creator>
  <cp:lastModifiedBy>Administrator</cp:lastModifiedBy>
  <cp:lastPrinted>2022-04-22T09:50:00Z</cp:lastPrinted>
  <dcterms:modified xsi:type="dcterms:W3CDTF">2023-11-20T02:50:24Z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D929884A23E14B8E96ECBD4F3C4DED29</vt:lpwstr>
  </property>
  <property fmtid="{D5CDD505-2E9C-101B-9397-08002B2CF9AE}" pid="4" name="commondata">
    <vt:lpwstr>eyJoZGlkIjoiY2VmODU3YmViNzMyMjk1MDIwNjZmNWIwNzc2NzgwZTQifQ==</vt:lpwstr>
  </property>
</Properties>
</file>