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color w:val="000000" w:themeColor="text1"/>
          <w:sz w:val="56"/>
          <w:szCs w:val="56"/>
          <w:lang w:val="en-US" w:eastAsia="zh-CN"/>
          <w14:textFill>
            <w14:solidFill>
              <w14:schemeClr w14:val="tx1"/>
            </w14:solidFill>
          </w14:textFill>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color w:val="000000" w:themeColor="text1"/>
          <w:sz w:val="56"/>
          <w:szCs w:val="56"/>
          <w:lang w:val="en-US" w:eastAsia="zh-CN"/>
          <w14:textFill>
            <w14:solidFill>
              <w14:schemeClr w14:val="tx1"/>
            </w14:solidFill>
          </w14:textFill>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color w:val="000000" w:themeColor="text1"/>
          <w:sz w:val="56"/>
          <w:szCs w:val="56"/>
          <w:lang w:val="en-US" w:eastAsia="zh-CN"/>
          <w14:textFill>
            <w14:solidFill>
              <w14:schemeClr w14:val="tx1"/>
            </w14:solidFill>
          </w14:textFill>
        </w:rPr>
      </w:pPr>
      <w:r>
        <w:rPr>
          <w:rFonts w:hint="eastAsia" w:cs="宋体"/>
          <w:b/>
          <w:bCs/>
          <w:color w:val="000000" w:themeColor="text1"/>
          <w:sz w:val="56"/>
          <w:szCs w:val="56"/>
          <w:lang w:val="en-US" w:eastAsia="zh-CN"/>
          <w14:textFill>
            <w14:solidFill>
              <w14:schemeClr w14:val="tx1"/>
            </w14:solidFill>
          </w14:textFill>
        </w:rPr>
        <w:t>托克逊县城市环卫园林一体化管理项目第一包</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pPr>
        <w:pStyle w:val="14"/>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spacing w:val="200"/>
          <w:sz w:val="90"/>
          <w:szCs w:val="90"/>
        </w:rPr>
      </w:pPr>
      <w:r>
        <w:rPr>
          <w:rFonts w:hint="eastAsia" w:ascii="宋体" w:hAnsi="宋体" w:eastAsia="宋体" w:cs="宋体"/>
          <w:b/>
          <w:bCs/>
          <w:spacing w:val="200"/>
          <w:sz w:val="90"/>
          <w:szCs w:val="90"/>
        </w:rPr>
        <w:t>招标文件</w:t>
      </w:r>
    </w:p>
    <w:p>
      <w:pPr>
        <w:pStyle w:val="14"/>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宋体" w:cs="宋体"/>
          <w:b/>
          <w:sz w:val="36"/>
          <w:szCs w:val="36"/>
        </w:rPr>
      </w:pPr>
    </w:p>
    <w:p>
      <w:pPr>
        <w:pStyle w:val="14"/>
        <w:keepNext w:val="0"/>
        <w:keepLines w:val="0"/>
        <w:pageBreakBefore w:val="0"/>
        <w:widowControl w:val="0"/>
        <w:kinsoku/>
        <w:wordWrap/>
        <w:overflowPunct/>
        <w:topLinePunct w:val="0"/>
        <w:autoSpaceDE/>
        <w:autoSpaceDN/>
        <w:bidi w:val="0"/>
        <w:spacing w:line="600" w:lineRule="exact"/>
        <w:jc w:val="center"/>
        <w:textAlignment w:val="auto"/>
        <w:rPr>
          <w:rFonts w:hint="default"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项目编号：TKXZFCG(GK)HYTH202</w:t>
      </w:r>
      <w:r>
        <w:rPr>
          <w:rFonts w:hint="eastAsia" w:ascii="宋体" w:hAnsi="宋体" w:eastAsia="宋体" w:cs="宋体"/>
          <w:b/>
          <w:color w:val="000000" w:themeColor="text1"/>
          <w:sz w:val="36"/>
          <w:szCs w:val="36"/>
          <w:lang w:val="en-US" w:eastAsia="zh-CN"/>
          <w14:textFill>
            <w14:solidFill>
              <w14:schemeClr w14:val="tx1"/>
            </w14:solidFill>
          </w14:textFill>
        </w:rPr>
        <w:t>3</w:t>
      </w:r>
      <w:r>
        <w:rPr>
          <w:rFonts w:hint="eastAsia" w:ascii="宋体" w:hAnsi="宋体" w:eastAsia="宋体" w:cs="宋体"/>
          <w:b/>
          <w:color w:val="000000" w:themeColor="text1"/>
          <w:sz w:val="36"/>
          <w:szCs w:val="36"/>
          <w14:textFill>
            <w14:solidFill>
              <w14:schemeClr w14:val="tx1"/>
            </w14:solidFill>
          </w14:textFill>
        </w:rPr>
        <w:t>-</w:t>
      </w:r>
      <w:r>
        <w:rPr>
          <w:rFonts w:hint="eastAsia" w:hAnsi="宋体" w:cs="宋体"/>
          <w:b/>
          <w:color w:val="000000" w:themeColor="text1"/>
          <w:sz w:val="36"/>
          <w:szCs w:val="36"/>
          <w:lang w:val="en-US" w:eastAsia="zh-CN"/>
          <w14:textFill>
            <w14:solidFill>
              <w14:schemeClr w14:val="tx1"/>
            </w14:solidFill>
          </w14:textFill>
        </w:rPr>
        <w:t>036</w:t>
      </w:r>
    </w:p>
    <w:p>
      <w:pPr>
        <w:pStyle w:val="14"/>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pPr>
        <w:pStyle w:val="14"/>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pPr>
        <w:pStyle w:val="14"/>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pPr>
        <w:pStyle w:val="14"/>
        <w:keepNext w:val="0"/>
        <w:keepLines w:val="0"/>
        <w:pageBreakBefore w:val="0"/>
        <w:widowControl w:val="0"/>
        <w:kinsoku/>
        <w:wordWrap/>
        <w:overflowPunct/>
        <w:topLinePunct w:val="0"/>
        <w:autoSpaceDE/>
        <w:autoSpaceDN/>
        <w:bidi w:val="0"/>
        <w:spacing w:line="600" w:lineRule="exact"/>
        <w:jc w:val="both"/>
        <w:textAlignment w:val="auto"/>
        <w:rPr>
          <w:rFonts w:hint="eastAsia" w:ascii="宋体" w:hAnsi="宋体" w:eastAsia="宋体" w:cs="宋体"/>
          <w:kern w:val="0"/>
          <w:sz w:val="44"/>
          <w:szCs w:val="44"/>
        </w:rPr>
      </w:pPr>
    </w:p>
    <w:p>
      <w:pPr>
        <w:pStyle w:val="14"/>
        <w:pageBreakBefore w:val="0"/>
        <w:kinsoku/>
        <w:wordWrap/>
        <w:overflowPunct/>
        <w:topLinePunct w:val="0"/>
        <w:bidi w:val="0"/>
        <w:spacing w:line="400" w:lineRule="exact"/>
        <w:jc w:val="center"/>
        <w:rPr>
          <w:rFonts w:hint="eastAsia" w:ascii="宋体" w:hAnsi="宋体" w:eastAsia="宋体" w:cs="宋体"/>
          <w:kern w:val="0"/>
          <w:sz w:val="44"/>
          <w:szCs w:val="44"/>
        </w:rPr>
      </w:pPr>
    </w:p>
    <w:p>
      <w:pPr>
        <w:pStyle w:val="14"/>
        <w:pageBreakBefore w:val="0"/>
        <w:kinsoku/>
        <w:wordWrap/>
        <w:overflowPunct/>
        <w:topLinePunct w:val="0"/>
        <w:bidi w:val="0"/>
        <w:spacing w:line="400" w:lineRule="exact"/>
        <w:jc w:val="center"/>
        <w:rPr>
          <w:rFonts w:hint="eastAsia" w:ascii="宋体" w:hAnsi="宋体" w:eastAsia="宋体" w:cs="宋体"/>
          <w:b/>
          <w:sz w:val="30"/>
          <w:szCs w:val="3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pacing w:val="2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pacing w:val="2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spacing w:val="2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605" w:firstLineChars="500"/>
        <w:jc w:val="both"/>
        <w:textAlignment w:val="auto"/>
        <w:rPr>
          <w:rFonts w:hint="eastAsia" w:ascii="宋体" w:hAnsi="宋体" w:eastAsia="宋体" w:cs="宋体"/>
          <w:b/>
          <w:spacing w:val="20"/>
          <w:sz w:val="28"/>
          <w:szCs w:val="28"/>
          <w:highlight w:val="none"/>
          <w:lang w:eastAsia="zh-CN"/>
        </w:rPr>
      </w:pPr>
      <w:r>
        <w:rPr>
          <w:rFonts w:hint="eastAsia" w:ascii="宋体" w:hAnsi="宋体" w:eastAsia="宋体" w:cs="宋体"/>
          <w:b/>
          <w:spacing w:val="20"/>
          <w:sz w:val="28"/>
          <w:szCs w:val="28"/>
          <w:highlight w:val="none"/>
          <w:lang w:eastAsia="zh-CN"/>
        </w:rPr>
        <w:t>采 购 人</w:t>
      </w:r>
      <w:r>
        <w:rPr>
          <w:rFonts w:hint="eastAsia" w:ascii="宋体" w:hAnsi="宋体" w:eastAsia="宋体" w:cs="宋体"/>
          <w:b/>
          <w:spacing w:val="20"/>
          <w:sz w:val="28"/>
          <w:szCs w:val="28"/>
          <w:highlight w:val="none"/>
        </w:rPr>
        <w:t xml:space="preserve"> ：</w:t>
      </w:r>
      <w:r>
        <w:rPr>
          <w:rFonts w:hint="eastAsia" w:ascii="宋体" w:hAnsi="宋体" w:eastAsia="宋体" w:cs="宋体"/>
          <w:b/>
          <w:spacing w:val="20"/>
          <w:sz w:val="28"/>
          <w:szCs w:val="28"/>
          <w:highlight w:val="none"/>
          <w:lang w:val="en-US" w:eastAsia="zh-CN"/>
        </w:rPr>
        <w:t> 托克逊县住房和城乡建设局</w:t>
      </w:r>
      <w:r>
        <w:rPr>
          <w:rFonts w:hint="eastAsia" w:ascii="宋体" w:hAnsi="宋体" w:eastAsia="宋体" w:cs="宋体"/>
          <w:b/>
          <w:spacing w:val="20"/>
          <w:sz w:val="28"/>
          <w:szCs w:val="28"/>
          <w:highlight w:val="none"/>
        </w:rPr>
        <w:t>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8"/>
          <w:szCs w:val="28"/>
          <w:highlight w:val="none"/>
          <w:lang w:eastAsia="zh-CN"/>
        </w:rPr>
      </w:pPr>
      <w:r>
        <w:rPr>
          <w:rFonts w:hint="eastAsia" w:ascii="宋体" w:hAnsi="宋体" w:eastAsia="宋体" w:cs="宋体"/>
          <w:b/>
          <w:spacing w:val="20"/>
          <w:sz w:val="28"/>
          <w:szCs w:val="28"/>
          <w:highlight w:val="none"/>
        </w:rPr>
        <w:t xml:space="preserve">    </w:t>
      </w:r>
      <w:r>
        <w:rPr>
          <w:rFonts w:hint="eastAsia" w:ascii="宋体" w:hAnsi="宋体" w:eastAsia="宋体" w:cs="宋体"/>
          <w:b/>
          <w:spacing w:val="20"/>
          <w:sz w:val="28"/>
          <w:szCs w:val="28"/>
          <w:highlight w:val="none"/>
          <w:lang w:val="en-US" w:eastAsia="zh-CN"/>
        </w:rPr>
        <w:t xml:space="preserve">  </w:t>
      </w:r>
      <w:r>
        <w:rPr>
          <w:rFonts w:hint="eastAsia" w:ascii="宋体" w:hAnsi="宋体" w:eastAsia="宋体" w:cs="宋体"/>
          <w:b/>
          <w:spacing w:val="20"/>
          <w:sz w:val="28"/>
          <w:szCs w:val="28"/>
          <w:highlight w:val="none"/>
        </w:rPr>
        <w:t>招标代理机构：</w:t>
      </w:r>
      <w:r>
        <w:rPr>
          <w:rFonts w:hint="eastAsia" w:ascii="宋体" w:hAnsi="宋体" w:eastAsia="宋体" w:cs="宋体"/>
          <w:b/>
          <w:spacing w:val="20"/>
          <w:sz w:val="28"/>
          <w:szCs w:val="28"/>
          <w:highlight w:val="none"/>
          <w:lang w:eastAsia="zh-CN"/>
        </w:rPr>
        <w:t>新疆华域天恒工程管理有限公司</w:t>
      </w:r>
    </w:p>
    <w:p>
      <w:pPr>
        <w:pageBreakBefore w:val="0"/>
        <w:kinsoku/>
        <w:wordWrap/>
        <w:overflowPunct/>
        <w:topLinePunct w:val="0"/>
        <w:bidi w:val="0"/>
        <w:spacing w:line="400" w:lineRule="exact"/>
        <w:rPr>
          <w:rFonts w:hint="eastAsia" w:ascii="宋体" w:hAnsi="宋体" w:eastAsia="宋体" w:cs="宋体"/>
          <w:b/>
          <w:bCs/>
          <w:color w:val="000000"/>
          <w:sz w:val="28"/>
          <w:szCs w:val="28"/>
          <w:highlight w:val="none"/>
        </w:rPr>
      </w:pPr>
    </w:p>
    <w:p>
      <w:pPr>
        <w:pageBreakBefore w:val="0"/>
        <w:kinsoku/>
        <w:wordWrap/>
        <w:overflowPunct/>
        <w:topLinePunct w:val="0"/>
        <w:bidi w:val="0"/>
        <w:spacing w:line="400" w:lineRule="exact"/>
        <w:rPr>
          <w:rFonts w:hint="eastAsia" w:ascii="宋体" w:hAnsi="宋体" w:eastAsia="宋体" w:cs="宋体"/>
          <w:color w:val="000000"/>
          <w:kern w:val="0"/>
          <w:sz w:val="28"/>
          <w:szCs w:val="28"/>
          <w:highlight w:val="none"/>
        </w:rPr>
        <w:sectPr>
          <w:footerReference r:id="rId3" w:type="first"/>
          <w:pgSz w:w="11906" w:h="16838"/>
          <w:pgMar w:top="1134" w:right="1472" w:bottom="1134" w:left="1814" w:header="851" w:footer="992" w:gutter="0"/>
          <w:pgNumType w:fmt="decimal" w:start="1"/>
          <w:cols w:space="720" w:num="1"/>
          <w:titlePg/>
          <w:docGrid w:type="lines" w:linePitch="312" w:charSpace="0"/>
        </w:sectPr>
      </w:pPr>
    </w:p>
    <w:p>
      <w:pPr>
        <w:pStyle w:val="17"/>
        <w:tabs>
          <w:tab w:val="right" w:leader="dot" w:pos="8296"/>
        </w:tabs>
        <w:spacing w:line="1000" w:lineRule="exact"/>
        <w:jc w:val="center"/>
        <w:rPr>
          <w:rFonts w:hint="eastAsia" w:ascii="宋体" w:hAnsi="宋体" w:eastAsia="宋体" w:cs="宋体"/>
          <w:color w:val="auto"/>
          <w:sz w:val="44"/>
          <w:szCs w:val="48"/>
        </w:rPr>
      </w:pPr>
      <w:r>
        <w:rPr>
          <w:rFonts w:hint="eastAsia" w:ascii="宋体" w:hAnsi="宋体" w:eastAsia="宋体" w:cs="宋体"/>
          <w:color w:val="auto"/>
          <w:sz w:val="44"/>
          <w:szCs w:val="48"/>
        </w:rPr>
        <w:t>目  录</w:t>
      </w:r>
    </w:p>
    <w:p>
      <w:pPr>
        <w:pStyle w:val="17"/>
        <w:tabs>
          <w:tab w:val="right" w:leader="dot" w:pos="8296"/>
        </w:tabs>
        <w:spacing w:line="1000" w:lineRule="exact"/>
        <w:rPr>
          <w:rFonts w:hint="eastAsia" w:ascii="宋体" w:hAnsi="宋体" w:eastAsia="宋体" w:cs="宋体"/>
          <w:b w:val="0"/>
          <w:bCs w:val="0"/>
          <w:caps w:val="0"/>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"_Toc44705269"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第一章 投标邀请（招标公告）</w:t>
      </w:r>
      <w:r>
        <w:rPr>
          <w:rStyle w:val="28"/>
          <w:rFonts w:hint="eastAsia" w:ascii="宋体" w:hAnsi="宋体" w:eastAsia="宋体" w:cs="宋体"/>
          <w:b w:val="0"/>
          <w:color w:val="auto"/>
          <w:w w:val="90"/>
          <w:sz w:val="32"/>
          <w:szCs w:val="32"/>
          <w:u w:val="none"/>
        </w:rPr>
        <w:tab/>
      </w:r>
      <w:r>
        <w:rPr>
          <w:rFonts w:hint="eastAsia" w:ascii="宋体" w:hAnsi="宋体" w:eastAsia="宋体" w:cs="宋体"/>
          <w:b w:val="0"/>
          <w:color w:val="auto"/>
          <w:sz w:val="32"/>
          <w:szCs w:val="32"/>
          <w:lang w:val="en-US" w:eastAsia="zh-CN"/>
        </w:rPr>
        <w:t>2</w:t>
      </w:r>
      <w:r>
        <w:rPr>
          <w:rFonts w:hint="eastAsia" w:ascii="宋体" w:hAnsi="宋体" w:eastAsia="宋体" w:cs="宋体"/>
          <w:b w:val="0"/>
          <w:color w:val="auto"/>
          <w:sz w:val="32"/>
          <w:szCs w:val="32"/>
        </w:rPr>
        <w:fldChar w:fldCharType="end"/>
      </w:r>
    </w:p>
    <w:p>
      <w:pPr>
        <w:pStyle w:val="17"/>
        <w:tabs>
          <w:tab w:val="right" w:leader="dot" w:pos="8296"/>
        </w:tabs>
        <w:spacing w:line="1000" w:lineRule="exact"/>
        <w:rPr>
          <w:rFonts w:hint="eastAsia" w:ascii="宋体" w:hAnsi="宋体" w:eastAsia="宋体" w:cs="宋体"/>
          <w:b w:val="0"/>
          <w:bCs w:val="0"/>
          <w:caps w:val="0"/>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"_Toc44705270"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第二章 投标人须知前附表</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lang w:val="en-US" w:eastAsia="zh-CN"/>
        </w:rPr>
        <w:t>5</w:t>
      </w:r>
      <w:r>
        <w:rPr>
          <w:rFonts w:hint="eastAsia" w:ascii="宋体" w:hAnsi="宋体" w:eastAsia="宋体" w:cs="宋体"/>
          <w:b w:val="0"/>
          <w:color w:val="auto"/>
          <w:sz w:val="32"/>
          <w:szCs w:val="32"/>
        </w:rPr>
        <w:fldChar w:fldCharType="end"/>
      </w:r>
    </w:p>
    <w:p>
      <w:pPr>
        <w:pStyle w:val="17"/>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"_Toc44705271"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第三章 投标人须知</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lang w:val="en-US" w:eastAsia="zh-CN"/>
        </w:rPr>
        <w:t>1</w:t>
      </w:r>
      <w:r>
        <w:rPr>
          <w:rFonts w:hint="eastAsia" w:ascii="宋体" w:hAnsi="宋体" w:eastAsia="宋体" w:cs="宋体"/>
          <w:b w:val="0"/>
          <w:color w:val="auto"/>
          <w:sz w:val="32"/>
          <w:szCs w:val="32"/>
        </w:rPr>
        <w:fldChar w:fldCharType="end"/>
      </w:r>
      <w:r>
        <w:rPr>
          <w:rFonts w:hint="eastAsia" w:ascii="宋体" w:hAnsi="宋体" w:eastAsia="宋体" w:cs="宋体"/>
          <w:b w:val="0"/>
          <w:color w:val="auto"/>
          <w:sz w:val="32"/>
          <w:szCs w:val="32"/>
          <w:lang w:val="en-US" w:eastAsia="zh-CN"/>
        </w:rPr>
        <w:t>3</w:t>
      </w:r>
    </w:p>
    <w:p>
      <w:pPr>
        <w:pStyle w:val="17"/>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"_Toc44705272"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第四章 合同文本格式</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lang w:val="en-US" w:eastAsia="zh-CN"/>
        </w:rPr>
        <w:t>2</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8</w:t>
      </w:r>
    </w:p>
    <w:p>
      <w:pPr>
        <w:pStyle w:val="17"/>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"_Toc44705273"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第五章 采购需求</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lang w:val="en-US" w:eastAsia="zh-CN"/>
        </w:rPr>
        <w:t>4</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7</w:t>
      </w:r>
    </w:p>
    <w:p>
      <w:pPr>
        <w:pStyle w:val="17"/>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"_Toc44705274"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第六章 评标方法及评标标准</w:t>
      </w:r>
      <w:r>
        <w:rPr>
          <w:rFonts w:hint="eastAsia" w:ascii="宋体" w:hAnsi="宋体" w:eastAsia="宋体" w:cs="宋体"/>
          <w:b w:val="0"/>
          <w:color w:val="auto"/>
          <w:sz w:val="32"/>
          <w:szCs w:val="32"/>
        </w:rPr>
        <w:tab/>
      </w:r>
      <w:r>
        <w:rPr>
          <w:rFonts w:hint="eastAsia" w:ascii="宋体" w:hAnsi="宋体" w:cs="宋体"/>
          <w:b w:val="0"/>
          <w:color w:val="auto"/>
          <w:sz w:val="32"/>
          <w:szCs w:val="32"/>
          <w:lang w:val="en-US" w:eastAsia="zh-CN"/>
        </w:rPr>
        <w:t>6</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2</w:t>
      </w:r>
    </w:p>
    <w:p>
      <w:pPr>
        <w:pStyle w:val="17"/>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"_Toc44705277"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第七章 投标文件格式</w:t>
      </w:r>
      <w:r>
        <w:rPr>
          <w:rFonts w:hint="eastAsia" w:ascii="宋体" w:hAnsi="宋体" w:eastAsia="宋体" w:cs="宋体"/>
          <w:b w:val="0"/>
          <w:color w:val="auto"/>
          <w:sz w:val="32"/>
          <w:szCs w:val="32"/>
        </w:rPr>
        <w:tab/>
      </w:r>
      <w:r>
        <w:rPr>
          <w:rFonts w:hint="eastAsia" w:ascii="宋体" w:hAnsi="宋体" w:cs="宋体"/>
          <w:b w:val="0"/>
          <w:color w:val="auto"/>
          <w:sz w:val="32"/>
          <w:szCs w:val="32"/>
          <w:lang w:val="en-US" w:eastAsia="zh-CN"/>
        </w:rPr>
        <w:t>6</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9</w:t>
      </w:r>
    </w:p>
    <w:p>
      <w:pPr>
        <w:pStyle w:val="6"/>
        <w:rPr>
          <w:rFonts w:hint="eastAsia" w:ascii="宋体" w:hAnsi="宋体" w:eastAsia="宋体" w:cs="宋体"/>
        </w:rPr>
      </w:pPr>
    </w:p>
    <w:p>
      <w:pPr>
        <w:pStyle w:val="6"/>
        <w:pageBreakBefore w:val="0"/>
        <w:kinsoku/>
        <w:wordWrap/>
        <w:overflowPunct/>
        <w:topLinePunct w:val="0"/>
        <w:bidi w:val="0"/>
        <w:spacing w:line="400" w:lineRule="exact"/>
        <w:rPr>
          <w:rFonts w:hint="eastAsia" w:ascii="宋体" w:hAnsi="宋体" w:eastAsia="宋体" w:cs="宋体"/>
        </w:rPr>
      </w:pPr>
    </w:p>
    <w:p>
      <w:pPr>
        <w:pageBreakBefore w:val="0"/>
        <w:widowControl/>
        <w:shd w:val="clear" w:color="auto" w:fill="FFFFFF"/>
        <w:kinsoku/>
        <w:wordWrap/>
        <w:overflowPunct/>
        <w:topLinePunct w:val="0"/>
        <w:bidi w:val="0"/>
        <w:spacing w:line="400" w:lineRule="exact"/>
        <w:jc w:val="both"/>
        <w:rPr>
          <w:rFonts w:hint="eastAsia" w:ascii="宋体" w:hAnsi="宋体" w:eastAsia="宋体" w:cs="宋体"/>
          <w:b/>
          <w:bCs/>
          <w:kern w:val="0"/>
          <w:sz w:val="24"/>
          <w:highlight w:val="none"/>
        </w:rPr>
      </w:pPr>
    </w:p>
    <w:p>
      <w:pPr>
        <w:pStyle w:val="6"/>
        <w:pageBreakBefore w:val="0"/>
        <w:numPr>
          <w:ilvl w:val="0"/>
          <w:numId w:val="0"/>
        </w:numPr>
        <w:kinsoku/>
        <w:wordWrap/>
        <w:overflowPunct/>
        <w:topLinePunct w:val="0"/>
        <w:bidi w:val="0"/>
        <w:spacing w:line="400" w:lineRule="exact"/>
        <w:ind w:left="3046" w:leftChars="0"/>
        <w:outlineLvl w:val="0"/>
        <w:rPr>
          <w:rFonts w:hint="eastAsia" w:ascii="宋体" w:hAnsi="宋体" w:eastAsia="宋体" w:cs="宋体"/>
          <w:b/>
          <w:bCs/>
          <w:kern w:val="2"/>
          <w:sz w:val="36"/>
          <w:szCs w:val="36"/>
          <w:lang w:val="en-US" w:eastAsia="zh-CN" w:bidi="ar-SA"/>
        </w:rPr>
      </w:pPr>
    </w:p>
    <w:p>
      <w:pPr>
        <w:pStyle w:val="6"/>
        <w:pageBreakBefore w:val="0"/>
        <w:numPr>
          <w:ilvl w:val="0"/>
          <w:numId w:val="0"/>
        </w:numPr>
        <w:kinsoku/>
        <w:wordWrap/>
        <w:overflowPunct/>
        <w:topLinePunct w:val="0"/>
        <w:bidi w:val="0"/>
        <w:spacing w:line="400" w:lineRule="exact"/>
        <w:ind w:left="3046" w:leftChars="0"/>
        <w:outlineLvl w:val="0"/>
        <w:rPr>
          <w:rFonts w:hint="eastAsia" w:ascii="宋体" w:hAnsi="宋体" w:eastAsia="宋体" w:cs="宋体"/>
          <w:b/>
          <w:bCs/>
          <w:kern w:val="2"/>
          <w:sz w:val="36"/>
          <w:szCs w:val="36"/>
          <w:lang w:val="en-US" w:eastAsia="zh-CN" w:bidi="ar-SA"/>
        </w:rPr>
      </w:pPr>
    </w:p>
    <w:p>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pPr>
        <w:pStyle w:val="6"/>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pPr>
        <w:pStyle w:val="6"/>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pPr>
        <w:pStyle w:val="6"/>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pPr>
        <w:pStyle w:val="22"/>
        <w:pageBreakBefore w:val="0"/>
        <w:kinsoku/>
        <w:wordWrap/>
        <w:overflowPunct/>
        <w:topLinePunct w:val="0"/>
        <w:bidi w:val="0"/>
        <w:spacing w:beforeAutospacing="0" w:after="0" w:afterAutospacing="0" w:line="400" w:lineRule="exact"/>
        <w:ind w:left="0" w:leftChars="0" w:firstLine="0" w:firstLineChars="0"/>
        <w:jc w:val="both"/>
        <w:rPr>
          <w:rStyle w:val="28"/>
          <w:rFonts w:hint="eastAsia" w:ascii="宋体" w:hAnsi="宋体" w:eastAsia="宋体" w:cs="宋体"/>
          <w:b/>
          <w:bCs/>
          <w:color w:val="auto"/>
          <w:w w:val="90"/>
          <w:sz w:val="36"/>
          <w:szCs w:val="36"/>
          <w:u w:val="none"/>
          <w:lang w:val="en-US" w:eastAsia="zh-CN"/>
        </w:rPr>
      </w:pPr>
    </w:p>
    <w:p>
      <w:pPr>
        <w:pStyle w:val="22"/>
        <w:pageBreakBefore w:val="0"/>
        <w:kinsoku/>
        <w:wordWrap/>
        <w:overflowPunct/>
        <w:topLinePunct w:val="0"/>
        <w:bidi w:val="0"/>
        <w:spacing w:beforeAutospacing="0" w:after="0" w:afterAutospacing="0" w:line="400" w:lineRule="exact"/>
        <w:jc w:val="center"/>
        <w:rPr>
          <w:rFonts w:hint="eastAsia" w:ascii="宋体" w:hAnsi="宋体" w:eastAsia="宋体" w:cs="宋体"/>
          <w:color w:val="000000"/>
          <w:kern w:val="0"/>
          <w:szCs w:val="24"/>
          <w:highlight w:val="none"/>
        </w:rPr>
      </w:pPr>
      <w:r>
        <w:rPr>
          <w:rStyle w:val="28"/>
          <w:rFonts w:hint="eastAsia" w:ascii="宋体" w:hAnsi="宋体" w:cs="宋体"/>
          <w:b/>
          <w:bCs/>
          <w:color w:val="auto"/>
          <w:w w:val="90"/>
          <w:sz w:val="36"/>
          <w:szCs w:val="36"/>
          <w:u w:val="none"/>
          <w:lang w:val="en-US" w:eastAsia="zh-CN"/>
        </w:rPr>
        <w:t xml:space="preserve">            </w:t>
      </w:r>
      <w:r>
        <w:rPr>
          <w:rStyle w:val="28"/>
          <w:rFonts w:hint="eastAsia" w:ascii="宋体" w:hAnsi="宋体" w:eastAsia="宋体" w:cs="宋体"/>
          <w:b/>
          <w:bCs/>
          <w:color w:val="auto"/>
          <w:w w:val="90"/>
          <w:sz w:val="36"/>
          <w:szCs w:val="36"/>
          <w:u w:val="none"/>
          <w:lang w:val="en-US" w:eastAsia="zh-CN"/>
        </w:rPr>
        <w:t>第一章 招标公告    </w:t>
      </w:r>
      <w:r>
        <w:rPr>
          <w:rFonts w:hint="eastAsia" w:ascii="宋体" w:hAnsi="宋体" w:eastAsia="宋体" w:cs="宋体"/>
          <w:b/>
          <w:bCs/>
          <w:kern w:val="2"/>
          <w:sz w:val="36"/>
          <w:szCs w:val="36"/>
          <w:lang w:val="en-US" w:eastAsia="zh-CN" w:bidi="ar-SA"/>
        </w:rPr>
        <w:t>   </w:t>
      </w:r>
      <w:r>
        <w:rPr>
          <w:rFonts w:hint="eastAsia" w:ascii="宋体" w:hAnsi="宋体" w:eastAsia="宋体" w:cs="宋体"/>
          <w:color w:val="000000"/>
          <w:kern w:val="0"/>
          <w:szCs w:val="24"/>
          <w:highlight w:val="none"/>
        </w:rPr>
        <w:t>     </w:t>
      </w:r>
    </w:p>
    <w:p>
      <w:pPr>
        <w:keepNext w:val="0"/>
        <w:keepLines w:val="0"/>
        <w:widowControl/>
        <w:suppressLineNumbers w:val="0"/>
        <w:pBdr>
          <w:bottom w:val="none" w:color="auto" w:sz="0" w:space="0"/>
        </w:pBdr>
        <w:spacing w:line="450" w:lineRule="atLeast"/>
        <w:jc w:val="center"/>
        <w:rPr>
          <w:rFonts w:hint="eastAsia" w:ascii="宋体" w:hAnsi="宋体" w:eastAsia="宋体" w:cs="宋体"/>
          <w:b/>
          <w:bCs/>
          <w:color w:val="000000" w:themeColor="text1"/>
          <w:kern w:val="0"/>
          <w:sz w:val="36"/>
          <w:szCs w:val="36"/>
          <w:lang w:val="en-US" w:eastAsia="zh-CN" w:bidi="ar"/>
          <w14:textFill>
            <w14:solidFill>
              <w14:schemeClr w14:val="tx1"/>
            </w14:solidFill>
          </w14:textFill>
        </w:rPr>
      </w:pPr>
      <w:r>
        <w:rPr>
          <w:rFonts w:hint="eastAsia" w:ascii="宋体" w:hAnsi="宋体" w:cs="宋体"/>
          <w:b/>
          <w:bCs/>
          <w:color w:val="000000" w:themeColor="text1"/>
          <w:kern w:val="0"/>
          <w:sz w:val="36"/>
          <w:szCs w:val="36"/>
          <w:lang w:val="en-US" w:eastAsia="zh-CN" w:bidi="ar"/>
          <w14:textFill>
            <w14:solidFill>
              <w14:schemeClr w14:val="tx1"/>
            </w14:solidFill>
          </w14:textFill>
        </w:rPr>
        <w:t>托克逊县城市环卫园林一体化管理项目第一包</w:t>
      </w:r>
      <w:r>
        <w:rPr>
          <w:rFonts w:hint="eastAsia" w:ascii="宋体" w:hAnsi="宋体" w:eastAsia="宋体" w:cs="宋体"/>
          <w:b/>
          <w:bCs/>
          <w:color w:val="000000" w:themeColor="text1"/>
          <w:kern w:val="0"/>
          <w:sz w:val="36"/>
          <w:szCs w:val="36"/>
          <w:lang w:val="en-US" w:eastAsia="zh-CN" w:bidi="ar"/>
          <w14:textFill>
            <w14:solidFill>
              <w14:schemeClr w14:val="tx1"/>
            </w14:solidFill>
          </w14:textFill>
        </w:rPr>
        <w:t xml:space="preserve"> </w:t>
      </w:r>
    </w:p>
    <w:p>
      <w:pPr>
        <w:keepNext w:val="0"/>
        <w:keepLines w:val="0"/>
        <w:widowControl/>
        <w:suppressLineNumbers w:val="0"/>
        <w:pBdr>
          <w:bottom w:val="none" w:color="auto" w:sz="0" w:space="0"/>
        </w:pBdr>
        <w:spacing w:line="450" w:lineRule="atLeast"/>
        <w:jc w:val="center"/>
        <w:rPr>
          <w:rFonts w:hint="eastAsia" w:ascii="宋体" w:hAnsi="宋体" w:eastAsia="宋体" w:cs="宋体"/>
          <w:b/>
          <w:bCs/>
          <w:color w:val="000000" w:themeColor="text1"/>
          <w:kern w:val="0"/>
          <w:sz w:val="36"/>
          <w:szCs w:val="36"/>
          <w:lang w:val="en-US" w:eastAsia="zh-CN" w:bidi="ar"/>
          <w14:textFill>
            <w14:solidFill>
              <w14:schemeClr w14:val="tx1"/>
            </w14:solidFill>
          </w14:textFill>
        </w:rPr>
      </w:pPr>
      <w:r>
        <w:rPr>
          <w:rFonts w:hint="eastAsia" w:ascii="宋体" w:hAnsi="宋体" w:eastAsia="宋体" w:cs="宋体"/>
          <w:b/>
          <w:bCs/>
          <w:color w:val="000000" w:themeColor="text1"/>
          <w:kern w:val="0"/>
          <w:sz w:val="36"/>
          <w:szCs w:val="36"/>
          <w:lang w:val="en-US" w:eastAsia="zh-CN" w:bidi="ar"/>
          <w14:textFill>
            <w14:solidFill>
              <w14:schemeClr w14:val="tx1"/>
            </w14:solidFill>
          </w14:textFill>
        </w:rPr>
        <w:t>公开招标公告</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rPr>
        <w:t>项目概况</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宋体" w:hAnsi="宋体" w:eastAsia="宋体" w:cs="宋体"/>
          <w:i w:val="0"/>
          <w:iCs w:val="0"/>
          <w:caps w:val="0"/>
          <w:spacing w:val="0"/>
          <w:sz w:val="24"/>
          <w:szCs w:val="24"/>
        </w:rPr>
      </w:pPr>
      <w:r>
        <w:rPr>
          <w:rFonts w:hint="eastAsia" w:cs="宋体"/>
          <w:i w:val="0"/>
          <w:iCs w:val="0"/>
          <w:caps w:val="0"/>
          <w:spacing w:val="0"/>
          <w:sz w:val="24"/>
          <w:szCs w:val="24"/>
          <w:lang w:val="en-US" w:eastAsia="zh-CN"/>
        </w:rPr>
        <w:t>托克逊县城市环卫园林一体化管理项目第一包</w:t>
      </w:r>
      <w:r>
        <w:rPr>
          <w:rFonts w:hint="eastAsia" w:ascii="宋体" w:hAnsi="宋体" w:eastAsia="宋体" w:cs="宋体"/>
          <w:i w:val="0"/>
          <w:iCs w:val="0"/>
          <w:caps w:val="0"/>
          <w:spacing w:val="0"/>
          <w:sz w:val="24"/>
          <w:szCs w:val="24"/>
        </w:rPr>
        <w:t>的潜在投</w:t>
      </w:r>
      <w:r>
        <w:rPr>
          <w:rFonts w:hint="eastAsia" w:ascii="宋体" w:hAnsi="宋体" w:eastAsia="宋体" w:cs="宋体"/>
          <w:i w:val="0"/>
          <w:iCs w:val="0"/>
          <w:caps w:val="0"/>
          <w:color w:val="auto"/>
          <w:spacing w:val="0"/>
          <w:sz w:val="24"/>
          <w:szCs w:val="24"/>
        </w:rPr>
        <w:t>标人应在政采云平台线上获取招标文件，并于202</w:t>
      </w: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年</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27</w:t>
      </w:r>
      <w:r>
        <w:rPr>
          <w:rFonts w:hint="eastAsia" w:ascii="宋体" w:hAnsi="宋体" w:eastAsia="宋体" w:cs="宋体"/>
          <w:i w:val="0"/>
          <w:iCs w:val="0"/>
          <w:caps w:val="0"/>
          <w:color w:val="auto"/>
          <w:spacing w:val="0"/>
          <w:sz w:val="24"/>
          <w:szCs w:val="24"/>
        </w:rPr>
        <w:t>日1</w:t>
      </w:r>
      <w:r>
        <w:rPr>
          <w:rFonts w:hint="eastAsia" w:cs="宋体"/>
          <w:i w:val="0"/>
          <w:iCs w:val="0"/>
          <w:caps w:val="0"/>
          <w:color w:val="auto"/>
          <w:spacing w:val="0"/>
          <w:sz w:val="24"/>
          <w:szCs w:val="24"/>
          <w:lang w:val="en-US" w:eastAsia="zh-CN"/>
        </w:rPr>
        <w:t>6</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0（北京时间）前递</w:t>
      </w:r>
      <w:r>
        <w:rPr>
          <w:rFonts w:hint="eastAsia" w:ascii="宋体" w:hAnsi="宋体" w:eastAsia="宋体" w:cs="宋体"/>
          <w:i w:val="0"/>
          <w:iCs w:val="0"/>
          <w:caps w:val="0"/>
          <w:spacing w:val="0"/>
          <w:sz w:val="24"/>
          <w:szCs w:val="24"/>
        </w:rPr>
        <w:t>交投标文件。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color w:val="000000"/>
          <w:sz w:val="24"/>
          <w:szCs w:val="24"/>
        </w:rPr>
      </w:pPr>
      <w:r>
        <w:rPr>
          <w:rStyle w:val="26"/>
          <w:rFonts w:hint="eastAsia" w:ascii="宋体" w:hAnsi="宋体" w:eastAsia="宋体" w:cs="宋体"/>
          <w:b/>
          <w:bCs/>
          <w:i w:val="0"/>
          <w:iCs w:val="0"/>
          <w:caps w:val="0"/>
          <w:color w:val="000000"/>
          <w:spacing w:val="0"/>
          <w:sz w:val="24"/>
          <w:szCs w:val="24"/>
        </w:rPr>
        <w:t>一、项目基本情况</w:t>
      </w:r>
    </w:p>
    <w:p>
      <w:pPr>
        <w:pStyle w:val="21"/>
        <w:keepNext w:val="0"/>
        <w:keepLines w:val="0"/>
        <w:pageBreakBefore w:val="0"/>
        <w:widowControl/>
        <w:kinsoku/>
        <w:wordWrap/>
        <w:overflowPunct/>
        <w:topLinePunct w:val="0"/>
        <w:autoSpaceDE/>
        <w:autoSpaceDN/>
        <w:bidi w:val="0"/>
        <w:adjustRightInd/>
        <w:snapToGrid/>
        <w:spacing w:beforeAutospacing="0" w:afterAutospacing="0" w:line="280" w:lineRule="exact"/>
        <w:textAlignment w:val="auto"/>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项目编号：</w:t>
      </w:r>
      <w:r>
        <w:rPr>
          <w:rFonts w:hint="eastAsia" w:ascii="宋体" w:hAnsi="宋体" w:eastAsia="宋体" w:cs="宋体"/>
          <w:i w:val="0"/>
          <w:iCs w:val="0"/>
          <w:caps w:val="0"/>
          <w:color w:val="000000" w:themeColor="text1"/>
          <w:spacing w:val="0"/>
          <w:sz w:val="24"/>
          <w:szCs w:val="24"/>
          <w14:textFill>
            <w14:solidFill>
              <w14:schemeClr w14:val="tx1"/>
            </w14:solidFill>
          </w14:textFill>
        </w:rPr>
        <w:t>TKXZFCG(GK)HYTH202</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14:textFill>
            <w14:solidFill>
              <w14:schemeClr w14:val="tx1"/>
            </w14:solidFill>
          </w14:textFill>
        </w:rPr>
        <w:t>-</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0</w:t>
      </w:r>
      <w:r>
        <w:rPr>
          <w:rFonts w:hint="eastAsia" w:cs="宋体"/>
          <w:i w:val="0"/>
          <w:iCs w:val="0"/>
          <w:caps w:val="0"/>
          <w:color w:val="000000" w:themeColor="text1"/>
          <w:spacing w:val="0"/>
          <w:sz w:val="24"/>
          <w:szCs w:val="24"/>
          <w:lang w:val="en-US" w:eastAsia="zh-CN"/>
          <w14:textFill>
            <w14:solidFill>
              <w14:schemeClr w14:val="tx1"/>
            </w14:solidFill>
          </w14:textFill>
        </w:rPr>
        <w:t>36</w:t>
      </w:r>
    </w:p>
    <w:p>
      <w:pPr>
        <w:pStyle w:val="21"/>
        <w:keepNext w:val="0"/>
        <w:keepLines w:val="0"/>
        <w:pageBreakBefore w:val="0"/>
        <w:widowControl/>
        <w:kinsoku/>
        <w:wordWrap/>
        <w:overflowPunct/>
        <w:topLinePunct w:val="0"/>
        <w:autoSpaceDE/>
        <w:autoSpaceDN/>
        <w:bidi w:val="0"/>
        <w:adjustRightInd/>
        <w:snapToGrid/>
        <w:spacing w:beforeAutospacing="0" w:afterAutospacing="0" w:line="280" w:lineRule="exact"/>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项目名称</w:t>
      </w:r>
      <w:r>
        <w:rPr>
          <w:rFonts w:hint="eastAsia" w:ascii="宋体" w:hAnsi="宋体" w:eastAsia="宋体" w:cs="宋体"/>
          <w:i w:val="0"/>
          <w:iCs w:val="0"/>
          <w:caps w:val="0"/>
          <w:spacing w:val="0"/>
          <w:sz w:val="24"/>
          <w:szCs w:val="24"/>
          <w:lang w:val="en-US" w:eastAsia="zh-CN"/>
        </w:rPr>
        <w:t>：</w:t>
      </w:r>
      <w:r>
        <w:rPr>
          <w:rFonts w:hint="eastAsia" w:cs="宋体"/>
          <w:i w:val="0"/>
          <w:iCs w:val="0"/>
          <w:caps w:val="0"/>
          <w:color w:val="000000"/>
          <w:spacing w:val="0"/>
          <w:sz w:val="24"/>
          <w:szCs w:val="24"/>
          <w:lang w:val="en-US" w:eastAsia="zh-CN"/>
        </w:rPr>
        <w:t>托克逊县城市环卫园林一体化管理项目第一包</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采购方式：公开招标</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预算金额（元</w:t>
      </w:r>
      <w:r>
        <w:rPr>
          <w:rFonts w:hint="eastAsia" w:ascii="宋体" w:hAnsi="宋体" w:eastAsia="宋体" w:cs="宋体"/>
          <w:i w:val="0"/>
          <w:iCs w:val="0"/>
          <w:caps w:val="0"/>
          <w:color w:val="000000" w:themeColor="text1"/>
          <w:spacing w:val="0"/>
          <w:kern w:val="0"/>
          <w:sz w:val="24"/>
          <w:szCs w:val="24"/>
          <w:lang w:val="en-US" w:eastAsia="zh-CN" w:bidi="ar-SA"/>
          <w14:textFill>
            <w14:solidFill>
              <w14:schemeClr w14:val="tx1"/>
            </w14:solidFill>
          </w14:textFill>
        </w:rPr>
        <w:t>）</w:t>
      </w:r>
      <w:r>
        <w:rPr>
          <w:rFonts w:hint="eastAsia" w:ascii="宋体" w:hAnsi="宋体" w:eastAsia="宋体" w:cs="宋体"/>
          <w:i w:val="0"/>
          <w:iCs w:val="0"/>
          <w:caps w:val="0"/>
          <w:color w:val="000000"/>
          <w:spacing w:val="0"/>
          <w:kern w:val="0"/>
          <w:sz w:val="24"/>
          <w:szCs w:val="24"/>
          <w:lang w:val="en-US" w:eastAsia="zh-CN" w:bidi="ar-SA"/>
        </w:rPr>
        <w:t>：16365000.00</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SA"/>
        </w:rPr>
        <w:t>最高限价（元）：16365000.00</w:t>
      </w:r>
    </w:p>
    <w:p>
      <w:pPr>
        <w:pStyle w:val="21"/>
        <w:keepNext w:val="0"/>
        <w:keepLines w:val="0"/>
        <w:pageBreakBefore w:val="0"/>
        <w:widowControl/>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采购需求：</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   标项名称:</w:t>
      </w:r>
      <w:r>
        <w:rPr>
          <w:rFonts w:hint="eastAsia" w:cs="宋体"/>
          <w:i w:val="0"/>
          <w:iCs w:val="0"/>
          <w:caps w:val="0"/>
          <w:color w:val="000000"/>
          <w:spacing w:val="0"/>
          <w:sz w:val="24"/>
          <w:szCs w:val="24"/>
          <w:lang w:val="en-US" w:eastAsia="zh-CN"/>
        </w:rPr>
        <w:t>托克逊县城市环卫园林一体化管理项目第一包</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数量:1</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   </w:t>
      </w:r>
      <w:r>
        <w:rPr>
          <w:rFonts w:hint="eastAsia" w:ascii="宋体" w:hAnsi="宋体" w:eastAsia="宋体" w:cs="宋体"/>
          <w:i w:val="0"/>
          <w:iCs w:val="0"/>
          <w:caps w:val="0"/>
          <w:color w:val="auto"/>
          <w:spacing w:val="0"/>
          <w:sz w:val="24"/>
          <w:szCs w:val="24"/>
          <w:lang w:val="en-US" w:eastAsia="zh-CN"/>
        </w:rPr>
        <w:t>预算金额（</w:t>
      </w:r>
      <w:r>
        <w:rPr>
          <w:rFonts w:hint="eastAsia" w:ascii="宋体" w:hAnsi="宋体" w:eastAsia="宋体" w:cs="宋体"/>
          <w:i w:val="0"/>
          <w:iCs w:val="0"/>
          <w:caps w:val="0"/>
          <w:color w:val="auto"/>
          <w:spacing w:val="0"/>
          <w:kern w:val="0"/>
          <w:sz w:val="24"/>
          <w:szCs w:val="24"/>
          <w:lang w:val="en-US" w:eastAsia="zh-CN" w:bidi="ar-SA"/>
        </w:rPr>
        <w:t>元）:16365000.00</w:t>
      </w:r>
    </w:p>
    <w:p>
      <w:pPr>
        <w:pStyle w:val="13"/>
        <w:keepNext w:val="0"/>
        <w:keepLines w:val="0"/>
        <w:pageBreakBefore w:val="0"/>
        <w:shd w:val="clear" w:color="auto" w:fill="FFFFFF"/>
        <w:kinsoku/>
        <w:wordWrap/>
        <w:overflowPunct/>
        <w:autoSpaceDE w:val="0"/>
        <w:autoSpaceDN/>
        <w:bidi w:val="0"/>
        <w:adjustRightInd w:val="0"/>
        <w:snapToGrid w:val="0"/>
        <w:spacing w:line="280" w:lineRule="exact"/>
        <w:ind w:left="0" w:leftChars="0" w:right="0" w:firstLine="480" w:firstLineChars="200"/>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简要规格描述或项目基本概况介绍、用途：道路清扫、保洁，垃圾清运、处置，公厕管理与维护，环卫基础设施的更新与维护等；园林绿化养护，包括养护范围内各类乔灌木绿篱等灌溉、修剪、防治病虫害、缺株补植补种等基础设施维护，绿地保洁和垃圾清运、绿化管网基础设施维护，公园广场等附属设施维护。</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   备注：</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合同履约期限：</w:t>
      </w:r>
      <w:r>
        <w:rPr>
          <w:rFonts w:hint="eastAsia" w:cs="宋体"/>
          <w:i w:val="0"/>
          <w:iCs w:val="0"/>
          <w:caps w:val="0"/>
          <w:color w:val="000000" w:themeColor="text1"/>
          <w:spacing w:val="0"/>
          <w:sz w:val="24"/>
          <w:szCs w:val="24"/>
          <w:lang w:val="en-US" w:eastAsia="zh-CN"/>
          <w14:textFill>
            <w14:solidFill>
              <w14:schemeClr w14:val="tx1"/>
            </w14:solidFill>
          </w14:textFill>
        </w:rPr>
        <w:t>标项1，</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服务期为3年（本此项目预算为一年的金额），合同一年一签订，每年根据考核情况续签合同。</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240" w:firstLineChars="100"/>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本项目（否）接受联合体投标。</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宋体" w:hAnsi="宋体" w:eastAsia="宋体" w:cs="宋体"/>
          <w:color w:val="000000"/>
          <w:sz w:val="24"/>
          <w:szCs w:val="24"/>
        </w:rPr>
      </w:pPr>
      <w:r>
        <w:rPr>
          <w:rStyle w:val="26"/>
          <w:rFonts w:hint="eastAsia" w:ascii="宋体" w:hAnsi="宋体" w:eastAsia="宋体" w:cs="宋体"/>
          <w:b/>
          <w:bCs/>
          <w:i w:val="0"/>
          <w:iCs w:val="0"/>
          <w:caps w:val="0"/>
          <w:color w:val="000000"/>
          <w:spacing w:val="0"/>
          <w:sz w:val="24"/>
          <w:szCs w:val="24"/>
        </w:rPr>
        <w:t>二、申请人的资格要求：</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1.满足《中华人民共和国政府采购法》第二十二条规定；</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spacing w:val="0"/>
          <w:sz w:val="24"/>
          <w:szCs w:val="24"/>
        </w:rPr>
        <w:t>2.落实政府采购政策需满足的资格</w:t>
      </w:r>
      <w:r>
        <w:rPr>
          <w:rFonts w:hint="eastAsia" w:ascii="宋体" w:hAnsi="宋体" w:eastAsia="宋体" w:cs="宋体"/>
          <w:i w:val="0"/>
          <w:iCs w:val="0"/>
          <w:caps w:val="0"/>
          <w:color w:val="auto"/>
          <w:spacing w:val="0"/>
          <w:sz w:val="24"/>
          <w:szCs w:val="24"/>
        </w:rPr>
        <w:t>要求：</w:t>
      </w:r>
      <w:r>
        <w:rPr>
          <w:rFonts w:hint="eastAsia" w:cs="宋体"/>
          <w:i w:val="0"/>
          <w:iCs w:val="0"/>
          <w:caps w:val="0"/>
          <w:color w:val="000000" w:themeColor="text1"/>
          <w:spacing w:val="0"/>
          <w:sz w:val="24"/>
          <w:szCs w:val="24"/>
          <w:lang w:val="en-US" w:eastAsia="zh-CN"/>
          <w14:textFill>
            <w14:solidFill>
              <w14:schemeClr w14:val="tx1"/>
            </w14:solidFill>
          </w14:textFill>
        </w:rPr>
        <w:t>标项1：</w:t>
      </w:r>
      <w:r>
        <w:rPr>
          <w:rFonts w:hint="eastAsia" w:cs="宋体"/>
          <w:i w:val="0"/>
          <w:iCs w:val="0"/>
          <w:caps w:val="0"/>
          <w:color w:val="auto"/>
          <w:spacing w:val="0"/>
          <w:sz w:val="24"/>
          <w:szCs w:val="24"/>
          <w:lang w:val="en-US" w:eastAsia="zh-CN"/>
        </w:rPr>
        <w:t>无</w:t>
      </w:r>
      <w:r>
        <w:rPr>
          <w:rFonts w:hint="eastAsia" w:ascii="宋体" w:hAnsi="宋体" w:eastAsia="宋体" w:cs="宋体"/>
          <w:i w:val="0"/>
          <w:iCs w:val="0"/>
          <w:caps w:val="0"/>
          <w:color w:val="auto"/>
          <w:spacing w:val="0"/>
          <w:sz w:val="24"/>
          <w:szCs w:val="24"/>
          <w:lang w:val="en-US" w:eastAsia="zh-CN"/>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3.本项目的特定资格要求：</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cs="宋体"/>
          <w:i w:val="0"/>
          <w:iCs w:val="0"/>
          <w:caps w:val="0"/>
          <w:spacing w:val="0"/>
          <w:sz w:val="24"/>
          <w:szCs w:val="24"/>
          <w:lang w:eastAsia="zh-CN"/>
        </w:rPr>
      </w:pPr>
      <w:r>
        <w:rPr>
          <w:rFonts w:hint="eastAsia" w:cs="宋体"/>
          <w:i w:val="0"/>
          <w:iCs w:val="0"/>
          <w:caps w:val="0"/>
          <w:spacing w:val="0"/>
          <w:sz w:val="24"/>
          <w:szCs w:val="24"/>
          <w:lang w:eastAsia="zh-CN"/>
        </w:rPr>
        <w:t>【</w:t>
      </w:r>
      <w:r>
        <w:rPr>
          <w:rFonts w:hint="eastAsia" w:cs="宋体"/>
          <w:i w:val="0"/>
          <w:iCs w:val="0"/>
          <w:caps w:val="0"/>
          <w:spacing w:val="0"/>
          <w:sz w:val="24"/>
          <w:szCs w:val="24"/>
          <w:lang w:val="en-US" w:eastAsia="zh-CN"/>
        </w:rPr>
        <w:t>标项1</w:t>
      </w:r>
      <w:r>
        <w:rPr>
          <w:rFonts w:hint="eastAsia" w:cs="宋体"/>
          <w:i w:val="0"/>
          <w:iCs w:val="0"/>
          <w:caps w:val="0"/>
          <w:spacing w:val="0"/>
          <w:sz w:val="24"/>
          <w:szCs w:val="24"/>
          <w:lang w:eastAsia="zh-CN"/>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color w:val="000000"/>
          <w:sz w:val="24"/>
          <w:szCs w:val="24"/>
        </w:rPr>
      </w:pPr>
      <w:r>
        <w:rPr>
          <w:rFonts w:hint="eastAsia" w:ascii="宋体" w:hAnsi="宋体" w:eastAsia="宋体" w:cs="宋体"/>
          <w:i w:val="0"/>
          <w:iCs w:val="0"/>
          <w:caps w:val="0"/>
          <w:spacing w:val="0"/>
          <w:sz w:val="24"/>
          <w:szCs w:val="24"/>
        </w:rPr>
        <w:t>(1)具有独立承担民事责任能力的在中华人民共和国境内注册的法人；（</w:t>
      </w:r>
      <w:r>
        <w:rPr>
          <w:rFonts w:hint="eastAsia" w:ascii="宋体" w:hAnsi="宋体" w:eastAsia="宋体" w:cs="宋体"/>
          <w:i w:val="0"/>
          <w:iCs w:val="0"/>
          <w:caps w:val="0"/>
          <w:spacing w:val="0"/>
          <w:sz w:val="24"/>
          <w:szCs w:val="24"/>
          <w:lang w:val="en-US" w:eastAsia="zh-CN"/>
        </w:rPr>
        <w:t>2</w:t>
      </w:r>
      <w:r>
        <w:rPr>
          <w:rFonts w:hint="eastAsia" w:ascii="宋体" w:hAnsi="宋体" w:eastAsia="宋体" w:cs="宋体"/>
          <w:i w:val="0"/>
          <w:iCs w:val="0"/>
          <w:caps w:val="0"/>
          <w:spacing w:val="0"/>
          <w:sz w:val="24"/>
          <w:szCs w:val="24"/>
        </w:rPr>
        <w:t>）具有良好的商业信誉和健全的财务会计制度；（</w:t>
      </w:r>
      <w:r>
        <w:rPr>
          <w:rFonts w:hint="eastAsia" w:ascii="宋体" w:hAnsi="宋体" w:eastAsia="宋体" w:cs="宋体"/>
          <w:i w:val="0"/>
          <w:iCs w:val="0"/>
          <w:caps w:val="0"/>
          <w:spacing w:val="0"/>
          <w:sz w:val="24"/>
          <w:szCs w:val="24"/>
          <w:lang w:val="en-US" w:eastAsia="zh-CN"/>
        </w:rPr>
        <w:t>3</w:t>
      </w:r>
      <w:r>
        <w:rPr>
          <w:rFonts w:hint="eastAsia" w:ascii="宋体" w:hAnsi="宋体" w:eastAsia="宋体" w:cs="宋体"/>
          <w:i w:val="0"/>
          <w:iCs w:val="0"/>
          <w:caps w:val="0"/>
          <w:spacing w:val="0"/>
          <w:sz w:val="24"/>
          <w:szCs w:val="24"/>
        </w:rPr>
        <w:t>）具有履行合同所必需的服</w:t>
      </w:r>
      <w:r>
        <w:rPr>
          <w:rFonts w:hint="eastAsia" w:ascii="宋体" w:hAnsi="宋体" w:eastAsia="宋体" w:cs="宋体"/>
          <w:i w:val="0"/>
          <w:iCs w:val="0"/>
          <w:caps w:val="0"/>
          <w:color w:val="000000"/>
          <w:spacing w:val="0"/>
          <w:sz w:val="24"/>
          <w:szCs w:val="24"/>
        </w:rPr>
        <w:t>务和专业技术能力；（</w:t>
      </w: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参加本次采购活动前三年（2020年1月至今），在经营活动中没有重大违法记录。（重大违法记录，是指供应商因违法经营受到刑事处罚或者责令停产停业、吊销许可证或者执照、较大数额罚款等行政处罚、刑事处罚）；供应商未被列入“信用中国”网站“记录失信被执行人或重大税收违法案件当事人名单或政府采购严重违法失信行为”记录名单；不处于中国政府采购网“政府采购严重违法失信行为信息记录”中的禁止参加政府采购活动期间；未列入国家企业信用信息公示系统严重违法失信名单及其他不符合规定条件的供应商；（</w:t>
      </w:r>
      <w:r>
        <w:rPr>
          <w:rFonts w:hint="eastAsia" w:ascii="宋体" w:hAnsi="宋体" w:eastAsia="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）单位负责人为同一人或者存在直接控股、管理关系的不同供应商，不得参加同一合同项下的政府采购活动。</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color w:val="auto"/>
          <w:sz w:val="24"/>
          <w:szCs w:val="24"/>
        </w:rPr>
      </w:pPr>
      <w:r>
        <w:rPr>
          <w:rStyle w:val="26"/>
          <w:rFonts w:hint="eastAsia" w:ascii="宋体" w:hAnsi="宋体" w:eastAsia="宋体" w:cs="宋体"/>
          <w:b/>
          <w:bCs/>
          <w:i w:val="0"/>
          <w:iCs w:val="0"/>
          <w:caps w:val="0"/>
          <w:color w:val="000000"/>
          <w:spacing w:val="0"/>
          <w:sz w:val="24"/>
          <w:szCs w:val="24"/>
        </w:rPr>
        <w:t>三</w:t>
      </w:r>
      <w:r>
        <w:rPr>
          <w:rStyle w:val="26"/>
          <w:rFonts w:hint="eastAsia" w:ascii="宋体" w:hAnsi="宋体" w:eastAsia="宋体" w:cs="宋体"/>
          <w:b/>
          <w:bCs/>
          <w:i w:val="0"/>
          <w:iCs w:val="0"/>
          <w:caps w:val="0"/>
          <w:color w:val="auto"/>
          <w:spacing w:val="0"/>
          <w:sz w:val="24"/>
          <w:szCs w:val="24"/>
        </w:rPr>
        <w:t>、获取招标文件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cs="宋体"/>
          <w:color w:val="auto"/>
          <w:sz w:val="24"/>
          <w:szCs w:val="24"/>
          <w:lang w:val="en-US" w:eastAsia="zh-CN"/>
        </w:rPr>
        <w:t>11</w:t>
      </w:r>
      <w:r>
        <w:rPr>
          <w:rFonts w:hint="eastAsia" w:ascii="宋体" w:hAnsi="宋体" w:eastAsia="宋体" w:cs="宋体"/>
          <w:color w:val="auto"/>
          <w:sz w:val="24"/>
          <w:szCs w:val="24"/>
        </w:rPr>
        <w:t>月</w:t>
      </w:r>
      <w:r>
        <w:rPr>
          <w:rFonts w:hint="eastAsia" w:cs="宋体"/>
          <w:color w:val="auto"/>
          <w:sz w:val="24"/>
          <w:szCs w:val="24"/>
          <w:lang w:val="en-US" w:eastAsia="zh-CN"/>
        </w:rPr>
        <w:t>06</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cs="宋体"/>
          <w:color w:val="auto"/>
          <w:sz w:val="24"/>
          <w:szCs w:val="24"/>
          <w:lang w:val="en-US" w:eastAsia="zh-CN"/>
        </w:rPr>
        <w:t>11</w:t>
      </w:r>
      <w:r>
        <w:rPr>
          <w:rFonts w:hint="eastAsia" w:ascii="宋体" w:hAnsi="宋体" w:eastAsia="宋体" w:cs="宋体"/>
          <w:color w:val="auto"/>
          <w:sz w:val="24"/>
          <w:szCs w:val="24"/>
        </w:rPr>
        <w:t>月</w:t>
      </w:r>
      <w:r>
        <w:rPr>
          <w:rFonts w:hint="eastAsia" w:cs="宋体"/>
          <w:color w:val="auto"/>
          <w:sz w:val="24"/>
          <w:szCs w:val="24"/>
          <w:lang w:val="en-US" w:eastAsia="zh-CN"/>
        </w:rPr>
        <w:t>13</w:t>
      </w:r>
      <w:r>
        <w:rPr>
          <w:rFonts w:hint="eastAsia" w:ascii="宋体" w:hAnsi="宋体" w:eastAsia="宋体" w:cs="宋体"/>
          <w:color w:val="auto"/>
          <w:sz w:val="24"/>
          <w:szCs w:val="24"/>
        </w:rPr>
        <w:t>日</w:t>
      </w:r>
      <w:r>
        <w:rPr>
          <w:rFonts w:hint="eastAsia" w:ascii="宋体" w:hAnsi="宋体" w:eastAsia="宋体" w:cs="宋体"/>
          <w:i w:val="0"/>
          <w:iCs w:val="0"/>
          <w:caps w:val="0"/>
          <w:color w:val="auto"/>
          <w:spacing w:val="0"/>
          <w:sz w:val="24"/>
          <w:szCs w:val="24"/>
        </w:rPr>
        <w:t>，每天上午</w:t>
      </w:r>
      <w:r>
        <w:rPr>
          <w:rFonts w:hint="eastAsia" w:cs="宋体"/>
          <w:i w:val="0"/>
          <w:iCs w:val="0"/>
          <w:caps w:val="0"/>
          <w:color w:val="auto"/>
          <w:spacing w:val="0"/>
          <w:sz w:val="24"/>
          <w:szCs w:val="24"/>
          <w:lang w:val="en-US" w:eastAsia="zh-CN"/>
        </w:rPr>
        <w:t>10</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0至1</w:t>
      </w: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0，下午1</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:30至</w:t>
      </w:r>
      <w:r>
        <w:rPr>
          <w:rFonts w:hint="eastAsia" w:cs="宋体"/>
          <w:i w:val="0"/>
          <w:iCs w:val="0"/>
          <w:caps w:val="0"/>
          <w:color w:val="auto"/>
          <w:spacing w:val="0"/>
          <w:sz w:val="24"/>
          <w:szCs w:val="24"/>
          <w:lang w:val="en-US" w:eastAsia="zh-CN"/>
        </w:rPr>
        <w:t>19</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0（北京时间，法定节假日除外）</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地点：政采云平台线</w:t>
      </w:r>
      <w:bookmarkStart w:id="55" w:name="_GoBack"/>
      <w:bookmarkEnd w:id="55"/>
      <w:r>
        <w:rPr>
          <w:rFonts w:hint="eastAsia" w:ascii="宋体" w:hAnsi="宋体" w:eastAsia="宋体" w:cs="宋体"/>
          <w:i w:val="0"/>
          <w:iCs w:val="0"/>
          <w:caps w:val="0"/>
          <w:color w:val="auto"/>
          <w:spacing w:val="0"/>
          <w:sz w:val="24"/>
          <w:szCs w:val="24"/>
        </w:rPr>
        <w:t>上</w:t>
      </w:r>
      <w:r>
        <w:rPr>
          <w:rFonts w:hint="eastAsia" w:ascii="宋体" w:hAnsi="宋体" w:eastAsia="宋体" w:cs="宋体"/>
          <w:i w:val="0"/>
          <w:iCs w:val="0"/>
          <w:caps w:val="0"/>
          <w:color w:val="auto"/>
          <w:spacing w:val="0"/>
          <w:sz w:val="24"/>
          <w:szCs w:val="24"/>
          <w:lang w:val="en-US" w:eastAsia="zh-CN"/>
        </w:rPr>
        <w:t>获取</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方式：供应商登录政采云平台https://www.zcygov.cn/在线申请获取采购文件（进入“项目采购”应用，在获取采购文件菜单中选择项目，申请获取采购文件）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售价（元）：0</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color w:val="auto"/>
          <w:sz w:val="24"/>
          <w:szCs w:val="24"/>
        </w:rPr>
      </w:pPr>
      <w:r>
        <w:rPr>
          <w:rStyle w:val="26"/>
          <w:rFonts w:hint="eastAsia" w:ascii="宋体" w:hAnsi="宋体" w:eastAsia="宋体" w:cs="宋体"/>
          <w:b/>
          <w:bCs/>
          <w:i w:val="0"/>
          <w:iCs w:val="0"/>
          <w:caps w:val="0"/>
          <w:color w:val="auto"/>
          <w:spacing w:val="0"/>
          <w:sz w:val="24"/>
          <w:szCs w:val="24"/>
        </w:rPr>
        <w:t>四、提交投标文件截止时间、开标时间和地点</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提交投标文件截止时间：202</w:t>
      </w: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年</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06</w:t>
      </w:r>
      <w:r>
        <w:rPr>
          <w:rFonts w:hint="eastAsia" w:ascii="宋体" w:hAnsi="宋体" w:eastAsia="宋体" w:cs="宋体"/>
          <w:i w:val="0"/>
          <w:iCs w:val="0"/>
          <w:caps w:val="0"/>
          <w:color w:val="auto"/>
          <w:spacing w:val="0"/>
          <w:sz w:val="24"/>
          <w:szCs w:val="24"/>
        </w:rPr>
        <w:t>日 1</w:t>
      </w:r>
      <w:r>
        <w:rPr>
          <w:rFonts w:hint="eastAsia" w:cs="宋体"/>
          <w:i w:val="0"/>
          <w:iCs w:val="0"/>
          <w:caps w:val="0"/>
          <w:color w:val="auto"/>
          <w:spacing w:val="0"/>
          <w:sz w:val="24"/>
          <w:szCs w:val="24"/>
          <w:lang w:val="en-US" w:eastAsia="zh-CN"/>
        </w:rPr>
        <w:t>6</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0（北京时间）</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投标地点：将响应文件上传至政采云平台https://www.zcygov.cn/对应位置（逾期未上传的或不符合规定的响应文件将被拒绝接收）。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开标时间：202</w:t>
      </w: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年</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06</w:t>
      </w:r>
      <w:r>
        <w:rPr>
          <w:rFonts w:hint="eastAsia" w:ascii="宋体" w:hAnsi="宋体" w:eastAsia="宋体" w:cs="宋体"/>
          <w:i w:val="0"/>
          <w:iCs w:val="0"/>
          <w:caps w:val="0"/>
          <w:color w:val="auto"/>
          <w:spacing w:val="0"/>
          <w:sz w:val="24"/>
          <w:szCs w:val="24"/>
        </w:rPr>
        <w:t>日1</w:t>
      </w:r>
      <w:r>
        <w:rPr>
          <w:rFonts w:hint="eastAsia" w:cs="宋体"/>
          <w:i w:val="0"/>
          <w:iCs w:val="0"/>
          <w:caps w:val="0"/>
          <w:color w:val="auto"/>
          <w:spacing w:val="0"/>
          <w:sz w:val="24"/>
          <w:szCs w:val="24"/>
          <w:lang w:val="en-US" w:eastAsia="zh-CN"/>
        </w:rPr>
        <w:t>6</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0（北京时间）</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开标地点：政采云网上不见面开标系统。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color w:val="auto"/>
          <w:sz w:val="24"/>
          <w:szCs w:val="24"/>
        </w:rPr>
      </w:pPr>
      <w:r>
        <w:rPr>
          <w:rStyle w:val="26"/>
          <w:rFonts w:hint="eastAsia" w:ascii="宋体" w:hAnsi="宋体" w:eastAsia="宋体" w:cs="宋体"/>
          <w:b/>
          <w:bCs/>
          <w:i w:val="0"/>
          <w:iCs w:val="0"/>
          <w:caps w:val="0"/>
          <w:color w:val="auto"/>
          <w:spacing w:val="0"/>
          <w:sz w:val="24"/>
          <w:szCs w:val="24"/>
        </w:rPr>
        <w:t>五、公告期限</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rPr>
        <w:t>自本公告发布之日起5个工作日。</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sz w:val="24"/>
          <w:szCs w:val="24"/>
        </w:rPr>
      </w:pPr>
      <w:r>
        <w:rPr>
          <w:rStyle w:val="26"/>
          <w:rFonts w:hint="eastAsia" w:ascii="宋体" w:hAnsi="宋体" w:eastAsia="宋体" w:cs="宋体"/>
          <w:b/>
          <w:bCs/>
          <w:i w:val="0"/>
          <w:iCs w:val="0"/>
          <w:caps w:val="0"/>
          <w:spacing w:val="0"/>
          <w:sz w:val="24"/>
          <w:szCs w:val="24"/>
        </w:rPr>
        <w:t>六、其他补充事宜</w:t>
      </w:r>
    </w:p>
    <w:p>
      <w:pPr>
        <w:pStyle w:val="21"/>
        <w:keepNext w:val="0"/>
        <w:keepLines w:val="0"/>
        <w:pageBreakBefore w:val="0"/>
        <w:widowControl/>
        <w:suppressLineNumbers w:val="0"/>
        <w:kinsoku/>
        <w:wordWrap/>
        <w:overflowPunct/>
        <w:autoSpaceDN/>
        <w:bidi w:val="0"/>
        <w:spacing w:line="280" w:lineRule="exact"/>
        <w:ind w:left="0" w:firstLine="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（1）本项目采用全流程不见面电子开评标，供应商需要使用CA加密设备，供应商可通过新疆数字证书认证中心官网（https://www.xjca.com.cn/）或下载“新疆政务通”APP自行进行申领。</w:t>
      </w:r>
      <w:r>
        <w:rPr>
          <w:rFonts w:hint="eastAsia" w:ascii="宋体" w:hAnsi="宋体" w:eastAsia="宋体" w:cs="宋体"/>
          <w:i w:val="0"/>
          <w:iCs w:val="0"/>
          <w:caps w:val="0"/>
          <w:spacing w:val="0"/>
          <w:sz w:val="24"/>
          <w:szCs w:val="24"/>
        </w:rPr>
        <w:br w:type="textWrapping"/>
      </w:r>
      <w:r>
        <w:rPr>
          <w:rFonts w:hint="eastAsia" w:ascii="宋体" w:hAnsi="宋体" w:eastAsia="宋体" w:cs="宋体"/>
          <w:i w:val="0"/>
          <w:iCs w:val="0"/>
          <w:caps w:val="0"/>
          <w:spacing w:val="0"/>
          <w:sz w:val="24"/>
          <w:szCs w:val="24"/>
        </w:rPr>
        <w:t>（2）本项目实行网上投标，采用加密电子投标响应文件(供应商须使用CA加密设备通过政采云电子投标客户端制作投标响应文件)。若供应商参与投标，自行承担投标一切费用。</w:t>
      </w:r>
      <w:r>
        <w:rPr>
          <w:rFonts w:hint="eastAsia" w:ascii="宋体" w:hAnsi="宋体" w:eastAsia="宋体" w:cs="宋体"/>
          <w:i w:val="0"/>
          <w:iCs w:val="0"/>
          <w:caps w:val="0"/>
          <w:spacing w:val="0"/>
          <w:sz w:val="24"/>
          <w:szCs w:val="24"/>
        </w:rPr>
        <w:br w:type="textWrapping"/>
      </w:r>
      <w:r>
        <w:rPr>
          <w:rFonts w:hint="eastAsia" w:ascii="宋体" w:hAnsi="宋体" w:eastAsia="宋体" w:cs="宋体"/>
          <w:i w:val="0"/>
          <w:iCs w:val="0"/>
          <w:caps w:val="0"/>
          <w:spacing w:val="0"/>
          <w:sz w:val="24"/>
          <w:szCs w:val="24"/>
        </w:rPr>
        <w:t>（3）各投标人在开标前应确保成为新疆政府采购网正式注册入库供应商，并完成CA数字证书申领。因未注册入库、未办理CA数字证书等原因造成无法投标或投标失败等后果由供应商自行承担。</w:t>
      </w:r>
      <w:r>
        <w:rPr>
          <w:rFonts w:hint="eastAsia" w:ascii="宋体" w:hAnsi="宋体" w:eastAsia="宋体" w:cs="宋体"/>
          <w:i w:val="0"/>
          <w:iCs w:val="0"/>
          <w:caps w:val="0"/>
          <w:spacing w:val="0"/>
          <w:sz w:val="24"/>
          <w:szCs w:val="24"/>
        </w:rPr>
        <w:br w:type="textWrapping"/>
      </w:r>
      <w:r>
        <w:rPr>
          <w:rFonts w:hint="eastAsia" w:ascii="宋体" w:hAnsi="宋体" w:eastAsia="宋体" w:cs="宋体"/>
          <w:i w:val="0"/>
          <w:iCs w:val="0"/>
          <w:caps w:val="0"/>
          <w:spacing w:val="0"/>
          <w:sz w:val="24"/>
          <w:szCs w:val="24"/>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w:t>
      </w:r>
      <w:r>
        <w:rPr>
          <w:rFonts w:hint="eastAsia" w:ascii="宋体" w:hAnsi="宋体" w:eastAsia="宋体" w:cs="宋体"/>
          <w:i w:val="0"/>
          <w:iCs w:val="0"/>
          <w:caps w:val="0"/>
          <w:spacing w:val="0"/>
          <w:sz w:val="24"/>
          <w:szCs w:val="24"/>
          <w:lang w:val="en-US" w:eastAsia="zh-CN"/>
        </w:rPr>
        <w:t>95763</w:t>
      </w:r>
      <w:r>
        <w:rPr>
          <w:rFonts w:hint="eastAsia" w:ascii="宋体" w:hAnsi="宋体" w:eastAsia="宋体" w:cs="宋体"/>
          <w:i w:val="0"/>
          <w:iCs w:val="0"/>
          <w:caps w:val="0"/>
          <w:spacing w:val="0"/>
          <w:sz w:val="24"/>
          <w:szCs w:val="24"/>
        </w:rPr>
        <w:t>进行咨询。</w:t>
      </w:r>
      <w:r>
        <w:rPr>
          <w:rFonts w:hint="eastAsia" w:ascii="宋体" w:hAnsi="宋体" w:eastAsia="宋体" w:cs="宋体"/>
          <w:i w:val="0"/>
          <w:iCs w:val="0"/>
          <w:caps w:val="0"/>
          <w:spacing w:val="0"/>
          <w:sz w:val="24"/>
          <w:szCs w:val="24"/>
        </w:rPr>
        <w:br w:type="textWrapping"/>
      </w:r>
      <w:r>
        <w:rPr>
          <w:rFonts w:hint="eastAsia" w:ascii="宋体" w:hAnsi="宋体" w:eastAsia="宋体" w:cs="宋体"/>
          <w:i w:val="0"/>
          <w:iCs w:val="0"/>
          <w:caps w:val="0"/>
          <w:spacing w:val="0"/>
          <w:sz w:val="24"/>
          <w:szCs w:val="24"/>
        </w:rPr>
        <w:t>（5）投标人在开标时须使用制作加密电子投标响应文件所使用的CA锁及电脑，电脑须提前配置好浏览器，以便开标时解锁。如因供应商自身原因导致在规定时间</w:t>
      </w:r>
      <w:r>
        <w:rPr>
          <w:rFonts w:hint="eastAsia" w:ascii="宋体" w:hAnsi="宋体" w:eastAsia="宋体" w:cs="宋体"/>
          <w:i w:val="0"/>
          <w:iCs w:val="0"/>
          <w:caps w:val="0"/>
          <w:spacing w:val="0"/>
          <w:sz w:val="24"/>
          <w:szCs w:val="24"/>
          <w:lang w:val="en-US" w:eastAsia="zh-CN"/>
        </w:rPr>
        <w:t>30分钟</w:t>
      </w:r>
      <w:r>
        <w:rPr>
          <w:rFonts w:hint="eastAsia" w:ascii="宋体" w:hAnsi="宋体" w:eastAsia="宋体" w:cs="宋体"/>
          <w:i w:val="0"/>
          <w:iCs w:val="0"/>
          <w:caps w:val="0"/>
          <w:spacing w:val="0"/>
          <w:sz w:val="24"/>
          <w:szCs w:val="24"/>
        </w:rPr>
        <w:t>内无法正常解密的（如：浏览器故障、未安装相关驱动、网络故障、加密CA与解密CA不一致等），采购代理机构不予异常处理，视为供应商自动弃标。</w:t>
      </w:r>
      <w:r>
        <w:rPr>
          <w:rFonts w:hint="eastAsia" w:ascii="宋体" w:hAnsi="宋体" w:eastAsia="宋体" w:cs="宋体"/>
          <w:i w:val="0"/>
          <w:iCs w:val="0"/>
          <w:caps w:val="0"/>
          <w:spacing w:val="0"/>
          <w:sz w:val="24"/>
          <w:szCs w:val="24"/>
        </w:rPr>
        <w:br w:type="textWrapping"/>
      </w:r>
      <w:r>
        <w:rPr>
          <w:rFonts w:hint="eastAsia" w:ascii="宋体" w:hAnsi="宋体" w:eastAsia="宋体" w:cs="宋体"/>
          <w:i w:val="0"/>
          <w:iCs w:val="0"/>
          <w:caps w:val="0"/>
          <w:spacing w:val="0"/>
          <w:sz w:val="24"/>
          <w:szCs w:val="24"/>
        </w:rPr>
        <w:t>（6）投标人对不见面开评标系统的技术操作咨询，可通过https://edu.zcygov.cn/luban/xinjiang-e-biding自助查询，也可在政采云帮助中心常见问题解答和操作流程讲解视频中自助查询，网址为：</w:t>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s://service.zcygov.cn/#/help，\“项目采购\”—\“操作流程-电子招投标\”—\“政府采购项目电子交易管理操作指南-供应商\”版面获取操作指南，同时对自助查询无法解决的问题可通过政采云在线客服获取服务支持。"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t>https://service.zcygov.cn/#/help，“项目采购”—“操作流程-电子招投标”—“政府采购项目电子交易管理操作指南-供应商”版面获取操作指南，同时对自助查询无法解决的问题可通过政采云在线客服获取服务支持。</w:t>
      </w:r>
      <w:r>
        <w:rPr>
          <w:rFonts w:hint="eastAsia" w:ascii="宋体" w:hAnsi="宋体" w:eastAsia="宋体" w:cs="宋体"/>
          <w:i w:val="0"/>
          <w:iCs w:val="0"/>
          <w:caps w:val="0"/>
          <w:spacing w:val="0"/>
          <w:sz w:val="24"/>
          <w:szCs w:val="24"/>
        </w:rPr>
        <w:fldChar w:fldCharType="end"/>
      </w:r>
    </w:p>
    <w:p>
      <w:pPr>
        <w:pStyle w:val="21"/>
        <w:keepNext w:val="0"/>
        <w:keepLines w:val="0"/>
        <w:pageBreakBefore w:val="0"/>
        <w:widowControl/>
        <w:suppressLineNumbers w:val="0"/>
        <w:kinsoku/>
        <w:wordWrap/>
        <w:overflowPunct/>
        <w:autoSpaceDN/>
        <w:bidi w:val="0"/>
        <w:spacing w:line="280" w:lineRule="exact"/>
        <w:ind w:left="0" w:firstLine="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特别提示：</w:t>
      </w:r>
    </w:p>
    <w:p>
      <w:pPr>
        <w:pStyle w:val="21"/>
        <w:keepNext w:val="0"/>
        <w:keepLines w:val="0"/>
        <w:pageBreakBefore w:val="0"/>
        <w:widowControl/>
        <w:suppressLineNumbers w:val="0"/>
        <w:kinsoku/>
        <w:wordWrap/>
        <w:overflowPunct/>
        <w:autoSpaceDN/>
        <w:bidi w:val="0"/>
        <w:spacing w:line="280" w:lineRule="exact"/>
        <w:ind w:left="0" w:firstLine="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1、采购限额标准以上，200万元以下的货物和服务采购项目、400万元以下的工程采购项目，适宜由中小企业提供的，采购人应当专门面向中小企业采购。</w:t>
      </w:r>
    </w:p>
    <w:p>
      <w:pPr>
        <w:pStyle w:val="21"/>
        <w:keepNext w:val="0"/>
        <w:keepLines w:val="0"/>
        <w:pageBreakBefore w:val="0"/>
        <w:widowControl/>
        <w:suppressLineNumbers w:val="0"/>
        <w:kinsoku/>
        <w:wordWrap/>
        <w:overflowPunct/>
        <w:autoSpaceDN/>
        <w:bidi w:val="0"/>
        <w:spacing w:line="280" w:lineRule="exact"/>
        <w:ind w:left="0" w:firstLine="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2、超过200万元的货物和服务采购项目，预留该部分采购项目预算总额的30%以上专门面向中小企业采购，其中预留给小微企业的比例不低于60%。</w:t>
      </w:r>
    </w:p>
    <w:p>
      <w:pPr>
        <w:pStyle w:val="21"/>
        <w:keepNext w:val="0"/>
        <w:keepLines w:val="0"/>
        <w:pageBreakBefore w:val="0"/>
        <w:widowControl/>
        <w:suppressLineNumbers w:val="0"/>
        <w:kinsoku/>
        <w:wordWrap/>
        <w:overflowPunct/>
        <w:autoSpaceDN/>
        <w:bidi w:val="0"/>
        <w:spacing w:line="280" w:lineRule="exact"/>
        <w:ind w:left="0" w:firstLine="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3、超过400万元的工程采购项目中适宜由中小企业提供的，预留该部分采购项目预算总额的40%以上专门面向中小企业采购，其中预留给小微企业的比例不低于60%。</w:t>
      </w:r>
    </w:p>
    <w:p>
      <w:pPr>
        <w:pStyle w:val="21"/>
        <w:keepNext w:val="0"/>
        <w:keepLines w:val="0"/>
        <w:pageBreakBefore w:val="0"/>
        <w:widowControl/>
        <w:suppressLineNumbers w:val="0"/>
        <w:kinsoku/>
        <w:wordWrap/>
        <w:overflowPunct/>
        <w:autoSpaceDN/>
        <w:bidi w:val="0"/>
        <w:spacing w:line="280" w:lineRule="exact"/>
        <w:ind w:left="0" w:firstLine="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1"/>
        <w:keepNext w:val="0"/>
        <w:keepLines w:val="0"/>
        <w:pageBreakBefore w:val="0"/>
        <w:widowControl/>
        <w:suppressLineNumbers w:val="0"/>
        <w:kinsoku/>
        <w:wordWrap/>
        <w:overflowPunct/>
        <w:autoSpaceDN/>
        <w:bidi w:val="0"/>
        <w:spacing w:line="280" w:lineRule="exact"/>
        <w:ind w:left="0" w:firstLine="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sz w:val="24"/>
          <w:szCs w:val="24"/>
        </w:rPr>
      </w:pPr>
      <w:r>
        <w:rPr>
          <w:rStyle w:val="26"/>
          <w:rFonts w:hint="eastAsia" w:ascii="宋体" w:hAnsi="宋体" w:eastAsia="宋体" w:cs="宋体"/>
          <w:b/>
          <w:bCs/>
          <w:i w:val="0"/>
          <w:iCs w:val="0"/>
          <w:caps w:val="0"/>
          <w:spacing w:val="0"/>
          <w:sz w:val="24"/>
          <w:szCs w:val="24"/>
        </w:rPr>
        <w:t>七、对本次采购提出询问，请按以下方式联系</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rPr>
        <w:t>1.采购人信息</w:t>
      </w:r>
    </w:p>
    <w:p>
      <w:pPr>
        <w:keepNext w:val="0"/>
        <w:keepLines w:val="0"/>
        <w:pageBreakBefore w:val="0"/>
        <w:kinsoku/>
        <w:wordWrap/>
        <w:overflowPunct/>
        <w:topLinePunct w:val="0"/>
        <w:autoSpaceDE/>
        <w:autoSpaceDN/>
        <w:bidi w:val="0"/>
        <w:adjustRightInd/>
        <w:snapToGrid/>
        <w:spacing w:line="280" w:lineRule="exact"/>
        <w:ind w:right="1460" w:firstLine="480" w:firstLineChars="200"/>
        <w:jc w:val="both"/>
        <w:textAlignment w:val="auto"/>
        <w:rPr>
          <w:rFonts w:hint="eastAsia" w:ascii="宋体" w:hAnsi="宋体" w:eastAsia="宋体" w:cs="宋体"/>
          <w:i w:val="0"/>
          <w:iCs w:val="0"/>
          <w:caps w:val="0"/>
          <w:spacing w:val="0"/>
          <w:kern w:val="0"/>
          <w:sz w:val="24"/>
          <w:szCs w:val="24"/>
          <w:lang w:val="en-US" w:eastAsia="zh-CN" w:bidi="ar-SA"/>
        </w:rPr>
      </w:pPr>
      <w:r>
        <w:rPr>
          <w:rFonts w:hint="eastAsia" w:ascii="宋体" w:hAnsi="宋体" w:eastAsia="宋体" w:cs="宋体"/>
          <w:i w:val="0"/>
          <w:iCs w:val="0"/>
          <w:caps w:val="0"/>
          <w:spacing w:val="0"/>
          <w:sz w:val="24"/>
          <w:szCs w:val="24"/>
        </w:rPr>
        <w:t>名 称</w:t>
      </w:r>
      <w:r>
        <w:rPr>
          <w:rFonts w:hint="eastAsia" w:ascii="宋体" w:hAnsi="宋体" w:eastAsia="宋体" w:cs="宋体"/>
          <w:i w:val="0"/>
          <w:iCs w:val="0"/>
          <w:caps w:val="0"/>
          <w:spacing w:val="0"/>
          <w:kern w:val="0"/>
          <w:sz w:val="24"/>
          <w:szCs w:val="24"/>
          <w:lang w:val="en-US" w:eastAsia="zh-CN" w:bidi="ar-SA"/>
        </w:rPr>
        <w:t>：托克逊县住房和城乡建设局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rPr>
        <w:t>地 址：</w:t>
      </w:r>
      <w:r>
        <w:rPr>
          <w:rFonts w:hint="eastAsia" w:ascii="宋体" w:hAnsi="宋体" w:eastAsia="宋体" w:cs="宋体"/>
          <w:i w:val="0"/>
          <w:iCs w:val="0"/>
          <w:caps w:val="0"/>
          <w:spacing w:val="0"/>
          <w:sz w:val="24"/>
          <w:szCs w:val="24"/>
          <w:lang w:val="en-US" w:eastAsia="zh-CN"/>
        </w:rPr>
        <w:t>托克逊县九龙路</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spacing w:val="0"/>
          <w:sz w:val="24"/>
          <w:szCs w:val="24"/>
        </w:rPr>
        <w:t>联系方式：</w:t>
      </w:r>
      <w:r>
        <w:rPr>
          <w:rFonts w:hint="eastAsia" w:cs="宋体"/>
          <w:i w:val="0"/>
          <w:iCs w:val="0"/>
          <w:caps w:val="0"/>
          <w:spacing w:val="0"/>
          <w:sz w:val="24"/>
          <w:szCs w:val="24"/>
          <w:lang w:val="en-US" w:eastAsia="zh-CN"/>
        </w:rPr>
        <w:t>0995-8822833</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rPr>
        <w:t>2.采购代理机构信息</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sz w:val="24"/>
          <w:szCs w:val="24"/>
          <w:lang w:eastAsia="zh-CN"/>
        </w:rPr>
      </w:pPr>
      <w:r>
        <w:rPr>
          <w:rFonts w:hint="eastAsia" w:ascii="宋体" w:hAnsi="宋体" w:eastAsia="宋体" w:cs="宋体"/>
          <w:i w:val="0"/>
          <w:iCs w:val="0"/>
          <w:caps w:val="0"/>
          <w:spacing w:val="0"/>
          <w:sz w:val="24"/>
          <w:szCs w:val="24"/>
        </w:rPr>
        <w:t>名 称：</w:t>
      </w:r>
      <w:r>
        <w:rPr>
          <w:rFonts w:hint="eastAsia" w:ascii="宋体" w:hAnsi="宋体" w:eastAsia="宋体" w:cs="宋体"/>
          <w:i w:val="0"/>
          <w:iCs w:val="0"/>
          <w:caps w:val="0"/>
          <w:spacing w:val="0"/>
          <w:sz w:val="24"/>
          <w:szCs w:val="24"/>
          <w:lang w:eastAsia="zh-CN"/>
        </w:rPr>
        <w:t>新疆华域天恒工程管理有限公司</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rPr>
        <w:t>地 址：吐鲁番市高昌区示范区和平街11幢2层201号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rPr>
        <w:t>联系方式：</w:t>
      </w:r>
      <w:r>
        <w:rPr>
          <w:rFonts w:hint="eastAsia" w:ascii="宋体" w:hAnsi="宋体" w:eastAsia="宋体" w:cs="宋体"/>
          <w:i w:val="0"/>
          <w:iCs w:val="0"/>
          <w:caps w:val="0"/>
          <w:spacing w:val="0"/>
          <w:sz w:val="24"/>
          <w:szCs w:val="24"/>
          <w:lang w:val="en-US" w:eastAsia="zh-CN"/>
        </w:rPr>
        <w:t>13</w:t>
      </w:r>
      <w:r>
        <w:rPr>
          <w:rFonts w:hint="eastAsia" w:cs="宋体"/>
          <w:i w:val="0"/>
          <w:iCs w:val="0"/>
          <w:caps w:val="0"/>
          <w:spacing w:val="0"/>
          <w:sz w:val="24"/>
          <w:szCs w:val="24"/>
          <w:lang w:val="en-US" w:eastAsia="zh-CN"/>
        </w:rPr>
        <w:t>899314280</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rPr>
        <w:t>3.项目联系方式</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rPr>
        <w:t>项目联系人：</w:t>
      </w:r>
      <w:r>
        <w:rPr>
          <w:rFonts w:hint="eastAsia" w:cs="宋体"/>
          <w:i w:val="0"/>
          <w:iCs w:val="0"/>
          <w:caps w:val="0"/>
          <w:spacing w:val="0"/>
          <w:sz w:val="24"/>
          <w:szCs w:val="24"/>
          <w:lang w:val="en-US" w:eastAsia="zh-CN"/>
        </w:rPr>
        <w:t>马丽娜</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default"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rPr>
        <w:t>电 话：</w:t>
      </w:r>
      <w:r>
        <w:rPr>
          <w:rFonts w:hint="eastAsia" w:ascii="宋体" w:hAnsi="宋体" w:eastAsia="宋体" w:cs="宋体"/>
          <w:i w:val="0"/>
          <w:iCs w:val="0"/>
          <w:caps w:val="0"/>
          <w:spacing w:val="0"/>
          <w:sz w:val="24"/>
          <w:szCs w:val="24"/>
          <w:lang w:val="en-US" w:eastAsia="zh-CN"/>
        </w:rPr>
        <w:t>13</w:t>
      </w:r>
      <w:r>
        <w:rPr>
          <w:rFonts w:hint="eastAsia" w:cs="宋体"/>
          <w:i w:val="0"/>
          <w:iCs w:val="0"/>
          <w:caps w:val="0"/>
          <w:spacing w:val="0"/>
          <w:sz w:val="24"/>
          <w:szCs w:val="24"/>
          <w:lang w:val="en-US" w:eastAsia="zh-CN"/>
        </w:rPr>
        <w:t>899314280</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i w:val="0"/>
          <w:iCs w:val="0"/>
          <w:caps w:val="0"/>
          <w:spacing w:val="0"/>
          <w:sz w:val="24"/>
          <w:szCs w:val="24"/>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宋体" w:hAnsi="宋体" w:eastAsia="宋体" w:cs="宋体"/>
          <w:i w:val="0"/>
          <w:iCs w:val="0"/>
          <w:caps w:val="0"/>
          <w:spacing w:val="0"/>
          <w:sz w:val="24"/>
          <w:szCs w:val="24"/>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jc w:val="right"/>
        <w:textAlignment w:val="auto"/>
        <w:rPr>
          <w:rFonts w:hint="eastAsia" w:ascii="宋体" w:hAnsi="宋体" w:eastAsia="宋体" w:cs="宋体"/>
          <w:i w:val="0"/>
          <w:iCs w:val="0"/>
          <w:caps w:val="0"/>
          <w:spacing w:val="0"/>
          <w:sz w:val="24"/>
          <w:szCs w:val="24"/>
          <w:lang w:eastAsia="zh-CN"/>
        </w:rPr>
      </w:pPr>
      <w:r>
        <w:rPr>
          <w:rFonts w:hint="eastAsia" w:ascii="宋体" w:hAnsi="宋体" w:eastAsia="宋体" w:cs="宋体"/>
          <w:i w:val="0"/>
          <w:iCs w:val="0"/>
          <w:caps w:val="0"/>
          <w:spacing w:val="0"/>
          <w:sz w:val="24"/>
          <w:szCs w:val="24"/>
          <w:lang w:eastAsia="zh-CN"/>
        </w:rPr>
        <w:t>新疆华域天恒工程管理有限公司</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jc w:val="right"/>
        <w:textAlignment w:val="auto"/>
        <w:rPr>
          <w:rFonts w:hint="eastAsia"/>
          <w:lang w:val="en-US" w:eastAsia="zh-CN"/>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1</w:t>
      </w:r>
      <w:r>
        <w:rPr>
          <w:rFonts w:hint="eastAsia" w:ascii="宋体" w:hAnsi="宋体" w:eastAsia="宋体" w:cs="宋体"/>
          <w:color w:val="auto"/>
          <w:sz w:val="24"/>
          <w:szCs w:val="24"/>
        </w:rPr>
        <w:t>月</w:t>
      </w:r>
      <w:r>
        <w:rPr>
          <w:rFonts w:hint="eastAsia" w:cs="宋体"/>
          <w:color w:val="auto"/>
          <w:sz w:val="24"/>
          <w:szCs w:val="24"/>
          <w:lang w:val="en-US" w:eastAsia="zh-CN"/>
        </w:rPr>
        <w:t>05</w:t>
      </w:r>
      <w:r>
        <w:rPr>
          <w:rFonts w:hint="eastAsia" w:ascii="宋体" w:hAnsi="宋体" w:eastAsia="宋体" w:cs="宋体"/>
          <w:color w:val="auto"/>
          <w:sz w:val="24"/>
          <w:szCs w:val="24"/>
        </w:rPr>
        <w:t>日</w:t>
      </w: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r>
        <w:rPr>
          <w:rStyle w:val="28"/>
          <w:rFonts w:hint="eastAsia" w:ascii="宋体" w:hAnsi="宋体" w:eastAsia="宋体" w:cs="宋体"/>
          <w:b/>
          <w:bCs/>
          <w:color w:val="auto"/>
          <w:w w:val="90"/>
          <w:sz w:val="36"/>
          <w:szCs w:val="36"/>
          <w:u w:val="none"/>
          <w:lang w:val="en-US" w:eastAsia="zh-CN"/>
        </w:rPr>
        <w:t>第二章 投标人须知前附表</w:t>
      </w:r>
    </w:p>
    <w:tbl>
      <w:tblPr>
        <w:tblStyle w:val="23"/>
        <w:tblW w:w="1019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7"/>
        <w:gridCol w:w="1619"/>
        <w:gridCol w:w="803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 w:hRule="exact"/>
          <w:tblHeader/>
          <w:jc w:val="center"/>
        </w:trPr>
        <w:tc>
          <w:tcPr>
            <w:tcW w:w="547" w:type="dxa"/>
            <w:noWrap w:val="0"/>
            <w:vAlign w:val="center"/>
          </w:tcPr>
          <w:p>
            <w:pPr>
              <w:pStyle w:val="41"/>
              <w:keepNext w:val="0"/>
              <w:keepLines w:val="0"/>
              <w:pageBreakBefore w:val="0"/>
              <w:kinsoku/>
              <w:wordWrap/>
              <w:topLinePunct w:val="0"/>
              <w:bidi w:val="0"/>
              <w:spacing w:line="400" w:lineRule="exact"/>
              <w:ind w:left="9"/>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619" w:type="dxa"/>
            <w:noWrap w:val="0"/>
            <w:vAlign w:val="center"/>
          </w:tcPr>
          <w:p>
            <w:pPr>
              <w:pStyle w:val="41"/>
              <w:keepNext w:val="0"/>
              <w:keepLines w:val="0"/>
              <w:pageBreakBefore w:val="0"/>
              <w:kinsoku/>
              <w:wordWrap/>
              <w:topLinePunct w:val="0"/>
              <w:bidi w:val="0"/>
              <w:spacing w:line="400" w:lineRule="exact"/>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条款名称</w:t>
            </w:r>
          </w:p>
        </w:tc>
        <w:tc>
          <w:tcPr>
            <w:tcW w:w="8032" w:type="dxa"/>
            <w:noWrap w:val="0"/>
            <w:vAlign w:val="center"/>
          </w:tcPr>
          <w:p>
            <w:pPr>
              <w:pStyle w:val="41"/>
              <w:keepNext w:val="0"/>
              <w:keepLines w:val="0"/>
              <w:pageBreakBefore w:val="0"/>
              <w:kinsoku/>
              <w:wordWrap/>
              <w:topLinePunct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619" w:type="dxa"/>
            <w:noWrap w:val="0"/>
            <w:vAlign w:val="center"/>
          </w:tcPr>
          <w:p>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项目情况</w:t>
            </w:r>
          </w:p>
        </w:tc>
        <w:tc>
          <w:tcPr>
            <w:tcW w:w="8032" w:type="dxa"/>
            <w:noWrap w:val="0"/>
            <w:vAlign w:val="center"/>
          </w:tcPr>
          <w:p>
            <w:pPr>
              <w:pStyle w:val="41"/>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r>
              <w:rPr>
                <w:rFonts w:hint="eastAsia" w:cs="宋体"/>
                <w:color w:val="000000" w:themeColor="text1"/>
                <w:sz w:val="24"/>
                <w:szCs w:val="24"/>
                <w:lang w:val="en-US" w:eastAsia="zh-CN"/>
                <w14:textFill>
                  <w14:solidFill>
                    <w14:schemeClr w14:val="tx1"/>
                  </w14:solidFill>
                </w14:textFill>
              </w:rPr>
              <w:t>托克逊县城市环卫园林一体化管理项目第一包</w:t>
            </w:r>
          </w:p>
          <w:p>
            <w:pPr>
              <w:pStyle w:val="41"/>
              <w:keepNext w:val="0"/>
              <w:keepLines w:val="0"/>
              <w:pageBreakBefore w:val="0"/>
              <w:kinsoku/>
              <w:wordWrap/>
              <w:topLinePunct w:val="0"/>
              <w:bidi w:val="0"/>
              <w:spacing w:line="400" w:lineRule="exac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项目编号：TKXZFCG(GK)HYTH2023-0</w:t>
            </w:r>
            <w:r>
              <w:rPr>
                <w:rFonts w:hint="eastAsia" w:cs="宋体"/>
                <w:color w:val="000000" w:themeColor="text1"/>
                <w:sz w:val="24"/>
                <w:szCs w:val="24"/>
                <w:lang w:val="en-US" w:eastAsia="zh-CN"/>
                <w14:textFill>
                  <w14:solidFill>
                    <w14:schemeClr w14:val="tx1"/>
                  </w14:solidFill>
                </w14:textFill>
              </w:rPr>
              <w:t>36</w:t>
            </w:r>
          </w:p>
          <w:p>
            <w:pPr>
              <w:pStyle w:val="13"/>
              <w:pageBreakBefore w:val="0"/>
              <w:shd w:val="clear" w:color="auto" w:fill="FFFFFF"/>
              <w:wordWrap/>
              <w:overflowPunct/>
              <w:autoSpaceDE w:val="0"/>
              <w:bidi w:val="0"/>
              <w:adjustRightInd w:val="0"/>
              <w:snapToGrid w:val="0"/>
              <w:spacing w:line="460" w:lineRule="exact"/>
              <w:ind w:right="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招标内</w:t>
            </w:r>
            <w:r>
              <w:rPr>
                <w:rFonts w:hint="eastAsia" w:ascii="宋体" w:hAnsi="宋体" w:eastAsia="宋体" w:cs="宋体"/>
                <w:color w:val="000000" w:themeColor="text1"/>
                <w:sz w:val="24"/>
                <w:szCs w:val="24"/>
                <w:lang w:val="en-US" w:eastAsia="zh-CN" w:bidi="ar-SA"/>
                <w14:textFill>
                  <w14:solidFill>
                    <w14:schemeClr w14:val="tx1"/>
                  </w14:solidFill>
                </w14:textFill>
              </w:rPr>
              <w:t>容：道路清扫、保洁，垃圾清运、处置，公厕管理与维护，环卫基础设施的更新与维护等；园林绿化养护，包括养护范围内各类乔灌木绿篱等灌溉、修剪、防治病虫害、缺株补植补种等基础设施维护，绿地保洁和垃圾清运、绿化管网基础设施维护，公园广场等附属设施维护。</w:t>
            </w:r>
          </w:p>
          <w:p>
            <w:pPr>
              <w:pStyle w:val="41"/>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预算金额：16365000.00元/一年</w:t>
            </w:r>
          </w:p>
          <w:p>
            <w:pPr>
              <w:pStyle w:val="41"/>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服务期限：服务期为3年（本此项目预算为一年的金额），合同一年一签订，每年根据考核情况续签合同。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619" w:type="dxa"/>
            <w:noWrap w:val="0"/>
            <w:vAlign w:val="center"/>
          </w:tcPr>
          <w:p>
            <w:pPr>
              <w:pStyle w:val="41"/>
              <w:keepNext w:val="0"/>
              <w:keepLines w:val="0"/>
              <w:pageBreakBefore w:val="0"/>
              <w:kinsoku/>
              <w:wordWrap/>
              <w:topLinePunct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采购单位</w:t>
            </w:r>
          </w:p>
        </w:tc>
        <w:tc>
          <w:tcPr>
            <w:tcW w:w="8032" w:type="dxa"/>
            <w:noWrap w:val="0"/>
            <w:vAlign w:val="center"/>
          </w:tcPr>
          <w:p>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称：托克逊县住房和城乡建设局</w:t>
            </w:r>
          </w:p>
          <w:p>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址：托克逊县九龙路</w:t>
            </w:r>
          </w:p>
          <w:p>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联系人：刘先生       </w:t>
            </w:r>
          </w:p>
          <w:p>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联系电话：0995-8822833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3</w:t>
            </w:r>
          </w:p>
        </w:tc>
        <w:tc>
          <w:tcPr>
            <w:tcW w:w="1619" w:type="dxa"/>
            <w:noWrap w:val="0"/>
            <w:vAlign w:val="center"/>
          </w:tcPr>
          <w:p>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招标代理机构</w:t>
            </w:r>
          </w:p>
        </w:tc>
        <w:tc>
          <w:tcPr>
            <w:tcW w:w="8032" w:type="dxa"/>
            <w:noWrap w:val="0"/>
            <w:vAlign w:val="center"/>
          </w:tcPr>
          <w:p>
            <w:pPr>
              <w:pStyle w:val="41"/>
              <w:keepNext w:val="0"/>
              <w:keepLines w:val="0"/>
              <w:pageBreakBefore w:val="0"/>
              <w:kinsoku/>
              <w:wordWrap/>
              <w:topLinePunct w:val="0"/>
              <w:bidi w:val="0"/>
              <w:spacing w:line="400" w:lineRule="exac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lang w:eastAsia="zh-CN"/>
              </w:rPr>
              <w:t>新疆华域天恒工程管理有限公司</w:t>
            </w:r>
          </w:p>
          <w:p>
            <w:pPr>
              <w:pStyle w:val="41"/>
              <w:keepNext w:val="0"/>
              <w:keepLines w:val="0"/>
              <w:pageBreakBefore w:val="0"/>
              <w:kinsoku/>
              <w:wordWrap/>
              <w:topLinePunct w:val="0"/>
              <w:bidi w:val="0"/>
              <w:spacing w:line="40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址：吐鲁番市高昌区示范区和平街11幢2层201号</w:t>
            </w:r>
          </w:p>
          <w:p>
            <w:pPr>
              <w:pStyle w:val="41"/>
              <w:keepNext w:val="0"/>
              <w:keepLines w:val="0"/>
              <w:pageBreakBefore w:val="0"/>
              <w:kinsoku/>
              <w:wordWrap/>
              <w:topLinePunct w:val="0"/>
              <w:bidi w:val="0"/>
              <w:spacing w:line="40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联系</w:t>
            </w:r>
            <w:r>
              <w:rPr>
                <w:rFonts w:hint="eastAsia" w:ascii="宋体" w:hAnsi="宋体" w:eastAsia="宋体" w:cs="宋体"/>
                <w:color w:val="auto"/>
                <w:kern w:val="2"/>
                <w:sz w:val="24"/>
                <w:szCs w:val="24"/>
                <w:lang w:eastAsia="zh-CN"/>
              </w:rPr>
              <w:t>人</w:t>
            </w:r>
            <w:r>
              <w:rPr>
                <w:rFonts w:hint="eastAsia" w:ascii="宋体" w:hAnsi="宋体" w:eastAsia="宋体" w:cs="宋体"/>
                <w:color w:val="auto"/>
                <w:kern w:val="2"/>
                <w:sz w:val="24"/>
                <w:szCs w:val="24"/>
              </w:rPr>
              <w:t>：</w:t>
            </w:r>
            <w:r>
              <w:rPr>
                <w:rFonts w:hint="eastAsia" w:cs="宋体"/>
                <w:color w:val="auto"/>
                <w:kern w:val="2"/>
                <w:sz w:val="24"/>
                <w:szCs w:val="24"/>
                <w:lang w:val="en-US" w:eastAsia="zh-CN"/>
              </w:rPr>
              <w:t>马丽娜</w:t>
            </w:r>
          </w:p>
          <w:p>
            <w:pPr>
              <w:pStyle w:val="41"/>
              <w:keepNext w:val="0"/>
              <w:keepLines w:val="0"/>
              <w:pageBreakBefore w:val="0"/>
              <w:kinsoku/>
              <w:wordWrap/>
              <w:topLinePunct w:val="0"/>
              <w:bidi w:val="0"/>
              <w:spacing w:line="400" w:lineRule="exac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lang w:val="en-US" w:eastAsia="zh-CN"/>
              </w:rPr>
              <w:t>13</w:t>
            </w:r>
            <w:r>
              <w:rPr>
                <w:rFonts w:hint="eastAsia" w:cs="宋体"/>
                <w:color w:val="auto"/>
                <w:kern w:val="2"/>
                <w:sz w:val="24"/>
                <w:szCs w:val="24"/>
                <w:lang w:val="en-US" w:eastAsia="zh-CN"/>
              </w:rPr>
              <w:t>899314280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4</w:t>
            </w:r>
          </w:p>
        </w:tc>
        <w:tc>
          <w:tcPr>
            <w:tcW w:w="1619" w:type="dxa"/>
            <w:noWrap w:val="0"/>
            <w:vAlign w:val="center"/>
          </w:tcPr>
          <w:p>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投标人资格</w:t>
            </w:r>
          </w:p>
        </w:tc>
        <w:tc>
          <w:tcPr>
            <w:tcW w:w="8032" w:type="dxa"/>
            <w:noWrap w:val="0"/>
            <w:vAlign w:val="center"/>
          </w:tcPr>
          <w:p>
            <w:pPr>
              <w:pStyle w:val="41"/>
              <w:keepNext w:val="0"/>
              <w:keepLines w:val="0"/>
              <w:pageBreakBefore w:val="0"/>
              <w:kinsoku/>
              <w:wordWrap/>
              <w:topLinePunct w:val="0"/>
              <w:bidi w:val="0"/>
              <w:spacing w:line="40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1.满足《中华人民共和国政府采购法》第二十二条规定；</w:t>
            </w:r>
          </w:p>
          <w:p>
            <w:pPr>
              <w:pStyle w:val="41"/>
              <w:keepNext w:val="0"/>
              <w:keepLines w:val="0"/>
              <w:pageBreakBefore w:val="0"/>
              <w:kinsoku/>
              <w:wordWrap/>
              <w:topLinePunct w:val="0"/>
              <w:bidi w:val="0"/>
              <w:spacing w:line="400" w:lineRule="exact"/>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auto"/>
                <w:kern w:val="2"/>
                <w:sz w:val="24"/>
                <w:szCs w:val="24"/>
              </w:rPr>
              <w:t>2.落实政府采购政策</w:t>
            </w:r>
            <w:r>
              <w:rPr>
                <w:rFonts w:hint="eastAsia" w:ascii="宋体" w:hAnsi="宋体" w:eastAsia="宋体" w:cs="宋体"/>
                <w:color w:val="000000" w:themeColor="text1"/>
                <w:kern w:val="2"/>
                <w:sz w:val="24"/>
                <w:szCs w:val="24"/>
                <w14:textFill>
                  <w14:solidFill>
                    <w14:schemeClr w14:val="tx1"/>
                  </w14:solidFill>
                </w14:textFill>
              </w:rPr>
              <w:t>需满足的资格要求：</w:t>
            </w:r>
            <w:r>
              <w:rPr>
                <w:rFonts w:hint="eastAsia" w:cs="宋体"/>
                <w:color w:val="000000" w:themeColor="text1"/>
                <w:kern w:val="2"/>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pPr>
              <w:pStyle w:val="41"/>
              <w:keepNext w:val="0"/>
              <w:keepLines w:val="0"/>
              <w:pageBreakBefore w:val="0"/>
              <w:kinsoku/>
              <w:wordWrap/>
              <w:topLinePunct w:val="0"/>
              <w:bidi w:val="0"/>
              <w:spacing w:line="400" w:lineRule="exact"/>
              <w:rPr>
                <w:rFonts w:hint="eastAsia" w:ascii="宋体" w:hAnsi="宋体" w:eastAsia="宋体" w:cs="宋体"/>
                <w:color w:val="auto"/>
                <w:kern w:val="2"/>
                <w:sz w:val="24"/>
                <w:szCs w:val="24"/>
              </w:rPr>
            </w:pPr>
            <w:r>
              <w:rPr>
                <w:rFonts w:hint="eastAsia" w:ascii="宋体" w:hAnsi="宋体" w:eastAsia="宋体" w:cs="宋体"/>
                <w:color w:val="000000" w:themeColor="text1"/>
                <w:kern w:val="2"/>
                <w:sz w:val="24"/>
                <w:szCs w:val="24"/>
                <w14:textFill>
                  <w14:solidFill>
                    <w14:schemeClr w14:val="tx1"/>
                  </w14:solidFill>
                </w14:textFill>
              </w:rPr>
              <w:t>3.本项目的特定资格要求：</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(1)具有独立承担民事责任</w:t>
            </w:r>
            <w:r>
              <w:rPr>
                <w:rFonts w:hint="eastAsia" w:ascii="宋体" w:hAnsi="宋体" w:eastAsia="宋体" w:cs="宋体"/>
                <w:kern w:val="0"/>
                <w:sz w:val="24"/>
                <w:szCs w:val="24"/>
                <w:highlight w:val="none"/>
                <w:lang w:val="en-US" w:eastAsia="zh-CN" w:bidi="ar-SA"/>
              </w:rPr>
              <w:t>能力的在中华人民共和国境内注册的法人；（2）具有良好的商业信誉和健全的财务会计制度；（3）具有履行合同所必需的服务和专业技术能力；（4）参加本次采购活动前三年（2020年1月至今），在经营活动中没有重大违法记录。（重大违法记录，是指供应商因违法经营受到刑事处罚或者责令停产停业、吊销许可证或者执照、较大数额罚款等行政处罚、刑事处罚）；供应商未被列入“信用中国”网站“记录失信被执行人或重大税收违法案件当事人名单或政府采购严重违法失信行为”记录名单；不处于中国政府采购网“政府采购严重违法失信行为信息记录”中的禁止参加政府采购活动期间；未列入国家企业信用信息公示系统严重违法失信名单及其他不符合规定条件的供应商；（5）单位负责人为同一人或者存在直接控股、管理关系的不同供应商，不得参加同一合同项下的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619" w:type="dxa"/>
            <w:noWrap w:val="0"/>
            <w:vAlign w:val="center"/>
          </w:tcPr>
          <w:p>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是否接受联合体</w:t>
            </w:r>
          </w:p>
        </w:tc>
        <w:tc>
          <w:tcPr>
            <w:tcW w:w="8032" w:type="dxa"/>
            <w:noWrap w:val="0"/>
            <w:vAlign w:val="center"/>
          </w:tcPr>
          <w:p>
            <w:pPr>
              <w:pStyle w:val="41"/>
              <w:keepNext w:val="0"/>
              <w:keepLines w:val="0"/>
              <w:pageBreakBefore w:val="0"/>
              <w:kinsoku/>
              <w:wordWrap/>
              <w:topLinePunct w:val="0"/>
              <w:bidi w:val="0"/>
              <w:spacing w:line="40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6</w:t>
            </w:r>
          </w:p>
        </w:tc>
        <w:tc>
          <w:tcPr>
            <w:tcW w:w="1619" w:type="dxa"/>
            <w:noWrap w:val="0"/>
            <w:vAlign w:val="center"/>
          </w:tcPr>
          <w:p>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是否专门面向中小企业</w:t>
            </w:r>
          </w:p>
        </w:tc>
        <w:tc>
          <w:tcPr>
            <w:tcW w:w="8032" w:type="dxa"/>
            <w:noWrap w:val="0"/>
            <w:vAlign w:val="center"/>
          </w:tcPr>
          <w:p>
            <w:pPr>
              <w:pStyle w:val="41"/>
              <w:keepNext w:val="0"/>
              <w:keepLines w:val="0"/>
              <w:pageBreakBefore w:val="0"/>
              <w:kinsoku/>
              <w:wordWrap/>
              <w:topLinePunct w:val="0"/>
              <w:bidi w:val="0"/>
              <w:spacing w:line="400" w:lineRule="exact"/>
              <w:rPr>
                <w:rFonts w:hint="eastAsia" w:ascii="宋体" w:hAns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7</w:t>
            </w:r>
          </w:p>
        </w:tc>
        <w:tc>
          <w:tcPr>
            <w:tcW w:w="1619" w:type="dxa"/>
            <w:noWrap w:val="0"/>
            <w:vAlign w:val="center"/>
          </w:tcPr>
          <w:p>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本项目采购标的中小企业划分所属行业</w:t>
            </w:r>
          </w:p>
        </w:tc>
        <w:tc>
          <w:tcPr>
            <w:tcW w:w="8032" w:type="dxa"/>
            <w:noWrap w:val="0"/>
            <w:vAlign w:val="center"/>
          </w:tcPr>
          <w:p>
            <w:pPr>
              <w:pStyle w:val="41"/>
              <w:keepNext w:val="0"/>
              <w:keepLines w:val="0"/>
              <w:pageBreakBefore w:val="0"/>
              <w:kinsoku/>
              <w:wordWrap/>
              <w:topLinePunct w:val="0"/>
              <w:bidi w:val="0"/>
              <w:spacing w:line="40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服务业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8</w:t>
            </w:r>
          </w:p>
        </w:tc>
        <w:tc>
          <w:tcPr>
            <w:tcW w:w="1619" w:type="dxa"/>
            <w:noWrap w:val="0"/>
            <w:vAlign w:val="center"/>
          </w:tcPr>
          <w:p>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质量标准</w:t>
            </w:r>
          </w:p>
        </w:tc>
        <w:tc>
          <w:tcPr>
            <w:tcW w:w="8032" w:type="dxa"/>
            <w:noWrap w:val="0"/>
            <w:vAlign w:val="center"/>
          </w:tcPr>
          <w:p>
            <w:pPr>
              <w:pStyle w:val="41"/>
              <w:keepNext w:val="0"/>
              <w:keepLines w:val="0"/>
              <w:pageBreakBefore w:val="0"/>
              <w:kinsoku/>
              <w:wordWrap/>
              <w:topLinePunct w:val="0"/>
              <w:bidi w:val="0"/>
              <w:spacing w:line="40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合格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7" w:hRule="exact"/>
          <w:jc w:val="center"/>
        </w:trPr>
        <w:tc>
          <w:tcPr>
            <w:tcW w:w="547" w:type="dxa"/>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9</w:t>
            </w:r>
          </w:p>
        </w:tc>
        <w:tc>
          <w:tcPr>
            <w:tcW w:w="1619" w:type="dxa"/>
            <w:noWrap w:val="0"/>
            <w:vAlign w:val="center"/>
          </w:tcPr>
          <w:p>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承包方式</w:t>
            </w:r>
          </w:p>
        </w:tc>
        <w:tc>
          <w:tcPr>
            <w:tcW w:w="8032" w:type="dxa"/>
            <w:noWrap w:val="0"/>
            <w:vAlign w:val="center"/>
          </w:tcPr>
          <w:p>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专业承包招标；最终应满足招标人的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及要求。并应符合相关规范标准以及相关部门审查要求。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exact"/>
          <w:jc w:val="center"/>
        </w:trPr>
        <w:tc>
          <w:tcPr>
            <w:tcW w:w="547" w:type="dxa"/>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en-US" w:eastAsia="zh-CN"/>
              </w:rPr>
              <w:t>10</w:t>
            </w:r>
          </w:p>
        </w:tc>
        <w:tc>
          <w:tcPr>
            <w:tcW w:w="1619" w:type="dxa"/>
            <w:noWrap w:val="0"/>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构成招标文件的其他文件</w:t>
            </w:r>
          </w:p>
        </w:tc>
        <w:tc>
          <w:tcPr>
            <w:tcW w:w="8032" w:type="dxa"/>
            <w:noWrap w:val="0"/>
            <w:vAlign w:val="center"/>
          </w:tcPr>
          <w:p>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7" w:hRule="exact"/>
          <w:jc w:val="center"/>
        </w:trPr>
        <w:tc>
          <w:tcPr>
            <w:tcW w:w="547" w:type="dxa"/>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en-US" w:eastAsia="zh-CN"/>
              </w:rPr>
              <w:t>11</w:t>
            </w:r>
          </w:p>
        </w:tc>
        <w:tc>
          <w:tcPr>
            <w:tcW w:w="1619" w:type="dxa"/>
            <w:noWrap w:val="0"/>
            <w:vAlign w:val="center"/>
          </w:tcPr>
          <w:p>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投标有效期</w:t>
            </w:r>
          </w:p>
        </w:tc>
        <w:tc>
          <w:tcPr>
            <w:tcW w:w="8032" w:type="dxa"/>
            <w:noWrap w:val="0"/>
            <w:vAlign w:val="center"/>
          </w:tcPr>
          <w:p>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60</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日历天（投标有效期从提交投标文件的截止之日起算。有效期短于该规定期限的投标无效）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7" w:hRule="exact"/>
          <w:jc w:val="center"/>
        </w:trPr>
        <w:tc>
          <w:tcPr>
            <w:tcW w:w="547" w:type="dxa"/>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en-US" w:eastAsia="zh-CN"/>
              </w:rPr>
              <w:t>12</w:t>
            </w:r>
          </w:p>
        </w:tc>
        <w:tc>
          <w:tcPr>
            <w:tcW w:w="1619" w:type="dxa"/>
            <w:noWrap w:val="0"/>
            <w:vAlign w:val="center"/>
          </w:tcPr>
          <w:p>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采购方式</w:t>
            </w:r>
          </w:p>
        </w:tc>
        <w:tc>
          <w:tcPr>
            <w:tcW w:w="8032" w:type="dxa"/>
            <w:noWrap w:val="0"/>
            <w:vAlign w:val="center"/>
          </w:tcPr>
          <w:p>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1" w:hRule="atLeast"/>
          <w:jc w:val="center"/>
        </w:trPr>
        <w:tc>
          <w:tcPr>
            <w:tcW w:w="547" w:type="dxa"/>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en-US" w:eastAsia="zh-CN"/>
              </w:rPr>
              <w:t>13</w:t>
            </w:r>
          </w:p>
        </w:tc>
        <w:tc>
          <w:tcPr>
            <w:tcW w:w="1619" w:type="dxa"/>
            <w:noWrap w:val="0"/>
            <w:vAlign w:val="center"/>
          </w:tcPr>
          <w:p>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评标方法</w:t>
            </w:r>
          </w:p>
        </w:tc>
        <w:tc>
          <w:tcPr>
            <w:tcW w:w="8032" w:type="dxa"/>
            <w:noWrap w:val="0"/>
            <w:vAlign w:val="center"/>
          </w:tcPr>
          <w:p>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综合评分法</w:t>
            </w:r>
            <w:r>
              <w:rPr>
                <w:rFonts w:hint="eastAsia" w:ascii="宋体" w:hAnsi="宋体" w:eastAsia="宋体" w:cs="宋体"/>
                <w:color w:val="auto"/>
                <w:sz w:val="24"/>
                <w:szCs w:val="24"/>
                <w:lang w:val="en-US" w:eastAsia="zh-CN"/>
              </w:rPr>
              <w:t xml:space="preserve">  评标权重：商务及技术评分90分，价格评分10分。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14</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lang w:val="zh-CN"/>
              </w:rPr>
              <w:t>投标保证金</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投标保证金金额：人民币</w:t>
            </w:r>
            <w:r>
              <w:rPr>
                <w:rFonts w:hint="eastAsia" w:ascii="宋体" w:hAnsi="宋体" w:eastAsia="宋体" w:cs="宋体"/>
                <w:b/>
                <w:color w:val="auto"/>
                <w:sz w:val="24"/>
                <w:szCs w:val="24"/>
                <w:lang w:val="en-US" w:eastAsia="zh-CN"/>
              </w:rPr>
              <w:t>叁拾</w:t>
            </w:r>
            <w:r>
              <w:rPr>
                <w:rFonts w:hint="eastAsia" w:ascii="宋体" w:hAnsi="宋体" w:eastAsia="宋体" w:cs="宋体"/>
                <w:b/>
                <w:color w:val="auto"/>
                <w:sz w:val="24"/>
                <w:szCs w:val="24"/>
                <w:lang w:val="zh-CN" w:eastAsia="zh-CN"/>
              </w:rPr>
              <w:t>万元整（</w:t>
            </w:r>
            <w:r>
              <w:rPr>
                <w:rFonts w:hint="eastAsia" w:ascii="宋体" w:hAnsi="宋体" w:eastAsia="宋体" w:cs="宋体"/>
                <w:b/>
                <w:color w:val="auto"/>
                <w:sz w:val="24"/>
                <w:szCs w:val="24"/>
                <w:lang w:val="en-US" w:eastAsia="zh-CN"/>
              </w:rPr>
              <w:t>300</w:t>
            </w:r>
            <w:r>
              <w:rPr>
                <w:rFonts w:hint="eastAsia" w:ascii="宋体" w:hAnsi="宋体" w:eastAsia="宋体" w:cs="宋体"/>
                <w:b/>
                <w:color w:val="auto"/>
                <w:sz w:val="24"/>
                <w:szCs w:val="24"/>
                <w:lang w:val="zh-CN" w:eastAsia="zh-CN"/>
              </w:rPr>
              <w:t>000.00元整）</w:t>
            </w:r>
          </w:p>
          <w:p>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投标保证金可采用的其他形式：电汇、转账或保函，转出账户必须与投标单位名称一致，否则不予受理。</w:t>
            </w:r>
          </w:p>
          <w:p>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rPr>
              <w:t>投标保证金形式：</w:t>
            </w:r>
            <w:r>
              <w:rPr>
                <w:rFonts w:hint="eastAsia" w:ascii="宋体" w:hAnsi="宋体" w:eastAsia="宋体" w:cs="宋体"/>
                <w:b/>
                <w:color w:val="auto"/>
                <w:sz w:val="24"/>
                <w:szCs w:val="24"/>
                <w:lang w:val="zh-CN" w:eastAsia="zh-CN"/>
              </w:rPr>
              <w:t>非现金形式。为减少收取/退还保证金的手续，建议采用电汇、网银转账</w:t>
            </w:r>
            <w:r>
              <w:rPr>
                <w:rFonts w:hint="eastAsia" w:ascii="宋体" w:hAnsi="宋体" w:eastAsia="宋体" w:cs="宋体"/>
                <w:b/>
                <w:color w:val="auto"/>
                <w:sz w:val="24"/>
                <w:szCs w:val="24"/>
                <w:lang w:val="en-US" w:eastAsia="zh-CN"/>
              </w:rPr>
              <w:t>或保函</w:t>
            </w:r>
            <w:r>
              <w:rPr>
                <w:rFonts w:hint="eastAsia" w:ascii="宋体" w:hAnsi="宋体" w:eastAsia="宋体" w:cs="宋体"/>
                <w:b/>
                <w:color w:val="auto"/>
                <w:sz w:val="24"/>
                <w:szCs w:val="24"/>
                <w:lang w:val="zh-CN" w:eastAsia="zh-CN"/>
              </w:rPr>
              <w:t>方式缴纳保证金。</w:t>
            </w:r>
          </w:p>
          <w:p>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（1）若采用电汇或转账</w:t>
            </w:r>
            <w:r>
              <w:rPr>
                <w:rFonts w:hint="eastAsia" w:ascii="宋体" w:hAnsi="宋体" w:eastAsia="宋体" w:cs="宋体"/>
                <w:b/>
                <w:color w:val="auto"/>
                <w:sz w:val="24"/>
                <w:szCs w:val="24"/>
                <w:lang w:val="zh-CN"/>
              </w:rPr>
              <w:t>投标保证金于</w:t>
            </w:r>
            <w:r>
              <w:rPr>
                <w:rFonts w:hint="eastAsia" w:ascii="宋体" w:hAnsi="宋体" w:eastAsia="宋体" w:cs="宋体"/>
                <w:b/>
                <w:color w:val="auto"/>
                <w:sz w:val="24"/>
                <w:szCs w:val="24"/>
                <w:lang w:val="zh-CN" w:eastAsia="zh-CN"/>
              </w:rPr>
              <w:t>2023年</w:t>
            </w: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lang w:val="zh-CN" w:eastAsia="zh-CN"/>
              </w:rPr>
              <w:t>月</w:t>
            </w:r>
            <w:r>
              <w:rPr>
                <w:rFonts w:hint="eastAsia" w:ascii="宋体" w:hAnsi="宋体" w:cs="宋体"/>
                <w:b/>
                <w:color w:val="auto"/>
                <w:sz w:val="24"/>
                <w:szCs w:val="24"/>
                <w:highlight w:val="none"/>
                <w:lang w:val="en-US" w:eastAsia="zh-CN"/>
              </w:rPr>
              <w:t>06</w:t>
            </w:r>
            <w:r>
              <w:rPr>
                <w:rFonts w:hint="eastAsia" w:ascii="宋体" w:hAnsi="宋体" w:eastAsia="宋体" w:cs="宋体"/>
                <w:b/>
                <w:color w:val="auto"/>
                <w:sz w:val="24"/>
                <w:szCs w:val="24"/>
                <w:highlight w:val="none"/>
                <w:lang w:val="zh-CN" w:eastAsia="zh-CN"/>
              </w:rPr>
              <w:t>日1</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lang w:val="zh-CN" w:eastAsia="zh-CN"/>
              </w:rPr>
              <w:t>:</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lang w:val="zh-CN" w:eastAsia="zh-CN"/>
              </w:rPr>
              <w:t>0</w:t>
            </w:r>
            <w:r>
              <w:rPr>
                <w:rFonts w:hint="eastAsia" w:ascii="宋体" w:hAnsi="宋体" w:eastAsia="宋体" w:cs="宋体"/>
                <w:b/>
                <w:color w:val="auto"/>
                <w:sz w:val="24"/>
                <w:szCs w:val="24"/>
                <w:lang w:val="zh-CN"/>
              </w:rPr>
              <w:t>（北京时间，以到账时间为准）之前从投标人基本账户以网银或银行电汇形式汇至本公司账户，否则其投标文件将被拒绝评审，投标人提交投标保证金应充分考虑资金在途时间。</w:t>
            </w:r>
          </w:p>
          <w:p>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户名：新疆华域天恒工程管理有限公司</w:t>
            </w:r>
          </w:p>
          <w:p>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开户银行：中国农业银行股份有限公司吐鲁番高昌支行  </w:t>
            </w:r>
          </w:p>
          <w:p>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帐号：3026 5301 0400 1229 8     </w:t>
            </w:r>
          </w:p>
          <w:p>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行号：1038 8302 6535</w:t>
            </w:r>
          </w:p>
          <w:p>
            <w:pPr>
              <w:keepNext w:val="0"/>
              <w:keepLines w:val="0"/>
              <w:pageBreakBefore w:val="0"/>
              <w:numPr>
                <w:ilvl w:val="0"/>
                <w:numId w:val="1"/>
              </w:numPr>
              <w:kinsoku/>
              <w:wordWrap/>
              <w:topLinePunct w:val="0"/>
              <w:bidi w:val="0"/>
              <w:spacing w:line="40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若采用保函形式：采用保函形式应按以下要求办理：</w:t>
            </w:r>
            <w:r>
              <w:rPr>
                <w:rFonts w:hint="eastAsia" w:ascii="宋体" w:hAnsi="宋体" w:eastAsia="宋体" w:cs="宋体"/>
                <w:b/>
                <w:color w:val="auto"/>
                <w:sz w:val="24"/>
                <w:szCs w:val="24"/>
                <w:lang w:val="zh-CN"/>
              </w:rPr>
              <w:t>备注：1、</w:t>
            </w:r>
            <w:r>
              <w:rPr>
                <w:rFonts w:hint="eastAsia" w:ascii="宋体" w:hAnsi="宋体" w:eastAsia="宋体" w:cs="宋体"/>
                <w:b/>
                <w:color w:val="auto"/>
                <w:sz w:val="24"/>
                <w:szCs w:val="24"/>
                <w:lang w:val="en-US" w:eastAsia="zh-CN"/>
              </w:rPr>
              <w:t>保函须在招标文件规定的投标截止时间前办理完成</w:t>
            </w:r>
            <w:r>
              <w:rPr>
                <w:rFonts w:hint="eastAsia" w:ascii="宋体" w:hAnsi="宋体" w:cs="宋体"/>
                <w:b/>
                <w:color w:val="auto"/>
                <w:sz w:val="24"/>
                <w:szCs w:val="24"/>
                <w:lang w:val="en-US" w:eastAsia="zh-CN"/>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zh-CN"/>
              </w:rPr>
              <w:t>保函金额不得少于保证金金额；</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lang w:val="zh-CN"/>
              </w:rPr>
              <w:t>、保函的有效期不得少于本项目投标有效期；</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lang w:val="zh-CN"/>
              </w:rPr>
              <w:t>、保函应是针对本项目开具的；</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保函</w:t>
            </w:r>
            <w:r>
              <w:rPr>
                <w:rFonts w:hint="eastAsia" w:ascii="宋体" w:hAnsi="宋体" w:eastAsia="宋体" w:cs="宋体"/>
                <w:b/>
                <w:color w:val="auto"/>
                <w:sz w:val="24"/>
                <w:szCs w:val="24"/>
                <w:lang w:val="zh-CN" w:eastAsia="zh-CN"/>
              </w:rPr>
              <w:t>是</w:t>
            </w:r>
            <w:r>
              <w:rPr>
                <w:rFonts w:hint="eastAsia" w:ascii="宋体" w:hAnsi="宋体" w:eastAsia="宋体" w:cs="宋体"/>
                <w:b/>
                <w:color w:val="auto"/>
                <w:sz w:val="24"/>
                <w:szCs w:val="24"/>
                <w:lang w:val="zh-CN"/>
              </w:rPr>
              <w:t>投标</w:t>
            </w:r>
            <w:r>
              <w:rPr>
                <w:rFonts w:hint="eastAsia" w:ascii="宋体" w:hAnsi="宋体" w:eastAsia="宋体" w:cs="宋体"/>
                <w:b/>
                <w:color w:val="auto"/>
                <w:sz w:val="24"/>
                <w:szCs w:val="24"/>
                <w:lang w:val="zh-CN" w:eastAsia="zh-CN"/>
              </w:rPr>
              <w:t>文件中组成部分；</w:t>
            </w:r>
            <w:r>
              <w:rPr>
                <w:rFonts w:hint="eastAsia" w:ascii="宋体" w:hAnsi="宋体" w:eastAsia="宋体" w:cs="宋体"/>
                <w:b/>
                <w:color w:val="auto"/>
                <w:sz w:val="24"/>
                <w:szCs w:val="24"/>
                <w:lang w:val="en-US" w:eastAsia="zh-CN"/>
              </w:rPr>
              <w:t>6.保函按照“一项目一保函”的原则</w:t>
            </w:r>
            <w:r>
              <w:rPr>
                <w:rFonts w:hint="eastAsia" w:ascii="宋体" w:hAnsi="宋体" w:cs="宋体"/>
                <w:b/>
                <w:color w:val="auto"/>
                <w:sz w:val="24"/>
                <w:szCs w:val="24"/>
                <w:lang w:val="en-US" w:eastAsia="zh-CN"/>
              </w:rPr>
              <w:t>；</w:t>
            </w:r>
            <w:r>
              <w:rPr>
                <w:rFonts w:hint="eastAsia" w:ascii="宋体" w:hAnsi="宋体" w:eastAsia="宋体" w:cs="宋体"/>
                <w:b/>
                <w:color w:val="auto"/>
                <w:sz w:val="24"/>
                <w:szCs w:val="24"/>
                <w:lang w:val="en-US" w:eastAsia="zh-CN"/>
              </w:rPr>
              <w:t>7.投标单位提供的保函必须真实有效，否则后果自负。</w:t>
            </w:r>
          </w:p>
          <w:p>
            <w:pPr>
              <w:keepNext w:val="0"/>
              <w:keepLines w:val="0"/>
              <w:pageBreakBefore w:val="0"/>
              <w:numPr>
                <w:ilvl w:val="0"/>
                <w:numId w:val="0"/>
              </w:numPr>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注：投标人向银行办理投标保证金汇（转）款时，应在用途栏（备注栏）准确注明“（简写项目名称）投标保证金”字样，由于未按要求注明信息而导致的一切后果由投标人承担。</w:t>
            </w:r>
          </w:p>
          <w:p>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换取收据时，将保证金截图发送至1252412748@qq.com并与财务联系人 ：李雅楠 联系 电话：13999699360。未按时提交投标保证金的投标文件无效。</w:t>
            </w:r>
          </w:p>
          <w:p>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 退投标保证金程序：</w:t>
            </w:r>
          </w:p>
          <w:p>
            <w:pPr>
              <w:keepNext w:val="0"/>
              <w:keepLines w:val="0"/>
              <w:pageBreakBefore w:val="0"/>
              <w:kinsoku/>
              <w:wordWrap/>
              <w:topLinePunct w:val="0"/>
              <w:bidi w:val="0"/>
              <w:spacing w:line="4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eastAsia="zh-CN"/>
              </w:rPr>
              <w:t xml:space="preserve">  退还投标保证金时间：中标公示期满后5个工作日内，未中标单位保证金可退还，在合同签订后中标候选人的保证金可退还。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15</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其他可以不予退还投标保证金的情形</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中提供虚假资料；</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未按国家规定的招标代理服务取费标准缴纳招标代理服务费用的。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16</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yellow"/>
                <w:lang w:val="zh-CN"/>
              </w:rPr>
            </w:pPr>
            <w:r>
              <w:rPr>
                <w:rFonts w:hint="eastAsia" w:ascii="宋体" w:hAnsi="宋体" w:eastAsia="宋体" w:cs="宋体"/>
                <w:sz w:val="24"/>
                <w:szCs w:val="24"/>
                <w:lang w:eastAsia="zh-CN"/>
              </w:rPr>
              <w:t>投标文件</w:t>
            </w:r>
            <w:r>
              <w:rPr>
                <w:rFonts w:hint="eastAsia" w:ascii="宋体" w:hAnsi="宋体" w:eastAsia="宋体" w:cs="宋体"/>
                <w:sz w:val="24"/>
                <w:szCs w:val="24"/>
              </w:rPr>
              <w:t>递交截止时间</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topLinePunct w:val="0"/>
              <w:bidi w:val="0"/>
              <w:spacing w:line="400" w:lineRule="exact"/>
              <w:rPr>
                <w:rFonts w:hint="eastAsia" w:ascii="宋体" w:hAnsi="宋体" w:eastAsia="宋体" w:cs="宋体"/>
                <w:color w:val="auto"/>
                <w:sz w:val="24"/>
                <w:szCs w:val="24"/>
                <w:lang w:val="zh-CN"/>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rPr>
              <w:t xml:space="preserve">日 </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rPr>
              <w:t>（</w:t>
            </w:r>
            <w:r>
              <w:rPr>
                <w:rFonts w:hint="eastAsia" w:ascii="宋体" w:hAnsi="宋体" w:eastAsia="宋体" w:cs="宋体"/>
                <w:sz w:val="24"/>
                <w:szCs w:val="24"/>
              </w:rPr>
              <w:t>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1"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17</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yellow"/>
                <w:lang w:val="zh-CN"/>
              </w:rPr>
            </w:pPr>
            <w:r>
              <w:rPr>
                <w:rFonts w:hint="eastAsia" w:ascii="宋体" w:hAnsi="宋体" w:eastAsia="宋体" w:cs="宋体"/>
                <w:sz w:val="24"/>
                <w:szCs w:val="24"/>
                <w:lang w:eastAsia="zh-CN"/>
              </w:rPr>
              <w:t>投标文件</w:t>
            </w:r>
            <w:r>
              <w:rPr>
                <w:rFonts w:hint="eastAsia" w:ascii="宋体" w:hAnsi="宋体" w:eastAsia="宋体" w:cs="宋体"/>
                <w:sz w:val="24"/>
                <w:szCs w:val="24"/>
              </w:rPr>
              <w:t>递交地点及地点</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CN"/>
              </w:rPr>
              <w:t>政采云平台（http://www.ccgp-xinjiang.gov.cn//）</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18</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履约保证金</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合同价</w:t>
            </w:r>
            <w:r>
              <w:rPr>
                <w:rFonts w:hint="eastAsia" w:ascii="宋体" w:hAnsi="宋体" w:cs="宋体"/>
                <w:color w:val="auto"/>
                <w:sz w:val="24"/>
                <w:szCs w:val="24"/>
                <w:lang w:val="en-US" w:eastAsia="zh-CN"/>
              </w:rPr>
              <w:t>款的</w:t>
            </w:r>
            <w:r>
              <w:rPr>
                <w:rFonts w:hint="eastAsia" w:ascii="宋体" w:hAnsi="宋体" w:eastAsia="宋体" w:cs="宋体"/>
                <w:color w:val="auto"/>
                <w:sz w:val="24"/>
                <w:szCs w:val="24"/>
                <w:lang w:val="zh-CN"/>
              </w:rPr>
              <w:t>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19</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实质性要求和条件</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CN"/>
              </w:rPr>
              <w:t>供应商不得偏差离招标文件的实质性要求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20</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w:t>
            </w:r>
            <w:r>
              <w:rPr>
                <w:rFonts w:hint="eastAsia" w:ascii="宋体" w:hAnsi="宋体" w:eastAsia="宋体" w:cs="宋体"/>
                <w:color w:val="auto"/>
                <w:sz w:val="24"/>
                <w:szCs w:val="24"/>
                <w:highlight w:val="none"/>
                <w:lang w:val="en-US" w:eastAsia="zh-CN"/>
              </w:rPr>
              <w:t>招标文件</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时间：供应商要求采购人对已发出的</w:t>
            </w:r>
            <w:r>
              <w:rPr>
                <w:rFonts w:hint="eastAsia" w:ascii="宋体" w:hAnsi="宋体" w:cs="宋体"/>
                <w:color w:val="auto"/>
                <w:sz w:val="24"/>
                <w:szCs w:val="24"/>
                <w:lang w:val="en-US" w:eastAsia="zh-CN"/>
              </w:rPr>
              <w:t>采购文件</w:t>
            </w:r>
            <w:r>
              <w:rPr>
                <w:rFonts w:hint="eastAsia" w:ascii="宋体" w:hAnsi="宋体" w:eastAsia="宋体" w:cs="宋体"/>
                <w:color w:val="auto"/>
                <w:sz w:val="24"/>
                <w:szCs w:val="24"/>
                <w:lang w:val="zh-CN" w:eastAsia="zh-CN"/>
              </w:rPr>
              <w:t>进行澄清的，应在投标截止时间的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天前。</w:t>
            </w:r>
          </w:p>
          <w:p>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color w:val="auto"/>
                <w:sz w:val="24"/>
                <w:szCs w:val="24"/>
                <w:lang w:val="zh-CN" w:eastAsia="zh-CN"/>
              </w:rPr>
              <w:t>形式：供应商将要求澄清的内容以书面形式送达采购人（或招标代理机构）。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21</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澄清发出的形式</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bidi="ar"/>
              </w:rPr>
              <w:t>以书面形式发出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如有必要对招标文件澄清和修改的将在新疆政府采购网及时发布，澄清文件一旦发布即视为以书面形式通知所有潜在投标人，请各投标人自行关注本次招标项目相关信息的变更情况，否则所造成的一切后果由投标人自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22</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纸质版</w:t>
            </w:r>
            <w:r>
              <w:rPr>
                <w:rFonts w:hint="eastAsia" w:ascii="宋体" w:hAnsi="宋体" w:eastAsia="宋体" w:cs="宋体"/>
                <w:color w:val="auto"/>
                <w:sz w:val="24"/>
                <w:szCs w:val="24"/>
                <w:lang w:val="zh-CN"/>
              </w:rPr>
              <w:t>投标文件的</w:t>
            </w:r>
            <w:r>
              <w:rPr>
                <w:rFonts w:hint="eastAsia" w:cs="宋体"/>
                <w:color w:val="auto"/>
                <w:sz w:val="24"/>
                <w:szCs w:val="24"/>
                <w:lang w:val="en-US" w:eastAsia="zh-CN"/>
              </w:rPr>
              <w:t>份</w:t>
            </w:r>
            <w:r>
              <w:rPr>
                <w:rFonts w:hint="eastAsia" w:ascii="宋体" w:hAnsi="宋体" w:eastAsia="宋体" w:cs="宋体"/>
                <w:color w:val="auto"/>
                <w:sz w:val="24"/>
                <w:szCs w:val="24"/>
                <w:lang w:val="zh-CN"/>
              </w:rPr>
              <w:t>数</w:t>
            </w:r>
            <w:r>
              <w:rPr>
                <w:rFonts w:hint="eastAsia" w:cs="宋体"/>
                <w:color w:val="auto"/>
                <w:sz w:val="24"/>
                <w:szCs w:val="24"/>
                <w:lang w:val="zh-CN"/>
              </w:rPr>
              <w:t>（</w:t>
            </w:r>
            <w:r>
              <w:rPr>
                <w:rFonts w:hint="eastAsia" w:cs="宋体"/>
                <w:color w:val="auto"/>
                <w:sz w:val="24"/>
                <w:szCs w:val="24"/>
                <w:lang w:val="en-US" w:eastAsia="zh-CN"/>
              </w:rPr>
              <w:t>中标以后中标单位提供）</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投标文件的份数：投标文件应一式</w:t>
            </w:r>
            <w:r>
              <w:rPr>
                <w:rFonts w:hint="eastAsia" w:ascii="宋体" w:hAnsi="宋体" w:eastAsia="宋体" w:cs="宋体"/>
                <w:sz w:val="24"/>
                <w:szCs w:val="24"/>
                <w:lang w:val="en-US" w:eastAsia="zh-CN"/>
              </w:rPr>
              <w:t>叁</w:t>
            </w:r>
            <w:r>
              <w:rPr>
                <w:rFonts w:hint="eastAsia" w:ascii="宋体" w:hAnsi="宋体" w:eastAsia="宋体" w:cs="宋体"/>
                <w:sz w:val="24"/>
                <w:szCs w:val="24"/>
                <w:lang w:val="zh-CN" w:eastAsia="zh-CN"/>
              </w:rPr>
              <w:t>份：其中正本一份，副本</w:t>
            </w:r>
            <w:r>
              <w:rPr>
                <w:rFonts w:hint="eastAsia" w:ascii="宋体" w:hAnsi="宋体" w:eastAsia="宋体" w:cs="宋体"/>
                <w:sz w:val="24"/>
                <w:szCs w:val="24"/>
                <w:lang w:val="en-US" w:eastAsia="zh-CN"/>
              </w:rPr>
              <w:t>贰</w:t>
            </w:r>
            <w:r>
              <w:rPr>
                <w:rFonts w:hint="eastAsia" w:ascii="宋体" w:hAnsi="宋体" w:eastAsia="宋体" w:cs="宋体"/>
                <w:sz w:val="24"/>
                <w:szCs w:val="24"/>
                <w:lang w:val="zh-CN" w:eastAsia="zh-CN"/>
              </w:rPr>
              <w:t>份，并注明“正本”和“副本”字样，投标文件应由投标人的合法授权代表正式签署，如有任何更改应由原签署人签字。</w:t>
            </w:r>
          </w:p>
          <w:p>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sz w:val="24"/>
                <w:szCs w:val="24"/>
                <w:lang w:val="zh-CN"/>
              </w:rPr>
              <w:t>2、由授权代表参与投标的，开标现场须提供法定代表人授权书原件及授权代表身份证原件；由法定代表人参加投标的，提供法定代表人身份证明材料及身份证原件</w:t>
            </w:r>
          </w:p>
          <w:p>
            <w:pPr>
              <w:pStyle w:val="31"/>
              <w:keepNext w:val="0"/>
              <w:keepLines w:val="0"/>
              <w:pageBreakBefore w:val="0"/>
              <w:kinsoku/>
              <w:wordWrap/>
              <w:topLinePunct w:val="0"/>
              <w:bidi w:val="0"/>
              <w:spacing w:line="400" w:lineRule="exact"/>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highlight w:val="none"/>
              </w:rPr>
              <w:t>分册装订要求：</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的正、副本应分册装订，并</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别胶装成册，并按</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相应的内容编制</w:t>
            </w:r>
            <w:r>
              <w:rPr>
                <w:rFonts w:hint="eastAsia" w:ascii="宋体" w:hAnsi="宋体" w:eastAsia="宋体" w:cs="宋体"/>
                <w:color w:val="auto"/>
                <w:sz w:val="24"/>
                <w:szCs w:val="24"/>
                <w:highlight w:val="none"/>
                <w:lang w:val="en-US" w:eastAsia="zh-CN"/>
              </w:rPr>
              <w:t>详细的</w:t>
            </w:r>
            <w:r>
              <w:rPr>
                <w:rFonts w:hint="eastAsia" w:ascii="宋体" w:hAnsi="宋体" w:eastAsia="宋体" w:cs="宋体"/>
                <w:color w:val="auto"/>
                <w:sz w:val="24"/>
                <w:szCs w:val="24"/>
                <w:highlight w:val="none"/>
              </w:rPr>
              <w:t>目录，逐页按顺序标注页码，并不得采用活页装订。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3"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23</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评标委员会的组建</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依法组建评标委员会。评标委员会成员由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人，经济及技术方面的专家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人；经济及技术方面的专家由</w:t>
            </w:r>
            <w:r>
              <w:rPr>
                <w:rFonts w:hint="eastAsia" w:ascii="宋体" w:hAnsi="宋体" w:eastAsia="宋体" w:cs="宋体"/>
                <w:color w:val="auto"/>
                <w:sz w:val="24"/>
                <w:szCs w:val="24"/>
                <w:highlight w:val="none"/>
                <w:lang w:val="en-US" w:eastAsia="zh-CN"/>
              </w:rPr>
              <w:t>政府采购平台</w:t>
            </w:r>
            <w:r>
              <w:rPr>
                <w:rFonts w:hint="eastAsia" w:ascii="宋体" w:hAnsi="宋体" w:eastAsia="宋体" w:cs="宋体"/>
                <w:color w:val="auto"/>
                <w:sz w:val="24"/>
                <w:szCs w:val="24"/>
                <w:highlight w:val="none"/>
              </w:rPr>
              <w:t>专家库中随机抽取。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24</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电子投标须知</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投标单位提前自学线上开标流程；投标截止时间当天，线上开标环节，投标文件解密时长30分钟，各投标单位务必提前调试好在线参标电脑的各项配置及CA锁网上进行签到、文件解密以及操作投标，投标文件报价确认签字时间为10分钟，超过时间视为报价无</w:t>
            </w:r>
            <w:r>
              <w:rPr>
                <w:rFonts w:hint="eastAsia" w:ascii="宋体" w:hAnsi="宋体" w:cs="宋体"/>
                <w:color w:val="auto"/>
                <w:sz w:val="24"/>
                <w:szCs w:val="24"/>
                <w:highlight w:val="none"/>
                <w:lang w:val="en-US" w:eastAsia="zh-CN"/>
              </w:rPr>
              <w:t>异议</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（如投标单位对电子投标</w:t>
            </w:r>
            <w:r>
              <w:rPr>
                <w:rFonts w:hint="eastAsia" w:ascii="宋体" w:hAnsi="宋体" w:cs="宋体"/>
                <w:color w:val="auto"/>
                <w:sz w:val="24"/>
                <w:szCs w:val="24"/>
                <w:highlight w:val="none"/>
                <w:lang w:val="en-US" w:eastAsia="zh-CN"/>
              </w:rPr>
              <w:t>操作</w:t>
            </w:r>
            <w:r>
              <w:rPr>
                <w:rFonts w:hint="eastAsia" w:ascii="宋体" w:hAnsi="宋体" w:eastAsia="宋体" w:cs="宋体"/>
                <w:color w:val="auto"/>
                <w:sz w:val="24"/>
                <w:szCs w:val="24"/>
                <w:highlight w:val="none"/>
                <w:lang w:val="en-US" w:eastAsia="zh-CN"/>
              </w:rPr>
              <w:t>不清楚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无法完成</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可到招标现场，请自带笔记本电脑及</w:t>
            </w:r>
            <w:r>
              <w:rPr>
                <w:rFonts w:hint="eastAsia" w:ascii="宋体" w:hAnsi="宋体" w:cs="宋体"/>
                <w:color w:val="auto"/>
                <w:sz w:val="24"/>
                <w:szCs w:val="24"/>
                <w:highlight w:val="none"/>
                <w:lang w:val="en-US" w:eastAsia="zh-CN"/>
              </w:rPr>
              <w:t>本单位</w:t>
            </w:r>
            <w:r>
              <w:rPr>
                <w:rFonts w:hint="eastAsia" w:ascii="宋体" w:hAnsi="宋体" w:eastAsia="宋体" w:cs="宋体"/>
                <w:color w:val="auto"/>
                <w:sz w:val="24"/>
                <w:szCs w:val="24"/>
                <w:highlight w:val="none"/>
                <w:lang w:val="en-US" w:eastAsia="zh-CN"/>
              </w:rPr>
              <w:t>CA锁网上进行签到、文件解密以及操作投标。）</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2.招标文件中采购清单、技术需求等如有偏差，如有</w:t>
            </w:r>
            <w:r>
              <w:rPr>
                <w:rFonts w:hint="eastAsia" w:ascii="宋体" w:hAnsi="宋体" w:cs="宋体"/>
                <w:color w:val="auto"/>
                <w:sz w:val="24"/>
                <w:szCs w:val="24"/>
                <w:highlight w:val="none"/>
                <w:lang w:val="en-US" w:eastAsia="zh-CN"/>
              </w:rPr>
              <w:t>异议</w:t>
            </w:r>
            <w:r>
              <w:rPr>
                <w:rFonts w:hint="eastAsia" w:ascii="宋体" w:hAnsi="宋体" w:eastAsia="宋体" w:cs="宋体"/>
                <w:color w:val="auto"/>
                <w:sz w:val="24"/>
                <w:szCs w:val="24"/>
                <w:highlight w:val="none"/>
                <w:lang w:val="en-US" w:eastAsia="zh-CN"/>
              </w:rPr>
              <w:t>请澄清中及时提出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否则视为充分理解招标文件各项要求。</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投标单位应在中标后递交纸质版投标文件，如二者内容不一致，则以电子版投标文件为准。</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招标文件中如有内容冲突的地方，以投标须知要求为准。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25</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highlight w:val="none"/>
                <w:lang w:val="en-US" w:eastAsia="zh-CN" w:bidi="ar-SA"/>
              </w:rPr>
              <w:t>中小企业政策</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工信部等部委发布的《关于印发中小企业划型标准规定的通知》（工信部联企业〔2011〕300号）；财政部《关于进一步加大政府采购支持中小企业力度的通知》（财库〔2022〕19号）规定，本次采购标的所属行业为工业（制造业）、《政府采购需求管理办法的通知》（财库〔2021〕22 号）、《政府采购促进中小企业发展管理办法》（财库[2020]46 号）、《财政部 司法部关于政府采购支持监狱企业发展有关问题的通知》（财库〔2014〕68 号）和《三部门联合发布关于促进残疾人就业政府采购政策的通知》（财库〔2017〕 141 号）的规定，对满足价格扣除条件且在投标文件中提交了《供应商企业类型声明函》或省级以上监狱管理局、戒毒管理局（含新疆生产建设兵团）出具的属于监狱企业的证明文件的供应商，其投标报价扣除 10%后参与评审。符合以下条件的中小微型企业应按照采购文件格式要求提供《中小企业声明函》。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（3）根据上述文件规定，对满足上述（1）（2）两项条件的小微企业的投标总报价给予10%的扣除，用扣除后的价格参与评审。</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（4）依据本办法规定享受扶持政策获得政府采购合同的，小微企业不得将合同分包给大中型企业，中型企业不得将合同分包给大型企业。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（5）联合体各方均为中小企业的,联合体视同中小企业。其中,联合体各方均为小微企业的,联合体视同小微企业。组成联合体的小微企业与其他企业之间存在直接控股、管理关系的,不享受价格扣除优惠政策。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9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26</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通讯联系</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之时起至评标结束止，应确保其提供的联系方式一直保持有效和畅通，以保证在招投标期间需进行往来函件或与之有关的事宜能及时发送或通知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（或招标代理机构）不承担由此（提供的联系方式无效或通讯不畅）引起的一切后果。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27</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对招标文件资质要求、技术参数、商务要求、评分办法等采购需求提出的询问和质疑</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lang w:eastAsia="zh-CN"/>
              </w:rPr>
              <w:t>新疆华域天恒工程管理有限公司</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马丽娜</w:t>
            </w:r>
          </w:p>
          <w:p>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联系电话：099</w:t>
            </w:r>
            <w:r>
              <w:rPr>
                <w:rFonts w:hint="eastAsia" w:ascii="宋体" w:hAnsi="宋体" w:eastAsia="宋体" w:cs="宋体"/>
                <w:color w:val="auto"/>
                <w:sz w:val="24"/>
                <w:szCs w:val="24"/>
                <w:lang w:val="en-US" w:eastAsia="zh-CN"/>
              </w:rPr>
              <w:t>5-8637000、13</w:t>
            </w:r>
            <w:r>
              <w:rPr>
                <w:rFonts w:hint="eastAsia" w:ascii="宋体" w:hAnsi="宋体" w:cs="宋体"/>
                <w:color w:val="auto"/>
                <w:sz w:val="24"/>
                <w:szCs w:val="24"/>
                <w:lang w:val="en-US" w:eastAsia="zh-CN"/>
              </w:rPr>
              <w:t>899314280</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质疑函接受方式：现场接受或邮寄接受</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地址：吐鲁番市高昌区示范区和平街11幢2层201号</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提出质疑时间：招标文件公告期限届满之日起七个工作日内。</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备注：供应商应当在法定质疑期内一次性提出针对统一采购程序环节的质疑。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6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28</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对</w:t>
            </w:r>
            <w:r>
              <w:rPr>
                <w:rFonts w:hint="eastAsia" w:ascii="宋体" w:hAnsi="宋体" w:eastAsia="宋体" w:cs="宋体"/>
                <w:color w:val="auto"/>
                <w:sz w:val="24"/>
                <w:szCs w:val="24"/>
              </w:rPr>
              <w:t>招标文件除资质要求、技术参数、商务要求、评分办法等采购需求内容以外事项、</w:t>
            </w:r>
            <w:r>
              <w:rPr>
                <w:rFonts w:hint="eastAsia" w:ascii="宋体" w:hAnsi="宋体" w:eastAsia="宋体" w:cs="宋体"/>
                <w:color w:val="auto"/>
                <w:kern w:val="2"/>
                <w:sz w:val="24"/>
                <w:szCs w:val="24"/>
              </w:rPr>
              <w:t>采购过程和采购结果的询问和质疑</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lang w:eastAsia="zh-CN"/>
              </w:rPr>
              <w:t>新疆华域天恒工程管理有限公司</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马丽娜</w:t>
            </w:r>
          </w:p>
          <w:p>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联系电话：099</w:t>
            </w:r>
            <w:r>
              <w:rPr>
                <w:rFonts w:hint="eastAsia" w:ascii="宋体" w:hAnsi="宋体" w:eastAsia="宋体" w:cs="宋体"/>
                <w:color w:val="auto"/>
                <w:sz w:val="24"/>
                <w:szCs w:val="24"/>
                <w:lang w:val="en-US" w:eastAsia="zh-CN"/>
              </w:rPr>
              <w:t>5-8637000、13</w:t>
            </w:r>
            <w:r>
              <w:rPr>
                <w:rFonts w:hint="eastAsia" w:ascii="宋体" w:hAnsi="宋体" w:cs="宋体"/>
                <w:color w:val="auto"/>
                <w:sz w:val="24"/>
                <w:szCs w:val="24"/>
                <w:lang w:val="en-US" w:eastAsia="zh-CN"/>
              </w:rPr>
              <w:t>899314280</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质疑函接受方式：现场接受或邮寄接受</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地址：吐鲁番市高昌区示范区和平街11幢2层201号</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对采购过程提出质疑时间：为各采购程序环节结束之日起七个工作日内。</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对采购结果提出质疑时间：为中标结果公告发布次日后七个工作日内。</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备注：1、采购单位无正当理由不按照依法推荐的中标候选供应商顺序确定中标供应商，或者在评标委员会依法推荐的中标候选供应商以外确定中标供应商的质疑由采购单位受理。</w:t>
            </w:r>
          </w:p>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2、供应商应当在法定质疑期内一次性提出针对统一采购程序环节的质疑。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4"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kinsoku/>
              <w:wordWrap/>
              <w:topLinePunct w:val="0"/>
              <w:bidi w:val="0"/>
              <w:spacing w:line="400" w:lineRule="exact"/>
              <w:ind w:right="80" w:rightChars="0"/>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eastAsia="zh-CN"/>
              </w:rPr>
              <w:t>29</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投诉</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投诉受理单位：本采购项目同级财政部门，即</w:t>
            </w:r>
            <w:r>
              <w:rPr>
                <w:rFonts w:hint="eastAsia" w:ascii="宋体" w:hAnsi="宋体" w:eastAsia="宋体" w:cs="宋体"/>
                <w:color w:val="auto"/>
                <w:sz w:val="24"/>
                <w:szCs w:val="24"/>
                <w:u w:val="single"/>
                <w:lang w:val="en-US" w:eastAsia="zh-CN"/>
              </w:rPr>
              <w:t>托克逊县</w:t>
            </w:r>
            <w:r>
              <w:rPr>
                <w:rFonts w:hint="eastAsia" w:ascii="宋体" w:hAnsi="宋体" w:eastAsia="宋体" w:cs="宋体"/>
                <w:color w:val="auto"/>
                <w:sz w:val="24"/>
                <w:szCs w:val="24"/>
                <w:u w:val="single"/>
                <w:lang w:eastAsia="zh-CN"/>
              </w:rPr>
              <w:t>财政局</w:t>
            </w:r>
            <w:r>
              <w:rPr>
                <w:rFonts w:hint="eastAsia" w:ascii="宋体" w:hAnsi="宋体" w:eastAsia="宋体" w:cs="宋体"/>
                <w:color w:val="auto"/>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kinsoku/>
              <w:wordWrap/>
              <w:topLinePunct w:val="0"/>
              <w:bidi w:val="0"/>
              <w:spacing w:line="400" w:lineRule="exact"/>
              <w:ind w:right="8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lang w:val="en-US" w:eastAsia="zh-CN"/>
              </w:rPr>
              <w:t>30</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jc w:val="center"/>
              <w:rPr>
                <w:rFonts w:hint="eastAsia" w:ascii="宋体" w:hAnsi="宋体" w:eastAsia="宋体" w:cs="宋体"/>
                <w:color w:val="auto"/>
                <w:kern w:val="2"/>
                <w:sz w:val="24"/>
                <w:szCs w:val="24"/>
              </w:rPr>
            </w:pPr>
            <w:r>
              <w:rPr>
                <w:rFonts w:hint="eastAsia" w:ascii="宋体" w:hAnsi="宋体" w:eastAsia="宋体" w:cs="宋体"/>
                <w:color w:val="auto"/>
                <w:sz w:val="24"/>
                <w:szCs w:val="24"/>
              </w:rPr>
              <w:t>评审情况的公告</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评审结果将在新疆政府采购网上采购结果公告栏中予以公告。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31</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政府采购合同</w:t>
            </w:r>
          </w:p>
          <w:p>
            <w:pPr>
              <w:keepNext w:val="0"/>
              <w:keepLines w:val="0"/>
              <w:pageBreakBefore w:val="0"/>
              <w:kinsoku/>
              <w:wordWrap/>
              <w:topLinePunct w:val="0"/>
              <w:bidi w:val="0"/>
              <w:spacing w:line="40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备案</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政府采购合同签订之日起2个工作日内，采购人应将政府采购合同在新疆政府采购网公告；政府采购合同签订之日起七个工作日内，政府采购合同将向本采购项目同级财政部门备案。</w:t>
            </w:r>
          </w:p>
          <w:p>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政府采购合同签订之日起2个工作日内，成交供应商应将政府采购合同向采购代理机构审核</w:t>
            </w:r>
            <w:r>
              <w:rPr>
                <w:rFonts w:hint="eastAsia" w:ascii="宋体" w:hAnsi="宋体" w:eastAsia="宋体" w:cs="宋体"/>
                <w:color w:val="auto"/>
                <w:sz w:val="24"/>
                <w:szCs w:val="24"/>
                <w:lang w:val="zh-CN"/>
              </w:rPr>
              <w:t>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78"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kinsoku/>
              <w:wordWrap/>
              <w:topLinePunct w:val="0"/>
              <w:bidi w:val="0"/>
              <w:spacing w:line="400" w:lineRule="exact"/>
              <w:ind w:right="8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32</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57"/>
              <w:keepNext w:val="0"/>
              <w:keepLines w:val="0"/>
              <w:pageBreakBefore w:val="0"/>
              <w:kinsoku/>
              <w:wordWrap/>
              <w:topLinePunct w:val="0"/>
              <w:bidi w:val="0"/>
              <w:spacing w:before="100" w:beforeAutospacing="1" w:after="100" w:afterAutospacing="1"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低于成本价不正当竞争预防措施</w:t>
            </w:r>
          </w:p>
          <w:p>
            <w:pPr>
              <w:pStyle w:val="57"/>
              <w:keepNext w:val="0"/>
              <w:keepLines w:val="0"/>
              <w:pageBreakBefore w:val="0"/>
              <w:kinsoku/>
              <w:wordWrap/>
              <w:topLinePunct w:val="0"/>
              <w:bidi w:val="0"/>
              <w:spacing w:before="100" w:beforeAutospacing="1" w:after="100" w:afterAutospacing="1"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
                <w:bCs/>
                <w:color w:val="auto"/>
                <w:sz w:val="24"/>
                <w:szCs w:val="24"/>
              </w:rPr>
              <w:t>实质性要求</w:t>
            </w:r>
            <w:r>
              <w:rPr>
                <w:rFonts w:hint="eastAsia" w:ascii="宋体" w:hAnsi="宋体" w:eastAsia="宋体" w:cs="宋体"/>
                <w:bCs/>
                <w:color w:val="auto"/>
                <w:sz w:val="24"/>
                <w:szCs w:val="24"/>
              </w:rPr>
              <w:t>）</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pStyle w:val="41"/>
              <w:keepNext w:val="0"/>
              <w:keepLines w:val="0"/>
              <w:pageBreakBefore w:val="0"/>
              <w:kinsoku/>
              <w:wordWrap/>
              <w:topLinePunct w:val="0"/>
              <w:bidi w:val="0"/>
              <w:spacing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在评标过程中，评审委员会认为投标人报价低于成本价，有可能影响产品质量或者不能诚信履约的，评标委员会应当要求其在评标现场</w:t>
            </w:r>
            <w:r>
              <w:rPr>
                <w:rFonts w:hint="eastAsia" w:ascii="宋体" w:hAnsi="宋体" w:eastAsia="宋体" w:cs="宋体"/>
                <w:color w:val="auto"/>
                <w:sz w:val="24"/>
                <w:szCs w:val="24"/>
                <w:lang w:val="en-US" w:eastAsia="zh-CN"/>
              </w:rPr>
              <w:t>30分钟</w:t>
            </w:r>
            <w:r>
              <w:rPr>
                <w:rFonts w:hint="eastAsia" w:ascii="宋体" w:hAnsi="宋体" w:eastAsia="宋体" w:cs="宋体"/>
                <w:color w:val="auto"/>
                <w:sz w:val="24"/>
                <w:szCs w:val="24"/>
              </w:rPr>
              <w:t>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keepNext w:val="0"/>
              <w:keepLines w:val="0"/>
              <w:pageBreakBefore w:val="0"/>
              <w:kinsoku/>
              <w:wordWrap/>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供应商提供书面说明后，评标委员会应当结合采购项目采购需求、专业实际情况、供应商财务状况报告、与其他供应商比较情况等就供应商书面说明进行审查评价。</w:t>
            </w:r>
            <w:r>
              <w:rPr>
                <w:rFonts w:hint="eastAsia" w:ascii="宋体" w:hAnsi="宋体" w:eastAsia="宋体" w:cs="宋体"/>
                <w:b/>
                <w:color w:val="auto"/>
                <w:sz w:val="24"/>
                <w:szCs w:val="24"/>
              </w:rPr>
              <w:t>供应商</w:t>
            </w:r>
            <w:r>
              <w:rPr>
                <w:rFonts w:hint="eastAsia" w:ascii="宋体" w:hAnsi="宋体" w:eastAsia="宋体" w:cs="宋体"/>
                <w:b/>
                <w:color w:val="auto"/>
                <w:sz w:val="24"/>
                <w:szCs w:val="24"/>
                <w:lang w:val="en-US" w:eastAsia="zh-CN"/>
              </w:rPr>
              <w:t>逾期、</w:t>
            </w:r>
            <w:r>
              <w:rPr>
                <w:rFonts w:hint="eastAsia" w:ascii="宋体" w:hAnsi="宋体" w:eastAsia="宋体" w:cs="宋体"/>
                <w:b/>
                <w:color w:val="auto"/>
                <w:sz w:val="24"/>
                <w:szCs w:val="24"/>
              </w:rPr>
              <w:t>拒绝或者变相拒绝提供有效书面说明或者书面说明不能证明其报价合理性的，评标委员会应当将其</w:t>
            </w:r>
            <w:r>
              <w:rPr>
                <w:rFonts w:hint="eastAsia" w:ascii="宋体" w:hAnsi="宋体" w:eastAsia="宋体" w:cs="宋体"/>
                <w:b/>
                <w:color w:val="auto"/>
                <w:sz w:val="24"/>
                <w:szCs w:val="24"/>
                <w:lang w:eastAsia="zh-CN"/>
              </w:rPr>
              <w:t>投标文件</w:t>
            </w:r>
            <w:r>
              <w:rPr>
                <w:rFonts w:hint="eastAsia" w:ascii="宋体" w:hAnsi="宋体" w:eastAsia="宋体" w:cs="宋体"/>
                <w:b/>
                <w:color w:val="auto"/>
                <w:sz w:val="24"/>
                <w:szCs w:val="24"/>
              </w:rPr>
              <w:t>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kinsoku/>
              <w:wordWrap/>
              <w:topLinePunct w:val="0"/>
              <w:bidi w:val="0"/>
              <w:spacing w:line="400" w:lineRule="exact"/>
              <w:ind w:right="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招标代理费</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代理费收取方式：电汇或银行转账</w:t>
            </w:r>
          </w:p>
          <w:p>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highlight w:val="none"/>
                <w:lang w:val="zh-CN"/>
              </w:rPr>
              <w:t>代理费收取标准：参照计价格【2002】1980号及发改办价格【2003】857号相关内容，由中标人支付，支付方式为电汇或转账。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信用查询记录</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tabs>
                <w:tab w:val="left" w:pos="7665"/>
              </w:tabs>
              <w:kinsoku/>
              <w:wordWrap/>
              <w:topLinePunct w:val="0"/>
              <w:bidi w:val="0"/>
              <w:spacing w:line="400" w:lineRule="exact"/>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资格审查时，通过“信用中国”网站(www.creditchina.gov.cn)、中国政府采购网(www.ccgp.gov.cn)渠道查询投标人信用记录，经查询列入失信被执行人、重大税收违法案件当事人名单、政府采购严重违法失信行为记录名单，其投标无效，无效投标人的信用记录查询结果截图将作为项目材料的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bCs/>
                <w:sz w:val="24"/>
                <w:szCs w:val="24"/>
              </w:rPr>
              <w:t>现场踏勘</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val="0"/>
              <w:topLinePunct w:val="0"/>
              <w:bidi w:val="0"/>
              <w:spacing w:line="400" w:lineRule="exact"/>
              <w:rPr>
                <w:rFonts w:hint="eastAsia" w:ascii="宋体" w:hAnsi="宋体" w:eastAsia="宋体" w:cs="宋体"/>
                <w:bCs/>
                <w:sz w:val="24"/>
                <w:szCs w:val="24"/>
              </w:rPr>
            </w:pPr>
            <w:r>
              <w:rPr>
                <w:rFonts w:hint="eastAsia" w:ascii="宋体" w:hAnsi="宋体" w:eastAsia="宋体" w:cs="宋体"/>
                <w:bCs/>
                <w:sz w:val="24"/>
                <w:szCs w:val="24"/>
              </w:rPr>
              <w:t>现场踏勘：自行现场勘察。</w:t>
            </w:r>
          </w:p>
          <w:p>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lang w:val="zh-CN" w:eastAsia="zh-CN" w:bidi="ar-SA"/>
              </w:rPr>
            </w:pPr>
            <w:r>
              <w:rPr>
                <w:rFonts w:hint="eastAsia" w:ascii="宋体" w:hAnsi="宋体" w:eastAsia="宋体" w:cs="宋体"/>
                <w:bCs/>
                <w:sz w:val="24"/>
                <w:szCs w:val="24"/>
              </w:rPr>
              <w:t>勘察现场的费用由投标人自己承担，勘察期间所发生的人身伤害及财产损失由投标人自己负责。</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5"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节能环保</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政府采购强制采购：</w:t>
            </w:r>
            <w:r>
              <w:rPr>
                <w:rFonts w:hint="eastAsia" w:ascii="宋体" w:hAnsi="宋体" w:eastAsia="宋体" w:cs="宋体"/>
                <w:color w:val="000000"/>
                <w:kern w:val="0"/>
                <w:sz w:val="24"/>
                <w:szCs w:val="24"/>
                <w:lang w:val="en-US" w:eastAsia="zh-CN" w:bidi="ar"/>
              </w:rPr>
              <w:t xml:space="preserve">(1)标记符号的节能产品；(2)其他。采购最新一期《节能产品政府采购清单》的产品。 </w:t>
            </w:r>
          </w:p>
          <w:p>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政府采购优先采购：</w:t>
            </w:r>
            <w:r>
              <w:rPr>
                <w:rFonts w:hint="eastAsia" w:ascii="宋体" w:hAnsi="宋体" w:eastAsia="宋体" w:cs="宋体"/>
                <w:color w:val="000000"/>
                <w:kern w:val="0"/>
                <w:sz w:val="24"/>
                <w:szCs w:val="24"/>
                <w:lang w:val="en-US" w:eastAsia="zh-CN" w:bidi="ar"/>
              </w:rPr>
              <w:t xml:space="preserve">(1)非标记符号的节能产品；(2)环境标志产品； </w:t>
            </w:r>
          </w:p>
          <w:p>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采购产品为《节能产品政府采购清单》(最新期)内非标记符号的节能产品及《环境标 志产品政府采购清单》(最新期)内的产品： </w:t>
            </w:r>
          </w:p>
          <w:p>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b/>
                <w:sz w:val="24"/>
                <w:szCs w:val="24"/>
              </w:rPr>
            </w:pPr>
            <w:r>
              <w:rPr>
                <w:rFonts w:hint="eastAsia" w:ascii="宋体" w:hAnsi="宋体" w:eastAsia="宋体" w:cs="宋体"/>
                <w:color w:val="000000"/>
                <w:kern w:val="0"/>
                <w:sz w:val="24"/>
                <w:szCs w:val="24"/>
                <w:lang w:val="en-US" w:eastAsia="zh-CN" w:bidi="ar"/>
              </w:rPr>
              <w:t>投标文件（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8"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1619" w:type="dxa"/>
            <w:tcBorders>
              <w:top w:val="single" w:color="auto" w:sz="8" w:space="0"/>
              <w:left w:val="single" w:color="auto" w:sz="8" w:space="0"/>
              <w:bottom w:val="single" w:color="auto" w:sz="8" w:space="0"/>
              <w:right w:val="single" w:color="auto" w:sz="8" w:space="0"/>
            </w:tcBorders>
            <w:noWrap w:val="0"/>
            <w:vAlign w:val="center"/>
          </w:tcPr>
          <w:p>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提别提示</w:t>
            </w:r>
          </w:p>
        </w:tc>
        <w:tc>
          <w:tcPr>
            <w:tcW w:w="8032"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lang w:val="zh-CN" w:eastAsia="zh-CN" w:bidi="ar-SA"/>
              </w:rPr>
            </w:pPr>
            <w:r>
              <w:rPr>
                <w:rFonts w:hint="eastAsia" w:ascii="宋体" w:hAnsi="宋体" w:eastAsia="宋体" w:cs="宋体"/>
                <w:b/>
                <w:sz w:val="24"/>
                <w:szCs w:val="24"/>
                <w:lang w:val="en-US" w:eastAsia="zh-CN"/>
              </w:rPr>
              <w:t>招标</w:t>
            </w:r>
            <w:r>
              <w:rPr>
                <w:rFonts w:hint="eastAsia" w:ascii="宋体" w:hAnsi="宋体" w:eastAsia="宋体" w:cs="宋体"/>
                <w:b/>
                <w:sz w:val="24"/>
                <w:szCs w:val="24"/>
              </w:rPr>
              <w:t>文件中部分</w:t>
            </w:r>
            <w:r>
              <w:rPr>
                <w:rFonts w:hint="eastAsia" w:ascii="宋体" w:hAnsi="宋体" w:eastAsia="宋体" w:cs="宋体"/>
                <w:b/>
                <w:sz w:val="24"/>
                <w:szCs w:val="24"/>
                <w:lang w:eastAsia="zh-CN"/>
              </w:rPr>
              <w:t>标有</w:t>
            </w:r>
            <w:r>
              <w:rPr>
                <w:rFonts w:hint="eastAsia" w:ascii="宋体" w:hAnsi="宋体" w:eastAsia="宋体" w:cs="宋体"/>
                <w:b/>
                <w:bCs/>
                <w:color w:val="auto"/>
                <w:sz w:val="24"/>
                <w:szCs w:val="24"/>
              </w:rPr>
              <w:t>实质性要求</w:t>
            </w:r>
            <w:r>
              <w:rPr>
                <w:rFonts w:hint="eastAsia" w:ascii="宋体" w:hAnsi="宋体" w:eastAsia="宋体" w:cs="宋体"/>
                <w:b/>
                <w:bCs/>
                <w:color w:val="auto"/>
                <w:sz w:val="24"/>
                <w:szCs w:val="24"/>
                <w:lang w:eastAsia="zh-CN"/>
              </w:rPr>
              <w:t>、</w:t>
            </w:r>
            <w:r>
              <w:rPr>
                <w:rFonts w:hint="eastAsia" w:ascii="宋体" w:hAnsi="宋体" w:eastAsia="宋体" w:cs="宋体"/>
                <w:b/>
                <w:sz w:val="24"/>
                <w:szCs w:val="24"/>
              </w:rPr>
              <w:t>加粗、加下划线、废标、无效标、投标被拒绝字样的条款，为招标的实质性要求和条件，着重提醒各投标人注意，并认真查看</w:t>
            </w:r>
            <w:r>
              <w:rPr>
                <w:rFonts w:hint="eastAsia" w:ascii="宋体" w:hAnsi="宋体" w:eastAsia="宋体" w:cs="宋体"/>
                <w:b/>
                <w:sz w:val="24"/>
                <w:szCs w:val="24"/>
                <w:lang w:eastAsia="zh-CN"/>
              </w:rPr>
              <w:t>采购</w:t>
            </w:r>
            <w:r>
              <w:rPr>
                <w:rFonts w:hint="eastAsia" w:ascii="宋体" w:hAnsi="宋体" w:eastAsia="宋体" w:cs="宋体"/>
                <w:b/>
                <w:sz w:val="24"/>
                <w:szCs w:val="24"/>
              </w:rPr>
              <w:t>文件中的每一个条款及要求，因误读</w:t>
            </w:r>
            <w:r>
              <w:rPr>
                <w:rFonts w:hint="eastAsia" w:ascii="宋体" w:hAnsi="宋体" w:eastAsia="宋体" w:cs="宋体"/>
                <w:b/>
                <w:sz w:val="24"/>
                <w:szCs w:val="24"/>
                <w:lang w:eastAsia="zh-CN"/>
              </w:rPr>
              <w:t>采购</w:t>
            </w:r>
            <w:r>
              <w:rPr>
                <w:rFonts w:hint="eastAsia" w:ascii="宋体" w:hAnsi="宋体" w:eastAsia="宋体" w:cs="宋体"/>
                <w:b/>
                <w:sz w:val="24"/>
                <w:szCs w:val="24"/>
              </w:rPr>
              <w:t>文件而造成的后果，采购人概不负责。</w:t>
            </w:r>
          </w:p>
        </w:tc>
      </w:tr>
    </w:tbl>
    <w:p>
      <w:pPr>
        <w:pStyle w:val="2"/>
        <w:numPr>
          <w:ilvl w:val="0"/>
          <w:numId w:val="0"/>
        </w:numPr>
        <w:ind w:leftChars="400"/>
        <w:rPr>
          <w:rFonts w:hint="eastAsia" w:ascii="宋体" w:hAnsi="宋体" w:eastAsia="宋体" w:cs="宋体"/>
          <w:lang w:val="en-US" w:eastAsia="zh-CN"/>
        </w:rPr>
      </w:pPr>
    </w:p>
    <w:p>
      <w:pPr>
        <w:pageBreakBefore w:val="0"/>
        <w:widowControl/>
        <w:kinsoku/>
        <w:wordWrap/>
        <w:overflowPunct/>
        <w:topLinePunct w:val="0"/>
        <w:bidi w:val="0"/>
        <w:spacing w:line="400" w:lineRule="exact"/>
        <w:jc w:val="both"/>
        <w:rPr>
          <w:rFonts w:hint="eastAsia" w:ascii="宋体" w:hAnsi="宋体" w:eastAsia="宋体" w:cs="宋体"/>
          <w:b/>
          <w:color w:val="000000"/>
          <w:sz w:val="36"/>
          <w:szCs w:val="36"/>
          <w:highlight w:val="none"/>
        </w:rPr>
      </w:pPr>
    </w:p>
    <w:p>
      <w:pPr>
        <w:pageBreakBefore w:val="0"/>
        <w:widowControl/>
        <w:kinsoku/>
        <w:wordWrap/>
        <w:overflowPunct/>
        <w:topLinePunct w:val="0"/>
        <w:bidi w:val="0"/>
        <w:spacing w:line="400" w:lineRule="exact"/>
        <w:jc w:val="center"/>
        <w:rPr>
          <w:rFonts w:hint="eastAsia" w:ascii="宋体" w:hAnsi="宋体" w:eastAsia="宋体" w:cs="宋体"/>
          <w:b/>
          <w:color w:val="000000"/>
          <w:sz w:val="36"/>
          <w:szCs w:val="36"/>
          <w:highlight w:val="none"/>
        </w:rPr>
      </w:pPr>
    </w:p>
    <w:p>
      <w:pPr>
        <w:pageBreakBefore w:val="0"/>
        <w:widowControl/>
        <w:kinsoku/>
        <w:wordWrap/>
        <w:overflowPunct/>
        <w:topLinePunct w:val="0"/>
        <w:bidi w:val="0"/>
        <w:spacing w:line="400" w:lineRule="exact"/>
        <w:jc w:val="both"/>
        <w:rPr>
          <w:rFonts w:hint="eastAsia" w:ascii="宋体" w:hAnsi="宋体" w:eastAsia="宋体" w:cs="宋体"/>
          <w:b/>
          <w:color w:val="000000"/>
          <w:sz w:val="36"/>
          <w:szCs w:val="36"/>
          <w:highlight w:val="none"/>
        </w:rPr>
      </w:pPr>
    </w:p>
    <w:p>
      <w:pPr>
        <w:pStyle w:val="12"/>
        <w:rPr>
          <w:rFonts w:hint="eastAsia" w:ascii="宋体" w:hAnsi="宋体" w:eastAsia="宋体" w:cs="宋体"/>
          <w:b/>
          <w:color w:val="000000"/>
          <w:sz w:val="36"/>
          <w:szCs w:val="36"/>
          <w:highlight w:val="none"/>
        </w:rPr>
      </w:pPr>
    </w:p>
    <w:p>
      <w:pPr>
        <w:rPr>
          <w:rFonts w:hint="eastAsia" w:ascii="宋体" w:hAnsi="宋体" w:eastAsia="宋体" w:cs="宋体"/>
          <w:b/>
          <w:color w:val="000000"/>
          <w:sz w:val="36"/>
          <w:szCs w:val="36"/>
          <w:highlight w:val="none"/>
        </w:rPr>
      </w:pPr>
    </w:p>
    <w:p>
      <w:pPr>
        <w:pStyle w:val="18"/>
        <w:rPr>
          <w:rFonts w:hint="eastAsia" w:ascii="宋体" w:hAnsi="宋体" w:eastAsia="宋体" w:cs="宋体"/>
          <w:b/>
          <w:color w:val="000000"/>
          <w:sz w:val="36"/>
          <w:szCs w:val="36"/>
          <w:highlight w:val="none"/>
        </w:rPr>
      </w:pPr>
    </w:p>
    <w:p>
      <w:pPr>
        <w:pStyle w:val="12"/>
        <w:rPr>
          <w:rFonts w:hint="eastAsia" w:ascii="宋体" w:hAnsi="宋体" w:eastAsia="宋体" w:cs="宋体"/>
          <w:b/>
          <w:color w:val="000000"/>
          <w:sz w:val="36"/>
          <w:szCs w:val="36"/>
          <w:highlight w:val="none"/>
        </w:rPr>
      </w:pPr>
    </w:p>
    <w:p>
      <w:pPr>
        <w:rPr>
          <w:rFonts w:hint="eastAsia" w:ascii="宋体" w:hAnsi="宋体" w:eastAsia="宋体" w:cs="宋体"/>
          <w:b/>
          <w:color w:val="000000"/>
          <w:sz w:val="36"/>
          <w:szCs w:val="36"/>
          <w:highlight w:val="none"/>
        </w:rPr>
      </w:pPr>
    </w:p>
    <w:p>
      <w:pPr>
        <w:pStyle w:val="30"/>
        <w:rPr>
          <w:rFonts w:hint="eastAsia" w:ascii="宋体" w:hAnsi="宋体" w:eastAsia="宋体" w:cs="宋体"/>
          <w:b/>
          <w:color w:val="000000"/>
          <w:sz w:val="36"/>
          <w:szCs w:val="36"/>
          <w:highlight w:val="none"/>
        </w:rPr>
      </w:pPr>
    </w:p>
    <w:p>
      <w:pPr>
        <w:pStyle w:val="30"/>
        <w:rPr>
          <w:rFonts w:hint="eastAsia" w:ascii="宋体" w:hAnsi="宋体" w:eastAsia="宋体" w:cs="宋体"/>
          <w:b/>
          <w:color w:val="000000"/>
          <w:sz w:val="36"/>
          <w:szCs w:val="36"/>
          <w:highlight w:val="none"/>
        </w:rPr>
      </w:pPr>
    </w:p>
    <w:p>
      <w:pPr>
        <w:pStyle w:val="30"/>
        <w:rPr>
          <w:rFonts w:hint="eastAsia" w:ascii="宋体" w:hAnsi="宋体" w:eastAsia="宋体" w:cs="宋体"/>
          <w:b/>
          <w:color w:val="000000"/>
          <w:sz w:val="36"/>
          <w:szCs w:val="36"/>
          <w:highlight w:val="none"/>
        </w:rPr>
      </w:pPr>
    </w:p>
    <w:p>
      <w:pPr>
        <w:pStyle w:val="30"/>
        <w:rPr>
          <w:rFonts w:hint="eastAsia" w:ascii="宋体" w:hAnsi="宋体" w:eastAsia="宋体" w:cs="宋体"/>
          <w:b/>
          <w:color w:val="000000"/>
          <w:sz w:val="36"/>
          <w:szCs w:val="36"/>
          <w:highlight w:val="none"/>
        </w:rPr>
      </w:pPr>
    </w:p>
    <w:p>
      <w:pPr>
        <w:pStyle w:val="30"/>
        <w:rPr>
          <w:rFonts w:hint="eastAsia" w:ascii="宋体" w:hAnsi="宋体" w:eastAsia="宋体" w:cs="宋体"/>
          <w:b/>
          <w:color w:val="000000"/>
          <w:sz w:val="36"/>
          <w:szCs w:val="36"/>
          <w:highlight w:val="none"/>
        </w:rPr>
      </w:pPr>
    </w:p>
    <w:p>
      <w:pPr>
        <w:pStyle w:val="30"/>
        <w:rPr>
          <w:rFonts w:hint="eastAsia" w:ascii="宋体" w:hAnsi="宋体" w:eastAsia="宋体" w:cs="宋体"/>
          <w:b/>
          <w:color w:val="000000"/>
          <w:sz w:val="36"/>
          <w:szCs w:val="36"/>
          <w:highlight w:val="none"/>
        </w:rPr>
      </w:pPr>
    </w:p>
    <w:p>
      <w:pPr>
        <w:pStyle w:val="12"/>
        <w:rPr>
          <w:rFonts w:hint="eastAsia" w:ascii="宋体" w:hAnsi="宋体" w:eastAsia="宋体" w:cs="宋体"/>
        </w:rPr>
      </w:pPr>
    </w:p>
    <w:p>
      <w:pPr>
        <w:pageBreakBefore w:val="0"/>
        <w:widowControl/>
        <w:kinsoku/>
        <w:wordWrap/>
        <w:overflowPunct/>
        <w:topLinePunct w:val="0"/>
        <w:bidi w:val="0"/>
        <w:spacing w:line="400" w:lineRule="exact"/>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第</w:t>
      </w:r>
      <w:r>
        <w:rPr>
          <w:rFonts w:hint="eastAsia" w:ascii="宋体" w:hAnsi="宋体" w:eastAsia="宋体" w:cs="宋体"/>
          <w:b/>
          <w:color w:val="000000"/>
          <w:sz w:val="36"/>
          <w:szCs w:val="36"/>
          <w:highlight w:val="none"/>
          <w:lang w:val="en-US" w:eastAsia="zh-CN"/>
        </w:rPr>
        <w:t>三</w:t>
      </w:r>
      <w:r>
        <w:rPr>
          <w:rFonts w:hint="eastAsia" w:ascii="宋体" w:hAnsi="宋体" w:eastAsia="宋体" w:cs="宋体"/>
          <w:b/>
          <w:color w:val="000000"/>
          <w:sz w:val="36"/>
          <w:szCs w:val="36"/>
          <w:highlight w:val="none"/>
        </w:rPr>
        <w:t>章 投标</w:t>
      </w:r>
      <w:r>
        <w:rPr>
          <w:rFonts w:hint="eastAsia" w:ascii="宋体" w:hAnsi="宋体" w:eastAsia="宋体" w:cs="宋体"/>
          <w:b/>
          <w:color w:val="000000"/>
          <w:sz w:val="36"/>
          <w:szCs w:val="36"/>
          <w:highlight w:val="none"/>
          <w:lang w:val="en-US" w:eastAsia="zh-CN"/>
        </w:rPr>
        <w:t>人</w:t>
      </w:r>
      <w:r>
        <w:rPr>
          <w:rFonts w:hint="eastAsia" w:ascii="宋体" w:hAnsi="宋体" w:eastAsia="宋体" w:cs="宋体"/>
          <w:b/>
          <w:color w:val="000000"/>
          <w:sz w:val="36"/>
          <w:szCs w:val="36"/>
          <w:highlight w:val="none"/>
        </w:rPr>
        <w:t>须知</w:t>
      </w:r>
    </w:p>
    <w:p>
      <w:pPr>
        <w:pageBreakBefore w:val="0"/>
        <w:kinsoku/>
        <w:wordWrap/>
        <w:overflowPunct/>
        <w:topLinePunct w:val="0"/>
        <w:bidi w:val="0"/>
        <w:adjustRightInd w:val="0"/>
        <w:snapToGrid w:val="0"/>
        <w:spacing w:line="40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一、总  则</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1、适用范围</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1.1 </w:t>
      </w:r>
      <w:r>
        <w:rPr>
          <w:rFonts w:hint="eastAsia" w:ascii="宋体" w:hAnsi="宋体" w:eastAsia="宋体" w:cs="宋体"/>
          <w:sz w:val="24"/>
          <w:szCs w:val="24"/>
          <w:highlight w:val="none"/>
        </w:rPr>
        <w:t>本次招标采取公开招标方式，本招标文件仅适用于招标公告中所述项目。</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2、合格的投标人</w:t>
      </w:r>
    </w:p>
    <w:p>
      <w:pPr>
        <w:pageBreakBefore w:val="0"/>
        <w:kinsoku/>
        <w:wordWrap/>
        <w:overflowPunct/>
        <w:topLinePunct w:val="0"/>
        <w:bidi w:val="0"/>
        <w:adjustRightInd w:val="0"/>
        <w:snapToGrid w:val="0"/>
        <w:spacing w:beforeAutospacing="0" w:afterAutospacing="0" w:line="400" w:lineRule="exact"/>
        <w:ind w:firstLine="463" w:firstLineChars="19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2.1投标人资格要求：</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2.1.1.满足《中华人民共和国政府采购法》第二十二条规定；</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2.1.2.落实政府采购政策需满足的资格要求：</w:t>
      </w:r>
      <w:r>
        <w:rPr>
          <w:rFonts w:hint="eastAsia" w:cs="宋体"/>
          <w:color w:val="000000" w:themeColor="text1"/>
          <w:sz w:val="24"/>
          <w:szCs w:val="24"/>
          <w:lang w:val="en-US" w:eastAsia="zh-CN"/>
          <w14:textFill>
            <w14:solidFill>
              <w14:schemeClr w14:val="tx1"/>
            </w14:solidFill>
          </w14:textFill>
        </w:rPr>
        <w:t>无</w:t>
      </w:r>
      <w:r>
        <w:rPr>
          <w:rFonts w:hint="eastAsia" w:ascii="宋体" w:hAnsi="宋体" w:eastAsia="宋体" w:cs="宋体"/>
          <w:color w:val="000000" w:themeColor="text1"/>
          <w:sz w:val="24"/>
          <w:szCs w:val="24"/>
          <w:lang w:val="en-US" w:eastAsia="zh-CN"/>
          <w14:textFill>
            <w14:solidFill>
              <w14:schemeClr w14:val="tx1"/>
            </w14:solidFill>
          </w14:textFill>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2.1.3.本项目的特定资格要求：(1)具有独立承担民事责任能力的在中华人民共和国境内注册的法人；（2）具有良好的商业信誉和健全的财务会计制度；（3）具有履行合同所必需的服务和专业技术能力；（4）参加本次采购活动前三年（2020年1月至今），在经营活动中没有重大违法记录。（重大违法记录，是指供应商因违法经营受到刑事处罚或者责令停产停业、吊销许可证或者执照、较大数额罚款等行政处罚、刑事处罚）；供应商未被列入“信用中国”网站“记录失信被执行人或重大税收违法案件当事人名单或政府采购严重违法失信行为”记录名单；不处于中国政府采购网“政府采购严重违法失信行为信息记录”中的禁止参加政府采购活动期间；未列入国家企业信用信息公示系统严重违法失信名单及其他不符合规定条件的供应商；（5）单位负责人为同一人或者存在直接控股、管理关系的不同供应商，不得参加同一合同项下的政府采购活动。</w:t>
      </w:r>
    </w:p>
    <w:p>
      <w:pPr>
        <w:pageBreakBefore w:val="0"/>
        <w:kinsoku/>
        <w:wordWrap/>
        <w:overflowPunct/>
        <w:topLinePunct w:val="0"/>
        <w:autoSpaceDE w:val="0"/>
        <w:autoSpaceDN w:val="0"/>
        <w:bidi w:val="0"/>
        <w:adjustRightInd w:val="0"/>
        <w:snapToGrid w:val="0"/>
        <w:spacing w:beforeAutospacing="0" w:afterAutospacing="0" w:line="400" w:lineRule="exact"/>
        <w:ind w:firstLine="241" w:firstLineChars="1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2.2 投标人在本次招标活动中，必须遵守《中华人民共和国招标投标法》、《中华人民共和国政府招标法》及相关法律的规定。</w:t>
      </w:r>
    </w:p>
    <w:p>
      <w:pPr>
        <w:pageBreakBefore w:val="0"/>
        <w:numPr>
          <w:ilvl w:val="0"/>
          <w:numId w:val="2"/>
        </w:numPr>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定义</w:t>
      </w:r>
    </w:p>
    <w:p>
      <w:pPr>
        <w:pageBreakBefore w:val="0"/>
        <w:kinsoku/>
        <w:wordWrap/>
        <w:overflowPunct/>
        <w:topLinePunct w:val="0"/>
        <w:autoSpaceDE w:val="0"/>
        <w:autoSpaceDN w:val="0"/>
        <w:bidi w:val="0"/>
        <w:adjustRightInd w:val="0"/>
        <w:snapToGrid w:val="0"/>
        <w:spacing w:beforeAutospacing="0" w:afterAutospacing="0"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3.1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”系指合同中明确规定的实际购买货物和服务的法人、行政事业单位、团体组织。</w:t>
      </w:r>
      <w:r>
        <w:rPr>
          <w:rFonts w:hint="eastAsia" w:ascii="宋体" w:hAnsi="宋体" w:eastAsia="宋体" w:cs="宋体"/>
          <w:color w:val="000000"/>
          <w:sz w:val="24"/>
          <w:szCs w:val="24"/>
          <w:highlight w:val="none"/>
          <w:lang w:val="en-US" w:eastAsia="zh-CN"/>
        </w:rPr>
        <w:t>本项目中系指托克逊县住房和城乡建设局。</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 “投标人”系指响应招标，并按照招标文件的要求参与</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任务竞争的法人，中标后即为中标人，签定合同后即为卖方。</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“招标</w:t>
      </w:r>
      <w:r>
        <w:rPr>
          <w:rFonts w:hint="eastAsia" w:ascii="宋体" w:hAnsi="宋体" w:eastAsia="宋体" w:cs="宋体"/>
          <w:color w:val="000000"/>
          <w:sz w:val="24"/>
          <w:szCs w:val="24"/>
          <w:highlight w:val="none"/>
          <w:lang w:val="en-US" w:eastAsia="zh-CN"/>
        </w:rPr>
        <w:t>代理</w:t>
      </w:r>
      <w:r>
        <w:rPr>
          <w:rFonts w:hint="eastAsia" w:ascii="宋体" w:hAnsi="宋体" w:eastAsia="宋体" w:cs="宋体"/>
          <w:color w:val="000000"/>
          <w:sz w:val="24"/>
          <w:szCs w:val="24"/>
          <w:highlight w:val="none"/>
        </w:rPr>
        <w:t>机构”为</w:t>
      </w:r>
      <w:r>
        <w:rPr>
          <w:rFonts w:hint="eastAsia" w:ascii="宋体" w:hAnsi="宋体" w:eastAsia="宋体" w:cs="宋体"/>
          <w:color w:val="000000"/>
          <w:sz w:val="24"/>
          <w:szCs w:val="24"/>
          <w:highlight w:val="none"/>
          <w:lang w:eastAsia="zh-CN"/>
        </w:rPr>
        <w:t>新疆华域天恒工程管理有限公司</w:t>
      </w:r>
      <w:r>
        <w:rPr>
          <w:rFonts w:hint="eastAsia" w:ascii="宋体" w:hAnsi="宋体" w:eastAsia="宋体" w:cs="宋体"/>
          <w:color w:val="000000"/>
          <w:sz w:val="24"/>
          <w:szCs w:val="24"/>
          <w:highlight w:val="none"/>
        </w:rPr>
        <w:t>。</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 “货物”系指卖方按合同要求，须向买方提供的一切产品及其它技术资料和材料。</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“服务”系指合同规定卖方须承担的技术协助、本地化开发、运输、安装、调试和交付使用后免费维护期内及质保期外应履行的义务及售后服务等其他类似的义务。</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“卖方”系指提供合同货物和服务的法人。</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 “买方”系指购买</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的单位。</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4、投标费用</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 无论投标结果如何，投标人须自行承担所有与参加投标有关的全部费用。</w:t>
      </w:r>
    </w:p>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二、招标文件</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5、招标文件</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招标文件用以阐明所招标的内容，</w:t>
      </w:r>
      <w:r>
        <w:rPr>
          <w:rFonts w:hint="eastAsia" w:ascii="宋体" w:hAnsi="宋体" w:eastAsia="宋体" w:cs="宋体"/>
          <w:color w:val="000000"/>
          <w:sz w:val="24"/>
          <w:szCs w:val="24"/>
          <w:highlight w:val="none"/>
          <w:lang w:val="en-US" w:eastAsia="zh-CN"/>
        </w:rPr>
        <w:t>招标文件内容</w:t>
      </w:r>
      <w:r>
        <w:rPr>
          <w:rFonts w:hint="eastAsia" w:ascii="宋体" w:hAnsi="宋体" w:eastAsia="宋体" w:cs="宋体"/>
          <w:color w:val="000000"/>
          <w:sz w:val="24"/>
          <w:szCs w:val="24"/>
          <w:highlight w:val="none"/>
        </w:rPr>
        <w:t>包括：</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5.1.1</w:t>
      </w:r>
      <w:r>
        <w:rPr>
          <w:rFonts w:hint="eastAsia" w:ascii="宋体" w:hAnsi="宋体" w:eastAsia="宋体" w:cs="宋体"/>
          <w:color w:val="000000"/>
          <w:sz w:val="24"/>
          <w:szCs w:val="24"/>
          <w:highlight w:val="none"/>
        </w:rPr>
        <w:t>投标邀请（招标公告）</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5.1.2</w:t>
      </w:r>
      <w:r>
        <w:rPr>
          <w:rFonts w:hint="eastAsia" w:ascii="宋体" w:hAnsi="宋体" w:eastAsia="宋体" w:cs="宋体"/>
          <w:color w:val="000000"/>
          <w:sz w:val="24"/>
          <w:szCs w:val="24"/>
          <w:highlight w:val="none"/>
        </w:rPr>
        <w:t>投标人须知前附表</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5.1.3</w:t>
      </w:r>
      <w:r>
        <w:rPr>
          <w:rFonts w:hint="eastAsia" w:ascii="宋体" w:hAnsi="宋体" w:eastAsia="宋体" w:cs="宋体"/>
          <w:color w:val="000000"/>
          <w:sz w:val="24"/>
          <w:szCs w:val="24"/>
          <w:highlight w:val="none"/>
        </w:rPr>
        <w:t>投标人须知</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5.1.4</w:t>
      </w:r>
      <w:r>
        <w:rPr>
          <w:rFonts w:hint="eastAsia" w:ascii="宋体" w:hAnsi="宋体" w:eastAsia="宋体" w:cs="宋体"/>
          <w:color w:val="000000"/>
          <w:sz w:val="24"/>
          <w:szCs w:val="24"/>
          <w:highlight w:val="none"/>
        </w:rPr>
        <w:t>合同文本格式</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5.1.5</w:t>
      </w:r>
      <w:r>
        <w:rPr>
          <w:rFonts w:hint="eastAsia" w:ascii="宋体" w:hAnsi="宋体" w:eastAsia="宋体" w:cs="宋体"/>
          <w:color w:val="000000"/>
          <w:sz w:val="24"/>
          <w:szCs w:val="24"/>
          <w:highlight w:val="none"/>
        </w:rPr>
        <w:t>采购需求</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5.1.6</w:t>
      </w:r>
      <w:r>
        <w:rPr>
          <w:rFonts w:hint="eastAsia" w:ascii="宋体" w:hAnsi="宋体" w:eastAsia="宋体" w:cs="宋体"/>
          <w:color w:val="000000"/>
          <w:sz w:val="24"/>
          <w:szCs w:val="24"/>
          <w:highlight w:val="none"/>
        </w:rPr>
        <w:t>评标方法及评标标准</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5.1.7</w:t>
      </w:r>
      <w:r>
        <w:rPr>
          <w:rFonts w:hint="eastAsia" w:ascii="宋体" w:hAnsi="宋体" w:eastAsia="宋体" w:cs="宋体"/>
          <w:color w:val="000000"/>
          <w:sz w:val="24"/>
          <w:szCs w:val="24"/>
          <w:highlight w:val="none"/>
        </w:rPr>
        <w:t>投标文件格式</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5.2投标人应仔细阅读招标文件中的所有内容。</w:t>
      </w:r>
      <w:r>
        <w:rPr>
          <w:rFonts w:hint="eastAsia" w:ascii="宋体" w:hAnsi="宋体" w:eastAsia="宋体" w:cs="宋体"/>
          <w:color w:val="000000"/>
          <w:sz w:val="24"/>
          <w:szCs w:val="24"/>
          <w:highlight w:val="none"/>
          <w:lang w:eastAsia="zh-CN"/>
        </w:rPr>
        <w:t>招标代理机构</w:t>
      </w:r>
      <w:r>
        <w:rPr>
          <w:rFonts w:hint="eastAsia" w:ascii="宋体" w:hAnsi="宋体" w:eastAsia="宋体" w:cs="宋体"/>
          <w:color w:val="000000"/>
          <w:sz w:val="24"/>
          <w:szCs w:val="24"/>
          <w:highlight w:val="none"/>
        </w:rPr>
        <w:t>将拒绝未按招标文件的要求提供全部资料或提交的投标文件未对招标文件作出实质性响应的投标。</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6、招标文件的澄清</w:t>
      </w:r>
      <w:r>
        <w:rPr>
          <w:rFonts w:hint="eastAsia" w:ascii="宋体" w:hAnsi="宋体" w:eastAsia="宋体" w:cs="宋体"/>
          <w:b/>
          <w:color w:val="000000"/>
          <w:sz w:val="24"/>
          <w:szCs w:val="24"/>
          <w:highlight w:val="none"/>
          <w:lang w:eastAsia="zh-CN"/>
        </w:rPr>
        <w:t>或者修改</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.1澄清或者修改的内容可能影响投标文件编制的，在投标截止期十五日前的任何时间，招标方可主动或依据投标人要求澄清的问题而修改或补充招标文件，并以书面形式</w:t>
      </w:r>
      <w:r>
        <w:rPr>
          <w:rFonts w:hint="eastAsia" w:ascii="宋体" w:hAnsi="宋体" w:eastAsia="宋体" w:cs="宋体"/>
          <w:b w:val="0"/>
          <w:bCs/>
          <w:color w:val="000000"/>
          <w:sz w:val="24"/>
          <w:szCs w:val="24"/>
          <w:highlight w:val="none"/>
          <w:lang w:eastAsia="zh-CN"/>
        </w:rPr>
        <w:t>及</w:t>
      </w:r>
      <w:r>
        <w:rPr>
          <w:rFonts w:hint="eastAsia" w:ascii="宋体" w:hAnsi="宋体" w:eastAsia="宋体" w:cs="宋体"/>
          <w:b w:val="0"/>
          <w:bCs/>
          <w:color w:val="000000"/>
          <w:sz w:val="24"/>
          <w:szCs w:val="24"/>
          <w:highlight w:val="none"/>
        </w:rPr>
        <w:t>网上公告通知所有投标人，投标人在收到该通知后应立即以</w:t>
      </w:r>
      <w:r>
        <w:rPr>
          <w:rFonts w:hint="eastAsia" w:ascii="宋体" w:hAnsi="宋体" w:eastAsia="宋体" w:cs="宋体"/>
          <w:b w:val="0"/>
          <w:bCs/>
          <w:color w:val="000000"/>
          <w:sz w:val="24"/>
          <w:szCs w:val="24"/>
          <w:highlight w:val="none"/>
          <w:lang w:eastAsia="zh-CN"/>
        </w:rPr>
        <w:t>书面</w:t>
      </w:r>
      <w:r>
        <w:rPr>
          <w:rFonts w:hint="eastAsia" w:ascii="宋体" w:hAnsi="宋体" w:eastAsia="宋体" w:cs="宋体"/>
          <w:b w:val="0"/>
          <w:bCs/>
          <w:color w:val="000000"/>
          <w:sz w:val="24"/>
          <w:szCs w:val="24"/>
          <w:highlight w:val="none"/>
        </w:rPr>
        <w:t>形式予以确认。</w:t>
      </w:r>
      <w:r>
        <w:rPr>
          <w:rFonts w:hint="eastAsia" w:ascii="宋体" w:hAnsi="宋体" w:eastAsia="宋体" w:cs="宋体"/>
          <w:b w:val="0"/>
          <w:bCs/>
          <w:color w:val="000000"/>
          <w:sz w:val="24"/>
          <w:szCs w:val="24"/>
          <w:highlight w:val="none"/>
        </w:rPr>
        <w:br w:type="textWrapping"/>
      </w:r>
      <w:r>
        <w:rPr>
          <w:rFonts w:hint="eastAsia" w:ascii="宋体" w:hAnsi="宋体" w:eastAsia="宋体" w:cs="宋体"/>
          <w:b w:val="0"/>
          <w:bCs/>
          <w:color w:val="000000"/>
          <w:sz w:val="24"/>
          <w:szCs w:val="24"/>
          <w:highlight w:val="none"/>
          <w:lang w:val="en-US" w:eastAsia="zh-CN"/>
        </w:rPr>
        <w:t xml:space="preserve">    6</w:t>
      </w:r>
      <w:r>
        <w:rPr>
          <w:rFonts w:hint="eastAsia" w:ascii="宋体" w:hAnsi="宋体" w:eastAsia="宋体" w:cs="宋体"/>
          <w:b w:val="0"/>
          <w:bCs/>
          <w:color w:val="000000"/>
          <w:sz w:val="24"/>
          <w:szCs w:val="24"/>
          <w:highlight w:val="none"/>
        </w:rPr>
        <w:t>.2为使投标人在准备投标时有适当的时间考虑投标文件的修改，招标方有权决定推迟投标截止时间和开标时间，并将此变更通知所有的投标人。</w:t>
      </w:r>
      <w:r>
        <w:rPr>
          <w:rFonts w:hint="eastAsia" w:ascii="宋体" w:hAnsi="宋体" w:eastAsia="宋体" w:cs="宋体"/>
          <w:b w:val="0"/>
          <w:bCs/>
          <w:color w:val="000000"/>
          <w:sz w:val="24"/>
          <w:szCs w:val="24"/>
          <w:highlight w:val="none"/>
        </w:rPr>
        <w:br w:type="textWrapping"/>
      </w:r>
      <w:r>
        <w:rPr>
          <w:rFonts w:hint="eastAsia" w:ascii="宋体" w:hAnsi="宋体" w:eastAsia="宋体" w:cs="宋体"/>
          <w:b w:val="0"/>
          <w:bCs/>
          <w:color w:val="000000"/>
          <w:sz w:val="24"/>
          <w:szCs w:val="24"/>
          <w:highlight w:val="none"/>
          <w:lang w:val="en-US" w:eastAsia="zh-CN"/>
        </w:rPr>
        <w:t xml:space="preserve">    6</w:t>
      </w:r>
      <w:r>
        <w:rPr>
          <w:rFonts w:hint="eastAsia" w:ascii="宋体" w:hAnsi="宋体" w:eastAsia="宋体" w:cs="宋体"/>
          <w:b w:val="0"/>
          <w:bCs/>
          <w:color w:val="000000"/>
          <w:sz w:val="24"/>
          <w:szCs w:val="24"/>
          <w:highlight w:val="none"/>
        </w:rPr>
        <w:t>.3招标文件的修改和补充文件</w:t>
      </w:r>
      <w:r>
        <w:rPr>
          <w:rFonts w:hint="eastAsia" w:ascii="宋体" w:hAnsi="宋体" w:eastAsia="宋体" w:cs="宋体"/>
          <w:color w:val="000000"/>
          <w:sz w:val="24"/>
          <w:szCs w:val="24"/>
          <w:highlight w:val="none"/>
        </w:rPr>
        <w:t>将在新疆政府采购网公布</w:t>
      </w:r>
      <w:r>
        <w:rPr>
          <w:rFonts w:hint="eastAsia" w:ascii="宋体" w:hAnsi="宋体" w:eastAsia="宋体" w:cs="宋体"/>
          <w:color w:val="000000"/>
          <w:sz w:val="24"/>
          <w:szCs w:val="24"/>
          <w:highlight w:val="none"/>
          <w:lang w:eastAsia="zh-CN"/>
        </w:rPr>
        <w:t>，修改、补充</w:t>
      </w:r>
      <w:r>
        <w:rPr>
          <w:rFonts w:hint="eastAsia" w:ascii="宋体" w:hAnsi="宋体" w:eastAsia="宋体" w:cs="宋体"/>
          <w:b w:val="0"/>
          <w:bCs/>
          <w:color w:val="000000"/>
          <w:sz w:val="24"/>
          <w:szCs w:val="24"/>
          <w:highlight w:val="none"/>
        </w:rPr>
        <w:t>将构成招标文件的一部分，并且对投标人具有优先约束力</w:t>
      </w:r>
      <w:r>
        <w:rPr>
          <w:rFonts w:hint="eastAsia" w:ascii="宋体" w:hAnsi="宋体" w:eastAsia="宋体" w:cs="宋体"/>
          <w:b w:val="0"/>
          <w:bCs/>
          <w:color w:val="000000"/>
          <w:sz w:val="24"/>
          <w:szCs w:val="24"/>
          <w:highlight w:val="none"/>
          <w:lang w:eastAsia="zh-CN"/>
        </w:rPr>
        <w:t>。</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w:t>
      </w:r>
      <w:r>
        <w:rPr>
          <w:rFonts w:hint="eastAsia" w:ascii="宋体" w:hAnsi="宋体" w:eastAsia="宋体" w:cs="宋体"/>
          <w:b/>
          <w:sz w:val="24"/>
          <w:szCs w:val="24"/>
        </w:rPr>
        <w:t>询问和质疑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.1投标人对政府采购活动事项有疑问的，可以提出询问；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.2投标人认为采购文件、采购过程、中标或者中标结果使自己的权益受到损害的，可以在知道或者应知权益受到损害之日起7个工作日内，提出质疑。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.3接收质疑函的方式：投标人应提交书面质疑函，投标人应在法定质疑期内一次性提出针对同一采购程序环节的质疑。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.4投标人提出质疑应当提交质疑函和必要的证明材料。质疑函应当包括下列内容：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（1）投标人的姓名或者名称、地址、邮编、联系人及联系电话；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（2）质疑项目的名称、编号；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（4）事实依据；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（5）必要的法律依据；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（6）提出质疑的日期。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.5投标人为自然人的，质疑函应当由本人签字；投标人为法人或者其他组织的，质疑函应当由法定代表人、主要负责人，或者其授权代表签字或者盖章，并加盖公章。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6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p>
    <w:p>
      <w:pPr>
        <w:pStyle w:val="2"/>
        <w:rPr>
          <w:rFonts w:hint="eastAsia" w:ascii="宋体" w:hAnsi="宋体" w:eastAsia="宋体" w:cs="宋体"/>
          <w:lang w:val="en-US" w:eastAsia="zh-CN"/>
        </w:rPr>
      </w:pP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p>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三、投标文件的编制</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 投标文件的编写</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8</w:t>
      </w:r>
      <w:r>
        <w:rPr>
          <w:rFonts w:hint="eastAsia" w:ascii="宋体" w:hAnsi="宋体" w:eastAsia="宋体" w:cs="宋体"/>
          <w:b w:val="0"/>
          <w:bCs/>
          <w:color w:val="000000"/>
          <w:sz w:val="24"/>
          <w:szCs w:val="24"/>
          <w:highlight w:val="none"/>
        </w:rPr>
        <w:t>.1投标人应认真阅读招标文件的所有内容，按招标文件的要求提供投标文件，投标文件应当对招标文件提出的要求和条件作出明确响应，并保证所提供的全部资料的真实性、完整性，以使其投标文件对招标文件做出实质性响应。</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8</w:t>
      </w:r>
      <w:r>
        <w:rPr>
          <w:rFonts w:hint="eastAsia" w:ascii="宋体" w:hAnsi="宋体" w:eastAsia="宋体" w:cs="宋体"/>
          <w:b w:val="0"/>
          <w:bCs/>
          <w:color w:val="000000"/>
          <w:sz w:val="24"/>
          <w:szCs w:val="24"/>
          <w:highlight w:val="none"/>
        </w:rPr>
        <w:t>.2采购人或采购代理机构有权随时检查投标人所提供的全部资料的真实性。如果发现投标人在投标资料中使用有虚假的证明材料的，由此所产生的经济责任和法律责任由投标人自行承担。</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9、 投标的语言</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9.1 投标人提交的投标文件以及投标人与采购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就有关投标的所有来往通知、函件和文件均应使用简体中文。</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9.2投标文件中使用的计量单位除招标文件中有特殊规定外，一律使用法定计量单位。</w:t>
      </w:r>
    </w:p>
    <w:p>
      <w:pPr>
        <w:pageBreakBefore w:val="0"/>
        <w:kinsoku/>
        <w:wordWrap/>
        <w:overflowPunct/>
        <w:topLinePunct w:val="0"/>
        <w:bidi w:val="0"/>
        <w:adjustRightInd w:val="0"/>
        <w:snapToGrid w:val="0"/>
        <w:spacing w:beforeAutospacing="0" w:afterAutospacing="0" w:line="400" w:lineRule="exact"/>
        <w:ind w:firstLine="56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10、投标文件的格式</w:t>
      </w:r>
    </w:p>
    <w:p>
      <w:pPr>
        <w:pageBreakBefore w:val="0"/>
        <w:kinsoku/>
        <w:wordWrap/>
        <w:overflowPunct/>
        <w:topLinePunct w:val="0"/>
        <w:bidi w:val="0"/>
        <w:adjustRightInd w:val="0"/>
        <w:snapToGrid w:val="0"/>
        <w:spacing w:beforeAutospacing="0" w:afterAutospacing="0" w:line="400" w:lineRule="exact"/>
        <w:ind w:firstLine="5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10.1投标人应按招标文件提供的格式及投标报价说明完整地填写所提供的产品、品牌、服务、数量及价格。</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w:t>
      </w:r>
      <w:r>
        <w:rPr>
          <w:rFonts w:hint="eastAsia" w:ascii="宋体" w:hAnsi="宋体" w:eastAsia="宋体" w:cs="宋体"/>
          <w:color w:val="auto"/>
          <w:sz w:val="24"/>
          <w:szCs w:val="24"/>
          <w:highlight w:val="none"/>
        </w:rPr>
        <w:t>废标处理。</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11、投标文件的组成和顺序:投标文件由经济报价部分、商务部分、技术部分三部分组成。开标一览表需按招标文件提供的格式填写，统一规范，并单独提供且与投标文件中提供的一致。</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11.1.1</w:t>
      </w:r>
      <w:r>
        <w:rPr>
          <w:rFonts w:hint="eastAsia" w:ascii="宋体" w:hAnsi="宋体" w:eastAsia="宋体" w:cs="宋体"/>
          <w:color w:val="000000"/>
          <w:sz w:val="24"/>
          <w:szCs w:val="24"/>
          <w:highlight w:val="none"/>
          <w:lang w:val="en-US" w:eastAsia="zh-CN"/>
        </w:rPr>
        <w:t>投标书</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开标一览表；</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报价明细表；</w:t>
      </w:r>
    </w:p>
    <w:p>
      <w:pPr>
        <w:pageBreakBefore w:val="0"/>
        <w:widowControl/>
        <w:kinsoku/>
        <w:wordWrap/>
        <w:overflowPunct/>
        <w:topLinePunct w:val="0"/>
        <w:bidi w:val="0"/>
        <w:adjustRightInd w:val="0"/>
        <w:snapToGrid w:val="0"/>
        <w:spacing w:line="400" w:lineRule="exact"/>
        <w:ind w:firstLine="463" w:firstLineChars="19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11.2商务部分：</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11.2.1投标方的资格声明</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投标单位简介</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11.2.3</w:t>
      </w:r>
      <w:r>
        <w:rPr>
          <w:rFonts w:hint="eastAsia" w:ascii="宋体" w:hAnsi="宋体" w:eastAsia="宋体" w:cs="宋体"/>
          <w:color w:val="000000"/>
          <w:sz w:val="24"/>
          <w:szCs w:val="24"/>
          <w:highlight w:val="none"/>
        </w:rPr>
        <w:t>法人营业执照函</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法定代表人证明书</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法定代表人授权委托书</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val="en-US" w:eastAsia="zh-CN"/>
        </w:rPr>
        <w:t>在</w:t>
      </w:r>
      <w:r>
        <w:rPr>
          <w:rFonts w:hint="eastAsia" w:ascii="宋体" w:hAnsi="宋体" w:eastAsia="宋体" w:cs="宋体"/>
          <w:color w:val="000000"/>
          <w:sz w:val="24"/>
          <w:szCs w:val="24"/>
          <w:highlight w:val="none"/>
        </w:rPr>
        <w:t>本项目投标截止期前在“信用中国（</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www.creditchina.gov.cn）”“中国政府招标网（www.ccgp.gov.cn）”</w:t>
      </w:r>
      <w:r>
        <w:rPr>
          <w:rFonts w:hint="eastAsia" w:ascii="宋体" w:hAnsi="宋体" w:eastAsia="宋体" w:cs="宋体"/>
          <w:color w:val="000000"/>
          <w:sz w:val="24"/>
          <w:szCs w:val="24"/>
          <w:highlight w:val="none"/>
          <w:lang w:val="en-US" w:eastAsia="zh-CN"/>
        </w:rPr>
        <w:t>国家企业信用信息公示系统（www.gsxt.gov.cn）网络查询截图加盖投标企业公章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w:fldChar w:fldCharType="end"/>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11.2.7近三年的业绩表及相关证明</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11.2.8服务评价</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11.2.9项目人员</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商务条款偏离表</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11.2.1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投标单位（投标人）反商业贿赂承诺书</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lang w:val="zh-CN"/>
        </w:rPr>
        <w:t>投标人标人企业类型声明函</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kern w:val="0"/>
          <w:sz w:val="24"/>
          <w:szCs w:val="24"/>
          <w:lang w:val="en-US" w:eastAsia="zh-CN"/>
        </w:rPr>
      </w:pPr>
      <w:r>
        <w:rPr>
          <w:rFonts w:hint="eastAsia" w:ascii="宋体" w:hAnsi="宋体" w:eastAsia="宋体" w:cs="宋体"/>
          <w:color w:val="000000"/>
          <w:sz w:val="24"/>
          <w:szCs w:val="24"/>
          <w:highlight w:val="none"/>
        </w:rPr>
        <w:t xml:space="preserve">11.3 </w:t>
      </w:r>
      <w:r>
        <w:rPr>
          <w:rFonts w:hint="eastAsia" w:ascii="宋体" w:hAnsi="宋体" w:eastAsia="宋体" w:cs="宋体"/>
          <w:b/>
          <w:color w:val="000000"/>
          <w:sz w:val="24"/>
          <w:szCs w:val="24"/>
          <w:highlight w:val="none"/>
        </w:rPr>
        <w:t>技术部分：</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11.3.1人员配置</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11.3.2规章制度</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11.3.3绿化养护服务实施方案</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11.3.4环卫保洁服务实施方案</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11.3.5投入本项目机械、材料、器具设备配置</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11.3.6安全生产作业措施方案</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11.3.7应急预案 服务达标承诺及不达标改善措施</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11.3.8技术条款偏离表</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11.3.9投标人认为需要提供的其他资料。</w:t>
      </w:r>
    </w:p>
    <w:p>
      <w:pPr>
        <w:tabs>
          <w:tab w:val="left" w:pos="900"/>
        </w:tabs>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11.3.10</w:t>
      </w:r>
      <w:r>
        <w:rPr>
          <w:rFonts w:hint="eastAsia" w:ascii="宋体" w:hAnsi="宋体" w:eastAsia="宋体" w:cs="宋体"/>
          <w:sz w:val="24"/>
          <w:szCs w:val="24"/>
        </w:rPr>
        <w:t>投标服务技术符合招标文件规定的证明文件及投标人认为需加以说明的其他内容。</w:t>
      </w:r>
      <w:r>
        <w:rPr>
          <w:rFonts w:hint="eastAsia" w:ascii="宋体" w:hAnsi="宋体" w:eastAsia="宋体" w:cs="宋体"/>
          <w:color w:val="000000"/>
          <w:sz w:val="24"/>
          <w:szCs w:val="24"/>
          <w:highlight w:val="none"/>
          <w:lang w:val="en-US" w:eastAsia="zh-CN"/>
        </w:rPr>
        <w:t>（如有）。</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12、投标报价：</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bookmarkStart w:id="0" w:name="OLE_LINK1"/>
      <w:r>
        <w:rPr>
          <w:rFonts w:hint="eastAsia" w:ascii="宋体" w:hAnsi="宋体" w:eastAsia="宋体" w:cs="宋体"/>
          <w:color w:val="000000"/>
          <w:sz w:val="24"/>
          <w:szCs w:val="24"/>
          <w:highlight w:val="none"/>
        </w:rPr>
        <w:t>12.1投标单位应在投标</w:t>
      </w:r>
      <w:r>
        <w:rPr>
          <w:rFonts w:hint="eastAsia" w:ascii="宋体" w:hAnsi="宋体" w:eastAsia="宋体" w:cs="宋体"/>
          <w:sz w:val="24"/>
          <w:szCs w:val="24"/>
          <w:highlight w:val="none"/>
        </w:rPr>
        <w:t>的报价表上标</w:t>
      </w:r>
      <w:r>
        <w:rPr>
          <w:rFonts w:hint="eastAsia" w:ascii="宋体" w:hAnsi="宋体" w:eastAsia="宋体" w:cs="宋体"/>
          <w:color w:val="000000"/>
          <w:sz w:val="24"/>
          <w:szCs w:val="24"/>
          <w:highlight w:val="none"/>
        </w:rPr>
        <w:t>明总价。</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12.1.1</w:t>
      </w:r>
      <w:r>
        <w:rPr>
          <w:rFonts w:hint="eastAsia" w:ascii="宋体" w:hAnsi="宋体" w:eastAsia="宋体" w:cs="宋体"/>
          <w:color w:val="000000"/>
          <w:sz w:val="24"/>
          <w:szCs w:val="24"/>
          <w:highlight w:val="none"/>
        </w:rPr>
        <w:t>投标文件中开标一览表内容与投标文件中相应内容不一致的，以开标一览表为准；</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12.1.2</w:t>
      </w:r>
      <w:r>
        <w:rPr>
          <w:rFonts w:hint="eastAsia" w:ascii="宋体" w:hAnsi="宋体" w:eastAsia="宋体" w:cs="宋体"/>
          <w:color w:val="000000"/>
          <w:sz w:val="24"/>
          <w:szCs w:val="24"/>
          <w:highlight w:val="none"/>
        </w:rPr>
        <w:t>大写金额和小写金额不一致的，以大写金额为准；</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12.1.3</w:t>
      </w:r>
      <w:r>
        <w:rPr>
          <w:rFonts w:hint="eastAsia" w:ascii="宋体" w:hAnsi="宋体" w:eastAsia="宋体" w:cs="宋体"/>
          <w:color w:val="000000"/>
          <w:sz w:val="24"/>
          <w:szCs w:val="24"/>
          <w:highlight w:val="none"/>
        </w:rPr>
        <w:t>单价金额小数点或者百分比有明显错位的，以开标一览表的总价为准，并修改单价；</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12.1.4</w:t>
      </w:r>
      <w:r>
        <w:rPr>
          <w:rFonts w:hint="eastAsia" w:ascii="宋体" w:hAnsi="宋体" w:eastAsia="宋体" w:cs="宋体"/>
          <w:color w:val="000000"/>
          <w:sz w:val="24"/>
          <w:szCs w:val="24"/>
          <w:highlight w:val="none"/>
        </w:rPr>
        <w:t>总价金额与按单价汇总金额不一致的，以单价金额计算结果为准。投标单位应在投标报价表中标明其提供的所有货物及其相关工作范围内所在费用的总价。</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12.2 除非合同中另有规定，投标人对《投标报价表》中的全部</w:t>
      </w:r>
      <w:r>
        <w:rPr>
          <w:rFonts w:hint="eastAsia" w:ascii="宋体" w:hAnsi="宋体" w:eastAsia="宋体" w:cs="宋体"/>
          <w:color w:val="000000"/>
          <w:sz w:val="24"/>
          <w:szCs w:val="24"/>
          <w:highlight w:val="none"/>
          <w:lang w:eastAsia="zh-CN"/>
        </w:rPr>
        <w:t>货物、</w:t>
      </w:r>
      <w:r>
        <w:rPr>
          <w:rFonts w:hint="eastAsia" w:ascii="宋体" w:hAnsi="宋体" w:eastAsia="宋体" w:cs="宋体"/>
          <w:color w:val="000000"/>
          <w:sz w:val="24"/>
          <w:szCs w:val="24"/>
          <w:highlight w:val="none"/>
        </w:rPr>
        <w:t>服务的报价应包括所投</w:t>
      </w:r>
      <w:r>
        <w:rPr>
          <w:rFonts w:hint="eastAsia" w:ascii="宋体" w:hAnsi="宋体" w:eastAsia="宋体" w:cs="宋体"/>
          <w:color w:val="000000"/>
          <w:sz w:val="24"/>
          <w:szCs w:val="24"/>
          <w:highlight w:val="none"/>
          <w:lang w:eastAsia="zh-CN"/>
        </w:rPr>
        <w:t>货物、</w:t>
      </w:r>
      <w:r>
        <w:rPr>
          <w:rFonts w:hint="eastAsia" w:ascii="宋体" w:hAnsi="宋体" w:eastAsia="宋体" w:cs="宋体"/>
          <w:color w:val="000000"/>
          <w:sz w:val="24"/>
          <w:szCs w:val="24"/>
          <w:highlight w:val="none"/>
        </w:rPr>
        <w:t>服务项目所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12.3 投标人应对招标文件内所要招标的全部内容进行报价，报价采用总</w:t>
      </w:r>
      <w:r>
        <w:rPr>
          <w:rFonts w:hint="eastAsia" w:ascii="宋体" w:hAnsi="宋体" w:eastAsia="宋体" w:cs="宋体"/>
          <w:color w:val="000000"/>
          <w:sz w:val="24"/>
          <w:szCs w:val="24"/>
          <w:highlight w:val="none"/>
          <w:lang w:eastAsia="zh-CN"/>
        </w:rPr>
        <w:t>报价</w:t>
      </w:r>
      <w:r>
        <w:rPr>
          <w:rFonts w:hint="eastAsia" w:ascii="宋体" w:hAnsi="宋体" w:eastAsia="宋体" w:cs="宋体"/>
          <w:color w:val="000000"/>
          <w:sz w:val="24"/>
          <w:szCs w:val="24"/>
          <w:highlight w:val="none"/>
        </w:rPr>
        <w:t>方式，投标人的报价应包括所投产品费用、安装调试费、测试验收费、培训费、运行维护费用、税金、国际国内运输保险及其他有关的为完成本项目发生的所有费用，招标文件中另有规定的除外。</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 一项投标内容只允许一个报价，</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不接受任何有选择性的投标报价。</w:t>
      </w:r>
    </w:p>
    <w:p>
      <w:pPr>
        <w:pStyle w:val="2"/>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12.5投标人不得违反《中华人民共和国反不正当竞争法》的规定，以低于成本的价格销售货物或服务，否则对其价格构成情况做出详细说明并提供相关证明资料。评标委员会认为投标人的报价明显低于其他通过符合性审查投标人的报价，有可能影响产品质量或者不能诚信履约的，应当要求在发出询标函的30分钟内提供书面说明，必要时提交相关证明材料；投标人逾期或拒绝或不能证明其报价合理性的，评标委员会应当将其作为无效投标处理。投标人的澄清、说明或者补正应当采用书面形式，由其授权代表签字，并不得超出投标文件的范围或者改变投标文件的实质性内容，书面承诺为其投标文件的组成部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投标文件报价中的单价和总价全部采用人民币表示，除非合同的主要条款另有规定。</w:t>
      </w:r>
      <w:bookmarkEnd w:id="0"/>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szCs w:val="24"/>
          <w:highlight w:val="none"/>
        </w:rPr>
        <w:t>13、投标人应逐条详细阅读招标文件有关要求，表明所提供的服务是否对招标文件做出实质性响应。</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14、投标文件的有效期</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 投标文件从实际开标之</w:t>
      </w:r>
      <w:r>
        <w:rPr>
          <w:rFonts w:hint="eastAsia" w:ascii="宋体" w:hAnsi="宋体" w:eastAsia="宋体" w:cs="宋体"/>
          <w:sz w:val="24"/>
          <w:szCs w:val="24"/>
          <w:highlight w:val="none"/>
        </w:rPr>
        <w:t>日起</w:t>
      </w:r>
      <w:r>
        <w:rPr>
          <w:rFonts w:hint="eastAsia" w:ascii="宋体" w:hAnsi="宋体" w:eastAsia="宋体" w:cs="宋体"/>
          <w:b/>
          <w:bCs/>
          <w:sz w:val="24"/>
          <w:szCs w:val="24"/>
          <w:highlight w:val="none"/>
          <w:u w:val="single"/>
        </w:rPr>
        <w:t>60</w:t>
      </w:r>
      <w:r>
        <w:rPr>
          <w:rFonts w:hint="eastAsia" w:ascii="宋体" w:hAnsi="宋体" w:eastAsia="宋体" w:cs="宋体"/>
          <w:sz w:val="24"/>
          <w:szCs w:val="24"/>
          <w:highlight w:val="none"/>
        </w:rPr>
        <w:t>天内有</w:t>
      </w:r>
      <w:r>
        <w:rPr>
          <w:rFonts w:hint="eastAsia" w:ascii="宋体" w:hAnsi="宋体" w:eastAsia="宋体" w:cs="宋体"/>
          <w:color w:val="000000"/>
          <w:sz w:val="24"/>
          <w:szCs w:val="24"/>
          <w:highlight w:val="none"/>
        </w:rPr>
        <w:t>效。</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如遇特殊情况，在原投标有效期届满之前，</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可与投标人协商延长投标文件的有效期，并经投标人确认。</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15、投标文件的份数、签署、字体、装订</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15.1 投标人必须按“投标人须知前附表”中规定的“正本”和“副本”份数，投标文件正本和副本如有不一致之处，以正本为准。</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15.2 投标文件正本与副本须用不褪色的墨水笔书写或打印。投标文件的书写应清楚工整，修改处应由投标人全权代表签章。</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15.3 投标文件应由企业法人或法人授权代表在凡规定签章处逐一签署及加盖单位公章。</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15.4 投标文件一律采用胶装方式进行装订</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不得活页装订</w:t>
      </w:r>
      <w:r>
        <w:rPr>
          <w:rFonts w:hint="eastAsia" w:ascii="宋体" w:hAnsi="宋体" w:eastAsia="宋体" w:cs="宋体"/>
          <w:color w:val="000000"/>
          <w:sz w:val="24"/>
          <w:szCs w:val="24"/>
          <w:highlight w:val="none"/>
        </w:rPr>
        <w:t>。</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16、投标保证金</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投标保证金数额</w:t>
      </w:r>
      <w:r>
        <w:rPr>
          <w:rFonts w:hint="eastAsia" w:ascii="宋体" w:hAnsi="宋体" w:eastAsia="宋体" w:cs="宋体"/>
          <w:b/>
          <w:color w:val="000000"/>
          <w:sz w:val="24"/>
          <w:szCs w:val="24"/>
          <w:highlight w:val="none"/>
          <w:u w:val="single"/>
        </w:rPr>
        <w:t xml:space="preserve">详见投标人须知前附表 </w:t>
      </w:r>
      <w:r>
        <w:rPr>
          <w:rFonts w:hint="eastAsia" w:ascii="宋体" w:hAnsi="宋体" w:eastAsia="宋体" w:cs="宋体"/>
          <w:color w:val="000000"/>
          <w:sz w:val="24"/>
          <w:szCs w:val="24"/>
          <w:highlight w:val="none"/>
        </w:rPr>
        <w:t>。</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投标保证金用于应对本次招标因投标人违规、违约而产生的风险。</w:t>
      </w:r>
    </w:p>
    <w:p>
      <w:pPr>
        <w:pageBreakBefore w:val="0"/>
        <w:widowControl/>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16.3</w:t>
      </w:r>
      <w:r>
        <w:rPr>
          <w:rFonts w:hint="eastAsia" w:ascii="宋体" w:hAnsi="宋体" w:eastAsia="宋体" w:cs="宋体"/>
          <w:color w:val="FF0000"/>
          <w:sz w:val="24"/>
          <w:szCs w:val="24"/>
          <w:highlight w:val="none"/>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投标人必须于投标截止时间</w:t>
      </w:r>
      <w:r>
        <w:rPr>
          <w:rFonts w:hint="eastAsia" w:ascii="宋体" w:hAnsi="宋体" w:eastAsia="宋体" w:cs="宋体"/>
          <w:sz w:val="24"/>
          <w:szCs w:val="24"/>
          <w:highlight w:val="none"/>
        </w:rPr>
        <w:t>前</w:t>
      </w:r>
      <w:r>
        <w:rPr>
          <w:rFonts w:hint="eastAsia" w:ascii="宋体" w:hAnsi="宋体" w:eastAsia="宋体" w:cs="宋体"/>
          <w:color w:val="000000"/>
          <w:sz w:val="24"/>
          <w:szCs w:val="24"/>
          <w:highlight w:val="none"/>
        </w:rPr>
        <w:t>将投标保证金交纳至规定的帐号，对未按要求提交投标保证金的投标文件，</w:t>
      </w:r>
      <w:r>
        <w:rPr>
          <w:rFonts w:hint="eastAsia" w:ascii="宋体" w:hAnsi="宋体" w:eastAsia="宋体" w:cs="宋体"/>
          <w:color w:val="000000"/>
          <w:sz w:val="24"/>
          <w:szCs w:val="24"/>
          <w:highlight w:val="none"/>
          <w:lang w:eastAsia="zh-CN"/>
        </w:rPr>
        <w:t>招标代理机构</w:t>
      </w:r>
      <w:r>
        <w:rPr>
          <w:rFonts w:hint="eastAsia" w:ascii="宋体" w:hAnsi="宋体" w:eastAsia="宋体" w:cs="宋体"/>
          <w:color w:val="000000"/>
          <w:sz w:val="24"/>
          <w:szCs w:val="24"/>
          <w:highlight w:val="none"/>
        </w:rPr>
        <w:t>将视为不响应投标予以拒绝。</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 投标保证金应以银行电汇或转账</w:t>
      </w:r>
      <w:r>
        <w:rPr>
          <w:rFonts w:hint="eastAsia" w:ascii="宋体" w:hAnsi="宋体" w:eastAsia="宋体" w:cs="宋体"/>
          <w:color w:val="000000"/>
          <w:sz w:val="24"/>
          <w:szCs w:val="24"/>
          <w:highlight w:val="none"/>
          <w:lang w:val="en-US" w:eastAsia="zh-CN"/>
        </w:rPr>
        <w:t>等非现金</w:t>
      </w:r>
      <w:r>
        <w:rPr>
          <w:rFonts w:hint="eastAsia" w:ascii="宋体" w:hAnsi="宋体" w:eastAsia="宋体" w:cs="宋体"/>
          <w:color w:val="000000"/>
          <w:sz w:val="24"/>
          <w:szCs w:val="24"/>
          <w:highlight w:val="none"/>
        </w:rPr>
        <w:t>方式提交。</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16.5投标保证金的退还条件：</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16.5.1</w:t>
      </w:r>
      <w:r>
        <w:rPr>
          <w:rFonts w:hint="eastAsia" w:ascii="宋体" w:hAnsi="宋体" w:eastAsia="宋体" w:cs="宋体"/>
          <w:color w:val="000000"/>
          <w:sz w:val="24"/>
          <w:szCs w:val="24"/>
          <w:highlight w:val="none"/>
        </w:rPr>
        <w:t>未中标的投标人保证金，在该采购项目的中标通知书发出后5个工作日内,投标保证金退回投标人。</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16.5.2</w:t>
      </w:r>
      <w:r>
        <w:rPr>
          <w:rFonts w:hint="eastAsia" w:ascii="宋体" w:hAnsi="宋体" w:eastAsia="宋体" w:cs="宋体"/>
          <w:color w:val="000000"/>
          <w:sz w:val="24"/>
          <w:szCs w:val="24"/>
          <w:highlight w:val="none"/>
        </w:rPr>
        <w:t>中标的投标人，其投标保证金将保持全部的约束力，直至中标人按规定和采购人签订采购合同后，5个工作日内办理投标保证金退回手续。</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16.6在招标方规定的投标有效期满之前，招标方将以书面形式发出《中标通知书》，《中标通知书》一经发出即发生法律效力。</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 下列情况投标保证金将会被没收：</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供应商在采购文件文件规定的投标有效期内撤回其投标文件文件的；</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开标过程中未经评标委员会同意擅自中途退场；</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供应商恶意串通使投标失去竞争性的；</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向采购代理机构或评标委员会有意提供虚假材料的；</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供应商投标文件出现妨碍公平竞争的行为的；</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未在规定的期限内领取成交通知书的；</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成交单位因自身原因在成交通知书规定的时间内未能与采购单位签订合同的；</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违反政府采购法及有关法律、法规的。</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16.8有下列情形之一的，视为供应商串通投标，其投标无效：</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16.8.1不同供应商的投标文件由同一单位或者个人编制;</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16.8.2不同供应商委托同一单位或者个人办理投标事宜;</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16.8.3不同供应商的投标文件载明的项目管理成员或者联系人员为同一人;</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16.8.4不同供应商的投标文件异常一致或者投标报价呈规律性差异;</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16.8.5不同供应商的投标文件相互混装;</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16.8.6不同供应商的投标保证金从同一单位或者个人的账户转出。</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17. 投标文件的修改和撤销</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17.1　投标人在递交投标文件后，可在规定的投标截止时间之前，对其投标文件以书面通知的形式进行修改或撤消。该通知须有投标人的法定代表人或其委托代理人的签字，并得到招标方的确认。</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17.2  投标人对投标文件修改的书面材料或撤消通知应按招标文件要求进行密封、标注和递交，并注明“修改投标文件”或“撤消投标”字样，修改或撤销的内容须按招标文件的要求签署、盖章，并作为投标文件的组成部分。</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17.3　对投标文件修改的书面材料应于投标截止日前送达招标方，投标截止时间以后不得修改投标文件。</w:t>
      </w:r>
    </w:p>
    <w:p>
      <w:pPr>
        <w:pStyle w:val="8"/>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p>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四、投标文件的递交</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8</w:t>
      </w:r>
      <w:r>
        <w:rPr>
          <w:rFonts w:hint="eastAsia" w:ascii="宋体" w:hAnsi="宋体" w:eastAsia="宋体" w:cs="宋体"/>
          <w:b/>
          <w:color w:val="000000"/>
          <w:sz w:val="24"/>
          <w:szCs w:val="24"/>
          <w:highlight w:val="none"/>
        </w:rPr>
        <w:t>、投标文件的</w:t>
      </w:r>
      <w:r>
        <w:rPr>
          <w:rFonts w:hint="eastAsia" w:ascii="宋体" w:hAnsi="宋体" w:eastAsia="宋体" w:cs="宋体"/>
          <w:b/>
          <w:color w:val="000000"/>
          <w:sz w:val="24"/>
          <w:szCs w:val="24"/>
          <w:highlight w:val="none"/>
          <w:lang w:eastAsia="zh-CN"/>
        </w:rPr>
        <w:t>加密</w:t>
      </w:r>
      <w:r>
        <w:rPr>
          <w:rFonts w:hint="eastAsia" w:ascii="宋体" w:hAnsi="宋体" w:eastAsia="宋体" w:cs="宋体"/>
          <w:b/>
          <w:color w:val="000000"/>
          <w:sz w:val="24"/>
          <w:szCs w:val="24"/>
          <w:highlight w:val="none"/>
        </w:rPr>
        <w:t>和标记</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18.1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18.2投标截止时间以政采云平台中心交易平台显示的时间为准，逾期系统将自动关闭，未完成上传的投标文件视为逾期送达，将被拒绝</w:t>
      </w:r>
      <w:r>
        <w:rPr>
          <w:rFonts w:hint="eastAsia" w:ascii="宋体" w:hAnsi="宋体" w:eastAsia="宋体" w:cs="宋体"/>
          <w:b w:val="0"/>
          <w:bCs/>
          <w:color w:val="000000"/>
          <w:sz w:val="24"/>
          <w:szCs w:val="24"/>
          <w:highlight w:val="none"/>
        </w:rPr>
        <w:t>。</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1</w:t>
      </w:r>
      <w:r>
        <w:rPr>
          <w:rFonts w:hint="eastAsia" w:ascii="宋体" w:hAnsi="宋体" w:eastAsia="宋体" w:cs="宋体"/>
          <w:b/>
          <w:bCs w:val="0"/>
          <w:color w:val="000000"/>
          <w:sz w:val="24"/>
          <w:szCs w:val="24"/>
          <w:highlight w:val="none"/>
          <w:lang w:val="en-US" w:eastAsia="zh-CN"/>
        </w:rPr>
        <w:t>9</w:t>
      </w:r>
      <w:r>
        <w:rPr>
          <w:rFonts w:hint="eastAsia" w:ascii="宋体" w:hAnsi="宋体" w:eastAsia="宋体" w:cs="宋体"/>
          <w:b/>
          <w:bCs w:val="0"/>
          <w:color w:val="000000"/>
          <w:sz w:val="24"/>
          <w:szCs w:val="24"/>
          <w:highlight w:val="none"/>
        </w:rPr>
        <w:t>、投标文件递交的截止日期</w:t>
      </w:r>
    </w:p>
    <w:p>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sz w:val="24"/>
          <w:szCs w:val="24"/>
          <w:highlight w:val="none"/>
          <w:lang w:val="en-US" w:eastAsia="zh-CN"/>
        </w:rPr>
        <w:t>9.1本次采用网上评标系统，供应商在线参加开标（无需到开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19.2供应商登录政采云平台，在开标时间后30分钟内用“项目采购----开标评标”功能进行解密电子版投标文件。若供应商在规定时间内未按时解密的，视为无效响应。解密与加密电子版投标文件须使用同一个CA。</w:t>
      </w:r>
    </w:p>
    <w:p>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19.3如果供应商未按上述要求加密并上传，采购代理机构对投标文件的误投、无法解密、传输错误等问题概不负责。对由此造成无法正常开启的投标文件，采购代理机构有权予以拒绝，并退回供应商。</w:t>
      </w:r>
    </w:p>
    <w:p>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19.4 开标时检查响应文件上传情况。</w:t>
      </w:r>
    </w:p>
    <w:p>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19.5开标原则在开标会议上宣布。</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20</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投标截止时间</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20.1  投标文件应在投标人须知前附表规定的投标截止时间之前上传送到投标人须知前附表指定的地点。</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20.2　所有投标文件不论何种方式递交，都必须在招标方规定的投标截止时间之前递交到招标文件指定地点，在此之后送达的投标文件，为无效投标，投标文件将一律被拒绝。任何单位和个人不得在开标前开启投标文件。</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20.3  出现因招标文件的修改而推迟投标截止时间的情况时，投标人则需按招标方的书面修改通知重新规定的投标时间递交。</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21</w:t>
      </w:r>
      <w:r>
        <w:rPr>
          <w:rFonts w:hint="eastAsia" w:ascii="宋体" w:hAnsi="宋体" w:eastAsia="宋体" w:cs="宋体"/>
          <w:b/>
          <w:color w:val="000000"/>
          <w:sz w:val="24"/>
          <w:szCs w:val="24"/>
          <w:highlight w:val="none"/>
        </w:rPr>
        <w:t>、投标文件的修改和撤消</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.1 投标人在递交投标文件后，可以修改或撤回其投标文件。但投标人必须在规定的投标截止时间之前向采购代理机构发出书面通知。</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.2 在投标截止时间之后，投标人不得对其投标文件做任何修改。从投标截止时间起至投标有效终止时间前，投标人不得撤回其投标。</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.3 采购代理机构不接受电话、电传、传真等形式的投标。</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.4 采购代理机构对不可抗力事件所造成投标文件的损坏、丢失不承担任何责任。</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p>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五、开    标</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2</w:t>
      </w:r>
      <w:r>
        <w:rPr>
          <w:rFonts w:hint="eastAsia" w:ascii="宋体" w:hAnsi="宋体" w:eastAsia="宋体" w:cs="宋体"/>
          <w:b/>
          <w:color w:val="000000"/>
          <w:sz w:val="24"/>
          <w:szCs w:val="24"/>
          <w:highlight w:val="none"/>
        </w:rPr>
        <w:t>、开标</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22.2.1采购代理机构按照招标文件规定的时间、地点主持开标。开标前，采购代理机构将会同监督人员进行验标（检查网上招标系统正常与否，检查电子版响应文件，检查供应商报名及保证金交纳情况），确认无误后开标。开标时，各供应商应对本单位的加密的电子响应文件解密，采购代理机构工作人员在监督人员的监督下解密所有响应文件。逾期未解密的投标文件视为无效投标文件（解密时长30分钟）。</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22.2.2开标时，采购代理机构将通过网上开标系统公布供应商名称、投标价格，以及采购代理机构认为合适的其它详细内容。供应商若有报价和优惠未被唱出，应在开标时及时声明或提请注意，否则采购代理机构对此不承担任何责任。</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22.2.3在评审结束前，未得到采购代理机构允许，供应商法定代表人或授权代理人不得离开开标现场。</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22.2.4监督人员对开标过程进行全程监督。</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22</w:t>
      </w:r>
      <w:r>
        <w:rPr>
          <w:rFonts w:hint="eastAsia" w:ascii="宋体" w:hAnsi="宋体" w:eastAsia="宋体" w:cs="宋体"/>
          <w:color w:val="000000"/>
          <w:sz w:val="24"/>
          <w:szCs w:val="24"/>
          <w:highlight w:val="none"/>
        </w:rPr>
        <w:t>.3 开标异议</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供应商对开标有异议的，应当在开标现场提出，采购人当场作出答复，并制作记录。</w:t>
      </w:r>
    </w:p>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p>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p>
    <w:p>
      <w:pPr>
        <w:pStyle w:val="2"/>
        <w:rPr>
          <w:rFonts w:hint="eastAsia"/>
        </w:rPr>
      </w:pPr>
    </w:p>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六、评标、定标</w:t>
      </w:r>
    </w:p>
    <w:p>
      <w:pPr>
        <w:pageBreakBefore w:val="0"/>
        <w:kinsoku/>
        <w:wordWrap/>
        <w:overflowPunct/>
        <w:topLinePunct w:val="0"/>
        <w:bidi w:val="0"/>
        <w:adjustRightInd w:val="0"/>
        <w:snapToGrid w:val="0"/>
        <w:spacing w:beforeAutospacing="0" w:afterAutospacing="0" w:line="400" w:lineRule="exact"/>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、评标</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b/>
          <w:color w:val="000000"/>
          <w:sz w:val="24"/>
          <w:szCs w:val="24"/>
          <w:highlight w:val="none"/>
        </w:rPr>
        <w:t xml:space="preserve">评标委员会或评标小组 </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.1.1评标委员会或评标小组（以下简称评标委员会）的评标工作由招标单位负责组织，具体评标事务由评标委员会负责，并独立履行其法规规定的职责。</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.1.2评标委员会由</w:t>
      </w:r>
      <w:r>
        <w:rPr>
          <w:rFonts w:hint="eastAsia" w:ascii="宋体" w:hAnsi="宋体" w:eastAsia="宋体" w:cs="宋体"/>
          <w:color w:val="000000"/>
          <w:sz w:val="24"/>
          <w:szCs w:val="24"/>
          <w:highlight w:val="none"/>
          <w:lang w:eastAsia="zh-CN"/>
        </w:rPr>
        <w:t>采购人（</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和专家库中熟悉相关技术的专家</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组成，成员人数为</w:t>
      </w:r>
      <w:r>
        <w:rPr>
          <w:rFonts w:hint="eastAsia" w:ascii="宋体" w:hAnsi="宋体" w:eastAsia="宋体" w:cs="宋体"/>
          <w:color w:val="000000"/>
          <w:sz w:val="24"/>
          <w:szCs w:val="24"/>
          <w:highlight w:val="none"/>
          <w:u w:val="single"/>
          <w:lang w:val="en-US" w:eastAsia="zh-CN"/>
        </w:rPr>
        <w:t>7</w:t>
      </w:r>
      <w:r>
        <w:rPr>
          <w:rFonts w:hint="eastAsia" w:ascii="宋体" w:hAnsi="宋体" w:eastAsia="宋体" w:cs="宋体"/>
          <w:color w:val="000000"/>
          <w:sz w:val="24"/>
          <w:szCs w:val="24"/>
          <w:highlight w:val="none"/>
          <w:u w:val="single"/>
        </w:rPr>
        <w:t>人</w:t>
      </w:r>
      <w:r>
        <w:rPr>
          <w:rFonts w:hint="eastAsia" w:ascii="宋体" w:hAnsi="宋体" w:eastAsia="宋体" w:cs="宋体"/>
          <w:color w:val="000000"/>
          <w:sz w:val="24"/>
          <w:szCs w:val="24"/>
          <w:highlight w:val="none"/>
        </w:rPr>
        <w:t>，其中熟悉相关技术方面的专家不得少于成员总数的三之二。评标委员会设负责人的，评标委员会负责人由评标委员会推举产生或者由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确定。评标委员会负责人与评标委员会的其他成员有同等的表决权。</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 评标委员会或评标小组负责具体的评标事务，并独立履行以下职责：</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.1.3.1 审查投标文件是否符合招标文件的要求，并作出评价；</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.1.3.2 可以要求投标投标人对投标文件有关事项作出解释或澄清；</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.1.3.3 推荐中标候选投标人名单，或者受</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委托按照事先确定的办法直接确定中标人；</w:t>
      </w:r>
    </w:p>
    <w:p>
      <w:pPr>
        <w:pageBreakBefore w:val="0"/>
        <w:kinsoku/>
        <w:wordWrap/>
        <w:overflowPunct/>
        <w:topLinePunct w:val="0"/>
        <w:bidi w:val="0"/>
        <w:adjustRightInd w:val="0"/>
        <w:snapToGrid w:val="0"/>
        <w:spacing w:beforeAutospacing="0" w:afterAutospacing="0" w:line="400" w:lineRule="exact"/>
        <w:ind w:firstLine="240" w:firstLine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.1.3.4 向招标单位或者有关部门报告非法干预评标工作的行为。</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 评标委员会成员应当履行下列义务：</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.1.4.1 遵纪守法，客观、公正、廉洁地履行职责；</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.1.4.2 按照招标文件规定的评标办法和评标标准进行评标，对评审意见承担个人责任；</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.1.4.3 对评标过程和结果，以及投标人的商业秘密保密；</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.1.4.4 参与评标报告的起草；</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.1.4.5 配合财政部门的投诉处理工作；</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.1.4.6 配合招标单位答复投标投标人提出的质疑。</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2按国家计委等七部委颁发的《评标委员会和评标方法暂行规定》，结合本工程特点，本项目采用综合评分法，对于经济报价的评分，按以下方法进行：价格分采用低价优先法计算，即满足招标文件要求且投标价格最低的投标报价为评标基准价，其价格分为满分。其他投标人的价格分统一按照下列公式计算：</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u w:val="single"/>
        </w:rPr>
        <w:t>投标报价得分=(评标基准价/投标报价)×</w:t>
      </w:r>
      <w:r>
        <w:rPr>
          <w:rFonts w:hint="eastAsia" w:ascii="宋体" w:hAnsi="宋体" w:eastAsia="宋体" w:cs="宋体"/>
          <w:b/>
          <w:color w:val="000000"/>
          <w:sz w:val="24"/>
          <w:szCs w:val="24"/>
          <w:highlight w:val="none"/>
          <w:u w:val="single"/>
          <w:lang w:val="en-US" w:eastAsia="zh-CN"/>
        </w:rPr>
        <w:t>1</w:t>
      </w:r>
      <w:r>
        <w:rPr>
          <w:rFonts w:hint="eastAsia" w:ascii="宋体" w:hAnsi="宋体" w:eastAsia="宋体" w:cs="宋体"/>
          <w:b/>
          <w:color w:val="000000"/>
          <w:sz w:val="24"/>
          <w:szCs w:val="24"/>
          <w:highlight w:val="none"/>
          <w:u w:val="single"/>
        </w:rPr>
        <w:t>0%×100</w:t>
      </w:r>
      <w:r>
        <w:rPr>
          <w:rFonts w:hint="eastAsia" w:ascii="宋体" w:hAnsi="宋体" w:eastAsia="宋体" w:cs="宋体"/>
          <w:b/>
          <w:color w:val="000000"/>
          <w:sz w:val="24"/>
          <w:szCs w:val="24"/>
          <w:highlight w:val="none"/>
        </w:rPr>
        <w:t>（总分100分：其中商务部分和技术部分占</w:t>
      </w:r>
      <w:r>
        <w:rPr>
          <w:rFonts w:hint="eastAsia" w:ascii="宋体" w:hAnsi="宋体" w:eastAsia="宋体" w:cs="宋体"/>
          <w:b/>
          <w:color w:val="000000"/>
          <w:sz w:val="24"/>
          <w:szCs w:val="24"/>
          <w:highlight w:val="none"/>
          <w:lang w:val="en-US" w:eastAsia="zh-CN"/>
        </w:rPr>
        <w:t>90</w:t>
      </w:r>
      <w:r>
        <w:rPr>
          <w:rFonts w:hint="eastAsia" w:ascii="宋体" w:hAnsi="宋体" w:eastAsia="宋体" w:cs="宋体"/>
          <w:b/>
          <w:color w:val="000000"/>
          <w:sz w:val="24"/>
          <w:szCs w:val="24"/>
          <w:highlight w:val="none"/>
        </w:rPr>
        <w:t>分，投标报价占</w:t>
      </w:r>
      <w:r>
        <w:rPr>
          <w:rFonts w:hint="eastAsia" w:ascii="宋体" w:hAnsi="宋体" w:eastAsia="宋体" w:cs="宋体"/>
          <w:b/>
          <w:color w:val="000000"/>
          <w:sz w:val="24"/>
          <w:szCs w:val="24"/>
          <w:highlight w:val="none"/>
          <w:lang w:val="en-US" w:eastAsia="zh-CN"/>
        </w:rPr>
        <w:t>10</w:t>
      </w:r>
      <w:r>
        <w:rPr>
          <w:rFonts w:hint="eastAsia" w:ascii="宋体" w:hAnsi="宋体" w:eastAsia="宋体" w:cs="宋体"/>
          <w:b/>
          <w:color w:val="000000"/>
          <w:sz w:val="24"/>
          <w:szCs w:val="24"/>
          <w:highlight w:val="none"/>
        </w:rPr>
        <w:t>分），最终合计得分最高的投标人作为第一中标候选人，以此类推确定第二、第三中标候选人。</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.3 评标的依据为招标文件和投标文件。</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.4评标过程的保密性。开标后，直到授予中标人合同止，凡是属于审查、澄清、评价和比较的有关资料以及授标建议等均不得向投标人或其他无关的人员透露。</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.5 投标人在评标过程中所进行的力图影响评标结果、有悖于招标规则的活动，可能导致取消其中标资格。</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.6 与招标文件有重大偏离的投标文件将被拒绝。且此重大偏离在开标后不许修改。</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.7 按国家计委等七部委颁发的《评标委员会和评标办法暂行规定</w:t>
      </w:r>
      <w:r>
        <w:rPr>
          <w:rFonts w:hint="eastAsia" w:ascii="宋体" w:hAnsi="宋体" w:eastAsia="宋体" w:cs="宋体"/>
          <w:sz w:val="24"/>
          <w:szCs w:val="24"/>
          <w:highlight w:val="none"/>
        </w:rPr>
        <w:t>》及政府招标货物和服务招标投标管理办法（财政部令第87号）以下行为将视为无效投标和废标</w:t>
      </w:r>
      <w:r>
        <w:rPr>
          <w:rFonts w:hint="eastAsia" w:ascii="宋体" w:hAnsi="宋体" w:eastAsia="宋体" w:cs="宋体"/>
          <w:sz w:val="24"/>
          <w:szCs w:val="24"/>
          <w:highlight w:val="none"/>
          <w:lang w:val="en-US" w:eastAsia="zh-CN"/>
        </w:rPr>
        <w:t>条款。</w:t>
      </w:r>
    </w:p>
    <w:p>
      <w:pPr>
        <w:pStyle w:val="6"/>
        <w:pageBreakBefore w:val="0"/>
        <w:kinsoku/>
        <w:wordWrap/>
        <w:overflowPunct/>
        <w:topLinePunct w:val="0"/>
        <w:bidi w:val="0"/>
        <w:spacing w:beforeAutospacing="0" w:afterAutospacing="0" w:line="400" w:lineRule="exact"/>
        <w:ind w:left="639" w:leftChars="184" w:hanging="253" w:hangingChars="105"/>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23.8无效投标：</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23.8.1</w:t>
      </w:r>
      <w:r>
        <w:rPr>
          <w:rFonts w:hint="eastAsia" w:ascii="宋体" w:hAnsi="宋体" w:eastAsia="宋体" w:cs="宋体"/>
          <w:color w:val="000000"/>
          <w:sz w:val="24"/>
          <w:szCs w:val="24"/>
          <w:highlight w:val="none"/>
        </w:rPr>
        <w:t>投标保证金的缴纳主体与投标人不一致的，没有按照招标文件要求提供投标担保，或者所提供的投标担保有瑕疵的；</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23.8.2</w:t>
      </w:r>
      <w:r>
        <w:rPr>
          <w:rFonts w:hint="eastAsia" w:ascii="宋体" w:hAnsi="宋体" w:eastAsia="宋体" w:cs="宋体"/>
          <w:color w:val="000000"/>
          <w:sz w:val="24"/>
          <w:szCs w:val="24"/>
          <w:highlight w:val="none"/>
        </w:rPr>
        <w:t>投标文件没有投标人法定代表人或其授权代表签字（</w:t>
      </w:r>
      <w:r>
        <w:rPr>
          <w:rFonts w:hint="eastAsia" w:ascii="宋体" w:hAnsi="宋体" w:cs="宋体"/>
          <w:color w:val="000000"/>
          <w:sz w:val="24"/>
          <w:szCs w:val="24"/>
          <w:highlight w:val="none"/>
          <w:lang w:val="en-US" w:eastAsia="zh-CN"/>
        </w:rPr>
        <w:t>或盖</w:t>
      </w:r>
      <w:r>
        <w:rPr>
          <w:rFonts w:hint="eastAsia" w:ascii="宋体" w:hAnsi="宋体" w:eastAsia="宋体" w:cs="宋体"/>
          <w:color w:val="000000"/>
          <w:sz w:val="24"/>
          <w:szCs w:val="24"/>
          <w:highlight w:val="none"/>
        </w:rPr>
        <w:t>章）和加盖投标单位公章的；</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23.8.3</w:t>
      </w:r>
      <w:r>
        <w:rPr>
          <w:rFonts w:hint="eastAsia" w:ascii="宋体" w:hAnsi="宋体" w:eastAsia="宋体" w:cs="宋体"/>
          <w:color w:val="000000"/>
          <w:sz w:val="24"/>
          <w:szCs w:val="24"/>
          <w:highlight w:val="none"/>
        </w:rPr>
        <w:t>投标文件记载的招标项目完成期限超过招标文件规定的完成期限；</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23.8.4</w:t>
      </w:r>
      <w:r>
        <w:rPr>
          <w:rFonts w:hint="eastAsia" w:ascii="宋体" w:hAnsi="宋体" w:eastAsia="宋体" w:cs="宋体"/>
          <w:color w:val="000000"/>
          <w:sz w:val="24"/>
          <w:szCs w:val="24"/>
          <w:highlight w:val="none"/>
        </w:rPr>
        <w:t>不具备招标文件中规定的资格要求的；</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23.8.5</w:t>
      </w:r>
      <w:r>
        <w:rPr>
          <w:rFonts w:hint="eastAsia" w:ascii="宋体" w:hAnsi="宋体" w:eastAsia="宋体" w:cs="宋体"/>
          <w:color w:val="000000"/>
          <w:sz w:val="24"/>
          <w:szCs w:val="24"/>
          <w:highlight w:val="none"/>
        </w:rPr>
        <w:t>明显不符合技术规格和技术标准的要求；</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23.8.6</w:t>
      </w:r>
      <w:r>
        <w:rPr>
          <w:rFonts w:hint="eastAsia" w:ascii="宋体" w:hAnsi="宋体" w:eastAsia="宋体" w:cs="宋体"/>
          <w:color w:val="000000"/>
          <w:sz w:val="24"/>
          <w:szCs w:val="24"/>
          <w:highlight w:val="none"/>
        </w:rPr>
        <w:t>投标附有</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不能接受的条件；</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23.8.7</w:t>
      </w:r>
      <w:r>
        <w:rPr>
          <w:rFonts w:hint="eastAsia" w:ascii="宋体" w:hAnsi="宋体" w:eastAsia="宋体" w:cs="宋体"/>
          <w:color w:val="000000"/>
          <w:sz w:val="24"/>
          <w:szCs w:val="24"/>
          <w:highlight w:val="none"/>
        </w:rPr>
        <w:t>不符合招标文件中规定的其他实质性要求；</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23.8.8</w:t>
      </w:r>
      <w:r>
        <w:rPr>
          <w:rFonts w:hint="eastAsia" w:ascii="宋体" w:hAnsi="宋体" w:eastAsia="宋体" w:cs="宋体"/>
          <w:color w:val="000000"/>
          <w:sz w:val="24"/>
          <w:szCs w:val="24"/>
          <w:highlight w:val="none"/>
        </w:rPr>
        <w:t>投标报价不符合招标文件规定的要求；</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23.8.9</w:t>
      </w:r>
      <w:r>
        <w:rPr>
          <w:rFonts w:hint="eastAsia" w:ascii="宋体" w:hAnsi="宋体" w:eastAsia="宋体" w:cs="宋体"/>
          <w:color w:val="000000"/>
          <w:sz w:val="24"/>
          <w:szCs w:val="24"/>
          <w:highlight w:val="none"/>
        </w:rPr>
        <w:t>在评标过程中，评标委员会发现供应商的报价明显低于其他投标报价，使得其投标报价可能低于其个别成本的，应当要求该供应商做出书面说明并提供相关证明材料。供应商不能合理说明或者不能提供相关证明材料的，由评标委员会认定该供应商以低于成本报价竞标。</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23.8.10</w:t>
      </w:r>
      <w:r>
        <w:rPr>
          <w:rFonts w:hint="eastAsia" w:ascii="宋体" w:hAnsi="宋体" w:eastAsia="宋体" w:cs="宋体"/>
          <w:color w:val="000000"/>
          <w:sz w:val="24"/>
          <w:szCs w:val="24"/>
          <w:highlight w:val="none"/>
        </w:rPr>
        <w:t>其他法律、法规及本招标文件规定的属无效投标的情形</w:t>
      </w:r>
      <w:r>
        <w:rPr>
          <w:rFonts w:hint="eastAsia" w:ascii="宋体" w:hAnsi="宋体" w:eastAsia="宋体" w:cs="宋体"/>
          <w:color w:val="000000"/>
          <w:sz w:val="24"/>
          <w:szCs w:val="24"/>
          <w:highlight w:val="none"/>
          <w:lang w:eastAsia="zh-CN"/>
        </w:rPr>
        <w:t>。</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23.8.11</w:t>
      </w:r>
      <w:r>
        <w:rPr>
          <w:rFonts w:hint="eastAsia" w:ascii="宋体" w:hAnsi="宋体" w:eastAsia="宋体" w:cs="宋体"/>
          <w:b w:val="0"/>
          <w:bCs w:val="0"/>
          <w:color w:val="000000"/>
          <w:kern w:val="2"/>
          <w:sz w:val="24"/>
          <w:szCs w:val="24"/>
          <w:highlight w:val="none"/>
          <w:lang w:val="en-US" w:eastAsia="zh-CN" w:bidi="ar-SA"/>
        </w:rPr>
        <w:t>投标人被“信用中国”网站（www.creditchina.gov.cn）列入失信被执行人或重大税收违法案件当事人名单或政府采购严重失信行为记录名单。</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投标文件有上述情形之一的，视为非实质性响应招标，并按规定作无效标处理。</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23.9废标条款：</w:t>
      </w:r>
    </w:p>
    <w:p>
      <w:pPr>
        <w:pageBreakBefore w:val="0"/>
        <w:numPr>
          <w:ilvl w:val="0"/>
          <w:numId w:val="0"/>
        </w:numPr>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23.9.1</w:t>
      </w:r>
      <w:r>
        <w:rPr>
          <w:rFonts w:hint="eastAsia" w:ascii="宋体" w:hAnsi="宋体" w:eastAsia="宋体" w:cs="宋体"/>
          <w:color w:val="000000"/>
          <w:sz w:val="24"/>
          <w:szCs w:val="24"/>
          <w:highlight w:val="none"/>
        </w:rPr>
        <w:t>符合专业条件的供应商或者对招标文件作实质响应的供应商不足三家的。</w:t>
      </w:r>
    </w:p>
    <w:p>
      <w:pPr>
        <w:pageBreakBefore w:val="0"/>
        <w:numPr>
          <w:ilvl w:val="0"/>
          <w:numId w:val="0"/>
        </w:numPr>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23.9.2</w:t>
      </w:r>
      <w:r>
        <w:rPr>
          <w:rFonts w:hint="eastAsia" w:ascii="宋体" w:hAnsi="宋体" w:eastAsia="宋体" w:cs="宋体"/>
          <w:color w:val="000000"/>
          <w:sz w:val="24"/>
          <w:szCs w:val="24"/>
          <w:highlight w:val="none"/>
        </w:rPr>
        <w:t>出现影响采购公正的违法、违规行为的。</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23.9.3</w:t>
      </w:r>
      <w:r>
        <w:rPr>
          <w:rFonts w:hint="eastAsia" w:ascii="宋体" w:hAnsi="宋体" w:eastAsia="宋体" w:cs="宋体"/>
          <w:color w:val="000000"/>
          <w:sz w:val="24"/>
          <w:szCs w:val="24"/>
          <w:highlight w:val="none"/>
        </w:rPr>
        <w:t>因重大变故，采购任务取消的。</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23.9.4</w:t>
      </w:r>
      <w:r>
        <w:rPr>
          <w:rFonts w:hint="eastAsia" w:ascii="宋体" w:hAnsi="宋体" w:eastAsia="宋体" w:cs="宋体"/>
          <w:color w:val="000000"/>
          <w:sz w:val="24"/>
          <w:szCs w:val="24"/>
          <w:highlight w:val="none"/>
        </w:rPr>
        <w:t>评标委员会认定招标文件存在歧义、重大缺陷导致评审工作无法进行。</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Cs/>
          <w:sz w:val="24"/>
          <w:szCs w:val="24"/>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4</w:t>
      </w:r>
      <w:r>
        <w:rPr>
          <w:rFonts w:hint="eastAsia" w:ascii="宋体" w:hAnsi="宋体" w:eastAsia="宋体" w:cs="宋体"/>
          <w:b/>
          <w:color w:val="000000"/>
          <w:sz w:val="24"/>
          <w:szCs w:val="24"/>
          <w:highlight w:val="none"/>
        </w:rPr>
        <w:t>、对投标文件的初步审查和响应性确定</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.1.1 资格审查：依据法律法规和招标文件的规定，由采购人对投标文件中的资格证明文件进行审查。资格审查的结论，采购人以书面形式向评委会进行反馈。</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接受联合体的项目，两个以上的自然人、法人或者其他组织组成一个联合体，以一个供应商的身份共同参加政府采购活动的,联合体成员存在不良信用记录的，视同联合体存在不良应用记录。</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.1.2 符合性审查：依据招标文件的规定，由评委会从投标文件的有效性、完整性和对招标文件的响应程度进行审查，以确定是否对招标文件的实质性要求作出响应。</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.1.3 未通过资格审查或符合性审查的投标人，</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将在评标现场向其授权代表告知未通过资格审查或符合性审查的原因，评审结束后，</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将不再告知未通过资格审查或符合性审查的原因。</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.2在详细评标之前，评委会将首先审查每份投标文件是否实质性响应了招标文件的要求。实质性响应的投标应该是与招标文件要求的全部条款、条件和规格相符，没有重大偏离或保留的投标。</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.3如果投标文件实质上没有响应招标文件的要求，评委会将予以拒绝，投标人不得通过修改或撤销不合要求的偏离或保留而使其投标成为实质性响应的投标。</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.4评委会将对确定为实质性响应的投标进行进一步审核，看其是否有计算上或累加上的算术错误，修正错误的原则如下：</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24.4.1</w:t>
      </w:r>
      <w:r>
        <w:rPr>
          <w:rFonts w:hint="eastAsia" w:ascii="宋体" w:hAnsi="宋体" w:eastAsia="宋体" w:cs="宋体"/>
          <w:color w:val="000000"/>
          <w:sz w:val="24"/>
          <w:szCs w:val="24"/>
          <w:highlight w:val="none"/>
        </w:rPr>
        <w:t>投标文件中开标一览表内容与投标文件中相应内容不一致的，以开标一览表为准。</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24.4.2</w:t>
      </w:r>
      <w:r>
        <w:rPr>
          <w:rFonts w:hint="eastAsia" w:ascii="宋体" w:hAnsi="宋体" w:eastAsia="宋体" w:cs="宋体"/>
          <w:color w:val="000000"/>
          <w:sz w:val="24"/>
          <w:szCs w:val="24"/>
          <w:highlight w:val="none"/>
        </w:rPr>
        <w:t>大写金额和小写金额不一致的，以大写金额为准。</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24.4.3</w:t>
      </w:r>
      <w:r>
        <w:rPr>
          <w:rFonts w:hint="eastAsia" w:ascii="宋体" w:hAnsi="宋体" w:eastAsia="宋体" w:cs="宋体"/>
          <w:color w:val="000000"/>
          <w:sz w:val="24"/>
          <w:szCs w:val="24"/>
          <w:highlight w:val="none"/>
        </w:rPr>
        <w:t>单价金额小数点或者百分比有明显错位的，以开标一览表的总价为准，并修改单价。</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24.4.4</w:t>
      </w:r>
      <w:r>
        <w:rPr>
          <w:rFonts w:hint="eastAsia" w:ascii="宋体" w:hAnsi="宋体" w:eastAsia="宋体" w:cs="宋体"/>
          <w:color w:val="000000"/>
          <w:sz w:val="24"/>
          <w:szCs w:val="24"/>
          <w:highlight w:val="none"/>
        </w:rPr>
        <w:t>总价金额与按单价汇总金额不一致的，以单价金额计算结果为准。</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同时出现两种以上错误的，按照前款规定的顺序修正。</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.5评委会将按上述修正错误的方法调整投标文件中的投标报价，调整后的价格应对投标人具有约束力。如果投标人不接受修正后的价格，则其投标将被拒绝，其投标保证金不予退还。</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color w:val="000000"/>
          <w:kern w:val="2"/>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.6评委会将允许修正投标文件中不构成重大偏离的、微小的、非正规的、不一致的或不规则的地方，但这些修改不能影响任何投标人相应的名次排列。</w:t>
      </w:r>
    </w:p>
    <w:p>
      <w:pPr>
        <w:pageBreakBefore w:val="0"/>
        <w:numPr>
          <w:ilvl w:val="0"/>
          <w:numId w:val="0"/>
        </w:numPr>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、投标文件的澄清</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.1 评标委员会在评标过程中有权随时请投标人就投标文件中含混之处加以澄清或答疑。</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.2 投标人对要求澄清的问题应以书面形式明确答复，并应有法人授权代表的签署。</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.3 投标人的澄清文件是投标文件的组成部分，并取代投标文件中被澄清的部分。</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.4 投标文件的澄清不得改变投标的实质内容。</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.5如果投标人在投标文件中未对招标文件中的条款或参数要求提出偏离意见或澄清将视同投标人同意招标文件的全部或部分要求。</w:t>
      </w:r>
    </w:p>
    <w:p>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rPr>
        <w:t>、定标</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.1 评标委员会有权选择和拒绝投标人中标，且无需向投标人进行任何有关评标的解释工作。</w:t>
      </w:r>
    </w:p>
    <w:p>
      <w:pPr>
        <w:pStyle w:val="35"/>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.2 评标委员会通过上述评标方法以</w:t>
      </w:r>
      <w:r>
        <w:rPr>
          <w:rFonts w:hint="eastAsia" w:ascii="宋体" w:hAnsi="宋体" w:eastAsia="宋体" w:cs="宋体"/>
          <w:b/>
          <w:color w:val="000000"/>
          <w:sz w:val="24"/>
          <w:szCs w:val="24"/>
          <w:highlight w:val="none"/>
        </w:rPr>
        <w:t>最终合计得分最高的投标人作为第一中标候选人，以此类推确定第二、第三中标候选人。</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 若有充分证据证明，中标人出现下列情况之一的，一经查实，将被取消中标资格：</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提供虚假材料谋取中标的。</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向采购人、采购中心行贿或者提供其他不正当利益的。</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恶意竞争，投标总报价明显低于其自身合理成本且又无法提供证明的。</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属于本文件规定的无效条件，但在评标过程中又未被评委会发现的。</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与采购人或者其他供应商恶意串通的。</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采取不正当手段诋毁、排挤其他供应商的。</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w:t>
      </w:r>
      <w:r>
        <w:rPr>
          <w:rFonts w:hint="eastAsia" w:ascii="宋体" w:hAnsi="宋体" w:eastAsia="宋体" w:cs="宋体"/>
          <w:color w:val="000000"/>
          <w:sz w:val="24"/>
          <w:szCs w:val="24"/>
          <w:highlight w:val="none"/>
        </w:rPr>
        <w:t>有下列情形之一的，视为投标人串通投标，投标无效：</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26.4.1</w:t>
      </w:r>
      <w:r>
        <w:rPr>
          <w:rFonts w:hint="eastAsia" w:ascii="宋体" w:hAnsi="宋体" w:eastAsia="宋体" w:cs="宋体"/>
          <w:color w:val="000000"/>
          <w:sz w:val="24"/>
          <w:szCs w:val="24"/>
          <w:highlight w:val="none"/>
        </w:rPr>
        <w:t>不同投标人的投标文件由同一单位或者个人编制。</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26.4.2</w:t>
      </w:r>
      <w:r>
        <w:rPr>
          <w:rFonts w:hint="eastAsia" w:ascii="宋体" w:hAnsi="宋体" w:eastAsia="宋体" w:cs="宋体"/>
          <w:color w:val="000000"/>
          <w:sz w:val="24"/>
          <w:szCs w:val="24"/>
          <w:highlight w:val="none"/>
        </w:rPr>
        <w:t>不同投标人委托同一单位或者个人办理投标事宜。</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26.4.3</w:t>
      </w:r>
      <w:r>
        <w:rPr>
          <w:rFonts w:hint="eastAsia" w:ascii="宋体" w:hAnsi="宋体" w:eastAsia="宋体" w:cs="宋体"/>
          <w:color w:val="000000"/>
          <w:sz w:val="24"/>
          <w:szCs w:val="24"/>
          <w:highlight w:val="none"/>
        </w:rPr>
        <w:t>不同投标人的投标文件载明的项目管理成员或者联系人员为同一人。</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26.4.4</w:t>
      </w:r>
      <w:r>
        <w:rPr>
          <w:rFonts w:hint="eastAsia" w:ascii="宋体" w:hAnsi="宋体" w:eastAsia="宋体" w:cs="宋体"/>
          <w:color w:val="000000"/>
          <w:sz w:val="24"/>
          <w:szCs w:val="24"/>
          <w:highlight w:val="none"/>
        </w:rPr>
        <w:t>不同投标人的投标文件异常一致或者投标报价呈规律性差异。</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26.4.5</w:t>
      </w:r>
      <w:r>
        <w:rPr>
          <w:rFonts w:hint="eastAsia" w:ascii="宋体" w:hAnsi="宋体" w:eastAsia="宋体" w:cs="宋体"/>
          <w:color w:val="000000"/>
          <w:sz w:val="24"/>
          <w:szCs w:val="24"/>
          <w:highlight w:val="none"/>
        </w:rPr>
        <w:t>不同投标人的投标文件相互混装。</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26.4.6</w:t>
      </w:r>
      <w:r>
        <w:rPr>
          <w:rFonts w:hint="eastAsia" w:ascii="宋体" w:hAnsi="宋体" w:eastAsia="宋体" w:cs="宋体"/>
          <w:color w:val="000000"/>
          <w:sz w:val="24"/>
          <w:szCs w:val="24"/>
          <w:highlight w:val="none"/>
        </w:rPr>
        <w:t>不同投标人的投标保证金从同一单位或者个人的账户转出。</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、中标通知</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.1中标公示期：在“新疆政府采购网”发布中标公告，期限为1个工作日。</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.2招标代理机构根据定标结果，在投标有效期届满前，以书面形式向中标单位发出中标通知书。</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.3 招标代理机构将定标结果及时通知未中标单位并退还投标保证金。无需解释落标原因。</w:t>
      </w:r>
    </w:p>
    <w:p>
      <w:pPr>
        <w:pStyle w:val="14"/>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28、质疑处理</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.1 提出质疑的供应商应当是参与所质疑项目采购活动的供应商。潜在供应商依法获取其可质疑的采购文件的，可以对采购文件提出质疑。</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.2供应商认为采购文件、采购过程和采购结果使自己的权益受到损害的，可以在知道或应知其权益受到损害之日起七个工作日内，以书面形式向</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或采购人提出质疑。上述应知其权益受到损害之日，是指：</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.2.1对可以质疑的采购文件提出质疑的，为收到采购文件之日或者采购文件公告期限届满之日；</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.2.2对采购过程提出质疑的，为各采购程序环节结束之日；</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.2.3对中标或者成交结果提出质疑的，为中标或者成交结果公告期限届满之日。</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将只对供应商第一次质疑作出答复。</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只接收以</w:t>
      </w:r>
      <w:r>
        <w:rPr>
          <w:rFonts w:hint="eastAsia" w:ascii="宋体" w:hAnsi="宋体" w:eastAsia="宋体" w:cs="宋体"/>
          <w:color w:val="000000"/>
          <w:sz w:val="24"/>
          <w:szCs w:val="24"/>
          <w:highlight w:val="none"/>
          <w:lang w:eastAsia="zh-CN"/>
        </w:rPr>
        <w:t>书面</w:t>
      </w:r>
      <w:r>
        <w:rPr>
          <w:rFonts w:hint="eastAsia" w:ascii="宋体" w:hAnsi="宋体" w:eastAsia="宋体" w:cs="宋体"/>
          <w:color w:val="000000"/>
          <w:sz w:val="24"/>
          <w:szCs w:val="24"/>
          <w:highlight w:val="none"/>
        </w:rPr>
        <w:t>形式送达的质疑。</w:t>
      </w:r>
      <w:r>
        <w:rPr>
          <w:rFonts w:hint="eastAsia" w:ascii="宋体" w:hAnsi="宋体" w:eastAsia="宋体" w:cs="宋体"/>
          <w:color w:val="000000"/>
          <w:sz w:val="24"/>
          <w:szCs w:val="24"/>
          <w:highlight w:val="none"/>
          <w:lang w:val="en-US" w:eastAsia="zh-CN"/>
        </w:rPr>
        <w:t>联系方式见前附表</w:t>
      </w:r>
      <w:r>
        <w:rPr>
          <w:rFonts w:hint="eastAsia" w:ascii="宋体" w:hAnsi="宋体" w:eastAsia="宋体" w:cs="宋体"/>
          <w:color w:val="000000"/>
          <w:sz w:val="24"/>
          <w:szCs w:val="24"/>
          <w:highlight w:val="none"/>
        </w:rPr>
        <w:t>。</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 以下情形的质疑不予受理</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.5.1 内容不符合《政府采购质疑和投诉办法》第十二条规定的质疑。</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.5.2 超出政府采购法定期限的质疑。</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未参加投标活动的供应商或在投标活动中自身权益未受到损害的供应商所提出的质疑。</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供应商组成联合体参加投标，联合体中任何一方或多方未按要求签字、盖章、加盖公章的质疑。</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pageBreakBefore w:val="0"/>
        <w:widowControl w:val="0"/>
        <w:kinsoku/>
        <w:wordWrap/>
        <w:overflowPunct/>
        <w:topLinePunct w:val="0"/>
        <w:autoSpaceDE/>
        <w:autoSpaceDN/>
        <w:bidi w:val="0"/>
        <w:spacing w:beforeAutospacing="0" w:afterAutospacing="0" w:line="400" w:lineRule="exact"/>
        <w:textAlignment w:val="auto"/>
        <w:rPr>
          <w:rFonts w:hint="eastAsia" w:ascii="宋体" w:hAnsi="宋体" w:eastAsia="宋体" w:cs="宋体"/>
          <w:sz w:val="24"/>
          <w:szCs w:val="24"/>
          <w:lang w:eastAsia="zh-CN"/>
        </w:rPr>
      </w:pPr>
    </w:p>
    <w:p>
      <w:pPr>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000000"/>
          <w:sz w:val="24"/>
          <w:szCs w:val="24"/>
          <w:highlight w:val="none"/>
        </w:rPr>
      </w:pPr>
    </w:p>
    <w:p>
      <w:pPr>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七、签定合同</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29</w:t>
      </w:r>
      <w:r>
        <w:rPr>
          <w:rFonts w:hint="eastAsia" w:ascii="宋体" w:hAnsi="宋体" w:eastAsia="宋体" w:cs="宋体"/>
          <w:b/>
          <w:color w:val="000000"/>
          <w:sz w:val="24"/>
          <w:szCs w:val="24"/>
          <w:highlight w:val="none"/>
        </w:rPr>
        <w:t>、签定合同</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和中标人在自中标通知书发出之日起</w:t>
      </w:r>
      <w:r>
        <w:rPr>
          <w:rFonts w:hint="eastAsia" w:ascii="宋体" w:hAnsi="宋体" w:eastAsia="宋体" w:cs="宋体"/>
          <w:b/>
          <w:bCs/>
          <w:sz w:val="24"/>
          <w:szCs w:val="24"/>
          <w:highlight w:val="none"/>
        </w:rPr>
        <w:t>30</w:t>
      </w:r>
      <w:r>
        <w:rPr>
          <w:rFonts w:hint="eastAsia" w:ascii="宋体" w:hAnsi="宋体" w:eastAsia="宋体" w:cs="宋体"/>
          <w:color w:val="000000"/>
          <w:sz w:val="24"/>
          <w:szCs w:val="24"/>
          <w:highlight w:val="none"/>
        </w:rPr>
        <w:t>日内，依据《中华人民共和国经济合同法》和有关法规及招、投标文件签定合同。</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.2 中标合同不得转让。合同分包需在投标文件中予以说明，并需经</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同意。否则，</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有权取消中标人的中标资格。</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如遇中标人违约，可从侯选中标人中重新选定中标人，并签定经济合同。</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.4 合同的制订由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、中标人、招标代理机构三方参加，为确保合同双方的利益均等，由招标代理机构在合同制订过程中进行协调。</w:t>
      </w:r>
    </w:p>
    <w:p>
      <w:pPr>
        <w:pStyle w:val="7"/>
        <w:pageBreakBefore w:val="0"/>
        <w:widowControl w:val="0"/>
        <w:kinsoku/>
        <w:wordWrap/>
        <w:overflowPunct/>
        <w:topLinePunct w:val="0"/>
        <w:autoSpaceDE/>
        <w:autoSpaceDN/>
        <w:bidi w:val="0"/>
        <w:spacing w:beforeAutospacing="0" w:afterAutospacing="0" w:line="400" w:lineRule="exact"/>
        <w:ind w:firstLine="482" w:firstLineChars="200"/>
        <w:textAlignment w:val="auto"/>
        <w:rPr>
          <w:rFonts w:hint="eastAsia" w:ascii="宋体" w:hAnsi="宋体" w:eastAsia="宋体" w:cs="宋体"/>
          <w:b/>
          <w:color w:val="000000"/>
          <w:kern w:val="2"/>
          <w:sz w:val="24"/>
          <w:szCs w:val="24"/>
          <w:highlight w:val="none"/>
          <w:lang w:val="en-US" w:eastAsia="zh-CN" w:bidi="ar-SA"/>
        </w:rPr>
      </w:pPr>
      <w:bookmarkStart w:id="1" w:name="_Toc20823315"/>
      <w:bookmarkStart w:id="2" w:name="_Toc513029243"/>
      <w:bookmarkStart w:id="3" w:name="_Toc16938559"/>
      <w:r>
        <w:rPr>
          <w:rFonts w:hint="eastAsia" w:ascii="宋体" w:hAnsi="宋体" w:eastAsia="宋体" w:cs="宋体"/>
          <w:b/>
          <w:color w:val="000000"/>
          <w:kern w:val="2"/>
          <w:sz w:val="24"/>
          <w:szCs w:val="24"/>
          <w:highlight w:val="none"/>
          <w:lang w:val="en-US" w:eastAsia="zh-CN" w:bidi="ar-SA"/>
        </w:rPr>
        <w:t>30、货物和服务的追加、减少和添购</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r>
        <w:rPr>
          <w:rFonts w:hint="eastAsia" w:ascii="宋体" w:hAnsi="宋体" w:eastAsia="宋体" w:cs="宋体"/>
          <w:color w:val="000000"/>
          <w:sz w:val="24"/>
          <w:szCs w:val="24"/>
          <w:highlight w:val="none"/>
          <w:lang w:eastAsia="zh-CN"/>
        </w:rPr>
        <w:t>。</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31</w:t>
      </w:r>
      <w:r>
        <w:rPr>
          <w:rFonts w:hint="eastAsia" w:ascii="宋体" w:hAnsi="宋体" w:eastAsia="宋体" w:cs="宋体"/>
          <w:b/>
          <w:bCs/>
          <w:color w:val="000000"/>
          <w:sz w:val="24"/>
          <w:szCs w:val="24"/>
          <w:highlight w:val="none"/>
        </w:rPr>
        <w:t>. 履约保证金：</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31</w:t>
      </w:r>
      <w:r>
        <w:rPr>
          <w:rFonts w:hint="eastAsia" w:ascii="宋体" w:hAnsi="宋体" w:eastAsia="宋体" w:cs="宋体"/>
          <w:color w:val="000000"/>
          <w:sz w:val="24"/>
          <w:szCs w:val="24"/>
          <w:highlight w:val="none"/>
        </w:rPr>
        <w:t>.1．采购文件要求乙方提交履约保证金的，乙方应在中标通知书发出后 3 日(日历日)内一次性足额缴纳履约保证金，以支票、汇票、本票、网银转账或者金融机构、担保机构出具的保函等非现金形式，提交合同价 10%的履约保证金；</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31</w:t>
      </w:r>
      <w:r>
        <w:rPr>
          <w:rFonts w:hint="eastAsia" w:ascii="宋体" w:hAnsi="宋体" w:eastAsia="宋体" w:cs="宋体"/>
          <w:color w:val="000000"/>
          <w:sz w:val="24"/>
          <w:szCs w:val="24"/>
          <w:highlight w:val="none"/>
        </w:rPr>
        <w:t>.2．履约保证金在合同履行期间内不予退还或者应完全有效，前述约定期间届满之日起 7 个工作日内，甲方应将履约保证金退还乙方；</w:t>
      </w:r>
    </w:p>
    <w:p>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31</w:t>
      </w:r>
      <w:r>
        <w:rPr>
          <w:rFonts w:hint="eastAsia" w:ascii="宋体" w:hAnsi="宋体" w:eastAsia="宋体" w:cs="宋体"/>
          <w:color w:val="000000"/>
          <w:sz w:val="24"/>
          <w:szCs w:val="24"/>
          <w:highlight w:val="none"/>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
    <w:bookmarkEnd w:id="2"/>
    <w:bookmarkEnd w:id="3"/>
    <w:p>
      <w:pPr>
        <w:pStyle w:val="22"/>
        <w:pageBreakBefore w:val="0"/>
        <w:kinsoku/>
        <w:wordWrap/>
        <w:overflowPunct/>
        <w:topLinePunct w:val="0"/>
        <w:bidi w:val="0"/>
        <w:spacing w:beforeAutospacing="0" w:after="0" w:afterAutospacing="0" w:line="400" w:lineRule="exact"/>
        <w:ind w:left="0" w:leftChars="0" w:firstLine="0" w:firstLineChars="0"/>
        <w:rPr>
          <w:rFonts w:hint="eastAsia" w:ascii="宋体" w:hAnsi="宋体" w:eastAsia="宋体" w:cs="宋体"/>
          <w:sz w:val="24"/>
          <w:szCs w:val="24"/>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rPr>
      </w:pPr>
    </w:p>
    <w:p>
      <w:pPr>
        <w:pStyle w:val="22"/>
        <w:pageBreakBefore w:val="0"/>
        <w:kinsoku/>
        <w:wordWrap/>
        <w:overflowPunct/>
        <w:topLinePunct w:val="0"/>
        <w:bidi w:val="0"/>
        <w:spacing w:beforeAutospacing="0" w:after="0" w:afterAutospacing="0" w:line="400" w:lineRule="exact"/>
        <w:ind w:left="0" w:leftChars="0" w:firstLine="0" w:firstLineChars="0"/>
        <w:jc w:val="both"/>
        <w:rPr>
          <w:rStyle w:val="28"/>
          <w:rFonts w:hint="eastAsia" w:asciiTheme="minorEastAsia" w:hAnsiTheme="minorEastAsia" w:eastAsiaTheme="minorEastAsia" w:cstheme="minorEastAsia"/>
          <w:b/>
          <w:bCs/>
          <w:color w:val="auto"/>
          <w:w w:val="90"/>
          <w:sz w:val="36"/>
          <w:szCs w:val="36"/>
          <w:u w:val="none"/>
        </w:rPr>
      </w:pPr>
    </w:p>
    <w:p>
      <w:pPr>
        <w:rPr>
          <w:rStyle w:val="28"/>
          <w:rFonts w:hint="eastAsia" w:asciiTheme="minorEastAsia" w:hAnsiTheme="minorEastAsia" w:eastAsiaTheme="minorEastAsia" w:cstheme="minorEastAsia"/>
          <w:b/>
          <w:bCs/>
          <w:color w:val="auto"/>
          <w:w w:val="90"/>
          <w:sz w:val="36"/>
          <w:szCs w:val="36"/>
          <w:u w:val="none"/>
        </w:rPr>
      </w:pPr>
    </w:p>
    <w:p>
      <w:pPr>
        <w:pStyle w:val="2"/>
        <w:rPr>
          <w:rStyle w:val="28"/>
          <w:rFonts w:hint="eastAsia" w:asciiTheme="minorEastAsia" w:hAnsiTheme="minorEastAsia" w:eastAsiaTheme="minorEastAsia" w:cstheme="minorEastAsia"/>
          <w:b/>
          <w:bCs/>
          <w:color w:val="auto"/>
          <w:w w:val="90"/>
          <w:sz w:val="36"/>
          <w:szCs w:val="36"/>
          <w:u w:val="none"/>
        </w:rPr>
      </w:pPr>
    </w:p>
    <w:p>
      <w:pPr>
        <w:pStyle w:val="2"/>
        <w:rPr>
          <w:rStyle w:val="28"/>
          <w:rFonts w:hint="eastAsia" w:asciiTheme="minorEastAsia" w:hAnsiTheme="minorEastAsia" w:eastAsiaTheme="minorEastAsia" w:cstheme="minorEastAsia"/>
          <w:b/>
          <w:bCs/>
          <w:color w:val="auto"/>
          <w:w w:val="90"/>
          <w:sz w:val="36"/>
          <w:szCs w:val="36"/>
          <w:u w:val="none"/>
        </w:rPr>
      </w:pPr>
    </w:p>
    <w:p>
      <w:pPr>
        <w:pStyle w:val="2"/>
        <w:rPr>
          <w:rStyle w:val="28"/>
          <w:rFonts w:hint="eastAsia" w:asciiTheme="minorEastAsia" w:hAnsiTheme="minorEastAsia" w:eastAsiaTheme="minorEastAsia" w:cstheme="minorEastAsia"/>
          <w:b/>
          <w:bCs/>
          <w:color w:val="auto"/>
          <w:w w:val="90"/>
          <w:sz w:val="36"/>
          <w:szCs w:val="36"/>
          <w:u w:val="none"/>
        </w:rPr>
      </w:pPr>
    </w:p>
    <w:p>
      <w:pPr>
        <w:pStyle w:val="2"/>
        <w:rPr>
          <w:rStyle w:val="28"/>
          <w:rFonts w:hint="eastAsia" w:asciiTheme="minorEastAsia" w:hAnsiTheme="minorEastAsia" w:eastAsiaTheme="minorEastAsia" w:cstheme="minorEastAsia"/>
          <w:b/>
          <w:bCs/>
          <w:color w:val="auto"/>
          <w:w w:val="90"/>
          <w:sz w:val="36"/>
          <w:szCs w:val="36"/>
          <w:u w:val="none"/>
        </w:rPr>
      </w:pPr>
    </w:p>
    <w:p>
      <w:pPr>
        <w:pStyle w:val="2"/>
        <w:rPr>
          <w:rStyle w:val="28"/>
          <w:rFonts w:hint="eastAsia" w:asciiTheme="minorEastAsia" w:hAnsiTheme="minorEastAsia" w:eastAsiaTheme="minorEastAsia" w:cstheme="minorEastAsia"/>
          <w:b/>
          <w:bCs/>
          <w:color w:val="auto"/>
          <w:w w:val="90"/>
          <w:sz w:val="36"/>
          <w:szCs w:val="36"/>
          <w:u w:val="none"/>
        </w:rPr>
      </w:pPr>
    </w:p>
    <w:p>
      <w:pPr>
        <w:pStyle w:val="2"/>
        <w:rPr>
          <w:rStyle w:val="28"/>
          <w:rFonts w:hint="eastAsia" w:asciiTheme="minorEastAsia" w:hAnsiTheme="minorEastAsia" w:eastAsiaTheme="minorEastAsia" w:cstheme="minorEastAsia"/>
          <w:b/>
          <w:bCs/>
          <w:color w:val="auto"/>
          <w:w w:val="90"/>
          <w:sz w:val="36"/>
          <w:szCs w:val="36"/>
          <w:u w:val="none"/>
        </w:rPr>
      </w:pPr>
    </w:p>
    <w:p>
      <w:pPr>
        <w:pStyle w:val="2"/>
        <w:rPr>
          <w:rStyle w:val="28"/>
          <w:rFonts w:hint="eastAsia" w:asciiTheme="minorEastAsia" w:hAnsiTheme="minorEastAsia" w:eastAsiaTheme="minorEastAsia" w:cstheme="minorEastAsia"/>
          <w:b/>
          <w:bCs/>
          <w:color w:val="auto"/>
          <w:w w:val="90"/>
          <w:sz w:val="36"/>
          <w:szCs w:val="36"/>
          <w:u w:val="none"/>
        </w:rPr>
      </w:pPr>
    </w:p>
    <w:p>
      <w:pPr>
        <w:pStyle w:val="2"/>
        <w:rPr>
          <w:rStyle w:val="28"/>
          <w:rFonts w:hint="eastAsia" w:asciiTheme="minorEastAsia" w:hAnsiTheme="minorEastAsia" w:eastAsiaTheme="minorEastAsia" w:cstheme="minorEastAsia"/>
          <w:b/>
          <w:bCs/>
          <w:color w:val="auto"/>
          <w:w w:val="90"/>
          <w:sz w:val="36"/>
          <w:szCs w:val="36"/>
          <w:u w:val="none"/>
        </w:rPr>
      </w:pPr>
    </w:p>
    <w:p>
      <w:pPr>
        <w:pStyle w:val="2"/>
        <w:rPr>
          <w:rStyle w:val="28"/>
          <w:rFonts w:hint="eastAsia" w:asciiTheme="minorEastAsia" w:hAnsiTheme="minorEastAsia" w:eastAsiaTheme="minorEastAsia" w:cstheme="minorEastAsia"/>
          <w:b/>
          <w:bCs/>
          <w:color w:val="auto"/>
          <w:w w:val="90"/>
          <w:sz w:val="36"/>
          <w:szCs w:val="36"/>
          <w:u w:val="none"/>
        </w:rPr>
      </w:pPr>
    </w:p>
    <w:p>
      <w:pPr>
        <w:pStyle w:val="22"/>
        <w:pageBreakBefore w:val="0"/>
        <w:kinsoku/>
        <w:wordWrap/>
        <w:overflowPunct/>
        <w:topLinePunct w:val="0"/>
        <w:bidi w:val="0"/>
        <w:spacing w:beforeAutospacing="0" w:after="0" w:afterAutospacing="0" w:line="400" w:lineRule="exact"/>
        <w:jc w:val="center"/>
        <w:rPr>
          <w:rFonts w:hint="eastAsia" w:asciiTheme="minorEastAsia" w:hAnsiTheme="minorEastAsia" w:eastAsiaTheme="minorEastAsia" w:cstheme="minorEastAsia"/>
          <w:sz w:val="24"/>
          <w:szCs w:val="24"/>
        </w:rPr>
      </w:pPr>
      <w:r>
        <w:rPr>
          <w:rStyle w:val="28"/>
          <w:rFonts w:hint="eastAsia" w:asciiTheme="minorEastAsia" w:hAnsiTheme="minorEastAsia" w:eastAsiaTheme="minorEastAsia" w:cstheme="minorEastAsia"/>
          <w:b/>
          <w:bCs/>
          <w:color w:val="auto"/>
          <w:w w:val="90"/>
          <w:sz w:val="36"/>
          <w:szCs w:val="36"/>
          <w:u w:val="none"/>
        </w:rPr>
        <w:t>第四章 合同文本格式</w:t>
      </w:r>
    </w:p>
    <w:p>
      <w:pPr>
        <w:pStyle w:val="31"/>
        <w:pageBreakBefore w:val="0"/>
        <w:kinsoku/>
        <w:wordWrap/>
        <w:overflowPunct/>
        <w:topLinePunct w:val="0"/>
        <w:bidi w:val="0"/>
        <w:spacing w:beforeAutospacing="0" w:afterAutospacing="0" w:line="400" w:lineRule="exact"/>
        <w:rPr>
          <w:rFonts w:hint="eastAsia" w:asciiTheme="minorEastAsia" w:hAnsiTheme="minorEastAsia" w:eastAsiaTheme="minorEastAsia" w:cstheme="minorEastAsia"/>
          <w:color w:val="FF0000"/>
          <w:sz w:val="24"/>
          <w:szCs w:val="24"/>
        </w:rPr>
      </w:pPr>
    </w:p>
    <w:p>
      <w:pPr>
        <w:pageBreakBefore w:val="0"/>
        <w:kinsoku/>
        <w:wordWrap/>
        <w:overflowPunct/>
        <w:topLinePunct w:val="0"/>
        <w:bidi w:val="0"/>
        <w:spacing w:beforeAutospacing="0" w:afterAutospacing="0" w:line="400" w:lineRule="exact"/>
        <w:jc w:val="center"/>
        <w:outlineLvl w:val="0"/>
        <w:rPr>
          <w:rFonts w:hint="eastAsia" w:asciiTheme="minorEastAsia" w:hAnsiTheme="minorEastAsia" w:eastAsiaTheme="minorEastAsia" w:cstheme="minorEastAsia"/>
          <w:b/>
          <w:color w:val="auto"/>
          <w:sz w:val="24"/>
          <w:szCs w:val="24"/>
        </w:rPr>
      </w:pPr>
      <w:bookmarkStart w:id="4" w:name="_Toc507586162"/>
      <w:bookmarkStart w:id="5" w:name="_Toc16738"/>
      <w:bookmarkStart w:id="6" w:name="_Toc5595"/>
      <w:bookmarkStart w:id="7" w:name="_Toc53757930"/>
      <w:r>
        <w:rPr>
          <w:rFonts w:hint="eastAsia" w:asciiTheme="minorEastAsia" w:hAnsiTheme="minorEastAsia" w:eastAsiaTheme="minorEastAsia" w:cstheme="minorEastAsia"/>
          <w:b/>
          <w:color w:val="auto"/>
          <w:sz w:val="24"/>
          <w:szCs w:val="24"/>
        </w:rPr>
        <w:t>合同条款及格式</w:t>
      </w:r>
      <w:bookmarkEnd w:id="4"/>
      <w:bookmarkEnd w:id="5"/>
      <w:bookmarkEnd w:id="6"/>
      <w:bookmarkEnd w:id="7"/>
    </w:p>
    <w:p>
      <w:pPr>
        <w:keepNext w:val="0"/>
        <w:keepLines w:val="0"/>
        <w:pageBreakBefore w:val="0"/>
        <w:kinsoku/>
        <w:wordWrap/>
        <w:overflowPunct/>
        <w:topLinePunct w:val="0"/>
        <w:bidi w:val="0"/>
        <w:adjustRightInd w:val="0"/>
        <w:snapToGrid w:val="0"/>
        <w:spacing w:beforeAutospacing="0" w:afterAutospacing="0" w:line="320" w:lineRule="exact"/>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（仅供参考，以采购人实际签订为准）</w:t>
      </w:r>
    </w:p>
    <w:p>
      <w:pPr>
        <w:keepNext w:val="0"/>
        <w:keepLines w:val="0"/>
        <w:pageBreakBefore w:val="0"/>
        <w:widowControl w:val="0"/>
        <w:kinsoku/>
        <w:wordWrap/>
        <w:overflowPunct/>
        <w:topLinePunct w:val="0"/>
        <w:autoSpaceDN/>
        <w:bidi w:val="0"/>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甲方： </w:t>
      </w:r>
    </w:p>
    <w:p>
      <w:pPr>
        <w:keepNext w:val="0"/>
        <w:keepLines w:val="0"/>
        <w:pageBreakBefore w:val="0"/>
        <w:widowControl w:val="0"/>
        <w:kinsoku/>
        <w:wordWrap/>
        <w:overflowPunct/>
        <w:topLinePunct w:val="0"/>
        <w:autoSpaceDN/>
        <w:bidi w:val="0"/>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乙方： </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中华人民共和国民法典》及有关法律规定，为保证所购买托克逊县城市环卫园林一体化管理项目第一包的服务质量，明确双方的权利义务，甲乙双方遵循平等、自愿、公平和诚实信用的原则就托克逊县城市环卫园林一体化管理项目第一包有关事项协商一致：</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第一条：项目内容  </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托克逊县建成区道路清扫、保洁，垃圾清运、处置，公厕管理与维护，环卫基础设施的更新与维护等；园林绿化养护，包括养护范围内各类乔灌木绿篱等灌溉、修剪、防治病虫害、缺株补植补种等基础设施维护，绿地保洁和垃圾清运、绿化管网基础设施维护，公园广场等附属设施维护。</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第二条：项目概况及具体服务要求</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1.1清扫保洁</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（1.1.1）市政公共道路的清扫、保洁；</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（1.1.2）机械洗扫、清洗、洒水降尘；</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（1.1.3）辖区路灯杆、护栏、桥栏、废物箱、垃圾箱、公交站台、宣传牌等公共设施的擦洗；</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（1.1.4）机动车道、非机动车道、人行道路面等公共区域的积水、抛洒物、泥土等各类废弃物的清理；</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（1.1.5）城市三乱治理，辖区内公共区域的城市非法小广告清理清除；</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（1.1.6）公共区域</w:t>
      </w:r>
      <w:r>
        <w:rPr>
          <w:rFonts w:hint="eastAsia" w:ascii="宋体" w:hAnsi="宋体" w:cs="宋体"/>
          <w:color w:val="auto"/>
          <w:kern w:val="2"/>
          <w:sz w:val="24"/>
          <w:szCs w:val="24"/>
          <w:highlight w:val="none"/>
          <w:lang w:val="en-US" w:eastAsia="zh-CN" w:bidi="ar-SA"/>
        </w:rPr>
        <w:t>果皮</w:t>
      </w:r>
      <w:r>
        <w:rPr>
          <w:rFonts w:hint="eastAsia" w:ascii="宋体" w:hAnsi="宋体" w:eastAsia="宋体" w:cs="宋体"/>
          <w:color w:val="auto"/>
          <w:kern w:val="2"/>
          <w:sz w:val="24"/>
          <w:szCs w:val="24"/>
          <w:highlight w:val="none"/>
          <w:lang w:val="en-US" w:eastAsia="zh-CN" w:bidi="ar-SA"/>
        </w:rPr>
        <w:t>箱清掏</w:t>
      </w:r>
      <w:r>
        <w:rPr>
          <w:rFonts w:hint="eastAsia" w:ascii="宋体" w:hAnsi="宋体" w:cs="宋体"/>
          <w:color w:val="auto"/>
          <w:kern w:val="2"/>
          <w:sz w:val="24"/>
          <w:szCs w:val="24"/>
          <w:highlight w:val="none"/>
          <w:lang w:val="en-US" w:eastAsia="zh-CN" w:bidi="ar-SA"/>
        </w:rPr>
        <w:t>及</w:t>
      </w:r>
      <w:r>
        <w:rPr>
          <w:rFonts w:hint="eastAsia" w:ascii="宋体" w:hAnsi="宋体" w:eastAsia="宋体" w:cs="宋体"/>
          <w:color w:val="auto"/>
          <w:kern w:val="2"/>
          <w:sz w:val="24"/>
          <w:szCs w:val="24"/>
          <w:highlight w:val="none"/>
          <w:lang w:val="en-US" w:eastAsia="zh-CN" w:bidi="ar-SA"/>
        </w:rPr>
        <w:t>垃圾清运处置；突发事件时环境卫生应急保障等工作</w:t>
      </w:r>
      <w:r>
        <w:rPr>
          <w:rFonts w:hint="eastAsia" w:ascii="宋体" w:hAnsi="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（1.1.7）辖区内公共卫生间的日常保洁和维护管理</w:t>
      </w:r>
      <w:r>
        <w:rPr>
          <w:rFonts w:hint="eastAsia" w:ascii="宋体" w:hAnsi="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（1.1.8）一级保洁区域和公共卫生间数量会按照县内发展情况增加，但费用不再增加，按合同内金额执行。</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1.2生活垃圾收运</w:t>
      </w:r>
      <w:r>
        <w:rPr>
          <w:rFonts w:hint="eastAsia" w:ascii="宋体" w:hAnsi="宋体" w:cs="宋体"/>
          <w:color w:val="auto"/>
          <w:kern w:val="2"/>
          <w:sz w:val="24"/>
          <w:szCs w:val="24"/>
          <w:highlight w:val="none"/>
          <w:lang w:val="en-US" w:eastAsia="zh-CN" w:bidi="ar-SA"/>
        </w:rPr>
        <w:t>及处置</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托克逊县建成区</w:t>
      </w:r>
      <w:r>
        <w:rPr>
          <w:rFonts w:hint="eastAsia" w:ascii="宋体" w:hAnsi="宋体" w:eastAsia="宋体" w:cs="宋体"/>
          <w:color w:val="auto"/>
          <w:kern w:val="2"/>
          <w:sz w:val="24"/>
          <w:szCs w:val="24"/>
          <w:highlight w:val="none"/>
          <w:lang w:val="en-US" w:eastAsia="zh-CN" w:bidi="ar-SA"/>
        </w:rPr>
        <w:t>生活垃圾</w:t>
      </w:r>
      <w:r>
        <w:rPr>
          <w:rFonts w:hint="eastAsia" w:ascii="宋体" w:hAnsi="宋体" w:cs="宋体"/>
          <w:color w:val="auto"/>
          <w:kern w:val="2"/>
          <w:sz w:val="24"/>
          <w:szCs w:val="24"/>
          <w:highlight w:val="none"/>
          <w:lang w:val="en-US" w:eastAsia="zh-CN" w:bidi="ar-SA"/>
        </w:rPr>
        <w:t>收运及处置</w:t>
      </w:r>
      <w:r>
        <w:rPr>
          <w:rFonts w:hint="eastAsia" w:ascii="宋体" w:hAnsi="宋体" w:eastAsia="宋体" w:cs="宋体"/>
          <w:color w:val="auto"/>
          <w:kern w:val="2"/>
          <w:sz w:val="24"/>
          <w:szCs w:val="24"/>
          <w:highlight w:val="none"/>
          <w:lang w:val="en-US" w:eastAsia="zh-CN" w:bidi="ar-SA"/>
        </w:rPr>
        <w:t>。作业内容主要包括：</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（1.2.1）生活垃圾的收集、运输</w:t>
      </w:r>
      <w:r>
        <w:rPr>
          <w:rFonts w:hint="eastAsia" w:ascii="宋体" w:hAnsi="宋体" w:cs="宋体"/>
          <w:color w:val="auto"/>
          <w:kern w:val="2"/>
          <w:sz w:val="24"/>
          <w:szCs w:val="24"/>
          <w:highlight w:val="none"/>
          <w:lang w:val="en-US" w:eastAsia="zh-CN" w:bidi="ar-SA"/>
        </w:rPr>
        <w:t>及处置</w:t>
      </w:r>
      <w:r>
        <w:rPr>
          <w:rFonts w:hint="eastAsia" w:ascii="宋体" w:hAnsi="宋体" w:eastAsia="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（1.2.2）生活垃圾收集容器（垃圾桶、垃圾船、果皮箱等）日常管理和消杀除臭；</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（1.2.3）配备足量垃圾收运箱（桶）</w:t>
      </w:r>
      <w:r>
        <w:rPr>
          <w:rFonts w:hint="eastAsia" w:ascii="宋体" w:hAnsi="宋体" w:cs="宋体"/>
          <w:color w:val="auto"/>
          <w:kern w:val="2"/>
          <w:sz w:val="24"/>
          <w:szCs w:val="24"/>
          <w:highlight w:val="none"/>
          <w:lang w:val="en-US" w:eastAsia="zh-CN" w:bidi="ar-SA"/>
        </w:rPr>
        <w:t>（符合垃圾分类标识要求的垃圾桶）</w:t>
      </w:r>
      <w:r>
        <w:rPr>
          <w:rFonts w:hint="eastAsia" w:ascii="宋体" w:hAnsi="宋体" w:eastAsia="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（1.2.4）</w:t>
      </w:r>
      <w:r>
        <w:rPr>
          <w:rFonts w:hint="eastAsia" w:ascii="宋体" w:hAnsi="宋体" w:cs="宋体"/>
          <w:color w:val="auto"/>
          <w:kern w:val="2"/>
          <w:sz w:val="24"/>
          <w:szCs w:val="24"/>
          <w:highlight w:val="none"/>
          <w:lang w:val="en-US" w:eastAsia="zh-CN" w:bidi="ar-SA"/>
        </w:rPr>
        <w:t>每年</w:t>
      </w:r>
      <w:r>
        <w:rPr>
          <w:rFonts w:hint="eastAsia" w:ascii="宋体" w:hAnsi="宋体" w:eastAsia="宋体" w:cs="宋体"/>
          <w:color w:val="auto"/>
          <w:kern w:val="2"/>
          <w:sz w:val="24"/>
          <w:szCs w:val="24"/>
          <w:highlight w:val="none"/>
          <w:lang w:val="en-US" w:eastAsia="zh-CN" w:bidi="ar-SA"/>
        </w:rPr>
        <w:t>配备不少于</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00个</w:t>
      </w:r>
      <w:r>
        <w:rPr>
          <w:rFonts w:hint="eastAsia" w:ascii="宋体" w:hAnsi="宋体" w:cs="宋体"/>
          <w:color w:val="auto"/>
          <w:kern w:val="2"/>
          <w:sz w:val="24"/>
          <w:szCs w:val="24"/>
          <w:highlight w:val="none"/>
          <w:lang w:val="en-US" w:eastAsia="zh-CN" w:bidi="ar-SA"/>
        </w:rPr>
        <w:t>660L型号的城市生活垃圾</w:t>
      </w:r>
      <w:r>
        <w:rPr>
          <w:rFonts w:hint="eastAsia" w:ascii="宋体" w:hAnsi="宋体" w:eastAsia="宋体" w:cs="宋体"/>
          <w:color w:val="auto"/>
          <w:kern w:val="2"/>
          <w:sz w:val="24"/>
          <w:szCs w:val="24"/>
          <w:highlight w:val="none"/>
          <w:lang w:val="en-US" w:eastAsia="zh-CN" w:bidi="ar-SA"/>
        </w:rPr>
        <w:t>分类垃圾箱</w:t>
      </w:r>
      <w:r>
        <w:rPr>
          <w:rFonts w:hint="eastAsia" w:ascii="宋体" w:hAnsi="宋体" w:cs="宋体"/>
          <w:color w:val="auto"/>
          <w:kern w:val="2"/>
          <w:sz w:val="24"/>
          <w:szCs w:val="24"/>
          <w:highlight w:val="none"/>
          <w:lang w:val="en-US" w:eastAsia="zh-CN" w:bidi="ar-SA"/>
        </w:rPr>
        <w:t>（符合垃圾分类标识要求的垃圾箱）</w:t>
      </w:r>
      <w:r>
        <w:rPr>
          <w:rFonts w:hint="eastAsia" w:ascii="宋体" w:hAnsi="宋体" w:eastAsia="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（1.2.5）公共设施设备</w:t>
      </w:r>
      <w:r>
        <w:rPr>
          <w:rFonts w:hint="eastAsia" w:ascii="宋体" w:hAnsi="宋体" w:cs="宋体"/>
          <w:color w:val="auto"/>
          <w:kern w:val="2"/>
          <w:sz w:val="24"/>
          <w:szCs w:val="24"/>
          <w:highlight w:val="none"/>
          <w:lang w:val="en-US" w:eastAsia="zh-CN" w:bidi="ar-SA"/>
        </w:rPr>
        <w:t>更新与</w:t>
      </w:r>
      <w:r>
        <w:rPr>
          <w:rFonts w:hint="eastAsia" w:ascii="宋体" w:hAnsi="宋体" w:eastAsia="宋体" w:cs="宋体"/>
          <w:color w:val="auto"/>
          <w:kern w:val="2"/>
          <w:sz w:val="24"/>
          <w:szCs w:val="24"/>
          <w:highlight w:val="none"/>
          <w:lang w:val="en-US" w:eastAsia="zh-CN" w:bidi="ar-SA"/>
        </w:rPr>
        <w:t>维护</w:t>
      </w:r>
      <w:r>
        <w:rPr>
          <w:rFonts w:hint="eastAsia" w:ascii="宋体" w:hAnsi="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垃圾填埋场运行及</w:t>
      </w:r>
      <w:r>
        <w:rPr>
          <w:rFonts w:hint="eastAsia" w:ascii="宋体" w:hAnsi="宋体" w:eastAsia="宋体" w:cs="宋体"/>
          <w:color w:val="auto"/>
          <w:kern w:val="2"/>
          <w:sz w:val="24"/>
          <w:szCs w:val="24"/>
          <w:highlight w:val="none"/>
          <w:lang w:val="en-US" w:eastAsia="zh-CN" w:bidi="ar-SA"/>
        </w:rPr>
        <w:t>维护</w:t>
      </w:r>
      <w:r>
        <w:rPr>
          <w:rFonts w:hint="eastAsia" w:ascii="宋体" w:hAnsi="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1.3园林绿化养护</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（1.3.1）</w:t>
      </w:r>
      <w:r>
        <w:rPr>
          <w:rFonts w:hint="eastAsia" w:ascii="宋体" w:hAnsi="宋体" w:eastAsia="宋体" w:cs="宋体"/>
          <w:color w:val="auto"/>
          <w:kern w:val="2"/>
          <w:sz w:val="24"/>
          <w:szCs w:val="24"/>
          <w:highlight w:val="none"/>
          <w:lang w:val="en-US" w:eastAsia="zh-CN" w:bidi="ar-SA"/>
        </w:rPr>
        <w:t xml:space="preserve">包括养护范围内各类乔灌木、绿篱、草坪、花卉、地被植物等的灌溉、施肥、修剪、防治病虫害、树木刷白、松土除草、抹芽、树木扶正、缺株补植补种，绿地保洁和垃圾清运、绿化管网设施的维护和维修、绿地保护、绿地养护项目管理等工作。 </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（1.3.2）</w:t>
      </w:r>
      <w:r>
        <w:rPr>
          <w:rFonts w:hint="eastAsia" w:ascii="宋体" w:hAnsi="宋体" w:eastAsia="宋体" w:cs="宋体"/>
          <w:color w:val="auto"/>
          <w:kern w:val="2"/>
          <w:sz w:val="24"/>
          <w:szCs w:val="24"/>
          <w:highlight w:val="none"/>
          <w:lang w:val="en-US" w:eastAsia="zh-CN" w:bidi="ar-SA"/>
        </w:rPr>
        <w:t xml:space="preserve">公园、游园、广场铺装、护栏、支撑架和护网、园路、桌椅、灯、井盖和标识标牌、安防设施等附属设施维护。     </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b/>
          <w:bCs/>
          <w:color w:val="auto"/>
          <w:sz w:val="24"/>
          <w:szCs w:val="24"/>
          <w:highlight w:val="none"/>
        </w:rPr>
      </w:pPr>
      <w:r>
        <w:rPr>
          <w:rFonts w:hint="eastAsia" w:ascii="宋体" w:hAnsi="宋体" w:cs="宋体"/>
          <w:color w:val="auto"/>
          <w:kern w:val="2"/>
          <w:sz w:val="24"/>
          <w:szCs w:val="24"/>
          <w:highlight w:val="none"/>
          <w:lang w:val="en-US" w:eastAsia="zh-CN" w:bidi="ar-SA"/>
        </w:rPr>
        <w:t>（1.3.3）</w:t>
      </w:r>
      <w:r>
        <w:rPr>
          <w:rFonts w:hint="eastAsia" w:ascii="宋体" w:hAnsi="宋体" w:eastAsia="宋体" w:cs="宋体"/>
          <w:color w:val="auto"/>
          <w:kern w:val="2"/>
          <w:sz w:val="24"/>
          <w:szCs w:val="24"/>
          <w:highlight w:val="none"/>
          <w:lang w:val="en-US" w:eastAsia="zh-CN" w:bidi="ar-SA"/>
        </w:rPr>
        <w:t>积极完成上级部门临时安排各项任务，如突发应急事件或大型检查、重要活动、节日保障、街头摆花等服务产生的费用均包含在本次服务费内，不单独列支。</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（一）环卫作业要求</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1、道路清扫保洁作业要求：</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人工普扫频次：每日不少于1次；洒水降尘：每天洒水不少于</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次，洒水时间按照道路交通实际情况实行错峰洒水（雨雪天及低温天气除外）（重点区域及道路按照道路基本无扬尘的标准，</w:t>
      </w:r>
      <w:r>
        <w:rPr>
          <w:rFonts w:hint="eastAsia" w:ascii="宋体" w:hAnsi="宋体" w:cs="宋体"/>
          <w:color w:val="auto"/>
          <w:kern w:val="2"/>
          <w:sz w:val="24"/>
          <w:szCs w:val="24"/>
          <w:highlight w:val="none"/>
          <w:lang w:val="en-US" w:eastAsia="zh-CN" w:bidi="ar-SA"/>
        </w:rPr>
        <w:t>如遇空气质量应急响应期间</w:t>
      </w:r>
      <w:r>
        <w:rPr>
          <w:rFonts w:hint="eastAsia" w:ascii="宋体" w:hAnsi="宋体" w:eastAsia="宋体" w:cs="宋体"/>
          <w:color w:val="auto"/>
          <w:kern w:val="2"/>
          <w:sz w:val="24"/>
          <w:szCs w:val="24"/>
          <w:highlight w:val="none"/>
          <w:lang w:val="en-US" w:eastAsia="zh-CN" w:bidi="ar-SA"/>
        </w:rPr>
        <w:t>洒水降尘次数按</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增加）；机械化作业率：达到</w:t>
      </w:r>
      <w:r>
        <w:rPr>
          <w:rFonts w:hint="eastAsia" w:ascii="宋体" w:hAnsi="宋体" w:cs="宋体"/>
          <w:color w:val="auto"/>
          <w:kern w:val="2"/>
          <w:sz w:val="24"/>
          <w:szCs w:val="24"/>
          <w:highlight w:val="none"/>
          <w:lang w:val="en-US" w:eastAsia="zh-CN" w:bidi="ar-SA"/>
        </w:rPr>
        <w:t>90</w:t>
      </w:r>
      <w:r>
        <w:rPr>
          <w:rFonts w:hint="eastAsia" w:ascii="宋体" w:hAnsi="宋体" w:eastAsia="宋体" w:cs="宋体"/>
          <w:color w:val="auto"/>
          <w:kern w:val="2"/>
          <w:sz w:val="24"/>
          <w:szCs w:val="24"/>
          <w:highlight w:val="none"/>
          <w:lang w:val="en-US" w:eastAsia="zh-CN" w:bidi="ar-SA"/>
        </w:rPr>
        <w:t>%以上；洗扫：每</w:t>
      </w:r>
      <w:r>
        <w:rPr>
          <w:rFonts w:hint="eastAsia" w:ascii="宋体" w:hAnsi="宋体" w:cs="宋体"/>
          <w:color w:val="auto"/>
          <w:kern w:val="2"/>
          <w:sz w:val="24"/>
          <w:szCs w:val="24"/>
          <w:highlight w:val="none"/>
          <w:lang w:val="en-US" w:eastAsia="zh-CN" w:bidi="ar-SA"/>
        </w:rPr>
        <w:t>天</w:t>
      </w:r>
      <w:r>
        <w:rPr>
          <w:rFonts w:hint="eastAsia" w:ascii="宋体" w:hAnsi="宋体" w:eastAsia="宋体" w:cs="宋体"/>
          <w:color w:val="auto"/>
          <w:kern w:val="2"/>
          <w:sz w:val="24"/>
          <w:szCs w:val="24"/>
          <w:highlight w:val="none"/>
          <w:lang w:val="en-US" w:eastAsia="zh-CN" w:bidi="ar-SA"/>
        </w:rPr>
        <w:t>至少洗扫1次，如有油污污染，随时清洗。保证整体环境舒适、车行道净、人行道净、无砂石、土、无跳扫漏扫、无烟头纸屑，明沟畅通无沉积物。清扫产生的砂石、土不得扫入下水道或倒入绿化带及沿路边。</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2、生活垃圾收集运输作业标准：</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r>
        <w:rPr>
          <w:rFonts w:hint="eastAsia" w:ascii="宋体" w:hAnsi="宋体" w:cs="宋体"/>
          <w:color w:val="auto"/>
          <w:kern w:val="2"/>
          <w:sz w:val="24"/>
          <w:szCs w:val="24"/>
          <w:highlight w:val="none"/>
          <w:lang w:val="en-US" w:eastAsia="zh-CN" w:bidi="ar-SA"/>
        </w:rPr>
        <w:t>至少</w:t>
      </w:r>
      <w:r>
        <w:rPr>
          <w:rFonts w:hint="eastAsia" w:ascii="宋体" w:hAnsi="宋体" w:eastAsia="宋体" w:cs="宋体"/>
          <w:color w:val="auto"/>
          <w:kern w:val="2"/>
          <w:sz w:val="24"/>
          <w:szCs w:val="24"/>
          <w:highlight w:val="none"/>
          <w:lang w:val="en-US" w:eastAsia="zh-CN" w:bidi="ar-SA"/>
        </w:rPr>
        <w:t>收集清运垃圾一次，垃圾收集容器应定位设置，摆放整齐。</w:t>
      </w:r>
      <w:r>
        <w:rPr>
          <w:rFonts w:hint="eastAsia" w:ascii="宋体" w:hAnsi="宋体" w:cs="宋体"/>
          <w:color w:val="auto"/>
          <w:kern w:val="2"/>
          <w:sz w:val="24"/>
          <w:szCs w:val="24"/>
          <w:highlight w:val="none"/>
          <w:lang w:val="en-US" w:eastAsia="zh-CN" w:bidi="ar-SA"/>
        </w:rPr>
        <w:t>垃圾箱房容量不能满足一日一清的，应采取一日多清制。</w:t>
      </w:r>
      <w:r>
        <w:rPr>
          <w:rFonts w:hint="eastAsia" w:ascii="宋体" w:hAnsi="宋体" w:eastAsia="宋体" w:cs="宋体"/>
          <w:color w:val="auto"/>
          <w:kern w:val="2"/>
          <w:sz w:val="24"/>
          <w:szCs w:val="24"/>
          <w:highlight w:val="none"/>
          <w:lang w:val="en-US" w:eastAsia="zh-CN" w:bidi="ar-SA"/>
        </w:rPr>
        <w:t>设置点及周围2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m内应整洁，无散落、存留生活垃圾和污水；生活垃圾收集容器应无残缺、破损，封闭性好，外体干净。构筑物内外墙面不得有明显积灰、污物；生活垃圾的收集，必须用设有明显标志、能防止污染扩散的密封容器；蝇、蚊孳生季节，生活垃圾收集站（点）</w:t>
      </w:r>
      <w:r>
        <w:rPr>
          <w:rFonts w:hint="eastAsia" w:ascii="宋体" w:hAnsi="宋体" w:cs="宋体"/>
          <w:color w:val="auto"/>
          <w:kern w:val="2"/>
          <w:sz w:val="24"/>
          <w:szCs w:val="24"/>
          <w:highlight w:val="none"/>
          <w:lang w:val="en-US" w:eastAsia="zh-CN" w:bidi="ar-SA"/>
        </w:rPr>
        <w:t>及垃圾箱</w:t>
      </w:r>
      <w:r>
        <w:rPr>
          <w:rFonts w:hint="eastAsia" w:ascii="宋体" w:hAnsi="宋体" w:eastAsia="宋体" w:cs="宋体"/>
          <w:color w:val="auto"/>
          <w:kern w:val="2"/>
          <w:sz w:val="24"/>
          <w:szCs w:val="24"/>
          <w:highlight w:val="none"/>
          <w:lang w:val="en-US" w:eastAsia="zh-CN" w:bidi="ar-SA"/>
        </w:rPr>
        <w:t>，应定时喷洒消毒、灭蚊蝇药物；</w:t>
      </w:r>
      <w:r>
        <w:rPr>
          <w:rFonts w:hint="eastAsia" w:ascii="宋体" w:hAnsi="宋体" w:cs="宋体"/>
          <w:color w:val="auto"/>
          <w:kern w:val="2"/>
          <w:sz w:val="24"/>
          <w:szCs w:val="24"/>
          <w:highlight w:val="none"/>
          <w:lang w:val="en-US" w:eastAsia="zh-CN" w:bidi="ar-SA"/>
        </w:rPr>
        <w:t>小区</w:t>
      </w:r>
      <w:r>
        <w:rPr>
          <w:rFonts w:hint="eastAsia" w:ascii="宋体" w:hAnsi="宋体" w:eastAsia="宋体" w:cs="宋体"/>
          <w:color w:val="auto"/>
          <w:kern w:val="2"/>
          <w:sz w:val="24"/>
          <w:szCs w:val="24"/>
          <w:highlight w:val="none"/>
          <w:lang w:val="en-US" w:eastAsia="zh-CN" w:bidi="ar-SA"/>
        </w:rPr>
        <w:t>生活垃圾间</w:t>
      </w:r>
      <w:r>
        <w:rPr>
          <w:rFonts w:hint="eastAsia" w:ascii="宋体" w:hAnsi="宋体" w:cs="宋体"/>
          <w:color w:val="auto"/>
          <w:kern w:val="2"/>
          <w:sz w:val="24"/>
          <w:szCs w:val="24"/>
          <w:highlight w:val="none"/>
          <w:lang w:val="en-US" w:eastAsia="zh-CN" w:bidi="ar-SA"/>
        </w:rPr>
        <w:t>（收集房）</w:t>
      </w:r>
      <w:r>
        <w:rPr>
          <w:rFonts w:hint="eastAsia" w:ascii="宋体" w:hAnsi="宋体" w:eastAsia="宋体" w:cs="宋体"/>
          <w:color w:val="auto"/>
          <w:kern w:val="2"/>
          <w:sz w:val="24"/>
          <w:szCs w:val="24"/>
          <w:highlight w:val="none"/>
          <w:lang w:val="en-US" w:eastAsia="zh-CN" w:bidi="ar-SA"/>
        </w:rPr>
        <w:t>应整洁，无散落生活垃圾和积留污水，无恶臭，基本无蝇；收集作业完成后，应及时清理场地，将可移动式生活垃圾收集容器复位，车走地净。生活垃圾应直接送至指定的处置场；废物箱</w:t>
      </w:r>
      <w:r>
        <w:rPr>
          <w:rFonts w:hint="eastAsia" w:ascii="宋体" w:hAnsi="宋体" w:cs="宋体"/>
          <w:color w:val="auto"/>
          <w:kern w:val="2"/>
          <w:sz w:val="24"/>
          <w:szCs w:val="24"/>
          <w:highlight w:val="none"/>
          <w:lang w:val="en-US" w:eastAsia="zh-CN" w:bidi="ar-SA"/>
        </w:rPr>
        <w:t>、果皮箱</w:t>
      </w:r>
      <w:r>
        <w:rPr>
          <w:rFonts w:hint="eastAsia" w:ascii="宋体" w:hAnsi="宋体" w:eastAsia="宋体" w:cs="宋体"/>
          <w:color w:val="auto"/>
          <w:kern w:val="2"/>
          <w:sz w:val="24"/>
          <w:szCs w:val="24"/>
          <w:highlight w:val="none"/>
          <w:lang w:val="en-US" w:eastAsia="zh-CN" w:bidi="ar-SA"/>
        </w:rPr>
        <w:t>内的垃圾应及时清除、无满溢和散落，并定时清洗箱体。</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3、生活垃圾</w:t>
      </w:r>
      <w:r>
        <w:rPr>
          <w:rFonts w:hint="eastAsia" w:ascii="宋体" w:hAnsi="宋体" w:cs="宋体"/>
          <w:color w:val="auto"/>
          <w:kern w:val="2"/>
          <w:sz w:val="24"/>
          <w:szCs w:val="24"/>
          <w:highlight w:val="none"/>
          <w:lang w:val="en-US" w:eastAsia="zh-CN" w:bidi="ar-SA"/>
        </w:rPr>
        <w:t>无害化处置</w:t>
      </w:r>
      <w:r>
        <w:rPr>
          <w:rFonts w:hint="eastAsia" w:ascii="宋体" w:hAnsi="宋体" w:eastAsia="宋体" w:cs="宋体"/>
          <w:color w:val="auto"/>
          <w:kern w:val="2"/>
          <w:sz w:val="24"/>
          <w:szCs w:val="24"/>
          <w:highlight w:val="none"/>
          <w:lang w:val="en-US" w:eastAsia="zh-CN" w:bidi="ar-SA"/>
        </w:rPr>
        <w:t>作业标准：</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生活垃圾</w:t>
      </w:r>
      <w:r>
        <w:rPr>
          <w:rFonts w:hint="eastAsia" w:ascii="宋体" w:hAnsi="宋体" w:cs="宋体"/>
          <w:color w:val="auto"/>
          <w:kern w:val="2"/>
          <w:sz w:val="24"/>
          <w:szCs w:val="24"/>
          <w:highlight w:val="none"/>
          <w:lang w:val="en-US" w:eastAsia="zh-CN" w:bidi="ar-SA"/>
        </w:rPr>
        <w:t>无害化</w:t>
      </w:r>
      <w:r>
        <w:rPr>
          <w:rFonts w:hint="eastAsia" w:ascii="宋体" w:hAnsi="宋体" w:eastAsia="宋体" w:cs="宋体"/>
          <w:color w:val="auto"/>
          <w:kern w:val="2"/>
          <w:sz w:val="24"/>
          <w:szCs w:val="24"/>
          <w:highlight w:val="none"/>
          <w:lang w:val="en-US" w:eastAsia="zh-CN" w:bidi="ar-SA"/>
        </w:rPr>
        <w:t>填埋场和垃圾填埋作业</w:t>
      </w:r>
      <w:r>
        <w:rPr>
          <w:rFonts w:hint="eastAsia" w:ascii="宋体" w:hAnsi="宋体" w:cs="宋体"/>
          <w:color w:val="auto"/>
          <w:kern w:val="2"/>
          <w:sz w:val="24"/>
          <w:szCs w:val="24"/>
          <w:highlight w:val="none"/>
          <w:lang w:val="en-US" w:eastAsia="zh-CN" w:bidi="ar-SA"/>
        </w:rPr>
        <w:t>应</w:t>
      </w:r>
      <w:r>
        <w:rPr>
          <w:rFonts w:hint="eastAsia" w:ascii="宋体" w:hAnsi="宋体" w:eastAsia="宋体" w:cs="宋体"/>
          <w:color w:val="auto"/>
          <w:kern w:val="2"/>
          <w:sz w:val="24"/>
          <w:szCs w:val="24"/>
          <w:highlight w:val="none"/>
          <w:lang w:val="en-US" w:eastAsia="zh-CN" w:bidi="ar-SA"/>
        </w:rPr>
        <w:t>制定管理制度和作业规范，</w:t>
      </w:r>
      <w:r>
        <w:rPr>
          <w:rFonts w:hint="eastAsia" w:ascii="宋体" w:hAnsi="宋体" w:cs="宋体"/>
          <w:color w:val="auto"/>
          <w:kern w:val="2"/>
          <w:sz w:val="24"/>
          <w:szCs w:val="24"/>
          <w:highlight w:val="none"/>
          <w:lang w:val="en-US" w:eastAsia="zh-CN" w:bidi="ar-SA"/>
        </w:rPr>
        <w:t>严格按照</w:t>
      </w:r>
      <w:r>
        <w:rPr>
          <w:rFonts w:hint="eastAsia" w:ascii="宋体" w:hAnsi="宋体" w:eastAsia="宋体" w:cs="宋体"/>
          <w:color w:val="auto"/>
          <w:kern w:val="2"/>
          <w:sz w:val="24"/>
          <w:szCs w:val="24"/>
          <w:highlight w:val="none"/>
          <w:lang w:val="en-US" w:eastAsia="zh-CN" w:bidi="ar-SA"/>
        </w:rPr>
        <w:t>建设部《城市生活垃圾卫生填埋场运行维护技术规范》和《生活垃圾卫生填埋技术规范》</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加强日常性和规范化管理。做好</w:t>
      </w:r>
      <w:r>
        <w:rPr>
          <w:rFonts w:hint="eastAsia" w:ascii="宋体" w:hAnsi="宋体" w:cs="宋体"/>
          <w:color w:val="auto"/>
          <w:kern w:val="2"/>
          <w:sz w:val="24"/>
          <w:szCs w:val="24"/>
          <w:highlight w:val="none"/>
          <w:lang w:val="en-US" w:eastAsia="zh-CN" w:bidi="ar-SA"/>
        </w:rPr>
        <w:t>机械化填埋和</w:t>
      </w:r>
      <w:r>
        <w:rPr>
          <w:rFonts w:hint="eastAsia" w:ascii="宋体" w:hAnsi="宋体" w:eastAsia="宋体" w:cs="宋体"/>
          <w:color w:val="auto"/>
          <w:kern w:val="2"/>
          <w:sz w:val="24"/>
          <w:szCs w:val="24"/>
          <w:highlight w:val="none"/>
          <w:lang w:val="en-US" w:eastAsia="zh-CN" w:bidi="ar-SA"/>
        </w:rPr>
        <w:t>日常性清扫保洁，</w:t>
      </w:r>
      <w:r>
        <w:rPr>
          <w:rFonts w:hint="eastAsia" w:ascii="宋体" w:hAnsi="宋体" w:cs="宋体"/>
          <w:color w:val="auto"/>
          <w:kern w:val="2"/>
          <w:sz w:val="24"/>
          <w:szCs w:val="24"/>
          <w:highlight w:val="none"/>
          <w:lang w:val="en-US" w:eastAsia="zh-CN" w:bidi="ar-SA"/>
        </w:rPr>
        <w:t>做好</w:t>
      </w:r>
      <w:r>
        <w:rPr>
          <w:rFonts w:hint="eastAsia" w:ascii="宋体" w:hAnsi="宋体" w:eastAsia="宋体" w:cs="宋体"/>
          <w:color w:val="auto"/>
          <w:kern w:val="2"/>
          <w:sz w:val="24"/>
          <w:szCs w:val="24"/>
          <w:highlight w:val="none"/>
          <w:lang w:val="en-US" w:eastAsia="zh-CN" w:bidi="ar-SA"/>
        </w:rPr>
        <w:t>消毒、消防、灭蚊蝇、灭鼠</w:t>
      </w:r>
      <w:r>
        <w:rPr>
          <w:rFonts w:hint="eastAsia" w:ascii="宋体" w:hAnsi="宋体" w:cs="宋体"/>
          <w:color w:val="auto"/>
          <w:kern w:val="2"/>
          <w:sz w:val="24"/>
          <w:szCs w:val="24"/>
          <w:highlight w:val="none"/>
          <w:lang w:val="en-US" w:eastAsia="zh-CN" w:bidi="ar-SA"/>
        </w:rPr>
        <w:t>等</w:t>
      </w:r>
      <w:r>
        <w:rPr>
          <w:rFonts w:hint="eastAsia" w:ascii="宋体" w:hAnsi="宋体" w:eastAsia="宋体" w:cs="宋体"/>
          <w:color w:val="auto"/>
          <w:kern w:val="2"/>
          <w:sz w:val="24"/>
          <w:szCs w:val="24"/>
          <w:highlight w:val="none"/>
          <w:lang w:val="en-US" w:eastAsia="zh-CN" w:bidi="ar-SA"/>
        </w:rPr>
        <w:t>防护</w:t>
      </w:r>
      <w:r>
        <w:rPr>
          <w:rFonts w:hint="eastAsia" w:ascii="宋体" w:hAnsi="宋体" w:cs="宋体"/>
          <w:color w:val="auto"/>
          <w:kern w:val="2"/>
          <w:sz w:val="24"/>
          <w:szCs w:val="24"/>
          <w:highlight w:val="none"/>
          <w:lang w:val="en-US" w:eastAsia="zh-CN" w:bidi="ar-SA"/>
        </w:rPr>
        <w:t>措施，</w:t>
      </w:r>
      <w:r>
        <w:rPr>
          <w:rFonts w:hint="eastAsia" w:ascii="宋体" w:hAnsi="宋体" w:eastAsia="宋体" w:cs="宋体"/>
          <w:color w:val="auto"/>
          <w:kern w:val="2"/>
          <w:sz w:val="24"/>
          <w:szCs w:val="24"/>
          <w:highlight w:val="none"/>
          <w:lang w:val="en-US" w:eastAsia="zh-CN" w:bidi="ar-SA"/>
        </w:rPr>
        <w:t>并开展</w:t>
      </w:r>
      <w:r>
        <w:rPr>
          <w:rFonts w:hint="eastAsia" w:ascii="宋体" w:hAnsi="宋体" w:cs="宋体"/>
          <w:color w:val="auto"/>
          <w:kern w:val="2"/>
          <w:sz w:val="24"/>
          <w:szCs w:val="24"/>
          <w:highlight w:val="none"/>
          <w:lang w:val="en-US" w:eastAsia="zh-CN" w:bidi="ar-SA"/>
        </w:rPr>
        <w:t>场区</w:t>
      </w:r>
      <w:r>
        <w:rPr>
          <w:rFonts w:hint="eastAsia" w:ascii="宋体" w:hAnsi="宋体" w:eastAsia="宋体" w:cs="宋体"/>
          <w:color w:val="auto"/>
          <w:kern w:val="2"/>
          <w:sz w:val="24"/>
          <w:szCs w:val="24"/>
          <w:highlight w:val="none"/>
          <w:lang w:val="en-US" w:eastAsia="zh-CN" w:bidi="ar-SA"/>
        </w:rPr>
        <w:t>绿化。每日作业完毕后应及时覆盖，以有效控制臭气扩散和蚊蝇孳生。制定紧急应急预案和应急措施</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做好各种资料的收集</w:t>
      </w:r>
      <w:r>
        <w:rPr>
          <w:rFonts w:hint="eastAsia" w:ascii="宋体" w:hAnsi="宋体" w:cs="宋体"/>
          <w:color w:val="auto"/>
          <w:kern w:val="2"/>
          <w:sz w:val="24"/>
          <w:szCs w:val="24"/>
          <w:highlight w:val="none"/>
          <w:lang w:val="en-US" w:eastAsia="zh-CN" w:bidi="ar-SA"/>
        </w:rPr>
        <w:t>上报</w:t>
      </w:r>
      <w:r>
        <w:rPr>
          <w:rFonts w:hint="eastAsia" w:ascii="宋体" w:hAnsi="宋体" w:eastAsia="宋体" w:cs="宋体"/>
          <w:color w:val="auto"/>
          <w:kern w:val="2"/>
          <w:sz w:val="24"/>
          <w:szCs w:val="24"/>
          <w:highlight w:val="none"/>
          <w:lang w:val="en-US" w:eastAsia="zh-CN" w:bidi="ar-SA"/>
        </w:rPr>
        <w:t>，内容包括生产作业量、设备投放量、垃圾处置措施、</w:t>
      </w:r>
      <w:r>
        <w:rPr>
          <w:rFonts w:hint="eastAsia" w:ascii="宋体" w:hAnsi="宋体" w:cs="宋体"/>
          <w:color w:val="auto"/>
          <w:kern w:val="2"/>
          <w:sz w:val="24"/>
          <w:szCs w:val="24"/>
          <w:highlight w:val="none"/>
          <w:lang w:val="en-US" w:eastAsia="zh-CN" w:bidi="ar-SA"/>
        </w:rPr>
        <w:t>安全生产</w:t>
      </w:r>
      <w:r>
        <w:rPr>
          <w:rFonts w:hint="eastAsia" w:ascii="宋体" w:hAnsi="宋体" w:eastAsia="宋体" w:cs="宋体"/>
          <w:color w:val="auto"/>
          <w:kern w:val="2"/>
          <w:sz w:val="24"/>
          <w:szCs w:val="24"/>
          <w:highlight w:val="none"/>
          <w:lang w:val="en-US" w:eastAsia="zh-CN" w:bidi="ar-SA"/>
        </w:rPr>
        <w:t>等。垃圾场</w:t>
      </w:r>
      <w:r>
        <w:rPr>
          <w:rFonts w:hint="eastAsia" w:ascii="宋体" w:hAnsi="宋体" w:cs="宋体"/>
          <w:color w:val="auto"/>
          <w:kern w:val="2"/>
          <w:sz w:val="24"/>
          <w:szCs w:val="24"/>
          <w:highlight w:val="none"/>
          <w:lang w:val="en-US" w:eastAsia="zh-CN" w:bidi="ar-SA"/>
        </w:rPr>
        <w:t>应按要求</w:t>
      </w:r>
      <w:r>
        <w:rPr>
          <w:rFonts w:hint="eastAsia" w:ascii="宋体" w:hAnsi="宋体" w:eastAsia="宋体" w:cs="宋体"/>
          <w:color w:val="auto"/>
          <w:kern w:val="2"/>
          <w:sz w:val="24"/>
          <w:szCs w:val="24"/>
          <w:highlight w:val="none"/>
          <w:lang w:val="en-US" w:eastAsia="zh-CN" w:bidi="ar-SA"/>
        </w:rPr>
        <w:t>进行</w:t>
      </w:r>
      <w:r>
        <w:rPr>
          <w:rFonts w:hint="eastAsia" w:ascii="宋体" w:hAnsi="宋体" w:cs="宋体"/>
          <w:color w:val="auto"/>
          <w:kern w:val="2"/>
          <w:sz w:val="24"/>
          <w:szCs w:val="24"/>
          <w:highlight w:val="none"/>
          <w:lang w:val="en-US" w:eastAsia="zh-CN" w:bidi="ar-SA"/>
        </w:rPr>
        <w:t>渗滤液处理和</w:t>
      </w:r>
      <w:r>
        <w:rPr>
          <w:rFonts w:hint="eastAsia" w:ascii="宋体" w:hAnsi="宋体" w:eastAsia="宋体" w:cs="宋体"/>
          <w:color w:val="auto"/>
          <w:kern w:val="2"/>
          <w:sz w:val="24"/>
          <w:szCs w:val="24"/>
          <w:highlight w:val="none"/>
          <w:lang w:val="en-US" w:eastAsia="zh-CN" w:bidi="ar-SA"/>
        </w:rPr>
        <w:t>环境质量检测评价，有完整的年度垃圾处理卫生监测评价资料，并提出改善环境质量的对策。</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4、其他要求：</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eastAsia="宋体"/>
          <w:b w:val="0"/>
          <w:bCs/>
          <w:color w:val="auto"/>
          <w:sz w:val="24"/>
          <w:highlight w:val="none"/>
        </w:rPr>
        <w:t>保证各种重要活动及节假日环境卫生保障</w:t>
      </w:r>
      <w:r>
        <w:rPr>
          <w:rFonts w:hint="eastAsia" w:ascii="宋体" w:eastAsia="宋体"/>
          <w:b w:val="0"/>
          <w:bCs/>
          <w:color w:val="auto"/>
          <w:sz w:val="24"/>
          <w:highlight w:val="none"/>
          <w:lang w:eastAsia="zh-CN"/>
        </w:rPr>
        <w:t>，</w:t>
      </w:r>
      <w:r>
        <w:rPr>
          <w:rFonts w:hint="eastAsia" w:ascii="宋体" w:eastAsia="宋体"/>
          <w:b w:val="0"/>
          <w:bCs/>
          <w:color w:val="auto"/>
          <w:sz w:val="24"/>
          <w:highlight w:val="none"/>
        </w:rPr>
        <w:t>但费用不</w:t>
      </w:r>
      <w:r>
        <w:rPr>
          <w:rFonts w:hint="eastAsia" w:ascii="宋体" w:eastAsia="宋体"/>
          <w:b w:val="0"/>
          <w:bCs/>
          <w:color w:val="auto"/>
          <w:sz w:val="24"/>
          <w:highlight w:val="none"/>
          <w:lang w:eastAsia="zh-CN"/>
        </w:rPr>
        <w:t>再</w:t>
      </w:r>
      <w:r>
        <w:rPr>
          <w:rFonts w:hint="eastAsia" w:ascii="宋体" w:eastAsia="宋体"/>
          <w:b w:val="0"/>
          <w:bCs/>
          <w:color w:val="auto"/>
          <w:sz w:val="24"/>
          <w:highlight w:val="none"/>
        </w:rPr>
        <w:t>增加，按合同内金额执行</w:t>
      </w:r>
      <w:r>
        <w:rPr>
          <w:rFonts w:hint="eastAsia" w:ascii="宋体" w:eastAsia="宋体"/>
          <w:b w:val="0"/>
          <w:bCs/>
          <w:color w:val="auto"/>
          <w:sz w:val="24"/>
          <w:highlight w:val="none"/>
          <w:lang w:eastAsia="zh-CN"/>
        </w:rPr>
        <w:t>。</w:t>
      </w:r>
    </w:p>
    <w:p>
      <w:pPr>
        <w:pStyle w:val="13"/>
        <w:keepNext w:val="0"/>
        <w:keepLines w:val="0"/>
        <w:pageBreakBefore w:val="0"/>
        <w:widowControl w:val="0"/>
        <w:numPr>
          <w:ilvl w:val="0"/>
          <w:numId w:val="3"/>
        </w:numPr>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园林作业要求</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right="0"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1、绿化养护技术措施基本完善，植物配置基本合理。</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2、园林植物</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⑴ 生长正常。新建绿地各种植物</w:t>
      </w:r>
      <w:r>
        <w:rPr>
          <w:rFonts w:hint="eastAsia" w:ascii="宋体" w:hAnsi="宋体" w:cs="宋体"/>
          <w:color w:val="auto"/>
          <w:kern w:val="2"/>
          <w:sz w:val="24"/>
          <w:szCs w:val="24"/>
          <w:highlight w:val="none"/>
          <w:lang w:val="en-US" w:eastAsia="zh-CN" w:bidi="ar-SA"/>
        </w:rPr>
        <w:t>在服务期</w:t>
      </w:r>
      <w:r>
        <w:rPr>
          <w:rFonts w:hint="eastAsia" w:ascii="宋体" w:hAnsi="宋体" w:eastAsia="宋体" w:cs="宋体"/>
          <w:color w:val="auto"/>
          <w:kern w:val="2"/>
          <w:sz w:val="24"/>
          <w:szCs w:val="24"/>
          <w:highlight w:val="none"/>
          <w:lang w:val="en-US" w:eastAsia="zh-CN" w:bidi="ar-SA"/>
        </w:rPr>
        <w:t>内达到正常形态。</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⑵ 园林树木树冠基本正常，无明显枯枝死叉。分枝点合适，枝条粗壮，行道树缺株率不超过5%。</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⑶ 落叶树新梢生长基本正常，叶片大小、颜色正常，在正常条件下，有黄叶、焦叶、卷叶和带虫粪、虫网叶片的株数不得超过</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0%，正常叶片保存率在</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0%以上。</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⑷ 新植树木成活率在90%以上，保存率在90%以上。（凡因受自然灾害、环境污染或非本职能所能控制等原因死亡的植株，</w:t>
      </w:r>
      <w:r>
        <w:rPr>
          <w:rFonts w:hint="eastAsia" w:ascii="宋体" w:hAnsi="宋体" w:cs="宋体"/>
          <w:color w:val="auto"/>
          <w:kern w:val="2"/>
          <w:sz w:val="24"/>
          <w:szCs w:val="24"/>
          <w:highlight w:val="none"/>
          <w:lang w:val="en-US" w:eastAsia="zh-CN" w:bidi="ar-SA"/>
        </w:rPr>
        <w:t>及</w:t>
      </w:r>
      <w:r>
        <w:rPr>
          <w:rFonts w:hint="eastAsia" w:ascii="宋体" w:hAnsi="宋体" w:eastAsia="宋体" w:cs="宋体"/>
          <w:color w:val="auto"/>
          <w:kern w:val="2"/>
          <w:sz w:val="24"/>
          <w:szCs w:val="24"/>
          <w:highlight w:val="none"/>
          <w:lang w:val="en-US" w:eastAsia="zh-CN" w:bidi="ar-SA"/>
        </w:rPr>
        <w:t>时予以剔除）</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⑸ 新植树木视情况做加固性保护，有扶架措施。</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⑹ 每年涂白</w:t>
      </w:r>
      <w:r>
        <w:rPr>
          <w:rFonts w:hint="eastAsia" w:ascii="宋体" w:hAnsi="宋体" w:cs="宋体"/>
          <w:color w:val="auto"/>
          <w:kern w:val="2"/>
          <w:sz w:val="24"/>
          <w:szCs w:val="24"/>
          <w:highlight w:val="none"/>
          <w:lang w:val="en-US" w:eastAsia="zh-CN" w:bidi="ar-SA"/>
        </w:rPr>
        <w:t>至少</w:t>
      </w:r>
      <w:r>
        <w:rPr>
          <w:rFonts w:hint="eastAsia" w:ascii="宋体" w:hAnsi="宋体" w:eastAsia="宋体" w:cs="宋体"/>
          <w:color w:val="auto"/>
          <w:kern w:val="2"/>
          <w:sz w:val="24"/>
          <w:szCs w:val="24"/>
          <w:highlight w:val="none"/>
          <w:lang w:val="en-US" w:eastAsia="zh-CN" w:bidi="ar-SA"/>
        </w:rPr>
        <w:t>1次，涂白标准</w:t>
      </w:r>
      <w:r>
        <w:rPr>
          <w:rFonts w:hint="eastAsia" w:ascii="宋体" w:hAnsi="宋体" w:cs="宋体"/>
          <w:color w:val="auto"/>
          <w:kern w:val="2"/>
          <w:sz w:val="24"/>
          <w:szCs w:val="24"/>
          <w:highlight w:val="none"/>
          <w:lang w:val="en-US" w:eastAsia="zh-CN" w:bidi="ar-SA"/>
        </w:rPr>
        <w:t>至少</w:t>
      </w:r>
      <w:r>
        <w:rPr>
          <w:rFonts w:hint="eastAsia" w:ascii="宋体" w:hAnsi="宋体" w:eastAsia="宋体" w:cs="宋体"/>
          <w:color w:val="auto"/>
          <w:kern w:val="2"/>
          <w:sz w:val="24"/>
          <w:szCs w:val="24"/>
          <w:highlight w:val="none"/>
          <w:lang w:val="en-US" w:eastAsia="zh-CN" w:bidi="ar-SA"/>
        </w:rPr>
        <w:t>为1.</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m。每年施肥</w:t>
      </w:r>
      <w:r>
        <w:rPr>
          <w:rFonts w:hint="eastAsia" w:ascii="宋体" w:hAnsi="宋体" w:cs="宋体"/>
          <w:color w:val="auto"/>
          <w:kern w:val="2"/>
          <w:sz w:val="24"/>
          <w:szCs w:val="24"/>
          <w:highlight w:val="none"/>
          <w:lang w:val="en-US" w:eastAsia="zh-CN" w:bidi="ar-SA"/>
        </w:rPr>
        <w:t>至少</w:t>
      </w:r>
      <w:r>
        <w:rPr>
          <w:rFonts w:hint="eastAsia" w:ascii="宋体" w:hAnsi="宋体" w:eastAsia="宋体" w:cs="宋体"/>
          <w:color w:val="auto"/>
          <w:kern w:val="2"/>
          <w:sz w:val="24"/>
          <w:szCs w:val="24"/>
          <w:highlight w:val="none"/>
          <w:lang w:val="en-US" w:eastAsia="zh-CN" w:bidi="ar-SA"/>
        </w:rPr>
        <w:t>1次</w:t>
      </w:r>
      <w:r>
        <w:rPr>
          <w:rFonts w:hint="eastAsia" w:ascii="宋体" w:hAnsi="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病虫害控制比较及时，绿地蛀干害虫的有虫株率不能超过7%。枝干病害感病株率不能超过15%。蚜虫、红蜘蛛、叶蝉等枝梢害虫发生时，枝梢被害率不能超过20%或叶片上的有虫率不能超过25%。蚧类害虫在20cm枝条发生数量不能超过12头/20cm枝。食叶害虫虫口密度不能超过7头/50cm枝条，叶片受损率每株不得超过20%。叶部病害感病株率不能超过15%。（以上标准适用绿地养护中的病虫害防治的一般情况，不同于由外界导致而非本能控制的集中爆发式病虫害情况）</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春冬两季要对林带内的树木进行整形修剪工作；根据苗木生长的需要，一般对林带内的苗木进行春冬季施肥，施肥量根据甲方要求，春秋季对绿化带草坪进行打孔，林带和绿篱每年进行松土1次，根据植保防治进行病虫害预防打药，确保树木正常生长。</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4、绿地整洁卫生，无杂草，无杂藤攀援植物，无污物杂物、无积水；对绿化生产垃圾(如树枝、树叶、草屑等),绿地内水面杂物，随产随清。</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5、绿地完整，无堆物、堆料、搭棚，树干上无钉拴刻画等现象。距树干2m范围内无堆物、堆料、圈栏或搭棚设摊等影响树木生长和养护管理的现象。</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6、花箱、栏杆</w:t>
      </w:r>
      <w:r>
        <w:rPr>
          <w:rFonts w:hint="eastAsia" w:ascii="宋体" w:hAnsi="宋体" w:cs="宋体"/>
          <w:color w:val="auto"/>
          <w:kern w:val="2"/>
          <w:sz w:val="24"/>
          <w:szCs w:val="24"/>
          <w:highlight w:val="none"/>
          <w:lang w:val="en-US" w:eastAsia="zh-CN" w:bidi="ar-SA"/>
        </w:rPr>
        <w:t>（汉白玉栏杆除外）</w:t>
      </w:r>
      <w:r>
        <w:rPr>
          <w:rFonts w:hint="eastAsia" w:ascii="宋体" w:hAnsi="宋体" w:eastAsia="宋体" w:cs="宋体"/>
          <w:color w:val="auto"/>
          <w:kern w:val="2"/>
          <w:sz w:val="24"/>
          <w:szCs w:val="24"/>
          <w:highlight w:val="none"/>
          <w:lang w:val="en-US" w:eastAsia="zh-CN" w:bidi="ar-SA"/>
        </w:rPr>
        <w:t>、绿化带护栏、支撑架和护网、园路、桌椅、灯、井盖和标识标牌等附属设施完整、安全，做到维护及时，做好维护记录；如遇损坏丢失，应及时更换；发现有损坏和被违规占用的，在2小时内报告住建局园林绿化中心。每周擦洗绿化带护栏一遍，如遇特殊情况随时擦洗护栏。</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7、公园道路及广场铺装定期进行维护</w:t>
      </w:r>
      <w:r>
        <w:rPr>
          <w:rFonts w:hint="eastAsia" w:ascii="宋体" w:hAnsi="宋体" w:cs="宋体"/>
          <w:color w:val="auto"/>
          <w:kern w:val="2"/>
          <w:sz w:val="24"/>
          <w:szCs w:val="24"/>
          <w:highlight w:val="none"/>
          <w:lang w:val="en-US" w:eastAsia="zh-CN" w:bidi="ar-SA"/>
        </w:rPr>
        <w:t>、维修</w:t>
      </w:r>
      <w:r>
        <w:rPr>
          <w:rFonts w:hint="eastAsia" w:ascii="宋体" w:hAnsi="宋体" w:eastAsia="宋体" w:cs="宋体"/>
          <w:color w:val="auto"/>
          <w:kern w:val="2"/>
          <w:sz w:val="24"/>
          <w:szCs w:val="24"/>
          <w:highlight w:val="none"/>
          <w:lang w:val="en-US" w:eastAsia="zh-CN" w:bidi="ar-SA"/>
        </w:rPr>
        <w:t>，确保完整、安全。</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8、公园内水域面清洁，无垃圾漂浮物，做好湖面安全防护工作，设立安全警示牌，专人巡视，禁止人员进入湖面嬉水、游泳、滑冰等，保证人员安全。</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9、主要设施标示清楚齐全，危及人身安全的隐患处有明显标志和防范措施。</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10、建立消杀工作管理制度，根据实际情况开展消杀工作，适时投放消杀药物，有效控制害虫孽生。</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11、制定安全生产制度，严格的安全措施和作业操作流程，对上岗作业的工作人员进行安全生产培训。</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绿化养护人员在岗期间，要着有安全标志作业服装，反光标志要完整，衣服干净整洁，确保人身安全。设置安全员负责安全工作。养护车辆和安全标识锥要横向摆放，距离养护人员50米停放。保证车体干净、车体喷反光标识，工作间整齐，必须遵守交通规则，不得逆行作业，安全配套设施规范。</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第三条：合同金额，相关费用及支付方式：</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一、合同购买服务价款总额为每年</w:t>
      </w:r>
      <w:r>
        <w:rPr>
          <w:rFonts w:hint="eastAsia" w:asciiTheme="minorEastAsia" w:hAnsiTheme="minorEastAsia" w:eastAsiaTheme="minorEastAsia" w:cstheme="minorEastAsia"/>
          <w:sz w:val="24"/>
          <w:szCs w:val="24"/>
          <w:lang w:val="en-US" w:eastAsia="zh-CN"/>
        </w:rPr>
        <w:t>xxxx</w:t>
      </w:r>
      <w:r>
        <w:rPr>
          <w:rFonts w:hint="eastAsia" w:asciiTheme="minorEastAsia" w:hAnsiTheme="minorEastAsia" w:eastAsiaTheme="minorEastAsia" w:cstheme="minorEastAsia"/>
          <w:sz w:val="24"/>
          <w:szCs w:val="24"/>
          <w:lang w:eastAsia="zh-CN"/>
        </w:rPr>
        <w:t>元(人民币</w:t>
      </w:r>
      <w:r>
        <w:rPr>
          <w:rFonts w:hint="eastAsia" w:asciiTheme="minorEastAsia" w:hAnsiTheme="minorEastAsia" w:eastAsiaTheme="minorEastAsia" w:cstheme="minorEastAsia"/>
          <w:sz w:val="24"/>
          <w:szCs w:val="24"/>
          <w:lang w:val="en-US" w:eastAsia="zh-CN"/>
        </w:rPr>
        <w:t>xxxx</w:t>
      </w:r>
      <w:r>
        <w:rPr>
          <w:rFonts w:hint="eastAsia" w:asciiTheme="minorEastAsia" w:hAnsiTheme="minorEastAsia" w:eastAsiaTheme="minorEastAsia" w:cstheme="minorEastAsia"/>
          <w:sz w:val="24"/>
          <w:szCs w:val="24"/>
          <w:lang w:eastAsia="zh-CN"/>
        </w:rPr>
        <w:t>),已包含乙方向甲方提供环卫保洁和园林养护服务所需一切费用，除此之外需单独列支费用由双方另行明确约定。购买服务费均以实际养护、保洁面积，按季度比例方式支付。乙方在签订合同之日起10日之内需向甲方交纳中标总价的10%为乙方履行合同的保证金，</w:t>
      </w:r>
      <w:r>
        <w:rPr>
          <w:rFonts w:hint="eastAsia" w:asciiTheme="minorEastAsia" w:hAnsiTheme="minorEastAsia" w:eastAsiaTheme="minorEastAsia" w:cstheme="minorEastAsia"/>
          <w:sz w:val="24"/>
          <w:szCs w:val="24"/>
          <w:lang w:val="en-US" w:eastAsia="zh-CN"/>
        </w:rPr>
        <w:t>该</w:t>
      </w:r>
      <w:r>
        <w:rPr>
          <w:rFonts w:hint="eastAsia" w:asciiTheme="minorEastAsia" w:hAnsiTheme="minorEastAsia" w:eastAsiaTheme="minorEastAsia" w:cstheme="minorEastAsia"/>
          <w:sz w:val="24"/>
          <w:szCs w:val="24"/>
          <w:lang w:eastAsia="zh-CN"/>
        </w:rPr>
        <w:t>保证金以保函形式期限为：1年。</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sz w:val="24"/>
          <w:szCs w:val="24"/>
          <w:highlight w:val="none"/>
          <w:lang w:eastAsia="zh-CN"/>
        </w:rPr>
        <w:t>(1)该服务费用</w:t>
      </w:r>
      <w:r>
        <w:rPr>
          <w:rFonts w:hint="eastAsia" w:asciiTheme="minorEastAsia" w:hAnsiTheme="minorEastAsia" w:eastAsiaTheme="minorEastAsia" w:cstheme="minorEastAsia"/>
          <w:sz w:val="24"/>
          <w:szCs w:val="24"/>
          <w:highlight w:val="none"/>
          <w:lang w:val="en-US" w:eastAsia="zh-CN"/>
        </w:rPr>
        <w:t>不</w:t>
      </w:r>
      <w:r>
        <w:rPr>
          <w:rFonts w:hint="eastAsia" w:asciiTheme="minorEastAsia" w:hAnsiTheme="minorEastAsia" w:eastAsiaTheme="minorEastAsia" w:cstheme="minorEastAsia"/>
          <w:sz w:val="24"/>
          <w:szCs w:val="24"/>
          <w:highlight w:val="none"/>
          <w:lang w:eastAsia="zh-CN"/>
        </w:rPr>
        <w:t>包含购买服务中用水的费用，乙方因地制宜合理制定相应用水标准，</w:t>
      </w:r>
      <w:r>
        <w:rPr>
          <w:rFonts w:hint="eastAsia" w:asciiTheme="minorEastAsia" w:hAnsiTheme="minorEastAsia" w:eastAsiaTheme="minorEastAsia" w:cstheme="minorEastAsia"/>
          <w:sz w:val="24"/>
          <w:szCs w:val="24"/>
          <w:highlight w:val="none"/>
          <w:lang w:val="en-US" w:eastAsia="zh-CN"/>
        </w:rPr>
        <w:t>既</w:t>
      </w:r>
      <w:r>
        <w:rPr>
          <w:rFonts w:hint="eastAsia" w:asciiTheme="minorEastAsia" w:hAnsiTheme="minorEastAsia" w:eastAsiaTheme="minorEastAsia" w:cstheme="minorEastAsia"/>
          <w:sz w:val="24"/>
          <w:szCs w:val="24"/>
          <w:highlight w:val="none"/>
          <w:lang w:eastAsia="zh-CN"/>
        </w:rPr>
        <w:t>不能</w:t>
      </w:r>
      <w:r>
        <w:rPr>
          <w:rFonts w:hint="eastAsia" w:asciiTheme="minorEastAsia" w:hAnsiTheme="minorEastAsia" w:eastAsiaTheme="minorEastAsia" w:cstheme="minorEastAsia"/>
          <w:sz w:val="24"/>
          <w:szCs w:val="24"/>
          <w:highlight w:val="none"/>
          <w:lang w:val="en-US" w:eastAsia="zh-CN"/>
        </w:rPr>
        <w:t>浪费水资源又不能</w:t>
      </w:r>
      <w:r>
        <w:rPr>
          <w:rFonts w:hint="eastAsia" w:asciiTheme="minorEastAsia" w:hAnsiTheme="minorEastAsia" w:eastAsiaTheme="minorEastAsia" w:cstheme="minorEastAsia"/>
          <w:sz w:val="24"/>
          <w:szCs w:val="24"/>
          <w:highlight w:val="none"/>
          <w:lang w:eastAsia="zh-CN"/>
        </w:rPr>
        <w:t>导致绿植死亡，</w:t>
      </w:r>
      <w:r>
        <w:rPr>
          <w:rFonts w:hint="eastAsia" w:asciiTheme="minorEastAsia" w:hAnsiTheme="minorEastAsia" w:eastAsiaTheme="minorEastAsia" w:cstheme="minorEastAsia"/>
          <w:sz w:val="24"/>
          <w:szCs w:val="24"/>
          <w:highlight w:val="none"/>
          <w:lang w:val="en-US" w:eastAsia="zh-CN"/>
        </w:rPr>
        <w:t>否则</w:t>
      </w:r>
      <w:r>
        <w:rPr>
          <w:rFonts w:hint="eastAsia" w:asciiTheme="minorEastAsia" w:hAnsiTheme="minorEastAsia" w:eastAsiaTheme="minorEastAsia" w:cstheme="minorEastAsia"/>
          <w:sz w:val="24"/>
          <w:szCs w:val="24"/>
          <w:highlight w:val="none"/>
          <w:lang w:eastAsia="zh-CN"/>
        </w:rPr>
        <w:t>由乙方承担绿植补植费用及补植工作。</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2）在养护期内，因水井及水管爆裂所造成的任何损失及纠纷，</w:t>
      </w:r>
      <w:r>
        <w:rPr>
          <w:rFonts w:hint="eastAsia" w:asciiTheme="minorEastAsia" w:hAnsiTheme="minorEastAsia" w:eastAsiaTheme="minorEastAsia" w:cstheme="minorEastAsia"/>
          <w:color w:val="auto"/>
          <w:sz w:val="24"/>
          <w:szCs w:val="24"/>
          <w:lang w:eastAsia="zh-CN"/>
        </w:rPr>
        <w:t>均由乙方承担</w:t>
      </w:r>
      <w:r>
        <w:rPr>
          <w:rFonts w:hint="eastAsia" w:asciiTheme="minorEastAsia" w:hAnsiTheme="minorEastAsia" w:eastAsiaTheme="minorEastAsia" w:cstheme="minorEastAsia"/>
          <w:color w:val="auto"/>
          <w:sz w:val="24"/>
          <w:szCs w:val="24"/>
          <w:lang w:val="en-US" w:eastAsia="zh-CN"/>
        </w:rPr>
        <w:t>相关责任及费用，甲方概不承担。</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二、支付方式：</w:t>
      </w:r>
      <w:r>
        <w:rPr>
          <w:rFonts w:hint="eastAsia" w:asciiTheme="minorEastAsia" w:hAnsiTheme="minorEastAsia" w:eastAsiaTheme="minorEastAsia" w:cstheme="minorEastAsia"/>
          <w:sz w:val="24"/>
          <w:szCs w:val="24"/>
          <w:lang w:val="en-US" w:eastAsia="zh-CN"/>
        </w:rPr>
        <w:t>依据</w:t>
      </w:r>
      <w:r>
        <w:rPr>
          <w:rFonts w:hint="eastAsia" w:asciiTheme="minorEastAsia" w:hAnsiTheme="minorEastAsia" w:eastAsiaTheme="minorEastAsia" w:cstheme="minorEastAsia"/>
          <w:sz w:val="24"/>
          <w:szCs w:val="24"/>
          <w:lang w:eastAsia="zh-CN"/>
        </w:rPr>
        <w:t>甲方考核</w:t>
      </w:r>
      <w:r>
        <w:rPr>
          <w:rFonts w:hint="eastAsia" w:asciiTheme="minorEastAsia" w:hAnsiTheme="minorEastAsia" w:eastAsiaTheme="minorEastAsia" w:cstheme="minorEastAsia"/>
          <w:sz w:val="24"/>
          <w:szCs w:val="24"/>
          <w:lang w:val="en-US" w:eastAsia="zh-CN"/>
        </w:rPr>
        <w:t>结果</w:t>
      </w:r>
      <w:r>
        <w:rPr>
          <w:rFonts w:hint="eastAsia" w:asciiTheme="minorEastAsia" w:hAnsiTheme="minorEastAsia" w:eastAsiaTheme="minorEastAsia" w:cstheme="minorEastAsia"/>
          <w:sz w:val="24"/>
          <w:szCs w:val="24"/>
          <w:lang w:eastAsia="zh-CN"/>
        </w:rPr>
        <w:t>按照季度支付，在下季度第一个月15日前向乙方支付上季度服务费。乙方领取服务费用时，须出具同等金额的正式发票。</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第四条：合同期限与终止</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1、合同期限为</w:t>
      </w:r>
      <w:r>
        <w:rPr>
          <w:rFonts w:hint="eastAsia" w:asciiTheme="minorEastAsia" w:hAnsiTheme="minorEastAsia" w:eastAsiaTheme="minorEastAsia" w:cstheme="minorEastAsia"/>
          <w:sz w:val="24"/>
          <w:szCs w:val="24"/>
          <w:u w:val="single"/>
          <w:lang w:eastAsia="zh-CN"/>
        </w:rPr>
        <w:t>三年</w:t>
      </w:r>
      <w:r>
        <w:rPr>
          <w:rFonts w:hint="eastAsia" w:asciiTheme="minorEastAsia" w:hAnsiTheme="minorEastAsia" w:eastAsiaTheme="minorEastAsia" w:cstheme="minorEastAsia"/>
          <w:sz w:val="24"/>
          <w:szCs w:val="24"/>
          <w:lang w:eastAsia="zh-CN"/>
        </w:rPr>
        <w:t>，一年一签。合同期满60日前，甲方应书面通知乙方办理合同终止移交或合同续签准备，若移交时设备或物品有损坏，应由乙方承担赔偿责任。逾期既视为合同继续履行，合同延续期最低按照一年时间执行：</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2、合同终止：</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(1)叁年合同期满，双方未续签的；</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甲乙方合同期叁年。在履行合同过程中，发现乙方不符合服务供应方(社会组织)应具备的条件以及未履行招标文件、合同条款中所规定的各项事宜及投标所承诺的事项的；乙方在服务时多次被甲方按照考核细则处罚，经营管理不到位，环境卫生绿化管养达不到制定标准和要求；在承包期内连续三个月或累计四个月考核得</w:t>
      </w:r>
      <w:r>
        <w:rPr>
          <w:rFonts w:hint="eastAsia" w:asciiTheme="minorEastAsia" w:hAnsiTheme="minorEastAsia" w:eastAsiaTheme="minorEastAsia" w:cstheme="minorEastAsia"/>
          <w:sz w:val="24"/>
          <w:szCs w:val="24"/>
          <w:lang w:val="en-US" w:eastAsia="zh-CN"/>
        </w:rPr>
        <w:t>120</w:t>
      </w:r>
      <w:r>
        <w:rPr>
          <w:rFonts w:hint="eastAsia" w:asciiTheme="minorEastAsia" w:hAnsiTheme="minorEastAsia" w:eastAsiaTheme="minorEastAsia" w:cstheme="minorEastAsia"/>
          <w:sz w:val="24"/>
          <w:szCs w:val="24"/>
          <w:lang w:eastAsia="zh-CN"/>
        </w:rPr>
        <w:t>分以下，经甲方督促整改，效果不明显的甲方可终止合同停止支付购买服务费同时不承担任何经济责任。履行合同过程中甲方未按期支付购买服务价款，经甲乙双方协商仍未在合理期限内支付购买服务价款，造成乙方无法继续履行合同的。</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(3)将服务项目整体转让给第三方的；</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(4)因不可抗力解除合同；</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(5)其他违约情形需要解除合同的；</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第五条：双方权利和义务</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(一)甲方的权利、义务：</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1、了解掌握服务标准落实情况，定期按照甲乙双方同意的考核细则对乙方服务情况进行检查考核。</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2、在提供服务过程中协调相关的政府部门和单位，协助乙方解决工作现场遇到的特殊问题。</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3、对乙方制定具体的考评意见。</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4、按合同约定向乙方支付经双方确认的服务费用。</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5、为乙方提供水源、安全用电等配套设施，以保证正常作业。</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6、甲方问乙方移交项目清单，乙方按照项目清单与现场进行核对，经现场核验后，最终以甲乙双方签字(盖章)给予确认的项目清单为准。</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(二)乙方的权利、义务：</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1、遵守甲方各项规章制度，服从甲方的管理，考核详见《</w:t>
      </w:r>
      <w:r>
        <w:rPr>
          <w:rFonts w:hint="eastAsia" w:asciiTheme="minorEastAsia" w:hAnsiTheme="minorEastAsia" w:eastAsiaTheme="minorEastAsia" w:cstheme="minorEastAsia"/>
          <w:sz w:val="24"/>
          <w:szCs w:val="24"/>
          <w:lang w:val="en-US" w:eastAsia="zh-CN"/>
        </w:rPr>
        <w:t>托克逊县城市环卫园林一体化管理项目第一包</w:t>
      </w:r>
      <w:r>
        <w:rPr>
          <w:rFonts w:hint="eastAsia" w:asciiTheme="minorEastAsia" w:hAnsiTheme="minorEastAsia" w:eastAsiaTheme="minorEastAsia" w:cstheme="minorEastAsia"/>
          <w:sz w:val="24"/>
          <w:szCs w:val="24"/>
          <w:lang w:eastAsia="zh-CN"/>
        </w:rPr>
        <w:t>考核</w:t>
      </w:r>
      <w:r>
        <w:rPr>
          <w:rFonts w:hint="eastAsia" w:asciiTheme="minorEastAsia" w:hAnsiTheme="minorEastAsia" w:eastAsiaTheme="minorEastAsia" w:cstheme="minorEastAsia"/>
          <w:sz w:val="24"/>
          <w:szCs w:val="24"/>
          <w:lang w:val="en-US" w:eastAsia="zh-CN"/>
        </w:rPr>
        <w:t>标准</w:t>
      </w:r>
      <w:r>
        <w:rPr>
          <w:rFonts w:hint="eastAsia" w:asciiTheme="minorEastAsia" w:hAnsiTheme="minorEastAsia" w:eastAsiaTheme="minorEastAsia" w:cstheme="minorEastAsia"/>
          <w:sz w:val="24"/>
          <w:szCs w:val="24"/>
          <w:lang w:eastAsia="zh-CN"/>
        </w:rPr>
        <w:t>》。严格按照操作规范以及环卫保洁和绿化养护标准进行工作，确保服务质量。</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2、接受甲方行政主管单位的检查和考核，为检查和考核提供条件。及时向甲方反映环卫绿化情况，确保服务范围内环卫保洁符合要求、花木草坪翠绿茂盛，景色怡人。</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对服务过程中的安全工作负全责，包括劳务用工、车辆、机械设备等。规范使用保洁消杀、绿化杀虫药剂等化学物品，杜绝对人员造成伤害和环境造成破坏。在服务过程中造成服务人员和第三人人身损害或财产损害的由乙方承担一切赔偿责任，与甲方无关。</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4、在履行合同过程中，乙方不得在未经甲方同意的情况下，将服务项目全部或部分转包或委托第三方实施，否则以违约视之。</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5、重要节日及庆典活动前必须进行全面巡查保洁，保证树木草坪整洁美观，城区内卫生干净整洁。遇有重要活动、节日庆典等必须全力跟踪配合，确保活动顺利进行。</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6、建立预警机制和各类突发事件预案，落实灾害天气下开展工作的预防措施。</w:t>
      </w:r>
      <w:r>
        <w:rPr>
          <w:rFonts w:hint="eastAsia" w:asciiTheme="minorEastAsia" w:hAnsiTheme="minorEastAsia" w:eastAsiaTheme="minorEastAsia" w:cstheme="minorEastAsia"/>
          <w:sz w:val="24"/>
          <w:szCs w:val="24"/>
          <w:lang w:val="en-US" w:eastAsia="zh-CN"/>
        </w:rPr>
        <w:t>高温、</w:t>
      </w:r>
      <w:r>
        <w:rPr>
          <w:rFonts w:hint="eastAsia" w:asciiTheme="minorEastAsia" w:hAnsiTheme="minorEastAsia" w:eastAsiaTheme="minorEastAsia" w:cstheme="minorEastAsia"/>
          <w:sz w:val="24"/>
          <w:szCs w:val="24"/>
          <w:lang w:eastAsia="zh-CN"/>
        </w:rPr>
        <w:t>防汛、暴雪期间，乙方无条件服从甲方的有关抢险调度。</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乙方应与聘用的服务人员签订用工合同，缴纳医疗保险、养老保险、失业保险、工伤保险、生育保险并购买雇主责任险；在重要节日期间，乙方应对一线工人进行走访、发放慰问品、慰问金等活动。乙方在用工期间，不得拖欠聘用服务人员工资，按时发放劳保用品，着装规范统一。</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8、乙方应按照财政部印发的财综[2014]96号文《政府购买服务管理办法 (暂行)》的规定，建立政府购买服务台帐，记录相关文件、工作计划方案、项目和资金批复、项目进展和资金支付、工作汇报总结、重要活动和其它有关资料信息，接受和配合相关部门对资金使用情况进行监督检查及绩效评价。</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9、乙方应按照财政部印发的财综[2014]96号文《政府购买服务管理办法(暂行)》的规定，建立健全财务制度，</w:t>
      </w:r>
      <w:r>
        <w:rPr>
          <w:rFonts w:hint="eastAsia" w:asciiTheme="minorEastAsia" w:hAnsiTheme="minorEastAsia" w:eastAsiaTheme="minorEastAsia" w:cstheme="minorEastAsia"/>
          <w:sz w:val="24"/>
          <w:szCs w:val="24"/>
          <w:lang w:val="en-US" w:eastAsia="zh-CN"/>
        </w:rPr>
        <w:t>严格</w:t>
      </w:r>
      <w:r>
        <w:rPr>
          <w:rFonts w:hint="eastAsia" w:asciiTheme="minorEastAsia" w:hAnsiTheme="minorEastAsia" w:eastAsiaTheme="minorEastAsia" w:cstheme="minorEastAsia"/>
          <w:sz w:val="24"/>
          <w:szCs w:val="24"/>
          <w:lang w:eastAsia="zh-CN"/>
        </w:rPr>
        <w:t>遵守相关财政财务规定，对购买服务的</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lang w:eastAsia="zh-CN"/>
        </w:rPr>
        <w:t>资金进行规范的</w:t>
      </w:r>
      <w:r>
        <w:rPr>
          <w:rFonts w:hint="eastAsia" w:asciiTheme="minorEastAsia" w:hAnsiTheme="minorEastAsia" w:eastAsiaTheme="minorEastAsia" w:cstheme="minorEastAsia"/>
          <w:sz w:val="24"/>
          <w:szCs w:val="24"/>
          <w:lang w:val="en-US" w:eastAsia="zh-CN"/>
        </w:rPr>
        <w:t>财</w:t>
      </w:r>
      <w:r>
        <w:rPr>
          <w:rFonts w:hint="eastAsia" w:asciiTheme="minorEastAsia" w:hAnsiTheme="minorEastAsia" w:eastAsiaTheme="minorEastAsia" w:cstheme="minorEastAsia"/>
          <w:sz w:val="24"/>
          <w:szCs w:val="24"/>
          <w:lang w:eastAsia="zh-CN"/>
        </w:rPr>
        <w:t>务管理和会计核算，</w:t>
      </w:r>
      <w:r>
        <w:rPr>
          <w:rFonts w:hint="eastAsia" w:asciiTheme="minorEastAsia" w:hAnsiTheme="minorEastAsia" w:eastAsiaTheme="minorEastAsia" w:cstheme="minorEastAsia"/>
          <w:sz w:val="24"/>
          <w:szCs w:val="24"/>
          <w:lang w:val="en-US" w:eastAsia="zh-CN"/>
        </w:rPr>
        <w:t>加强自身监督</w:t>
      </w:r>
      <w:r>
        <w:rPr>
          <w:rFonts w:hint="eastAsia" w:asciiTheme="minorEastAsia" w:hAnsiTheme="minorEastAsia" w:eastAsiaTheme="minorEastAsia" w:cstheme="minorEastAsia"/>
          <w:sz w:val="24"/>
          <w:szCs w:val="24"/>
          <w:lang w:eastAsia="zh-CN"/>
        </w:rPr>
        <w:t>，确保</w:t>
      </w:r>
      <w:r>
        <w:rPr>
          <w:rFonts w:hint="eastAsia" w:asciiTheme="minorEastAsia" w:hAnsiTheme="minorEastAsia" w:eastAsiaTheme="minorEastAsia" w:cstheme="minorEastAsia"/>
          <w:sz w:val="24"/>
          <w:szCs w:val="24"/>
          <w:lang w:val="en-US" w:eastAsia="zh-CN"/>
        </w:rPr>
        <w:t>资金规范</w:t>
      </w:r>
      <w:r>
        <w:rPr>
          <w:rFonts w:hint="eastAsia" w:asciiTheme="minorEastAsia" w:hAnsiTheme="minorEastAsia" w:eastAsiaTheme="minorEastAsia" w:cstheme="minorEastAsia"/>
          <w:sz w:val="24"/>
          <w:szCs w:val="24"/>
          <w:lang w:eastAsia="zh-CN"/>
        </w:rPr>
        <w:t>管理和使用。</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10、乙方应按照财政部印发的财综[2014]96号文《政府购买服务管理办法(暂行)》的规定，建立</w:t>
      </w:r>
      <w:r>
        <w:rPr>
          <w:rFonts w:hint="eastAsia" w:asciiTheme="minorEastAsia" w:hAnsiTheme="minorEastAsia" w:eastAsiaTheme="minorEastAsia" w:cstheme="minorEastAsia"/>
          <w:sz w:val="24"/>
          <w:szCs w:val="24"/>
          <w:lang w:val="en-US" w:eastAsia="zh-CN"/>
        </w:rPr>
        <w:t>健</w:t>
      </w:r>
      <w:r>
        <w:rPr>
          <w:rFonts w:hint="eastAsia" w:asciiTheme="minorEastAsia" w:hAnsiTheme="minorEastAsia" w:eastAsiaTheme="minorEastAsia" w:cstheme="minorEastAsia"/>
          <w:sz w:val="24"/>
          <w:szCs w:val="24"/>
          <w:lang w:eastAsia="zh-CN"/>
        </w:rPr>
        <w:t>全财务报告制度，按要求向甲方提供资金的使用情况、服务项目执行情况、成果总结等材料。</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11、调价机制。合同执行中，如果服务内容、服务范围等各调价因素单项变动时，甲乙双方均可发起调价程序。（</w:t>
      </w:r>
      <w:r>
        <w:rPr>
          <w:rFonts w:hint="eastAsia" w:asciiTheme="minorEastAsia" w:hAnsiTheme="minorEastAsia" w:eastAsiaTheme="minorEastAsia" w:cstheme="minorEastAsia"/>
          <w:color w:val="auto"/>
          <w:sz w:val="24"/>
          <w:szCs w:val="24"/>
          <w:lang w:val="en-US" w:eastAsia="zh-CN"/>
        </w:rPr>
        <w:t>最终以合同签订为准）</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eastAsia="zh-CN"/>
        </w:rPr>
        <w:t>(1)如遇国家或地方税收政策调整，影响服务成本的，甲乙双方均</w:t>
      </w:r>
      <w:r>
        <w:rPr>
          <w:rFonts w:hint="eastAsia" w:asciiTheme="minorEastAsia" w:hAnsiTheme="minorEastAsia" w:eastAsiaTheme="minorEastAsia" w:cstheme="minorEastAsia"/>
          <w:sz w:val="24"/>
          <w:szCs w:val="24"/>
          <w:lang w:eastAsia="zh-CN"/>
        </w:rPr>
        <w:t>可发起调价程序；</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(2)人工成本因政策性调整的，乙方需向甲方提出申请，经审核后按乙方申请调价之日起执行，付费方式按增加作业服务费支付乙方；</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(3)甲方对作业标准提出变化要求的。</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(4)每次调价工作发起方应以书面形式向对方提交调价申请，并提供变动依据。若为乙方发起的调价程序，甲方接到申请后，组织</w:t>
      </w:r>
      <w:r>
        <w:rPr>
          <w:rFonts w:hint="eastAsia" w:asciiTheme="minorEastAsia" w:hAnsiTheme="minorEastAsia" w:eastAsiaTheme="minorEastAsia" w:cstheme="minorEastAsia"/>
          <w:sz w:val="24"/>
          <w:szCs w:val="24"/>
          <w:lang w:val="en-US" w:eastAsia="zh-CN"/>
        </w:rPr>
        <w:t>托克逊县</w:t>
      </w:r>
      <w:r>
        <w:rPr>
          <w:rFonts w:hint="eastAsia" w:asciiTheme="minorEastAsia" w:hAnsiTheme="minorEastAsia" w:eastAsiaTheme="minorEastAsia" w:cstheme="minorEastAsia"/>
          <w:sz w:val="24"/>
          <w:szCs w:val="24"/>
          <w:lang w:eastAsia="zh-CN"/>
        </w:rPr>
        <w:t>财政部门、法制办和相关单位联合对项目财务进行审核，确定调整后的服务费价格；若为甲方发 起的调价程序，乙方应根据甲方核算数据进行核实，以便双方确定调整后的服务费价格。如果就价格调整出现分歧，双方可委托独立的第三方进行评估确认。价格调整的生效时间为触发调价机制的相关因素发生之日，支付时间为提出申请之日起30日内。</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第六条：违约责任</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(一)甲方无正当理由未能按合同约定支付购买服务款的，应向乙方支付同期购买服务款万分之三的违约金。</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(二)乙方违反合同约定，提供的服务不能达到合同约定的标准，在甲方提出整改期限内仍不能达到标准的，甲方有权解除合同，合同当期应付款不予支付，并且乙方向甲方支付当期应付款</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的违约金。</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因甲方原因导致乙方不能履行合同的，甲方除支付乙方当期应付款全部费用外，并应向乙方支付当期应付款项万分之三的违约金。因乙方原因导致甲方不能履行合同的，甲方有权解除合同，拒绝支付剩余款项，且乙方需向甲方支付服务总价款项万分之三的违约金。</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(四)在合同履行过程中，双方因违约或重大过失造成对方经济损失的，应当按照各自的过错程度承担相应的损失比例(包含特种设备)。</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(五)承包期内、如果乙方要终止协议，需提前两个月以书面形式通知对方。</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第七条：奖惩措施</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(一)根据甲方制定的考核细则，甲方按照日常工作标准实行日考核、周汇总、月考核、年评级，乙方提供的服务不符合约定的服务标准时应承担违约责任，甲方依据《合同》附件《</w:t>
      </w:r>
      <w:r>
        <w:rPr>
          <w:rFonts w:hint="eastAsia" w:asciiTheme="minorEastAsia" w:hAnsiTheme="minorEastAsia" w:eastAsiaTheme="minorEastAsia" w:cstheme="minorEastAsia"/>
          <w:sz w:val="24"/>
          <w:szCs w:val="24"/>
          <w:lang w:val="en-US" w:eastAsia="zh-CN"/>
        </w:rPr>
        <w:t>托克逊县城市环卫园林一体化管理项目第一包</w:t>
      </w:r>
      <w:r>
        <w:rPr>
          <w:rFonts w:hint="eastAsia" w:asciiTheme="minorEastAsia" w:hAnsiTheme="minorEastAsia" w:eastAsiaTheme="minorEastAsia" w:cstheme="minorEastAsia"/>
          <w:sz w:val="24"/>
          <w:szCs w:val="24"/>
          <w:lang w:eastAsia="zh-CN"/>
        </w:rPr>
        <w:t>考核</w:t>
      </w:r>
      <w:r>
        <w:rPr>
          <w:rFonts w:hint="eastAsia" w:asciiTheme="minorEastAsia" w:hAnsiTheme="minorEastAsia" w:eastAsiaTheme="minorEastAsia" w:cstheme="minorEastAsia"/>
          <w:sz w:val="24"/>
          <w:szCs w:val="24"/>
          <w:lang w:val="en-US" w:eastAsia="zh-CN"/>
        </w:rPr>
        <w:t>标准</w:t>
      </w:r>
      <w:r>
        <w:rPr>
          <w:rFonts w:hint="eastAsia" w:asciiTheme="minorEastAsia" w:hAnsiTheme="minorEastAsia" w:eastAsiaTheme="minorEastAsia" w:cstheme="minorEastAsia"/>
          <w:sz w:val="24"/>
          <w:szCs w:val="24"/>
          <w:lang w:eastAsia="zh-CN"/>
        </w:rPr>
        <w:t>》对乙方扣除相应分值，每分值对应金额</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000元，违约金从购买服务费中扣除。</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(二)高标准、高质量完成重要政务活动环境保障和园林养护等工作任务，包括领导视察(</w:t>
      </w:r>
      <w:r>
        <w:rPr>
          <w:rFonts w:hint="eastAsia" w:asciiTheme="minorEastAsia" w:hAnsiTheme="minorEastAsia" w:eastAsiaTheme="minorEastAsia" w:cstheme="minorEastAsia"/>
          <w:sz w:val="24"/>
          <w:szCs w:val="24"/>
          <w:lang w:val="en-US" w:eastAsia="zh-CN"/>
        </w:rPr>
        <w:t>县</w:t>
      </w:r>
      <w:r>
        <w:rPr>
          <w:rFonts w:hint="eastAsia" w:asciiTheme="minorEastAsia" w:hAnsiTheme="minorEastAsia" w:eastAsiaTheme="minorEastAsia" w:cstheme="minorEastAsia"/>
          <w:sz w:val="24"/>
          <w:szCs w:val="24"/>
          <w:lang w:eastAsia="zh-CN"/>
        </w:rPr>
        <w:t>级以上领导)或大型活动等，完成非责任范围内的应急保障工作任务的，突发事件应急保障中作用明显，经甲方书面认可，每次加5分；“抓、拍”随手乱扔垃圾，占用、破坏绿地，市政设施，停车占道等不文明视频，及时上报经甲方录用的，每录用20条加1分；环卫、园林工作突出，有</w:t>
      </w:r>
      <w:r>
        <w:rPr>
          <w:rFonts w:hint="eastAsia" w:asciiTheme="minorEastAsia" w:hAnsiTheme="minorEastAsia" w:eastAsiaTheme="minorEastAsia" w:cstheme="minorEastAsia"/>
          <w:sz w:val="24"/>
          <w:szCs w:val="24"/>
          <w:lang w:val="en-US" w:eastAsia="zh-CN"/>
        </w:rPr>
        <w:t>县</w:t>
      </w:r>
      <w:r>
        <w:rPr>
          <w:rFonts w:hint="eastAsia" w:asciiTheme="minorEastAsia" w:hAnsiTheme="minorEastAsia" w:eastAsiaTheme="minorEastAsia" w:cstheme="minorEastAsia"/>
          <w:sz w:val="24"/>
          <w:szCs w:val="24"/>
          <w:lang w:eastAsia="zh-CN"/>
        </w:rPr>
        <w:t>级以上领导表扬批示并有相关文件，经甲方书面认可，每次加3分；被新闻媒体表扬，经核实的，加5分；工作信息经甲方审核上报，被</w:t>
      </w:r>
      <w:r>
        <w:rPr>
          <w:rFonts w:hint="eastAsia" w:asciiTheme="minorEastAsia" w:hAnsiTheme="minorEastAsia" w:eastAsiaTheme="minorEastAsia" w:cstheme="minorEastAsia"/>
          <w:sz w:val="24"/>
          <w:szCs w:val="24"/>
          <w:lang w:val="en-US" w:eastAsia="zh-CN"/>
        </w:rPr>
        <w:t>县</w:t>
      </w:r>
      <w:r>
        <w:rPr>
          <w:rFonts w:hint="eastAsia" w:asciiTheme="minorEastAsia" w:hAnsiTheme="minorEastAsia" w:eastAsiaTheme="minorEastAsia" w:cstheme="minorEastAsia"/>
          <w:sz w:val="24"/>
          <w:szCs w:val="24"/>
          <w:lang w:eastAsia="zh-CN"/>
        </w:rPr>
        <w:t>级网站采用1篇加0.1分，被</w:t>
      </w:r>
      <w:r>
        <w:rPr>
          <w:rFonts w:hint="eastAsia" w:asciiTheme="minorEastAsia" w:hAnsiTheme="minorEastAsia" w:eastAsiaTheme="minorEastAsia" w:cstheme="minorEastAsia"/>
          <w:sz w:val="24"/>
          <w:szCs w:val="24"/>
          <w:lang w:val="en-US" w:eastAsia="zh-CN"/>
        </w:rPr>
        <w:t>市</w:t>
      </w:r>
      <w:r>
        <w:rPr>
          <w:rFonts w:hint="eastAsia" w:asciiTheme="minorEastAsia" w:hAnsiTheme="minorEastAsia" w:eastAsiaTheme="minorEastAsia" w:cstheme="minorEastAsia"/>
          <w:sz w:val="24"/>
          <w:szCs w:val="24"/>
          <w:lang w:eastAsia="zh-CN"/>
        </w:rPr>
        <w:t>级</w:t>
      </w:r>
      <w:r>
        <w:rPr>
          <w:rFonts w:hint="eastAsia" w:asciiTheme="minorEastAsia" w:hAnsiTheme="minorEastAsia" w:eastAsiaTheme="minorEastAsia" w:cstheme="minorEastAsia"/>
          <w:sz w:val="24"/>
          <w:szCs w:val="24"/>
          <w:lang w:val="en-US" w:eastAsia="zh-CN"/>
        </w:rPr>
        <w:t>及以上</w:t>
      </w:r>
      <w:r>
        <w:rPr>
          <w:rFonts w:hint="eastAsia" w:asciiTheme="minorEastAsia" w:hAnsiTheme="minorEastAsia" w:eastAsiaTheme="minorEastAsia" w:cstheme="minorEastAsia"/>
          <w:sz w:val="24"/>
          <w:szCs w:val="24"/>
          <w:lang w:eastAsia="zh-CN"/>
        </w:rPr>
        <w:t>网站采用1篇加0.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分。</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(三)在合同服务期间，经政府及相关职能部门监督考核或新闻媒体的舆论监督，若发现乙方所提供的服务内容不符合有关标准细则，首先应按照《考核细则》对乙方扣除相应分值，每分值对应金额</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000元，违约金从购买服务费中扣除；若被</w:t>
      </w:r>
      <w:r>
        <w:rPr>
          <w:rFonts w:hint="eastAsia" w:asciiTheme="minorEastAsia" w:hAnsiTheme="minorEastAsia" w:eastAsiaTheme="minorEastAsia" w:cstheme="minorEastAsia"/>
          <w:sz w:val="24"/>
          <w:szCs w:val="24"/>
          <w:lang w:val="en-US" w:eastAsia="zh-CN"/>
        </w:rPr>
        <w:t>县</w:t>
      </w:r>
      <w:r>
        <w:rPr>
          <w:rFonts w:hint="eastAsia" w:asciiTheme="minorEastAsia" w:hAnsiTheme="minorEastAsia" w:eastAsiaTheme="minorEastAsia" w:cstheme="minorEastAsia"/>
          <w:sz w:val="24"/>
          <w:szCs w:val="24"/>
          <w:lang w:eastAsia="zh-CN"/>
        </w:rPr>
        <w:t>级</w:t>
      </w:r>
      <w:r>
        <w:rPr>
          <w:rFonts w:hint="eastAsia" w:asciiTheme="minorEastAsia" w:hAnsiTheme="minorEastAsia" w:eastAsiaTheme="minorEastAsia" w:cstheme="minorEastAsia"/>
          <w:sz w:val="24"/>
          <w:szCs w:val="24"/>
          <w:lang w:val="en-US" w:eastAsia="zh-CN"/>
        </w:rPr>
        <w:t>及以上</w:t>
      </w:r>
      <w:r>
        <w:rPr>
          <w:rFonts w:hint="eastAsia" w:asciiTheme="minorEastAsia" w:hAnsiTheme="minorEastAsia" w:eastAsiaTheme="minorEastAsia" w:cstheme="minorEastAsia"/>
          <w:sz w:val="24"/>
          <w:szCs w:val="24"/>
          <w:lang w:eastAsia="zh-CN"/>
        </w:rPr>
        <w:t>点名批评、通报后，未按甲方给定的期限内改善服务质量的，每次扣款5000元，并以此类推，累积计算，违约金从服务费中扣除。</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(四)迎接</w:t>
      </w:r>
      <w:r>
        <w:rPr>
          <w:rFonts w:hint="eastAsia" w:asciiTheme="minorEastAsia" w:hAnsiTheme="minorEastAsia" w:eastAsiaTheme="minorEastAsia" w:cstheme="minorEastAsia"/>
          <w:sz w:val="24"/>
          <w:szCs w:val="24"/>
          <w:lang w:val="en-US" w:eastAsia="zh-CN"/>
        </w:rPr>
        <w:t>托克逊县</w:t>
      </w:r>
      <w:r>
        <w:rPr>
          <w:rFonts w:hint="eastAsia" w:asciiTheme="minorEastAsia" w:hAnsiTheme="minorEastAsia" w:eastAsiaTheme="minorEastAsia" w:cstheme="minorEastAsia"/>
          <w:sz w:val="24"/>
          <w:szCs w:val="24"/>
          <w:lang w:eastAsia="zh-CN"/>
        </w:rPr>
        <w:t>各类检查验收及领导观摩调研不予重视，对保洁区域卫生不进行清理整治，影响我</w:t>
      </w:r>
      <w:r>
        <w:rPr>
          <w:rFonts w:hint="eastAsia" w:asciiTheme="minorEastAsia" w:hAnsiTheme="minorEastAsia" w:eastAsiaTheme="minorEastAsia" w:cstheme="minorEastAsia"/>
          <w:sz w:val="24"/>
          <w:szCs w:val="24"/>
          <w:lang w:val="en-US" w:eastAsia="zh-CN"/>
        </w:rPr>
        <w:t>县</w:t>
      </w:r>
      <w:r>
        <w:rPr>
          <w:rFonts w:hint="eastAsia" w:asciiTheme="minorEastAsia" w:hAnsiTheme="minorEastAsia" w:eastAsiaTheme="minorEastAsia" w:cstheme="minorEastAsia"/>
          <w:sz w:val="24"/>
          <w:szCs w:val="24"/>
          <w:lang w:eastAsia="zh-CN"/>
        </w:rPr>
        <w:t>整体形象的，被</w:t>
      </w:r>
      <w:r>
        <w:rPr>
          <w:rFonts w:hint="eastAsia" w:asciiTheme="minorEastAsia" w:hAnsiTheme="minorEastAsia" w:eastAsiaTheme="minorEastAsia" w:cstheme="minorEastAsia"/>
          <w:sz w:val="24"/>
          <w:szCs w:val="24"/>
          <w:lang w:val="en-US" w:eastAsia="zh-CN"/>
        </w:rPr>
        <w:t>县</w:t>
      </w:r>
      <w:r>
        <w:rPr>
          <w:rFonts w:hint="eastAsia" w:asciiTheme="minorEastAsia" w:hAnsiTheme="minorEastAsia" w:eastAsiaTheme="minorEastAsia" w:cstheme="minorEastAsia"/>
          <w:sz w:val="24"/>
          <w:szCs w:val="24"/>
          <w:lang w:eastAsia="zh-CN"/>
        </w:rPr>
        <w:t>级曝光、通报的扣违约金5000元；在</w:t>
      </w:r>
      <w:r>
        <w:rPr>
          <w:rFonts w:hint="eastAsia" w:asciiTheme="minorEastAsia" w:hAnsiTheme="minorEastAsia" w:eastAsiaTheme="minorEastAsia" w:cstheme="minorEastAsia"/>
          <w:sz w:val="24"/>
          <w:szCs w:val="24"/>
          <w:lang w:val="en-US" w:eastAsia="zh-CN"/>
        </w:rPr>
        <w:t>托克逊县</w:t>
      </w:r>
      <w:r>
        <w:rPr>
          <w:rFonts w:hint="eastAsia" w:asciiTheme="minorEastAsia" w:hAnsiTheme="minorEastAsia" w:eastAsiaTheme="minorEastAsia" w:cstheme="minorEastAsia"/>
          <w:sz w:val="24"/>
          <w:szCs w:val="24"/>
          <w:lang w:eastAsia="zh-CN"/>
        </w:rPr>
        <w:t>检查、验收观摩中出现问题扣违约金10000元，扣违约金从服务费中扣除。</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第八条：考核实施办法</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1、甲方按照日常工作标准实行日考核、周汇总、月考核、年评级</w:t>
      </w:r>
      <w:r>
        <w:rPr>
          <w:rFonts w:hint="eastAsia" w:asciiTheme="minorEastAsia" w:hAnsiTheme="minorEastAsia" w:eastAsiaTheme="minorEastAsia" w:cstheme="minorEastAsia"/>
          <w:sz w:val="24"/>
          <w:szCs w:val="24"/>
          <w:lang w:val="en-US" w:eastAsia="zh-CN"/>
        </w:rPr>
        <w:t>并按照环卫服务标准、园林服务标准及考核细则作出相应的处罚</w:t>
      </w:r>
      <w:r>
        <w:rPr>
          <w:rFonts w:hint="eastAsia" w:asciiTheme="minorEastAsia" w:hAnsiTheme="minorEastAsia" w:eastAsiaTheme="minorEastAsia" w:cstheme="minorEastAsia"/>
          <w:sz w:val="24"/>
          <w:szCs w:val="24"/>
          <w:lang w:eastAsia="zh-CN"/>
        </w:rPr>
        <w:t>。将考核情况向财政局报备，兑现扣除考核养护管理经费，每次考核完成后将考核扣分结果进行通报。</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2、开展每周随机抽查考核方式，做好日常工作落实和巡查问题整治。对日常巡查发现问题，按发现问题情节轻重给予整改或扣分处理。</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3、开展每月随机抽查考核方式。随机抽不少于5个点位，如被督查出问题，将按考核细则执行。</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4、由甲方组织不定期考核打分制。做到集中考核、随机考核、日考核相结合，并在此范围内，考核组可以随机抽查、定时检查或者通知相关单位共同参与考核。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由考核小组每月进行考核，等级划分为：优秀、合格、不合格。考核小组成员进行统一打分，以考核分数为最终结果。90分以上（含90分）为优秀，60-90分以上（含60分）为合格，60分以下（不含60分）为不合格。</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第九条：项目移交</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期满前十日内，甲方应组织相关人员就甲方享有所有权的特种车辆等设施、设备进行现场验收，甲方享有所有权的特种车辆等设施、设备应当处于经合理使用、维修维护、保养后的正常状态，否则乙方应承担维护维修、保养责任及相关费用。</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第十条：本合同未尽事宜，合同当事人另行签订补充协议，补充协议是合同的组成部分。本合同在履行过程中若发生争议，先由甲、乙方协商解决，经协商后不能达成解决协议的，向</w:t>
      </w:r>
      <w:r>
        <w:rPr>
          <w:rFonts w:hint="eastAsia" w:asciiTheme="minorEastAsia" w:hAnsiTheme="minorEastAsia" w:eastAsiaTheme="minorEastAsia" w:cstheme="minorEastAsia"/>
          <w:sz w:val="24"/>
          <w:szCs w:val="24"/>
          <w:lang w:val="en-US" w:eastAsia="zh-CN"/>
        </w:rPr>
        <w:t>托克逊县</w:t>
      </w:r>
      <w:r>
        <w:rPr>
          <w:rFonts w:hint="eastAsia" w:asciiTheme="minorEastAsia" w:hAnsiTheme="minorEastAsia" w:eastAsiaTheme="minorEastAsia" w:cstheme="minorEastAsia"/>
          <w:sz w:val="24"/>
          <w:szCs w:val="24"/>
          <w:lang w:eastAsia="zh-CN"/>
        </w:rPr>
        <w:t>人民法院提起诉讼。</w:t>
      </w:r>
    </w:p>
    <w:p>
      <w:pPr>
        <w:keepNext w:val="0"/>
        <w:keepLines w:val="0"/>
        <w:pageBreakBefore w:val="0"/>
        <w:widowControl w:val="0"/>
        <w:kinsoku/>
        <w:wordWrap/>
        <w:overflowPunct/>
        <w:topLinePunct w:val="0"/>
        <w:autoSpaceDN/>
        <w:bidi w:val="0"/>
        <w:snapToGrid/>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第十一条：合同份数一式四份，每份均具有同等法律效力。</w:t>
      </w:r>
    </w:p>
    <w:p>
      <w:pPr>
        <w:keepNext w:val="0"/>
        <w:keepLines w:val="0"/>
        <w:pageBreakBefore w:val="0"/>
        <w:widowControl w:val="0"/>
        <w:kinsoku/>
        <w:wordWrap/>
        <w:overflowPunct/>
        <w:topLinePunct w:val="0"/>
        <w:autoSpaceDN/>
        <w:bidi w:val="0"/>
        <w:snapToGrid/>
        <w:spacing w:line="360" w:lineRule="exac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N/>
        <w:bidi w:val="0"/>
        <w:snapToGrid/>
        <w:spacing w:line="360" w:lineRule="exact"/>
        <w:textAlignment w:val="auto"/>
        <w:rPr>
          <w:rFonts w:hint="eastAsia" w:asciiTheme="minorEastAsia" w:hAnsiTheme="minorEastAsia" w:eastAsiaTheme="minorEastAsia" w:cstheme="minorEastAsia"/>
          <w:spacing w:val="19"/>
          <w:position w:val="20"/>
          <w:sz w:val="24"/>
          <w:szCs w:val="24"/>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eastAsiaTheme="minorEastAsia" w:cstheme="minorEastAsia"/>
          <w:sz w:val="24"/>
          <w:szCs w:val="24"/>
          <w:lang w:val="en-US" w:eastAsia="zh-CN"/>
        </w:rPr>
        <w:t>托克逊县城市环卫园林一体化管理项目第一包</w:t>
      </w:r>
      <w:r>
        <w:rPr>
          <w:rFonts w:hint="eastAsia" w:asciiTheme="minorEastAsia" w:hAnsiTheme="minorEastAsia" w:eastAsiaTheme="minorEastAsia" w:cstheme="minorEastAsia"/>
          <w:sz w:val="24"/>
          <w:szCs w:val="24"/>
          <w:lang w:eastAsia="zh-CN"/>
        </w:rPr>
        <w:t>考核</w:t>
      </w:r>
      <w:r>
        <w:rPr>
          <w:rFonts w:hint="eastAsia" w:asciiTheme="minorEastAsia" w:hAnsiTheme="minorEastAsia" w:eastAsiaTheme="minorEastAsia" w:cstheme="minorEastAsia"/>
          <w:sz w:val="24"/>
          <w:szCs w:val="24"/>
          <w:lang w:val="en-US" w:eastAsia="zh-CN"/>
        </w:rPr>
        <w:t>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甲方（盖章）：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法定代表人(或委托代理):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 期 ：     年  月  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乙方（盖章）：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法定代表人(或委托代理):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sz w:val="24"/>
          <w:szCs w:val="24"/>
          <w:lang w:eastAsia="zh-CN"/>
        </w:rPr>
        <w:t>日 期 ：     年  月  日</w:t>
      </w:r>
    </w:p>
    <w:p>
      <w:pPr>
        <w:pageBreakBefore w:val="0"/>
        <w:kinsoku/>
        <w:wordWrap/>
        <w:overflowPunct/>
        <w:topLinePunct w:val="0"/>
        <w:bidi w:val="0"/>
        <w:spacing w:beforeAutospacing="0" w:afterAutospacing="0" w:line="400" w:lineRule="exact"/>
        <w:jc w:val="center"/>
        <w:rPr>
          <w:rFonts w:hint="eastAsia" w:asciiTheme="minorEastAsia" w:hAnsiTheme="minorEastAsia" w:eastAsiaTheme="minorEastAsia" w:cstheme="minorEastAsia"/>
          <w:b/>
          <w:bCs/>
          <w:w w:val="90"/>
          <w:sz w:val="24"/>
          <w:szCs w:val="24"/>
        </w:rPr>
      </w:pPr>
    </w:p>
    <w:p>
      <w:pPr>
        <w:pageBreakBefore w:val="0"/>
        <w:kinsoku/>
        <w:wordWrap/>
        <w:overflowPunct/>
        <w:topLinePunct w:val="0"/>
        <w:bidi w:val="0"/>
        <w:spacing w:beforeAutospacing="0" w:afterAutospacing="0" w:line="400" w:lineRule="exact"/>
        <w:jc w:val="center"/>
        <w:rPr>
          <w:rFonts w:hint="eastAsia" w:asciiTheme="minorEastAsia" w:hAnsiTheme="minorEastAsia" w:eastAsiaTheme="minorEastAsia" w:cstheme="minorEastAsia"/>
          <w:b/>
          <w:bCs/>
          <w:w w:val="90"/>
          <w:sz w:val="24"/>
          <w:szCs w:val="24"/>
        </w:rPr>
      </w:pPr>
    </w:p>
    <w:p>
      <w:pPr>
        <w:pageBreakBefore w:val="0"/>
        <w:kinsoku/>
        <w:wordWrap/>
        <w:overflowPunct/>
        <w:topLinePunct w:val="0"/>
        <w:bidi w:val="0"/>
        <w:spacing w:beforeAutospacing="0" w:afterAutospacing="0" w:line="400" w:lineRule="exact"/>
        <w:jc w:val="center"/>
        <w:rPr>
          <w:rFonts w:hint="eastAsia" w:asciiTheme="minorEastAsia" w:hAnsiTheme="minorEastAsia" w:eastAsiaTheme="minorEastAsia" w:cstheme="minorEastAsia"/>
          <w:b/>
          <w:bCs/>
          <w:w w:val="90"/>
          <w:sz w:val="24"/>
          <w:szCs w:val="24"/>
        </w:rPr>
      </w:pPr>
    </w:p>
    <w:p>
      <w:pPr>
        <w:pageBreakBefore w:val="0"/>
        <w:kinsoku/>
        <w:wordWrap/>
        <w:overflowPunct/>
        <w:topLinePunct w:val="0"/>
        <w:bidi w:val="0"/>
        <w:spacing w:beforeAutospacing="0" w:afterAutospacing="0" w:line="400" w:lineRule="exact"/>
        <w:jc w:val="center"/>
        <w:rPr>
          <w:rFonts w:hint="eastAsia" w:asciiTheme="minorEastAsia" w:hAnsiTheme="minorEastAsia" w:eastAsiaTheme="minorEastAsia" w:cstheme="minorEastAsia"/>
          <w:b/>
          <w:bCs/>
          <w:w w:val="90"/>
          <w:sz w:val="24"/>
          <w:szCs w:val="24"/>
        </w:rPr>
      </w:pPr>
    </w:p>
    <w:p>
      <w:pPr>
        <w:pageBreakBefore w:val="0"/>
        <w:kinsoku/>
        <w:wordWrap/>
        <w:overflowPunct/>
        <w:topLinePunct w:val="0"/>
        <w:bidi w:val="0"/>
        <w:spacing w:beforeAutospacing="0" w:afterAutospacing="0" w:line="400" w:lineRule="exact"/>
        <w:jc w:val="center"/>
        <w:rPr>
          <w:rFonts w:hint="eastAsia" w:asciiTheme="minorEastAsia" w:hAnsiTheme="minorEastAsia" w:eastAsiaTheme="minorEastAsia" w:cstheme="minorEastAsia"/>
          <w:b/>
          <w:bCs/>
          <w:w w:val="90"/>
          <w:sz w:val="24"/>
          <w:szCs w:val="24"/>
        </w:rPr>
      </w:pPr>
    </w:p>
    <w:p>
      <w:pPr>
        <w:pageBreakBefore w:val="0"/>
        <w:kinsoku/>
        <w:wordWrap/>
        <w:overflowPunct/>
        <w:topLinePunct w:val="0"/>
        <w:bidi w:val="0"/>
        <w:spacing w:beforeAutospacing="0" w:afterAutospacing="0" w:line="400" w:lineRule="exact"/>
        <w:jc w:val="center"/>
        <w:rPr>
          <w:rFonts w:hint="eastAsia" w:asciiTheme="minorEastAsia" w:hAnsiTheme="minorEastAsia" w:eastAsiaTheme="minorEastAsia" w:cstheme="minorEastAsia"/>
          <w:b/>
          <w:bCs/>
          <w:w w:val="90"/>
          <w:sz w:val="24"/>
          <w:szCs w:val="24"/>
        </w:rPr>
      </w:pPr>
    </w:p>
    <w:p>
      <w:pPr>
        <w:pageBreakBefore w:val="0"/>
        <w:kinsoku/>
        <w:wordWrap/>
        <w:overflowPunct/>
        <w:topLinePunct w:val="0"/>
        <w:bidi w:val="0"/>
        <w:spacing w:beforeAutospacing="0" w:afterAutospacing="0" w:line="400" w:lineRule="exact"/>
        <w:jc w:val="center"/>
        <w:rPr>
          <w:rFonts w:hint="eastAsia" w:asciiTheme="minorEastAsia" w:hAnsiTheme="minorEastAsia" w:eastAsiaTheme="minorEastAsia" w:cstheme="minorEastAsia"/>
          <w:b/>
          <w:bCs/>
          <w:w w:val="90"/>
          <w:sz w:val="24"/>
          <w:szCs w:val="24"/>
        </w:rPr>
      </w:pPr>
    </w:p>
    <w:p>
      <w:pPr>
        <w:pageBreakBefore w:val="0"/>
        <w:kinsoku/>
        <w:wordWrap/>
        <w:overflowPunct/>
        <w:topLinePunct w:val="0"/>
        <w:bidi w:val="0"/>
        <w:spacing w:beforeAutospacing="0" w:afterAutospacing="0" w:line="400" w:lineRule="exact"/>
        <w:jc w:val="center"/>
        <w:rPr>
          <w:rFonts w:hint="eastAsia" w:asciiTheme="minorEastAsia" w:hAnsiTheme="minorEastAsia" w:eastAsiaTheme="minorEastAsia" w:cstheme="minorEastAsia"/>
          <w:b/>
          <w:bCs/>
          <w:w w:val="90"/>
          <w:sz w:val="24"/>
          <w:szCs w:val="24"/>
        </w:rPr>
      </w:pPr>
    </w:p>
    <w:p>
      <w:pPr>
        <w:pStyle w:val="2"/>
        <w:rPr>
          <w:rFonts w:hint="eastAsia" w:asciiTheme="minorEastAsia" w:hAnsiTheme="minorEastAsia" w:eastAsiaTheme="minorEastAsia" w:cstheme="minorEastAsia"/>
          <w:b/>
          <w:bCs/>
          <w:w w:val="90"/>
          <w:sz w:val="24"/>
          <w:szCs w:val="24"/>
        </w:rPr>
      </w:pPr>
    </w:p>
    <w:p>
      <w:pPr>
        <w:pStyle w:val="2"/>
        <w:rPr>
          <w:rFonts w:hint="eastAsia" w:asciiTheme="minorEastAsia" w:hAnsiTheme="minorEastAsia" w:eastAsiaTheme="minorEastAsia" w:cstheme="minorEastAsia"/>
          <w:b/>
          <w:bCs/>
          <w:w w:val="90"/>
          <w:sz w:val="24"/>
          <w:szCs w:val="24"/>
        </w:rPr>
      </w:pPr>
    </w:p>
    <w:p>
      <w:pPr>
        <w:pageBreakBefore w:val="0"/>
        <w:kinsoku/>
        <w:wordWrap/>
        <w:overflowPunct/>
        <w:topLinePunct w:val="0"/>
        <w:bidi w:val="0"/>
        <w:spacing w:beforeAutospacing="0" w:afterAutospacing="0" w:line="400" w:lineRule="exact"/>
        <w:jc w:val="center"/>
        <w:rPr>
          <w:rFonts w:hint="eastAsia" w:asciiTheme="minorEastAsia" w:hAnsiTheme="minorEastAsia" w:eastAsiaTheme="minorEastAsia" w:cstheme="minorEastAsia"/>
          <w:b/>
          <w:bCs/>
          <w:w w:val="90"/>
          <w:sz w:val="24"/>
          <w:szCs w:val="24"/>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bCs/>
          <w:w w:val="90"/>
          <w:sz w:val="24"/>
          <w:szCs w:val="24"/>
        </w:rPr>
      </w:pPr>
    </w:p>
    <w:p>
      <w:pPr>
        <w:pageBreakBefore w:val="0"/>
        <w:kinsoku/>
        <w:wordWrap/>
        <w:overflowPunct/>
        <w:topLinePunct w:val="0"/>
        <w:bidi w:val="0"/>
        <w:spacing w:beforeAutospacing="0" w:afterAutospacing="0" w:line="400" w:lineRule="exact"/>
        <w:jc w:val="both"/>
        <w:rPr>
          <w:rFonts w:hint="eastAsia" w:ascii="宋体" w:hAnsi="宋体" w:eastAsia="宋体" w:cs="宋体"/>
          <w:b/>
          <w:bCs/>
          <w:w w:val="90"/>
          <w:sz w:val="24"/>
          <w:szCs w:val="24"/>
          <w:lang w:eastAsia="zh-CN"/>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bCs/>
          <w:w w:val="90"/>
          <w:sz w:val="24"/>
          <w:szCs w:val="24"/>
        </w:rPr>
      </w:pPr>
      <w:r>
        <w:rPr>
          <w:rFonts w:hint="eastAsia" w:ascii="宋体" w:hAnsi="宋体" w:eastAsia="宋体" w:cs="宋体"/>
          <w:b/>
          <w:kern w:val="2"/>
          <w:sz w:val="24"/>
          <w:szCs w:val="24"/>
          <w:lang w:val="en-US" w:eastAsia="zh-CN" w:bidi="ar-SA"/>
        </w:rPr>
        <w:t>合同专用条款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本部分是对前部分的补充和修改，如果前部分和本部分的约定不一致，应以本部分的约定为准。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条款号</w:t>
      </w:r>
      <w:r>
        <w:rPr>
          <w:rFonts w:hint="eastAsia" w:ascii="宋体" w:hAnsi="宋体" w:eastAsia="宋体" w:cs="宋体"/>
          <w:sz w:val="24"/>
          <w:szCs w:val="24"/>
        </w:rPr>
        <w:tab/>
      </w:r>
      <w:r>
        <w:rPr>
          <w:rFonts w:hint="eastAsia" w:ascii="宋体" w:hAnsi="宋体" w:eastAsia="宋体" w:cs="宋体"/>
          <w:sz w:val="24"/>
          <w:szCs w:val="24"/>
        </w:rPr>
        <w:t>约定内容</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作业内容：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环卫：</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1、道路等铺装地面每天进行普扫</w:t>
      </w:r>
      <w:r>
        <w:rPr>
          <w:rFonts w:hint="eastAsia" w:ascii="宋体" w:hAnsi="宋体" w:cs="宋体"/>
          <w:sz w:val="24"/>
          <w:szCs w:val="24"/>
          <w:lang w:eastAsia="zh-CN"/>
        </w:rPr>
        <w:t>，</w:t>
      </w:r>
      <w:r>
        <w:rPr>
          <w:rFonts w:hint="eastAsia" w:ascii="宋体" w:hAnsi="宋体" w:cs="宋体"/>
          <w:sz w:val="24"/>
          <w:szCs w:val="24"/>
          <w:lang w:val="en-US" w:eastAsia="zh-CN"/>
        </w:rPr>
        <w:t>道路、背街小巷等的洒水降尘</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2、水电设施、配电箱、座椅、管理房、雕塑、小品、亭廊、桥梁、喷泉、大屏幕、栏杆</w:t>
      </w:r>
      <w:r>
        <w:rPr>
          <w:rFonts w:hint="eastAsia" w:ascii="宋体" w:hAnsi="宋体" w:cs="宋体"/>
          <w:color w:val="auto"/>
          <w:kern w:val="2"/>
          <w:sz w:val="24"/>
          <w:szCs w:val="24"/>
          <w:highlight w:val="none"/>
          <w:lang w:val="en-US" w:eastAsia="zh-CN" w:bidi="ar-SA"/>
        </w:rPr>
        <w:t>（汉白玉栏杆除外）</w:t>
      </w:r>
      <w:r>
        <w:rPr>
          <w:rFonts w:hint="eastAsia" w:ascii="宋体" w:hAnsi="宋体" w:eastAsia="宋体" w:cs="宋体"/>
          <w:sz w:val="24"/>
          <w:szCs w:val="24"/>
        </w:rPr>
        <w:t>、路灯、井盖、标牌、公共卫生间等城市公用设施保持内外干净整洁并进行管理；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3、水面、围墙四周的杂草、垃圾清理；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cs="宋体"/>
          <w:sz w:val="24"/>
          <w:szCs w:val="24"/>
          <w:lang w:val="en-US" w:eastAsia="zh-CN"/>
        </w:rPr>
        <w:t>垃圾填埋场保持正常运行与维护，按照环保要求开展监测和治理；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5、建（构）筑物立面、地面、果皮箱、高压线塔、配电室、配电柜、电话亭、消防栓、地下管线标志、桥梁、电线杆、路灯杆、围墙周边等公共设施和树干上乱张贴、刻画、涂写广告、宣传品、电话号码等非</w:t>
      </w:r>
      <w:r>
        <w:rPr>
          <w:rFonts w:hint="eastAsia" w:ascii="宋体" w:hAnsi="宋体" w:cs="宋体"/>
          <w:sz w:val="24"/>
          <w:szCs w:val="24"/>
          <w:lang w:val="en-US" w:eastAsia="zh-CN"/>
        </w:rPr>
        <w:t>法</w:t>
      </w:r>
      <w:r>
        <w:rPr>
          <w:rFonts w:hint="eastAsia" w:ascii="宋体" w:hAnsi="宋体" w:eastAsia="宋体" w:cs="宋体"/>
          <w:sz w:val="24"/>
          <w:szCs w:val="24"/>
        </w:rPr>
        <w:t>“小广告”的清理，不得造成二次污染；</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6、果皮箱、垃圾箱内日产日清</w:t>
      </w:r>
      <w:r>
        <w:rPr>
          <w:rFonts w:hint="eastAsia" w:ascii="宋体" w:hAnsi="宋体" w:cs="宋体"/>
          <w:sz w:val="24"/>
          <w:szCs w:val="24"/>
          <w:lang w:eastAsia="zh-CN"/>
        </w:rPr>
        <w:t>，</w:t>
      </w:r>
      <w:r>
        <w:rPr>
          <w:rFonts w:hint="eastAsia" w:ascii="宋体" w:hAnsi="宋体" w:cs="宋体"/>
          <w:sz w:val="24"/>
          <w:szCs w:val="24"/>
          <w:lang w:val="en-US" w:eastAsia="zh-CN"/>
        </w:rPr>
        <w:t>设施更新与维护，每年补充不少于400个660L垃圾箱</w:t>
      </w:r>
      <w:r>
        <w:rPr>
          <w:rFonts w:hint="eastAsia" w:ascii="宋体" w:hAnsi="宋体" w:cs="宋体"/>
          <w:color w:val="auto"/>
          <w:kern w:val="2"/>
          <w:sz w:val="24"/>
          <w:szCs w:val="24"/>
          <w:highlight w:val="none"/>
          <w:lang w:val="en-US" w:eastAsia="zh-CN" w:bidi="ar-SA"/>
        </w:rPr>
        <w:t>（符合垃圾分类标识要求的垃圾箱）</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7、始终保持环境卫生良好、设施表面洁净，做到“六净”（路面净、绿化带净、公共场地净、路沿石根净、墙根净、电线杆净）；</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8、各种重大节会、迎查活动、节假日无条件按要求保质保量完成环境卫生保障</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9、</w:t>
      </w:r>
      <w:r>
        <w:rPr>
          <w:rFonts w:hint="eastAsia" w:ascii="宋体" w:hAnsi="宋体" w:cs="宋体"/>
          <w:color w:val="auto"/>
          <w:sz w:val="24"/>
          <w:szCs w:val="24"/>
          <w:lang w:val="en-US" w:eastAsia="zh-CN"/>
        </w:rPr>
        <w:t>若在城市建设中新增环卫区域，所增加的费用在法律规定的范围内协商进行补充协议。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绿化：</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甲方要求进行去除枯死植株、植物补植、树木扶正、病虫害防治和、监测、施肥、浇灌、排水、中耕除草、花坛花景草坪补植、地被覆盖、树木涂白、植物（树木、绿篱、草坪等）修剪、植物防护（防寒、旱、台、涝、高温等）、绿地内垃圾收集、清运，绿化水系、阀门维修等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2、对破坏绿地行为及时进行制止、报告，并协助有关部门进行取证和查处；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3、各种重大节会、迎查活动、节假日无条件按要求保质保量完成美化，甲方不再另行支付费用；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4、乙方必须保证苗木养护成活率达到100%;须播草籽或种草坪或地被，地被草坪成活率达到100%,做到随死随换。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 xml:space="preserve">若有新增绿化苗木等，所增加的费用在法律规定的范围内协商进行补充协议。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注：</w:t>
      </w:r>
      <w:r>
        <w:rPr>
          <w:rFonts w:hint="eastAsia" w:ascii="宋体" w:hAnsi="宋体" w:eastAsia="宋体" w:cs="宋体"/>
          <w:color w:val="auto"/>
          <w:sz w:val="24"/>
          <w:szCs w:val="24"/>
        </w:rPr>
        <w:t>以上服务内容，甲方一律不再另行支付费用。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文明安全要求：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养护作业现场应干净整洁，各类警示标识设置明显；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各种设施、材料、设备器材、苗木等物料应定点存放、维修、养护垃圾及废料随产随清；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乙方在承包期间，应当严格遵守安全生产作业的有关管理制度，采取必要的安全防护措施，出现人身伤亡事故，由乙方承担全部经济与法律责任。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本合同承包项目实施绿地管护和保洁所用的一切作业人员、机械设备（三轮车、草坪修剪机、灌溉机或洒水车、打药机等）、工具材料及工作服装和防护用品由乙方自行组织配备或由甲方指定作业人员来源，由此产生的一切费用由乙方承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2、机械、车辆必须为正规厂家生产的专用车辆，手续齐全，保持车体整洁、车况良好、公司标志明显。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必须按照《劳动法》要求签订劳动用工合同，缴纳社会保险、意外伤害保险、发放工资（不低于当地最低工资标准），不足约定金额的，甲方有权扣发差额。并按规定发放劳保用品、夏季防暑降温费用、过节福利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4、不得出现上访事件，否则每发生一起上访事件，除及时解决外承包人还需缴纳违约补偿金1万元人民币。如出现越级上访和集体上访且影响恶劣的，甲方将有权向主管部门申请将其列入</w:t>
      </w:r>
      <w:r>
        <w:rPr>
          <w:rFonts w:hint="eastAsia" w:ascii="宋体" w:hAnsi="宋体" w:cs="宋体"/>
          <w:sz w:val="24"/>
          <w:szCs w:val="24"/>
          <w:lang w:val="en-US" w:eastAsia="zh-CN"/>
        </w:rPr>
        <w:t>托克逊县</w:t>
      </w:r>
      <w:r>
        <w:rPr>
          <w:rFonts w:hint="eastAsia" w:ascii="宋体" w:hAnsi="宋体" w:eastAsia="宋体" w:cs="宋体"/>
          <w:sz w:val="24"/>
          <w:szCs w:val="24"/>
        </w:rPr>
        <w:t>不良信誉企业黑名单。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5、乙方必须于每月月底前将上月雇佣人员工资、福利、服装发放签字记录、保险金缴纳等记录上报甲方。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6、在养护期起止的时间节点，乙方应将承包范围内的苗本，养护工具及设施进行数量交接。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二、</w:t>
      </w:r>
      <w:r>
        <w:rPr>
          <w:rFonts w:hint="eastAsia" w:ascii="宋体" w:hAnsi="宋体" w:eastAsia="宋体" w:cs="宋体"/>
          <w:sz w:val="24"/>
          <w:szCs w:val="24"/>
        </w:rPr>
        <w:t>甲方有权要求乙方随时更换在实际工作中不称职的成员，更换人员以须具有同等或以上资质的本单位人员。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三、</w:t>
      </w:r>
      <w:r>
        <w:rPr>
          <w:rFonts w:hint="eastAsia" w:ascii="宋体" w:hAnsi="宋体" w:eastAsia="宋体" w:cs="宋体"/>
          <w:sz w:val="24"/>
          <w:szCs w:val="24"/>
        </w:rPr>
        <w:t>如乙方连续三个月考核结果不合格，且拒不整改或整改不达标的，甲方有权终止协议。（考核按照《</w:t>
      </w:r>
      <w:r>
        <w:rPr>
          <w:rFonts w:hint="eastAsia" w:ascii="宋体" w:hAnsi="宋体" w:cs="宋体"/>
          <w:sz w:val="24"/>
          <w:szCs w:val="24"/>
          <w:lang w:val="en-US" w:eastAsia="zh-CN"/>
        </w:rPr>
        <w:t>托克逊县城市环卫园林一体化管理项目第一包</w:t>
      </w:r>
      <w:r>
        <w:rPr>
          <w:rFonts w:hint="eastAsia" w:ascii="宋体" w:hAnsi="宋体" w:eastAsia="宋体" w:cs="宋体"/>
          <w:sz w:val="24"/>
          <w:szCs w:val="24"/>
        </w:rPr>
        <w:t>考核标准》实施）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80" w:firstLineChars="200"/>
        <w:textAlignment w:val="auto"/>
        <w:rPr>
          <w:rFonts w:hint="eastAsia" w:ascii="Times New Roman"/>
          <w:sz w:val="22"/>
          <w:lang w:eastAsia="zh-CN"/>
        </w:rPr>
      </w:pPr>
      <w:r>
        <w:rPr>
          <w:rFonts w:hint="eastAsia" w:ascii="宋体" w:hAnsi="宋体" w:cs="宋体"/>
          <w:sz w:val="24"/>
          <w:szCs w:val="24"/>
          <w:lang w:val="en-US" w:eastAsia="zh-CN"/>
        </w:rPr>
        <w:t>四、</w:t>
      </w:r>
      <w:r>
        <w:rPr>
          <w:rFonts w:hint="eastAsia" w:ascii="宋体" w:hAnsi="宋体" w:eastAsia="宋体" w:cs="宋体"/>
          <w:sz w:val="24"/>
          <w:szCs w:val="24"/>
        </w:rPr>
        <w:t>在预算保障的前提下，对于购买内容相对固定、连续性强、经费来源稳定、价格变化幅度小的政府购买服务项目，可以签订履行期限不超过3年的政府购买服务合同。如预算不到位，采购人可与(中标单位或成交供应商)按约定变更采购合同。每年期满后，采购人根据相关政策以及中标人服务质量与</w:t>
      </w:r>
      <w:r>
        <w:rPr>
          <w:rFonts w:hint="eastAsia" w:ascii="Times New Roman"/>
          <w:sz w:val="22"/>
        </w:rPr>
        <w:t>中标人续签下一年合同，且中</w:t>
      </w:r>
      <w:r>
        <w:rPr>
          <w:rFonts w:hint="eastAsia" w:ascii="Times New Roman"/>
          <w:sz w:val="22"/>
          <w:lang w:eastAsia="zh-CN"/>
        </w:rPr>
        <w:t>标单价予以调整。</w:t>
      </w:r>
    </w:p>
    <w:p>
      <w:pPr>
        <w:pStyle w:val="12"/>
        <w:keepNext w:val="0"/>
        <w:keepLines w:val="0"/>
        <w:pageBreakBefore w:val="0"/>
        <w:widowControl w:val="0"/>
        <w:kinsoku/>
        <w:wordWrap/>
        <w:overflowPunct/>
        <w:topLinePunct w:val="0"/>
        <w:autoSpaceDE/>
        <w:autoSpaceDN/>
        <w:bidi w:val="0"/>
        <w:spacing w:beforeAutospacing="0" w:after="0" w:afterAutospacing="0" w:line="380" w:lineRule="exact"/>
        <w:textAlignment w:val="auto"/>
        <w:rPr>
          <w:rFonts w:hint="eastAsia" w:ascii="宋体" w:hAnsi="宋体" w:eastAsia="宋体" w:cs="宋体"/>
          <w:b/>
          <w:sz w:val="24"/>
          <w:szCs w:val="24"/>
        </w:rPr>
      </w:pPr>
      <w:r>
        <w:rPr>
          <w:rFonts w:hint="eastAsia" w:ascii="宋体" w:hAnsi="宋体" w:eastAsia="宋体" w:cs="宋体"/>
          <w:b/>
          <w:sz w:val="24"/>
          <w:szCs w:val="24"/>
        </w:rPr>
        <w:t>注：最终合同以与甲方签订的合同为准。</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方正小标宋简体" w:hAnsi="方正小标宋简体" w:eastAsia="方正小标宋简体" w:cs="方正小标宋简体"/>
          <w:b w:val="0"/>
          <w:bCs/>
          <w:w w:val="90"/>
          <w:sz w:val="30"/>
          <w:szCs w:val="30"/>
        </w:rPr>
      </w:pPr>
      <w:r>
        <w:rPr>
          <w:rFonts w:hint="eastAsia" w:ascii="宋体" w:hAnsi="宋体" w:eastAsia="宋体" w:cs="宋体"/>
          <w:sz w:val="24"/>
          <w:szCs w:val="24"/>
        </w:rPr>
        <w:br w:type="page"/>
      </w:r>
      <w:bookmarkStart w:id="8" w:name="为进一步提高开发区环境卫生建设和管理水平，促进开发区环境卫生常态化管理，营造一个"/>
      <w:bookmarkEnd w:id="8"/>
      <w:bookmarkStart w:id="9" w:name="_bookmark12"/>
      <w:bookmarkEnd w:id="9"/>
      <w:bookmarkStart w:id="10" w:name="喀什经济开发区绿地养护考核管理办法"/>
      <w:bookmarkEnd w:id="10"/>
      <w:bookmarkStart w:id="11" w:name="喀什经济开发区环境卫生考核管理办法"/>
      <w:bookmarkEnd w:id="11"/>
      <w:bookmarkStart w:id="12" w:name="为促进养护管理工作规范化、制度化、精细化，提升绿地养护管理水平，现以考核评分来量"/>
      <w:bookmarkEnd w:id="12"/>
      <w:bookmarkStart w:id="13" w:name="附件1：《喀什经济开发区环境卫生考核评分标准》"/>
      <w:bookmarkEnd w:id="13"/>
      <w:bookmarkStart w:id="14" w:name="喀什经济开发区园林绿化养护考核评分表"/>
      <w:bookmarkEnd w:id="14"/>
      <w:bookmarkStart w:id="15" w:name="_Toc2511976"/>
      <w:bookmarkStart w:id="16" w:name="_Toc14776843"/>
      <w:bookmarkStart w:id="17" w:name="_Toc44705273"/>
      <w:bookmarkStart w:id="18" w:name="_Toc44705052"/>
      <w:bookmarkStart w:id="19" w:name="_Toc44704905"/>
      <w:r>
        <w:rPr>
          <w:rFonts w:hint="eastAsia" w:ascii="宋体" w:hAnsi="宋体" w:cs="宋体"/>
          <w:sz w:val="24"/>
          <w:szCs w:val="24"/>
          <w:lang w:val="en-US" w:eastAsia="zh-CN"/>
        </w:rPr>
        <w:t xml:space="preserve">  </w:t>
      </w:r>
      <w:bookmarkEnd w:id="15"/>
      <w:bookmarkEnd w:id="16"/>
      <w:bookmarkEnd w:id="17"/>
      <w:bookmarkEnd w:id="18"/>
      <w:bookmarkEnd w:id="19"/>
      <w:r>
        <w:rPr>
          <w:rFonts w:hint="eastAsia" w:ascii="宋体" w:hAnsi="宋体" w:cs="宋体"/>
          <w:sz w:val="24"/>
          <w:szCs w:val="24"/>
          <w:lang w:val="en-US" w:eastAsia="zh-CN"/>
        </w:rPr>
        <w:t xml:space="preserve">  </w:t>
      </w:r>
      <w:r>
        <w:rPr>
          <w:rFonts w:hint="eastAsia" w:asciiTheme="majorEastAsia" w:hAnsiTheme="majorEastAsia" w:eastAsiaTheme="majorEastAsia" w:cstheme="majorEastAsia"/>
          <w:b/>
          <w:bCs w:val="0"/>
          <w:color w:val="auto"/>
          <w:kern w:val="44"/>
          <w:sz w:val="30"/>
          <w:szCs w:val="30"/>
          <w:highlight w:val="none"/>
          <w:lang w:val="en-US" w:eastAsia="zh-CN"/>
        </w:rPr>
        <w:t>托克逊县城市环卫园林一体化管理项目第一包</w:t>
      </w:r>
      <w:r>
        <w:rPr>
          <w:rFonts w:hint="eastAsia" w:asciiTheme="majorEastAsia" w:hAnsiTheme="majorEastAsia" w:eastAsiaTheme="majorEastAsia" w:cstheme="majorEastAsia"/>
          <w:b/>
          <w:bCs w:val="0"/>
          <w:w w:val="90"/>
          <w:sz w:val="30"/>
          <w:szCs w:val="30"/>
        </w:rPr>
        <w:t>考核标准</w:t>
      </w:r>
    </w:p>
    <w:p>
      <w:pPr>
        <w:spacing w:line="560" w:lineRule="exact"/>
        <w:ind w:firstLine="480" w:firstLineChars="200"/>
        <w:rPr>
          <w:rFonts w:ascii="宋体" w:hAnsi="宋体" w:cs="宋体"/>
          <w:sz w:val="24"/>
          <w:szCs w:val="24"/>
        </w:rPr>
      </w:pPr>
      <w:r>
        <w:rPr>
          <w:rFonts w:hint="eastAsia" w:ascii="宋体" w:hAnsi="宋体" w:cs="宋体"/>
          <w:sz w:val="24"/>
          <w:szCs w:val="24"/>
        </w:rPr>
        <w:t>为促进环卫保洁</w:t>
      </w:r>
      <w:r>
        <w:rPr>
          <w:rFonts w:hint="eastAsia" w:ascii="宋体" w:hAnsi="宋体" w:cs="宋体"/>
          <w:sz w:val="24"/>
          <w:szCs w:val="24"/>
          <w:lang w:val="en-US" w:eastAsia="zh-CN"/>
        </w:rPr>
        <w:t>和园林养护</w:t>
      </w:r>
      <w:r>
        <w:rPr>
          <w:rFonts w:hint="eastAsia" w:ascii="宋体" w:hAnsi="宋体" w:cs="宋体"/>
          <w:sz w:val="24"/>
          <w:szCs w:val="24"/>
        </w:rPr>
        <w:t>工作规范化、制度化、精细化，提升环卫</w:t>
      </w:r>
      <w:r>
        <w:rPr>
          <w:rFonts w:hint="eastAsia" w:ascii="宋体" w:hAnsi="宋体" w:cs="宋体"/>
          <w:sz w:val="24"/>
          <w:szCs w:val="24"/>
          <w:lang w:val="en-US" w:eastAsia="zh-CN"/>
        </w:rPr>
        <w:t>园林整体</w:t>
      </w:r>
      <w:r>
        <w:rPr>
          <w:rFonts w:hint="eastAsia" w:ascii="宋体" w:hAnsi="宋体" w:cs="宋体"/>
          <w:sz w:val="24"/>
          <w:szCs w:val="24"/>
        </w:rPr>
        <w:t>水平，现以考核评分来量化和区分</w:t>
      </w:r>
      <w:r>
        <w:rPr>
          <w:rFonts w:hint="eastAsia" w:ascii="宋体" w:hAnsi="宋体" w:cs="宋体"/>
          <w:sz w:val="24"/>
          <w:szCs w:val="24"/>
          <w:lang w:val="en-US" w:eastAsia="zh-CN"/>
        </w:rPr>
        <w:t>环卫</w:t>
      </w:r>
      <w:r>
        <w:rPr>
          <w:rFonts w:hint="eastAsia" w:ascii="宋体" w:hAnsi="宋体" w:cs="宋体"/>
          <w:sz w:val="24"/>
          <w:szCs w:val="24"/>
          <w:lang w:eastAsia="zh-CN"/>
        </w:rPr>
        <w:t>保洁</w:t>
      </w:r>
      <w:r>
        <w:rPr>
          <w:rFonts w:hint="eastAsia" w:ascii="宋体" w:hAnsi="宋体" w:cs="宋体"/>
          <w:sz w:val="24"/>
          <w:szCs w:val="24"/>
          <w:lang w:val="en-US" w:eastAsia="zh-CN"/>
        </w:rPr>
        <w:t>和园林养护</w:t>
      </w:r>
      <w:r>
        <w:rPr>
          <w:rFonts w:hint="eastAsia" w:ascii="宋体" w:hAnsi="宋体" w:cs="宋体"/>
          <w:sz w:val="24"/>
          <w:szCs w:val="24"/>
        </w:rPr>
        <w:t>水平，使环卫保洁</w:t>
      </w:r>
      <w:r>
        <w:rPr>
          <w:rFonts w:hint="eastAsia" w:ascii="宋体" w:hAnsi="宋体" w:cs="宋体"/>
          <w:sz w:val="24"/>
          <w:szCs w:val="24"/>
          <w:lang w:val="en-US" w:eastAsia="zh-CN"/>
        </w:rPr>
        <w:t>和园林养护</w:t>
      </w:r>
      <w:r>
        <w:rPr>
          <w:rFonts w:hint="eastAsia" w:ascii="宋体" w:hAnsi="宋体" w:cs="宋体"/>
          <w:sz w:val="24"/>
          <w:szCs w:val="24"/>
        </w:rPr>
        <w:t>经费支付与</w:t>
      </w:r>
      <w:r>
        <w:rPr>
          <w:rFonts w:hint="eastAsia" w:ascii="宋体" w:hAnsi="宋体" w:cs="宋体"/>
          <w:sz w:val="24"/>
          <w:szCs w:val="24"/>
          <w:lang w:val="en-US" w:eastAsia="zh-CN"/>
        </w:rPr>
        <w:t>工作质量</w:t>
      </w:r>
      <w:r>
        <w:rPr>
          <w:rFonts w:hint="eastAsia" w:ascii="宋体" w:hAnsi="宋体" w:cs="宋体"/>
          <w:sz w:val="24"/>
          <w:szCs w:val="24"/>
        </w:rPr>
        <w:t>相挂钩，以起到奖优罚劣和鞭策工作的作用。根据有关法律法规和标准规范的规定，结合实际情况，特制定本办法。</w:t>
      </w:r>
    </w:p>
    <w:p>
      <w:pPr>
        <w:spacing w:line="560" w:lineRule="exact"/>
        <w:ind w:firstLine="241" w:firstLineChars="100"/>
        <w:rPr>
          <w:rFonts w:ascii="宋体" w:hAnsi="宋体" w:cs="宋体"/>
          <w:b/>
          <w:sz w:val="24"/>
          <w:szCs w:val="24"/>
        </w:rPr>
      </w:pPr>
      <w:r>
        <w:rPr>
          <w:rFonts w:hint="eastAsia" w:ascii="宋体" w:hAnsi="宋体" w:cs="宋体"/>
          <w:b/>
          <w:sz w:val="24"/>
          <w:szCs w:val="24"/>
        </w:rPr>
        <w:t>1.考核依据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1.1</w:t>
      </w:r>
      <w:r>
        <w:rPr>
          <w:rFonts w:hint="eastAsia" w:ascii="宋体" w:hAnsi="宋体" w:cs="宋体"/>
          <w:sz w:val="24"/>
          <w:szCs w:val="24"/>
          <w:lang w:val="en-US" w:eastAsia="zh-CN"/>
        </w:rPr>
        <w:t xml:space="preserve"> </w:t>
      </w:r>
      <w:r>
        <w:rPr>
          <w:rFonts w:hint="eastAsia" w:ascii="宋体" w:hAnsi="宋体" w:cs="宋体"/>
          <w:sz w:val="24"/>
          <w:szCs w:val="24"/>
        </w:rPr>
        <w:t>《城市道路清扫保洁与质量评价标准》（</w:t>
      </w:r>
      <w:r>
        <w:rPr>
          <w:rFonts w:hint="eastAsia" w:ascii="宋体" w:hAnsi="宋体" w:cs="宋体"/>
          <w:sz w:val="24"/>
          <w:szCs w:val="24"/>
          <w:lang w:val="en-US" w:eastAsia="zh-CN"/>
        </w:rPr>
        <w:t>CJJ/T126-2022</w:t>
      </w:r>
      <w:r>
        <w:rPr>
          <w:rFonts w:hint="eastAsia" w:ascii="宋体" w:hAnsi="宋体" w:cs="宋体"/>
          <w:sz w:val="24"/>
          <w:szCs w:val="24"/>
        </w:rPr>
        <w:t>）</w:t>
      </w:r>
    </w:p>
    <w:p>
      <w:pPr>
        <w:spacing w:line="56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1.2 《城市生活垃圾卫生填埋场运行维护技术规范》 </w:t>
      </w:r>
      <w:r>
        <w:rPr>
          <w:rFonts w:hint="default" w:ascii="宋体" w:hAnsi="宋体" w:eastAsia="宋体" w:cs="宋体"/>
          <w:b w:val="0"/>
          <w:bCs w:val="0"/>
          <w:kern w:val="2"/>
          <w:sz w:val="24"/>
          <w:szCs w:val="24"/>
          <w:lang w:val="en-US" w:eastAsia="zh-CN" w:bidi="ar-SA"/>
        </w:rPr>
        <w:t>(CJJ93－20</w:t>
      </w:r>
      <w:r>
        <w:rPr>
          <w:rFonts w:hint="eastAsia" w:ascii="宋体" w:hAnsi="宋体" w:cs="宋体"/>
          <w:b w:val="0"/>
          <w:bCs w:val="0"/>
          <w:kern w:val="2"/>
          <w:sz w:val="24"/>
          <w:szCs w:val="24"/>
          <w:lang w:val="en-US" w:eastAsia="zh-CN" w:bidi="ar-SA"/>
        </w:rPr>
        <w:t>11</w:t>
      </w:r>
      <w:r>
        <w:rPr>
          <w:rFonts w:hint="default" w:ascii="宋体" w:hAnsi="宋体" w:eastAsia="宋体" w:cs="宋体"/>
          <w:b w:val="0"/>
          <w:bCs w:val="0"/>
          <w:kern w:val="2"/>
          <w:sz w:val="24"/>
          <w:szCs w:val="24"/>
          <w:lang w:val="en-US" w:eastAsia="zh-CN" w:bidi="ar-SA"/>
        </w:rPr>
        <w:t>)</w:t>
      </w:r>
    </w:p>
    <w:p>
      <w:pPr>
        <w:spacing w:line="560" w:lineRule="exact"/>
        <w:ind w:firstLine="480" w:firstLineChars="200"/>
        <w:rPr>
          <w:rFonts w:hint="eastAsia" w:ascii="宋体" w:hAnsi="宋体" w:cs="宋体"/>
          <w:sz w:val="24"/>
          <w:szCs w:val="24"/>
          <w:lang w:val="en-US" w:eastAsia="zh-CN"/>
        </w:rPr>
      </w:pPr>
      <w:r>
        <w:rPr>
          <w:rFonts w:hint="eastAsia" w:ascii="宋体" w:hAnsi="宋体" w:cs="宋体"/>
          <w:sz w:val="24"/>
          <w:szCs w:val="24"/>
        </w:rPr>
        <w:t>1.3</w:t>
      </w:r>
      <w:r>
        <w:rPr>
          <w:rFonts w:hint="eastAsia" w:ascii="宋体" w:hAnsi="宋体" w:cs="宋体"/>
          <w:sz w:val="24"/>
          <w:szCs w:val="24"/>
          <w:lang w:val="en-US" w:eastAsia="zh-CN"/>
        </w:rPr>
        <w:t xml:space="preserve"> </w:t>
      </w:r>
      <w:r>
        <w:rPr>
          <w:rFonts w:hint="eastAsia" w:ascii="宋体" w:hAnsi="宋体" w:eastAsia="宋体" w:cs="宋体"/>
          <w:sz w:val="24"/>
          <w:szCs w:val="24"/>
          <w:lang w:eastAsia="zh-Hans"/>
        </w:rPr>
        <w:t>《生活垃圾卫生填埋</w:t>
      </w:r>
      <w:r>
        <w:rPr>
          <w:rFonts w:hint="eastAsia" w:ascii="宋体" w:hAnsi="宋体" w:cs="宋体"/>
          <w:sz w:val="24"/>
          <w:szCs w:val="24"/>
          <w:lang w:val="en-US" w:eastAsia="zh-CN"/>
        </w:rPr>
        <w:t>处理</w:t>
      </w:r>
      <w:r>
        <w:rPr>
          <w:rFonts w:hint="eastAsia" w:ascii="宋体" w:hAnsi="宋体" w:eastAsia="宋体" w:cs="宋体"/>
          <w:sz w:val="24"/>
          <w:szCs w:val="24"/>
          <w:lang w:eastAsia="zh-Hans"/>
        </w:rPr>
        <w:t>技术规范》</w:t>
      </w:r>
      <w:r>
        <w:rPr>
          <w:rFonts w:hint="eastAsia" w:ascii="宋体" w:hAnsi="宋体" w:cs="宋体"/>
          <w:sz w:val="24"/>
          <w:szCs w:val="24"/>
          <w:lang w:eastAsia="zh-CN"/>
        </w:rPr>
        <w:t>（</w:t>
      </w:r>
      <w:r>
        <w:rPr>
          <w:rFonts w:ascii="宋体" w:hAnsi="宋体" w:eastAsia="宋体" w:cs="宋体"/>
          <w:sz w:val="24"/>
          <w:szCs w:val="24"/>
        </w:rPr>
        <w:t>GB 50869-2013</w:t>
      </w:r>
      <w:r>
        <w:rPr>
          <w:rFonts w:hint="eastAsia" w:ascii="宋体" w:hAnsi="宋体" w:cs="宋体"/>
          <w:sz w:val="24"/>
          <w:szCs w:val="24"/>
          <w:lang w:val="en-US" w:eastAsia="zh-CN"/>
        </w:rPr>
        <w:t>)</w:t>
      </w:r>
    </w:p>
    <w:p>
      <w:pPr>
        <w:spacing w:line="5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 xml:space="preserve">4 </w:t>
      </w:r>
      <w:r>
        <w:rPr>
          <w:rFonts w:hint="eastAsia" w:ascii="宋体" w:hAnsi="宋体" w:cs="宋体"/>
          <w:sz w:val="24"/>
          <w:szCs w:val="24"/>
        </w:rPr>
        <w:t>《城市园林绿化评价标准》（GB/T 50563-2010）</w:t>
      </w:r>
    </w:p>
    <w:p>
      <w:pPr>
        <w:spacing w:line="5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 xml:space="preserve">5 </w:t>
      </w:r>
      <w:r>
        <w:rPr>
          <w:rFonts w:hint="eastAsia" w:ascii="宋体" w:hAnsi="宋体" w:cs="宋体"/>
          <w:sz w:val="24"/>
          <w:szCs w:val="24"/>
        </w:rPr>
        <w:t>《城市绿地养护管理标准》（XJJ046-2012）</w:t>
      </w:r>
    </w:p>
    <w:p>
      <w:pPr>
        <w:spacing w:line="5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 xml:space="preserve">6 </w:t>
      </w:r>
      <w:r>
        <w:rPr>
          <w:rFonts w:hint="eastAsia" w:ascii="宋体" w:hAnsi="宋体" w:cs="宋体"/>
          <w:sz w:val="24"/>
          <w:szCs w:val="24"/>
        </w:rPr>
        <w:t>《园林绿化工程施工及验收规范》（CJJ82-2012）</w:t>
      </w:r>
    </w:p>
    <w:p>
      <w:pPr>
        <w:spacing w:line="560" w:lineRule="exact"/>
        <w:ind w:firstLine="240" w:firstLineChars="100"/>
        <w:rPr>
          <w:rFonts w:ascii="宋体" w:hAnsi="宋体" w:cs="宋体"/>
          <w:b/>
          <w:sz w:val="24"/>
          <w:szCs w:val="24"/>
        </w:rPr>
      </w:pPr>
      <w:r>
        <w:rPr>
          <w:rFonts w:hint="eastAsia" w:ascii="宋体" w:hAnsi="宋体" w:cs="宋体"/>
          <w:b w:val="0"/>
          <w:bCs w:val="0"/>
          <w:kern w:val="2"/>
          <w:sz w:val="24"/>
          <w:szCs w:val="24"/>
          <w:lang w:val="en-US" w:eastAsia="zh-CN" w:bidi="ar-SA"/>
        </w:rPr>
        <w:t xml:space="preserve"> </w:t>
      </w:r>
      <w:r>
        <w:rPr>
          <w:rFonts w:hint="eastAsia" w:ascii="宋体" w:hAnsi="宋体" w:cs="宋体"/>
          <w:b/>
          <w:sz w:val="24"/>
          <w:szCs w:val="24"/>
        </w:rPr>
        <w:t>2.考核内容</w:t>
      </w:r>
    </w:p>
    <w:p>
      <w:pPr>
        <w:spacing w:line="560" w:lineRule="exact"/>
        <w:ind w:firstLine="480" w:firstLineChars="200"/>
        <w:rPr>
          <w:rFonts w:ascii="宋体" w:hAnsi="宋体" w:cs="宋体"/>
          <w:b/>
          <w:sz w:val="24"/>
          <w:szCs w:val="24"/>
        </w:rPr>
      </w:pPr>
      <w:r>
        <w:rPr>
          <w:rFonts w:hint="eastAsia" w:ascii="宋体" w:hAnsi="宋体" w:cs="宋体"/>
          <w:sz w:val="24"/>
          <w:szCs w:val="24"/>
        </w:rPr>
        <w:t>2.1</w:t>
      </w:r>
      <w:r>
        <w:rPr>
          <w:rFonts w:hint="eastAsia" w:ascii="宋体" w:hAnsi="宋体" w:cs="宋体"/>
          <w:sz w:val="24"/>
          <w:szCs w:val="24"/>
          <w:lang w:val="en-US" w:eastAsia="zh-CN"/>
        </w:rPr>
        <w:t xml:space="preserve"> </w:t>
      </w:r>
      <w:r>
        <w:rPr>
          <w:rFonts w:hint="eastAsia" w:ascii="宋体" w:hAnsi="宋体" w:cs="宋体"/>
          <w:sz w:val="24"/>
          <w:szCs w:val="24"/>
        </w:rPr>
        <w:t>对</w:t>
      </w:r>
      <w:r>
        <w:rPr>
          <w:rFonts w:hint="eastAsia" w:ascii="宋体" w:hAnsi="宋体" w:cs="宋体"/>
          <w:sz w:val="24"/>
          <w:szCs w:val="24"/>
          <w:lang w:val="en-US" w:eastAsia="zh-CN"/>
        </w:rPr>
        <w:t>托克逊县城市</w:t>
      </w:r>
      <w:r>
        <w:rPr>
          <w:rFonts w:hint="eastAsia" w:ascii="宋体" w:hAnsi="宋体" w:cs="宋体"/>
          <w:sz w:val="24"/>
          <w:szCs w:val="24"/>
        </w:rPr>
        <w:t>环卫</w:t>
      </w:r>
      <w:r>
        <w:rPr>
          <w:rFonts w:hint="eastAsia" w:ascii="宋体" w:hAnsi="宋体" w:cs="宋体"/>
          <w:sz w:val="24"/>
          <w:szCs w:val="24"/>
          <w:lang w:val="en-US" w:eastAsia="zh-CN"/>
        </w:rPr>
        <w:t>保洁和园林养护</w:t>
      </w:r>
      <w:r>
        <w:rPr>
          <w:rFonts w:hint="eastAsia" w:ascii="宋体" w:hAnsi="宋体" w:cs="宋体"/>
          <w:sz w:val="24"/>
          <w:szCs w:val="24"/>
        </w:rPr>
        <w:t>工作等以及相关单位组织管理工作进行考核。</w:t>
      </w:r>
    </w:p>
    <w:p>
      <w:pPr>
        <w:spacing w:line="560" w:lineRule="exact"/>
        <w:ind w:firstLine="241" w:firstLineChars="100"/>
        <w:rPr>
          <w:rFonts w:ascii="宋体" w:hAnsi="宋体" w:cs="宋体"/>
          <w:b/>
          <w:sz w:val="24"/>
          <w:szCs w:val="24"/>
        </w:rPr>
      </w:pPr>
      <w:r>
        <w:rPr>
          <w:rFonts w:hint="eastAsia" w:ascii="宋体" w:hAnsi="宋体" w:cs="宋体"/>
          <w:b/>
          <w:sz w:val="24"/>
          <w:szCs w:val="24"/>
        </w:rPr>
        <w:t>3.考核办法</w:t>
      </w:r>
    </w:p>
    <w:p>
      <w:pPr>
        <w:spacing w:line="560" w:lineRule="exact"/>
        <w:ind w:firstLine="480" w:firstLineChars="200"/>
        <w:rPr>
          <w:rFonts w:ascii="宋体" w:hAnsi="宋体" w:cs="宋体"/>
          <w:sz w:val="24"/>
          <w:szCs w:val="24"/>
        </w:rPr>
      </w:pPr>
      <w:r>
        <w:rPr>
          <w:rFonts w:hint="eastAsia" w:ascii="宋体" w:hAnsi="宋体" w:cs="宋体"/>
          <w:sz w:val="24"/>
          <w:szCs w:val="24"/>
        </w:rPr>
        <w:t>3.1</w:t>
      </w:r>
      <w:r>
        <w:rPr>
          <w:rFonts w:hint="eastAsia" w:ascii="宋体" w:hAnsi="宋体" w:cs="宋体"/>
          <w:sz w:val="24"/>
          <w:szCs w:val="24"/>
          <w:lang w:val="en-US" w:eastAsia="zh-CN"/>
        </w:rPr>
        <w:t xml:space="preserve"> </w:t>
      </w:r>
      <w:r>
        <w:rPr>
          <w:rFonts w:hint="eastAsia" w:ascii="宋体" w:hAnsi="宋体" w:cs="宋体"/>
          <w:sz w:val="24"/>
          <w:szCs w:val="24"/>
        </w:rPr>
        <w:t>考核工作由</w:t>
      </w:r>
      <w:r>
        <w:rPr>
          <w:rFonts w:hint="eastAsia" w:ascii="宋体" w:hAnsi="宋体" w:cs="宋体"/>
          <w:sz w:val="24"/>
          <w:szCs w:val="24"/>
          <w:lang w:val="en-US" w:eastAsia="zh-CN"/>
        </w:rPr>
        <w:t>托克逊县住建局</w:t>
      </w:r>
      <w:r>
        <w:rPr>
          <w:rFonts w:hint="eastAsia" w:ascii="宋体" w:hAnsi="宋体" w:cs="宋体"/>
          <w:sz w:val="24"/>
          <w:szCs w:val="24"/>
        </w:rPr>
        <w:t>组织实施，成立定期考核组和日常检查组，日常检查组及定期考核组由招标人单位人员组成。组成员必须是单数，如有争议时会议商讨决定。</w:t>
      </w:r>
    </w:p>
    <w:p>
      <w:pPr>
        <w:spacing w:line="560" w:lineRule="exact"/>
        <w:ind w:firstLine="480" w:firstLineChars="200"/>
        <w:rPr>
          <w:rFonts w:ascii="宋体" w:hAnsi="宋体" w:cs="宋体"/>
          <w:sz w:val="24"/>
          <w:szCs w:val="24"/>
        </w:rPr>
      </w:pPr>
      <w:r>
        <w:rPr>
          <w:rFonts w:hint="eastAsia" w:ascii="宋体" w:hAnsi="宋体" w:cs="宋体"/>
          <w:sz w:val="24"/>
          <w:szCs w:val="24"/>
        </w:rPr>
        <w:t>3.2</w:t>
      </w:r>
      <w:r>
        <w:rPr>
          <w:rFonts w:hint="eastAsia" w:ascii="宋体" w:hAnsi="宋体" w:cs="宋体"/>
          <w:sz w:val="24"/>
          <w:szCs w:val="24"/>
          <w:lang w:val="en-US" w:eastAsia="zh-CN"/>
        </w:rPr>
        <w:t xml:space="preserve"> </w:t>
      </w:r>
      <w:r>
        <w:rPr>
          <w:rFonts w:hint="eastAsia" w:ascii="宋体" w:hAnsi="宋体" w:cs="宋体"/>
          <w:sz w:val="24"/>
          <w:szCs w:val="24"/>
        </w:rPr>
        <w:t>定期考核以月考核为主（每月初进行，具体时间提前通知）。每次考核由考核组具体负责组织实施，检查内容见（托克逊县环卫保洁</w:t>
      </w:r>
      <w:r>
        <w:rPr>
          <w:rFonts w:hint="eastAsia" w:ascii="宋体" w:hAnsi="宋体" w:cs="宋体"/>
          <w:sz w:val="24"/>
          <w:szCs w:val="24"/>
          <w:lang w:val="en-US" w:eastAsia="zh-CN"/>
        </w:rPr>
        <w:t>和园林养护</w:t>
      </w:r>
      <w:r>
        <w:rPr>
          <w:rFonts w:hint="eastAsia" w:ascii="宋体" w:hAnsi="宋体" w:cs="宋体"/>
          <w:sz w:val="24"/>
          <w:szCs w:val="24"/>
        </w:rPr>
        <w:t>工作考核</w:t>
      </w:r>
      <w:r>
        <w:rPr>
          <w:rFonts w:hint="eastAsia" w:ascii="宋体" w:hAnsi="宋体" w:cs="宋体"/>
          <w:sz w:val="24"/>
          <w:szCs w:val="24"/>
          <w:lang w:val="en-US" w:eastAsia="zh-CN"/>
        </w:rPr>
        <w:t>细则</w:t>
      </w:r>
      <w:r>
        <w:rPr>
          <w:rFonts w:hint="eastAsia" w:ascii="宋体" w:hAnsi="宋体" w:cs="宋体"/>
          <w:sz w:val="24"/>
          <w:szCs w:val="24"/>
        </w:rPr>
        <w:t>)；实地考核时，被考核单位必须由现场管理人员参加（确因故不能按时参加的需提前书面请假，请假函需签章，另行安排他人参加)。三次无故不参加的企业，将约谈该企业法定代表人，并要求该企业进行书面承诺后期项目进行中，履行处罚，如承诺后</w:t>
      </w:r>
      <w:r>
        <w:rPr>
          <w:rFonts w:hint="eastAsia" w:ascii="宋体" w:hAnsi="宋体" w:cs="宋体"/>
          <w:sz w:val="24"/>
          <w:szCs w:val="24"/>
          <w:lang w:val="en-US" w:eastAsia="zh-CN"/>
        </w:rPr>
        <w:t>仍</w:t>
      </w:r>
      <w:r>
        <w:rPr>
          <w:rFonts w:hint="eastAsia" w:ascii="宋体" w:hAnsi="宋体" w:cs="宋体"/>
          <w:sz w:val="24"/>
          <w:szCs w:val="24"/>
        </w:rPr>
        <w:t>不改正</w:t>
      </w:r>
      <w:r>
        <w:rPr>
          <w:rFonts w:hint="eastAsia" w:ascii="宋体" w:hAnsi="宋体" w:cs="宋体"/>
          <w:sz w:val="24"/>
          <w:szCs w:val="24"/>
          <w:lang w:val="en-US" w:eastAsia="zh-CN"/>
        </w:rPr>
        <w:t>县住建局</w:t>
      </w:r>
      <w:r>
        <w:rPr>
          <w:rFonts w:hint="eastAsia" w:ascii="宋体" w:hAnsi="宋体" w:cs="宋体"/>
          <w:sz w:val="24"/>
          <w:szCs w:val="24"/>
        </w:rPr>
        <w:t>有权利5-10倍处罚。</w:t>
      </w:r>
    </w:p>
    <w:p>
      <w:pPr>
        <w:spacing w:line="560" w:lineRule="exact"/>
        <w:ind w:firstLine="480" w:firstLineChars="200"/>
        <w:rPr>
          <w:rFonts w:ascii="宋体" w:hAnsi="宋体" w:cs="宋体"/>
          <w:sz w:val="24"/>
          <w:szCs w:val="24"/>
        </w:rPr>
      </w:pPr>
      <w:r>
        <w:rPr>
          <w:rFonts w:hint="eastAsia" w:ascii="宋体" w:hAnsi="宋体" w:cs="宋体"/>
          <w:sz w:val="24"/>
          <w:szCs w:val="24"/>
        </w:rPr>
        <w:t>3.3</w:t>
      </w:r>
      <w:r>
        <w:rPr>
          <w:rFonts w:hint="eastAsia" w:ascii="宋体" w:hAnsi="宋体" w:cs="宋体"/>
          <w:sz w:val="24"/>
          <w:szCs w:val="24"/>
          <w:lang w:val="en-US" w:eastAsia="zh-CN"/>
        </w:rPr>
        <w:t xml:space="preserve"> </w:t>
      </w:r>
      <w:r>
        <w:rPr>
          <w:rFonts w:hint="eastAsia" w:ascii="宋体" w:hAnsi="宋体" w:cs="宋体"/>
          <w:sz w:val="24"/>
          <w:szCs w:val="24"/>
        </w:rPr>
        <w:t>考核中发现问题当场下达整改通知或口头通知整改，</w:t>
      </w:r>
      <w:r>
        <w:rPr>
          <w:rFonts w:hint="eastAsia" w:ascii="宋体" w:hAnsi="宋体" w:cs="宋体"/>
          <w:sz w:val="24"/>
          <w:szCs w:val="24"/>
          <w:lang w:val="en-US" w:eastAsia="zh-CN"/>
        </w:rPr>
        <w:t>中标</w:t>
      </w:r>
      <w:r>
        <w:rPr>
          <w:rFonts w:hint="eastAsia" w:ascii="宋体" w:hAnsi="宋体" w:cs="宋体"/>
          <w:sz w:val="24"/>
          <w:szCs w:val="24"/>
        </w:rPr>
        <w:t>单位或个人进行整改，并由日常检查组进行跟踪督察，整改期限已到仍未达到要求的，</w:t>
      </w:r>
      <w:r>
        <w:rPr>
          <w:rFonts w:hint="eastAsia" w:ascii="宋体" w:hAnsi="宋体" w:cs="宋体"/>
          <w:sz w:val="24"/>
          <w:szCs w:val="24"/>
          <w:lang w:val="en-US" w:eastAsia="zh-CN"/>
        </w:rPr>
        <w:t>托克逊县住建局</w:t>
      </w:r>
      <w:r>
        <w:rPr>
          <w:rFonts w:hint="eastAsia" w:ascii="宋体" w:hAnsi="宋体" w:cs="宋体"/>
          <w:sz w:val="24"/>
          <w:szCs w:val="24"/>
        </w:rPr>
        <w:t>将下达处罚通知，考核加倍扣分。</w:t>
      </w:r>
    </w:p>
    <w:p>
      <w:pPr>
        <w:spacing w:line="560" w:lineRule="exact"/>
        <w:ind w:firstLine="480" w:firstLineChars="200"/>
        <w:rPr>
          <w:rFonts w:ascii="宋体" w:hAnsi="宋体" w:cs="宋体"/>
          <w:sz w:val="24"/>
          <w:szCs w:val="24"/>
        </w:rPr>
      </w:pPr>
      <w:r>
        <w:rPr>
          <w:rFonts w:hint="eastAsia" w:ascii="宋体" w:hAnsi="宋体" w:cs="宋体"/>
          <w:sz w:val="24"/>
          <w:szCs w:val="24"/>
        </w:rPr>
        <w:t>3.4</w:t>
      </w:r>
      <w:r>
        <w:rPr>
          <w:rFonts w:hint="eastAsia" w:ascii="宋体" w:hAnsi="宋体" w:cs="宋体"/>
          <w:sz w:val="24"/>
          <w:szCs w:val="24"/>
          <w:lang w:val="en-US" w:eastAsia="zh-CN"/>
        </w:rPr>
        <w:t xml:space="preserve"> </w:t>
      </w:r>
      <w:r>
        <w:rPr>
          <w:rFonts w:hint="eastAsia" w:ascii="宋体" w:hAnsi="宋体" w:cs="宋体"/>
          <w:sz w:val="24"/>
          <w:szCs w:val="24"/>
        </w:rPr>
        <w:t>日常检查每天不定期进行，检查内容包括考核整改、日常巡查及重大节日、庆典、“迎检”等指令性检查。检查组</w:t>
      </w:r>
      <w:r>
        <w:rPr>
          <w:rFonts w:hint="eastAsia" w:ascii="宋体" w:hAnsi="宋体" w:cs="宋体"/>
          <w:sz w:val="24"/>
          <w:szCs w:val="24"/>
          <w:lang w:val="en-US" w:eastAsia="zh-CN"/>
        </w:rPr>
        <w:t>对中标</w:t>
      </w:r>
      <w:r>
        <w:rPr>
          <w:rFonts w:hint="eastAsia" w:ascii="宋体" w:hAnsi="宋体" w:cs="宋体"/>
          <w:sz w:val="24"/>
          <w:szCs w:val="24"/>
        </w:rPr>
        <w:t>企业或个人负责路段（地块）进行日常巡查和不定期检查，对存在的问题及时通知</w:t>
      </w:r>
      <w:r>
        <w:rPr>
          <w:rFonts w:hint="eastAsia" w:ascii="宋体" w:hAnsi="宋体" w:cs="宋体"/>
          <w:sz w:val="24"/>
          <w:szCs w:val="24"/>
          <w:lang w:val="en-US" w:eastAsia="zh-CN"/>
        </w:rPr>
        <w:t>中标</w:t>
      </w:r>
      <w:r>
        <w:rPr>
          <w:rFonts w:hint="eastAsia" w:ascii="宋体" w:hAnsi="宋体" w:cs="宋体"/>
          <w:sz w:val="24"/>
          <w:szCs w:val="24"/>
        </w:rPr>
        <w:t>企业或个人，目常检查组将根据已发出的整改通知安排进行复查。</w:t>
      </w:r>
    </w:p>
    <w:p>
      <w:pPr>
        <w:spacing w:line="560" w:lineRule="exact"/>
        <w:ind w:firstLine="480" w:firstLineChars="200"/>
        <w:rPr>
          <w:rFonts w:ascii="宋体" w:hAnsi="宋体" w:cs="宋体"/>
          <w:sz w:val="24"/>
          <w:szCs w:val="24"/>
        </w:rPr>
      </w:pPr>
      <w:r>
        <w:rPr>
          <w:rFonts w:hint="eastAsia" w:ascii="宋体" w:hAnsi="宋体" w:cs="宋体"/>
          <w:sz w:val="24"/>
          <w:szCs w:val="24"/>
        </w:rPr>
        <w:t>3.5</w:t>
      </w:r>
      <w:r>
        <w:rPr>
          <w:rFonts w:hint="eastAsia" w:ascii="宋体" w:hAnsi="宋体" w:cs="宋体"/>
          <w:sz w:val="24"/>
          <w:szCs w:val="24"/>
          <w:lang w:val="en-US" w:eastAsia="zh-CN"/>
        </w:rPr>
        <w:t xml:space="preserve"> </w:t>
      </w:r>
      <w:r>
        <w:rPr>
          <w:rFonts w:hint="eastAsia" w:ascii="宋体" w:hAnsi="宋体" w:cs="宋体"/>
          <w:sz w:val="24"/>
          <w:szCs w:val="24"/>
        </w:rPr>
        <w:t>每月的考核分由日常检查分和定期每周考核分综合构成，分别占总分的周50%、月50%计入，按月进行汇总。</w:t>
      </w:r>
    </w:p>
    <w:p>
      <w:pPr>
        <w:spacing w:line="560" w:lineRule="exact"/>
        <w:ind w:firstLine="480" w:firstLineChars="200"/>
        <w:rPr>
          <w:rFonts w:ascii="宋体" w:hAnsi="宋体" w:cs="宋体"/>
          <w:sz w:val="24"/>
          <w:szCs w:val="24"/>
        </w:rPr>
      </w:pPr>
      <w:r>
        <w:rPr>
          <w:rFonts w:hint="eastAsia" w:ascii="宋体" w:hAnsi="宋体" w:cs="宋体"/>
          <w:sz w:val="24"/>
          <w:szCs w:val="24"/>
        </w:rPr>
        <w:t>3.6</w:t>
      </w:r>
      <w:r>
        <w:rPr>
          <w:rFonts w:hint="eastAsia" w:ascii="宋体" w:hAnsi="宋体" w:cs="宋体"/>
          <w:sz w:val="24"/>
          <w:szCs w:val="24"/>
          <w:lang w:val="en-US" w:eastAsia="zh-CN"/>
        </w:rPr>
        <w:t xml:space="preserve"> </w:t>
      </w:r>
      <w:r>
        <w:rPr>
          <w:rFonts w:hint="eastAsia" w:ascii="宋体" w:hAnsi="宋体" w:cs="宋体"/>
          <w:sz w:val="24"/>
          <w:szCs w:val="24"/>
        </w:rPr>
        <w:t>日常检查、定期考核均实行百分制考核，检查考核工作人员按照《托克逊县环卫保洁</w:t>
      </w:r>
      <w:r>
        <w:rPr>
          <w:rFonts w:hint="eastAsia" w:ascii="宋体" w:hAnsi="宋体" w:cs="宋体"/>
          <w:sz w:val="24"/>
          <w:szCs w:val="24"/>
          <w:lang w:val="en-US" w:eastAsia="zh-CN"/>
        </w:rPr>
        <w:t>和园林养护</w:t>
      </w:r>
      <w:r>
        <w:rPr>
          <w:rFonts w:hint="eastAsia" w:ascii="宋体" w:hAnsi="宋体" w:cs="宋体"/>
          <w:sz w:val="24"/>
          <w:szCs w:val="24"/>
        </w:rPr>
        <w:t>工作考核</w:t>
      </w:r>
      <w:r>
        <w:rPr>
          <w:rFonts w:hint="eastAsia" w:ascii="宋体" w:hAnsi="宋体" w:cs="宋体"/>
          <w:sz w:val="24"/>
          <w:szCs w:val="24"/>
          <w:lang w:val="en-US" w:eastAsia="zh-CN"/>
        </w:rPr>
        <w:t>细则</w:t>
      </w:r>
      <w:r>
        <w:rPr>
          <w:rFonts w:hint="eastAsia" w:ascii="宋体" w:hAnsi="宋体" w:cs="宋体"/>
          <w:sz w:val="24"/>
          <w:szCs w:val="24"/>
        </w:rPr>
        <w:t>》进行考核评分。</w:t>
      </w:r>
    </w:p>
    <w:p>
      <w:pPr>
        <w:spacing w:line="560" w:lineRule="exact"/>
        <w:ind w:firstLine="480" w:firstLineChars="200"/>
        <w:rPr>
          <w:rFonts w:ascii="宋体" w:hAnsi="宋体" w:cs="宋体"/>
          <w:sz w:val="24"/>
          <w:szCs w:val="24"/>
        </w:rPr>
      </w:pPr>
      <w:r>
        <w:rPr>
          <w:rFonts w:hint="eastAsia" w:ascii="宋体" w:hAnsi="宋体" w:cs="宋体"/>
          <w:sz w:val="24"/>
          <w:szCs w:val="24"/>
        </w:rPr>
        <w:t>3.7</w:t>
      </w:r>
      <w:r>
        <w:rPr>
          <w:rFonts w:hint="eastAsia" w:ascii="宋体" w:hAnsi="宋体" w:cs="宋体"/>
          <w:sz w:val="24"/>
          <w:szCs w:val="24"/>
          <w:lang w:val="en-US" w:eastAsia="zh-CN"/>
        </w:rPr>
        <w:t xml:space="preserve"> </w:t>
      </w:r>
      <w:r>
        <w:rPr>
          <w:rFonts w:hint="eastAsia" w:ascii="宋体" w:hAnsi="宋体" w:cs="宋体"/>
          <w:sz w:val="24"/>
          <w:szCs w:val="24"/>
        </w:rPr>
        <w:t>日常考核现场下整改通知，与下月初定期考核成绩汇总后按月通报。日常考核与定期考核每次考核情况及汇总情况在公示栏定期公示。</w:t>
      </w:r>
    </w:p>
    <w:p>
      <w:pPr>
        <w:spacing w:line="560" w:lineRule="exact"/>
        <w:ind w:firstLine="480" w:firstLineChars="200"/>
        <w:rPr>
          <w:rFonts w:ascii="宋体" w:hAnsi="宋体" w:cs="宋体"/>
          <w:sz w:val="24"/>
          <w:szCs w:val="24"/>
        </w:rPr>
      </w:pPr>
      <w:r>
        <w:rPr>
          <w:rFonts w:hint="eastAsia" w:ascii="宋体" w:hAnsi="宋体" w:cs="宋体"/>
          <w:sz w:val="24"/>
          <w:szCs w:val="24"/>
        </w:rPr>
        <w:t>3.8</w:t>
      </w:r>
      <w:r>
        <w:rPr>
          <w:rFonts w:hint="eastAsia" w:ascii="宋体" w:hAnsi="宋体" w:cs="宋体"/>
          <w:sz w:val="24"/>
          <w:szCs w:val="24"/>
          <w:lang w:val="en-US" w:eastAsia="zh-CN"/>
        </w:rPr>
        <w:t>托克逊县住建局</w:t>
      </w:r>
      <w:r>
        <w:rPr>
          <w:rFonts w:hint="eastAsia" w:ascii="宋体" w:hAnsi="宋体" w:cs="宋体"/>
          <w:sz w:val="24"/>
          <w:szCs w:val="24"/>
        </w:rPr>
        <w:t>将按照周、月、季综合管理评分办法，计合综合评分。</w:t>
      </w:r>
    </w:p>
    <w:p>
      <w:pPr>
        <w:spacing w:line="560" w:lineRule="exact"/>
        <w:ind w:firstLine="480" w:firstLineChars="200"/>
        <w:rPr>
          <w:rFonts w:ascii="宋体" w:hAnsi="宋体" w:cs="宋体"/>
          <w:sz w:val="24"/>
          <w:szCs w:val="24"/>
        </w:rPr>
      </w:pPr>
      <w:r>
        <w:rPr>
          <w:rFonts w:hint="eastAsia" w:ascii="宋体" w:hAnsi="宋体" w:cs="宋体"/>
          <w:sz w:val="24"/>
          <w:szCs w:val="24"/>
        </w:rPr>
        <w:t>3.9 处罚款将从每月支付费用进度款中扣除。</w:t>
      </w:r>
    </w:p>
    <w:p>
      <w:pPr>
        <w:spacing w:line="560" w:lineRule="exact"/>
        <w:ind w:firstLine="241" w:firstLineChars="100"/>
        <w:rPr>
          <w:rFonts w:ascii="宋体" w:hAnsi="宋体" w:cs="宋体"/>
          <w:b/>
          <w:sz w:val="24"/>
          <w:szCs w:val="24"/>
        </w:rPr>
      </w:pPr>
      <w:r>
        <w:rPr>
          <w:rFonts w:hint="eastAsia" w:ascii="宋体" w:hAnsi="宋体" w:cs="宋体"/>
          <w:b/>
          <w:sz w:val="24"/>
          <w:szCs w:val="24"/>
        </w:rPr>
        <w:t>4.经费核定办法</w:t>
      </w:r>
    </w:p>
    <w:p>
      <w:pPr>
        <w:spacing w:line="560" w:lineRule="exact"/>
        <w:ind w:firstLine="480" w:firstLineChars="200"/>
        <w:rPr>
          <w:rFonts w:ascii="宋体" w:hAnsi="宋体" w:cs="宋体"/>
          <w:sz w:val="24"/>
          <w:szCs w:val="24"/>
        </w:rPr>
      </w:pPr>
      <w:r>
        <w:rPr>
          <w:rFonts w:hint="eastAsia" w:ascii="宋体" w:hAnsi="宋体" w:cs="宋体"/>
          <w:sz w:val="24"/>
          <w:szCs w:val="24"/>
        </w:rPr>
        <w:t>4.1为激励先进，鞭策后进，调动积极性，依据考核情况对</w:t>
      </w:r>
      <w:r>
        <w:rPr>
          <w:rFonts w:hint="eastAsia" w:ascii="宋体" w:hAnsi="宋体" w:cs="宋体"/>
          <w:sz w:val="24"/>
          <w:szCs w:val="24"/>
          <w:lang w:val="en-US" w:eastAsia="zh-CN"/>
        </w:rPr>
        <w:t>环卫</w:t>
      </w:r>
      <w:r>
        <w:rPr>
          <w:rFonts w:hint="eastAsia" w:ascii="宋体" w:hAnsi="宋体" w:cs="宋体"/>
          <w:sz w:val="24"/>
          <w:szCs w:val="24"/>
          <w:lang w:eastAsia="zh-CN"/>
        </w:rPr>
        <w:t>保洁</w:t>
      </w:r>
      <w:r>
        <w:rPr>
          <w:rFonts w:hint="eastAsia" w:ascii="宋体" w:hAnsi="宋体" w:cs="宋体"/>
          <w:sz w:val="24"/>
          <w:szCs w:val="24"/>
          <w:lang w:val="en-US" w:eastAsia="zh-CN"/>
        </w:rPr>
        <w:t>和园林养护</w:t>
      </w:r>
      <w:r>
        <w:rPr>
          <w:rFonts w:hint="eastAsia" w:ascii="宋体" w:hAnsi="宋体" w:cs="宋体"/>
          <w:sz w:val="24"/>
          <w:szCs w:val="24"/>
        </w:rPr>
        <w:t>作业单位进行经费核定。</w:t>
      </w:r>
    </w:p>
    <w:p>
      <w:pPr>
        <w:spacing w:line="5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4.2</w:t>
      </w:r>
      <w:r>
        <w:rPr>
          <w:rFonts w:hint="eastAsia" w:ascii="宋体" w:hAnsi="宋体" w:cs="宋体"/>
          <w:sz w:val="24"/>
          <w:szCs w:val="24"/>
          <w:lang w:val="en-US" w:eastAsia="zh-CN"/>
        </w:rPr>
        <w:t xml:space="preserve"> </w:t>
      </w:r>
      <w:r>
        <w:rPr>
          <w:rFonts w:hint="eastAsia" w:ascii="宋体" w:hAnsi="宋体" w:cs="宋体"/>
          <w:sz w:val="24"/>
          <w:szCs w:val="24"/>
        </w:rPr>
        <w:t>月考核（按四周计入）综合得</w:t>
      </w:r>
      <w:r>
        <w:rPr>
          <w:rFonts w:hint="eastAsia" w:ascii="宋体" w:hAnsi="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90</w:t>
      </w:r>
      <w:r>
        <w:rPr>
          <w:rFonts w:hint="eastAsia" w:ascii="宋体" w:hAnsi="宋体" w:cs="宋体"/>
          <w:color w:val="000000" w:themeColor="text1"/>
          <w:sz w:val="24"/>
          <w:szCs w:val="24"/>
          <w14:textFill>
            <w14:solidFill>
              <w14:schemeClr w14:val="tx1"/>
            </w14:solidFill>
          </w14:textFill>
        </w:rPr>
        <w:t>分的，全额拨付经费：</w:t>
      </w:r>
    </w:p>
    <w:p>
      <w:pPr>
        <w:spacing w:line="5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4.2.1</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月考核（按四周计入）综合得分&lt;</w:t>
      </w:r>
      <w:r>
        <w:rPr>
          <w:rFonts w:hint="eastAsia" w:ascii="宋体" w:hAnsi="宋体" w:cs="宋体"/>
          <w:color w:val="000000" w:themeColor="text1"/>
          <w:sz w:val="24"/>
          <w:szCs w:val="24"/>
          <w:lang w:val="en-US" w:eastAsia="zh-CN"/>
          <w14:textFill>
            <w14:solidFill>
              <w14:schemeClr w14:val="tx1"/>
            </w14:solidFill>
          </w14:textFill>
        </w:rPr>
        <w:t>90</w:t>
      </w:r>
      <w:r>
        <w:rPr>
          <w:rFonts w:hint="eastAsia" w:ascii="宋体" w:hAnsi="宋体" w:cs="宋体"/>
          <w:color w:val="000000" w:themeColor="text1"/>
          <w:sz w:val="24"/>
          <w:szCs w:val="24"/>
          <w14:textFill>
            <w14:solidFill>
              <w14:schemeClr w14:val="tx1"/>
            </w14:solidFill>
          </w14:textFill>
        </w:rPr>
        <w:t>分的，进行经济处罚，扣除相应分值的</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cs="宋体"/>
          <w:color w:val="000000" w:themeColor="text1"/>
          <w:sz w:val="24"/>
          <w:szCs w:val="24"/>
          <w14:textFill>
            <w14:solidFill>
              <w14:schemeClr w14:val="tx1"/>
            </w14:solidFill>
          </w14:textFill>
        </w:rPr>
        <w:t>费。（具体标准如下：</w:t>
      </w:r>
    </w:p>
    <w:p>
      <w:pPr>
        <w:spacing w:line="5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4.2.1.a月考核综合得分≥</w:t>
      </w:r>
      <w:r>
        <w:rPr>
          <w:rFonts w:hint="eastAsia" w:ascii="宋体" w:hAnsi="宋体" w:cs="宋体"/>
          <w:color w:val="000000" w:themeColor="text1"/>
          <w:sz w:val="24"/>
          <w:szCs w:val="24"/>
          <w:lang w:val="en-US" w:eastAsia="zh-CN"/>
          <w14:textFill>
            <w14:solidFill>
              <w14:schemeClr w14:val="tx1"/>
            </w14:solidFill>
          </w14:textFill>
        </w:rPr>
        <w:t>80</w:t>
      </w:r>
      <w:r>
        <w:rPr>
          <w:rFonts w:hint="eastAsia" w:ascii="宋体" w:hAnsi="宋体" w:cs="宋体"/>
          <w:color w:val="000000" w:themeColor="text1"/>
          <w:sz w:val="24"/>
          <w:szCs w:val="24"/>
          <w14:textFill>
            <w14:solidFill>
              <w14:schemeClr w14:val="tx1"/>
            </w14:solidFill>
          </w14:textFill>
        </w:rPr>
        <w:t>、&lt;</w:t>
      </w:r>
      <w:r>
        <w:rPr>
          <w:rFonts w:hint="eastAsia" w:ascii="宋体" w:hAnsi="宋体" w:cs="宋体"/>
          <w:color w:val="000000" w:themeColor="text1"/>
          <w:sz w:val="24"/>
          <w:szCs w:val="24"/>
          <w:lang w:val="en-US" w:eastAsia="zh-CN"/>
          <w14:textFill>
            <w14:solidFill>
              <w14:schemeClr w14:val="tx1"/>
            </w14:solidFill>
          </w14:textFill>
        </w:rPr>
        <w:t>90</w:t>
      </w:r>
      <w:r>
        <w:rPr>
          <w:rFonts w:hint="eastAsia" w:ascii="宋体" w:hAnsi="宋体" w:cs="宋体"/>
          <w:color w:val="000000" w:themeColor="text1"/>
          <w:sz w:val="24"/>
          <w:szCs w:val="24"/>
          <w14:textFill>
            <w14:solidFill>
              <w14:schemeClr w14:val="tx1"/>
            </w14:solidFill>
          </w14:textFill>
        </w:rPr>
        <w:t>的，每低</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分扣拨本月</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cs="宋体"/>
          <w:color w:val="000000" w:themeColor="text1"/>
          <w:sz w:val="24"/>
          <w:szCs w:val="24"/>
          <w14:textFill>
            <w14:solidFill>
              <w14:schemeClr w14:val="tx1"/>
            </w14:solidFill>
          </w14:textFill>
        </w:rPr>
        <w:t>费的</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p>
    <w:p>
      <w:pPr>
        <w:spacing w:line="5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4.2.2.b月考核综合得分在≥</w:t>
      </w:r>
      <w:r>
        <w:rPr>
          <w:rFonts w:hint="eastAsia" w:ascii="宋体" w:hAnsi="宋体" w:cs="宋体"/>
          <w:color w:val="000000" w:themeColor="text1"/>
          <w:sz w:val="24"/>
          <w:szCs w:val="24"/>
          <w:lang w:val="en-US" w:eastAsia="zh-CN"/>
          <w14:textFill>
            <w14:solidFill>
              <w14:schemeClr w14:val="tx1"/>
            </w14:solidFill>
          </w14:textFill>
        </w:rPr>
        <w:t>70</w:t>
      </w:r>
      <w:r>
        <w:rPr>
          <w:rFonts w:hint="eastAsia" w:ascii="宋体" w:hAnsi="宋体" w:cs="宋体"/>
          <w:color w:val="000000" w:themeColor="text1"/>
          <w:sz w:val="24"/>
          <w:szCs w:val="24"/>
          <w14:textFill>
            <w14:solidFill>
              <w14:schemeClr w14:val="tx1"/>
            </w14:solidFill>
          </w14:textFill>
        </w:rPr>
        <w:t>、&lt;</w:t>
      </w:r>
      <w:r>
        <w:rPr>
          <w:rFonts w:hint="eastAsia" w:ascii="宋体" w:hAnsi="宋体" w:cs="宋体"/>
          <w:color w:val="000000" w:themeColor="text1"/>
          <w:sz w:val="24"/>
          <w:szCs w:val="24"/>
          <w:lang w:val="en-US" w:eastAsia="zh-CN"/>
          <w14:textFill>
            <w14:solidFill>
              <w14:schemeClr w14:val="tx1"/>
            </w14:solidFill>
          </w14:textFill>
        </w:rPr>
        <w:t>80</w:t>
      </w:r>
      <w:r>
        <w:rPr>
          <w:rFonts w:hint="eastAsia" w:ascii="宋体" w:hAnsi="宋体" w:cs="宋体"/>
          <w:color w:val="000000" w:themeColor="text1"/>
          <w:sz w:val="24"/>
          <w:szCs w:val="24"/>
          <w14:textFill>
            <w14:solidFill>
              <w14:schemeClr w14:val="tx1"/>
            </w14:solidFill>
          </w14:textFill>
        </w:rPr>
        <w:t>的，每低</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分扣拨本月</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cs="宋体"/>
          <w:color w:val="000000" w:themeColor="text1"/>
          <w:sz w:val="24"/>
          <w:szCs w:val="24"/>
          <w14:textFill>
            <w14:solidFill>
              <w14:schemeClr w14:val="tx1"/>
            </w14:solidFill>
          </w14:textFill>
        </w:rPr>
        <w:t>费的</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p>
    <w:p>
      <w:pPr>
        <w:spacing w:line="5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4.2.3.c月考核综合得分≥</w:t>
      </w:r>
      <w:r>
        <w:rPr>
          <w:rFonts w:hint="eastAsia" w:ascii="宋体" w:hAnsi="宋体" w:cs="宋体"/>
          <w:color w:val="000000" w:themeColor="text1"/>
          <w:sz w:val="24"/>
          <w:szCs w:val="24"/>
          <w:lang w:val="en-US" w:eastAsia="zh-CN"/>
          <w14:textFill>
            <w14:solidFill>
              <w14:schemeClr w14:val="tx1"/>
            </w14:solidFill>
          </w14:textFill>
        </w:rPr>
        <w:t>60</w:t>
      </w:r>
      <w:r>
        <w:rPr>
          <w:rFonts w:hint="eastAsia" w:ascii="宋体" w:hAnsi="宋体" w:cs="宋体"/>
          <w:color w:val="000000" w:themeColor="text1"/>
          <w:sz w:val="24"/>
          <w:szCs w:val="24"/>
          <w14:textFill>
            <w14:solidFill>
              <w14:schemeClr w14:val="tx1"/>
            </w14:solidFill>
          </w14:textFill>
        </w:rPr>
        <w:t>、&lt;</w:t>
      </w:r>
      <w:r>
        <w:rPr>
          <w:rFonts w:hint="eastAsia" w:ascii="宋体" w:hAnsi="宋体" w:cs="宋体"/>
          <w:color w:val="000000" w:themeColor="text1"/>
          <w:sz w:val="24"/>
          <w:szCs w:val="24"/>
          <w:lang w:val="en-US" w:eastAsia="zh-CN"/>
          <w14:textFill>
            <w14:solidFill>
              <w14:schemeClr w14:val="tx1"/>
            </w14:solidFill>
          </w14:textFill>
        </w:rPr>
        <w:t>70</w:t>
      </w:r>
      <w:r>
        <w:rPr>
          <w:rFonts w:hint="eastAsia" w:ascii="宋体" w:hAnsi="宋体" w:cs="宋体"/>
          <w:color w:val="000000" w:themeColor="text1"/>
          <w:sz w:val="24"/>
          <w:szCs w:val="24"/>
          <w14:textFill>
            <w14:solidFill>
              <w14:schemeClr w14:val="tx1"/>
            </w14:solidFill>
          </w14:textFill>
        </w:rPr>
        <w:t>的，每低</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分扣拨本月</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cs="宋体"/>
          <w:color w:val="000000" w:themeColor="text1"/>
          <w:sz w:val="24"/>
          <w:szCs w:val="24"/>
          <w14:textFill>
            <w14:solidFill>
              <w14:schemeClr w14:val="tx1"/>
            </w14:solidFill>
          </w14:textFill>
        </w:rPr>
        <w:t>费的</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w:t>
      </w:r>
    </w:p>
    <w:p>
      <w:pPr>
        <w:spacing w:line="560" w:lineRule="exact"/>
        <w:ind w:firstLine="480" w:firstLineChars="20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4.2.4.d月考核综合得分&lt;</w:t>
      </w:r>
      <w:r>
        <w:rPr>
          <w:rFonts w:hint="eastAsia" w:ascii="宋体" w:hAnsi="宋体" w:cs="宋体"/>
          <w:color w:val="000000" w:themeColor="text1"/>
          <w:sz w:val="24"/>
          <w:szCs w:val="24"/>
          <w:lang w:val="en-US" w:eastAsia="zh-CN"/>
          <w14:textFill>
            <w14:solidFill>
              <w14:schemeClr w14:val="tx1"/>
            </w14:solidFill>
          </w14:textFill>
        </w:rPr>
        <w:t>60</w:t>
      </w:r>
      <w:r>
        <w:rPr>
          <w:rFonts w:hint="eastAsia" w:ascii="宋体" w:hAnsi="宋体" w:cs="宋体"/>
          <w:color w:val="000000" w:themeColor="text1"/>
          <w:sz w:val="24"/>
          <w:szCs w:val="24"/>
          <w14:textFill>
            <w14:solidFill>
              <w14:schemeClr w14:val="tx1"/>
            </w14:solidFill>
          </w14:textFill>
        </w:rPr>
        <w:t>的，每低</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分扣拨本月</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cs="宋体"/>
          <w:color w:val="000000" w:themeColor="text1"/>
          <w:sz w:val="24"/>
          <w:szCs w:val="24"/>
          <w14:textFill>
            <w14:solidFill>
              <w14:schemeClr w14:val="tx1"/>
            </w14:solidFill>
          </w14:textFill>
        </w:rPr>
        <w:t>费的</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%，不够部分从</w:t>
      </w:r>
      <w:r>
        <w:rPr>
          <w:rFonts w:hint="eastAsia" w:ascii="宋体" w:hAnsi="宋体" w:cs="宋体"/>
          <w:sz w:val="24"/>
          <w:szCs w:val="24"/>
        </w:rPr>
        <w:t>下月</w:t>
      </w:r>
      <w:r>
        <w:rPr>
          <w:rFonts w:hint="eastAsia" w:ascii="宋体" w:hAnsi="宋体" w:cs="宋体"/>
          <w:sz w:val="24"/>
          <w:szCs w:val="24"/>
          <w:lang w:val="en-US" w:eastAsia="zh-CN"/>
        </w:rPr>
        <w:t>服务</w:t>
      </w:r>
      <w:r>
        <w:rPr>
          <w:rFonts w:hint="eastAsia" w:ascii="宋体" w:hAnsi="宋体" w:cs="宋体"/>
          <w:sz w:val="24"/>
          <w:szCs w:val="24"/>
        </w:rPr>
        <w:t>费中扣除，以上扣款经公示后上报相关部门备案，扣款金额在申请拨付本年度</w:t>
      </w:r>
      <w:r>
        <w:rPr>
          <w:rFonts w:hint="eastAsia" w:ascii="宋体" w:hAnsi="宋体" w:cs="宋体"/>
          <w:sz w:val="24"/>
          <w:szCs w:val="24"/>
          <w:lang w:val="en-US" w:eastAsia="zh-CN"/>
        </w:rPr>
        <w:t>服务</w:t>
      </w:r>
      <w:r>
        <w:rPr>
          <w:rFonts w:hint="eastAsia" w:ascii="宋体" w:hAnsi="宋体" w:cs="宋体"/>
          <w:sz w:val="24"/>
          <w:szCs w:val="24"/>
        </w:rPr>
        <w:t>费时进行核扣。</w:t>
      </w:r>
    </w:p>
    <w:p>
      <w:pPr>
        <w:spacing w:line="560" w:lineRule="exact"/>
        <w:ind w:firstLine="480" w:firstLineChars="200"/>
        <w:rPr>
          <w:rFonts w:ascii="宋体" w:hAnsi="宋体" w:cs="宋体"/>
          <w:sz w:val="24"/>
          <w:szCs w:val="24"/>
        </w:rPr>
      </w:pPr>
      <w:r>
        <w:rPr>
          <w:rFonts w:hint="eastAsia" w:ascii="宋体" w:hAnsi="宋体" w:cs="宋体"/>
          <w:sz w:val="24"/>
          <w:szCs w:val="24"/>
        </w:rPr>
        <w:t>4.3</w:t>
      </w:r>
      <w:r>
        <w:rPr>
          <w:rFonts w:hint="eastAsia" w:ascii="宋体" w:hAnsi="宋体" w:cs="宋体"/>
          <w:sz w:val="24"/>
          <w:szCs w:val="24"/>
          <w:lang w:eastAsia="zh-CN"/>
        </w:rPr>
        <w:t>保洁</w:t>
      </w:r>
      <w:r>
        <w:rPr>
          <w:rFonts w:hint="eastAsia" w:ascii="宋体" w:hAnsi="宋体" w:cs="宋体"/>
          <w:sz w:val="24"/>
          <w:szCs w:val="24"/>
          <w:lang w:val="en-US" w:eastAsia="zh-CN"/>
        </w:rPr>
        <w:t>养护</w:t>
      </w:r>
      <w:r>
        <w:rPr>
          <w:rFonts w:hint="eastAsia" w:ascii="宋体" w:hAnsi="宋体" w:cs="宋体"/>
          <w:sz w:val="24"/>
          <w:szCs w:val="24"/>
        </w:rPr>
        <w:t>期间因</w:t>
      </w:r>
      <w:r>
        <w:rPr>
          <w:rFonts w:hint="eastAsia" w:ascii="宋体" w:hAnsi="宋体" w:cs="宋体"/>
          <w:sz w:val="24"/>
          <w:szCs w:val="24"/>
          <w:lang w:val="en-US" w:eastAsia="zh-CN"/>
        </w:rPr>
        <w:t>中标</w:t>
      </w:r>
      <w:r>
        <w:rPr>
          <w:rFonts w:hint="eastAsia" w:ascii="宋体" w:hAnsi="宋体" w:cs="宋体"/>
          <w:sz w:val="24"/>
          <w:szCs w:val="24"/>
        </w:rPr>
        <w:t>单位责任发生重大安全责任事故，经核查属实，扣除本月</w:t>
      </w:r>
      <w:r>
        <w:rPr>
          <w:rFonts w:hint="eastAsia" w:ascii="宋体" w:hAnsi="宋体" w:cs="宋体"/>
          <w:sz w:val="24"/>
          <w:szCs w:val="24"/>
          <w:lang w:val="en-US" w:eastAsia="zh-CN"/>
        </w:rPr>
        <w:t>考核</w:t>
      </w:r>
      <w:r>
        <w:rPr>
          <w:rFonts w:hint="eastAsia" w:ascii="宋体" w:hAnsi="宋体" w:cs="宋体"/>
          <w:sz w:val="24"/>
          <w:szCs w:val="24"/>
        </w:rPr>
        <w:t>分5分（对造成损失的由责任单位负责并追究其相关责任)。</w:t>
      </w:r>
    </w:p>
    <w:p>
      <w:pPr>
        <w:spacing w:line="560" w:lineRule="exact"/>
        <w:ind w:firstLine="480" w:firstLineChars="200"/>
        <w:rPr>
          <w:rFonts w:ascii="宋体" w:hAnsi="宋体" w:cs="宋体"/>
          <w:sz w:val="24"/>
          <w:szCs w:val="24"/>
        </w:rPr>
      </w:pPr>
      <w:r>
        <w:rPr>
          <w:rFonts w:hint="eastAsia" w:ascii="宋体" w:hAnsi="宋体" w:cs="宋体"/>
          <w:sz w:val="24"/>
          <w:szCs w:val="24"/>
        </w:rPr>
        <w:t>4.4</w:t>
      </w:r>
      <w:r>
        <w:rPr>
          <w:rFonts w:hint="eastAsia" w:ascii="宋体" w:hAnsi="宋体" w:cs="宋体"/>
          <w:sz w:val="24"/>
          <w:szCs w:val="24"/>
          <w:lang w:eastAsia="zh-CN"/>
        </w:rPr>
        <w:t>保洁</w:t>
      </w:r>
      <w:r>
        <w:rPr>
          <w:rFonts w:hint="eastAsia" w:ascii="宋体" w:hAnsi="宋体" w:cs="宋体"/>
          <w:sz w:val="24"/>
          <w:szCs w:val="24"/>
          <w:lang w:val="en-US" w:eastAsia="zh-CN"/>
        </w:rPr>
        <w:t>养护</w:t>
      </w:r>
      <w:r>
        <w:rPr>
          <w:rFonts w:hint="eastAsia" w:ascii="宋体" w:hAnsi="宋体" w:cs="宋体"/>
          <w:sz w:val="24"/>
          <w:szCs w:val="24"/>
        </w:rPr>
        <w:t>单位对考核结果进行现场确认签章，每月考核结于当天签章确认，如无签章本月考核按照不合格计入。</w:t>
      </w:r>
    </w:p>
    <w:p>
      <w:pPr>
        <w:spacing w:line="560" w:lineRule="exact"/>
        <w:ind w:firstLine="482" w:firstLineChars="200"/>
        <w:rPr>
          <w:rFonts w:ascii="宋体" w:hAnsi="宋体" w:cs="宋体"/>
          <w:sz w:val="24"/>
          <w:szCs w:val="24"/>
        </w:rPr>
      </w:pPr>
      <w:r>
        <w:rPr>
          <w:rFonts w:hint="eastAsia" w:ascii="宋体" w:hAnsi="宋体" w:cs="宋体"/>
          <w:b/>
          <w:sz w:val="24"/>
          <w:szCs w:val="24"/>
        </w:rPr>
        <w:t>5.考核结果运用</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5.1</w:t>
      </w:r>
      <w:r>
        <w:rPr>
          <w:rFonts w:hint="eastAsia" w:ascii="宋体" w:hAnsi="宋体" w:cs="宋体"/>
          <w:sz w:val="24"/>
          <w:szCs w:val="24"/>
          <w:lang w:val="en-US" w:eastAsia="zh-CN"/>
        </w:rPr>
        <w:t>环卫保洁和园林养护</w:t>
      </w:r>
      <w:r>
        <w:rPr>
          <w:rFonts w:hint="eastAsia" w:ascii="宋体" w:hAnsi="宋体" w:cs="宋体"/>
          <w:sz w:val="24"/>
          <w:szCs w:val="24"/>
        </w:rPr>
        <w:t>的绩效考核结果与</w:t>
      </w:r>
      <w:r>
        <w:rPr>
          <w:rFonts w:hint="eastAsia" w:ascii="宋体" w:hAnsi="宋体" w:cs="宋体"/>
          <w:sz w:val="24"/>
          <w:szCs w:val="24"/>
          <w:lang w:val="en-US" w:eastAsia="zh-CN"/>
        </w:rPr>
        <w:t>服务</w:t>
      </w:r>
      <w:r>
        <w:rPr>
          <w:rFonts w:hint="eastAsia" w:ascii="宋体" w:hAnsi="宋体" w:cs="宋体"/>
          <w:sz w:val="24"/>
          <w:szCs w:val="24"/>
        </w:rPr>
        <w:t>费挂钩；当考核结果连续三月不达标时（低于</w:t>
      </w:r>
      <w:r>
        <w:rPr>
          <w:rFonts w:hint="eastAsia" w:ascii="宋体" w:hAnsi="宋体" w:cs="宋体"/>
          <w:sz w:val="24"/>
          <w:szCs w:val="24"/>
          <w:lang w:val="en-US" w:eastAsia="zh-CN"/>
        </w:rPr>
        <w:t>60</w:t>
      </w:r>
      <w:r>
        <w:rPr>
          <w:rFonts w:hint="eastAsia" w:ascii="宋体" w:hAnsi="宋体" w:cs="宋体"/>
          <w:sz w:val="24"/>
          <w:szCs w:val="24"/>
        </w:rPr>
        <w:t>分），约谈</w:t>
      </w:r>
      <w:r>
        <w:rPr>
          <w:rFonts w:hint="eastAsia" w:ascii="宋体" w:hAnsi="宋体" w:cs="宋体"/>
          <w:sz w:val="24"/>
          <w:szCs w:val="24"/>
          <w:lang w:val="en-US" w:eastAsia="zh-CN"/>
        </w:rPr>
        <w:t>中标</w:t>
      </w:r>
      <w:r>
        <w:rPr>
          <w:rFonts w:hint="eastAsia" w:ascii="宋体" w:hAnsi="宋体" w:cs="宋体"/>
          <w:sz w:val="24"/>
          <w:szCs w:val="24"/>
        </w:rPr>
        <w:t>单位法定代表人作出承诺，拒不整改或整改不达标的，按协议约定，扣除相应比例的</w:t>
      </w:r>
      <w:r>
        <w:rPr>
          <w:rFonts w:hint="eastAsia" w:ascii="宋体" w:hAnsi="宋体" w:cs="宋体"/>
          <w:sz w:val="24"/>
          <w:szCs w:val="24"/>
          <w:lang w:val="en-US" w:eastAsia="zh-CN"/>
        </w:rPr>
        <w:t>服务</w:t>
      </w:r>
      <w:r>
        <w:rPr>
          <w:rFonts w:hint="eastAsia" w:ascii="宋体" w:hAnsi="宋体" w:cs="宋体"/>
          <w:sz w:val="24"/>
          <w:szCs w:val="24"/>
        </w:rPr>
        <w:t>费或终止协议。并报行政主管部门，取消其</w:t>
      </w:r>
      <w:r>
        <w:rPr>
          <w:rFonts w:hint="eastAsia" w:ascii="宋体" w:hAnsi="宋体" w:cs="宋体"/>
          <w:sz w:val="24"/>
          <w:szCs w:val="24"/>
          <w:lang w:val="en-US" w:eastAsia="zh-CN"/>
        </w:rPr>
        <w:t>环卫</w:t>
      </w:r>
      <w:r>
        <w:rPr>
          <w:rFonts w:hint="eastAsia" w:ascii="宋体" w:hAnsi="宋体" w:cs="宋体"/>
          <w:sz w:val="24"/>
          <w:szCs w:val="24"/>
          <w:lang w:eastAsia="zh-CN"/>
        </w:rPr>
        <w:t>保洁</w:t>
      </w:r>
      <w:r>
        <w:rPr>
          <w:rFonts w:hint="eastAsia" w:ascii="宋体" w:hAnsi="宋体" w:cs="宋体"/>
          <w:sz w:val="24"/>
          <w:szCs w:val="24"/>
          <w:lang w:val="en-US" w:eastAsia="zh-CN"/>
        </w:rPr>
        <w:t>和园林养护</w:t>
      </w:r>
      <w:r>
        <w:rPr>
          <w:rFonts w:hint="eastAsia" w:ascii="宋体" w:hAnsi="宋体" w:cs="宋体"/>
          <w:sz w:val="24"/>
          <w:szCs w:val="24"/>
        </w:rPr>
        <w:t>合格单位的资格。</w:t>
      </w:r>
    </w:p>
    <w:p>
      <w:pPr>
        <w:spacing w:line="560" w:lineRule="exact"/>
        <w:ind w:firstLine="480" w:firstLineChars="200"/>
        <w:rPr>
          <w:rFonts w:hint="eastAsia" w:ascii="宋体" w:hAnsi="宋体" w:cs="宋体"/>
          <w:sz w:val="24"/>
          <w:szCs w:val="24"/>
        </w:rPr>
      </w:pPr>
    </w:p>
    <w:p>
      <w:pPr>
        <w:pStyle w:val="58"/>
        <w:spacing w:line="440" w:lineRule="exact"/>
        <w:jc w:val="center"/>
        <w:rPr>
          <w:rFonts w:hint="eastAsia" w:ascii="宋体" w:hAnsi="宋体"/>
          <w:b/>
          <w:bCs/>
          <w:color w:val="auto"/>
          <w:sz w:val="30"/>
          <w:szCs w:val="30"/>
          <w:highlight w:val="none"/>
          <w:lang w:val="en-US" w:eastAsia="zh-CN"/>
        </w:rPr>
      </w:pPr>
    </w:p>
    <w:p>
      <w:pPr>
        <w:pStyle w:val="58"/>
        <w:spacing w:line="440" w:lineRule="exact"/>
        <w:jc w:val="center"/>
        <w:rPr>
          <w:rFonts w:hint="eastAsia" w:ascii="宋体" w:hAnsi="宋体"/>
          <w:b/>
          <w:bCs/>
          <w:color w:val="auto"/>
          <w:sz w:val="30"/>
          <w:szCs w:val="30"/>
          <w:highlight w:val="none"/>
          <w:lang w:val="en-US" w:eastAsia="zh-CN"/>
        </w:rPr>
      </w:pPr>
    </w:p>
    <w:p>
      <w:pPr>
        <w:pStyle w:val="58"/>
        <w:spacing w:line="440" w:lineRule="exact"/>
        <w:jc w:val="center"/>
        <w:rPr>
          <w:rFonts w:hint="eastAsia" w:ascii="宋体" w:hAnsi="宋体"/>
          <w:b/>
          <w:bCs/>
          <w:color w:val="auto"/>
          <w:sz w:val="30"/>
          <w:szCs w:val="30"/>
          <w:highlight w:val="none"/>
          <w:lang w:val="en-US" w:eastAsia="zh-CN"/>
        </w:rPr>
      </w:pPr>
    </w:p>
    <w:p>
      <w:pPr>
        <w:pStyle w:val="58"/>
        <w:spacing w:line="440" w:lineRule="exact"/>
        <w:jc w:val="center"/>
        <w:rPr>
          <w:rFonts w:hint="eastAsia" w:ascii="宋体" w:hAnsi="宋体"/>
          <w:b/>
          <w:bCs/>
          <w:color w:val="auto"/>
          <w:sz w:val="30"/>
          <w:szCs w:val="30"/>
          <w:highlight w:val="none"/>
          <w:lang w:val="en-US" w:eastAsia="zh-CN"/>
        </w:rPr>
      </w:pPr>
    </w:p>
    <w:p>
      <w:pPr>
        <w:pStyle w:val="58"/>
        <w:spacing w:line="440" w:lineRule="exact"/>
        <w:jc w:val="center"/>
        <w:rPr>
          <w:rFonts w:hint="eastAsia" w:ascii="宋体" w:hAnsi="宋体"/>
          <w:b/>
          <w:bCs/>
          <w:color w:val="auto"/>
          <w:sz w:val="30"/>
          <w:szCs w:val="30"/>
          <w:highlight w:val="none"/>
          <w:lang w:val="en-US" w:eastAsia="zh-CN"/>
        </w:rPr>
      </w:pPr>
    </w:p>
    <w:p>
      <w:pPr>
        <w:pStyle w:val="58"/>
        <w:spacing w:line="440" w:lineRule="exact"/>
        <w:jc w:val="center"/>
        <w:rPr>
          <w:rFonts w:hint="eastAsia" w:ascii="宋体" w:hAnsi="宋体"/>
          <w:b/>
          <w:bCs/>
          <w:color w:val="auto"/>
          <w:sz w:val="30"/>
          <w:szCs w:val="30"/>
          <w:highlight w:val="none"/>
          <w:lang w:val="en-US" w:eastAsia="zh-CN"/>
        </w:rPr>
      </w:pPr>
    </w:p>
    <w:p>
      <w:pPr>
        <w:pStyle w:val="58"/>
        <w:spacing w:line="440" w:lineRule="exact"/>
        <w:jc w:val="center"/>
        <w:rPr>
          <w:rFonts w:hint="eastAsia" w:ascii="宋体" w:hAnsi="宋体"/>
          <w:b/>
          <w:bCs/>
          <w:color w:val="auto"/>
          <w:sz w:val="30"/>
          <w:szCs w:val="30"/>
          <w:highlight w:val="none"/>
          <w:lang w:val="en-US" w:eastAsia="zh-CN"/>
        </w:rPr>
      </w:pPr>
    </w:p>
    <w:p>
      <w:pPr>
        <w:pStyle w:val="58"/>
        <w:spacing w:line="440" w:lineRule="exact"/>
        <w:jc w:val="center"/>
        <w:rPr>
          <w:rFonts w:hint="eastAsia" w:ascii="宋体" w:hAnsi="宋体"/>
          <w:b/>
          <w:bCs/>
          <w:color w:val="auto"/>
          <w:sz w:val="30"/>
          <w:szCs w:val="30"/>
          <w:highlight w:val="none"/>
          <w:lang w:val="en-US" w:eastAsia="zh-CN"/>
        </w:rPr>
      </w:pPr>
    </w:p>
    <w:p>
      <w:pPr>
        <w:pStyle w:val="58"/>
        <w:spacing w:line="440" w:lineRule="exact"/>
        <w:jc w:val="both"/>
        <w:rPr>
          <w:rFonts w:hint="eastAsia" w:ascii="宋体" w:hAnsi="宋体"/>
          <w:b/>
          <w:bCs/>
          <w:color w:val="auto"/>
          <w:sz w:val="30"/>
          <w:szCs w:val="30"/>
          <w:highlight w:val="none"/>
          <w:lang w:val="en-US" w:eastAsia="zh-CN"/>
        </w:rPr>
      </w:pPr>
    </w:p>
    <w:p>
      <w:pPr>
        <w:spacing w:line="600" w:lineRule="exact"/>
        <w:jc w:val="center"/>
        <w:rPr>
          <w:rFonts w:ascii="方正小标宋简体" w:eastAsia="方正小标宋简体"/>
          <w:bCs/>
          <w:color w:val="auto"/>
          <w:kern w:val="0"/>
          <w:sz w:val="36"/>
          <w:szCs w:val="36"/>
        </w:rPr>
      </w:pPr>
      <w:r>
        <w:rPr>
          <w:rFonts w:hint="eastAsia" w:ascii="方正小标宋简体" w:eastAsia="方正小标宋简体"/>
          <w:bCs/>
          <w:color w:val="auto"/>
          <w:kern w:val="0"/>
          <w:sz w:val="36"/>
          <w:szCs w:val="36"/>
          <w:lang w:val="en-US" w:eastAsia="zh-CN"/>
        </w:rPr>
        <w:t>托克逊县城市环卫园林一体化管理项目第一包</w:t>
      </w:r>
      <w:r>
        <w:rPr>
          <w:rFonts w:hint="eastAsia" w:ascii="方正小标宋简体" w:eastAsia="方正小标宋简体"/>
          <w:bCs/>
          <w:color w:val="auto"/>
          <w:kern w:val="0"/>
          <w:sz w:val="36"/>
          <w:szCs w:val="36"/>
        </w:rPr>
        <w:t>评分细则</w:t>
      </w:r>
    </w:p>
    <w:p>
      <w:pPr>
        <w:spacing w:line="300" w:lineRule="exact"/>
        <w:jc w:val="center"/>
        <w:rPr>
          <w:rFonts w:ascii="方正小标宋简体" w:eastAsia="方正小标宋简体"/>
          <w:bCs/>
          <w:color w:val="auto"/>
          <w:kern w:val="0"/>
          <w:sz w:val="36"/>
          <w:szCs w:val="36"/>
        </w:rPr>
      </w:pPr>
    </w:p>
    <w:tbl>
      <w:tblPr>
        <w:tblStyle w:val="23"/>
        <w:tblW w:w="9577" w:type="dxa"/>
        <w:tblInd w:w="0" w:type="dxa"/>
        <w:tblLayout w:type="fixed"/>
        <w:tblCellMar>
          <w:top w:w="0" w:type="dxa"/>
          <w:left w:w="108" w:type="dxa"/>
          <w:bottom w:w="0" w:type="dxa"/>
          <w:right w:w="108" w:type="dxa"/>
        </w:tblCellMar>
      </w:tblPr>
      <w:tblGrid>
        <w:gridCol w:w="809"/>
        <w:gridCol w:w="638"/>
        <w:gridCol w:w="1815"/>
        <w:gridCol w:w="1366"/>
        <w:gridCol w:w="3360"/>
        <w:gridCol w:w="951"/>
        <w:gridCol w:w="638"/>
      </w:tblGrid>
      <w:tr>
        <w:tblPrEx>
          <w:tblCellMar>
            <w:top w:w="0" w:type="dxa"/>
            <w:left w:w="108" w:type="dxa"/>
            <w:bottom w:w="0" w:type="dxa"/>
            <w:right w:w="108" w:type="dxa"/>
          </w:tblCellMar>
        </w:tblPrEx>
        <w:trPr>
          <w:trHeight w:val="691"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项目</w:t>
            </w:r>
          </w:p>
        </w:tc>
        <w:tc>
          <w:tcPr>
            <w:tcW w:w="638"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编号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考核标准</w:t>
            </w:r>
          </w:p>
        </w:tc>
        <w:tc>
          <w:tcPr>
            <w:tcW w:w="472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评分细则</w:t>
            </w:r>
          </w:p>
        </w:tc>
        <w:tc>
          <w:tcPr>
            <w:tcW w:w="951" w:type="dxa"/>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实际</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得分</w:t>
            </w:r>
          </w:p>
        </w:tc>
        <w:tc>
          <w:tcPr>
            <w:tcW w:w="638" w:type="dxa"/>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备注</w:t>
            </w:r>
          </w:p>
        </w:tc>
      </w:tr>
      <w:tr>
        <w:tblPrEx>
          <w:tblCellMar>
            <w:top w:w="0" w:type="dxa"/>
            <w:left w:w="108" w:type="dxa"/>
            <w:bottom w:w="0" w:type="dxa"/>
            <w:right w:w="108" w:type="dxa"/>
          </w:tblCellMar>
        </w:tblPrEx>
        <w:trPr>
          <w:trHeight w:val="687" w:hRule="atLeast"/>
        </w:trPr>
        <w:tc>
          <w:tcPr>
            <w:tcW w:w="809" w:type="dxa"/>
            <w:vMerge w:val="restart"/>
            <w:tcBorders>
              <w:top w:val="nil"/>
              <w:left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管理(</w:t>
            </w:r>
            <w:r>
              <w:rPr>
                <w:rFonts w:hint="eastAsia" w:asciiTheme="minorEastAsia" w:hAnsiTheme="minorEastAsia" w:eastAsiaTheme="minorEastAsia" w:cstheme="minorEastAsia"/>
                <w:b/>
                <w:color w:val="auto"/>
                <w:kern w:val="0"/>
                <w:sz w:val="24"/>
                <w:szCs w:val="24"/>
                <w:lang w:val="en-US" w:eastAsia="zh-CN"/>
              </w:rPr>
              <w:t>5</w:t>
            </w:r>
            <w:r>
              <w:rPr>
                <w:rFonts w:hint="eastAsia" w:asciiTheme="minorEastAsia" w:hAnsiTheme="minorEastAsia" w:eastAsiaTheme="minorEastAsia" w:cstheme="minorEastAsia"/>
                <w:b/>
                <w:color w:val="auto"/>
                <w:kern w:val="0"/>
                <w:sz w:val="24"/>
                <w:szCs w:val="24"/>
              </w:rPr>
              <w:t>分)</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管理制度</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有健全的养护管理制度，未达要求扣1-2分。</w:t>
            </w:r>
          </w:p>
        </w:tc>
        <w:tc>
          <w:tcPr>
            <w:tcW w:w="951" w:type="dxa"/>
            <w:tcBorders>
              <w:top w:val="nil"/>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nil"/>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CellMar>
            <w:top w:w="0" w:type="dxa"/>
            <w:left w:w="108" w:type="dxa"/>
            <w:bottom w:w="0" w:type="dxa"/>
            <w:right w:w="108" w:type="dxa"/>
          </w:tblCellMar>
        </w:tblPrEx>
        <w:trPr>
          <w:trHeight w:val="1404" w:hRule="atLeast"/>
        </w:trPr>
        <w:tc>
          <w:tcPr>
            <w:tcW w:w="809" w:type="dxa"/>
            <w:vMerge w:val="continue"/>
            <w:tcBorders>
              <w:left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b/>
                <w:color w:val="auto"/>
                <w:kern w:val="0"/>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人员管理</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按</w:t>
            </w:r>
            <w:r>
              <w:rPr>
                <w:rFonts w:hint="eastAsia" w:asciiTheme="minorEastAsia" w:hAnsiTheme="minorEastAsia" w:eastAsiaTheme="minorEastAsia" w:cstheme="minorEastAsia"/>
                <w:color w:val="auto"/>
                <w:kern w:val="0"/>
                <w:sz w:val="24"/>
                <w:szCs w:val="24"/>
                <w:lang w:val="en-US" w:eastAsia="zh-CN"/>
              </w:rPr>
              <w:t>环卫保洁和</w:t>
            </w:r>
            <w:r>
              <w:rPr>
                <w:rFonts w:hint="eastAsia" w:asciiTheme="minorEastAsia" w:hAnsiTheme="minorEastAsia" w:eastAsiaTheme="minorEastAsia" w:cstheme="minorEastAsia"/>
                <w:color w:val="auto"/>
                <w:kern w:val="0"/>
                <w:sz w:val="24"/>
                <w:szCs w:val="24"/>
              </w:rPr>
              <w:t>绿地养护面积，合理配备养管人员</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人员配备不合理，扣1分。项目负责人须参加管理部门组织的考核和有关会议，未参加的一次扣1分。</w:t>
            </w:r>
          </w:p>
        </w:tc>
        <w:tc>
          <w:tcPr>
            <w:tcW w:w="951" w:type="dxa"/>
            <w:tcBorders>
              <w:top w:val="nil"/>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nil"/>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2074" w:hRule="atLeast"/>
        </w:trPr>
        <w:tc>
          <w:tcPr>
            <w:tcW w:w="809"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工作</w:t>
            </w:r>
            <w:r>
              <w:rPr>
                <w:rFonts w:hint="eastAsia" w:asciiTheme="minorEastAsia" w:hAnsiTheme="minorEastAsia" w:eastAsiaTheme="minorEastAsia" w:cstheme="minorEastAsia"/>
                <w:color w:val="auto"/>
                <w:kern w:val="0"/>
                <w:sz w:val="24"/>
                <w:szCs w:val="24"/>
              </w:rPr>
              <w:t>计划</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每季度需制定季度</w:t>
            </w:r>
            <w:r>
              <w:rPr>
                <w:rFonts w:hint="eastAsia" w:asciiTheme="minorEastAsia" w:hAnsiTheme="minorEastAsia" w:eastAsiaTheme="minorEastAsia" w:cstheme="minorEastAsia"/>
                <w:color w:val="auto"/>
                <w:kern w:val="0"/>
                <w:sz w:val="24"/>
                <w:szCs w:val="24"/>
                <w:lang w:val="en-US" w:eastAsia="zh-CN"/>
              </w:rPr>
              <w:t>保洁和</w:t>
            </w:r>
            <w:r>
              <w:rPr>
                <w:rFonts w:hint="eastAsia" w:asciiTheme="minorEastAsia" w:hAnsiTheme="minorEastAsia" w:eastAsiaTheme="minorEastAsia" w:cstheme="minorEastAsia"/>
                <w:color w:val="auto"/>
                <w:kern w:val="0"/>
                <w:sz w:val="24"/>
                <w:szCs w:val="24"/>
              </w:rPr>
              <w:t>养护计划，并于4月、7月、10月的10号前向甲方报送</w:t>
            </w:r>
            <w:r>
              <w:rPr>
                <w:rFonts w:hint="eastAsia" w:asciiTheme="minorEastAsia" w:hAnsiTheme="minorEastAsia" w:eastAsiaTheme="minorEastAsia" w:cstheme="minorEastAsia"/>
                <w:color w:val="auto"/>
                <w:kern w:val="0"/>
                <w:sz w:val="24"/>
                <w:szCs w:val="24"/>
                <w:lang w:val="en-US" w:eastAsia="zh-CN"/>
              </w:rPr>
              <w:t>工作</w:t>
            </w:r>
            <w:r>
              <w:rPr>
                <w:rFonts w:hint="eastAsia" w:asciiTheme="minorEastAsia" w:hAnsiTheme="minorEastAsia" w:eastAsiaTheme="minorEastAsia" w:cstheme="minorEastAsia"/>
                <w:color w:val="auto"/>
                <w:kern w:val="0"/>
                <w:sz w:val="24"/>
                <w:szCs w:val="24"/>
              </w:rPr>
              <w:t>计划，无</w:t>
            </w:r>
            <w:r>
              <w:rPr>
                <w:rFonts w:hint="eastAsia" w:asciiTheme="minorEastAsia" w:hAnsiTheme="minorEastAsia" w:eastAsiaTheme="minorEastAsia" w:cstheme="minorEastAsia"/>
                <w:color w:val="auto"/>
                <w:kern w:val="0"/>
                <w:sz w:val="24"/>
                <w:szCs w:val="24"/>
                <w:lang w:val="en-US" w:eastAsia="zh-CN"/>
              </w:rPr>
              <w:t>工作</w:t>
            </w:r>
            <w:r>
              <w:rPr>
                <w:rFonts w:hint="eastAsia" w:asciiTheme="minorEastAsia" w:hAnsiTheme="minorEastAsia" w:eastAsiaTheme="minorEastAsia" w:cstheme="minorEastAsia"/>
                <w:color w:val="auto"/>
                <w:kern w:val="0"/>
                <w:sz w:val="24"/>
                <w:szCs w:val="24"/>
              </w:rPr>
              <w:t>计划，扣0.5分；未按季度</w:t>
            </w:r>
            <w:r>
              <w:rPr>
                <w:rFonts w:hint="eastAsia" w:asciiTheme="minorEastAsia" w:hAnsiTheme="minorEastAsia" w:eastAsiaTheme="minorEastAsia" w:cstheme="minorEastAsia"/>
                <w:color w:val="auto"/>
                <w:kern w:val="0"/>
                <w:sz w:val="24"/>
                <w:szCs w:val="24"/>
                <w:lang w:val="en-US" w:eastAsia="zh-CN"/>
              </w:rPr>
              <w:t>工作</w:t>
            </w:r>
            <w:r>
              <w:rPr>
                <w:rFonts w:hint="eastAsia" w:asciiTheme="minorEastAsia" w:hAnsiTheme="minorEastAsia" w:eastAsiaTheme="minorEastAsia" w:cstheme="minorEastAsia"/>
                <w:color w:val="auto"/>
                <w:kern w:val="0"/>
                <w:sz w:val="24"/>
                <w:szCs w:val="24"/>
              </w:rPr>
              <w:t>计划实施酌情扣0.5分；未按甲方要求及时报送计划的扣0.5分；报送数据失实的扣0.5分。</w:t>
            </w:r>
          </w:p>
        </w:tc>
        <w:tc>
          <w:tcPr>
            <w:tcW w:w="951" w:type="dxa"/>
            <w:tcBorders>
              <w:top w:val="nil"/>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nil"/>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CellMar>
            <w:top w:w="0" w:type="dxa"/>
            <w:left w:w="108" w:type="dxa"/>
            <w:bottom w:w="0" w:type="dxa"/>
            <w:right w:w="108" w:type="dxa"/>
          </w:tblCellMar>
        </w:tblPrEx>
        <w:trPr>
          <w:trHeight w:val="1250" w:hRule="atLeast"/>
        </w:trPr>
        <w:tc>
          <w:tcPr>
            <w:tcW w:w="809"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管理基础档案总结报表</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基础档案详尽，总账分账相符，每缺一处基础资料扣1分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未按甲方要求及时报送报表的扣2分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报送数据失实的扣2分。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578" w:hRule="atLeast"/>
        </w:trPr>
        <w:tc>
          <w:tcPr>
            <w:tcW w:w="809" w:type="dxa"/>
            <w:tcBorders>
              <w:left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项目</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编号</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考核标准</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评分细则</w:t>
            </w:r>
          </w:p>
        </w:tc>
        <w:tc>
          <w:tcPr>
            <w:tcW w:w="9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实际</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得分</w:t>
            </w: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备注</w:t>
            </w:r>
          </w:p>
        </w:tc>
      </w:tr>
      <w:tr>
        <w:tblPrEx>
          <w:tblCellMar>
            <w:top w:w="0" w:type="dxa"/>
            <w:left w:w="108" w:type="dxa"/>
            <w:bottom w:w="0" w:type="dxa"/>
            <w:right w:w="108" w:type="dxa"/>
          </w:tblCellMar>
        </w:tblPrEx>
        <w:trPr>
          <w:trHeight w:val="1113" w:hRule="atLeast"/>
        </w:trPr>
        <w:tc>
          <w:tcPr>
            <w:tcW w:w="809"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乔木（含2米以上乔木）养护</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w:t>
            </w:r>
            <w:r>
              <w:rPr>
                <w:rFonts w:hint="eastAsia" w:asciiTheme="minorEastAsia" w:hAnsiTheme="minorEastAsia" w:eastAsiaTheme="minorEastAsia" w:cstheme="minorEastAsia"/>
                <w:b/>
                <w:color w:val="auto"/>
                <w:kern w:val="0"/>
                <w:sz w:val="24"/>
                <w:szCs w:val="24"/>
                <w:lang w:val="en-US" w:eastAsia="zh-CN"/>
              </w:rPr>
              <w:t>1</w:t>
            </w:r>
            <w:r>
              <w:rPr>
                <w:rFonts w:hint="eastAsia" w:asciiTheme="minorEastAsia" w:hAnsiTheme="minorEastAsia" w:eastAsiaTheme="minorEastAsia" w:cstheme="minorEastAsia"/>
                <w:b/>
                <w:color w:val="auto"/>
                <w:kern w:val="0"/>
                <w:sz w:val="24"/>
                <w:szCs w:val="24"/>
              </w:rPr>
              <w:t>5分)</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树木缺株、死亡</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树木保存率未达到98%，缺株、死亡的，每株扣1分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未及时补植、更换品种不一致、规格差别明显的，每株扣1分。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CellMar>
            <w:top w:w="0" w:type="dxa"/>
            <w:left w:w="108" w:type="dxa"/>
            <w:bottom w:w="0" w:type="dxa"/>
            <w:right w:w="108" w:type="dxa"/>
          </w:tblCellMar>
        </w:tblPrEx>
        <w:trPr>
          <w:trHeight w:val="1208" w:hRule="atLeast"/>
        </w:trPr>
        <w:tc>
          <w:tcPr>
            <w:tcW w:w="809" w:type="dxa"/>
            <w:vMerge w:val="continue"/>
            <w:tcBorders>
              <w:left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树木长势</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乔木出现萎焉，树叶有明显枯黄，每处（3株以上）每株扣0.5分；树木严重缺冠的，每处（3株以上）每处扣0.5分，依次类推。</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1471" w:hRule="atLeast"/>
        </w:trPr>
        <w:tc>
          <w:tcPr>
            <w:tcW w:w="809" w:type="dxa"/>
            <w:vMerge w:val="continue"/>
            <w:tcBorders>
              <w:left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树木修剪、扶正</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树木未按时修剪或树木修剪不到位的，有明显的徒长枝、病虫枝、枯枝、伤损枝、萌蘗枝、每株扣0.5分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树木倾斜明显不及时采取扶正措施的，每株扣0.5分。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288" w:hRule="atLeast"/>
        </w:trPr>
        <w:tc>
          <w:tcPr>
            <w:tcW w:w="809" w:type="dxa"/>
            <w:vMerge w:val="continue"/>
            <w:tcBorders>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rPr>
                <w:rFonts w:hint="eastAsia" w:asciiTheme="minorEastAsia" w:hAnsiTheme="minorEastAsia" w:eastAsiaTheme="minorEastAsia" w:cstheme="minorEastAsia"/>
                <w:b/>
                <w:color w:val="auto"/>
                <w:kern w:val="0"/>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树穴、支撑</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新植、补植树木无树穴，树穴不规范无形的，每株扣0.5分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新植、补植树木支撑不统一，有断桩、坏桩等不规范的，扣0.5分。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408" w:hRule="atLeast"/>
        </w:trPr>
        <w:tc>
          <w:tcPr>
            <w:tcW w:w="809" w:type="dxa"/>
            <w:tcBorders>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项目</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编号</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考核标准</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评分细则</w:t>
            </w:r>
          </w:p>
        </w:tc>
        <w:tc>
          <w:tcPr>
            <w:tcW w:w="9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实际</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得分</w:t>
            </w: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备注</w:t>
            </w:r>
          </w:p>
        </w:tc>
      </w:tr>
      <w:tr>
        <w:tblPrEx>
          <w:tblCellMar>
            <w:top w:w="0" w:type="dxa"/>
            <w:left w:w="108" w:type="dxa"/>
            <w:bottom w:w="0" w:type="dxa"/>
            <w:right w:w="108" w:type="dxa"/>
          </w:tblCellMar>
        </w:tblPrEx>
        <w:trPr>
          <w:trHeight w:val="1234" w:hRule="atLeast"/>
        </w:trPr>
        <w:tc>
          <w:tcPr>
            <w:tcW w:w="80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绿篱</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灌木</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w:t>
            </w:r>
            <w:r>
              <w:rPr>
                <w:rFonts w:hint="eastAsia" w:asciiTheme="minorEastAsia" w:hAnsiTheme="minorEastAsia" w:eastAsiaTheme="minorEastAsia" w:cstheme="minorEastAsia"/>
                <w:b/>
                <w:color w:val="auto"/>
                <w:kern w:val="0"/>
                <w:sz w:val="24"/>
                <w:szCs w:val="24"/>
                <w:lang w:val="en-US" w:eastAsia="zh-CN"/>
              </w:rPr>
              <w:t>1</w:t>
            </w:r>
            <w:r>
              <w:rPr>
                <w:rFonts w:hint="eastAsia" w:asciiTheme="minorEastAsia" w:hAnsiTheme="minorEastAsia" w:eastAsiaTheme="minorEastAsia" w:cstheme="minorEastAsia"/>
                <w:b/>
                <w:color w:val="auto"/>
                <w:kern w:val="0"/>
                <w:sz w:val="24"/>
                <w:szCs w:val="24"/>
              </w:rPr>
              <w:t>5分)</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3.1</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灌木缺株、死亡</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灌木存活率未达到98%，缺株、死亡的，每处（2株）未在7天内及时补植、更换品种不一致、规格差别特别明显的，每处扣1分。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1942" w:hRule="atLeast"/>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灌木长势、冠形</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灌木出现萎焉，枝叶枯黄，或出现病虫害，枝叶发生病变，未及时采取措施或措施不力者，每处（2株）扣1分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 xml:space="preserve">灌木严重缺冠的，有明显徒长枝，病虫枝，枯枝，死枝，伤损枝的，每处（2枝）扣0.5分。 </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1214" w:hRule="atLeast"/>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灌木修剪</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绿篱修剪后及时清理残枝</w:t>
            </w:r>
            <w:r>
              <w:rPr>
                <w:rFonts w:hint="eastAsia" w:asciiTheme="minorEastAsia" w:hAnsiTheme="minorEastAsia" w:eastAsiaTheme="minorEastAsia" w:cstheme="minorEastAsia"/>
                <w:color w:val="auto"/>
                <w:kern w:val="0"/>
                <w:sz w:val="24"/>
                <w:szCs w:val="24"/>
              </w:rPr>
              <w:t>灌木未按时修剪或修剪不到位的，每处（2枝）扣0.5分；未按色彩、层次、造型要求修剪，每处（2枝）扣0.5分；修剪面不均匀、不美观，不平整，每处（2枝）扣0.5分。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1348"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花卉</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草坪</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(5分)</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.1</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花卉</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有缺株倒伏、枯枝残花、枯枝杂草、垃圾，每处扣0.5分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花卉死亡未按要求补植</w:t>
            </w:r>
            <w:r>
              <w:rPr>
                <w:rFonts w:hint="eastAsia" w:asciiTheme="minorEastAsia" w:hAnsiTheme="minorEastAsia" w:eastAsiaTheme="minorEastAsia" w:cstheme="minorEastAsia"/>
                <w:color w:val="auto"/>
                <w:kern w:val="0"/>
                <w:sz w:val="24"/>
                <w:szCs w:val="24"/>
                <w:lang w:val="en-US" w:eastAsia="zh-CN"/>
              </w:rPr>
              <w:t>同规格、同品种花卉，</w:t>
            </w:r>
            <w:r>
              <w:rPr>
                <w:rFonts w:hint="eastAsia" w:asciiTheme="minorEastAsia" w:hAnsiTheme="minorEastAsia" w:eastAsiaTheme="minorEastAsia" w:cstheme="minorEastAsia"/>
                <w:color w:val="auto"/>
                <w:kern w:val="0"/>
                <w:sz w:val="24"/>
                <w:szCs w:val="24"/>
              </w:rPr>
              <w:t>绿地内季节性花卉未及时更换</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扣1分；</w:t>
            </w:r>
            <w:r>
              <w:rPr>
                <w:rFonts w:hint="eastAsia" w:asciiTheme="minorEastAsia" w:hAnsiTheme="minorEastAsia" w:eastAsiaTheme="minorEastAsia" w:cstheme="minorEastAsia"/>
                <w:color w:val="auto"/>
                <w:kern w:val="0"/>
                <w:sz w:val="24"/>
                <w:szCs w:val="24"/>
              </w:rPr>
              <w:t>绿地草花、街头花箱，花堆花卉跟换不及时</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每次扣0.5分。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CellMar>
            <w:top w:w="0" w:type="dxa"/>
            <w:left w:w="108" w:type="dxa"/>
            <w:bottom w:w="0" w:type="dxa"/>
            <w:right w:w="108" w:type="dxa"/>
          </w:tblCellMar>
        </w:tblPrEx>
        <w:trPr>
          <w:trHeight w:val="464"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rPr>
              <w:t>项目</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rPr>
              <w:t>编号</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rPr>
              <w:t>考核标准</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rPr>
              <w:t>评分细则</w:t>
            </w:r>
          </w:p>
        </w:tc>
        <w:tc>
          <w:tcPr>
            <w:tcW w:w="9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实际</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rPr>
              <w:t>得分</w:t>
            </w: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rPr>
              <w:t>备注</w:t>
            </w:r>
          </w:p>
        </w:tc>
      </w:tr>
      <w:tr>
        <w:tblPrEx>
          <w:tblCellMar>
            <w:top w:w="0" w:type="dxa"/>
            <w:left w:w="108" w:type="dxa"/>
            <w:bottom w:w="0" w:type="dxa"/>
            <w:right w:w="108" w:type="dxa"/>
          </w:tblCellMar>
        </w:tblPrEx>
        <w:trPr>
          <w:trHeight w:val="1559"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花卉</w:t>
            </w:r>
          </w:p>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草坪(5分)</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.2</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草坪</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不及时修剪，修剪不到位的，每处扣0.5分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原有草坪处发现黄土露天，超过1平方米，每平方米扣0.5分，依次类推</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修剪面不均匀、不美观，不平整，每处（1平方米以上）扣0.5分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有杂草、杂物，每处扣0.5分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草坪枯黄超过1平方米，绿地内土方被冲刷、塌陷，或泥土外溢，没有按时修复完整</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每处扣0.5分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依次类推。</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1541" w:hRule="atLeast"/>
        </w:trPr>
        <w:tc>
          <w:tcPr>
            <w:tcW w:w="80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植物保护及设施维护</w:t>
            </w:r>
          </w:p>
          <w:p>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kern w:val="0"/>
                <w:sz w:val="24"/>
                <w:szCs w:val="24"/>
              </w:rPr>
              <w:t>(</w:t>
            </w:r>
            <w:r>
              <w:rPr>
                <w:rFonts w:hint="eastAsia" w:asciiTheme="minorEastAsia" w:hAnsiTheme="minorEastAsia" w:eastAsiaTheme="minorEastAsia" w:cstheme="minorEastAsia"/>
                <w:b/>
                <w:color w:val="auto"/>
                <w:kern w:val="0"/>
                <w:sz w:val="24"/>
                <w:szCs w:val="24"/>
                <w:lang w:val="en-US" w:eastAsia="zh-CN"/>
              </w:rPr>
              <w:t>5</w:t>
            </w:r>
            <w:r>
              <w:rPr>
                <w:rFonts w:hint="eastAsia" w:asciiTheme="minorEastAsia" w:hAnsiTheme="minorEastAsia" w:eastAsiaTheme="minorEastAsia" w:cstheme="minorEastAsia"/>
                <w:b/>
                <w:color w:val="auto"/>
                <w:kern w:val="0"/>
                <w:sz w:val="24"/>
                <w:szCs w:val="24"/>
              </w:rPr>
              <w:t>分)</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.1</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绿地施肥</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春、秋季绿地树木没有施肥的，每处扣1分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因缺肥导致植物叶片黄叶、长势不良或因施肥不当出现肥害每处扣0.5分。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1725" w:hRule="atLeast"/>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.2</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病虫害防治</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乔灌木有明显病虫害未及时进行防治的，每处扣0.5分；发生病虫害，植株受害面积达8%以上，严重导致死亡的，每处扣</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分；使用不当发生药害，致使植物落叶死亡，每处扣3分；出现攀援或寄生植物影响植物正常生长的，每处扣0.5分。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1783" w:hRule="atLeast"/>
        </w:trPr>
        <w:tc>
          <w:tcPr>
            <w:tcW w:w="809" w:type="dxa"/>
            <w:vMerge w:val="continue"/>
            <w:tcBorders>
              <w:top w:val="single" w:color="auto" w:sz="4" w:space="0"/>
              <w:left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.3</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浇灌设施、栽植容器等</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管线维护不当，日常浇水养护中发现跑、冒、滴、漏</w:t>
            </w:r>
            <w:r>
              <w:rPr>
                <w:rFonts w:hint="eastAsia" w:asciiTheme="minorEastAsia" w:hAnsiTheme="minorEastAsia" w:eastAsiaTheme="minorEastAsia" w:cstheme="minorEastAsia"/>
                <w:color w:val="auto"/>
                <w:kern w:val="0"/>
                <w:sz w:val="24"/>
                <w:szCs w:val="24"/>
                <w:lang w:val="en-US" w:eastAsia="zh-CN"/>
              </w:rPr>
              <w:t>水</w:t>
            </w:r>
            <w:r>
              <w:rPr>
                <w:rFonts w:hint="eastAsia" w:asciiTheme="minorEastAsia" w:hAnsiTheme="minorEastAsia" w:eastAsiaTheme="minorEastAsia" w:cstheme="minorEastAsia"/>
                <w:color w:val="auto"/>
                <w:kern w:val="0"/>
                <w:sz w:val="24"/>
                <w:szCs w:val="24"/>
              </w:rPr>
              <w:t>现象不及时处理的，每处扣0.5分；</w:t>
            </w:r>
            <w:r>
              <w:rPr>
                <w:rFonts w:hint="eastAsia" w:asciiTheme="minorEastAsia" w:hAnsiTheme="minorEastAsia" w:eastAsiaTheme="minorEastAsia" w:cstheme="minorEastAsia"/>
                <w:color w:val="auto"/>
                <w:kern w:val="0"/>
                <w:sz w:val="24"/>
                <w:szCs w:val="24"/>
                <w:lang w:val="en-US" w:eastAsia="zh-CN"/>
              </w:rPr>
              <w:t>绿化带水线布置不规范，</w:t>
            </w:r>
            <w:r>
              <w:rPr>
                <w:rFonts w:hint="eastAsia" w:asciiTheme="minorEastAsia" w:hAnsiTheme="minorEastAsia" w:eastAsiaTheme="minorEastAsia" w:cstheme="minorEastAsia"/>
                <w:color w:val="auto"/>
                <w:kern w:val="0"/>
                <w:sz w:val="24"/>
                <w:szCs w:val="24"/>
              </w:rPr>
              <w:t>浇水人员操作不规范</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每处扣0.5分；辅助设施未及时检修、清洁的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每处扣0.5分。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2310" w:hRule="atLeast"/>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.4</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护栏、围栏基础设施维护</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rPr>
              <w:t>公园道路及广场铺装定期进行维护，确保完整、安全。花箱、栏杆、绿化带护栏、支撑架和护网、园路、桌椅、灯、井盖和标识标牌等附属设施完整、安全：未做到及时维护，无维护记录的，每处扣1分；如遇损坏丢失，未及时更换，每处扣1分；护栏（汉白玉栏杆除外）损坏未及时修复的，每处扣1分；对路灯、监控、健身器材、木栈道等公共设施定期检查维护，如有破损或丢失未及时更换，每处扣1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583"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项目</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编号</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考核标准</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评分细则</w:t>
            </w:r>
          </w:p>
        </w:tc>
        <w:tc>
          <w:tcPr>
            <w:tcW w:w="9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实际</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得分</w:t>
            </w: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备注</w:t>
            </w:r>
          </w:p>
        </w:tc>
      </w:tr>
      <w:tr>
        <w:tblPrEx>
          <w:tblCellMar>
            <w:top w:w="0" w:type="dxa"/>
            <w:left w:w="108" w:type="dxa"/>
            <w:bottom w:w="0" w:type="dxa"/>
            <w:right w:w="108" w:type="dxa"/>
          </w:tblCellMar>
        </w:tblPrEx>
        <w:trPr>
          <w:trHeight w:val="1851"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水域面保洁（3分）</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6.1</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湖面卫生清洁</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做好白杨河两岸所有人工湖湖面清理漂流物、杂物、淤泥及时清理，及时做好水域面管护及安全管理工作，设立安全警示牌，禁止下水：配合上游水库汛期泄洪，及时开关闸门，每发现一处扣1分；未做好巡河工作，河道管护不到位，每次扣1分；未设立安全警示牌每处扣0.5 分。</w:t>
            </w:r>
          </w:p>
        </w:tc>
        <w:tc>
          <w:tcPr>
            <w:tcW w:w="95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pacing w:val="0"/>
                <w:kern w:val="0"/>
                <w:sz w:val="24"/>
                <w:szCs w:val="24"/>
                <w:highlight w:val="none"/>
                <w:u w:val="none"/>
                <w:lang w:val="en-US" w:eastAsia="zh-CN" w:bidi="ar"/>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2178"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绿地</w:t>
            </w:r>
            <w:r>
              <w:rPr>
                <w:rFonts w:hint="eastAsia" w:asciiTheme="minorEastAsia" w:hAnsiTheme="minorEastAsia" w:eastAsiaTheme="minorEastAsia" w:cstheme="minorEastAsia"/>
                <w:b/>
                <w:color w:val="auto"/>
                <w:kern w:val="0"/>
                <w:sz w:val="24"/>
                <w:szCs w:val="24"/>
                <w:lang w:val="en-US" w:eastAsia="zh-CN"/>
              </w:rPr>
              <w:t>完整、</w:t>
            </w:r>
            <w:r>
              <w:rPr>
                <w:rFonts w:hint="eastAsia" w:asciiTheme="minorEastAsia" w:hAnsiTheme="minorEastAsia" w:eastAsiaTheme="minorEastAsia" w:cstheme="minorEastAsia"/>
                <w:b/>
                <w:color w:val="auto"/>
                <w:kern w:val="0"/>
                <w:sz w:val="24"/>
                <w:szCs w:val="24"/>
              </w:rPr>
              <w:t>卫生保洁</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w:t>
            </w:r>
            <w:r>
              <w:rPr>
                <w:rFonts w:hint="eastAsia" w:asciiTheme="minorEastAsia" w:hAnsiTheme="minorEastAsia" w:eastAsiaTheme="minorEastAsia" w:cstheme="minorEastAsia"/>
                <w:b/>
                <w:color w:val="auto"/>
                <w:kern w:val="0"/>
                <w:sz w:val="24"/>
                <w:szCs w:val="24"/>
                <w:lang w:val="en-US" w:eastAsia="zh-CN"/>
              </w:rPr>
              <w:t>2</w:t>
            </w:r>
            <w:r>
              <w:rPr>
                <w:rFonts w:hint="eastAsia" w:asciiTheme="minorEastAsia" w:hAnsiTheme="minorEastAsia" w:eastAsiaTheme="minorEastAsia" w:cstheme="minorEastAsia"/>
                <w:b/>
                <w:color w:val="auto"/>
                <w:kern w:val="0"/>
                <w:sz w:val="24"/>
                <w:szCs w:val="24"/>
              </w:rPr>
              <w:t>分)</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7.1</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绿地卫生</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占绿毁绿</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i w:val="0"/>
                <w:color w:val="auto"/>
                <w:spacing w:val="0"/>
                <w:kern w:val="0"/>
                <w:sz w:val="24"/>
                <w:szCs w:val="24"/>
                <w:highlight w:val="none"/>
                <w:u w:val="none"/>
                <w:lang w:val="en-US" w:eastAsia="zh-CN" w:bidi="ar"/>
              </w:rPr>
              <w:t>距树干2m范围内无堆物、堆料、圈栏或搭棚设摊等影响树木生长和养护管理的现象。无杂草，无杂藤攀援植物，无污物杂物、无积水，对绿化生产垃圾(如树枝、树叶、草屑等),绿地内水面杂物，随产随清。无堆物、堆料、搭棚，树干上无钉拴刻画等现象：有垃圾、杂物的，每处扣0.5分；对园林小品、设施、园路等清洁不力的，每处扣0.5分；树冠上有悬挂物的，每处扣0.5分；未及时发现违章占绿、毁绿或发现了未采取相应措施的，每处扣2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724"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rPr>
              <w:t>项目</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rPr>
              <w:t>编号</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rPr>
              <w:t>考核标准</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rPr>
              <w:t>评分细则</w:t>
            </w:r>
          </w:p>
        </w:tc>
        <w:tc>
          <w:tcPr>
            <w:tcW w:w="9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实际</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rPr>
              <w:t>得分</w:t>
            </w: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rPr>
              <w:t>备注</w:t>
            </w:r>
          </w:p>
        </w:tc>
      </w:tr>
      <w:tr>
        <w:tblPrEx>
          <w:tblCellMar>
            <w:top w:w="0" w:type="dxa"/>
            <w:left w:w="108" w:type="dxa"/>
            <w:bottom w:w="0" w:type="dxa"/>
            <w:right w:w="108" w:type="dxa"/>
          </w:tblCellMar>
        </w:tblPrEx>
        <w:trPr>
          <w:trHeight w:val="2699"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安全生产（5分</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8.1</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人员、作业安全</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i w:val="0"/>
                <w:color w:val="auto"/>
                <w:spacing w:val="0"/>
                <w:kern w:val="0"/>
                <w:sz w:val="24"/>
                <w:szCs w:val="24"/>
                <w:highlight w:val="none"/>
                <w:u w:val="none"/>
                <w:lang w:val="en-US" w:eastAsia="zh-CN" w:bidi="ar"/>
              </w:rPr>
            </w:pPr>
            <w:r>
              <w:rPr>
                <w:rFonts w:hint="eastAsia" w:asciiTheme="minorEastAsia" w:hAnsiTheme="minorEastAsia" w:eastAsiaTheme="minorEastAsia" w:cstheme="minorEastAsia"/>
                <w:i w:val="0"/>
                <w:color w:val="auto"/>
                <w:spacing w:val="0"/>
                <w:kern w:val="0"/>
                <w:sz w:val="24"/>
                <w:szCs w:val="24"/>
                <w:highlight w:val="none"/>
                <w:u w:val="none"/>
                <w:lang w:val="en-US" w:eastAsia="zh-CN" w:bidi="ar"/>
              </w:rPr>
              <w:t>人员在岗期间，要着有安全标志作业服装，反光标志要完整，衣服干净整洁，确保人身安全，保证车体干净、车体喷反光标识，工作间整齐：未设置安全员负责安全工作的，每次扣1分；车辆和安全标识锥要横向摆放，距离养护人员50米停放，未按要求的，每次扣1分；必须遵守交通规则，不得逆行作业，未按照安全配套设施规范执行的，每次扣1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2798"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卫生清扫</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保洁（15分）</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9.1</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道路清扫、保洁</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i w:val="0"/>
                <w:color w:val="auto"/>
                <w:spacing w:val="0"/>
                <w:kern w:val="0"/>
                <w:sz w:val="24"/>
                <w:szCs w:val="24"/>
                <w:highlight w:val="none"/>
                <w:u w:val="none"/>
                <w:lang w:val="en-US" w:eastAsia="zh-CN" w:bidi="ar"/>
              </w:rPr>
            </w:pPr>
            <w:r>
              <w:rPr>
                <w:rFonts w:hint="eastAsia" w:asciiTheme="minorEastAsia" w:hAnsiTheme="minorEastAsia" w:eastAsiaTheme="minorEastAsia" w:cstheme="minorEastAsia"/>
                <w:i w:val="0"/>
                <w:color w:val="auto"/>
                <w:spacing w:val="0"/>
                <w:kern w:val="0"/>
                <w:sz w:val="24"/>
                <w:szCs w:val="24"/>
                <w:highlight w:val="none"/>
                <w:u w:val="none"/>
                <w:lang w:val="en-US" w:eastAsia="zh-CN" w:bidi="ar"/>
              </w:rPr>
              <w:t>清扫保洁到位，无花扫现象。每发现一处不符合要求的，扣 1分；片区内无暴露垃圾、无卫生死角，每发现一处不符合要求的，扣 1分；道路（包括人行道）每日上午上班时间前普扫一遍，全天巡回保洁。未按规定时间完成普扫任务的，每路段每次扣2分；清扫保洁工作必须做到“六净”标准(路面净、绿化带净、公共场地净、路沿石根净、墙根净、电线杆净)，有一项不达标每次扣1分。全日保持做到果皮箱垃圾每日及时清除，无满溢、无污水溢出，发现一处扣0.5分；公共厕所24小时开放，有专人负责清扫保洁，未按保洁要求落实不达标一次扣1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2699"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垃圾收运作业</w:t>
            </w:r>
          </w:p>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（15分）</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10.1</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垃圾收运</w:t>
            </w:r>
          </w:p>
        </w:tc>
        <w:tc>
          <w:tcPr>
            <w:tcW w:w="472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widowControl w:val="0"/>
              <w:kinsoku/>
              <w:wordWrap/>
              <w:overflowPunct/>
              <w:topLinePunct w:val="0"/>
              <w:autoSpaceDE/>
              <w:autoSpaceDN/>
              <w:bidi w:val="0"/>
              <w:adjustRightInd/>
              <w:snapToGrid/>
              <w:spacing w:line="360" w:lineRule="exact"/>
              <w:ind w:left="11"/>
              <w:textAlignment w:val="auto"/>
              <w:rPr>
                <w:rFonts w:hint="eastAsia" w:asciiTheme="minorEastAsia" w:hAnsiTheme="minorEastAsia" w:eastAsiaTheme="minorEastAsia" w:cstheme="minorEastAsia"/>
                <w:i w:val="0"/>
                <w:color w:val="auto"/>
                <w:spacing w:val="0"/>
                <w:kern w:val="0"/>
                <w:sz w:val="24"/>
                <w:szCs w:val="24"/>
                <w:highlight w:val="none"/>
                <w:u w:val="none"/>
                <w:lang w:val="en-US" w:eastAsia="zh-CN" w:bidi="ar"/>
              </w:rPr>
            </w:pPr>
            <w:r>
              <w:rPr>
                <w:rFonts w:hint="eastAsia" w:asciiTheme="minorEastAsia" w:hAnsiTheme="minorEastAsia" w:eastAsiaTheme="minorEastAsia" w:cstheme="minorEastAsia"/>
                <w:i w:val="0"/>
                <w:color w:val="auto"/>
                <w:spacing w:val="0"/>
                <w:kern w:val="0"/>
                <w:sz w:val="24"/>
                <w:szCs w:val="24"/>
                <w:highlight w:val="none"/>
                <w:u w:val="none"/>
                <w:lang w:val="en-US" w:eastAsia="zh-CN" w:bidi="ar"/>
              </w:rPr>
              <w:t>生活垃圾清运达到日产日清，有一项不达标每次扣1分（根据实际路段情况而定）；垃圾必须在指定场地倾倒，发现不按要求倾倒垃圾的，扣 2 分；辖区内无卫生死角，无积存建筑垃圾，发现卫生死角，每处扣 2 分；积存建筑垃圾每处扣 5 分；运输垃圾过程中产生渗漏、掉落、溢出未及时清理抓出一次扣 0.5 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2699"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垃圾场管理（10分）</w:t>
            </w:r>
          </w:p>
        </w:tc>
        <w:tc>
          <w:tcPr>
            <w:tcW w:w="638"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11.1</w:t>
            </w:r>
          </w:p>
        </w:tc>
        <w:tc>
          <w:tcPr>
            <w:tcW w:w="181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垃圾场运营</w:t>
            </w:r>
          </w:p>
        </w:tc>
        <w:tc>
          <w:tcPr>
            <w:tcW w:w="472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i w:val="0"/>
                <w:color w:val="auto"/>
                <w:spacing w:val="0"/>
                <w:kern w:val="0"/>
                <w:sz w:val="24"/>
                <w:szCs w:val="24"/>
                <w:highlight w:val="none"/>
                <w:u w:val="none"/>
                <w:lang w:val="en-US" w:eastAsia="zh-CN" w:bidi="ar"/>
              </w:rPr>
            </w:pPr>
            <w:r>
              <w:rPr>
                <w:rFonts w:hint="eastAsia" w:asciiTheme="minorEastAsia" w:hAnsiTheme="minorEastAsia" w:eastAsiaTheme="minorEastAsia" w:cstheme="minorEastAsia"/>
                <w:i w:val="0"/>
                <w:color w:val="auto"/>
                <w:spacing w:val="0"/>
                <w:kern w:val="0"/>
                <w:sz w:val="24"/>
                <w:szCs w:val="24"/>
                <w:highlight w:val="none"/>
                <w:u w:val="none"/>
                <w:lang w:val="en-US" w:eastAsia="zh-CN" w:bidi="ar"/>
              </w:rPr>
              <w:t>按规范开展机械化填埋，垃圾进场后当天完成垃圾的摊铺、消杀、压实、覆盖等作业，未采取措施一次扣1分；按照环保要求开展渗滤液处理、环境质量检测等工作，如有违规一次扣3分；加强环境管理和绿化管护，做好绿化、美化、消毒、消防、灭蚊蝇、灭鼠等措施，未采取措施发现一处扣0.5分。</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603" w:hRule="atLeast"/>
        </w:trPr>
        <w:tc>
          <w:tcPr>
            <w:tcW w:w="798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合计分数</w:t>
            </w: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603" w:hRule="atLeast"/>
        </w:trPr>
        <w:tc>
          <w:tcPr>
            <w:tcW w:w="798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center"/>
              <w:rPr>
                <w:rFonts w:hint="eastAsia" w:asciiTheme="minorEastAsia" w:hAnsiTheme="minorEastAsia" w:eastAsiaTheme="minorEastAsia" w:cstheme="minorEastAsia"/>
                <w:b/>
                <w:color w:val="auto"/>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auto"/>
              <w:jc w:val="left"/>
              <w:rPr>
                <w:rFonts w:hint="eastAsia" w:asciiTheme="minorEastAsia" w:hAnsiTheme="minorEastAsia" w:eastAsiaTheme="minorEastAsia" w:cstheme="minorEastAsia"/>
                <w:color w:val="auto"/>
                <w:kern w:val="0"/>
                <w:sz w:val="24"/>
                <w:szCs w:val="24"/>
              </w:rPr>
            </w:pPr>
          </w:p>
        </w:tc>
      </w:tr>
      <w:tr>
        <w:tblPrEx>
          <w:tblCellMar>
            <w:top w:w="0" w:type="dxa"/>
            <w:left w:w="108" w:type="dxa"/>
            <w:bottom w:w="0" w:type="dxa"/>
            <w:right w:w="108" w:type="dxa"/>
          </w:tblCellMar>
        </w:tblPrEx>
        <w:trPr>
          <w:trHeight w:val="2967" w:hRule="atLeast"/>
        </w:trPr>
        <w:tc>
          <w:tcPr>
            <w:tcW w:w="462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建设单位（签字盖章）： </w:t>
            </w:r>
          </w:p>
          <w:p>
            <w:pPr>
              <w:adjustRightInd w:val="0"/>
              <w:snapToGrid w:val="0"/>
              <w:spacing w:line="240" w:lineRule="auto"/>
              <w:ind w:firstLine="2160" w:firstLineChars="900"/>
              <w:jc w:val="left"/>
              <w:rPr>
                <w:rFonts w:hint="eastAsia" w:asciiTheme="minorEastAsia" w:hAnsiTheme="minorEastAsia" w:eastAsiaTheme="minorEastAsia" w:cstheme="minorEastAsia"/>
                <w:color w:val="auto"/>
                <w:kern w:val="0"/>
                <w:sz w:val="24"/>
                <w:szCs w:val="24"/>
              </w:rPr>
            </w:pPr>
          </w:p>
          <w:p>
            <w:pPr>
              <w:adjustRightInd w:val="0"/>
              <w:snapToGrid w:val="0"/>
              <w:spacing w:line="240" w:lineRule="auto"/>
              <w:ind w:firstLine="2160" w:firstLineChars="900"/>
              <w:jc w:val="left"/>
              <w:rPr>
                <w:rFonts w:hint="eastAsia" w:asciiTheme="minorEastAsia" w:hAnsiTheme="minorEastAsia" w:eastAsiaTheme="minorEastAsia" w:cstheme="minorEastAsia"/>
                <w:color w:val="auto"/>
                <w:kern w:val="0"/>
                <w:sz w:val="24"/>
                <w:szCs w:val="24"/>
              </w:rPr>
            </w:pPr>
          </w:p>
          <w:p>
            <w:pPr>
              <w:adjustRightInd w:val="0"/>
              <w:snapToGrid w:val="0"/>
              <w:spacing w:line="240" w:lineRule="auto"/>
              <w:ind w:firstLine="2160" w:firstLineChars="900"/>
              <w:jc w:val="left"/>
              <w:rPr>
                <w:rFonts w:hint="eastAsia" w:asciiTheme="minorEastAsia" w:hAnsiTheme="minorEastAsia" w:eastAsiaTheme="minorEastAsia" w:cstheme="minorEastAsia"/>
                <w:color w:val="auto"/>
                <w:kern w:val="0"/>
                <w:sz w:val="24"/>
                <w:szCs w:val="24"/>
              </w:rPr>
            </w:pPr>
          </w:p>
          <w:p>
            <w:pPr>
              <w:adjustRightInd w:val="0"/>
              <w:snapToGrid w:val="0"/>
              <w:spacing w:line="240" w:lineRule="auto"/>
              <w:ind w:firstLine="2160" w:firstLineChars="900"/>
              <w:jc w:val="left"/>
              <w:rPr>
                <w:rFonts w:hint="eastAsia" w:asciiTheme="minorEastAsia" w:hAnsiTheme="minorEastAsia" w:eastAsiaTheme="minorEastAsia" w:cstheme="minorEastAsia"/>
                <w:color w:val="auto"/>
                <w:kern w:val="0"/>
                <w:sz w:val="24"/>
                <w:szCs w:val="24"/>
              </w:rPr>
            </w:pPr>
          </w:p>
          <w:p>
            <w:pPr>
              <w:adjustRightInd w:val="0"/>
              <w:snapToGrid w:val="0"/>
              <w:spacing w:line="240" w:lineRule="auto"/>
              <w:ind w:firstLine="3000" w:firstLineChars="125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年   月  日                               </w:t>
            </w:r>
          </w:p>
        </w:tc>
        <w:tc>
          <w:tcPr>
            <w:tcW w:w="494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管养单位（签字盖章）：</w:t>
            </w:r>
          </w:p>
          <w:p>
            <w:pPr>
              <w:adjustRightInd w:val="0"/>
              <w:snapToGrid w:val="0"/>
              <w:spacing w:line="240" w:lineRule="auto"/>
              <w:ind w:firstLine="2160" w:firstLineChars="900"/>
              <w:jc w:val="left"/>
              <w:rPr>
                <w:rFonts w:hint="eastAsia" w:asciiTheme="minorEastAsia" w:hAnsiTheme="minorEastAsia" w:eastAsiaTheme="minorEastAsia" w:cstheme="minorEastAsia"/>
                <w:color w:val="auto"/>
                <w:kern w:val="0"/>
                <w:sz w:val="24"/>
                <w:szCs w:val="24"/>
              </w:rPr>
            </w:pPr>
          </w:p>
          <w:p>
            <w:pPr>
              <w:adjustRightInd w:val="0"/>
              <w:snapToGrid w:val="0"/>
              <w:spacing w:line="240" w:lineRule="auto"/>
              <w:ind w:firstLine="2160" w:firstLineChars="900"/>
              <w:jc w:val="left"/>
              <w:rPr>
                <w:rFonts w:hint="eastAsia" w:asciiTheme="minorEastAsia" w:hAnsiTheme="minorEastAsia" w:eastAsiaTheme="minorEastAsia" w:cstheme="minorEastAsia"/>
                <w:color w:val="auto"/>
                <w:kern w:val="0"/>
                <w:sz w:val="24"/>
                <w:szCs w:val="24"/>
              </w:rPr>
            </w:pPr>
          </w:p>
          <w:p>
            <w:pPr>
              <w:adjustRightInd w:val="0"/>
              <w:snapToGrid w:val="0"/>
              <w:spacing w:line="240" w:lineRule="auto"/>
              <w:ind w:firstLine="2160" w:firstLineChars="900"/>
              <w:jc w:val="left"/>
              <w:rPr>
                <w:rFonts w:hint="eastAsia" w:asciiTheme="minorEastAsia" w:hAnsiTheme="minorEastAsia" w:eastAsiaTheme="minorEastAsia" w:cstheme="minorEastAsia"/>
                <w:color w:val="auto"/>
                <w:kern w:val="0"/>
                <w:sz w:val="24"/>
                <w:szCs w:val="24"/>
              </w:rPr>
            </w:pPr>
          </w:p>
          <w:p>
            <w:pPr>
              <w:adjustRightInd w:val="0"/>
              <w:snapToGrid w:val="0"/>
              <w:spacing w:line="240" w:lineRule="auto"/>
              <w:ind w:firstLine="2160" w:firstLineChars="900"/>
              <w:jc w:val="left"/>
              <w:rPr>
                <w:rFonts w:hint="eastAsia" w:asciiTheme="minorEastAsia" w:hAnsiTheme="minorEastAsia" w:eastAsiaTheme="minorEastAsia" w:cstheme="minorEastAsia"/>
                <w:color w:val="auto"/>
                <w:kern w:val="0"/>
                <w:sz w:val="24"/>
                <w:szCs w:val="24"/>
              </w:rPr>
            </w:pPr>
          </w:p>
          <w:p>
            <w:pPr>
              <w:adjustRightInd w:val="0"/>
              <w:snapToGrid w:val="0"/>
              <w:spacing w:before="100" w:beforeAutospacing="1" w:after="100" w:afterAutospacing="1" w:line="240" w:lineRule="auto"/>
              <w:ind w:firstLine="3360" w:firstLineChars="14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年   月  日 </w:t>
            </w:r>
          </w:p>
        </w:tc>
      </w:tr>
    </w:tbl>
    <w:p>
      <w:pPr>
        <w:tabs>
          <w:tab w:val="left" w:pos="486"/>
        </w:tabs>
        <w:bidi w:val="0"/>
        <w:jc w:val="left"/>
        <w:rPr>
          <w:color w:val="auto"/>
          <w:lang w:val="en-US" w:eastAsia="zh-CN"/>
        </w:rPr>
        <w:sectPr>
          <w:footerReference r:id="rId4" w:type="default"/>
          <w:pgSz w:w="11906" w:h="16838"/>
          <w:pgMar w:top="1928" w:right="1531" w:bottom="1701" w:left="1531" w:header="851" w:footer="992" w:gutter="0"/>
          <w:pgNumType w:fmt="decimal" w:start="1"/>
          <w:cols w:space="720" w:num="1"/>
          <w:docGrid w:type="lines" w:linePitch="312" w:charSpace="0"/>
        </w:sectPr>
      </w:pPr>
    </w:p>
    <w:p>
      <w:pPr>
        <w:keepNext w:val="0"/>
        <w:keepLines w:val="0"/>
        <w:pageBreakBefore w:val="0"/>
        <w:kinsoku/>
        <w:wordWrap/>
        <w:overflowPunct/>
        <w:topLinePunct w:val="0"/>
        <w:autoSpaceDE/>
        <w:autoSpaceDN/>
        <w:bidi w:val="0"/>
        <w:adjustRightInd w:val="0"/>
        <w:snapToGrid w:val="0"/>
        <w:spacing w:beforeAutospacing="0" w:afterAutospacing="0" w:line="400" w:lineRule="exact"/>
        <w:ind w:right="-506" w:rightChars="-241"/>
        <w:jc w:val="center"/>
        <w:textAlignment w:val="auto"/>
        <w:rPr>
          <w:rFonts w:hint="eastAsia" w:ascii="宋体" w:hAnsi="宋体" w:eastAsia="宋体" w:cs="宋体"/>
          <w:kern w:val="0"/>
          <w:sz w:val="24"/>
          <w:szCs w:val="24"/>
        </w:rPr>
      </w:pPr>
      <w:r>
        <w:rPr>
          <w:rFonts w:hint="eastAsia" w:ascii="宋体" w:hAnsi="宋体" w:cs="宋体"/>
          <w:b/>
          <w:bCs/>
          <w:kern w:val="0"/>
          <w:sz w:val="24"/>
          <w:szCs w:val="24"/>
          <w:lang w:val="en-US" w:eastAsia="zh-CN"/>
        </w:rPr>
        <w:t>托克逊县城市环卫园林一体化管理项目第一包</w:t>
      </w:r>
      <w:r>
        <w:rPr>
          <w:rFonts w:hint="eastAsia" w:ascii="宋体" w:hAnsi="宋体" w:eastAsia="宋体" w:cs="宋体"/>
          <w:b/>
          <w:bCs/>
          <w:kern w:val="0"/>
          <w:sz w:val="24"/>
          <w:szCs w:val="24"/>
        </w:rPr>
        <w:t>廉洁合同</w:t>
      </w:r>
    </w:p>
    <w:p>
      <w:pPr>
        <w:keepLines w:val="0"/>
        <w:pageBreakBefore w:val="0"/>
        <w:widowControl/>
        <w:kinsoku/>
        <w:wordWrap/>
        <w:overflowPunct/>
        <w:topLinePunct w:val="0"/>
        <w:bidi w:val="0"/>
        <w:adjustRightInd w:val="0"/>
        <w:snapToGrid w:val="0"/>
        <w:spacing w:beforeAutospacing="0" w:afterAutospacing="0" w:line="40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甲方：</w:t>
      </w:r>
      <w:r>
        <w:rPr>
          <w:rFonts w:hint="eastAsia" w:ascii="宋体" w:hAnsi="宋体" w:eastAsia="宋体" w:cs="宋体"/>
          <w:kern w:val="0"/>
          <w:sz w:val="24"/>
          <w:szCs w:val="24"/>
          <w:lang w:val="en-US" w:eastAsia="zh-CN"/>
        </w:rPr>
        <w:t>托克逊县住房和城乡建设局</w:t>
      </w:r>
    </w:p>
    <w:p>
      <w:pPr>
        <w:keepLines w:val="0"/>
        <w:pageBreakBefore w:val="0"/>
        <w:widowControl/>
        <w:kinsoku/>
        <w:wordWrap/>
        <w:overflowPunct/>
        <w:topLinePunct w:val="0"/>
        <w:bidi w:val="0"/>
        <w:adjustRightInd w:val="0"/>
        <w:snapToGrid w:val="0"/>
        <w:spacing w:beforeAutospacing="0" w:afterAutospacing="0"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乙方： </w:t>
      </w:r>
    </w:p>
    <w:p>
      <w:pPr>
        <w:keepLines w:val="0"/>
        <w:pageBreakBefore w:val="0"/>
        <w:widowControl/>
        <w:kinsoku/>
        <w:wordWrap/>
        <w:overflowPunct/>
        <w:topLinePunct w:val="0"/>
        <w:bidi w:val="0"/>
        <w:adjustRightInd w:val="0"/>
        <w:snapToGrid w:val="0"/>
        <w:spacing w:beforeAutospacing="0" w:afterAutospacing="0"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项目名称：                        </w:t>
      </w:r>
    </w:p>
    <w:p>
      <w:pPr>
        <w:keepLines w:val="0"/>
        <w:pageBreakBefore w:val="0"/>
        <w:widowControl/>
        <w:kinsoku/>
        <w:wordWrap/>
        <w:overflowPunct/>
        <w:topLinePunct w:val="0"/>
        <w:bidi w:val="0"/>
        <w:adjustRightInd w:val="0"/>
        <w:snapToGrid w:val="0"/>
        <w:spacing w:beforeAutospacing="0" w:afterAutospacing="0"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中标金额：            元</w:t>
      </w:r>
    </w:p>
    <w:p>
      <w:pPr>
        <w:keepLines w:val="0"/>
        <w:pageBreakBefore w:val="0"/>
        <w:widowControl/>
        <w:kinsoku/>
        <w:wordWrap/>
        <w:overflowPunct/>
        <w:topLinePunct w:val="0"/>
        <w:bidi w:val="0"/>
        <w:adjustRightInd w:val="0"/>
        <w:snapToGrid w:val="0"/>
        <w:spacing w:beforeAutospacing="0" w:afterAutospacing="0" w:line="4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为进一步加强中心行风建设，规范中心物资采购行为，有效防范商业贿赂行为，营造公平交易、诚实守信的采购环境，经甲、乙双方协商，同意签订本合同，并共同遵守：</w:t>
      </w:r>
    </w:p>
    <w:p>
      <w:pPr>
        <w:keepLines w:val="0"/>
        <w:pageBreakBefore w:val="0"/>
        <w:widowControl/>
        <w:kinsoku/>
        <w:wordWrap/>
        <w:overflowPunct/>
        <w:topLinePunct w:val="0"/>
        <w:bidi w:val="0"/>
        <w:adjustRightInd w:val="0"/>
        <w:snapToGrid w:val="0"/>
        <w:spacing w:beforeAutospacing="0" w:afterAutospacing="0" w:line="4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一、甲乙双方按照《合同法》及物资采购合同约定采购工程建设、仪器设备、药品、疫苗、试剂耗材、生物制品、印刷、办公设备、办公用品、图书、后勤物资、服务等等各类物资。</w:t>
      </w:r>
    </w:p>
    <w:p>
      <w:pPr>
        <w:keepLines w:val="0"/>
        <w:pageBreakBefore w:val="0"/>
        <w:widowControl/>
        <w:kinsoku/>
        <w:wordWrap/>
        <w:overflowPunct/>
        <w:topLinePunct w:val="0"/>
        <w:bidi w:val="0"/>
        <w:adjustRightInd w:val="0"/>
        <w:snapToGrid w:val="0"/>
        <w:spacing w:beforeAutospacing="0" w:afterAutospacing="0" w:line="4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二、甲方应当严格执行物资采购合同验收、入库制度对采购物资及发票进行查验，不得违反有关规定合同外采购、违价采购或从非规定渠道采购。</w:t>
      </w:r>
    </w:p>
    <w:p>
      <w:pPr>
        <w:keepLines w:val="0"/>
        <w:pageBreakBefore w:val="0"/>
        <w:widowControl/>
        <w:kinsoku/>
        <w:wordWrap/>
        <w:overflowPunct/>
        <w:topLinePunct w:val="0"/>
        <w:bidi w:val="0"/>
        <w:adjustRightInd w:val="0"/>
        <w:snapToGrid w:val="0"/>
        <w:spacing w:beforeAutospacing="0" w:afterAutospacing="0" w:line="4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Lines w:val="0"/>
        <w:pageBreakBefore w:val="0"/>
        <w:widowControl/>
        <w:kinsoku/>
        <w:wordWrap/>
        <w:overflowPunct/>
        <w:topLinePunct w:val="0"/>
        <w:bidi w:val="0"/>
        <w:adjustRightInd w:val="0"/>
        <w:snapToGrid w:val="0"/>
        <w:spacing w:beforeAutospacing="0" w:afterAutospacing="0" w:line="4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四、严禁甲方工作人员利用任何途径和方式，私自为乙方提供物资用量、底价等信息，或为乙方投标提供便利。</w:t>
      </w:r>
    </w:p>
    <w:p>
      <w:pPr>
        <w:keepLines w:val="0"/>
        <w:pageBreakBefore w:val="0"/>
        <w:widowControl/>
        <w:kinsoku/>
        <w:wordWrap/>
        <w:overflowPunct/>
        <w:topLinePunct w:val="0"/>
        <w:bidi w:val="0"/>
        <w:adjustRightInd w:val="0"/>
        <w:snapToGrid w:val="0"/>
        <w:spacing w:beforeAutospacing="0" w:afterAutospacing="0" w:line="4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五、乙方不得以回扣、宴请等方式影响甲方工作人员采购或使用物资的选择权，不得在学术活动中提供旅游、超标准支付食宿费用。</w:t>
      </w:r>
    </w:p>
    <w:p>
      <w:pPr>
        <w:keepLines w:val="0"/>
        <w:pageBreakBefore w:val="0"/>
        <w:widowControl/>
        <w:kinsoku/>
        <w:wordWrap/>
        <w:overflowPunct/>
        <w:topLinePunct w:val="0"/>
        <w:bidi w:val="0"/>
        <w:adjustRightInd w:val="0"/>
        <w:snapToGrid w:val="0"/>
        <w:spacing w:beforeAutospacing="0" w:afterAutospacing="0" w:line="4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六、乙方指定作为销售代表洽谈业务。销售代表必须在工作时间到甲方指定地点联系商谈，不得到各科室推销产品，不得借故到甲方相关领导、部门负责人及相关工作人员家中访谈并提供任何好处费。</w:t>
      </w:r>
    </w:p>
    <w:p>
      <w:pPr>
        <w:keepLines w:val="0"/>
        <w:pageBreakBefore w:val="0"/>
        <w:widowControl/>
        <w:kinsoku/>
        <w:wordWrap/>
        <w:overflowPunct/>
        <w:topLinePunct w:val="0"/>
        <w:bidi w:val="0"/>
        <w:adjustRightInd w:val="0"/>
        <w:snapToGrid w:val="0"/>
        <w:spacing w:beforeAutospacing="0" w:afterAutospacing="0" w:line="4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七、乙方如违反本合同，一经发现，甲方有权终止购销合同，并向有关部门报告。如乙方被列入商业贿赂不良记录，</w:t>
      </w:r>
      <w:r>
        <w:rPr>
          <w:rFonts w:hint="eastAsia" w:ascii="宋体" w:hAnsi="宋体" w:eastAsia="宋体" w:cs="宋体"/>
          <w:kern w:val="0"/>
          <w:sz w:val="24"/>
          <w:szCs w:val="24"/>
          <w:lang w:eastAsia="zh-CN"/>
        </w:rPr>
        <w:t>则严格按照</w:t>
      </w:r>
      <w:r>
        <w:rPr>
          <w:rFonts w:hint="eastAsia" w:ascii="宋体" w:hAnsi="宋体" w:eastAsia="宋体" w:cs="宋体"/>
          <w:kern w:val="0"/>
          <w:sz w:val="24"/>
          <w:szCs w:val="24"/>
        </w:rPr>
        <w:t>相关规定处理。</w:t>
      </w:r>
    </w:p>
    <w:p>
      <w:pPr>
        <w:keepLines w:val="0"/>
        <w:pageBreakBefore w:val="0"/>
        <w:widowControl/>
        <w:kinsoku/>
        <w:wordWrap/>
        <w:overflowPunct/>
        <w:topLinePunct w:val="0"/>
        <w:bidi w:val="0"/>
        <w:adjustRightInd w:val="0"/>
        <w:snapToGrid w:val="0"/>
        <w:spacing w:beforeAutospacing="0" w:afterAutospacing="0" w:line="4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八、本合同作为中心物资购销合同的重要组成部分，与购销合同一并执行，具有同等的法律效力。</w:t>
      </w:r>
    </w:p>
    <w:p>
      <w:pPr>
        <w:keepLines w:val="0"/>
        <w:pageBreakBefore w:val="0"/>
        <w:widowControl/>
        <w:kinsoku/>
        <w:wordWrap/>
        <w:overflowPunct/>
        <w:topLinePunct w:val="0"/>
        <w:bidi w:val="0"/>
        <w:adjustRightInd w:val="0"/>
        <w:snapToGrid w:val="0"/>
        <w:spacing w:beforeAutospacing="0" w:afterAutospacing="0" w:line="4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九、本合同一式四份，甲、乙双方各执一份，甲方纪检监察部门执一份，并从签订之日起生效。</w:t>
      </w:r>
    </w:p>
    <w:p>
      <w:pPr>
        <w:keepLines w:val="0"/>
        <w:pageBreakBefore w:val="0"/>
        <w:widowControl/>
        <w:kinsoku/>
        <w:wordWrap/>
        <w:overflowPunct/>
        <w:topLinePunct w:val="0"/>
        <w:bidi w:val="0"/>
        <w:adjustRightInd w:val="0"/>
        <w:snapToGrid w:val="0"/>
        <w:spacing w:beforeAutospacing="0" w:afterAutospacing="0" w:line="400" w:lineRule="exact"/>
        <w:textAlignment w:val="auto"/>
        <w:rPr>
          <w:rFonts w:hint="eastAsia" w:ascii="宋体" w:hAnsi="宋体" w:eastAsia="宋体" w:cs="宋体"/>
          <w:kern w:val="0"/>
          <w:sz w:val="24"/>
          <w:szCs w:val="24"/>
        </w:rPr>
      </w:pPr>
    </w:p>
    <w:p>
      <w:pPr>
        <w:keepLines w:val="0"/>
        <w:pageBreakBefore w:val="0"/>
        <w:widowControl/>
        <w:kinsoku/>
        <w:wordWrap/>
        <w:overflowPunct/>
        <w:topLinePunct w:val="0"/>
        <w:bidi w:val="0"/>
        <w:adjustRightInd w:val="0"/>
        <w:snapToGrid w:val="0"/>
        <w:spacing w:beforeAutospacing="0" w:afterAutospacing="0"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甲方申请部门负责人：            乙方（盖章）：</w:t>
      </w:r>
    </w:p>
    <w:p>
      <w:pPr>
        <w:keepLines w:val="0"/>
        <w:pageBreakBefore w:val="0"/>
        <w:widowControl/>
        <w:kinsoku/>
        <w:wordWrap/>
        <w:overflowPunct/>
        <w:topLinePunct w:val="0"/>
        <w:bidi w:val="0"/>
        <w:adjustRightInd w:val="0"/>
        <w:snapToGrid w:val="0"/>
        <w:spacing w:beforeAutospacing="0" w:afterAutospacing="0"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甲方采购部门负责人：            法定代表人（负责人）： </w:t>
      </w:r>
    </w:p>
    <w:p>
      <w:pPr>
        <w:keepLines w:val="0"/>
        <w:pageBreakBefore w:val="0"/>
        <w:widowControl/>
        <w:kinsoku/>
        <w:wordWrap/>
        <w:overflowPunct/>
        <w:topLinePunct w:val="0"/>
        <w:bidi w:val="0"/>
        <w:adjustRightInd w:val="0"/>
        <w:snapToGrid w:val="0"/>
        <w:spacing w:beforeAutospacing="0" w:afterAutospacing="0" w:line="40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kern w:val="0"/>
          <w:sz w:val="24"/>
          <w:szCs w:val="24"/>
        </w:rPr>
        <w:t>甲方纪检监察室签章：             经办人签名：</w:t>
      </w: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r>
        <w:rPr>
          <w:rStyle w:val="28"/>
          <w:rFonts w:hint="eastAsia" w:ascii="宋体" w:hAnsi="宋体" w:eastAsia="宋体" w:cs="宋体"/>
          <w:b/>
          <w:bCs/>
          <w:color w:val="auto"/>
          <w:w w:val="90"/>
          <w:sz w:val="36"/>
          <w:szCs w:val="36"/>
          <w:u w:val="none"/>
          <w:lang w:val="en-US" w:eastAsia="zh-CN"/>
        </w:rPr>
        <w:t>第五章</w:t>
      </w:r>
      <w:r>
        <w:rPr>
          <w:rStyle w:val="28"/>
          <w:rFonts w:hint="eastAsia" w:ascii="宋体" w:hAnsi="宋体" w:eastAsia="宋体" w:cs="宋体"/>
          <w:b/>
          <w:bCs/>
          <w:color w:val="auto"/>
          <w:w w:val="90"/>
          <w:sz w:val="36"/>
          <w:szCs w:val="36"/>
          <w:u w:val="none"/>
        </w:rPr>
        <w:t xml:space="preserve">  </w:t>
      </w:r>
      <w:r>
        <w:rPr>
          <w:rStyle w:val="28"/>
          <w:rFonts w:hint="eastAsia" w:ascii="宋体" w:hAnsi="宋体" w:eastAsia="宋体" w:cs="宋体"/>
          <w:b/>
          <w:bCs/>
          <w:color w:val="auto"/>
          <w:w w:val="90"/>
          <w:sz w:val="36"/>
          <w:szCs w:val="36"/>
          <w:u w:val="none"/>
          <w:lang w:eastAsia="zh-Hans"/>
        </w:rPr>
        <w:t>采购需求</w:t>
      </w:r>
      <w:bookmarkStart w:id="20" w:name="_Toc1579209951"/>
      <w:bookmarkEnd w:id="20"/>
      <w:r>
        <w:rPr>
          <w:rStyle w:val="28"/>
          <w:rFonts w:hint="eastAsia" w:ascii="宋体" w:hAnsi="宋体" w:eastAsia="宋体" w:cs="宋体"/>
          <w:b/>
          <w:bCs/>
          <w:color w:val="auto"/>
          <w:w w:val="90"/>
          <w:sz w:val="36"/>
          <w:szCs w:val="36"/>
          <w:u w:val="none"/>
          <w:lang w:val="en-US" w:eastAsia="zh-CN"/>
        </w:rPr>
        <w:t>书</w:t>
      </w:r>
    </w:p>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b/>
          <w:bCs/>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托克逊县城市环卫园林一体化管理项目第一包</w:t>
      </w:r>
      <w:r>
        <w:rPr>
          <w:rFonts w:hint="eastAsia" w:ascii="宋体" w:hAnsi="宋体" w:eastAsia="宋体" w:cs="宋体"/>
          <w:b/>
          <w:bCs/>
          <w:i w:val="0"/>
          <w:iCs w:val="0"/>
          <w:color w:val="auto"/>
          <w:kern w:val="0"/>
          <w:sz w:val="24"/>
          <w:szCs w:val="24"/>
          <w:u w:val="none"/>
          <w:lang w:val="en-US" w:eastAsia="zh-CN" w:bidi="ar"/>
        </w:rPr>
        <w:t>服务需求</w:t>
      </w:r>
    </w:p>
    <w:p>
      <w:pPr>
        <w:pageBreakBefore w:val="0"/>
        <w:kinsoku/>
        <w:wordWrap/>
        <w:overflowPunct/>
        <w:topLinePunct w:val="0"/>
        <w:bidi w:val="0"/>
        <w:spacing w:beforeAutospacing="0" w:afterAutospacing="0" w:line="400" w:lineRule="exact"/>
        <w:rPr>
          <w:rFonts w:hint="eastAsia" w:ascii="宋体" w:hAnsi="宋体" w:eastAsia="宋体" w:cs="宋体"/>
          <w:color w:val="auto"/>
          <w:kern w:val="2"/>
          <w:sz w:val="24"/>
          <w:szCs w:val="24"/>
          <w:lang w:val="en-US" w:eastAsia="zh-CN" w:bidi="ar-SA"/>
        </w:rPr>
      </w:pPr>
    </w:p>
    <w:p>
      <w:pPr>
        <w:pStyle w:val="13"/>
        <w:pageBreakBefore w:val="0"/>
        <w:shd w:val="clear" w:color="auto" w:fill="FFFFFF"/>
        <w:wordWrap/>
        <w:overflowPunct/>
        <w:autoSpaceDE w:val="0"/>
        <w:bidi w:val="0"/>
        <w:adjustRightInd w:val="0"/>
        <w:snapToGrid w:val="0"/>
        <w:spacing w:line="460" w:lineRule="exact"/>
        <w:ind w:left="0" w:leftChars="0" w:right="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一、项目名称</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托克逊县城市环卫园林一体化管理项目第一包</w:t>
      </w:r>
    </w:p>
    <w:p>
      <w:pPr>
        <w:pStyle w:val="5"/>
        <w:pageBreakBefore w:val="0"/>
        <w:numPr>
          <w:ilvl w:val="0"/>
          <w:numId w:val="0"/>
        </w:numPr>
        <w:shd w:val="clear" w:color="auto" w:fill="FFFFFF"/>
        <w:wordWrap/>
        <w:overflowPunct/>
        <w:bidi w:val="0"/>
        <w:adjustRightInd w:val="0"/>
        <w:snapToGrid w:val="0"/>
        <w:spacing w:before="0" w:after="0" w:line="460" w:lineRule="exact"/>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项目基本情况及</w:t>
      </w:r>
      <w:r>
        <w:rPr>
          <w:rFonts w:hint="eastAsia" w:ascii="宋体" w:hAnsi="宋体" w:eastAsia="宋体" w:cs="宋体"/>
          <w:b/>
          <w:bCs/>
          <w:color w:val="auto"/>
          <w:sz w:val="24"/>
          <w:szCs w:val="24"/>
          <w:highlight w:val="none"/>
        </w:rPr>
        <w:t>服务范围</w:t>
      </w:r>
    </w:p>
    <w:p>
      <w:pPr>
        <w:pStyle w:val="13"/>
        <w:pageBreakBefore w:val="0"/>
        <w:shd w:val="clear" w:color="auto" w:fill="FFFFFF"/>
        <w:wordWrap/>
        <w:overflowPunct/>
        <w:autoSpaceDE w:val="0"/>
        <w:bidi w:val="0"/>
        <w:adjustRightInd w:val="0"/>
        <w:snapToGrid w:val="0"/>
        <w:spacing w:line="460" w:lineRule="exact"/>
        <w:ind w:left="0" w:leftChars="0" w:right="0"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项目基本情况：</w:t>
      </w:r>
      <w:r>
        <w:rPr>
          <w:rFonts w:hint="eastAsia" w:ascii="宋体" w:hAnsi="宋体" w:eastAsia="宋体" w:cs="宋体"/>
          <w:color w:val="auto"/>
          <w:kern w:val="2"/>
          <w:sz w:val="24"/>
          <w:szCs w:val="24"/>
          <w:highlight w:val="none"/>
          <w:lang w:val="en-US" w:eastAsia="zh-CN" w:bidi="ar-SA"/>
        </w:rPr>
        <w:t>本项目包括园林绿化养护和环卫清扫保洁</w:t>
      </w:r>
      <w:r>
        <w:rPr>
          <w:rFonts w:hint="eastAsia" w:ascii="宋体" w:hAnsi="宋体" w:cs="宋体"/>
          <w:color w:val="auto"/>
          <w:kern w:val="2"/>
          <w:sz w:val="24"/>
          <w:szCs w:val="24"/>
          <w:highlight w:val="none"/>
          <w:lang w:val="en-US" w:eastAsia="zh-CN" w:bidi="ar-SA"/>
        </w:rPr>
        <w:t>，总面积3409530平方米。其中：</w:t>
      </w:r>
      <w:r>
        <w:rPr>
          <w:rFonts w:hint="eastAsia" w:ascii="宋体" w:hAnsi="宋体" w:eastAsia="宋体" w:cs="宋体"/>
          <w:color w:val="auto"/>
          <w:kern w:val="2"/>
          <w:sz w:val="24"/>
          <w:szCs w:val="24"/>
          <w:highlight w:val="none"/>
          <w:lang w:val="en-US" w:eastAsia="zh-CN" w:bidi="ar-SA"/>
        </w:rPr>
        <w:t>绿化养护面积为</w:t>
      </w:r>
      <w:r>
        <w:rPr>
          <w:rFonts w:hint="eastAsia" w:ascii="宋体" w:hAnsi="宋体" w:cs="宋体"/>
          <w:color w:val="auto"/>
          <w:kern w:val="2"/>
          <w:sz w:val="24"/>
          <w:szCs w:val="24"/>
          <w:highlight w:val="none"/>
          <w:lang w:val="en-US" w:eastAsia="zh-CN" w:bidi="ar-SA"/>
        </w:rPr>
        <w:t>2153697平方米（</w:t>
      </w:r>
      <w:r>
        <w:rPr>
          <w:rFonts w:hint="eastAsia" w:ascii="宋体" w:hAnsi="宋体" w:eastAsia="宋体" w:cs="宋体"/>
          <w:color w:val="auto"/>
          <w:kern w:val="2"/>
          <w:sz w:val="24"/>
          <w:szCs w:val="24"/>
          <w:highlight w:val="none"/>
          <w:lang w:val="en-US" w:eastAsia="zh-CN" w:bidi="ar-SA"/>
        </w:rPr>
        <w:t>一级(主要道路)面积</w:t>
      </w:r>
      <w:r>
        <w:rPr>
          <w:rFonts w:hint="eastAsia" w:ascii="宋体" w:hAnsi="宋体" w:cs="宋体"/>
          <w:color w:val="auto"/>
          <w:kern w:val="2"/>
          <w:sz w:val="24"/>
          <w:szCs w:val="24"/>
          <w:highlight w:val="none"/>
          <w:lang w:val="en-US" w:eastAsia="zh-CN" w:bidi="ar-SA"/>
        </w:rPr>
        <w:t>96402</w:t>
      </w:r>
      <w:r>
        <w:rPr>
          <w:rFonts w:hint="eastAsia" w:ascii="宋体" w:hAnsi="宋体" w:eastAsia="宋体" w:cs="宋体"/>
          <w:color w:val="auto"/>
          <w:kern w:val="2"/>
          <w:sz w:val="24"/>
          <w:szCs w:val="24"/>
          <w:highlight w:val="none"/>
          <w:lang w:val="en-US" w:eastAsia="zh-CN" w:bidi="ar-SA"/>
        </w:rPr>
        <w:t>平方米；二级（公园、街头绿地）面积</w:t>
      </w:r>
      <w:r>
        <w:rPr>
          <w:rFonts w:hint="eastAsia" w:ascii="宋体" w:hAnsi="宋体" w:cs="宋体"/>
          <w:color w:val="auto"/>
          <w:kern w:val="2"/>
          <w:sz w:val="24"/>
          <w:szCs w:val="24"/>
          <w:highlight w:val="none"/>
          <w:lang w:val="en-US" w:eastAsia="zh-CN" w:bidi="ar-SA"/>
        </w:rPr>
        <w:t>1200800</w:t>
      </w:r>
      <w:r>
        <w:rPr>
          <w:rFonts w:hint="eastAsia" w:ascii="宋体" w:hAnsi="宋体" w:eastAsia="宋体" w:cs="宋体"/>
          <w:color w:val="auto"/>
          <w:kern w:val="2"/>
          <w:sz w:val="24"/>
          <w:szCs w:val="24"/>
          <w:highlight w:val="none"/>
          <w:lang w:val="en-US" w:eastAsia="zh-CN" w:bidi="ar-SA"/>
        </w:rPr>
        <w:t>平方米；三级面积</w:t>
      </w:r>
      <w:r>
        <w:rPr>
          <w:rFonts w:hint="eastAsia" w:ascii="宋体" w:hAnsi="宋体" w:cs="宋体"/>
          <w:color w:val="auto"/>
          <w:kern w:val="2"/>
          <w:sz w:val="24"/>
          <w:szCs w:val="24"/>
          <w:highlight w:val="none"/>
          <w:lang w:val="en-US" w:eastAsia="zh-CN" w:bidi="ar-SA"/>
        </w:rPr>
        <w:t>856495</w:t>
      </w:r>
      <w:r>
        <w:rPr>
          <w:rFonts w:hint="eastAsia" w:ascii="宋体" w:hAnsi="宋体" w:eastAsia="宋体" w:cs="宋体"/>
          <w:color w:val="auto"/>
          <w:kern w:val="2"/>
          <w:sz w:val="24"/>
          <w:szCs w:val="24"/>
          <w:highlight w:val="none"/>
          <w:lang w:val="en-US" w:eastAsia="zh-CN" w:bidi="ar-SA"/>
        </w:rPr>
        <w:t>平方米</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清扫保洁面积为</w:t>
      </w:r>
      <w:r>
        <w:rPr>
          <w:rFonts w:hint="eastAsia" w:ascii="宋体" w:hAnsi="宋体" w:cs="宋体"/>
          <w:color w:val="auto"/>
          <w:kern w:val="2"/>
          <w:sz w:val="24"/>
          <w:szCs w:val="24"/>
          <w:highlight w:val="none"/>
          <w:lang w:val="en-US" w:eastAsia="zh-CN" w:bidi="ar-SA"/>
        </w:rPr>
        <w:t>1255833</w:t>
      </w:r>
      <w:r>
        <w:rPr>
          <w:rFonts w:hint="eastAsia" w:ascii="宋体" w:hAnsi="宋体" w:eastAsia="宋体" w:cs="宋体"/>
          <w:color w:val="auto"/>
          <w:kern w:val="2"/>
          <w:sz w:val="24"/>
          <w:szCs w:val="24"/>
          <w:highlight w:val="none"/>
          <w:lang w:val="en-US" w:eastAsia="zh-CN" w:bidi="ar-SA"/>
        </w:rPr>
        <w:t>平米，共计</w:t>
      </w:r>
      <w:r>
        <w:rPr>
          <w:rFonts w:hint="eastAsia" w:ascii="宋体" w:hAnsi="宋体" w:cs="宋体"/>
          <w:color w:val="auto"/>
          <w:kern w:val="2"/>
          <w:sz w:val="24"/>
          <w:szCs w:val="24"/>
          <w:highlight w:val="none"/>
          <w:lang w:val="en-US" w:eastAsia="zh-CN" w:bidi="ar-SA"/>
        </w:rPr>
        <w:t>42</w:t>
      </w:r>
      <w:r>
        <w:rPr>
          <w:rFonts w:hint="eastAsia" w:ascii="宋体" w:hAnsi="宋体" w:eastAsia="宋体" w:cs="宋体"/>
          <w:color w:val="auto"/>
          <w:kern w:val="2"/>
          <w:sz w:val="24"/>
          <w:szCs w:val="24"/>
          <w:highlight w:val="none"/>
          <w:lang w:val="en-US" w:eastAsia="zh-CN" w:bidi="ar-SA"/>
        </w:rPr>
        <w:t>条道路，公共厕所</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6座</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一级面积287198平方米；三级面积968635平方米</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服务范围：</w:t>
      </w:r>
    </w:p>
    <w:p>
      <w:pPr>
        <w:pStyle w:val="13"/>
        <w:pageBreakBefore w:val="0"/>
        <w:numPr>
          <w:ilvl w:val="0"/>
          <w:numId w:val="0"/>
        </w:numPr>
        <w:shd w:val="clear" w:color="auto" w:fill="FFFFFF"/>
        <w:wordWrap/>
        <w:overflowPunct/>
        <w:autoSpaceDE w:val="0"/>
        <w:bidi w:val="0"/>
        <w:adjustRightInd w:val="0"/>
        <w:snapToGrid w:val="0"/>
        <w:spacing w:line="460" w:lineRule="exact"/>
        <w:ind w:left="0" w:leftChars="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道路清扫保洁</w:t>
      </w:r>
    </w:p>
    <w:p>
      <w:pPr>
        <w:pStyle w:val="13"/>
        <w:pageBreakBefore w:val="0"/>
        <w:shd w:val="clear" w:color="auto" w:fill="FFFFFF"/>
        <w:wordWrap/>
        <w:overflowPunct/>
        <w:autoSpaceDE w:val="0"/>
        <w:bidi w:val="0"/>
        <w:adjustRightInd w:val="0"/>
        <w:snapToGrid w:val="0"/>
        <w:spacing w:line="460" w:lineRule="exact"/>
        <w:ind w:left="0" w:leftChars="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2.生活垃圾收运及处置</w:t>
      </w:r>
    </w:p>
    <w:p>
      <w:pPr>
        <w:pStyle w:val="13"/>
        <w:pageBreakBefore w:val="0"/>
        <w:shd w:val="clear" w:color="auto" w:fill="FFFFFF"/>
        <w:wordWrap/>
        <w:overflowPunct/>
        <w:autoSpaceDE w:val="0"/>
        <w:bidi w:val="0"/>
        <w:adjustRightInd w:val="0"/>
        <w:snapToGrid w:val="0"/>
        <w:spacing w:line="460" w:lineRule="exact"/>
        <w:ind w:left="0" w:leftChars="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3.园林绿化养护</w:t>
      </w:r>
    </w:p>
    <w:p>
      <w:pPr>
        <w:pStyle w:val="5"/>
        <w:pageBreakBefore w:val="0"/>
        <w:numPr>
          <w:ilvl w:val="0"/>
          <w:numId w:val="0"/>
        </w:numPr>
        <w:shd w:val="clear" w:color="auto" w:fill="FFFFFF"/>
        <w:wordWrap/>
        <w:overflowPunct/>
        <w:bidi w:val="0"/>
        <w:adjustRightInd w:val="0"/>
        <w:snapToGrid w:val="0"/>
        <w:spacing w:before="0" w:after="0" w:line="460" w:lineRule="exact"/>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三、服务内容</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1.1清扫保洁</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（1.1.1）市政公共道路的清扫、保洁；</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（1.1.2）机械洗扫、清洗、洒水降尘；</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（1.1.3）辖区路灯杆、护栏、桥栏、废物箱、垃圾箱、公交站台、宣传牌等公共设施的擦洗；</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（1.1.4）机动车道、非机动车道、人行道路面等公共区域的积水、抛洒物、泥土等各类废弃物的清理；</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（1.1.5）城市三乱治理，辖区内公共区域的城市非法小广告清理清除；</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（1.1.6）公共区域</w:t>
      </w:r>
      <w:r>
        <w:rPr>
          <w:rFonts w:hint="eastAsia" w:ascii="宋体" w:hAnsi="宋体" w:cs="宋体"/>
          <w:color w:val="auto"/>
          <w:kern w:val="2"/>
          <w:sz w:val="24"/>
          <w:szCs w:val="24"/>
          <w:highlight w:val="none"/>
          <w:lang w:val="en-US" w:eastAsia="zh-CN" w:bidi="ar-SA"/>
        </w:rPr>
        <w:t>果皮</w:t>
      </w:r>
      <w:r>
        <w:rPr>
          <w:rFonts w:hint="eastAsia" w:ascii="宋体" w:hAnsi="宋体" w:eastAsia="宋体" w:cs="宋体"/>
          <w:color w:val="auto"/>
          <w:kern w:val="2"/>
          <w:sz w:val="24"/>
          <w:szCs w:val="24"/>
          <w:highlight w:val="none"/>
          <w:lang w:val="en-US" w:eastAsia="zh-CN" w:bidi="ar-SA"/>
        </w:rPr>
        <w:t>箱清掏</w:t>
      </w:r>
      <w:r>
        <w:rPr>
          <w:rFonts w:hint="eastAsia" w:ascii="宋体" w:hAnsi="宋体" w:cs="宋体"/>
          <w:color w:val="auto"/>
          <w:kern w:val="2"/>
          <w:sz w:val="24"/>
          <w:szCs w:val="24"/>
          <w:highlight w:val="none"/>
          <w:lang w:val="en-US" w:eastAsia="zh-CN" w:bidi="ar-SA"/>
        </w:rPr>
        <w:t>及</w:t>
      </w:r>
      <w:r>
        <w:rPr>
          <w:rFonts w:hint="eastAsia" w:ascii="宋体" w:hAnsi="宋体" w:eastAsia="宋体" w:cs="宋体"/>
          <w:color w:val="auto"/>
          <w:kern w:val="2"/>
          <w:sz w:val="24"/>
          <w:szCs w:val="24"/>
          <w:highlight w:val="none"/>
          <w:lang w:val="en-US" w:eastAsia="zh-CN" w:bidi="ar-SA"/>
        </w:rPr>
        <w:t>垃圾清运处置；突发事件时环境卫生应急保障等工作</w:t>
      </w:r>
      <w:r>
        <w:rPr>
          <w:rFonts w:hint="eastAsia" w:ascii="宋体" w:hAnsi="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（1.1.7）辖区内公共卫生间的日常保洁和维护管理</w:t>
      </w:r>
      <w:r>
        <w:rPr>
          <w:rFonts w:hint="eastAsia" w:ascii="宋体" w:hAnsi="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（1.1.8）一级保洁区域和公共卫生间数量会按照县内发展情况增加，但费用不再增加，按合同内金额执行。</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1.2生活垃圾收运</w:t>
      </w:r>
      <w:r>
        <w:rPr>
          <w:rFonts w:hint="eastAsia" w:ascii="宋体" w:hAnsi="宋体" w:cs="宋体"/>
          <w:color w:val="auto"/>
          <w:kern w:val="2"/>
          <w:sz w:val="24"/>
          <w:szCs w:val="24"/>
          <w:highlight w:val="none"/>
          <w:lang w:val="en-US" w:eastAsia="zh-CN" w:bidi="ar-SA"/>
        </w:rPr>
        <w:t>及处置</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托克逊县建成区</w:t>
      </w:r>
      <w:r>
        <w:rPr>
          <w:rFonts w:hint="eastAsia" w:ascii="宋体" w:hAnsi="宋体" w:eastAsia="宋体" w:cs="宋体"/>
          <w:color w:val="auto"/>
          <w:kern w:val="2"/>
          <w:sz w:val="24"/>
          <w:szCs w:val="24"/>
          <w:highlight w:val="none"/>
          <w:lang w:val="en-US" w:eastAsia="zh-CN" w:bidi="ar-SA"/>
        </w:rPr>
        <w:t>生活垃圾</w:t>
      </w:r>
      <w:r>
        <w:rPr>
          <w:rFonts w:hint="eastAsia" w:ascii="宋体" w:hAnsi="宋体" w:cs="宋体"/>
          <w:color w:val="auto"/>
          <w:kern w:val="2"/>
          <w:sz w:val="24"/>
          <w:szCs w:val="24"/>
          <w:highlight w:val="none"/>
          <w:lang w:val="en-US" w:eastAsia="zh-CN" w:bidi="ar-SA"/>
        </w:rPr>
        <w:t>收运及处置</w:t>
      </w:r>
      <w:r>
        <w:rPr>
          <w:rFonts w:hint="eastAsia" w:ascii="宋体" w:hAnsi="宋体" w:eastAsia="宋体" w:cs="宋体"/>
          <w:color w:val="auto"/>
          <w:kern w:val="2"/>
          <w:sz w:val="24"/>
          <w:szCs w:val="24"/>
          <w:highlight w:val="none"/>
          <w:lang w:val="en-US" w:eastAsia="zh-CN" w:bidi="ar-SA"/>
        </w:rPr>
        <w:t>。作业内容主要包括：</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（1.2.1）生活垃圾的收集、运输</w:t>
      </w:r>
      <w:r>
        <w:rPr>
          <w:rFonts w:hint="eastAsia" w:ascii="宋体" w:hAnsi="宋体" w:cs="宋体"/>
          <w:color w:val="auto"/>
          <w:kern w:val="2"/>
          <w:sz w:val="24"/>
          <w:szCs w:val="24"/>
          <w:highlight w:val="none"/>
          <w:lang w:val="en-US" w:eastAsia="zh-CN" w:bidi="ar-SA"/>
        </w:rPr>
        <w:t>及处置</w:t>
      </w:r>
      <w:r>
        <w:rPr>
          <w:rFonts w:hint="eastAsia" w:ascii="宋体" w:hAnsi="宋体" w:eastAsia="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（1.2.2）生活垃圾收集容器（垃圾桶、垃圾船、果皮箱等）日常管理和消杀除臭；</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（1.2.3）配备足量垃圾收运箱（桶）</w:t>
      </w:r>
      <w:r>
        <w:rPr>
          <w:rFonts w:hint="eastAsia" w:ascii="宋体" w:hAnsi="宋体" w:cs="宋体"/>
          <w:color w:val="auto"/>
          <w:kern w:val="2"/>
          <w:sz w:val="24"/>
          <w:szCs w:val="24"/>
          <w:highlight w:val="none"/>
          <w:lang w:val="en-US" w:eastAsia="zh-CN" w:bidi="ar-SA"/>
        </w:rPr>
        <w:t>（符合垃圾分类标识要求的垃圾桶）</w:t>
      </w:r>
      <w:r>
        <w:rPr>
          <w:rFonts w:hint="eastAsia" w:ascii="宋体" w:hAnsi="宋体" w:eastAsia="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（1.2.4）</w:t>
      </w:r>
      <w:r>
        <w:rPr>
          <w:rFonts w:hint="eastAsia" w:ascii="宋体" w:hAnsi="宋体" w:cs="宋体"/>
          <w:color w:val="auto"/>
          <w:kern w:val="2"/>
          <w:sz w:val="24"/>
          <w:szCs w:val="24"/>
          <w:highlight w:val="none"/>
          <w:lang w:val="en-US" w:eastAsia="zh-CN" w:bidi="ar-SA"/>
        </w:rPr>
        <w:t>每年</w:t>
      </w:r>
      <w:r>
        <w:rPr>
          <w:rFonts w:hint="eastAsia" w:ascii="宋体" w:hAnsi="宋体" w:eastAsia="宋体" w:cs="宋体"/>
          <w:color w:val="auto"/>
          <w:kern w:val="2"/>
          <w:sz w:val="24"/>
          <w:szCs w:val="24"/>
          <w:highlight w:val="none"/>
          <w:lang w:val="en-US" w:eastAsia="zh-CN" w:bidi="ar-SA"/>
        </w:rPr>
        <w:t>配备不少于</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00个</w:t>
      </w:r>
      <w:r>
        <w:rPr>
          <w:rFonts w:hint="eastAsia" w:ascii="宋体" w:hAnsi="宋体" w:cs="宋体"/>
          <w:color w:val="auto"/>
          <w:kern w:val="2"/>
          <w:sz w:val="24"/>
          <w:szCs w:val="24"/>
          <w:highlight w:val="none"/>
          <w:lang w:val="en-US" w:eastAsia="zh-CN" w:bidi="ar-SA"/>
        </w:rPr>
        <w:t>660L型号的城市生活垃圾</w:t>
      </w:r>
      <w:r>
        <w:rPr>
          <w:rFonts w:hint="eastAsia" w:ascii="宋体" w:hAnsi="宋体" w:eastAsia="宋体" w:cs="宋体"/>
          <w:color w:val="auto"/>
          <w:kern w:val="2"/>
          <w:sz w:val="24"/>
          <w:szCs w:val="24"/>
          <w:highlight w:val="none"/>
          <w:lang w:val="en-US" w:eastAsia="zh-CN" w:bidi="ar-SA"/>
        </w:rPr>
        <w:t>分类垃圾箱</w:t>
      </w:r>
      <w:r>
        <w:rPr>
          <w:rFonts w:hint="eastAsia" w:ascii="宋体" w:hAnsi="宋体" w:cs="宋体"/>
          <w:color w:val="auto"/>
          <w:kern w:val="2"/>
          <w:sz w:val="24"/>
          <w:szCs w:val="24"/>
          <w:highlight w:val="none"/>
          <w:lang w:val="en-US" w:eastAsia="zh-CN" w:bidi="ar-SA"/>
        </w:rPr>
        <w:t>（符合垃圾分类标识要求的垃圾箱）</w:t>
      </w:r>
      <w:r>
        <w:rPr>
          <w:rFonts w:hint="eastAsia" w:ascii="宋体" w:hAnsi="宋体" w:eastAsia="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（1.2.5）公共设施设备</w:t>
      </w:r>
      <w:r>
        <w:rPr>
          <w:rFonts w:hint="eastAsia" w:ascii="宋体" w:hAnsi="宋体" w:cs="宋体"/>
          <w:color w:val="auto"/>
          <w:kern w:val="2"/>
          <w:sz w:val="24"/>
          <w:szCs w:val="24"/>
          <w:highlight w:val="none"/>
          <w:lang w:val="en-US" w:eastAsia="zh-CN" w:bidi="ar-SA"/>
        </w:rPr>
        <w:t>更新与</w:t>
      </w:r>
      <w:r>
        <w:rPr>
          <w:rFonts w:hint="eastAsia" w:ascii="宋体" w:hAnsi="宋体" w:eastAsia="宋体" w:cs="宋体"/>
          <w:color w:val="auto"/>
          <w:kern w:val="2"/>
          <w:sz w:val="24"/>
          <w:szCs w:val="24"/>
          <w:highlight w:val="none"/>
          <w:lang w:val="en-US" w:eastAsia="zh-CN" w:bidi="ar-SA"/>
        </w:rPr>
        <w:t>维护</w:t>
      </w:r>
      <w:r>
        <w:rPr>
          <w:rFonts w:hint="eastAsia" w:ascii="宋体" w:hAnsi="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垃圾填埋场运行及</w:t>
      </w:r>
      <w:r>
        <w:rPr>
          <w:rFonts w:hint="eastAsia" w:ascii="宋体" w:hAnsi="宋体" w:eastAsia="宋体" w:cs="宋体"/>
          <w:color w:val="auto"/>
          <w:kern w:val="2"/>
          <w:sz w:val="24"/>
          <w:szCs w:val="24"/>
          <w:highlight w:val="none"/>
          <w:lang w:val="en-US" w:eastAsia="zh-CN" w:bidi="ar-SA"/>
        </w:rPr>
        <w:t>维护</w:t>
      </w:r>
      <w:r>
        <w:rPr>
          <w:rFonts w:hint="eastAsia" w:ascii="宋体" w:hAnsi="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1.3园林绿化养护</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（1.3.1）</w:t>
      </w:r>
      <w:r>
        <w:rPr>
          <w:rFonts w:hint="eastAsia" w:ascii="宋体" w:hAnsi="宋体" w:eastAsia="宋体" w:cs="宋体"/>
          <w:color w:val="auto"/>
          <w:kern w:val="2"/>
          <w:sz w:val="24"/>
          <w:szCs w:val="24"/>
          <w:highlight w:val="none"/>
          <w:lang w:val="en-US" w:eastAsia="zh-CN" w:bidi="ar-SA"/>
        </w:rPr>
        <w:t xml:space="preserve">包括养护范围内各类乔灌木、绿篱、草坪、花卉、地被植物等的灌溉、施肥、修剪、防治病虫害、树木刷白、松土除草、抹芽、树木扶正、缺株补植补种，绿地保洁和垃圾清运、绿化管网设施的维护和维修、绿地保护、绿地养护项目管理等工作。 </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（1.3.2）</w:t>
      </w:r>
      <w:r>
        <w:rPr>
          <w:rFonts w:hint="eastAsia" w:ascii="宋体" w:hAnsi="宋体" w:eastAsia="宋体" w:cs="宋体"/>
          <w:color w:val="auto"/>
          <w:kern w:val="2"/>
          <w:sz w:val="24"/>
          <w:szCs w:val="24"/>
          <w:highlight w:val="none"/>
          <w:lang w:val="en-US" w:eastAsia="zh-CN" w:bidi="ar-SA"/>
        </w:rPr>
        <w:t xml:space="preserve">公园、游园、广场铺装、护栏、支撑架和护网、园路、桌椅、灯、井盖和标识标牌、安防设施等附属设施维护。     </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b/>
          <w:bCs/>
          <w:color w:val="auto"/>
          <w:sz w:val="24"/>
          <w:szCs w:val="24"/>
          <w:highlight w:val="none"/>
        </w:rPr>
      </w:pPr>
      <w:r>
        <w:rPr>
          <w:rFonts w:hint="eastAsia" w:ascii="宋体" w:hAnsi="宋体" w:cs="宋体"/>
          <w:color w:val="auto"/>
          <w:kern w:val="2"/>
          <w:sz w:val="24"/>
          <w:szCs w:val="24"/>
          <w:highlight w:val="none"/>
          <w:lang w:val="en-US" w:eastAsia="zh-CN" w:bidi="ar-SA"/>
        </w:rPr>
        <w:t>（1.3.3）</w:t>
      </w:r>
      <w:r>
        <w:rPr>
          <w:rFonts w:hint="eastAsia" w:ascii="宋体" w:hAnsi="宋体" w:eastAsia="宋体" w:cs="宋体"/>
          <w:color w:val="auto"/>
          <w:kern w:val="2"/>
          <w:sz w:val="24"/>
          <w:szCs w:val="24"/>
          <w:highlight w:val="none"/>
          <w:lang w:val="en-US" w:eastAsia="zh-CN" w:bidi="ar-SA"/>
        </w:rPr>
        <w:t>积极完成上级部门临时安排各项任务，如突发应急事件或大型检查、重要活动、节日保障、街头摆花等服务产生的费用均包含在本次服务费内，不单独列支。</w:t>
      </w:r>
    </w:p>
    <w:p>
      <w:pPr>
        <w:pStyle w:val="5"/>
        <w:pageBreakBefore w:val="0"/>
        <w:numPr>
          <w:ilvl w:val="0"/>
          <w:numId w:val="0"/>
        </w:numPr>
        <w:shd w:val="clear" w:color="auto" w:fill="FFFFFF"/>
        <w:wordWrap/>
        <w:overflowPunct/>
        <w:bidi w:val="0"/>
        <w:adjustRightInd w:val="0"/>
        <w:snapToGrid w:val="0"/>
        <w:spacing w:before="0" w:after="0" w:line="460" w:lineRule="exact"/>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四、服务要求及标准</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（一）环卫作业要求</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1、道路清扫保洁作业要求：</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人工普扫频次：每日不少于1次；洒水降尘：每天洒水不少于</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次，洒水时间按照道路交通实际情况实行错峰洒水（雨雪天及低温天气除外）（重点区域及道路按照道路基本无扬尘的标准，</w:t>
      </w:r>
      <w:r>
        <w:rPr>
          <w:rFonts w:hint="eastAsia" w:ascii="宋体" w:hAnsi="宋体" w:cs="宋体"/>
          <w:color w:val="auto"/>
          <w:kern w:val="2"/>
          <w:sz w:val="24"/>
          <w:szCs w:val="24"/>
          <w:highlight w:val="none"/>
          <w:lang w:val="en-US" w:eastAsia="zh-CN" w:bidi="ar-SA"/>
        </w:rPr>
        <w:t>如遇空气质量应急响应期间</w:t>
      </w:r>
      <w:r>
        <w:rPr>
          <w:rFonts w:hint="eastAsia" w:ascii="宋体" w:hAnsi="宋体" w:eastAsia="宋体" w:cs="宋体"/>
          <w:color w:val="auto"/>
          <w:kern w:val="2"/>
          <w:sz w:val="24"/>
          <w:szCs w:val="24"/>
          <w:highlight w:val="none"/>
          <w:lang w:val="en-US" w:eastAsia="zh-CN" w:bidi="ar-SA"/>
        </w:rPr>
        <w:t>洒水降尘次数按</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增加）；机械化作业率：达到</w:t>
      </w:r>
      <w:r>
        <w:rPr>
          <w:rFonts w:hint="eastAsia" w:ascii="宋体" w:hAnsi="宋体" w:cs="宋体"/>
          <w:color w:val="auto"/>
          <w:kern w:val="2"/>
          <w:sz w:val="24"/>
          <w:szCs w:val="24"/>
          <w:highlight w:val="none"/>
          <w:lang w:val="en-US" w:eastAsia="zh-CN" w:bidi="ar-SA"/>
        </w:rPr>
        <w:t>90</w:t>
      </w:r>
      <w:r>
        <w:rPr>
          <w:rFonts w:hint="eastAsia" w:ascii="宋体" w:hAnsi="宋体" w:eastAsia="宋体" w:cs="宋体"/>
          <w:color w:val="auto"/>
          <w:kern w:val="2"/>
          <w:sz w:val="24"/>
          <w:szCs w:val="24"/>
          <w:highlight w:val="none"/>
          <w:lang w:val="en-US" w:eastAsia="zh-CN" w:bidi="ar-SA"/>
        </w:rPr>
        <w:t>%以上；洗扫：每</w:t>
      </w:r>
      <w:r>
        <w:rPr>
          <w:rFonts w:hint="eastAsia" w:ascii="宋体" w:hAnsi="宋体" w:cs="宋体"/>
          <w:color w:val="auto"/>
          <w:kern w:val="2"/>
          <w:sz w:val="24"/>
          <w:szCs w:val="24"/>
          <w:highlight w:val="none"/>
          <w:lang w:val="en-US" w:eastAsia="zh-CN" w:bidi="ar-SA"/>
        </w:rPr>
        <w:t>天</w:t>
      </w:r>
      <w:r>
        <w:rPr>
          <w:rFonts w:hint="eastAsia" w:ascii="宋体" w:hAnsi="宋体" w:eastAsia="宋体" w:cs="宋体"/>
          <w:color w:val="auto"/>
          <w:kern w:val="2"/>
          <w:sz w:val="24"/>
          <w:szCs w:val="24"/>
          <w:highlight w:val="none"/>
          <w:lang w:val="en-US" w:eastAsia="zh-CN" w:bidi="ar-SA"/>
        </w:rPr>
        <w:t>至少洗扫1次，如有油污污染，随时清洗。保证整体环境舒适、车行道净、人行道净、无砂石、土、无跳扫漏扫、无烟头纸屑，明沟畅通无沉积物。清扫产生的砂石、土不得扫入下水道或倒入绿化带及沿路边。</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2、生活垃圾收集运输作业标准：</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每日</w:t>
      </w:r>
      <w:r>
        <w:rPr>
          <w:rFonts w:hint="eastAsia" w:ascii="宋体" w:hAnsi="宋体" w:cs="宋体"/>
          <w:color w:val="auto"/>
          <w:kern w:val="2"/>
          <w:sz w:val="24"/>
          <w:szCs w:val="24"/>
          <w:highlight w:val="none"/>
          <w:lang w:val="en-US" w:eastAsia="zh-CN" w:bidi="ar-SA"/>
        </w:rPr>
        <w:t>至少</w:t>
      </w:r>
      <w:r>
        <w:rPr>
          <w:rFonts w:hint="eastAsia" w:ascii="宋体" w:hAnsi="宋体" w:eastAsia="宋体" w:cs="宋体"/>
          <w:color w:val="auto"/>
          <w:kern w:val="2"/>
          <w:sz w:val="24"/>
          <w:szCs w:val="24"/>
          <w:highlight w:val="none"/>
          <w:lang w:val="en-US" w:eastAsia="zh-CN" w:bidi="ar-SA"/>
        </w:rPr>
        <w:t>收集清运垃圾一次，垃圾收集容器应定位设置，摆放整齐。</w:t>
      </w:r>
      <w:r>
        <w:rPr>
          <w:rFonts w:hint="eastAsia" w:ascii="宋体" w:hAnsi="宋体" w:cs="宋体"/>
          <w:color w:val="auto"/>
          <w:kern w:val="2"/>
          <w:sz w:val="24"/>
          <w:szCs w:val="24"/>
          <w:highlight w:val="none"/>
          <w:lang w:val="en-US" w:eastAsia="zh-CN" w:bidi="ar-SA"/>
        </w:rPr>
        <w:t>垃圾箱房容量不能满足一日一清的，应采取一日多清制。</w:t>
      </w:r>
      <w:r>
        <w:rPr>
          <w:rFonts w:hint="eastAsia" w:ascii="宋体" w:hAnsi="宋体" w:eastAsia="宋体" w:cs="宋体"/>
          <w:color w:val="auto"/>
          <w:kern w:val="2"/>
          <w:sz w:val="24"/>
          <w:szCs w:val="24"/>
          <w:highlight w:val="none"/>
          <w:lang w:val="en-US" w:eastAsia="zh-CN" w:bidi="ar-SA"/>
        </w:rPr>
        <w:t>设置点及周围2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m内应整洁，无散落、存留生活垃圾和污水；生活垃圾收集容器应无残缺、破损，封闭性好，外体干净。构筑物内外墙面不得有明显积灰、污物；生活垃圾的收集，必须用设有明显标志、能防止污染扩散的密封容器；蝇、蚊孳生季节，生活垃圾收集站（点）</w:t>
      </w:r>
      <w:r>
        <w:rPr>
          <w:rFonts w:hint="eastAsia" w:ascii="宋体" w:hAnsi="宋体" w:cs="宋体"/>
          <w:color w:val="auto"/>
          <w:kern w:val="2"/>
          <w:sz w:val="24"/>
          <w:szCs w:val="24"/>
          <w:highlight w:val="none"/>
          <w:lang w:val="en-US" w:eastAsia="zh-CN" w:bidi="ar-SA"/>
        </w:rPr>
        <w:t>及垃圾箱</w:t>
      </w:r>
      <w:r>
        <w:rPr>
          <w:rFonts w:hint="eastAsia" w:ascii="宋体" w:hAnsi="宋体" w:eastAsia="宋体" w:cs="宋体"/>
          <w:color w:val="auto"/>
          <w:kern w:val="2"/>
          <w:sz w:val="24"/>
          <w:szCs w:val="24"/>
          <w:highlight w:val="none"/>
          <w:lang w:val="en-US" w:eastAsia="zh-CN" w:bidi="ar-SA"/>
        </w:rPr>
        <w:t>，应定时喷洒消毒、灭蚊蝇药物；</w:t>
      </w:r>
      <w:r>
        <w:rPr>
          <w:rFonts w:hint="eastAsia" w:ascii="宋体" w:hAnsi="宋体" w:cs="宋体"/>
          <w:color w:val="auto"/>
          <w:kern w:val="2"/>
          <w:sz w:val="24"/>
          <w:szCs w:val="24"/>
          <w:highlight w:val="none"/>
          <w:lang w:val="en-US" w:eastAsia="zh-CN" w:bidi="ar-SA"/>
        </w:rPr>
        <w:t>小区</w:t>
      </w:r>
      <w:r>
        <w:rPr>
          <w:rFonts w:hint="eastAsia" w:ascii="宋体" w:hAnsi="宋体" w:eastAsia="宋体" w:cs="宋体"/>
          <w:color w:val="auto"/>
          <w:kern w:val="2"/>
          <w:sz w:val="24"/>
          <w:szCs w:val="24"/>
          <w:highlight w:val="none"/>
          <w:lang w:val="en-US" w:eastAsia="zh-CN" w:bidi="ar-SA"/>
        </w:rPr>
        <w:t>生活垃圾间</w:t>
      </w:r>
      <w:r>
        <w:rPr>
          <w:rFonts w:hint="eastAsia" w:ascii="宋体" w:hAnsi="宋体" w:cs="宋体"/>
          <w:color w:val="auto"/>
          <w:kern w:val="2"/>
          <w:sz w:val="24"/>
          <w:szCs w:val="24"/>
          <w:highlight w:val="none"/>
          <w:lang w:val="en-US" w:eastAsia="zh-CN" w:bidi="ar-SA"/>
        </w:rPr>
        <w:t>（收集房）</w:t>
      </w:r>
      <w:r>
        <w:rPr>
          <w:rFonts w:hint="eastAsia" w:ascii="宋体" w:hAnsi="宋体" w:eastAsia="宋体" w:cs="宋体"/>
          <w:color w:val="auto"/>
          <w:kern w:val="2"/>
          <w:sz w:val="24"/>
          <w:szCs w:val="24"/>
          <w:highlight w:val="none"/>
          <w:lang w:val="en-US" w:eastAsia="zh-CN" w:bidi="ar-SA"/>
        </w:rPr>
        <w:t>应整洁，无散落生活垃圾和积留污水，无恶臭，基本无蝇；收集作业完成后，应及时清理场地，将可移动式生活垃圾收集容器复位，车走地净。生活垃圾应直接送至指定的处置场；废物箱</w:t>
      </w:r>
      <w:r>
        <w:rPr>
          <w:rFonts w:hint="eastAsia" w:ascii="宋体" w:hAnsi="宋体" w:cs="宋体"/>
          <w:color w:val="auto"/>
          <w:kern w:val="2"/>
          <w:sz w:val="24"/>
          <w:szCs w:val="24"/>
          <w:highlight w:val="none"/>
          <w:lang w:val="en-US" w:eastAsia="zh-CN" w:bidi="ar-SA"/>
        </w:rPr>
        <w:t>、果皮箱</w:t>
      </w:r>
      <w:r>
        <w:rPr>
          <w:rFonts w:hint="eastAsia" w:ascii="宋体" w:hAnsi="宋体" w:eastAsia="宋体" w:cs="宋体"/>
          <w:color w:val="auto"/>
          <w:kern w:val="2"/>
          <w:sz w:val="24"/>
          <w:szCs w:val="24"/>
          <w:highlight w:val="none"/>
          <w:lang w:val="en-US" w:eastAsia="zh-CN" w:bidi="ar-SA"/>
        </w:rPr>
        <w:t>内的垃圾应及时清除、无满溢和散落，并定时清洗箱体。</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3、生活垃圾</w:t>
      </w:r>
      <w:r>
        <w:rPr>
          <w:rFonts w:hint="eastAsia" w:ascii="宋体" w:hAnsi="宋体" w:cs="宋体"/>
          <w:color w:val="auto"/>
          <w:kern w:val="2"/>
          <w:sz w:val="24"/>
          <w:szCs w:val="24"/>
          <w:highlight w:val="none"/>
          <w:lang w:val="en-US" w:eastAsia="zh-CN" w:bidi="ar-SA"/>
        </w:rPr>
        <w:t>无害化处置</w:t>
      </w:r>
      <w:r>
        <w:rPr>
          <w:rFonts w:hint="eastAsia" w:ascii="宋体" w:hAnsi="宋体" w:eastAsia="宋体" w:cs="宋体"/>
          <w:color w:val="auto"/>
          <w:kern w:val="2"/>
          <w:sz w:val="24"/>
          <w:szCs w:val="24"/>
          <w:highlight w:val="none"/>
          <w:lang w:val="en-US" w:eastAsia="zh-CN" w:bidi="ar-SA"/>
        </w:rPr>
        <w:t>作业标准：</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生活垃圾</w:t>
      </w:r>
      <w:r>
        <w:rPr>
          <w:rFonts w:hint="eastAsia" w:ascii="宋体" w:hAnsi="宋体" w:cs="宋体"/>
          <w:color w:val="auto"/>
          <w:kern w:val="2"/>
          <w:sz w:val="24"/>
          <w:szCs w:val="24"/>
          <w:highlight w:val="none"/>
          <w:lang w:val="en-US" w:eastAsia="zh-CN" w:bidi="ar-SA"/>
        </w:rPr>
        <w:t>无害化</w:t>
      </w:r>
      <w:r>
        <w:rPr>
          <w:rFonts w:hint="eastAsia" w:ascii="宋体" w:hAnsi="宋体" w:eastAsia="宋体" w:cs="宋体"/>
          <w:color w:val="auto"/>
          <w:kern w:val="2"/>
          <w:sz w:val="24"/>
          <w:szCs w:val="24"/>
          <w:highlight w:val="none"/>
          <w:lang w:val="en-US" w:eastAsia="zh-CN" w:bidi="ar-SA"/>
        </w:rPr>
        <w:t>填埋场和垃圾填埋作业</w:t>
      </w:r>
      <w:r>
        <w:rPr>
          <w:rFonts w:hint="eastAsia" w:ascii="宋体" w:hAnsi="宋体" w:cs="宋体"/>
          <w:color w:val="auto"/>
          <w:kern w:val="2"/>
          <w:sz w:val="24"/>
          <w:szCs w:val="24"/>
          <w:highlight w:val="none"/>
          <w:lang w:val="en-US" w:eastAsia="zh-CN" w:bidi="ar-SA"/>
        </w:rPr>
        <w:t>应</w:t>
      </w:r>
      <w:r>
        <w:rPr>
          <w:rFonts w:hint="eastAsia" w:ascii="宋体" w:hAnsi="宋体" w:eastAsia="宋体" w:cs="宋体"/>
          <w:color w:val="auto"/>
          <w:kern w:val="2"/>
          <w:sz w:val="24"/>
          <w:szCs w:val="24"/>
          <w:highlight w:val="none"/>
          <w:lang w:val="en-US" w:eastAsia="zh-CN" w:bidi="ar-SA"/>
        </w:rPr>
        <w:t>制定管理制度和作业规范，</w:t>
      </w:r>
      <w:r>
        <w:rPr>
          <w:rFonts w:hint="eastAsia" w:ascii="宋体" w:hAnsi="宋体" w:cs="宋体"/>
          <w:color w:val="auto"/>
          <w:kern w:val="2"/>
          <w:sz w:val="24"/>
          <w:szCs w:val="24"/>
          <w:highlight w:val="none"/>
          <w:lang w:val="en-US" w:eastAsia="zh-CN" w:bidi="ar-SA"/>
        </w:rPr>
        <w:t>严格按照</w:t>
      </w:r>
      <w:r>
        <w:rPr>
          <w:rFonts w:hint="eastAsia" w:ascii="宋体" w:hAnsi="宋体" w:eastAsia="宋体" w:cs="宋体"/>
          <w:color w:val="auto"/>
          <w:kern w:val="2"/>
          <w:sz w:val="24"/>
          <w:szCs w:val="24"/>
          <w:highlight w:val="none"/>
          <w:lang w:val="en-US" w:eastAsia="zh-CN" w:bidi="ar-SA"/>
        </w:rPr>
        <w:t>建设部《城市生活垃圾卫生填埋场运行维护技术规范》和《生活垃圾卫生填埋技术规范》</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加强日常性和规范化管理。做好</w:t>
      </w:r>
      <w:r>
        <w:rPr>
          <w:rFonts w:hint="eastAsia" w:ascii="宋体" w:hAnsi="宋体" w:cs="宋体"/>
          <w:color w:val="auto"/>
          <w:kern w:val="2"/>
          <w:sz w:val="24"/>
          <w:szCs w:val="24"/>
          <w:highlight w:val="none"/>
          <w:lang w:val="en-US" w:eastAsia="zh-CN" w:bidi="ar-SA"/>
        </w:rPr>
        <w:t>机械化填埋和</w:t>
      </w:r>
      <w:r>
        <w:rPr>
          <w:rFonts w:hint="eastAsia" w:ascii="宋体" w:hAnsi="宋体" w:eastAsia="宋体" w:cs="宋体"/>
          <w:color w:val="auto"/>
          <w:kern w:val="2"/>
          <w:sz w:val="24"/>
          <w:szCs w:val="24"/>
          <w:highlight w:val="none"/>
          <w:lang w:val="en-US" w:eastAsia="zh-CN" w:bidi="ar-SA"/>
        </w:rPr>
        <w:t>日常性清扫保洁，</w:t>
      </w:r>
      <w:r>
        <w:rPr>
          <w:rFonts w:hint="eastAsia" w:ascii="宋体" w:hAnsi="宋体" w:cs="宋体"/>
          <w:color w:val="auto"/>
          <w:kern w:val="2"/>
          <w:sz w:val="24"/>
          <w:szCs w:val="24"/>
          <w:highlight w:val="none"/>
          <w:lang w:val="en-US" w:eastAsia="zh-CN" w:bidi="ar-SA"/>
        </w:rPr>
        <w:t>做好</w:t>
      </w:r>
      <w:r>
        <w:rPr>
          <w:rFonts w:hint="eastAsia" w:ascii="宋体" w:hAnsi="宋体" w:eastAsia="宋体" w:cs="宋体"/>
          <w:color w:val="auto"/>
          <w:kern w:val="2"/>
          <w:sz w:val="24"/>
          <w:szCs w:val="24"/>
          <w:highlight w:val="none"/>
          <w:lang w:val="en-US" w:eastAsia="zh-CN" w:bidi="ar-SA"/>
        </w:rPr>
        <w:t>消毒、消防、灭蚊蝇、灭鼠</w:t>
      </w:r>
      <w:r>
        <w:rPr>
          <w:rFonts w:hint="eastAsia" w:ascii="宋体" w:hAnsi="宋体" w:cs="宋体"/>
          <w:color w:val="auto"/>
          <w:kern w:val="2"/>
          <w:sz w:val="24"/>
          <w:szCs w:val="24"/>
          <w:highlight w:val="none"/>
          <w:lang w:val="en-US" w:eastAsia="zh-CN" w:bidi="ar-SA"/>
        </w:rPr>
        <w:t>等</w:t>
      </w:r>
      <w:r>
        <w:rPr>
          <w:rFonts w:hint="eastAsia" w:ascii="宋体" w:hAnsi="宋体" w:eastAsia="宋体" w:cs="宋体"/>
          <w:color w:val="auto"/>
          <w:kern w:val="2"/>
          <w:sz w:val="24"/>
          <w:szCs w:val="24"/>
          <w:highlight w:val="none"/>
          <w:lang w:val="en-US" w:eastAsia="zh-CN" w:bidi="ar-SA"/>
        </w:rPr>
        <w:t>防护</w:t>
      </w:r>
      <w:r>
        <w:rPr>
          <w:rFonts w:hint="eastAsia" w:ascii="宋体" w:hAnsi="宋体" w:cs="宋体"/>
          <w:color w:val="auto"/>
          <w:kern w:val="2"/>
          <w:sz w:val="24"/>
          <w:szCs w:val="24"/>
          <w:highlight w:val="none"/>
          <w:lang w:val="en-US" w:eastAsia="zh-CN" w:bidi="ar-SA"/>
        </w:rPr>
        <w:t>措施，</w:t>
      </w:r>
      <w:r>
        <w:rPr>
          <w:rFonts w:hint="eastAsia" w:ascii="宋体" w:hAnsi="宋体" w:eastAsia="宋体" w:cs="宋体"/>
          <w:color w:val="auto"/>
          <w:kern w:val="2"/>
          <w:sz w:val="24"/>
          <w:szCs w:val="24"/>
          <w:highlight w:val="none"/>
          <w:lang w:val="en-US" w:eastAsia="zh-CN" w:bidi="ar-SA"/>
        </w:rPr>
        <w:t>并开展</w:t>
      </w:r>
      <w:r>
        <w:rPr>
          <w:rFonts w:hint="eastAsia" w:ascii="宋体" w:hAnsi="宋体" w:cs="宋体"/>
          <w:color w:val="auto"/>
          <w:kern w:val="2"/>
          <w:sz w:val="24"/>
          <w:szCs w:val="24"/>
          <w:highlight w:val="none"/>
          <w:lang w:val="en-US" w:eastAsia="zh-CN" w:bidi="ar-SA"/>
        </w:rPr>
        <w:t>场区</w:t>
      </w:r>
      <w:r>
        <w:rPr>
          <w:rFonts w:hint="eastAsia" w:ascii="宋体" w:hAnsi="宋体" w:eastAsia="宋体" w:cs="宋体"/>
          <w:color w:val="auto"/>
          <w:kern w:val="2"/>
          <w:sz w:val="24"/>
          <w:szCs w:val="24"/>
          <w:highlight w:val="none"/>
          <w:lang w:val="en-US" w:eastAsia="zh-CN" w:bidi="ar-SA"/>
        </w:rPr>
        <w:t>绿化。每日作业完毕后应及时覆盖，以有效控制臭气扩散和蚊蝇孳生。制定紧急应急预案和应急措施</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做好各种资料的收集</w:t>
      </w:r>
      <w:r>
        <w:rPr>
          <w:rFonts w:hint="eastAsia" w:ascii="宋体" w:hAnsi="宋体" w:cs="宋体"/>
          <w:color w:val="auto"/>
          <w:kern w:val="2"/>
          <w:sz w:val="24"/>
          <w:szCs w:val="24"/>
          <w:highlight w:val="none"/>
          <w:lang w:val="en-US" w:eastAsia="zh-CN" w:bidi="ar-SA"/>
        </w:rPr>
        <w:t>上报</w:t>
      </w:r>
      <w:r>
        <w:rPr>
          <w:rFonts w:hint="eastAsia" w:ascii="宋体" w:hAnsi="宋体" w:eastAsia="宋体" w:cs="宋体"/>
          <w:color w:val="auto"/>
          <w:kern w:val="2"/>
          <w:sz w:val="24"/>
          <w:szCs w:val="24"/>
          <w:highlight w:val="none"/>
          <w:lang w:val="en-US" w:eastAsia="zh-CN" w:bidi="ar-SA"/>
        </w:rPr>
        <w:t>，内容包括生产作业量、设备投放量、垃圾处置措施、</w:t>
      </w:r>
      <w:r>
        <w:rPr>
          <w:rFonts w:hint="eastAsia" w:ascii="宋体" w:hAnsi="宋体" w:cs="宋体"/>
          <w:color w:val="auto"/>
          <w:kern w:val="2"/>
          <w:sz w:val="24"/>
          <w:szCs w:val="24"/>
          <w:highlight w:val="none"/>
          <w:lang w:val="en-US" w:eastAsia="zh-CN" w:bidi="ar-SA"/>
        </w:rPr>
        <w:t>安全生产</w:t>
      </w:r>
      <w:r>
        <w:rPr>
          <w:rFonts w:hint="eastAsia" w:ascii="宋体" w:hAnsi="宋体" w:eastAsia="宋体" w:cs="宋体"/>
          <w:color w:val="auto"/>
          <w:kern w:val="2"/>
          <w:sz w:val="24"/>
          <w:szCs w:val="24"/>
          <w:highlight w:val="none"/>
          <w:lang w:val="en-US" w:eastAsia="zh-CN" w:bidi="ar-SA"/>
        </w:rPr>
        <w:t>等。垃圾场</w:t>
      </w:r>
      <w:r>
        <w:rPr>
          <w:rFonts w:hint="eastAsia" w:ascii="宋体" w:hAnsi="宋体" w:cs="宋体"/>
          <w:color w:val="auto"/>
          <w:kern w:val="2"/>
          <w:sz w:val="24"/>
          <w:szCs w:val="24"/>
          <w:highlight w:val="none"/>
          <w:lang w:val="en-US" w:eastAsia="zh-CN" w:bidi="ar-SA"/>
        </w:rPr>
        <w:t>应按要求</w:t>
      </w:r>
      <w:r>
        <w:rPr>
          <w:rFonts w:hint="eastAsia" w:ascii="宋体" w:hAnsi="宋体" w:eastAsia="宋体" w:cs="宋体"/>
          <w:color w:val="auto"/>
          <w:kern w:val="2"/>
          <w:sz w:val="24"/>
          <w:szCs w:val="24"/>
          <w:highlight w:val="none"/>
          <w:lang w:val="en-US" w:eastAsia="zh-CN" w:bidi="ar-SA"/>
        </w:rPr>
        <w:t>进行</w:t>
      </w:r>
      <w:r>
        <w:rPr>
          <w:rFonts w:hint="eastAsia" w:ascii="宋体" w:hAnsi="宋体" w:cs="宋体"/>
          <w:color w:val="auto"/>
          <w:kern w:val="2"/>
          <w:sz w:val="24"/>
          <w:szCs w:val="24"/>
          <w:highlight w:val="none"/>
          <w:lang w:val="en-US" w:eastAsia="zh-CN" w:bidi="ar-SA"/>
        </w:rPr>
        <w:t>渗滤液处理和</w:t>
      </w:r>
      <w:r>
        <w:rPr>
          <w:rFonts w:hint="eastAsia" w:ascii="宋体" w:hAnsi="宋体" w:eastAsia="宋体" w:cs="宋体"/>
          <w:color w:val="auto"/>
          <w:kern w:val="2"/>
          <w:sz w:val="24"/>
          <w:szCs w:val="24"/>
          <w:highlight w:val="none"/>
          <w:lang w:val="en-US" w:eastAsia="zh-CN" w:bidi="ar-SA"/>
        </w:rPr>
        <w:t>环境质量检测评价，有完整的年度垃圾处理卫生监测评价资料，并提出改善环境质量的对策。</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4、其他要求：</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eastAsia="宋体"/>
          <w:b w:val="0"/>
          <w:bCs/>
          <w:color w:val="auto"/>
          <w:sz w:val="24"/>
          <w:highlight w:val="none"/>
        </w:rPr>
        <w:t>保证各种重要活动及节假日环境卫生保障</w:t>
      </w:r>
      <w:r>
        <w:rPr>
          <w:rFonts w:hint="eastAsia" w:ascii="宋体" w:eastAsia="宋体"/>
          <w:b w:val="0"/>
          <w:bCs/>
          <w:color w:val="auto"/>
          <w:sz w:val="24"/>
          <w:highlight w:val="none"/>
          <w:lang w:eastAsia="zh-CN"/>
        </w:rPr>
        <w:t>，</w:t>
      </w:r>
      <w:r>
        <w:rPr>
          <w:rFonts w:hint="eastAsia" w:ascii="宋体" w:eastAsia="宋体"/>
          <w:b w:val="0"/>
          <w:bCs/>
          <w:color w:val="auto"/>
          <w:sz w:val="24"/>
          <w:highlight w:val="none"/>
        </w:rPr>
        <w:t>但费用不</w:t>
      </w:r>
      <w:r>
        <w:rPr>
          <w:rFonts w:hint="eastAsia" w:ascii="宋体" w:eastAsia="宋体"/>
          <w:b w:val="0"/>
          <w:bCs/>
          <w:color w:val="auto"/>
          <w:sz w:val="24"/>
          <w:highlight w:val="none"/>
          <w:lang w:eastAsia="zh-CN"/>
        </w:rPr>
        <w:t>再</w:t>
      </w:r>
      <w:r>
        <w:rPr>
          <w:rFonts w:hint="eastAsia" w:ascii="宋体" w:eastAsia="宋体"/>
          <w:b w:val="0"/>
          <w:bCs/>
          <w:color w:val="auto"/>
          <w:sz w:val="24"/>
          <w:highlight w:val="none"/>
        </w:rPr>
        <w:t>增加，按合同内金额执行</w:t>
      </w:r>
      <w:r>
        <w:rPr>
          <w:rFonts w:hint="eastAsia" w:ascii="宋体" w:eastAsia="宋体"/>
          <w:b w:val="0"/>
          <w:bCs/>
          <w:color w:val="auto"/>
          <w:sz w:val="24"/>
          <w:highlight w:val="none"/>
          <w:lang w:eastAsia="zh-CN"/>
        </w:rPr>
        <w:t>。</w:t>
      </w:r>
    </w:p>
    <w:p>
      <w:pPr>
        <w:pStyle w:val="13"/>
        <w:keepNext w:val="0"/>
        <w:keepLines w:val="0"/>
        <w:pageBreakBefore w:val="0"/>
        <w:widowControl w:val="0"/>
        <w:numPr>
          <w:ilvl w:val="0"/>
          <w:numId w:val="3"/>
        </w:numPr>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园林作业要求</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right="0"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1、绿化养护技术措施基本完善，植物配置基本合理。</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2、园林植物</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⑴ 生长正常。新建绿地各种植物</w:t>
      </w:r>
      <w:r>
        <w:rPr>
          <w:rFonts w:hint="eastAsia" w:ascii="宋体" w:hAnsi="宋体" w:cs="宋体"/>
          <w:color w:val="auto"/>
          <w:kern w:val="2"/>
          <w:sz w:val="24"/>
          <w:szCs w:val="24"/>
          <w:highlight w:val="none"/>
          <w:lang w:val="en-US" w:eastAsia="zh-CN" w:bidi="ar-SA"/>
        </w:rPr>
        <w:t>在服务期</w:t>
      </w:r>
      <w:r>
        <w:rPr>
          <w:rFonts w:hint="eastAsia" w:ascii="宋体" w:hAnsi="宋体" w:eastAsia="宋体" w:cs="宋体"/>
          <w:color w:val="auto"/>
          <w:kern w:val="2"/>
          <w:sz w:val="24"/>
          <w:szCs w:val="24"/>
          <w:highlight w:val="none"/>
          <w:lang w:val="en-US" w:eastAsia="zh-CN" w:bidi="ar-SA"/>
        </w:rPr>
        <w:t>内达到正常形态。</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⑵ 园林树木树冠基本正常，无明显枯枝死叉。分枝点合适，枝条粗壮，行道树缺株率不超过5%。</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⑶ 落叶树新梢生长基本正常，叶片大小、颜色正常，在正常条件下，有黄叶、焦叶、卷叶和带虫粪、虫网叶片的株数不得超过</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0%，正常叶片保存率在</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0%以上。</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⑷ 新植树木成活率在90%以上，保存率在90%以上。（凡因受自然灾害、环境污染或非本职能所能控制等原因死亡的植株，</w:t>
      </w:r>
      <w:r>
        <w:rPr>
          <w:rFonts w:hint="eastAsia" w:ascii="宋体" w:hAnsi="宋体" w:cs="宋体"/>
          <w:color w:val="auto"/>
          <w:kern w:val="2"/>
          <w:sz w:val="24"/>
          <w:szCs w:val="24"/>
          <w:highlight w:val="none"/>
          <w:lang w:val="en-US" w:eastAsia="zh-CN" w:bidi="ar-SA"/>
        </w:rPr>
        <w:t>及</w:t>
      </w:r>
      <w:r>
        <w:rPr>
          <w:rFonts w:hint="eastAsia" w:ascii="宋体" w:hAnsi="宋体" w:eastAsia="宋体" w:cs="宋体"/>
          <w:color w:val="auto"/>
          <w:kern w:val="2"/>
          <w:sz w:val="24"/>
          <w:szCs w:val="24"/>
          <w:highlight w:val="none"/>
          <w:lang w:val="en-US" w:eastAsia="zh-CN" w:bidi="ar-SA"/>
        </w:rPr>
        <w:t>时予以剔除）</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⑸ 新植树木视情况做加固性保护，有扶架措施。</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⑹ 每年涂白</w:t>
      </w:r>
      <w:r>
        <w:rPr>
          <w:rFonts w:hint="eastAsia" w:ascii="宋体" w:hAnsi="宋体" w:cs="宋体"/>
          <w:color w:val="auto"/>
          <w:kern w:val="2"/>
          <w:sz w:val="24"/>
          <w:szCs w:val="24"/>
          <w:highlight w:val="none"/>
          <w:lang w:val="en-US" w:eastAsia="zh-CN" w:bidi="ar-SA"/>
        </w:rPr>
        <w:t>至少</w:t>
      </w:r>
      <w:r>
        <w:rPr>
          <w:rFonts w:hint="eastAsia" w:ascii="宋体" w:hAnsi="宋体" w:eastAsia="宋体" w:cs="宋体"/>
          <w:color w:val="auto"/>
          <w:kern w:val="2"/>
          <w:sz w:val="24"/>
          <w:szCs w:val="24"/>
          <w:highlight w:val="none"/>
          <w:lang w:val="en-US" w:eastAsia="zh-CN" w:bidi="ar-SA"/>
        </w:rPr>
        <w:t>1次，涂白标准</w:t>
      </w:r>
      <w:r>
        <w:rPr>
          <w:rFonts w:hint="eastAsia" w:ascii="宋体" w:hAnsi="宋体" w:cs="宋体"/>
          <w:color w:val="auto"/>
          <w:kern w:val="2"/>
          <w:sz w:val="24"/>
          <w:szCs w:val="24"/>
          <w:highlight w:val="none"/>
          <w:lang w:val="en-US" w:eastAsia="zh-CN" w:bidi="ar-SA"/>
        </w:rPr>
        <w:t>至少</w:t>
      </w:r>
      <w:r>
        <w:rPr>
          <w:rFonts w:hint="eastAsia" w:ascii="宋体" w:hAnsi="宋体" w:eastAsia="宋体" w:cs="宋体"/>
          <w:color w:val="auto"/>
          <w:kern w:val="2"/>
          <w:sz w:val="24"/>
          <w:szCs w:val="24"/>
          <w:highlight w:val="none"/>
          <w:lang w:val="en-US" w:eastAsia="zh-CN" w:bidi="ar-SA"/>
        </w:rPr>
        <w:t>为1.</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m。每年施肥</w:t>
      </w:r>
      <w:r>
        <w:rPr>
          <w:rFonts w:hint="eastAsia" w:ascii="宋体" w:hAnsi="宋体" w:cs="宋体"/>
          <w:color w:val="auto"/>
          <w:kern w:val="2"/>
          <w:sz w:val="24"/>
          <w:szCs w:val="24"/>
          <w:highlight w:val="none"/>
          <w:lang w:val="en-US" w:eastAsia="zh-CN" w:bidi="ar-SA"/>
        </w:rPr>
        <w:t>至少</w:t>
      </w:r>
      <w:r>
        <w:rPr>
          <w:rFonts w:hint="eastAsia" w:ascii="宋体" w:hAnsi="宋体" w:eastAsia="宋体" w:cs="宋体"/>
          <w:color w:val="auto"/>
          <w:kern w:val="2"/>
          <w:sz w:val="24"/>
          <w:szCs w:val="24"/>
          <w:highlight w:val="none"/>
          <w:lang w:val="en-US" w:eastAsia="zh-CN" w:bidi="ar-SA"/>
        </w:rPr>
        <w:t>1次</w:t>
      </w:r>
      <w:r>
        <w:rPr>
          <w:rFonts w:hint="eastAsia" w:ascii="宋体" w:hAnsi="宋体" w:cs="宋体"/>
          <w:color w:val="auto"/>
          <w:kern w:val="2"/>
          <w:sz w:val="24"/>
          <w:szCs w:val="24"/>
          <w:highlight w:val="none"/>
          <w:lang w:val="en-US" w:eastAsia="zh-CN" w:bidi="ar-SA"/>
        </w:rPr>
        <w:t>。</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病虫害控制比较及时，绿地蛀干害虫的有虫株率不能超过7%。枝干病害感病株率不能超过15%。蚜虫、红蜘蛛、叶蝉等枝梢害虫发生时，枝梢被害率不能超过20%或叶片上的有虫率不能超过25%。蚧类害虫在20cm枝条发生数量不能超过12头/20cm枝。食叶害虫虫口密度不能超过7头/50cm枝条，叶片受损率每株不得超过20%。叶部病害感病株率不能超过15%。（以上标准适用绿地养护中的病虫害防治的一般情况，不同于由外界导致而非本能控制的集中爆发式病虫害情况）</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春冬两季要对林带内的树木进行整形修剪工作；根据苗木生长的需要，一般对林带内的苗木进行春冬季施肥，施肥量根据甲方要求，春秋季对绿化带草坪进行打孔，林带和绿篱每年进行松土1次，根据植保防治进行病虫害预防打药，确保树木正常生长。</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4、绿地整洁卫生，无杂草，无杂藤攀援植物，无污物杂物、无积水；对绿化生产垃圾(如树枝、树叶、草屑等),绿地内水面杂物，随产随清。</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5、绿地完整，无堆物、堆料、搭棚，树干上无钉拴刻画等现象。距树干2m范围内无堆物、堆料、圈栏或搭棚设摊等影响树木生长和养护管理的现象。</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6、花箱、栏杆</w:t>
      </w:r>
      <w:r>
        <w:rPr>
          <w:rFonts w:hint="eastAsia" w:ascii="宋体" w:hAnsi="宋体" w:cs="宋体"/>
          <w:color w:val="auto"/>
          <w:kern w:val="2"/>
          <w:sz w:val="24"/>
          <w:szCs w:val="24"/>
          <w:highlight w:val="none"/>
          <w:lang w:val="en-US" w:eastAsia="zh-CN" w:bidi="ar-SA"/>
        </w:rPr>
        <w:t>（汉白玉栏杆除外）</w:t>
      </w:r>
      <w:r>
        <w:rPr>
          <w:rFonts w:hint="eastAsia" w:ascii="宋体" w:hAnsi="宋体" w:eastAsia="宋体" w:cs="宋体"/>
          <w:color w:val="auto"/>
          <w:kern w:val="2"/>
          <w:sz w:val="24"/>
          <w:szCs w:val="24"/>
          <w:highlight w:val="none"/>
          <w:lang w:val="en-US" w:eastAsia="zh-CN" w:bidi="ar-SA"/>
        </w:rPr>
        <w:t>、绿化带护栏、支撑架和护网、园路、桌椅、灯、井盖和标识标牌等附属设施完整、安全，做到维护及时，做好维护记录；如遇损坏丢失，应及时更换；发现有损坏和被违规占用的，在2小时内报告住建局园林绿化中心。每周擦洗绿化带护栏一遍，如遇特殊情况随时擦洗护栏。</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7、公园道路及广场铺装定期进行维护</w:t>
      </w:r>
      <w:r>
        <w:rPr>
          <w:rFonts w:hint="eastAsia" w:ascii="宋体" w:hAnsi="宋体" w:cs="宋体"/>
          <w:color w:val="auto"/>
          <w:kern w:val="2"/>
          <w:sz w:val="24"/>
          <w:szCs w:val="24"/>
          <w:highlight w:val="none"/>
          <w:lang w:val="en-US" w:eastAsia="zh-CN" w:bidi="ar-SA"/>
        </w:rPr>
        <w:t>、维修</w:t>
      </w:r>
      <w:r>
        <w:rPr>
          <w:rFonts w:hint="eastAsia" w:ascii="宋体" w:hAnsi="宋体" w:eastAsia="宋体" w:cs="宋体"/>
          <w:color w:val="auto"/>
          <w:kern w:val="2"/>
          <w:sz w:val="24"/>
          <w:szCs w:val="24"/>
          <w:highlight w:val="none"/>
          <w:lang w:val="en-US" w:eastAsia="zh-CN" w:bidi="ar-SA"/>
        </w:rPr>
        <w:t>，确保完整、安全。</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8、公园内水域面清洁，无垃圾漂浮物，做好湖面安全防护工作，设立安全警示牌，专人巡视，禁止人员进入湖面嬉水、游泳、滑冰等，保证人员安全。</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9、主要设施标示清楚齐全，危及人身安全的隐患处有明显标志和防范措施。</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10、建立消杀工作管理制度，根据实际情况开展消杀工作，适时投放消杀药物，有效控制害虫孽生。</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11、制定安全生产制度，严格的安全措施和作业操作流程，对上岗作业的工作人员进行安全生产培训。</w:t>
      </w:r>
    </w:p>
    <w:p>
      <w:pPr>
        <w:pStyle w:val="13"/>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绿化养护人员在岗期间，要着有安全标志作业服装，反光标志要完整，衣服干净整洁，确保人身安全。设置安全员负责安全工作。养护车辆和安全标识锥要横向摆放，距离养护人员50米停放。保证车体干净、车体喷反光标识，工作间整齐，必须遵守交通规则，不得逆行作业，安全配套设施规范。</w:t>
      </w:r>
    </w:p>
    <w:p>
      <w:pPr>
        <w:pStyle w:val="12"/>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现有人员移交</w:t>
      </w:r>
    </w:p>
    <w:p>
      <w:pPr>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接纳现有</w:t>
      </w:r>
      <w:r>
        <w:rPr>
          <w:rFonts w:hint="eastAsia" w:ascii="宋体" w:hAnsi="宋体" w:cs="宋体"/>
          <w:color w:val="auto"/>
          <w:kern w:val="2"/>
          <w:sz w:val="24"/>
          <w:szCs w:val="24"/>
          <w:highlight w:val="none"/>
          <w:lang w:val="en-US" w:eastAsia="zh-CN" w:bidi="ar-SA"/>
        </w:rPr>
        <w:t>工作人员</w:t>
      </w:r>
      <w:r>
        <w:rPr>
          <w:rFonts w:hint="eastAsia" w:ascii="宋体" w:hAnsi="宋体" w:eastAsia="宋体" w:cs="宋体"/>
          <w:color w:val="auto"/>
          <w:kern w:val="2"/>
          <w:sz w:val="24"/>
          <w:szCs w:val="24"/>
          <w:highlight w:val="none"/>
          <w:lang w:val="en-US" w:eastAsia="zh-CN" w:bidi="ar-SA"/>
        </w:rPr>
        <w:t>150人</w:t>
      </w:r>
      <w:r>
        <w:rPr>
          <w:rFonts w:hint="eastAsia" w:ascii="宋体" w:hAnsi="宋体" w:cs="宋体"/>
          <w:color w:val="auto"/>
          <w:kern w:val="2"/>
          <w:sz w:val="24"/>
          <w:szCs w:val="24"/>
          <w:highlight w:val="none"/>
          <w:lang w:val="en-US" w:eastAsia="zh-CN" w:bidi="ar-SA"/>
        </w:rPr>
        <w:t>左右</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其中</w:t>
      </w:r>
      <w:r>
        <w:rPr>
          <w:rFonts w:hint="eastAsia" w:ascii="宋体" w:hAnsi="宋体" w:eastAsia="宋体" w:cs="宋体"/>
          <w:color w:val="auto"/>
          <w:kern w:val="2"/>
          <w:sz w:val="24"/>
          <w:szCs w:val="24"/>
          <w:highlight w:val="none"/>
          <w:lang w:val="en-US" w:eastAsia="zh-CN" w:bidi="ar-SA"/>
        </w:rPr>
        <w:t>残疾人</w:t>
      </w:r>
      <w:r>
        <w:rPr>
          <w:rFonts w:hint="eastAsia" w:ascii="宋体" w:hAnsi="宋体" w:cs="宋体"/>
          <w:color w:val="auto"/>
          <w:kern w:val="2"/>
          <w:sz w:val="24"/>
          <w:szCs w:val="24"/>
          <w:highlight w:val="none"/>
          <w:lang w:val="en-US" w:eastAsia="zh-CN" w:bidi="ar-SA"/>
        </w:rPr>
        <w:t>员7人），工资待遇不低于目前工资待遇。以上人员若3年之内无重大过失，不允许解聘。</w:t>
      </w:r>
    </w:p>
    <w:p>
      <w:pPr>
        <w:pStyle w:val="22"/>
        <w:rPr>
          <w:rFonts w:hint="default"/>
          <w:color w:val="auto"/>
          <w:lang w:val="en-US" w:eastAsia="zh-CN"/>
        </w:rPr>
      </w:pPr>
      <w:r>
        <w:rPr>
          <w:rFonts w:hint="eastAsia" w:ascii="宋体" w:hAnsi="宋体" w:cs="宋体"/>
          <w:color w:val="auto"/>
          <w:kern w:val="2"/>
          <w:sz w:val="24"/>
          <w:szCs w:val="24"/>
          <w:highlight w:val="none"/>
          <w:lang w:val="en-US" w:eastAsia="zh-CN" w:bidi="ar-SA"/>
        </w:rPr>
        <w:t>注：以实际移交人数为准。</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四</w:t>
      </w:r>
      <w:r>
        <w:rPr>
          <w:rFonts w:hint="eastAsia" w:ascii="宋体" w:hAnsi="宋体" w:eastAsia="宋体" w:cs="宋体"/>
          <w:color w:val="auto"/>
          <w:kern w:val="2"/>
          <w:sz w:val="24"/>
          <w:szCs w:val="24"/>
          <w:highlight w:val="none"/>
          <w:lang w:val="en-US" w:eastAsia="zh-CN" w:bidi="ar-SA"/>
        </w:rPr>
        <w:t>）应急处置</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1、如有需要（遇上级部门考察视察等原因），中标单位必须无条件实行突击保洁，确保保洁质量达到</w:t>
      </w:r>
      <w:r>
        <w:rPr>
          <w:rFonts w:hint="eastAsia" w:ascii="宋体" w:hAnsi="宋体" w:cs="宋体"/>
          <w:color w:val="auto"/>
          <w:kern w:val="2"/>
          <w:sz w:val="24"/>
          <w:szCs w:val="24"/>
          <w:highlight w:val="none"/>
          <w:lang w:val="en-US" w:eastAsia="zh-CN" w:bidi="ar-SA"/>
        </w:rPr>
        <w:t>托克逊县住房和城乡建设局</w:t>
      </w:r>
      <w:r>
        <w:rPr>
          <w:rFonts w:hint="eastAsia" w:ascii="宋体" w:hAnsi="宋体" w:eastAsia="宋体" w:cs="宋体"/>
          <w:color w:val="auto"/>
          <w:kern w:val="2"/>
          <w:sz w:val="24"/>
          <w:szCs w:val="24"/>
          <w:highlight w:val="none"/>
          <w:lang w:val="en-US" w:eastAsia="zh-CN" w:bidi="ar-SA"/>
        </w:rPr>
        <w:t>要求。</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五</w:t>
      </w:r>
      <w:r>
        <w:rPr>
          <w:rFonts w:hint="eastAsia" w:ascii="宋体" w:hAnsi="宋体" w:eastAsia="宋体" w:cs="宋体"/>
          <w:color w:val="auto"/>
          <w:kern w:val="2"/>
          <w:sz w:val="24"/>
          <w:szCs w:val="24"/>
          <w:highlight w:val="none"/>
          <w:lang w:val="en-US" w:eastAsia="zh-CN" w:bidi="ar-SA"/>
        </w:rPr>
        <w:t>）报价说明</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1、投标报价包含对管理服务工作所配备的工具、材料、运输车辆，所有人员工资、劳保福利、保险、税金等一切费用。住建局不再支付其他费用。</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2.该服务费用不包含购买服务中绿化</w:t>
      </w:r>
      <w:r>
        <w:rPr>
          <w:rFonts w:hint="eastAsia" w:ascii="宋体" w:hAnsi="宋体" w:cs="宋体"/>
          <w:color w:val="auto"/>
          <w:kern w:val="2"/>
          <w:sz w:val="24"/>
          <w:szCs w:val="24"/>
          <w:highlight w:val="none"/>
          <w:lang w:val="en-US" w:eastAsia="zh-CN" w:bidi="ar-SA"/>
        </w:rPr>
        <w:t>及环卫用水、用电</w:t>
      </w:r>
      <w:r>
        <w:rPr>
          <w:rFonts w:hint="eastAsia" w:ascii="宋体" w:hAnsi="宋体" w:eastAsia="宋体" w:cs="宋体"/>
          <w:color w:val="auto"/>
          <w:kern w:val="2"/>
          <w:sz w:val="24"/>
          <w:szCs w:val="24"/>
          <w:highlight w:val="none"/>
          <w:lang w:val="en-US" w:eastAsia="zh-CN" w:bidi="ar-SA"/>
        </w:rPr>
        <w:t>的费用。</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color w:val="auto"/>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）项目等级分类</w:t>
      </w:r>
    </w:p>
    <w:tbl>
      <w:tblPr>
        <w:tblStyle w:val="23"/>
        <w:tblpPr w:leftFromText="180" w:rightFromText="180" w:vertAnchor="text" w:horzAnchor="page" w:tblpX="1796" w:tblpY="1163"/>
        <w:tblOverlap w:val="never"/>
        <w:tblW w:w="8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3273"/>
        <w:gridCol w:w="2310"/>
        <w:gridCol w:w="2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14"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绿化养护等级表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道路路名称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绿化面积（㎡）</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养护等级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友好中路（金汇十字-一中）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振兴路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14099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和谐路（滨河路）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9671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解放路（北大桥-巴扎市场）</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6571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金泉路（迎宾大道起点-飞马）</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14265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始昌路（市场监督管理局-北大桥）</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3654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吐托快道S202</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33142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胡杨公园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354600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白杨河公园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593300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玫瑰公园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164300 </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体育公园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27400 </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团结公园（托克逊镇政府门口）</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8400 </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禁毒公园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5900 </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法治公园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10900 </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榆园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24700 </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府西公园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11300 </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友好西路（杏园-金汇十字）</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37313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友好东路（源泉-夏乡段）</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4180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银泉路（飞马-第一辅道）</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12730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西域路（人民路-第一辅道）</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34587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团结路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7552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人民路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12264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九龙路（团结路-第一辅道）</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144972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华安路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3575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九龙山公园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合欢公园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54700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友好路北侧绿地（我家宾馆前）</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伊拉湖立交桥两侧林地</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9860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人民路街头绿地（九龙路十字至财政局）</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6520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自来水公司旁游园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9280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源泉花园一期南侧小绿地 </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美食天下东侧、南侧绿地</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8658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林水路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12180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外环路（纬四路-纬一路）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40808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迎宾大道</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128706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小康路（煤矿路）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17857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纬四路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22602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滨河小区东侧道路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13869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胜利路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7782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滨河社区前游园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7493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酒庄对面国营牧场西侧绿地</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7980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滨河保险公司</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二小西侧绿地</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23237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滨河小区二期外围绿地</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23884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三角花园街头绿地</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3451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新华书店前游园</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8799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S202北侧绿地</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31525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S202三角绿地</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25500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棉纺厂</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12401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8"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327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龙泉路(团结西路)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33880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8"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327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经四路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0" w:type="dxa"/>
            <w:tcBorders>
              <w:top w:val="single" w:color="000000" w:sz="4" w:space="0"/>
              <w:left w:val="single" w:color="000000" w:sz="8"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327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文化路</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12600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6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2153697 </w:t>
            </w:r>
          </w:p>
        </w:tc>
        <w:tc>
          <w:tcPr>
            <w:tcW w:w="234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bl>
    <w:p>
      <w:pPr>
        <w:pStyle w:val="12"/>
        <w:rPr>
          <w:rFonts w:hint="eastAsia"/>
          <w:color w:val="auto"/>
          <w:highlight w:val="none"/>
          <w:lang w:val="en-US" w:eastAsia="zh-CN"/>
        </w:rPr>
      </w:pPr>
    </w:p>
    <w:tbl>
      <w:tblPr>
        <w:tblStyle w:val="23"/>
        <w:tblpPr w:leftFromText="180" w:rightFromText="180" w:vertAnchor="text" w:horzAnchor="page" w:tblpX="1840" w:tblpY="699"/>
        <w:tblOverlap w:val="never"/>
        <w:tblW w:w="8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2494"/>
        <w:gridCol w:w="2970"/>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52" w:type="dxa"/>
            <w:gridSpan w:val="4"/>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清扫保洁等级统计表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道路路名称</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环卫面积（㎡）</w:t>
            </w:r>
          </w:p>
        </w:tc>
        <w:tc>
          <w:tcPr>
            <w:tcW w:w="239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清扫等级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249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道路宽度*道路长度</w:t>
            </w:r>
          </w:p>
        </w:tc>
        <w:tc>
          <w:tcPr>
            <w:tcW w:w="23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友好中路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63300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金泉路B段</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19716</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35356</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和谐路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38928</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吐托快道S202</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33240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始昌路B段</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38398</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友好西路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58260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林水路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32928</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九龙路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111740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外环路B段</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34765</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杏花路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17622</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天山路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13137</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龙泉路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17941</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龙泉西路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2310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经三路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10108</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经二路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10800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纬一路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7824</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胡杨名筑西侧道路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3510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银泉路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62920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西域路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46176</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团结路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25485</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41431</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环山路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11803</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团结巷</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幸福路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13870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华安路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17336</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金泉路A段</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44774</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外环路A段</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37791</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迎宾大道</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192143</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始昌路A段</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20784</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红山路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35714</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文化路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48716</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滨河小区东侧道路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15440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胜利路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9728</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生态环境局北侧</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永安路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3960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人民医院北侧</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4375</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人民医院西侧</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10530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人民医院南侧</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依泉路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19200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山泉路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10784</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行政学院至碧水云天道路</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23840</w:t>
            </w:r>
          </w:p>
        </w:tc>
        <w:tc>
          <w:tcPr>
            <w:tcW w:w="239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2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1255833</w:t>
            </w:r>
          </w:p>
        </w:tc>
        <w:tc>
          <w:tcPr>
            <w:tcW w:w="23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18"/>
                <w:szCs w:val="18"/>
                <w:highlight w:val="none"/>
                <w:u w:val="none"/>
              </w:rPr>
            </w:pPr>
          </w:p>
        </w:tc>
      </w:tr>
    </w:tbl>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right="0"/>
        <w:textAlignment w:val="baseline"/>
        <w:outlineLvl w:val="1"/>
        <w:rPr>
          <w:rFonts w:hint="eastAsia" w:ascii="宋体" w:hAnsi="宋体" w:eastAsia="宋体" w:cs="宋体"/>
          <w:b/>
          <w:bCs/>
          <w:color w:val="auto"/>
          <w:kern w:val="2"/>
          <w:sz w:val="24"/>
          <w:szCs w:val="24"/>
          <w:highlight w:val="none"/>
          <w:lang w:val="en-US" w:eastAsia="zh-CN" w:bidi="ar-SA"/>
        </w:rPr>
      </w:pP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right="0"/>
        <w:textAlignment w:val="baseline"/>
        <w:outlineLvl w:val="1"/>
        <w:rPr>
          <w:rFonts w:hint="eastAsia" w:ascii="宋体" w:hAnsi="宋体" w:eastAsia="宋体" w:cs="宋体"/>
          <w:b/>
          <w:bCs/>
          <w:color w:val="auto"/>
          <w:kern w:val="2"/>
          <w:sz w:val="24"/>
          <w:szCs w:val="24"/>
          <w:highlight w:val="none"/>
          <w:lang w:val="en-US" w:eastAsia="zh-CN" w:bidi="ar-SA"/>
        </w:rPr>
      </w:pP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right="0" w:firstLine="482" w:firstLineChars="200"/>
        <w:textAlignment w:val="baseline"/>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）项目管理标准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(1)园林绿化养护等级及标准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等级划分和标准参考新疆维吾尔自治区《城市绿地养护管理标准》XJJ046-2012，结合本项目所在地实际情况，制定如下：</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1.绿地养护管理等级划分及适用范围：</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依据绿地内植物配置形式，结合绿地所处地理位置和绿地功能确定绿地等级。</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一级绿地养护管理：适用于植物配置为乔灌草(花)结合的复合式绿地或园区主要景观道路及节点绿地。</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二级绿地养护管理：适用于植物配置为乔灌(绿篱、色块)结合的绿地或园区次要景观道路及节点绿地。</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三级绿地养护管理：适用植物配置为单一乔木绿地或园区一般道路绿地。</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项目移交管理前绿化内缺失树木补植，由甲方负责提供苗木，养护单位负责种植。交由养护单位管理后，由于养护单位管理不善造成的树木死亡，由养护单位无自行承担树木补植。</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2.绿地养护管理标准：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 一级绿地养护管理标准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 树木树冠完整美观，分枝点合适，枝条粗壮，无枯枝死杈及病虫枝；主侧枝分布匀称、数量适宜、修剪科学合理；内膛疏空,通风透光；落叶树新梢生长健壮，无黄叶、焦叶、卷叶；树干挺直，歪斜树木及时扶正，树木倾斜度小于10度，树木支架措施得当。</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2.1.2 绿篱、色块、模纹等修剪及时，枝叶茂密整齐，按要求高度修剪，修剪要符合几何图案要求，平面、立面平整，边角整齐，曲线流畅，修剪下枝叶及时清理。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2.1.3 花坛、花带、花境轮廓清晰，整齐美观，色彩艳丽，花期一致，花大叶肥，植株高矮一致；定植前施基肥，养护月里定期中耕除草松土。</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2.1.4 草坪草生长旺盛，生机勃勃，高度一致，色泽正常，无枯黄；草坪定期修剪，草坪高度、边缘整齐，无漏剪，高度控制在10cm~15cm，秋季最后一次修剪高度控制在6cm。</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2.1.5 灌溉根据不同植物生物学特性(树木、花、草)大小、季节、土壤情况确定。须做到及时、适量、浇足浇遍、不遗漏地块和植株，植物生长无枯黄、萎蔫、非正常落叶等旱相，无跑冒滴漏、过量灌溉浪费水现象。</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2.1.6 施肥符合施肥技术标准要求，不因过量或不均匀引起烧伤肥害现象；化学肥料和有机肥料交替使用，施肥后及时灌溉。</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2.1.7 病虫害及时控制，绿地内枝稍被害率不超过5%。病害感病株率不超过5%；无药害。</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2.1.8 及时清除绿地内杂草，按技术要求开展除草工作，不损伤植物根系。</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2.1.9 树木涂白的高度为1.2m~1.4m，花灌木1m。刷白均匀细致，同一路段、区域的涂干高度一致，树皮的裂隙应全部粉刷，粉刷材料不滴溅到路面或地被植物上。</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2.1.10 绿化灌溉设施完好，运行正常；滴管摆放整齐美观，喷头布置科学合理，喷洒全面均匀；滴头无堵塞，出现故障及时排除。</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2.1.11 绿地内园林建筑、栏杆</w:t>
      </w:r>
      <w:r>
        <w:rPr>
          <w:rFonts w:hint="eastAsia" w:ascii="宋体" w:hAnsi="宋体" w:cs="宋体"/>
          <w:color w:val="auto"/>
          <w:kern w:val="2"/>
          <w:sz w:val="24"/>
          <w:szCs w:val="24"/>
          <w:highlight w:val="none"/>
          <w:lang w:val="en-US" w:eastAsia="zh-CN" w:bidi="ar-SA"/>
        </w:rPr>
        <w:t>（汉白玉栏杆除外）</w:t>
      </w:r>
      <w:r>
        <w:rPr>
          <w:rFonts w:hint="eastAsia" w:ascii="宋体" w:hAnsi="宋体" w:eastAsia="宋体" w:cs="宋体"/>
          <w:color w:val="auto"/>
          <w:kern w:val="2"/>
          <w:sz w:val="24"/>
          <w:szCs w:val="24"/>
          <w:highlight w:val="none"/>
          <w:lang w:val="en-US" w:eastAsia="zh-CN" w:bidi="ar-SA"/>
        </w:rPr>
        <w:t>、园路、桌椅、路灯、指示牌、果皮箱等园林设施完好、整洁。</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2.1.12 绿地整洁，无各类杂物、建筑垃圾(砖头、石块等)，无绿化生产垃圾(如树枝、树叶、草屑、杂草、废土等)，无焚烧垃圾等现象，以上垃圾做到随产随清，加大巡视保洁。</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2.1.13 绿化带红线不被侵占，无乱摆、乱放、乱停、人为践踏等现象；灌溉设施完备，无盗窃丢失及盗用绿化用水等现象；花草树木不受破坏，树干上无拴挂和刻划；无树木倾倒、树根裸露现象。</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2.1.14 养护区域内苗木因大风、雨水、冰雹、雪灾等灾害性天气及突发事件造成树枝弯折或倒伏或根部裸露的，应24小时内处理完毕，存在安全隐患的，要即时进行安全防护。</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 二级绿地养护管理标准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2.2.1 树木树冠完整美观，分枝点合适,枝条粗壮，无枯枝死杈及病虫枝；主侧枝分布匀称、数量适宜、修剪科学合理；内膛疏空，通风透光；落叶树新梢生长健壮，无黄叶、焦叶、卷叶；树干挺直，歪斜树木及时扶正，树木倾斜度小于10度，树木支架措施得当。</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2.2.2 绿篱修剪及时，枝叶茂密整齐，按要求高度修剪，平面、立面三面平整，边角整齐，修剪下枝叶及时清理，无死株、断档，苗木长势良好；无明显落叶积压，无垃圾污物，新生萌蘖枝条高于原面长度，紫穗槐应不大于30cm，其他不大于15cm。</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2.2.3 灌溉根据不同植物生物学特性(树木、花、草)大小、季节、土壤情况确定。须做到及时、适量、浇足浇遍、不遗漏地块和植株，植物生长无枯黄、萎蔫、非正常落叶等旱相，无跑冒滴漏、过量灌溉浪费水现象。</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2.2.4 施肥适量、均匀，符合技术标准要求，不因过量或不均匀引起肥害；化学肥料和有机肥料交替使用，施肥后及时灌溉。</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2.2.5 病虫害及时控制，绿地内枝稍被害率不超过8%。病害感病株率不超过8%；无药害。</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2.2.6 及时清除绿地内杂草，无大株杂草，按技术要求开展除草工作，不损伤植物根系。</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2.2.7 树木涂白的刷白高度为1.2m-1.4m，花灌木1m。刷白均匀细致，同一路段、区域的涂干高度一致，树皮的裂隙应全部粉刷，粉刷材料不滴溅到路面或地被植物上。</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2.2.8 绿化灌溉设施完好，运行正常；整体无滴漏现象。</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2.2.9 绿地整洁，无各类杂物、建筑垃圾(砖头、石块等)，无绿化生产垃圾(如树枝、树叶、草屑、杂草、废土等)，无焚烧垃圾现象等，以上垃圾做到日产日清，加大巡视保洁。</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2.2.10 绿化带红线不被侵占，无乱摆、乱放、乱停、人为践踏等现象；灌溉设施完备，无盗窃丢失及盗用绿化用水等现象；花草树木不受破坏，树干上无钉钉、拴挂和刻划；无树木倾倒、树根裸露现象。</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2.2.11 养护区域内苗木因大风、雨水、冰雹、雪灾等灾害性天气及突发事件造成树枝弯折或倒伏或根部裸露的，应24小时内处理完毕，存在安全隐患的，要即时进行安全防护。</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2.3 三级绿地养护管理标准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2.3.1 树木树冠完整美观，分枝点合适，枝条粗壮，无枯枝死杈及病虫枝；主侧枝分布匀称、数量适宜、修剪科学合理；内膛疏空，通风透光；落叶树新梢生长健壮，无黄叶、焦叶、卷叶。</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2.3.2 灌溉根据不同植物生物学特性(树木、花、草)大小、季节、土壤情况确定，须做到及时、适量、浇足浇遍、不遗漏地块和植株，植物生长无枯黄、萎蔫、非正常落叶等旱相，无跑冒滴漏、过量灌溉浪费水现象。</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2.3.3 施肥适量、均匀，符合技术标准要求，不因过量或不均匀引起肥害；化学肥料和有机肥料交替使用，施肥后及时灌溉。</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2.3.4 病虫害及时控制，无药害。及时抹芽，及时清除绿地内杂草，按技术要求开展除草工作，不损伤植物根系。</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2.3.5 树木涂白的刷白高度为1.2m。刷白均匀细致，高度一致，树皮的裂隙应全部粉刷，粉刷材料不滴溅到路面。</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2.3.6 绿化灌溉设施完好，运行正常；绿地整洁，无各类杂物、建筑垃圾(砖头、石块等)，无绿化生产垃圾(如树枝、树叶、草屑、杂草、废土等)等。</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2.3.7 绿地完整，绿地红线不被侵占，无乱摆、乱放、乱停、人为践踏等现象；灌溉设施完备，无盗窃丢失及盗用绿化用水等现象；花草树木不受破坏，树干上无钉钉、拴挂和刻划；无树木倾倒、树根裸露现象。</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2.3.8 养护区域内苗木因大风、雨水、冰雹、雪灾等灾害性天气及突发事件造成树枝弯折或倒伏或根部裸露的，存在安全隐患的，要即时进行安全防护。</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 环卫清扫保洁标准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 清扫保洁等级划分及适用范围</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 道路保洁范围</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 道路保洁范围应为机动车行道、非机动车行道、人行道及其他设施等。</w:t>
      </w:r>
    </w:p>
    <w:p>
      <w:pPr>
        <w:pStyle w:val="13"/>
        <w:pageBreakBefore w:val="0"/>
        <w:numPr>
          <w:ilvl w:val="0"/>
          <w:numId w:val="5"/>
        </w:numPr>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道路清扫、保洁的通用质量要求：</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 各级道路保洁质量要求表</w:t>
      </w:r>
    </w:p>
    <w:tbl>
      <w:tblPr>
        <w:tblStyle w:val="54"/>
        <w:tblW w:w="8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559"/>
        <w:gridCol w:w="654"/>
        <w:gridCol w:w="1308"/>
        <w:gridCol w:w="900"/>
        <w:gridCol w:w="806"/>
        <w:gridCol w:w="882"/>
        <w:gridCol w:w="881"/>
        <w:gridCol w:w="900"/>
        <w:gridCol w:w="9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533" w:type="dxa"/>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p>
        </w:tc>
        <w:tc>
          <w:tcPr>
            <w:tcW w:w="4227" w:type="dxa"/>
            <w:gridSpan w:val="5"/>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道路清扫</w:t>
            </w:r>
          </w:p>
        </w:tc>
        <w:tc>
          <w:tcPr>
            <w:tcW w:w="2663" w:type="dxa"/>
            <w:gridSpan w:val="3"/>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道路保洁</w:t>
            </w:r>
          </w:p>
        </w:tc>
        <w:tc>
          <w:tcPr>
            <w:tcW w:w="900" w:type="dxa"/>
            <w:vMerge w:val="restart"/>
            <w:tcBorders>
              <w:bottom w:val="nil"/>
            </w:tcBorders>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整</w:t>
            </w:r>
            <w:r>
              <w:rPr>
                <w:rFonts w:hint="eastAsia" w:ascii="宋体" w:hAnsi="宋体" w:eastAsia="宋体" w:cs="宋体"/>
                <w:color w:val="auto"/>
                <w:spacing w:val="9"/>
                <w:sz w:val="22"/>
                <w:szCs w:val="22"/>
                <w:highlight w:val="none"/>
              </w:rPr>
              <w:t>改</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完</w:t>
            </w:r>
            <w:r>
              <w:rPr>
                <w:rFonts w:hint="eastAsia" w:ascii="宋体" w:hAnsi="宋体" w:eastAsia="宋体" w:cs="宋体"/>
                <w:color w:val="auto"/>
                <w:spacing w:val="7"/>
                <w:sz w:val="22"/>
                <w:szCs w:val="22"/>
                <w:highlight w:val="none"/>
              </w:rPr>
              <w:t>成</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时</w:t>
            </w:r>
            <w:r>
              <w:rPr>
                <w:rFonts w:hint="eastAsia" w:ascii="宋体" w:hAnsi="宋体" w:eastAsia="宋体" w:cs="宋体"/>
                <w:color w:val="auto"/>
                <w:spacing w:val="3"/>
                <w:sz w:val="22"/>
                <w:szCs w:val="22"/>
                <w:highlight w:val="none"/>
              </w:rPr>
              <w:t>间</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min</w:t>
            </w:r>
            <w:r>
              <w:rPr>
                <w:rFonts w:hint="eastAsia" w:ascii="宋体" w:hAnsi="宋体" w:eastAsia="宋体" w:cs="宋体"/>
                <w:color w:val="auto"/>
                <w:spacing w:val="4"/>
                <w:sz w:val="22"/>
                <w:szCs w:val="22"/>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33" w:type="dxa"/>
            <w:noWrap w:val="0"/>
            <w:textDirection w:val="tbRlV"/>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道路</w:t>
            </w:r>
            <w:r>
              <w:rPr>
                <w:rFonts w:hint="eastAsia" w:ascii="宋体" w:hAnsi="宋体" w:eastAsia="宋体" w:cs="宋体"/>
                <w:color w:val="auto"/>
                <w:spacing w:val="1"/>
                <w:sz w:val="22"/>
                <w:szCs w:val="22"/>
                <w:highlight w:val="none"/>
              </w:rPr>
              <w:t>等级</w:t>
            </w:r>
          </w:p>
        </w:tc>
        <w:tc>
          <w:tcPr>
            <w:tcW w:w="559" w:type="dxa"/>
            <w:noWrap w:val="0"/>
            <w:textDirection w:val="tbRlV"/>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清扫次数</w:t>
            </w:r>
          </w:p>
        </w:tc>
        <w:tc>
          <w:tcPr>
            <w:tcW w:w="654" w:type="dxa"/>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路面</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冲</w:t>
            </w:r>
            <w:r>
              <w:rPr>
                <w:rFonts w:hint="eastAsia" w:ascii="宋体" w:hAnsi="宋体" w:eastAsia="宋体" w:cs="宋体"/>
                <w:color w:val="auto"/>
                <w:spacing w:val="6"/>
                <w:sz w:val="22"/>
                <w:szCs w:val="22"/>
                <w:highlight w:val="none"/>
              </w:rPr>
              <w:t>洗</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次</w:t>
            </w:r>
            <w:r>
              <w:rPr>
                <w:rFonts w:hint="eastAsia" w:ascii="宋体" w:hAnsi="宋体" w:eastAsia="宋体" w:cs="宋体"/>
                <w:color w:val="auto"/>
                <w:spacing w:val="8"/>
                <w:sz w:val="22"/>
                <w:szCs w:val="22"/>
                <w:highlight w:val="none"/>
              </w:rPr>
              <w:t>数</w:t>
            </w:r>
          </w:p>
        </w:tc>
        <w:tc>
          <w:tcPr>
            <w:tcW w:w="1308" w:type="dxa"/>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清扫保洁</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时</w:t>
            </w:r>
            <w:r>
              <w:rPr>
                <w:rFonts w:hint="eastAsia" w:ascii="宋体" w:hAnsi="宋体" w:eastAsia="宋体" w:cs="宋体"/>
                <w:color w:val="auto"/>
                <w:spacing w:val="3"/>
                <w:sz w:val="22"/>
                <w:szCs w:val="22"/>
                <w:highlight w:val="none"/>
              </w:rPr>
              <w:t>间</w:t>
            </w:r>
          </w:p>
        </w:tc>
        <w:tc>
          <w:tcPr>
            <w:tcW w:w="900" w:type="dxa"/>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洒水</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抑尘</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次</w:t>
            </w:r>
            <w:r>
              <w:rPr>
                <w:rFonts w:hint="eastAsia" w:ascii="宋体" w:hAnsi="宋体" w:eastAsia="宋体" w:cs="宋体"/>
                <w:color w:val="auto"/>
                <w:spacing w:val="8"/>
                <w:sz w:val="22"/>
                <w:szCs w:val="22"/>
                <w:highlight w:val="none"/>
              </w:rPr>
              <w:t>数</w:t>
            </w:r>
          </w:p>
        </w:tc>
        <w:tc>
          <w:tcPr>
            <w:tcW w:w="806" w:type="dxa"/>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废物</w:t>
            </w:r>
            <w:r>
              <w:rPr>
                <w:rFonts w:hint="eastAsia" w:ascii="宋体" w:hAnsi="宋体" w:eastAsia="宋体" w:cs="宋体"/>
                <w:color w:val="auto"/>
                <w:spacing w:val="8"/>
                <w:sz w:val="22"/>
                <w:szCs w:val="22"/>
                <w:highlight w:val="none"/>
              </w:rPr>
              <w:t>箱清洁清掏</w:t>
            </w:r>
          </w:p>
        </w:tc>
        <w:tc>
          <w:tcPr>
            <w:tcW w:w="882" w:type="dxa"/>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果</w:t>
            </w:r>
            <w:r>
              <w:rPr>
                <w:rFonts w:hint="eastAsia" w:ascii="宋体" w:hAnsi="宋体" w:eastAsia="宋体" w:cs="宋体"/>
                <w:color w:val="auto"/>
                <w:spacing w:val="9"/>
                <w:sz w:val="22"/>
                <w:szCs w:val="22"/>
                <w:highlight w:val="none"/>
              </w:rPr>
              <w:t>皮、纸</w:t>
            </w:r>
            <w:r>
              <w:rPr>
                <w:rFonts w:hint="eastAsia" w:ascii="宋体" w:hAnsi="宋体" w:eastAsia="宋体" w:cs="宋体"/>
                <w:color w:val="auto"/>
                <w:spacing w:val="-2"/>
                <w:sz w:val="22"/>
                <w:szCs w:val="22"/>
                <w:highlight w:val="none"/>
              </w:rPr>
              <w:t>屑</w:t>
            </w:r>
            <w:r>
              <w:rPr>
                <w:rFonts w:hint="eastAsia" w:ascii="宋体" w:hAnsi="宋体" w:eastAsia="宋体" w:cs="宋体"/>
                <w:color w:val="auto"/>
                <w:spacing w:val="-1"/>
                <w:sz w:val="22"/>
                <w:szCs w:val="22"/>
                <w:highlight w:val="none"/>
              </w:rPr>
              <w:t>、烟蒂、</w:t>
            </w:r>
            <w:r>
              <w:rPr>
                <w:rFonts w:hint="eastAsia" w:ascii="宋体" w:hAnsi="宋体" w:eastAsia="宋体" w:cs="宋体"/>
                <w:color w:val="auto"/>
                <w:spacing w:val="7"/>
                <w:sz w:val="22"/>
                <w:szCs w:val="22"/>
                <w:highlight w:val="none"/>
              </w:rPr>
              <w:t>痰</w:t>
            </w:r>
            <w:r>
              <w:rPr>
                <w:rFonts w:hint="eastAsia" w:ascii="宋体" w:hAnsi="宋体" w:eastAsia="宋体" w:cs="宋体"/>
                <w:color w:val="auto"/>
                <w:spacing w:val="6"/>
                <w:sz w:val="22"/>
                <w:szCs w:val="22"/>
                <w:highlight w:val="none"/>
              </w:rPr>
              <w:t>迹/1000</w:t>
            </w:r>
            <w:r>
              <w:rPr>
                <w:rFonts w:hint="eastAsia" w:ascii="宋体" w:hAnsi="宋体" w:eastAsia="宋体" w:cs="宋体"/>
                <w:color w:val="auto"/>
                <w:sz w:val="22"/>
                <w:szCs w:val="22"/>
                <w:highlight w:val="none"/>
              </w:rPr>
              <w:t>㎡</w:t>
            </w:r>
          </w:p>
        </w:tc>
        <w:tc>
          <w:tcPr>
            <w:tcW w:w="881" w:type="dxa"/>
            <w:noWrap w:val="0"/>
            <w:vAlign w:val="center"/>
          </w:tcPr>
          <w:p>
            <w:pPr>
              <w:keepNext w:val="0"/>
              <w:keepLines w:val="0"/>
              <w:pageBreakBefore w:val="0"/>
              <w:widowControl/>
              <w:shd w:val="clear" w:color="auto" w:fill="FFFFFF"/>
              <w:tabs>
                <w:tab w:val="left" w:pos="263"/>
              </w:tabs>
              <w:kinsoku w:val="0"/>
              <w:wordWrap/>
              <w:overflowPunct/>
              <w:topLinePunct w:val="0"/>
              <w:autoSpaceDE w:val="0"/>
              <w:autoSpaceDN w:val="0"/>
              <w:bidi w:val="0"/>
              <w:adjustRightInd w:val="0"/>
              <w:snapToGrid w:val="0"/>
              <w:spacing w:line="460" w:lineRule="exact"/>
              <w:ind w:left="0" w:leftChars="0" w:right="0" w:firstLine="5"/>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污水</w:t>
            </w:r>
            <w:r>
              <w:rPr>
                <w:rFonts w:hint="eastAsia" w:ascii="宋体" w:hAnsi="宋体" w:eastAsia="宋体" w:cs="宋体"/>
                <w:color w:val="auto"/>
                <w:sz w:val="22"/>
                <w:szCs w:val="22"/>
                <w:highlight w:val="none"/>
              </w:rPr>
              <w:tab/>
            </w:r>
            <w:r>
              <w:rPr>
                <w:rFonts w:hint="eastAsia" w:ascii="宋体" w:hAnsi="宋体" w:eastAsia="宋体" w:cs="宋体"/>
                <w:color w:val="auto"/>
                <w:spacing w:val="-4"/>
                <w:sz w:val="22"/>
                <w:szCs w:val="22"/>
                <w:highlight w:val="none"/>
              </w:rPr>
              <w:t>(</w:t>
            </w:r>
            <w:r>
              <w:rPr>
                <w:rFonts w:hint="eastAsia" w:ascii="宋体" w:hAnsi="宋体" w:eastAsia="宋体" w:cs="宋体"/>
                <w:color w:val="auto"/>
                <w:spacing w:val="-3"/>
                <w:sz w:val="22"/>
                <w:szCs w:val="22"/>
                <w:highlight w:val="none"/>
              </w:rPr>
              <w:t>㎡</w:t>
            </w:r>
            <w:r>
              <w:rPr>
                <w:rFonts w:hint="eastAsia" w:ascii="宋体" w:hAnsi="宋体" w:eastAsia="宋体" w:cs="宋体"/>
                <w:color w:val="auto"/>
                <w:spacing w:val="6"/>
                <w:sz w:val="22"/>
                <w:szCs w:val="22"/>
                <w:highlight w:val="none"/>
              </w:rPr>
              <w:t>/100</w:t>
            </w:r>
            <w:r>
              <w:rPr>
                <w:rFonts w:hint="eastAsia" w:ascii="宋体" w:hAnsi="宋体" w:eastAsia="宋体" w:cs="宋体"/>
                <w:color w:val="auto"/>
                <w:spacing w:val="5"/>
                <w:sz w:val="22"/>
                <w:szCs w:val="22"/>
                <w:highlight w:val="none"/>
              </w:rPr>
              <w:t>0</w:t>
            </w:r>
            <w:r>
              <w:rPr>
                <w:rFonts w:hint="eastAsia" w:ascii="宋体" w:hAnsi="宋体" w:eastAsia="宋体" w:cs="宋体"/>
                <w:color w:val="auto"/>
                <w:spacing w:val="10"/>
                <w:sz w:val="22"/>
                <w:szCs w:val="22"/>
                <w:highlight w:val="none"/>
              </w:rPr>
              <w:t>㎡)</w:t>
            </w:r>
          </w:p>
        </w:tc>
        <w:tc>
          <w:tcPr>
            <w:tcW w:w="900" w:type="dxa"/>
            <w:noWrap w:val="0"/>
            <w:vAlign w:val="center"/>
          </w:tcPr>
          <w:p>
            <w:pPr>
              <w:keepNext w:val="0"/>
              <w:keepLines w:val="0"/>
              <w:pageBreakBefore w:val="0"/>
              <w:widowControl/>
              <w:shd w:val="clear" w:color="auto" w:fill="FFFFFF"/>
              <w:tabs>
                <w:tab w:val="left" w:pos="263"/>
              </w:tabs>
              <w:kinsoku w:val="0"/>
              <w:wordWrap/>
              <w:overflowPunct/>
              <w:topLinePunct w:val="0"/>
              <w:autoSpaceDE w:val="0"/>
              <w:autoSpaceDN w:val="0"/>
              <w:bidi w:val="0"/>
              <w:adjustRightInd w:val="0"/>
              <w:snapToGrid w:val="0"/>
              <w:spacing w:line="460" w:lineRule="exact"/>
              <w:ind w:left="0" w:leftChars="0" w:right="0" w:firstLine="7"/>
              <w:jc w:val="center"/>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其他</w:t>
            </w:r>
            <w:r>
              <w:rPr>
                <w:rFonts w:hint="eastAsia" w:ascii="宋体" w:hAnsi="宋体" w:eastAsia="宋体" w:cs="宋体"/>
                <w:color w:val="auto"/>
                <w:sz w:val="22"/>
                <w:szCs w:val="22"/>
                <w:highlight w:val="none"/>
              </w:rPr>
              <w:tab/>
            </w:r>
            <w:r>
              <w:rPr>
                <w:rFonts w:hint="eastAsia" w:ascii="宋体" w:hAnsi="宋体" w:eastAsia="宋体" w:cs="宋体"/>
                <w:color w:val="auto"/>
                <w:spacing w:val="9"/>
                <w:sz w:val="22"/>
                <w:szCs w:val="22"/>
                <w:highlight w:val="none"/>
              </w:rPr>
              <w:t>(</w:t>
            </w:r>
            <w:r>
              <w:rPr>
                <w:rFonts w:hint="eastAsia" w:ascii="宋体" w:hAnsi="宋体" w:eastAsia="宋体" w:cs="宋体"/>
                <w:color w:val="auto"/>
                <w:spacing w:val="8"/>
                <w:sz w:val="22"/>
                <w:szCs w:val="22"/>
                <w:highlight w:val="none"/>
              </w:rPr>
              <w:t>处</w:t>
            </w: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6"/>
                <w:sz w:val="22"/>
                <w:szCs w:val="22"/>
                <w:highlight w:val="none"/>
              </w:rPr>
              <w:t>100</w:t>
            </w:r>
            <w:r>
              <w:rPr>
                <w:rFonts w:hint="eastAsia" w:ascii="宋体" w:hAnsi="宋体" w:eastAsia="宋体" w:cs="宋体"/>
                <w:color w:val="auto"/>
                <w:spacing w:val="4"/>
                <w:sz w:val="22"/>
                <w:szCs w:val="22"/>
                <w:highlight w:val="none"/>
              </w:rPr>
              <w:t>0㎡)</w:t>
            </w:r>
          </w:p>
        </w:tc>
        <w:tc>
          <w:tcPr>
            <w:tcW w:w="900" w:type="dxa"/>
            <w:vMerge w:val="continue"/>
            <w:tcBorders>
              <w:top w:val="nil"/>
            </w:tcBorders>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533" w:type="dxa"/>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right="0"/>
              <w:jc w:val="center"/>
              <w:textAlignment w:val="baseline"/>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60" w:lineRule="exact"/>
              <w:ind w:left="0" w:leftChars="0" w:right="0"/>
              <w:jc w:val="center"/>
              <w:textAlignment w:val="baseline"/>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pacing w:val="6"/>
                <w:sz w:val="22"/>
                <w:szCs w:val="22"/>
                <w:highlight w:val="none"/>
              </w:rPr>
              <w:t>级</w:t>
            </w:r>
          </w:p>
        </w:tc>
        <w:tc>
          <w:tcPr>
            <w:tcW w:w="559" w:type="dxa"/>
            <w:noWrap w:val="0"/>
            <w:vAlign w:val="center"/>
          </w:tcPr>
          <w:p>
            <w:pPr>
              <w:keepNext w:val="0"/>
              <w:keepLines w:val="0"/>
              <w:pageBreakBefore w:val="0"/>
              <w:widowControl/>
              <w:suppressLineNumbers w:val="0"/>
              <w:shd w:val="clear" w:color="auto" w:fill="FFFFFF"/>
              <w:wordWrap/>
              <w:overflowPunct/>
              <w:bidi w:val="0"/>
              <w:adjustRightInd w:val="0"/>
              <w:snapToGrid w:val="0"/>
              <w:spacing w:line="460" w:lineRule="exact"/>
              <w:ind w:left="0" w:leftChars="0" w:right="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每天</w:t>
            </w:r>
          </w:p>
          <w:p>
            <w:pPr>
              <w:keepNext w:val="0"/>
              <w:keepLines w:val="0"/>
              <w:pageBreakBefore w:val="0"/>
              <w:widowControl/>
              <w:suppressLineNumbers w:val="0"/>
              <w:shd w:val="clear" w:color="auto" w:fill="FFFFFF"/>
              <w:wordWrap/>
              <w:overflowPunct/>
              <w:bidi w:val="0"/>
              <w:adjustRightInd w:val="0"/>
              <w:snapToGrid w:val="0"/>
              <w:spacing w:line="460" w:lineRule="exact"/>
              <w:ind w:left="0" w:leftChars="0" w:right="0"/>
              <w:jc w:val="center"/>
              <w:outlineLvl w:val="9"/>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US" w:eastAsia="zh-CN" w:bidi="ar"/>
              </w:rPr>
              <w:t>次</w:t>
            </w:r>
          </w:p>
        </w:tc>
        <w:tc>
          <w:tcPr>
            <w:tcW w:w="654" w:type="dxa"/>
            <w:noWrap w:val="0"/>
            <w:vAlign w:val="center"/>
          </w:tcPr>
          <w:p>
            <w:pPr>
              <w:keepNext w:val="0"/>
              <w:keepLines w:val="0"/>
              <w:pageBreakBefore w:val="0"/>
              <w:widowControl/>
              <w:suppressLineNumbers w:val="0"/>
              <w:shd w:val="clear" w:color="auto" w:fill="FFFFFF"/>
              <w:wordWrap/>
              <w:overflowPunct/>
              <w:bidi w:val="0"/>
              <w:adjustRightInd w:val="0"/>
              <w:snapToGrid w:val="0"/>
              <w:spacing w:line="460" w:lineRule="exact"/>
              <w:ind w:left="0" w:leftChars="0" w:right="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每天</w:t>
            </w:r>
          </w:p>
          <w:p>
            <w:pPr>
              <w:keepNext w:val="0"/>
              <w:keepLines w:val="0"/>
              <w:pageBreakBefore w:val="0"/>
              <w:widowControl/>
              <w:suppressLineNumbers w:val="0"/>
              <w:shd w:val="clear" w:color="auto" w:fill="FFFFFF"/>
              <w:wordWrap/>
              <w:overflowPunct/>
              <w:bidi w:val="0"/>
              <w:adjustRightInd w:val="0"/>
              <w:snapToGrid w:val="0"/>
              <w:spacing w:line="460" w:lineRule="exact"/>
              <w:ind w:left="0" w:leftChars="0" w:right="0"/>
              <w:jc w:val="center"/>
              <w:outlineLvl w:val="9"/>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US" w:eastAsia="zh-CN" w:bidi="ar"/>
              </w:rPr>
              <w:t>次</w:t>
            </w:r>
          </w:p>
        </w:tc>
        <w:tc>
          <w:tcPr>
            <w:tcW w:w="1308"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夏季9：00 之前，冬季9：30 之前完成第一次清扫保洁，其他时间为全时段巡回保洁。</w:t>
            </w:r>
          </w:p>
        </w:tc>
        <w:tc>
          <w:tcPr>
            <w:tcW w:w="900"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default"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每天4次，30℃以上高温天气适当增加频次</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p>
        </w:tc>
        <w:tc>
          <w:tcPr>
            <w:tcW w:w="806"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每日擦洗，集满即淘</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p>
        </w:tc>
        <w:tc>
          <w:tcPr>
            <w:tcW w:w="882"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果皮≤4</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纸屑≤4</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烟蒂≤4</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痰迹≤4</w:t>
            </w:r>
          </w:p>
        </w:tc>
        <w:tc>
          <w:tcPr>
            <w:tcW w:w="881"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≤0.5</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p>
        </w:tc>
        <w:tc>
          <w:tcPr>
            <w:tcW w:w="900"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≤2</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p>
        </w:tc>
        <w:tc>
          <w:tcPr>
            <w:tcW w:w="900"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15</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default" w:ascii="宋体" w:hAnsi="宋体" w:eastAsia="宋体" w:cs="宋体"/>
                <w:color w:val="auto"/>
                <w:sz w:val="22"/>
                <w:szCs w:val="22"/>
                <w:highlight w:val="none"/>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533"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三</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级</w:t>
            </w:r>
          </w:p>
        </w:tc>
        <w:tc>
          <w:tcPr>
            <w:tcW w:w="559"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每天</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1次</w:t>
            </w:r>
          </w:p>
        </w:tc>
        <w:tc>
          <w:tcPr>
            <w:tcW w:w="654" w:type="dxa"/>
            <w:noWrap w:val="0"/>
            <w:vAlign w:val="center"/>
          </w:tcPr>
          <w:p>
            <w:pPr>
              <w:keepNext w:val="0"/>
              <w:keepLines w:val="0"/>
              <w:pageBreakBefore w:val="0"/>
              <w:widowControl/>
              <w:suppressLineNumbers w:val="0"/>
              <w:shd w:val="clear" w:color="auto" w:fill="FFFFFF"/>
              <w:wordWrap/>
              <w:overflowPunct/>
              <w:bidi w:val="0"/>
              <w:adjustRightInd w:val="0"/>
              <w:snapToGrid w:val="0"/>
              <w:spacing w:line="460" w:lineRule="exact"/>
              <w:ind w:left="0" w:leftChars="0" w:right="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每天</w:t>
            </w:r>
          </w:p>
          <w:p>
            <w:pPr>
              <w:keepNext w:val="0"/>
              <w:keepLines w:val="0"/>
              <w:pageBreakBefore w:val="0"/>
              <w:widowControl/>
              <w:suppressLineNumbers w:val="0"/>
              <w:shd w:val="clear" w:color="auto" w:fill="FFFFFF"/>
              <w:wordWrap/>
              <w:overflowPunct/>
              <w:bidi w:val="0"/>
              <w:adjustRightInd w:val="0"/>
              <w:snapToGrid w:val="0"/>
              <w:spacing w:line="460" w:lineRule="exact"/>
              <w:ind w:left="0" w:leftChars="0" w:right="0"/>
              <w:jc w:val="center"/>
              <w:outlineLvl w:val="9"/>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US" w:eastAsia="zh-CN" w:bidi="ar"/>
              </w:rPr>
              <w:t>次</w:t>
            </w:r>
          </w:p>
        </w:tc>
        <w:tc>
          <w:tcPr>
            <w:tcW w:w="1308"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夏季 9：30 之前，冬季10：00 之前完成第一次清扫保洁，其他时间为全时段巡回保洁。</w:t>
            </w:r>
          </w:p>
        </w:tc>
        <w:tc>
          <w:tcPr>
            <w:tcW w:w="900"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default"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每天4次，30℃以上高温天气适当增加频次</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p>
        </w:tc>
        <w:tc>
          <w:tcPr>
            <w:tcW w:w="806"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每日擦洗，集满即淘</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p>
        </w:tc>
        <w:tc>
          <w:tcPr>
            <w:tcW w:w="882"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果皮≤6</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纸屑≤6</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烟蒂≤8</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痰迹≤8</w:t>
            </w:r>
          </w:p>
        </w:tc>
        <w:tc>
          <w:tcPr>
            <w:tcW w:w="881"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≤1.5</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p>
        </w:tc>
        <w:tc>
          <w:tcPr>
            <w:tcW w:w="900"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≤6</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p>
        </w:tc>
        <w:tc>
          <w:tcPr>
            <w:tcW w:w="900" w:type="dxa"/>
            <w:noWrap w:val="0"/>
            <w:vAlign w:val="center"/>
          </w:tcPr>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30</w:t>
            </w:r>
          </w:p>
          <w:p>
            <w:pPr>
              <w:keepNext w:val="0"/>
              <w:keepLines w:val="0"/>
              <w:pageBreakBefore w:val="0"/>
              <w:widowControl/>
              <w:suppressLineNumbers w:val="0"/>
              <w:shd w:val="clear" w:color="auto" w:fill="FFFFFF"/>
              <w:overflowPunct/>
              <w:bidi w:val="0"/>
              <w:adjustRightInd w:val="0"/>
              <w:snapToGrid w:val="0"/>
              <w:spacing w:line="480" w:lineRule="atLeast"/>
              <w:jc w:val="center"/>
              <w:outlineLvl w:val="9"/>
              <w:rPr>
                <w:rFonts w:hint="eastAsia" w:ascii="宋体" w:hAnsi="宋体" w:eastAsia="宋体" w:cs="宋体"/>
                <w:color w:val="auto"/>
                <w:kern w:val="0"/>
                <w:sz w:val="22"/>
                <w:szCs w:val="22"/>
                <w:highlight w:val="none"/>
                <w:lang w:val="en-US" w:eastAsia="zh-CN" w:bidi="ar"/>
              </w:rPr>
            </w:pPr>
          </w:p>
        </w:tc>
      </w:tr>
    </w:tbl>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 桥面的保洁质量应与所连接的道路保洁质量标准相同。桥栏杆应整洁，无乱贴、乱画。</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 道路清扫保洁其他要求</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2.3.1 路面煤渣、灰沙及其它废弃物应及时清扫干净。</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2.3.2 路面冲洗、洒水作业时应鸣报信号；道路洒水和喷雾作业频次应根据路面尘土量、天气情况和空气质量确定；冲洗作业频次应根据路面垃圾尘土量确定。冲洗后路面应干净，下水口不应堵塞。没有下水口的道路可不冲洗。结冰期不宜冲洗。</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2.3.3 每日的清扫作业和冲洗作业必须在每日清晨人流和车流高峰以前完成；道路清扫及冲洗结束后应开始道路保洁作业。</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2.3.4 道路清扫保洁机械作业应提高垃圾扫净率并防止扬尘污染。</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2.3.5 在机械不能作业的情况下，应采用人工作业；人工作业过程亦应提高垃圾扫净率并防止扬尘污染。</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2.3.6 道路清扫保洁收集的垃圾必须按指定场地存放,严禁裸露和扫入绿化带。</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2.3.7 </w:t>
      </w:r>
      <w:r>
        <w:rPr>
          <w:rFonts w:hint="eastAsia" w:ascii="宋体" w:hAnsi="宋体" w:cs="宋体"/>
          <w:color w:val="auto"/>
          <w:kern w:val="2"/>
          <w:sz w:val="24"/>
          <w:szCs w:val="24"/>
          <w:highlight w:val="none"/>
          <w:lang w:val="en-US" w:eastAsia="zh-CN" w:bidi="ar-SA"/>
        </w:rPr>
        <w:t>机关单位、市场</w:t>
      </w:r>
      <w:r>
        <w:rPr>
          <w:rFonts w:hint="eastAsia" w:ascii="宋体" w:hAnsi="宋体" w:eastAsia="宋体" w:cs="宋体"/>
          <w:color w:val="auto"/>
          <w:kern w:val="2"/>
          <w:sz w:val="24"/>
          <w:szCs w:val="24"/>
          <w:highlight w:val="none"/>
          <w:lang w:val="en-US" w:eastAsia="zh-CN" w:bidi="ar-SA"/>
        </w:rPr>
        <w:t>和建筑工地等周边道路应适当增加各项作业频次。</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 公共设施的保洁</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 公共设施应规范设置,标识明显,并应保持完好、整洁、美观,无污迹、尘土,无乱涂写、乱刻画、乱张贴、乱吊挂,无破损、表面脱落现象,设施完好率不应低于95%。</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 废物箱等垃圾收集容器应保持完好、清洁、卫生,无残缺、破损,无垃圾满溢,箱体无污迹,周边地面无垃圾、污水和污迹。</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 非机动车道、人行道路面、路沿石及道路两侧的建筑物外墙应无明显污迹，无乱贴、乱挂和过时破损标语。</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 xml:space="preserve"> 道路两侧广告牌、路铭牌等设施应保持完好，无污迹、积尘。</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 生活垃圾收集、运输</w:t>
      </w:r>
      <w:r>
        <w:rPr>
          <w:rFonts w:hint="eastAsia" w:ascii="宋体" w:hAnsi="宋体" w:cs="宋体"/>
          <w:b/>
          <w:bCs/>
          <w:color w:val="auto"/>
          <w:kern w:val="2"/>
          <w:sz w:val="24"/>
          <w:szCs w:val="24"/>
          <w:highlight w:val="none"/>
          <w:lang w:val="en-US" w:eastAsia="zh-CN" w:bidi="ar-SA"/>
        </w:rPr>
        <w:t>、处置</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 垃圾收集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4.1.1 垃圾收集容器应定位设置，摆放整齐。设置点及周围2-3m内应整洁，无散落、存留垃圾和污水。</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4.1.2 垃圾收集容器应无残缺、破损，封闭性好，外体干净。构筑物内外墙面不得有明显积灰、污物。</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4.1.3 特种垃圾的收集，必须用设有明显标志、能防止污染扩散的密封容器。</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4.1.4 蝇、蚊孳生季节，垃圾收集站(点)，应定时喷洒消毒、灭蚊蝇药物。</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4.1.5 生活垃圾(含餐厨垃圾)应全部实行容器收集。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4.1.6 特种垃圾必须与生活垃圾分开存放，分别收集。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4.1.7 居民的生活垃圾应每日清除，无堆积；单位的生活垃圾应按时清除，无满溢和散落，不腐烂发臭。每月2次定时消毒。</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4.1.8 收集作业完成后，应及时清理场地，将可移动式垃圾收集容器复位，车走地净。垃圾应直接送至指定的处置场。</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4.1.9 地面清扫的垃圾应及时收集和运输，不遗漏，不得堆放在路边。</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 xml:space="preserve"> 垃圾运输</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4.2.1 车容应整洁，车体外部无污物、灰垢，标志应清晰。</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4.2.2 运输垃圾应密闭，在运输过程中无垃圾扬、撒、拖挂和污水滴漏。</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4.2.3 垃圾装运量应以车辆的额定荷载和有效容积为限，不得超重、超高运输。</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4.2.4 装卸垃圾应符合作业要求，不得乱倒、乱卸、乱抛垃圾。</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4.2.5 运输作业结束，将车辆清洗干净(结冰期除外），清洗污水符合现行行业标准《污水排入城市下水道水质标准》(CJI8-86)或现行国家标准《污水综合排放标准》(GB8978)后，方可排入城市污水管网或附近水体。</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 xml:space="preserve"> 垃圾</w:t>
      </w:r>
      <w:r>
        <w:rPr>
          <w:rFonts w:hint="eastAsia" w:ascii="宋体" w:hAnsi="宋体" w:cs="宋体"/>
          <w:color w:val="auto"/>
          <w:kern w:val="2"/>
          <w:sz w:val="24"/>
          <w:szCs w:val="24"/>
          <w:highlight w:val="none"/>
          <w:lang w:val="en-US" w:eastAsia="zh-CN" w:bidi="ar-SA"/>
        </w:rPr>
        <w:t>处置</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4.3.1 </w:t>
      </w:r>
      <w:r>
        <w:rPr>
          <w:rFonts w:hint="eastAsia" w:ascii="宋体" w:hAnsi="宋体" w:eastAsia="宋体" w:cs="宋体"/>
          <w:color w:val="auto"/>
          <w:kern w:val="2"/>
          <w:sz w:val="24"/>
          <w:szCs w:val="24"/>
          <w:highlight w:val="none"/>
          <w:lang w:val="en-US" w:eastAsia="zh-CN" w:bidi="ar-SA"/>
        </w:rPr>
        <w:t>生活垃圾应急填埋场应保证连续运行，依据建设部《城市生活垃圾卫生填埋场运行维护技术规范》和《生活垃圾卫生填埋技术规范》</w:t>
      </w:r>
      <w:r>
        <w:rPr>
          <w:rFonts w:hint="eastAsia" w:ascii="宋体" w:hAnsi="宋体" w:cs="宋体"/>
          <w:color w:val="auto"/>
          <w:kern w:val="2"/>
          <w:sz w:val="24"/>
          <w:szCs w:val="24"/>
          <w:highlight w:val="none"/>
          <w:lang w:val="en-US" w:eastAsia="zh-CN" w:bidi="ar-SA"/>
        </w:rPr>
        <w:t>执行，</w:t>
      </w:r>
      <w:r>
        <w:rPr>
          <w:rFonts w:hint="eastAsia" w:ascii="宋体" w:hAnsi="宋体" w:eastAsia="宋体" w:cs="宋体"/>
          <w:color w:val="auto"/>
          <w:kern w:val="2"/>
          <w:sz w:val="24"/>
          <w:szCs w:val="24"/>
          <w:highlight w:val="none"/>
          <w:lang w:val="en-US" w:eastAsia="zh-CN" w:bidi="ar-SA"/>
        </w:rPr>
        <w:t>制定详细的工艺运行管理手册，定期对填埋场相关设施，包括雨污分流导排系统、渗滤液收集处理系统，填埋气收集处理系统、数据计量称重系统、场区道路、地下水监测井等进行维护管理，保证填埋设施、工艺正常运行。</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4.3.2 </w:t>
      </w:r>
      <w:r>
        <w:rPr>
          <w:rFonts w:hint="eastAsia" w:ascii="宋体" w:hAnsi="宋体" w:eastAsia="宋体" w:cs="宋体"/>
          <w:color w:val="auto"/>
          <w:kern w:val="2"/>
          <w:sz w:val="24"/>
          <w:szCs w:val="24"/>
          <w:highlight w:val="none"/>
          <w:lang w:val="en-US" w:eastAsia="zh-CN" w:bidi="ar-SA"/>
        </w:rPr>
        <w:t>进入生活垃圾填埋场的垃圾应采取计量和检验措施。严禁未经处理的工业垃圾、医废垃圾及来源不清的垃圾进入生活垃圾填埋场填埋。</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4.3.3 </w:t>
      </w:r>
      <w:r>
        <w:rPr>
          <w:rFonts w:hint="eastAsia" w:ascii="宋体" w:hAnsi="宋体" w:eastAsia="宋体" w:cs="宋体"/>
          <w:color w:val="auto"/>
          <w:kern w:val="2"/>
          <w:sz w:val="24"/>
          <w:szCs w:val="24"/>
          <w:highlight w:val="none"/>
          <w:lang w:val="en-US" w:eastAsia="zh-CN" w:bidi="ar-SA"/>
        </w:rPr>
        <w:t>填埋作业应分区、分单元逐区、逐层进行，垃圾进场后应于</w:t>
      </w:r>
      <w:r>
        <w:rPr>
          <w:rFonts w:hint="eastAsia" w:ascii="宋体" w:hAnsi="宋体" w:cs="宋体"/>
          <w:color w:val="auto"/>
          <w:kern w:val="2"/>
          <w:sz w:val="24"/>
          <w:szCs w:val="24"/>
          <w:highlight w:val="none"/>
          <w:lang w:val="en-US" w:eastAsia="zh-CN" w:bidi="ar-SA"/>
        </w:rPr>
        <w:t>当天</w:t>
      </w:r>
      <w:r>
        <w:rPr>
          <w:rFonts w:hint="eastAsia" w:ascii="宋体" w:hAnsi="宋体" w:eastAsia="宋体" w:cs="宋体"/>
          <w:color w:val="auto"/>
          <w:kern w:val="2"/>
          <w:sz w:val="24"/>
          <w:szCs w:val="24"/>
          <w:highlight w:val="none"/>
          <w:lang w:val="en-US" w:eastAsia="zh-CN" w:bidi="ar-SA"/>
        </w:rPr>
        <w:t>完成垃圾的摊铺、消杀、压实、覆盖作业。</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4.3.4 </w:t>
      </w:r>
      <w:r>
        <w:rPr>
          <w:rFonts w:hint="eastAsia" w:ascii="宋体" w:hAnsi="宋体" w:eastAsia="宋体" w:cs="宋体"/>
          <w:color w:val="auto"/>
          <w:kern w:val="2"/>
          <w:sz w:val="24"/>
          <w:szCs w:val="24"/>
          <w:highlight w:val="none"/>
          <w:lang w:val="en-US" w:eastAsia="zh-CN" w:bidi="ar-SA"/>
        </w:rPr>
        <w:t>生活垃圾填埋场运行期内，应控制堆体的坡度，确保填埋堆体的稳定性，并</w:t>
      </w:r>
      <w:r>
        <w:rPr>
          <w:rFonts w:hint="eastAsia" w:ascii="宋体" w:hAnsi="宋体" w:cs="宋体"/>
          <w:color w:val="auto"/>
          <w:kern w:val="2"/>
          <w:sz w:val="24"/>
          <w:szCs w:val="24"/>
          <w:highlight w:val="none"/>
          <w:lang w:val="en-US" w:eastAsia="zh-CN" w:bidi="ar-SA"/>
        </w:rPr>
        <w:t>开展渗滤液处理和</w:t>
      </w:r>
      <w:r>
        <w:rPr>
          <w:rFonts w:hint="eastAsia" w:ascii="宋体" w:hAnsi="宋体" w:eastAsia="宋体" w:cs="宋体"/>
          <w:color w:val="auto"/>
          <w:kern w:val="2"/>
          <w:sz w:val="24"/>
          <w:szCs w:val="24"/>
          <w:highlight w:val="none"/>
          <w:lang w:val="en-US" w:eastAsia="zh-CN" w:bidi="ar-SA"/>
        </w:rPr>
        <w:t>环境质量检测评价，有完整的年度垃圾处理卫生监测评价资料，</w:t>
      </w:r>
      <w:r>
        <w:rPr>
          <w:rFonts w:hint="eastAsia" w:ascii="宋体" w:hAnsi="宋体" w:cs="宋体"/>
          <w:color w:val="auto"/>
          <w:kern w:val="2"/>
          <w:sz w:val="24"/>
          <w:szCs w:val="24"/>
          <w:highlight w:val="none"/>
          <w:lang w:val="en-US" w:eastAsia="zh-CN" w:bidi="ar-SA"/>
        </w:rPr>
        <w:t>定期</w:t>
      </w:r>
      <w:r>
        <w:rPr>
          <w:rFonts w:hint="eastAsia" w:ascii="宋体" w:hAnsi="宋体" w:eastAsia="宋体" w:cs="宋体"/>
          <w:color w:val="auto"/>
          <w:kern w:val="2"/>
          <w:sz w:val="24"/>
          <w:szCs w:val="24"/>
          <w:highlight w:val="none"/>
          <w:lang w:val="en-US" w:eastAsia="zh-CN" w:bidi="ar-SA"/>
        </w:rPr>
        <w:t>检测防渗衬层系统、渗滤液导排系统及地下水质，一旦发生污染事故，必须及时采取补救措施。</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4.3.5 </w:t>
      </w:r>
      <w:r>
        <w:rPr>
          <w:rFonts w:hint="eastAsia" w:ascii="宋体" w:hAnsi="宋体" w:eastAsia="宋体" w:cs="宋体"/>
          <w:color w:val="auto"/>
          <w:kern w:val="2"/>
          <w:sz w:val="24"/>
          <w:szCs w:val="24"/>
          <w:highlight w:val="none"/>
          <w:lang w:val="en-US" w:eastAsia="zh-CN" w:bidi="ar-SA"/>
        </w:rPr>
        <w:t>生活垃圾应急填埋场运行</w:t>
      </w:r>
      <w:r>
        <w:rPr>
          <w:rFonts w:hint="eastAsia" w:ascii="宋体" w:hAnsi="宋体" w:cs="宋体"/>
          <w:color w:val="auto"/>
          <w:kern w:val="2"/>
          <w:sz w:val="24"/>
          <w:szCs w:val="24"/>
          <w:highlight w:val="none"/>
          <w:lang w:val="en-US" w:eastAsia="zh-CN" w:bidi="ar-SA"/>
        </w:rPr>
        <w:t>期间</w:t>
      </w:r>
      <w:r>
        <w:rPr>
          <w:rFonts w:hint="eastAsia" w:ascii="宋体" w:hAnsi="宋体" w:eastAsia="宋体" w:cs="宋体"/>
          <w:color w:val="auto"/>
          <w:kern w:val="2"/>
          <w:sz w:val="24"/>
          <w:szCs w:val="24"/>
          <w:highlight w:val="none"/>
          <w:lang w:val="en-US" w:eastAsia="zh-CN" w:bidi="ar-SA"/>
        </w:rPr>
        <w:t>，应逐日记载有关运行管理情况，主要包括生活垃圾处理、处置设备工艺控制参数，进入生活生活垃圾应急填埋场处置的垃圾来源、种类、数量、填埋位置。运行情况记录簿应当按照国家有关档案管理等法律法规进行整理和保管。</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4.3.6 </w:t>
      </w:r>
      <w:r>
        <w:rPr>
          <w:rFonts w:hint="eastAsia" w:ascii="宋体" w:hAnsi="宋体" w:eastAsia="宋体" w:cs="宋体"/>
          <w:color w:val="auto"/>
          <w:kern w:val="2"/>
          <w:sz w:val="24"/>
          <w:szCs w:val="24"/>
          <w:highlight w:val="none"/>
          <w:lang w:val="en-US" w:eastAsia="zh-CN" w:bidi="ar-SA"/>
        </w:rPr>
        <w:t>垃圾填埋区达到设计填埋高度时应及时封场。封场后应继续对填埋气体、渗滤液的收集与处理及环境与安全监测等进行管理，直至填埋堆体稳定。</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4.3.7 </w:t>
      </w:r>
      <w:r>
        <w:rPr>
          <w:rFonts w:hint="eastAsia" w:ascii="宋体" w:hAnsi="宋体" w:eastAsia="宋体" w:cs="宋体"/>
          <w:color w:val="auto"/>
          <w:kern w:val="2"/>
          <w:sz w:val="24"/>
          <w:szCs w:val="24"/>
          <w:highlight w:val="none"/>
          <w:lang w:val="en-US" w:eastAsia="zh-CN" w:bidi="ar-SA"/>
        </w:rPr>
        <w:t>加强场区与场容环境管理和绿化管护工作，保证场区环境卫生整洁、美观。</w:t>
      </w:r>
      <w:r>
        <w:rPr>
          <w:rFonts w:hint="eastAsia" w:ascii="宋体" w:hAnsi="宋体" w:cs="宋体"/>
          <w:color w:val="auto"/>
          <w:kern w:val="2"/>
          <w:sz w:val="24"/>
          <w:szCs w:val="24"/>
          <w:highlight w:val="none"/>
          <w:lang w:val="en-US" w:eastAsia="zh-CN" w:bidi="ar-SA"/>
        </w:rPr>
        <w:t>做好绿化、美化、</w:t>
      </w:r>
      <w:r>
        <w:rPr>
          <w:rFonts w:hint="eastAsia" w:ascii="宋体" w:hAnsi="宋体" w:eastAsia="宋体" w:cs="宋体"/>
          <w:color w:val="auto"/>
          <w:kern w:val="2"/>
          <w:sz w:val="24"/>
          <w:szCs w:val="24"/>
          <w:highlight w:val="none"/>
          <w:lang w:val="en-US" w:eastAsia="zh-CN" w:bidi="ar-SA"/>
        </w:rPr>
        <w:t>消毒、消防、灭蚊蝇、灭鼠</w:t>
      </w:r>
      <w:r>
        <w:rPr>
          <w:rFonts w:hint="eastAsia" w:ascii="宋体" w:hAnsi="宋体" w:cs="宋体"/>
          <w:color w:val="auto"/>
          <w:kern w:val="2"/>
          <w:sz w:val="24"/>
          <w:szCs w:val="24"/>
          <w:highlight w:val="none"/>
          <w:lang w:val="en-US" w:eastAsia="zh-CN" w:bidi="ar-SA"/>
        </w:rPr>
        <w:t>等措施</w:t>
      </w:r>
      <w:r>
        <w:rPr>
          <w:rFonts w:hint="eastAsia" w:ascii="宋体" w:hAnsi="宋体" w:eastAsia="宋体" w:cs="宋体"/>
          <w:color w:val="auto"/>
          <w:kern w:val="2"/>
          <w:sz w:val="24"/>
          <w:szCs w:val="24"/>
          <w:highlight w:val="none"/>
          <w:lang w:val="en-US" w:eastAsia="zh-CN" w:bidi="ar-SA"/>
        </w:rPr>
        <w:t>。蝇密度要求填埋区小于10只/（笼•日），填埋场内工作和生活用室无蝇。</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4.3.8 </w:t>
      </w:r>
      <w:r>
        <w:rPr>
          <w:rFonts w:hint="eastAsia" w:ascii="宋体" w:hAnsi="宋体" w:eastAsia="宋体" w:cs="宋体"/>
          <w:color w:val="auto"/>
          <w:kern w:val="2"/>
          <w:sz w:val="24"/>
          <w:szCs w:val="24"/>
          <w:highlight w:val="none"/>
          <w:lang w:val="en-US" w:eastAsia="zh-CN" w:bidi="ar-SA"/>
        </w:rPr>
        <w:t>渗滤液处理必须建立规范化质量保证体系，制定完善的运营管理制度和预防、处理应急污染事故预案。必须按规定采购、运转，使用和保管处理垃圾渗滤液所需的药剂等危险化学品。渗滤液处理必须达到环保标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4.3.9 </w:t>
      </w:r>
      <w:r>
        <w:rPr>
          <w:rFonts w:hint="eastAsia" w:ascii="宋体" w:hAnsi="宋体" w:eastAsia="宋体" w:cs="宋体"/>
          <w:color w:val="auto"/>
          <w:kern w:val="2"/>
          <w:sz w:val="24"/>
          <w:szCs w:val="24"/>
          <w:highlight w:val="none"/>
          <w:lang w:val="en-US" w:eastAsia="zh-CN" w:bidi="ar-SA"/>
        </w:rPr>
        <w:t>全面负责生活垃圾填埋场运行期间的安全生产工作。做好车辆安全生产、场区内人员安全作业、用电用水安全、消毒消杀物资安全等相关工作。</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4.3.10 </w:t>
      </w:r>
      <w:r>
        <w:rPr>
          <w:rFonts w:hint="eastAsia" w:ascii="宋体" w:hAnsi="宋体" w:eastAsia="宋体" w:cs="宋体"/>
          <w:color w:val="auto"/>
          <w:kern w:val="2"/>
          <w:sz w:val="24"/>
          <w:szCs w:val="24"/>
          <w:highlight w:val="none"/>
          <w:lang w:val="en-US" w:eastAsia="zh-CN" w:bidi="ar-SA"/>
        </w:rPr>
        <w:t>全面负责生活垃圾应急填埋场运行期间的其他相关工作。</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 公共公厕(以下简称“公厕”)管理</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 公厕的清扫、保洁范围：</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公厕的清扫和保洁范围为公厕内及公厕周边5米范围内的公共场所。</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 公厕的卫生应符合下列质量要求：公厕内地面应保持整洁，粪槽、便槽(斗)和管道应无破损，内外墙应无剥落。</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 公厕保洁标准应符合下列规定：</w:t>
      </w:r>
    </w:p>
    <w:p>
      <w:pPr>
        <w:pStyle w:val="13"/>
        <w:pageBreakBefore w:val="0"/>
        <w:shd w:val="clear" w:color="auto" w:fill="FFFFFF"/>
        <w:wordWrap/>
        <w:overflowPunct/>
        <w:autoSpaceDE w:val="0"/>
        <w:bidi w:val="0"/>
        <w:adjustRightInd w:val="0"/>
        <w:snapToGrid w:val="0"/>
        <w:spacing w:line="460" w:lineRule="exact"/>
        <w:ind w:left="0" w:leftChars="0" w:right="0" w:firstLine="6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5.3.1 公厕内采光、照明和通风应良好，无明显臭味。</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5.3.2 公厕内墙面、天花板、门窗和隔离板应无积灰、污迹、蛛网，无乱涂乱画，墙面应光洁，公厕外墙面应整洁。</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5.3.3 公厕内地面应光洁，无积水。</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5.3.4 蹲位应整洁，大便槽两侧应无粪便污物，槽内无积粪，洁净见底。</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5.3.5 小便槽(斗)应无水锈、尿垢、垃圾，基本无臭；沟眼、管道保持畅通。</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5.3.6 公厕内照明灯具、洗手器具、镜子、挂衣钩、烘手器、冲水设备等应完好，无积灰、污物。</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5.3.7 公厕外环境应整洁，无乱堆杂物，保洁工具应放置整齐。公厕四周5m范围内，应无垃圾、粪便、污水等污物。</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5.3.8 蝇蚊孳生季节，应定时喷洒灭蚊蝇药物，有效控制蝇蛆孳生。</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5.3.9 公厕管理保洁要有专人保洁，一般不少于1人，必须保持管道畅通完好，公厕设施有人维修维护。</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5.4 公厕的清扫、保洁作业时间：</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5.4.1 公厕每日彻底冲洗不少于3次，上午彻底洗刷1次，每日消毒不少于2次。</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5.4.2 公厕的保洁时间应覆盖公厕的开放时段。</w:t>
      </w:r>
    </w:p>
    <w:p>
      <w:pPr>
        <w:pStyle w:val="5"/>
        <w:pageBreakBefore w:val="0"/>
        <w:widowControl w:val="0"/>
        <w:numPr>
          <w:ilvl w:val="0"/>
          <w:numId w:val="0"/>
        </w:numPr>
        <w:shd w:val="clear" w:color="auto" w:fill="FFFFFF"/>
        <w:kinsoku/>
        <w:wordWrap/>
        <w:overflowPunct/>
        <w:autoSpaceDN/>
        <w:bidi w:val="0"/>
        <w:adjustRightInd w:val="0"/>
        <w:snapToGrid w:val="0"/>
        <w:spacing w:before="0" w:after="0" w:line="420" w:lineRule="exact"/>
        <w:ind w:left="0" w:leftChars="0" w:right="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五、项目模式及服务周期</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（一）项目模式</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以政府购买服务方式进行公开招标。</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（二）项目周期</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合同签订之日起3年。</w:t>
      </w:r>
    </w:p>
    <w:p>
      <w:pPr>
        <w:pStyle w:val="5"/>
        <w:pageBreakBefore w:val="0"/>
        <w:widowControl w:val="0"/>
        <w:numPr>
          <w:ilvl w:val="0"/>
          <w:numId w:val="0"/>
        </w:numPr>
        <w:shd w:val="clear" w:color="auto" w:fill="FFFFFF"/>
        <w:kinsoku/>
        <w:wordWrap/>
        <w:overflowPunct/>
        <w:autoSpaceDN/>
        <w:bidi w:val="0"/>
        <w:adjustRightInd w:val="0"/>
        <w:snapToGrid w:val="0"/>
        <w:spacing w:before="0" w:after="0" w:line="420" w:lineRule="exact"/>
        <w:ind w:left="0" w:leftChars="0" w:right="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六、项目招标控制价格</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控制价：</w:t>
      </w:r>
      <w:r>
        <w:rPr>
          <w:rFonts w:hint="eastAsia" w:ascii="宋体" w:hAnsi="宋体" w:eastAsia="宋体" w:cs="宋体"/>
          <w:color w:val="auto"/>
          <w:kern w:val="2"/>
          <w:sz w:val="24"/>
          <w:szCs w:val="24"/>
          <w:highlight w:val="none"/>
          <w:lang w:val="en-US" w:eastAsia="zh-CN" w:bidi="ar-SA"/>
        </w:rPr>
        <w:t>1636.5万元/年。</w:t>
      </w:r>
    </w:p>
    <w:p>
      <w:pPr>
        <w:pStyle w:val="5"/>
        <w:pageBreakBefore w:val="0"/>
        <w:widowControl w:val="0"/>
        <w:numPr>
          <w:ilvl w:val="0"/>
          <w:numId w:val="0"/>
        </w:numPr>
        <w:shd w:val="clear" w:color="auto" w:fill="FFFFFF"/>
        <w:kinsoku/>
        <w:wordWrap/>
        <w:overflowPunct/>
        <w:autoSpaceDN/>
        <w:bidi w:val="0"/>
        <w:adjustRightInd w:val="0"/>
        <w:snapToGrid w:val="0"/>
        <w:spacing w:before="0" w:after="0" w:line="420" w:lineRule="exact"/>
        <w:ind w:left="0" w:leftChars="0" w:right="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七、考核原则</w:t>
      </w:r>
    </w:p>
    <w:p>
      <w:pPr>
        <w:pStyle w:val="13"/>
        <w:pageBreakBefore w:val="0"/>
        <w:widowControl w:val="0"/>
        <w:shd w:val="clear" w:color="auto" w:fill="FFFFFF"/>
        <w:kinsoku/>
        <w:wordWrap/>
        <w:overflowPunct/>
        <w:autoSpaceDE w:val="0"/>
        <w:autoSpaceDN/>
        <w:bidi w:val="0"/>
        <w:adjustRightInd w:val="0"/>
        <w:snapToGrid w:val="0"/>
        <w:spacing w:line="420" w:lineRule="exact"/>
        <w:ind w:left="0" w:leftChars="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实行</w:t>
      </w:r>
      <w:r>
        <w:rPr>
          <w:rFonts w:hint="eastAsia" w:ascii="宋体" w:hAnsi="宋体" w:eastAsia="宋体" w:cs="宋体"/>
          <w:color w:val="auto"/>
          <w:kern w:val="2"/>
          <w:sz w:val="24"/>
          <w:szCs w:val="24"/>
          <w:highlight w:val="none"/>
          <w:lang w:val="en-US" w:eastAsia="zh-CN" w:bidi="ar-SA"/>
        </w:rPr>
        <w:t>考核制度兑现</w:t>
      </w:r>
      <w:r>
        <w:rPr>
          <w:rFonts w:hint="eastAsia" w:ascii="宋体" w:hAnsi="宋体" w:cs="宋体"/>
          <w:color w:val="auto"/>
          <w:kern w:val="2"/>
          <w:sz w:val="24"/>
          <w:szCs w:val="24"/>
          <w:highlight w:val="none"/>
          <w:lang w:val="en-US" w:eastAsia="zh-CN" w:bidi="ar-SA"/>
        </w:rPr>
        <w:t>管理服务</w:t>
      </w:r>
      <w:r>
        <w:rPr>
          <w:rFonts w:hint="eastAsia" w:ascii="宋体" w:hAnsi="宋体" w:eastAsia="宋体" w:cs="宋体"/>
          <w:color w:val="auto"/>
          <w:kern w:val="2"/>
          <w:sz w:val="24"/>
          <w:szCs w:val="24"/>
          <w:highlight w:val="none"/>
          <w:lang w:val="en-US" w:eastAsia="zh-CN" w:bidi="ar-SA"/>
        </w:rPr>
        <w:t>费用，制定考核办法和奖罚制度，组织人员不定期对管理</w:t>
      </w:r>
      <w:r>
        <w:rPr>
          <w:rFonts w:hint="eastAsia" w:ascii="宋体"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范围进行检查考核，考核采用当场记录扣分，每月考核情况予以公布，考核不合格，招标人有权随时终止合同，重新发包，该单位记入不良记录，三年内不得参加</w:t>
      </w:r>
      <w:r>
        <w:rPr>
          <w:rFonts w:hint="eastAsia" w:ascii="宋体" w:hAnsi="宋体" w:cs="宋体"/>
          <w:color w:val="auto"/>
          <w:kern w:val="2"/>
          <w:sz w:val="24"/>
          <w:szCs w:val="24"/>
          <w:highlight w:val="none"/>
          <w:lang w:val="en-US" w:eastAsia="zh-CN" w:bidi="ar-SA"/>
        </w:rPr>
        <w:t>招标单位</w:t>
      </w:r>
      <w:r>
        <w:rPr>
          <w:rFonts w:hint="eastAsia" w:ascii="宋体" w:hAnsi="宋体" w:eastAsia="宋体" w:cs="宋体"/>
          <w:color w:val="auto"/>
          <w:kern w:val="2"/>
          <w:sz w:val="24"/>
          <w:szCs w:val="24"/>
          <w:highlight w:val="none"/>
          <w:lang w:val="en-US" w:eastAsia="zh-CN" w:bidi="ar-SA"/>
        </w:rPr>
        <w:t>投标活动。</w:t>
      </w:r>
    </w:p>
    <w:p>
      <w:pPr>
        <w:pStyle w:val="5"/>
        <w:pageBreakBefore w:val="0"/>
        <w:widowControl w:val="0"/>
        <w:numPr>
          <w:ilvl w:val="0"/>
          <w:numId w:val="0"/>
        </w:numPr>
        <w:shd w:val="clear" w:color="auto" w:fill="FFFFFF"/>
        <w:kinsoku/>
        <w:wordWrap/>
        <w:overflowPunct/>
        <w:autoSpaceDN/>
        <w:bidi w:val="0"/>
        <w:adjustRightInd w:val="0"/>
        <w:snapToGrid w:val="0"/>
        <w:spacing w:before="0" w:after="0" w:line="420" w:lineRule="exact"/>
        <w:ind w:left="0" w:leftChars="0" w:right="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八、付款方式</w:t>
      </w:r>
    </w:p>
    <w:p>
      <w:pPr>
        <w:pStyle w:val="12"/>
        <w:pageBreakBefore w:val="0"/>
        <w:widowControl w:val="0"/>
        <w:numPr>
          <w:ilvl w:val="0"/>
          <w:numId w:val="0"/>
        </w:numPr>
        <w:shd w:val="clear" w:color="auto" w:fill="FFFFFF"/>
        <w:kinsoku/>
        <w:wordWrap/>
        <w:overflowPunct/>
        <w:autoSpaceDN/>
        <w:bidi w:val="0"/>
        <w:adjustRightInd w:val="0"/>
        <w:snapToGrid w:val="0"/>
        <w:spacing w:after="0" w:line="420" w:lineRule="exact"/>
        <w:ind w:left="0" w:leftChars="0" w:right="0" w:firstLine="480" w:firstLineChars="200"/>
        <w:textAlignment w:val="auto"/>
        <w:rPr>
          <w:rFonts w:hint="eastAsia" w:ascii="宋体" w:hAnsi="宋体" w:eastAsia="宋体" w:cs="宋体"/>
          <w:b/>
          <w:color w:val="auto"/>
          <w:sz w:val="32"/>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招标人根据考核结果支付应付款。</w:t>
      </w:r>
    </w:p>
    <w:p>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p>
    <w:p>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r>
        <w:rPr>
          <w:rStyle w:val="28"/>
          <w:rFonts w:hint="eastAsia" w:ascii="宋体" w:hAnsi="宋体" w:eastAsia="宋体" w:cs="宋体"/>
          <w:b/>
          <w:bCs/>
          <w:color w:val="auto"/>
          <w:w w:val="90"/>
          <w:sz w:val="36"/>
          <w:szCs w:val="36"/>
          <w:u w:val="none"/>
          <w:lang w:val="en-US" w:eastAsia="zh-CN"/>
        </w:rPr>
        <w:t>第六章 评标方法及评标标准</w:t>
      </w:r>
    </w:p>
    <w:p>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p>
    <w:p>
      <w:pPr>
        <w:pStyle w:val="31"/>
        <w:pageBreakBefore w:val="0"/>
        <w:kinsoku/>
        <w:wordWrap/>
        <w:overflowPunct/>
        <w:topLinePunct w:val="0"/>
        <w:bidi w:val="0"/>
        <w:spacing w:beforeAutospacing="0" w:afterAutospacing="0" w:line="400" w:lineRule="exact"/>
        <w:ind w:firstLine="482" w:firstLineChars="20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lang w:val="en-US" w:eastAsia="zh-CN"/>
        </w:rPr>
        <w:t>一</w:t>
      </w:r>
      <w:r>
        <w:rPr>
          <w:rFonts w:hint="eastAsia" w:ascii="宋体" w:hAnsi="宋体" w:eastAsia="宋体" w:cs="宋体"/>
          <w:b/>
          <w:color w:val="000000"/>
          <w:kern w:val="2"/>
          <w:sz w:val="24"/>
          <w:szCs w:val="24"/>
          <w:highlight w:val="none"/>
        </w:rPr>
        <w:t>、评标办法</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招标评标标准——综合评分法</w:t>
      </w:r>
    </w:p>
    <w:p>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本项目采用综合评分法（是指投标文件满足招标文件全部实质性要求，且按照评审因素的量化指标评审得分最高的投标人为中标候选人的评标方法），总分100分，其中商务技术部分占90分</w:t>
      </w:r>
      <w:r>
        <w:rPr>
          <w:rFonts w:hint="eastAsia" w:ascii="宋体" w:hAnsi="宋体" w:eastAsia="宋体" w:cs="宋体"/>
          <w:sz w:val="24"/>
          <w:szCs w:val="24"/>
          <w:lang w:eastAsia="zh-CN"/>
        </w:rPr>
        <w:t>、</w:t>
      </w:r>
      <w:r>
        <w:rPr>
          <w:rFonts w:hint="eastAsia" w:ascii="宋体" w:hAnsi="宋体" w:eastAsia="宋体" w:cs="宋体"/>
          <w:sz w:val="24"/>
          <w:szCs w:val="24"/>
        </w:rPr>
        <w:t>价格占10分。</w:t>
      </w:r>
    </w:p>
    <w:p>
      <w:pPr>
        <w:pageBreakBefore w:val="0"/>
        <w:kinsoku/>
        <w:wordWrap/>
        <w:overflowPunct/>
        <w:topLinePunct w:val="0"/>
        <w:bidi w:val="0"/>
        <w:spacing w:beforeAutospacing="0" w:afterAutospacing="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1、资格性审查及</w:t>
      </w:r>
      <w:r>
        <w:rPr>
          <w:rFonts w:hint="eastAsia" w:ascii="宋体" w:hAnsi="宋体" w:eastAsia="宋体" w:cs="宋体"/>
          <w:b/>
          <w:bCs/>
          <w:sz w:val="24"/>
          <w:szCs w:val="24"/>
        </w:rPr>
        <w:t>符合性审查</w:t>
      </w:r>
    </w:p>
    <w:p>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评标委员会根据招标文件</w:t>
      </w:r>
      <w:r>
        <w:rPr>
          <w:rFonts w:hint="eastAsia" w:ascii="宋体" w:hAnsi="宋体" w:eastAsia="宋体" w:cs="宋体"/>
          <w:color w:val="000000" w:themeColor="text1"/>
          <w:sz w:val="24"/>
          <w:szCs w:val="24"/>
          <w14:textFill>
            <w14:solidFill>
              <w14:schemeClr w14:val="tx1"/>
            </w14:solidFill>
          </w14:textFill>
        </w:rPr>
        <w:t>第三章投标人须知</w:t>
      </w:r>
      <w:r>
        <w:rPr>
          <w:rFonts w:hint="eastAsia" w:ascii="宋体" w:hAnsi="宋体" w:eastAsia="宋体" w:cs="宋体"/>
          <w:sz w:val="24"/>
          <w:szCs w:val="24"/>
        </w:rPr>
        <w:t>的规定，对通过资格审查的合格投标人的投标文件进行符合性审查，未通过符合性审查的投标不进入详细评审。</w:t>
      </w:r>
    </w:p>
    <w:p>
      <w:pPr>
        <w:pageBreakBefore w:val="0"/>
        <w:kinsoku/>
        <w:wordWrap/>
        <w:overflowPunct/>
        <w:topLinePunct w:val="0"/>
        <w:bidi w:val="0"/>
        <w:adjustRightInd w:val="0"/>
        <w:snapToGrid w:val="0"/>
        <w:spacing w:beforeAutospacing="0" w:afterAutospacing="0" w:line="400" w:lineRule="exact"/>
        <w:jc w:val="both"/>
        <w:rPr>
          <w:rFonts w:hint="eastAsia" w:ascii="宋体" w:hAnsi="宋体" w:eastAsia="宋体" w:cs="宋体"/>
          <w:b/>
          <w:sz w:val="24"/>
          <w:szCs w:val="24"/>
          <w:highlight w:val="none"/>
        </w:rPr>
      </w:pPr>
    </w:p>
    <w:p>
      <w:pPr>
        <w:pageBreakBefore w:val="0"/>
        <w:kinsoku/>
        <w:wordWrap/>
        <w:overflowPunct/>
        <w:topLinePunct w:val="0"/>
        <w:bidi w:val="0"/>
        <w:adjustRightInd w:val="0"/>
        <w:snapToGrid w:val="0"/>
        <w:spacing w:beforeAutospacing="0" w:afterAutospacing="0" w:line="400" w:lineRule="exact"/>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资格审查表</w:t>
      </w:r>
    </w:p>
    <w:tbl>
      <w:tblPr>
        <w:tblStyle w:val="23"/>
        <w:tblpPr w:leftFromText="180" w:rightFromText="180" w:vertAnchor="text" w:horzAnchor="page" w:tblpX="1691" w:tblpY="227"/>
        <w:tblOverlap w:val="never"/>
        <w:tblW w:w="8655" w:type="dxa"/>
        <w:tblInd w:w="0" w:type="dxa"/>
        <w:tblLayout w:type="fixed"/>
        <w:tblCellMar>
          <w:top w:w="15" w:type="dxa"/>
          <w:left w:w="15" w:type="dxa"/>
          <w:bottom w:w="15" w:type="dxa"/>
          <w:right w:w="15" w:type="dxa"/>
        </w:tblCellMar>
      </w:tblPr>
      <w:tblGrid>
        <w:gridCol w:w="1988"/>
        <w:gridCol w:w="4475"/>
        <w:gridCol w:w="2192"/>
      </w:tblGrid>
      <w:tr>
        <w:tblPrEx>
          <w:tblCellMar>
            <w:top w:w="15" w:type="dxa"/>
            <w:left w:w="15" w:type="dxa"/>
            <w:bottom w:w="15" w:type="dxa"/>
            <w:right w:w="15" w:type="dxa"/>
          </w:tblCellMar>
        </w:tblPrEx>
        <w:trPr>
          <w:trHeight w:val="1194" w:hRule="atLeast"/>
        </w:trPr>
        <w:tc>
          <w:tcPr>
            <w:tcW w:w="198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447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评审内容</w:t>
            </w:r>
          </w:p>
        </w:tc>
        <w:tc>
          <w:tcPr>
            <w:tcW w:w="21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是否通过评审</w:t>
            </w:r>
          </w:p>
          <w:p>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（注：通过的打“√”，未通过的打“×”）</w:t>
            </w:r>
          </w:p>
        </w:tc>
      </w:tr>
      <w:tr>
        <w:tblPrEx>
          <w:tblCellMar>
            <w:top w:w="15" w:type="dxa"/>
            <w:left w:w="15" w:type="dxa"/>
            <w:bottom w:w="15" w:type="dxa"/>
            <w:right w:w="15" w:type="dxa"/>
          </w:tblCellMar>
        </w:tblPrEx>
        <w:trPr>
          <w:trHeight w:val="488" w:hRule="atLeast"/>
        </w:trPr>
        <w:tc>
          <w:tcPr>
            <w:tcW w:w="198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47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是否提供合格的营业执照；</w:t>
            </w:r>
          </w:p>
        </w:tc>
        <w:tc>
          <w:tcPr>
            <w:tcW w:w="21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kern w:val="0"/>
                <w:sz w:val="24"/>
                <w:szCs w:val="24"/>
                <w:highlight w:val="none"/>
              </w:rPr>
            </w:pPr>
          </w:p>
        </w:tc>
      </w:tr>
      <w:tr>
        <w:tblPrEx>
          <w:tblCellMar>
            <w:top w:w="15" w:type="dxa"/>
            <w:left w:w="15" w:type="dxa"/>
            <w:bottom w:w="15" w:type="dxa"/>
            <w:right w:w="15" w:type="dxa"/>
          </w:tblCellMar>
        </w:tblPrEx>
        <w:trPr>
          <w:trHeight w:val="488" w:hRule="atLeast"/>
        </w:trPr>
        <w:tc>
          <w:tcPr>
            <w:tcW w:w="198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2</w:t>
            </w:r>
          </w:p>
        </w:tc>
        <w:tc>
          <w:tcPr>
            <w:tcW w:w="447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是否具有法定代表人证明书/法人授权委托书；</w:t>
            </w:r>
          </w:p>
        </w:tc>
        <w:tc>
          <w:tcPr>
            <w:tcW w:w="21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kern w:val="0"/>
                <w:sz w:val="24"/>
                <w:szCs w:val="24"/>
                <w:highlight w:val="none"/>
              </w:rPr>
            </w:pPr>
          </w:p>
        </w:tc>
      </w:tr>
      <w:tr>
        <w:tblPrEx>
          <w:tblCellMar>
            <w:top w:w="15" w:type="dxa"/>
            <w:left w:w="15" w:type="dxa"/>
            <w:bottom w:w="15" w:type="dxa"/>
            <w:right w:w="15" w:type="dxa"/>
          </w:tblCellMar>
        </w:tblPrEx>
        <w:trPr>
          <w:trHeight w:val="523" w:hRule="atLeast"/>
        </w:trPr>
        <w:tc>
          <w:tcPr>
            <w:tcW w:w="198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beforeAutospacing="0" w:afterAutospacing="0" w:line="400" w:lineRule="exact"/>
              <w:jc w:val="center"/>
              <w:textAlignment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3</w:t>
            </w:r>
          </w:p>
        </w:tc>
        <w:tc>
          <w:tcPr>
            <w:tcW w:w="447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投标保证金</w:t>
            </w:r>
            <w:r>
              <w:rPr>
                <w:rFonts w:hint="eastAsia" w:ascii="宋体" w:hAnsi="宋体" w:eastAsia="宋体" w:cs="宋体"/>
                <w:kern w:val="0"/>
                <w:sz w:val="24"/>
                <w:szCs w:val="24"/>
                <w:highlight w:val="none"/>
                <w:lang w:val="en-US" w:eastAsia="zh-CN"/>
              </w:rPr>
              <w:t>收据</w:t>
            </w:r>
            <w:r>
              <w:rPr>
                <w:rFonts w:hint="eastAsia" w:ascii="宋体" w:hAnsi="宋体" w:eastAsia="宋体" w:cs="宋体"/>
                <w:kern w:val="0"/>
                <w:sz w:val="24"/>
                <w:szCs w:val="24"/>
                <w:highlight w:val="none"/>
              </w:rPr>
              <w:t>；</w:t>
            </w:r>
          </w:p>
        </w:tc>
        <w:tc>
          <w:tcPr>
            <w:tcW w:w="21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kern w:val="0"/>
                <w:sz w:val="24"/>
                <w:szCs w:val="24"/>
                <w:highlight w:val="none"/>
              </w:rPr>
            </w:pPr>
          </w:p>
        </w:tc>
      </w:tr>
    </w:tbl>
    <w:p>
      <w:pPr>
        <w:pageBreakBefore w:val="0"/>
        <w:kinsoku/>
        <w:wordWrap/>
        <w:overflowPunct/>
        <w:topLinePunct w:val="0"/>
        <w:bidi w:val="0"/>
        <w:spacing w:beforeAutospacing="0" w:afterAutospacing="0" w:line="400" w:lineRule="exact"/>
        <w:rPr>
          <w:rFonts w:hint="eastAsia" w:ascii="宋体" w:hAnsi="宋体" w:eastAsia="宋体" w:cs="宋体"/>
          <w:color w:val="auto"/>
          <w:kern w:val="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auto"/>
          <w:kern w:val="0"/>
          <w:sz w:val="24"/>
          <w:szCs w:val="24"/>
          <w:highlight w:val="none"/>
        </w:rPr>
      </w:pPr>
    </w:p>
    <w:p>
      <w:pPr>
        <w:pageBreakBefore w:val="0"/>
        <w:kinsoku/>
        <w:wordWrap/>
        <w:overflowPunct/>
        <w:topLinePunct w:val="0"/>
        <w:bidi w:val="0"/>
        <w:spacing w:beforeAutospacing="0" w:afterAutospacing="0"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注：投标人有一项未通过不得参与下阶段评审，视为废标。</w:t>
      </w:r>
    </w:p>
    <w:p>
      <w:pPr>
        <w:pStyle w:val="6"/>
        <w:pageBreakBefore w:val="0"/>
        <w:kinsoku/>
        <w:wordWrap/>
        <w:overflowPunct/>
        <w:topLinePunct w:val="0"/>
        <w:bidi w:val="0"/>
        <w:spacing w:beforeAutospacing="0" w:afterAutospacing="0" w:line="400" w:lineRule="exact"/>
        <w:jc w:val="center"/>
        <w:outlineLvl w:val="9"/>
        <w:rPr>
          <w:rFonts w:hint="eastAsia" w:ascii="宋体" w:hAnsi="宋体" w:eastAsia="宋体" w:cs="宋体"/>
          <w:bCs w:val="0"/>
          <w:sz w:val="24"/>
          <w:szCs w:val="24"/>
          <w:highlight w:val="none"/>
        </w:rPr>
      </w:pPr>
    </w:p>
    <w:p>
      <w:pPr>
        <w:pStyle w:val="6"/>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bCs w:val="0"/>
          <w:sz w:val="24"/>
          <w:szCs w:val="24"/>
          <w:highlight w:val="none"/>
        </w:rPr>
        <w:t>符合性审查表</w:t>
      </w:r>
    </w:p>
    <w:tbl>
      <w:tblPr>
        <w:tblStyle w:val="23"/>
        <w:tblW w:w="88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5190"/>
        <w:gridCol w:w="964"/>
        <w:gridCol w:w="93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评审内容</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报价不是唯一且报价高于设定的采购限价；</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投标文件未按招标文件要求签署、签章的；</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投标有效期不满足招标文件要求的；</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明显不符合招标文件要求的</w:t>
            </w:r>
            <w:r>
              <w:rPr>
                <w:rFonts w:hint="eastAsia" w:ascii="宋体" w:hAnsi="宋体" w:cs="宋体"/>
                <w:i w:val="0"/>
                <w:iCs w:val="0"/>
                <w:color w:val="auto"/>
                <w:kern w:val="0"/>
                <w:sz w:val="24"/>
                <w:szCs w:val="24"/>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投标文件中含有采购人不能接受的附加条件的；</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投标声明书无法定代表人签名，或委托人未提供法定代表人授权委托书、填写项目不齐全的；</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投标文件格式不规范、提供资料不齐全或者内容虚假的；</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投标文件的实质性内容未使用中文表述、表述不明确、前后矛盾或者使用计量单位不符合招标文件要求的（经评标委员会认定并允许其当场更正的笔误除外）；</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投标文件的关键内容字迹模糊、无法辨认的，或者投标文件中经修正的内容字迹模糊难以辩认或者修改处未按规定签署、盖章的； </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法律、法规和招标文件规定的其他无效情形；</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9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评审结果</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888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注：符合性评审内容只有“通过”与“不通过”，“通过”打“√”，“不通过”打“╳”，只要有一项为“不通过”， 符合性评审结果为“不通过”，“不通过”的供货商将无资格进行后续</w:t>
            </w:r>
            <w:r>
              <w:rPr>
                <w:rFonts w:hint="eastAsia" w:ascii="宋体" w:hAnsi="宋体" w:cs="宋体"/>
                <w:i w:val="0"/>
                <w:iCs w:val="0"/>
                <w:color w:val="000000"/>
                <w:kern w:val="0"/>
                <w:sz w:val="24"/>
                <w:szCs w:val="24"/>
                <w:u w:val="none"/>
                <w:lang w:val="en-US" w:eastAsia="zh-CN" w:bidi="ar"/>
              </w:rPr>
              <w:t>评审</w:t>
            </w:r>
            <w:r>
              <w:rPr>
                <w:rFonts w:hint="eastAsia" w:ascii="宋体" w:hAnsi="宋体" w:eastAsia="宋体" w:cs="宋体"/>
                <w:i w:val="0"/>
                <w:iCs w:val="0"/>
                <w:color w:val="000000"/>
                <w:kern w:val="0"/>
                <w:sz w:val="24"/>
                <w:szCs w:val="24"/>
                <w:u w:val="none"/>
                <w:lang w:val="en-US" w:eastAsia="zh-CN" w:bidi="ar"/>
              </w:rPr>
              <w:t>。</w:t>
            </w:r>
          </w:p>
        </w:tc>
      </w:tr>
    </w:tbl>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pPr>
        <w:pageBreakBefore w:val="0"/>
        <w:widowControl/>
        <w:kinsoku/>
        <w:wordWrap/>
        <w:overflowPunct/>
        <w:topLinePunct w:val="0"/>
        <w:bidi w:val="0"/>
        <w:spacing w:beforeAutospacing="0" w:afterAutospacing="0" w:line="400" w:lineRule="exact"/>
        <w:ind w:firstLine="1680" w:firstLineChars="700"/>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注：投标人有一项未通过不得参与下阶段评审，视为废标。</w:t>
      </w:r>
    </w:p>
    <w:p>
      <w:pPr>
        <w:pStyle w:val="31"/>
        <w:pageBreakBefore w:val="0"/>
        <w:kinsoku/>
        <w:wordWrap/>
        <w:overflowPunct/>
        <w:topLinePunct w:val="0"/>
        <w:bidi w:val="0"/>
        <w:spacing w:beforeAutospacing="0" w:afterAutospacing="0" w:line="400" w:lineRule="exact"/>
        <w:jc w:val="both"/>
        <w:rPr>
          <w:rFonts w:hint="eastAsia" w:ascii="宋体" w:hAnsi="宋体" w:eastAsia="宋体" w:cs="宋体"/>
          <w:b/>
          <w:bCs/>
          <w:sz w:val="24"/>
          <w:szCs w:val="24"/>
        </w:rPr>
      </w:pPr>
    </w:p>
    <w:p>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价格部分（10分）、</w:t>
      </w:r>
      <w:r>
        <w:rPr>
          <w:rFonts w:hint="eastAsia" w:ascii="宋体" w:hAnsi="宋体" w:eastAsia="宋体" w:cs="宋体"/>
          <w:sz w:val="24"/>
          <w:szCs w:val="24"/>
        </w:rPr>
        <w:t>商务技术部分（90分）</w:t>
      </w:r>
    </w:p>
    <w:tbl>
      <w:tblPr>
        <w:tblStyle w:val="2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341"/>
        <w:gridCol w:w="8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44"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评分因素</w:t>
            </w:r>
          </w:p>
        </w:tc>
        <w:tc>
          <w:tcPr>
            <w:tcW w:w="9433" w:type="dxa"/>
            <w:gridSpan w:val="2"/>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价格部分</w:t>
            </w:r>
          </w:p>
          <w:p>
            <w:pPr>
              <w:pageBreakBefore w:val="0"/>
              <w:kinsoku/>
              <w:wordWrap/>
              <w:overflowPunct/>
              <w:topLinePunct w:val="0"/>
              <w:bidi w:val="0"/>
              <w:spacing w:beforeAutospacing="0" w:afterAutospacing="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（10分）</w:t>
            </w:r>
          </w:p>
        </w:tc>
        <w:tc>
          <w:tcPr>
            <w:tcW w:w="9433" w:type="dxa"/>
            <w:gridSpan w:val="2"/>
            <w:vAlign w:val="center"/>
          </w:tcPr>
          <w:p>
            <w:pPr>
              <w:pageBreakBefore w:val="0"/>
              <w:kinsoku/>
              <w:wordWrap/>
              <w:overflowPunct/>
              <w:topLinePunct w:val="0"/>
              <w:bidi w:val="0"/>
              <w:snapToGrid w:val="0"/>
              <w:spacing w:beforeAutospacing="0" w:afterAutospacing="0" w:line="400" w:lineRule="exact"/>
              <w:rPr>
                <w:rFonts w:hint="eastAsia" w:ascii="宋体" w:hAnsi="宋体" w:eastAsia="宋体" w:cs="宋体"/>
                <w:sz w:val="24"/>
                <w:szCs w:val="24"/>
              </w:rPr>
            </w:pPr>
            <w:r>
              <w:rPr>
                <w:rFonts w:hint="eastAsia" w:ascii="宋体" w:hAnsi="宋体" w:eastAsia="宋体" w:cs="宋体"/>
                <w:sz w:val="24"/>
                <w:szCs w:val="24"/>
              </w:rPr>
              <w:t>综合评分法中的价格分统一采用低价优先法计算，即满足招标文件要求且价格最低的投标报价为评标基准价，其价格分为满分。其他投标人的价格分统一按照下列公式计算：</w:t>
            </w:r>
          </w:p>
          <w:p>
            <w:pPr>
              <w:pStyle w:val="11"/>
              <w:pageBreakBefore w:val="0"/>
              <w:kinsoku/>
              <w:wordWrap/>
              <w:overflowPunct/>
              <w:topLinePunct w:val="0"/>
              <w:bidi w:val="0"/>
              <w:spacing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投标人报价得分=(评标基准价／投标价格)×10%×100</w:t>
            </w:r>
          </w:p>
          <w:p>
            <w:pPr>
              <w:pageBreakBefore w:val="0"/>
              <w:kinsoku/>
              <w:wordWrap/>
              <w:overflowPunct/>
              <w:topLinePunct w:val="0"/>
              <w:bidi w:val="0"/>
              <w:spacing w:beforeAutospacing="0" w:afterAutospacing="0" w:line="400" w:lineRule="exact"/>
              <w:rPr>
                <w:rFonts w:hint="eastAsia" w:ascii="宋体" w:hAnsi="宋体" w:eastAsia="宋体" w:cs="宋体"/>
                <w:kern w:val="0"/>
                <w:sz w:val="24"/>
                <w:szCs w:val="24"/>
              </w:rPr>
            </w:pPr>
            <w:r>
              <w:rPr>
                <w:rFonts w:hint="eastAsia" w:ascii="宋体" w:hAnsi="宋体" w:eastAsia="宋体" w:cs="宋体"/>
                <w:sz w:val="24"/>
                <w:szCs w:val="24"/>
              </w:rPr>
              <w:t>对小型和微型企业的价格给予10%的扣除，用扣除后的价格参与评审。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44" w:type="dxa"/>
            <w:vMerge w:val="restart"/>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商务部分</w:t>
            </w:r>
          </w:p>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16</w:t>
            </w:r>
            <w:r>
              <w:rPr>
                <w:rFonts w:hint="eastAsia" w:ascii="宋体" w:hAnsi="宋体" w:eastAsia="宋体" w:cs="宋体"/>
                <w:color w:val="000000" w:themeColor="text1"/>
                <w:kern w:val="0"/>
                <w:sz w:val="24"/>
                <w:szCs w:val="24"/>
                <w14:textFill>
                  <w14:solidFill>
                    <w14:schemeClr w14:val="tx1"/>
                  </w14:solidFill>
                </w14:textFill>
              </w:rPr>
              <w:t>分）</w:t>
            </w:r>
          </w:p>
        </w:tc>
        <w:tc>
          <w:tcPr>
            <w:tcW w:w="1341" w:type="dxa"/>
            <w:vAlign w:val="center"/>
          </w:tcPr>
          <w:p>
            <w:pPr>
              <w:pageBreakBefore w:val="0"/>
              <w:kinsoku/>
              <w:wordWrap/>
              <w:overflowPunct/>
              <w:topLinePunct w:val="0"/>
              <w:bidi w:val="0"/>
              <w:snapToGrid w:val="0"/>
              <w:spacing w:beforeAutospacing="0" w:afterAutospacing="0"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投标人业绩（</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8092" w:type="dxa"/>
            <w:vAlign w:val="center"/>
          </w:tcPr>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对投标人提供</w:t>
            </w:r>
            <w:r>
              <w:rPr>
                <w:rFonts w:hint="eastAsia" w:ascii="宋体" w:hAnsi="宋体" w:eastAsia="宋体" w:cs="宋体"/>
                <w:color w:val="000000" w:themeColor="text1"/>
                <w:kern w:val="0"/>
                <w:sz w:val="24"/>
                <w:szCs w:val="24"/>
                <w:lang w:val="en-US" w:eastAsia="zh-CN"/>
                <w14:textFill>
                  <w14:solidFill>
                    <w14:schemeClr w14:val="tx1"/>
                  </w14:solidFill>
                </w14:textFill>
              </w:rPr>
              <w:t>近三年（投标截止日期前三年）</w:t>
            </w:r>
            <w:r>
              <w:rPr>
                <w:rFonts w:hint="eastAsia" w:ascii="宋体" w:hAnsi="宋体" w:eastAsia="宋体" w:cs="宋体"/>
                <w:color w:val="000000" w:themeColor="text1"/>
                <w:kern w:val="0"/>
                <w:sz w:val="24"/>
                <w:szCs w:val="24"/>
                <w14:textFill>
                  <w14:solidFill>
                    <w14:schemeClr w14:val="tx1"/>
                  </w14:solidFill>
                </w14:textFill>
              </w:rPr>
              <w:t>至今的</w:t>
            </w:r>
            <w:r>
              <w:rPr>
                <w:rFonts w:hint="eastAsia" w:ascii="宋体" w:hAnsi="宋体" w:cs="宋体"/>
                <w:color w:val="000000" w:themeColor="text1"/>
                <w:kern w:val="0"/>
                <w:sz w:val="24"/>
                <w:szCs w:val="24"/>
                <w:lang w:val="en-US" w:eastAsia="zh-CN"/>
                <w14:textFill>
                  <w14:solidFill>
                    <w14:schemeClr w14:val="tx1"/>
                  </w14:solidFill>
                </w14:textFill>
              </w:rPr>
              <w:t>园林、环卫服务</w:t>
            </w:r>
            <w:r>
              <w:rPr>
                <w:rFonts w:hint="eastAsia" w:ascii="宋体" w:hAnsi="宋体" w:eastAsia="宋体" w:cs="宋体"/>
                <w:color w:val="000000" w:themeColor="text1"/>
                <w:kern w:val="0"/>
                <w:sz w:val="24"/>
                <w:szCs w:val="24"/>
                <w14:textFill>
                  <w14:solidFill>
                    <w14:schemeClr w14:val="tx1"/>
                  </w14:solidFill>
                </w14:textFill>
              </w:rPr>
              <w:t>业绩，一</w:t>
            </w:r>
            <w:r>
              <w:rPr>
                <w:rFonts w:hint="eastAsia" w:ascii="宋体" w:hAnsi="宋体" w:cs="宋体"/>
                <w:color w:val="000000" w:themeColor="text1"/>
                <w:kern w:val="0"/>
                <w:sz w:val="24"/>
                <w:szCs w:val="24"/>
                <w:lang w:val="en-US" w:eastAsia="zh-CN"/>
                <w14:textFill>
                  <w14:solidFill>
                    <w14:schemeClr w14:val="tx1"/>
                  </w14:solidFill>
                </w14:textFill>
              </w:rPr>
              <w:t>个</w:t>
            </w:r>
            <w:r>
              <w:rPr>
                <w:rFonts w:hint="eastAsia" w:ascii="宋体" w:hAnsi="宋体" w:eastAsia="宋体" w:cs="宋体"/>
                <w:color w:val="000000" w:themeColor="text1"/>
                <w:kern w:val="0"/>
                <w:sz w:val="24"/>
                <w:szCs w:val="24"/>
                <w14:textFill>
                  <w14:solidFill>
                    <w14:schemeClr w14:val="tx1"/>
                  </w14:solidFill>
                </w14:textFill>
              </w:rPr>
              <w:t>业绩得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分，最多得</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分。</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注：项目业绩证明以加盖投标人公章的合同复印件</w:t>
            </w:r>
            <w:r>
              <w:rPr>
                <w:rFonts w:hint="eastAsia" w:ascii="宋体" w:hAnsi="宋体" w:cs="宋体"/>
                <w:color w:val="000000" w:themeColor="text1"/>
                <w:kern w:val="0"/>
                <w:sz w:val="24"/>
                <w:szCs w:val="24"/>
                <w:lang w:val="en-US" w:eastAsia="zh-CN"/>
                <w14:textFill>
                  <w14:solidFill>
                    <w14:schemeClr w14:val="tx1"/>
                  </w14:solidFill>
                </w14:textFill>
              </w:rPr>
              <w:t>及</w:t>
            </w:r>
            <w:r>
              <w:rPr>
                <w:rFonts w:hint="eastAsia" w:ascii="宋体" w:hAnsi="宋体" w:eastAsia="宋体" w:cs="宋体"/>
                <w:color w:val="000000" w:themeColor="text1"/>
                <w:kern w:val="0"/>
                <w:sz w:val="24"/>
                <w:szCs w:val="24"/>
                <w14:textFill>
                  <w14:solidFill>
                    <w14:schemeClr w14:val="tx1"/>
                  </w14:solidFill>
                </w14:textFill>
              </w:rPr>
              <w:t>中标/成交通知书作为依据。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44" w:type="dxa"/>
            <w:vMerge w:val="continue"/>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341" w:type="dxa"/>
            <w:vAlign w:val="center"/>
          </w:tcPr>
          <w:p>
            <w:pPr>
              <w:pageBreakBefore w:val="0"/>
              <w:kinsoku/>
              <w:wordWrap/>
              <w:overflowPunct/>
              <w:topLinePunct w:val="0"/>
              <w:bidi w:val="0"/>
              <w:snapToGrid w:val="0"/>
              <w:spacing w:beforeAutospacing="0" w:afterAutospacing="0"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服务评价（</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分）</w:t>
            </w:r>
          </w:p>
        </w:tc>
        <w:tc>
          <w:tcPr>
            <w:tcW w:w="8092" w:type="dxa"/>
            <w:vAlign w:val="center"/>
          </w:tcPr>
          <w:p>
            <w:pPr>
              <w:pageBreakBefore w:val="0"/>
              <w:kinsoku/>
              <w:wordWrap/>
              <w:overflowPunct/>
              <w:topLinePunct w:val="0"/>
              <w:bidi w:val="0"/>
              <w:spacing w:beforeAutospacing="0" w:afterAutospacing="0" w:line="400" w:lineRule="exact"/>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投标单位在其所承接的环卫</w:t>
            </w:r>
            <w:r>
              <w:rPr>
                <w:rFonts w:hint="eastAsia" w:ascii="宋体" w:hAnsi="宋体" w:cs="宋体"/>
                <w:color w:val="000000" w:themeColor="text1"/>
                <w:kern w:val="0"/>
                <w:sz w:val="24"/>
                <w:szCs w:val="24"/>
                <w:lang w:val="en-US" w:eastAsia="zh-CN"/>
                <w14:textFill>
                  <w14:solidFill>
                    <w14:schemeClr w14:val="tx1"/>
                  </w14:solidFill>
                </w14:textFill>
              </w:rPr>
              <w:t>或园林</w:t>
            </w:r>
            <w:r>
              <w:rPr>
                <w:rFonts w:hint="default" w:ascii="宋体" w:hAnsi="宋体" w:eastAsia="宋体" w:cs="宋体"/>
                <w:color w:val="000000" w:themeColor="text1"/>
                <w:kern w:val="0"/>
                <w:sz w:val="24"/>
                <w:szCs w:val="24"/>
                <w:lang w:val="en-US" w:eastAsia="zh-CN"/>
                <w14:textFill>
                  <w14:solidFill>
                    <w14:schemeClr w14:val="tx1"/>
                  </w14:solidFill>
                </w14:textFill>
              </w:rPr>
              <w:t>项目服务期间，服务的城市成功创建或保留文明城市（含县城）</w:t>
            </w:r>
            <w:r>
              <w:rPr>
                <w:rFonts w:hint="eastAsia" w:ascii="宋体" w:hAnsi="宋体" w:cs="宋体"/>
                <w:color w:val="000000" w:themeColor="text1"/>
                <w:kern w:val="0"/>
                <w:sz w:val="24"/>
                <w:szCs w:val="24"/>
                <w:lang w:val="en-US" w:eastAsia="zh-CN"/>
                <w14:textFill>
                  <w14:solidFill>
                    <w14:schemeClr w14:val="tx1"/>
                  </w14:solidFill>
                </w14:textFill>
              </w:rPr>
              <w:t>、</w:t>
            </w:r>
            <w:r>
              <w:rPr>
                <w:rFonts w:hint="default" w:ascii="宋体" w:hAnsi="宋体" w:eastAsia="宋体" w:cs="宋体"/>
                <w:color w:val="000000" w:themeColor="text1"/>
                <w:kern w:val="0"/>
                <w:sz w:val="24"/>
                <w:szCs w:val="24"/>
                <w:lang w:val="en-US" w:eastAsia="zh-CN"/>
                <w14:textFill>
                  <w14:solidFill>
                    <w14:schemeClr w14:val="tx1"/>
                  </w14:solidFill>
                </w14:textFill>
              </w:rPr>
              <w:t>卫生城市（含县城）</w:t>
            </w:r>
            <w:r>
              <w:rPr>
                <w:rFonts w:hint="eastAsia" w:ascii="宋体" w:hAnsi="宋体" w:cs="宋体"/>
                <w:color w:val="000000" w:themeColor="text1"/>
                <w:kern w:val="0"/>
                <w:sz w:val="24"/>
                <w:szCs w:val="24"/>
                <w:lang w:val="en-US" w:eastAsia="zh-CN"/>
                <w14:textFill>
                  <w14:solidFill>
                    <w14:schemeClr w14:val="tx1"/>
                  </w14:solidFill>
                </w14:textFill>
              </w:rPr>
              <w:t>或园林城市（</w:t>
            </w:r>
            <w:r>
              <w:rPr>
                <w:rFonts w:hint="default" w:ascii="宋体" w:hAnsi="宋体" w:eastAsia="宋体" w:cs="宋体"/>
                <w:color w:val="000000" w:themeColor="text1"/>
                <w:kern w:val="0"/>
                <w:sz w:val="24"/>
                <w:szCs w:val="24"/>
                <w:lang w:val="en-US" w:eastAsia="zh-CN"/>
                <w14:textFill>
                  <w14:solidFill>
                    <w14:schemeClr w14:val="tx1"/>
                  </w14:solidFill>
                </w14:textFill>
              </w:rPr>
              <w:t>含县城</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相关</w:t>
            </w:r>
            <w:r>
              <w:rPr>
                <w:rFonts w:hint="default" w:ascii="宋体" w:hAnsi="宋体" w:eastAsia="宋体" w:cs="宋体"/>
                <w:color w:val="000000" w:themeColor="text1"/>
                <w:kern w:val="0"/>
                <w:sz w:val="24"/>
                <w:szCs w:val="24"/>
                <w:lang w:val="en-US" w:eastAsia="zh-CN"/>
                <w14:textFill>
                  <w14:solidFill>
                    <w14:schemeClr w14:val="tx1"/>
                  </w14:solidFill>
                </w14:textFill>
              </w:rPr>
              <w:t>荣誉的</w:t>
            </w:r>
            <w:r>
              <w:rPr>
                <w:rFonts w:hint="eastAsia" w:ascii="宋体" w:hAnsi="宋体" w:cs="宋体"/>
                <w:color w:val="000000" w:themeColor="text1"/>
                <w:kern w:val="0"/>
                <w:sz w:val="24"/>
                <w:szCs w:val="24"/>
                <w:lang w:val="en-US" w:eastAsia="zh-CN"/>
                <w14:textFill>
                  <w14:solidFill>
                    <w14:schemeClr w14:val="tx1"/>
                  </w14:solidFill>
                </w14:textFill>
              </w:rPr>
              <w:t>，获得国家级的每有1个得1分，获得省级、自治区级的每有1个得0.5分，最高得3分。</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 xml:space="preserve"> 评审依据 ：</w:t>
            </w:r>
            <w:r>
              <w:rPr>
                <w:rFonts w:hint="eastAsia" w:ascii="宋体" w:hAnsi="宋体" w:eastAsia="宋体" w:cs="宋体"/>
                <w:color w:val="000000" w:themeColor="text1"/>
                <w:kern w:val="0"/>
                <w:sz w:val="24"/>
                <w:szCs w:val="24"/>
                <w:lang w:val="en-US" w:eastAsia="zh-CN"/>
                <w14:textFill>
                  <w14:solidFill>
                    <w14:schemeClr w14:val="tx1"/>
                  </w14:solidFill>
                </w14:textFill>
              </w:rPr>
              <w:t>投标单位提供</w:t>
            </w:r>
            <w:r>
              <w:rPr>
                <w:rFonts w:hint="default" w:ascii="宋体" w:hAnsi="宋体" w:eastAsia="宋体" w:cs="宋体"/>
                <w:color w:val="000000" w:themeColor="text1"/>
                <w:kern w:val="0"/>
                <w:sz w:val="24"/>
                <w:szCs w:val="24"/>
                <w:lang w:val="en-US" w:eastAsia="zh-CN"/>
                <w14:textFill>
                  <w14:solidFill>
                    <w14:schemeClr w14:val="tx1"/>
                  </w14:solidFill>
                </w14:textFill>
              </w:rPr>
              <w:t>中标通知书、政府或行政部门批复的红头文件</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default" w:ascii="宋体" w:hAnsi="宋体" w:eastAsia="宋体" w:cs="宋体"/>
                <w:color w:val="000000" w:themeColor="text1"/>
                <w:kern w:val="0"/>
                <w:sz w:val="24"/>
                <w:szCs w:val="24"/>
                <w:lang w:val="en-US" w:eastAsia="zh-CN"/>
                <w14:textFill>
                  <w14:solidFill>
                    <w14:schemeClr w14:val="tx1"/>
                  </w14:solidFill>
                </w14:textFill>
              </w:rPr>
              <w:t>或授牌或相关官方网站公示查询截图</w:t>
            </w:r>
            <w:r>
              <w:rPr>
                <w:rFonts w:hint="eastAsia" w:ascii="宋体" w:hAnsi="宋体" w:eastAsia="宋体" w:cs="宋体"/>
                <w:color w:val="000000" w:themeColor="text1"/>
                <w:kern w:val="0"/>
                <w:sz w:val="24"/>
                <w:szCs w:val="24"/>
                <w:lang w:val="en-US" w:eastAsia="zh-CN"/>
                <w14:textFill>
                  <w14:solidFill>
                    <w14:schemeClr w14:val="tx1"/>
                  </w14:solidFill>
                </w14:textFill>
              </w:rPr>
              <w:t>）扫描件</w:t>
            </w:r>
            <w:r>
              <w:rPr>
                <w:rFonts w:hint="default" w:ascii="宋体" w:hAnsi="宋体" w:eastAsia="宋体" w:cs="宋体"/>
                <w:color w:val="000000" w:themeColor="text1"/>
                <w:kern w:val="0"/>
                <w:sz w:val="24"/>
                <w:szCs w:val="24"/>
                <w:lang w:val="en-US" w:eastAsia="zh-CN"/>
                <w14:textFill>
                  <w14:solidFill>
                    <w14:schemeClr w14:val="tx1"/>
                  </w14:solidFill>
                </w14:textFill>
              </w:rPr>
              <w:t>并加盖供应商公章（以证书获奖或颁发时间为准），否则不得分。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vMerge w:val="continue"/>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341" w:type="dxa"/>
            <w:vAlign w:val="center"/>
          </w:tcPr>
          <w:p>
            <w:pPr>
              <w:pageBreakBefore w:val="0"/>
              <w:kinsoku/>
              <w:wordWrap/>
              <w:overflowPunct/>
              <w:topLinePunct w:val="0"/>
              <w:bidi w:val="0"/>
              <w:snapToGrid w:val="0"/>
              <w:spacing w:beforeAutospacing="0" w:afterAutospacing="0" w:line="400" w:lineRule="exact"/>
              <w:jc w:val="center"/>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项目人员（</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w:t>
            </w:r>
          </w:p>
        </w:tc>
        <w:tc>
          <w:tcPr>
            <w:tcW w:w="8092" w:type="dxa"/>
            <w:vAlign w:val="center"/>
          </w:tcPr>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根据投标人拟投入本项目的项目负责人进行评分：</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、投标人拟派本项目的项目经理（</w:t>
            </w:r>
            <w:r>
              <w:rPr>
                <w:rFonts w:hint="eastAsia" w:ascii="宋体" w:hAnsi="宋体" w:cs="宋体"/>
                <w:color w:val="000000" w:themeColor="text1"/>
                <w:kern w:val="0"/>
                <w:sz w:val="24"/>
                <w:szCs w:val="24"/>
                <w:lang w:val="en-US" w:eastAsia="zh-CN"/>
                <w14:textFill>
                  <w14:solidFill>
                    <w14:schemeClr w14:val="tx1"/>
                  </w14:solidFill>
                </w14:textFill>
              </w:rPr>
              <w:t>2.5</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分）： </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①具有</w:t>
            </w:r>
            <w:r>
              <w:rPr>
                <w:rFonts w:hint="eastAsia" w:ascii="宋体" w:hAnsi="宋体" w:cs="宋体"/>
                <w:color w:val="000000" w:themeColor="text1"/>
                <w:kern w:val="0"/>
                <w:sz w:val="24"/>
                <w:szCs w:val="24"/>
                <w:lang w:val="en-US" w:eastAsia="zh-CN"/>
                <w14:textFill>
                  <w14:solidFill>
                    <w14:schemeClr w14:val="tx1"/>
                  </w14:solidFill>
                </w14:textFill>
              </w:rPr>
              <w:t>本科及以上</w:t>
            </w:r>
            <w:r>
              <w:rPr>
                <w:rFonts w:hint="eastAsia" w:ascii="宋体" w:hAnsi="宋体" w:eastAsia="宋体" w:cs="宋体"/>
                <w:color w:val="000000" w:themeColor="text1"/>
                <w:kern w:val="0"/>
                <w:sz w:val="24"/>
                <w:szCs w:val="24"/>
                <w:lang w:val="en-US" w:eastAsia="zh-CN"/>
                <w14:textFill>
                  <w14:solidFill>
                    <w14:schemeClr w14:val="tx1"/>
                  </w14:solidFill>
                </w14:textFill>
              </w:rPr>
              <w:t>学历的得</w:t>
            </w:r>
            <w:r>
              <w:rPr>
                <w:rFonts w:hint="eastAsia" w:ascii="宋体" w:hAnsi="宋体" w:cs="宋体"/>
                <w:color w:val="000000" w:themeColor="text1"/>
                <w:kern w:val="0"/>
                <w:sz w:val="24"/>
                <w:szCs w:val="24"/>
                <w:lang w:val="en-US" w:eastAsia="zh-CN"/>
                <w14:textFill>
                  <w14:solidFill>
                    <w14:schemeClr w14:val="tx1"/>
                  </w14:solidFill>
                </w14:textFill>
              </w:rPr>
              <w:t>0.5</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lang w:val="en-US" w:eastAsia="zh-CN"/>
                <w14:textFill>
                  <w14:solidFill>
                    <w14:schemeClr w14:val="tx1"/>
                  </w14:solidFill>
                </w14:textFill>
              </w:rPr>
              <w:t>具有</w:t>
            </w:r>
            <w:r>
              <w:rPr>
                <w:rFonts w:hint="eastAsia" w:ascii="宋体" w:hAnsi="宋体" w:cs="宋体"/>
                <w:color w:val="000000" w:themeColor="text1"/>
                <w:kern w:val="0"/>
                <w:sz w:val="24"/>
                <w:szCs w:val="24"/>
                <w:lang w:val="en-US" w:eastAsia="zh-CN"/>
                <w14:textFill>
                  <w14:solidFill>
                    <w14:schemeClr w14:val="tx1"/>
                  </w14:solidFill>
                </w14:textFill>
              </w:rPr>
              <w:t>与环卫、园林</w:t>
            </w:r>
            <w:r>
              <w:rPr>
                <w:rFonts w:hint="eastAsia" w:ascii="宋体" w:hAnsi="宋体" w:eastAsia="宋体" w:cs="宋体"/>
                <w:color w:val="000000" w:themeColor="text1"/>
                <w:kern w:val="0"/>
                <w:sz w:val="24"/>
                <w:szCs w:val="24"/>
                <w:lang w:val="en-US" w:eastAsia="zh-CN"/>
                <w14:textFill>
                  <w14:solidFill>
                    <w14:schemeClr w14:val="tx1"/>
                  </w14:solidFill>
                </w14:textFill>
              </w:rPr>
              <w:t>相关专业中级职称证书的得</w:t>
            </w:r>
            <w:r>
              <w:rPr>
                <w:rFonts w:hint="eastAsia" w:ascii="宋体" w:hAnsi="宋体" w:cs="宋体"/>
                <w:color w:val="000000" w:themeColor="text1"/>
                <w:kern w:val="0"/>
                <w:sz w:val="24"/>
                <w:szCs w:val="24"/>
                <w:lang w:val="en-US" w:eastAsia="zh-CN"/>
                <w14:textFill>
                  <w14:solidFill>
                    <w14:schemeClr w14:val="tx1"/>
                  </w14:solidFill>
                </w14:textFill>
              </w:rPr>
              <w:t>0.5</w:t>
            </w:r>
            <w:r>
              <w:rPr>
                <w:rFonts w:hint="eastAsia" w:ascii="宋体" w:hAnsi="宋体" w:eastAsia="宋体" w:cs="宋体"/>
                <w:color w:val="000000" w:themeColor="text1"/>
                <w:kern w:val="0"/>
                <w:sz w:val="24"/>
                <w:szCs w:val="24"/>
                <w:lang w:val="en-US" w:eastAsia="zh-CN"/>
                <w14:textFill>
                  <w14:solidFill>
                    <w14:schemeClr w14:val="tx1"/>
                  </w14:solidFill>
                </w14:textFill>
              </w:rPr>
              <w:t>分，高级及以上职称证书的得</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分；本项最多得</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③</w:t>
            </w:r>
            <w:r>
              <w:rPr>
                <w:rFonts w:hint="eastAsia" w:ascii="宋体" w:hAnsi="宋体" w:eastAsia="宋体" w:cs="宋体"/>
                <w:color w:val="000000" w:themeColor="text1"/>
                <w:kern w:val="0"/>
                <w:sz w:val="24"/>
                <w:szCs w:val="24"/>
                <w:lang w:val="en-US" w:eastAsia="zh-CN"/>
                <w14:textFill>
                  <w14:solidFill>
                    <w14:schemeClr w14:val="tx1"/>
                  </w14:solidFill>
                </w14:textFill>
              </w:rPr>
              <w:t>具有</w:t>
            </w:r>
            <w:r>
              <w:rPr>
                <w:rFonts w:hint="eastAsia" w:ascii="宋体" w:hAnsi="宋体" w:cs="宋体"/>
                <w:color w:val="000000" w:themeColor="text1"/>
                <w:kern w:val="0"/>
                <w:sz w:val="24"/>
                <w:szCs w:val="24"/>
                <w:lang w:val="en-US" w:eastAsia="zh-CN"/>
                <w14:textFill>
                  <w14:solidFill>
                    <w14:schemeClr w14:val="tx1"/>
                  </w14:solidFill>
                </w14:textFill>
              </w:rPr>
              <w:t>相关项目</w:t>
            </w:r>
            <w:r>
              <w:rPr>
                <w:rFonts w:hint="eastAsia" w:ascii="宋体" w:hAnsi="宋体" w:eastAsia="宋体" w:cs="宋体"/>
                <w:color w:val="000000" w:themeColor="text1"/>
                <w:kern w:val="0"/>
                <w:sz w:val="24"/>
                <w:szCs w:val="24"/>
                <w:lang w:val="en-US" w:eastAsia="zh-CN"/>
                <w14:textFill>
                  <w14:solidFill>
                    <w14:schemeClr w14:val="tx1"/>
                  </w14:solidFill>
                </w14:textFill>
              </w:rPr>
              <w:t>管理经验3年的得0.5分，5年及以上的得1分。</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2、投标人拟派本项目的技术负责人（</w:t>
            </w:r>
            <w:r>
              <w:rPr>
                <w:rFonts w:hint="eastAsia" w:ascii="宋体" w:hAnsi="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①具有本科</w:t>
            </w:r>
            <w:r>
              <w:rPr>
                <w:rFonts w:hint="eastAsia" w:ascii="宋体" w:hAnsi="宋体" w:cs="宋体"/>
                <w:color w:val="000000" w:themeColor="text1"/>
                <w:kern w:val="0"/>
                <w:sz w:val="24"/>
                <w:szCs w:val="24"/>
                <w:lang w:val="en-US" w:eastAsia="zh-CN"/>
                <w14:textFill>
                  <w14:solidFill>
                    <w14:schemeClr w14:val="tx1"/>
                  </w14:solidFill>
                </w14:textFill>
              </w:rPr>
              <w:t>及以上</w:t>
            </w:r>
            <w:r>
              <w:rPr>
                <w:rFonts w:hint="eastAsia" w:ascii="宋体" w:hAnsi="宋体" w:eastAsia="宋体" w:cs="宋体"/>
                <w:color w:val="000000" w:themeColor="text1"/>
                <w:kern w:val="0"/>
                <w:sz w:val="24"/>
                <w:szCs w:val="24"/>
                <w:lang w:val="en-US" w:eastAsia="zh-CN"/>
                <w14:textFill>
                  <w14:solidFill>
                    <w14:schemeClr w14:val="tx1"/>
                  </w14:solidFill>
                </w14:textFill>
              </w:rPr>
              <w:t>学历的得</w:t>
            </w:r>
            <w:r>
              <w:rPr>
                <w:rFonts w:hint="eastAsia" w:ascii="宋体" w:hAnsi="宋体" w:cs="宋体"/>
                <w:color w:val="000000" w:themeColor="text1"/>
                <w:kern w:val="0"/>
                <w:sz w:val="24"/>
                <w:szCs w:val="24"/>
                <w:lang w:val="en-US" w:eastAsia="zh-CN"/>
                <w14:textFill>
                  <w14:solidFill>
                    <w14:schemeClr w14:val="tx1"/>
                  </w14:solidFill>
                </w14:textFill>
              </w:rPr>
              <w:t>0.5</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lang w:val="en-US" w:eastAsia="zh-CN"/>
                <w14:textFill>
                  <w14:solidFill>
                    <w14:schemeClr w14:val="tx1"/>
                  </w14:solidFill>
                </w14:textFill>
              </w:rPr>
              <w:t>获得</w:t>
            </w:r>
            <w:r>
              <w:rPr>
                <w:rFonts w:hint="eastAsia" w:ascii="宋体" w:hAnsi="宋体" w:cs="宋体"/>
                <w:color w:val="000000" w:themeColor="text1"/>
                <w:kern w:val="0"/>
                <w:sz w:val="24"/>
                <w:szCs w:val="24"/>
                <w:lang w:val="en-US" w:eastAsia="zh-CN"/>
                <w14:textFill>
                  <w14:solidFill>
                    <w14:schemeClr w14:val="tx1"/>
                  </w14:solidFill>
                </w14:textFill>
              </w:rPr>
              <w:t>与环卫、园林</w:t>
            </w:r>
            <w:r>
              <w:rPr>
                <w:rFonts w:hint="eastAsia" w:ascii="宋体" w:hAnsi="宋体" w:eastAsia="宋体" w:cs="宋体"/>
                <w:color w:val="000000" w:themeColor="text1"/>
                <w:kern w:val="0"/>
                <w:sz w:val="24"/>
                <w:szCs w:val="24"/>
                <w:lang w:val="en-US" w:eastAsia="zh-CN"/>
                <w14:textFill>
                  <w14:solidFill>
                    <w14:schemeClr w14:val="tx1"/>
                  </w14:solidFill>
                </w14:textFill>
              </w:rPr>
              <w:t>相关专业中级以上（含中级）职称证书的得1分；</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3、投标人拟为本项目配备的安全</w:t>
            </w:r>
            <w:r>
              <w:rPr>
                <w:rFonts w:hint="eastAsia" w:ascii="宋体" w:hAnsi="宋体" w:cs="宋体"/>
                <w:color w:val="000000" w:themeColor="text1"/>
                <w:kern w:val="0"/>
                <w:sz w:val="24"/>
                <w:szCs w:val="24"/>
                <w:lang w:val="en-US" w:eastAsia="zh-CN"/>
                <w14:textFill>
                  <w14:solidFill>
                    <w14:schemeClr w14:val="tx1"/>
                  </w14:solidFill>
                </w14:textFill>
              </w:rPr>
              <w:t>管理人员</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①具有</w:t>
            </w:r>
            <w:r>
              <w:rPr>
                <w:rFonts w:hint="eastAsia" w:ascii="宋体" w:hAnsi="宋体" w:cs="宋体"/>
                <w:color w:val="000000" w:themeColor="text1"/>
                <w:kern w:val="0"/>
                <w:sz w:val="24"/>
                <w:szCs w:val="24"/>
                <w:lang w:val="en-US" w:eastAsia="zh-CN"/>
                <w14:textFill>
                  <w14:solidFill>
                    <w14:schemeClr w14:val="tx1"/>
                  </w14:solidFill>
                </w14:textFill>
              </w:rPr>
              <w:t>大专</w:t>
            </w:r>
            <w:r>
              <w:rPr>
                <w:rFonts w:hint="eastAsia" w:ascii="宋体" w:hAnsi="宋体" w:eastAsia="宋体" w:cs="宋体"/>
                <w:color w:val="000000" w:themeColor="text1"/>
                <w:kern w:val="0"/>
                <w:sz w:val="24"/>
                <w:szCs w:val="24"/>
                <w:lang w:val="en-US" w:eastAsia="zh-CN"/>
                <w14:textFill>
                  <w14:solidFill>
                    <w14:schemeClr w14:val="tx1"/>
                  </w14:solidFill>
                </w14:textFill>
              </w:rPr>
              <w:t>及以上学历的得</w:t>
            </w:r>
            <w:r>
              <w:rPr>
                <w:rFonts w:hint="eastAsia" w:ascii="宋体" w:hAnsi="宋体" w:cs="宋体"/>
                <w:color w:val="000000" w:themeColor="text1"/>
                <w:kern w:val="0"/>
                <w:sz w:val="24"/>
                <w:szCs w:val="24"/>
                <w:lang w:val="en-US" w:eastAsia="zh-CN"/>
                <w14:textFill>
                  <w14:solidFill>
                    <w14:schemeClr w14:val="tx1"/>
                  </w14:solidFill>
                </w14:textFill>
              </w:rPr>
              <w:t>0.5</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lang w:val="en-US" w:eastAsia="zh-CN"/>
                <w14:textFill>
                  <w14:solidFill>
                    <w14:schemeClr w14:val="tx1"/>
                  </w14:solidFill>
                </w14:textFill>
              </w:rPr>
              <w:t>具有</w:t>
            </w:r>
            <w:r>
              <w:rPr>
                <w:rFonts w:hint="eastAsia" w:ascii="宋体" w:hAnsi="宋体" w:cs="宋体"/>
                <w:color w:val="000000" w:themeColor="text1"/>
                <w:kern w:val="0"/>
                <w:sz w:val="24"/>
                <w:szCs w:val="24"/>
                <w:lang w:val="en-US" w:eastAsia="zh-CN"/>
                <w14:textFill>
                  <w14:solidFill>
                    <w14:schemeClr w14:val="tx1"/>
                  </w14:solidFill>
                </w14:textFill>
              </w:rPr>
              <w:t>在</w:t>
            </w:r>
            <w:r>
              <w:rPr>
                <w:rFonts w:hint="eastAsia" w:ascii="宋体" w:hAnsi="宋体" w:eastAsia="宋体" w:cs="宋体"/>
                <w:color w:val="000000" w:themeColor="text1"/>
                <w:kern w:val="0"/>
                <w:sz w:val="24"/>
                <w:szCs w:val="24"/>
                <w:lang w:val="en-US" w:eastAsia="zh-CN"/>
                <w14:textFill>
                  <w14:solidFill>
                    <w14:schemeClr w14:val="tx1"/>
                  </w14:solidFill>
                </w14:textFill>
              </w:rPr>
              <w:t>有效期内的安全员证书的计</w:t>
            </w:r>
            <w:r>
              <w:rPr>
                <w:rFonts w:hint="eastAsia" w:ascii="宋体" w:hAnsi="宋体" w:cs="宋体"/>
                <w:color w:val="000000" w:themeColor="text1"/>
                <w:kern w:val="0"/>
                <w:sz w:val="24"/>
                <w:szCs w:val="24"/>
                <w:lang w:val="en-US" w:eastAsia="zh-CN"/>
                <w14:textFill>
                  <w14:solidFill>
                    <w14:schemeClr w14:val="tx1"/>
                  </w14:solidFill>
                </w14:textFill>
              </w:rPr>
              <w:t>0.5</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pPr>
              <w:pStyle w:val="2"/>
              <w:ind w:left="0" w:leftChars="0" w:firstLine="0" w:firstLineChars="0"/>
              <w:rPr>
                <w:rFonts w:hint="eastAsia" w:ascii="宋体" w:hAnsi="宋体" w:eastAsia="宋体" w:cs="宋体"/>
                <w:color w:val="000000" w:themeColor="text1"/>
                <w:kern w:val="0"/>
                <w:sz w:val="24"/>
                <w:szCs w:val="24"/>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2、3条</w:t>
            </w:r>
            <w:r>
              <w:rPr>
                <w:rFonts w:hint="eastAsia" w:ascii="宋体" w:hAnsi="宋体" w:eastAsia="宋体" w:cs="宋体"/>
                <w:color w:val="000000" w:themeColor="text1"/>
                <w:kern w:val="0"/>
                <w:sz w:val="24"/>
                <w:szCs w:val="24"/>
                <w:lang w:val="en-US" w:eastAsia="zh-CN"/>
                <w14:textFill>
                  <w14:solidFill>
                    <w14:schemeClr w14:val="tx1"/>
                  </w14:solidFill>
                </w14:textFill>
              </w:rPr>
              <w:t>评审依据:投标文件中提供相关部门颁发的</w:t>
            </w:r>
            <w:r>
              <w:rPr>
                <w:rFonts w:hint="eastAsia" w:ascii="宋体" w:hAnsi="宋体" w:cs="宋体"/>
                <w:color w:val="000000" w:themeColor="text1"/>
                <w:kern w:val="0"/>
                <w:sz w:val="24"/>
                <w:szCs w:val="24"/>
                <w:lang w:val="en-US" w:eastAsia="zh-CN"/>
                <w14:textFill>
                  <w14:solidFill>
                    <w14:schemeClr w14:val="tx1"/>
                  </w14:solidFill>
                </w14:textFill>
              </w:rPr>
              <w:t>学历证书、</w:t>
            </w:r>
            <w:r>
              <w:rPr>
                <w:rFonts w:hint="eastAsia" w:ascii="宋体" w:hAnsi="宋体" w:eastAsia="宋体" w:cs="宋体"/>
                <w:color w:val="000000" w:themeColor="text1"/>
                <w:kern w:val="0"/>
                <w:sz w:val="24"/>
                <w:szCs w:val="24"/>
                <w:lang w:val="en-US" w:eastAsia="zh-CN"/>
                <w14:textFill>
                  <w14:solidFill>
                    <w14:schemeClr w14:val="tx1"/>
                  </w14:solidFill>
                </w14:textFill>
              </w:rPr>
              <w:t>人员证书</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投标单位缴纳社保</w:t>
            </w:r>
            <w:r>
              <w:rPr>
                <w:rFonts w:hint="eastAsia" w:ascii="宋体" w:hAnsi="宋体" w:cs="宋体"/>
                <w:color w:val="000000" w:themeColor="text1"/>
                <w:kern w:val="0"/>
                <w:sz w:val="24"/>
                <w:szCs w:val="24"/>
                <w:lang w:val="en-US" w:eastAsia="zh-CN"/>
                <w14:textFill>
                  <w14:solidFill>
                    <w14:schemeClr w14:val="tx1"/>
                  </w14:solidFill>
                </w14:textFill>
              </w:rPr>
              <w:t>年限</w:t>
            </w:r>
            <w:r>
              <w:rPr>
                <w:rFonts w:hint="eastAsia" w:ascii="宋体" w:hAnsi="宋体" w:eastAsia="宋体" w:cs="宋体"/>
                <w:color w:val="000000" w:themeColor="text1"/>
                <w:kern w:val="0"/>
                <w:sz w:val="24"/>
                <w:szCs w:val="24"/>
                <w:lang w:val="en-US" w:eastAsia="zh-CN"/>
                <w14:textFill>
                  <w14:solidFill>
                    <w14:schemeClr w14:val="tx1"/>
                  </w14:solidFill>
                </w14:textFill>
              </w:rPr>
              <w:t>凭证</w:t>
            </w:r>
            <w:r>
              <w:rPr>
                <w:rFonts w:hint="eastAsia" w:ascii="宋体" w:hAnsi="宋体" w:cs="宋体"/>
                <w:color w:val="000000" w:themeColor="text1"/>
                <w:kern w:val="0"/>
                <w:sz w:val="24"/>
                <w:szCs w:val="24"/>
                <w:lang w:val="en-US" w:eastAsia="zh-CN"/>
                <w14:textFill>
                  <w14:solidFill>
                    <w14:schemeClr w14:val="tx1"/>
                  </w14:solidFill>
                </w14:textFill>
              </w:rPr>
              <w:t>（退休人员提供退休证书），以上证件均需</w:t>
            </w:r>
            <w:r>
              <w:rPr>
                <w:rFonts w:hint="eastAsia" w:ascii="宋体" w:hAnsi="宋体" w:eastAsia="宋体" w:cs="宋体"/>
                <w:color w:val="000000" w:themeColor="text1"/>
                <w:kern w:val="0"/>
                <w:sz w:val="24"/>
                <w:szCs w:val="24"/>
                <w:lang w:val="en-US" w:eastAsia="zh-CN"/>
                <w14:textFill>
                  <w14:solidFill>
                    <w14:schemeClr w14:val="tx1"/>
                  </w14:solidFill>
                </w14:textFill>
              </w:rPr>
              <w:t>扫描件加盖公章佐证；</w:t>
            </w:r>
            <w:r>
              <w:rPr>
                <w:rFonts w:hint="eastAsia" w:ascii="宋体" w:hAnsi="宋体" w:eastAsia="宋体" w:cs="宋体"/>
                <w:color w:val="000000" w:themeColor="text1"/>
                <w:kern w:val="0"/>
                <w:sz w:val="24"/>
                <w:szCs w:val="24"/>
                <w14:textFill>
                  <w14:solidFill>
                    <w14:schemeClr w14:val="tx1"/>
                  </w14:solidFill>
                </w14:textFill>
              </w:rPr>
              <w:t>成立年限不足一个月的投标人，提供自成立起至投标截止时间前(不含投标截止时间的当月)投标人为其缴纳社保的证明材料或承诺文件，未提供的不得分</w:t>
            </w:r>
          </w:p>
          <w:p>
            <w:pPr>
              <w:pageBreakBefore w:val="0"/>
              <w:kinsoku/>
              <w:wordWrap/>
              <w:overflowPunct/>
              <w:topLinePunct w:val="0"/>
              <w:bidi w:val="0"/>
              <w:spacing w:beforeAutospacing="0" w:afterAutospacing="0" w:line="400" w:lineRule="exact"/>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投标人拟派本项目的园林</w:t>
            </w:r>
            <w:r>
              <w:rPr>
                <w:rFonts w:hint="eastAsia" w:ascii="宋体" w:hAnsi="宋体" w:cs="宋体"/>
                <w:color w:val="000000" w:themeColor="text1"/>
                <w:kern w:val="0"/>
                <w:sz w:val="24"/>
                <w:szCs w:val="24"/>
                <w:lang w:val="en-US" w:eastAsia="zh-CN"/>
                <w14:textFill>
                  <w14:solidFill>
                    <w14:schemeClr w14:val="tx1"/>
                  </w14:solidFill>
                </w14:textFill>
              </w:rPr>
              <w:t>、环卫</w:t>
            </w:r>
            <w:r>
              <w:rPr>
                <w:rFonts w:hint="eastAsia" w:ascii="宋体" w:hAnsi="宋体" w:eastAsia="宋体" w:cs="宋体"/>
                <w:color w:val="000000" w:themeColor="text1"/>
                <w:kern w:val="0"/>
                <w:sz w:val="24"/>
                <w:szCs w:val="24"/>
                <w:lang w:val="en-US" w:eastAsia="zh-CN"/>
                <w14:textFill>
                  <w14:solidFill>
                    <w14:schemeClr w14:val="tx1"/>
                  </w14:solidFill>
                </w14:textFill>
              </w:rPr>
              <w:t>主管（</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pPr>
              <w:pageBreakBefore w:val="0"/>
              <w:kinsoku/>
              <w:wordWrap/>
              <w:overflowPunct/>
              <w:topLinePunct w:val="0"/>
              <w:bidi w:val="0"/>
              <w:spacing w:beforeAutospacing="0" w:afterAutospacing="0" w:line="400" w:lineRule="exact"/>
              <w:jc w:val="lef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①具</w:t>
            </w:r>
            <w:r>
              <w:rPr>
                <w:rFonts w:hint="eastAsia" w:ascii="宋体" w:hAnsi="宋体" w:cs="宋体"/>
                <w:color w:val="000000" w:themeColor="text1"/>
                <w:kern w:val="0"/>
                <w:sz w:val="24"/>
                <w:szCs w:val="24"/>
                <w:lang w:val="en-US" w:eastAsia="zh-CN"/>
                <w14:textFill>
                  <w14:solidFill>
                    <w14:schemeClr w14:val="tx1"/>
                  </w14:solidFill>
                </w14:textFill>
              </w:rPr>
              <w:t>有三年及以上相关工作经验的得1分；</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lang w:val="en-US" w:eastAsia="zh-CN"/>
                <w14:textFill>
                  <w14:solidFill>
                    <w14:schemeClr w14:val="tx1"/>
                  </w14:solidFill>
                </w14:textFill>
              </w:rPr>
              <w:t>具有</w:t>
            </w:r>
            <w:r>
              <w:rPr>
                <w:rFonts w:hint="eastAsia" w:ascii="宋体" w:hAnsi="宋体" w:cs="宋体"/>
                <w:color w:val="000000" w:themeColor="text1"/>
                <w:kern w:val="0"/>
                <w:sz w:val="24"/>
                <w:szCs w:val="24"/>
                <w:lang w:val="en-US" w:eastAsia="zh-CN"/>
                <w14:textFill>
                  <w14:solidFill>
                    <w14:schemeClr w14:val="tx1"/>
                  </w14:solidFill>
                </w14:textFill>
              </w:rPr>
              <w:t>五年及以上相关工作经验的得</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2分。 </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评审依据:</w:t>
            </w:r>
            <w:r>
              <w:rPr>
                <w:rFonts w:hint="eastAsia" w:ascii="宋体" w:hAnsi="宋体" w:cs="宋体"/>
                <w:color w:val="000000" w:themeColor="text1"/>
                <w:kern w:val="0"/>
                <w:sz w:val="24"/>
                <w:szCs w:val="24"/>
                <w:lang w:val="en-US" w:eastAsia="zh-CN"/>
                <w14:textFill>
                  <w14:solidFill>
                    <w14:schemeClr w14:val="tx1"/>
                  </w14:solidFill>
                </w14:textFill>
              </w:rPr>
              <w:t>提供从业期间社保证明材料，</w:t>
            </w:r>
            <w:r>
              <w:rPr>
                <w:rFonts w:hint="eastAsia" w:ascii="宋体" w:hAnsi="宋体" w:eastAsia="宋体" w:cs="宋体"/>
                <w:color w:val="000000" w:themeColor="text1"/>
                <w:kern w:val="0"/>
                <w:sz w:val="24"/>
                <w:szCs w:val="24"/>
                <w14:textFill>
                  <w14:solidFill>
                    <w14:schemeClr w14:val="tx1"/>
                  </w14:solidFill>
                </w14:textFill>
              </w:rPr>
              <w:t>未提供的不得分</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 xml:space="preserve"> 以上拟投入人员不得有重复</w:t>
            </w:r>
            <w:r>
              <w:rPr>
                <w:rFonts w:hint="eastAsia" w:ascii="宋体" w:hAnsi="宋体" w:cs="宋体"/>
                <w:color w:val="000000" w:themeColor="text1"/>
                <w:kern w:val="0"/>
                <w:sz w:val="24"/>
                <w:szCs w:val="24"/>
                <w:lang w:val="en-US" w:eastAsia="zh-CN"/>
                <w14:textFill>
                  <w14:solidFill>
                    <w14:schemeClr w14:val="tx1"/>
                  </w14:solidFill>
                </w14:textFill>
              </w:rPr>
              <w:t>，重复的不计分</w:t>
            </w:r>
            <w:r>
              <w:rPr>
                <w:rFonts w:hint="default" w:ascii="宋体" w:hAnsi="宋体" w:eastAsia="宋体" w:cs="宋体"/>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vMerge w:val="restart"/>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技术部分</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74</w:t>
            </w:r>
            <w:r>
              <w:rPr>
                <w:rFonts w:hint="eastAsia" w:ascii="宋体" w:hAnsi="宋体" w:eastAsia="宋体" w:cs="宋体"/>
                <w:color w:val="000000" w:themeColor="text1"/>
                <w:kern w:val="0"/>
                <w:sz w:val="24"/>
                <w:szCs w:val="24"/>
                <w14:textFill>
                  <w14:solidFill>
                    <w14:schemeClr w14:val="tx1"/>
                  </w14:solidFill>
                </w14:textFill>
              </w:rPr>
              <w:t>分）</w:t>
            </w:r>
          </w:p>
        </w:tc>
        <w:tc>
          <w:tcPr>
            <w:tcW w:w="134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人员配置（</w:t>
            </w: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tc>
        <w:tc>
          <w:tcPr>
            <w:tcW w:w="8092"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根据投标人拟投入本项目的服务人员构成是否合理、对本项目的熟悉程度等进行综合打分。</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①项目拟投入人员充足；</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②人员配置方案科学合理；</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③人员分工明确；</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④工作经验丰富。</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以上内容齐全的，每项计</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分，最高得</w:t>
            </w: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分。每有一项内容不详</w:t>
            </w:r>
            <w:r>
              <w:rPr>
                <w:rFonts w:hint="eastAsia" w:ascii="宋体" w:hAnsi="宋体" w:cs="宋体"/>
                <w:color w:val="000000" w:themeColor="text1"/>
                <w:kern w:val="0"/>
                <w:sz w:val="24"/>
                <w:szCs w:val="24"/>
                <w:lang w:val="en-US" w:eastAsia="zh-CN"/>
                <w14:textFill>
                  <w14:solidFill>
                    <w14:schemeClr w14:val="tx1"/>
                  </w14:solidFill>
                </w14:textFill>
              </w:rPr>
              <w:t>细</w:t>
            </w:r>
            <w:r>
              <w:rPr>
                <w:rFonts w:hint="eastAsia" w:ascii="宋体" w:hAnsi="宋体" w:eastAsia="宋体" w:cs="宋体"/>
                <w:color w:val="000000" w:themeColor="text1"/>
                <w:kern w:val="0"/>
                <w:sz w:val="24"/>
                <w:szCs w:val="24"/>
                <w14:textFill>
                  <w14:solidFill>
                    <w14:schemeClr w14:val="tx1"/>
                  </w14:solidFill>
                </w14:textFill>
              </w:rPr>
              <w:t>或不能满足采购需求的每处扣分，扣完为止。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44" w:type="dxa"/>
            <w:vMerge w:val="continue"/>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1"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规章制度 （</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w:t>
            </w:r>
          </w:p>
        </w:tc>
        <w:tc>
          <w:tcPr>
            <w:tcW w:w="8092"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企业管理规章制度完善，程序规范、责任明确、具有可操作性，内容包括但不限于：</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hint="eastAsia" w:ascii="宋体" w:hAnsi="宋体" w:cs="宋体"/>
                <w:color w:val="000000" w:themeColor="text1"/>
                <w:kern w:val="0"/>
                <w:sz w:val="24"/>
                <w:szCs w:val="24"/>
                <w:lang w:val="en-US" w:eastAsia="zh-CN"/>
                <w14:textFill>
                  <w14:solidFill>
                    <w14:schemeClr w14:val="tx1"/>
                  </w14:solidFill>
                </w14:textFill>
              </w:rPr>
              <w:t>园林</w:t>
            </w:r>
            <w:r>
              <w:rPr>
                <w:rFonts w:hint="eastAsia" w:ascii="宋体" w:hAnsi="宋体" w:eastAsia="宋体" w:cs="宋体"/>
                <w:color w:val="000000" w:themeColor="text1"/>
                <w:kern w:val="0"/>
                <w:sz w:val="24"/>
                <w:szCs w:val="24"/>
                <w14:textFill>
                  <w14:solidFill>
                    <w14:schemeClr w14:val="tx1"/>
                  </w14:solidFill>
                </w14:textFill>
              </w:rPr>
              <w:t>养护</w:t>
            </w:r>
            <w:r>
              <w:rPr>
                <w:rFonts w:hint="eastAsia" w:ascii="宋体" w:hAnsi="宋体" w:cs="宋体"/>
                <w:color w:val="000000" w:themeColor="text1"/>
                <w:kern w:val="0"/>
                <w:sz w:val="24"/>
                <w:szCs w:val="24"/>
                <w:lang w:val="en-US" w:eastAsia="zh-CN"/>
                <w14:textFill>
                  <w14:solidFill>
                    <w14:schemeClr w14:val="tx1"/>
                  </w14:solidFill>
                </w14:textFill>
              </w:rPr>
              <w:t>和</w:t>
            </w:r>
            <w:r>
              <w:rPr>
                <w:rFonts w:hint="eastAsia" w:ascii="宋体" w:hAnsi="宋体" w:eastAsia="宋体" w:cs="宋体"/>
                <w:color w:val="000000" w:themeColor="text1"/>
                <w:kern w:val="0"/>
                <w:sz w:val="24"/>
                <w:szCs w:val="24"/>
                <w14:textFill>
                  <w14:solidFill>
                    <w14:schemeClr w14:val="tx1"/>
                  </w14:solidFill>
                </w14:textFill>
              </w:rPr>
              <w:t>环卫管理台账制度；</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②人员考核机制；</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③安全操作规范；</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④人员配置及岗位划分图。</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以上方案内容完整清晰明确、科学合理且满足采购需求的，每项计2分，最高得</w:t>
            </w: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分。每有一处不具有合理性、不详</w:t>
            </w:r>
            <w:r>
              <w:rPr>
                <w:rFonts w:hint="eastAsia" w:ascii="宋体" w:hAnsi="宋体" w:cs="宋体"/>
                <w:color w:val="000000" w:themeColor="text1"/>
                <w:kern w:val="0"/>
                <w:sz w:val="24"/>
                <w:szCs w:val="24"/>
                <w:lang w:val="en-US" w:eastAsia="zh-CN"/>
                <w14:textFill>
                  <w14:solidFill>
                    <w14:schemeClr w14:val="tx1"/>
                  </w14:solidFill>
                </w14:textFill>
              </w:rPr>
              <w:t>细</w:t>
            </w:r>
            <w:r>
              <w:rPr>
                <w:rFonts w:hint="eastAsia" w:ascii="宋体" w:hAnsi="宋体" w:eastAsia="宋体" w:cs="宋体"/>
                <w:color w:val="000000" w:themeColor="text1"/>
                <w:kern w:val="0"/>
                <w:sz w:val="24"/>
                <w:szCs w:val="24"/>
                <w14:textFill>
                  <w14:solidFill>
                    <w14:schemeClr w14:val="tx1"/>
                  </w14:solidFill>
                </w14:textFill>
              </w:rPr>
              <w:t>或不能满足采购需求的扣分；扣完为止。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4" w:type="dxa"/>
            <w:vMerge w:val="continue"/>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绿化养护服务实施方案（</w:t>
            </w:r>
            <w:r>
              <w:rPr>
                <w:rFonts w:hint="eastAsia" w:ascii="宋体" w:hAnsi="宋体" w:cs="宋体"/>
                <w:color w:val="000000" w:themeColor="text1"/>
                <w:kern w:val="0"/>
                <w:sz w:val="24"/>
                <w:szCs w:val="24"/>
                <w:lang w:val="en-US" w:eastAsia="zh-CN"/>
                <w14:textFill>
                  <w14:solidFill>
                    <w14:schemeClr w14:val="tx1"/>
                  </w14:solidFill>
                </w14:textFill>
              </w:rPr>
              <w:t>18</w:t>
            </w:r>
            <w:r>
              <w:rPr>
                <w:rFonts w:hint="eastAsia" w:ascii="宋体" w:hAnsi="宋体" w:eastAsia="宋体" w:cs="宋体"/>
                <w:color w:val="000000" w:themeColor="text1"/>
                <w:kern w:val="0"/>
                <w:sz w:val="24"/>
                <w:szCs w:val="24"/>
                <w14:textFill>
                  <w14:solidFill>
                    <w14:schemeClr w14:val="tx1"/>
                  </w14:solidFill>
                </w14:textFill>
              </w:rPr>
              <w:t>分）</w:t>
            </w:r>
          </w:p>
        </w:tc>
        <w:tc>
          <w:tcPr>
            <w:tcW w:w="8092"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投标人根据本项目需求提供详细的项目绿化养护实施方案，绿化养护方案结合当地环境及季节变化，考虑各类园林植物特性，养护计划周密，措施有效，且方案能结合实地现场，内容包括但不限于：</w:t>
            </w:r>
          </w:p>
          <w:p>
            <w:pPr>
              <w:pageBreakBefore w:val="0"/>
              <w:kinsoku/>
              <w:wordWrap/>
              <w:overflowPunct/>
              <w:topLinePunct w:val="0"/>
              <w:bidi w:val="0"/>
              <w:adjustRightInd w:val="0"/>
              <w:snapToGrid w:val="0"/>
              <w:spacing w:beforeAutospacing="0" w:afterAutospacing="0" w:line="400" w:lineRule="exac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①养护方案及措施</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含浇水、施肥、病虫害防治、修剪、除草、林带清理、涂白等）</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6分</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14:textFill>
                  <w14:solidFill>
                    <w14:schemeClr w14:val="tx1"/>
                  </w14:solidFill>
                </w14:textFill>
              </w:rPr>
              <w:t>苗木补植措施等内容；</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分</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③</w:t>
            </w:r>
            <w:r>
              <w:rPr>
                <w:rFonts w:hint="eastAsia" w:ascii="宋体" w:hAnsi="宋体" w:eastAsia="宋体" w:cs="宋体"/>
                <w:color w:val="000000" w:themeColor="text1"/>
                <w:kern w:val="0"/>
                <w:sz w:val="24"/>
                <w:szCs w:val="24"/>
                <w14:textFill>
                  <w14:solidFill>
                    <w14:schemeClr w14:val="tx1"/>
                  </w14:solidFill>
                </w14:textFill>
              </w:rPr>
              <w:t>附属设施维护方案</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根据采购需求配置相应方案）</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分</w:t>
            </w:r>
          </w:p>
          <w:p>
            <w:pPr>
              <w:pageBreakBefore w:val="0"/>
              <w:kinsoku/>
              <w:wordWrap/>
              <w:overflowPunct/>
              <w:topLinePunct w:val="0"/>
              <w:bidi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④</w:t>
            </w:r>
            <w:r>
              <w:rPr>
                <w:rFonts w:hint="eastAsia" w:ascii="宋体" w:hAnsi="宋体" w:eastAsia="宋体" w:cs="宋体"/>
                <w:color w:val="000000" w:themeColor="text1"/>
                <w:kern w:val="0"/>
                <w:sz w:val="24"/>
                <w:szCs w:val="24"/>
                <w14:textFill>
                  <w14:solidFill>
                    <w14:schemeClr w14:val="tx1"/>
                  </w14:solidFill>
                </w14:textFill>
              </w:rPr>
              <w:t>绿化作业</w:t>
            </w:r>
            <w:r>
              <w:rPr>
                <w:rFonts w:hint="eastAsia" w:ascii="宋体" w:hAnsi="宋体" w:cs="宋体"/>
                <w:color w:val="000000" w:themeColor="text1"/>
                <w:kern w:val="0"/>
                <w:sz w:val="24"/>
                <w:szCs w:val="24"/>
                <w:lang w:val="en-US" w:eastAsia="zh-CN"/>
                <w14:textFill>
                  <w14:solidFill>
                    <w14:schemeClr w14:val="tx1"/>
                  </w14:solidFill>
                </w14:textFill>
              </w:rPr>
              <w:t>管理</w:t>
            </w:r>
            <w:r>
              <w:rPr>
                <w:rFonts w:hint="eastAsia" w:ascii="宋体" w:hAnsi="宋体" w:eastAsia="宋体" w:cs="宋体"/>
                <w:color w:val="000000" w:themeColor="text1"/>
                <w:kern w:val="0"/>
                <w:sz w:val="24"/>
                <w:szCs w:val="24"/>
                <w14:textFill>
                  <w14:solidFill>
                    <w14:schemeClr w14:val="tx1"/>
                  </w14:solidFill>
                </w14:textFill>
              </w:rPr>
              <w:t>制度。</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分</w:t>
            </w:r>
          </w:p>
          <w:p>
            <w:pPr>
              <w:pageBreakBefore w:val="0"/>
              <w:kinsoku/>
              <w:wordWrap/>
              <w:overflowPunct/>
              <w:topLinePunct w:val="0"/>
              <w:autoSpaceDE w:val="0"/>
              <w:autoSpaceDN w:val="0"/>
              <w:bidi w:val="0"/>
              <w:adjustRightInd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以上方案内容完整清晰明确且科学合理、可行性高具有针对性并满足采购需求的</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每有一项内容不完整或未能满足采购需求的或每有一处不具有针对性或逻辑性错误且不完整的扣分；扣完为止。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4" w:type="dxa"/>
            <w:vMerge w:val="continue"/>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环卫保洁服务实施方案（1</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tc>
        <w:tc>
          <w:tcPr>
            <w:tcW w:w="8092" w:type="dxa"/>
            <w:vAlign w:val="center"/>
          </w:tcPr>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投标人根据本项目需求提供详细的环卫服务措施方案等内容，内容包含但不限于：</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①清扫保洁</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含公厕）</w:t>
            </w:r>
            <w:r>
              <w:rPr>
                <w:rFonts w:hint="eastAsia" w:ascii="宋体" w:hAnsi="宋体" w:eastAsia="宋体" w:cs="宋体"/>
                <w:color w:val="000000" w:themeColor="text1"/>
                <w:kern w:val="0"/>
                <w:sz w:val="24"/>
                <w:szCs w:val="24"/>
                <w14:textFill>
                  <w14:solidFill>
                    <w14:schemeClr w14:val="tx1"/>
                  </w14:solidFill>
                </w14:textFill>
              </w:rPr>
              <w:t>方案；</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分</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②垃圾清运方案；</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分</w:t>
            </w:r>
          </w:p>
          <w:p>
            <w:pPr>
              <w:pStyle w:val="2"/>
              <w:ind w:left="0" w:leftChars="0" w:firstLine="0" w:firstLineChars="0"/>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w:t>
            </w:r>
            <w:r>
              <w:rPr>
                <w:rFonts w:hint="eastAsia" w:ascii="宋体" w:hAnsi="宋体" w:cs="宋体"/>
                <w:color w:val="000000" w:themeColor="text1"/>
                <w:kern w:val="0"/>
                <w:sz w:val="24"/>
                <w:szCs w:val="24"/>
                <w:lang w:val="en-US" w:eastAsia="zh-CN"/>
                <w14:textFill>
                  <w14:solidFill>
                    <w14:schemeClr w14:val="tx1"/>
                  </w14:solidFill>
                </w14:textFill>
              </w:rPr>
              <w:t>垃圾处置方案；4</w:t>
            </w:r>
            <w:r>
              <w:rPr>
                <w:rFonts w:hint="eastAsia" w:ascii="宋体" w:hAnsi="宋体" w:eastAsia="宋体" w:cs="宋体"/>
                <w:color w:val="000000" w:themeColor="text1"/>
                <w:kern w:val="0"/>
                <w:sz w:val="24"/>
                <w:szCs w:val="24"/>
                <w14:textFill>
                  <w14:solidFill>
                    <w14:schemeClr w14:val="tx1"/>
                  </w14:solidFill>
                </w14:textFill>
              </w:rPr>
              <w:t>分</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④洒水降尘方案；</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⑤</w:t>
            </w:r>
            <w:r>
              <w:rPr>
                <w:rFonts w:hint="eastAsia" w:ascii="宋体" w:hAnsi="宋体" w:eastAsia="宋体" w:cs="宋体"/>
                <w:color w:val="000000" w:themeColor="text1"/>
                <w:kern w:val="0"/>
                <w:sz w:val="24"/>
                <w:szCs w:val="24"/>
                <w14:textFill>
                  <w14:solidFill>
                    <w14:schemeClr w14:val="tx1"/>
                  </w14:solidFill>
                </w14:textFill>
              </w:rPr>
              <w:t>冬季清雪除冰、积雪拉运方案。</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分</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以上方案内容完整清晰明确且科学合理、可行性高具有针对性并满足采购需求的。每有一项内容不完整或未能满足采购需求的或每有一处不具有针对性或逻辑性错误且不完整的</w:t>
            </w:r>
            <w:r>
              <w:rPr>
                <w:rFonts w:hint="eastAsia" w:ascii="宋体" w:hAnsi="宋体" w:cs="宋体"/>
                <w:color w:val="000000" w:themeColor="text1"/>
                <w:kern w:val="0"/>
                <w:sz w:val="24"/>
                <w:szCs w:val="24"/>
                <w:lang w:val="en-US" w:eastAsia="zh-CN"/>
                <w14:textFill>
                  <w14:solidFill>
                    <w14:schemeClr w14:val="tx1"/>
                  </w14:solidFill>
                </w14:textFill>
              </w:rPr>
              <w:t>扣分</w:t>
            </w:r>
            <w:r>
              <w:rPr>
                <w:rFonts w:hint="eastAsia" w:ascii="宋体" w:hAnsi="宋体" w:eastAsia="宋体" w:cs="宋体"/>
                <w:color w:val="000000" w:themeColor="text1"/>
                <w:kern w:val="0"/>
                <w:sz w:val="24"/>
                <w:szCs w:val="24"/>
                <w14:textFill>
                  <w14:solidFill>
                    <w14:schemeClr w14:val="tx1"/>
                  </w14:solidFill>
                </w14:textFill>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4" w:type="dxa"/>
            <w:vMerge w:val="continue"/>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投入本项目机械、材料、器具设备配置（</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tc>
        <w:tc>
          <w:tcPr>
            <w:tcW w:w="8092" w:type="dxa"/>
            <w:vAlign w:val="center"/>
          </w:tcPr>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针对本项目配备的</w:t>
            </w:r>
            <w:r>
              <w:rPr>
                <w:rFonts w:hint="eastAsia" w:ascii="宋体" w:hAnsi="宋体" w:cs="宋体"/>
                <w:color w:val="000000" w:themeColor="text1"/>
                <w:kern w:val="0"/>
                <w:sz w:val="24"/>
                <w:szCs w:val="24"/>
                <w:lang w:val="en-US" w:eastAsia="zh-CN"/>
                <w14:textFill>
                  <w14:solidFill>
                    <w14:schemeClr w14:val="tx1"/>
                  </w14:solidFill>
                </w14:textFill>
              </w:rPr>
              <w:t>车辆、</w:t>
            </w:r>
            <w:r>
              <w:rPr>
                <w:rFonts w:hint="eastAsia" w:ascii="宋体" w:hAnsi="宋体" w:eastAsia="宋体" w:cs="宋体"/>
                <w:color w:val="000000" w:themeColor="text1"/>
                <w:kern w:val="0"/>
                <w:sz w:val="24"/>
                <w:szCs w:val="24"/>
                <w14:textFill>
                  <w14:solidFill>
                    <w14:schemeClr w14:val="tx1"/>
                  </w14:solidFill>
                </w14:textFill>
              </w:rPr>
              <w:t>机械</w:t>
            </w:r>
            <w:r>
              <w:rPr>
                <w:rFonts w:hint="eastAsia" w:ascii="宋体" w:hAnsi="宋体" w:cs="宋体"/>
                <w:color w:val="000000" w:themeColor="text1"/>
                <w:kern w:val="0"/>
                <w:sz w:val="24"/>
                <w:szCs w:val="24"/>
                <w:lang w:val="en-US" w:eastAsia="zh-CN"/>
                <w14:textFill>
                  <w14:solidFill>
                    <w14:schemeClr w14:val="tx1"/>
                  </w14:solidFill>
                </w14:textFill>
              </w:rPr>
              <w:t>设备等</w:t>
            </w:r>
            <w:r>
              <w:rPr>
                <w:rFonts w:hint="eastAsia" w:ascii="宋体" w:hAnsi="宋体" w:eastAsia="宋体" w:cs="宋体"/>
                <w:color w:val="000000" w:themeColor="text1"/>
                <w:kern w:val="0"/>
                <w:sz w:val="24"/>
                <w:szCs w:val="24"/>
                <w14:textFill>
                  <w14:solidFill>
                    <w14:schemeClr w14:val="tx1"/>
                  </w14:solidFill>
                </w14:textFill>
              </w:rPr>
              <w:t>进行评审。拟配置</w:t>
            </w:r>
            <w:r>
              <w:rPr>
                <w:rFonts w:hint="eastAsia" w:ascii="宋体" w:hAnsi="宋体" w:cs="宋体"/>
                <w:color w:val="000000" w:themeColor="text1"/>
                <w:kern w:val="0"/>
                <w:sz w:val="24"/>
                <w:szCs w:val="24"/>
                <w:lang w:val="en-US"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机具设备、作业工具等</w:t>
            </w:r>
            <w:r>
              <w:rPr>
                <w:rFonts w:hint="eastAsia" w:ascii="宋体" w:hAnsi="宋体" w:cs="宋体"/>
                <w:color w:val="000000" w:themeColor="text1"/>
                <w:kern w:val="0"/>
                <w:sz w:val="24"/>
                <w:szCs w:val="24"/>
                <w:lang w:val="en-US"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选用档次及是否齐备、合理（包括但不限于</w:t>
            </w:r>
            <w:r>
              <w:rPr>
                <w:rFonts w:hint="eastAsia" w:ascii="宋体" w:hAnsi="宋体" w:cs="宋体"/>
                <w:color w:val="000000" w:themeColor="text1"/>
                <w:kern w:val="0"/>
                <w:sz w:val="24"/>
                <w:szCs w:val="24"/>
                <w:lang w:val="en-US" w:eastAsia="zh-CN"/>
                <w14:textFill>
                  <w14:solidFill>
                    <w14:schemeClr w14:val="tx1"/>
                  </w14:solidFill>
                </w14:textFill>
              </w:rPr>
              <w:t>垃圾清运车、</w:t>
            </w:r>
            <w:r>
              <w:rPr>
                <w:rFonts w:hint="eastAsia" w:ascii="宋体" w:hAnsi="宋体" w:eastAsia="宋体" w:cs="宋体"/>
                <w:color w:val="000000" w:themeColor="text1"/>
                <w:kern w:val="0"/>
                <w:sz w:val="24"/>
                <w:szCs w:val="24"/>
                <w14:textFill>
                  <w14:solidFill>
                    <w14:schemeClr w14:val="tx1"/>
                  </w14:solidFill>
                </w14:textFill>
              </w:rPr>
              <w:t>道路清扫设备、绿化喷洒车、登高车、</w:t>
            </w:r>
            <w:r>
              <w:rPr>
                <w:rFonts w:hint="eastAsia" w:ascii="宋体" w:hAnsi="宋体" w:cs="宋体"/>
                <w:color w:val="000000" w:themeColor="text1"/>
                <w:kern w:val="0"/>
                <w:sz w:val="24"/>
                <w:szCs w:val="24"/>
                <w:lang w:val="en-US" w:eastAsia="zh-CN"/>
                <w14:textFill>
                  <w14:solidFill>
                    <w14:schemeClr w14:val="tx1"/>
                  </w14:solidFill>
                </w14:textFill>
              </w:rPr>
              <w:t>洒水车、</w:t>
            </w:r>
            <w:r>
              <w:rPr>
                <w:rFonts w:hint="eastAsia" w:ascii="宋体" w:hAnsi="宋体" w:eastAsia="宋体" w:cs="宋体"/>
                <w:color w:val="000000" w:themeColor="text1"/>
                <w:kern w:val="0"/>
                <w:sz w:val="24"/>
                <w:szCs w:val="24"/>
                <w14:textFill>
                  <w14:solidFill>
                    <w14:schemeClr w14:val="tx1"/>
                  </w14:solidFill>
                </w14:textFill>
              </w:rPr>
              <w:t>高压喷药机</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垃圾处置设备</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每提供一项设备加0.</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分，最多加</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提供设备配置清单及租赁合同或车辆登记证</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4" w:type="dxa"/>
            <w:vMerge w:val="continue"/>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安全生产作业措施方案(6分)</w:t>
            </w:r>
          </w:p>
        </w:tc>
        <w:tc>
          <w:tcPr>
            <w:tcW w:w="8092" w:type="dxa"/>
            <w:vAlign w:val="center"/>
          </w:tcPr>
          <w:p>
            <w:pPr>
              <w:pageBreakBefore w:val="0"/>
              <w:kinsoku/>
              <w:wordWrap/>
              <w:overflowPunct/>
              <w:topLinePunct w:val="0"/>
              <w:autoSpaceDE w:val="0"/>
              <w:autoSpaceDN w:val="0"/>
              <w:bidi w:val="0"/>
              <w:adjustRightInd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投标人根据本项目需求提供详细的安全生产作业措施方案，内容包括但不限于：</w:t>
            </w:r>
          </w:p>
          <w:p>
            <w:pPr>
              <w:pageBreakBefore w:val="0"/>
              <w:kinsoku/>
              <w:wordWrap/>
              <w:overflowPunct/>
              <w:topLinePunct w:val="0"/>
              <w:autoSpaceDE w:val="0"/>
              <w:autoSpaceDN w:val="0"/>
              <w:bidi w:val="0"/>
              <w:adjustRightInd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①安全防护措施；</w:t>
            </w:r>
          </w:p>
          <w:p>
            <w:pPr>
              <w:pageBreakBefore w:val="0"/>
              <w:kinsoku/>
              <w:wordWrap/>
              <w:overflowPunct/>
              <w:topLinePunct w:val="0"/>
              <w:autoSpaceDE w:val="0"/>
              <w:autoSpaceDN w:val="0"/>
              <w:bidi w:val="0"/>
              <w:adjustRightInd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②设备使用安全操作规程。</w:t>
            </w:r>
          </w:p>
          <w:p>
            <w:pPr>
              <w:pageBreakBefore w:val="0"/>
              <w:kinsoku/>
              <w:wordWrap/>
              <w:overflowPunct/>
              <w:topLinePunct w:val="0"/>
              <w:autoSpaceDE w:val="0"/>
              <w:autoSpaceDN w:val="0"/>
              <w:bidi w:val="0"/>
              <w:adjustRightInd w:val="0"/>
              <w:spacing w:beforeAutospacing="0" w:afterAutospacing="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以上方案内容完整清晰明确、科学合理、提高作业能力且满足采购需求的，每项计3分，最高得6分。每缺少一项内容扣3分，每有一处不具有合理性、不详</w:t>
            </w:r>
            <w:r>
              <w:rPr>
                <w:rFonts w:hint="eastAsia" w:ascii="宋体" w:hAnsi="宋体" w:cs="宋体"/>
                <w:color w:val="000000" w:themeColor="text1"/>
                <w:kern w:val="0"/>
                <w:sz w:val="24"/>
                <w:szCs w:val="24"/>
                <w:lang w:val="en-US" w:eastAsia="zh-CN"/>
                <w14:textFill>
                  <w14:solidFill>
                    <w14:schemeClr w14:val="tx1"/>
                  </w14:solidFill>
                </w14:textFill>
              </w:rPr>
              <w:t>细</w:t>
            </w:r>
            <w:r>
              <w:rPr>
                <w:rFonts w:hint="eastAsia" w:ascii="宋体" w:hAnsi="宋体" w:eastAsia="宋体" w:cs="宋体"/>
                <w:color w:val="000000" w:themeColor="text1"/>
                <w:kern w:val="0"/>
                <w:sz w:val="24"/>
                <w:szCs w:val="24"/>
                <w14:textFill>
                  <w14:solidFill>
                    <w14:schemeClr w14:val="tx1"/>
                  </w14:solidFill>
                </w14:textFill>
              </w:rPr>
              <w:t>或不能满足采购需求的扣分；扣完为止。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4" w:type="dxa"/>
            <w:vMerge w:val="continue"/>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应急预案 （6分）</w:t>
            </w:r>
          </w:p>
        </w:tc>
        <w:tc>
          <w:tcPr>
            <w:tcW w:w="8092" w:type="dxa"/>
            <w:vAlign w:val="center"/>
          </w:tcPr>
          <w:p>
            <w:pPr>
              <w:pageBreakBefore w:val="0"/>
              <w:kinsoku/>
              <w:wordWrap/>
              <w:overflowPunct/>
              <w:topLinePunct w:val="0"/>
              <w:autoSpaceDE w:val="0"/>
              <w:autoSpaceDN w:val="0"/>
              <w:bidi w:val="0"/>
              <w:adjustRightInd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投标人根据本项目需求提供详细的应急预案等内容，内容包含但不限于：</w:t>
            </w:r>
          </w:p>
          <w:p>
            <w:pPr>
              <w:pageBreakBefore w:val="0"/>
              <w:kinsoku/>
              <w:wordWrap/>
              <w:overflowPunct/>
              <w:topLinePunct w:val="0"/>
              <w:autoSpaceDE w:val="0"/>
              <w:autoSpaceDN w:val="0"/>
              <w:bidi w:val="0"/>
              <w:adjustRightInd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①重大节点、迎检应急预案；</w:t>
            </w:r>
          </w:p>
          <w:p>
            <w:pPr>
              <w:pageBreakBefore w:val="0"/>
              <w:kinsoku/>
              <w:wordWrap/>
              <w:overflowPunct/>
              <w:topLinePunct w:val="0"/>
              <w:autoSpaceDE w:val="0"/>
              <w:autoSpaceDN w:val="0"/>
              <w:bidi w:val="0"/>
              <w:adjustRightInd w:val="0"/>
              <w:spacing w:beforeAutospacing="0" w:afterAutospacing="0" w:line="400" w:lineRule="exact"/>
              <w:jc w:val="left"/>
              <w:rPr>
                <w:rFonts w:hint="eastAsia"/>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w:t>
            </w:r>
            <w:r>
              <w:rPr>
                <w:rFonts w:hint="eastAsia" w:ascii="宋体" w:hAnsi="宋体" w:cs="宋体"/>
                <w:color w:val="000000" w:themeColor="text1"/>
                <w:kern w:val="0"/>
                <w:sz w:val="24"/>
                <w:szCs w:val="24"/>
                <w:lang w:val="en-US" w:eastAsia="zh-CN"/>
                <w14:textFill>
                  <w14:solidFill>
                    <w14:schemeClr w14:val="tx1"/>
                  </w14:solidFill>
                </w14:textFill>
              </w:rPr>
              <w:t>防风、</w:t>
            </w:r>
            <w:r>
              <w:rPr>
                <w:rFonts w:hint="eastAsia" w:ascii="宋体" w:hAnsi="宋体" w:eastAsia="宋体" w:cs="宋体"/>
                <w:color w:val="000000" w:themeColor="text1"/>
                <w:kern w:val="0"/>
                <w:sz w:val="24"/>
                <w:szCs w:val="24"/>
                <w14:textFill>
                  <w14:solidFill>
                    <w14:schemeClr w14:val="tx1"/>
                  </w14:solidFill>
                </w14:textFill>
              </w:rPr>
              <w:t>防火</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防溺水</w:t>
            </w:r>
            <w:r>
              <w:rPr>
                <w:rFonts w:hint="eastAsia" w:ascii="宋体" w:hAnsi="宋体" w:eastAsia="宋体" w:cs="宋体"/>
                <w:color w:val="000000" w:themeColor="text1"/>
                <w:kern w:val="0"/>
                <w:sz w:val="24"/>
                <w:szCs w:val="24"/>
                <w14:textFill>
                  <w14:solidFill>
                    <w14:schemeClr w14:val="tx1"/>
                  </w14:solidFill>
                </w14:textFill>
              </w:rPr>
              <w:t>突发应急方案；</w:t>
            </w:r>
          </w:p>
          <w:p>
            <w:pPr>
              <w:pageBreakBefore w:val="0"/>
              <w:kinsoku/>
              <w:wordWrap/>
              <w:overflowPunct/>
              <w:topLinePunct w:val="0"/>
              <w:autoSpaceDE w:val="0"/>
              <w:autoSpaceDN w:val="0"/>
              <w:bidi w:val="0"/>
              <w:adjustRightInd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以上方案内容完整清晰明确、科学合理的，每项计</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分，最高得6分。每有一项内容不完整或每有一处不具有针对性或逻辑性错误的扣分，扣完为止。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44" w:type="dxa"/>
            <w:vMerge w:val="continue"/>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服务达标承诺及不达标改善措施（</w:t>
            </w: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tc>
        <w:tc>
          <w:tcPr>
            <w:tcW w:w="8092" w:type="dxa"/>
            <w:vAlign w:val="center"/>
          </w:tcPr>
          <w:p>
            <w:pPr>
              <w:pageBreakBefore w:val="0"/>
              <w:kinsoku/>
              <w:wordWrap/>
              <w:overflowPunct/>
              <w:topLinePunct w:val="0"/>
              <w:autoSpaceDE w:val="0"/>
              <w:autoSpaceDN w:val="0"/>
              <w:bidi w:val="0"/>
              <w:adjustRightInd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投标人根据本项目服务要求提供相应的承诺，内容包含但不限于：</w:t>
            </w:r>
          </w:p>
          <w:p>
            <w:pPr>
              <w:pageBreakBefore w:val="0"/>
              <w:kinsoku/>
              <w:wordWrap/>
              <w:overflowPunct/>
              <w:topLinePunct w:val="0"/>
              <w:autoSpaceDE w:val="0"/>
              <w:autoSpaceDN w:val="0"/>
              <w:bidi w:val="0"/>
              <w:adjustRightInd w:val="0"/>
              <w:spacing w:beforeAutospacing="0" w:afterAutospacing="0"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①服务达标承诺；</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p>
          <w:p>
            <w:pPr>
              <w:pageBreakBefore w:val="0"/>
              <w:kinsoku/>
              <w:wordWrap/>
              <w:overflowPunct/>
              <w:topLinePunct w:val="0"/>
              <w:autoSpaceDE w:val="0"/>
              <w:autoSpaceDN w:val="0"/>
              <w:bidi w:val="0"/>
              <w:adjustRightInd w:val="0"/>
              <w:spacing w:beforeAutospacing="0" w:afterAutospacing="0" w:line="400" w:lineRule="exact"/>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②服务未达标改善措施</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p>
          <w:p>
            <w:pPr>
              <w:pStyle w:val="2"/>
              <w:ind w:left="0" w:leftChars="0" w:firstLine="0" w:firstLineChars="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③服务优惠承诺；每有一项得1分，最高得4分。</w:t>
            </w:r>
          </w:p>
          <w:p>
            <w:pPr>
              <w:pageBreakBefore w:val="0"/>
              <w:kinsoku/>
              <w:wordWrap/>
              <w:overflowPunct/>
              <w:topLinePunct w:val="0"/>
              <w:autoSpaceDE w:val="0"/>
              <w:autoSpaceDN w:val="0"/>
              <w:bidi w:val="0"/>
              <w:adjustRightInd w:val="0"/>
              <w:spacing w:beforeAutospacing="0" w:afterAutospacing="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以上内容每有一项内容不完整或每有一处不具有针对性或逻辑性错误的扣分，扣完为止。</w:t>
            </w:r>
          </w:p>
        </w:tc>
      </w:tr>
    </w:tbl>
    <w:p>
      <w:pPr>
        <w:pageBreakBefore w:val="0"/>
        <w:kinsoku/>
        <w:wordWrap/>
        <w:overflowPunct/>
        <w:topLinePunct w:val="0"/>
        <w:bidi w:val="0"/>
        <w:spacing w:beforeAutospacing="0" w:afterAutospacing="0" w:line="400" w:lineRule="exact"/>
        <w:ind w:firstLine="24" w:firstLineChars="10"/>
        <w:jc w:val="left"/>
        <w:rPr>
          <w:rFonts w:hint="eastAsia" w:ascii="宋体" w:hAnsi="宋体" w:eastAsia="宋体" w:cs="宋体"/>
          <w:sz w:val="24"/>
          <w:szCs w:val="24"/>
        </w:rPr>
      </w:pPr>
      <w:r>
        <w:rPr>
          <w:rStyle w:val="53"/>
          <w:rFonts w:hint="eastAsia" w:ascii="宋体" w:hAnsi="宋体" w:eastAsia="宋体" w:cs="宋体"/>
          <w:b w:val="0"/>
          <w:i w:val="0"/>
          <w:caps w:val="0"/>
          <w:spacing w:val="0"/>
          <w:w w:val="100"/>
          <w:kern w:val="2"/>
          <w:sz w:val="24"/>
          <w:szCs w:val="24"/>
          <w:lang w:val="en-US" w:eastAsia="zh-CN" w:bidi="ar-SA"/>
        </w:rPr>
        <w:t>注:评委对各投标人同一评分内容量化打分时，对畸高、畸低重大差异，如评审得分与截尾平均值偏差大于25%(含25%)以上时，应做出合理的书面说明。</w:t>
      </w:r>
    </w:p>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kern w:val="0"/>
          <w:sz w:val="24"/>
          <w:szCs w:val="24"/>
          <w:highlight w:val="none"/>
        </w:rPr>
      </w:pPr>
    </w:p>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 价格部分（</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0分）</w:t>
      </w:r>
    </w:p>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1、投标报价得分</w:t>
      </w:r>
      <w:r>
        <w:rPr>
          <w:rFonts w:hint="eastAsia" w:ascii="宋体" w:hAnsi="宋体" w:eastAsia="宋体" w:cs="宋体"/>
          <w:color w:val="000000" w:themeColor="text1"/>
          <w:kern w:val="0"/>
          <w:sz w:val="24"/>
          <w:szCs w:val="24"/>
          <w:highlight w:val="none"/>
          <w14:textFill>
            <w14:solidFill>
              <w14:schemeClr w14:val="tx1"/>
            </w14:solidFill>
          </w14:textFill>
        </w:rPr>
        <w:t>=（投标基准价/投标报价）*0.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*100</w:t>
      </w:r>
    </w:p>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2、投标基准价为满足招标文件要求且价格最低的投标报价，价格权值为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0%</w:t>
      </w:r>
    </w:p>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3、报价得分为负数的按零分计。</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b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4、</w:t>
      </w:r>
      <w:r>
        <w:rPr>
          <w:rFonts w:hint="eastAsia" w:ascii="宋体" w:hAnsi="宋体" w:eastAsia="宋体" w:cs="宋体"/>
          <w:b w:val="0"/>
          <w:color w:val="000000" w:themeColor="text1"/>
          <w:kern w:val="0"/>
          <w:sz w:val="24"/>
          <w:szCs w:val="24"/>
          <w:highlight w:val="none"/>
          <w:lang w:val="zh-CN" w:eastAsia="zh-CN" w:bidi="ar-SA"/>
          <w14:textFill>
            <w14:solidFill>
              <w14:schemeClr w14:val="tx1"/>
            </w14:solidFill>
          </w14:textFill>
        </w:rPr>
        <w:t>对于非专门面向中小企业的项目，对小型和微型企业（或联合体各方均为小型、微型企业的）产品的价格给予</w:t>
      </w: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10</w:t>
      </w:r>
      <w:r>
        <w:rPr>
          <w:rFonts w:hint="eastAsia" w:ascii="宋体" w:hAnsi="宋体" w:eastAsia="宋体" w:cs="宋体"/>
          <w:b w:val="0"/>
          <w:color w:val="000000" w:themeColor="text1"/>
          <w:kern w:val="0"/>
          <w:sz w:val="24"/>
          <w:szCs w:val="24"/>
          <w:highlight w:val="none"/>
          <w:lang w:val="zh-CN" w:eastAsia="zh-CN" w:bidi="ar-SA"/>
          <w14:textFill>
            <w14:solidFill>
              <w14:schemeClr w14:val="tx1"/>
            </w14:solidFill>
          </w14:textFill>
        </w:rPr>
        <w:t>%的扣除，用扣除后的价格参与价格分的评审。</w:t>
      </w:r>
    </w:p>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4.1</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 xml:space="preserve"> 节能、环境标志产品评审优惠内容及加分幅度：</w:t>
      </w:r>
    </w:p>
    <w:p>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财政部、发展改革委、生态环境部、市场监管总局《关于调整优化节能产品、环境标志产品政府采购执行机制的通知》（财库〔2019〕9号），本次采购货物中属政府强制采购节能产品的，供应商所投产品必须是品目清单内产品，并提供清单内证明材料，否则投标无效。其他产品若属于“节能产品政府采购清单”内产品，在同等条件下，优先采购清单中的产品。</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价格项加分：</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1、（节能清单部分产品的价格/投标报价）×3%×价格项满分值</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2、（环境清单部分产品的价格/投标报价）×3%×价格项满分值</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技术项加分：</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1、（节能清单部分产品的价格/投标报价）×3%×技术项满分值</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2、（环境清单部分产品的价格/投标报价）×3%×技术项满分值</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注：1、供应商须提供23期《节能产品政府采购清单》关于投标产品当前页的打印件；</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2、供应商提供21期《环境标志产品政府采购清单》关于投标产品当前页的打印件；</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属于中小企业评审优惠内容及价格扣除幅度：</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根据中华人民共和国工业和信息化部《政府采购促进中小企业发展暂行办法》（财库[2020]46号）文件的规定，属于中小企业评审优惠内容及幅度如下：</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（一）中小企业（含中型、小型、微型企业）应当同时符合以下条件：</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①符合中小企业划分标准（按《关于印发中小企业划型标准规定的通知》（工信部联企业〔2011〕300号）执行）；</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②提供本企业制造的货物、承担的项目或者服务，或者提供其他中小企业制造的货物。本项所称货物不包括使用大型企业注册商标的货物；</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③小型、微型企业提供中型企业制造的货物的，视同为中型企业。</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（二）价格扣除办法：</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color w:val="000000" w:themeColor="text1"/>
          <w:sz w:val="24"/>
          <w:szCs w:val="24"/>
          <w:highlight w:val="none"/>
          <w14:textFill>
            <w14:solidFill>
              <w14:schemeClr w14:val="tx1"/>
            </w14:solidFill>
          </w14:textFill>
        </w:rPr>
        <w:instrText xml:space="preserve"> = 1 \* GB3 </w:instrText>
      </w:r>
      <w:r>
        <w:rPr>
          <w:rFonts w:hint="eastAsia" w:ascii="宋体" w:hAnsi="宋体" w:eastAsia="宋体" w:cs="宋体"/>
          <w:b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color w:val="000000" w:themeColor="text1"/>
          <w:sz w:val="24"/>
          <w:szCs w:val="24"/>
          <w:highlight w:val="none"/>
          <w14:textFill>
            <w14:solidFill>
              <w14:schemeClr w14:val="tx1"/>
            </w14:solidFill>
          </w14:textFill>
        </w:rPr>
        <w:t>①</w:t>
      </w:r>
      <w:r>
        <w:rPr>
          <w:rFonts w:hint="eastAsia" w:ascii="宋体" w:hAnsi="宋体" w:eastAsia="宋体" w:cs="宋体"/>
          <w:b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color w:val="000000" w:themeColor="text1"/>
          <w:sz w:val="24"/>
          <w:szCs w:val="24"/>
          <w:highlight w:val="none"/>
          <w14:textFill>
            <w14:solidFill>
              <w14:schemeClr w14:val="tx1"/>
            </w14:solidFill>
          </w14:textFill>
        </w:rPr>
        <w:t>对于非专门面向中小企业的项目，对小型和微型企业（或联合体各方均为小型、微型企业的）产品的价格给予</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color w:val="000000" w:themeColor="text1"/>
          <w:sz w:val="24"/>
          <w:szCs w:val="24"/>
          <w:highlight w:val="none"/>
          <w14:textFill>
            <w14:solidFill>
              <w14:schemeClr w14:val="tx1"/>
            </w14:solidFill>
          </w14:textFill>
        </w:rPr>
        <w:t>%的扣除，用扣除后的价格参与价格分的评审。</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（三）小型和微型企业适用价格扣除办法时应提供的相关资料：</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fldChar w:fldCharType="begin"/>
      </w:r>
      <w:r>
        <w:rPr>
          <w:rFonts w:hint="eastAsia" w:ascii="宋体" w:hAnsi="宋体" w:eastAsia="宋体" w:cs="宋体"/>
          <w:b w:val="0"/>
          <w:color w:val="000000"/>
          <w:sz w:val="24"/>
          <w:szCs w:val="24"/>
          <w:highlight w:val="none"/>
        </w:rPr>
        <w:instrText xml:space="preserve"> = 1 \* GB3 </w:instrText>
      </w:r>
      <w:r>
        <w:rPr>
          <w:rFonts w:hint="eastAsia" w:ascii="宋体" w:hAnsi="宋体" w:eastAsia="宋体" w:cs="宋体"/>
          <w:b w:val="0"/>
          <w:color w:val="000000"/>
          <w:sz w:val="24"/>
          <w:szCs w:val="24"/>
          <w:highlight w:val="none"/>
        </w:rPr>
        <w:fldChar w:fldCharType="separate"/>
      </w:r>
      <w:r>
        <w:rPr>
          <w:rFonts w:hint="eastAsia" w:ascii="宋体" w:hAnsi="宋体" w:eastAsia="宋体" w:cs="宋体"/>
          <w:b w:val="0"/>
          <w:color w:val="000000"/>
          <w:sz w:val="24"/>
          <w:szCs w:val="24"/>
          <w:highlight w:val="none"/>
        </w:rPr>
        <w:t>①</w:t>
      </w:r>
      <w:r>
        <w:rPr>
          <w:rFonts w:hint="eastAsia" w:ascii="宋体" w:hAnsi="宋体" w:eastAsia="宋体" w:cs="宋体"/>
          <w:b w:val="0"/>
          <w:color w:val="000000"/>
          <w:sz w:val="24"/>
          <w:szCs w:val="24"/>
          <w:highlight w:val="none"/>
        </w:rPr>
        <w:fldChar w:fldCharType="end"/>
      </w:r>
      <w:r>
        <w:rPr>
          <w:rFonts w:hint="eastAsia" w:ascii="宋体" w:hAnsi="宋体" w:eastAsia="宋体" w:cs="宋体"/>
          <w:b w:val="0"/>
          <w:color w:val="000000"/>
          <w:sz w:val="24"/>
          <w:szCs w:val="24"/>
          <w:highlight w:val="none"/>
        </w:rPr>
        <w:t xml:space="preserve"> 《中小企业声明函》。</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② 供应商应提供所投标产品生产厂家的属地主管部门出具的证明函；</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③ 供应商应同时提供以上二个材料，否则将不给予价格扣除。</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④ 供应商需在投标文件报价部分中“投标分项报价表”中逐项注明所投产品的生产厂家具体名称并备注是否属于小型、微型企业。</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若所投标产品为进口产品的，不适用《政府采购促进中小企业发展暂行办法》。</w:t>
      </w:r>
    </w:p>
    <w:p>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根据中华人民共和国财政部、中华人民共和国民政部、中国残疾人联合会《关于促进残疾人就业政府采购政策的通知》（财库[2017]141号）文件的规定：残疾人福利性单位视同小型、微型企业。</w:t>
      </w:r>
    </w:p>
    <w:p>
      <w:pPr>
        <w:pStyle w:val="34"/>
        <w:pageBreakBefore w:val="0"/>
        <w:kinsoku/>
        <w:wordWrap/>
        <w:overflowPunct/>
        <w:topLinePunct w:val="0"/>
        <w:bidi w:val="0"/>
        <w:spacing w:beforeAutospacing="0" w:afterAutospacing="0" w:line="400" w:lineRule="exact"/>
        <w:ind w:firstLine="240" w:firstLineChars="100"/>
        <w:jc w:val="both"/>
        <w:rPr>
          <w:rFonts w:hint="eastAsia" w:ascii="宋体" w:hAnsi="宋体" w:eastAsia="宋体" w:cs="宋体"/>
          <w:sz w:val="24"/>
          <w:szCs w:val="24"/>
          <w:lang w:val="en-US" w:eastAsia="zh-CN"/>
        </w:rPr>
        <w:sectPr>
          <w:footerReference r:id="rId5" w:type="default"/>
          <w:pgSz w:w="11960" w:h="16880"/>
          <w:pgMar w:top="1440" w:right="1800" w:bottom="1440" w:left="1800" w:header="0" w:footer="0" w:gutter="0"/>
          <w:pgNumType w:fmt="decimal"/>
          <w:cols w:space="720" w:num="1"/>
        </w:sectPr>
      </w:pPr>
      <w:r>
        <w:rPr>
          <w:rFonts w:hint="eastAsia" w:ascii="宋体" w:hAnsi="宋体" w:eastAsia="宋体" w:cs="宋体"/>
          <w:b w:val="0"/>
          <w:color w:val="000000"/>
          <w:sz w:val="24"/>
          <w:szCs w:val="24"/>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pStyle w:val="36"/>
        <w:pageBreakBefore w:val="0"/>
        <w:kinsoku/>
        <w:wordWrap/>
        <w:overflowPunct/>
        <w:topLinePunct w:val="0"/>
        <w:bidi w:val="0"/>
        <w:spacing w:beforeAutospacing="0" w:afterAutospacing="0" w:line="400" w:lineRule="exact"/>
        <w:jc w:val="both"/>
        <w:outlineLvl w:val="0"/>
        <w:rPr>
          <w:rFonts w:hint="eastAsia" w:ascii="宋体" w:hAnsi="宋体" w:eastAsia="宋体" w:cs="宋体"/>
          <w:b/>
          <w:sz w:val="24"/>
          <w:szCs w:val="24"/>
          <w:highlight w:val="none"/>
        </w:rPr>
      </w:pPr>
    </w:p>
    <w:p>
      <w:pPr>
        <w:pStyle w:val="22"/>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r>
        <w:rPr>
          <w:rStyle w:val="28"/>
          <w:rFonts w:hint="eastAsia" w:ascii="宋体" w:hAnsi="宋体" w:eastAsia="宋体" w:cs="宋体"/>
          <w:b/>
          <w:bCs/>
          <w:color w:val="auto"/>
          <w:w w:val="90"/>
          <w:sz w:val="36"/>
          <w:szCs w:val="36"/>
          <w:u w:val="none"/>
          <w:lang w:val="en-US" w:eastAsia="zh-CN"/>
        </w:rPr>
        <w:t>第七章   投标文件格式</w:t>
      </w:r>
    </w:p>
    <w:p>
      <w:pPr>
        <w:pStyle w:val="36"/>
        <w:pageBreakBefore w:val="0"/>
        <w:kinsoku/>
        <w:wordWrap/>
        <w:overflowPunct/>
        <w:topLinePunct w:val="0"/>
        <w:bidi w:val="0"/>
        <w:spacing w:beforeAutospacing="0" w:afterAutospacing="0" w:line="400" w:lineRule="exact"/>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4482465</wp:posOffset>
                </wp:positionH>
                <wp:positionV relativeFrom="paragraph">
                  <wp:posOffset>137160</wp:posOffset>
                </wp:positionV>
                <wp:extent cx="825500" cy="404495"/>
                <wp:effectExtent l="5080" t="4445" r="7620" b="10160"/>
                <wp:wrapNone/>
                <wp:docPr id="6" name="文本框 6"/>
                <wp:cNvGraphicFramePr/>
                <a:graphic xmlns:a="http://schemas.openxmlformats.org/drawingml/2006/main">
                  <a:graphicData uri="http://schemas.microsoft.com/office/word/2010/wordprocessingShape">
                    <wps:wsp>
                      <wps:cNvSpPr txBox="1"/>
                      <wps:spPr>
                        <a:xfrm>
                          <a:off x="0" y="0"/>
                          <a:ext cx="825500" cy="404495"/>
                        </a:xfrm>
                        <a:prstGeom prst="rect">
                          <a:avLst/>
                        </a:prstGeom>
                        <a:noFill/>
                        <a:ln w="9525" cap="flat" cmpd="sng">
                          <a:solidFill>
                            <a:srgbClr val="000000"/>
                          </a:solidFill>
                          <a:prstDash val="solid"/>
                          <a:miter/>
                          <a:headEnd type="none" w="med" len="med"/>
                          <a:tailEnd type="none" w="med" len="med"/>
                        </a:ln>
                      </wps:spPr>
                      <wps:txbx>
                        <w:txbxContent>
                          <w:p>
                            <w:pPr>
                              <w:jc w:val="center"/>
                              <w:rPr>
                                <w:sz w:val="36"/>
                                <w:szCs w:val="36"/>
                              </w:rPr>
                            </w:pPr>
                            <w:r>
                              <w:rPr>
                                <w:rFonts w:hint="eastAsia"/>
                                <w:sz w:val="36"/>
                                <w:szCs w:val="36"/>
                              </w:rPr>
                              <w:t>正本</w:t>
                            </w:r>
                          </w:p>
                        </w:txbxContent>
                      </wps:txbx>
                      <wps:bodyPr lIns="91439" tIns="45720" rIns="91439" bIns="45720" upright="1"/>
                    </wps:wsp>
                  </a:graphicData>
                </a:graphic>
              </wp:anchor>
            </w:drawing>
          </mc:Choice>
          <mc:Fallback>
            <w:pict>
              <v:shape id="_x0000_s1026" o:spid="_x0000_s1026" o:spt="202" type="#_x0000_t202" style="position:absolute;left:0pt;margin-left:352.95pt;margin-top:10.8pt;height:31.85pt;width:65pt;z-index:251660288;mso-width-relative:page;mso-height-relative:page;" filled="f" stroked="t" coordsize="21600,21600" o:gfxdata="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S6pL1gAAAAkB&#10;AAAPAAAAAAAAAAEAIAAAACIAAABkcnMvZG93bnJldi54bWxQSwECFAAUAAAACACHTuJAMh9XcR0C&#10;AABABAAADgAAAAAAAAABACAAAAAlAQAAZHJzL2Uyb0RvYy54bWxQSwUGAAAAAAYABgBZAQAAtAUA&#10;AAAA&#10;">
                <v:fill on="f" focussize="0,0"/>
                <v:stroke color="#000000" joinstyle="miter"/>
                <v:imagedata o:title=""/>
                <o:lock v:ext="edit" aspectratio="f"/>
                <v:textbox inset="7.19992125984252pt,1.27mm,7.19992125984252pt,1.27mm">
                  <w:txbxContent>
                    <w:p>
                      <w:pPr>
                        <w:jc w:val="center"/>
                        <w:rPr>
                          <w:sz w:val="36"/>
                          <w:szCs w:val="36"/>
                        </w:rPr>
                      </w:pPr>
                      <w:r>
                        <w:rPr>
                          <w:rFonts w:hint="eastAsia"/>
                          <w:sz w:val="36"/>
                          <w:szCs w:val="36"/>
                        </w:rPr>
                        <w:t>正本</w:t>
                      </w:r>
                    </w:p>
                  </w:txbxContent>
                </v:textbox>
              </v:shape>
            </w:pict>
          </mc:Fallback>
        </mc:AlternateContent>
      </w:r>
    </w:p>
    <w:p>
      <w:pPr>
        <w:pStyle w:val="36"/>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bdr w:val="single" w:color="auto" w:sz="4" w:space="0"/>
        </w:rPr>
      </w:pPr>
    </w:p>
    <w:p>
      <w:pPr>
        <w:pStyle w:val="36"/>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p>
      <w:pPr>
        <w:pageBreakBefore w:val="0"/>
        <w:kinsoku/>
        <w:wordWrap/>
        <w:overflowPunct/>
        <w:topLinePunct w:val="0"/>
        <w:bidi w:val="0"/>
        <w:spacing w:beforeAutospacing="0" w:afterAutospacing="0" w:line="400" w:lineRule="exact"/>
        <w:ind w:right="980"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p>
      <w:pPr>
        <w:pageBreakBefore w:val="0"/>
        <w:kinsoku/>
        <w:wordWrap/>
        <w:overflowPunct/>
        <w:topLinePunct w:val="0"/>
        <w:bidi w:val="0"/>
        <w:spacing w:beforeAutospacing="0" w:afterAutospacing="0" w:line="400" w:lineRule="exact"/>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pageBreakBefore w:val="0"/>
        <w:kinsoku/>
        <w:wordWrap/>
        <w:overflowPunct/>
        <w:topLinePunct w:val="0"/>
        <w:bidi w:val="0"/>
        <w:spacing w:beforeAutospacing="0" w:afterAutospacing="0" w:line="400" w:lineRule="exact"/>
        <w:ind w:firstLine="840" w:firstLineChars="35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项目编号： </w:t>
      </w:r>
    </w:p>
    <w:p>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21" w:name="_Toc29518"/>
      <w:bookmarkStart w:id="22" w:name="_Toc10629"/>
      <w:bookmarkStart w:id="23" w:name="_Toc11015"/>
      <w:bookmarkStart w:id="24" w:name="_Toc7996"/>
      <w:r>
        <w:rPr>
          <w:rFonts w:hint="eastAsia" w:ascii="宋体" w:hAnsi="宋体" w:eastAsia="宋体" w:cs="宋体"/>
          <w:b/>
          <w:bCs/>
          <w:color w:val="000000"/>
          <w:sz w:val="24"/>
          <w:szCs w:val="24"/>
          <w:highlight w:val="none"/>
        </w:rPr>
        <w:t>投  标  文  件</w:t>
      </w:r>
      <w:bookmarkEnd w:id="21"/>
      <w:bookmarkEnd w:id="22"/>
      <w:bookmarkEnd w:id="23"/>
      <w:bookmarkEnd w:id="24"/>
    </w:p>
    <w:p>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w:t>
      </w:r>
      <w:r>
        <w:rPr>
          <w:rFonts w:hint="eastAsia" w:ascii="宋体" w:hAnsi="宋体" w:eastAsia="宋体" w:cs="宋体"/>
          <w:color w:val="000000"/>
          <w:sz w:val="24"/>
          <w:szCs w:val="24"/>
          <w:highlight w:val="none"/>
          <w:lang w:eastAsia="zh-CN"/>
        </w:rPr>
        <w:t>名称</w:t>
      </w:r>
      <w:r>
        <w:rPr>
          <w:rFonts w:hint="eastAsia" w:ascii="宋体" w:hAnsi="宋体" w:eastAsia="宋体" w:cs="宋体"/>
          <w:color w:val="000000"/>
          <w:sz w:val="24"/>
          <w:szCs w:val="24"/>
          <w:highlight w:val="none"/>
        </w:rPr>
        <w:t>：（盖单位章）</w:t>
      </w:r>
    </w:p>
    <w:p>
      <w:pPr>
        <w:pStyle w:val="17"/>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投标人地址：</w:t>
      </w:r>
    </w:p>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法定代表人：（签字或盖章）</w:t>
      </w:r>
    </w:p>
    <w:p>
      <w:pPr>
        <w:pStyle w:val="17"/>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授权委托人：</w:t>
      </w:r>
    </w:p>
    <w:p>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联系电话：</w:t>
      </w:r>
    </w:p>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bookmarkStart w:id="25" w:name="_Toc11239"/>
      <w:bookmarkStart w:id="26" w:name="_Toc10107"/>
      <w:bookmarkStart w:id="27" w:name="_Toc7073"/>
      <w:bookmarkStart w:id="28" w:name="_Toc22228"/>
      <w:r>
        <w:rPr>
          <w:rFonts w:hint="eastAsia" w:ascii="宋体" w:hAnsi="宋体" w:eastAsia="宋体" w:cs="宋体"/>
          <w:color w:val="000000"/>
          <w:sz w:val="24"/>
          <w:szCs w:val="24"/>
          <w:highlight w:val="none"/>
        </w:rPr>
        <w:t>年        月        日</w:t>
      </w:r>
      <w:bookmarkEnd w:id="25"/>
      <w:bookmarkEnd w:id="26"/>
      <w:bookmarkEnd w:id="27"/>
      <w:bookmarkEnd w:id="28"/>
    </w:p>
    <w:p>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pPr>
        <w:pStyle w:val="31"/>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pPr>
        <w:pageBreakBefore w:val="0"/>
        <w:kinsoku/>
        <w:wordWrap/>
        <w:overflowPunct/>
        <w:topLinePunct w:val="0"/>
        <w:bidi w:val="0"/>
        <w:spacing w:beforeAutospacing="0" w:afterAutospacing="0" w:line="400" w:lineRule="exact"/>
        <w:jc w:val="both"/>
        <w:rPr>
          <w:rFonts w:hint="eastAsia" w:ascii="宋体" w:hAnsi="宋体" w:eastAsia="宋体" w:cs="宋体"/>
          <w:b/>
          <w:bCs/>
          <w:color w:val="000000"/>
          <w:sz w:val="24"/>
          <w:szCs w:val="24"/>
          <w:highlight w:val="none"/>
        </w:rPr>
      </w:pPr>
    </w:p>
    <w:p>
      <w:pPr>
        <w:pageBreakBefore w:val="0"/>
        <w:numPr>
          <w:ilvl w:val="0"/>
          <w:numId w:val="6"/>
        </w:numPr>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29" w:name="_Toc7184"/>
      <w:bookmarkStart w:id="30" w:name="_Toc23088"/>
      <w:r>
        <w:rPr>
          <w:rFonts w:hint="eastAsia" w:ascii="宋体" w:hAnsi="宋体" w:eastAsia="宋体" w:cs="宋体"/>
          <w:b/>
          <w:bCs/>
          <w:color w:val="000000"/>
          <w:sz w:val="24"/>
          <w:szCs w:val="24"/>
          <w:highlight w:val="none"/>
        </w:rPr>
        <w:t xml:space="preserve"> </w:t>
      </w:r>
      <w:bookmarkStart w:id="31" w:name="_Toc2645"/>
      <w:bookmarkStart w:id="32" w:name="_Toc10635"/>
      <w:r>
        <w:rPr>
          <w:rFonts w:hint="eastAsia" w:ascii="宋体" w:hAnsi="宋体" w:eastAsia="宋体" w:cs="宋体"/>
          <w:b/>
          <w:bCs/>
          <w:color w:val="000000"/>
          <w:sz w:val="24"/>
          <w:szCs w:val="24"/>
          <w:highlight w:val="none"/>
        </w:rPr>
        <w:t>经济报价部</w:t>
      </w:r>
      <w:bookmarkEnd w:id="29"/>
      <w:bookmarkEnd w:id="30"/>
      <w:bookmarkEnd w:id="31"/>
      <w:bookmarkEnd w:id="32"/>
    </w:p>
    <w:p>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pPr>
        <w:pageBreakBefore w:val="0"/>
        <w:numPr>
          <w:ilvl w:val="0"/>
          <w:numId w:val="0"/>
        </w:numPr>
        <w:kinsoku/>
        <w:wordWrap/>
        <w:overflowPunct/>
        <w:topLinePunct w:val="0"/>
        <w:bidi w:val="0"/>
        <w:spacing w:beforeAutospacing="0" w:afterAutospacing="0" w:line="400" w:lineRule="exact"/>
        <w:jc w:val="center"/>
        <w:rPr>
          <w:rFonts w:hint="eastAsia" w:ascii="宋体" w:hAnsi="宋体" w:eastAsia="宋体" w:cs="宋体"/>
          <w:sz w:val="24"/>
          <w:szCs w:val="24"/>
        </w:rPr>
      </w:pPr>
      <w:r>
        <w:rPr>
          <w:rFonts w:hint="eastAsia" w:ascii="宋体" w:hAnsi="宋体" w:eastAsia="宋体" w:cs="宋体"/>
          <w:b/>
          <w:color w:val="000000"/>
          <w:sz w:val="24"/>
          <w:szCs w:val="24"/>
          <w:highlight w:val="none"/>
          <w:lang w:val="en-US" w:eastAsia="zh-CN"/>
        </w:rPr>
        <w:t>1、</w:t>
      </w:r>
      <w:r>
        <w:rPr>
          <w:rFonts w:hint="eastAsia" w:ascii="宋体" w:hAnsi="宋体" w:eastAsia="宋体" w:cs="宋体"/>
          <w:b/>
          <w:color w:val="000000"/>
          <w:sz w:val="24"/>
          <w:szCs w:val="24"/>
          <w:highlight w:val="none"/>
        </w:rPr>
        <w:t>投   标   书</w:t>
      </w:r>
    </w:p>
    <w:p>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pPr>
        <w:pStyle w:val="6"/>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我们收到你们的</w:t>
      </w:r>
      <w:r>
        <w:rPr>
          <w:rFonts w:hint="eastAsia" w:ascii="宋体" w:hAnsi="宋体" w:eastAsia="宋体" w:cs="宋体"/>
          <w:color w:val="000000"/>
          <w:sz w:val="24"/>
          <w:szCs w:val="24"/>
          <w:highlight w:val="none"/>
          <w:u w:val="single"/>
        </w:rPr>
        <w:t xml:space="preserve">     （项目名称）     （项目编号：  ）</w:t>
      </w:r>
      <w:r>
        <w:rPr>
          <w:rFonts w:hint="eastAsia" w:ascii="宋体" w:hAnsi="宋体" w:eastAsia="宋体" w:cs="宋体"/>
          <w:color w:val="000000"/>
          <w:sz w:val="24"/>
          <w:szCs w:val="24"/>
          <w:highlight w:val="none"/>
        </w:rPr>
        <w:t>招标文件，经认真研究，我们决定参加本次招标活动。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1、按照招标文件中的一切要求，提供招标相关服务。人民币    </w:t>
      </w:r>
      <w:r>
        <w:rPr>
          <w:rFonts w:hint="eastAsia" w:ascii="宋体" w:hAnsi="宋体" w:eastAsia="宋体" w:cs="宋体"/>
          <w:sz w:val="24"/>
          <w:szCs w:val="24"/>
          <w:highlight w:val="none"/>
        </w:rPr>
        <w:t>元（用阿拉伯数字书写），大写：     。</w:t>
      </w:r>
      <w:r>
        <w:rPr>
          <w:rFonts w:hint="eastAsia" w:ascii="宋体" w:hAnsi="宋体" w:eastAsia="宋体" w:cs="宋体"/>
          <w:color w:val="000000"/>
          <w:sz w:val="24"/>
          <w:szCs w:val="24"/>
          <w:highlight w:val="none"/>
        </w:rPr>
        <w:t>明细见投标报价表。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2、如果我们的投标文件被接受，我们将履行招标文件中规定的每一项义务和要求，按期、按质、按量完成交货。</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3、我们同意按招标文件的规定，本投标文件的有效期为开标后</w:t>
      </w:r>
      <w:r>
        <w:rPr>
          <w:rFonts w:hint="eastAsia" w:ascii="宋体" w:hAnsi="宋体" w:eastAsia="宋体" w:cs="宋体"/>
          <w:color w:val="000000"/>
          <w:sz w:val="24"/>
          <w:szCs w:val="24"/>
          <w:highlight w:val="none"/>
          <w:u w:val="single"/>
        </w:rPr>
        <w:t>60</w:t>
      </w:r>
      <w:r>
        <w:rPr>
          <w:rFonts w:hint="eastAsia" w:ascii="宋体" w:hAnsi="宋体" w:eastAsia="宋体" w:cs="宋体"/>
          <w:color w:val="000000"/>
          <w:sz w:val="24"/>
          <w:szCs w:val="24"/>
          <w:highlight w:val="none"/>
        </w:rPr>
        <w:t>天。</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4、我们愿意提供</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在招标文件中要求的所有资料。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5、我们认为你们有选择或拒绝任何投标者中标的权力。我们理解，最低报价不是中标的唯一条件。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6、我们愿按合同法履行自己的全部责任。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7、我们愿意遵守国家有关规定和招标文件中规定的收费标准，承付中标服务费。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8、该项投标在开标后的全过程中保持有效，不作任何更改和变动。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9、我们同意按招标文件规定，交纳投标保证金。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10、其它说明。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11、所有有关本标书的函电，请按下列地址联系：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法定代表人或授权代表人（签字或盖章）：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联系人：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right"/>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right"/>
        <w:textAlignment w:val="auto"/>
        <w:rPr>
          <w:rFonts w:hint="eastAsia" w:ascii="宋体" w:hAnsi="宋体" w:eastAsia="宋体" w:cs="宋体"/>
          <w:sz w:val="24"/>
          <w:szCs w:val="24"/>
          <w:lang w:eastAsia="zh-CN"/>
        </w:rPr>
        <w:sectPr>
          <w:headerReference r:id="rId6" w:type="default"/>
          <w:footerReference r:id="rId7" w:type="default"/>
          <w:pgSz w:w="11906" w:h="16838"/>
          <w:pgMar w:top="1440" w:right="1800" w:bottom="1440" w:left="1380" w:header="851" w:footer="992" w:gutter="0"/>
          <w:pgNumType w:fmt="decimal"/>
          <w:cols w:space="720" w:num="1"/>
          <w:docGrid w:type="lines" w:linePitch="312" w:charSpace="0"/>
        </w:sectPr>
      </w:pPr>
      <w:r>
        <w:rPr>
          <w:rFonts w:hint="eastAsia" w:ascii="宋体" w:hAnsi="宋体" w:eastAsia="宋体" w:cs="宋体"/>
          <w:color w:val="000000"/>
          <w:sz w:val="24"/>
          <w:szCs w:val="24"/>
          <w:highlight w:val="none"/>
        </w:rPr>
        <w:t>年  月  日</w:t>
      </w:r>
    </w:p>
    <w:p>
      <w:pPr>
        <w:pStyle w:val="9"/>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 开标一览表</w:t>
      </w:r>
    </w:p>
    <w:p>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tbl>
      <w:tblPr>
        <w:tblStyle w:val="23"/>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023"/>
        <w:gridCol w:w="1830"/>
        <w:gridCol w:w="145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023"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83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投标报价（元）</w:t>
            </w:r>
            <w:r>
              <w:rPr>
                <w:rFonts w:hint="eastAsia" w:ascii="宋体" w:hAnsi="宋体" w:eastAsia="宋体" w:cs="宋体"/>
                <w:color w:val="000000"/>
                <w:sz w:val="24"/>
                <w:szCs w:val="24"/>
                <w:highlight w:val="none"/>
                <w:lang w:val="en-US" w:eastAsia="zh-CN"/>
              </w:rPr>
              <w:t>/年</w:t>
            </w:r>
          </w:p>
        </w:tc>
        <w:tc>
          <w:tcPr>
            <w:tcW w:w="1456"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履约期限</w:t>
            </w:r>
          </w:p>
        </w:tc>
        <w:tc>
          <w:tcPr>
            <w:tcW w:w="179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02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83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02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总计：（人民币小写）：</w:t>
            </w:r>
          </w:p>
        </w:tc>
        <w:tc>
          <w:tcPr>
            <w:tcW w:w="5076" w:type="dxa"/>
            <w:gridSpan w:val="3"/>
            <w:vAlign w:val="center"/>
          </w:tcPr>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02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（人民币大写）：</w:t>
            </w:r>
          </w:p>
        </w:tc>
        <w:tc>
          <w:tcPr>
            <w:tcW w:w="5076" w:type="dxa"/>
            <w:gridSpan w:val="3"/>
            <w:vAlign w:val="center"/>
          </w:tcPr>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tc>
      </w:tr>
    </w:tbl>
    <w:p>
      <w:pPr>
        <w:pStyle w:val="42"/>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color w:val="auto"/>
          <w:sz w:val="24"/>
          <w:szCs w:val="24"/>
          <w:highlight w:val="none"/>
        </w:rPr>
      </w:pPr>
      <w:bookmarkStart w:id="33" w:name="_Toc20945"/>
      <w:r>
        <w:rPr>
          <w:rFonts w:hint="eastAsia" w:ascii="宋体" w:hAnsi="宋体" w:eastAsia="宋体" w:cs="宋体"/>
          <w:color w:val="auto"/>
          <w:sz w:val="24"/>
          <w:szCs w:val="24"/>
          <w:highlight w:val="none"/>
        </w:rPr>
        <w:t>注：</w:t>
      </w:r>
    </w:p>
    <w:p>
      <w:pPr>
        <w:pStyle w:val="42"/>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1、此表</w:t>
      </w:r>
      <w:r>
        <w:rPr>
          <w:rFonts w:hint="eastAsia" w:cs="宋体"/>
          <w:color w:val="auto"/>
          <w:sz w:val="24"/>
          <w:szCs w:val="24"/>
          <w:highlight w:val="none"/>
          <w:lang w:val="en-US" w:eastAsia="zh-CN"/>
        </w:rPr>
        <w:t>须包含在</w:t>
      </w:r>
      <w:r>
        <w:rPr>
          <w:rFonts w:hint="eastAsia" w:ascii="宋体" w:hAnsi="宋体" w:eastAsia="宋体" w:cs="宋体"/>
          <w:color w:val="auto"/>
          <w:sz w:val="24"/>
          <w:szCs w:val="24"/>
          <w:highlight w:val="none"/>
          <w:lang w:eastAsia="zh-CN"/>
        </w:rPr>
        <w:t>投标文件中</w:t>
      </w:r>
      <w:r>
        <w:rPr>
          <w:rFonts w:hint="eastAsia" w:ascii="宋体" w:hAnsi="宋体" w:eastAsia="宋体" w:cs="宋体"/>
          <w:color w:val="auto"/>
          <w:sz w:val="24"/>
          <w:szCs w:val="24"/>
          <w:highlight w:val="none"/>
        </w:rPr>
        <w:t>。</w:t>
      </w:r>
      <w:bookmarkEnd w:id="33"/>
    </w:p>
    <w:p>
      <w:pPr>
        <w:pStyle w:val="36"/>
        <w:pageBreakBefore w:val="0"/>
        <w:numPr>
          <w:ilvl w:val="0"/>
          <w:numId w:val="0"/>
        </w:numPr>
        <w:kinsoku/>
        <w:wordWrap/>
        <w:overflowPunct/>
        <w:topLinePunct w:val="0"/>
        <w:bidi w:val="0"/>
        <w:spacing w:beforeAutospacing="0" w:afterAutospacing="0" w:line="400" w:lineRule="exact"/>
        <w:ind w:leftChars="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本表格式</w:t>
      </w:r>
      <w:r>
        <w:rPr>
          <w:rFonts w:hint="eastAsia" w:ascii="宋体" w:hAnsi="宋体" w:eastAsia="宋体" w:cs="宋体"/>
          <w:b/>
          <w:bCs/>
          <w:color w:val="auto"/>
          <w:kern w:val="2"/>
          <w:sz w:val="24"/>
          <w:szCs w:val="24"/>
          <w:highlight w:val="none"/>
          <w:lang w:val="en-US" w:eastAsia="zh-CN"/>
        </w:rPr>
        <w:t>及内容</w:t>
      </w:r>
      <w:r>
        <w:rPr>
          <w:rFonts w:hint="eastAsia" w:ascii="宋体" w:hAnsi="宋体" w:eastAsia="宋体" w:cs="宋体"/>
          <w:b/>
          <w:bCs/>
          <w:color w:val="auto"/>
          <w:kern w:val="2"/>
          <w:sz w:val="24"/>
          <w:szCs w:val="24"/>
          <w:highlight w:val="none"/>
        </w:rPr>
        <w:t>不得更改，投标人只能按要求填报，否则将被视为无效投标。</w:t>
      </w:r>
    </w:p>
    <w:p>
      <w:pPr>
        <w:pageBreakBefore w:val="0"/>
        <w:kinsoku/>
        <w:wordWrap/>
        <w:overflowPunct/>
        <w:topLinePunct w:val="0"/>
        <w:bidi w:val="0"/>
        <w:spacing w:beforeAutospacing="0" w:afterAutospacing="0" w:line="400" w:lineRule="exact"/>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（基准价/投标报价）×价格权值×100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投标基准价为通过初步审查且价格最</w:t>
      </w:r>
      <w:r>
        <w:rPr>
          <w:rFonts w:hint="eastAsia" w:ascii="宋体" w:hAnsi="宋体" w:eastAsia="宋体" w:cs="宋体"/>
          <w:color w:val="auto"/>
          <w:sz w:val="24"/>
          <w:szCs w:val="24"/>
          <w:lang w:eastAsia="zh-CN"/>
        </w:rPr>
        <w:t>低</w:t>
      </w:r>
      <w:r>
        <w:rPr>
          <w:rFonts w:hint="eastAsia" w:ascii="宋体" w:hAnsi="宋体" w:eastAsia="宋体" w:cs="宋体"/>
          <w:color w:val="auto"/>
          <w:sz w:val="24"/>
          <w:szCs w:val="24"/>
        </w:rPr>
        <w:t>的投标报价，价格权值为</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p>
    <w:p>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报价得分为负数的按零分计</w:t>
      </w:r>
      <w:r>
        <w:rPr>
          <w:rFonts w:hint="eastAsia" w:ascii="宋体" w:hAnsi="宋体" w:eastAsia="宋体" w:cs="宋体"/>
          <w:color w:val="auto"/>
          <w:sz w:val="24"/>
          <w:szCs w:val="24"/>
        </w:rPr>
        <w:t>。</w:t>
      </w:r>
    </w:p>
    <w:p>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、投标总价应为各分项报价之和，投标文件差异修正准则参见投标报价说明。</w:t>
      </w:r>
    </w:p>
    <w:p>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报价中必须包含前期调研、技术咨询、资料收集、报告编制、协调服务、交通差旅费、文档和图档的打印、装订及寄送费用、成果初审、专家评审（含专家评审费、交通费、餐费、场地费、住宿费等）等所产生的费用、全额含税发票、雇员费用、合同实施过程中的应预见和不可预见费用等完成合同规定责任和义务、达到合同目的的一切费用及企业利润。并应包含应由中标人缴纳的本次招标代理服务费。</w:t>
      </w:r>
    </w:p>
    <w:p>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、投标人必须自行考虑本项目在实施期间的一切可能产生的费用。在合同执行过程中，招标人将不再另行支付与本项目相关的任何费用（非本项目要求的其它内容除外）。</w:t>
      </w:r>
    </w:p>
    <w:p>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、报价表述限于中文大写或阿拉伯数字小写，均已核定准确无误，若投标报价大小写不一致，以大写金额为准。</w:t>
      </w:r>
    </w:p>
    <w:p>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、如果我方未中标，贵方没有必要对我方做出任何解释和说明，我方将充分尊重和理解贵方的选择。</w:t>
      </w:r>
    </w:p>
    <w:p>
      <w:pPr>
        <w:pStyle w:val="36"/>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兹声明：以上投标报价在投标有效期内一直有效。</w:t>
      </w:r>
    </w:p>
    <w:p>
      <w:pPr>
        <w:pageBreakBefore w:val="0"/>
        <w:kinsoku/>
        <w:wordWrap/>
        <w:overflowPunct/>
        <w:topLinePunct w:val="0"/>
        <w:bidi w:val="0"/>
        <w:spacing w:beforeAutospacing="0" w:afterAutospacing="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投标人名称（加盖公章）：</w:t>
      </w:r>
      <w:r>
        <w:rPr>
          <w:rFonts w:hint="eastAsia" w:ascii="宋体" w:hAnsi="宋体" w:eastAsia="宋体" w:cs="宋体"/>
          <w:bCs/>
          <w:color w:val="auto"/>
          <w:sz w:val="24"/>
          <w:szCs w:val="24"/>
          <w:highlight w:val="none"/>
          <w:u w:val="single"/>
        </w:rPr>
        <w:t xml:space="preserve">                               </w:t>
      </w:r>
    </w:p>
    <w:p>
      <w:pPr>
        <w:pStyle w:val="42"/>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b w:val="0"/>
          <w:color w:val="auto"/>
          <w:kern w:val="2"/>
          <w:sz w:val="24"/>
          <w:szCs w:val="24"/>
          <w:highlight w:val="none"/>
        </w:rPr>
      </w:pPr>
      <w:bookmarkStart w:id="34" w:name="_Toc19201"/>
      <w:r>
        <w:rPr>
          <w:rFonts w:hint="eastAsia" w:ascii="宋体" w:hAnsi="宋体" w:eastAsia="宋体" w:cs="宋体"/>
          <w:b w:val="0"/>
          <w:color w:val="auto"/>
          <w:sz w:val="24"/>
          <w:szCs w:val="24"/>
          <w:highlight w:val="none"/>
        </w:rPr>
        <w:t>代理（被授权人）签字：</w:t>
      </w:r>
      <w:bookmarkEnd w:id="34"/>
      <w:r>
        <w:rPr>
          <w:rFonts w:hint="eastAsia" w:ascii="宋体" w:hAnsi="宋体" w:eastAsia="宋体" w:cs="宋体"/>
          <w:b w:val="0"/>
          <w:color w:val="auto"/>
          <w:sz w:val="24"/>
          <w:szCs w:val="24"/>
          <w:highlight w:val="none"/>
          <w:u w:val="single"/>
        </w:rPr>
        <w:t xml:space="preserve">                  </w:t>
      </w:r>
    </w:p>
    <w:p>
      <w:pPr>
        <w:pStyle w:val="42"/>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b/>
          <w:color w:val="000000"/>
          <w:sz w:val="24"/>
          <w:szCs w:val="24"/>
          <w:highlight w:val="none"/>
        </w:rPr>
      </w:pPr>
      <w:bookmarkStart w:id="35" w:name="_Toc10411"/>
      <w:r>
        <w:rPr>
          <w:rFonts w:hint="eastAsia" w:ascii="宋体" w:hAnsi="宋体" w:eastAsia="宋体" w:cs="宋体"/>
          <w:b w:val="0"/>
          <w:color w:val="auto"/>
          <w:spacing w:val="36"/>
          <w:kern w:val="2"/>
          <w:sz w:val="24"/>
          <w:szCs w:val="24"/>
          <w:highlight w:val="none"/>
        </w:rPr>
        <w:t>日期</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月</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日</w:t>
      </w:r>
      <w:bookmarkEnd w:id="35"/>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pPr>
        <w:pStyle w:val="31"/>
        <w:rPr>
          <w:rFonts w:hint="eastAsia" w:ascii="宋体" w:hAnsi="宋体" w:eastAsia="宋体" w:cs="宋体"/>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3、报价明细表</w:t>
      </w:r>
    </w:p>
    <w:p>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tbl>
      <w:tblPr>
        <w:tblStyle w:val="23"/>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433"/>
        <w:gridCol w:w="1550"/>
        <w:gridCol w:w="1367"/>
        <w:gridCol w:w="1166"/>
        <w:gridCol w:w="1035"/>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jc w:val="center"/>
        </w:trPr>
        <w:tc>
          <w:tcPr>
            <w:tcW w:w="97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43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155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136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16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035"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101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404" w:type="dxa"/>
            <w:gridSpan w:val="2"/>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1550"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16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5"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17"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注：本表具体内容参照本招标文件“材料要求、规格及需求表”所列全部内容，此表可由投标投标人根据内容自行延长。</w:t>
      </w:r>
    </w:p>
    <w:p>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pPr>
        <w:pStyle w:val="8"/>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pPr>
        <w:pStyle w:val="9"/>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36" w:name="_Toc14389"/>
      <w:bookmarkStart w:id="37" w:name="_Toc14281"/>
      <w:bookmarkStart w:id="38" w:name="_Toc31526"/>
      <w:bookmarkStart w:id="39" w:name="_Toc13823"/>
      <w:r>
        <w:rPr>
          <w:rFonts w:hint="eastAsia" w:ascii="宋体" w:hAnsi="宋体" w:eastAsia="宋体" w:cs="宋体"/>
          <w:b/>
          <w:bCs/>
          <w:color w:val="000000"/>
          <w:sz w:val="24"/>
          <w:szCs w:val="24"/>
          <w:highlight w:val="none"/>
        </w:rPr>
        <w:t>第二部分  商务部分</w:t>
      </w:r>
      <w:bookmarkEnd w:id="36"/>
      <w:bookmarkEnd w:id="37"/>
      <w:bookmarkEnd w:id="38"/>
      <w:bookmarkEnd w:id="39"/>
    </w:p>
    <w:p>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pPr>
        <w:pStyle w:val="5"/>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b w:val="0"/>
          <w:color w:val="000000"/>
          <w:sz w:val="24"/>
          <w:szCs w:val="24"/>
          <w:highlight w:val="none"/>
        </w:rPr>
        <w:t>1、</w:t>
      </w:r>
      <w:r>
        <w:rPr>
          <w:rFonts w:hint="eastAsia" w:ascii="宋体" w:hAnsi="宋体" w:eastAsia="宋体" w:cs="宋体"/>
          <w:color w:val="000000"/>
          <w:sz w:val="24"/>
          <w:szCs w:val="24"/>
          <w:highlight w:val="none"/>
        </w:rPr>
        <w:t>投标方的资格声明</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关于贵方年月日发出的</w:t>
      </w:r>
      <w:r>
        <w:rPr>
          <w:rFonts w:hint="eastAsia" w:ascii="宋体" w:hAnsi="宋体" w:eastAsia="宋体" w:cs="宋体"/>
          <w:color w:val="000000"/>
          <w:sz w:val="24"/>
          <w:szCs w:val="24"/>
          <w:highlight w:val="none"/>
          <w:u w:val="single"/>
        </w:rPr>
        <w:t xml:space="preserve">     （项目名称）  （项目编号：  ）</w:t>
      </w:r>
      <w:r>
        <w:rPr>
          <w:rFonts w:hint="eastAsia" w:ascii="宋体" w:hAnsi="宋体" w:eastAsia="宋体" w:cs="宋体"/>
          <w:color w:val="000000"/>
          <w:sz w:val="24"/>
          <w:szCs w:val="24"/>
          <w:highlight w:val="none"/>
        </w:rPr>
        <w:t>项目招标文件，本投标方愿意参加投标，并证明资格文件中和所要求的说明是真实和准确无误的。</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本投标方对可能要求的进一步的资格资料表示理解和同意，并同意按贵方的要求提供任何有关资料。</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76"/>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400" w:lineRule="exact"/>
        <w:ind w:firstLine="576"/>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400" w:lineRule="exact"/>
        <w:ind w:firstLine="576"/>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投标单位名称： （单位公章）</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pPr>
        <w:pStyle w:val="8"/>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pPr>
        <w:pStyle w:val="9"/>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2、投标单位简介</w:t>
      </w:r>
    </w:p>
    <w:tbl>
      <w:tblPr>
        <w:tblStyle w:val="23"/>
        <w:tblpPr w:leftFromText="180" w:rightFromText="180" w:vertAnchor="text" w:horzAnchor="page" w:tblpX="1135" w:tblpY="566"/>
        <w:tblOverlap w:val="never"/>
        <w:tblW w:w="9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743"/>
        <w:gridCol w:w="718"/>
        <w:gridCol w:w="1408"/>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投标人全称</w:t>
            </w:r>
          </w:p>
        </w:tc>
        <w:tc>
          <w:tcPr>
            <w:tcW w:w="2743"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企业性质</w:t>
            </w:r>
          </w:p>
        </w:tc>
        <w:tc>
          <w:tcPr>
            <w:tcW w:w="3084"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地址</w:t>
            </w:r>
          </w:p>
        </w:tc>
        <w:tc>
          <w:tcPr>
            <w:tcW w:w="2743"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电话/传真</w:t>
            </w:r>
          </w:p>
        </w:tc>
        <w:tc>
          <w:tcPr>
            <w:tcW w:w="3084"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成立年月</w:t>
            </w:r>
          </w:p>
        </w:tc>
        <w:tc>
          <w:tcPr>
            <w:tcW w:w="2743"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Merge w:val="restart"/>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经营范围</w:t>
            </w:r>
          </w:p>
        </w:tc>
        <w:tc>
          <w:tcPr>
            <w:tcW w:w="3084" w:type="dxa"/>
            <w:vMerge w:val="restart"/>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营业执照号码</w:t>
            </w:r>
          </w:p>
        </w:tc>
        <w:tc>
          <w:tcPr>
            <w:tcW w:w="2743"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Merge w:val="continue"/>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3084" w:type="dxa"/>
            <w:vMerge w:val="continue"/>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注册资金</w:t>
            </w:r>
          </w:p>
        </w:tc>
        <w:tc>
          <w:tcPr>
            <w:tcW w:w="2743"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2126" w:type="dxa"/>
            <w:gridSpan w:val="2"/>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职工人数</w:t>
            </w:r>
          </w:p>
        </w:tc>
        <w:tc>
          <w:tcPr>
            <w:tcW w:w="3084"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Merge w:val="restart"/>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公司所获证书</w:t>
            </w:r>
          </w:p>
        </w:tc>
        <w:tc>
          <w:tcPr>
            <w:tcW w:w="2743"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718" w:type="dxa"/>
            <w:vMerge w:val="restart"/>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其</w:t>
            </w:r>
          </w:p>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w:t>
            </w:r>
          </w:p>
        </w:tc>
        <w:tc>
          <w:tcPr>
            <w:tcW w:w="1408"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管理人员</w:t>
            </w:r>
          </w:p>
        </w:tc>
        <w:tc>
          <w:tcPr>
            <w:tcW w:w="3084"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Merge w:val="continue"/>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743"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718" w:type="dxa"/>
            <w:vMerge w:val="continue"/>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1408"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技术人员</w:t>
            </w:r>
          </w:p>
        </w:tc>
        <w:tc>
          <w:tcPr>
            <w:tcW w:w="3084"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035" w:type="dxa"/>
            <w:vMerge w:val="continue"/>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743"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c>
          <w:tcPr>
            <w:tcW w:w="718" w:type="dxa"/>
            <w:vMerge w:val="continue"/>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1408"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工人</w:t>
            </w:r>
          </w:p>
        </w:tc>
        <w:tc>
          <w:tcPr>
            <w:tcW w:w="3084"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2035" w:type="dxa"/>
            <w:vMerge w:val="restart"/>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固定资产</w:t>
            </w:r>
          </w:p>
        </w:tc>
        <w:tc>
          <w:tcPr>
            <w:tcW w:w="2743"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原值          万元</w:t>
            </w:r>
          </w:p>
        </w:tc>
        <w:tc>
          <w:tcPr>
            <w:tcW w:w="2126" w:type="dxa"/>
            <w:gridSpan w:val="2"/>
            <w:vMerge w:val="restart"/>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流动资金</w:t>
            </w:r>
          </w:p>
        </w:tc>
        <w:tc>
          <w:tcPr>
            <w:tcW w:w="3084" w:type="dxa"/>
            <w:vMerge w:val="restart"/>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2035" w:type="dxa"/>
            <w:vMerge w:val="continue"/>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743"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净值          万元</w:t>
            </w:r>
          </w:p>
        </w:tc>
        <w:tc>
          <w:tcPr>
            <w:tcW w:w="2126" w:type="dxa"/>
            <w:gridSpan w:val="2"/>
            <w:vMerge w:val="continue"/>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3084" w:type="dxa"/>
            <w:vMerge w:val="continue"/>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2035" w:type="dxa"/>
            <w:vMerge w:val="restart"/>
            <w:tcBorders>
              <w:bottom w:val="single" w:color="auto" w:sz="4" w:space="0"/>
            </w:tcBorders>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上年度主要经济指标</w:t>
            </w:r>
          </w:p>
        </w:tc>
        <w:tc>
          <w:tcPr>
            <w:tcW w:w="7953" w:type="dxa"/>
            <w:gridSpan w:val="4"/>
            <w:tcBorders>
              <w:bottom w:val="single" w:color="auto" w:sz="4" w:space="0"/>
            </w:tcBorders>
            <w:vAlign w:val="center"/>
          </w:tcPr>
          <w:p>
            <w:pPr>
              <w:pStyle w:val="14"/>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服务总产值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2035" w:type="dxa"/>
            <w:vMerge w:val="continue"/>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7953" w:type="dxa"/>
            <w:gridSpan w:val="4"/>
            <w:vAlign w:val="center"/>
          </w:tcPr>
          <w:p>
            <w:pPr>
              <w:pStyle w:val="14"/>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2035" w:type="dxa"/>
            <w:vAlign w:val="center"/>
          </w:tcPr>
          <w:p>
            <w:pPr>
              <w:pStyle w:val="14"/>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企业简介</w:t>
            </w:r>
          </w:p>
        </w:tc>
        <w:tc>
          <w:tcPr>
            <w:tcW w:w="7953" w:type="dxa"/>
            <w:gridSpan w:val="4"/>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请在简介中说明但不限于以下内容：</w:t>
            </w:r>
          </w:p>
          <w:p>
            <w:pPr>
              <w:pageBreakBefore w:val="0"/>
              <w:numPr>
                <w:ilvl w:val="0"/>
                <w:numId w:val="7"/>
              </w:numPr>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是否具有健全稳定的组织结构；</w:t>
            </w:r>
          </w:p>
          <w:p>
            <w:pPr>
              <w:pageBreakBefore w:val="0"/>
              <w:numPr>
                <w:ilvl w:val="0"/>
                <w:numId w:val="7"/>
              </w:numPr>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是否已经具备履行合同所需的人力、财力、物力和服务等相关能力；</w:t>
            </w:r>
          </w:p>
          <w:p>
            <w:pPr>
              <w:pageBreakBefore w:val="0"/>
              <w:numPr>
                <w:ilvl w:val="0"/>
                <w:numId w:val="7"/>
              </w:numPr>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是否有较完善的质量保证体系和售后服务体系。</w:t>
            </w:r>
          </w:p>
        </w:tc>
      </w:tr>
    </w:tbl>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加盖单位公章：                           授权代表人签字：</w:t>
      </w:r>
    </w:p>
    <w:p>
      <w:pPr>
        <w:pageBreakBefore w:val="0"/>
        <w:kinsoku/>
        <w:wordWrap/>
        <w:overflowPunct/>
        <w:topLinePunct w:val="0"/>
        <w:bidi w:val="0"/>
        <w:spacing w:beforeAutospacing="0" w:afterAutospacing="0" w:line="400" w:lineRule="exact"/>
        <w:ind w:firstLine="120" w:firstLineChars="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后附：投标单位相关证件</w:t>
      </w:r>
    </w:p>
    <w:p>
      <w:pPr>
        <w:pageBreakBefore w:val="0"/>
        <w:kinsoku/>
        <w:wordWrap/>
        <w:overflowPunct/>
        <w:topLinePunct w:val="0"/>
        <w:bidi w:val="0"/>
        <w:spacing w:beforeAutospacing="0" w:afterAutospacing="0" w:line="400" w:lineRule="exact"/>
        <w:ind w:firstLine="482" w:firstLineChars="200"/>
        <w:rPr>
          <w:rFonts w:hint="eastAsia" w:ascii="宋体" w:hAnsi="宋体" w:eastAsia="宋体" w:cs="宋体"/>
          <w:b/>
          <w:color w:val="000000"/>
          <w:sz w:val="24"/>
          <w:szCs w:val="24"/>
          <w:highlight w:val="none"/>
        </w:rPr>
      </w:pPr>
    </w:p>
    <w:p>
      <w:pPr>
        <w:pStyle w:val="8"/>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pPr>
        <w:pStyle w:val="9"/>
        <w:pageBreakBefore w:val="0"/>
        <w:kinsoku/>
        <w:wordWrap/>
        <w:overflowPunct/>
        <w:topLinePunct w:val="0"/>
        <w:bidi w:val="0"/>
        <w:spacing w:before="0" w:beforeAutospacing="0" w:afterAutospacing="0" w:line="400" w:lineRule="exact"/>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pPr>
        <w:pageBreakBefore w:val="0"/>
        <w:kinsoku/>
        <w:wordWrap/>
        <w:overflowPunct/>
        <w:topLinePunct w:val="0"/>
        <w:bidi w:val="0"/>
        <w:spacing w:beforeAutospacing="0" w:afterAutospacing="0" w:line="400" w:lineRule="exact"/>
        <w:ind w:firstLine="482" w:firstLineChars="200"/>
        <w:rPr>
          <w:rFonts w:hint="eastAsia" w:ascii="宋体" w:hAnsi="宋体" w:eastAsia="宋体" w:cs="宋体"/>
          <w:b/>
          <w:color w:val="000000"/>
          <w:sz w:val="24"/>
          <w:szCs w:val="24"/>
          <w:highlight w:val="none"/>
        </w:rPr>
      </w:pPr>
    </w:p>
    <w:p>
      <w:pPr>
        <w:pStyle w:val="3"/>
        <w:pageBreakBefore w:val="0"/>
        <w:kinsoku/>
        <w:wordWrap/>
        <w:overflowPunct/>
        <w:topLinePunct w:val="0"/>
        <w:bidi w:val="0"/>
        <w:spacing w:beforeAutospacing="0" w:afterAutospacing="0" w:line="400" w:lineRule="exact"/>
        <w:ind w:firstLine="643"/>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3、出具法人营业执照函</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现附上由（签发机关名称）签发的我方法人营业执照复印件，该执照已经年检，真实有效。</w:t>
      </w:r>
    </w:p>
    <w:p>
      <w:pPr>
        <w:pageBreakBefore w:val="0"/>
        <w:kinsoku/>
        <w:wordWrap/>
        <w:overflowPunct/>
        <w:topLinePunct w:val="0"/>
        <w:bidi w:val="0"/>
        <w:spacing w:beforeAutospacing="0" w:afterAutospacing="0" w:line="400" w:lineRule="exact"/>
        <w:ind w:firstLine="852"/>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投标单位名称： （单位公章）</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后附：投标单位营业执照</w:t>
      </w:r>
    </w:p>
    <w:p>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pPr>
        <w:pStyle w:val="3"/>
        <w:pageBreakBefore w:val="0"/>
        <w:kinsoku/>
        <w:wordWrap/>
        <w:overflowPunct/>
        <w:topLinePunct w:val="0"/>
        <w:bidi w:val="0"/>
        <w:spacing w:beforeAutospacing="0" w:afterAutospacing="0" w:line="400" w:lineRule="exact"/>
        <w:ind w:firstLine="643"/>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4、法定代表人身份证明（法定代表人投标提供）</w:t>
      </w:r>
    </w:p>
    <w:p>
      <w:pPr>
        <w:pStyle w:val="5"/>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bookmarkStart w:id="40" w:name="_Toc251236133"/>
      <w:r>
        <w:rPr>
          <w:rFonts w:hint="eastAsia" w:ascii="宋体" w:hAnsi="宋体" w:eastAsia="宋体" w:cs="宋体"/>
          <w:color w:val="000000"/>
          <w:sz w:val="24"/>
          <w:szCs w:val="24"/>
          <w:highlight w:val="none"/>
        </w:rPr>
        <w:t>法定代表人证明书</w:t>
      </w:r>
      <w:bookmarkEnd w:id="40"/>
    </w:p>
    <w:p>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pPr>
        <w:pageBreakBefore w:val="0"/>
        <w:tabs>
          <w:tab w:val="left" w:pos="900"/>
        </w:tabs>
        <w:kinsoku/>
        <w:wordWrap/>
        <w:overflowPunct/>
        <w:topLinePunct w:val="0"/>
        <w:bidi w:val="0"/>
        <w:spacing w:beforeAutospacing="0" w:afterAutospacing="0" w:line="400" w:lineRule="exact"/>
        <w:ind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                  ）同志，现任我单位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职务，为法定代表人，特此证明。</w:t>
      </w: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bl>
      <w:tblPr>
        <w:tblStyle w:val="23"/>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8"/>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8" w:type="dxa"/>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营业执照(注册号)： </w:t>
            </w:r>
          </w:p>
        </w:tc>
        <w:tc>
          <w:tcPr>
            <w:tcW w:w="3152" w:type="dxa"/>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经济性质：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2"/>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2"/>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法定代表人年龄：</w:t>
            </w:r>
          </w:p>
        </w:tc>
        <w:tc>
          <w:tcPr>
            <w:tcW w:w="3152" w:type="dxa"/>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法定代表人性别：</w:t>
            </w:r>
          </w:p>
        </w:tc>
      </w:tr>
    </w:tbl>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公章）</w:t>
      </w: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有效日期：</w:t>
      </w:r>
    </w:p>
    <w:p>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年   月   日</w:t>
      </w:r>
    </w:p>
    <w:p>
      <w:pPr>
        <w:pStyle w:val="31"/>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bookmarkStart w:id="41" w:name="_Toc251236134"/>
      <w:bookmarkStart w:id="42" w:name="_Toc50737329"/>
      <w:bookmarkStart w:id="43" w:name="_Toc50736477"/>
      <w:bookmarkStart w:id="44" w:name="_Toc50737297"/>
      <w:bookmarkStart w:id="45" w:name="_Toc52165081"/>
    </w:p>
    <w:p>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5、</w:t>
      </w:r>
      <w:r>
        <w:rPr>
          <w:rFonts w:hint="eastAsia" w:ascii="宋体" w:hAnsi="宋体" w:eastAsia="宋体" w:cs="宋体"/>
          <w:b/>
          <w:bCs/>
          <w:color w:val="000000"/>
          <w:kern w:val="2"/>
          <w:sz w:val="24"/>
          <w:szCs w:val="24"/>
          <w:highlight w:val="none"/>
        </w:rPr>
        <w:t>法定代表人授权委托书</w:t>
      </w:r>
      <w:bookmarkEnd w:id="41"/>
      <w:bookmarkEnd w:id="42"/>
      <w:bookmarkEnd w:id="43"/>
      <w:bookmarkEnd w:id="44"/>
      <w:bookmarkEnd w:id="45"/>
    </w:p>
    <w:p>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rPr>
      </w:pPr>
    </w:p>
    <w:tbl>
      <w:tblPr>
        <w:tblStyle w:val="23"/>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781"/>
        <w:gridCol w:w="238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w:t>
            </w:r>
          </w:p>
        </w:tc>
        <w:tc>
          <w:tcPr>
            <w:tcW w:w="6381" w:type="dxa"/>
            <w:gridSpan w:val="3"/>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6381" w:type="dxa"/>
            <w:gridSpan w:val="3"/>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2781"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1215"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法人营业执照注册号</w:t>
            </w:r>
          </w:p>
        </w:tc>
        <w:tc>
          <w:tcPr>
            <w:tcW w:w="2781"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注册于（国家或地区）</w:t>
            </w:r>
          </w:p>
        </w:tc>
        <w:tc>
          <w:tcPr>
            <w:tcW w:w="1215"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w:t>
            </w:r>
          </w:p>
        </w:tc>
        <w:tc>
          <w:tcPr>
            <w:tcW w:w="2781" w:type="dxa"/>
            <w:vAlign w:val="center"/>
          </w:tcPr>
          <w:p>
            <w:pPr>
              <w:pageBreakBefore w:val="0"/>
              <w:kinsoku/>
              <w:wordWrap/>
              <w:overflowPunct/>
              <w:topLinePunct w:val="0"/>
              <w:bidi w:val="0"/>
              <w:spacing w:beforeAutospacing="0" w:afterAutospacing="0" w:line="400" w:lineRule="exact"/>
              <w:ind w:right="105"/>
              <w:rPr>
                <w:rFonts w:hint="eastAsia" w:ascii="宋体" w:hAnsi="宋体" w:eastAsia="宋体" w:cs="宋体"/>
                <w:sz w:val="24"/>
                <w:szCs w:val="24"/>
                <w:highlight w:val="none"/>
              </w:rPr>
            </w:pPr>
          </w:p>
        </w:tc>
        <w:tc>
          <w:tcPr>
            <w:tcW w:w="2385"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授权代表人性别</w:t>
            </w:r>
          </w:p>
        </w:tc>
        <w:tc>
          <w:tcPr>
            <w:tcW w:w="1215"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授权代表人身份证号</w:t>
            </w:r>
          </w:p>
        </w:tc>
        <w:tc>
          <w:tcPr>
            <w:tcW w:w="2781"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授权代表人职务</w:t>
            </w:r>
          </w:p>
        </w:tc>
        <w:tc>
          <w:tcPr>
            <w:tcW w:w="1215" w:type="dxa"/>
            <w:vAlign w:val="center"/>
          </w:tcPr>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bl>
    <w:p>
      <w:pPr>
        <w:pageBreakBefore w:val="0"/>
        <w:kinsoku/>
        <w:wordWrap/>
        <w:overflowPunct/>
        <w:topLinePunct w:val="0"/>
        <w:bidi w:val="0"/>
        <w:spacing w:beforeAutospacing="0" w:afterAutospacing="0" w:line="400" w:lineRule="exact"/>
        <w:ind w:left="2" w:firstLine="460" w:firstLineChars="192"/>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兹委托（            ）全权代表我企业（公司）参与</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rPr>
        <w:t>）的投标活动及签订合同，作为投标人代表以本公司的名义处理一切与之有关的事宜。（            ）以我企业（公司）名义所为的行为及签署的文件，我企业（公司）均予以认可。有关法律责任均由我企业（公司）承担。特此声明。</w:t>
      </w:r>
    </w:p>
    <w:p>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有效期：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签发日期：</w:t>
      </w:r>
      <w:r>
        <w:rPr>
          <w:rFonts w:hint="eastAsia" w:ascii="宋体" w:hAnsi="宋体" w:eastAsia="宋体" w:cs="宋体"/>
          <w:sz w:val="24"/>
          <w:szCs w:val="24"/>
          <w:highlight w:val="none"/>
          <w:u w:val="single"/>
        </w:rPr>
        <w:t xml:space="preserve">      年   月   日</w:t>
      </w:r>
      <w:r>
        <w:rPr>
          <w:rFonts w:hint="eastAsia" w:ascii="宋体" w:hAnsi="宋体" w:eastAsia="宋体" w:cs="宋体"/>
          <w:sz w:val="24"/>
          <w:szCs w:val="24"/>
          <w:highlight w:val="none"/>
        </w:rPr>
        <w:t>。</w:t>
      </w: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公章）：</w:t>
      </w: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2439035</wp:posOffset>
                </wp:positionH>
                <wp:positionV relativeFrom="paragraph">
                  <wp:posOffset>70485</wp:posOffset>
                </wp:positionV>
                <wp:extent cx="3485515" cy="1979295"/>
                <wp:effectExtent l="4445" t="4445" r="15240" b="16510"/>
                <wp:wrapNone/>
                <wp:docPr id="2" name="矩形 2"/>
                <wp:cNvGraphicFramePr/>
                <a:graphic xmlns:a="http://schemas.openxmlformats.org/drawingml/2006/main">
                  <a:graphicData uri="http://schemas.microsoft.com/office/word/2010/wordprocessingShape">
                    <wps:wsp>
                      <wps:cNvSpPr/>
                      <wps:spPr>
                        <a:xfrm>
                          <a:off x="0" y="0"/>
                          <a:ext cx="3485515" cy="1979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rPr>
                                <w:rFonts w:eastAsia="黑体"/>
                                <w:b/>
                                <w:sz w:val="30"/>
                              </w:rPr>
                            </w:pPr>
                          </w:p>
                          <w:p>
                            <w:pPr>
                              <w:jc w:val="center"/>
                              <w:rPr>
                                <w:rFonts w:ascii="宋体"/>
                                <w:b/>
                                <w:bCs/>
                                <w:szCs w:val="21"/>
                              </w:rPr>
                            </w:pPr>
                            <w:r>
                              <w:rPr>
                                <w:rFonts w:hint="eastAsia" w:ascii="宋体"/>
                                <w:b/>
                                <w:color w:val="000000"/>
                              </w:rPr>
                              <w:t>法人及授权代表</w:t>
                            </w:r>
                            <w:r>
                              <w:rPr>
                                <w:rFonts w:hint="eastAsia" w:ascii="宋体"/>
                                <w:b/>
                                <w:bCs/>
                                <w:color w:val="000000"/>
                                <w:szCs w:val="21"/>
                              </w:rPr>
                              <w:t>身份证</w:t>
                            </w:r>
                            <w:r>
                              <w:rPr>
                                <w:rFonts w:hint="eastAsia" w:ascii="宋体"/>
                                <w:b/>
                                <w:bCs/>
                                <w:color w:val="000000"/>
                                <w:szCs w:val="21"/>
                                <w:lang w:val="en-US" w:eastAsia="zh-CN"/>
                              </w:rPr>
                              <w:t>正反面</w:t>
                            </w:r>
                            <w:r>
                              <w:rPr>
                                <w:rFonts w:hint="eastAsia" w:ascii="宋体"/>
                                <w:b/>
                                <w:bCs/>
                                <w:color w:val="000000"/>
                                <w:szCs w:val="21"/>
                              </w:rPr>
                              <w:t>复印件粘贴处</w:t>
                            </w:r>
                          </w:p>
                        </w:txbxContent>
                      </wps:txbx>
                      <wps:bodyPr upright="1"/>
                    </wps:wsp>
                  </a:graphicData>
                </a:graphic>
              </wp:anchor>
            </w:drawing>
          </mc:Choice>
          <mc:Fallback>
            <w:pict>
              <v:rect id="_x0000_s1026" o:spid="_x0000_s1026" o:spt="1" style="position:absolute;left:0pt;margin-left:192.05pt;margin-top:5.55pt;height:155.85pt;width:274.45pt;z-index:251659264;mso-width-relative:page;mso-height-relative:page;" fillcolor="#FFFFFF" filled="t" stroked="t" coordsize="21600,21600" o:gfxdata="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Epl51wAAAAoBAAAPAAAAAAAAAAEAIAAAACIAAABkcnMvZG93&#10;bnJldi54bWxQSwECFAAUAAAACACHTuJAElnFIQECAAAqBAAADgAAAAAAAAABACAAAAAmAQAAZHJz&#10;L2Uyb0RvYy54bWxQSwUGAAAAAAYABgBZAQAAmQUAAAAA&#10;">
                <v:fill on="t" focussize="0,0"/>
                <v:stroke color="#000000" joinstyle="miter"/>
                <v:imagedata o:title=""/>
                <o:lock v:ext="edit" aspectratio="f"/>
                <v:textbox>
                  <w:txbxContent>
                    <w:p>
                      <w:pPr>
                        <w:rPr>
                          <w:rFonts w:eastAsia="黑体"/>
                          <w:b/>
                          <w:sz w:val="30"/>
                        </w:rPr>
                      </w:pPr>
                    </w:p>
                    <w:p>
                      <w:pPr>
                        <w:rPr>
                          <w:rFonts w:eastAsia="黑体"/>
                          <w:b/>
                          <w:sz w:val="30"/>
                        </w:rPr>
                      </w:pPr>
                    </w:p>
                    <w:p>
                      <w:pPr>
                        <w:jc w:val="center"/>
                        <w:rPr>
                          <w:rFonts w:ascii="宋体"/>
                          <w:b/>
                          <w:bCs/>
                          <w:szCs w:val="21"/>
                        </w:rPr>
                      </w:pPr>
                      <w:r>
                        <w:rPr>
                          <w:rFonts w:hint="eastAsia" w:ascii="宋体"/>
                          <w:b/>
                          <w:color w:val="000000"/>
                        </w:rPr>
                        <w:t>法人及授权代表</w:t>
                      </w:r>
                      <w:r>
                        <w:rPr>
                          <w:rFonts w:hint="eastAsia" w:ascii="宋体"/>
                          <w:b/>
                          <w:bCs/>
                          <w:color w:val="000000"/>
                          <w:szCs w:val="21"/>
                        </w:rPr>
                        <w:t>身份证</w:t>
                      </w:r>
                      <w:r>
                        <w:rPr>
                          <w:rFonts w:hint="eastAsia" w:ascii="宋体"/>
                          <w:b/>
                          <w:bCs/>
                          <w:color w:val="000000"/>
                          <w:szCs w:val="21"/>
                          <w:lang w:val="en-US" w:eastAsia="zh-CN"/>
                        </w:rPr>
                        <w:t>正反面</w:t>
                      </w:r>
                      <w:r>
                        <w:rPr>
                          <w:rFonts w:hint="eastAsia" w:ascii="宋体"/>
                          <w:b/>
                          <w:bCs/>
                          <w:color w:val="000000"/>
                          <w:szCs w:val="21"/>
                        </w:rPr>
                        <w:t>复印件粘贴处</w:t>
                      </w:r>
                    </w:p>
                  </w:txbxContent>
                </v:textbox>
              </v:rect>
            </w:pict>
          </mc:Fallback>
        </mc:AlternateContent>
      </w: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授权代表人签字或盖章：</w:t>
      </w: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jc w:val="both"/>
        <w:rPr>
          <w:rFonts w:hint="eastAsia" w:ascii="宋体" w:hAnsi="宋体" w:eastAsia="宋体" w:cs="宋体"/>
          <w:b/>
          <w:sz w:val="24"/>
          <w:szCs w:val="24"/>
          <w:highlight w:val="none"/>
        </w:rPr>
      </w:pPr>
    </w:p>
    <w:p>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6、</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rPr>
        <w:t>本项目投标截止期前在“信用中国（</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www.creditchina.gov.cn）”“中国政府招标网（www.ccgp.gov.cn）”</w:t>
      </w:r>
      <w:r>
        <w:rPr>
          <w:rFonts w:hint="eastAsia" w:ascii="宋体" w:hAnsi="宋体" w:eastAsia="宋体" w:cs="宋体"/>
          <w:sz w:val="24"/>
          <w:szCs w:val="24"/>
          <w:highlight w:val="none"/>
          <w:lang w:val="en-US" w:eastAsia="zh-CN"/>
        </w:rPr>
        <w:t>国家企业信用信息公示系统（www.gsxt.gov.cn）网络查询截图加盖投标企业公章</w:t>
      </w:r>
      <w:r>
        <w:rPr>
          <w:rFonts w:hint="eastAsia" w:ascii="宋体" w:hAnsi="宋体" w:eastAsia="宋体" w:cs="宋体"/>
          <w:sz w:val="24"/>
          <w:szCs w:val="24"/>
          <w:highlight w:val="none"/>
        </w:rPr>
        <w:t>。</w:t>
      </w:r>
      <w:r>
        <w:rPr>
          <w:rFonts w:hint="eastAsia" w:ascii="宋体" w:hAnsi="宋体" w:eastAsia="宋体" w:cs="宋体"/>
          <w:sz w:val="24"/>
          <w:szCs w:val="24"/>
          <w:highlight w:val="none"/>
        </w:rPr>
        <w:fldChar w:fldCharType="end"/>
      </w:r>
    </w:p>
    <w:p>
      <w:pPr>
        <w:pStyle w:val="5"/>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lang w:val="en-US" w:eastAsia="zh-CN"/>
        </w:rPr>
      </w:pPr>
    </w:p>
    <w:p>
      <w:pPr>
        <w:pStyle w:val="5"/>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lang w:val="en-US" w:eastAsia="zh-CN"/>
        </w:rPr>
      </w:pPr>
    </w:p>
    <w:p>
      <w:pPr>
        <w:pStyle w:val="5"/>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lang w:val="en-US" w:eastAsia="zh-CN"/>
        </w:rPr>
      </w:pPr>
    </w:p>
    <w:p>
      <w:pPr>
        <w:pStyle w:val="5"/>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、近三年的业绩表及相关证明</w:t>
      </w:r>
    </w:p>
    <w:p>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  </w:t>
      </w:r>
    </w:p>
    <w:p>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ascii="宋体" w:hAnsi="宋体" w:cs="宋体"/>
          <w:sz w:val="24"/>
          <w:szCs w:val="24"/>
          <w:highlight w:val="none"/>
          <w:lang w:val="en-US" w:eastAsia="zh-CN"/>
        </w:rPr>
        <w:t>编</w:t>
      </w:r>
      <w:r>
        <w:rPr>
          <w:rFonts w:hint="eastAsia" w:ascii="宋体" w:hAnsi="宋体" w:eastAsia="宋体" w:cs="宋体"/>
          <w:sz w:val="24"/>
          <w:szCs w:val="24"/>
          <w:highlight w:val="none"/>
        </w:rPr>
        <w:t xml:space="preserve">号 ：                      </w:t>
      </w:r>
    </w:p>
    <w:tbl>
      <w:tblPr>
        <w:tblStyle w:val="23"/>
        <w:tblW w:w="9476" w:type="dxa"/>
        <w:jc w:val="center"/>
        <w:tblLayout w:type="fixed"/>
        <w:tblCellMar>
          <w:top w:w="0" w:type="dxa"/>
          <w:left w:w="108" w:type="dxa"/>
          <w:bottom w:w="0" w:type="dxa"/>
          <w:right w:w="108" w:type="dxa"/>
        </w:tblCellMar>
      </w:tblPr>
      <w:tblGrid>
        <w:gridCol w:w="873"/>
        <w:gridCol w:w="1456"/>
        <w:gridCol w:w="1719"/>
        <w:gridCol w:w="1712"/>
        <w:gridCol w:w="1858"/>
        <w:gridCol w:w="1858"/>
      </w:tblGrid>
      <w:tr>
        <w:tblPrEx>
          <w:tblCellMar>
            <w:top w:w="0" w:type="dxa"/>
            <w:left w:w="108" w:type="dxa"/>
            <w:bottom w:w="0" w:type="dxa"/>
            <w:right w:w="108" w:type="dxa"/>
          </w:tblCellMar>
        </w:tblPrEx>
        <w:trPr>
          <w:trHeight w:val="908"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1456"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719"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1712"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项目单位联系人及电话</w:t>
            </w: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bl>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kern w:val="0"/>
          <w:sz w:val="24"/>
          <w:szCs w:val="24"/>
          <w:lang w:val="en-US" w:eastAsia="zh-CN"/>
        </w:rPr>
      </w:pPr>
      <w:r>
        <w:rPr>
          <w:rFonts w:hint="eastAsia" w:ascii="宋体" w:hAnsi="宋体" w:eastAsia="宋体" w:cs="宋体"/>
          <w:color w:val="auto"/>
          <w:sz w:val="24"/>
          <w:szCs w:val="24"/>
          <w:highlight w:val="none"/>
        </w:rPr>
        <w:t>附:近三年（</w:t>
      </w:r>
      <w:r>
        <w:rPr>
          <w:rFonts w:hint="eastAsia" w:ascii="宋体" w:hAnsi="宋体" w:eastAsia="宋体" w:cs="宋体"/>
          <w:kern w:val="0"/>
          <w:sz w:val="24"/>
          <w:szCs w:val="24"/>
          <w:lang w:val="en-US" w:eastAsia="zh-CN"/>
        </w:rPr>
        <w:t>投标截止日期前三年</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业绩表及相</w:t>
      </w:r>
      <w:r>
        <w:rPr>
          <w:rFonts w:hint="eastAsia" w:ascii="宋体" w:hAnsi="宋体" w:eastAsia="宋体" w:cs="宋体"/>
          <w:kern w:val="0"/>
          <w:sz w:val="24"/>
          <w:szCs w:val="24"/>
          <w:lang w:val="en-US" w:eastAsia="zh-CN"/>
        </w:rPr>
        <w:t>关证明（包含加盖投标人公章的合同复印件或中标/成交通知书），如未提供视为无效业绩。</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w:t>
      </w:r>
      <w:r>
        <w:rPr>
          <w:rFonts w:hint="eastAsia" w:ascii="宋体" w:hAnsi="宋体" w:eastAsia="宋体" w:cs="宋体"/>
          <w:color w:val="000000"/>
          <w:sz w:val="24"/>
          <w:szCs w:val="24"/>
          <w:highlight w:val="none"/>
          <w:u w:val="none"/>
        </w:rPr>
        <w:t>（单位公章）</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pPr>
        <w:pStyle w:val="36"/>
        <w:pageBreakBefore w:val="0"/>
        <w:tabs>
          <w:tab w:val="left" w:pos="540"/>
          <w:tab w:val="left" w:pos="1080"/>
        </w:tabs>
        <w:kinsoku/>
        <w:wordWrap/>
        <w:overflowPunct/>
        <w:topLinePunct w:val="0"/>
        <w:bidi w:val="0"/>
        <w:spacing w:beforeAutospacing="0" w:afterAutospacing="0" w:line="400" w:lineRule="exact"/>
        <w:ind w:firstLine="236" w:firstLineChars="98"/>
        <w:jc w:val="center"/>
        <w:rPr>
          <w:rFonts w:hint="eastAsia" w:ascii="宋体" w:hAnsi="宋体" w:eastAsia="宋体" w:cs="宋体"/>
          <w:b/>
          <w:sz w:val="24"/>
          <w:szCs w:val="24"/>
          <w:highlight w:val="none"/>
        </w:rPr>
        <w:sectPr>
          <w:footerReference r:id="rId9" w:type="first"/>
          <w:footerReference r:id="rId8" w:type="default"/>
          <w:pgSz w:w="11906" w:h="16838"/>
          <w:pgMar w:top="1134" w:right="1814" w:bottom="1134" w:left="1814" w:header="851" w:footer="992" w:gutter="0"/>
          <w:pgNumType w:fmt="decimal"/>
          <w:cols w:space="720" w:num="1"/>
          <w:titlePg/>
          <w:docGrid w:type="lines" w:linePitch="312" w:charSpace="0"/>
        </w:sectPr>
      </w:pP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8服务评价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根据评标办法格式自拟</w:t>
      </w:r>
      <w:r>
        <w:rPr>
          <w:rFonts w:hint="eastAsia" w:ascii="宋体" w:hAnsi="宋体" w:eastAsia="宋体" w:cs="宋体"/>
          <w:color w:val="auto"/>
          <w:sz w:val="24"/>
          <w:szCs w:val="24"/>
          <w:highlight w:val="none"/>
          <w:lang w:eastAsia="zh-CN"/>
        </w:rPr>
        <w:t>）</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9项目人员；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根据评标办法格式自拟</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beforeAutospacing="0" w:afterAutospacing="0" w:line="400" w:lineRule="exact"/>
        <w:ind w:firstLine="482" w:firstLineChars="200"/>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0</w:t>
      </w:r>
      <w:r>
        <w:rPr>
          <w:rFonts w:hint="eastAsia" w:ascii="宋体" w:hAnsi="宋体" w:eastAsia="宋体" w:cs="宋体"/>
          <w:b/>
          <w:color w:val="000000"/>
          <w:sz w:val="24"/>
          <w:szCs w:val="24"/>
          <w:highlight w:val="none"/>
        </w:rPr>
        <w:t>、商务条款偏离表</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552"/>
        <w:gridCol w:w="2551"/>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552"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招标文件的商务条款</w:t>
            </w:r>
          </w:p>
        </w:tc>
        <w:tc>
          <w:tcPr>
            <w:tcW w:w="2551"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投标文件的商务条款</w:t>
            </w:r>
          </w:p>
        </w:tc>
        <w:tc>
          <w:tcPr>
            <w:tcW w:w="2145"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552"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551"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145"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552"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551"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145"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552"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551"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145"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5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552"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551"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145"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bl>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1、本项目商务条款至少包括：</w:t>
      </w:r>
      <w:r>
        <w:rPr>
          <w:rFonts w:hint="eastAsia" w:ascii="宋体" w:hAnsi="宋体" w:eastAsia="宋体" w:cs="宋体"/>
          <w:sz w:val="24"/>
          <w:szCs w:val="24"/>
          <w:highlight w:val="none"/>
          <w:lang w:eastAsia="zh-CN"/>
        </w:rPr>
        <w:t>履约期限</w:t>
      </w:r>
      <w:r>
        <w:rPr>
          <w:rFonts w:hint="eastAsia" w:ascii="宋体" w:hAnsi="宋体" w:eastAsia="宋体" w:cs="宋体"/>
          <w:sz w:val="24"/>
          <w:szCs w:val="24"/>
          <w:highlight w:val="none"/>
        </w:rPr>
        <w:t>、招标内容、投标保证金响应、投标文件有效期等，投标人必须按招标文件给定的条款填写，否则视为不响应招标。</w:t>
      </w:r>
    </w:p>
    <w:p>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2、招标文件条目号指投标须知所对应项目名称。</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投标单位：（单位公章）</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法定代表人或授权代表人：（签字或盖章）</w:t>
      </w: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adjustRightInd w:val="0"/>
        <w:snapToGrid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pStyle w:val="31"/>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pStyle w:val="2"/>
        <w:rPr>
          <w:rFonts w:hint="eastAsia" w:ascii="宋体" w:hAnsi="宋体" w:eastAsia="宋体" w:cs="宋体"/>
          <w:color w:val="000000"/>
          <w:sz w:val="24"/>
          <w:szCs w:val="24"/>
          <w:highlight w:val="none"/>
        </w:rPr>
      </w:pPr>
    </w:p>
    <w:p>
      <w:pPr>
        <w:pStyle w:val="2"/>
        <w:rPr>
          <w:rFonts w:hint="eastAsia" w:ascii="宋体" w:hAnsi="宋体" w:eastAsia="宋体" w:cs="宋体"/>
          <w:color w:val="000000"/>
          <w:sz w:val="24"/>
          <w:szCs w:val="24"/>
          <w:highlight w:val="none"/>
        </w:rPr>
      </w:pPr>
    </w:p>
    <w:p>
      <w:pPr>
        <w:pageBreakBefore w:val="0"/>
        <w:kinsoku/>
        <w:wordWrap/>
        <w:overflowPunct/>
        <w:topLinePunct w:val="0"/>
        <w:autoSpaceDE w:val="0"/>
        <w:autoSpaceDN w:val="0"/>
        <w:bidi w:val="0"/>
        <w:adjustRightInd w:val="0"/>
        <w:spacing w:beforeAutospacing="0" w:afterAutospacing="0" w:line="400" w:lineRule="exact"/>
        <w:ind w:left="220" w:leftChars="105" w:firstLine="361" w:firstLineChars="150"/>
        <w:jc w:val="center"/>
        <w:rPr>
          <w:rFonts w:hint="eastAsia" w:ascii="宋体" w:hAnsi="宋体" w:eastAsia="宋体" w:cs="宋体"/>
          <w:b/>
          <w:color w:val="000000"/>
          <w:kern w:val="0"/>
          <w:sz w:val="24"/>
          <w:szCs w:val="24"/>
          <w:highlight w:val="none"/>
          <w:lang w:val="zh-CN"/>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1</w:t>
      </w:r>
      <w:r>
        <w:rPr>
          <w:rFonts w:hint="eastAsia" w:ascii="宋体" w:hAnsi="宋体" w:eastAsia="宋体" w:cs="宋体"/>
          <w:b/>
          <w:color w:val="000000"/>
          <w:sz w:val="24"/>
          <w:szCs w:val="24"/>
          <w:highlight w:val="none"/>
        </w:rPr>
        <w:t>、</w:t>
      </w:r>
      <w:r>
        <w:rPr>
          <w:rFonts w:hint="eastAsia" w:ascii="宋体" w:hAnsi="宋体" w:eastAsia="宋体" w:cs="宋体"/>
          <w:b/>
          <w:color w:val="000000"/>
          <w:kern w:val="0"/>
          <w:sz w:val="24"/>
          <w:szCs w:val="24"/>
          <w:highlight w:val="none"/>
          <w:lang w:val="zh-CN"/>
        </w:rPr>
        <w:t>投标单位（投标人）反商业贿赂承诺书</w:t>
      </w:r>
    </w:p>
    <w:p>
      <w:pPr>
        <w:pageBreakBefore w:val="0"/>
        <w:kinsoku/>
        <w:wordWrap/>
        <w:overflowPunct/>
        <w:topLinePunct w:val="0"/>
        <w:autoSpaceDE w:val="0"/>
        <w:autoSpaceDN w:val="0"/>
        <w:bidi w:val="0"/>
        <w:adjustRightInd w:val="0"/>
        <w:spacing w:beforeAutospacing="0" w:afterAutospacing="0" w:line="400" w:lineRule="exact"/>
        <w:ind w:left="220"/>
        <w:jc w:val="left"/>
        <w:rPr>
          <w:rFonts w:hint="eastAsia" w:ascii="宋体" w:hAnsi="宋体" w:eastAsia="宋体" w:cs="宋体"/>
          <w:color w:val="000000"/>
          <w:kern w:val="0"/>
          <w:sz w:val="24"/>
          <w:szCs w:val="24"/>
          <w:highlight w:val="none"/>
          <w:lang w:val="zh-CN"/>
        </w:rPr>
      </w:pPr>
    </w:p>
    <w:p>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我公司承诺在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招标法》、《反不正当竞争法》的有关规定接受处罚。</w:t>
      </w:r>
    </w:p>
    <w:p>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bCs/>
          <w:color w:val="000000"/>
          <w:sz w:val="24"/>
          <w:szCs w:val="24"/>
          <w:highlight w:val="none"/>
          <w:lang w:val="zh-CN"/>
        </w:rPr>
      </w:pPr>
    </w:p>
    <w:p>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 xml:space="preserve">  法定代表人或授权代表人：（签字或盖章）</w:t>
      </w:r>
    </w:p>
    <w:p>
      <w:pPr>
        <w:pageBreakBefore w:val="0"/>
        <w:kinsoku/>
        <w:wordWrap/>
        <w:overflowPunct/>
        <w:topLinePunct w:val="0"/>
        <w:bidi w:val="0"/>
        <w:spacing w:beforeAutospacing="0" w:afterAutospacing="0" w:line="400" w:lineRule="exact"/>
        <w:ind w:firstLine="465"/>
        <w:rPr>
          <w:rFonts w:hint="eastAsia" w:ascii="宋体" w:hAnsi="宋体" w:eastAsia="宋体" w:cs="宋体"/>
          <w:color w:val="000000"/>
          <w:sz w:val="24"/>
          <w:szCs w:val="24"/>
          <w:highlight w:val="none"/>
          <w:lang w:val="zh-CN"/>
        </w:rPr>
      </w:pPr>
    </w:p>
    <w:p>
      <w:pPr>
        <w:pageBreakBefore w:val="0"/>
        <w:kinsoku/>
        <w:wordWrap/>
        <w:overflowPunct/>
        <w:topLinePunct w:val="0"/>
        <w:bidi w:val="0"/>
        <w:spacing w:beforeAutospacing="0" w:afterAutospacing="0" w:line="400" w:lineRule="exact"/>
        <w:ind w:firstLine="465"/>
        <w:rPr>
          <w:rFonts w:hint="eastAsia" w:ascii="宋体" w:hAnsi="宋体" w:eastAsia="宋体" w:cs="宋体"/>
          <w:color w:val="000000"/>
          <w:sz w:val="24"/>
          <w:szCs w:val="24"/>
          <w:highlight w:val="none"/>
          <w:lang w:val="zh-CN"/>
        </w:rPr>
      </w:pPr>
    </w:p>
    <w:p>
      <w:pPr>
        <w:pStyle w:val="31"/>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zh-CN"/>
        </w:rPr>
      </w:pPr>
    </w:p>
    <w:p>
      <w:pPr>
        <w:pStyle w:val="31"/>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zh-CN"/>
        </w:rPr>
      </w:pPr>
    </w:p>
    <w:p>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pPr>
        <w:pStyle w:val="8"/>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pPr>
        <w:pStyle w:val="22"/>
        <w:pageBreakBefore w:val="0"/>
        <w:kinsoku/>
        <w:wordWrap/>
        <w:overflowPunct/>
        <w:topLinePunct w:val="0"/>
        <w:bidi w:val="0"/>
        <w:spacing w:beforeAutospacing="0" w:after="0" w:afterAutospacing="0" w:line="400" w:lineRule="exact"/>
        <w:rPr>
          <w:rFonts w:hint="eastAsia" w:ascii="宋体" w:hAnsi="宋体" w:eastAsia="宋体" w:cs="宋体"/>
          <w:b/>
          <w:bCs/>
          <w:color w:val="000000"/>
          <w:sz w:val="24"/>
          <w:szCs w:val="24"/>
          <w:highlight w:val="none"/>
        </w:rPr>
      </w:pPr>
    </w:p>
    <w:p>
      <w:pPr>
        <w:pStyle w:val="36"/>
        <w:pageBreakBefore w:val="0"/>
        <w:tabs>
          <w:tab w:val="left" w:pos="540"/>
          <w:tab w:val="left" w:pos="1080"/>
        </w:tabs>
        <w:kinsoku/>
        <w:wordWrap/>
        <w:overflowPunct/>
        <w:topLinePunct w:val="0"/>
        <w:bidi w:val="0"/>
        <w:spacing w:beforeAutospacing="0" w:afterAutospacing="0" w:line="400" w:lineRule="exact"/>
        <w:rPr>
          <w:rFonts w:hint="eastAsia" w:ascii="宋体" w:hAnsi="宋体" w:eastAsia="宋体" w:cs="宋体"/>
          <w:b/>
          <w:sz w:val="24"/>
          <w:szCs w:val="24"/>
          <w:highlight w:val="none"/>
        </w:rPr>
        <w:sectPr>
          <w:footerReference r:id="rId11" w:type="first"/>
          <w:footerReference r:id="rId10" w:type="default"/>
          <w:pgSz w:w="11906" w:h="16838"/>
          <w:pgMar w:top="1134" w:right="1814" w:bottom="1134" w:left="1814" w:header="851" w:footer="992" w:gutter="0"/>
          <w:pgNumType w:fmt="decimal"/>
          <w:cols w:space="720" w:num="1"/>
          <w:titlePg/>
          <w:docGrid w:type="lines" w:linePitch="312" w:charSpace="0"/>
        </w:sectPr>
      </w:pPr>
    </w:p>
    <w:p>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12、</w:t>
      </w:r>
      <w:r>
        <w:rPr>
          <w:rFonts w:hint="eastAsia" w:ascii="宋体" w:hAnsi="宋体" w:eastAsia="宋体" w:cs="宋体"/>
          <w:b/>
          <w:color w:val="auto"/>
          <w:kern w:val="0"/>
          <w:sz w:val="24"/>
          <w:szCs w:val="24"/>
          <w:highlight w:val="none"/>
        </w:rPr>
        <w:t>投标人标人企业类型声明函</w:t>
      </w:r>
    </w:p>
    <w:p>
      <w:pPr>
        <w:pageBreakBefore w:val="0"/>
        <w:kinsoku/>
        <w:wordWrap/>
        <w:overflowPunct/>
        <w:topLinePunct w:val="0"/>
        <w:bidi w:val="0"/>
        <w:spacing w:beforeAutospacing="0" w:afterAutospacing="0" w:line="400" w:lineRule="exact"/>
        <w:jc w:val="both"/>
        <w:rPr>
          <w:rFonts w:hint="eastAsia" w:ascii="宋体" w:hAnsi="宋体" w:eastAsia="宋体" w:cs="宋体"/>
          <w:bCs w:val="0"/>
          <w:color w:val="000000"/>
          <w:kern w:val="0"/>
          <w:sz w:val="24"/>
          <w:szCs w:val="24"/>
          <w:highlight w:val="none"/>
          <w:lang w:val="zh-CN"/>
        </w:rPr>
      </w:pPr>
      <w:r>
        <w:rPr>
          <w:rFonts w:hint="eastAsia" w:ascii="宋体" w:hAnsi="宋体" w:eastAsia="宋体" w:cs="宋体"/>
          <w:bCs w:val="0"/>
          <w:color w:val="000000"/>
          <w:kern w:val="0"/>
          <w:sz w:val="24"/>
          <w:szCs w:val="24"/>
          <w:highlight w:val="none"/>
        </w:rPr>
        <w:t>1</w:t>
      </w:r>
      <w:r>
        <w:rPr>
          <w:rFonts w:hint="eastAsia" w:ascii="宋体" w:hAnsi="宋体" w:eastAsia="宋体" w:cs="宋体"/>
          <w:bCs w:val="0"/>
          <w:color w:val="000000"/>
          <w:kern w:val="0"/>
          <w:sz w:val="24"/>
          <w:szCs w:val="24"/>
          <w:highlight w:val="none"/>
          <w:lang w:val="en-US" w:eastAsia="zh-CN"/>
        </w:rPr>
        <w:t>2.1</w:t>
      </w:r>
      <w:r>
        <w:rPr>
          <w:rFonts w:hint="eastAsia" w:ascii="宋体" w:hAnsi="宋体" w:eastAsia="宋体" w:cs="宋体"/>
          <w:bCs w:val="0"/>
          <w:color w:val="000000"/>
          <w:kern w:val="0"/>
          <w:sz w:val="24"/>
          <w:szCs w:val="24"/>
          <w:highlight w:val="none"/>
        </w:rPr>
        <w:t>、</w:t>
      </w:r>
      <w:r>
        <w:rPr>
          <w:rFonts w:hint="eastAsia" w:ascii="宋体" w:hAnsi="宋体" w:eastAsia="宋体" w:cs="宋体"/>
          <w:bCs w:val="0"/>
          <w:color w:val="000000"/>
          <w:kern w:val="0"/>
          <w:sz w:val="24"/>
          <w:szCs w:val="24"/>
          <w:highlight w:val="none"/>
          <w:lang w:val="zh-CN"/>
        </w:rPr>
        <w:t>中小企业声明函</w:t>
      </w:r>
    </w:p>
    <w:p>
      <w:pPr>
        <w:pStyle w:val="12"/>
        <w:pageBreakBefore w:val="0"/>
        <w:kinsoku/>
        <w:wordWrap/>
        <w:overflowPunct/>
        <w:topLinePunct w:val="0"/>
        <w:bidi w:val="0"/>
        <w:spacing w:beforeAutospacing="0" w:after="0" w:afterAutospacing="0" w:line="400" w:lineRule="exact"/>
        <w:ind w:right="714"/>
        <w:jc w:val="both"/>
        <w:rPr>
          <w:rFonts w:hint="eastAsia" w:ascii="宋体" w:hAnsi="宋体" w:eastAsia="宋体" w:cs="宋体"/>
          <w:color w:val="000000"/>
          <w:sz w:val="24"/>
          <w:szCs w:val="24"/>
          <w:highlight w:val="none"/>
        </w:rPr>
      </w:pPr>
    </w:p>
    <w:p>
      <w:pPr>
        <w:pStyle w:val="12"/>
        <w:pageBreakBefore w:val="0"/>
        <w:kinsoku/>
        <w:wordWrap/>
        <w:overflowPunct/>
        <w:topLinePunct w:val="0"/>
        <w:bidi w:val="0"/>
        <w:spacing w:beforeAutospacing="0" w:after="0" w:afterAutospacing="0" w:line="400" w:lineRule="exact"/>
        <w:ind w:right="714"/>
        <w:jc w:val="center"/>
        <w:outlineLvl w:val="0"/>
        <w:rPr>
          <w:rFonts w:hint="eastAsia" w:ascii="宋体" w:hAnsi="宋体" w:eastAsia="宋体" w:cs="宋体"/>
          <w:color w:val="000000"/>
          <w:kern w:val="0"/>
          <w:sz w:val="24"/>
          <w:szCs w:val="24"/>
          <w:highlight w:val="none"/>
          <w:lang w:val="zh-CN"/>
        </w:rPr>
      </w:pPr>
      <w:bookmarkStart w:id="46" w:name="_Toc2043"/>
      <w:bookmarkStart w:id="47" w:name="_Toc8363"/>
      <w:bookmarkStart w:id="48" w:name="_Toc28917"/>
      <w:bookmarkStart w:id="49" w:name="_Toc18018"/>
      <w:r>
        <w:rPr>
          <w:rFonts w:hint="eastAsia" w:ascii="宋体" w:hAnsi="宋体" w:eastAsia="宋体" w:cs="宋体"/>
          <w:bCs w:val="0"/>
          <w:color w:val="000000"/>
          <w:kern w:val="0"/>
          <w:sz w:val="24"/>
          <w:szCs w:val="24"/>
          <w:highlight w:val="none"/>
          <w:lang w:val="zh-CN"/>
        </w:rPr>
        <w:t>中小企业声明函</w:t>
      </w:r>
      <w:bookmarkEnd w:id="46"/>
      <w:bookmarkEnd w:id="47"/>
      <w:r>
        <w:rPr>
          <w:rFonts w:hint="eastAsia" w:ascii="宋体" w:hAnsi="宋体" w:eastAsia="宋体" w:cs="宋体"/>
          <w:bCs w:val="0"/>
          <w:color w:val="000000"/>
          <w:kern w:val="0"/>
          <w:sz w:val="24"/>
          <w:szCs w:val="24"/>
          <w:highlight w:val="none"/>
          <w:lang w:val="zh-CN"/>
        </w:rPr>
        <w:t>（</w:t>
      </w:r>
      <w:r>
        <w:rPr>
          <w:rFonts w:hint="eastAsia" w:ascii="宋体" w:hAnsi="宋体" w:eastAsia="宋体" w:cs="宋体"/>
          <w:bCs w:val="0"/>
          <w:color w:val="000000"/>
          <w:kern w:val="0"/>
          <w:sz w:val="24"/>
          <w:szCs w:val="24"/>
          <w:highlight w:val="none"/>
          <w:lang w:val="en-US" w:eastAsia="zh-CN"/>
        </w:rPr>
        <w:t>实质性条款必须提供</w:t>
      </w:r>
      <w:r>
        <w:rPr>
          <w:rFonts w:hint="eastAsia" w:ascii="宋体" w:hAnsi="宋体" w:eastAsia="宋体" w:cs="宋体"/>
          <w:bCs w:val="0"/>
          <w:color w:val="000000"/>
          <w:kern w:val="0"/>
          <w:sz w:val="24"/>
          <w:szCs w:val="24"/>
          <w:highlight w:val="none"/>
          <w:lang w:val="zh-CN"/>
        </w:rPr>
        <w:t>）</w:t>
      </w:r>
      <w:bookmarkEnd w:id="48"/>
      <w:bookmarkEnd w:id="49"/>
    </w:p>
    <w:p>
      <w:pPr>
        <w:pStyle w:val="12"/>
        <w:pageBreakBefore w:val="0"/>
        <w:kinsoku/>
        <w:wordWrap/>
        <w:overflowPunct/>
        <w:topLinePunct w:val="0"/>
        <w:bidi w:val="0"/>
        <w:spacing w:beforeAutospacing="0" w:after="0" w:afterAutospacing="0" w:line="400" w:lineRule="exact"/>
        <w:ind w:left="210" w:leftChars="100" w:right="210" w:rightChars="100" w:firstLine="199" w:firstLineChars="83"/>
        <w:rPr>
          <w:rFonts w:hint="eastAsia" w:ascii="宋体" w:hAnsi="宋体" w:eastAsia="宋体" w:cs="宋体"/>
          <w:color w:val="000000"/>
          <w:kern w:val="0"/>
          <w:sz w:val="24"/>
          <w:szCs w:val="24"/>
          <w:highlight w:val="none"/>
          <w:lang w:val="zh-CN"/>
        </w:rPr>
      </w:pPr>
    </w:p>
    <w:p>
      <w:pPr>
        <w:pStyle w:val="12"/>
        <w:pageBreakBefore w:val="0"/>
        <w:kinsoku/>
        <w:wordWrap/>
        <w:overflowPunct/>
        <w:topLinePunct w:val="0"/>
        <w:bidi w:val="0"/>
        <w:spacing w:beforeAutospacing="0" w:after="0" w:afterAutospacing="0" w:line="400" w:lineRule="exact"/>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pStyle w:val="12"/>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 （标的名称） ，属于（采购文件中明确的所属行业）行业；承接企业（企业名称），从业人员</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人，营业收入为</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万元，资产总额为</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万元，属于（中型企业、小型企业、微型企业）；</w:t>
      </w:r>
    </w:p>
    <w:p>
      <w:pPr>
        <w:pStyle w:val="12"/>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 （标的名称） ，属于（采购文件中明确的所属行业）行业；承接企业（企业名称），从业人员</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人，营业收入为   万元，资产总额为万元，属于（中型企业、小型企业、微型企业）；</w:t>
      </w:r>
    </w:p>
    <w:p>
      <w:pPr>
        <w:pStyle w:val="12"/>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p>
      <w:pPr>
        <w:pStyle w:val="12"/>
        <w:pageBreakBefore w:val="0"/>
        <w:kinsoku/>
        <w:wordWrap/>
        <w:overflowPunct/>
        <w:topLinePunct w:val="0"/>
        <w:bidi w:val="0"/>
        <w:spacing w:beforeAutospacing="0" w:after="0" w:afterAutospacing="0" w:line="400" w:lineRule="exact"/>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以上企业，不属于大企业的分支机构，不存在控股股东为大企业的情形，也不存在与大企业的负责人为同一人的情形。</w:t>
      </w:r>
    </w:p>
    <w:p>
      <w:pPr>
        <w:pStyle w:val="12"/>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p>
    <w:p>
      <w:pPr>
        <w:pStyle w:val="12"/>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本企业对上述声明内容的真实性负责。如有虚假，将依法承担相应责任。</w:t>
      </w:r>
    </w:p>
    <w:p>
      <w:pPr>
        <w:pStyle w:val="12"/>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p>
    <w:p>
      <w:pPr>
        <w:pStyle w:val="12"/>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p>
    <w:p>
      <w:pPr>
        <w:pStyle w:val="12"/>
        <w:pageBreakBefore w:val="0"/>
        <w:kinsoku/>
        <w:wordWrap/>
        <w:overflowPunct/>
        <w:topLinePunct w:val="0"/>
        <w:bidi w:val="0"/>
        <w:spacing w:beforeAutospacing="0" w:after="0" w:afterAutospacing="0" w:line="400" w:lineRule="exact"/>
        <w:ind w:firstLine="2640" w:firstLineChars="11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投标单位</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（单位公章）</w:t>
      </w:r>
    </w:p>
    <w:p>
      <w:pPr>
        <w:pStyle w:val="12"/>
        <w:pageBreakBefore w:val="0"/>
        <w:kinsoku/>
        <w:wordWrap/>
        <w:overflowPunct/>
        <w:topLinePunct w:val="0"/>
        <w:bidi w:val="0"/>
        <w:spacing w:beforeAutospacing="0" w:after="0" w:afterAutospacing="0" w:line="400" w:lineRule="exact"/>
        <w:ind w:firstLine="3840" w:firstLineChars="16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2"/>
          <w:sz w:val="24"/>
          <w:szCs w:val="24"/>
          <w:highlight w:val="none"/>
          <w:lang w:val="en-US" w:eastAsia="zh-CN" w:bidi="ar-SA"/>
        </w:rPr>
        <w:t>日 期</w:t>
      </w:r>
      <w:r>
        <w:rPr>
          <w:rFonts w:hint="eastAsia" w:ascii="宋体" w:hAnsi="宋体" w:eastAsia="宋体" w:cs="宋体"/>
          <w:b/>
          <w:color w:val="auto"/>
          <w:sz w:val="24"/>
          <w:szCs w:val="24"/>
          <w:highlight w:val="none"/>
        </w:rPr>
        <w:t>：</w:t>
      </w:r>
    </w:p>
    <w:p>
      <w:pPr>
        <w:pStyle w:val="12"/>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pPr>
        <w:pStyle w:val="12"/>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12.1.1</w:t>
      </w:r>
      <w:r>
        <w:rPr>
          <w:rFonts w:hint="eastAsia" w:ascii="宋体" w:hAnsi="宋体" w:eastAsia="宋体" w:cs="宋体"/>
          <w:b/>
          <w:color w:val="auto"/>
          <w:kern w:val="0"/>
          <w:sz w:val="24"/>
          <w:szCs w:val="24"/>
          <w:highlight w:val="none"/>
        </w:rPr>
        <w:t>中小企业</w:t>
      </w:r>
      <w:r>
        <w:rPr>
          <w:rFonts w:hint="eastAsia" w:ascii="宋体" w:hAnsi="宋体" w:eastAsia="宋体" w:cs="宋体"/>
          <w:b/>
          <w:color w:val="auto"/>
          <w:kern w:val="0"/>
          <w:sz w:val="24"/>
          <w:szCs w:val="24"/>
          <w:highlight w:val="none"/>
          <w:lang w:eastAsia="zh-CN"/>
        </w:rPr>
        <w:t>服务</w:t>
      </w:r>
      <w:r>
        <w:rPr>
          <w:rFonts w:hint="eastAsia" w:ascii="宋体" w:hAnsi="宋体" w:eastAsia="宋体" w:cs="宋体"/>
          <w:b/>
          <w:color w:val="auto"/>
          <w:kern w:val="0"/>
          <w:sz w:val="24"/>
          <w:szCs w:val="24"/>
          <w:highlight w:val="none"/>
        </w:rPr>
        <w:t>优惠明细表</w:t>
      </w:r>
    </w:p>
    <w:p>
      <w:pPr>
        <w:pageBreakBefore w:val="0"/>
        <w:kinsoku/>
        <w:wordWrap/>
        <w:overflowPunct/>
        <w:topLinePunct w:val="0"/>
        <w:bidi w:val="0"/>
        <w:spacing w:beforeAutospacing="0" w:afterAutospacing="0" w:line="400" w:lineRule="exact"/>
        <w:jc w:val="center"/>
        <w:rPr>
          <w:rFonts w:hint="eastAsia" w:ascii="宋体" w:hAnsi="宋体" w:eastAsia="宋体" w:cs="宋体"/>
          <w:bCs/>
          <w:color w:val="auto"/>
          <w:sz w:val="24"/>
          <w:szCs w:val="24"/>
          <w:highlight w:val="none"/>
        </w:rPr>
      </w:pPr>
      <w:bookmarkStart w:id="50" w:name="_Toc439149569"/>
      <w:r>
        <w:rPr>
          <w:rFonts w:hint="eastAsia" w:ascii="宋体" w:hAnsi="宋体" w:eastAsia="宋体" w:cs="宋体"/>
          <w:bCs/>
          <w:color w:val="auto"/>
          <w:sz w:val="24"/>
          <w:szCs w:val="24"/>
          <w:highlight w:val="none"/>
        </w:rPr>
        <w:t>（若有，请如实填写）</w:t>
      </w:r>
      <w:bookmarkEnd w:id="50"/>
    </w:p>
    <w:p>
      <w:pPr>
        <w:pStyle w:val="43"/>
        <w:pageBreakBefore w:val="0"/>
        <w:numPr>
          <w:ilvl w:val="0"/>
          <w:numId w:val="0"/>
        </w:numPr>
        <w:kinsoku/>
        <w:wordWrap/>
        <w:overflowPunct/>
        <w:topLinePunct w:val="0"/>
        <w:bidi w:val="0"/>
        <w:spacing w:beforeAutospacing="0" w:afterAutospacing="0" w:line="400" w:lineRule="exac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报价货币种类：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868"/>
        <w:gridCol w:w="1043"/>
        <w:gridCol w:w="975"/>
        <w:gridCol w:w="1251"/>
        <w:gridCol w:w="1251"/>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12"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21"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0"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3"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4"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4"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6"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12" w:type="pct"/>
            <w:tcBorders>
              <w:bottom w:val="single" w:color="auto" w:sz="6" w:space="0"/>
            </w:tcBorders>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标段（包）</w:t>
            </w:r>
          </w:p>
        </w:tc>
        <w:tc>
          <w:tcPr>
            <w:tcW w:w="1021"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小型和微型企业产品名称</w:t>
            </w:r>
          </w:p>
        </w:tc>
        <w:tc>
          <w:tcPr>
            <w:tcW w:w="570"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33"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c>
          <w:tcPr>
            <w:tcW w:w="684"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价格评审扣除金额（元）</w:t>
            </w:r>
          </w:p>
        </w:tc>
        <w:tc>
          <w:tcPr>
            <w:tcW w:w="684"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896"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12" w:type="pct"/>
            <w:tcBorders>
              <w:top w:val="single" w:color="auto" w:sz="6" w:space="0"/>
              <w:bottom w:val="single" w:color="auto" w:sz="6" w:space="0"/>
            </w:tcBorders>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1021" w:type="pct"/>
            <w:noWrap w:val="0"/>
            <w:vAlign w:val="top"/>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570"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533"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684"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684"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896"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12" w:type="pct"/>
            <w:tcBorders>
              <w:top w:val="single" w:color="auto" w:sz="6" w:space="0"/>
              <w:bottom w:val="single" w:color="auto" w:sz="6" w:space="0"/>
            </w:tcBorders>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1021" w:type="pct"/>
            <w:noWrap w:val="0"/>
            <w:vAlign w:val="top"/>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570"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533"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684"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684"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896" w:type="pct"/>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12" w:type="pct"/>
            <w:tcBorders>
              <w:top w:val="single" w:color="auto" w:sz="6" w:space="0"/>
            </w:tcBorders>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4388" w:type="pct"/>
            <w:gridSpan w:val="6"/>
            <w:noWrap w:val="0"/>
            <w:vAlign w:val="center"/>
          </w:tcPr>
          <w:p>
            <w:pPr>
              <w:pageBreakBefore w:val="0"/>
              <w:tabs>
                <w:tab w:val="left" w:pos="5355"/>
              </w:tabs>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本标段（包）报价总计：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2" w:type="pct"/>
            <w:tcBorders>
              <w:top w:val="single" w:color="auto" w:sz="6" w:space="0"/>
            </w:tcBorders>
            <w:noWrap w:val="0"/>
            <w:vAlign w:val="center"/>
          </w:tcPr>
          <w:p>
            <w:pPr>
              <w:pageBreakBefore w:val="0"/>
              <w:tabs>
                <w:tab w:val="left" w:pos="5355"/>
              </w:tabs>
              <w:kinsoku/>
              <w:wordWrap/>
              <w:overflowPunct/>
              <w:topLinePunct w:val="0"/>
              <w:bidi w:val="0"/>
              <w:spacing w:beforeAutospacing="0" w:afterAutospacing="0" w:line="400" w:lineRule="exact"/>
              <w:jc w:val="center"/>
              <w:rPr>
                <w:rFonts w:hint="eastAsia" w:ascii="宋体" w:hAnsi="宋体" w:eastAsia="宋体" w:cs="宋体"/>
                <w:color w:val="auto"/>
                <w:sz w:val="24"/>
                <w:szCs w:val="24"/>
                <w:highlight w:val="none"/>
              </w:rPr>
            </w:pPr>
          </w:p>
        </w:tc>
        <w:tc>
          <w:tcPr>
            <w:tcW w:w="4388" w:type="pct"/>
            <w:gridSpan w:val="6"/>
            <w:noWrap w:val="0"/>
            <w:vAlign w:val="center"/>
          </w:tcPr>
          <w:p>
            <w:pPr>
              <w:pageBreakBefore w:val="0"/>
              <w:tabs>
                <w:tab w:val="left" w:pos="5355"/>
              </w:tabs>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本标段（包）价格评审扣除金额总计：           （元）</w:t>
            </w:r>
          </w:p>
        </w:tc>
      </w:tr>
    </w:tbl>
    <w:p>
      <w:pPr>
        <w:pStyle w:val="43"/>
        <w:pageBreakBefore w:val="0"/>
        <w:numPr>
          <w:ilvl w:val="0"/>
          <w:numId w:val="8"/>
        </w:numPr>
        <w:kinsoku/>
        <w:wordWrap/>
        <w:overflowPunct/>
        <w:topLinePunct w:val="0"/>
        <w:bidi w:val="0"/>
        <w:spacing w:beforeAutospacing="0" w:afterAutospacing="0" w:line="400" w:lineRule="exact"/>
        <w:ind w:left="0" w:firstLine="0"/>
        <w:rPr>
          <w:rFonts w:hint="eastAsia" w:ascii="宋体" w:hAnsi="宋体" w:eastAsia="宋体" w:cs="宋体"/>
          <w:bCs/>
          <w:color w:val="auto"/>
          <w:sz w:val="24"/>
          <w:szCs w:val="24"/>
          <w:highlight w:val="none"/>
        </w:rPr>
      </w:pPr>
    </w:p>
    <w:p>
      <w:pPr>
        <w:pageBreakBefore w:val="0"/>
        <w:tabs>
          <w:tab w:val="left" w:pos="13000"/>
        </w:tabs>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ageBreakBefore w:val="0"/>
        <w:kinsoku/>
        <w:wordWrap/>
        <w:overflowPunct/>
        <w:topLinePunct w:val="0"/>
        <w:bidi w:val="0"/>
        <w:spacing w:beforeAutospacing="0" w:afterAutospacing="0"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1、当一个标段（包）内有多个属于小型和微型企业的产品时，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应按序号详细填写。</w:t>
      </w:r>
    </w:p>
    <w:p>
      <w:pPr>
        <w:pageBreakBefore w:val="0"/>
        <w:kinsoku/>
        <w:wordWrap/>
        <w:overflowPunct/>
        <w:topLinePunct w:val="0"/>
        <w:bidi w:val="0"/>
        <w:spacing w:beforeAutospacing="0" w:afterAutospacing="0"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2、栏目5=栏目4×招标文件规定的价格扣除比率的优惠幅度。</w:t>
      </w:r>
    </w:p>
    <w:p>
      <w:pPr>
        <w:pageBreakBefore w:val="0"/>
        <w:kinsoku/>
        <w:wordWrap/>
        <w:overflowPunct/>
        <w:topLinePunct w:val="0"/>
        <w:bidi w:val="0"/>
        <w:spacing w:beforeAutospacing="0" w:afterAutospacing="0"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3、若所供应的产品不具备此类评审优惠条件，本“中小价格扣除明细表” 不必填写。</w:t>
      </w:r>
    </w:p>
    <w:p>
      <w:pPr>
        <w:pageBreakBefore w:val="0"/>
        <w:kinsoku/>
        <w:wordWrap/>
        <w:overflowPunct/>
        <w:topLinePunct w:val="0"/>
        <w:bidi w:val="0"/>
        <w:spacing w:beforeAutospacing="0" w:afterAutospacing="0" w:line="400" w:lineRule="exact"/>
        <w:ind w:firstLine="600"/>
        <w:rPr>
          <w:rFonts w:hint="eastAsia" w:ascii="宋体" w:hAnsi="宋体" w:eastAsia="宋体" w:cs="宋体"/>
          <w:color w:val="auto"/>
          <w:sz w:val="24"/>
          <w:szCs w:val="24"/>
          <w:highlight w:val="none"/>
        </w:rPr>
      </w:pPr>
    </w:p>
    <w:p>
      <w:pPr>
        <w:pageBreakBefore w:val="0"/>
        <w:kinsoku/>
        <w:wordWrap/>
        <w:overflowPunct/>
        <w:topLinePunct w:val="0"/>
        <w:bidi w:val="0"/>
        <w:adjustRightInd w:val="0"/>
        <w:snapToGrid w:val="0"/>
        <w:spacing w:beforeAutospacing="0" w:afterAutospacing="0"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rPr>
        <w:t>（单位公章）</w:t>
      </w:r>
    </w:p>
    <w:p>
      <w:pPr>
        <w:pageBreakBefore w:val="0"/>
        <w:kinsoku/>
        <w:wordWrap/>
        <w:overflowPunct/>
        <w:topLinePunct w:val="0"/>
        <w:bidi w:val="0"/>
        <w:adjustRightInd w:val="0"/>
        <w:snapToGrid w:val="0"/>
        <w:spacing w:beforeAutospacing="0" w:afterAutospacing="0"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或其委托代理人签字：</w:t>
      </w:r>
      <w:r>
        <w:rPr>
          <w:rFonts w:hint="eastAsia" w:ascii="宋体" w:hAnsi="宋体" w:eastAsia="宋体" w:cs="宋体"/>
          <w:color w:val="auto"/>
          <w:sz w:val="24"/>
          <w:szCs w:val="24"/>
          <w:highlight w:val="none"/>
          <w:u w:val="single"/>
        </w:rPr>
        <w:t xml:space="preserve">       </w:t>
      </w:r>
    </w:p>
    <w:p>
      <w:pPr>
        <w:pStyle w:val="2"/>
        <w:pageBreakBefore w:val="0"/>
        <w:kinsoku/>
        <w:wordWrap/>
        <w:overflowPunct/>
        <w:topLinePunct w:val="0"/>
        <w:bidi w:val="0"/>
        <w:spacing w:beforeAutospacing="0" w:after="0" w:afterAutospacing="0" w:line="400" w:lineRule="exact"/>
        <w:ind w:firstLine="480"/>
        <w:jc w:val="righ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Style w:val="8"/>
        <w:pageBreakBefore w:val="0"/>
        <w:kinsoku/>
        <w:wordWrap/>
        <w:overflowPunct/>
        <w:topLinePunct w:val="0"/>
        <w:bidi w:val="0"/>
        <w:spacing w:beforeAutospacing="0" w:afterAutospacing="0" w:line="400" w:lineRule="exact"/>
        <w:rPr>
          <w:rFonts w:hint="eastAsia" w:ascii="宋体" w:hAnsi="宋体" w:eastAsia="宋体" w:cs="宋体"/>
          <w:b/>
          <w:color w:val="auto"/>
          <w:kern w:val="0"/>
          <w:sz w:val="24"/>
          <w:szCs w:val="24"/>
          <w:highlight w:val="none"/>
          <w:lang w:val="en-US" w:eastAsia="zh-CN"/>
        </w:rPr>
      </w:pPr>
    </w:p>
    <w:p>
      <w:pPr>
        <w:pStyle w:val="9"/>
        <w:pageBreakBefore w:val="0"/>
        <w:kinsoku/>
        <w:wordWrap/>
        <w:overflowPunct/>
        <w:topLinePunct w:val="0"/>
        <w:bidi w:val="0"/>
        <w:spacing w:before="0" w:beforeAutospacing="0" w:afterAutospacing="0" w:line="400" w:lineRule="exact"/>
        <w:rPr>
          <w:rFonts w:hint="eastAsia" w:ascii="宋体" w:hAnsi="宋体" w:eastAsia="宋体" w:cs="宋体"/>
          <w:sz w:val="24"/>
          <w:szCs w:val="24"/>
          <w:lang w:val="en-US" w:eastAsia="zh-CN"/>
        </w:rPr>
      </w:pPr>
    </w:p>
    <w:p>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12.2</w:t>
      </w:r>
      <w:r>
        <w:rPr>
          <w:rFonts w:hint="eastAsia" w:ascii="宋体" w:hAnsi="宋体" w:eastAsia="宋体" w:cs="宋体"/>
          <w:b/>
          <w:color w:val="auto"/>
          <w:kern w:val="0"/>
          <w:sz w:val="24"/>
          <w:szCs w:val="24"/>
          <w:highlight w:val="none"/>
        </w:rPr>
        <w:t>监狱企业声明函</w:t>
      </w:r>
    </w:p>
    <w:p>
      <w:pPr>
        <w:pageBreakBefore w:val="0"/>
        <w:kinsoku/>
        <w:wordWrap/>
        <w:overflowPunct/>
        <w:topLinePunct w:val="0"/>
        <w:bidi w:val="0"/>
        <w:spacing w:beforeAutospacing="0" w:afterAutospacing="0"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（监狱企业适用）</w:t>
      </w:r>
    </w:p>
    <w:p>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本公司郑重声明，根据《关于政府采购支持监狱企业发展有关问题的通知》（财库[2014]68号）的规定，本公司为监狱企业。</w:t>
      </w:r>
    </w:p>
    <w:p>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本公司参加______单位的______项目采购活动，采购活动提供本企业（</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填写制造的货物，由本企业承担工程、提供服务）。</w:t>
      </w:r>
    </w:p>
    <w:p>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本条所称货物不包括使用大型企业注册商标的货物和服务。</w:t>
      </w:r>
    </w:p>
    <w:p>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pPr>
        <w:pageBreakBefore w:val="0"/>
        <w:kinsoku/>
        <w:wordWrap/>
        <w:overflowPunct/>
        <w:topLinePunct w:val="0"/>
        <w:bidi w:val="0"/>
        <w:spacing w:beforeAutospacing="0" w:afterAutospacing="0" w:line="400" w:lineRule="exact"/>
        <w:ind w:firstLine="4860" w:firstLineChars="2025"/>
        <w:rPr>
          <w:rFonts w:hint="eastAsia" w:ascii="宋体" w:hAnsi="宋体" w:eastAsia="宋体" w:cs="宋体"/>
          <w:color w:val="auto"/>
          <w:kern w:val="0"/>
          <w:sz w:val="24"/>
          <w:szCs w:val="24"/>
          <w:highlight w:val="none"/>
        </w:rPr>
      </w:pPr>
    </w:p>
    <w:p>
      <w:pPr>
        <w:pageBreakBefore w:val="0"/>
        <w:kinsoku/>
        <w:wordWrap/>
        <w:overflowPunct/>
        <w:topLinePunct w:val="0"/>
        <w:bidi w:val="0"/>
        <w:spacing w:beforeAutospacing="0" w:afterAutospacing="0" w:line="400" w:lineRule="exact"/>
        <w:ind w:firstLine="4860" w:firstLineChars="20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企业名称（盖公章）：</w:t>
      </w:r>
    </w:p>
    <w:p>
      <w:pPr>
        <w:pageBreakBefore w:val="0"/>
        <w:kinsoku/>
        <w:wordWrap/>
        <w:overflowPunct/>
        <w:topLinePunct w:val="0"/>
        <w:bidi w:val="0"/>
        <w:spacing w:beforeAutospacing="0" w:afterAutospacing="0" w:line="400" w:lineRule="exact"/>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（负责人）或其授权代表(签字)：</w:t>
      </w:r>
    </w:p>
    <w:p>
      <w:pPr>
        <w:pageBreakBefore w:val="0"/>
        <w:tabs>
          <w:tab w:val="left" w:pos="2880"/>
        </w:tabs>
        <w:kinsoku/>
        <w:wordWrap/>
        <w:overflowPunct/>
        <w:topLinePunct w:val="0"/>
        <w:bidi w:val="0"/>
        <w:spacing w:beforeAutospacing="0" w:afterAutospacing="0" w:line="40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日期：</w:t>
      </w:r>
    </w:p>
    <w:p>
      <w:pPr>
        <w:pStyle w:val="9"/>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pPr>
        <w:pStyle w:val="5"/>
        <w:pageBreakBefore w:val="0"/>
        <w:kinsoku/>
        <w:wordWrap/>
        <w:overflowPunct/>
        <w:topLinePunct w:val="0"/>
        <w:bidi w:val="0"/>
        <w:spacing w:before="0" w:beforeAutospacing="0" w:after="0" w:afterAutospacing="0" w:line="400" w:lineRule="exact"/>
        <w:jc w:val="center"/>
        <w:rPr>
          <w:rFonts w:hint="eastAsia" w:ascii="宋体" w:hAnsi="宋体" w:eastAsia="宋体" w:cs="宋体"/>
          <w:bCs w:val="0"/>
          <w:color w:val="000000"/>
          <w:kern w:val="0"/>
          <w:sz w:val="24"/>
          <w:szCs w:val="24"/>
          <w:highlight w:val="none"/>
          <w:lang w:val="zh-CN"/>
        </w:rPr>
      </w:pPr>
      <w:r>
        <w:rPr>
          <w:rFonts w:hint="eastAsia" w:ascii="宋体" w:hAnsi="宋体" w:eastAsia="宋体" w:cs="宋体"/>
          <w:bCs w:val="0"/>
          <w:color w:val="000000"/>
          <w:kern w:val="0"/>
          <w:sz w:val="24"/>
          <w:szCs w:val="24"/>
          <w:highlight w:val="none"/>
        </w:rPr>
        <w:t>1</w:t>
      </w:r>
      <w:r>
        <w:rPr>
          <w:rFonts w:hint="eastAsia" w:ascii="宋体" w:hAnsi="宋体" w:eastAsia="宋体" w:cs="宋体"/>
          <w:bCs w:val="0"/>
          <w:color w:val="000000"/>
          <w:kern w:val="0"/>
          <w:sz w:val="24"/>
          <w:szCs w:val="24"/>
          <w:highlight w:val="none"/>
          <w:lang w:val="en-US" w:eastAsia="zh-CN"/>
        </w:rPr>
        <w:t>2.3</w:t>
      </w:r>
      <w:r>
        <w:rPr>
          <w:rFonts w:hint="eastAsia" w:ascii="宋体" w:hAnsi="宋体" w:eastAsia="宋体" w:cs="宋体"/>
          <w:bCs w:val="0"/>
          <w:color w:val="000000"/>
          <w:kern w:val="0"/>
          <w:sz w:val="24"/>
          <w:szCs w:val="24"/>
          <w:highlight w:val="none"/>
        </w:rPr>
        <w:t>、</w:t>
      </w:r>
      <w:r>
        <w:rPr>
          <w:rFonts w:hint="eastAsia" w:ascii="宋体" w:hAnsi="宋体" w:eastAsia="宋体" w:cs="宋体"/>
          <w:bCs w:val="0"/>
          <w:color w:val="000000"/>
          <w:kern w:val="0"/>
          <w:sz w:val="24"/>
          <w:szCs w:val="24"/>
          <w:highlight w:val="none"/>
          <w:lang w:val="zh-CN"/>
        </w:rPr>
        <w:t>残疾人福利性单位声明函</w:t>
      </w:r>
    </w:p>
    <w:p>
      <w:pPr>
        <w:pStyle w:val="12"/>
        <w:pageBreakBefore w:val="0"/>
        <w:kinsoku/>
        <w:wordWrap/>
        <w:overflowPunct/>
        <w:topLinePunct w:val="0"/>
        <w:bidi w:val="0"/>
        <w:spacing w:beforeAutospacing="0" w:after="0" w:afterAutospacing="0" w:line="400" w:lineRule="exact"/>
        <w:rPr>
          <w:rFonts w:hint="eastAsia" w:ascii="宋体" w:hAnsi="宋体" w:eastAsia="宋体" w:cs="宋体"/>
          <w:color w:val="000000"/>
          <w:sz w:val="24"/>
          <w:szCs w:val="24"/>
          <w:highlight w:val="none"/>
        </w:rPr>
      </w:pPr>
    </w:p>
    <w:p>
      <w:pPr>
        <w:pStyle w:val="12"/>
        <w:pageBreakBefore w:val="0"/>
        <w:kinsoku/>
        <w:wordWrap/>
        <w:overflowPunct/>
        <w:topLinePunct w:val="0"/>
        <w:bidi w:val="0"/>
        <w:spacing w:beforeAutospacing="0" w:after="0" w:afterAutospacing="0" w:line="400" w:lineRule="exact"/>
        <w:ind w:left="567" w:right="567" w:firstLine="1512" w:firstLineChars="63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（非残疾人福利性单位投标，不需此件）</w:t>
      </w:r>
    </w:p>
    <w:p>
      <w:pPr>
        <w:pStyle w:val="12"/>
        <w:pageBreakBefore w:val="0"/>
        <w:kinsoku/>
        <w:wordWrap/>
        <w:overflowPunct/>
        <w:topLinePunct w:val="0"/>
        <w:bidi w:val="0"/>
        <w:spacing w:beforeAutospacing="0" w:after="0" w:afterAutospacing="0" w:line="400" w:lineRule="exact"/>
        <w:ind w:left="567" w:right="567" w:firstLine="559" w:firstLineChars="233"/>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本单位郑重声明，根据《财政部 民政部 中国残疾人联合会关于促进残疾人就业政府采购政策的通知》（财库〔2017〕 141 号）的规定，本单位为□符合□不符合（对应勾选）条件的残疾人福利性单位，且本单位参加本项目采购活动由本单位提供服务。 </w:t>
      </w:r>
    </w:p>
    <w:p>
      <w:pPr>
        <w:pStyle w:val="12"/>
        <w:pageBreakBefore w:val="0"/>
        <w:kinsoku/>
        <w:wordWrap/>
        <w:overflowPunct/>
        <w:topLinePunct w:val="0"/>
        <w:bidi w:val="0"/>
        <w:spacing w:beforeAutospacing="0" w:after="0" w:afterAutospacing="0" w:line="400" w:lineRule="exact"/>
        <w:ind w:left="567" w:right="567" w:firstLine="559" w:firstLineChars="233"/>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本单位对上述声明的真实性负责。如有虚假，将依法承担相应责任。 </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 xml:space="preserve">  法定代表人或授权代表人：（签字或盖章）</w:t>
      </w:r>
    </w:p>
    <w:p>
      <w:pPr>
        <w:pStyle w:val="12"/>
        <w:pageBreakBefore w:val="0"/>
        <w:tabs>
          <w:tab w:val="left" w:pos="5765"/>
          <w:tab w:val="left" w:pos="8831"/>
          <w:tab w:val="left" w:pos="8927"/>
        </w:tabs>
        <w:kinsoku/>
        <w:wordWrap/>
        <w:overflowPunct/>
        <w:topLinePunct w:val="0"/>
        <w:bidi w:val="0"/>
        <w:spacing w:beforeAutospacing="0" w:after="0" w:afterAutospacing="0" w:line="400" w:lineRule="exact"/>
        <w:ind w:left="4798" w:right="2257" w:hanging="24"/>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ab/>
      </w:r>
      <w:r>
        <w:rPr>
          <w:rFonts w:hint="eastAsia" w:ascii="宋体" w:hAnsi="宋体" w:eastAsia="宋体" w:cs="宋体"/>
          <w:color w:val="000000"/>
          <w:kern w:val="0"/>
          <w:sz w:val="24"/>
          <w:szCs w:val="24"/>
          <w:highlight w:val="none"/>
          <w:lang w:val="zh-CN"/>
        </w:rPr>
        <w:tab/>
      </w:r>
    </w:p>
    <w:p>
      <w:pPr>
        <w:pStyle w:val="31"/>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rPr>
        <w:t>日</w:t>
      </w:r>
      <w:r>
        <w:rPr>
          <w:rFonts w:hint="eastAsia" w:ascii="宋体" w:hAnsi="宋体" w:eastAsia="宋体" w:cs="宋体"/>
          <w:color w:val="000000"/>
          <w:sz w:val="24"/>
          <w:szCs w:val="24"/>
          <w:highlight w:val="none"/>
          <w:lang w:val="zh-CN"/>
        </w:rPr>
        <w:tab/>
      </w:r>
      <w:r>
        <w:rPr>
          <w:rFonts w:hint="eastAsia" w:ascii="宋体" w:hAnsi="宋体" w:eastAsia="宋体" w:cs="宋体"/>
          <w:color w:val="000000"/>
          <w:sz w:val="24"/>
          <w:szCs w:val="24"/>
          <w:highlight w:val="none"/>
          <w:lang w:val="zh-CN"/>
        </w:rPr>
        <w:t>期：</w:t>
      </w:r>
    </w:p>
    <w:p>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51" w:name="_Toc3634"/>
      <w:bookmarkStart w:id="52" w:name="_Toc9299"/>
      <w:bookmarkStart w:id="53" w:name="_Toc17566"/>
      <w:bookmarkStart w:id="54" w:name="_Toc29831"/>
    </w:p>
    <w:p>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13</w:t>
      </w:r>
      <w:r>
        <w:rPr>
          <w:rFonts w:hint="eastAsia" w:ascii="宋体" w:hAnsi="宋体" w:eastAsia="宋体" w:cs="宋体"/>
          <w:color w:val="000000"/>
          <w:sz w:val="24"/>
          <w:szCs w:val="24"/>
          <w:highlight w:val="none"/>
        </w:rPr>
        <w:t>投标保证金收据影印件</w:t>
      </w:r>
      <w:r>
        <w:rPr>
          <w:rFonts w:hint="eastAsia" w:ascii="宋体" w:hAnsi="宋体" w:eastAsia="宋体" w:cs="宋体"/>
          <w:color w:val="000000"/>
          <w:sz w:val="24"/>
          <w:szCs w:val="24"/>
          <w:highlight w:val="none"/>
          <w:lang w:eastAsia="zh-CN"/>
        </w:rPr>
        <w:t>、开户许可证</w:t>
      </w:r>
      <w:r>
        <w:rPr>
          <w:rFonts w:hint="eastAsia" w:ascii="宋体" w:hAnsi="宋体" w:eastAsia="宋体" w:cs="宋体"/>
          <w:color w:val="000000"/>
          <w:sz w:val="24"/>
          <w:szCs w:val="24"/>
          <w:highlight w:val="none"/>
        </w:rPr>
        <w:t>影印件；</w:t>
      </w:r>
    </w:p>
    <w:p>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14</w:t>
      </w:r>
      <w:r>
        <w:rPr>
          <w:rFonts w:hint="eastAsia" w:ascii="宋体" w:hAnsi="宋体" w:eastAsia="宋体" w:cs="宋体"/>
          <w:color w:val="000000"/>
          <w:sz w:val="24"/>
          <w:szCs w:val="24"/>
          <w:highlight w:val="none"/>
        </w:rPr>
        <w:t>投标人认为有必要提供的声明及文件资料。</w:t>
      </w:r>
    </w:p>
    <w:p>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pPr>
        <w:pageBreakBefore w:val="0"/>
        <w:kinsoku/>
        <w:wordWrap/>
        <w:overflowPunct/>
        <w:topLinePunct w:val="0"/>
        <w:bidi w:val="0"/>
        <w:spacing w:beforeAutospacing="0" w:afterAutospacing="0" w:line="400" w:lineRule="exact"/>
        <w:jc w:val="both"/>
        <w:outlineLvl w:val="0"/>
        <w:rPr>
          <w:rFonts w:hint="eastAsia" w:ascii="宋体" w:hAnsi="宋体" w:eastAsia="宋体" w:cs="宋体"/>
          <w:b/>
          <w:bCs/>
          <w:color w:val="000000"/>
          <w:sz w:val="24"/>
          <w:szCs w:val="24"/>
          <w:highlight w:val="none"/>
        </w:rPr>
      </w:pPr>
    </w:p>
    <w:p>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第三部分  技术部分</w:t>
      </w:r>
      <w:bookmarkEnd w:id="51"/>
      <w:bookmarkEnd w:id="52"/>
      <w:bookmarkEnd w:id="53"/>
      <w:bookmarkEnd w:id="54"/>
    </w:p>
    <w:p>
      <w:pPr>
        <w:pageBreakBefore w:val="0"/>
        <w:kinsoku/>
        <w:wordWrap/>
        <w:overflowPunct/>
        <w:topLinePunct w:val="0"/>
        <w:bidi w:val="0"/>
        <w:spacing w:beforeAutospacing="0" w:afterAutospacing="0" w:line="400" w:lineRule="exact"/>
        <w:ind w:left="2880" w:hanging="2880"/>
        <w:jc w:val="center"/>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ind w:left="2880" w:hanging="2880"/>
        <w:jc w:val="center"/>
        <w:rPr>
          <w:rFonts w:hint="eastAsia" w:ascii="宋体" w:hAnsi="宋体" w:eastAsia="宋体" w:cs="宋体"/>
          <w:b/>
          <w:color w:val="000000"/>
          <w:sz w:val="24"/>
          <w:szCs w:val="24"/>
          <w:highlight w:val="none"/>
        </w:rPr>
      </w:pPr>
    </w:p>
    <w:p>
      <w:pPr>
        <w:pageBreakBefore w:val="0"/>
        <w:kinsoku/>
        <w:wordWrap/>
        <w:overflowPunct/>
        <w:topLinePunct w:val="0"/>
        <w:bidi w:val="0"/>
        <w:spacing w:beforeAutospacing="0" w:afterAutospacing="0" w:line="400" w:lineRule="exact"/>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配备的人员</w:t>
      </w:r>
      <w:r>
        <w:rPr>
          <w:rFonts w:hint="eastAsia" w:ascii="宋体" w:hAnsi="宋体" w:eastAsia="宋体" w:cs="宋体"/>
          <w:b w:val="0"/>
          <w:bCs/>
          <w:sz w:val="24"/>
          <w:szCs w:val="24"/>
          <w:highlight w:val="none"/>
        </w:rPr>
        <w:t>主要成员表</w:t>
      </w:r>
    </w:p>
    <w:tbl>
      <w:tblPr>
        <w:tblStyle w:val="23"/>
        <w:tblpPr w:leftFromText="180" w:rightFromText="180" w:vertAnchor="text" w:horzAnchor="page" w:tblpXSpec="center" w:tblpY="566"/>
        <w:tblOverlap w:val="never"/>
        <w:tblW w:w="7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456"/>
        <w:gridCol w:w="3309"/>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54"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45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3309"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本项目中拟担任职务</w:t>
            </w:r>
          </w:p>
        </w:tc>
        <w:tc>
          <w:tcPr>
            <w:tcW w:w="108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86" w:type="dxa"/>
          </w:tcPr>
          <w:p>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pPr>
        <w:pStyle w:val="5"/>
        <w:pageBreakBefore w:val="0"/>
        <w:kinsoku/>
        <w:wordWrap/>
        <w:overflowPunct/>
        <w:topLinePunct w:val="0"/>
        <w:bidi w:val="0"/>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以上人员</w:t>
      </w:r>
      <w:r>
        <w:rPr>
          <w:rFonts w:hint="eastAsia" w:ascii="宋体" w:hAnsi="宋体" w:eastAsia="宋体" w:cs="宋体"/>
          <w:color w:val="auto"/>
          <w:sz w:val="24"/>
          <w:szCs w:val="24"/>
          <w:highlight w:val="none"/>
        </w:rPr>
        <w:t>必须附上有效的身份证正反面扫描件、与投标人签订的有效的劳动合同扫描件、经社保管理单位盖章确认的近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个月由投标人进行社保缴纳的证明材料。</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法定代表人或其委托代理人：（签字或盖章）</w:t>
      </w:r>
    </w:p>
    <w:p>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lang w:eastAsia="zh-CN"/>
        </w:rPr>
        <w:t>：</w:t>
      </w:r>
    </w:p>
    <w:p>
      <w:pPr>
        <w:pStyle w:val="2"/>
        <w:ind w:left="0" w:leftChars="0" w:firstLine="0" w:firstLineChars="0"/>
        <w:rPr>
          <w:rFonts w:hint="eastAsia" w:ascii="宋体" w:hAnsi="宋体" w:eastAsia="宋体" w:cs="宋体"/>
          <w:color w:val="000000"/>
          <w:sz w:val="24"/>
          <w:szCs w:val="24"/>
          <w:highlight w:val="none"/>
          <w:lang w:eastAsia="zh-CN"/>
        </w:rPr>
      </w:pPr>
    </w:p>
    <w:p>
      <w:pPr>
        <w:pStyle w:val="2"/>
        <w:ind w:left="0" w:leftChars="0" w:firstLine="0" w:firstLineChars="0"/>
        <w:rPr>
          <w:rFonts w:hint="eastAsia" w:ascii="宋体" w:hAnsi="宋体" w:eastAsia="宋体" w:cs="宋体"/>
          <w:color w:val="000000"/>
          <w:sz w:val="24"/>
          <w:szCs w:val="24"/>
          <w:highlight w:val="none"/>
          <w:lang w:eastAsia="zh-CN"/>
        </w:rPr>
      </w:pPr>
    </w:p>
    <w:p>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2规章制度；</w:t>
      </w:r>
      <w:r>
        <w:rPr>
          <w:rFonts w:hint="eastAsia" w:ascii="宋体" w:hAnsi="宋体" w:eastAsia="宋体" w:cs="宋体"/>
          <w:color w:val="auto"/>
          <w:kern w:val="2"/>
          <w:sz w:val="24"/>
          <w:szCs w:val="24"/>
          <w:highlight w:val="none"/>
          <w:lang w:val="en-US" w:eastAsia="zh-CN" w:bidi="ar-SA"/>
        </w:rPr>
        <w:t>（格式自拟，根据评标办法提供）</w:t>
      </w:r>
    </w:p>
    <w:p>
      <w:pPr>
        <w:pageBreakBefore w:val="0"/>
        <w:widowControl/>
        <w:kinsoku/>
        <w:wordWrap/>
        <w:overflowPunct/>
        <w:topLinePunct w:val="0"/>
        <w:bidi w:val="0"/>
        <w:adjustRightInd w:val="0"/>
        <w:snapToGrid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3绿化养护服务实施方案</w:t>
      </w:r>
      <w:r>
        <w:rPr>
          <w:rFonts w:hint="eastAsia" w:ascii="宋体" w:hAnsi="宋体" w:eastAsia="宋体" w:cs="宋体"/>
          <w:color w:val="auto"/>
          <w:kern w:val="2"/>
          <w:sz w:val="24"/>
          <w:szCs w:val="24"/>
          <w:highlight w:val="none"/>
          <w:lang w:val="en-US" w:eastAsia="zh-CN" w:bidi="ar-SA"/>
        </w:rPr>
        <w:t>（格式自拟，根据评标办法提供）</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4环卫保洁服务实施方案</w:t>
      </w:r>
      <w:r>
        <w:rPr>
          <w:rFonts w:hint="eastAsia" w:ascii="宋体" w:hAnsi="宋体" w:eastAsia="宋体" w:cs="宋体"/>
          <w:color w:val="auto"/>
          <w:kern w:val="2"/>
          <w:sz w:val="24"/>
          <w:szCs w:val="24"/>
          <w:highlight w:val="none"/>
          <w:lang w:val="en-US" w:eastAsia="zh-CN" w:bidi="ar-SA"/>
        </w:rPr>
        <w:t>（格式自拟，根据评标办法提供）</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5投入本项目机械、材料、器具设备配置</w:t>
      </w:r>
      <w:r>
        <w:rPr>
          <w:rFonts w:hint="eastAsia" w:ascii="宋体" w:hAnsi="宋体" w:eastAsia="宋体" w:cs="宋体"/>
          <w:color w:val="auto"/>
          <w:kern w:val="2"/>
          <w:sz w:val="24"/>
          <w:szCs w:val="24"/>
          <w:highlight w:val="none"/>
          <w:lang w:val="en-US" w:eastAsia="zh-CN" w:bidi="ar-SA"/>
        </w:rPr>
        <w:t>（格式自拟，根据评标办法提供）</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6安全生产作业措施方案</w:t>
      </w:r>
      <w:r>
        <w:rPr>
          <w:rFonts w:hint="eastAsia" w:ascii="宋体" w:hAnsi="宋体" w:eastAsia="宋体" w:cs="宋体"/>
          <w:color w:val="auto"/>
          <w:kern w:val="2"/>
          <w:sz w:val="24"/>
          <w:szCs w:val="24"/>
          <w:highlight w:val="none"/>
          <w:lang w:val="en-US" w:eastAsia="zh-CN" w:bidi="ar-SA"/>
        </w:rPr>
        <w:t>（格式自拟，根据评标办法提供）</w:t>
      </w:r>
    </w:p>
    <w:p>
      <w:pPr>
        <w:pageBreakBefore w:val="0"/>
        <w:widowControl/>
        <w:kinsoku/>
        <w:wordWrap/>
        <w:overflowPunct/>
        <w:topLinePunct w:val="0"/>
        <w:bidi w:val="0"/>
        <w:adjustRightInd w:val="0"/>
        <w:snapToGrid w:val="0"/>
        <w:spacing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7应急预案服务达标承诺及不达标改善措施</w:t>
      </w:r>
      <w:r>
        <w:rPr>
          <w:rFonts w:hint="eastAsia" w:ascii="宋体" w:hAnsi="宋体" w:eastAsia="宋体" w:cs="宋体"/>
          <w:color w:val="auto"/>
          <w:kern w:val="2"/>
          <w:sz w:val="24"/>
          <w:szCs w:val="24"/>
          <w:highlight w:val="none"/>
          <w:lang w:val="en-US" w:eastAsia="zh-CN" w:bidi="ar-SA"/>
        </w:rPr>
        <w:t>（格式自拟，根据评标办法提供）</w:t>
      </w:r>
    </w:p>
    <w:p>
      <w:pPr>
        <w:pageBreakBefore w:val="0"/>
        <w:kinsoku/>
        <w:wordWrap/>
        <w:overflowPunct/>
        <w:topLinePunct w:val="0"/>
        <w:bidi w:val="0"/>
        <w:spacing w:beforeAutospacing="0" w:afterAutospacing="0" w:line="400" w:lineRule="exact"/>
        <w:ind w:left="2890" w:leftChars="200" w:hanging="2470" w:hangingChars="1025"/>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8</w:t>
      </w:r>
      <w:r>
        <w:rPr>
          <w:rFonts w:hint="eastAsia" w:ascii="宋体" w:hAnsi="宋体" w:eastAsia="宋体" w:cs="宋体"/>
          <w:b/>
          <w:color w:val="000000"/>
          <w:sz w:val="24"/>
          <w:szCs w:val="24"/>
          <w:highlight w:val="none"/>
        </w:rPr>
        <w:t>技术条款偏离表</w:t>
      </w:r>
    </w:p>
    <w:p>
      <w:pPr>
        <w:pageBreakBefore w:val="0"/>
        <w:kinsoku/>
        <w:wordWrap/>
        <w:overflowPunct/>
        <w:topLinePunct w:val="0"/>
        <w:bidi w:val="0"/>
        <w:spacing w:beforeAutospacing="0" w:afterAutospacing="0" w:line="400" w:lineRule="exact"/>
        <w:ind w:left="2880" w:leftChars="200" w:hanging="2460" w:hangingChars="102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p>
    <w:p>
      <w:pPr>
        <w:pageBreakBefore w:val="0"/>
        <w:kinsoku/>
        <w:wordWrap/>
        <w:overflowPunct/>
        <w:topLinePunct w:val="0"/>
        <w:bidi w:val="0"/>
        <w:spacing w:beforeAutospacing="0" w:afterAutospacing="0" w:line="400" w:lineRule="exact"/>
        <w:ind w:left="2880" w:leftChars="200" w:hanging="2460" w:hangingChars="102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招标编号：</w:t>
      </w:r>
    </w:p>
    <w:p>
      <w:pPr>
        <w:pStyle w:val="2"/>
        <w:rPr>
          <w:rFonts w:hint="eastAsia" w:ascii="宋体" w:hAnsi="宋体" w:eastAsia="宋体" w:cs="宋体"/>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93"/>
        <w:gridCol w:w="2227"/>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093"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招标规格</w:t>
            </w:r>
          </w:p>
        </w:tc>
        <w:tc>
          <w:tcPr>
            <w:tcW w:w="2227"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投标规格</w:t>
            </w:r>
          </w:p>
        </w:tc>
        <w:tc>
          <w:tcPr>
            <w:tcW w:w="160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偏离</w:t>
            </w:r>
          </w:p>
        </w:tc>
        <w:tc>
          <w:tcPr>
            <w:tcW w:w="1134"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82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093"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093"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093"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82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093"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bl>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ind w:left="525" w:right="292" w:rightChars="139" w:hanging="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注：投标人必须对应招标文件的第</w:t>
      </w: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章“</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需求书”的内容逐条响应。如有缺漏，缺漏项视同不符合招标要求。投标人响应采购需求应具体、明确，含糊不清、不确切或伪造、变造证明材料的，按照不完全响应或者完全不响应处理。构成提供虚假材料的，移送监管部门查处。</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pPr>
        <w:pageBreakBefore w:val="0"/>
        <w:kinsoku/>
        <w:wordWrap/>
        <w:overflowPunct/>
        <w:topLinePunct w:val="0"/>
        <w:bidi w:val="0"/>
        <w:spacing w:beforeAutospacing="0" w:afterAutospacing="0" w:line="400" w:lineRule="exact"/>
        <w:jc w:val="right"/>
        <w:rPr>
          <w:rFonts w:hint="eastAsia" w:ascii="宋体" w:hAnsi="宋体" w:eastAsia="宋体" w:cs="宋体"/>
          <w:sz w:val="24"/>
          <w:szCs w:val="24"/>
        </w:rPr>
      </w:pPr>
      <w:r>
        <w:rPr>
          <w:rFonts w:hint="eastAsia" w:ascii="宋体" w:hAnsi="宋体" w:eastAsia="宋体" w:cs="宋体"/>
          <w:color w:val="000000"/>
          <w:sz w:val="24"/>
          <w:szCs w:val="24"/>
          <w:highlight w:val="none"/>
        </w:rPr>
        <w:t>日期：   年   月   日</w:t>
      </w:r>
    </w:p>
    <w:p>
      <w:pPr>
        <w:pStyle w:val="8"/>
        <w:rPr>
          <w:rFonts w:hint="eastAsia" w:ascii="宋体" w:hAnsi="宋体" w:eastAsia="宋体" w:cs="宋体"/>
          <w:sz w:val="24"/>
          <w:szCs w:val="24"/>
        </w:rPr>
      </w:pPr>
    </w:p>
    <w:p>
      <w:pPr>
        <w:pStyle w:val="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9投标人认为需要提供的其他资料</w:t>
      </w:r>
    </w:p>
    <w:p>
      <w:pPr>
        <w:pageBreakBefore w:val="0"/>
        <w:kinsoku/>
        <w:wordWrap/>
        <w:overflowPunct/>
        <w:topLinePunct w:val="0"/>
        <w:bidi w:val="0"/>
        <w:spacing w:line="400" w:lineRule="exact"/>
        <w:rPr>
          <w:rFonts w:hint="eastAsia" w:ascii="宋体" w:hAnsi="宋体" w:eastAsia="宋体" w:cs="宋体"/>
          <w:b/>
          <w:color w:val="000000"/>
          <w:sz w:val="24"/>
          <w:szCs w:val="24"/>
          <w:highlight w:val="none"/>
        </w:rPr>
      </w:pPr>
    </w:p>
    <w:sectPr>
      <w:footerReference r:id="rId12" w:type="default"/>
      <w:pgSz w:w="11906" w:h="16838"/>
      <w:pgMar w:top="1559" w:right="1416" w:bottom="1134" w:left="1560" w:header="851" w:footer="68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FDD2BC-EC4D-48DE-A850-6288DC612C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779DB8E7-AB1E-4C54-ACA8-6B77B5566B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201"/>
        <w:tab w:val="clear" w:pos="4153"/>
      </w:tabs>
      <w:ind w:firstLine="3960" w:firstLineChars="2200"/>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2584450</wp:posOffset>
              </wp:positionH>
              <wp:positionV relativeFrom="paragraph">
                <wp:posOffset>-180975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5pt;margin-top:-14.25pt;height:144pt;width:144pt;mso-position-horizontal-relative:margin;mso-wrap-style:none;z-index:251661312;mso-width-relative:page;mso-height-relative:page;" filled="f" stroked="f" coordsize="21600,21600" o:gfxdata="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dz+d/ZAAAACwEAAA8AAAAAAAAAAQAgAAAAIgAAAGRycy9kb3ducmV2Lnht&#10;bFBLAQIUABQAAAAIAIdO4kDrADh6MQIAAGMEAAAOAAAAAAAAAAEAIAAAACgBAABkcnMvZTJvRG9j&#10;LnhtbFBLBQYAAAAABgAGAFkBAADL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201"/>
        <w:tab w:val="clear" w:pos="4153"/>
      </w:tabs>
      <w:ind w:firstLine="3960" w:firstLineChars="2200"/>
      <w:rPr>
        <w:rFonts w:hint="default"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201"/>
        <w:tab w:val="clear" w:pos="4153"/>
      </w:tabs>
      <w:ind w:firstLine="3960" w:firstLineChars="2200"/>
      <w:rPr>
        <w:rFonts w:hint="default"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31F03"/>
    <w:multiLevelType w:val="singleLevel"/>
    <w:tmpl w:val="B2C31F03"/>
    <w:lvl w:ilvl="0" w:tentative="0">
      <w:start w:val="2"/>
      <w:numFmt w:val="decimal"/>
      <w:suff w:val="space"/>
      <w:lvlText w:val="%1."/>
      <w:lvlJc w:val="left"/>
    </w:lvl>
  </w:abstractNum>
  <w:abstractNum w:abstractNumId="1">
    <w:nsid w:val="0000000F"/>
    <w:multiLevelType w:val="multilevel"/>
    <w:tmpl w:val="0000000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E16D48F"/>
    <w:multiLevelType w:val="singleLevel"/>
    <w:tmpl w:val="2E16D48F"/>
    <w:lvl w:ilvl="0" w:tentative="0">
      <w:start w:val="2"/>
      <w:numFmt w:val="decimal"/>
      <w:suff w:val="nothing"/>
      <w:lvlText w:val="（%1）"/>
      <w:lvlJc w:val="left"/>
    </w:lvl>
  </w:abstractNum>
  <w:abstractNum w:abstractNumId="3">
    <w:nsid w:val="511E2E1F"/>
    <w:multiLevelType w:val="multilevel"/>
    <w:tmpl w:val="511E2E1F"/>
    <w:lvl w:ilvl="0" w:tentative="0">
      <w:start w:val="25"/>
      <w:numFmt w:val="decimal"/>
      <w:lvlText w:val="%1"/>
      <w:lvlJc w:val="left"/>
      <w:pPr>
        <w:tabs>
          <w:tab w:val="left" w:pos="480"/>
        </w:tabs>
        <w:ind w:left="480" w:hanging="480"/>
      </w:pPr>
      <w:rPr>
        <w:rFonts w:hint="default"/>
      </w:rPr>
    </w:lvl>
    <w:lvl w:ilvl="1" w:tentative="0">
      <w:start w:val="6"/>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57A9A282"/>
    <w:multiLevelType w:val="singleLevel"/>
    <w:tmpl w:val="57A9A282"/>
    <w:lvl w:ilvl="0" w:tentative="0">
      <w:start w:val="3"/>
      <w:numFmt w:val="decimal"/>
      <w:suff w:val="nothing"/>
      <w:lvlText w:val="%1、"/>
      <w:lvlJc w:val="left"/>
    </w:lvl>
  </w:abstractNum>
  <w:abstractNum w:abstractNumId="5">
    <w:nsid w:val="5920E9B3"/>
    <w:multiLevelType w:val="singleLevel"/>
    <w:tmpl w:val="5920E9B3"/>
    <w:lvl w:ilvl="0" w:tentative="0">
      <w:start w:val="1"/>
      <w:numFmt w:val="chineseCounting"/>
      <w:suff w:val="space"/>
      <w:lvlText w:val="第%1部分"/>
      <w:lvlJc w:val="left"/>
      <w:rPr>
        <w:rFonts w:hint="eastAsia"/>
      </w:rPr>
    </w:lvl>
  </w:abstractNum>
  <w:abstractNum w:abstractNumId="6">
    <w:nsid w:val="6EA2E228"/>
    <w:multiLevelType w:val="singleLevel"/>
    <w:tmpl w:val="6EA2E228"/>
    <w:lvl w:ilvl="0" w:tentative="0">
      <w:start w:val="1"/>
      <w:numFmt w:val="chineseCounting"/>
      <w:lvlText w:val="%1、"/>
      <w:lvlJc w:val="left"/>
      <w:rPr>
        <w:rFonts w:hint="eastAsia"/>
      </w:rPr>
    </w:lvl>
  </w:abstractNum>
  <w:abstractNum w:abstractNumId="7">
    <w:nsid w:val="7A2EA0CE"/>
    <w:multiLevelType w:val="singleLevel"/>
    <w:tmpl w:val="7A2EA0CE"/>
    <w:lvl w:ilvl="0" w:tentative="0">
      <w:start w:val="2"/>
      <w:numFmt w:val="chineseCounting"/>
      <w:suff w:val="nothing"/>
      <w:lvlText w:val="（%1）"/>
      <w:lvlJc w:val="left"/>
      <w:rPr>
        <w:rFonts w:hint="eastAsia"/>
      </w:rPr>
    </w:lvl>
  </w:abstractNum>
  <w:num w:numId="1">
    <w:abstractNumId w:val="2"/>
  </w:num>
  <w:num w:numId="2">
    <w:abstractNumId w:val="4"/>
  </w:num>
  <w:num w:numId="3">
    <w:abstractNumId w:val="7"/>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NDIwN2M2ODljYmVjN2ZmM2NiOGFkNDlmMDNhNzQifQ=="/>
  </w:docVars>
  <w:rsids>
    <w:rsidRoot w:val="595C61D5"/>
    <w:rsid w:val="000B44D3"/>
    <w:rsid w:val="000F6A86"/>
    <w:rsid w:val="00101AE9"/>
    <w:rsid w:val="00207A14"/>
    <w:rsid w:val="00264E69"/>
    <w:rsid w:val="002E01C1"/>
    <w:rsid w:val="0047478A"/>
    <w:rsid w:val="005D2854"/>
    <w:rsid w:val="00663916"/>
    <w:rsid w:val="008B7D2A"/>
    <w:rsid w:val="008C6C96"/>
    <w:rsid w:val="00930024"/>
    <w:rsid w:val="009A4CCE"/>
    <w:rsid w:val="009A7605"/>
    <w:rsid w:val="00A364B9"/>
    <w:rsid w:val="00A52A4E"/>
    <w:rsid w:val="00AB7A64"/>
    <w:rsid w:val="00B20DF2"/>
    <w:rsid w:val="00CD79DA"/>
    <w:rsid w:val="00CF2BFF"/>
    <w:rsid w:val="00D47748"/>
    <w:rsid w:val="00D64AE1"/>
    <w:rsid w:val="00E100E8"/>
    <w:rsid w:val="00E32D5A"/>
    <w:rsid w:val="00EB60B2"/>
    <w:rsid w:val="00EC00DA"/>
    <w:rsid w:val="00F22F9D"/>
    <w:rsid w:val="0102159D"/>
    <w:rsid w:val="01101675"/>
    <w:rsid w:val="011473B7"/>
    <w:rsid w:val="01176EA7"/>
    <w:rsid w:val="01347A59"/>
    <w:rsid w:val="013730A5"/>
    <w:rsid w:val="01395070"/>
    <w:rsid w:val="01415CD2"/>
    <w:rsid w:val="01487061"/>
    <w:rsid w:val="014A102B"/>
    <w:rsid w:val="015123B9"/>
    <w:rsid w:val="01545A05"/>
    <w:rsid w:val="0159126E"/>
    <w:rsid w:val="016112EA"/>
    <w:rsid w:val="01675739"/>
    <w:rsid w:val="01730582"/>
    <w:rsid w:val="01763F6E"/>
    <w:rsid w:val="017E6677"/>
    <w:rsid w:val="01995B0E"/>
    <w:rsid w:val="01AA357A"/>
    <w:rsid w:val="01B3097E"/>
    <w:rsid w:val="01C54B55"/>
    <w:rsid w:val="01CC2BB3"/>
    <w:rsid w:val="01CD4D28"/>
    <w:rsid w:val="01DF79C5"/>
    <w:rsid w:val="01E557E7"/>
    <w:rsid w:val="01EA636A"/>
    <w:rsid w:val="01F66C28"/>
    <w:rsid w:val="01FD3617"/>
    <w:rsid w:val="02035593"/>
    <w:rsid w:val="02105DD0"/>
    <w:rsid w:val="021A0C65"/>
    <w:rsid w:val="02315AF4"/>
    <w:rsid w:val="024B505A"/>
    <w:rsid w:val="025D08EA"/>
    <w:rsid w:val="028A501C"/>
    <w:rsid w:val="028D5673"/>
    <w:rsid w:val="02B0310F"/>
    <w:rsid w:val="02BF3353"/>
    <w:rsid w:val="02C00827"/>
    <w:rsid w:val="02C1531D"/>
    <w:rsid w:val="02C31095"/>
    <w:rsid w:val="02D36DFE"/>
    <w:rsid w:val="02DA4630"/>
    <w:rsid w:val="02EB264D"/>
    <w:rsid w:val="02ED7EC0"/>
    <w:rsid w:val="03105C95"/>
    <w:rsid w:val="032A4C70"/>
    <w:rsid w:val="03321EFC"/>
    <w:rsid w:val="033B50CF"/>
    <w:rsid w:val="033D2D9E"/>
    <w:rsid w:val="03435D32"/>
    <w:rsid w:val="03443858"/>
    <w:rsid w:val="03587717"/>
    <w:rsid w:val="035A09FF"/>
    <w:rsid w:val="0365214C"/>
    <w:rsid w:val="036C2D55"/>
    <w:rsid w:val="03710AF1"/>
    <w:rsid w:val="03722553"/>
    <w:rsid w:val="03907D82"/>
    <w:rsid w:val="03AA7B5F"/>
    <w:rsid w:val="03AB423B"/>
    <w:rsid w:val="03AD5E0D"/>
    <w:rsid w:val="03AE3AF3"/>
    <w:rsid w:val="03B37E16"/>
    <w:rsid w:val="03B76654"/>
    <w:rsid w:val="03FD011D"/>
    <w:rsid w:val="0430667E"/>
    <w:rsid w:val="0434636C"/>
    <w:rsid w:val="04390EE3"/>
    <w:rsid w:val="043A35D9"/>
    <w:rsid w:val="043D11AF"/>
    <w:rsid w:val="04471852"/>
    <w:rsid w:val="0452341B"/>
    <w:rsid w:val="047A39D5"/>
    <w:rsid w:val="047C774D"/>
    <w:rsid w:val="049525BD"/>
    <w:rsid w:val="049D615B"/>
    <w:rsid w:val="04B65370"/>
    <w:rsid w:val="04B9536B"/>
    <w:rsid w:val="04BC5D9C"/>
    <w:rsid w:val="04BE01A4"/>
    <w:rsid w:val="04BF763A"/>
    <w:rsid w:val="04C609C8"/>
    <w:rsid w:val="04CE63E3"/>
    <w:rsid w:val="04DC643E"/>
    <w:rsid w:val="04E96190"/>
    <w:rsid w:val="04FF3EDA"/>
    <w:rsid w:val="051A712F"/>
    <w:rsid w:val="0520520E"/>
    <w:rsid w:val="05243941"/>
    <w:rsid w:val="052676B9"/>
    <w:rsid w:val="053022E6"/>
    <w:rsid w:val="05340028"/>
    <w:rsid w:val="053D2A70"/>
    <w:rsid w:val="054162A1"/>
    <w:rsid w:val="054F6C10"/>
    <w:rsid w:val="055C757F"/>
    <w:rsid w:val="05663F59"/>
    <w:rsid w:val="05822D1E"/>
    <w:rsid w:val="058D14E6"/>
    <w:rsid w:val="058D598A"/>
    <w:rsid w:val="058F525E"/>
    <w:rsid w:val="059B00A7"/>
    <w:rsid w:val="05AB7BBE"/>
    <w:rsid w:val="05B47256"/>
    <w:rsid w:val="05BE3D95"/>
    <w:rsid w:val="05C173E2"/>
    <w:rsid w:val="05C50C80"/>
    <w:rsid w:val="05C759FB"/>
    <w:rsid w:val="05C80770"/>
    <w:rsid w:val="05C84C14"/>
    <w:rsid w:val="05D47115"/>
    <w:rsid w:val="05E93075"/>
    <w:rsid w:val="05F41565"/>
    <w:rsid w:val="06120B6F"/>
    <w:rsid w:val="061340E1"/>
    <w:rsid w:val="0616772D"/>
    <w:rsid w:val="06255FDE"/>
    <w:rsid w:val="0633208D"/>
    <w:rsid w:val="06497B03"/>
    <w:rsid w:val="068505F6"/>
    <w:rsid w:val="069625D8"/>
    <w:rsid w:val="069A3EBB"/>
    <w:rsid w:val="069F5975"/>
    <w:rsid w:val="06DE2BA7"/>
    <w:rsid w:val="06DF5865"/>
    <w:rsid w:val="06E3363B"/>
    <w:rsid w:val="06E8731C"/>
    <w:rsid w:val="06F9319A"/>
    <w:rsid w:val="06FF745C"/>
    <w:rsid w:val="07007F1F"/>
    <w:rsid w:val="07101279"/>
    <w:rsid w:val="07294629"/>
    <w:rsid w:val="073F077E"/>
    <w:rsid w:val="074862E0"/>
    <w:rsid w:val="0757624F"/>
    <w:rsid w:val="076369A2"/>
    <w:rsid w:val="076646E5"/>
    <w:rsid w:val="077961C6"/>
    <w:rsid w:val="077C7A64"/>
    <w:rsid w:val="0788465B"/>
    <w:rsid w:val="07930A17"/>
    <w:rsid w:val="07B23486"/>
    <w:rsid w:val="07CB33CC"/>
    <w:rsid w:val="07CB4548"/>
    <w:rsid w:val="07D07A84"/>
    <w:rsid w:val="07DA05C2"/>
    <w:rsid w:val="07DE0F2D"/>
    <w:rsid w:val="07EA2C20"/>
    <w:rsid w:val="07EB460E"/>
    <w:rsid w:val="07F96F2F"/>
    <w:rsid w:val="07FF3A37"/>
    <w:rsid w:val="08145EEF"/>
    <w:rsid w:val="08202AE5"/>
    <w:rsid w:val="08397703"/>
    <w:rsid w:val="086A485C"/>
    <w:rsid w:val="08884D84"/>
    <w:rsid w:val="08920B48"/>
    <w:rsid w:val="08964B56"/>
    <w:rsid w:val="08C571E9"/>
    <w:rsid w:val="08D21C65"/>
    <w:rsid w:val="08D538D0"/>
    <w:rsid w:val="08D86F1C"/>
    <w:rsid w:val="08E0380F"/>
    <w:rsid w:val="09045F63"/>
    <w:rsid w:val="09287EA3"/>
    <w:rsid w:val="092959CA"/>
    <w:rsid w:val="093700E7"/>
    <w:rsid w:val="094F0649"/>
    <w:rsid w:val="09736C45"/>
    <w:rsid w:val="097A4477"/>
    <w:rsid w:val="09947FFE"/>
    <w:rsid w:val="099512B1"/>
    <w:rsid w:val="0995305F"/>
    <w:rsid w:val="09992B4F"/>
    <w:rsid w:val="09A45050"/>
    <w:rsid w:val="09AF5ECF"/>
    <w:rsid w:val="09B90AFC"/>
    <w:rsid w:val="09C13E54"/>
    <w:rsid w:val="09D26061"/>
    <w:rsid w:val="09FC4E8C"/>
    <w:rsid w:val="09FE227D"/>
    <w:rsid w:val="0A03621B"/>
    <w:rsid w:val="0A272298"/>
    <w:rsid w:val="0A2F3E81"/>
    <w:rsid w:val="0A36214C"/>
    <w:rsid w:val="0A424F95"/>
    <w:rsid w:val="0A740EC6"/>
    <w:rsid w:val="0A783C8C"/>
    <w:rsid w:val="0A7D7D7B"/>
    <w:rsid w:val="0A8A5906"/>
    <w:rsid w:val="0A960E3D"/>
    <w:rsid w:val="0AA07F0D"/>
    <w:rsid w:val="0AAC0660"/>
    <w:rsid w:val="0AB6328D"/>
    <w:rsid w:val="0AD62BFC"/>
    <w:rsid w:val="0B3F7726"/>
    <w:rsid w:val="0B444D3D"/>
    <w:rsid w:val="0B4D3BF1"/>
    <w:rsid w:val="0B522679"/>
    <w:rsid w:val="0B682AB4"/>
    <w:rsid w:val="0B6E3B68"/>
    <w:rsid w:val="0B703A4D"/>
    <w:rsid w:val="0B756CA4"/>
    <w:rsid w:val="0B867103"/>
    <w:rsid w:val="0B884C29"/>
    <w:rsid w:val="0B8F6344"/>
    <w:rsid w:val="0B910C45"/>
    <w:rsid w:val="0B941752"/>
    <w:rsid w:val="0B98567B"/>
    <w:rsid w:val="0BA15CEB"/>
    <w:rsid w:val="0BC35C62"/>
    <w:rsid w:val="0BC67500"/>
    <w:rsid w:val="0BD240F7"/>
    <w:rsid w:val="0BF503CF"/>
    <w:rsid w:val="0C022F84"/>
    <w:rsid w:val="0C0A1AE2"/>
    <w:rsid w:val="0C0E42CE"/>
    <w:rsid w:val="0C152235"/>
    <w:rsid w:val="0C233289"/>
    <w:rsid w:val="0C2C1FAA"/>
    <w:rsid w:val="0C346B5F"/>
    <w:rsid w:val="0C393981"/>
    <w:rsid w:val="0C3D11EC"/>
    <w:rsid w:val="0C4D5E73"/>
    <w:rsid w:val="0C4E3306"/>
    <w:rsid w:val="0C4F5747"/>
    <w:rsid w:val="0C526FE5"/>
    <w:rsid w:val="0C6311F3"/>
    <w:rsid w:val="0C6D3E1F"/>
    <w:rsid w:val="0C7305BB"/>
    <w:rsid w:val="0C78199D"/>
    <w:rsid w:val="0C7B478E"/>
    <w:rsid w:val="0C814A8D"/>
    <w:rsid w:val="0C8A677F"/>
    <w:rsid w:val="0C8D7232"/>
    <w:rsid w:val="0C9670E0"/>
    <w:rsid w:val="0CA10943"/>
    <w:rsid w:val="0CA64379"/>
    <w:rsid w:val="0CAA5073"/>
    <w:rsid w:val="0CAE2E86"/>
    <w:rsid w:val="0CC7352F"/>
    <w:rsid w:val="0CC954FA"/>
    <w:rsid w:val="0CCD28F4"/>
    <w:rsid w:val="0CFB142B"/>
    <w:rsid w:val="0D0C4A71"/>
    <w:rsid w:val="0D0E437B"/>
    <w:rsid w:val="0D0E73B0"/>
    <w:rsid w:val="0D0F1F6B"/>
    <w:rsid w:val="0D1A3FA7"/>
    <w:rsid w:val="0D1A5D55"/>
    <w:rsid w:val="0D3130BF"/>
    <w:rsid w:val="0D3C216F"/>
    <w:rsid w:val="0D3D37F2"/>
    <w:rsid w:val="0D3D766C"/>
    <w:rsid w:val="0D3F2EDF"/>
    <w:rsid w:val="0D533015"/>
    <w:rsid w:val="0D7116ED"/>
    <w:rsid w:val="0D755681"/>
    <w:rsid w:val="0D896A37"/>
    <w:rsid w:val="0D8C4B4D"/>
    <w:rsid w:val="0DA442E1"/>
    <w:rsid w:val="0DBF4B4E"/>
    <w:rsid w:val="0DC932D7"/>
    <w:rsid w:val="0DCE08EE"/>
    <w:rsid w:val="0DD52A00"/>
    <w:rsid w:val="0DF57B00"/>
    <w:rsid w:val="0DFA0EFB"/>
    <w:rsid w:val="0DFE4D0E"/>
    <w:rsid w:val="0E0D7668"/>
    <w:rsid w:val="0E172295"/>
    <w:rsid w:val="0E210EF6"/>
    <w:rsid w:val="0E2A646C"/>
    <w:rsid w:val="0E3A7AA7"/>
    <w:rsid w:val="0E4868F2"/>
    <w:rsid w:val="0E552DBD"/>
    <w:rsid w:val="0E63197E"/>
    <w:rsid w:val="0E804F97"/>
    <w:rsid w:val="0E963048"/>
    <w:rsid w:val="0EAD49A7"/>
    <w:rsid w:val="0ED308B1"/>
    <w:rsid w:val="0EE26D46"/>
    <w:rsid w:val="0EF854C5"/>
    <w:rsid w:val="0F077513"/>
    <w:rsid w:val="0F130BF4"/>
    <w:rsid w:val="0F1669F0"/>
    <w:rsid w:val="0F29227F"/>
    <w:rsid w:val="0F4075C9"/>
    <w:rsid w:val="0F4470B9"/>
    <w:rsid w:val="0F461C36"/>
    <w:rsid w:val="0F491AF8"/>
    <w:rsid w:val="0F4B669A"/>
    <w:rsid w:val="0F5816C1"/>
    <w:rsid w:val="0F706100"/>
    <w:rsid w:val="0F841BAC"/>
    <w:rsid w:val="0F8D7A59"/>
    <w:rsid w:val="0F8E47D8"/>
    <w:rsid w:val="0F9A1E23"/>
    <w:rsid w:val="0F9B5E73"/>
    <w:rsid w:val="0FC81CD8"/>
    <w:rsid w:val="0FE31D1E"/>
    <w:rsid w:val="0FE4264A"/>
    <w:rsid w:val="0FF52AA9"/>
    <w:rsid w:val="100920B1"/>
    <w:rsid w:val="103A0AE7"/>
    <w:rsid w:val="103A3261"/>
    <w:rsid w:val="103C4234"/>
    <w:rsid w:val="10523A58"/>
    <w:rsid w:val="10545A22"/>
    <w:rsid w:val="10607B05"/>
    <w:rsid w:val="10616BA3"/>
    <w:rsid w:val="106D43EE"/>
    <w:rsid w:val="10771710"/>
    <w:rsid w:val="10784C45"/>
    <w:rsid w:val="108B0D18"/>
    <w:rsid w:val="108F3EB7"/>
    <w:rsid w:val="10A83678"/>
    <w:rsid w:val="10BA2700"/>
    <w:rsid w:val="10C3199C"/>
    <w:rsid w:val="10CF1430"/>
    <w:rsid w:val="10D66437"/>
    <w:rsid w:val="10DD4308"/>
    <w:rsid w:val="10F1501F"/>
    <w:rsid w:val="10FE598E"/>
    <w:rsid w:val="110A68BF"/>
    <w:rsid w:val="110E3E23"/>
    <w:rsid w:val="11102EB9"/>
    <w:rsid w:val="11157B28"/>
    <w:rsid w:val="112F21F4"/>
    <w:rsid w:val="11374628"/>
    <w:rsid w:val="114C7480"/>
    <w:rsid w:val="1154735C"/>
    <w:rsid w:val="116F4196"/>
    <w:rsid w:val="1198193E"/>
    <w:rsid w:val="11997B02"/>
    <w:rsid w:val="11A402E3"/>
    <w:rsid w:val="11A53328"/>
    <w:rsid w:val="11A958FA"/>
    <w:rsid w:val="11B322D4"/>
    <w:rsid w:val="11CC3396"/>
    <w:rsid w:val="11D34725"/>
    <w:rsid w:val="11FE3E97"/>
    <w:rsid w:val="12002EAA"/>
    <w:rsid w:val="12096398"/>
    <w:rsid w:val="121D3BF2"/>
    <w:rsid w:val="12260E20"/>
    <w:rsid w:val="12374CB3"/>
    <w:rsid w:val="12491A73"/>
    <w:rsid w:val="125C296C"/>
    <w:rsid w:val="12631F4C"/>
    <w:rsid w:val="126A32DB"/>
    <w:rsid w:val="126F08F1"/>
    <w:rsid w:val="127203CB"/>
    <w:rsid w:val="12891287"/>
    <w:rsid w:val="128B3251"/>
    <w:rsid w:val="129245E0"/>
    <w:rsid w:val="12B70B53"/>
    <w:rsid w:val="12BB58E4"/>
    <w:rsid w:val="12CD7BDC"/>
    <w:rsid w:val="12CF1390"/>
    <w:rsid w:val="12DE7274"/>
    <w:rsid w:val="12EF70B7"/>
    <w:rsid w:val="13006247"/>
    <w:rsid w:val="13054DB2"/>
    <w:rsid w:val="131274CE"/>
    <w:rsid w:val="13135720"/>
    <w:rsid w:val="13367661"/>
    <w:rsid w:val="133B4C77"/>
    <w:rsid w:val="133D454B"/>
    <w:rsid w:val="13500FC7"/>
    <w:rsid w:val="13510A26"/>
    <w:rsid w:val="136C6BDF"/>
    <w:rsid w:val="13806FF7"/>
    <w:rsid w:val="1399374C"/>
    <w:rsid w:val="139C59AD"/>
    <w:rsid w:val="13A20852"/>
    <w:rsid w:val="13A91BE1"/>
    <w:rsid w:val="13A97E33"/>
    <w:rsid w:val="13B80076"/>
    <w:rsid w:val="13BD2301"/>
    <w:rsid w:val="13D41AA3"/>
    <w:rsid w:val="13E2362F"/>
    <w:rsid w:val="13F05A62"/>
    <w:rsid w:val="13F306E3"/>
    <w:rsid w:val="13F37300"/>
    <w:rsid w:val="14060AFB"/>
    <w:rsid w:val="14164D9C"/>
    <w:rsid w:val="14432035"/>
    <w:rsid w:val="144638D4"/>
    <w:rsid w:val="145A1E9B"/>
    <w:rsid w:val="145A5736"/>
    <w:rsid w:val="147B3986"/>
    <w:rsid w:val="14903E6E"/>
    <w:rsid w:val="14A34882"/>
    <w:rsid w:val="14A66120"/>
    <w:rsid w:val="14A81E98"/>
    <w:rsid w:val="14B6441E"/>
    <w:rsid w:val="14C0130D"/>
    <w:rsid w:val="14C31152"/>
    <w:rsid w:val="14CD7B51"/>
    <w:rsid w:val="14EC4CF7"/>
    <w:rsid w:val="14ED3D4F"/>
    <w:rsid w:val="150572EB"/>
    <w:rsid w:val="150A2B53"/>
    <w:rsid w:val="151412DC"/>
    <w:rsid w:val="15180BB5"/>
    <w:rsid w:val="151E6A48"/>
    <w:rsid w:val="15204125"/>
    <w:rsid w:val="15284DA2"/>
    <w:rsid w:val="152A2598"/>
    <w:rsid w:val="153100E0"/>
    <w:rsid w:val="1536087D"/>
    <w:rsid w:val="153D5D57"/>
    <w:rsid w:val="1542618C"/>
    <w:rsid w:val="15521054"/>
    <w:rsid w:val="15605210"/>
    <w:rsid w:val="15916DD0"/>
    <w:rsid w:val="159F4E9C"/>
    <w:rsid w:val="15A5228D"/>
    <w:rsid w:val="15A703A2"/>
    <w:rsid w:val="15B84EEB"/>
    <w:rsid w:val="15BC38F3"/>
    <w:rsid w:val="15BD1974"/>
    <w:rsid w:val="15D60C87"/>
    <w:rsid w:val="15E46F61"/>
    <w:rsid w:val="15F66C34"/>
    <w:rsid w:val="16161084"/>
    <w:rsid w:val="161F6F3A"/>
    <w:rsid w:val="16210154"/>
    <w:rsid w:val="162163A6"/>
    <w:rsid w:val="1633086D"/>
    <w:rsid w:val="1634734C"/>
    <w:rsid w:val="163C4DDE"/>
    <w:rsid w:val="164476E2"/>
    <w:rsid w:val="1647748F"/>
    <w:rsid w:val="16534086"/>
    <w:rsid w:val="16677B31"/>
    <w:rsid w:val="1683496B"/>
    <w:rsid w:val="16834DE7"/>
    <w:rsid w:val="16842491"/>
    <w:rsid w:val="168B1A72"/>
    <w:rsid w:val="16AD19E8"/>
    <w:rsid w:val="16B94831"/>
    <w:rsid w:val="16CD5BE6"/>
    <w:rsid w:val="16E91643"/>
    <w:rsid w:val="16F2564D"/>
    <w:rsid w:val="1707127F"/>
    <w:rsid w:val="170F4451"/>
    <w:rsid w:val="17181F24"/>
    <w:rsid w:val="1726179A"/>
    <w:rsid w:val="17377504"/>
    <w:rsid w:val="173C0FBE"/>
    <w:rsid w:val="174B0F64"/>
    <w:rsid w:val="174D04CC"/>
    <w:rsid w:val="174F2A9F"/>
    <w:rsid w:val="175956CC"/>
    <w:rsid w:val="17790F56"/>
    <w:rsid w:val="177B5642"/>
    <w:rsid w:val="178564C1"/>
    <w:rsid w:val="17B34241"/>
    <w:rsid w:val="17C214C3"/>
    <w:rsid w:val="17C55432"/>
    <w:rsid w:val="17C7104C"/>
    <w:rsid w:val="17CC4C05"/>
    <w:rsid w:val="17D375A5"/>
    <w:rsid w:val="17FE0021"/>
    <w:rsid w:val="18382622"/>
    <w:rsid w:val="18511AC3"/>
    <w:rsid w:val="18560AD3"/>
    <w:rsid w:val="185F4129"/>
    <w:rsid w:val="186E164B"/>
    <w:rsid w:val="187138F5"/>
    <w:rsid w:val="188E75F7"/>
    <w:rsid w:val="18920086"/>
    <w:rsid w:val="18953CCD"/>
    <w:rsid w:val="189E7349"/>
    <w:rsid w:val="18A522A1"/>
    <w:rsid w:val="18AD3F21"/>
    <w:rsid w:val="18B0756E"/>
    <w:rsid w:val="18B2778A"/>
    <w:rsid w:val="18B3705E"/>
    <w:rsid w:val="18CD6371"/>
    <w:rsid w:val="18D314AE"/>
    <w:rsid w:val="18E611E1"/>
    <w:rsid w:val="18E90CD1"/>
    <w:rsid w:val="18EB2C9C"/>
    <w:rsid w:val="18EC3602"/>
    <w:rsid w:val="19202945"/>
    <w:rsid w:val="193208CA"/>
    <w:rsid w:val="19373188"/>
    <w:rsid w:val="19466124"/>
    <w:rsid w:val="19552A86"/>
    <w:rsid w:val="19597C05"/>
    <w:rsid w:val="19696E0C"/>
    <w:rsid w:val="198D78AF"/>
    <w:rsid w:val="19940776"/>
    <w:rsid w:val="199E1ABC"/>
    <w:rsid w:val="199E7D0E"/>
    <w:rsid w:val="19AC242B"/>
    <w:rsid w:val="19C57049"/>
    <w:rsid w:val="19EA2F53"/>
    <w:rsid w:val="19F33BB6"/>
    <w:rsid w:val="19F618F8"/>
    <w:rsid w:val="1A192827"/>
    <w:rsid w:val="1A352D11"/>
    <w:rsid w:val="1A385A6D"/>
    <w:rsid w:val="1A4C68B1"/>
    <w:rsid w:val="1A4E5290"/>
    <w:rsid w:val="1A584361"/>
    <w:rsid w:val="1A5944BB"/>
    <w:rsid w:val="1A5B5BFF"/>
    <w:rsid w:val="1A5F2FF9"/>
    <w:rsid w:val="1A642D06"/>
    <w:rsid w:val="1A750A6F"/>
    <w:rsid w:val="1A772A39"/>
    <w:rsid w:val="1A807414"/>
    <w:rsid w:val="1A8B2040"/>
    <w:rsid w:val="1A8D59CC"/>
    <w:rsid w:val="1A913318"/>
    <w:rsid w:val="1AB5530F"/>
    <w:rsid w:val="1AB86BAD"/>
    <w:rsid w:val="1AC775D5"/>
    <w:rsid w:val="1ACB4722"/>
    <w:rsid w:val="1AE45BF4"/>
    <w:rsid w:val="1AE6196C"/>
    <w:rsid w:val="1AEE0821"/>
    <w:rsid w:val="1AF5395E"/>
    <w:rsid w:val="1AF9438C"/>
    <w:rsid w:val="1B010CBE"/>
    <w:rsid w:val="1B041DF3"/>
    <w:rsid w:val="1B0E67CD"/>
    <w:rsid w:val="1B1A121B"/>
    <w:rsid w:val="1B274CD4"/>
    <w:rsid w:val="1B2C7D7E"/>
    <w:rsid w:val="1B4E3C41"/>
    <w:rsid w:val="1B593EEC"/>
    <w:rsid w:val="1B5C39DD"/>
    <w:rsid w:val="1B632FBD"/>
    <w:rsid w:val="1B6771DF"/>
    <w:rsid w:val="1B7A20B5"/>
    <w:rsid w:val="1B7D50C4"/>
    <w:rsid w:val="1B7F1479"/>
    <w:rsid w:val="1B862808"/>
    <w:rsid w:val="1B8705E3"/>
    <w:rsid w:val="1B8847D2"/>
    <w:rsid w:val="1B952124"/>
    <w:rsid w:val="1B98062B"/>
    <w:rsid w:val="1BB235FD"/>
    <w:rsid w:val="1BD21EF1"/>
    <w:rsid w:val="1BD25A4D"/>
    <w:rsid w:val="1BDB39AC"/>
    <w:rsid w:val="1BDC68CC"/>
    <w:rsid w:val="1BF400B9"/>
    <w:rsid w:val="1BF704FB"/>
    <w:rsid w:val="1C27118C"/>
    <w:rsid w:val="1C36128C"/>
    <w:rsid w:val="1C3D380E"/>
    <w:rsid w:val="1C3F4D1E"/>
    <w:rsid w:val="1C3F79B0"/>
    <w:rsid w:val="1C444B9D"/>
    <w:rsid w:val="1C4E1E20"/>
    <w:rsid w:val="1C531AF6"/>
    <w:rsid w:val="1C6256C4"/>
    <w:rsid w:val="1C71170A"/>
    <w:rsid w:val="1C766D20"/>
    <w:rsid w:val="1CA74430"/>
    <w:rsid w:val="1CB00AFB"/>
    <w:rsid w:val="1CBA17E0"/>
    <w:rsid w:val="1CCE26B8"/>
    <w:rsid w:val="1CD06430"/>
    <w:rsid w:val="1CD145B6"/>
    <w:rsid w:val="1CDD0537"/>
    <w:rsid w:val="1CEB2DB3"/>
    <w:rsid w:val="1CEF491D"/>
    <w:rsid w:val="1CF33ECD"/>
    <w:rsid w:val="1CF5183B"/>
    <w:rsid w:val="1CFB2B21"/>
    <w:rsid w:val="1D181B85"/>
    <w:rsid w:val="1D1A58FD"/>
    <w:rsid w:val="1D264AB0"/>
    <w:rsid w:val="1D2B7B0B"/>
    <w:rsid w:val="1D320E99"/>
    <w:rsid w:val="1D3369BF"/>
    <w:rsid w:val="1D444728"/>
    <w:rsid w:val="1D465BD9"/>
    <w:rsid w:val="1D4D4A5F"/>
    <w:rsid w:val="1D4D5CD3"/>
    <w:rsid w:val="1D70551D"/>
    <w:rsid w:val="1D721295"/>
    <w:rsid w:val="1D813BCE"/>
    <w:rsid w:val="1D8F0099"/>
    <w:rsid w:val="1D942EB9"/>
    <w:rsid w:val="1D9751A0"/>
    <w:rsid w:val="1D9A07EC"/>
    <w:rsid w:val="1D9C27B6"/>
    <w:rsid w:val="1DA027CC"/>
    <w:rsid w:val="1DCA3E7C"/>
    <w:rsid w:val="1DCF493A"/>
    <w:rsid w:val="1DE859FC"/>
    <w:rsid w:val="1DEC54EC"/>
    <w:rsid w:val="1DF919B7"/>
    <w:rsid w:val="1DFD22D8"/>
    <w:rsid w:val="1E0B5930"/>
    <w:rsid w:val="1E2D5F4A"/>
    <w:rsid w:val="1E324D9F"/>
    <w:rsid w:val="1E335A32"/>
    <w:rsid w:val="1E380731"/>
    <w:rsid w:val="1E3B1FCF"/>
    <w:rsid w:val="1E430E84"/>
    <w:rsid w:val="1E434545"/>
    <w:rsid w:val="1E4827C0"/>
    <w:rsid w:val="1E594C26"/>
    <w:rsid w:val="1E5E66C1"/>
    <w:rsid w:val="1E5E6DE2"/>
    <w:rsid w:val="1E6D7CAF"/>
    <w:rsid w:val="1E6E4153"/>
    <w:rsid w:val="1E7679C4"/>
    <w:rsid w:val="1E7775FF"/>
    <w:rsid w:val="1E7E1ED8"/>
    <w:rsid w:val="1E7E516C"/>
    <w:rsid w:val="1E82232E"/>
    <w:rsid w:val="1E8A6AB3"/>
    <w:rsid w:val="1E984D2C"/>
    <w:rsid w:val="1EA2204E"/>
    <w:rsid w:val="1EBF675C"/>
    <w:rsid w:val="1EC5773A"/>
    <w:rsid w:val="1ECD294E"/>
    <w:rsid w:val="1ED16490"/>
    <w:rsid w:val="1ED33FB6"/>
    <w:rsid w:val="1EE64774"/>
    <w:rsid w:val="1EE7458B"/>
    <w:rsid w:val="1EF13E7C"/>
    <w:rsid w:val="1F095B9C"/>
    <w:rsid w:val="1F0B3750"/>
    <w:rsid w:val="1F0D396C"/>
    <w:rsid w:val="1F170DBA"/>
    <w:rsid w:val="1F394761"/>
    <w:rsid w:val="1F43738D"/>
    <w:rsid w:val="1F5A5233"/>
    <w:rsid w:val="1F642E60"/>
    <w:rsid w:val="1F7A6B27"/>
    <w:rsid w:val="1F813A12"/>
    <w:rsid w:val="1F855CC1"/>
    <w:rsid w:val="1F882FF2"/>
    <w:rsid w:val="1F925C1F"/>
    <w:rsid w:val="1F9279CD"/>
    <w:rsid w:val="1F9D4872"/>
    <w:rsid w:val="1FAA740D"/>
    <w:rsid w:val="1FAF67D1"/>
    <w:rsid w:val="1FB5190D"/>
    <w:rsid w:val="1FBA5176"/>
    <w:rsid w:val="1FBA6F24"/>
    <w:rsid w:val="1FC71331"/>
    <w:rsid w:val="1FCF7AFB"/>
    <w:rsid w:val="1FF16DE9"/>
    <w:rsid w:val="20014C4D"/>
    <w:rsid w:val="20052895"/>
    <w:rsid w:val="20062169"/>
    <w:rsid w:val="20297BF0"/>
    <w:rsid w:val="203F19EB"/>
    <w:rsid w:val="205E1FA5"/>
    <w:rsid w:val="20601879"/>
    <w:rsid w:val="207E43F5"/>
    <w:rsid w:val="209239FD"/>
    <w:rsid w:val="20A852BE"/>
    <w:rsid w:val="20AD0837"/>
    <w:rsid w:val="20B13C44"/>
    <w:rsid w:val="20B83463"/>
    <w:rsid w:val="20C43317"/>
    <w:rsid w:val="20D64231"/>
    <w:rsid w:val="20DE6C42"/>
    <w:rsid w:val="20EA3839"/>
    <w:rsid w:val="20F6042F"/>
    <w:rsid w:val="20F85819"/>
    <w:rsid w:val="21022930"/>
    <w:rsid w:val="21162880"/>
    <w:rsid w:val="213A47C0"/>
    <w:rsid w:val="2149055F"/>
    <w:rsid w:val="21555156"/>
    <w:rsid w:val="215A6137"/>
    <w:rsid w:val="215A6C10"/>
    <w:rsid w:val="216C735A"/>
    <w:rsid w:val="21751354"/>
    <w:rsid w:val="21793170"/>
    <w:rsid w:val="217C6B87"/>
    <w:rsid w:val="218D6331"/>
    <w:rsid w:val="219C14EA"/>
    <w:rsid w:val="219C4B33"/>
    <w:rsid w:val="21AA0945"/>
    <w:rsid w:val="21B46321"/>
    <w:rsid w:val="21BE719F"/>
    <w:rsid w:val="21C81DCC"/>
    <w:rsid w:val="21C85928"/>
    <w:rsid w:val="21CD2F3E"/>
    <w:rsid w:val="21DF2C72"/>
    <w:rsid w:val="21EF0395"/>
    <w:rsid w:val="21F726B1"/>
    <w:rsid w:val="22192627"/>
    <w:rsid w:val="22196184"/>
    <w:rsid w:val="221C5C74"/>
    <w:rsid w:val="22244B28"/>
    <w:rsid w:val="222F59A7"/>
    <w:rsid w:val="22315FE8"/>
    <w:rsid w:val="22327245"/>
    <w:rsid w:val="223363F5"/>
    <w:rsid w:val="224F6049"/>
    <w:rsid w:val="22543660"/>
    <w:rsid w:val="225B2099"/>
    <w:rsid w:val="225D56AD"/>
    <w:rsid w:val="22857CBD"/>
    <w:rsid w:val="22943A5C"/>
    <w:rsid w:val="22966B03"/>
    <w:rsid w:val="22AC349C"/>
    <w:rsid w:val="22B12860"/>
    <w:rsid w:val="22B60126"/>
    <w:rsid w:val="22BA0269"/>
    <w:rsid w:val="22C165E8"/>
    <w:rsid w:val="22D76E3C"/>
    <w:rsid w:val="22E177D9"/>
    <w:rsid w:val="22E26EBD"/>
    <w:rsid w:val="22F10EAE"/>
    <w:rsid w:val="22F4099F"/>
    <w:rsid w:val="2303281C"/>
    <w:rsid w:val="230E1A60"/>
    <w:rsid w:val="23266752"/>
    <w:rsid w:val="23270D74"/>
    <w:rsid w:val="23290736"/>
    <w:rsid w:val="232E02C0"/>
    <w:rsid w:val="233A4603"/>
    <w:rsid w:val="23403BE4"/>
    <w:rsid w:val="23466363"/>
    <w:rsid w:val="23476D20"/>
    <w:rsid w:val="234C0665"/>
    <w:rsid w:val="235F406A"/>
    <w:rsid w:val="2371150A"/>
    <w:rsid w:val="237308A7"/>
    <w:rsid w:val="237D4E22"/>
    <w:rsid w:val="23922691"/>
    <w:rsid w:val="23A10C3C"/>
    <w:rsid w:val="23A63411"/>
    <w:rsid w:val="23BC770E"/>
    <w:rsid w:val="23C14D25"/>
    <w:rsid w:val="23CD6900"/>
    <w:rsid w:val="23D21FE8"/>
    <w:rsid w:val="23D34A58"/>
    <w:rsid w:val="23DA1943"/>
    <w:rsid w:val="23E17175"/>
    <w:rsid w:val="23E46C65"/>
    <w:rsid w:val="23ED320B"/>
    <w:rsid w:val="23FB0A5B"/>
    <w:rsid w:val="240510B5"/>
    <w:rsid w:val="240D4F24"/>
    <w:rsid w:val="24103ACD"/>
    <w:rsid w:val="24172B97"/>
    <w:rsid w:val="241E5CD3"/>
    <w:rsid w:val="24275D38"/>
    <w:rsid w:val="24277FE5"/>
    <w:rsid w:val="24344A48"/>
    <w:rsid w:val="244F2209"/>
    <w:rsid w:val="245960DD"/>
    <w:rsid w:val="245D1E94"/>
    <w:rsid w:val="246A53BC"/>
    <w:rsid w:val="247508D3"/>
    <w:rsid w:val="247C1A1B"/>
    <w:rsid w:val="24816262"/>
    <w:rsid w:val="24875A24"/>
    <w:rsid w:val="248E21AF"/>
    <w:rsid w:val="249203D9"/>
    <w:rsid w:val="24A563F4"/>
    <w:rsid w:val="24AD2130"/>
    <w:rsid w:val="24B2466D"/>
    <w:rsid w:val="24B86128"/>
    <w:rsid w:val="24BC729A"/>
    <w:rsid w:val="24BD373E"/>
    <w:rsid w:val="24C81666"/>
    <w:rsid w:val="24CA19B7"/>
    <w:rsid w:val="24CE259C"/>
    <w:rsid w:val="24D7664B"/>
    <w:rsid w:val="24DE756E"/>
    <w:rsid w:val="24EA16DC"/>
    <w:rsid w:val="24EF289D"/>
    <w:rsid w:val="24F44C86"/>
    <w:rsid w:val="24F4656C"/>
    <w:rsid w:val="24F5112A"/>
    <w:rsid w:val="2500362B"/>
    <w:rsid w:val="250273A3"/>
    <w:rsid w:val="2503311B"/>
    <w:rsid w:val="25034EC9"/>
    <w:rsid w:val="25070E5D"/>
    <w:rsid w:val="25237319"/>
    <w:rsid w:val="252E6E8A"/>
    <w:rsid w:val="254826D1"/>
    <w:rsid w:val="254C061E"/>
    <w:rsid w:val="256F7B27"/>
    <w:rsid w:val="2591155E"/>
    <w:rsid w:val="2596422C"/>
    <w:rsid w:val="259A6D17"/>
    <w:rsid w:val="259D60D1"/>
    <w:rsid w:val="25B82157"/>
    <w:rsid w:val="25D66AED"/>
    <w:rsid w:val="25DC5E46"/>
    <w:rsid w:val="25DD326C"/>
    <w:rsid w:val="25ED0053"/>
    <w:rsid w:val="26021720"/>
    <w:rsid w:val="26055EB0"/>
    <w:rsid w:val="2609454D"/>
    <w:rsid w:val="26127ABA"/>
    <w:rsid w:val="261C6242"/>
    <w:rsid w:val="2628108B"/>
    <w:rsid w:val="262B46D7"/>
    <w:rsid w:val="26323CB8"/>
    <w:rsid w:val="263537A8"/>
    <w:rsid w:val="263E440B"/>
    <w:rsid w:val="264D1F34"/>
    <w:rsid w:val="26722306"/>
    <w:rsid w:val="26740622"/>
    <w:rsid w:val="267E514F"/>
    <w:rsid w:val="26837610"/>
    <w:rsid w:val="26862310"/>
    <w:rsid w:val="26976211"/>
    <w:rsid w:val="26B11081"/>
    <w:rsid w:val="26B2663E"/>
    <w:rsid w:val="26C32B62"/>
    <w:rsid w:val="26CF1150"/>
    <w:rsid w:val="26D44D6F"/>
    <w:rsid w:val="26D71E4A"/>
    <w:rsid w:val="26E33204"/>
    <w:rsid w:val="26E86A6C"/>
    <w:rsid w:val="26EE1123"/>
    <w:rsid w:val="26F70A5D"/>
    <w:rsid w:val="270C62B7"/>
    <w:rsid w:val="27111B1F"/>
    <w:rsid w:val="27127645"/>
    <w:rsid w:val="271B474C"/>
    <w:rsid w:val="272560F0"/>
    <w:rsid w:val="27333B64"/>
    <w:rsid w:val="273D458E"/>
    <w:rsid w:val="275245C2"/>
    <w:rsid w:val="27542B39"/>
    <w:rsid w:val="275639D6"/>
    <w:rsid w:val="27637EA1"/>
    <w:rsid w:val="2768302A"/>
    <w:rsid w:val="27814EF7"/>
    <w:rsid w:val="278B7B24"/>
    <w:rsid w:val="278C389C"/>
    <w:rsid w:val="27912C60"/>
    <w:rsid w:val="279A1B15"/>
    <w:rsid w:val="27B32BD6"/>
    <w:rsid w:val="27BB697F"/>
    <w:rsid w:val="27C052F3"/>
    <w:rsid w:val="27CC38E8"/>
    <w:rsid w:val="27D25752"/>
    <w:rsid w:val="27DA1FA7"/>
    <w:rsid w:val="27DA63B5"/>
    <w:rsid w:val="27DF1C1D"/>
    <w:rsid w:val="27E37B96"/>
    <w:rsid w:val="28021DAF"/>
    <w:rsid w:val="28094EEC"/>
    <w:rsid w:val="281A0EA7"/>
    <w:rsid w:val="281C2391"/>
    <w:rsid w:val="28377363"/>
    <w:rsid w:val="284063F2"/>
    <w:rsid w:val="284615CB"/>
    <w:rsid w:val="28486918"/>
    <w:rsid w:val="286D0FD7"/>
    <w:rsid w:val="28843D57"/>
    <w:rsid w:val="28893937"/>
    <w:rsid w:val="288A1B89"/>
    <w:rsid w:val="288D3427"/>
    <w:rsid w:val="288F719F"/>
    <w:rsid w:val="28A1297A"/>
    <w:rsid w:val="28B74948"/>
    <w:rsid w:val="28C037FD"/>
    <w:rsid w:val="28C332ED"/>
    <w:rsid w:val="28C42EEC"/>
    <w:rsid w:val="28CB3175"/>
    <w:rsid w:val="28CF3A40"/>
    <w:rsid w:val="28D14107"/>
    <w:rsid w:val="28DB23E5"/>
    <w:rsid w:val="28DE3C83"/>
    <w:rsid w:val="28E079FB"/>
    <w:rsid w:val="28EC45F2"/>
    <w:rsid w:val="28F337C0"/>
    <w:rsid w:val="28FB1E62"/>
    <w:rsid w:val="291E6775"/>
    <w:rsid w:val="292673D8"/>
    <w:rsid w:val="292A6EC8"/>
    <w:rsid w:val="292D69B8"/>
    <w:rsid w:val="293164A9"/>
    <w:rsid w:val="29353D69"/>
    <w:rsid w:val="293B04AE"/>
    <w:rsid w:val="2940493E"/>
    <w:rsid w:val="29452074"/>
    <w:rsid w:val="294C6E3F"/>
    <w:rsid w:val="29693E94"/>
    <w:rsid w:val="296971A8"/>
    <w:rsid w:val="296D6FB3"/>
    <w:rsid w:val="299A5F1B"/>
    <w:rsid w:val="299F78B6"/>
    <w:rsid w:val="29A85E27"/>
    <w:rsid w:val="29C11732"/>
    <w:rsid w:val="29D01312"/>
    <w:rsid w:val="29D92EB9"/>
    <w:rsid w:val="29E057D9"/>
    <w:rsid w:val="29E249EB"/>
    <w:rsid w:val="29E90B31"/>
    <w:rsid w:val="29E95828"/>
    <w:rsid w:val="29F3375E"/>
    <w:rsid w:val="29F342D4"/>
    <w:rsid w:val="29FA2D3E"/>
    <w:rsid w:val="29FB25D1"/>
    <w:rsid w:val="2A0E2346"/>
    <w:rsid w:val="2A167548"/>
    <w:rsid w:val="2A1F27A5"/>
    <w:rsid w:val="2A32072A"/>
    <w:rsid w:val="2A355B25"/>
    <w:rsid w:val="2A390483"/>
    <w:rsid w:val="2A4B5348"/>
    <w:rsid w:val="2A4C1A18"/>
    <w:rsid w:val="2A585B80"/>
    <w:rsid w:val="2A5A1A2F"/>
    <w:rsid w:val="2A5A558B"/>
    <w:rsid w:val="2A6601A2"/>
    <w:rsid w:val="2A68414C"/>
    <w:rsid w:val="2A691C72"/>
    <w:rsid w:val="2A760C39"/>
    <w:rsid w:val="2A866380"/>
    <w:rsid w:val="2A9036A3"/>
    <w:rsid w:val="2AA416B0"/>
    <w:rsid w:val="2AB503FD"/>
    <w:rsid w:val="2AC0493A"/>
    <w:rsid w:val="2AC1560A"/>
    <w:rsid w:val="2AC670C5"/>
    <w:rsid w:val="2AE15CAC"/>
    <w:rsid w:val="2AE8528D"/>
    <w:rsid w:val="2AEB08D9"/>
    <w:rsid w:val="2AF046A6"/>
    <w:rsid w:val="2AF14141"/>
    <w:rsid w:val="2AF27EBA"/>
    <w:rsid w:val="2AF459E0"/>
    <w:rsid w:val="2AF608D3"/>
    <w:rsid w:val="2AFA0B1C"/>
    <w:rsid w:val="2AFA1A47"/>
    <w:rsid w:val="2AFB4FC0"/>
    <w:rsid w:val="2B053749"/>
    <w:rsid w:val="2B1C6CE5"/>
    <w:rsid w:val="2B204A27"/>
    <w:rsid w:val="2B366200"/>
    <w:rsid w:val="2B660607"/>
    <w:rsid w:val="2B6D2330"/>
    <w:rsid w:val="2B8F395A"/>
    <w:rsid w:val="2BBA09D7"/>
    <w:rsid w:val="2BC03B14"/>
    <w:rsid w:val="2BC314D4"/>
    <w:rsid w:val="2BC43604"/>
    <w:rsid w:val="2BD82C0B"/>
    <w:rsid w:val="2BDF21EC"/>
    <w:rsid w:val="2BF07F0E"/>
    <w:rsid w:val="2BF14D65"/>
    <w:rsid w:val="2BFC0FF0"/>
    <w:rsid w:val="2C1E6354"/>
    <w:rsid w:val="2C2422F5"/>
    <w:rsid w:val="2C2D7517"/>
    <w:rsid w:val="2C3B319A"/>
    <w:rsid w:val="2C4509EF"/>
    <w:rsid w:val="2C4D184B"/>
    <w:rsid w:val="2C55425C"/>
    <w:rsid w:val="2C574478"/>
    <w:rsid w:val="2C5E6435"/>
    <w:rsid w:val="2C6B3A80"/>
    <w:rsid w:val="2C730B86"/>
    <w:rsid w:val="2C7D37B3"/>
    <w:rsid w:val="2C800539"/>
    <w:rsid w:val="2C81312E"/>
    <w:rsid w:val="2C822369"/>
    <w:rsid w:val="2C8965FC"/>
    <w:rsid w:val="2C8B42D2"/>
    <w:rsid w:val="2CA451E4"/>
    <w:rsid w:val="2CA46F92"/>
    <w:rsid w:val="2CB05936"/>
    <w:rsid w:val="2CBB79FD"/>
    <w:rsid w:val="2CBC42DB"/>
    <w:rsid w:val="2CE8602F"/>
    <w:rsid w:val="2D09627B"/>
    <w:rsid w:val="2D23435A"/>
    <w:rsid w:val="2D282599"/>
    <w:rsid w:val="2D355E3C"/>
    <w:rsid w:val="2D3622E0"/>
    <w:rsid w:val="2D5409B8"/>
    <w:rsid w:val="2D5E5392"/>
    <w:rsid w:val="2D6904DB"/>
    <w:rsid w:val="2D7F58FA"/>
    <w:rsid w:val="2D872B3B"/>
    <w:rsid w:val="2D942742"/>
    <w:rsid w:val="2D960FD0"/>
    <w:rsid w:val="2D9F5AAB"/>
    <w:rsid w:val="2DA059AB"/>
    <w:rsid w:val="2DAD1E76"/>
    <w:rsid w:val="2DC9254F"/>
    <w:rsid w:val="2DE007D6"/>
    <w:rsid w:val="2DE735DA"/>
    <w:rsid w:val="2DEA131C"/>
    <w:rsid w:val="2DF00258"/>
    <w:rsid w:val="2DF002CB"/>
    <w:rsid w:val="2DF87595"/>
    <w:rsid w:val="2DFA7E53"/>
    <w:rsid w:val="2E00644A"/>
    <w:rsid w:val="2E0143CE"/>
    <w:rsid w:val="2E0979F4"/>
    <w:rsid w:val="2E0A551A"/>
    <w:rsid w:val="2E3C1B78"/>
    <w:rsid w:val="2E6E5AA9"/>
    <w:rsid w:val="2E7F7181"/>
    <w:rsid w:val="2E9574DA"/>
    <w:rsid w:val="2EA96AE1"/>
    <w:rsid w:val="2EC13E2B"/>
    <w:rsid w:val="2EC23C82"/>
    <w:rsid w:val="2EC42B2F"/>
    <w:rsid w:val="2ED26038"/>
    <w:rsid w:val="2ED61D9E"/>
    <w:rsid w:val="2EE67D35"/>
    <w:rsid w:val="2F0F73DE"/>
    <w:rsid w:val="2F10684B"/>
    <w:rsid w:val="2F106B60"/>
    <w:rsid w:val="2F2D2619"/>
    <w:rsid w:val="2F350375"/>
    <w:rsid w:val="2F436268"/>
    <w:rsid w:val="2F4D7D91"/>
    <w:rsid w:val="2F5A5701"/>
    <w:rsid w:val="2F5C1DA5"/>
    <w:rsid w:val="2F601896"/>
    <w:rsid w:val="2F736A5D"/>
    <w:rsid w:val="2F7E2C59"/>
    <w:rsid w:val="2F880DEC"/>
    <w:rsid w:val="2F8F0EBA"/>
    <w:rsid w:val="2F950E14"/>
    <w:rsid w:val="2F967065"/>
    <w:rsid w:val="2F974B8C"/>
    <w:rsid w:val="2FA04132"/>
    <w:rsid w:val="2FA8323D"/>
    <w:rsid w:val="2FAD43AF"/>
    <w:rsid w:val="2FB621EB"/>
    <w:rsid w:val="2FC31E25"/>
    <w:rsid w:val="2FCB45DC"/>
    <w:rsid w:val="2FD8767E"/>
    <w:rsid w:val="2FE37DD1"/>
    <w:rsid w:val="2FF63FA8"/>
    <w:rsid w:val="30000983"/>
    <w:rsid w:val="3002294D"/>
    <w:rsid w:val="300264A9"/>
    <w:rsid w:val="300C7328"/>
    <w:rsid w:val="300F0BC6"/>
    <w:rsid w:val="302E0A63"/>
    <w:rsid w:val="302F3016"/>
    <w:rsid w:val="303D5733"/>
    <w:rsid w:val="30405223"/>
    <w:rsid w:val="30470360"/>
    <w:rsid w:val="30477E3E"/>
    <w:rsid w:val="30542A7D"/>
    <w:rsid w:val="30560FE3"/>
    <w:rsid w:val="30586A11"/>
    <w:rsid w:val="30734F38"/>
    <w:rsid w:val="307849BD"/>
    <w:rsid w:val="30915A7F"/>
    <w:rsid w:val="30980BBB"/>
    <w:rsid w:val="30992B52"/>
    <w:rsid w:val="309E3334"/>
    <w:rsid w:val="30A471F6"/>
    <w:rsid w:val="30B31E99"/>
    <w:rsid w:val="30C23E8A"/>
    <w:rsid w:val="30D51E0F"/>
    <w:rsid w:val="30DA7426"/>
    <w:rsid w:val="30E16777"/>
    <w:rsid w:val="30EB518F"/>
    <w:rsid w:val="30F74B66"/>
    <w:rsid w:val="30FD3114"/>
    <w:rsid w:val="30FF50DE"/>
    <w:rsid w:val="310B66D2"/>
    <w:rsid w:val="310D2353"/>
    <w:rsid w:val="310E70CF"/>
    <w:rsid w:val="312C26C3"/>
    <w:rsid w:val="312E32CE"/>
    <w:rsid w:val="312F7772"/>
    <w:rsid w:val="31322DBE"/>
    <w:rsid w:val="313B4368"/>
    <w:rsid w:val="313C3C3D"/>
    <w:rsid w:val="31491AE3"/>
    <w:rsid w:val="315F792B"/>
    <w:rsid w:val="317C04DD"/>
    <w:rsid w:val="31857392"/>
    <w:rsid w:val="318A0E4C"/>
    <w:rsid w:val="3196159F"/>
    <w:rsid w:val="319A0622"/>
    <w:rsid w:val="319D3D2B"/>
    <w:rsid w:val="31A51E5A"/>
    <w:rsid w:val="31B7169F"/>
    <w:rsid w:val="31E16BB0"/>
    <w:rsid w:val="31FB3DE2"/>
    <w:rsid w:val="320B7BFA"/>
    <w:rsid w:val="3210297E"/>
    <w:rsid w:val="32137850"/>
    <w:rsid w:val="32140715"/>
    <w:rsid w:val="321F6E11"/>
    <w:rsid w:val="322F72FD"/>
    <w:rsid w:val="32340DB8"/>
    <w:rsid w:val="32342B66"/>
    <w:rsid w:val="325925CC"/>
    <w:rsid w:val="32622E39"/>
    <w:rsid w:val="3264344B"/>
    <w:rsid w:val="32674CE9"/>
    <w:rsid w:val="326C67A3"/>
    <w:rsid w:val="32800850"/>
    <w:rsid w:val="328868C2"/>
    <w:rsid w:val="328C4750"/>
    <w:rsid w:val="32903C4D"/>
    <w:rsid w:val="32911317"/>
    <w:rsid w:val="32A415AE"/>
    <w:rsid w:val="32A43A33"/>
    <w:rsid w:val="32A83BE9"/>
    <w:rsid w:val="32B803DE"/>
    <w:rsid w:val="32C24615"/>
    <w:rsid w:val="32C37B36"/>
    <w:rsid w:val="32D305D1"/>
    <w:rsid w:val="32DB1233"/>
    <w:rsid w:val="32EE0F67"/>
    <w:rsid w:val="32F52902"/>
    <w:rsid w:val="32F770E2"/>
    <w:rsid w:val="33010C9A"/>
    <w:rsid w:val="330C763F"/>
    <w:rsid w:val="331F7372"/>
    <w:rsid w:val="33226E62"/>
    <w:rsid w:val="33321433"/>
    <w:rsid w:val="33353039"/>
    <w:rsid w:val="33492641"/>
    <w:rsid w:val="33525999"/>
    <w:rsid w:val="336A2CE3"/>
    <w:rsid w:val="33721B98"/>
    <w:rsid w:val="33746DD8"/>
    <w:rsid w:val="338D69D1"/>
    <w:rsid w:val="339531E1"/>
    <w:rsid w:val="339A10EE"/>
    <w:rsid w:val="339A5589"/>
    <w:rsid w:val="33AF6948"/>
    <w:rsid w:val="33C06DA7"/>
    <w:rsid w:val="33C65770"/>
    <w:rsid w:val="33D41102"/>
    <w:rsid w:val="33D60378"/>
    <w:rsid w:val="33D939C5"/>
    <w:rsid w:val="33F425AD"/>
    <w:rsid w:val="33F7209D"/>
    <w:rsid w:val="340541A5"/>
    <w:rsid w:val="341D504B"/>
    <w:rsid w:val="34311A53"/>
    <w:rsid w:val="3431735D"/>
    <w:rsid w:val="343D21A6"/>
    <w:rsid w:val="344A1546"/>
    <w:rsid w:val="345707EA"/>
    <w:rsid w:val="346D47E3"/>
    <w:rsid w:val="346E05B1"/>
    <w:rsid w:val="34705599"/>
    <w:rsid w:val="348C4EDB"/>
    <w:rsid w:val="348F22D5"/>
    <w:rsid w:val="34947CAF"/>
    <w:rsid w:val="34952040"/>
    <w:rsid w:val="34AA2C62"/>
    <w:rsid w:val="34B306BA"/>
    <w:rsid w:val="34B873A0"/>
    <w:rsid w:val="34C06933"/>
    <w:rsid w:val="34DD3449"/>
    <w:rsid w:val="34E40873"/>
    <w:rsid w:val="34E55AC4"/>
    <w:rsid w:val="34FD2CC6"/>
    <w:rsid w:val="350014F0"/>
    <w:rsid w:val="35101668"/>
    <w:rsid w:val="35223149"/>
    <w:rsid w:val="35415CC5"/>
    <w:rsid w:val="354F3660"/>
    <w:rsid w:val="35507CB7"/>
    <w:rsid w:val="355377A7"/>
    <w:rsid w:val="35577297"/>
    <w:rsid w:val="3584486B"/>
    <w:rsid w:val="35847960"/>
    <w:rsid w:val="358B0CEF"/>
    <w:rsid w:val="35971885"/>
    <w:rsid w:val="35A3072E"/>
    <w:rsid w:val="35A95619"/>
    <w:rsid w:val="35C0308E"/>
    <w:rsid w:val="35DA1B08"/>
    <w:rsid w:val="35DE1766"/>
    <w:rsid w:val="35E166DA"/>
    <w:rsid w:val="36112D6D"/>
    <w:rsid w:val="361138EA"/>
    <w:rsid w:val="361C3EBD"/>
    <w:rsid w:val="362A32DD"/>
    <w:rsid w:val="364F39A5"/>
    <w:rsid w:val="364F61C0"/>
    <w:rsid w:val="366B28CE"/>
    <w:rsid w:val="366E4D55"/>
    <w:rsid w:val="36746BAD"/>
    <w:rsid w:val="367E0853"/>
    <w:rsid w:val="369B7657"/>
    <w:rsid w:val="36B51ED3"/>
    <w:rsid w:val="36BB5604"/>
    <w:rsid w:val="36C721FA"/>
    <w:rsid w:val="36DD1A1E"/>
    <w:rsid w:val="36F17277"/>
    <w:rsid w:val="36F24934"/>
    <w:rsid w:val="36F6663C"/>
    <w:rsid w:val="3718335F"/>
    <w:rsid w:val="37256F21"/>
    <w:rsid w:val="37362EDC"/>
    <w:rsid w:val="373F6FEF"/>
    <w:rsid w:val="3748158D"/>
    <w:rsid w:val="374C2700"/>
    <w:rsid w:val="37652B59"/>
    <w:rsid w:val="376C4B50"/>
    <w:rsid w:val="376C7D04"/>
    <w:rsid w:val="377834F5"/>
    <w:rsid w:val="37976071"/>
    <w:rsid w:val="379A16BD"/>
    <w:rsid w:val="37BC5AD7"/>
    <w:rsid w:val="37D4605F"/>
    <w:rsid w:val="37E56DDC"/>
    <w:rsid w:val="37FA7109"/>
    <w:rsid w:val="381B0A50"/>
    <w:rsid w:val="381C58C4"/>
    <w:rsid w:val="38262F51"/>
    <w:rsid w:val="382A0C93"/>
    <w:rsid w:val="38325D99"/>
    <w:rsid w:val="38437481"/>
    <w:rsid w:val="384C25B1"/>
    <w:rsid w:val="384D672F"/>
    <w:rsid w:val="3869495B"/>
    <w:rsid w:val="386F66A6"/>
    <w:rsid w:val="38767A34"/>
    <w:rsid w:val="388F0AF6"/>
    <w:rsid w:val="389B22E9"/>
    <w:rsid w:val="38A65312"/>
    <w:rsid w:val="38B144A1"/>
    <w:rsid w:val="38B365AD"/>
    <w:rsid w:val="38B5603D"/>
    <w:rsid w:val="38BF587F"/>
    <w:rsid w:val="38D76175"/>
    <w:rsid w:val="38D806EF"/>
    <w:rsid w:val="38E235CB"/>
    <w:rsid w:val="38EE7F12"/>
    <w:rsid w:val="39007C46"/>
    <w:rsid w:val="39045DEA"/>
    <w:rsid w:val="3914549F"/>
    <w:rsid w:val="39180127"/>
    <w:rsid w:val="391D07F7"/>
    <w:rsid w:val="391E0899"/>
    <w:rsid w:val="3929703F"/>
    <w:rsid w:val="392E0314"/>
    <w:rsid w:val="39355B41"/>
    <w:rsid w:val="393B0C7E"/>
    <w:rsid w:val="39433B79"/>
    <w:rsid w:val="39461AFC"/>
    <w:rsid w:val="395F671A"/>
    <w:rsid w:val="39691347"/>
    <w:rsid w:val="396D45FF"/>
    <w:rsid w:val="396F26D5"/>
    <w:rsid w:val="39777F08"/>
    <w:rsid w:val="39785A2E"/>
    <w:rsid w:val="39803209"/>
    <w:rsid w:val="39893797"/>
    <w:rsid w:val="399C171C"/>
    <w:rsid w:val="399C6C8E"/>
    <w:rsid w:val="39A82FD8"/>
    <w:rsid w:val="39C406C0"/>
    <w:rsid w:val="39DD3AE3"/>
    <w:rsid w:val="39ED7FCB"/>
    <w:rsid w:val="3A304F3B"/>
    <w:rsid w:val="3A3556CD"/>
    <w:rsid w:val="3A4D1D3F"/>
    <w:rsid w:val="3A5169AB"/>
    <w:rsid w:val="3A575643"/>
    <w:rsid w:val="3A6D30B9"/>
    <w:rsid w:val="3A777A93"/>
    <w:rsid w:val="3A797CAF"/>
    <w:rsid w:val="3A80103E"/>
    <w:rsid w:val="3A86417A"/>
    <w:rsid w:val="3A8A77C7"/>
    <w:rsid w:val="3A9B7C26"/>
    <w:rsid w:val="3AAC3BE1"/>
    <w:rsid w:val="3AC23405"/>
    <w:rsid w:val="3AFA0DF0"/>
    <w:rsid w:val="3B0E5C90"/>
    <w:rsid w:val="3B0F23C2"/>
    <w:rsid w:val="3B105AF9"/>
    <w:rsid w:val="3B2B6D8A"/>
    <w:rsid w:val="3B334302"/>
    <w:rsid w:val="3B5330AD"/>
    <w:rsid w:val="3B556027"/>
    <w:rsid w:val="3B6224F2"/>
    <w:rsid w:val="3B634EC9"/>
    <w:rsid w:val="3B64270E"/>
    <w:rsid w:val="3B651FE2"/>
    <w:rsid w:val="3B837F8F"/>
    <w:rsid w:val="3B8C57C0"/>
    <w:rsid w:val="3B903503"/>
    <w:rsid w:val="3B9A7EDD"/>
    <w:rsid w:val="3BA90120"/>
    <w:rsid w:val="3BAB6E46"/>
    <w:rsid w:val="3BB52F69"/>
    <w:rsid w:val="3BC34996"/>
    <w:rsid w:val="3BC62A80"/>
    <w:rsid w:val="3BC74A4B"/>
    <w:rsid w:val="3BF21AC7"/>
    <w:rsid w:val="3BFC5EF5"/>
    <w:rsid w:val="3C0D6901"/>
    <w:rsid w:val="3C221C81"/>
    <w:rsid w:val="3C2D0D52"/>
    <w:rsid w:val="3C37397E"/>
    <w:rsid w:val="3C6632BA"/>
    <w:rsid w:val="3C6C3297"/>
    <w:rsid w:val="3C700E2B"/>
    <w:rsid w:val="3C805A5B"/>
    <w:rsid w:val="3C860462"/>
    <w:rsid w:val="3C8D17F0"/>
    <w:rsid w:val="3C8E63DE"/>
    <w:rsid w:val="3C951AAB"/>
    <w:rsid w:val="3C9D7253"/>
    <w:rsid w:val="3C9E77ED"/>
    <w:rsid w:val="3CB26D00"/>
    <w:rsid w:val="3CBF5346"/>
    <w:rsid w:val="3CD1792F"/>
    <w:rsid w:val="3CF90C34"/>
    <w:rsid w:val="3D0C69C3"/>
    <w:rsid w:val="3D1F4B30"/>
    <w:rsid w:val="3D3103CE"/>
    <w:rsid w:val="3D314871"/>
    <w:rsid w:val="3D600CB3"/>
    <w:rsid w:val="3D785FFC"/>
    <w:rsid w:val="3D7B5AED"/>
    <w:rsid w:val="3D826E7B"/>
    <w:rsid w:val="3D827DBA"/>
    <w:rsid w:val="3D8A3F82"/>
    <w:rsid w:val="3D8C7CFA"/>
    <w:rsid w:val="3DA768E2"/>
    <w:rsid w:val="3DAE01CF"/>
    <w:rsid w:val="3DB81B78"/>
    <w:rsid w:val="3DC2196D"/>
    <w:rsid w:val="3E10092B"/>
    <w:rsid w:val="3E2B12C1"/>
    <w:rsid w:val="3E3E013F"/>
    <w:rsid w:val="3E43485C"/>
    <w:rsid w:val="3E55633E"/>
    <w:rsid w:val="3E682515"/>
    <w:rsid w:val="3E742C68"/>
    <w:rsid w:val="3E7762B4"/>
    <w:rsid w:val="3E7C1B1C"/>
    <w:rsid w:val="3EA11583"/>
    <w:rsid w:val="3EA13331"/>
    <w:rsid w:val="3EB70DA6"/>
    <w:rsid w:val="3EBF1A09"/>
    <w:rsid w:val="3EC27CA4"/>
    <w:rsid w:val="3ECD05CA"/>
    <w:rsid w:val="3ECF4342"/>
    <w:rsid w:val="3EED2ADA"/>
    <w:rsid w:val="3EF06066"/>
    <w:rsid w:val="3EF23B8C"/>
    <w:rsid w:val="3F0264C5"/>
    <w:rsid w:val="3F0A537A"/>
    <w:rsid w:val="3F12422F"/>
    <w:rsid w:val="3F1261D2"/>
    <w:rsid w:val="3F2350B4"/>
    <w:rsid w:val="3F335631"/>
    <w:rsid w:val="3F5D7BA0"/>
    <w:rsid w:val="3F6902F3"/>
    <w:rsid w:val="3F6E5AF7"/>
    <w:rsid w:val="3F760C61"/>
    <w:rsid w:val="3F7D5B4C"/>
    <w:rsid w:val="3F823162"/>
    <w:rsid w:val="3F877201"/>
    <w:rsid w:val="3F9418DA"/>
    <w:rsid w:val="3F9C32DB"/>
    <w:rsid w:val="3FA255B3"/>
    <w:rsid w:val="3FA502BE"/>
    <w:rsid w:val="3FB157F6"/>
    <w:rsid w:val="3FB3156E"/>
    <w:rsid w:val="3FB34C03"/>
    <w:rsid w:val="3FC25C55"/>
    <w:rsid w:val="3FC46504"/>
    <w:rsid w:val="3FC91A13"/>
    <w:rsid w:val="3FD35C28"/>
    <w:rsid w:val="3FDD3F12"/>
    <w:rsid w:val="3FEE25A6"/>
    <w:rsid w:val="3FF04570"/>
    <w:rsid w:val="3FF116D3"/>
    <w:rsid w:val="3FFF2A05"/>
    <w:rsid w:val="40015B6F"/>
    <w:rsid w:val="40226D9C"/>
    <w:rsid w:val="40291830"/>
    <w:rsid w:val="402B1A4C"/>
    <w:rsid w:val="402E32EA"/>
    <w:rsid w:val="40316936"/>
    <w:rsid w:val="40363F4D"/>
    <w:rsid w:val="403F2E01"/>
    <w:rsid w:val="404228F2"/>
    <w:rsid w:val="404448BC"/>
    <w:rsid w:val="404B17A6"/>
    <w:rsid w:val="40640ABA"/>
    <w:rsid w:val="40672358"/>
    <w:rsid w:val="406B16A3"/>
    <w:rsid w:val="406B3BF6"/>
    <w:rsid w:val="406D5BC1"/>
    <w:rsid w:val="407D392A"/>
    <w:rsid w:val="40886147"/>
    <w:rsid w:val="408E1DBB"/>
    <w:rsid w:val="409D3379"/>
    <w:rsid w:val="40B03CFF"/>
    <w:rsid w:val="40C31BDC"/>
    <w:rsid w:val="40C94DC1"/>
    <w:rsid w:val="40D0614F"/>
    <w:rsid w:val="40D75730"/>
    <w:rsid w:val="40F72D63"/>
    <w:rsid w:val="40FF07E3"/>
    <w:rsid w:val="410022CB"/>
    <w:rsid w:val="410D2F00"/>
    <w:rsid w:val="410F6C78"/>
    <w:rsid w:val="412519EF"/>
    <w:rsid w:val="4135788C"/>
    <w:rsid w:val="413C5593"/>
    <w:rsid w:val="41410DFB"/>
    <w:rsid w:val="41536C1F"/>
    <w:rsid w:val="4162149D"/>
    <w:rsid w:val="41662610"/>
    <w:rsid w:val="417752DD"/>
    <w:rsid w:val="41831414"/>
    <w:rsid w:val="418C02C8"/>
    <w:rsid w:val="418E1F84"/>
    <w:rsid w:val="41952BC8"/>
    <w:rsid w:val="41981547"/>
    <w:rsid w:val="41A27AEC"/>
    <w:rsid w:val="41B17D2F"/>
    <w:rsid w:val="41B220EF"/>
    <w:rsid w:val="41C31810"/>
    <w:rsid w:val="41CF6407"/>
    <w:rsid w:val="41D139B0"/>
    <w:rsid w:val="41D81760"/>
    <w:rsid w:val="41E81277"/>
    <w:rsid w:val="41F06AA9"/>
    <w:rsid w:val="42051E29"/>
    <w:rsid w:val="42114C71"/>
    <w:rsid w:val="42380450"/>
    <w:rsid w:val="423B584A"/>
    <w:rsid w:val="423D7815"/>
    <w:rsid w:val="424D087B"/>
    <w:rsid w:val="4251506E"/>
    <w:rsid w:val="42593669"/>
    <w:rsid w:val="426D00FA"/>
    <w:rsid w:val="428E0070"/>
    <w:rsid w:val="42925DB2"/>
    <w:rsid w:val="429A6A15"/>
    <w:rsid w:val="42A81866"/>
    <w:rsid w:val="42B90E50"/>
    <w:rsid w:val="42BC4BDD"/>
    <w:rsid w:val="42D02437"/>
    <w:rsid w:val="42DA1507"/>
    <w:rsid w:val="42DC527F"/>
    <w:rsid w:val="42E303BC"/>
    <w:rsid w:val="42E61C5A"/>
    <w:rsid w:val="42F0224E"/>
    <w:rsid w:val="42FA5706"/>
    <w:rsid w:val="431E7646"/>
    <w:rsid w:val="43212C92"/>
    <w:rsid w:val="432D2F63"/>
    <w:rsid w:val="4335673E"/>
    <w:rsid w:val="43362BE2"/>
    <w:rsid w:val="433D2560"/>
    <w:rsid w:val="434075BC"/>
    <w:rsid w:val="43686B13"/>
    <w:rsid w:val="436A6DC0"/>
    <w:rsid w:val="43707776"/>
    <w:rsid w:val="43A25593"/>
    <w:rsid w:val="43B24E18"/>
    <w:rsid w:val="43B27D8E"/>
    <w:rsid w:val="43C27FD1"/>
    <w:rsid w:val="43CC6427"/>
    <w:rsid w:val="43D917BF"/>
    <w:rsid w:val="43E05B41"/>
    <w:rsid w:val="43FA3C0F"/>
    <w:rsid w:val="44185E43"/>
    <w:rsid w:val="441A605F"/>
    <w:rsid w:val="44246EDE"/>
    <w:rsid w:val="44307D6F"/>
    <w:rsid w:val="443749C3"/>
    <w:rsid w:val="44421112"/>
    <w:rsid w:val="445A35C0"/>
    <w:rsid w:val="446077EA"/>
    <w:rsid w:val="4464552C"/>
    <w:rsid w:val="447514E8"/>
    <w:rsid w:val="4486788D"/>
    <w:rsid w:val="448E151E"/>
    <w:rsid w:val="449851D6"/>
    <w:rsid w:val="44AB453E"/>
    <w:rsid w:val="44C22253"/>
    <w:rsid w:val="44C83FBE"/>
    <w:rsid w:val="44CD30D2"/>
    <w:rsid w:val="44E93C84"/>
    <w:rsid w:val="44F20D8A"/>
    <w:rsid w:val="44FA19ED"/>
    <w:rsid w:val="450A60D4"/>
    <w:rsid w:val="45107462"/>
    <w:rsid w:val="45190AAC"/>
    <w:rsid w:val="453C2C0A"/>
    <w:rsid w:val="4541586E"/>
    <w:rsid w:val="4557299B"/>
    <w:rsid w:val="4562430E"/>
    <w:rsid w:val="4575533A"/>
    <w:rsid w:val="457E261E"/>
    <w:rsid w:val="459E681C"/>
    <w:rsid w:val="45A100BA"/>
    <w:rsid w:val="45BE336B"/>
    <w:rsid w:val="45CF6516"/>
    <w:rsid w:val="45EF0E26"/>
    <w:rsid w:val="46132D66"/>
    <w:rsid w:val="461940F5"/>
    <w:rsid w:val="461B7E6D"/>
    <w:rsid w:val="46203326"/>
    <w:rsid w:val="462E4075"/>
    <w:rsid w:val="46357180"/>
    <w:rsid w:val="464463B4"/>
    <w:rsid w:val="46490517"/>
    <w:rsid w:val="46767799"/>
    <w:rsid w:val="467B6B5D"/>
    <w:rsid w:val="467D3FE1"/>
    <w:rsid w:val="467D4684"/>
    <w:rsid w:val="468E6891"/>
    <w:rsid w:val="46C87FF5"/>
    <w:rsid w:val="46D85D5E"/>
    <w:rsid w:val="46EF66E2"/>
    <w:rsid w:val="470C786A"/>
    <w:rsid w:val="47106542"/>
    <w:rsid w:val="471B25DC"/>
    <w:rsid w:val="471C35FB"/>
    <w:rsid w:val="471E6E34"/>
    <w:rsid w:val="47330814"/>
    <w:rsid w:val="473F7B8B"/>
    <w:rsid w:val="47466FB1"/>
    <w:rsid w:val="47495B1E"/>
    <w:rsid w:val="4750714C"/>
    <w:rsid w:val="47574ED5"/>
    <w:rsid w:val="475C073D"/>
    <w:rsid w:val="4760218C"/>
    <w:rsid w:val="476240E5"/>
    <w:rsid w:val="476615BC"/>
    <w:rsid w:val="476D1EFD"/>
    <w:rsid w:val="477F7D52"/>
    <w:rsid w:val="478963B2"/>
    <w:rsid w:val="47961EA1"/>
    <w:rsid w:val="479A005B"/>
    <w:rsid w:val="479F062A"/>
    <w:rsid w:val="47B42327"/>
    <w:rsid w:val="47B55F78"/>
    <w:rsid w:val="47C95AE7"/>
    <w:rsid w:val="47F54AA9"/>
    <w:rsid w:val="48000D2C"/>
    <w:rsid w:val="480076EC"/>
    <w:rsid w:val="48166B3E"/>
    <w:rsid w:val="48201EA6"/>
    <w:rsid w:val="48217291"/>
    <w:rsid w:val="4837077E"/>
    <w:rsid w:val="48382F58"/>
    <w:rsid w:val="483D40CA"/>
    <w:rsid w:val="483E5766"/>
    <w:rsid w:val="4848139A"/>
    <w:rsid w:val="484E277B"/>
    <w:rsid w:val="485667D0"/>
    <w:rsid w:val="4880045B"/>
    <w:rsid w:val="488B752C"/>
    <w:rsid w:val="48A00AFD"/>
    <w:rsid w:val="48AE6D76"/>
    <w:rsid w:val="48B87BF5"/>
    <w:rsid w:val="48BC5937"/>
    <w:rsid w:val="48BF1616"/>
    <w:rsid w:val="48CB5A3A"/>
    <w:rsid w:val="48D41EFB"/>
    <w:rsid w:val="48E1539E"/>
    <w:rsid w:val="48E1714C"/>
    <w:rsid w:val="48E42798"/>
    <w:rsid w:val="48E450EF"/>
    <w:rsid w:val="48F13107"/>
    <w:rsid w:val="48FF75D2"/>
    <w:rsid w:val="49064E04"/>
    <w:rsid w:val="49245493"/>
    <w:rsid w:val="49366D6C"/>
    <w:rsid w:val="49396F88"/>
    <w:rsid w:val="493F20C4"/>
    <w:rsid w:val="49522931"/>
    <w:rsid w:val="495A5150"/>
    <w:rsid w:val="496D6C31"/>
    <w:rsid w:val="498A2208"/>
    <w:rsid w:val="499046CE"/>
    <w:rsid w:val="49940662"/>
    <w:rsid w:val="499441BE"/>
    <w:rsid w:val="499C7517"/>
    <w:rsid w:val="49A41DE2"/>
    <w:rsid w:val="49AD523B"/>
    <w:rsid w:val="49BC757A"/>
    <w:rsid w:val="49C949C2"/>
    <w:rsid w:val="49CF169A"/>
    <w:rsid w:val="49D24CE6"/>
    <w:rsid w:val="49EB75CB"/>
    <w:rsid w:val="49F27137"/>
    <w:rsid w:val="49F853E5"/>
    <w:rsid w:val="4A035091"/>
    <w:rsid w:val="4A0A26D2"/>
    <w:rsid w:val="4A233794"/>
    <w:rsid w:val="4A235B57"/>
    <w:rsid w:val="4A3069FB"/>
    <w:rsid w:val="4A462381"/>
    <w:rsid w:val="4A477482"/>
    <w:rsid w:val="4A4A0D21"/>
    <w:rsid w:val="4A5412BD"/>
    <w:rsid w:val="4A5575C5"/>
    <w:rsid w:val="4A563B69"/>
    <w:rsid w:val="4A5723F4"/>
    <w:rsid w:val="4A69564B"/>
    <w:rsid w:val="4A6A41AB"/>
    <w:rsid w:val="4A6B36E5"/>
    <w:rsid w:val="4A7D10F6"/>
    <w:rsid w:val="4A881849"/>
    <w:rsid w:val="4A9106FD"/>
    <w:rsid w:val="4AB12CDE"/>
    <w:rsid w:val="4AB777A6"/>
    <w:rsid w:val="4AC10B3A"/>
    <w:rsid w:val="4AF41E4B"/>
    <w:rsid w:val="4AF55130"/>
    <w:rsid w:val="4AFA44F5"/>
    <w:rsid w:val="4B007A08"/>
    <w:rsid w:val="4B101F6A"/>
    <w:rsid w:val="4B137364"/>
    <w:rsid w:val="4B3D0885"/>
    <w:rsid w:val="4B3F5EA6"/>
    <w:rsid w:val="4B615D22"/>
    <w:rsid w:val="4B6C1631"/>
    <w:rsid w:val="4B6C4CC7"/>
    <w:rsid w:val="4B871B00"/>
    <w:rsid w:val="4B8B73A0"/>
    <w:rsid w:val="4B95421D"/>
    <w:rsid w:val="4B971D44"/>
    <w:rsid w:val="4BA24842"/>
    <w:rsid w:val="4BA6467C"/>
    <w:rsid w:val="4BB24502"/>
    <w:rsid w:val="4BBB7216"/>
    <w:rsid w:val="4BD765E4"/>
    <w:rsid w:val="4BEA14D5"/>
    <w:rsid w:val="4C0F5D7E"/>
    <w:rsid w:val="4C175738"/>
    <w:rsid w:val="4C177328"/>
    <w:rsid w:val="4C2C2DD4"/>
    <w:rsid w:val="4C410725"/>
    <w:rsid w:val="4C4A5008"/>
    <w:rsid w:val="4C547C35"/>
    <w:rsid w:val="4C571903"/>
    <w:rsid w:val="4C575977"/>
    <w:rsid w:val="4C5E5BE5"/>
    <w:rsid w:val="4C687B84"/>
    <w:rsid w:val="4C793B3F"/>
    <w:rsid w:val="4C8B404E"/>
    <w:rsid w:val="4C994D97"/>
    <w:rsid w:val="4CB32B59"/>
    <w:rsid w:val="4CB4635D"/>
    <w:rsid w:val="4CC76658"/>
    <w:rsid w:val="4CC90623"/>
    <w:rsid w:val="4CCE5C39"/>
    <w:rsid w:val="4CD945DE"/>
    <w:rsid w:val="4CE6787B"/>
    <w:rsid w:val="4CEC3D70"/>
    <w:rsid w:val="4CF80F08"/>
    <w:rsid w:val="4CFA6A2E"/>
    <w:rsid w:val="4D057181"/>
    <w:rsid w:val="4D090A1F"/>
    <w:rsid w:val="4D133278"/>
    <w:rsid w:val="4D2139CF"/>
    <w:rsid w:val="4D2864DA"/>
    <w:rsid w:val="4D2E2B7B"/>
    <w:rsid w:val="4D491763"/>
    <w:rsid w:val="4D61085B"/>
    <w:rsid w:val="4D6C25B0"/>
    <w:rsid w:val="4D782049"/>
    <w:rsid w:val="4D7D31BB"/>
    <w:rsid w:val="4D8712BE"/>
    <w:rsid w:val="4D950505"/>
    <w:rsid w:val="4D9964EA"/>
    <w:rsid w:val="4DC26BB7"/>
    <w:rsid w:val="4DD52FF7"/>
    <w:rsid w:val="4DD94895"/>
    <w:rsid w:val="4DD95D49"/>
    <w:rsid w:val="4DDD3C5A"/>
    <w:rsid w:val="4DF039FC"/>
    <w:rsid w:val="4DFD2317"/>
    <w:rsid w:val="4E067654"/>
    <w:rsid w:val="4E1F4272"/>
    <w:rsid w:val="4E2310FC"/>
    <w:rsid w:val="4E2A0F73"/>
    <w:rsid w:val="4E320449"/>
    <w:rsid w:val="4E3221F7"/>
    <w:rsid w:val="4E340E42"/>
    <w:rsid w:val="4E4B32B9"/>
    <w:rsid w:val="4E4D0DDF"/>
    <w:rsid w:val="4E54216E"/>
    <w:rsid w:val="4E6631BA"/>
    <w:rsid w:val="4E6F6FA8"/>
    <w:rsid w:val="4E766588"/>
    <w:rsid w:val="4E7B3B9E"/>
    <w:rsid w:val="4E995C7A"/>
    <w:rsid w:val="4EA03605"/>
    <w:rsid w:val="4EAC3D58"/>
    <w:rsid w:val="4EDE2193"/>
    <w:rsid w:val="4EEC4650"/>
    <w:rsid w:val="4EEF633A"/>
    <w:rsid w:val="4EF37BD9"/>
    <w:rsid w:val="4EF7095A"/>
    <w:rsid w:val="4EF72E6F"/>
    <w:rsid w:val="4EFA0F67"/>
    <w:rsid w:val="4EFC670B"/>
    <w:rsid w:val="4F05120B"/>
    <w:rsid w:val="4F0C47F7"/>
    <w:rsid w:val="4F165675"/>
    <w:rsid w:val="4F270144"/>
    <w:rsid w:val="4F3159C1"/>
    <w:rsid w:val="4F474168"/>
    <w:rsid w:val="4F5C2822"/>
    <w:rsid w:val="4F602D94"/>
    <w:rsid w:val="4F70158F"/>
    <w:rsid w:val="4F7370F3"/>
    <w:rsid w:val="4F764366"/>
    <w:rsid w:val="4F7725B8"/>
    <w:rsid w:val="4F7B197C"/>
    <w:rsid w:val="4F8366F9"/>
    <w:rsid w:val="4F9254B8"/>
    <w:rsid w:val="4F960564"/>
    <w:rsid w:val="4F9D5CD1"/>
    <w:rsid w:val="4FA345DA"/>
    <w:rsid w:val="4FA67E1D"/>
    <w:rsid w:val="4FAB2261"/>
    <w:rsid w:val="4FCC3F86"/>
    <w:rsid w:val="4FCD667C"/>
    <w:rsid w:val="4FD86DCF"/>
    <w:rsid w:val="4FDB395E"/>
    <w:rsid w:val="4FE030B4"/>
    <w:rsid w:val="4FE93487"/>
    <w:rsid w:val="4FF85861"/>
    <w:rsid w:val="50034F5C"/>
    <w:rsid w:val="50100316"/>
    <w:rsid w:val="501778F7"/>
    <w:rsid w:val="501F49FD"/>
    <w:rsid w:val="502D0EC8"/>
    <w:rsid w:val="503C110B"/>
    <w:rsid w:val="50502E09"/>
    <w:rsid w:val="505C4D2B"/>
    <w:rsid w:val="505F3B57"/>
    <w:rsid w:val="506568B4"/>
    <w:rsid w:val="506955FB"/>
    <w:rsid w:val="50746AF7"/>
    <w:rsid w:val="50962F12"/>
    <w:rsid w:val="50B156B3"/>
    <w:rsid w:val="50BD049E"/>
    <w:rsid w:val="50C7131D"/>
    <w:rsid w:val="50E31267"/>
    <w:rsid w:val="50F32112"/>
    <w:rsid w:val="510B18D7"/>
    <w:rsid w:val="51145BE4"/>
    <w:rsid w:val="5116195C"/>
    <w:rsid w:val="512F31EC"/>
    <w:rsid w:val="51344C2F"/>
    <w:rsid w:val="513D4D08"/>
    <w:rsid w:val="513D6D37"/>
    <w:rsid w:val="514209A3"/>
    <w:rsid w:val="51432A9D"/>
    <w:rsid w:val="514A7858"/>
    <w:rsid w:val="514C537E"/>
    <w:rsid w:val="51713037"/>
    <w:rsid w:val="5186516E"/>
    <w:rsid w:val="518A7661"/>
    <w:rsid w:val="519D3E2C"/>
    <w:rsid w:val="51B75533"/>
    <w:rsid w:val="51B90B92"/>
    <w:rsid w:val="51DA0BDC"/>
    <w:rsid w:val="51DC0DF8"/>
    <w:rsid w:val="51F10006"/>
    <w:rsid w:val="51F22C7B"/>
    <w:rsid w:val="521A36CE"/>
    <w:rsid w:val="52262073"/>
    <w:rsid w:val="5253098E"/>
    <w:rsid w:val="52556A4B"/>
    <w:rsid w:val="52563347"/>
    <w:rsid w:val="525941F7"/>
    <w:rsid w:val="525A7F6F"/>
    <w:rsid w:val="529D37F6"/>
    <w:rsid w:val="52AC4521"/>
    <w:rsid w:val="52BE405A"/>
    <w:rsid w:val="52CB6E2F"/>
    <w:rsid w:val="52D4387D"/>
    <w:rsid w:val="530028C4"/>
    <w:rsid w:val="530161A8"/>
    <w:rsid w:val="53081779"/>
    <w:rsid w:val="53095C1D"/>
    <w:rsid w:val="53165C44"/>
    <w:rsid w:val="53472FC7"/>
    <w:rsid w:val="5355711F"/>
    <w:rsid w:val="53755060"/>
    <w:rsid w:val="537D4BBD"/>
    <w:rsid w:val="537F56AD"/>
    <w:rsid w:val="538610B8"/>
    <w:rsid w:val="539B3EAD"/>
    <w:rsid w:val="539D0113"/>
    <w:rsid w:val="53A4453C"/>
    <w:rsid w:val="53B13BBE"/>
    <w:rsid w:val="53B92A73"/>
    <w:rsid w:val="53C9715A"/>
    <w:rsid w:val="53D61877"/>
    <w:rsid w:val="53E06252"/>
    <w:rsid w:val="53E6108E"/>
    <w:rsid w:val="53F266B1"/>
    <w:rsid w:val="542326EA"/>
    <w:rsid w:val="54574766"/>
    <w:rsid w:val="54617393"/>
    <w:rsid w:val="54622C48"/>
    <w:rsid w:val="5463310B"/>
    <w:rsid w:val="546B4FF7"/>
    <w:rsid w:val="546E1AAF"/>
    <w:rsid w:val="54770964"/>
    <w:rsid w:val="548B2661"/>
    <w:rsid w:val="549239F0"/>
    <w:rsid w:val="54A2071D"/>
    <w:rsid w:val="54A84FC1"/>
    <w:rsid w:val="54AC551B"/>
    <w:rsid w:val="54B25E40"/>
    <w:rsid w:val="54B5148C"/>
    <w:rsid w:val="54B53E12"/>
    <w:rsid w:val="54B73456"/>
    <w:rsid w:val="54B75204"/>
    <w:rsid w:val="54C673AD"/>
    <w:rsid w:val="54CD4A28"/>
    <w:rsid w:val="54D05BB2"/>
    <w:rsid w:val="54D15E48"/>
    <w:rsid w:val="54D20290"/>
    <w:rsid w:val="54D67D81"/>
    <w:rsid w:val="54E87AB4"/>
    <w:rsid w:val="550101AA"/>
    <w:rsid w:val="55061CE8"/>
    <w:rsid w:val="550F3292"/>
    <w:rsid w:val="55104775"/>
    <w:rsid w:val="55173EF5"/>
    <w:rsid w:val="55213BF1"/>
    <w:rsid w:val="552542D2"/>
    <w:rsid w:val="55403826"/>
    <w:rsid w:val="55592760"/>
    <w:rsid w:val="55794BB0"/>
    <w:rsid w:val="557F21C6"/>
    <w:rsid w:val="557F3BF8"/>
    <w:rsid w:val="55886BA1"/>
    <w:rsid w:val="55915A56"/>
    <w:rsid w:val="559A78B2"/>
    <w:rsid w:val="55AA6B17"/>
    <w:rsid w:val="55BD2CEE"/>
    <w:rsid w:val="55C04C68"/>
    <w:rsid w:val="55C328FA"/>
    <w:rsid w:val="55C951EF"/>
    <w:rsid w:val="55D65B5E"/>
    <w:rsid w:val="55DB7EE4"/>
    <w:rsid w:val="55E069DD"/>
    <w:rsid w:val="55EB785C"/>
    <w:rsid w:val="55EE6D06"/>
    <w:rsid w:val="55F10BEA"/>
    <w:rsid w:val="55F83D27"/>
    <w:rsid w:val="56026953"/>
    <w:rsid w:val="56150435"/>
    <w:rsid w:val="563325B0"/>
    <w:rsid w:val="563B652C"/>
    <w:rsid w:val="56447AD9"/>
    <w:rsid w:val="56642D65"/>
    <w:rsid w:val="56644961"/>
    <w:rsid w:val="56691886"/>
    <w:rsid w:val="566B4549"/>
    <w:rsid w:val="566C29CD"/>
    <w:rsid w:val="5687524E"/>
    <w:rsid w:val="56905D0D"/>
    <w:rsid w:val="56921A85"/>
    <w:rsid w:val="569A6B8C"/>
    <w:rsid w:val="56BD76C2"/>
    <w:rsid w:val="56C3222C"/>
    <w:rsid w:val="56C82147"/>
    <w:rsid w:val="56C87B9D"/>
    <w:rsid w:val="56CA1A9C"/>
    <w:rsid w:val="56E878F7"/>
    <w:rsid w:val="56F55A83"/>
    <w:rsid w:val="56F664B8"/>
    <w:rsid w:val="56FE536D"/>
    <w:rsid w:val="5712700E"/>
    <w:rsid w:val="571903F8"/>
    <w:rsid w:val="571A43BF"/>
    <w:rsid w:val="57246ADE"/>
    <w:rsid w:val="57276214"/>
    <w:rsid w:val="573A3ECB"/>
    <w:rsid w:val="574A6804"/>
    <w:rsid w:val="574E3CA7"/>
    <w:rsid w:val="576158FB"/>
    <w:rsid w:val="57770C7B"/>
    <w:rsid w:val="577B4C0F"/>
    <w:rsid w:val="578A6C00"/>
    <w:rsid w:val="578F2469"/>
    <w:rsid w:val="57925AB5"/>
    <w:rsid w:val="57C87729"/>
    <w:rsid w:val="57CF2661"/>
    <w:rsid w:val="57D727E0"/>
    <w:rsid w:val="57E06B2A"/>
    <w:rsid w:val="57EA3B43"/>
    <w:rsid w:val="57F4051E"/>
    <w:rsid w:val="57FD73D2"/>
    <w:rsid w:val="580503C9"/>
    <w:rsid w:val="5814296E"/>
    <w:rsid w:val="5816571C"/>
    <w:rsid w:val="581D5B34"/>
    <w:rsid w:val="581F685D"/>
    <w:rsid w:val="583B7EFB"/>
    <w:rsid w:val="584E53FC"/>
    <w:rsid w:val="5866141B"/>
    <w:rsid w:val="5872595D"/>
    <w:rsid w:val="587A0A23"/>
    <w:rsid w:val="587A6C75"/>
    <w:rsid w:val="588673C8"/>
    <w:rsid w:val="58B51F64"/>
    <w:rsid w:val="58CD4FF7"/>
    <w:rsid w:val="58D520FD"/>
    <w:rsid w:val="58DF4D2A"/>
    <w:rsid w:val="58EB36CF"/>
    <w:rsid w:val="58F06F08"/>
    <w:rsid w:val="58F248FC"/>
    <w:rsid w:val="590E560F"/>
    <w:rsid w:val="59301A29"/>
    <w:rsid w:val="59372DB8"/>
    <w:rsid w:val="593908DE"/>
    <w:rsid w:val="593B4656"/>
    <w:rsid w:val="593E6B46"/>
    <w:rsid w:val="595B6AA6"/>
    <w:rsid w:val="595C61D5"/>
    <w:rsid w:val="596A4F3B"/>
    <w:rsid w:val="59741916"/>
    <w:rsid w:val="59871EFA"/>
    <w:rsid w:val="59961079"/>
    <w:rsid w:val="59AB3E45"/>
    <w:rsid w:val="59C05885"/>
    <w:rsid w:val="59C3464B"/>
    <w:rsid w:val="59D95C1D"/>
    <w:rsid w:val="59F70802"/>
    <w:rsid w:val="5A026F22"/>
    <w:rsid w:val="5A1A6CEB"/>
    <w:rsid w:val="5A274BDA"/>
    <w:rsid w:val="5A47527D"/>
    <w:rsid w:val="5A481A6A"/>
    <w:rsid w:val="5A530D01"/>
    <w:rsid w:val="5A537A69"/>
    <w:rsid w:val="5A551247"/>
    <w:rsid w:val="5A6951F3"/>
    <w:rsid w:val="5A7616BE"/>
    <w:rsid w:val="5A851901"/>
    <w:rsid w:val="5A905CD7"/>
    <w:rsid w:val="5A936E30"/>
    <w:rsid w:val="5A953685"/>
    <w:rsid w:val="5A963B0E"/>
    <w:rsid w:val="5A9B1124"/>
    <w:rsid w:val="5AB02E22"/>
    <w:rsid w:val="5AB32912"/>
    <w:rsid w:val="5ABA133E"/>
    <w:rsid w:val="5ABD72ED"/>
    <w:rsid w:val="5AC73CC7"/>
    <w:rsid w:val="5AD308BE"/>
    <w:rsid w:val="5AE0597A"/>
    <w:rsid w:val="5AEB3E5A"/>
    <w:rsid w:val="5B092B25"/>
    <w:rsid w:val="5B127639"/>
    <w:rsid w:val="5B3B6725"/>
    <w:rsid w:val="5B3B7914"/>
    <w:rsid w:val="5B4041A6"/>
    <w:rsid w:val="5B48305A"/>
    <w:rsid w:val="5B6360E6"/>
    <w:rsid w:val="5B641919"/>
    <w:rsid w:val="5B7A55BF"/>
    <w:rsid w:val="5B8723C2"/>
    <w:rsid w:val="5B9462A0"/>
    <w:rsid w:val="5B9E0ECC"/>
    <w:rsid w:val="5BA74225"/>
    <w:rsid w:val="5BA87F9D"/>
    <w:rsid w:val="5BAA161F"/>
    <w:rsid w:val="5BBA54B2"/>
    <w:rsid w:val="5BC528FD"/>
    <w:rsid w:val="5BC86642"/>
    <w:rsid w:val="5BCA2690"/>
    <w:rsid w:val="5BD65D53"/>
    <w:rsid w:val="5BE67F37"/>
    <w:rsid w:val="5BFD2097"/>
    <w:rsid w:val="5C073CD7"/>
    <w:rsid w:val="5C163158"/>
    <w:rsid w:val="5C341831"/>
    <w:rsid w:val="5C3B671B"/>
    <w:rsid w:val="5C442095"/>
    <w:rsid w:val="5C45759A"/>
    <w:rsid w:val="5C4A4BB0"/>
    <w:rsid w:val="5C4E7CAF"/>
    <w:rsid w:val="5C6921D2"/>
    <w:rsid w:val="5C69772C"/>
    <w:rsid w:val="5C7B2FBB"/>
    <w:rsid w:val="5C8207EE"/>
    <w:rsid w:val="5C8E2CEF"/>
    <w:rsid w:val="5C952E62"/>
    <w:rsid w:val="5C98591B"/>
    <w:rsid w:val="5CA40764"/>
    <w:rsid w:val="5CAB38A1"/>
    <w:rsid w:val="5CAE75C8"/>
    <w:rsid w:val="5CD5091E"/>
    <w:rsid w:val="5D0B1753"/>
    <w:rsid w:val="5D237AA4"/>
    <w:rsid w:val="5D4C0510"/>
    <w:rsid w:val="5D584DCA"/>
    <w:rsid w:val="5D5E32AB"/>
    <w:rsid w:val="5D656145"/>
    <w:rsid w:val="5D6F2B20"/>
    <w:rsid w:val="5D7A14C5"/>
    <w:rsid w:val="5D7A3273"/>
    <w:rsid w:val="5D7C34A4"/>
    <w:rsid w:val="5D8D11F8"/>
    <w:rsid w:val="5D942587"/>
    <w:rsid w:val="5DA768D4"/>
    <w:rsid w:val="5DA87DE0"/>
    <w:rsid w:val="5DB06C95"/>
    <w:rsid w:val="5DC32E6C"/>
    <w:rsid w:val="5DCD5A99"/>
    <w:rsid w:val="5DDC09E9"/>
    <w:rsid w:val="5DF94AE0"/>
    <w:rsid w:val="5E0A0A9B"/>
    <w:rsid w:val="5E0F7E5F"/>
    <w:rsid w:val="5E1611EE"/>
    <w:rsid w:val="5E2002BE"/>
    <w:rsid w:val="5E27164D"/>
    <w:rsid w:val="5E2A3E5C"/>
    <w:rsid w:val="5E2C27BF"/>
    <w:rsid w:val="5E2D4789"/>
    <w:rsid w:val="5E785A05"/>
    <w:rsid w:val="5E7B72A3"/>
    <w:rsid w:val="5E9B7945"/>
    <w:rsid w:val="5EA22A81"/>
    <w:rsid w:val="5EA40C24"/>
    <w:rsid w:val="5EA52572"/>
    <w:rsid w:val="5EA92062"/>
    <w:rsid w:val="5EAA1E65"/>
    <w:rsid w:val="5EB67C4E"/>
    <w:rsid w:val="5EBE2F3E"/>
    <w:rsid w:val="5EBF2243"/>
    <w:rsid w:val="5EDF5A84"/>
    <w:rsid w:val="5EE477F0"/>
    <w:rsid w:val="5EE47F1F"/>
    <w:rsid w:val="5F0279C4"/>
    <w:rsid w:val="5F0F6EA7"/>
    <w:rsid w:val="5F1F2324"/>
    <w:rsid w:val="5F38005A"/>
    <w:rsid w:val="5F4D50E3"/>
    <w:rsid w:val="5F610B8F"/>
    <w:rsid w:val="5F675A73"/>
    <w:rsid w:val="5F7A57AC"/>
    <w:rsid w:val="5F8264B2"/>
    <w:rsid w:val="5F85487D"/>
    <w:rsid w:val="5F91655E"/>
    <w:rsid w:val="5F996788"/>
    <w:rsid w:val="5FB32A6C"/>
    <w:rsid w:val="5FB76A00"/>
    <w:rsid w:val="5FC8476A"/>
    <w:rsid w:val="5FE1243E"/>
    <w:rsid w:val="5FEA46E0"/>
    <w:rsid w:val="5FFC4413"/>
    <w:rsid w:val="60082DB8"/>
    <w:rsid w:val="600F4147"/>
    <w:rsid w:val="601C4AB5"/>
    <w:rsid w:val="601C6864"/>
    <w:rsid w:val="6026216E"/>
    <w:rsid w:val="603851FF"/>
    <w:rsid w:val="604A1623"/>
    <w:rsid w:val="60504B25"/>
    <w:rsid w:val="606A75CF"/>
    <w:rsid w:val="606F6C09"/>
    <w:rsid w:val="607B17DC"/>
    <w:rsid w:val="608F7035"/>
    <w:rsid w:val="60936B26"/>
    <w:rsid w:val="60BB7E2A"/>
    <w:rsid w:val="60DF0DF4"/>
    <w:rsid w:val="60E05AE3"/>
    <w:rsid w:val="60EA6962"/>
    <w:rsid w:val="60EC4488"/>
    <w:rsid w:val="60F11A9E"/>
    <w:rsid w:val="60F46B68"/>
    <w:rsid w:val="60FB407F"/>
    <w:rsid w:val="60FD0443"/>
    <w:rsid w:val="61082B97"/>
    <w:rsid w:val="610F5B9A"/>
    <w:rsid w:val="61161505"/>
    <w:rsid w:val="611F6F3D"/>
    <w:rsid w:val="612400C6"/>
    <w:rsid w:val="61467F1B"/>
    <w:rsid w:val="614D20BD"/>
    <w:rsid w:val="61504A17"/>
    <w:rsid w:val="6162299C"/>
    <w:rsid w:val="616B35FF"/>
    <w:rsid w:val="616C020C"/>
    <w:rsid w:val="616C5544"/>
    <w:rsid w:val="617A1A94"/>
    <w:rsid w:val="617C3A5E"/>
    <w:rsid w:val="61811074"/>
    <w:rsid w:val="61941B7F"/>
    <w:rsid w:val="61945FD9"/>
    <w:rsid w:val="61AB4343"/>
    <w:rsid w:val="61AD1E69"/>
    <w:rsid w:val="61C251E9"/>
    <w:rsid w:val="61D373F6"/>
    <w:rsid w:val="61D90EB0"/>
    <w:rsid w:val="61D967BF"/>
    <w:rsid w:val="61DC44FC"/>
    <w:rsid w:val="61DC6B3A"/>
    <w:rsid w:val="61ED495B"/>
    <w:rsid w:val="62122F41"/>
    <w:rsid w:val="62214605"/>
    <w:rsid w:val="62225D4A"/>
    <w:rsid w:val="622C5484"/>
    <w:rsid w:val="624F1172"/>
    <w:rsid w:val="62514EEA"/>
    <w:rsid w:val="62516C98"/>
    <w:rsid w:val="62540537"/>
    <w:rsid w:val="625D128F"/>
    <w:rsid w:val="62675548"/>
    <w:rsid w:val="627604AD"/>
    <w:rsid w:val="627B1F67"/>
    <w:rsid w:val="628249B5"/>
    <w:rsid w:val="62867444"/>
    <w:rsid w:val="62A0377C"/>
    <w:rsid w:val="62BF00A6"/>
    <w:rsid w:val="62C0797A"/>
    <w:rsid w:val="62C84A81"/>
    <w:rsid w:val="62C864AE"/>
    <w:rsid w:val="62CF7BBD"/>
    <w:rsid w:val="62D03B5C"/>
    <w:rsid w:val="62DE6052"/>
    <w:rsid w:val="62EC076F"/>
    <w:rsid w:val="62EE3482"/>
    <w:rsid w:val="632B666D"/>
    <w:rsid w:val="63350368"/>
    <w:rsid w:val="63381C06"/>
    <w:rsid w:val="63416D0D"/>
    <w:rsid w:val="6345292E"/>
    <w:rsid w:val="635C1273"/>
    <w:rsid w:val="636A0DA9"/>
    <w:rsid w:val="636B30BC"/>
    <w:rsid w:val="638915D0"/>
    <w:rsid w:val="63A66B70"/>
    <w:rsid w:val="63A710E9"/>
    <w:rsid w:val="63DE1377"/>
    <w:rsid w:val="63E31B72"/>
    <w:rsid w:val="63EC49B5"/>
    <w:rsid w:val="63F91396"/>
    <w:rsid w:val="640A365A"/>
    <w:rsid w:val="640C3047"/>
    <w:rsid w:val="640F1388"/>
    <w:rsid w:val="64281C7B"/>
    <w:rsid w:val="64340620"/>
    <w:rsid w:val="645B2050"/>
    <w:rsid w:val="645B3DFE"/>
    <w:rsid w:val="64760C38"/>
    <w:rsid w:val="6481138B"/>
    <w:rsid w:val="64A01811"/>
    <w:rsid w:val="64A82DBC"/>
    <w:rsid w:val="64AD03D2"/>
    <w:rsid w:val="64B17EC2"/>
    <w:rsid w:val="64B4350F"/>
    <w:rsid w:val="64BB7692"/>
    <w:rsid w:val="64BD0615"/>
    <w:rsid w:val="64CE0433"/>
    <w:rsid w:val="64D91F3D"/>
    <w:rsid w:val="64F14A15"/>
    <w:rsid w:val="65006754"/>
    <w:rsid w:val="650730DA"/>
    <w:rsid w:val="65270184"/>
    <w:rsid w:val="652C12F7"/>
    <w:rsid w:val="653A7E8C"/>
    <w:rsid w:val="654416A1"/>
    <w:rsid w:val="655F548E"/>
    <w:rsid w:val="656A52FB"/>
    <w:rsid w:val="656C3548"/>
    <w:rsid w:val="65700669"/>
    <w:rsid w:val="65735178"/>
    <w:rsid w:val="65847385"/>
    <w:rsid w:val="65896749"/>
    <w:rsid w:val="65931376"/>
    <w:rsid w:val="65956E9C"/>
    <w:rsid w:val="65A10768"/>
    <w:rsid w:val="65AE5912"/>
    <w:rsid w:val="65C504AF"/>
    <w:rsid w:val="65CE6852"/>
    <w:rsid w:val="65D521FE"/>
    <w:rsid w:val="65D8322D"/>
    <w:rsid w:val="65ED7C94"/>
    <w:rsid w:val="65EE0CA2"/>
    <w:rsid w:val="65F04A1A"/>
    <w:rsid w:val="65FE7137"/>
    <w:rsid w:val="66101A71"/>
    <w:rsid w:val="6612673F"/>
    <w:rsid w:val="66196DE7"/>
    <w:rsid w:val="663469D1"/>
    <w:rsid w:val="66377F53"/>
    <w:rsid w:val="66417024"/>
    <w:rsid w:val="665A00E6"/>
    <w:rsid w:val="666130C7"/>
    <w:rsid w:val="666845B1"/>
    <w:rsid w:val="666A0329"/>
    <w:rsid w:val="666B30FC"/>
    <w:rsid w:val="666D7E19"/>
    <w:rsid w:val="66737BEF"/>
    <w:rsid w:val="66740704"/>
    <w:rsid w:val="667565E0"/>
    <w:rsid w:val="667A42E4"/>
    <w:rsid w:val="667E3DD4"/>
    <w:rsid w:val="667F14F6"/>
    <w:rsid w:val="668C531E"/>
    <w:rsid w:val="66973195"/>
    <w:rsid w:val="669A294B"/>
    <w:rsid w:val="66A51361"/>
    <w:rsid w:val="66A650D9"/>
    <w:rsid w:val="66A870A3"/>
    <w:rsid w:val="66AB0941"/>
    <w:rsid w:val="66B94E0C"/>
    <w:rsid w:val="66BB1946"/>
    <w:rsid w:val="66C17142"/>
    <w:rsid w:val="66D6776C"/>
    <w:rsid w:val="66EE7AE8"/>
    <w:rsid w:val="67317098"/>
    <w:rsid w:val="67375BBB"/>
    <w:rsid w:val="67397CFB"/>
    <w:rsid w:val="674D780B"/>
    <w:rsid w:val="675114E9"/>
    <w:rsid w:val="67580AC9"/>
    <w:rsid w:val="675E59B4"/>
    <w:rsid w:val="676F7BC1"/>
    <w:rsid w:val="67782D7F"/>
    <w:rsid w:val="6784541A"/>
    <w:rsid w:val="67876CB8"/>
    <w:rsid w:val="678E5BEE"/>
    <w:rsid w:val="679118E5"/>
    <w:rsid w:val="67987117"/>
    <w:rsid w:val="67B72BA3"/>
    <w:rsid w:val="67B81568"/>
    <w:rsid w:val="67EB086B"/>
    <w:rsid w:val="67F51E74"/>
    <w:rsid w:val="680227E3"/>
    <w:rsid w:val="680D7083"/>
    <w:rsid w:val="68327203"/>
    <w:rsid w:val="683F63B3"/>
    <w:rsid w:val="685968A7"/>
    <w:rsid w:val="686314D3"/>
    <w:rsid w:val="68703BF0"/>
    <w:rsid w:val="68745341"/>
    <w:rsid w:val="68763722"/>
    <w:rsid w:val="68906740"/>
    <w:rsid w:val="689773CF"/>
    <w:rsid w:val="68CF048B"/>
    <w:rsid w:val="68D4417F"/>
    <w:rsid w:val="68D91796"/>
    <w:rsid w:val="68E02B24"/>
    <w:rsid w:val="68E162F6"/>
    <w:rsid w:val="68E6198D"/>
    <w:rsid w:val="68EA5751"/>
    <w:rsid w:val="68F6059A"/>
    <w:rsid w:val="68F95994"/>
    <w:rsid w:val="690031C6"/>
    <w:rsid w:val="690E2DE0"/>
    <w:rsid w:val="6911701E"/>
    <w:rsid w:val="69224EEB"/>
    <w:rsid w:val="693B41FE"/>
    <w:rsid w:val="694D5CE0"/>
    <w:rsid w:val="696A6892"/>
    <w:rsid w:val="696B6C9C"/>
    <w:rsid w:val="696F3EA8"/>
    <w:rsid w:val="696F5C56"/>
    <w:rsid w:val="69733998"/>
    <w:rsid w:val="69804C34"/>
    <w:rsid w:val="699833FF"/>
    <w:rsid w:val="69A43B52"/>
    <w:rsid w:val="69A449B2"/>
    <w:rsid w:val="69A65340"/>
    <w:rsid w:val="69BB0E9B"/>
    <w:rsid w:val="69C02956"/>
    <w:rsid w:val="69C42446"/>
    <w:rsid w:val="69CB1149"/>
    <w:rsid w:val="69CB37D4"/>
    <w:rsid w:val="69D106BF"/>
    <w:rsid w:val="69E23671"/>
    <w:rsid w:val="6A0445F0"/>
    <w:rsid w:val="6A0C7949"/>
    <w:rsid w:val="6A1832F0"/>
    <w:rsid w:val="6A4B66C3"/>
    <w:rsid w:val="6A5A06B4"/>
    <w:rsid w:val="6A6B28C1"/>
    <w:rsid w:val="6A7B6335"/>
    <w:rsid w:val="6A7F636D"/>
    <w:rsid w:val="6A830498"/>
    <w:rsid w:val="6A8614A9"/>
    <w:rsid w:val="6A863F6D"/>
    <w:rsid w:val="6A8D4668"/>
    <w:rsid w:val="6A9736B6"/>
    <w:rsid w:val="6A99742E"/>
    <w:rsid w:val="6ABF5A82"/>
    <w:rsid w:val="6AC736B6"/>
    <w:rsid w:val="6AD246EE"/>
    <w:rsid w:val="6AD70591"/>
    <w:rsid w:val="6ADC556D"/>
    <w:rsid w:val="6ADF2E8D"/>
    <w:rsid w:val="6AE461D0"/>
    <w:rsid w:val="6AF262EA"/>
    <w:rsid w:val="6B0D1BCA"/>
    <w:rsid w:val="6B17268F"/>
    <w:rsid w:val="6B182A49"/>
    <w:rsid w:val="6B207688"/>
    <w:rsid w:val="6B252A70"/>
    <w:rsid w:val="6B286A04"/>
    <w:rsid w:val="6B2A713F"/>
    <w:rsid w:val="6B2D401B"/>
    <w:rsid w:val="6B2D47E7"/>
    <w:rsid w:val="6B362ECF"/>
    <w:rsid w:val="6B3929BF"/>
    <w:rsid w:val="6B3D5CD6"/>
    <w:rsid w:val="6B4207CF"/>
    <w:rsid w:val="6B451364"/>
    <w:rsid w:val="6B4B3B36"/>
    <w:rsid w:val="6B4B624F"/>
    <w:rsid w:val="6B5275DD"/>
    <w:rsid w:val="6B596466"/>
    <w:rsid w:val="6B60619E"/>
    <w:rsid w:val="6B633598"/>
    <w:rsid w:val="6B6932A5"/>
    <w:rsid w:val="6B6939B1"/>
    <w:rsid w:val="6B7E6624"/>
    <w:rsid w:val="6B8359E9"/>
    <w:rsid w:val="6B844E8A"/>
    <w:rsid w:val="6B8F438D"/>
    <w:rsid w:val="6BA77929"/>
    <w:rsid w:val="6BB12556"/>
    <w:rsid w:val="6BC4672D"/>
    <w:rsid w:val="6BC54253"/>
    <w:rsid w:val="6BCA046F"/>
    <w:rsid w:val="6BCA186A"/>
    <w:rsid w:val="6BCC3834"/>
    <w:rsid w:val="6BDF6A14"/>
    <w:rsid w:val="6BED6C25"/>
    <w:rsid w:val="6BF15048"/>
    <w:rsid w:val="6BFD669F"/>
    <w:rsid w:val="6C022DB1"/>
    <w:rsid w:val="6C07486C"/>
    <w:rsid w:val="6C14738D"/>
    <w:rsid w:val="6C152AE5"/>
    <w:rsid w:val="6C184383"/>
    <w:rsid w:val="6C360CAD"/>
    <w:rsid w:val="6C383D9C"/>
    <w:rsid w:val="6C436BF6"/>
    <w:rsid w:val="6C4E4249"/>
    <w:rsid w:val="6C52747B"/>
    <w:rsid w:val="6C591D36"/>
    <w:rsid w:val="6C5F6456"/>
    <w:rsid w:val="6C6406FB"/>
    <w:rsid w:val="6C7F4402"/>
    <w:rsid w:val="6C850101"/>
    <w:rsid w:val="6C8C37A3"/>
    <w:rsid w:val="6C9003BD"/>
    <w:rsid w:val="6C9C6D62"/>
    <w:rsid w:val="6CA420BB"/>
    <w:rsid w:val="6CAD0F6F"/>
    <w:rsid w:val="6CB369C5"/>
    <w:rsid w:val="6CBF5146"/>
    <w:rsid w:val="6CC87B57"/>
    <w:rsid w:val="6CE03ECA"/>
    <w:rsid w:val="6D147240"/>
    <w:rsid w:val="6D2154B9"/>
    <w:rsid w:val="6D275520"/>
    <w:rsid w:val="6D486EEA"/>
    <w:rsid w:val="6D4D49CF"/>
    <w:rsid w:val="6D51792F"/>
    <w:rsid w:val="6D550B29"/>
    <w:rsid w:val="6D5835D1"/>
    <w:rsid w:val="6D621D77"/>
    <w:rsid w:val="6D904A91"/>
    <w:rsid w:val="6DB9605E"/>
    <w:rsid w:val="6DC04CD2"/>
    <w:rsid w:val="6DD469CF"/>
    <w:rsid w:val="6DE309C1"/>
    <w:rsid w:val="6DEF7365"/>
    <w:rsid w:val="6DFC7823"/>
    <w:rsid w:val="6E027099"/>
    <w:rsid w:val="6E0C0963"/>
    <w:rsid w:val="6E2371FE"/>
    <w:rsid w:val="6E34121C"/>
    <w:rsid w:val="6E3F209B"/>
    <w:rsid w:val="6E5F098F"/>
    <w:rsid w:val="6E711527"/>
    <w:rsid w:val="6E71421E"/>
    <w:rsid w:val="6E7B50E1"/>
    <w:rsid w:val="6E7B6E4B"/>
    <w:rsid w:val="6E8421A4"/>
    <w:rsid w:val="6E85656F"/>
    <w:rsid w:val="6E8E6B7E"/>
    <w:rsid w:val="6EA2087C"/>
    <w:rsid w:val="6EA939B8"/>
    <w:rsid w:val="6EB1286D"/>
    <w:rsid w:val="6EB14DA4"/>
    <w:rsid w:val="6EBE15CC"/>
    <w:rsid w:val="6EC627BC"/>
    <w:rsid w:val="6ECD58F9"/>
    <w:rsid w:val="6EE635D2"/>
    <w:rsid w:val="6F086931"/>
    <w:rsid w:val="6F1E2564"/>
    <w:rsid w:val="6F202238"/>
    <w:rsid w:val="6F2B0871"/>
    <w:rsid w:val="6F3670AA"/>
    <w:rsid w:val="6F3B3C0A"/>
    <w:rsid w:val="6F433E0D"/>
    <w:rsid w:val="6F653D83"/>
    <w:rsid w:val="6F6618A9"/>
    <w:rsid w:val="6F6D294A"/>
    <w:rsid w:val="6F7C4FD9"/>
    <w:rsid w:val="6F7F4719"/>
    <w:rsid w:val="6F8561D3"/>
    <w:rsid w:val="6FA973ED"/>
    <w:rsid w:val="6FC116B3"/>
    <w:rsid w:val="6FCD7766"/>
    <w:rsid w:val="6FEF189F"/>
    <w:rsid w:val="6FF36ACE"/>
    <w:rsid w:val="6FF670D1"/>
    <w:rsid w:val="6FFD3FBC"/>
    <w:rsid w:val="6FFF2BCE"/>
    <w:rsid w:val="70001540"/>
    <w:rsid w:val="70057314"/>
    <w:rsid w:val="70253512"/>
    <w:rsid w:val="704D1660"/>
    <w:rsid w:val="70510B30"/>
    <w:rsid w:val="70531E2E"/>
    <w:rsid w:val="705838E8"/>
    <w:rsid w:val="705F07D2"/>
    <w:rsid w:val="706D25DF"/>
    <w:rsid w:val="70710506"/>
    <w:rsid w:val="7078380A"/>
    <w:rsid w:val="70785D38"/>
    <w:rsid w:val="70814BED"/>
    <w:rsid w:val="70862203"/>
    <w:rsid w:val="708B7819"/>
    <w:rsid w:val="709A7A5C"/>
    <w:rsid w:val="70BC5C25"/>
    <w:rsid w:val="70BD199D"/>
    <w:rsid w:val="70CE6331"/>
    <w:rsid w:val="70D72A5F"/>
    <w:rsid w:val="70E909E4"/>
    <w:rsid w:val="70EE7DA8"/>
    <w:rsid w:val="70F51137"/>
    <w:rsid w:val="70FC4273"/>
    <w:rsid w:val="71021EA5"/>
    <w:rsid w:val="71155335"/>
    <w:rsid w:val="7130216F"/>
    <w:rsid w:val="71364BC1"/>
    <w:rsid w:val="713C4FB8"/>
    <w:rsid w:val="714479C8"/>
    <w:rsid w:val="71453E6C"/>
    <w:rsid w:val="71566079"/>
    <w:rsid w:val="716D5171"/>
    <w:rsid w:val="717C6975"/>
    <w:rsid w:val="717C7162"/>
    <w:rsid w:val="717E2EDA"/>
    <w:rsid w:val="71851522"/>
    <w:rsid w:val="71881FAB"/>
    <w:rsid w:val="718B3849"/>
    <w:rsid w:val="71A072F4"/>
    <w:rsid w:val="71A62431"/>
    <w:rsid w:val="71A87F57"/>
    <w:rsid w:val="71AA0173"/>
    <w:rsid w:val="71B20DD6"/>
    <w:rsid w:val="71E35433"/>
    <w:rsid w:val="71EF3DD8"/>
    <w:rsid w:val="71F17B50"/>
    <w:rsid w:val="71F96A05"/>
    <w:rsid w:val="71FE04BF"/>
    <w:rsid w:val="72062ED0"/>
    <w:rsid w:val="721B4BCD"/>
    <w:rsid w:val="72324E14"/>
    <w:rsid w:val="7238752D"/>
    <w:rsid w:val="72423634"/>
    <w:rsid w:val="72440DCF"/>
    <w:rsid w:val="724E4FA2"/>
    <w:rsid w:val="72646574"/>
    <w:rsid w:val="72732BC1"/>
    <w:rsid w:val="727F0AC4"/>
    <w:rsid w:val="728409C4"/>
    <w:rsid w:val="72874010"/>
    <w:rsid w:val="72A050D2"/>
    <w:rsid w:val="72E044D5"/>
    <w:rsid w:val="72F53670"/>
    <w:rsid w:val="7309711B"/>
    <w:rsid w:val="731F25E1"/>
    <w:rsid w:val="73217FC1"/>
    <w:rsid w:val="73301B0B"/>
    <w:rsid w:val="733A1083"/>
    <w:rsid w:val="734704D0"/>
    <w:rsid w:val="73576F3C"/>
    <w:rsid w:val="7371736D"/>
    <w:rsid w:val="737970D6"/>
    <w:rsid w:val="73912EBD"/>
    <w:rsid w:val="73C31078"/>
    <w:rsid w:val="73C372CA"/>
    <w:rsid w:val="73C92407"/>
    <w:rsid w:val="73D6524F"/>
    <w:rsid w:val="73EB3463"/>
    <w:rsid w:val="74070859"/>
    <w:rsid w:val="740C16A3"/>
    <w:rsid w:val="740F250F"/>
    <w:rsid w:val="74145D78"/>
    <w:rsid w:val="742A7ABE"/>
    <w:rsid w:val="74312486"/>
    <w:rsid w:val="74343D24"/>
    <w:rsid w:val="74343F5B"/>
    <w:rsid w:val="74381A66"/>
    <w:rsid w:val="744321B9"/>
    <w:rsid w:val="74435076"/>
    <w:rsid w:val="744D4DE6"/>
    <w:rsid w:val="744D7589"/>
    <w:rsid w:val="7460720F"/>
    <w:rsid w:val="74620891"/>
    <w:rsid w:val="746E5488"/>
    <w:rsid w:val="746F2FAE"/>
    <w:rsid w:val="74715F31"/>
    <w:rsid w:val="747405C4"/>
    <w:rsid w:val="749649DF"/>
    <w:rsid w:val="7496678D"/>
    <w:rsid w:val="749B262E"/>
    <w:rsid w:val="749C274C"/>
    <w:rsid w:val="74A1611F"/>
    <w:rsid w:val="74AE3AD6"/>
    <w:rsid w:val="74C10F48"/>
    <w:rsid w:val="74CF1C9F"/>
    <w:rsid w:val="74D3353D"/>
    <w:rsid w:val="74D9476A"/>
    <w:rsid w:val="74E7348C"/>
    <w:rsid w:val="74EE1529"/>
    <w:rsid w:val="74EE6765"/>
    <w:rsid w:val="74F8738F"/>
    <w:rsid w:val="75023E22"/>
    <w:rsid w:val="7518696C"/>
    <w:rsid w:val="751D21C1"/>
    <w:rsid w:val="75204A12"/>
    <w:rsid w:val="75220020"/>
    <w:rsid w:val="75247492"/>
    <w:rsid w:val="752B5127"/>
    <w:rsid w:val="753C7334"/>
    <w:rsid w:val="753F0BD2"/>
    <w:rsid w:val="755102BF"/>
    <w:rsid w:val="75510906"/>
    <w:rsid w:val="75524DAA"/>
    <w:rsid w:val="75565720"/>
    <w:rsid w:val="755C3532"/>
    <w:rsid w:val="75630D65"/>
    <w:rsid w:val="7573644F"/>
    <w:rsid w:val="7584645D"/>
    <w:rsid w:val="7592164A"/>
    <w:rsid w:val="759F5B15"/>
    <w:rsid w:val="75A21FAA"/>
    <w:rsid w:val="75A373B3"/>
    <w:rsid w:val="75D831EF"/>
    <w:rsid w:val="75E672A0"/>
    <w:rsid w:val="760065B4"/>
    <w:rsid w:val="7616632D"/>
    <w:rsid w:val="76261D92"/>
    <w:rsid w:val="76286F0E"/>
    <w:rsid w:val="76344645"/>
    <w:rsid w:val="76426A7A"/>
    <w:rsid w:val="76432944"/>
    <w:rsid w:val="76592168"/>
    <w:rsid w:val="766823AB"/>
    <w:rsid w:val="766905FD"/>
    <w:rsid w:val="767E397C"/>
    <w:rsid w:val="76A038F3"/>
    <w:rsid w:val="76A80185"/>
    <w:rsid w:val="76B37ACA"/>
    <w:rsid w:val="76B850E0"/>
    <w:rsid w:val="76CC46E8"/>
    <w:rsid w:val="76CF41D8"/>
    <w:rsid w:val="76D13197"/>
    <w:rsid w:val="76DC7C2A"/>
    <w:rsid w:val="76F45266"/>
    <w:rsid w:val="76F75961"/>
    <w:rsid w:val="77020109"/>
    <w:rsid w:val="770519A8"/>
    <w:rsid w:val="771A18F7"/>
    <w:rsid w:val="771C566F"/>
    <w:rsid w:val="77476464"/>
    <w:rsid w:val="774E15A1"/>
    <w:rsid w:val="775070C7"/>
    <w:rsid w:val="77513928"/>
    <w:rsid w:val="775766A7"/>
    <w:rsid w:val="776072D9"/>
    <w:rsid w:val="77664B3C"/>
    <w:rsid w:val="77692D92"/>
    <w:rsid w:val="77731007"/>
    <w:rsid w:val="778154D2"/>
    <w:rsid w:val="778E5E41"/>
    <w:rsid w:val="77B5517C"/>
    <w:rsid w:val="77C16217"/>
    <w:rsid w:val="77C47AB5"/>
    <w:rsid w:val="77C53C34"/>
    <w:rsid w:val="77CB499F"/>
    <w:rsid w:val="77CE623E"/>
    <w:rsid w:val="77E53282"/>
    <w:rsid w:val="77F01BC2"/>
    <w:rsid w:val="77F15368"/>
    <w:rsid w:val="78016613"/>
    <w:rsid w:val="780240D6"/>
    <w:rsid w:val="780305DD"/>
    <w:rsid w:val="780A371A"/>
    <w:rsid w:val="780B3511"/>
    <w:rsid w:val="782C7B34"/>
    <w:rsid w:val="784B4D6A"/>
    <w:rsid w:val="7872306D"/>
    <w:rsid w:val="78827754"/>
    <w:rsid w:val="78866ABF"/>
    <w:rsid w:val="78874D6A"/>
    <w:rsid w:val="789D4B82"/>
    <w:rsid w:val="78AD1B9D"/>
    <w:rsid w:val="78AF42C1"/>
    <w:rsid w:val="78B35B5F"/>
    <w:rsid w:val="78BB1DEB"/>
    <w:rsid w:val="78BD078C"/>
    <w:rsid w:val="78CC4217"/>
    <w:rsid w:val="78CF4963"/>
    <w:rsid w:val="78D21D5D"/>
    <w:rsid w:val="78DB6E64"/>
    <w:rsid w:val="78DD0E2E"/>
    <w:rsid w:val="78F320B8"/>
    <w:rsid w:val="78F32400"/>
    <w:rsid w:val="79030169"/>
    <w:rsid w:val="79102FB2"/>
    <w:rsid w:val="79167E9C"/>
    <w:rsid w:val="792A1B99"/>
    <w:rsid w:val="792F40B6"/>
    <w:rsid w:val="79393B8B"/>
    <w:rsid w:val="7947274B"/>
    <w:rsid w:val="79507FD7"/>
    <w:rsid w:val="79554E68"/>
    <w:rsid w:val="796B643A"/>
    <w:rsid w:val="796C3F60"/>
    <w:rsid w:val="79751047"/>
    <w:rsid w:val="797D43BF"/>
    <w:rsid w:val="79863274"/>
    <w:rsid w:val="79877573"/>
    <w:rsid w:val="799D05BD"/>
    <w:rsid w:val="79A35019"/>
    <w:rsid w:val="79A951B4"/>
    <w:rsid w:val="79CE4C1B"/>
    <w:rsid w:val="79E9735F"/>
    <w:rsid w:val="79F91C98"/>
    <w:rsid w:val="7A13262E"/>
    <w:rsid w:val="7A2F56B9"/>
    <w:rsid w:val="7A390725"/>
    <w:rsid w:val="7A391673"/>
    <w:rsid w:val="7A495A8F"/>
    <w:rsid w:val="7A536490"/>
    <w:rsid w:val="7A5C5D83"/>
    <w:rsid w:val="7A645345"/>
    <w:rsid w:val="7A65732D"/>
    <w:rsid w:val="7A6F1F5A"/>
    <w:rsid w:val="7A725D8C"/>
    <w:rsid w:val="7A745707"/>
    <w:rsid w:val="7A7F77A4"/>
    <w:rsid w:val="7A8E3857"/>
    <w:rsid w:val="7A922676"/>
    <w:rsid w:val="7A97500D"/>
    <w:rsid w:val="7AA15E8B"/>
    <w:rsid w:val="7AB42531"/>
    <w:rsid w:val="7AB94F83"/>
    <w:rsid w:val="7AC878BC"/>
    <w:rsid w:val="7AD46E57"/>
    <w:rsid w:val="7ADE297D"/>
    <w:rsid w:val="7AEA5A84"/>
    <w:rsid w:val="7B000E04"/>
    <w:rsid w:val="7B022DCE"/>
    <w:rsid w:val="7B193C74"/>
    <w:rsid w:val="7B2014A6"/>
    <w:rsid w:val="7B2C4929"/>
    <w:rsid w:val="7B2D5625"/>
    <w:rsid w:val="7B2F5245"/>
    <w:rsid w:val="7B322A32"/>
    <w:rsid w:val="7B364826"/>
    <w:rsid w:val="7B39121D"/>
    <w:rsid w:val="7B3B1E3C"/>
    <w:rsid w:val="7B4A7231"/>
    <w:rsid w:val="7B5F1FCE"/>
    <w:rsid w:val="7B643141"/>
    <w:rsid w:val="7B851426"/>
    <w:rsid w:val="7BA36C72"/>
    <w:rsid w:val="7BA619AB"/>
    <w:rsid w:val="7BB2194B"/>
    <w:rsid w:val="7BD44756"/>
    <w:rsid w:val="7BD659DE"/>
    <w:rsid w:val="7C0A75AC"/>
    <w:rsid w:val="7C27396F"/>
    <w:rsid w:val="7C3074C7"/>
    <w:rsid w:val="7C3245B2"/>
    <w:rsid w:val="7C4371FA"/>
    <w:rsid w:val="7C46731F"/>
    <w:rsid w:val="7C572CA5"/>
    <w:rsid w:val="7C5C069A"/>
    <w:rsid w:val="7C7478B9"/>
    <w:rsid w:val="7C7B27EB"/>
    <w:rsid w:val="7C7C095E"/>
    <w:rsid w:val="7C7D2C09"/>
    <w:rsid w:val="7C9E6B26"/>
    <w:rsid w:val="7CA81753"/>
    <w:rsid w:val="7CAA075C"/>
    <w:rsid w:val="7CAA1027"/>
    <w:rsid w:val="7CAB734F"/>
    <w:rsid w:val="7CB2612E"/>
    <w:rsid w:val="7CB77E6C"/>
    <w:rsid w:val="7CBC6FAC"/>
    <w:rsid w:val="7CD048AA"/>
    <w:rsid w:val="7CD21CA4"/>
    <w:rsid w:val="7CE7227B"/>
    <w:rsid w:val="7CE86FC3"/>
    <w:rsid w:val="7CF9764F"/>
    <w:rsid w:val="7CFC55FB"/>
    <w:rsid w:val="7D00333D"/>
    <w:rsid w:val="7D0821F2"/>
    <w:rsid w:val="7D16490F"/>
    <w:rsid w:val="7D1B1F25"/>
    <w:rsid w:val="7D2A660C"/>
    <w:rsid w:val="7D350383"/>
    <w:rsid w:val="7D376E3C"/>
    <w:rsid w:val="7D440FC1"/>
    <w:rsid w:val="7D523A71"/>
    <w:rsid w:val="7D711B45"/>
    <w:rsid w:val="7D80622C"/>
    <w:rsid w:val="7D847ACA"/>
    <w:rsid w:val="7D913F95"/>
    <w:rsid w:val="7D985324"/>
    <w:rsid w:val="7D9A72EE"/>
    <w:rsid w:val="7D9B3066"/>
    <w:rsid w:val="7DBB7264"/>
    <w:rsid w:val="7DBF4FA6"/>
    <w:rsid w:val="7DF54524"/>
    <w:rsid w:val="7E02533C"/>
    <w:rsid w:val="7E040C0B"/>
    <w:rsid w:val="7E1C3341"/>
    <w:rsid w:val="7E4577B8"/>
    <w:rsid w:val="7E5435C9"/>
    <w:rsid w:val="7E5861CC"/>
    <w:rsid w:val="7E68119A"/>
    <w:rsid w:val="7E8A55B4"/>
    <w:rsid w:val="7E90249F"/>
    <w:rsid w:val="7E906943"/>
    <w:rsid w:val="7E9E5A62"/>
    <w:rsid w:val="7EA1645A"/>
    <w:rsid w:val="7EAA7A04"/>
    <w:rsid w:val="7EB919F5"/>
    <w:rsid w:val="7ED72A0A"/>
    <w:rsid w:val="7EF84FD8"/>
    <w:rsid w:val="7F2063D5"/>
    <w:rsid w:val="7F480FCB"/>
    <w:rsid w:val="7F5931D8"/>
    <w:rsid w:val="7F5D5059"/>
    <w:rsid w:val="7F5D547A"/>
    <w:rsid w:val="7F635CDA"/>
    <w:rsid w:val="7F71229F"/>
    <w:rsid w:val="7F7818B1"/>
    <w:rsid w:val="7F800765"/>
    <w:rsid w:val="7F8A5140"/>
    <w:rsid w:val="7F9D1317"/>
    <w:rsid w:val="7FA94E28"/>
    <w:rsid w:val="7FC05006"/>
    <w:rsid w:val="7FC801F6"/>
    <w:rsid w:val="7FDD5BB8"/>
    <w:rsid w:val="7FDF723A"/>
    <w:rsid w:val="7FEA5BDF"/>
    <w:rsid w:val="7FFD18D5"/>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tabs>
        <w:tab w:val="left" w:pos="1080"/>
      </w:tabs>
      <w:spacing w:before="260" w:after="260" w:line="416" w:lineRule="auto"/>
      <w:outlineLvl w:val="1"/>
    </w:pPr>
    <w:rPr>
      <w:rFonts w:ascii="Arial Black" w:hAnsi="Arial Black" w:eastAsia="黑体"/>
      <w:b/>
      <w:bCs/>
      <w:sz w:val="32"/>
      <w:szCs w:val="32"/>
    </w:rPr>
  </w:style>
  <w:style w:type="paragraph" w:styleId="6">
    <w:name w:val="heading 3"/>
    <w:basedOn w:val="1"/>
    <w:next w:val="1"/>
    <w:qFormat/>
    <w:uiPriority w:val="0"/>
    <w:pPr>
      <w:keepNext/>
      <w:keepLines/>
      <w:tabs>
        <w:tab w:val="left" w:pos="720"/>
      </w:tabs>
      <w:spacing w:line="360" w:lineRule="auto"/>
      <w:ind w:left="720" w:hanging="432"/>
      <w:outlineLvl w:val="2"/>
    </w:pPr>
    <w:rPr>
      <w:b/>
      <w:bCs/>
      <w:sz w:val="24"/>
      <w:szCs w:val="32"/>
    </w:rPr>
  </w:style>
  <w:style w:type="paragraph" w:styleId="7">
    <w:name w:val="heading 4"/>
    <w:basedOn w:val="1"/>
    <w:next w:val="8"/>
    <w:qFormat/>
    <w:uiPriority w:val="0"/>
    <w:pPr>
      <w:keepNext/>
      <w:keepLines/>
      <w:ind w:firstLine="420" w:firstLineChars="150"/>
      <w:outlineLvl w:val="3"/>
    </w:pPr>
    <w:rPr>
      <w:rFonts w:ascii="Arial" w:hAnsi="Arial" w:cs="Arial"/>
      <w:b/>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240" w:lineRule="auto"/>
      <w:ind w:left="420" w:leftChars="200" w:firstLine="420"/>
    </w:pPr>
    <w:rPr>
      <w:sz w:val="21"/>
    </w:rPr>
  </w:style>
  <w:style w:type="paragraph" w:styleId="3">
    <w:name w:val="Body Text Indent"/>
    <w:basedOn w:val="1"/>
    <w:qFormat/>
    <w:uiPriority w:val="0"/>
    <w:pPr>
      <w:spacing w:line="360" w:lineRule="auto"/>
      <w:ind w:firstLine="560" w:firstLineChars="200"/>
    </w:pPr>
    <w:rPr>
      <w:sz w:val="28"/>
    </w:rPr>
  </w:style>
  <w:style w:type="paragraph" w:styleId="8">
    <w:name w:val="Normal Indent"/>
    <w:basedOn w:val="1"/>
    <w:next w:val="1"/>
    <w:qFormat/>
    <w:uiPriority w:val="0"/>
    <w:pPr>
      <w:ind w:firstLine="420"/>
    </w:pPr>
  </w:style>
  <w:style w:type="paragraph" w:styleId="9">
    <w:name w:val="toa heading"/>
    <w:basedOn w:val="1"/>
    <w:next w:val="1"/>
    <w:qFormat/>
    <w:uiPriority w:val="0"/>
    <w:pPr>
      <w:spacing w:before="120"/>
    </w:pPr>
    <w:rPr>
      <w:rFonts w:ascii="Cambria" w:hAnsi="Cambria" w:cs="Times New Roman"/>
      <w:sz w:val="24"/>
      <w:szCs w:val="24"/>
    </w:rPr>
  </w:style>
  <w:style w:type="paragraph" w:styleId="10">
    <w:name w:val="annotation text"/>
    <w:basedOn w:val="1"/>
    <w:semiHidden/>
    <w:qFormat/>
    <w:uiPriority w:val="0"/>
    <w:pPr>
      <w:jc w:val="left"/>
    </w:pPr>
  </w:style>
  <w:style w:type="paragraph" w:styleId="11">
    <w:name w:val="Body Text 3"/>
    <w:basedOn w:val="1"/>
    <w:qFormat/>
    <w:uiPriority w:val="99"/>
    <w:pPr>
      <w:spacing w:after="120"/>
    </w:pPr>
    <w:rPr>
      <w:sz w:val="16"/>
      <w:szCs w:val="16"/>
    </w:rPr>
  </w:style>
  <w:style w:type="paragraph" w:styleId="12">
    <w:name w:val="Body Text"/>
    <w:basedOn w:val="1"/>
    <w:next w:val="1"/>
    <w:qFormat/>
    <w:uiPriority w:val="0"/>
    <w:pPr>
      <w:spacing w:after="120"/>
    </w:pPr>
  </w:style>
  <w:style w:type="paragraph" w:styleId="13">
    <w:name w:val="HTML Address"/>
    <w:basedOn w:val="1"/>
    <w:next w:val="12"/>
    <w:unhideWhenUsed/>
    <w:qFormat/>
    <w:uiPriority w:val="99"/>
    <w:pPr>
      <w:topLinePunct/>
    </w:pPr>
  </w:style>
  <w:style w:type="paragraph" w:styleId="14">
    <w:name w:val="Plain Text"/>
    <w:basedOn w:val="1"/>
    <w:qFormat/>
    <w:uiPriority w:val="0"/>
    <w:rPr>
      <w:rFonts w:ascii="宋体" w:hAnsi="Courier New"/>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footnote text"/>
    <w:basedOn w:val="1"/>
    <w:next w:val="12"/>
    <w:qFormat/>
    <w:uiPriority w:val="0"/>
    <w:pPr>
      <w:adjustRightInd w:val="0"/>
      <w:snapToGrid w:val="0"/>
      <w:spacing w:line="312" w:lineRule="atLeast"/>
      <w:jc w:val="left"/>
      <w:textAlignment w:val="baseline"/>
    </w:pPr>
    <w:rPr>
      <w:rFonts w:eastAsia="仿宋"/>
      <w:kern w:val="0"/>
      <w:sz w:val="18"/>
      <w:szCs w:val="18"/>
    </w:rPr>
  </w:style>
  <w:style w:type="paragraph" w:styleId="19">
    <w:name w:val="toc 2"/>
    <w:basedOn w:val="1"/>
    <w:next w:val="1"/>
    <w:qFormat/>
    <w:uiPriority w:val="39"/>
    <w:pPr>
      <w:ind w:left="420" w:leftChars="200"/>
    </w:pPr>
    <w:rPr>
      <w:rFonts w:cs="Angsana New"/>
      <w:lang w:bidi="th-TH"/>
    </w:rPr>
  </w:style>
  <w:style w:type="paragraph" w:styleId="20">
    <w:name w:val="Body Text 2"/>
    <w:basedOn w:val="1"/>
    <w:unhideWhenUsed/>
    <w:qFormat/>
    <w:uiPriority w:val="99"/>
    <w:pPr>
      <w:spacing w:line="360" w:lineRule="auto"/>
      <w:ind w:firstLine="0" w:firstLineChars="0"/>
    </w:pPr>
  </w:style>
  <w:style w:type="paragraph" w:styleId="21">
    <w:name w:val="Normal (Web)"/>
    <w:basedOn w:val="1"/>
    <w:next w:val="1"/>
    <w:qFormat/>
    <w:uiPriority w:val="99"/>
    <w:pPr>
      <w:widowControl/>
      <w:spacing w:before="100" w:beforeAutospacing="1" w:after="100" w:afterAutospacing="1"/>
      <w:jc w:val="left"/>
    </w:pPr>
    <w:rPr>
      <w:rFonts w:ascii="宋体" w:hAnsi="宋体"/>
      <w:kern w:val="0"/>
      <w:sz w:val="24"/>
      <w:szCs w:val="24"/>
    </w:rPr>
  </w:style>
  <w:style w:type="paragraph" w:styleId="22">
    <w:name w:val="Body Text First Indent"/>
    <w:basedOn w:val="12"/>
    <w:next w:val="1"/>
    <w:qFormat/>
    <w:uiPriority w:val="0"/>
    <w:pPr>
      <w:widowControl/>
      <w:ind w:firstLine="420"/>
      <w:jc w:val="left"/>
    </w:pPr>
    <w:rPr>
      <w:kern w:val="0"/>
      <w:sz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0"/>
    <w:rPr>
      <w:color w:val="0000FF"/>
      <w:u w:val="single"/>
    </w:rPr>
  </w:style>
  <w:style w:type="character" w:styleId="29">
    <w:name w:val="HTML Sample"/>
    <w:basedOn w:val="25"/>
    <w:qFormat/>
    <w:uiPriority w:val="0"/>
    <w:rPr>
      <w:rFonts w:ascii="Courier New" w:hAnsi="Courier New"/>
    </w:rPr>
  </w:style>
  <w:style w:type="paragraph" w:customStyle="1" w:styleId="30">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31">
    <w:name w:val="正文1"/>
    <w:qFormat/>
    <w:uiPriority w:val="0"/>
    <w:pPr>
      <w:widowControl w:val="0"/>
      <w:adjustRightInd w:val="0"/>
      <w:spacing w:line="360" w:lineRule="atLeast"/>
      <w:textAlignment w:val="baseline"/>
    </w:pPr>
    <w:rPr>
      <w:rFonts w:hint="eastAsia" w:ascii="宋体" w:hAnsi="Times New Roman" w:eastAsia="宋体" w:cs="Times New Roman"/>
      <w:sz w:val="34"/>
      <w:lang w:val="en-US" w:eastAsia="zh-CN" w:bidi="ar-SA"/>
    </w:rPr>
  </w:style>
  <w:style w:type="paragraph" w:customStyle="1" w:styleId="32">
    <w:name w:val="Char1"/>
    <w:basedOn w:val="1"/>
    <w:qFormat/>
    <w:uiPriority w:val="0"/>
    <w:rPr>
      <w:szCs w:val="21"/>
    </w:rPr>
  </w:style>
  <w:style w:type="paragraph" w:styleId="33">
    <w:name w:val="List Paragraph"/>
    <w:basedOn w:val="1"/>
    <w:qFormat/>
    <w:uiPriority w:val="99"/>
    <w:pPr>
      <w:ind w:firstLine="420" w:firstLineChars="200"/>
    </w:pPr>
  </w:style>
  <w:style w:type="paragraph" w:customStyle="1" w:styleId="34">
    <w:name w:val="标书正文"/>
    <w:basedOn w:val="1"/>
    <w:qFormat/>
    <w:uiPriority w:val="0"/>
    <w:pPr>
      <w:spacing w:line="560" w:lineRule="exact"/>
      <w:ind w:firstLine="723" w:firstLineChars="200"/>
      <w:jc w:val="center"/>
    </w:pPr>
    <w:rPr>
      <w:rFonts w:ascii="仿宋_GB2312" w:eastAsia="仿宋_GB2312"/>
      <w:b/>
      <w:sz w:val="36"/>
      <w:szCs w:val="24"/>
    </w:rPr>
  </w:style>
  <w:style w:type="paragraph" w:customStyle="1" w:styleId="35">
    <w:name w:val="_Style 7"/>
    <w:basedOn w:val="1"/>
    <w:qFormat/>
    <w:uiPriority w:val="0"/>
    <w:pPr>
      <w:tabs>
        <w:tab w:val="left" w:pos="360"/>
      </w:tabs>
      <w:ind w:firstLine="420" w:firstLineChars="150"/>
    </w:pPr>
    <w:rPr>
      <w:rFonts w:ascii="Arial" w:hAnsi="Arial" w:cs="Arial"/>
      <w:sz w:val="20"/>
    </w:rPr>
  </w:style>
  <w:style w:type="paragraph" w:customStyle="1" w:styleId="36">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37">
    <w:name w:val="font21"/>
    <w:basedOn w:val="25"/>
    <w:qFormat/>
    <w:uiPriority w:val="0"/>
    <w:rPr>
      <w:rFonts w:hint="eastAsia" w:ascii="宋体" w:hAnsi="宋体" w:eastAsia="宋体" w:cs="宋体"/>
      <w:color w:val="000000"/>
      <w:sz w:val="20"/>
      <w:szCs w:val="20"/>
      <w:u w:val="none"/>
      <w:vertAlign w:val="superscript"/>
    </w:rPr>
  </w:style>
  <w:style w:type="paragraph" w:customStyle="1" w:styleId="3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WPSOffice手动目录 1"/>
    <w:qFormat/>
    <w:uiPriority w:val="0"/>
    <w:pPr>
      <w:ind w:leftChars="0"/>
    </w:pPr>
    <w:rPr>
      <w:rFonts w:asciiTheme="minorHAnsi" w:hAnsiTheme="minorHAnsi" w:eastAsiaTheme="minorEastAsia" w:cstheme="minorBidi"/>
      <w:sz w:val="20"/>
      <w:szCs w:val="20"/>
    </w:rPr>
  </w:style>
  <w:style w:type="character" w:customStyle="1" w:styleId="40">
    <w:name w:val="font61"/>
    <w:basedOn w:val="25"/>
    <w:qFormat/>
    <w:uiPriority w:val="0"/>
    <w:rPr>
      <w:rFonts w:hint="eastAsia" w:ascii="宋体" w:hAnsi="宋体" w:eastAsia="宋体" w:cs="宋体"/>
      <w:color w:val="000000"/>
      <w:sz w:val="20"/>
      <w:szCs w:val="20"/>
      <w:u w:val="none"/>
    </w:rPr>
  </w:style>
  <w:style w:type="paragraph" w:customStyle="1" w:styleId="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szCs w:val="20"/>
    </w:rPr>
  </w:style>
  <w:style w:type="paragraph" w:customStyle="1" w:styleId="43">
    <w:name w:val="样式1"/>
    <w:basedOn w:val="1"/>
    <w:qFormat/>
    <w:uiPriority w:val="0"/>
    <w:pPr>
      <w:tabs>
        <w:tab w:val="left" w:pos="480"/>
      </w:tabs>
      <w:adjustRightInd w:val="0"/>
      <w:ind w:left="480" w:hanging="480"/>
      <w:textAlignment w:val="baseline"/>
    </w:pPr>
    <w:rPr>
      <w:rFonts w:ascii="宋体" w:hAnsi="宋体"/>
      <w:kern w:val="0"/>
      <w:szCs w:val="21"/>
    </w:rPr>
  </w:style>
  <w:style w:type="character" w:customStyle="1" w:styleId="44">
    <w:name w:val="font01"/>
    <w:basedOn w:val="25"/>
    <w:qFormat/>
    <w:uiPriority w:val="0"/>
    <w:rPr>
      <w:rFonts w:hint="eastAsia" w:ascii="宋体" w:hAnsi="宋体" w:eastAsia="宋体" w:cs="宋体"/>
      <w:color w:val="000000"/>
      <w:sz w:val="20"/>
      <w:szCs w:val="20"/>
      <w:u w:val="none"/>
    </w:rPr>
  </w:style>
  <w:style w:type="character" w:customStyle="1" w:styleId="45">
    <w:name w:val="font11"/>
    <w:basedOn w:val="25"/>
    <w:qFormat/>
    <w:uiPriority w:val="0"/>
    <w:rPr>
      <w:rFonts w:hint="eastAsia" w:ascii="宋体" w:hAnsi="宋体" w:eastAsia="宋体" w:cs="宋体"/>
      <w:color w:val="000000"/>
      <w:sz w:val="20"/>
      <w:szCs w:val="20"/>
      <w:u w:val="none"/>
    </w:rPr>
  </w:style>
  <w:style w:type="character" w:customStyle="1" w:styleId="46">
    <w:name w:val="font81"/>
    <w:basedOn w:val="25"/>
    <w:qFormat/>
    <w:uiPriority w:val="0"/>
    <w:rPr>
      <w:rFonts w:ascii="Calibri" w:hAnsi="Calibri" w:cs="Calibri"/>
      <w:color w:val="000000"/>
      <w:sz w:val="20"/>
      <w:szCs w:val="20"/>
      <w:u w:val="none"/>
    </w:rPr>
  </w:style>
  <w:style w:type="table" w:customStyle="1" w:styleId="47">
    <w:name w:val="网格型1"/>
    <w:basedOn w:val="23"/>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8">
    <w:name w:val="font91"/>
    <w:basedOn w:val="25"/>
    <w:qFormat/>
    <w:uiPriority w:val="0"/>
    <w:rPr>
      <w:rFonts w:hint="eastAsia" w:ascii="宋体" w:hAnsi="宋体" w:eastAsia="宋体" w:cs="宋体"/>
      <w:color w:val="000000"/>
      <w:sz w:val="20"/>
      <w:szCs w:val="20"/>
      <w:u w:val="none"/>
    </w:rPr>
  </w:style>
  <w:style w:type="character" w:customStyle="1" w:styleId="49">
    <w:name w:val="font41"/>
    <w:basedOn w:val="25"/>
    <w:qFormat/>
    <w:uiPriority w:val="0"/>
    <w:rPr>
      <w:rFonts w:hint="eastAsia" w:ascii="宋体" w:hAnsi="宋体" w:eastAsia="宋体" w:cs="宋体"/>
      <w:color w:val="000000"/>
      <w:sz w:val="22"/>
      <w:szCs w:val="22"/>
      <w:u w:val="none"/>
    </w:rPr>
  </w:style>
  <w:style w:type="character" w:customStyle="1" w:styleId="50">
    <w:name w:val="font101"/>
    <w:basedOn w:val="25"/>
    <w:qFormat/>
    <w:uiPriority w:val="0"/>
    <w:rPr>
      <w:rFonts w:hint="default" w:ascii="Calibri" w:hAnsi="Calibri" w:cs="Calibri"/>
      <w:color w:val="000000"/>
      <w:sz w:val="22"/>
      <w:szCs w:val="22"/>
      <w:u w:val="none"/>
    </w:rPr>
  </w:style>
  <w:style w:type="character" w:customStyle="1" w:styleId="51">
    <w:name w:val="font51"/>
    <w:basedOn w:val="25"/>
    <w:qFormat/>
    <w:uiPriority w:val="0"/>
    <w:rPr>
      <w:rFonts w:hint="eastAsia" w:ascii="宋体" w:hAnsi="宋体" w:eastAsia="宋体" w:cs="宋体"/>
      <w:color w:val="000000"/>
      <w:sz w:val="22"/>
      <w:szCs w:val="22"/>
      <w:u w:val="none"/>
    </w:rPr>
  </w:style>
  <w:style w:type="character" w:customStyle="1" w:styleId="52">
    <w:name w:val="font71"/>
    <w:basedOn w:val="25"/>
    <w:qFormat/>
    <w:uiPriority w:val="0"/>
    <w:rPr>
      <w:rFonts w:hint="eastAsia" w:ascii="宋体" w:hAnsi="宋体" w:eastAsia="宋体" w:cs="宋体"/>
      <w:color w:val="000000"/>
      <w:sz w:val="20"/>
      <w:szCs w:val="20"/>
      <w:u w:val="none"/>
    </w:rPr>
  </w:style>
  <w:style w:type="character" w:customStyle="1" w:styleId="53">
    <w:name w:val="NormalCharacter"/>
    <w:qFormat/>
    <w:uiPriority w:val="0"/>
    <w:rPr>
      <w:kern w:val="2"/>
      <w:sz w:val="21"/>
      <w:szCs w:val="24"/>
      <w:lang w:val="en-US" w:eastAsia="zh-CN" w:bidi="ar-SA"/>
    </w:rPr>
  </w:style>
  <w:style w:type="table" w:customStyle="1" w:styleId="54">
    <w:name w:val="Table Normal"/>
    <w:semiHidden/>
    <w:unhideWhenUsed/>
    <w:qFormat/>
    <w:uiPriority w:val="0"/>
    <w:tblPr>
      <w:tblCellMar>
        <w:top w:w="0" w:type="dxa"/>
        <w:left w:w="0" w:type="dxa"/>
        <w:bottom w:w="0" w:type="dxa"/>
        <w:right w:w="0" w:type="dxa"/>
      </w:tblCellMar>
    </w:tblPr>
  </w:style>
  <w:style w:type="paragraph" w:customStyle="1" w:styleId="55">
    <w:name w:val="Table Text"/>
    <w:basedOn w:val="1"/>
    <w:semiHidden/>
    <w:qFormat/>
    <w:uiPriority w:val="0"/>
    <w:rPr>
      <w:rFonts w:ascii="Arial" w:hAnsi="Arial" w:eastAsia="Arial" w:cs="Arial"/>
      <w:sz w:val="21"/>
      <w:szCs w:val="21"/>
      <w:lang w:val="en-US" w:eastAsia="en-US" w:bidi="ar-SA"/>
    </w:rPr>
  </w:style>
  <w:style w:type="paragraph" w:customStyle="1" w:styleId="56">
    <w:name w:val="_Style 2"/>
    <w:basedOn w:val="1"/>
    <w:qFormat/>
    <w:uiPriority w:val="0"/>
    <w:pPr>
      <w:ind w:firstLine="420" w:firstLineChars="200"/>
    </w:pPr>
    <w:rPr>
      <w:szCs w:val="24"/>
    </w:rPr>
  </w:style>
  <w:style w:type="paragraph" w:customStyle="1" w:styleId="57">
    <w:name w:val="Table Paragraph"/>
    <w:basedOn w:val="1"/>
    <w:qFormat/>
    <w:uiPriority w:val="1"/>
    <w:pPr>
      <w:jc w:val="left"/>
    </w:pPr>
    <w:rPr>
      <w:rFonts w:ascii="宋体" w:hAnsi="宋体" w:cs="宋体"/>
      <w:kern w:val="0"/>
      <w:sz w:val="22"/>
      <w:szCs w:val="22"/>
      <w:lang w:eastAsia="en-US"/>
    </w:rPr>
  </w:style>
  <w:style w:type="paragraph" w:customStyle="1" w:styleId="58">
    <w:name w:val="?????????????????¡ì?????????????????????????¡ì?????????????????????????¡§????????????????????????¡ì??????????????????????¡ì????????????????????????¡ì????????o????????????????????¡§????????????????????????¡ì??????????????????????¡ì????????"/>
    <w:basedOn w:val="1"/>
    <w:qFormat/>
    <w:uiPriority w:val="0"/>
    <w:pPr>
      <w:jc w:val="left"/>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34803</Words>
  <Characters>37192</Characters>
  <Lines>0</Lines>
  <Paragraphs>0</Paragraphs>
  <TotalTime>0</TotalTime>
  <ScaleCrop>false</ScaleCrop>
  <LinksUpToDate>false</LinksUpToDate>
  <CharactersWithSpaces>38590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2021-09-17T03:33:00Z</dcterms:created>
  <dc:creator>86180</dc:creator>
  <cp:lastModifiedBy>Administrator</cp:lastModifiedBy>
  <cp:lastPrinted>2022-04-22T09:50:00Z</cp:lastPrinted>
  <dcterms:modified xsi:type="dcterms:W3CDTF">2023-11-20T02:50:24Z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D929884A23E14B8E96ECBD4F3C4DED29</vt:lpwstr>
  </property>
  <property fmtid="{D5CDD505-2E9C-101B-9397-08002B2CF9AE}" pid="4" name="commondata">
    <vt:lpwstr>eyJoZGlkIjoiY2VmODU3YmViNzMyMjk1MDIwNjZmNWIwNzc2NzgwZTQifQ==</vt:lpwstr>
  </property>
</Properties>
</file>