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F7584">
      <w:pPr>
        <w:spacing w:line="760" w:lineRule="exact"/>
        <w:jc w:val="center"/>
        <w:rPr>
          <w:rFonts w:ascii="仿宋" w:hAnsi="仿宋" w:eastAsia="仿宋" w:cs="仿宋"/>
          <w:b/>
          <w:bCs/>
          <w:color w:val="auto"/>
          <w:w w:val="90"/>
          <w:sz w:val="52"/>
          <w:szCs w:val="52"/>
          <w:lang w:eastAsia="zh-CN"/>
        </w:rPr>
      </w:pPr>
    </w:p>
    <w:p w14:paraId="2CC8CA4B">
      <w:pPr>
        <w:pStyle w:val="2"/>
        <w:spacing w:line="760" w:lineRule="exact"/>
        <w:ind w:firstLine="874" w:firstLineChars="200"/>
        <w:rPr>
          <w:rFonts w:hint="eastAsia" w:ascii="仿宋" w:hAnsi="仿宋" w:eastAsia="仿宋" w:cs="仿宋"/>
          <w:b/>
          <w:bCs/>
          <w:color w:val="auto"/>
          <w:w w:val="90"/>
          <w:sz w:val="48"/>
          <w:szCs w:val="48"/>
          <w:highlight w:val="none"/>
          <w:lang w:eastAsia="zh-CN"/>
        </w:rPr>
      </w:pPr>
      <w:r>
        <w:rPr>
          <w:rFonts w:hint="eastAsia" w:ascii="仿宋" w:hAnsi="仿宋" w:eastAsia="仿宋" w:cs="仿宋"/>
          <w:b/>
          <w:bCs/>
          <w:color w:val="auto"/>
          <w:w w:val="90"/>
          <w:sz w:val="48"/>
          <w:szCs w:val="48"/>
          <w:highlight w:val="none"/>
          <w:lang w:eastAsia="zh-CN"/>
        </w:rPr>
        <w:t>青河县城乡中小学信息化教学能力提升项目</w:t>
      </w:r>
    </w:p>
    <w:p w14:paraId="0573DAC3">
      <w:pPr>
        <w:pStyle w:val="2"/>
        <w:spacing w:line="760" w:lineRule="exact"/>
        <w:ind w:firstLine="2190" w:firstLineChars="600"/>
        <w:rPr>
          <w:rFonts w:ascii="仿宋" w:hAnsi="仿宋" w:eastAsia="仿宋" w:cs="仿宋"/>
          <w:color w:val="auto"/>
          <w:highlight w:val="none"/>
        </w:rPr>
      </w:pPr>
      <w:r>
        <w:rPr>
          <w:rFonts w:hint="eastAsia" w:ascii="仿宋" w:hAnsi="仿宋" w:eastAsia="仿宋" w:cs="仿宋"/>
          <w:b/>
          <w:bCs/>
          <w:color w:val="auto"/>
          <w:sz w:val="36"/>
          <w:szCs w:val="36"/>
          <w:highlight w:val="none"/>
        </w:rPr>
        <w:t>项目编号：</w:t>
      </w:r>
      <w:r>
        <w:rPr>
          <w:rFonts w:hint="eastAsia" w:ascii="仿宋" w:hAnsi="仿宋" w:eastAsia="仿宋" w:cs="仿宋"/>
          <w:b/>
          <w:bCs/>
          <w:color w:val="auto"/>
          <w:sz w:val="36"/>
          <w:szCs w:val="36"/>
          <w:highlight w:val="none"/>
          <w:lang w:val="en-US" w:eastAsia="zh-CN"/>
        </w:rPr>
        <w:t>ZFCGQ-ZHZB2025041</w:t>
      </w:r>
    </w:p>
    <w:p w14:paraId="42BA6C57">
      <w:pPr>
        <w:pStyle w:val="2"/>
        <w:rPr>
          <w:rFonts w:ascii="仿宋" w:hAnsi="仿宋" w:eastAsia="仿宋" w:cs="仿宋"/>
          <w:color w:val="auto"/>
        </w:rPr>
      </w:pPr>
    </w:p>
    <w:p w14:paraId="6DB66F01">
      <w:pPr>
        <w:pStyle w:val="2"/>
        <w:jc w:val="center"/>
        <w:rPr>
          <w:rFonts w:hint="eastAsia" w:ascii="仿宋" w:hAnsi="仿宋" w:eastAsia="仿宋" w:cs="仿宋"/>
          <w:b/>
          <w:bCs/>
          <w:color w:val="auto"/>
          <w:sz w:val="96"/>
          <w:szCs w:val="96"/>
          <w:lang w:eastAsia="zh-CN"/>
        </w:rPr>
      </w:pPr>
      <w:r>
        <w:rPr>
          <w:rFonts w:hint="eastAsia" w:ascii="仿宋" w:hAnsi="仿宋" w:eastAsia="仿宋" w:cs="仿宋"/>
          <w:b/>
          <w:color w:val="auto"/>
          <w:sz w:val="96"/>
          <w:szCs w:val="96"/>
          <w:lang w:eastAsia="zh-CN"/>
        </w:rPr>
        <w:t>谈</w:t>
      </w:r>
    </w:p>
    <w:p w14:paraId="7B85EEF4">
      <w:pPr>
        <w:pStyle w:val="2"/>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判</w:t>
      </w:r>
    </w:p>
    <w:p w14:paraId="62AD0E09">
      <w:pPr>
        <w:pStyle w:val="2"/>
        <w:jc w:val="center"/>
        <w:rPr>
          <w:rFonts w:ascii="仿宋" w:hAnsi="仿宋" w:eastAsia="仿宋" w:cs="仿宋"/>
          <w:b/>
          <w:bCs/>
          <w:color w:val="auto"/>
          <w:sz w:val="96"/>
          <w:szCs w:val="96"/>
        </w:rPr>
      </w:pPr>
      <w:r>
        <w:rPr>
          <w:rFonts w:hint="eastAsia" w:ascii="仿宋" w:hAnsi="仿宋" w:eastAsia="仿宋" w:cs="仿宋"/>
          <w:b/>
          <w:bCs/>
          <w:color w:val="auto"/>
          <w:sz w:val="96"/>
          <w:szCs w:val="96"/>
        </w:rPr>
        <w:t>文</w:t>
      </w:r>
    </w:p>
    <w:p w14:paraId="67F4E3DE">
      <w:pPr>
        <w:pStyle w:val="2"/>
        <w:jc w:val="center"/>
        <w:rPr>
          <w:rFonts w:ascii="仿宋" w:hAnsi="仿宋" w:eastAsia="仿宋" w:cs="仿宋"/>
          <w:color w:val="auto"/>
          <w:sz w:val="84"/>
          <w:szCs w:val="84"/>
        </w:rPr>
      </w:pPr>
      <w:r>
        <w:rPr>
          <w:rFonts w:hint="eastAsia" w:ascii="仿宋" w:hAnsi="仿宋" w:eastAsia="仿宋" w:cs="仿宋"/>
          <w:b/>
          <w:bCs/>
          <w:color w:val="auto"/>
          <w:sz w:val="96"/>
          <w:szCs w:val="96"/>
        </w:rPr>
        <w:t>件</w:t>
      </w:r>
    </w:p>
    <w:p w14:paraId="206BD635">
      <w:pPr>
        <w:pStyle w:val="2"/>
        <w:rPr>
          <w:rFonts w:ascii="仿宋" w:hAnsi="仿宋" w:eastAsia="仿宋" w:cs="仿宋"/>
          <w:color w:val="auto"/>
        </w:rPr>
      </w:pPr>
    </w:p>
    <w:p w14:paraId="3A299FAB">
      <w:pPr>
        <w:pStyle w:val="2"/>
        <w:rPr>
          <w:rFonts w:ascii="仿宋" w:hAnsi="仿宋" w:eastAsia="仿宋" w:cs="仿宋"/>
          <w:color w:val="auto"/>
        </w:rPr>
      </w:pPr>
    </w:p>
    <w:p w14:paraId="07ED4168">
      <w:pPr>
        <w:keepNext w:val="0"/>
        <w:keepLines w:val="0"/>
        <w:pageBreakBefore w:val="0"/>
        <w:widowControl/>
        <w:kinsoku/>
        <w:wordWrap/>
        <w:overflowPunct/>
        <w:topLinePunct w:val="0"/>
        <w:autoSpaceDE w:val="0"/>
        <w:autoSpaceDN w:val="0"/>
        <w:bidi w:val="0"/>
        <w:adjustRightInd/>
        <w:snapToGrid/>
        <w:spacing w:line="740" w:lineRule="exact"/>
        <w:ind w:right="-26" w:firstLine="636" w:firstLineChars="196"/>
        <w:textAlignment w:val="bottom"/>
        <w:rPr>
          <w:rFonts w:hint="eastAsia" w:ascii="宋体" w:hAnsi="宋体"/>
          <w:b/>
          <w:color w:val="auto"/>
          <w:sz w:val="32"/>
          <w:szCs w:val="32"/>
          <w:highlight w:val="none"/>
          <w:lang w:eastAsia="zh-CN"/>
        </w:rPr>
      </w:pPr>
    </w:p>
    <w:p w14:paraId="3EDDAA6D">
      <w:pPr>
        <w:keepNext w:val="0"/>
        <w:keepLines w:val="0"/>
        <w:pageBreakBefore w:val="0"/>
        <w:widowControl/>
        <w:kinsoku/>
        <w:wordWrap/>
        <w:overflowPunct/>
        <w:topLinePunct w:val="0"/>
        <w:autoSpaceDE w:val="0"/>
        <w:autoSpaceDN w:val="0"/>
        <w:bidi w:val="0"/>
        <w:adjustRightInd/>
        <w:snapToGrid/>
        <w:spacing w:line="740" w:lineRule="exact"/>
        <w:ind w:right="-26" w:firstLine="636" w:firstLineChars="196"/>
        <w:textAlignment w:val="bottom"/>
        <w:rPr>
          <w:rFonts w:hint="eastAsia" w:ascii="宋体" w:hAnsi="宋体"/>
          <w:b/>
          <w:color w:val="auto"/>
          <w:sz w:val="32"/>
          <w:szCs w:val="32"/>
          <w:highlight w:val="none"/>
          <w:lang w:eastAsia="zh-CN"/>
        </w:rPr>
      </w:pPr>
    </w:p>
    <w:p w14:paraId="7B6E13A1">
      <w:pPr>
        <w:keepNext w:val="0"/>
        <w:keepLines w:val="0"/>
        <w:pageBreakBefore w:val="0"/>
        <w:widowControl/>
        <w:kinsoku/>
        <w:wordWrap/>
        <w:overflowPunct/>
        <w:topLinePunct w:val="0"/>
        <w:autoSpaceDE w:val="0"/>
        <w:autoSpaceDN w:val="0"/>
        <w:bidi w:val="0"/>
        <w:adjustRightInd/>
        <w:snapToGrid/>
        <w:spacing w:line="740" w:lineRule="exact"/>
        <w:ind w:right="-26" w:firstLine="636" w:firstLineChars="196"/>
        <w:textAlignment w:val="bottom"/>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采购单位</w:t>
      </w: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青河县教育局（盖章）</w:t>
      </w:r>
    </w:p>
    <w:p w14:paraId="4A093A78">
      <w:pPr>
        <w:keepNext w:val="0"/>
        <w:keepLines w:val="0"/>
        <w:pageBreakBefore w:val="0"/>
        <w:widowControl/>
        <w:kinsoku/>
        <w:wordWrap/>
        <w:overflowPunct/>
        <w:topLinePunct w:val="0"/>
        <w:autoSpaceDE w:val="0"/>
        <w:autoSpaceDN w:val="0"/>
        <w:bidi w:val="0"/>
        <w:adjustRightInd/>
        <w:snapToGrid/>
        <w:spacing w:line="740" w:lineRule="exact"/>
        <w:ind w:right="-26" w:firstLine="636" w:firstLineChars="196"/>
        <w:textAlignment w:val="bottom"/>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代理机构：新疆鑫诚正昊项目咨询有限公司</w:t>
      </w:r>
      <w:r>
        <w:rPr>
          <w:rFonts w:hint="eastAsia" w:ascii="宋体" w:hAnsi="宋体"/>
          <w:b/>
          <w:color w:val="auto"/>
          <w:sz w:val="32"/>
          <w:szCs w:val="32"/>
          <w:highlight w:val="none"/>
          <w:lang w:val="en-US" w:eastAsia="zh-CN"/>
        </w:rPr>
        <w:t>（盖章）</w:t>
      </w:r>
    </w:p>
    <w:p w14:paraId="47D4C715">
      <w:pPr>
        <w:keepNext w:val="0"/>
        <w:keepLines w:val="0"/>
        <w:pageBreakBefore w:val="0"/>
        <w:widowControl/>
        <w:kinsoku/>
        <w:wordWrap/>
        <w:overflowPunct/>
        <w:topLinePunct w:val="0"/>
        <w:autoSpaceDE w:val="0"/>
        <w:autoSpaceDN w:val="0"/>
        <w:bidi w:val="0"/>
        <w:adjustRightInd/>
        <w:snapToGrid/>
        <w:spacing w:line="740" w:lineRule="exact"/>
        <w:ind w:right="-28" w:firstLine="636" w:firstLineChars="196"/>
        <w:textAlignment w:val="bottom"/>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 xml:space="preserve">日期：2025年6月     </w:t>
      </w:r>
    </w:p>
    <w:p w14:paraId="3D5AA47F">
      <w:pPr>
        <w:pStyle w:val="2"/>
        <w:rPr>
          <w:rFonts w:hint="eastAsia" w:ascii="宋体" w:hAnsi="宋体"/>
          <w:b/>
          <w:color w:val="auto"/>
          <w:sz w:val="32"/>
          <w:szCs w:val="32"/>
          <w:highlight w:val="none"/>
          <w:lang w:val="en-US" w:eastAsia="zh-CN"/>
        </w:rPr>
      </w:pPr>
    </w:p>
    <w:p w14:paraId="592096B7">
      <w:pPr>
        <w:rPr>
          <w:rFonts w:hint="eastAsia"/>
          <w:lang w:val="en-US" w:eastAsia="zh-CN"/>
        </w:rPr>
      </w:pPr>
    </w:p>
    <w:p w14:paraId="1FB23814">
      <w:pPr>
        <w:pStyle w:val="26"/>
        <w:spacing w:before="0" w:line="360" w:lineRule="auto"/>
        <w:jc w:val="center"/>
        <w:rPr>
          <w:rFonts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14:paraId="28D22C6F">
      <w:pPr>
        <w:rPr>
          <w:rFonts w:ascii="仿宋" w:hAnsi="仿宋" w:eastAsia="仿宋" w:cs="仿宋"/>
          <w:color w:val="auto"/>
          <w:sz w:val="30"/>
          <w:szCs w:val="30"/>
          <w:lang w:val="zh-CN"/>
        </w:rPr>
      </w:pPr>
    </w:p>
    <w:p w14:paraId="727B4B8C">
      <w:pPr>
        <w:spacing w:line="360" w:lineRule="auto"/>
        <w:rPr>
          <w:rFonts w:ascii="仿宋" w:hAnsi="仿宋" w:eastAsia="仿宋" w:cs="仿宋"/>
          <w:color w:val="auto"/>
          <w:sz w:val="30"/>
          <w:szCs w:val="30"/>
        </w:rPr>
      </w:pPr>
    </w:p>
    <w:p w14:paraId="2D7D6C1E">
      <w:pPr>
        <w:widowControl/>
        <w:rPr>
          <w:rFonts w:ascii="仿宋" w:hAnsi="仿宋" w:eastAsia="仿宋" w:cs="仿宋"/>
          <w:color w:val="auto"/>
          <w:sz w:val="30"/>
          <w:szCs w:val="30"/>
        </w:rPr>
      </w:pPr>
    </w:p>
    <w:p w14:paraId="74474957">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第一部分      竞争性</w:t>
      </w:r>
      <w:r>
        <w:rPr>
          <w:rFonts w:hint="eastAsia" w:ascii="仿宋" w:hAnsi="仿宋" w:eastAsia="仿宋" w:cs="仿宋"/>
          <w:b/>
          <w:color w:val="auto"/>
          <w:sz w:val="30"/>
          <w:szCs w:val="30"/>
          <w:lang w:eastAsia="zh-CN"/>
        </w:rPr>
        <w:t>谈判</w:t>
      </w:r>
      <w:r>
        <w:rPr>
          <w:rFonts w:hint="eastAsia" w:ascii="仿宋" w:hAnsi="仿宋" w:eastAsia="仿宋" w:cs="仿宋"/>
          <w:b/>
          <w:color w:val="auto"/>
          <w:sz w:val="30"/>
          <w:szCs w:val="30"/>
        </w:rPr>
        <w:t>公告</w:t>
      </w:r>
    </w:p>
    <w:p w14:paraId="6C8006E8">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第二部分      供应商须知</w:t>
      </w:r>
    </w:p>
    <w:p w14:paraId="35370C09">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 xml:space="preserve">第三部分      </w:t>
      </w:r>
      <w:r>
        <w:rPr>
          <w:rFonts w:hint="eastAsia" w:ascii="仿宋" w:hAnsi="仿宋" w:eastAsia="仿宋" w:cs="仿宋"/>
          <w:b/>
          <w:color w:val="auto"/>
          <w:sz w:val="30"/>
          <w:szCs w:val="30"/>
          <w:lang w:eastAsia="zh-CN"/>
        </w:rPr>
        <w:t>技术要</w:t>
      </w:r>
      <w:r>
        <w:rPr>
          <w:rFonts w:hint="eastAsia" w:ascii="仿宋" w:hAnsi="仿宋" w:eastAsia="仿宋" w:cs="仿宋"/>
          <w:b/>
          <w:color w:val="auto"/>
          <w:sz w:val="30"/>
          <w:szCs w:val="30"/>
        </w:rPr>
        <w:t>求</w:t>
      </w:r>
    </w:p>
    <w:p w14:paraId="19422FC1">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第四部分      合同文本（参考）</w:t>
      </w:r>
    </w:p>
    <w:p w14:paraId="458622CC">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第五部分      响应文件格式</w:t>
      </w:r>
    </w:p>
    <w:p w14:paraId="6932CD27">
      <w:pPr>
        <w:pStyle w:val="9"/>
        <w:numPr>
          <w:ilvl w:val="0"/>
          <w:numId w:val="0"/>
        </w:numPr>
        <w:tabs>
          <w:tab w:val="clear" w:pos="780"/>
        </w:tabs>
        <w:rPr>
          <w:rFonts w:ascii="仿宋" w:hAnsi="仿宋" w:eastAsia="仿宋" w:cs="仿宋"/>
          <w:color w:val="auto"/>
        </w:rPr>
      </w:pPr>
    </w:p>
    <w:p w14:paraId="465499F4">
      <w:pPr>
        <w:rPr>
          <w:rFonts w:ascii="仿宋" w:hAnsi="仿宋" w:eastAsia="仿宋" w:cs="仿宋"/>
          <w:color w:val="auto"/>
        </w:rPr>
      </w:pPr>
    </w:p>
    <w:p w14:paraId="68EA9043">
      <w:pPr>
        <w:pStyle w:val="5"/>
        <w:rPr>
          <w:rFonts w:ascii="仿宋" w:hAnsi="仿宋" w:eastAsia="仿宋" w:cs="仿宋"/>
          <w:color w:val="auto"/>
          <w:lang w:eastAsia="zh-CN"/>
        </w:rPr>
      </w:pPr>
    </w:p>
    <w:p w14:paraId="28E465EC">
      <w:pPr>
        <w:rPr>
          <w:rFonts w:ascii="仿宋" w:hAnsi="仿宋" w:eastAsia="仿宋" w:cs="仿宋"/>
          <w:color w:val="auto"/>
        </w:rPr>
      </w:pPr>
    </w:p>
    <w:p w14:paraId="0E78CED9">
      <w:pPr>
        <w:pStyle w:val="5"/>
        <w:rPr>
          <w:rFonts w:ascii="仿宋" w:hAnsi="仿宋" w:eastAsia="仿宋" w:cs="仿宋"/>
          <w:color w:val="auto"/>
        </w:rPr>
      </w:pPr>
    </w:p>
    <w:p w14:paraId="649E9F4C">
      <w:pPr>
        <w:rPr>
          <w:rFonts w:ascii="仿宋" w:hAnsi="仿宋" w:eastAsia="仿宋" w:cs="仿宋"/>
          <w:color w:val="auto"/>
        </w:rPr>
      </w:pPr>
    </w:p>
    <w:p w14:paraId="7A3D8A89">
      <w:pPr>
        <w:pStyle w:val="5"/>
        <w:rPr>
          <w:rFonts w:ascii="仿宋" w:hAnsi="仿宋" w:eastAsia="仿宋" w:cs="仿宋"/>
          <w:color w:val="auto"/>
        </w:rPr>
      </w:pPr>
    </w:p>
    <w:p w14:paraId="027AC8A0">
      <w:pPr>
        <w:rPr>
          <w:rFonts w:ascii="仿宋" w:hAnsi="仿宋" w:eastAsia="仿宋" w:cs="仿宋"/>
          <w:color w:val="auto"/>
        </w:rPr>
      </w:pPr>
    </w:p>
    <w:p w14:paraId="0CE27758">
      <w:pPr>
        <w:pStyle w:val="5"/>
        <w:rPr>
          <w:rFonts w:ascii="仿宋" w:hAnsi="仿宋" w:eastAsia="仿宋" w:cs="仿宋"/>
          <w:color w:val="auto"/>
        </w:rPr>
      </w:pPr>
    </w:p>
    <w:p w14:paraId="5F1A65CD">
      <w:pPr>
        <w:rPr>
          <w:rFonts w:ascii="仿宋" w:hAnsi="仿宋" w:eastAsia="仿宋" w:cs="仿宋"/>
          <w:color w:val="auto"/>
        </w:rPr>
      </w:pPr>
    </w:p>
    <w:p w14:paraId="611CDAB1">
      <w:pPr>
        <w:pStyle w:val="27"/>
        <w:keepNext/>
        <w:keepLines/>
        <w:pageBreakBefore w:val="0"/>
        <w:widowControl w:val="0"/>
        <w:numPr>
          <w:ilvl w:val="0"/>
          <w:numId w:val="2"/>
        </w:numPr>
        <w:kinsoku/>
        <w:wordWrap/>
        <w:overflowPunct/>
        <w:topLinePunct w:val="0"/>
        <w:autoSpaceDE/>
        <w:autoSpaceDN/>
        <w:bidi w:val="0"/>
        <w:adjustRightInd/>
        <w:snapToGrid/>
        <w:spacing w:before="120" w:after="300" w:line="400" w:lineRule="exact"/>
        <w:textAlignment w:val="auto"/>
        <w:rPr>
          <w:rFonts w:hint="eastAsia" w:ascii="仿宋" w:hAnsi="仿宋" w:eastAsia="仿宋" w:cs="仿宋"/>
          <w:b/>
          <w:bCs/>
          <w:color w:val="auto"/>
          <w:lang w:eastAsia="zh-CN"/>
        </w:rPr>
      </w:pPr>
      <w:r>
        <w:rPr>
          <w:rFonts w:hint="eastAsia" w:ascii="仿宋" w:hAnsi="仿宋" w:eastAsia="仿宋" w:cs="仿宋"/>
          <w:b/>
          <w:bCs/>
          <w:color w:val="auto"/>
          <w:lang w:eastAsia="zh-CN"/>
        </w:rPr>
        <w:t>竞争性谈判公告</w:t>
      </w:r>
      <w:bookmarkStart w:id="0" w:name="_Toc28359001"/>
      <w:bookmarkStart w:id="1" w:name="_Toc35393789"/>
    </w:p>
    <w:bookmarkEnd w:id="0"/>
    <w:bookmarkEnd w:id="1"/>
    <w:p w14:paraId="56F271B1">
      <w:pPr>
        <w:pStyle w:val="27"/>
        <w:keepNext/>
        <w:keepLines/>
        <w:pageBreakBefore w:val="0"/>
        <w:widowControl w:val="0"/>
        <w:numPr>
          <w:ilvl w:val="0"/>
          <w:numId w:val="0"/>
        </w:numPr>
        <w:kinsoku/>
        <w:wordWrap/>
        <w:overflowPunct/>
        <w:topLinePunct w:val="0"/>
        <w:autoSpaceDE/>
        <w:autoSpaceDN/>
        <w:bidi w:val="0"/>
        <w:adjustRightInd/>
        <w:snapToGrid/>
        <w:spacing w:before="120" w:after="300" w:line="400" w:lineRule="exact"/>
        <w:jc w:val="center"/>
        <w:textAlignment w:val="auto"/>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shd w:val="clear" w:color="auto" w:fill="FFFFFF"/>
          <w:lang w:eastAsia="zh-CN"/>
        </w:rPr>
        <w:t>青河县城乡中小学信息化教学能力提升项目竞争性谈判公告</w:t>
      </w:r>
    </w:p>
    <w:p w14:paraId="74B09A29">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beforeAutospacing="0" w:afterAutospacing="0"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97D9BEB">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highlight w:val="none"/>
          <w:lang w:eastAsia="zh-CN"/>
        </w:rPr>
        <w:t xml:space="preserve">  青河县城乡中小学信息化教学能力提升项目的潜在投标人应在供应商登陆政采云平台http://www.zcygov.cn/，在线申请获取谈判文件（登录政府采购云</w:t>
      </w:r>
      <w:r>
        <w:rPr>
          <w:rFonts w:hint="eastAsia" w:ascii="仿宋" w:hAnsi="仿宋" w:eastAsia="仿宋" w:cs="仿宋"/>
          <w:color w:val="auto"/>
          <w:sz w:val="24"/>
          <w:szCs w:val="24"/>
          <w:lang w:eastAsia="zh-CN"/>
        </w:rPr>
        <w:t>平台 → 项目采购 → 获取谈判文件 → 申请，审核通过后可下载谈判文件。获取采购文件，并于</w:t>
      </w:r>
      <w:bookmarkStart w:id="102" w:name="_GoBack"/>
      <w:r>
        <w:rPr>
          <w:rFonts w:hint="eastAsia" w:ascii="仿宋" w:hAnsi="仿宋" w:eastAsia="仿宋" w:cs="仿宋"/>
          <w:color w:val="auto"/>
          <w:sz w:val="24"/>
          <w:szCs w:val="24"/>
          <w:highlight w:val="none"/>
          <w:lang w:eastAsia="zh-CN"/>
        </w:rPr>
        <w:t>2025年06月23日16:30</w:t>
      </w:r>
      <w:bookmarkEnd w:id="102"/>
      <w:r>
        <w:rPr>
          <w:rFonts w:hint="eastAsia" w:ascii="仿宋" w:hAnsi="仿宋" w:eastAsia="仿宋" w:cs="仿宋"/>
          <w:color w:val="auto"/>
          <w:sz w:val="24"/>
          <w:szCs w:val="24"/>
          <w:highlight w:val="none"/>
          <w:lang w:eastAsia="zh-CN"/>
        </w:rPr>
        <w:t>（北京时间）前</w:t>
      </w:r>
      <w:r>
        <w:rPr>
          <w:rFonts w:hint="eastAsia" w:ascii="仿宋" w:hAnsi="仿宋" w:eastAsia="仿宋" w:cs="仿宋"/>
          <w:color w:val="auto"/>
          <w:sz w:val="24"/>
          <w:szCs w:val="24"/>
          <w:highlight w:val="none"/>
          <w:lang w:val="en-US" w:eastAsia="zh-CN"/>
        </w:rPr>
        <w:t>提交</w:t>
      </w:r>
      <w:r>
        <w:rPr>
          <w:rFonts w:hint="eastAsia" w:ascii="仿宋" w:hAnsi="仿宋" w:eastAsia="仿宋" w:cs="仿宋"/>
          <w:color w:val="auto"/>
          <w:sz w:val="24"/>
          <w:szCs w:val="24"/>
          <w:highlight w:val="none"/>
          <w:lang w:eastAsia="zh-CN"/>
        </w:rPr>
        <w:t>响</w:t>
      </w:r>
      <w:r>
        <w:rPr>
          <w:rFonts w:hint="eastAsia" w:ascii="仿宋" w:hAnsi="仿宋" w:eastAsia="仿宋" w:cs="仿宋"/>
          <w:color w:val="auto"/>
          <w:sz w:val="24"/>
          <w:szCs w:val="24"/>
          <w:lang w:eastAsia="zh-CN"/>
        </w:rPr>
        <w:t>应文件。</w:t>
      </w:r>
    </w:p>
    <w:p w14:paraId="10F59B45">
      <w:pPr>
        <w:pStyle w:val="4"/>
        <w:pageBreakBefore w:val="0"/>
        <w:kinsoku/>
        <w:wordWrap/>
        <w:overflowPunct/>
        <w:topLinePunct w:val="0"/>
        <w:autoSpaceDE/>
        <w:autoSpaceDN/>
        <w:bidi w:val="0"/>
        <w:adjustRightInd/>
        <w:snapToGrid/>
        <w:spacing w:beforeAutospacing="0" w:afterAutospacing="0" w:line="440" w:lineRule="exact"/>
        <w:jc w:val="left"/>
        <w:rPr>
          <w:rFonts w:ascii="仿宋" w:hAnsi="仿宋" w:eastAsia="仿宋" w:cs="仿宋"/>
          <w:b w:val="0"/>
          <w:color w:val="auto"/>
          <w:sz w:val="24"/>
          <w:szCs w:val="24"/>
        </w:rPr>
      </w:pPr>
      <w:bookmarkStart w:id="2" w:name="_Toc28359079"/>
      <w:bookmarkStart w:id="3" w:name="_Toc35393621"/>
      <w:bookmarkStart w:id="4" w:name="_Toc28359002"/>
      <w:bookmarkStart w:id="5" w:name="_Toc35393790"/>
      <w:bookmarkStart w:id="6" w:name="_Hlk24379207"/>
      <w:r>
        <w:rPr>
          <w:rFonts w:hint="eastAsia" w:ascii="仿宋" w:hAnsi="仿宋" w:eastAsia="仿宋" w:cs="仿宋"/>
          <w:b w:val="0"/>
          <w:color w:val="auto"/>
          <w:sz w:val="24"/>
          <w:szCs w:val="24"/>
        </w:rPr>
        <w:t>一、项目基本情况</w:t>
      </w:r>
      <w:bookmarkEnd w:id="2"/>
      <w:bookmarkEnd w:id="3"/>
      <w:bookmarkEnd w:id="4"/>
      <w:bookmarkEnd w:id="5"/>
    </w:p>
    <w:bookmarkEnd w:id="6"/>
    <w:p w14:paraId="05DF869C">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highlight w:val="none"/>
          <w:lang w:eastAsia="zh-CN"/>
        </w:rPr>
        <w:t>ZFCGQ-ZHZB2025041</w:t>
      </w:r>
    </w:p>
    <w:p w14:paraId="04ADD036">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青河县城乡中小学信息化教学能力提升项目</w:t>
      </w:r>
    </w:p>
    <w:p w14:paraId="50FA85C1">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采购方式：竞争性谈判</w:t>
      </w:r>
    </w:p>
    <w:p w14:paraId="34FE7391">
      <w:pPr>
        <w:pageBreakBefore w:val="0"/>
        <w:kinsoku/>
        <w:wordWrap/>
        <w:overflowPunct/>
        <w:topLinePunct w:val="0"/>
        <w:autoSpaceDE/>
        <w:autoSpaceDN/>
        <w:bidi w:val="0"/>
        <w:spacing w:beforeAutospacing="0" w:afterAutospacing="0" w:line="440" w:lineRule="exact"/>
        <w:ind w:firstLine="49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eastAsia="zh-CN"/>
        </w:rPr>
        <w:t>（元）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976500</w:t>
      </w:r>
    </w:p>
    <w:p w14:paraId="1AC3AC0B">
      <w:pPr>
        <w:pageBreakBefore w:val="0"/>
        <w:kinsoku/>
        <w:wordWrap/>
        <w:overflowPunct/>
        <w:topLinePunct w:val="0"/>
        <w:autoSpaceDE/>
        <w:autoSpaceDN/>
        <w:bidi w:val="0"/>
        <w:spacing w:beforeAutospacing="0" w:afterAutospacing="0" w:line="440" w:lineRule="exact"/>
        <w:ind w:firstLine="490" w:firstLineChars="200"/>
        <w:rPr>
          <w:color w:val="auto"/>
          <w:sz w:val="24"/>
          <w:szCs w:val="24"/>
          <w:highlight w:val="none"/>
          <w:lang w:eastAsia="zh-CN"/>
        </w:rPr>
      </w:pPr>
      <w:r>
        <w:rPr>
          <w:rFonts w:hint="eastAsia" w:ascii="仿宋" w:hAnsi="仿宋" w:eastAsia="仿宋" w:cs="仿宋"/>
          <w:color w:val="auto"/>
          <w:kern w:val="2"/>
          <w:sz w:val="24"/>
          <w:szCs w:val="24"/>
          <w:highlight w:val="none"/>
          <w:lang w:eastAsia="zh-CN" w:bidi="ar-SA"/>
        </w:rPr>
        <w:t>采购需求：</w:t>
      </w:r>
      <w:r>
        <w:rPr>
          <w:rFonts w:hint="eastAsia" w:ascii="仿宋" w:hAnsi="仿宋" w:eastAsia="仿宋" w:cs="仿宋"/>
          <w:i w:val="0"/>
          <w:iCs w:val="0"/>
          <w:caps w:val="0"/>
          <w:color w:val="auto"/>
          <w:spacing w:val="0"/>
          <w:kern w:val="0"/>
          <w:sz w:val="24"/>
          <w:szCs w:val="24"/>
          <w:lang w:val="en-US" w:eastAsia="zh-CN" w:bidi="ar"/>
        </w:rPr>
        <w:t>采购阅卷系统1套、嵌入式全自动精品录播系统设备、智慧黑板18套、教学能力提升服务1套</w:t>
      </w:r>
      <w:r>
        <w:rPr>
          <w:rFonts w:hint="eastAsia" w:ascii="仿宋" w:hAnsi="仿宋" w:eastAsia="仿宋" w:cs="仿宋"/>
          <w:color w:val="auto"/>
          <w:sz w:val="24"/>
          <w:szCs w:val="24"/>
          <w:lang w:val="en-US" w:eastAsia="zh-CN"/>
        </w:rPr>
        <w:t>（具体采购内容及要求详见清单）</w:t>
      </w:r>
    </w:p>
    <w:p w14:paraId="3361355A">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 </w:t>
      </w:r>
      <w:r>
        <w:rPr>
          <w:rFonts w:hint="eastAsia" w:ascii="仿宋" w:hAnsi="仿宋" w:eastAsia="仿宋" w:cs="仿宋"/>
          <w:color w:val="auto"/>
          <w:sz w:val="24"/>
          <w:szCs w:val="24"/>
          <w:highlight w:val="none"/>
          <w:lang w:eastAsia="zh-CN"/>
        </w:rPr>
        <w:t>青河县城乡中小学信息化教学能力提升项目</w:t>
      </w:r>
      <w:r>
        <w:rPr>
          <w:rFonts w:hint="eastAsia" w:ascii="仿宋" w:hAnsi="仿宋" w:eastAsia="仿宋" w:cs="仿宋"/>
          <w:color w:val="auto"/>
          <w:sz w:val="24"/>
          <w:szCs w:val="24"/>
          <w:highlight w:val="none"/>
        </w:rPr>
        <w:t> </w:t>
      </w:r>
    </w:p>
    <w:p w14:paraId="71F5E755">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数量：</w:t>
      </w:r>
      <w:r>
        <w:rPr>
          <w:rFonts w:hint="eastAsia" w:ascii="仿宋" w:hAnsi="仿宋" w:eastAsia="仿宋" w:cs="仿宋"/>
          <w:color w:val="auto"/>
          <w:sz w:val="24"/>
          <w:szCs w:val="24"/>
          <w:highlight w:val="none"/>
          <w:lang w:val="en-US" w:eastAsia="zh-CN"/>
        </w:rPr>
        <w:t>1</w:t>
      </w:r>
    </w:p>
    <w:p w14:paraId="2952A95E">
      <w:pPr>
        <w:pStyle w:val="9"/>
        <w:pageBreakBefore w:val="0"/>
        <w:numPr>
          <w:ilvl w:val="0"/>
          <w:numId w:val="0"/>
        </w:numPr>
        <w:kinsoku/>
        <w:wordWrap/>
        <w:overflowPunct/>
        <w:topLinePunct w:val="0"/>
        <w:autoSpaceDE/>
        <w:autoSpaceDN/>
        <w:bidi w:val="0"/>
        <w:spacing w:beforeAutospacing="0" w:afterAutospacing="0" w:line="440" w:lineRule="exact"/>
        <w:ind w:firstLine="490" w:firstLineChars="200"/>
        <w:rPr>
          <w:rFonts w:hint="default"/>
          <w:lang w:val="en-US"/>
        </w:rPr>
      </w:pPr>
      <w:r>
        <w:rPr>
          <w:rFonts w:hint="eastAsia" w:ascii="仿宋" w:hAnsi="仿宋" w:eastAsia="仿宋" w:cs="仿宋"/>
          <w:color w:val="auto"/>
          <w:sz w:val="24"/>
          <w:szCs w:val="24"/>
          <w:lang w:val="en-US" w:eastAsia="zh-CN"/>
        </w:rPr>
        <w:t>单位：批</w:t>
      </w:r>
    </w:p>
    <w:p w14:paraId="2DA64F7C">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简要规格描述：</w:t>
      </w:r>
      <w:r>
        <w:rPr>
          <w:rFonts w:hint="eastAsia" w:ascii="仿宋" w:hAnsi="仿宋" w:eastAsia="仿宋" w:cs="仿宋"/>
          <w:i w:val="0"/>
          <w:iCs w:val="0"/>
          <w:caps w:val="0"/>
          <w:color w:val="auto"/>
          <w:spacing w:val="0"/>
          <w:kern w:val="0"/>
          <w:sz w:val="24"/>
          <w:szCs w:val="24"/>
          <w:lang w:val="en-US" w:eastAsia="zh-CN" w:bidi="ar"/>
        </w:rPr>
        <w:t>采购阅卷系统1套、嵌入式全自动精品录播系统设备、智慧黑板18套、教学能力提升服务1套（具体采购内容及要求详见清单）</w:t>
      </w:r>
    </w:p>
    <w:p w14:paraId="101F52A4">
      <w:pPr>
        <w:pageBreakBefore w:val="0"/>
        <w:kinsoku/>
        <w:wordWrap/>
        <w:overflowPunct/>
        <w:topLinePunct w:val="0"/>
        <w:autoSpaceDE/>
        <w:autoSpaceDN/>
        <w:bidi w:val="0"/>
        <w:spacing w:beforeAutospacing="0" w:afterAutospacing="0" w:line="440" w:lineRule="exact"/>
        <w:ind w:firstLine="49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备注:具体内容详见谈判文件</w:t>
      </w:r>
    </w:p>
    <w:p w14:paraId="6020D99E">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rPr>
        <w:t>合同履约期限：</w:t>
      </w:r>
      <w:r>
        <w:rPr>
          <w:rFonts w:hint="eastAsia" w:ascii="仿宋" w:hAnsi="仿宋" w:eastAsia="仿宋" w:cs="仿宋"/>
          <w:color w:val="auto"/>
          <w:sz w:val="24"/>
          <w:szCs w:val="24"/>
          <w:lang w:val="en-US" w:eastAsia="zh-CN"/>
        </w:rPr>
        <w:t>具体内容详见谈判文件</w:t>
      </w:r>
      <w:r>
        <w:rPr>
          <w:rFonts w:hint="eastAsia" w:ascii="仿宋" w:hAnsi="仿宋" w:eastAsia="仿宋" w:cs="仿宋"/>
          <w:color w:val="auto"/>
          <w:sz w:val="24"/>
          <w:szCs w:val="24"/>
          <w:lang w:eastAsia="zh-CN"/>
        </w:rPr>
        <w:t>。</w:t>
      </w:r>
    </w:p>
    <w:p w14:paraId="0935A508">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lang w:val="en-US" w:eastAsia="zh-CN"/>
        </w:rPr>
        <w:t>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接受联合体投标。</w:t>
      </w:r>
    </w:p>
    <w:p w14:paraId="7AB7D0B1">
      <w:pPr>
        <w:pStyle w:val="4"/>
        <w:pageBreakBefore w:val="0"/>
        <w:numPr>
          <w:ilvl w:val="0"/>
          <w:numId w:val="3"/>
        </w:numPr>
        <w:kinsoku/>
        <w:wordWrap/>
        <w:overflowPunct/>
        <w:topLinePunct w:val="0"/>
        <w:autoSpaceDE/>
        <w:autoSpaceDN/>
        <w:bidi w:val="0"/>
        <w:adjustRightInd/>
        <w:snapToGrid/>
        <w:spacing w:beforeAutospacing="0" w:afterAutospacing="0" w:line="440" w:lineRule="exact"/>
        <w:jc w:val="left"/>
        <w:rPr>
          <w:rFonts w:ascii="仿宋" w:hAnsi="仿宋" w:eastAsia="仿宋" w:cs="仿宋"/>
          <w:color w:val="auto"/>
          <w:sz w:val="24"/>
          <w:szCs w:val="24"/>
        </w:rPr>
      </w:pPr>
      <w:bookmarkStart w:id="7" w:name="_Toc28359003"/>
      <w:bookmarkStart w:id="8" w:name="_Toc35393791"/>
      <w:bookmarkStart w:id="9" w:name="_Toc28359080"/>
      <w:bookmarkStart w:id="10" w:name="_Toc35393622"/>
      <w:r>
        <w:rPr>
          <w:rFonts w:hint="eastAsia" w:ascii="仿宋" w:hAnsi="仿宋" w:eastAsia="仿宋" w:cs="仿宋"/>
          <w:color w:val="auto"/>
          <w:sz w:val="24"/>
          <w:szCs w:val="24"/>
        </w:rPr>
        <w:t>申请人的资格要求：</w:t>
      </w:r>
      <w:bookmarkEnd w:id="7"/>
      <w:bookmarkEnd w:id="8"/>
      <w:bookmarkEnd w:id="9"/>
      <w:bookmarkEnd w:id="10"/>
    </w:p>
    <w:p w14:paraId="2A9B570E">
      <w:pPr>
        <w:pageBreakBefore w:val="0"/>
        <w:kinsoku/>
        <w:wordWrap/>
        <w:overflowPunct/>
        <w:topLinePunct w:val="0"/>
        <w:autoSpaceDE/>
        <w:autoSpaceDN/>
        <w:bidi w:val="0"/>
        <w:spacing w:beforeAutospacing="0" w:afterAutospacing="0"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highlight w:val="none"/>
          <w:lang w:eastAsia="zh-CN"/>
        </w:rPr>
        <w:t xml:space="preserve"> 1.满足《中华人民共和国政府采购法》第二十二条规定；</w:t>
      </w:r>
    </w:p>
    <w:p w14:paraId="0CE63977">
      <w:pPr>
        <w:pStyle w:val="25"/>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bookmarkStart w:id="11" w:name="_Toc35393623"/>
      <w:bookmarkStart w:id="12" w:name="_Toc28359004"/>
      <w:bookmarkStart w:id="13" w:name="_Toc28359081"/>
      <w:bookmarkStart w:id="14" w:name="_Toc35393792"/>
      <w:r>
        <w:rPr>
          <w:rFonts w:hint="eastAsia" w:ascii="仿宋" w:hAnsi="仿宋" w:eastAsia="仿宋" w:cs="仿宋"/>
          <w:color w:val="auto"/>
          <w:sz w:val="24"/>
          <w:szCs w:val="24"/>
          <w:highlight w:val="none"/>
          <w:lang w:eastAsia="zh-CN"/>
        </w:rPr>
        <w:t>2.落实政府采购政策需满足的资格要求：</w:t>
      </w:r>
      <w:r>
        <w:rPr>
          <w:rFonts w:hint="eastAsia" w:ascii="仿宋" w:hAnsi="仿宋" w:eastAsia="仿宋" w:cs="仿宋"/>
          <w:color w:val="auto"/>
          <w:sz w:val="24"/>
          <w:szCs w:val="24"/>
          <w:highlight w:val="none"/>
          <w:lang w:val="en-US" w:eastAsia="zh-CN"/>
        </w:rPr>
        <w:t>标项1：</w:t>
      </w:r>
      <w:r>
        <w:rPr>
          <w:rFonts w:hint="eastAsia" w:ascii="仿宋" w:hAnsi="仿宋" w:eastAsia="仿宋" w:cs="仿宋"/>
          <w:color w:val="auto"/>
          <w:sz w:val="24"/>
          <w:szCs w:val="24"/>
          <w:highlight w:val="none"/>
          <w:lang w:eastAsia="zh-CN"/>
        </w:rPr>
        <w:t>供应商为中小企业</w:t>
      </w:r>
    </w:p>
    <w:p w14:paraId="5AA07E8C">
      <w:pPr>
        <w:pStyle w:val="25"/>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3.本项目的特定资格要求：</w:t>
      </w:r>
    </w:p>
    <w:p w14:paraId="5CB0D253">
      <w:pPr>
        <w:pStyle w:val="25"/>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1).具备</w:t>
      </w:r>
      <w:r>
        <w:rPr>
          <w:rFonts w:hint="eastAsia" w:ascii="仿宋" w:hAnsi="仿宋" w:eastAsia="仿宋" w:cs="仿宋"/>
          <w:color w:val="auto"/>
          <w:sz w:val="24"/>
          <w:szCs w:val="24"/>
          <w:highlight w:val="none"/>
          <w:lang w:val="en-US" w:eastAsia="zh-CN"/>
        </w:rPr>
        <w:t>有效的</w:t>
      </w:r>
      <w:r>
        <w:rPr>
          <w:rFonts w:hint="eastAsia" w:ascii="仿宋" w:hAnsi="仿宋" w:eastAsia="仿宋" w:cs="仿宋"/>
          <w:color w:val="auto"/>
          <w:sz w:val="24"/>
          <w:szCs w:val="24"/>
          <w:highlight w:val="none"/>
          <w:lang w:eastAsia="zh-CN"/>
        </w:rPr>
        <w:t>营业执照副本；</w:t>
      </w:r>
    </w:p>
    <w:p w14:paraId="4308ECD5">
      <w:pPr>
        <w:pStyle w:val="25"/>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2).法定代表人投标须提供法定代表人资格证明书，委托代理人投标须提供法定代表人授权委托书；</w:t>
      </w:r>
      <w:r>
        <w:rPr>
          <w:rFonts w:hint="eastAsia" w:ascii="仿宋" w:hAnsi="仿宋" w:eastAsia="仿宋" w:cs="仿宋"/>
          <w:color w:val="auto"/>
          <w:sz w:val="24"/>
          <w:szCs w:val="24"/>
          <w:highlight w:val="none"/>
          <w:lang w:val="en-US" w:eastAsia="zh-CN"/>
        </w:rPr>
        <w:t xml:space="preserve"> </w:t>
      </w:r>
    </w:p>
    <w:p w14:paraId="79685B07">
      <w:pPr>
        <w:pStyle w:val="25"/>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aps w:val="0"/>
          <w:color w:val="auto"/>
          <w:spacing w:val="0"/>
          <w:kern w:val="0"/>
          <w:sz w:val="24"/>
          <w:szCs w:val="24"/>
          <w:highlight w:val="none"/>
          <w:lang w:val="en-US" w:eastAsia="zh-CN" w:bidi="ar"/>
        </w:rPr>
        <w:t>按照《财政部关于在政府采购活动中查询及使用信用记录有关问题的通知》（财库（2016）125号）的要求，被“信用中国”网站、“中国政府采购网”网站列入失信被执行人、政府采购严重违法失信行为记录名单的，不得参与本项目的政府采购活动；</w:t>
      </w:r>
      <w:r>
        <w:rPr>
          <w:rFonts w:hint="eastAsia" w:ascii="仿宋" w:hAnsi="仿宋" w:eastAsia="仿宋" w:cs="仿宋"/>
          <w:i w:val="0"/>
          <w:iCs w:val="0"/>
          <w:caps w:val="0"/>
          <w:color w:val="auto"/>
          <w:spacing w:val="0"/>
          <w:kern w:val="0"/>
          <w:sz w:val="24"/>
          <w:szCs w:val="24"/>
          <w:lang w:val="en-US" w:eastAsia="zh-CN" w:bidi="ar"/>
        </w:rPr>
        <w:t>单位负责人为同一人或者存在直接控股、管理关系的不同投标人，不得参加同一合同项下的政府采购活动</w:t>
      </w:r>
      <w:r>
        <w:rPr>
          <w:rFonts w:hint="eastAsia" w:ascii="仿宋" w:hAnsi="仿宋" w:eastAsia="仿宋" w:cs="仿宋"/>
          <w:color w:val="auto"/>
          <w:sz w:val="24"/>
          <w:szCs w:val="24"/>
          <w:highlight w:val="none"/>
          <w:lang w:eastAsia="zh-CN"/>
        </w:rPr>
        <w:t>；</w:t>
      </w:r>
    </w:p>
    <w:p w14:paraId="27F688C5">
      <w:pPr>
        <w:pStyle w:val="4"/>
        <w:keepNext/>
        <w:keepLines/>
        <w:pageBreakBefore w:val="0"/>
        <w:kinsoku/>
        <w:wordWrap/>
        <w:overflowPunct/>
        <w:topLinePunct w:val="0"/>
        <w:autoSpaceDE/>
        <w:autoSpaceDN/>
        <w:bidi w:val="0"/>
        <w:adjustRightInd/>
        <w:snapToGrid/>
        <w:spacing w:beforeAutospacing="0" w:afterAutospacing="0" w:line="440" w:lineRule="exact"/>
        <w:jc w:val="left"/>
        <w:rPr>
          <w:rFonts w:ascii="仿宋" w:hAnsi="仿宋" w:eastAsia="仿宋" w:cs="仿宋"/>
          <w:color w:val="auto"/>
          <w:sz w:val="24"/>
          <w:szCs w:val="24"/>
          <w:lang w:eastAsia="zh-CN"/>
        </w:rPr>
      </w:pPr>
      <w:r>
        <w:rPr>
          <w:rFonts w:hint="eastAsia" w:ascii="仿宋" w:hAnsi="仿宋" w:eastAsia="仿宋" w:cs="仿宋"/>
          <w:color w:val="auto"/>
          <w:sz w:val="24"/>
          <w:szCs w:val="24"/>
        </w:rPr>
        <w:t>三、获取</w:t>
      </w:r>
      <w:bookmarkEnd w:id="11"/>
      <w:bookmarkEnd w:id="12"/>
      <w:bookmarkEnd w:id="13"/>
      <w:bookmarkEnd w:id="14"/>
      <w:r>
        <w:rPr>
          <w:rFonts w:hint="eastAsia" w:ascii="仿宋" w:hAnsi="仿宋" w:eastAsia="仿宋" w:cs="仿宋"/>
          <w:color w:val="auto"/>
          <w:sz w:val="24"/>
          <w:szCs w:val="24"/>
          <w:lang w:eastAsia="zh-CN"/>
        </w:rPr>
        <w:t>谈判文件</w:t>
      </w:r>
    </w:p>
    <w:p w14:paraId="69C1177D">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none"/>
          <w:lang w:eastAsia="zh-CN"/>
        </w:rPr>
        <w:t>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 xml:space="preserve"> 06</w:t>
      </w:r>
      <w:r>
        <w:rPr>
          <w:rFonts w:hint="eastAsia" w:ascii="仿宋" w:hAnsi="仿宋" w:eastAsia="仿宋" w:cs="仿宋"/>
          <w:color w:val="auto"/>
          <w:sz w:val="24"/>
          <w:szCs w:val="24"/>
          <w:highlight w:val="none"/>
          <w:u w:val="none"/>
          <w:lang w:eastAsia="zh-CN"/>
        </w:rPr>
        <w:t>月</w:t>
      </w:r>
      <w:r>
        <w:rPr>
          <w:rFonts w:hint="eastAsia" w:ascii="仿宋" w:hAnsi="仿宋" w:eastAsia="仿宋" w:cs="仿宋"/>
          <w:color w:val="auto"/>
          <w:sz w:val="24"/>
          <w:szCs w:val="24"/>
          <w:highlight w:val="none"/>
          <w:u w:val="none"/>
          <w:lang w:val="en-US" w:eastAsia="zh-CN"/>
        </w:rPr>
        <w:t>18</w:t>
      </w:r>
      <w:r>
        <w:rPr>
          <w:rFonts w:hint="eastAsia" w:ascii="仿宋" w:hAnsi="仿宋" w:eastAsia="仿宋" w:cs="仿宋"/>
          <w:color w:val="auto"/>
          <w:sz w:val="24"/>
          <w:szCs w:val="24"/>
          <w:highlight w:val="none"/>
          <w:lang w:eastAsia="zh-CN"/>
        </w:rPr>
        <w:t>日至</w:t>
      </w:r>
      <w:r>
        <w:rPr>
          <w:rFonts w:hint="eastAsia" w:ascii="仿宋" w:hAnsi="仿宋" w:eastAsia="仿宋" w:cs="仿宋"/>
          <w:color w:val="auto"/>
          <w:sz w:val="24"/>
          <w:szCs w:val="24"/>
          <w:highlight w:val="none"/>
          <w:u w:val="none"/>
          <w:lang w:eastAsia="zh-CN"/>
        </w:rPr>
        <w:t>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eastAsia="zh-CN"/>
        </w:rPr>
        <w:t>日，每天</w:t>
      </w:r>
      <w:r>
        <w:rPr>
          <w:rFonts w:hint="eastAsia" w:ascii="仿宋" w:hAnsi="仿宋" w:eastAsia="仿宋" w:cs="仿宋"/>
          <w:color w:val="auto"/>
          <w:sz w:val="24"/>
          <w:szCs w:val="24"/>
          <w:lang w:eastAsia="zh-CN"/>
        </w:rPr>
        <w:t>上午10:00至1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0，下午16:</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0至</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0（北京时间，</w:t>
      </w:r>
      <w:r>
        <w:rPr>
          <w:rFonts w:hint="eastAsia" w:ascii="仿宋" w:hAnsi="仿宋" w:eastAsia="仿宋" w:cs="仿宋"/>
          <w:color w:val="auto"/>
          <w:sz w:val="24"/>
          <w:szCs w:val="24"/>
          <w:lang w:val="en-US" w:eastAsia="zh-CN"/>
        </w:rPr>
        <w:t>法定</w:t>
      </w:r>
      <w:r>
        <w:rPr>
          <w:rFonts w:hint="eastAsia" w:ascii="仿宋" w:hAnsi="仿宋" w:eastAsia="仿宋" w:cs="仿宋"/>
          <w:color w:val="auto"/>
          <w:sz w:val="24"/>
          <w:szCs w:val="24"/>
          <w:lang w:eastAsia="zh-CN"/>
        </w:rPr>
        <w:t>节假日除外）</w:t>
      </w:r>
    </w:p>
    <w:p w14:paraId="17C3C5E9">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bookmarkStart w:id="15" w:name="_Toc28359082"/>
      <w:bookmarkStart w:id="16" w:name="_Toc35393624"/>
      <w:bookmarkStart w:id="17" w:name="_Toc35393793"/>
      <w:bookmarkStart w:id="18" w:name="_Toc28359005"/>
      <w:r>
        <w:rPr>
          <w:rFonts w:hint="eastAsia" w:ascii="仿宋" w:hAnsi="仿宋" w:eastAsia="仿宋" w:cs="仿宋"/>
          <w:color w:val="auto"/>
          <w:sz w:val="24"/>
          <w:szCs w:val="24"/>
          <w:lang w:eastAsia="zh-CN"/>
        </w:rPr>
        <w:t>地点：供应商登陆政采云平台http://www.zcygov.cn/，在线申请获取谈判文件（登录政府采购云平台 → 项目采购 → 获取谈判文件→申请，审核通过后可下载谈判文件。</w:t>
      </w:r>
    </w:p>
    <w:p w14:paraId="1E8EE20D">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方式：（1）线上获取（登录政府采购云平台 → 项目采购 → 获取谈判文件→ 申请，审核通过后可下载谈判文件）。本次谈判不提供纸质版谈判文件。</w:t>
      </w:r>
    </w:p>
    <w:p w14:paraId="011035AB">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（2）供应商获取谈判文件前应注册成为政府采购云平台正式供应商。</w:t>
      </w:r>
    </w:p>
    <w:p w14:paraId="56F9678A">
      <w:pPr>
        <w:pageBreakBefore w:val="0"/>
        <w:tabs>
          <w:tab w:val="left" w:pos="366"/>
        </w:tabs>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售价（元）：0</w:t>
      </w:r>
    </w:p>
    <w:p w14:paraId="741CCEA0">
      <w:pPr>
        <w:pStyle w:val="4"/>
        <w:keepNext/>
        <w:keepLines/>
        <w:pageBreakBefore w:val="0"/>
        <w:kinsoku/>
        <w:wordWrap/>
        <w:overflowPunct/>
        <w:topLinePunct w:val="0"/>
        <w:autoSpaceDE/>
        <w:autoSpaceDN/>
        <w:bidi w:val="0"/>
        <w:adjustRightInd/>
        <w:snapToGrid/>
        <w:spacing w:beforeAutospacing="0" w:afterAutospacing="0" w:line="440" w:lineRule="exact"/>
        <w:jc w:val="left"/>
        <w:rPr>
          <w:rFonts w:ascii="仿宋" w:hAnsi="仿宋" w:eastAsia="仿宋" w:cs="仿宋"/>
          <w:color w:val="auto"/>
          <w:sz w:val="24"/>
          <w:szCs w:val="24"/>
          <w:lang w:eastAsia="zh-CN"/>
        </w:rPr>
      </w:pPr>
      <w:r>
        <w:rPr>
          <w:rFonts w:hint="eastAsia" w:ascii="仿宋" w:hAnsi="仿宋" w:eastAsia="仿宋" w:cs="仿宋"/>
          <w:color w:val="auto"/>
          <w:sz w:val="24"/>
          <w:szCs w:val="24"/>
        </w:rPr>
        <w:t>四、</w:t>
      </w:r>
      <w:bookmarkEnd w:id="15"/>
      <w:bookmarkEnd w:id="16"/>
      <w:bookmarkEnd w:id="17"/>
      <w:bookmarkEnd w:id="18"/>
      <w:r>
        <w:rPr>
          <w:rFonts w:hint="eastAsia" w:ascii="仿宋" w:hAnsi="仿宋" w:eastAsia="仿宋" w:cs="仿宋"/>
          <w:color w:val="auto"/>
          <w:sz w:val="24"/>
          <w:szCs w:val="24"/>
          <w:lang w:eastAsia="zh-CN"/>
        </w:rPr>
        <w:t>响应文件提交（上传）</w:t>
      </w:r>
    </w:p>
    <w:p w14:paraId="7CA56EE0">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截止时间：2025年06月23日16:30</w:t>
      </w:r>
      <w:r>
        <w:rPr>
          <w:rFonts w:hint="eastAsia" w:ascii="仿宋" w:hAnsi="仿宋" w:eastAsia="仿宋" w:cs="仿宋"/>
          <w:color w:val="auto"/>
          <w:sz w:val="24"/>
          <w:szCs w:val="24"/>
          <w:highlight w:val="none"/>
          <w:lang w:eastAsia="zh-CN"/>
        </w:rPr>
        <w:t>（北京时间）</w:t>
      </w:r>
    </w:p>
    <w:p w14:paraId="19FA3EDE">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kern w:val="2"/>
          <w:sz w:val="24"/>
          <w:szCs w:val="24"/>
          <w:lang w:eastAsia="zh-CN" w:bidi="ar-SA"/>
        </w:rPr>
      </w:pPr>
      <w:bookmarkStart w:id="19" w:name="_Toc28359084"/>
      <w:bookmarkStart w:id="20" w:name="_Toc35393794"/>
      <w:bookmarkStart w:id="21" w:name="_Toc35393625"/>
      <w:bookmarkStart w:id="22" w:name="_Toc28359007"/>
      <w:r>
        <w:rPr>
          <w:rFonts w:hint="eastAsia" w:ascii="仿宋" w:hAnsi="仿宋" w:eastAsia="仿宋" w:cs="仿宋"/>
          <w:color w:val="auto"/>
          <w:sz w:val="24"/>
          <w:szCs w:val="24"/>
          <w:lang w:eastAsia="zh-CN"/>
        </w:rPr>
        <w:t>投标地点：政府采购云平台（</w:t>
      </w:r>
      <w:r>
        <w:rPr>
          <w:color w:val="auto"/>
          <w:sz w:val="24"/>
          <w:szCs w:val="24"/>
        </w:rPr>
        <w:fldChar w:fldCharType="begin"/>
      </w:r>
      <w:r>
        <w:rPr>
          <w:color w:val="auto"/>
          <w:sz w:val="24"/>
          <w:szCs w:val="24"/>
        </w:rPr>
        <w:instrText xml:space="preserve"> HYPERLINK "http://www.zcygov.cn" </w:instrText>
      </w:r>
      <w:r>
        <w:rPr>
          <w:color w:val="auto"/>
          <w:sz w:val="24"/>
          <w:szCs w:val="24"/>
        </w:rPr>
        <w:fldChar w:fldCharType="separate"/>
      </w:r>
      <w:r>
        <w:rPr>
          <w:rFonts w:hint="eastAsia" w:ascii="仿宋" w:hAnsi="仿宋" w:eastAsia="仿宋" w:cs="仿宋"/>
          <w:color w:val="auto"/>
          <w:sz w:val="24"/>
          <w:szCs w:val="24"/>
          <w:lang w:eastAsia="zh-CN"/>
        </w:rPr>
        <w:t>www.zcygov.cn</w:t>
      </w:r>
      <w:r>
        <w:rPr>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lang w:eastAsia="zh-CN"/>
        </w:rPr>
        <w:t>）</w:t>
      </w:r>
    </w:p>
    <w:p w14:paraId="2A3D2D25">
      <w:pPr>
        <w:pageBreakBefore w:val="0"/>
        <w:kinsoku/>
        <w:wordWrap/>
        <w:overflowPunct/>
        <w:topLinePunct w:val="0"/>
        <w:autoSpaceDE/>
        <w:autoSpaceDN/>
        <w:bidi w:val="0"/>
        <w:spacing w:beforeAutospacing="0" w:afterAutospacing="0" w:line="440" w:lineRule="exact"/>
        <w:rPr>
          <w:rFonts w:ascii="仿宋" w:hAnsi="仿宋" w:eastAsia="仿宋" w:cs="仿宋"/>
          <w:b/>
          <w:color w:val="auto"/>
          <w:sz w:val="24"/>
          <w:szCs w:val="24"/>
          <w:lang w:eastAsia="zh-CN" w:bidi="ar-SA"/>
        </w:rPr>
      </w:pPr>
      <w:r>
        <w:rPr>
          <w:rFonts w:hint="eastAsia" w:ascii="仿宋" w:hAnsi="仿宋" w:eastAsia="仿宋" w:cs="仿宋"/>
          <w:b/>
          <w:color w:val="auto"/>
          <w:sz w:val="24"/>
          <w:szCs w:val="24"/>
          <w:lang w:eastAsia="zh-CN" w:bidi="ar-SA"/>
        </w:rPr>
        <w:t>五、响应文件开启</w:t>
      </w:r>
    </w:p>
    <w:p w14:paraId="11F4DC35">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lang w:eastAsia="zh-CN"/>
        </w:rPr>
        <w:t>开启时间：</w:t>
      </w:r>
      <w:r>
        <w:rPr>
          <w:rFonts w:hint="eastAsia" w:ascii="仿宋" w:hAnsi="仿宋" w:eastAsia="仿宋" w:cs="仿宋"/>
          <w:color w:val="auto"/>
          <w:sz w:val="24"/>
          <w:szCs w:val="24"/>
          <w:highlight w:val="none"/>
          <w:lang w:eastAsia="zh-CN"/>
        </w:rPr>
        <w:t>2025年06月23日16:30（北京时间）</w:t>
      </w:r>
    </w:p>
    <w:p w14:paraId="5C990A73">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地点：政采云平台https://www.zcygov.cn </w:t>
      </w:r>
    </w:p>
    <w:p w14:paraId="1B21ECC5">
      <w:pPr>
        <w:pStyle w:val="4"/>
        <w:keepNext/>
        <w:keepLines/>
        <w:pageBreakBefore w:val="0"/>
        <w:kinsoku/>
        <w:wordWrap/>
        <w:overflowPunct/>
        <w:topLinePunct w:val="0"/>
        <w:autoSpaceDE/>
        <w:autoSpaceDN/>
        <w:bidi w:val="0"/>
        <w:adjustRightInd/>
        <w:snapToGrid/>
        <w:spacing w:beforeAutospacing="0" w:afterAutospacing="0" w:line="440" w:lineRule="exact"/>
        <w:jc w:val="left"/>
        <w:rPr>
          <w:rFonts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、公告期限</w:t>
      </w:r>
      <w:bookmarkEnd w:id="19"/>
      <w:bookmarkEnd w:id="20"/>
      <w:bookmarkEnd w:id="21"/>
      <w:bookmarkEnd w:id="22"/>
    </w:p>
    <w:p w14:paraId="670589CD">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自本公告发布之日起3个工作日</w:t>
      </w:r>
    </w:p>
    <w:p w14:paraId="336F3073">
      <w:pPr>
        <w:pStyle w:val="4"/>
        <w:keepNext/>
        <w:keepLines/>
        <w:pageBreakBefore w:val="0"/>
        <w:kinsoku/>
        <w:wordWrap/>
        <w:overflowPunct/>
        <w:topLinePunct w:val="0"/>
        <w:autoSpaceDE/>
        <w:autoSpaceDN/>
        <w:bidi w:val="0"/>
        <w:adjustRightInd/>
        <w:snapToGrid/>
        <w:spacing w:beforeAutospacing="0" w:afterAutospacing="0" w:line="440" w:lineRule="exact"/>
        <w:ind w:right="-926" w:rightChars="-378"/>
        <w:jc w:val="left"/>
        <w:rPr>
          <w:rFonts w:ascii="仿宋" w:hAnsi="仿宋" w:eastAsia="仿宋" w:cs="仿宋"/>
          <w:color w:val="auto"/>
          <w:sz w:val="24"/>
          <w:szCs w:val="24"/>
        </w:rPr>
      </w:pPr>
      <w:bookmarkStart w:id="23" w:name="_Toc35393795"/>
      <w:bookmarkStart w:id="24" w:name="_Toc35393626"/>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其他补充事宜</w:t>
      </w:r>
      <w:bookmarkEnd w:id="23"/>
      <w:bookmarkEnd w:id="24"/>
      <w:bookmarkStart w:id="25" w:name="_Toc28359008"/>
      <w:bookmarkStart w:id="26" w:name="_Toc35393796"/>
      <w:bookmarkStart w:id="27" w:name="_Toc35393627"/>
      <w:bookmarkStart w:id="28" w:name="_Toc28359085"/>
    </w:p>
    <w:p w14:paraId="5B0AF30F">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1.本项目采用全流程不见面电子开评标，投标供应商需要使用CA加密设备，供应商可通过新疆数字证书认证中心官网（https://www.xjca.com.cn/）或下载“新疆政务通”APP自行进行申领。</w:t>
      </w:r>
    </w:p>
    <w:p w14:paraId="0C87AC84">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2.本项目实行网上投标，采用加密电子响应文件(供应商须使用CA加密设备通过政采云电子投标客户端制作响应文件)。若供应商参与投标，自行承担投标一切费用。</w:t>
      </w:r>
    </w:p>
    <w:p w14:paraId="7A98908F">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2568D3D7">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400-881-7190进行咨询。</w:t>
      </w:r>
    </w:p>
    <w:p w14:paraId="4AF45860">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5.供应商在开标时须使用制作加密电子响应文件所使用的CA锁及电脑，电脑须提前配置好浏览器（建议使用谷歌浏览器），以便开标时解锁。</w:t>
      </w:r>
    </w:p>
    <w:p w14:paraId="7ABC69C3">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0607CE07">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7.为了保证开评标顺利进行，政采云线上开标功能完全实现，供应商开标所使用的电脑设备须具有视频及语音功能。</w:t>
      </w:r>
    </w:p>
    <w:p w14:paraId="427A4A04">
      <w:pPr>
        <w:pageBreakBefore w:val="0"/>
        <w:kinsoku/>
        <w:wordWrap/>
        <w:overflowPunct/>
        <w:topLinePunct w:val="0"/>
        <w:autoSpaceDE/>
        <w:autoSpaceDN/>
        <w:bidi w:val="0"/>
        <w:spacing w:beforeAutospacing="0" w:afterAutospacing="0" w:line="440" w:lineRule="exact"/>
        <w:rPr>
          <w:rFonts w:ascii="仿宋" w:hAnsi="仿宋" w:eastAsia="仿宋" w:cs="仿宋"/>
          <w:b/>
          <w:color w:val="auto"/>
          <w:sz w:val="24"/>
          <w:szCs w:val="24"/>
        </w:rPr>
      </w:pPr>
      <w:r>
        <w:rPr>
          <w:rFonts w:hint="eastAsia" w:ascii="仿宋" w:hAnsi="仿宋" w:eastAsia="仿宋" w:cs="仿宋"/>
          <w:b/>
          <w:color w:val="auto"/>
          <w:sz w:val="24"/>
          <w:szCs w:val="24"/>
          <w:lang w:eastAsia="zh-CN"/>
        </w:rPr>
        <w:t>八</w:t>
      </w:r>
      <w:r>
        <w:rPr>
          <w:rFonts w:hint="eastAsia" w:ascii="仿宋" w:hAnsi="仿宋" w:eastAsia="仿宋" w:cs="仿宋"/>
          <w:b/>
          <w:color w:val="auto"/>
          <w:sz w:val="24"/>
          <w:szCs w:val="24"/>
        </w:rPr>
        <w:t>、对本次招标提出询问，请按以下方式联系。</w:t>
      </w:r>
      <w:bookmarkEnd w:id="25"/>
      <w:bookmarkEnd w:id="26"/>
      <w:bookmarkEnd w:id="27"/>
      <w:bookmarkEnd w:id="28"/>
    </w:p>
    <w:p w14:paraId="3978C33A">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1.采购人信息</w:t>
      </w:r>
    </w:p>
    <w:p w14:paraId="37AAA0EA">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 称：青河县教育局</w:t>
      </w:r>
    </w:p>
    <w:p w14:paraId="192B363E">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址：青河县</w:t>
      </w:r>
    </w:p>
    <w:p w14:paraId="1BC3F9EE">
      <w:pPr>
        <w:pageBreakBefore w:val="0"/>
        <w:kinsoku/>
        <w:wordWrap/>
        <w:overflowPunct/>
        <w:topLinePunct w:val="0"/>
        <w:autoSpaceDE/>
        <w:autoSpaceDN/>
        <w:bidi w:val="0"/>
        <w:spacing w:beforeAutospacing="0" w:afterAutospacing="0" w:line="440" w:lineRule="exact"/>
        <w:ind w:firstLine="49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联系人：胡安汗</w:t>
      </w:r>
    </w:p>
    <w:p w14:paraId="1197BD01">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2.采购代理机构信息</w:t>
      </w:r>
    </w:p>
    <w:p w14:paraId="5E23EF45">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 称：新疆鑫诚正昊项目咨询有限公司</w:t>
      </w:r>
    </w:p>
    <w:p w14:paraId="009ECDD8">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址：阿勒泰地区阿勒泰市东风路2区将军城三期1栋</w:t>
      </w:r>
    </w:p>
    <w:p w14:paraId="538FD917">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联系方式：0906-6265012</w:t>
      </w:r>
    </w:p>
    <w:p w14:paraId="563C06A9">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项目联系方式</w:t>
      </w:r>
    </w:p>
    <w:p w14:paraId="445DCC9D">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项目联系人：刘安绮</w:t>
      </w:r>
    </w:p>
    <w:p w14:paraId="65DF9CE5">
      <w:pPr>
        <w:pStyle w:val="18"/>
        <w:keepNext w:val="0"/>
        <w:keepLines w:val="0"/>
        <w:pageBreakBefore w:val="0"/>
        <w:widowControl/>
        <w:suppressLineNumbers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 话：15099311555</w:t>
      </w:r>
    </w:p>
    <w:p w14:paraId="69502AFE">
      <w:pPr>
        <w:pStyle w:val="18"/>
        <w:keepNext w:val="0"/>
        <w:keepLines w:val="0"/>
        <w:pageBreakBefore w:val="0"/>
        <w:widowControl/>
        <w:suppressLineNumbers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p>
    <w:p w14:paraId="796BD342">
      <w:pPr>
        <w:pStyle w:val="18"/>
        <w:keepNext w:val="0"/>
        <w:keepLines w:val="0"/>
        <w:pageBreakBefore w:val="0"/>
        <w:widowControl/>
        <w:suppressLineNumbers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p>
    <w:p w14:paraId="0F9BB1ED">
      <w:pPr>
        <w:pStyle w:val="18"/>
        <w:keepNext w:val="0"/>
        <w:keepLines w:val="0"/>
        <w:pageBreakBefore w:val="0"/>
        <w:widowControl/>
        <w:suppressLineNumbers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p>
    <w:p w14:paraId="01506D01">
      <w:pPr>
        <w:pStyle w:val="18"/>
        <w:keepNext w:val="0"/>
        <w:keepLines w:val="0"/>
        <w:pageBreakBefore w:val="0"/>
        <w:widowControl/>
        <w:suppressLineNumbers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p>
    <w:p w14:paraId="11DACA95">
      <w:pPr>
        <w:pStyle w:val="27"/>
        <w:keepNext/>
        <w:keepLines/>
        <w:pageBreakBefore w:val="0"/>
        <w:widowControl w:val="0"/>
        <w:numPr>
          <w:ilvl w:val="0"/>
          <w:numId w:val="2"/>
        </w:numPr>
        <w:kinsoku/>
        <w:wordWrap/>
        <w:overflowPunct/>
        <w:topLinePunct w:val="0"/>
        <w:autoSpaceDE/>
        <w:autoSpaceDN/>
        <w:bidi w:val="0"/>
        <w:adjustRightInd/>
        <w:snapToGrid/>
        <w:spacing w:before="120" w:after="300" w:line="400" w:lineRule="exact"/>
        <w:jc w:val="center"/>
        <w:textAlignment w:val="auto"/>
        <w:rPr>
          <w:rFonts w:hint="eastAsia" w:ascii="仿宋" w:hAnsi="仿宋" w:eastAsia="仿宋" w:cs="仿宋"/>
          <w:b/>
          <w:bCs/>
          <w:color w:val="auto"/>
          <w:lang w:eastAsia="zh-CN"/>
        </w:rPr>
      </w:pPr>
      <w:r>
        <w:rPr>
          <w:rFonts w:hint="eastAsia" w:ascii="仿宋" w:hAnsi="仿宋" w:eastAsia="仿宋" w:cs="仿宋"/>
          <w:b/>
          <w:bCs/>
          <w:color w:val="auto"/>
          <w:lang w:eastAsia="zh-CN"/>
        </w:rPr>
        <w:t>供应商须知</w:t>
      </w:r>
    </w:p>
    <w:p w14:paraId="62CA6118">
      <w:pPr>
        <w:pStyle w:val="28"/>
        <w:spacing w:after="0"/>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须知前附表</w:t>
      </w:r>
    </w:p>
    <w:tbl>
      <w:tblPr>
        <w:tblStyle w:val="19"/>
        <w:tblpPr w:leftFromText="180" w:rightFromText="180" w:vertAnchor="text" w:horzAnchor="page" w:tblpX="928" w:tblpY="506"/>
        <w:tblOverlap w:val="never"/>
        <w:tblW w:w="5216"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646"/>
        <w:gridCol w:w="1765"/>
        <w:gridCol w:w="7980"/>
      </w:tblGrid>
      <w:tr w14:paraId="3A9AAE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trPr>
        <w:tc>
          <w:tcPr>
            <w:tcW w:w="311" w:type="pct"/>
            <w:noWrap w:val="0"/>
            <w:vAlign w:val="center"/>
          </w:tcPr>
          <w:p w14:paraId="091FD13E">
            <w:pPr>
              <w:pStyle w:val="11"/>
              <w:keepNext w:val="0"/>
              <w:keepLines w:val="0"/>
              <w:pageBreakBefore w:val="0"/>
              <w:kinsoku/>
              <w:wordWrap/>
              <w:overflowPunct/>
              <w:topLinePunct w:val="0"/>
              <w:autoSpaceDE/>
              <w:autoSpaceDN/>
              <w:bidi w:val="0"/>
              <w:adjustRightInd/>
              <w:snapToGrid w:val="0"/>
              <w:spacing w:line="480" w:lineRule="exact"/>
              <w:ind w:left="-110" w:leftChars="-45" w:right="-95" w:rightChars="-39"/>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条款号</w:t>
            </w:r>
          </w:p>
        </w:tc>
        <w:tc>
          <w:tcPr>
            <w:tcW w:w="849" w:type="pct"/>
            <w:noWrap w:val="0"/>
            <w:vAlign w:val="center"/>
          </w:tcPr>
          <w:p w14:paraId="3CBE8C4D">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内容</w:t>
            </w:r>
          </w:p>
        </w:tc>
        <w:tc>
          <w:tcPr>
            <w:tcW w:w="3839" w:type="pct"/>
            <w:noWrap w:val="0"/>
            <w:vAlign w:val="center"/>
          </w:tcPr>
          <w:p w14:paraId="14E47E61">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说明与要求</w:t>
            </w:r>
          </w:p>
        </w:tc>
      </w:tr>
      <w:tr w14:paraId="7C9589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noWrap w:val="0"/>
            <w:vAlign w:val="center"/>
          </w:tcPr>
          <w:p w14:paraId="2C5639CC">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49" w:type="pct"/>
            <w:noWrap w:val="0"/>
            <w:vAlign w:val="center"/>
          </w:tcPr>
          <w:p w14:paraId="52DAD41A">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0D170B84">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34A15B2B">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内容</w:t>
            </w:r>
          </w:p>
          <w:p w14:paraId="1E03E82E">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质保期</w:t>
            </w:r>
          </w:p>
        </w:tc>
        <w:tc>
          <w:tcPr>
            <w:tcW w:w="3839" w:type="pct"/>
            <w:noWrap w:val="0"/>
            <w:vAlign w:val="center"/>
          </w:tcPr>
          <w:p w14:paraId="561AA862">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val="en-US" w:eastAsia="zh-CN"/>
              </w:rPr>
              <w:t>青河县城乡中小学信息化教学能力提升项目</w:t>
            </w:r>
          </w:p>
          <w:p w14:paraId="759EF48B">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val="en-US" w:eastAsia="zh-CN"/>
              </w:rPr>
              <w:t>ZFCGQ-ZHZB2025041</w:t>
            </w:r>
          </w:p>
          <w:p w14:paraId="38E2FB91">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内容：</w:t>
            </w:r>
            <w:r>
              <w:rPr>
                <w:rFonts w:hint="eastAsia" w:ascii="仿宋" w:hAnsi="仿宋" w:eastAsia="仿宋" w:cs="仿宋"/>
                <w:i w:val="0"/>
                <w:iCs w:val="0"/>
                <w:caps w:val="0"/>
                <w:color w:val="auto"/>
                <w:spacing w:val="0"/>
                <w:kern w:val="0"/>
                <w:sz w:val="24"/>
                <w:szCs w:val="24"/>
                <w:lang w:val="en-US" w:eastAsia="zh-CN" w:bidi="ar"/>
              </w:rPr>
              <w:t>采购阅卷系统1套、嵌入式全自动精品录播系统设备、智慧黑板18套、教学能力提升服务1套（具体采购内容及要求详见清单）</w:t>
            </w:r>
          </w:p>
          <w:p w14:paraId="290F567A">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质保期：2年</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auto"/>
                <w:sz w:val="24"/>
                <w:szCs w:val="24"/>
                <w:highlight w:val="none"/>
              </w:rPr>
              <w:t>具体以甲乙双方签订合同为准）</w:t>
            </w:r>
          </w:p>
        </w:tc>
      </w:tr>
      <w:tr w14:paraId="6C007C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trPr>
        <w:tc>
          <w:tcPr>
            <w:tcW w:w="311" w:type="pct"/>
            <w:noWrap w:val="0"/>
            <w:vAlign w:val="center"/>
          </w:tcPr>
          <w:p w14:paraId="77AD0D1A">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49" w:type="pct"/>
            <w:noWrap w:val="0"/>
            <w:vAlign w:val="center"/>
          </w:tcPr>
          <w:p w14:paraId="49B60348">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采购人信息</w:t>
            </w:r>
          </w:p>
        </w:tc>
        <w:tc>
          <w:tcPr>
            <w:tcW w:w="3839" w:type="pct"/>
            <w:noWrap w:val="0"/>
            <w:vAlign w:val="center"/>
          </w:tcPr>
          <w:p w14:paraId="772B4D13">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w:t>
            </w:r>
            <w:r>
              <w:rPr>
                <w:rFonts w:hint="eastAsia" w:ascii="仿宋" w:hAnsi="仿宋" w:eastAsia="仿宋" w:cs="仿宋"/>
                <w:color w:val="auto"/>
                <w:sz w:val="24"/>
                <w:szCs w:val="24"/>
                <w:highlight w:val="none"/>
              </w:rPr>
              <w:t>购单位：</w:t>
            </w:r>
            <w:r>
              <w:rPr>
                <w:rFonts w:hint="eastAsia" w:ascii="仿宋" w:hAnsi="仿宋" w:eastAsia="仿宋" w:cs="仿宋"/>
                <w:color w:val="auto"/>
                <w:sz w:val="24"/>
                <w:szCs w:val="24"/>
                <w:highlight w:val="none"/>
                <w:lang w:val="en-US" w:eastAsia="zh-CN"/>
              </w:rPr>
              <w:t>青河县教育局</w:t>
            </w:r>
          </w:p>
          <w:p w14:paraId="0B8F9F4C">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r>
              <w:rPr>
                <w:rFonts w:hint="eastAsia" w:ascii="仿宋" w:hAnsi="仿宋" w:eastAsia="仿宋" w:cs="仿宋"/>
                <w:color w:val="auto"/>
                <w:sz w:val="24"/>
                <w:szCs w:val="24"/>
                <w:highlight w:val="none"/>
                <w:lang w:val="en-US" w:eastAsia="zh-CN"/>
              </w:rPr>
              <w:t xml:space="preserve">胡安汗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 xml:space="preserve">0906-8825694 </w:t>
            </w:r>
          </w:p>
        </w:tc>
      </w:tr>
      <w:tr w14:paraId="106A5C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trPr>
        <w:tc>
          <w:tcPr>
            <w:tcW w:w="311" w:type="pct"/>
            <w:noWrap w:val="0"/>
            <w:vAlign w:val="center"/>
          </w:tcPr>
          <w:p w14:paraId="0ABDFC81">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49" w:type="pct"/>
            <w:noWrap w:val="0"/>
            <w:vAlign w:val="center"/>
          </w:tcPr>
          <w:p w14:paraId="0404CC00">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tc>
        <w:tc>
          <w:tcPr>
            <w:tcW w:w="3839" w:type="pct"/>
            <w:noWrap w:val="0"/>
            <w:vAlign w:val="center"/>
          </w:tcPr>
          <w:p w14:paraId="7F9273EA">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rPr>
              <w:t>名  称：</w:t>
            </w:r>
            <w:r>
              <w:rPr>
                <w:rFonts w:hint="eastAsia" w:ascii="仿宋" w:hAnsi="仿宋" w:eastAsia="仿宋" w:cs="仿宋"/>
                <w:color w:val="auto"/>
                <w:kern w:val="0"/>
                <w:sz w:val="24"/>
                <w:szCs w:val="24"/>
                <w:highlight w:val="none"/>
                <w:lang w:val="en-US" w:eastAsia="zh-CN"/>
              </w:rPr>
              <w:t>新疆鑫诚正昊项目咨询有限公司</w:t>
            </w:r>
          </w:p>
          <w:p w14:paraId="442FA42C">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lang w:val="en-US" w:eastAsia="zh-CN"/>
              </w:rPr>
              <w:t xml:space="preserve">阿勒泰地区阿勒泰市东风路2区将军城三期1栋 </w:t>
            </w:r>
          </w:p>
          <w:p w14:paraId="5B4D7A8E">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lang w:val="en-US" w:eastAsia="zh-CN"/>
              </w:rPr>
              <w:t>刘安绮</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sz w:val="24"/>
                <w:szCs w:val="24"/>
                <w:highlight w:val="none"/>
                <w:shd w:val="clear" w:color="auto" w:fill="FFFFFF"/>
              </w:rPr>
              <w:t>联系</w:t>
            </w:r>
            <w:r>
              <w:rPr>
                <w:rFonts w:hint="eastAsia" w:ascii="仿宋" w:hAnsi="仿宋" w:eastAsia="仿宋" w:cs="仿宋"/>
                <w:color w:val="auto"/>
                <w:kern w:val="0"/>
                <w:sz w:val="24"/>
                <w:szCs w:val="24"/>
                <w:highlight w:val="none"/>
              </w:rPr>
              <w:t>电话：</w:t>
            </w:r>
            <w:r>
              <w:rPr>
                <w:rFonts w:hint="eastAsia" w:ascii="仿宋" w:hAnsi="仿宋" w:eastAsia="仿宋" w:cs="仿宋"/>
                <w:color w:val="auto"/>
                <w:kern w:val="2"/>
                <w:sz w:val="24"/>
                <w:szCs w:val="24"/>
                <w:highlight w:val="none"/>
                <w:lang w:val="en-US" w:eastAsia="zh-CN" w:bidi="ar"/>
              </w:rPr>
              <w:t>15099311555</w:t>
            </w:r>
          </w:p>
        </w:tc>
      </w:tr>
      <w:tr w14:paraId="6A77C7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noWrap w:val="0"/>
            <w:vAlign w:val="center"/>
          </w:tcPr>
          <w:p w14:paraId="65511DA1">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49" w:type="pct"/>
            <w:noWrap w:val="0"/>
            <w:vAlign w:val="center"/>
          </w:tcPr>
          <w:p w14:paraId="568DEFD3">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供货点</w:t>
            </w:r>
          </w:p>
        </w:tc>
        <w:tc>
          <w:tcPr>
            <w:tcW w:w="3839" w:type="pct"/>
            <w:noWrap w:val="0"/>
            <w:vAlign w:val="center"/>
          </w:tcPr>
          <w:p w14:paraId="0B34E6A5">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pacing w:val="7"/>
              </w:rPr>
              <w:t>采购人指定地点</w:t>
            </w:r>
          </w:p>
        </w:tc>
      </w:tr>
      <w:tr w14:paraId="565F24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noWrap w:val="0"/>
            <w:vAlign w:val="center"/>
          </w:tcPr>
          <w:p w14:paraId="58066B89">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49" w:type="pct"/>
            <w:noWrap w:val="0"/>
            <w:vAlign w:val="center"/>
          </w:tcPr>
          <w:p w14:paraId="22D82758">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3839" w:type="pct"/>
            <w:noWrap w:val="0"/>
            <w:vAlign w:val="center"/>
          </w:tcPr>
          <w:p w14:paraId="09BE795F">
            <w:pPr>
              <w:keepNext w:val="0"/>
              <w:keepLines w:val="0"/>
              <w:pageBreakBefore w:val="0"/>
              <w:widowControl/>
              <w:kinsoku/>
              <w:wordWrap/>
              <w:overflowPunct/>
              <w:topLinePunct w:val="0"/>
              <w:autoSpaceDE/>
              <w:autoSpaceDN/>
              <w:bidi w:val="0"/>
              <w:adjustRightInd/>
              <w:spacing w:line="480" w:lineRule="exact"/>
              <w:jc w:val="left"/>
              <w:textAlignment w:val="auto"/>
              <w:rPr>
                <w:rFonts w:hint="default" w:ascii="仿宋" w:hAnsi="仿宋" w:eastAsia="仿宋" w:cs="仿宋"/>
                <w:color w:val="auto"/>
                <w:sz w:val="24"/>
                <w:szCs w:val="24"/>
                <w:highlight w:val="none"/>
                <w:lang w:val="en-US"/>
              </w:rPr>
            </w:pPr>
            <w:r>
              <w:rPr>
                <w:rFonts w:hint="eastAsia" w:ascii="仿宋" w:hAnsi="仿宋" w:eastAsia="仿宋" w:cs="仿宋"/>
                <w:b w:val="0"/>
                <w:bCs w:val="0"/>
                <w:color w:val="auto"/>
                <w:sz w:val="24"/>
                <w:szCs w:val="24"/>
                <w:lang w:val="en-US" w:eastAsia="zh-CN"/>
              </w:rPr>
              <w:t>签订合同后，支付合同总额的30%预付款，货物全部到场并验收合格后，支付合同总额的80%；安装调试完成并验收合格，正常使用后支付剩余全部货款。</w:t>
            </w:r>
          </w:p>
        </w:tc>
      </w:tr>
      <w:tr w14:paraId="253BE7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2" w:hRule="atLeast"/>
        </w:trPr>
        <w:tc>
          <w:tcPr>
            <w:tcW w:w="311" w:type="pct"/>
            <w:noWrap w:val="0"/>
            <w:vAlign w:val="center"/>
          </w:tcPr>
          <w:p w14:paraId="383F4ECB">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49" w:type="pct"/>
            <w:noWrap w:val="0"/>
            <w:vAlign w:val="center"/>
          </w:tcPr>
          <w:p w14:paraId="76E1FD89">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供货时间</w:t>
            </w:r>
          </w:p>
        </w:tc>
        <w:tc>
          <w:tcPr>
            <w:tcW w:w="3839" w:type="pct"/>
            <w:noWrap w:val="0"/>
            <w:vAlign w:val="center"/>
          </w:tcPr>
          <w:p w14:paraId="03BD6E39">
            <w:pPr>
              <w:keepNext w:val="0"/>
              <w:keepLines w:val="0"/>
              <w:pageBreakBefore w:val="0"/>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签订合同后15日历日供货，60日历日完成设备的安装、调试等。</w:t>
            </w:r>
          </w:p>
        </w:tc>
      </w:tr>
      <w:tr w14:paraId="725434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311" w:type="pct"/>
            <w:noWrap w:val="0"/>
            <w:vAlign w:val="center"/>
          </w:tcPr>
          <w:p w14:paraId="3332A603">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49" w:type="pct"/>
            <w:noWrap w:val="0"/>
            <w:vAlign w:val="center"/>
          </w:tcPr>
          <w:p w14:paraId="5BC0505E">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资金来源                                                                                                                                                                 </w:t>
            </w:r>
          </w:p>
        </w:tc>
        <w:tc>
          <w:tcPr>
            <w:tcW w:w="3839" w:type="pct"/>
            <w:noWrap w:val="0"/>
            <w:vAlign w:val="center"/>
          </w:tcPr>
          <w:p w14:paraId="00BDA446">
            <w:pPr>
              <w:pStyle w:val="11"/>
              <w:keepNext w:val="0"/>
              <w:keepLines w:val="0"/>
              <w:pageBreakBefore w:val="0"/>
              <w:kinsoku/>
              <w:wordWrap/>
              <w:overflowPunct/>
              <w:topLinePunct w:val="0"/>
              <w:autoSpaceDE/>
              <w:autoSpaceDN/>
              <w:bidi w:val="0"/>
              <w:adjustRightInd/>
              <w:snapToGrid w:val="0"/>
              <w:spacing w:line="48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2025年黑龙江省援疆资金</w:t>
            </w:r>
          </w:p>
        </w:tc>
      </w:tr>
      <w:tr w14:paraId="10AC2D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311" w:type="pct"/>
            <w:noWrap w:val="0"/>
            <w:vAlign w:val="center"/>
          </w:tcPr>
          <w:p w14:paraId="34F7C16E">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849" w:type="pct"/>
            <w:noWrap w:val="0"/>
            <w:vAlign w:val="center"/>
          </w:tcPr>
          <w:p w14:paraId="262A5464">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招标方式</w:t>
            </w:r>
          </w:p>
        </w:tc>
        <w:tc>
          <w:tcPr>
            <w:tcW w:w="3839" w:type="pct"/>
            <w:noWrap w:val="0"/>
            <w:vAlign w:val="center"/>
          </w:tcPr>
          <w:p w14:paraId="1D3839CF">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b/>
                <w:color w:val="auto"/>
                <w:sz w:val="24"/>
                <w:szCs w:val="24"/>
                <w:highlight w:val="none"/>
                <w:lang w:val="en-US" w:eastAsia="zh-CN"/>
              </w:rPr>
              <w:t>(本项目采用网上电子招投标)</w:t>
            </w:r>
            <w:r>
              <w:rPr>
                <w:rFonts w:hint="eastAsia" w:ascii="仿宋" w:hAnsi="仿宋" w:eastAsia="仿宋" w:cs="仿宋"/>
                <w:color w:val="auto"/>
                <w:sz w:val="24"/>
                <w:szCs w:val="24"/>
                <w:highlight w:val="none"/>
                <w:lang w:val="en-US" w:eastAsia="zh-CN"/>
              </w:rPr>
              <w:t xml:space="preserve">             </w:t>
            </w:r>
          </w:p>
        </w:tc>
      </w:tr>
      <w:tr w14:paraId="2547C2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07" w:hRule="atLeast"/>
        </w:trPr>
        <w:tc>
          <w:tcPr>
            <w:tcW w:w="311" w:type="pct"/>
            <w:noWrap w:val="0"/>
            <w:vAlign w:val="center"/>
          </w:tcPr>
          <w:p w14:paraId="42CF3174">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849" w:type="pct"/>
            <w:noWrap w:val="0"/>
            <w:vAlign w:val="center"/>
          </w:tcPr>
          <w:p w14:paraId="56F74BAF">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投标人资格条件及其他要求</w:t>
            </w:r>
          </w:p>
        </w:tc>
        <w:tc>
          <w:tcPr>
            <w:tcW w:w="3839" w:type="pct"/>
            <w:noWrap w:val="0"/>
            <w:vAlign w:val="center"/>
          </w:tcPr>
          <w:p w14:paraId="22B1F547">
            <w:pPr>
              <w:pageBreakBefore w:val="0"/>
              <w:kinsoku/>
              <w:wordWrap/>
              <w:overflowPunct/>
              <w:topLinePunct w:val="0"/>
              <w:autoSpaceDE/>
              <w:autoSpaceDN/>
              <w:bidi w:val="0"/>
              <w:spacing w:beforeAutospacing="0" w:afterAutospacing="0" w:line="44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1.满足《中华人民共和国政府采购法》第二十二条规定；</w:t>
            </w:r>
          </w:p>
          <w:p w14:paraId="5D84E0C3">
            <w:pPr>
              <w:pStyle w:val="25"/>
              <w:pageBreakBefore w:val="0"/>
              <w:kinsoku/>
              <w:wordWrap/>
              <w:overflowPunct/>
              <w:topLinePunct w:val="0"/>
              <w:autoSpaceDE/>
              <w:autoSpaceDN/>
              <w:bidi w:val="0"/>
              <w:spacing w:beforeAutospacing="0" w:afterAutospacing="0" w:line="44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2.落实政府采购政策需满足的资格要求：</w:t>
            </w:r>
            <w:r>
              <w:rPr>
                <w:rFonts w:hint="eastAsia" w:ascii="仿宋" w:hAnsi="仿宋" w:eastAsia="仿宋" w:cs="仿宋"/>
                <w:color w:val="auto"/>
                <w:sz w:val="24"/>
                <w:szCs w:val="24"/>
                <w:highlight w:val="none"/>
                <w:lang w:val="en-US" w:eastAsia="zh-CN"/>
              </w:rPr>
              <w:t>标项1：</w:t>
            </w:r>
            <w:r>
              <w:rPr>
                <w:rFonts w:hint="eastAsia" w:ascii="仿宋" w:hAnsi="仿宋" w:eastAsia="仿宋" w:cs="仿宋"/>
                <w:color w:val="auto"/>
                <w:sz w:val="24"/>
                <w:szCs w:val="24"/>
                <w:highlight w:val="none"/>
                <w:lang w:eastAsia="zh-CN"/>
              </w:rPr>
              <w:t>供应商为中小企业</w:t>
            </w:r>
          </w:p>
          <w:p w14:paraId="64DFAD67">
            <w:pPr>
              <w:pStyle w:val="25"/>
              <w:pageBreakBefore w:val="0"/>
              <w:kinsoku/>
              <w:wordWrap/>
              <w:overflowPunct/>
              <w:topLinePunct w:val="0"/>
              <w:autoSpaceDE/>
              <w:autoSpaceDN/>
              <w:bidi w:val="0"/>
              <w:spacing w:beforeAutospacing="0" w:afterAutospacing="0" w:line="44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3.本项目的特定资格要求：</w:t>
            </w:r>
          </w:p>
          <w:p w14:paraId="6F83FD69">
            <w:pPr>
              <w:pStyle w:val="25"/>
              <w:pageBreakBefore w:val="0"/>
              <w:kinsoku/>
              <w:wordWrap/>
              <w:overflowPunct/>
              <w:topLinePunct w:val="0"/>
              <w:autoSpaceDE/>
              <w:autoSpaceDN/>
              <w:bidi w:val="0"/>
              <w:spacing w:beforeAutospacing="0" w:afterAutospacing="0" w:line="44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1).具备</w:t>
            </w:r>
            <w:r>
              <w:rPr>
                <w:rFonts w:hint="eastAsia" w:ascii="仿宋" w:hAnsi="仿宋" w:eastAsia="仿宋" w:cs="仿宋"/>
                <w:color w:val="auto"/>
                <w:sz w:val="24"/>
                <w:szCs w:val="24"/>
                <w:highlight w:val="none"/>
                <w:lang w:val="en-US" w:eastAsia="zh-CN"/>
              </w:rPr>
              <w:t>有效的</w:t>
            </w:r>
            <w:r>
              <w:rPr>
                <w:rFonts w:hint="eastAsia" w:ascii="仿宋" w:hAnsi="仿宋" w:eastAsia="仿宋" w:cs="仿宋"/>
                <w:color w:val="auto"/>
                <w:sz w:val="24"/>
                <w:szCs w:val="24"/>
                <w:highlight w:val="none"/>
                <w:lang w:eastAsia="zh-CN"/>
              </w:rPr>
              <w:t>营业执照副本；</w:t>
            </w:r>
          </w:p>
          <w:p w14:paraId="5068E70D">
            <w:pPr>
              <w:pStyle w:val="25"/>
              <w:pageBreakBefore w:val="0"/>
              <w:kinsoku/>
              <w:wordWrap/>
              <w:overflowPunct/>
              <w:topLinePunct w:val="0"/>
              <w:autoSpaceDE/>
              <w:autoSpaceDN/>
              <w:bidi w:val="0"/>
              <w:spacing w:beforeAutospacing="0" w:afterAutospacing="0" w:line="44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2).法定代表人投标须提供法定代表人资格证明书，委托代理人投标须提供法定代表人授权委托书；</w:t>
            </w:r>
            <w:r>
              <w:rPr>
                <w:rFonts w:hint="eastAsia" w:ascii="仿宋" w:hAnsi="仿宋" w:eastAsia="仿宋" w:cs="仿宋"/>
                <w:color w:val="auto"/>
                <w:sz w:val="24"/>
                <w:szCs w:val="24"/>
                <w:highlight w:val="none"/>
                <w:lang w:val="en-US" w:eastAsia="zh-CN"/>
              </w:rPr>
              <w:t xml:space="preserve"> </w:t>
            </w:r>
          </w:p>
          <w:p w14:paraId="1DFE30B9">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aps w:val="0"/>
                <w:color w:val="auto"/>
                <w:spacing w:val="0"/>
                <w:kern w:val="0"/>
                <w:sz w:val="24"/>
                <w:szCs w:val="24"/>
                <w:highlight w:val="none"/>
                <w:lang w:val="en-US" w:eastAsia="zh-CN" w:bidi="ar"/>
              </w:rPr>
              <w:t>按照《财政部关于在政府采购活动中查询及使用信用记录有关问题的通知》（财库（2016）125号）的要求，被“信用中国”网站、“中国政府采购网”网站列入失信被执行人、政府采购严重违法失信行为记录名单的，不得参与本项目的政府采购活动；</w:t>
            </w:r>
            <w:r>
              <w:rPr>
                <w:rFonts w:hint="eastAsia" w:ascii="仿宋" w:hAnsi="仿宋" w:eastAsia="仿宋" w:cs="仿宋"/>
                <w:i w:val="0"/>
                <w:iCs w:val="0"/>
                <w:caps w:val="0"/>
                <w:color w:val="auto"/>
                <w:spacing w:val="0"/>
                <w:kern w:val="0"/>
                <w:sz w:val="24"/>
                <w:szCs w:val="24"/>
                <w:lang w:val="en-US" w:eastAsia="zh-CN" w:bidi="ar"/>
              </w:rPr>
              <w:t>单位负责人为同一人或者存在直接控股、管理关系的不同投标人，不得参加同一合同项下的政府采购活动</w:t>
            </w:r>
            <w:r>
              <w:rPr>
                <w:rFonts w:hint="eastAsia" w:ascii="仿宋" w:hAnsi="仿宋" w:eastAsia="仿宋" w:cs="仿宋"/>
                <w:color w:val="auto"/>
                <w:sz w:val="24"/>
                <w:szCs w:val="24"/>
                <w:highlight w:val="none"/>
                <w:lang w:eastAsia="zh-CN"/>
              </w:rPr>
              <w:t>；</w:t>
            </w:r>
          </w:p>
        </w:tc>
      </w:tr>
      <w:tr w14:paraId="1A524D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trPr>
        <w:tc>
          <w:tcPr>
            <w:tcW w:w="311" w:type="pct"/>
            <w:noWrap w:val="0"/>
            <w:vAlign w:val="center"/>
          </w:tcPr>
          <w:p w14:paraId="138FEB37">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849" w:type="pct"/>
            <w:noWrap w:val="0"/>
            <w:vAlign w:val="center"/>
          </w:tcPr>
          <w:p w14:paraId="00DD9D1B">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采购范围</w:t>
            </w:r>
          </w:p>
        </w:tc>
        <w:tc>
          <w:tcPr>
            <w:tcW w:w="3839" w:type="pct"/>
            <w:noWrap w:val="0"/>
            <w:vAlign w:val="center"/>
          </w:tcPr>
          <w:p w14:paraId="3D1822A3">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u w:val="none" w:color="000000"/>
                <w:lang w:val="en-US" w:eastAsia="zh-CN" w:bidi="ar-SA"/>
              </w:rPr>
              <w:t>满足竞争性谈判文件内所有要求。</w:t>
            </w:r>
          </w:p>
        </w:tc>
      </w:tr>
      <w:tr w14:paraId="73FE99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trPr>
        <w:tc>
          <w:tcPr>
            <w:tcW w:w="311" w:type="pct"/>
            <w:noWrap w:val="0"/>
            <w:vAlign w:val="center"/>
          </w:tcPr>
          <w:p w14:paraId="708F8F9E">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849" w:type="pct"/>
            <w:noWrap w:val="0"/>
            <w:vAlign w:val="center"/>
          </w:tcPr>
          <w:p w14:paraId="0CEEE46F">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供应商信用查询</w:t>
            </w:r>
          </w:p>
        </w:tc>
        <w:tc>
          <w:tcPr>
            <w:tcW w:w="3839" w:type="pct"/>
            <w:noWrap w:val="0"/>
            <w:vAlign w:val="center"/>
          </w:tcPr>
          <w:p w14:paraId="241DF508">
            <w:pPr>
              <w:pStyle w:val="11"/>
              <w:keepNext w:val="0"/>
              <w:keepLines w:val="0"/>
              <w:pageBreakBefore w:val="0"/>
              <w:shd w:val="clear" w:color="auto" w:fill="auto"/>
              <w:kinsoku/>
              <w:wordWrap/>
              <w:overflowPunct/>
              <w:topLinePunct w:val="0"/>
              <w:autoSpaceDE/>
              <w:autoSpaceDN/>
              <w:bidi w:val="0"/>
              <w:adjustRightInd/>
              <w:snapToGrid w:val="0"/>
              <w:spacing w:line="48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1、查询渠道：信用中国（网址：http://www.creditchina.gov.cn）、中国政府采购网(网址：http://www.ccgp.gov.cn）。</w:t>
            </w:r>
          </w:p>
          <w:p w14:paraId="5D8FB6CC">
            <w:pPr>
              <w:pStyle w:val="11"/>
              <w:keepNext w:val="0"/>
              <w:keepLines w:val="0"/>
              <w:pageBreakBefore w:val="0"/>
              <w:shd w:val="clear" w:color="auto" w:fill="auto"/>
              <w:kinsoku/>
              <w:wordWrap/>
              <w:overflowPunct/>
              <w:topLinePunct w:val="0"/>
              <w:autoSpaceDE/>
              <w:autoSpaceDN/>
              <w:bidi w:val="0"/>
              <w:adjustRightInd/>
              <w:snapToGrid w:val="0"/>
              <w:spacing w:line="48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2、截止时点：此项目开标前。</w:t>
            </w:r>
          </w:p>
          <w:p w14:paraId="3693F35D">
            <w:pPr>
              <w:pStyle w:val="11"/>
              <w:keepNext w:val="0"/>
              <w:keepLines w:val="0"/>
              <w:pageBreakBefore w:val="0"/>
              <w:shd w:val="clear" w:color="auto" w:fill="auto"/>
              <w:kinsoku/>
              <w:wordWrap/>
              <w:overflowPunct/>
              <w:topLinePunct w:val="0"/>
              <w:autoSpaceDE/>
              <w:autoSpaceDN/>
              <w:bidi w:val="0"/>
              <w:adjustRightInd/>
              <w:snapToGrid w:val="0"/>
              <w:spacing w:line="48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3、信用信息查询记录和证据留存的具体方式：由采购组织机构在规定查询时间内打印信用信息查询记录并归入项目档案。</w:t>
            </w:r>
          </w:p>
          <w:p w14:paraId="672E66EA">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3BF6AD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11" w:type="pct"/>
            <w:noWrap w:val="0"/>
            <w:vAlign w:val="center"/>
          </w:tcPr>
          <w:p w14:paraId="65694CC3">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849" w:type="pct"/>
            <w:noWrap w:val="0"/>
            <w:vAlign w:val="center"/>
          </w:tcPr>
          <w:p w14:paraId="3E3D998B">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踏勘现场</w:t>
            </w:r>
          </w:p>
        </w:tc>
        <w:tc>
          <w:tcPr>
            <w:tcW w:w="3839" w:type="pct"/>
            <w:noWrap w:val="0"/>
            <w:vAlign w:val="center"/>
          </w:tcPr>
          <w:p w14:paraId="444178BD">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不组织,投标人自行组织踏勘现场。</w:t>
            </w:r>
          </w:p>
        </w:tc>
      </w:tr>
      <w:tr w14:paraId="56020C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11" w:type="pct"/>
            <w:noWrap w:val="0"/>
            <w:vAlign w:val="center"/>
          </w:tcPr>
          <w:p w14:paraId="1E801BBA">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849" w:type="pct"/>
            <w:noWrap w:val="0"/>
            <w:vAlign w:val="center"/>
          </w:tcPr>
          <w:p w14:paraId="5A7C2C36">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投标预备会</w:t>
            </w:r>
          </w:p>
        </w:tc>
        <w:tc>
          <w:tcPr>
            <w:tcW w:w="3839" w:type="pct"/>
            <w:noWrap w:val="0"/>
            <w:vAlign w:val="center"/>
          </w:tcPr>
          <w:p w14:paraId="610C9F38">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不召开</w:t>
            </w:r>
          </w:p>
        </w:tc>
      </w:tr>
      <w:tr w14:paraId="1CED01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311" w:type="pct"/>
            <w:noWrap w:val="0"/>
            <w:vAlign w:val="center"/>
          </w:tcPr>
          <w:p w14:paraId="5F633DE5">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49" w:type="pct"/>
            <w:noWrap w:val="0"/>
            <w:vAlign w:val="center"/>
          </w:tcPr>
          <w:p w14:paraId="2C6A8E2F">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联合体投标</w:t>
            </w:r>
          </w:p>
        </w:tc>
        <w:tc>
          <w:tcPr>
            <w:tcW w:w="3839" w:type="pct"/>
            <w:noWrap w:val="0"/>
            <w:vAlign w:val="center"/>
          </w:tcPr>
          <w:p w14:paraId="71F9C8A5">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☑不接受</w:t>
            </w:r>
          </w:p>
          <w:p w14:paraId="4A388988">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□接受，联合体投标的须在投标文件中提供联合体协议书，联合体所有成员不得超过2家，联合体的任何一方均不得再与其他投标单位联合。</w:t>
            </w:r>
          </w:p>
        </w:tc>
      </w:tr>
      <w:tr w14:paraId="3F301F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trPr>
        <w:tc>
          <w:tcPr>
            <w:tcW w:w="311" w:type="pct"/>
            <w:noWrap w:val="0"/>
            <w:vAlign w:val="center"/>
          </w:tcPr>
          <w:p w14:paraId="2124CA26">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49" w:type="pct"/>
            <w:noWrap w:val="0"/>
            <w:vAlign w:val="center"/>
          </w:tcPr>
          <w:p w14:paraId="6F198B66">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招标代理费</w:t>
            </w:r>
          </w:p>
        </w:tc>
        <w:tc>
          <w:tcPr>
            <w:tcW w:w="3839" w:type="pct"/>
            <w:noWrap w:val="0"/>
            <w:vAlign w:val="center"/>
          </w:tcPr>
          <w:p w14:paraId="334AB786">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由中标供应商支付，</w:t>
            </w:r>
            <w:r>
              <w:rPr>
                <w:rFonts w:hint="eastAsia" w:ascii="仿宋" w:hAnsi="仿宋" w:eastAsia="仿宋" w:cs="仿宋"/>
                <w:color w:val="auto"/>
                <w:kern w:val="2"/>
                <w:sz w:val="24"/>
                <w:szCs w:val="24"/>
                <w:highlight w:val="none"/>
                <w:lang w:val="en-US" w:eastAsia="zh-CN" w:bidi="ar-SA"/>
              </w:rPr>
              <w:t>中标单位在领取本项目中标通知书时，参照按新建招协〔2024〕4号文规定，请投标人在测算报价时充分考虑这一因素，由中标单位向招标代理机构支付本项目代理费。</w:t>
            </w:r>
            <w:r>
              <w:rPr>
                <w:rFonts w:hint="eastAsia" w:ascii="仿宋" w:hAnsi="仿宋" w:eastAsia="仿宋" w:cs="仿宋"/>
                <w:b w:val="0"/>
                <w:bCs w:val="0"/>
                <w:color w:val="auto"/>
                <w:sz w:val="24"/>
                <w:szCs w:val="24"/>
                <w:highlight w:val="none"/>
                <w:lang w:val="en-US" w:eastAsia="zh-CN"/>
              </w:rPr>
              <w:t>此费由投标人综合考虑到投标报价中，不再单独列项。</w:t>
            </w:r>
          </w:p>
        </w:tc>
      </w:tr>
      <w:tr w14:paraId="607430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311" w:type="pct"/>
            <w:noWrap w:val="0"/>
            <w:vAlign w:val="center"/>
          </w:tcPr>
          <w:p w14:paraId="7E262DB7">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849" w:type="pct"/>
            <w:noWrap w:val="0"/>
            <w:vAlign w:val="center"/>
          </w:tcPr>
          <w:p w14:paraId="3C838CB6">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最高投标限价</w:t>
            </w:r>
          </w:p>
        </w:tc>
        <w:tc>
          <w:tcPr>
            <w:tcW w:w="3839" w:type="pct"/>
            <w:noWrap w:val="0"/>
            <w:vAlign w:val="center"/>
          </w:tcPr>
          <w:p w14:paraId="217085E6">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招标人设置投标报价最高上限：</w:t>
            </w:r>
            <w:r>
              <w:rPr>
                <w:rFonts w:hint="eastAsia" w:ascii="仿宋" w:hAnsi="仿宋" w:eastAsia="仿宋" w:cs="仿宋"/>
                <w:color w:val="auto"/>
                <w:sz w:val="24"/>
                <w:szCs w:val="24"/>
                <w:highlight w:val="none"/>
                <w:lang w:val="en-US" w:eastAsia="zh-CN"/>
              </w:rPr>
              <w:t>976500</w:t>
            </w:r>
            <w:r>
              <w:rPr>
                <w:rFonts w:hint="eastAsia" w:ascii="仿宋" w:hAnsi="仿宋" w:eastAsia="仿宋" w:cs="仿宋"/>
                <w:color w:val="auto"/>
                <w:sz w:val="24"/>
                <w:szCs w:val="24"/>
                <w:highlight w:val="none"/>
              </w:rPr>
              <w:t>元</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投标报价高于最高限价的其投标文件按无效投标处理。</w:t>
            </w:r>
          </w:p>
        </w:tc>
      </w:tr>
      <w:tr w14:paraId="6BBA11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11" w:type="pct"/>
            <w:noWrap w:val="0"/>
            <w:vAlign w:val="center"/>
          </w:tcPr>
          <w:p w14:paraId="7EB52E12">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849" w:type="pct"/>
            <w:noWrap w:val="0"/>
            <w:vAlign w:val="center"/>
          </w:tcPr>
          <w:p w14:paraId="151C3D15">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w:t>
            </w:r>
          </w:p>
        </w:tc>
        <w:tc>
          <w:tcPr>
            <w:tcW w:w="3839" w:type="pct"/>
            <w:noWrap w:val="0"/>
            <w:vAlign w:val="center"/>
          </w:tcPr>
          <w:p w14:paraId="01758EB4">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投标有效期为</w:t>
            </w:r>
            <w:r>
              <w:rPr>
                <w:rFonts w:hint="eastAsia" w:ascii="仿宋" w:hAnsi="仿宋" w:eastAsia="仿宋" w:cs="仿宋"/>
                <w:color w:val="auto"/>
                <w:sz w:val="24"/>
                <w:szCs w:val="24"/>
                <w:highlight w:val="none"/>
                <w:u w:val="single"/>
                <w:lang w:val="en-US" w:eastAsia="zh-CN"/>
              </w:rPr>
              <w:t xml:space="preserve"> 60 日历</w:t>
            </w:r>
            <w:r>
              <w:rPr>
                <w:rFonts w:hint="eastAsia" w:ascii="仿宋" w:hAnsi="仿宋" w:eastAsia="仿宋" w:cs="仿宋"/>
                <w:color w:val="auto"/>
                <w:sz w:val="24"/>
                <w:szCs w:val="24"/>
                <w:highlight w:val="none"/>
                <w:lang w:val="en-US" w:eastAsia="zh-CN"/>
              </w:rPr>
              <w:t>天（从投标截止之日算起）。在此期限内，凡符合本竞争性谈判文件要求的投标文件均保持有效。</w:t>
            </w:r>
          </w:p>
        </w:tc>
      </w:tr>
      <w:tr w14:paraId="69FBB4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trPr>
        <w:tc>
          <w:tcPr>
            <w:tcW w:w="311" w:type="pct"/>
            <w:vMerge w:val="restart"/>
            <w:noWrap w:val="0"/>
            <w:vAlign w:val="center"/>
          </w:tcPr>
          <w:p w14:paraId="758AB545">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849" w:type="pct"/>
            <w:tcBorders>
              <w:bottom w:val="single" w:color="auto" w:sz="4" w:space="0"/>
            </w:tcBorders>
            <w:noWrap w:val="0"/>
            <w:vAlign w:val="center"/>
          </w:tcPr>
          <w:p w14:paraId="4A3C1C65">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3839" w:type="pct"/>
            <w:tcBorders>
              <w:bottom w:val="single" w:color="auto" w:sz="4" w:space="0"/>
            </w:tcBorders>
            <w:noWrap w:val="0"/>
            <w:vAlign w:val="top"/>
          </w:tcPr>
          <w:p w14:paraId="083DA92B">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投标保证金交纳方式：</w:t>
            </w:r>
            <w:r>
              <w:rPr>
                <w:rFonts w:hint="eastAsia" w:ascii="仿宋" w:hAnsi="仿宋" w:eastAsia="仿宋" w:cs="仿宋"/>
                <w:color w:val="auto"/>
                <w:sz w:val="24"/>
                <w:szCs w:val="24"/>
                <w:highlight w:val="none"/>
              </w:rPr>
              <w:t>投标保证金应当以支票、汇票、本票、网上银行支付或者金融机构、担保机构出具的保函等非现金形式交纳。</w:t>
            </w:r>
          </w:p>
          <w:p w14:paraId="770D76EA">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投标保证金的金额：</w:t>
            </w:r>
            <w:r>
              <w:rPr>
                <w:rFonts w:hint="eastAsia" w:ascii="仿宋" w:hAnsi="仿宋" w:eastAsia="仿宋" w:cs="仿宋"/>
                <w:color w:val="auto"/>
                <w:sz w:val="24"/>
                <w:szCs w:val="24"/>
                <w:highlight w:val="none"/>
                <w:u w:val="single"/>
                <w:lang w:val="en-US" w:eastAsia="zh-CN"/>
              </w:rPr>
              <w:t>16000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壹</w:t>
            </w:r>
            <w:r>
              <w:rPr>
                <w:rFonts w:hint="eastAsia" w:ascii="仿宋" w:hAnsi="仿宋" w:eastAsia="仿宋" w:cs="仿宋"/>
                <w:color w:val="auto"/>
                <w:sz w:val="24"/>
                <w:szCs w:val="24"/>
                <w:highlight w:val="none"/>
              </w:rPr>
              <w:t>万</w:t>
            </w:r>
            <w:r>
              <w:rPr>
                <w:rFonts w:hint="eastAsia" w:ascii="仿宋" w:hAnsi="仿宋" w:eastAsia="仿宋" w:cs="仿宋"/>
                <w:color w:val="auto"/>
                <w:sz w:val="24"/>
                <w:szCs w:val="24"/>
                <w:highlight w:val="none"/>
                <w:lang w:val="en-US" w:eastAsia="zh-CN"/>
              </w:rPr>
              <w:t>陆</w:t>
            </w:r>
            <w:r>
              <w:rPr>
                <w:rFonts w:hint="eastAsia" w:ascii="仿宋" w:hAnsi="仿宋" w:eastAsia="仿宋" w:cs="仿宋"/>
                <w:color w:val="auto"/>
                <w:sz w:val="24"/>
                <w:szCs w:val="24"/>
                <w:highlight w:val="none"/>
                <w:lang w:eastAsia="zh-CN"/>
              </w:rPr>
              <w:t>仟</w:t>
            </w:r>
            <w:r>
              <w:rPr>
                <w:rFonts w:hint="eastAsia" w:ascii="仿宋" w:hAnsi="仿宋" w:eastAsia="仿宋" w:cs="仿宋"/>
                <w:color w:val="auto"/>
                <w:sz w:val="24"/>
                <w:szCs w:val="24"/>
                <w:highlight w:val="none"/>
              </w:rPr>
              <w:t>元整）</w:t>
            </w:r>
          </w:p>
        </w:tc>
      </w:tr>
      <w:tr w14:paraId="14CBC3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vMerge w:val="continue"/>
            <w:noWrap w:val="0"/>
            <w:vAlign w:val="center"/>
          </w:tcPr>
          <w:p w14:paraId="2AEFDD88">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p>
        </w:tc>
        <w:tc>
          <w:tcPr>
            <w:tcW w:w="4688" w:type="pct"/>
            <w:gridSpan w:val="2"/>
            <w:tcBorders>
              <w:top w:val="single" w:color="auto" w:sz="4" w:space="0"/>
            </w:tcBorders>
            <w:noWrap w:val="0"/>
            <w:vAlign w:val="center"/>
          </w:tcPr>
          <w:p w14:paraId="2E14CFB5">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1、投标保证金以电汇、网银等转账形式提交的，应在投标截止时间</w:t>
            </w:r>
            <w:r>
              <w:rPr>
                <w:rFonts w:hint="eastAsia" w:ascii="仿宋" w:hAnsi="仿宋" w:eastAsia="仿宋" w:cs="仿宋"/>
                <w:color w:val="auto"/>
                <w:sz w:val="24"/>
                <w:szCs w:val="24"/>
                <w:highlight w:val="none"/>
                <w:lang w:eastAsia="zh-CN"/>
              </w:rPr>
              <w:t>2025年06月23日16:30（北京时间）</w:t>
            </w:r>
            <w:r>
              <w:rPr>
                <w:rFonts w:hint="eastAsia" w:ascii="仿宋" w:hAnsi="仿宋" w:eastAsia="仿宋" w:cs="仿宋"/>
                <w:color w:val="auto"/>
                <w:sz w:val="24"/>
                <w:szCs w:val="24"/>
                <w:highlight w:val="none"/>
              </w:rPr>
              <w:t>前以总公司的基本账户一次性汇入指定账户（以到账时间为准），不接受现金及任何个人汇款。</w:t>
            </w:r>
          </w:p>
          <w:p w14:paraId="0118D5A1">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2、投标保证金以保函等票据形式提交的，需注明项目名称及单位名称，银行保函（电子保函）的有效期与投标有效期一致。</w:t>
            </w:r>
          </w:p>
          <w:p w14:paraId="78E9FB3E">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3、有效投标保证金成功交纳后，截止开标时间，供应商无正当理由不参加该项目投标且不递交弃标函，投标保证金不予退还。</w:t>
            </w:r>
          </w:p>
          <w:p w14:paraId="4350B526">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户  名：</w:t>
            </w:r>
            <w:r>
              <w:rPr>
                <w:rFonts w:hint="eastAsia" w:ascii="仿宋" w:hAnsi="仿宋" w:eastAsia="仿宋" w:cs="仿宋"/>
                <w:color w:val="auto"/>
                <w:sz w:val="24"/>
                <w:szCs w:val="24"/>
                <w:highlight w:val="none"/>
                <w:lang w:val="en-US" w:eastAsia="zh-CN"/>
              </w:rPr>
              <w:t>新疆鑫诚正昊项目咨询有限公司</w:t>
            </w:r>
          </w:p>
          <w:p w14:paraId="1EAADBAF">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lang w:val="en-US" w:eastAsia="zh-CN"/>
              </w:rPr>
              <w:t>30 1508 0104 0001 587</w:t>
            </w:r>
          </w:p>
          <w:p w14:paraId="246DA8EC">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  名：</w:t>
            </w:r>
            <w:r>
              <w:rPr>
                <w:rFonts w:hint="default" w:ascii="仿宋" w:hAnsi="仿宋" w:eastAsia="仿宋" w:cs="仿宋"/>
                <w:color w:val="auto"/>
                <w:sz w:val="24"/>
                <w:szCs w:val="24"/>
                <w:highlight w:val="none"/>
                <w:lang w:val="en-US" w:eastAsia="zh-CN"/>
              </w:rPr>
              <w:t>中国农业银行股份有限公司阿勒泰市支行</w:t>
            </w:r>
            <w:r>
              <w:rPr>
                <w:rFonts w:hint="eastAsia" w:ascii="仿宋" w:hAnsi="仿宋" w:eastAsia="仿宋" w:cs="仿宋"/>
                <w:color w:val="auto"/>
                <w:sz w:val="24"/>
                <w:szCs w:val="24"/>
                <w:highlight w:val="none"/>
                <w:lang w:val="en-US" w:eastAsia="zh-CN"/>
              </w:rPr>
              <w:t> </w:t>
            </w:r>
          </w:p>
          <w:p w14:paraId="69E6D91A">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（备注：必须写清楚某某公司某某项目保证金）</w:t>
            </w:r>
          </w:p>
          <w:p w14:paraId="3CC498F2">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投标保证金的缴纳：投标保证金须在投标文件接收截止时间前办理完成，否则其投标文件将被拒绝评审，投标人提交投标保证金应充分考虑相关时间。</w:t>
            </w:r>
            <w:r>
              <w:rPr>
                <w:rFonts w:hint="eastAsia" w:ascii="仿宋" w:hAnsi="仿宋" w:eastAsia="仿宋" w:cs="仿宋"/>
                <w:color w:val="auto"/>
                <w:sz w:val="24"/>
                <w:szCs w:val="24"/>
                <w:highlight w:val="none"/>
              </w:rPr>
              <w:t xml:space="preserve">    </w:t>
            </w:r>
          </w:p>
        </w:tc>
      </w:tr>
      <w:tr w14:paraId="7B2D38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311" w:type="pct"/>
            <w:noWrap w:val="0"/>
            <w:vAlign w:val="center"/>
          </w:tcPr>
          <w:p w14:paraId="0FD55869">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849" w:type="pct"/>
            <w:noWrap w:val="0"/>
            <w:vAlign w:val="center"/>
          </w:tcPr>
          <w:p w14:paraId="674314EF">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投标文件形式</w:t>
            </w:r>
          </w:p>
        </w:tc>
        <w:tc>
          <w:tcPr>
            <w:tcW w:w="3839" w:type="pct"/>
            <w:noWrap w:val="0"/>
            <w:vAlign w:val="center"/>
          </w:tcPr>
          <w:p w14:paraId="6EAFA20E">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电子投标文件包括“电子加密投标文件”和“备份投标文件”，在投标文件编制完成后同时生成。</w:t>
            </w:r>
          </w:p>
          <w:p w14:paraId="4DCD602B">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1、“电子加密投标文件”是指通过“政采云电子交易客户端”完成投标文件编制后生成并加密的数据电文形式的投标文件。</w:t>
            </w:r>
          </w:p>
          <w:p w14:paraId="4D1A2AFE">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15C466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11" w:type="pct"/>
            <w:noWrap w:val="0"/>
            <w:vAlign w:val="center"/>
          </w:tcPr>
          <w:p w14:paraId="6D34AC07">
            <w:pPr>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49" w:type="pct"/>
            <w:noWrap w:val="0"/>
            <w:vAlign w:val="center"/>
          </w:tcPr>
          <w:p w14:paraId="48CAFF70">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投标文件份数及要求</w:t>
            </w:r>
          </w:p>
        </w:tc>
        <w:tc>
          <w:tcPr>
            <w:tcW w:w="3839" w:type="pct"/>
            <w:noWrap w:val="0"/>
            <w:vAlign w:val="center"/>
          </w:tcPr>
          <w:p w14:paraId="49A75329">
            <w:pPr>
              <w:pStyle w:val="11"/>
              <w:keepNext w:val="0"/>
              <w:keepLines w:val="0"/>
              <w:pageBreakBefore w:val="0"/>
              <w:shd w:val="clear" w:color="auto" w:fill="auto"/>
              <w:kinsoku/>
              <w:wordWrap/>
              <w:overflowPunct/>
              <w:topLinePunct w:val="0"/>
              <w:autoSpaceDE/>
              <w:autoSpaceDN/>
              <w:bidi w:val="0"/>
              <w:adjustRightInd/>
              <w:snapToGrid w:val="0"/>
              <w:spacing w:line="480" w:lineRule="exac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1、一份电子加密标书（“.jmbs”格式），一份备份标书文件（“.bfbs”格式）。</w:t>
            </w:r>
          </w:p>
          <w:p w14:paraId="38E76CAB">
            <w:pPr>
              <w:pStyle w:val="11"/>
              <w:keepNext w:val="0"/>
              <w:keepLines w:val="0"/>
              <w:pageBreakBefore w:val="0"/>
              <w:shd w:val="clear" w:color="auto" w:fill="auto"/>
              <w:kinsoku/>
              <w:wordWrap/>
              <w:overflowPunct/>
              <w:topLinePunct w:val="0"/>
              <w:autoSpaceDE/>
              <w:autoSpaceDN/>
              <w:bidi w:val="0"/>
              <w:adjustRightInd/>
              <w:snapToGrid w:val="0"/>
              <w:spacing w:line="48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2、每份电子投标文件应包括</w:t>
            </w:r>
            <w:r>
              <w:rPr>
                <w:rFonts w:hint="eastAsia" w:ascii="仿宋" w:hAnsi="仿宋" w:eastAsia="仿宋" w:cs="仿宋"/>
                <w:b/>
                <w:bCs/>
                <w:color w:val="auto"/>
                <w:sz w:val="24"/>
                <w:szCs w:val="24"/>
                <w:highlight w:val="none"/>
              </w:rPr>
              <w:t>资格证明文件和商务及技术文件两部分</w:t>
            </w:r>
            <w:r>
              <w:rPr>
                <w:rFonts w:hint="eastAsia" w:ascii="仿宋" w:hAnsi="仿宋" w:eastAsia="仿宋" w:cs="仿宋"/>
                <w:b/>
                <w:bCs/>
                <w:color w:val="auto"/>
                <w:sz w:val="24"/>
                <w:szCs w:val="24"/>
                <w:highlight w:val="none"/>
                <w:lang w:eastAsia="zh-CN"/>
              </w:rPr>
              <w:t>。</w:t>
            </w:r>
          </w:p>
        </w:tc>
      </w:tr>
      <w:tr w14:paraId="0D5E90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trPr>
        <w:tc>
          <w:tcPr>
            <w:tcW w:w="311" w:type="pct"/>
            <w:vMerge w:val="restart"/>
            <w:noWrap w:val="0"/>
            <w:vAlign w:val="center"/>
          </w:tcPr>
          <w:p w14:paraId="7250E702">
            <w:pPr>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849" w:type="pct"/>
            <w:vMerge w:val="restart"/>
            <w:noWrap w:val="0"/>
            <w:vAlign w:val="center"/>
          </w:tcPr>
          <w:p w14:paraId="2A517763">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bidi="zh-CN"/>
              </w:rPr>
              <w:t>投标文件的上传和递交</w:t>
            </w:r>
          </w:p>
        </w:tc>
        <w:tc>
          <w:tcPr>
            <w:tcW w:w="3839" w:type="pct"/>
            <w:noWrap w:val="0"/>
            <w:vAlign w:val="center"/>
          </w:tcPr>
          <w:p w14:paraId="2BE2F32A">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tc>
      </w:tr>
      <w:tr w14:paraId="58989DF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8" w:hRule="atLeast"/>
        </w:trPr>
        <w:tc>
          <w:tcPr>
            <w:tcW w:w="311" w:type="pct"/>
            <w:vMerge w:val="continue"/>
            <w:noWrap w:val="0"/>
            <w:vAlign w:val="center"/>
          </w:tcPr>
          <w:p w14:paraId="1EFEA42B">
            <w:pPr>
              <w:keepNext w:val="0"/>
              <w:keepLines w:val="0"/>
              <w:pageBreakBefore w:val="0"/>
              <w:widowControl/>
              <w:kinsoku/>
              <w:wordWrap/>
              <w:overflowPunct/>
              <w:topLinePunct w:val="0"/>
              <w:autoSpaceDE/>
              <w:autoSpaceDN/>
              <w:bidi w:val="0"/>
              <w:adjustRightInd/>
              <w:snapToGrid w:val="0"/>
              <w:spacing w:line="480" w:lineRule="exact"/>
              <w:ind w:firstLine="102" w:firstLineChars="42"/>
              <w:jc w:val="left"/>
              <w:textAlignment w:val="auto"/>
              <w:rPr>
                <w:rFonts w:hint="eastAsia" w:ascii="仿宋" w:hAnsi="仿宋" w:eastAsia="仿宋" w:cs="仿宋"/>
                <w:color w:val="auto"/>
                <w:sz w:val="24"/>
                <w:szCs w:val="24"/>
                <w:highlight w:val="none"/>
              </w:rPr>
            </w:pPr>
          </w:p>
        </w:tc>
        <w:tc>
          <w:tcPr>
            <w:tcW w:w="849" w:type="pct"/>
            <w:vMerge w:val="continue"/>
            <w:noWrap w:val="0"/>
            <w:vAlign w:val="center"/>
          </w:tcPr>
          <w:p w14:paraId="635A3F6E">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p>
        </w:tc>
        <w:tc>
          <w:tcPr>
            <w:tcW w:w="3839" w:type="pct"/>
            <w:noWrap w:val="0"/>
            <w:vAlign w:val="center"/>
          </w:tcPr>
          <w:p w14:paraId="35179632">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1.供应商未能在投标截止时间前成功上传电子加密投标文件的投标无效。</w:t>
            </w:r>
          </w:p>
          <w:p w14:paraId="0AC3BA60">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备份投标文件：供应商在投标截止时间前将加密的投标文件上传至政府采购云平台，还可以在投标截止时间前以电子邮件方式提供备份投标文件1份（接收人邮箱：1714599250@qq.com，接收人：刘安绮，电话：15099311555），“备份投标文件”由供应商自愿提供，竞争性谈判文件不作强制性要求；如不提供或未按要求提供的，当电子投标文件无法解密时，将导致无备份投标文件而失去投标资格。</w:t>
            </w:r>
          </w:p>
          <w:p w14:paraId="6E0460EE">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75D192E8">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25A076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trPr>
        <w:tc>
          <w:tcPr>
            <w:tcW w:w="311" w:type="pct"/>
            <w:noWrap w:val="0"/>
            <w:vAlign w:val="center"/>
          </w:tcPr>
          <w:p w14:paraId="18403B21">
            <w:pPr>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49" w:type="pct"/>
            <w:noWrap w:val="0"/>
            <w:vAlign w:val="center"/>
          </w:tcPr>
          <w:p w14:paraId="408F8B89">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投标截止时间及地点</w:t>
            </w:r>
          </w:p>
        </w:tc>
        <w:tc>
          <w:tcPr>
            <w:tcW w:w="3839" w:type="pct"/>
            <w:noWrap w:val="0"/>
            <w:vAlign w:val="center"/>
          </w:tcPr>
          <w:p w14:paraId="3F810D04">
            <w:pPr>
              <w:keepNext w:val="0"/>
              <w:keepLines w:val="0"/>
              <w:pageBreakBefore w:val="0"/>
              <w:kinsoku/>
              <w:wordWrap/>
              <w:overflowPunct/>
              <w:topLinePunct w:val="0"/>
              <w:autoSpaceDE/>
              <w:autoSpaceDN/>
              <w:bidi w:val="0"/>
              <w:adjustRightInd/>
              <w:snapToGrid w:val="0"/>
              <w:spacing w:line="480" w:lineRule="exact"/>
              <w:ind w:firstLine="21" w:firstLineChars="9"/>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投标截止时间：</w:t>
            </w:r>
            <w:r>
              <w:rPr>
                <w:rFonts w:hint="eastAsia" w:ascii="仿宋" w:hAnsi="仿宋" w:eastAsia="仿宋" w:cs="仿宋"/>
                <w:b/>
                <w:bCs/>
                <w:color w:val="000000" w:themeColor="text1"/>
                <w:sz w:val="24"/>
                <w:szCs w:val="24"/>
                <w:highlight w:val="none"/>
                <w:lang w:eastAsia="zh-CN"/>
                <w14:textFill>
                  <w14:solidFill>
                    <w14:schemeClr w14:val="tx1"/>
                  </w14:solidFill>
                </w14:textFill>
              </w:rPr>
              <w:t>2025年06月23日16:30（北京时间）</w:t>
            </w:r>
          </w:p>
          <w:p w14:paraId="062045C0">
            <w:pPr>
              <w:keepNext w:val="0"/>
              <w:keepLines w:val="0"/>
              <w:pageBreakBefore w:val="0"/>
              <w:kinsoku/>
              <w:wordWrap/>
              <w:overflowPunct/>
              <w:topLinePunct w:val="0"/>
              <w:autoSpaceDE/>
              <w:autoSpaceDN/>
              <w:bidi w:val="0"/>
              <w:adjustRightInd/>
              <w:snapToGrid w:val="0"/>
              <w:spacing w:line="480" w:lineRule="exact"/>
              <w:ind w:firstLine="21" w:firstLineChars="9"/>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投标地点：新疆政府采购云平台（www.zcygov.cn）</w:t>
            </w:r>
          </w:p>
        </w:tc>
      </w:tr>
      <w:tr w14:paraId="1A98BC9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11" w:type="pct"/>
            <w:noWrap w:val="0"/>
            <w:vAlign w:val="center"/>
          </w:tcPr>
          <w:p w14:paraId="17D81C15">
            <w:pPr>
              <w:pStyle w:val="11"/>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849" w:type="pct"/>
            <w:noWrap w:val="0"/>
            <w:vAlign w:val="center"/>
          </w:tcPr>
          <w:p w14:paraId="1E9E50D2">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开标时间及地点</w:t>
            </w:r>
          </w:p>
        </w:tc>
        <w:tc>
          <w:tcPr>
            <w:tcW w:w="3839" w:type="pct"/>
            <w:noWrap w:val="0"/>
            <w:vAlign w:val="center"/>
          </w:tcPr>
          <w:p w14:paraId="43BEBFCE">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开标时间：</w:t>
            </w:r>
            <w:r>
              <w:rPr>
                <w:rFonts w:hint="eastAsia" w:ascii="仿宋" w:hAnsi="仿宋" w:eastAsia="仿宋" w:cs="仿宋"/>
                <w:b/>
                <w:bCs/>
                <w:color w:val="000000" w:themeColor="text1"/>
                <w:sz w:val="24"/>
                <w:szCs w:val="24"/>
                <w:highlight w:val="none"/>
                <w:lang w:eastAsia="zh-CN"/>
                <w14:textFill>
                  <w14:solidFill>
                    <w14:schemeClr w14:val="tx1"/>
                  </w14:solidFill>
                </w14:textFill>
              </w:rPr>
              <w:t>2025年06月23日16:30（北京时间）</w:t>
            </w:r>
          </w:p>
          <w:p w14:paraId="67055D6D">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开标地点：在新疆政府采购云平台（www.zcygov.cn）上开启投标文件</w:t>
            </w:r>
          </w:p>
        </w:tc>
      </w:tr>
      <w:tr w14:paraId="431D37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311" w:type="pct"/>
            <w:noWrap w:val="0"/>
            <w:vAlign w:val="center"/>
          </w:tcPr>
          <w:p w14:paraId="744FB1C7">
            <w:pPr>
              <w:pStyle w:val="11"/>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849" w:type="pct"/>
            <w:noWrap w:val="0"/>
            <w:vAlign w:val="center"/>
          </w:tcPr>
          <w:p w14:paraId="57510E57">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评标委员会的组建</w:t>
            </w:r>
          </w:p>
        </w:tc>
        <w:tc>
          <w:tcPr>
            <w:tcW w:w="3839" w:type="pct"/>
            <w:noWrap w:val="0"/>
            <w:vAlign w:val="top"/>
          </w:tcPr>
          <w:p w14:paraId="65C79B5C">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评标委员会由招标人依法组建；</w:t>
            </w:r>
          </w:p>
          <w:p w14:paraId="4CB0A46F">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评标专家确定方式：专家评委由招标人在开标前从政采云专家库中随机抽取。</w:t>
            </w:r>
          </w:p>
        </w:tc>
      </w:tr>
      <w:tr w14:paraId="4E645D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7" w:hRule="atLeast"/>
        </w:trPr>
        <w:tc>
          <w:tcPr>
            <w:tcW w:w="311" w:type="pct"/>
            <w:noWrap w:val="0"/>
            <w:vAlign w:val="center"/>
          </w:tcPr>
          <w:p w14:paraId="5F420772">
            <w:pPr>
              <w:pStyle w:val="11"/>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849" w:type="pct"/>
            <w:noWrap w:val="0"/>
            <w:vAlign w:val="center"/>
          </w:tcPr>
          <w:p w14:paraId="17B2568F">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是否授权评标委员会确定中标候选人</w:t>
            </w:r>
          </w:p>
        </w:tc>
        <w:tc>
          <w:tcPr>
            <w:tcW w:w="3839" w:type="pct"/>
            <w:noWrap w:val="0"/>
            <w:vAlign w:val="center"/>
          </w:tcPr>
          <w:p w14:paraId="6F41AB73">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w:t>
            </w:r>
          </w:p>
        </w:tc>
      </w:tr>
      <w:tr w14:paraId="2CF1A7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311" w:type="pct"/>
            <w:noWrap w:val="0"/>
            <w:vAlign w:val="center"/>
          </w:tcPr>
          <w:p w14:paraId="3BA02DE4">
            <w:pPr>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849" w:type="pct"/>
            <w:noWrap w:val="0"/>
            <w:vAlign w:val="center"/>
          </w:tcPr>
          <w:p w14:paraId="45ECDD17">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中标候选人公示媒介</w:t>
            </w:r>
          </w:p>
        </w:tc>
        <w:tc>
          <w:tcPr>
            <w:tcW w:w="3839" w:type="pct"/>
            <w:noWrap w:val="0"/>
            <w:vAlign w:val="center"/>
          </w:tcPr>
          <w:p w14:paraId="74520300">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新疆政府采购网，公示期为一个工作日。</w:t>
            </w:r>
          </w:p>
        </w:tc>
      </w:tr>
      <w:tr w14:paraId="43C0D2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0" w:hRule="atLeast"/>
        </w:trPr>
        <w:tc>
          <w:tcPr>
            <w:tcW w:w="311" w:type="pct"/>
            <w:noWrap w:val="0"/>
            <w:vAlign w:val="center"/>
          </w:tcPr>
          <w:p w14:paraId="64BE6530">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49" w:type="pct"/>
            <w:noWrap w:val="0"/>
            <w:vAlign w:val="center"/>
          </w:tcPr>
          <w:p w14:paraId="1B906DF3">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履约担保</w:t>
            </w:r>
          </w:p>
        </w:tc>
        <w:tc>
          <w:tcPr>
            <w:tcW w:w="3839" w:type="pct"/>
            <w:noWrap w:val="0"/>
            <w:vAlign w:val="top"/>
          </w:tcPr>
          <w:p w14:paraId="312AE71F">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中标供应商在合同签订后5个工作日内向采购人交纳不超过中标价</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%的履约保证金（本项目履约保证金</w:t>
            </w:r>
            <w:r>
              <w:rPr>
                <w:rFonts w:hint="eastAsia" w:ascii="仿宋" w:hAnsi="仿宋" w:eastAsia="仿宋" w:cs="仿宋"/>
                <w:color w:val="auto"/>
                <w:sz w:val="24"/>
                <w:szCs w:val="24"/>
                <w:highlight w:val="none"/>
                <w:lang w:eastAsia="zh-CN"/>
              </w:rPr>
              <w:t>按法律法规规定提交</w:t>
            </w:r>
            <w:r>
              <w:rPr>
                <w:rFonts w:hint="eastAsia" w:ascii="仿宋" w:hAnsi="仿宋" w:eastAsia="仿宋" w:cs="仿宋"/>
                <w:color w:val="auto"/>
                <w:sz w:val="24"/>
                <w:szCs w:val="24"/>
                <w:highlight w:val="none"/>
              </w:rPr>
              <w:t>），如果中标供应商在建设期内没有涉及采购人的应付而未付金额或违约行为，采购人在项目验收合格后或提前终止合同后全额无息退还履约保证金。</w:t>
            </w:r>
          </w:p>
        </w:tc>
      </w:tr>
      <w:tr w14:paraId="4C6425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31" w:hRule="atLeast"/>
        </w:trPr>
        <w:tc>
          <w:tcPr>
            <w:tcW w:w="311" w:type="pct"/>
            <w:noWrap w:val="0"/>
            <w:vAlign w:val="center"/>
          </w:tcPr>
          <w:p w14:paraId="62B77DA6">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849" w:type="pct"/>
            <w:noWrap w:val="0"/>
            <w:vAlign w:val="center"/>
          </w:tcPr>
          <w:p w14:paraId="2467B8F0">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文件领取</w:t>
            </w:r>
          </w:p>
        </w:tc>
        <w:tc>
          <w:tcPr>
            <w:tcW w:w="3839" w:type="pct"/>
            <w:noWrap w:val="0"/>
            <w:vAlign w:val="top"/>
          </w:tcPr>
          <w:p w14:paraId="7AEBAEFB">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000000" w:themeColor="text1"/>
                <w:sz w:val="24"/>
                <w:szCs w:val="24"/>
                <w:highlight w:val="none"/>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06</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18</w:t>
            </w:r>
            <w:r>
              <w:rPr>
                <w:rFonts w:hint="eastAsia" w:ascii="仿宋" w:hAnsi="仿宋" w:eastAsia="仿宋" w:cs="仿宋"/>
                <w:color w:val="000000" w:themeColor="text1"/>
                <w:sz w:val="24"/>
                <w:szCs w:val="24"/>
                <w:highlight w:val="none"/>
                <w14:textFill>
                  <w14:solidFill>
                    <w14:schemeClr w14:val="tx1"/>
                  </w14:solidFill>
                </w14:textFill>
              </w:rPr>
              <w:t>日至202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06</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22</w:t>
            </w:r>
            <w:r>
              <w:rPr>
                <w:rFonts w:hint="eastAsia" w:ascii="仿宋" w:hAnsi="仿宋" w:eastAsia="仿宋" w:cs="仿宋"/>
                <w:color w:val="000000" w:themeColor="text1"/>
                <w:sz w:val="24"/>
                <w:szCs w:val="24"/>
                <w:highlight w:val="none"/>
                <w14:textFill>
                  <w14:solidFill>
                    <w14:schemeClr w14:val="tx1"/>
                  </w14:solidFill>
                </w14:textFill>
              </w:rPr>
              <w:t>日 ，每天上午10:</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lang w:val="en-US" w:eastAsia="zh-CN"/>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 xml:space="preserve"> ，下午16:</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。（北</w:t>
            </w:r>
            <w:r>
              <w:rPr>
                <w:rFonts w:hint="eastAsia" w:ascii="仿宋" w:hAnsi="仿宋" w:eastAsia="仿宋" w:cs="仿宋"/>
                <w:color w:val="auto"/>
                <w:sz w:val="24"/>
                <w:szCs w:val="24"/>
                <w:highlight w:val="none"/>
              </w:rPr>
              <w:t>京时间，法定节假日除外）</w:t>
            </w:r>
          </w:p>
          <w:p w14:paraId="3FA69E9F">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地点：供应商登陆政采云平台http://www.zcygov.cn/，在线申请获取</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文件（登录政府采购云平台 → 项目采购 → 获取</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文件→申请，审核通过后可下载</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w:t>
            </w:r>
          </w:p>
          <w:p w14:paraId="70150C1C">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方式：（1）线上获取（登录政府采购云平台 → 项目采购 → 获取</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 申请，审核通过后可下载</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文件）。本次招标不提供纸质版</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w:t>
            </w:r>
          </w:p>
          <w:p w14:paraId="74BB5340">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（2）供应商获取</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文件前应注册成为政府采购云平台正式供应商。</w:t>
            </w:r>
          </w:p>
        </w:tc>
      </w:tr>
      <w:tr w14:paraId="556CA6B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vMerge w:val="restart"/>
            <w:noWrap w:val="0"/>
            <w:vAlign w:val="center"/>
          </w:tcPr>
          <w:p w14:paraId="26692A3D">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w:t>
            </w:r>
          </w:p>
        </w:tc>
        <w:tc>
          <w:tcPr>
            <w:tcW w:w="849" w:type="pct"/>
            <w:vMerge w:val="restart"/>
            <w:noWrap w:val="0"/>
            <w:vAlign w:val="center"/>
          </w:tcPr>
          <w:p w14:paraId="7962BED4">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重要说明</w:t>
            </w:r>
          </w:p>
        </w:tc>
        <w:tc>
          <w:tcPr>
            <w:tcW w:w="3839" w:type="pct"/>
            <w:noWrap w:val="0"/>
            <w:vAlign w:val="top"/>
          </w:tcPr>
          <w:p w14:paraId="044F0FB7">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1.本项目采用全流程不见面电子开评标，投标供应商需要使用CA加密设备，供应商可通过新疆数字证书认证中心官网（https://www.xjca.com.cn/）或下载“新疆政务通”APP自行进行申领。</w:t>
            </w:r>
          </w:p>
          <w:p w14:paraId="763A5A53">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2.本项目实行网上投标，采用加密电子响应文件(供应商须使用CA加密设备通过政采云电子投标客户端制作响应文件)。若供应商参与投标，自行承担投标一切费用。</w:t>
            </w:r>
          </w:p>
          <w:p w14:paraId="6F198257">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40A20C97">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2FF2426D">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5.供应商在开标时须使用制作加密电子响应文件所使用的CA锁及电脑，电脑须提前配置好浏览器（建议使用谷歌浏览器），以便开标时解锁。</w:t>
            </w:r>
          </w:p>
          <w:p w14:paraId="608E78FC">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54E1BBC8">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7.为了保证开评标顺利进行，政采云线上开标功能完全实现，供应商开标所使用的电脑设备须具有视频及语音功能。</w:t>
            </w:r>
          </w:p>
        </w:tc>
      </w:tr>
      <w:tr w14:paraId="76647A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vMerge w:val="continue"/>
            <w:noWrap w:val="0"/>
            <w:vAlign w:val="center"/>
          </w:tcPr>
          <w:p w14:paraId="5B300DF4">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
                <w:color w:val="auto"/>
                <w:sz w:val="24"/>
                <w:szCs w:val="24"/>
                <w:highlight w:val="none"/>
              </w:rPr>
            </w:pPr>
          </w:p>
        </w:tc>
        <w:tc>
          <w:tcPr>
            <w:tcW w:w="849" w:type="pct"/>
            <w:vMerge w:val="continue"/>
            <w:noWrap w:val="0"/>
            <w:vAlign w:val="center"/>
          </w:tcPr>
          <w:p w14:paraId="559FABB0">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
                <w:color w:val="auto"/>
                <w:sz w:val="24"/>
                <w:szCs w:val="24"/>
                <w:highlight w:val="none"/>
              </w:rPr>
            </w:pPr>
          </w:p>
        </w:tc>
        <w:tc>
          <w:tcPr>
            <w:tcW w:w="3839" w:type="pct"/>
            <w:noWrap w:val="0"/>
            <w:vAlign w:val="top"/>
          </w:tcPr>
          <w:p w14:paraId="7606A3B9">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1、电子招投标情况说明：</w:t>
            </w:r>
          </w:p>
          <w:p w14:paraId="1236B6B7">
            <w:pPr>
              <w:keepNext w:val="0"/>
              <w:keepLines w:val="0"/>
              <w:pageBreakBefore w:val="0"/>
              <w:kinsoku/>
              <w:wordWrap/>
              <w:overflowPunct/>
              <w:topLinePunct w:val="0"/>
              <w:autoSpaceDE/>
              <w:autoSpaceDN/>
              <w:bidi w:val="0"/>
              <w:adjustRightInd/>
              <w:snapToGrid w:val="0"/>
              <w:spacing w:line="480" w:lineRule="exact"/>
              <w:ind w:firstLine="245"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电子招投标</w:t>
            </w:r>
            <w:r>
              <w:rPr>
                <w:rFonts w:hint="eastAsia" w:ascii="仿宋" w:hAnsi="仿宋" w:eastAsia="仿宋" w:cs="仿宋"/>
                <w:color w:val="auto"/>
                <w:sz w:val="24"/>
                <w:szCs w:val="24"/>
                <w:highlight w:val="none"/>
              </w:rPr>
              <w:t>：本项目以数据电文形式，依托“政府采购云平台（www.zcygov.cn）”进行招投标活动</w:t>
            </w:r>
            <w:r>
              <w:rPr>
                <w:rFonts w:hint="eastAsia" w:ascii="仿宋" w:hAnsi="仿宋" w:eastAsia="仿宋" w:cs="仿宋"/>
                <w:b/>
                <w:bCs/>
                <w:color w:val="auto"/>
                <w:sz w:val="24"/>
                <w:szCs w:val="24"/>
                <w:highlight w:val="none"/>
              </w:rPr>
              <w:t>。</w:t>
            </w:r>
          </w:p>
          <w:p w14:paraId="74E5F1DD">
            <w:pPr>
              <w:keepNext w:val="0"/>
              <w:keepLines w:val="0"/>
              <w:pageBreakBefore w:val="0"/>
              <w:kinsoku/>
              <w:wordWrap/>
              <w:overflowPunct/>
              <w:topLinePunct w:val="0"/>
              <w:autoSpaceDE/>
              <w:autoSpaceDN/>
              <w:bidi w:val="0"/>
              <w:adjustRightInd/>
              <w:snapToGrid w:val="0"/>
              <w:spacing w:line="480" w:lineRule="exact"/>
              <w:ind w:firstLine="245"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color w:val="auto"/>
                <w:sz w:val="24"/>
                <w:szCs w:val="24"/>
                <w:highlight w:val="none"/>
              </w:rPr>
              <w:t>投标准备</w:t>
            </w:r>
            <w:r>
              <w:rPr>
                <w:rFonts w:hint="eastAsia" w:ascii="仿宋" w:hAnsi="仿宋" w:eastAsia="仿宋" w:cs="仿宋"/>
                <w:color w:val="auto"/>
                <w:sz w:val="24"/>
                <w:szCs w:val="24"/>
                <w:highlight w:val="none"/>
              </w:rPr>
              <w:t>：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276C479A">
            <w:pPr>
              <w:keepNext w:val="0"/>
              <w:keepLines w:val="0"/>
              <w:pageBreakBefore w:val="0"/>
              <w:kinsoku/>
              <w:wordWrap/>
              <w:overflowPunct/>
              <w:topLinePunct w:val="0"/>
              <w:autoSpaceDE/>
              <w:autoSpaceDN/>
              <w:bidi w:val="0"/>
              <w:adjustRightInd/>
              <w:snapToGrid w:val="0"/>
              <w:spacing w:line="480" w:lineRule="exact"/>
              <w:ind w:firstLine="245"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b/>
                <w:color w:val="auto"/>
                <w:sz w:val="24"/>
                <w:szCs w:val="24"/>
                <w:highlight w:val="none"/>
                <w:lang w:eastAsia="zh-CN"/>
              </w:rPr>
              <w:t>竞争性谈判</w:t>
            </w:r>
            <w:r>
              <w:rPr>
                <w:rFonts w:hint="eastAsia" w:ascii="仿宋" w:hAnsi="仿宋" w:eastAsia="仿宋" w:cs="仿宋"/>
                <w:b/>
                <w:color w:val="auto"/>
                <w:sz w:val="24"/>
                <w:szCs w:val="24"/>
                <w:highlight w:val="none"/>
              </w:rPr>
              <w:t>文件的获取</w:t>
            </w:r>
            <w:r>
              <w:rPr>
                <w:rFonts w:hint="eastAsia" w:ascii="仿宋" w:hAnsi="仿宋" w:eastAsia="仿宋" w:cs="仿宋"/>
                <w:color w:val="auto"/>
                <w:sz w:val="24"/>
                <w:szCs w:val="24"/>
                <w:highlight w:val="none"/>
              </w:rPr>
              <w:t>：使用账号登录或者</w:t>
            </w:r>
            <w:r>
              <w:rPr>
                <w:rFonts w:hint="eastAsia" w:ascii="仿宋" w:hAnsi="仿宋" w:eastAsia="仿宋" w:cs="仿宋"/>
                <w:color w:val="auto"/>
                <w:sz w:val="24"/>
                <w:szCs w:val="24"/>
                <w:highlight w:val="none"/>
                <w:lang w:bidi="zh-CN"/>
              </w:rPr>
              <w:t>短信验证码</w:t>
            </w:r>
            <w:r>
              <w:rPr>
                <w:rFonts w:hint="eastAsia" w:ascii="仿宋" w:hAnsi="仿宋" w:eastAsia="仿宋" w:cs="仿宋"/>
                <w:color w:val="auto"/>
                <w:sz w:val="24"/>
                <w:szCs w:val="24"/>
                <w:highlight w:val="none"/>
              </w:rPr>
              <w:t>或者使用CA登录政采云平台；进入“项目采购”应用，在获取</w:t>
            </w:r>
            <w:r>
              <w:rPr>
                <w:rFonts w:hint="eastAsia" w:ascii="仿宋" w:hAnsi="仿宋" w:eastAsia="仿宋" w:cs="仿宋"/>
                <w:color w:val="auto"/>
                <w:sz w:val="24"/>
                <w:szCs w:val="24"/>
                <w:highlight w:val="none"/>
                <w:lang w:eastAsia="zh-CN"/>
              </w:rPr>
              <w:t>竞争性谈判文件</w:t>
            </w:r>
            <w:r>
              <w:rPr>
                <w:rFonts w:hint="eastAsia" w:ascii="仿宋" w:hAnsi="仿宋" w:eastAsia="仿宋" w:cs="仿宋"/>
                <w:color w:val="auto"/>
                <w:sz w:val="24"/>
                <w:szCs w:val="24"/>
                <w:highlight w:val="none"/>
              </w:rPr>
              <w:t>菜单中选择项目，获取</w:t>
            </w:r>
            <w:r>
              <w:rPr>
                <w:rFonts w:hint="eastAsia" w:ascii="仿宋" w:hAnsi="仿宋" w:eastAsia="仿宋" w:cs="仿宋"/>
                <w:color w:val="auto"/>
                <w:sz w:val="24"/>
                <w:szCs w:val="24"/>
                <w:highlight w:val="none"/>
                <w:lang w:eastAsia="zh-CN"/>
              </w:rPr>
              <w:t>竞争性谈判文件</w:t>
            </w:r>
            <w:r>
              <w:rPr>
                <w:rFonts w:hint="eastAsia" w:ascii="仿宋" w:hAnsi="仿宋" w:eastAsia="仿宋" w:cs="仿宋"/>
                <w:color w:val="auto"/>
                <w:sz w:val="24"/>
                <w:szCs w:val="24"/>
                <w:highlight w:val="none"/>
              </w:rPr>
              <w:t>。</w:t>
            </w:r>
          </w:p>
          <w:p w14:paraId="6E8B05B8">
            <w:pPr>
              <w:keepNext w:val="0"/>
              <w:keepLines w:val="0"/>
              <w:pageBreakBefore w:val="0"/>
              <w:kinsoku/>
              <w:wordWrap/>
              <w:overflowPunct/>
              <w:topLinePunct w:val="0"/>
              <w:autoSpaceDE/>
              <w:autoSpaceDN/>
              <w:bidi w:val="0"/>
              <w:adjustRightInd/>
              <w:snapToGrid w:val="0"/>
              <w:spacing w:line="480" w:lineRule="exact"/>
              <w:ind w:firstLine="245"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
                <w:color w:val="auto"/>
                <w:sz w:val="24"/>
                <w:szCs w:val="24"/>
                <w:highlight w:val="none"/>
              </w:rPr>
              <w:t>投标文件的制作</w:t>
            </w:r>
            <w:r>
              <w:rPr>
                <w:rFonts w:hint="eastAsia" w:ascii="仿宋" w:hAnsi="仿宋" w:eastAsia="仿宋" w:cs="仿宋"/>
                <w:color w:val="auto"/>
                <w:sz w:val="24"/>
                <w:szCs w:val="24"/>
                <w:highlight w:val="none"/>
              </w:rPr>
              <w:t>：在“政采云电子交易客户端”中完成“填写基本信息”、“导入投标文件”、“标书关联”、“标书检查”、“电子签名”、“生成电子标书”等操作。</w:t>
            </w:r>
          </w:p>
          <w:p w14:paraId="151042D6">
            <w:pPr>
              <w:keepNext w:val="0"/>
              <w:keepLines w:val="0"/>
              <w:pageBreakBefore w:val="0"/>
              <w:kinsoku/>
              <w:wordWrap/>
              <w:overflowPunct/>
              <w:topLinePunct w:val="0"/>
              <w:autoSpaceDE/>
              <w:autoSpaceDN/>
              <w:bidi w:val="0"/>
              <w:adjustRightInd/>
              <w:snapToGrid w:val="0"/>
              <w:spacing w:line="480" w:lineRule="exact"/>
              <w:ind w:firstLine="245"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color w:val="auto"/>
                <w:sz w:val="24"/>
                <w:szCs w:val="24"/>
                <w:highlight w:val="none"/>
              </w:rPr>
              <w:t>投标文件的传输递交</w:t>
            </w:r>
            <w:r>
              <w:rPr>
                <w:rFonts w:hint="eastAsia" w:ascii="仿宋" w:hAnsi="仿宋" w:eastAsia="仿宋" w:cs="仿宋"/>
                <w:color w:val="auto"/>
                <w:sz w:val="24"/>
                <w:szCs w:val="24"/>
                <w:highlight w:val="none"/>
              </w:rPr>
              <w:t>：供应商在投标截止时间前将加密的投标文件上传至政府采购云平台，还可以在投标截止时间前以电子邮件方式提供备份投标文件1份（</w:t>
            </w:r>
            <w:r>
              <w:rPr>
                <w:rFonts w:hint="eastAsia" w:ascii="仿宋" w:hAnsi="仿宋" w:eastAsia="仿宋" w:cs="仿宋"/>
                <w:b/>
                <w:bCs/>
                <w:color w:val="auto"/>
                <w:sz w:val="24"/>
                <w:szCs w:val="24"/>
                <w:highlight w:val="none"/>
              </w:rPr>
              <w:t>接收人邮箱：</w:t>
            </w:r>
            <w:r>
              <w:rPr>
                <w:rFonts w:hint="eastAsia" w:ascii="仿宋" w:hAnsi="仿宋" w:eastAsia="仿宋" w:cs="仿宋"/>
                <w:color w:val="auto"/>
                <w:sz w:val="24"/>
                <w:szCs w:val="24"/>
                <w:highlight w:val="none"/>
                <w:lang w:val="en-US" w:eastAsia="zh-CN"/>
              </w:rPr>
              <w:t>1714599250@qq.com</w:t>
            </w:r>
            <w:r>
              <w:rPr>
                <w:rFonts w:hint="eastAsia" w:ascii="仿宋" w:hAnsi="仿宋" w:eastAsia="仿宋" w:cs="仿宋"/>
                <w:b/>
                <w:bCs/>
                <w:color w:val="auto"/>
                <w:sz w:val="24"/>
                <w:szCs w:val="24"/>
                <w:highlight w:val="none"/>
              </w:rPr>
              <w:t>，接收人：</w:t>
            </w:r>
            <w:r>
              <w:rPr>
                <w:rFonts w:hint="eastAsia" w:ascii="仿宋" w:hAnsi="仿宋" w:eastAsia="仿宋" w:cs="仿宋"/>
                <w:b/>
                <w:bCs/>
                <w:color w:val="auto"/>
                <w:sz w:val="24"/>
                <w:szCs w:val="24"/>
                <w:highlight w:val="none"/>
                <w:lang w:val="en-US" w:eastAsia="zh-CN"/>
              </w:rPr>
              <w:t>刘安绮</w:t>
            </w:r>
            <w:r>
              <w:rPr>
                <w:rFonts w:hint="eastAsia" w:ascii="仿宋" w:hAnsi="仿宋" w:eastAsia="仿宋" w:cs="仿宋"/>
                <w:b/>
                <w:bCs/>
                <w:color w:val="auto"/>
                <w:sz w:val="24"/>
                <w:szCs w:val="24"/>
                <w:highlight w:val="none"/>
              </w:rPr>
              <w:t>，电话：</w:t>
            </w:r>
            <w:r>
              <w:rPr>
                <w:rFonts w:hint="eastAsia" w:ascii="仿宋" w:hAnsi="仿宋" w:eastAsia="仿宋" w:cs="仿宋"/>
                <w:b/>
                <w:bCs/>
                <w:color w:val="auto"/>
                <w:sz w:val="24"/>
                <w:szCs w:val="24"/>
                <w:highlight w:val="none"/>
                <w:lang w:val="en-US" w:eastAsia="zh-CN"/>
              </w:rPr>
              <w:t>15099311555</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lang w:bidi="zh-CN"/>
              </w:rPr>
              <w:t>备份投标文件可以打包压缩并加密，压缩包命名为“XX单位备份投标文件”，加密密码由供应商自行保管（“备份投标文件”由供应商自愿提供，竞争性谈判文件不作强制性要求；如不提供或未按要求提供的，当电子投标文件无法解密时，将导致无备份投标文件而失去投标资格）</w:t>
            </w:r>
            <w:r>
              <w:rPr>
                <w:rFonts w:hint="eastAsia" w:ascii="仿宋" w:hAnsi="仿宋" w:eastAsia="仿宋" w:cs="仿宋"/>
                <w:color w:val="auto"/>
                <w:sz w:val="24"/>
                <w:szCs w:val="24"/>
                <w:highlight w:val="none"/>
              </w:rPr>
              <w:t>。</w:t>
            </w:r>
          </w:p>
          <w:p w14:paraId="68AD9375">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
                <w:color w:val="auto"/>
                <w:sz w:val="24"/>
                <w:szCs w:val="24"/>
                <w:highlight w:val="none"/>
              </w:rPr>
              <w:t>投标文件的解密</w:t>
            </w:r>
            <w:r>
              <w:rPr>
                <w:rFonts w:hint="eastAsia" w:ascii="仿宋" w:hAnsi="仿宋" w:eastAsia="仿宋" w:cs="仿宋"/>
                <w:color w:val="auto"/>
                <w:sz w:val="24"/>
                <w:szCs w:val="24"/>
                <w:highlight w:val="none"/>
              </w:rPr>
              <w:t>：供应商按照平台提示和</w:t>
            </w:r>
            <w:r>
              <w:rPr>
                <w:rFonts w:hint="eastAsia" w:ascii="仿宋" w:hAnsi="仿宋" w:eastAsia="仿宋" w:cs="仿宋"/>
                <w:color w:val="auto"/>
                <w:sz w:val="24"/>
                <w:szCs w:val="24"/>
                <w:highlight w:val="none"/>
                <w:lang w:eastAsia="zh-CN"/>
              </w:rPr>
              <w:t>竞争性谈判文件</w:t>
            </w:r>
            <w:r>
              <w:rPr>
                <w:rFonts w:hint="eastAsia" w:ascii="仿宋" w:hAnsi="仿宋" w:eastAsia="仿宋" w:cs="仿宋"/>
                <w:color w:val="auto"/>
                <w:sz w:val="24"/>
                <w:szCs w:val="24"/>
                <w:highlight w:val="none"/>
              </w:rPr>
              <w:t>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432D9042">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
                <w:color w:val="auto"/>
                <w:sz w:val="24"/>
                <w:szCs w:val="24"/>
                <w:highlight w:val="none"/>
              </w:rPr>
              <w:t>具体操作指南</w:t>
            </w:r>
            <w:r>
              <w:rPr>
                <w:rFonts w:hint="eastAsia" w:ascii="仿宋" w:hAnsi="仿宋" w:eastAsia="仿宋" w:cs="仿宋"/>
                <w:color w:val="auto"/>
                <w:sz w:val="24"/>
                <w:szCs w:val="24"/>
                <w:highlight w:val="none"/>
              </w:rPr>
              <w:t>：详见政采云平台“服务中心-帮助文档-项目采购-操作流程-电子招投标-政府采购项目电子交易管理操作指南-供应商”。</w:t>
            </w:r>
          </w:p>
          <w:p w14:paraId="057AD50E">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（8）供应商在进行上述操作时，如遇技术问题可登录政采云（https://</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HYPERLINK "http://www.zcygov.cn/" \h</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），点击右侧咨询小采，获取采小蜜智能服务管家帮助，或拨打政采云服务热线 </w:t>
            </w:r>
            <w:r>
              <w:rPr>
                <w:rFonts w:hint="eastAsia" w:ascii="仿宋" w:hAnsi="仿宋" w:eastAsia="仿宋" w:cs="仿宋"/>
                <w:color w:val="auto"/>
                <w:sz w:val="24"/>
                <w:szCs w:val="24"/>
                <w:highlight w:val="none"/>
                <w:lang w:val="en-US" w:eastAsia="zh-CN"/>
              </w:rPr>
              <w:t>400-881-7190</w:t>
            </w:r>
            <w:r>
              <w:rPr>
                <w:rFonts w:hint="eastAsia" w:ascii="仿宋" w:hAnsi="仿宋" w:eastAsia="仿宋" w:cs="仿宋"/>
                <w:color w:val="auto"/>
                <w:sz w:val="24"/>
                <w:szCs w:val="24"/>
                <w:highlight w:val="none"/>
              </w:rPr>
              <w:t xml:space="preserve"> 获取热线服务帮助。</w:t>
            </w:r>
          </w:p>
          <w:p w14:paraId="2CDB984D">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温馨提醒：</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供应商应提前上传，以便在上传时遇到技术问题，有充足的时间请教平台的技术人员。</w:t>
            </w:r>
          </w:p>
          <w:p w14:paraId="75575016">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2、供应商认为</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使自己的权益受到损害的，可以自收到</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之日（</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公告期限届满之前收到</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的，以完成获取</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申请后下载</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的时间为准）或者</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公告期限届满之日</w:t>
            </w:r>
            <w:r>
              <w:rPr>
                <w:rFonts w:hint="eastAsia" w:ascii="仿宋" w:hAnsi="仿宋" w:eastAsia="仿宋" w:cs="仿宋"/>
                <w:color w:val="auto"/>
                <w:sz w:val="24"/>
                <w:szCs w:val="24"/>
                <w:highlight w:val="none"/>
              </w:rPr>
              <w:t>，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r>
              <w:rPr>
                <w:rFonts w:hint="eastAsia" w:ascii="仿宋" w:hAnsi="仿宋" w:eastAsia="仿宋" w:cs="仿宋"/>
                <w:bCs/>
                <w:color w:val="auto"/>
                <w:sz w:val="24"/>
                <w:szCs w:val="24"/>
                <w:highlight w:val="none"/>
              </w:rPr>
              <w:t>未按规定获取</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或逾期提出的不予受理、答复。</w:t>
            </w:r>
          </w:p>
        </w:tc>
      </w:tr>
      <w:tr w14:paraId="0930ED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trPr>
        <w:tc>
          <w:tcPr>
            <w:tcW w:w="311" w:type="pct"/>
            <w:tcBorders>
              <w:right w:val="single" w:color="auto" w:sz="4" w:space="0"/>
            </w:tcBorders>
            <w:noWrap w:val="0"/>
            <w:vAlign w:val="center"/>
          </w:tcPr>
          <w:p w14:paraId="6FF00606">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30</w:t>
            </w:r>
          </w:p>
        </w:tc>
        <w:tc>
          <w:tcPr>
            <w:tcW w:w="849" w:type="pct"/>
            <w:tcBorders>
              <w:left w:val="single" w:color="auto" w:sz="4" w:space="0"/>
            </w:tcBorders>
            <w:noWrap w:val="0"/>
            <w:vAlign w:val="center"/>
          </w:tcPr>
          <w:p w14:paraId="6ED57849">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中小微企业政策文件</w:t>
            </w:r>
          </w:p>
        </w:tc>
        <w:tc>
          <w:tcPr>
            <w:tcW w:w="3839" w:type="pct"/>
            <w:noWrap w:val="0"/>
            <w:vAlign w:val="top"/>
          </w:tcPr>
          <w:p w14:paraId="6E9ECDAC">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sz w:val="24"/>
                <w:szCs w:val="24"/>
              </w:rPr>
            </w:pPr>
            <w:r>
              <w:rPr>
                <w:rFonts w:hint="eastAsia" w:ascii="仿宋" w:hAnsi="仿宋" w:eastAsia="仿宋" w:cs="仿宋"/>
                <w:color w:val="auto"/>
                <w:sz w:val="24"/>
                <w:szCs w:val="24"/>
              </w:rPr>
              <w:t>（1）根据财政部</w:t>
            </w:r>
            <w:r>
              <w:rPr>
                <w:rFonts w:hint="eastAsia" w:ascii="仿宋" w:hAnsi="仿宋" w:eastAsia="仿宋" w:cs="仿宋"/>
                <w:color w:val="auto"/>
                <w:sz w:val="24"/>
                <w:szCs w:val="24"/>
                <w:lang w:eastAsia="zh-CN"/>
              </w:rPr>
              <w:t>《关于进一步加大政府采购支持中小企业力度的通知》</w:t>
            </w:r>
            <w:r>
              <w:rPr>
                <w:rFonts w:hint="eastAsia" w:ascii="仿宋" w:hAnsi="仿宋" w:eastAsia="仿宋" w:cs="仿宋"/>
                <w:color w:val="auto"/>
                <w:sz w:val="24"/>
                <w:szCs w:val="24"/>
              </w:rPr>
              <w:t>(财库</w:t>
            </w:r>
            <w:r>
              <w:rPr>
                <w:rFonts w:hint="eastAsia" w:ascii="仿宋" w:hAnsi="仿宋" w:eastAsia="仿宋" w:cs="仿宋"/>
                <w:color w:val="auto"/>
                <w:sz w:val="24"/>
                <w:szCs w:val="24"/>
                <w:lang w:val="en-US" w:eastAsia="zh-CN"/>
              </w:rPr>
              <w:t>[2022]19</w:t>
            </w:r>
            <w:r>
              <w:rPr>
                <w:rFonts w:hint="eastAsia" w:ascii="仿宋" w:hAnsi="仿宋" w:eastAsia="仿宋" w:cs="仿宋"/>
                <w:color w:val="auto"/>
                <w:sz w:val="24"/>
                <w:szCs w:val="24"/>
              </w:rPr>
              <w:t>号)，投</w:t>
            </w:r>
            <w:r>
              <w:rPr>
                <w:rFonts w:hint="eastAsia" w:ascii="仿宋" w:hAnsi="仿宋" w:eastAsia="仿宋" w:cs="仿宋"/>
                <w:sz w:val="24"/>
                <w:szCs w:val="24"/>
              </w:rPr>
              <w:t>标人及其所投产品的制造商均属于《工业和信息化部、国家统计局、国家发展和改革委员会、财政部关于印发中小企业划型标准规定的通知》（工信部联企业[2011]300号）中规定的小型、微型企业标准的，按</w:t>
            </w:r>
            <w:r>
              <w:rPr>
                <w:rFonts w:hint="eastAsia" w:ascii="仿宋" w:hAnsi="仿宋" w:eastAsia="仿宋" w:cs="仿宋"/>
                <w:sz w:val="24"/>
                <w:szCs w:val="24"/>
                <w:lang w:val="en-US" w:eastAsia="zh-CN"/>
              </w:rPr>
              <w:t>谈判</w:t>
            </w:r>
            <w:r>
              <w:rPr>
                <w:rFonts w:hint="eastAsia" w:ascii="仿宋" w:hAnsi="仿宋" w:eastAsia="仿宋" w:cs="仿宋"/>
                <w:sz w:val="24"/>
                <w:szCs w:val="24"/>
                <w:lang w:eastAsia="zh-CN"/>
              </w:rPr>
              <w:t>文件</w:t>
            </w:r>
            <w:r>
              <w:rPr>
                <w:rFonts w:hint="eastAsia" w:ascii="仿宋" w:hAnsi="仿宋" w:eastAsia="仿宋" w:cs="仿宋"/>
                <w:sz w:val="24"/>
                <w:szCs w:val="24"/>
              </w:rPr>
              <w:t>格式提供《中小企业声明函》。</w:t>
            </w:r>
          </w:p>
          <w:p w14:paraId="3408F25F">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062A9AE9">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3）根据财政部、民政部、中国残疾人联合会《关于促进残疾人就业政府采购政策的通知》（财库[2017]141号），在政府采购活动中，残疾人福利性单位视同小型、微型企业。投标人属于残疾人福利性单位的，按照</w:t>
            </w:r>
            <w:r>
              <w:rPr>
                <w:rFonts w:hint="eastAsia" w:ascii="仿宋" w:hAnsi="仿宋" w:eastAsia="仿宋" w:cs="仿宋"/>
                <w:sz w:val="24"/>
                <w:szCs w:val="24"/>
                <w:lang w:eastAsia="zh-CN"/>
              </w:rPr>
              <w:t>谈判文件</w:t>
            </w:r>
            <w:r>
              <w:rPr>
                <w:rFonts w:hint="eastAsia" w:ascii="仿宋" w:hAnsi="仿宋" w:eastAsia="仿宋" w:cs="仿宋"/>
                <w:sz w:val="24"/>
                <w:szCs w:val="24"/>
              </w:rPr>
              <w:t>格式提供残疾人福利性单位声明函。</w:t>
            </w:r>
          </w:p>
          <w:p w14:paraId="5F92926D">
            <w:pPr>
              <w:pStyle w:val="9"/>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关于落实好政府采购支持中小企业发展的通知》 新财购 〔2022〕22号</w:t>
            </w:r>
          </w:p>
          <w:p w14:paraId="1DF4D9C2">
            <w:pPr>
              <w:pStyle w:val="9"/>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b/>
                <w:bCs/>
                <w:color w:val="auto"/>
                <w:sz w:val="24"/>
                <w:szCs w:val="24"/>
                <w:highlight w:val="none"/>
                <w:lang w:val="en-US" w:eastAsia="zh-CN"/>
              </w:rPr>
              <w:t>*本项目为专门面向中小企业，必须按照谈判文件提供的《中小企业声明函》格式提供。否则作无效标处理。</w:t>
            </w:r>
          </w:p>
        </w:tc>
      </w:tr>
      <w:tr w14:paraId="52443D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trPr>
        <w:tc>
          <w:tcPr>
            <w:tcW w:w="311" w:type="pct"/>
            <w:tcBorders>
              <w:right w:val="single" w:color="auto" w:sz="4" w:space="0"/>
            </w:tcBorders>
            <w:noWrap w:val="0"/>
            <w:vAlign w:val="center"/>
          </w:tcPr>
          <w:p w14:paraId="003EC3B5">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w:t>
            </w:r>
          </w:p>
        </w:tc>
        <w:tc>
          <w:tcPr>
            <w:tcW w:w="849" w:type="pct"/>
            <w:tcBorders>
              <w:left w:val="single" w:color="auto" w:sz="4" w:space="0"/>
            </w:tcBorders>
            <w:noWrap w:val="0"/>
            <w:vAlign w:val="center"/>
          </w:tcPr>
          <w:p w14:paraId="195F1EA0">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中小微企业政策文件说明</w:t>
            </w:r>
          </w:p>
        </w:tc>
        <w:tc>
          <w:tcPr>
            <w:tcW w:w="3839" w:type="pct"/>
            <w:noWrap w:val="0"/>
            <w:vAlign w:val="top"/>
          </w:tcPr>
          <w:p w14:paraId="3147DEA9">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本项目</w:t>
            </w:r>
            <w:r>
              <w:rPr>
                <w:rFonts w:hint="eastAsia" w:ascii="仿宋" w:hAnsi="仿宋" w:eastAsia="仿宋" w:cs="仿宋"/>
                <w:sz w:val="24"/>
                <w:szCs w:val="24"/>
                <w:highlight w:val="none"/>
                <w:lang w:eastAsia="zh-CN"/>
              </w:rPr>
              <w:t>为专门面向中小企业项目，资金为全部预留。</w:t>
            </w:r>
          </w:p>
          <w:p w14:paraId="143CEF7D">
            <w:pPr>
              <w:pStyle w:val="9"/>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2.本采购项目中小企业划分标准所属行业为：</w:t>
            </w:r>
            <w:r>
              <w:rPr>
                <w:rFonts w:hint="eastAsia" w:ascii="仿宋" w:hAnsi="仿宋" w:eastAsia="仿宋" w:cs="仿宋"/>
                <w:color w:val="000000"/>
                <w:sz w:val="24"/>
                <w:szCs w:val="24"/>
                <w:highlight w:val="none"/>
                <w:lang w:val="en-US" w:eastAsia="zh-CN" w:bidi="en-US"/>
              </w:rPr>
              <w:t>工业</w:t>
            </w:r>
            <w:r>
              <w:rPr>
                <w:rFonts w:hint="eastAsia" w:ascii="仿宋" w:hAnsi="仿宋" w:eastAsia="仿宋" w:cs="仿宋"/>
                <w:sz w:val="24"/>
                <w:szCs w:val="24"/>
                <w:highlight w:val="none"/>
                <w:lang w:val="en-US" w:eastAsia="zh-CN"/>
              </w:rPr>
              <w:t>。</w:t>
            </w:r>
          </w:p>
        </w:tc>
      </w:tr>
      <w:tr w14:paraId="409D75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trPr>
        <w:tc>
          <w:tcPr>
            <w:tcW w:w="1160" w:type="pct"/>
            <w:gridSpan w:val="2"/>
            <w:noWrap w:val="0"/>
            <w:vAlign w:val="center"/>
          </w:tcPr>
          <w:p w14:paraId="6237863F">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备</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注</w:t>
            </w:r>
          </w:p>
        </w:tc>
        <w:tc>
          <w:tcPr>
            <w:tcW w:w="3839" w:type="pct"/>
            <w:noWrap w:val="0"/>
            <w:vAlign w:val="top"/>
          </w:tcPr>
          <w:p w14:paraId="5B7BB014">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45E549E0">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除法律、法规和规章规定外，竞争性谈判文件中用“拒绝”、“不接受”、“无效”、“不得”等文字规定，对其中任何一条的偏离，在评审时将其视为无效文件。未用上述文字规定或符号标注的条款为非实质性要求条款(即一般条款)。</w:t>
            </w:r>
          </w:p>
          <w:p w14:paraId="1D17A4D3">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2、谈判响应文件中的报价为一次报价，各投标单位再进行两次报价</w:t>
            </w:r>
            <w:r>
              <w:rPr>
                <w:rFonts w:hint="eastAsia" w:ascii="仿宋" w:hAnsi="仿宋" w:eastAsia="仿宋" w:cs="仿宋"/>
                <w:b/>
                <w:bCs/>
                <w:color w:val="auto"/>
                <w:sz w:val="24"/>
                <w:szCs w:val="24"/>
                <w:highlight w:val="none"/>
                <w:lang w:val="en-US" w:eastAsia="zh-CN"/>
              </w:rPr>
              <w:t>（谈判）</w:t>
            </w:r>
            <w:r>
              <w:rPr>
                <w:rFonts w:hint="eastAsia" w:ascii="仿宋" w:hAnsi="仿宋" w:eastAsia="仿宋" w:cs="仿宋"/>
                <w:color w:val="auto"/>
                <w:sz w:val="24"/>
                <w:szCs w:val="24"/>
                <w:highlight w:val="none"/>
                <w:lang w:val="en-US" w:eastAsia="zh-CN"/>
              </w:rPr>
              <w:t>，投标报价评审以第三次报价为准，最终成交价以第三次报价为准。一次报价不得高于总投资，二次报价不得高于一次报价以此类推。</w:t>
            </w:r>
          </w:p>
          <w:p w14:paraId="394098A0">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投标人使用相同IP地址的，一经发现，相关部门将进一步核实，查实后按串通投标处理。</w:t>
            </w:r>
          </w:p>
        </w:tc>
      </w:tr>
    </w:tbl>
    <w:p w14:paraId="7C47A70C">
      <w:pPr>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42D161F1">
      <w:pPr>
        <w:pStyle w:val="4"/>
        <w:rPr>
          <w:rFonts w:hint="eastAsia" w:ascii="仿宋" w:hAnsi="仿宋" w:eastAsia="仿宋" w:cs="仿宋"/>
          <w:color w:val="auto"/>
          <w:sz w:val="28"/>
          <w:szCs w:val="28"/>
        </w:rPr>
      </w:pPr>
      <w:r>
        <w:rPr>
          <w:rFonts w:hint="eastAsia" w:ascii="仿宋" w:hAnsi="仿宋" w:eastAsia="仿宋" w:cs="仿宋"/>
          <w:color w:val="auto"/>
          <w:sz w:val="28"/>
          <w:szCs w:val="28"/>
        </w:rPr>
        <w:t>一、总则</w:t>
      </w:r>
    </w:p>
    <w:p w14:paraId="4C203B11">
      <w:pPr>
        <w:snapToGrid w:val="0"/>
        <w:spacing w:line="360" w:lineRule="auto"/>
        <w:ind w:firstLine="367" w:firstLineChars="15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2"/>
          <w:sz w:val="24"/>
          <w:szCs w:val="24"/>
        </w:rPr>
        <w:t>（一）项目名称</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青河县城乡中小学信息化教学能力提升项目</w:t>
      </w:r>
    </w:p>
    <w:p w14:paraId="4BB1FD0A">
      <w:pPr>
        <w:snapToGrid w:val="0"/>
        <w:spacing w:line="360" w:lineRule="auto"/>
        <w:ind w:firstLine="367" w:firstLineChars="150"/>
        <w:rPr>
          <w:rFonts w:hint="eastAsia" w:ascii="仿宋" w:hAnsi="仿宋" w:eastAsia="仿宋" w:cs="仿宋"/>
          <w:color w:val="auto"/>
          <w:sz w:val="24"/>
          <w:szCs w:val="24"/>
        </w:rPr>
      </w:pPr>
      <w:r>
        <w:rPr>
          <w:rFonts w:hint="eastAsia" w:ascii="仿宋" w:hAnsi="仿宋" w:eastAsia="仿宋" w:cs="仿宋"/>
          <w:b/>
          <w:bCs/>
          <w:color w:val="auto"/>
          <w:sz w:val="24"/>
          <w:szCs w:val="24"/>
        </w:rPr>
        <w:t>（二）采购方式</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本项目采取</w:t>
      </w:r>
      <w:r>
        <w:rPr>
          <w:rFonts w:hint="eastAsia" w:ascii="仿宋" w:hAnsi="仿宋" w:eastAsia="仿宋" w:cs="仿宋"/>
          <w:color w:val="auto"/>
          <w:sz w:val="24"/>
          <w:szCs w:val="24"/>
          <w:u w:val="single"/>
          <w:lang w:eastAsia="zh-CN"/>
        </w:rPr>
        <w:t>竞争性谈判</w:t>
      </w:r>
      <w:r>
        <w:rPr>
          <w:rFonts w:hint="eastAsia" w:ascii="仿宋" w:hAnsi="仿宋" w:eastAsia="仿宋" w:cs="仿宋"/>
          <w:color w:val="auto"/>
          <w:sz w:val="24"/>
          <w:szCs w:val="24"/>
        </w:rPr>
        <w:t>方式采购。</w:t>
      </w:r>
    </w:p>
    <w:p w14:paraId="3485DFB2">
      <w:pPr>
        <w:snapToGrid w:val="0"/>
        <w:spacing w:line="360" w:lineRule="auto"/>
        <w:ind w:firstLine="367" w:firstLineChars="150"/>
        <w:rPr>
          <w:rFonts w:hint="eastAsia" w:ascii="仿宋" w:hAnsi="仿宋" w:eastAsia="仿宋" w:cs="仿宋"/>
          <w:b/>
          <w:bCs/>
          <w:color w:val="auto"/>
          <w:sz w:val="24"/>
          <w:szCs w:val="24"/>
        </w:rPr>
      </w:pPr>
      <w:r>
        <w:rPr>
          <w:rFonts w:hint="eastAsia" w:ascii="仿宋" w:hAnsi="仿宋" w:eastAsia="仿宋" w:cs="仿宋"/>
          <w:b/>
          <w:bCs/>
          <w:color w:val="auto"/>
          <w:sz w:val="24"/>
          <w:szCs w:val="24"/>
        </w:rPr>
        <w:t>（三）合格的供应商</w:t>
      </w:r>
    </w:p>
    <w:p w14:paraId="33BB36F3">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详见供应商须知前附表</w:t>
      </w:r>
    </w:p>
    <w:p w14:paraId="6A002606">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（四）适用法律</w:t>
      </w:r>
    </w:p>
    <w:p w14:paraId="198134F2">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本次招标及由本次招标产生的合同受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中华人民共和国政府采购法》、《政府采购</w:t>
      </w:r>
      <w:r>
        <w:rPr>
          <w:rFonts w:hint="eastAsia" w:ascii="仿宋" w:hAnsi="仿宋" w:eastAsia="仿宋" w:cs="仿宋"/>
          <w:color w:val="auto"/>
          <w:sz w:val="24"/>
          <w:szCs w:val="24"/>
          <w:lang w:eastAsia="zh-CN"/>
        </w:rPr>
        <w:t>竞争性谈判</w:t>
      </w:r>
      <w:r>
        <w:rPr>
          <w:rFonts w:hint="eastAsia" w:ascii="仿宋" w:hAnsi="仿宋" w:eastAsia="仿宋" w:cs="仿宋"/>
          <w:color w:val="auto"/>
          <w:sz w:val="24"/>
          <w:szCs w:val="24"/>
        </w:rPr>
        <w:t>采购方式管理暂行办法》等相关法律、法规制约和保护。</w:t>
      </w:r>
    </w:p>
    <w:p w14:paraId="31417407">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（五）招标费用</w:t>
      </w:r>
    </w:p>
    <w:p w14:paraId="12C65C7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供应商应自行承担所有参加招标有关的费用。</w:t>
      </w:r>
    </w:p>
    <w:p w14:paraId="335381F3">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（六）</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的约束力</w:t>
      </w:r>
    </w:p>
    <w:p w14:paraId="3D7878EF">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供应商一旦报名参加本项目投标，即被认为接受了本</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中的所有条件和规定。</w:t>
      </w:r>
    </w:p>
    <w:p w14:paraId="28D9047D">
      <w:pPr>
        <w:pStyle w:val="4"/>
        <w:rPr>
          <w:rFonts w:hint="eastAsia" w:ascii="仿宋" w:hAnsi="仿宋" w:eastAsia="仿宋" w:cs="仿宋"/>
          <w:color w:val="auto"/>
          <w:sz w:val="28"/>
          <w:szCs w:val="28"/>
        </w:rPr>
      </w:pPr>
      <w:bookmarkStart w:id="29" w:name="_Toc497129137"/>
      <w:bookmarkStart w:id="30" w:name="_Toc452657552"/>
      <w:r>
        <w:rPr>
          <w:rFonts w:hint="eastAsia" w:ascii="仿宋" w:hAnsi="仿宋" w:eastAsia="仿宋" w:cs="仿宋"/>
          <w:color w:val="auto"/>
          <w:sz w:val="28"/>
          <w:szCs w:val="28"/>
        </w:rPr>
        <w:t>二、</w:t>
      </w:r>
      <w:bookmarkEnd w:id="29"/>
      <w:bookmarkEnd w:id="30"/>
      <w:r>
        <w:rPr>
          <w:rFonts w:hint="eastAsia" w:ascii="仿宋" w:hAnsi="仿宋" w:eastAsia="仿宋" w:cs="仿宋"/>
          <w:color w:val="auto"/>
          <w:sz w:val="28"/>
          <w:szCs w:val="28"/>
          <w:lang w:eastAsia="zh-CN"/>
        </w:rPr>
        <w:t>谈判文件</w:t>
      </w:r>
    </w:p>
    <w:p w14:paraId="084E04C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（七）</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构成</w:t>
      </w:r>
    </w:p>
    <w:p w14:paraId="02B77DBC">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竞争性谈判</w:t>
      </w:r>
      <w:r>
        <w:rPr>
          <w:rFonts w:hint="eastAsia" w:ascii="仿宋" w:hAnsi="仿宋" w:eastAsia="仿宋" w:cs="仿宋"/>
          <w:color w:val="auto"/>
          <w:sz w:val="24"/>
          <w:szCs w:val="24"/>
        </w:rPr>
        <w:t>公告；</w:t>
      </w:r>
    </w:p>
    <w:p w14:paraId="7488DA28">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2.供应商须知；</w:t>
      </w:r>
    </w:p>
    <w:p w14:paraId="58CE044E">
      <w:pPr>
        <w:adjustRightInd w:val="0"/>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3.技术要求</w:t>
      </w:r>
    </w:p>
    <w:p w14:paraId="23782C09">
      <w:pPr>
        <w:adjustRightInd w:val="0"/>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4.合同文本（参考）</w:t>
      </w:r>
    </w:p>
    <w:p w14:paraId="64828A87">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5.响应文件格式</w:t>
      </w:r>
    </w:p>
    <w:p w14:paraId="42A6A8EF">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供应商获取</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后，应仔细检查文件页数和附件数量，如发现有缺漏，请及时与采购代理机构联系补全。如果供应商不按上述要求操作而造成不良后果，采购代理机构不承担责任。</w:t>
      </w:r>
    </w:p>
    <w:p w14:paraId="0692F1A5">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（八）</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的澄清</w:t>
      </w:r>
    </w:p>
    <w:p w14:paraId="51A1956C">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任何要求对</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澄清的供应商，均应在在响应文件接收截止时间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日之前，</w:t>
      </w:r>
      <w:r>
        <w:rPr>
          <w:rFonts w:hint="eastAsia" w:ascii="仿宋" w:hAnsi="仿宋" w:eastAsia="仿宋" w:cs="仿宋"/>
          <w:color w:val="auto"/>
          <w:sz w:val="24"/>
          <w:szCs w:val="24"/>
          <w:lang w:eastAsia="zh-CN"/>
        </w:rPr>
        <w:t>由澄清或质疑方的法定代表人或授权投标人（必须为法定代表人授权进行该项目投标的被授权人）以书面形式向采购人及招标代理公司递交澄清或质疑函(原件)，并登记备案。澄清或质疑函须有法定代表人亲笔签章。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w:t>
      </w:r>
      <w:r>
        <w:rPr>
          <w:rFonts w:hint="eastAsia" w:ascii="仿宋" w:hAnsi="仿宋" w:eastAsia="仿宋" w:cs="仿宋"/>
          <w:color w:val="auto"/>
          <w:sz w:val="24"/>
          <w:szCs w:val="24"/>
          <w:highlight w:val="none"/>
          <w:lang w:eastAsia="zh-CN"/>
        </w:rPr>
        <w:t>复印件用于</w:t>
      </w:r>
      <w:r>
        <w:rPr>
          <w:rFonts w:hint="eastAsia" w:ascii="仿宋" w:hAnsi="仿宋" w:eastAsia="仿宋" w:cs="仿宋"/>
          <w:color w:val="auto"/>
          <w:sz w:val="24"/>
          <w:szCs w:val="24"/>
          <w:highlight w:val="none"/>
          <w:u w:val="single"/>
          <w:lang w:eastAsia="zh-CN"/>
        </w:rPr>
        <w:t>青河县城乡中小学信息化教学能力提升项目</w:t>
      </w:r>
      <w:r>
        <w:rPr>
          <w:rFonts w:hint="eastAsia" w:ascii="仿宋" w:hAnsi="仿宋" w:eastAsia="仿宋" w:cs="仿宋"/>
          <w:color w:val="auto"/>
          <w:sz w:val="24"/>
          <w:szCs w:val="24"/>
          <w:highlight w:val="none"/>
          <w:lang w:eastAsia="zh-CN"/>
        </w:rPr>
        <w:t>澄清或</w:t>
      </w:r>
      <w:r>
        <w:rPr>
          <w:rFonts w:hint="eastAsia" w:ascii="仿宋" w:hAnsi="仿宋" w:eastAsia="仿宋" w:cs="仿宋"/>
          <w:color w:val="auto"/>
          <w:sz w:val="24"/>
          <w:szCs w:val="24"/>
          <w:lang w:eastAsia="zh-CN"/>
        </w:rPr>
        <w:t>质疑使用”字样，并由身份证持有人签章确认。上述资料均须加盖公章。</w:t>
      </w:r>
      <w:r>
        <w:rPr>
          <w:rFonts w:hint="eastAsia" w:ascii="仿宋" w:hAnsi="仿宋" w:eastAsia="仿宋" w:cs="仿宋"/>
          <w:color w:val="auto"/>
          <w:sz w:val="24"/>
          <w:szCs w:val="24"/>
        </w:rPr>
        <w:t>采购代理机构对规定时间内收到的澄清要求以书面形式予以答复，答复不包括问题的来源。</w:t>
      </w:r>
    </w:p>
    <w:p w14:paraId="1F452CF1">
      <w:pPr>
        <w:snapToGrid w:val="0"/>
        <w:spacing w:line="360" w:lineRule="auto"/>
        <w:ind w:firstLine="490"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（九）</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的修改</w:t>
      </w:r>
    </w:p>
    <w:p w14:paraId="421C55EF">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1、在响应文件接收截止</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日前，采购代理机构可以更正文件以补充文件的形式对</w:t>
      </w:r>
      <w:r>
        <w:rPr>
          <w:rFonts w:hint="eastAsia" w:ascii="仿宋" w:hAnsi="仿宋" w:eastAsia="仿宋" w:cs="仿宋"/>
          <w:bCs/>
          <w:color w:val="auto"/>
          <w:sz w:val="24"/>
          <w:szCs w:val="24"/>
          <w:lang w:eastAsia="zh-CN"/>
        </w:rPr>
        <w:t>竞争性谈判</w:t>
      </w:r>
      <w:r>
        <w:rPr>
          <w:rFonts w:hint="eastAsia" w:ascii="仿宋" w:hAnsi="仿宋" w:eastAsia="仿宋" w:cs="仿宋"/>
          <w:color w:val="auto"/>
          <w:sz w:val="24"/>
          <w:szCs w:val="24"/>
        </w:rPr>
        <w:t>进行修改。</w:t>
      </w:r>
    </w:p>
    <w:p w14:paraId="29DC7A6E">
      <w:pPr>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2、为使供应商有充分的时间对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的修改部分进行分析、研究，采购代理机构有权推迟响应文件接收截止日期和招标时间，并将此变更在</w:t>
      </w:r>
      <w:r>
        <w:rPr>
          <w:rFonts w:hint="eastAsia" w:ascii="仿宋" w:hAnsi="仿宋" w:eastAsia="仿宋" w:cs="仿宋"/>
          <w:color w:val="auto"/>
          <w:sz w:val="24"/>
          <w:szCs w:val="24"/>
          <w:lang w:eastAsia="zh-CN"/>
        </w:rPr>
        <w:t>政采云平台</w:t>
      </w:r>
      <w:r>
        <w:rPr>
          <w:rFonts w:hint="eastAsia" w:ascii="仿宋" w:hAnsi="仿宋" w:eastAsia="仿宋" w:cs="仿宋"/>
          <w:color w:val="auto"/>
          <w:sz w:val="24"/>
          <w:szCs w:val="24"/>
        </w:rPr>
        <w:t>以变更通知的形式予以公布或以书面通知所有购买</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的供应商。</w:t>
      </w:r>
    </w:p>
    <w:p w14:paraId="0A2EEC20">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4、采购代理机构发出的所有补充、修改和变更文件均作为</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的组成部分，与</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具有同等法律效力。</w:t>
      </w:r>
    </w:p>
    <w:p w14:paraId="3180B3D5">
      <w:pPr>
        <w:pStyle w:val="4"/>
        <w:rPr>
          <w:rFonts w:hint="eastAsia" w:ascii="仿宋" w:hAnsi="仿宋" w:eastAsia="仿宋" w:cs="仿宋"/>
          <w:color w:val="auto"/>
          <w:sz w:val="28"/>
          <w:szCs w:val="28"/>
        </w:rPr>
      </w:pPr>
      <w:bookmarkStart w:id="31" w:name="_Toc497129138"/>
      <w:bookmarkStart w:id="32" w:name="_Toc452657553"/>
      <w:r>
        <w:rPr>
          <w:rFonts w:hint="eastAsia" w:ascii="仿宋" w:hAnsi="仿宋" w:eastAsia="仿宋" w:cs="仿宋"/>
          <w:color w:val="auto"/>
          <w:sz w:val="28"/>
          <w:szCs w:val="28"/>
        </w:rPr>
        <w:t>三、响应文件的编制</w:t>
      </w:r>
      <w:bookmarkEnd w:id="31"/>
      <w:bookmarkEnd w:id="32"/>
    </w:p>
    <w:p w14:paraId="6DA30CED">
      <w:pPr>
        <w:snapToGrid w:val="0"/>
        <w:spacing w:line="360" w:lineRule="auto"/>
        <w:ind w:firstLine="245"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rPr>
        <w:t>（十）响应文件的编制要求</w:t>
      </w:r>
    </w:p>
    <w:p w14:paraId="7B330BB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供应商应仔细阅读“</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”的所有内容，按“</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”的要求编制“响应文件”，并保证所提供的全部资料的真实性、完整性及有效性，以使其投标对“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”做出</w:t>
      </w:r>
      <w:r>
        <w:rPr>
          <w:rFonts w:hint="eastAsia" w:ascii="仿宋" w:hAnsi="仿宋" w:eastAsia="仿宋" w:cs="仿宋"/>
          <w:b/>
          <w:color w:val="auto"/>
          <w:sz w:val="24"/>
          <w:szCs w:val="24"/>
        </w:rPr>
        <w:t>实质性响应</w:t>
      </w:r>
      <w:r>
        <w:rPr>
          <w:rFonts w:hint="eastAsia" w:ascii="仿宋" w:hAnsi="仿宋" w:eastAsia="仿宋" w:cs="仿宋"/>
          <w:color w:val="auto"/>
          <w:sz w:val="24"/>
          <w:szCs w:val="24"/>
        </w:rPr>
        <w:t>。否则，可能被拒绝。</w:t>
      </w:r>
    </w:p>
    <w:p w14:paraId="5879D9AE">
      <w:pPr>
        <w:snapToGrid w:val="0"/>
        <w:spacing w:line="360" w:lineRule="auto"/>
        <w:ind w:firstLine="245" w:firstLineChars="100"/>
        <w:rPr>
          <w:rFonts w:hint="eastAsia" w:ascii="仿宋" w:hAnsi="仿宋" w:eastAsia="仿宋" w:cs="仿宋"/>
          <w:color w:val="auto"/>
          <w:sz w:val="24"/>
          <w:szCs w:val="24"/>
        </w:rPr>
      </w:pPr>
      <w:r>
        <w:rPr>
          <w:rFonts w:hint="eastAsia" w:ascii="仿宋" w:hAnsi="仿宋" w:eastAsia="仿宋" w:cs="仿宋"/>
          <w:b/>
          <w:bCs/>
          <w:color w:val="auto"/>
          <w:sz w:val="24"/>
          <w:szCs w:val="24"/>
        </w:rPr>
        <w:t>（十一）响应文件构成</w:t>
      </w:r>
    </w:p>
    <w:p w14:paraId="118F913D">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资格证明文件和商务及技术文件两部分</w:t>
      </w:r>
    </w:p>
    <w:p w14:paraId="65C06214">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lang w:eastAsia="zh-CN"/>
        </w:rPr>
        <w:t>资格证明文件（包括但不限于）</w:t>
      </w:r>
    </w:p>
    <w:p w14:paraId="35ABF7A9">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资格证明文件是证明投标人有资格参加投标和中标后有能力履行合同的文件，这些文件应能满足招标的要求，否则作无效投标处理。</w:t>
      </w:r>
    </w:p>
    <w:p w14:paraId="0FF08C21">
      <w:pPr>
        <w:numPr>
          <w:ilvl w:val="0"/>
          <w:numId w:val="0"/>
        </w:num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具备有效的营业执照副本</w:t>
      </w:r>
    </w:p>
    <w:p w14:paraId="0BAC7CEB">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2、法定代表人资格证明书</w:t>
      </w:r>
    </w:p>
    <w:p w14:paraId="79DE60B5">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3、法定代表人授权书</w:t>
      </w:r>
    </w:p>
    <w:p w14:paraId="5D0F12C7">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4、</w:t>
      </w:r>
      <w:r>
        <w:rPr>
          <w:rFonts w:hint="eastAsia" w:ascii="仿宋" w:hAnsi="仿宋" w:eastAsia="仿宋" w:cs="仿宋"/>
          <w:b/>
          <w:color w:val="auto"/>
          <w:sz w:val="24"/>
          <w:szCs w:val="24"/>
          <w:lang w:val="en-US" w:eastAsia="zh-CN"/>
        </w:rPr>
        <w:t>投标保证金缴纳凭证或投标担保函</w:t>
      </w:r>
    </w:p>
    <w:p w14:paraId="1CBD4DFD">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lang w:eastAsia="zh-CN"/>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p w14:paraId="47D50ED3">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lang w:eastAsia="zh-CN"/>
        </w:rPr>
        <w:t xml:space="preserve">、投标人须知资料表要求的其他资格证明文件; </w:t>
      </w:r>
    </w:p>
    <w:p w14:paraId="184F70A1">
      <w:pPr>
        <w:snapToGrid w:val="0"/>
        <w:spacing w:line="360" w:lineRule="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（2）商务及技术文件（包括但不限于）</w:t>
      </w:r>
    </w:p>
    <w:p w14:paraId="7D8122D6">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1、投标函</w:t>
      </w:r>
    </w:p>
    <w:p w14:paraId="48EFCA39">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2、开标一览表</w:t>
      </w:r>
    </w:p>
    <w:p w14:paraId="4648125D">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3、货物说明一览表</w:t>
      </w:r>
    </w:p>
    <w:p w14:paraId="007F0A78">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4、投标分项报价表</w:t>
      </w:r>
    </w:p>
    <w:p w14:paraId="53AA1A56">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5、技术规格偏离表</w:t>
      </w:r>
    </w:p>
    <w:p w14:paraId="00C687DC">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6、商务条款偏离表</w:t>
      </w:r>
    </w:p>
    <w:p w14:paraId="261DF58D">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7、投标人基本情况表</w:t>
      </w:r>
    </w:p>
    <w:p w14:paraId="5F63F27A">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8、中小企业声明函(货物)</w:t>
      </w:r>
    </w:p>
    <w:p w14:paraId="6DA537AF">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9、《残疾人福利性单位声明函》</w:t>
      </w:r>
    </w:p>
    <w:p w14:paraId="2648A4D0">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10、投标人认为有必要提供的其他证明材料</w:t>
      </w:r>
    </w:p>
    <w:p w14:paraId="57A05565">
      <w:pPr>
        <w:snapToGrid w:val="0"/>
        <w:spacing w:line="360" w:lineRule="auto"/>
        <w:ind w:firstLine="49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注：1.为了便于查找，请按上述顺序编制内容，并在目录中标明每项内容的起始页码。</w:t>
      </w:r>
    </w:p>
    <w:p w14:paraId="15FBC7FE">
      <w:pPr>
        <w:snapToGrid w:val="0"/>
        <w:spacing w:line="360" w:lineRule="auto"/>
        <w:ind w:firstLine="980" w:firstLineChars="4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2.以上材料须加盖单位公章       </w:t>
      </w:r>
    </w:p>
    <w:p w14:paraId="1ED05E0E">
      <w:pPr>
        <w:snapToGrid w:val="0"/>
        <w:spacing w:line="360" w:lineRule="auto"/>
        <w:ind w:firstLine="980" w:firstLineChars="400"/>
        <w:rPr>
          <w:rFonts w:hint="eastAsia" w:ascii="仿宋" w:hAnsi="仿宋" w:eastAsia="仿宋" w:cs="仿宋"/>
          <w:b/>
          <w:bCs/>
          <w:color w:val="auto"/>
          <w:sz w:val="24"/>
          <w:szCs w:val="24"/>
        </w:rPr>
      </w:pPr>
      <w:r>
        <w:rPr>
          <w:rFonts w:hint="eastAsia" w:ascii="仿宋" w:hAnsi="仿宋" w:eastAsia="仿宋" w:cs="仿宋"/>
          <w:color w:val="auto"/>
          <w:sz w:val="24"/>
          <w:szCs w:val="24"/>
          <w:u w:val="single"/>
        </w:rPr>
        <w:t>3. 请各投标供应商根据项目实际需求，并结合企业自身情况以及相关评标办法进行编制。</w:t>
      </w:r>
    </w:p>
    <w:p w14:paraId="791FC1A0">
      <w:pPr>
        <w:snapToGrid w:val="0"/>
        <w:spacing w:line="360" w:lineRule="auto"/>
        <w:ind w:firstLine="200"/>
        <w:rPr>
          <w:rFonts w:hint="eastAsia" w:ascii="仿宋" w:hAnsi="仿宋" w:eastAsia="仿宋" w:cs="仿宋"/>
          <w:color w:val="auto"/>
          <w:sz w:val="24"/>
          <w:szCs w:val="24"/>
        </w:rPr>
      </w:pPr>
      <w:r>
        <w:rPr>
          <w:rFonts w:hint="eastAsia" w:ascii="仿宋" w:hAnsi="仿宋" w:eastAsia="仿宋" w:cs="仿宋"/>
          <w:b/>
          <w:bCs/>
          <w:color w:val="auto"/>
          <w:sz w:val="24"/>
          <w:szCs w:val="24"/>
        </w:rPr>
        <w:t>（十二）响应文件格式</w:t>
      </w:r>
    </w:p>
    <w:p w14:paraId="1D7AAAD7">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供应商应仔细阅读谈判文件的所有内容，按照谈判文件的要求详细编制响应文件，所提交的全部资料必须真实有效，并且要保证字迹清晰易于辨认。响应文件应对谈判文件实质性内容作出响应，否则按无效标处理。</w:t>
      </w:r>
    </w:p>
    <w:p w14:paraId="43C621BF">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（2）响应文件格式应按本谈判文件第五章格式要求编制，不得对谈判文件格式进行增删更改，否则按无效标处理。</w:t>
      </w:r>
    </w:p>
    <w:p w14:paraId="58FBBE01">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）响应文件为电子响应文件，电子响应文件按“政采云供应商项目采购-电子招投标操作指南”及本谈判文件要求制作、加密传输。</w:t>
      </w:r>
    </w:p>
    <w:p w14:paraId="19969D1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）响应文件未在投标截止时间前完成传输的，视为响应文件撤回；响应文件未按时解密也未提供备份响应文件的，亦视为响应文件撤回。</w:t>
      </w:r>
    </w:p>
    <w:p w14:paraId="4D7E308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（十三）</w:t>
      </w:r>
      <w:r>
        <w:rPr>
          <w:rFonts w:hint="eastAsia" w:ascii="仿宋" w:hAnsi="仿宋" w:eastAsia="仿宋" w:cs="仿宋"/>
          <w:b/>
          <w:bCs/>
          <w:color w:val="auto"/>
          <w:sz w:val="24"/>
          <w:szCs w:val="24"/>
          <w:lang w:eastAsia="zh-CN"/>
        </w:rPr>
        <w:t>谈判</w:t>
      </w:r>
      <w:r>
        <w:rPr>
          <w:rFonts w:hint="eastAsia" w:ascii="仿宋" w:hAnsi="仿宋" w:eastAsia="仿宋" w:cs="仿宋"/>
          <w:b/>
          <w:bCs/>
          <w:color w:val="auto"/>
          <w:sz w:val="24"/>
          <w:szCs w:val="24"/>
        </w:rPr>
        <w:t>报价</w:t>
      </w:r>
    </w:p>
    <w:p w14:paraId="143D689A">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报价为“招标范围”内的总报价。</w:t>
      </w:r>
    </w:p>
    <w:p w14:paraId="72980FC6">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2、凡要求供应商考虑在报价中的内容供应商在响应文件中没有考虑、没有计入的或未单独列出，采购人认为供应商已将此项费用涵盖在其它费用价格中。</w:t>
      </w:r>
    </w:p>
    <w:p w14:paraId="3F30234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报价应包含项目实施过程中涉及到的一切费用。</w:t>
      </w:r>
    </w:p>
    <w:p w14:paraId="78598604">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4、报价注意事项：</w:t>
      </w:r>
    </w:p>
    <w:p w14:paraId="005F1B0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供应商报价时应充分考虑所有可能影响到报价的报价因素，一旦招标结束最终成交，总价将固定，不予调整。如发生漏、缺、少项，都将被认为是成交人的报价让利行为，损失自负。</w:t>
      </w:r>
    </w:p>
    <w:p w14:paraId="58704C8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（十四）投标有效期</w:t>
      </w:r>
    </w:p>
    <w:p w14:paraId="259E825B">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1、投标有效期为</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规定的供应商提交响应文件截止之日起</w:t>
      </w:r>
      <w:r>
        <w:rPr>
          <w:rFonts w:hint="eastAsia" w:ascii="仿宋" w:hAnsi="仿宋" w:eastAsia="仿宋" w:cs="仿宋"/>
          <w:color w:val="auto"/>
          <w:sz w:val="24"/>
          <w:szCs w:val="24"/>
          <w:u w:val="single"/>
          <w:lang w:eastAsia="zh-CN"/>
        </w:rPr>
        <w:t>60</w:t>
      </w:r>
      <w:r>
        <w:rPr>
          <w:rFonts w:hint="eastAsia" w:ascii="仿宋" w:hAnsi="仿宋" w:eastAsia="仿宋" w:cs="仿宋"/>
          <w:color w:val="auto"/>
          <w:sz w:val="24"/>
          <w:szCs w:val="24"/>
        </w:rPr>
        <w:t>天。投标有效期不满足</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要求的将视为非响应性文件而予以拒绝。</w:t>
      </w:r>
    </w:p>
    <w:p w14:paraId="51DDC07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特殊情况下，采购人于原投标有效期满之前，可向供应商提出延长投标有效期的要求，这种要求与答复均应采用书面形式（如信件、传真或电报等），供应商可以拒绝采购人的这一要求而放弃参与投标；同意延长的供应商不允许修改其响应文件。</w:t>
      </w:r>
    </w:p>
    <w:p w14:paraId="74E2DE2E">
      <w:pPr>
        <w:snapToGrid w:val="0"/>
        <w:spacing w:line="360" w:lineRule="auto"/>
        <w:ind w:firstLine="239" w:firstLineChars="98"/>
        <w:rPr>
          <w:rFonts w:hint="eastAsia" w:ascii="仿宋" w:hAnsi="仿宋" w:eastAsia="仿宋" w:cs="仿宋"/>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）响应文件</w:t>
      </w:r>
      <w:r>
        <w:rPr>
          <w:rFonts w:hint="eastAsia" w:ascii="仿宋" w:hAnsi="仿宋" w:eastAsia="仿宋" w:cs="仿宋"/>
          <w:b/>
          <w:bCs/>
          <w:color w:val="auto"/>
          <w:sz w:val="24"/>
          <w:szCs w:val="24"/>
          <w:lang w:eastAsia="zh-CN"/>
        </w:rPr>
        <w:t>的</w:t>
      </w:r>
      <w:r>
        <w:rPr>
          <w:rFonts w:hint="eastAsia" w:ascii="仿宋" w:hAnsi="仿宋" w:eastAsia="仿宋" w:cs="仿宋"/>
          <w:b/>
          <w:bCs/>
          <w:color w:val="auto"/>
          <w:sz w:val="24"/>
          <w:szCs w:val="24"/>
        </w:rPr>
        <w:t>签署</w:t>
      </w:r>
    </w:p>
    <w:p w14:paraId="5D26BF8B">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1、除供应商对错处做必要修改外，响应文件不得行间插字、涂改或增删，必要的修改处必须有供应商法人代表或其被授权人</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并加盖公章。</w:t>
      </w:r>
    </w:p>
    <w:p w14:paraId="57F6CACF">
      <w:pPr>
        <w:pStyle w:val="3"/>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的制作、上传及递交要求</w:t>
      </w:r>
    </w:p>
    <w:p w14:paraId="5F131C37">
      <w:pPr>
        <w:snapToGrid w:val="0"/>
        <w:spacing w:line="360" w:lineRule="auto"/>
        <w:ind w:firstLine="490" w:firstLineChars="200"/>
        <w:rPr>
          <w:rFonts w:hint="eastAsia" w:ascii="仿宋" w:hAnsi="仿宋" w:eastAsia="仿宋" w:cs="仿宋"/>
          <w:b/>
          <w:bCs/>
          <w:color w:val="auto"/>
          <w:sz w:val="24"/>
          <w:szCs w:val="24"/>
          <w:lang w:eastAsia="zh-CN"/>
        </w:rPr>
      </w:pPr>
    </w:p>
    <w:p w14:paraId="48D293E7">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（十六）响应文件</w:t>
      </w:r>
      <w:r>
        <w:rPr>
          <w:rFonts w:hint="eastAsia" w:ascii="仿宋" w:hAnsi="仿宋" w:eastAsia="仿宋" w:cs="仿宋"/>
          <w:b/>
          <w:bCs/>
          <w:color w:val="auto"/>
          <w:sz w:val="24"/>
          <w:szCs w:val="24"/>
        </w:rPr>
        <w:t>的制作要求</w:t>
      </w:r>
    </w:p>
    <w:p w14:paraId="4CC10C4B">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（1）供应商应按照</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组成内容及项目招标需求和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的将视情况处理（拒收等），由此产生的责任由供应商自行承担。</w:t>
      </w:r>
    </w:p>
    <w:p w14:paraId="3BE191E2">
      <w:pPr>
        <w:pStyle w:val="7"/>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部分：供应商应根据“政采云供应商项目采购-电子招投标操作指南”及本</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规定的格式和顺序编制电子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并进行关联定位。本文件《</w:t>
      </w:r>
      <w:r>
        <w:rPr>
          <w:rFonts w:hint="eastAsia" w:ascii="仿宋" w:hAnsi="仿宋" w:eastAsia="仿宋" w:cs="仿宋"/>
          <w:color w:val="auto"/>
          <w:sz w:val="24"/>
          <w:szCs w:val="24"/>
          <w:lang w:eastAsia="zh-CN"/>
        </w:rPr>
        <w:t>第五部分</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格式》中有提供格式的，供应商应按照格式进行编制（格式中要求提供相关证明材料的还需后附相关证明材料），并按格式要求在指定位置根据要求进行签章，否则视为未提供；本文件《</w:t>
      </w:r>
      <w:r>
        <w:rPr>
          <w:rFonts w:hint="eastAsia" w:ascii="仿宋" w:hAnsi="仿宋" w:eastAsia="仿宋" w:cs="仿宋"/>
          <w:color w:val="auto"/>
          <w:sz w:val="24"/>
          <w:szCs w:val="24"/>
          <w:lang w:eastAsia="zh-CN"/>
        </w:rPr>
        <w:t>第五部分响应文件</w:t>
      </w:r>
      <w:r>
        <w:rPr>
          <w:rFonts w:hint="eastAsia" w:ascii="仿宋" w:hAnsi="仿宋" w:eastAsia="仿宋" w:cs="仿宋"/>
          <w:color w:val="auto"/>
          <w:sz w:val="24"/>
          <w:szCs w:val="24"/>
        </w:rPr>
        <w:t>格式》未提供格式的，请供应商自行拟定格式，并加盖单位公章，否则视为未提供。</w:t>
      </w:r>
    </w:p>
    <w:p w14:paraId="33CD9DF7">
      <w:pPr>
        <w:pStyle w:val="7"/>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：通过“政采云”平台电子投标工具制作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所产生的备份文件。</w:t>
      </w:r>
    </w:p>
    <w:p w14:paraId="7C5D205A">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（2）供应商应对所提供的全部资料的真实性、有效性承担法律责任，电子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中所须加盖公章部分均采用CA签章。</w:t>
      </w:r>
    </w:p>
    <w:p w14:paraId="246C7DAC">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以及供应商与采购组织机构就有关投标事宜的所有来往函电，均应以中文汉语书写。除</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、盖章、专用名称等特殊情形外，以中文汉语以外的文字表述的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视同未提供。</w:t>
      </w:r>
    </w:p>
    <w:p w14:paraId="589649BB">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（4）投标计量单位，</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已有明确规定的，使用</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规定的计量单位；</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没有规定的，应采用中华人民共和国法定计量单位（货币单位：人民币元）。</w:t>
      </w:r>
    </w:p>
    <w:p w14:paraId="62023A33">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（5）若供应商不按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的要求提供资格审查材料，其风险由供应商自行承担。</w:t>
      </w:r>
    </w:p>
    <w:p w14:paraId="76E23285">
      <w:pPr>
        <w:pStyle w:val="7"/>
        <w:snapToGrid w:val="0"/>
        <w:spacing w:line="360" w:lineRule="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（6）与本次投标无关的内容请不要制作在内，确保</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有针对性、简洁明</w:t>
      </w:r>
      <w:r>
        <w:rPr>
          <w:rFonts w:hint="eastAsia" w:ascii="仿宋" w:hAnsi="仿宋" w:eastAsia="仿宋" w:cs="仿宋"/>
          <w:bCs/>
          <w:color w:val="auto"/>
          <w:sz w:val="24"/>
          <w:szCs w:val="24"/>
        </w:rPr>
        <w:t>了。</w:t>
      </w:r>
    </w:p>
    <w:p w14:paraId="033166D4">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（十七）响应文件</w:t>
      </w:r>
      <w:r>
        <w:rPr>
          <w:rFonts w:hint="eastAsia" w:ascii="仿宋" w:hAnsi="仿宋" w:eastAsia="仿宋" w:cs="仿宋"/>
          <w:b/>
          <w:bCs/>
          <w:color w:val="auto"/>
          <w:sz w:val="24"/>
          <w:szCs w:val="24"/>
        </w:rPr>
        <w:t>的上传</w:t>
      </w:r>
    </w:p>
    <w:p w14:paraId="03E0C5FD">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（1）电子加密响应文件（“.jmbs”格式）：</w:t>
      </w:r>
    </w:p>
    <w:p w14:paraId="67B71950">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 供应商应在投标截止时间前将电子加密响应文件成功上传递交至新疆政府采购云平台，否则投标无效；</w:t>
      </w:r>
    </w:p>
    <w:p w14:paraId="52480C08">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b.供应商成功上传电子加密响应文件后，可自行打印响应文件接收回执。</w:t>
      </w:r>
    </w:p>
    <w:p w14:paraId="326F2E99">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（2）备份响应文件（“.bfbs”格式）：</w:t>
      </w:r>
    </w:p>
    <w:p w14:paraId="1872656E">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供应商可以将备份响应文件打包压缩并加密，压缩包命名为“XX单位备份响应文件”，加密密码由供应商自行保管；送达时间以采购代理机构实际接收时间为准。“备份响应文件”以投标截止时间前指定接收邮箱最终收到的文件为准，逾期或未按要求提供的视为未提供，建议供应商提前1日办理邮件提供事宜（接收人邮箱：</w:t>
      </w:r>
      <w:r>
        <w:rPr>
          <w:color w:val="auto"/>
          <w:sz w:val="24"/>
          <w:szCs w:val="24"/>
        </w:rPr>
        <w:fldChar w:fldCharType="begin"/>
      </w:r>
      <w:r>
        <w:rPr>
          <w:color w:val="auto"/>
          <w:sz w:val="24"/>
          <w:szCs w:val="24"/>
        </w:rPr>
        <w:instrText xml:space="preserve"> HYPERLINK "mailto:1207446769@qq.com，接收人：陈加轲，电话：15157655122" </w:instrText>
      </w:r>
      <w:r>
        <w:rPr>
          <w:color w:val="auto"/>
          <w:sz w:val="24"/>
          <w:szCs w:val="24"/>
        </w:rPr>
        <w:fldChar w:fldCharType="separate"/>
      </w:r>
      <w:r>
        <w:rPr>
          <w:rFonts w:hint="eastAsia" w:ascii="仿宋" w:hAnsi="仿宋" w:eastAsia="仿宋" w:cs="仿宋"/>
          <w:color w:val="auto"/>
          <w:sz w:val="24"/>
          <w:szCs w:val="24"/>
          <w:lang w:val="en-US" w:eastAsia="zh-CN"/>
        </w:rPr>
        <w:t>1714599250@qq.com</w:t>
      </w:r>
      <w:r>
        <w:rPr>
          <w:rFonts w:hint="eastAsia" w:ascii="仿宋" w:hAnsi="仿宋" w:eastAsia="仿宋" w:cs="仿宋"/>
          <w:color w:val="auto"/>
          <w:sz w:val="24"/>
          <w:szCs w:val="24"/>
        </w:rPr>
        <w:t>，接收人：</w:t>
      </w:r>
      <w:r>
        <w:rPr>
          <w:rFonts w:hint="eastAsia" w:ascii="仿宋" w:hAnsi="仿宋" w:eastAsia="仿宋" w:cs="仿宋"/>
          <w:color w:val="auto"/>
          <w:sz w:val="24"/>
          <w:szCs w:val="24"/>
          <w:lang w:val="en-US" w:eastAsia="zh-CN"/>
        </w:rPr>
        <w:t>刘安绮</w:t>
      </w:r>
      <w:r>
        <w:rPr>
          <w:rFonts w:hint="eastAsia" w:ascii="仿宋" w:hAnsi="仿宋" w:eastAsia="仿宋" w:cs="仿宋"/>
          <w:color w:val="auto"/>
          <w:sz w:val="24"/>
          <w:szCs w:val="24"/>
        </w:rPr>
        <w:t>，电话：1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5099311555</w:t>
      </w:r>
      <w:r>
        <w:rPr>
          <w:rFonts w:hint="eastAsia" w:ascii="仿宋" w:hAnsi="仿宋" w:eastAsia="仿宋" w:cs="仿宋"/>
          <w:color w:val="auto"/>
          <w:sz w:val="24"/>
          <w:szCs w:val="24"/>
        </w:rPr>
        <w:t>）；</w:t>
      </w:r>
    </w:p>
    <w:p w14:paraId="4B06F007">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通过“新疆政府采购云平台”成功上传递交的“电子加密响应文件”已按时解密的，“备份响应文件”自动失效。投标截止时间前，投标供应商仅递交了“备份响应文件”而未将“电子加密响应文件”成功上传至“政府采购云平台”的，投标无效。</w:t>
      </w:r>
    </w:p>
    <w:p w14:paraId="6F6A8FF6">
      <w:pPr>
        <w:pStyle w:val="7"/>
        <w:snapToGrid w:val="0"/>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lang w:eastAsia="zh-CN"/>
        </w:rPr>
        <w:t>（十八）响应文件</w:t>
      </w:r>
      <w:r>
        <w:rPr>
          <w:rFonts w:hint="eastAsia" w:ascii="仿宋" w:hAnsi="仿宋" w:eastAsia="仿宋" w:cs="仿宋"/>
          <w:b/>
          <w:bCs/>
          <w:color w:val="auto"/>
          <w:sz w:val="24"/>
          <w:szCs w:val="24"/>
        </w:rPr>
        <w:t>的递交要求</w:t>
      </w:r>
    </w:p>
    <w:p w14:paraId="05BB6DCA">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（1）供应商须按照</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和政采云平台的要求编制并加密</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递交截止时间以前完成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的传输递交，截止时间后递交的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，将被拒收。</w:t>
      </w:r>
    </w:p>
    <w:p w14:paraId="068897C6">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必须在投标截止时间前送达指定的投标地点。备份电子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在截止时间后提交，采购组织机构将拒绝接收。</w:t>
      </w:r>
    </w:p>
    <w:p w14:paraId="540BDF37">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（3）如有特殊情况，采购组织机构延长截止时间和开标时间，采购组织机构和供应商的权利和义务将受到新的截止时间和开标时间的约束。</w:t>
      </w:r>
    </w:p>
    <w:p w14:paraId="6CAEB111">
      <w:pPr>
        <w:pStyle w:val="7"/>
        <w:snapToGrid w:val="0"/>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（十九）响应文件的补充、修改与撤回</w:t>
      </w:r>
    </w:p>
    <w:p w14:paraId="0B90D3D9">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撤回。投标截止时间后传输递交的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，“政府采购云平台”将予以拒收。投标截止时间后，供应商不得修改（补充）或撤回其</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w:t>
      </w:r>
    </w:p>
    <w:p w14:paraId="412CBB5F">
      <w:pPr>
        <w:pStyle w:val="4"/>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auto"/>
          <w:sz w:val="28"/>
          <w:szCs w:val="28"/>
        </w:rPr>
        <w:t>五、无效标、废标条款</w:t>
      </w:r>
      <w:bookmarkStart w:id="33" w:name="_Toc452657556"/>
      <w:bookmarkStart w:id="34" w:name="_Toc497129141"/>
    </w:p>
    <w:p w14:paraId="69AA8791">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（二十）无效标</w:t>
      </w:r>
    </w:p>
    <w:p w14:paraId="44E7D1E6">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有下列情形之一的，响应文件按无效标处理：</w:t>
      </w:r>
    </w:p>
    <w:p w14:paraId="0B3214D9">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报名的投标人与参加投标的投标人发生实质性变更的且未提供有效证明的；</w:t>
      </w:r>
    </w:p>
    <w:p w14:paraId="2507F3AE">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投标人提交两份或两份以上内容不同的响应文件，未声明哪一份有效的；</w:t>
      </w:r>
    </w:p>
    <w:p w14:paraId="64CA47A7">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3、响应文件非投标人法定代表人签署的，未提供或提供无效的法定代表人授权书；</w:t>
      </w:r>
    </w:p>
    <w:p w14:paraId="15F83FFC">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、响应文件内容未按谈判文件规定签章或盖章的；</w:t>
      </w:r>
    </w:p>
    <w:p w14:paraId="167A69A4">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 xml:space="preserve"> 投标人未按谈判文件变更通知更改响应文件的；</w:t>
      </w:r>
    </w:p>
    <w:p w14:paraId="65245EAE">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eastAsia="zh-CN"/>
          <w14:textFill>
            <w14:solidFill>
              <w14:schemeClr w14:val="tx1"/>
            </w14:solidFill>
          </w14:textFill>
        </w:rPr>
        <w:t>、《开标一览表》和《投标分项报价表》内容不完整且不接受修正意见或字迹不能辨认的或未提供；</w:t>
      </w:r>
    </w:p>
    <w:p w14:paraId="18A7C3C3">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eastAsia="zh-CN"/>
          <w14:textFill>
            <w14:solidFill>
              <w14:schemeClr w14:val="tx1"/>
            </w14:solidFill>
          </w14:textFill>
        </w:rPr>
        <w:t>、标项投标报价超过谈判文件规定的预算金额或最高限价</w:t>
      </w:r>
    </w:p>
    <w:p w14:paraId="65FABBD6">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eastAsia="zh-CN"/>
          <w14:textFill>
            <w14:solidFill>
              <w14:schemeClr w14:val="tx1"/>
            </w14:solidFill>
          </w14:textFill>
        </w:rPr>
        <w:t xml:space="preserve"> 、因投标人原因编制错误造成经评标委员会修正后的报价达到或超过投标报价的0.5%；</w:t>
      </w:r>
    </w:p>
    <w:p w14:paraId="3C58C468">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lang w:eastAsia="zh-CN"/>
          <w14:textFill>
            <w14:solidFill>
              <w14:schemeClr w14:val="tx1"/>
            </w14:solidFill>
          </w14:textFill>
        </w:rPr>
        <w:t>、投标人的报价明显低于其他通过符合性审查投标人的报价，有可能影响产品质量或者不能诚信履约的，且在规定时间内不能合理说明原因并提供证明材料的；</w:t>
      </w:r>
    </w:p>
    <w:p w14:paraId="1B4285F4">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lang w:eastAsia="zh-CN"/>
          <w14:textFill>
            <w14:solidFill>
              <w14:schemeClr w14:val="tx1"/>
            </w14:solidFill>
          </w14:textFill>
        </w:rPr>
        <w:t>未实质性响应谈判文件中条款要求的响应文件；</w:t>
      </w:r>
    </w:p>
    <w:p w14:paraId="0143A711">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、不符合招标范围、技术规格、技术标准的要求无法满足采购人使用要求；</w:t>
      </w:r>
    </w:p>
    <w:p w14:paraId="6AA3D84B">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、响应文件附有采购人不能接受的条款；</w:t>
      </w:r>
    </w:p>
    <w:p w14:paraId="7ED5085E">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、响应文件中提供了赠品或者与本项目采购无关的其他商品、服务；</w:t>
      </w:r>
    </w:p>
    <w:p w14:paraId="4A227EB0">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、响应文件中承诺的投标有效期少于谈判文件中载明的投标有效期；</w:t>
      </w:r>
    </w:p>
    <w:p w14:paraId="38DA96DC">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、投标人串通投标，妨碍其他投标人的竞争行为，损害采购人或者其他投标人的合法权益；</w:t>
      </w:r>
    </w:p>
    <w:p w14:paraId="52379B62">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eastAsia="zh-CN"/>
          <w14:textFill>
            <w14:solidFill>
              <w14:schemeClr w14:val="tx1"/>
            </w14:solidFill>
          </w14:textFill>
        </w:rPr>
        <w:t>、违反国家及政府部门相关法律、法规、文件规定或经评标委员会认定的其他属于重大偏离；</w:t>
      </w:r>
    </w:p>
    <w:p w14:paraId="7561C3DE">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（二十一）废标</w:t>
      </w:r>
    </w:p>
    <w:p w14:paraId="0E2455FF">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符合谈判文件规定废标情形的；</w:t>
      </w:r>
    </w:p>
    <w:p w14:paraId="10FEF1DE">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出现影响采购公正的违法、违规行为的；</w:t>
      </w:r>
    </w:p>
    <w:p w14:paraId="6E6179EE">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供应商的报价均超过了采购预算（或最高限价），采购人不能支付的;</w:t>
      </w:r>
    </w:p>
    <w:p w14:paraId="727C3EFD">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因重大变故，采购任务取消的。</w:t>
      </w:r>
    </w:p>
    <w:p w14:paraId="33F0315C">
      <w:pPr>
        <w:spacing w:line="440" w:lineRule="exact"/>
        <w:ind w:firstLine="245" w:firstLineChars="100"/>
        <w:rPr>
          <w:rFonts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（二十二）突发情况处理</w:t>
      </w:r>
    </w:p>
    <w:p w14:paraId="4E1D77AF">
      <w:pPr>
        <w:spacing w:line="440" w:lineRule="exact"/>
        <w:ind w:firstLine="490" w:firstLineChars="2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xml:space="preserve"> 采购过程中出现以下情形，导致电子交易平台无法正常运行，或者无法保证电子交易的公平、公正和安全时，采购组织机构可中止电子交易活动：</w:t>
      </w:r>
    </w:p>
    <w:p w14:paraId="0BFDE7FC">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xml:space="preserve">（1）电子交易平台发生故障而无法登录访问的； </w:t>
      </w:r>
    </w:p>
    <w:p w14:paraId="127DB1DA">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（2）电子交易平台应用或数据库出现错误，不能进行正常操作的；</w:t>
      </w:r>
    </w:p>
    <w:p w14:paraId="3A421D8D">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（3）电子交易平台发现严重安全漏洞，有潜在泄密危险的；</w:t>
      </w:r>
    </w:p>
    <w:p w14:paraId="645B79F8">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xml:space="preserve">（4）病毒发作导致不能进行正常操作的； </w:t>
      </w:r>
    </w:p>
    <w:p w14:paraId="4A232D60">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（5）其他无法保证电子交易的公平、公正和安全的情况。</w:t>
      </w:r>
    </w:p>
    <w:p w14:paraId="23118F7B">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43DB0996">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采购代理机构或评审小组因不可抗力（不可抗力包括但不限于自然灾害、断电、传播疫病等）原因造成电子交易活动无法正常运行的，将采取以下措施：</w:t>
      </w:r>
    </w:p>
    <w:p w14:paraId="785D515E">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xml:space="preserve">（1）短时间内能消除不可抗力因素的，采购代理机构或评审小组在消除不可抗力因素后继续组织电子交易活动； </w:t>
      </w:r>
    </w:p>
    <w:p w14:paraId="54F3BD20">
      <w:pPr>
        <w:spacing w:line="440" w:lineRule="exact"/>
        <w:ind w:firstLine="245" w:firstLineChars="1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14:paraId="6602AA0E">
      <w:pPr>
        <w:pStyle w:val="25"/>
        <w:rPr>
          <w:sz w:val="24"/>
          <w:szCs w:val="24"/>
          <w:lang w:eastAsia="zh-CN"/>
        </w:rPr>
      </w:pPr>
    </w:p>
    <w:p w14:paraId="75A99CA2">
      <w:pPr>
        <w:pStyle w:val="4"/>
        <w:rPr>
          <w:rFonts w:ascii="仿宋" w:hAnsi="仿宋" w:eastAsia="仿宋" w:cs="仿宋"/>
          <w:color w:val="auto"/>
          <w:sz w:val="28"/>
          <w:szCs w:val="28"/>
        </w:rPr>
      </w:pPr>
      <w:r>
        <w:rPr>
          <w:rFonts w:hint="eastAsia" w:ascii="仿宋" w:hAnsi="仿宋" w:eastAsia="仿宋" w:cs="仿宋"/>
          <w:color w:val="auto"/>
          <w:sz w:val="28"/>
          <w:szCs w:val="28"/>
        </w:rPr>
        <w:t>六、开标</w:t>
      </w:r>
      <w:r>
        <w:rPr>
          <w:rFonts w:hint="eastAsia" w:ascii="仿宋" w:hAnsi="仿宋" w:eastAsia="仿宋" w:cs="仿宋"/>
          <w:color w:val="auto"/>
          <w:sz w:val="28"/>
          <w:szCs w:val="28"/>
          <w:lang w:eastAsia="zh-CN"/>
        </w:rPr>
        <w:t>、评标和定标</w:t>
      </w:r>
      <w:bookmarkEnd w:id="33"/>
      <w:bookmarkEnd w:id="34"/>
    </w:p>
    <w:p w14:paraId="4FF073C0">
      <w:pPr>
        <w:snapToGrid w:val="0"/>
        <w:spacing w:line="360" w:lineRule="auto"/>
        <w:ind w:firstLine="359" w:firstLineChars="147"/>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三</w:t>
      </w:r>
      <w:r>
        <w:rPr>
          <w:rFonts w:hint="eastAsia" w:ascii="仿宋" w:hAnsi="仿宋" w:eastAsia="仿宋" w:cs="仿宋"/>
          <w:b/>
          <w:bCs/>
          <w:color w:val="auto"/>
          <w:sz w:val="24"/>
          <w:szCs w:val="24"/>
        </w:rPr>
        <w:t>）开标程序（先资格、商务技术后报价）</w:t>
      </w:r>
    </w:p>
    <w:p w14:paraId="36FB39C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开标时间到后，主持人宣布开标会议开始。</w:t>
      </w:r>
    </w:p>
    <w:p w14:paraId="171D228F">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（2）响应文件</w:t>
      </w:r>
      <w:r>
        <w:rPr>
          <w:rFonts w:hint="eastAsia" w:ascii="仿宋" w:hAnsi="仿宋" w:eastAsia="仿宋" w:cs="仿宋"/>
          <w:color w:val="auto"/>
          <w:sz w:val="24"/>
          <w:szCs w:val="24"/>
        </w:rPr>
        <w:t>解密（</w:t>
      </w:r>
      <w:r>
        <w:rPr>
          <w:rFonts w:hint="eastAsia" w:ascii="仿宋" w:hAnsi="仿宋" w:eastAsia="仿宋" w:cs="仿宋"/>
          <w:b/>
          <w:color w:val="auto"/>
          <w:sz w:val="24"/>
          <w:szCs w:val="24"/>
        </w:rPr>
        <w:t>解密规定见《供应商须知前附表》</w:t>
      </w:r>
      <w:r>
        <w:rPr>
          <w:rFonts w:hint="eastAsia" w:ascii="仿宋" w:hAnsi="仿宋" w:eastAsia="仿宋" w:cs="仿宋"/>
          <w:color w:val="auto"/>
          <w:sz w:val="24"/>
          <w:szCs w:val="24"/>
        </w:rPr>
        <w:t>）。</w:t>
      </w:r>
    </w:p>
    <w:p w14:paraId="015C9A4F">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（3）响应文件</w:t>
      </w:r>
      <w:r>
        <w:rPr>
          <w:rFonts w:hint="eastAsia" w:ascii="仿宋" w:hAnsi="仿宋" w:eastAsia="仿宋" w:cs="仿宋"/>
          <w:color w:val="auto"/>
          <w:sz w:val="24"/>
          <w:szCs w:val="24"/>
        </w:rPr>
        <w:t>解密异常情况处理（</w:t>
      </w:r>
      <w:r>
        <w:rPr>
          <w:rFonts w:hint="eastAsia" w:ascii="仿宋" w:hAnsi="仿宋" w:eastAsia="仿宋" w:cs="仿宋"/>
          <w:b/>
          <w:color w:val="auto"/>
          <w:sz w:val="24"/>
          <w:szCs w:val="24"/>
        </w:rPr>
        <w:t>处理办法见《供应商须知前附表》</w:t>
      </w:r>
      <w:r>
        <w:rPr>
          <w:rFonts w:hint="eastAsia" w:ascii="仿宋" w:hAnsi="仿宋" w:eastAsia="仿宋" w:cs="仿宋"/>
          <w:color w:val="auto"/>
          <w:sz w:val="24"/>
          <w:szCs w:val="24"/>
        </w:rPr>
        <w:t>）。</w:t>
      </w:r>
    </w:p>
    <w:p w14:paraId="0F9C1341">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公布</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解密情况（</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成功解密的供应商名单等信息）。</w:t>
      </w:r>
    </w:p>
    <w:p w14:paraId="7506B8B1">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开启标书信息（资格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文件、商务技术文件）。标书信息开启后，首先由采购人或采购代理机构</w:t>
      </w:r>
      <w:r>
        <w:rPr>
          <w:rFonts w:hint="eastAsia" w:ascii="仿宋" w:hAnsi="仿宋" w:eastAsia="仿宋" w:cs="仿宋"/>
          <w:color w:val="auto"/>
          <w:sz w:val="24"/>
          <w:szCs w:val="24"/>
          <w:lang w:eastAsia="zh-CN"/>
        </w:rPr>
        <w:t>或评审小组</w:t>
      </w:r>
      <w:r>
        <w:rPr>
          <w:rFonts w:hint="eastAsia" w:ascii="仿宋" w:hAnsi="仿宋" w:eastAsia="仿宋" w:cs="仿宋"/>
          <w:color w:val="auto"/>
          <w:sz w:val="24"/>
          <w:szCs w:val="24"/>
        </w:rPr>
        <w:t>依法对投标供应商的资格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文件进行审查（具体见资格性检查）， 审查结束公布投标供应商的资格符合情况。资格审查未获通过的供应商，其商务技术文件及报价文件不再进入评审。</w:t>
      </w:r>
    </w:p>
    <w:p w14:paraId="1C1F8F5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开启有效投标供应商的报价，公布开标一览表有关内容，</w:t>
      </w:r>
      <w:r>
        <w:rPr>
          <w:rFonts w:hint="eastAsia" w:ascii="仿宋" w:hAnsi="仿宋" w:eastAsia="仿宋" w:cs="仿宋"/>
          <w:color w:val="auto"/>
          <w:sz w:val="24"/>
          <w:szCs w:val="24"/>
          <w:lang w:bidi="zh-CN"/>
        </w:rPr>
        <w:t>并【开启签章时段】，供应商对开标记录进行在线签章确认（不予确认的应说明理由，否则视为无异议）</w:t>
      </w:r>
      <w:r>
        <w:rPr>
          <w:rFonts w:hint="eastAsia" w:ascii="仿宋" w:hAnsi="仿宋" w:eastAsia="仿宋" w:cs="仿宋"/>
          <w:color w:val="auto"/>
          <w:sz w:val="24"/>
          <w:szCs w:val="24"/>
        </w:rPr>
        <w:t>。开标结束后，由评标委员会对报价的合理性、准确性等进行审查核实。</w:t>
      </w:r>
    </w:p>
    <w:p w14:paraId="06CE1339">
      <w:pPr>
        <w:snapToGrid w:val="0"/>
        <w:spacing w:line="360" w:lineRule="auto"/>
        <w:ind w:firstLine="490" w:firstLineChars="200"/>
        <w:rPr>
          <w:color w:val="auto"/>
          <w:sz w:val="24"/>
          <w:szCs w:val="24"/>
        </w:rPr>
      </w:pPr>
      <w:r>
        <w:rPr>
          <w:rFonts w:hint="eastAsia" w:ascii="仿宋" w:hAnsi="仿宋" w:eastAsia="仿宋" w:cs="仿宋"/>
          <w:color w:val="auto"/>
          <w:sz w:val="24"/>
          <w:szCs w:val="24"/>
          <w:lang w:eastAsia="zh-CN"/>
        </w:rPr>
        <w:t>（7）商务技术评审结束后，主持人公布商务技术评审无效投标供应商名单和商务技术评审有效投标供应商名单。商务技术评审无效的供应商，其报价不再进入评审。</w:t>
      </w:r>
    </w:p>
    <w:p w14:paraId="5AD3647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（8）</w:t>
      </w:r>
      <w:r>
        <w:rPr>
          <w:rFonts w:hint="eastAsia" w:ascii="仿宋" w:hAnsi="仿宋" w:eastAsia="仿宋" w:cs="仿宋"/>
          <w:color w:val="auto"/>
          <w:sz w:val="24"/>
          <w:szCs w:val="24"/>
        </w:rPr>
        <w:t>评审结束后，采购代理机构在系统上公布评审结果。</w:t>
      </w:r>
    </w:p>
    <w:p w14:paraId="0FCA3494">
      <w:pPr>
        <w:snapToGrid w:val="0"/>
        <w:spacing w:line="360" w:lineRule="auto"/>
        <w:ind w:left="480"/>
        <w:rPr>
          <w:rFonts w:ascii="仿宋" w:hAnsi="仿宋" w:eastAsia="仿宋" w:cs="仿宋"/>
          <w:b/>
          <w:color w:val="auto"/>
          <w:sz w:val="24"/>
          <w:szCs w:val="24"/>
        </w:rPr>
      </w:pPr>
      <w:r>
        <w:rPr>
          <w:rFonts w:hint="eastAsia" w:ascii="仿宋" w:hAnsi="仿宋" w:eastAsia="仿宋" w:cs="仿宋"/>
          <w:b/>
          <w:color w:val="auto"/>
          <w:sz w:val="24"/>
          <w:szCs w:val="24"/>
        </w:rPr>
        <w:t>特别情况说明：</w:t>
      </w:r>
    </w:p>
    <w:p w14:paraId="72F83750">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（1）本项目采用电子交易，如遇“</w:t>
      </w:r>
      <w:r>
        <w:rPr>
          <w:rFonts w:hint="eastAsia" w:ascii="仿宋" w:hAnsi="仿宋" w:eastAsia="仿宋" w:cs="仿宋"/>
          <w:b/>
          <w:color w:val="auto"/>
          <w:sz w:val="24"/>
          <w:szCs w:val="24"/>
          <w:lang w:eastAsia="zh-CN"/>
        </w:rPr>
        <w:t>新疆</w:t>
      </w:r>
      <w:r>
        <w:rPr>
          <w:rFonts w:hint="eastAsia" w:ascii="仿宋" w:hAnsi="仿宋" w:eastAsia="仿宋" w:cs="仿宋"/>
          <w:b/>
          <w:color w:val="auto"/>
          <w:sz w:val="24"/>
          <w:szCs w:val="24"/>
        </w:rPr>
        <w:t>政府采购云平台”电子化开标或评审程序调整的，按调整后程序执行。</w:t>
      </w:r>
    </w:p>
    <w:p w14:paraId="088CC319">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（2）开标过程中需要相关当事人进行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或盖章确认的材料将通过“政府采购云平台”进行，若因“政府采购云平台”技术问题无法进行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或盖章确认的，采购组织机构将通过电子邮件等形式予以确认，</w:t>
      </w:r>
      <w:r>
        <w:rPr>
          <w:rFonts w:hint="eastAsia" w:ascii="仿宋" w:hAnsi="仿宋" w:eastAsia="仿宋" w:cs="仿宋"/>
          <w:b/>
          <w:color w:val="auto"/>
          <w:sz w:val="24"/>
          <w:szCs w:val="24"/>
          <w:u w:val="single"/>
        </w:rPr>
        <w:t>请供应商保证办理投标事宜人员电话畅通、网络在线，</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或盖章确认的时间为</w:t>
      </w:r>
      <w:r>
        <w:rPr>
          <w:rFonts w:hint="eastAsia" w:ascii="仿宋" w:hAnsi="仿宋" w:eastAsia="仿宋" w:cs="仿宋"/>
          <w:b/>
          <w:color w:val="auto"/>
          <w:sz w:val="24"/>
          <w:szCs w:val="24"/>
          <w:u w:val="single"/>
          <w:lang w:val="en-US" w:eastAsia="zh-CN"/>
        </w:rPr>
        <w:t>3</w:t>
      </w:r>
      <w:r>
        <w:rPr>
          <w:rFonts w:hint="eastAsia" w:ascii="仿宋" w:hAnsi="仿宋" w:eastAsia="仿宋" w:cs="仿宋"/>
          <w:b/>
          <w:color w:val="auto"/>
          <w:sz w:val="24"/>
          <w:szCs w:val="24"/>
          <w:u w:val="single"/>
        </w:rPr>
        <w:t>0分钟。如未及时</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或盖章确认的，视为无异议</w:t>
      </w:r>
      <w:r>
        <w:rPr>
          <w:rFonts w:hint="eastAsia" w:ascii="仿宋" w:hAnsi="仿宋" w:eastAsia="仿宋" w:cs="仿宋"/>
          <w:b/>
          <w:color w:val="auto"/>
          <w:sz w:val="24"/>
          <w:szCs w:val="24"/>
        </w:rPr>
        <w:t>。</w:t>
      </w:r>
    </w:p>
    <w:p w14:paraId="2FD5CBAE">
      <w:pPr>
        <w:snapToGrid w:val="0"/>
        <w:spacing w:line="360" w:lineRule="auto"/>
        <w:ind w:firstLine="490" w:firstLineChars="200"/>
        <w:rPr>
          <w:rFonts w:ascii="仿宋" w:hAnsi="仿宋" w:eastAsia="仿宋" w:cs="仿宋"/>
          <w:b/>
          <w:color w:val="auto"/>
          <w:sz w:val="24"/>
          <w:szCs w:val="24"/>
        </w:rPr>
      </w:pPr>
      <w:r>
        <w:rPr>
          <w:rFonts w:hint="eastAsia" w:ascii="仿宋" w:hAnsi="仿宋" w:eastAsia="仿宋" w:cs="仿宋"/>
          <w:b/>
          <w:color w:val="auto"/>
          <w:sz w:val="24"/>
          <w:szCs w:val="24"/>
          <w:lang w:eastAsia="zh-CN"/>
        </w:rPr>
        <w:t>3.</w:t>
      </w:r>
      <w:r>
        <w:rPr>
          <w:rFonts w:hint="eastAsia" w:ascii="仿宋" w:hAnsi="仿宋" w:eastAsia="仿宋" w:cs="仿宋"/>
          <w:b/>
          <w:color w:val="auto"/>
          <w:sz w:val="24"/>
          <w:szCs w:val="24"/>
        </w:rPr>
        <w:t>投标供应商资格审查：</w:t>
      </w:r>
    </w:p>
    <w:p w14:paraId="64A2B91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Cs/>
          <w:color w:val="auto"/>
          <w:sz w:val="24"/>
          <w:szCs w:val="24"/>
        </w:rPr>
        <w:t>开标（标书信息开启）后，采购人或采购代理机构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bCs/>
          <w:color w:val="auto"/>
          <w:sz w:val="24"/>
          <w:szCs w:val="24"/>
        </w:rPr>
        <w:t>首先依法对投标供应商的资格文件进行审查，审查各投标供应商的资格符合情况。</w:t>
      </w:r>
      <w:r>
        <w:rPr>
          <w:rFonts w:hint="eastAsia" w:ascii="仿宋" w:hAnsi="仿宋" w:eastAsia="仿宋" w:cs="仿宋"/>
          <w:color w:val="auto"/>
          <w:sz w:val="24"/>
          <w:szCs w:val="24"/>
        </w:rPr>
        <w:t>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color w:val="auto"/>
          <w:sz w:val="24"/>
          <w:szCs w:val="24"/>
        </w:rPr>
        <w:t>对投标供应商所提交的资格证明材料仅负审核的责任。如发现投标供应商所提交的资格证明材料不合法或与事实不符，采购人可取消其中标资格并追究投标供应商的法律责任。</w:t>
      </w:r>
    </w:p>
    <w:p w14:paraId="6D847713">
      <w:pPr>
        <w:pStyle w:val="7"/>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（2）投标供应商提交的资格证明材料无法证明其符合</w:t>
      </w:r>
      <w:r>
        <w:rPr>
          <w:rFonts w:hint="eastAsia" w:ascii="仿宋" w:hAnsi="仿宋" w:eastAsia="仿宋" w:cs="仿宋"/>
          <w:bCs/>
          <w:color w:val="auto"/>
          <w:sz w:val="24"/>
          <w:szCs w:val="24"/>
          <w:lang w:eastAsia="zh-CN"/>
        </w:rPr>
        <w:t xml:space="preserve">谈判文件 </w:t>
      </w:r>
      <w:r>
        <w:rPr>
          <w:rFonts w:hint="eastAsia" w:ascii="仿宋" w:hAnsi="仿宋" w:eastAsia="仿宋" w:cs="仿宋"/>
          <w:bCs/>
          <w:color w:val="auto"/>
          <w:sz w:val="24"/>
          <w:szCs w:val="24"/>
        </w:rPr>
        <w:t>规定的“投标供应商资格要求”的，采购人或采购代理机构将对其作“资格审查不合格”处理（无效投标），并不再将其投标提交评标委员会进行后续评审。</w:t>
      </w:r>
    </w:p>
    <w:p w14:paraId="64509F6D">
      <w:pPr>
        <w:pStyle w:val="7"/>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（3）供应商信用记录查询与使用：见《供应商须知前附表》。</w:t>
      </w:r>
    </w:p>
    <w:p w14:paraId="20293EC9">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b/>
          <w:color w:val="auto"/>
          <w:sz w:val="24"/>
          <w:szCs w:val="24"/>
        </w:rPr>
      </w:pPr>
      <w:bookmarkStart w:id="35" w:name="_Toc213839741"/>
      <w:r>
        <w:rPr>
          <w:rFonts w:hint="eastAsia" w:ascii="仿宋" w:hAnsi="仿宋" w:eastAsia="仿宋" w:cs="仿宋"/>
          <w:b/>
          <w:color w:val="auto"/>
          <w:sz w:val="24"/>
          <w:szCs w:val="24"/>
        </w:rPr>
        <w:t>（二十</w:t>
      </w: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报价方式</w:t>
      </w:r>
    </w:p>
    <w:p w14:paraId="10473A1A">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1、供应商提交的响应性文件中的报价，该报价只允许有一个报价，任何有选择性的报价将不予接受。</w:t>
      </w:r>
    </w:p>
    <w:p w14:paraId="4DA7EE05">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2、 在</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中，</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的任何一方不得透露与</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有关的其他供应商的技术资料、价格和其他信息。</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有实质性变动的，</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应以书面形式通知所有参加</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的供应商。</w:t>
      </w:r>
    </w:p>
    <w:p w14:paraId="6EDB6AE9">
      <w:pPr>
        <w:keepNext w:val="0"/>
        <w:keepLines w:val="0"/>
        <w:pageBreakBefore w:val="0"/>
        <w:widowControl w:val="0"/>
        <w:kinsoku/>
        <w:wordWrap/>
        <w:overflowPunct/>
        <w:topLinePunct w:val="0"/>
        <w:bidi w:val="0"/>
        <w:snapToGrid w:val="0"/>
        <w:spacing w:line="324" w:lineRule="auto"/>
        <w:ind w:firstLine="359" w:firstLineChars="147"/>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结束后，供应商可根据</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情况，</w:t>
      </w:r>
      <w:r>
        <w:rPr>
          <w:rFonts w:hint="eastAsia" w:ascii="仿宋" w:hAnsi="仿宋" w:eastAsia="仿宋" w:cs="仿宋"/>
          <w:color w:val="auto"/>
          <w:sz w:val="24"/>
          <w:szCs w:val="24"/>
          <w:lang w:eastAsia="zh-CN"/>
        </w:rPr>
        <w:t>再</w:t>
      </w:r>
      <w:r>
        <w:rPr>
          <w:rFonts w:hint="eastAsia" w:ascii="仿宋" w:hAnsi="仿宋" w:eastAsia="仿宋" w:cs="仿宋"/>
          <w:color w:val="auto"/>
          <w:sz w:val="24"/>
          <w:szCs w:val="24"/>
        </w:rPr>
        <w:t>进行</w:t>
      </w:r>
      <w:r>
        <w:rPr>
          <w:rFonts w:hint="eastAsia" w:ascii="仿宋" w:hAnsi="仿宋" w:eastAsia="仿宋" w:cs="仿宋"/>
          <w:color w:val="auto"/>
          <w:sz w:val="24"/>
          <w:szCs w:val="24"/>
          <w:lang w:eastAsia="zh-CN"/>
        </w:rPr>
        <w:t>两轮</w:t>
      </w:r>
      <w:r>
        <w:rPr>
          <w:rFonts w:hint="eastAsia" w:ascii="仿宋" w:hAnsi="仿宋" w:eastAsia="仿宋" w:cs="仿宋"/>
          <w:color w:val="auto"/>
          <w:sz w:val="24"/>
          <w:szCs w:val="24"/>
        </w:rPr>
        <w:t>报价</w:t>
      </w:r>
      <w:r>
        <w:rPr>
          <w:rFonts w:hint="eastAsia" w:ascii="仿宋" w:hAnsi="仿宋" w:eastAsia="仿宋" w:cs="仿宋"/>
          <w:color w:val="auto"/>
          <w:sz w:val="24"/>
          <w:szCs w:val="24"/>
          <w:lang w:eastAsia="zh-CN"/>
        </w:rPr>
        <w:t>谈判，</w:t>
      </w:r>
      <w:r>
        <w:rPr>
          <w:rFonts w:hint="eastAsia" w:ascii="仿宋" w:hAnsi="仿宋" w:eastAsia="仿宋" w:cs="仿宋"/>
          <w:b/>
          <w:bCs/>
          <w:color w:val="auto"/>
          <w:sz w:val="24"/>
          <w:szCs w:val="24"/>
          <w:lang w:val="en-US" w:eastAsia="zh-CN"/>
        </w:rPr>
        <w:t>第三轮</w:t>
      </w:r>
      <w:r>
        <w:rPr>
          <w:rFonts w:hint="eastAsia" w:ascii="仿宋" w:hAnsi="仿宋" w:eastAsia="仿宋" w:cs="仿宋"/>
          <w:color w:val="auto"/>
          <w:sz w:val="24"/>
          <w:szCs w:val="24"/>
          <w:lang w:val="en-US" w:eastAsia="zh-CN"/>
        </w:rPr>
        <w:t>报价作为最终报价。</w:t>
      </w:r>
    </w:p>
    <w:p w14:paraId="3881E1E0">
      <w:pPr>
        <w:keepNext w:val="0"/>
        <w:keepLines w:val="0"/>
        <w:pageBreakBefore w:val="0"/>
        <w:widowControl w:val="0"/>
        <w:kinsoku/>
        <w:wordWrap/>
        <w:overflowPunct/>
        <w:topLinePunct w:val="0"/>
        <w:bidi w:val="0"/>
        <w:snapToGrid w:val="0"/>
        <w:spacing w:line="324" w:lineRule="auto"/>
        <w:ind w:firstLine="359" w:firstLineChars="14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rPr>
        <w:t>第二次</w:t>
      </w:r>
      <w:r>
        <w:rPr>
          <w:rFonts w:hint="eastAsia" w:ascii="仿宋" w:hAnsi="仿宋" w:eastAsia="仿宋" w:cs="仿宋"/>
          <w:b/>
          <w:bCs/>
          <w:color w:val="auto"/>
          <w:sz w:val="24"/>
          <w:szCs w:val="24"/>
          <w:lang w:eastAsia="zh-CN"/>
        </w:rPr>
        <w:t>和第三次</w:t>
      </w:r>
      <w:r>
        <w:rPr>
          <w:rFonts w:hint="eastAsia" w:ascii="仿宋" w:hAnsi="仿宋" w:eastAsia="仿宋" w:cs="仿宋"/>
          <w:b/>
          <w:bCs/>
          <w:color w:val="auto"/>
          <w:sz w:val="24"/>
          <w:szCs w:val="24"/>
        </w:rPr>
        <w:t>报价</w:t>
      </w:r>
      <w:r>
        <w:rPr>
          <w:rFonts w:hint="eastAsia" w:ascii="仿宋" w:hAnsi="仿宋" w:eastAsia="仿宋" w:cs="仿宋"/>
          <w:b/>
          <w:bCs/>
          <w:color w:val="auto"/>
          <w:sz w:val="24"/>
          <w:szCs w:val="24"/>
          <w:lang w:eastAsia="zh-CN"/>
        </w:rPr>
        <w:t>在政采云不见面开评标系统</w:t>
      </w:r>
      <w:r>
        <w:rPr>
          <w:rFonts w:hint="eastAsia" w:ascii="仿宋" w:hAnsi="仿宋" w:eastAsia="仿宋" w:cs="仿宋"/>
          <w:b/>
          <w:bCs/>
          <w:color w:val="auto"/>
          <w:sz w:val="24"/>
          <w:szCs w:val="24"/>
        </w:rPr>
        <w:t>填写提交</w:t>
      </w:r>
      <w:r>
        <w:rPr>
          <w:rFonts w:hint="eastAsia" w:ascii="仿宋" w:hAnsi="仿宋" w:eastAsia="仿宋" w:cs="仿宋"/>
          <w:color w:val="auto"/>
          <w:sz w:val="24"/>
          <w:szCs w:val="24"/>
        </w:rPr>
        <w:t>。</w:t>
      </w:r>
    </w:p>
    <w:p w14:paraId="30552168">
      <w:pPr>
        <w:keepNext w:val="0"/>
        <w:keepLines w:val="0"/>
        <w:pageBreakBefore w:val="0"/>
        <w:widowControl w:val="0"/>
        <w:kinsoku/>
        <w:wordWrap/>
        <w:overflowPunct/>
        <w:topLinePunct w:val="0"/>
        <w:bidi w:val="0"/>
        <w:snapToGrid w:val="0"/>
        <w:spacing w:line="324" w:lineRule="auto"/>
        <w:ind w:firstLine="359" w:firstLineChars="147"/>
        <w:textAlignment w:val="auto"/>
        <w:rPr>
          <w:color w:val="auto"/>
          <w:sz w:val="24"/>
          <w:szCs w:val="24"/>
        </w:rPr>
      </w:pPr>
      <w:r>
        <w:rPr>
          <w:rFonts w:hint="eastAsia" w:ascii="仿宋" w:hAnsi="仿宋" w:eastAsia="仿宋" w:cs="仿宋"/>
          <w:color w:val="auto"/>
          <w:sz w:val="24"/>
          <w:szCs w:val="24"/>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bookmarkEnd w:id="35"/>
    </w:p>
    <w:p w14:paraId="713B3D97">
      <w:pPr>
        <w:pStyle w:val="4"/>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七、评标</w:t>
      </w:r>
      <w:r>
        <w:rPr>
          <w:rFonts w:hint="eastAsia" w:ascii="仿宋" w:hAnsi="仿宋" w:eastAsia="仿宋" w:cs="仿宋"/>
          <w:color w:val="auto"/>
          <w:sz w:val="28"/>
          <w:szCs w:val="28"/>
          <w:lang w:eastAsia="zh-CN"/>
        </w:rPr>
        <w:t>程序</w:t>
      </w:r>
    </w:p>
    <w:p w14:paraId="52783634">
      <w:pPr>
        <w:snapToGrid w:val="0"/>
        <w:spacing w:line="360" w:lineRule="auto"/>
        <w:ind w:firstLine="479" w:firstLineChars="196"/>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）评标原则</w:t>
      </w:r>
    </w:p>
    <w:p w14:paraId="1AB053FC">
      <w:pPr>
        <w:adjustRightInd w:val="0"/>
        <w:snapToGrid w:val="0"/>
        <w:spacing w:line="360"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“公开、公平、公正、客观、择优”为评标的基本原则，</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小组将根据这一原则，公正、平等地对待各供应商。</w:t>
      </w:r>
    </w:p>
    <w:p w14:paraId="45607D47">
      <w:pPr>
        <w:adjustRightInd w:val="0"/>
        <w:snapToGrid w:val="0"/>
        <w:spacing w:line="360" w:lineRule="auto"/>
        <w:ind w:firstLine="359" w:firstLineChars="147"/>
        <w:rPr>
          <w:rFonts w:ascii="仿宋" w:hAnsi="仿宋" w:eastAsia="仿宋" w:cs="仿宋"/>
          <w:b/>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小组</w:t>
      </w:r>
    </w:p>
    <w:p w14:paraId="06A9FC18">
      <w:pPr>
        <w:pStyle w:val="11"/>
        <w:spacing w:line="36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评标委员会成员由招标人的代表和</w:t>
      </w:r>
      <w:r>
        <w:rPr>
          <w:rFonts w:hint="eastAsia" w:ascii="仿宋" w:hAnsi="仿宋" w:eastAsia="仿宋" w:cs="仿宋"/>
          <w:color w:val="auto"/>
          <w:sz w:val="24"/>
          <w:szCs w:val="24"/>
          <w:lang w:eastAsia="zh-CN"/>
        </w:rPr>
        <w:t>在专家库</w:t>
      </w:r>
      <w:r>
        <w:rPr>
          <w:rFonts w:hint="eastAsia" w:ascii="仿宋" w:hAnsi="仿宋" w:eastAsia="仿宋" w:cs="仿宋"/>
          <w:color w:val="auto"/>
          <w:sz w:val="24"/>
          <w:szCs w:val="24"/>
        </w:rPr>
        <w:t>随机抽取的专家组成。成员人数应当为三人以上（含三人）单数，评标委员会的成员在评标过程中必须严格遵守政府采购的有关规定。专家从</w:t>
      </w:r>
      <w:r>
        <w:rPr>
          <w:rFonts w:hint="eastAsia" w:ascii="仿宋" w:hAnsi="仿宋" w:eastAsia="仿宋" w:cs="仿宋"/>
          <w:color w:val="auto"/>
          <w:sz w:val="24"/>
          <w:szCs w:val="24"/>
          <w:lang w:eastAsia="zh-CN"/>
        </w:rPr>
        <w:t>政采云</w:t>
      </w:r>
      <w:r>
        <w:rPr>
          <w:rFonts w:hint="eastAsia" w:ascii="仿宋" w:hAnsi="仿宋" w:eastAsia="仿宋" w:cs="仿宋"/>
          <w:color w:val="auto"/>
          <w:sz w:val="24"/>
          <w:szCs w:val="24"/>
        </w:rPr>
        <w:t>专家库中随机抽取产生，负责对响应文件进行审查、质询、评审、推选中标候选人。</w:t>
      </w:r>
    </w:p>
    <w:p w14:paraId="63EF69C2">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1、评标事务由</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小组负责，并独立履行下列职责：</w:t>
      </w:r>
    </w:p>
    <w:p w14:paraId="0F8229C2">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（a）审查响应文件是否符合本文件要求，并做出评价；</w:t>
      </w:r>
    </w:p>
    <w:p w14:paraId="33464CA2">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（b）要求供应商对响应文件有关事项做出澄清或答复；</w:t>
      </w:r>
    </w:p>
    <w:p w14:paraId="1832E4E6">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（c）推荐中标候选人名单，或者直接确定</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w:t>
      </w:r>
    </w:p>
    <w:p w14:paraId="4D3106F6">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（d）向招标采购单位或者有关部门报告非法干预评标工作的行为。</w:t>
      </w:r>
    </w:p>
    <w:p w14:paraId="55FC2BFC">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小组成员的义务</w:t>
      </w:r>
    </w:p>
    <w:p w14:paraId="702444D9">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（a）遵纪守法，客观、公正、廉洁地履行职责；</w:t>
      </w:r>
    </w:p>
    <w:p w14:paraId="75A42601">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（b）按照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规定的评标方法和标准进行评标，对评审意见承担个人责任；</w:t>
      </w:r>
    </w:p>
    <w:p w14:paraId="11004B08">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（c）对评标过程和结果，以及供应商的商业秘密保密；</w:t>
      </w:r>
    </w:p>
    <w:p w14:paraId="5E0CDFFA">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（d）参与评标报告的起草；</w:t>
      </w:r>
    </w:p>
    <w:p w14:paraId="7EC41212">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（e）配合财政部门的投诉处理工作；</w:t>
      </w:r>
    </w:p>
    <w:p w14:paraId="54F1A12B">
      <w:pPr>
        <w:keepNext w:val="0"/>
        <w:keepLines w:val="0"/>
        <w:pageBreakBefore w:val="0"/>
        <w:kinsoku/>
        <w:wordWrap/>
        <w:overflowPunct/>
        <w:topLinePunct w:val="0"/>
        <w:autoSpaceDE/>
        <w:autoSpaceDN/>
        <w:bidi w:val="0"/>
        <w:snapToGrid w:val="0"/>
        <w:spacing w:line="305" w:lineRule="auto"/>
        <w:ind w:firstLine="359" w:firstLineChars="147"/>
        <w:rPr>
          <w:rFonts w:hint="eastAsia" w:ascii="仿宋" w:hAnsi="仿宋" w:eastAsia="仿宋" w:cs="仿宋"/>
          <w:color w:val="auto"/>
          <w:sz w:val="24"/>
          <w:szCs w:val="24"/>
        </w:rPr>
      </w:pPr>
      <w:r>
        <w:rPr>
          <w:rFonts w:hint="eastAsia" w:ascii="仿宋" w:hAnsi="仿宋" w:eastAsia="仿宋" w:cs="仿宋"/>
          <w:color w:val="auto"/>
          <w:sz w:val="24"/>
          <w:szCs w:val="24"/>
        </w:rPr>
        <w:t>（f）配合招标采购单位答复供应商提出的质疑。</w:t>
      </w:r>
    </w:p>
    <w:p w14:paraId="38713A6E">
      <w:pPr>
        <w:pStyle w:val="25"/>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3.评标程序</w:t>
      </w:r>
    </w:p>
    <w:p w14:paraId="63BEC9F8">
      <w:pPr>
        <w:pStyle w:val="25"/>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本次评标首先由评标委员会对投标人的响应文件进行初审，对未能通过初审的响应文件作无效标处理；</w:t>
      </w:r>
    </w:p>
    <w:p w14:paraId="386CDE1B">
      <w:pPr>
        <w:pStyle w:val="25"/>
        <w:keepNext w:val="0"/>
        <w:keepLines w:val="0"/>
        <w:pageBreakBefore w:val="0"/>
        <w:kinsoku/>
        <w:wordWrap/>
        <w:overflowPunct/>
        <w:topLinePunct w:val="0"/>
        <w:autoSpaceDE/>
        <w:autoSpaceDN/>
        <w:bidi w:val="0"/>
        <w:snapToGrid w:val="0"/>
        <w:spacing w:line="305" w:lineRule="auto"/>
        <w:rPr>
          <w:rFonts w:hint="eastAsia"/>
          <w:sz w:val="24"/>
          <w:szCs w:val="24"/>
          <w:lang w:val="en-US" w:eastAsia="zh-CN"/>
        </w:rPr>
      </w:pPr>
      <w:r>
        <w:rPr>
          <w:rFonts w:hint="eastAsia" w:ascii="仿宋" w:hAnsi="仿宋" w:eastAsia="仿宋" w:cs="仿宋"/>
          <w:color w:val="auto"/>
          <w:sz w:val="24"/>
          <w:szCs w:val="24"/>
          <w:lang w:val="en-US" w:eastAsia="zh-CN" w:bidi="en-US"/>
        </w:rPr>
        <w:t>5对通过初审的投标人的响应文件进行详细的比较和评价。如需要，进行必要的澄清工作；</w:t>
      </w:r>
    </w:p>
    <w:p w14:paraId="349BDC10">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000000" w:themeColor="text1"/>
          <w:sz w:val="24"/>
          <w:szCs w:val="24"/>
          <w:lang w:val="en-US" w:eastAsia="zh-CN"/>
          <w14:textFill>
            <w14:solidFill>
              <w14:schemeClr w14:val="tx1"/>
            </w14:solidFill>
          </w14:textFill>
        </w:rPr>
      </w:pPr>
    </w:p>
    <w:p w14:paraId="6FD9E09A">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color w:val="000000" w:themeColor="text1"/>
          <w:sz w:val="24"/>
          <w:szCs w:val="24"/>
          <w:lang w:val="en-US" w:eastAsia="zh-CN"/>
          <w14:textFill>
            <w14:solidFill>
              <w14:schemeClr w14:val="tx1"/>
            </w14:solidFill>
          </w14:textFill>
        </w:rPr>
        <w:t>（一）</w:t>
      </w:r>
      <w:r>
        <w:rPr>
          <w:rFonts w:hint="eastAsia" w:ascii="仿宋" w:hAnsi="仿宋" w:eastAsia="仿宋" w:cs="仿宋"/>
          <w:b/>
          <w:color w:val="000000" w:themeColor="text1"/>
          <w:sz w:val="24"/>
          <w:szCs w:val="24"/>
          <w:lang w:eastAsia="zh-CN"/>
          <w14:textFill>
            <w14:solidFill>
              <w14:schemeClr w14:val="tx1"/>
            </w14:solidFill>
          </w14:textFill>
        </w:rPr>
        <w:t>响应文件初审</w:t>
      </w:r>
    </w:p>
    <w:p w14:paraId="77DEFEB9">
      <w:pPr>
        <w:spacing w:line="400" w:lineRule="exact"/>
        <w:ind w:firstLine="359" w:firstLineChars="147"/>
        <w:rPr>
          <w:rFonts w:ascii="仿宋" w:hAnsi="仿宋" w:eastAsia="仿宋" w:cs="仿宋"/>
          <w:b/>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6.资格性审查:</w:t>
      </w:r>
    </w:p>
    <w:p w14:paraId="17B31E9F">
      <w:pPr>
        <w:spacing w:line="400" w:lineRule="exact"/>
        <w:ind w:firstLine="359" w:firstLineChars="147"/>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.1评审细则</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0855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722AED99">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w:t>
            </w:r>
          </w:p>
        </w:tc>
        <w:tc>
          <w:tcPr>
            <w:tcW w:w="7196" w:type="dxa"/>
            <w:gridSpan w:val="2"/>
            <w:vMerge w:val="restart"/>
            <w:vAlign w:val="center"/>
          </w:tcPr>
          <w:p w14:paraId="121C4EC8">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评审内容</w:t>
            </w:r>
          </w:p>
        </w:tc>
        <w:tc>
          <w:tcPr>
            <w:tcW w:w="1209" w:type="dxa"/>
            <w:gridSpan w:val="2"/>
            <w:vAlign w:val="center"/>
          </w:tcPr>
          <w:p w14:paraId="0966892A">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评审意见</w:t>
            </w:r>
          </w:p>
        </w:tc>
      </w:tr>
      <w:tr w14:paraId="6AC8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81" w:type="dxa"/>
            <w:vMerge w:val="continue"/>
            <w:vAlign w:val="center"/>
          </w:tcPr>
          <w:p w14:paraId="4187C726">
            <w:pPr>
              <w:rPr>
                <w:rFonts w:ascii="仿宋" w:hAnsi="仿宋" w:eastAsia="仿宋" w:cs="仿宋"/>
                <w:color w:val="000000" w:themeColor="text1"/>
                <w:sz w:val="24"/>
                <w:szCs w:val="24"/>
                <w14:textFill>
                  <w14:solidFill>
                    <w14:schemeClr w14:val="tx1"/>
                  </w14:solidFill>
                </w14:textFill>
              </w:rPr>
            </w:pPr>
          </w:p>
        </w:tc>
        <w:tc>
          <w:tcPr>
            <w:tcW w:w="7196" w:type="dxa"/>
            <w:gridSpan w:val="2"/>
            <w:vMerge w:val="continue"/>
          </w:tcPr>
          <w:p w14:paraId="154C4259">
            <w:pPr>
              <w:rPr>
                <w:rFonts w:ascii="仿宋" w:hAnsi="仿宋" w:eastAsia="仿宋" w:cs="仿宋"/>
                <w:color w:val="000000" w:themeColor="text1"/>
                <w:sz w:val="24"/>
                <w:szCs w:val="24"/>
                <w14:textFill>
                  <w14:solidFill>
                    <w14:schemeClr w14:val="tx1"/>
                  </w14:solidFill>
                </w14:textFill>
              </w:rPr>
            </w:pPr>
          </w:p>
        </w:tc>
        <w:tc>
          <w:tcPr>
            <w:tcW w:w="555" w:type="dxa"/>
            <w:vAlign w:val="center"/>
          </w:tcPr>
          <w:p w14:paraId="2A2B680B">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是</w:t>
            </w:r>
          </w:p>
        </w:tc>
        <w:tc>
          <w:tcPr>
            <w:tcW w:w="654" w:type="dxa"/>
            <w:vAlign w:val="center"/>
          </w:tcPr>
          <w:p w14:paraId="1B536754">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否</w:t>
            </w:r>
          </w:p>
        </w:tc>
      </w:tr>
      <w:tr w14:paraId="6CA6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81" w:type="dxa"/>
            <w:vMerge w:val="restart"/>
            <w:vAlign w:val="center"/>
          </w:tcPr>
          <w:p w14:paraId="60E6D0C8">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审</w:t>
            </w:r>
          </w:p>
          <w:p w14:paraId="18634B07">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查</w:t>
            </w:r>
          </w:p>
          <w:p w14:paraId="5A27877C">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标</w:t>
            </w:r>
          </w:p>
          <w:p w14:paraId="18E614C0">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准</w:t>
            </w:r>
          </w:p>
          <w:p w14:paraId="4E47D5D4">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(适</w:t>
            </w:r>
          </w:p>
          <w:p w14:paraId="393C5C58">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用</w:t>
            </w:r>
          </w:p>
          <w:p w14:paraId="722E5DCA">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于</w:t>
            </w:r>
          </w:p>
          <w:p w14:paraId="754F2E80">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资</w:t>
            </w:r>
          </w:p>
          <w:p w14:paraId="70B0A486">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格</w:t>
            </w:r>
          </w:p>
          <w:p w14:paraId="72ABEAF7">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后</w:t>
            </w:r>
          </w:p>
          <w:p w14:paraId="47FB0785">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审)</w:t>
            </w:r>
          </w:p>
        </w:tc>
        <w:tc>
          <w:tcPr>
            <w:tcW w:w="547" w:type="dxa"/>
            <w:vAlign w:val="center"/>
          </w:tcPr>
          <w:p w14:paraId="6BC06709">
            <w:pPr>
              <w:widowControl/>
              <w:jc w:val="center"/>
              <w:textAlignment w:val="center"/>
              <w:rPr>
                <w:rFonts w:hint="eastAsia"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1</w:t>
            </w:r>
          </w:p>
        </w:tc>
        <w:tc>
          <w:tcPr>
            <w:tcW w:w="6649" w:type="dxa"/>
            <w:vAlign w:val="center"/>
          </w:tcPr>
          <w:p w14:paraId="060F599E">
            <w:pPr>
              <w:spacing w:line="44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rPr>
              <w:t>符合《中华人民共和国政府采购法》第二十二条的相关规定</w:t>
            </w:r>
            <w:r>
              <w:rPr>
                <w:rFonts w:hint="eastAsia" w:ascii="仿宋" w:hAnsi="仿宋" w:eastAsia="仿宋" w:cs="仿宋"/>
                <w:color w:val="auto"/>
                <w:szCs w:val="21"/>
                <w:lang w:eastAsia="zh-CN"/>
              </w:rPr>
              <w:t>；</w:t>
            </w:r>
          </w:p>
          <w:p w14:paraId="12A1A511">
            <w:pPr>
              <w:spacing w:line="440" w:lineRule="exact"/>
              <w:jc w:val="left"/>
              <w:rPr>
                <w:rFonts w:hint="eastAsia" w:ascii="仿宋" w:hAnsi="仿宋" w:eastAsia="仿宋" w:cs="仿宋"/>
                <w:color w:val="auto"/>
                <w:szCs w:val="21"/>
              </w:rPr>
            </w:pPr>
            <w:r>
              <w:rPr>
                <w:rFonts w:hint="eastAsia" w:ascii="仿宋" w:hAnsi="仿宋" w:eastAsia="仿宋" w:cs="仿宋"/>
                <w:color w:val="auto"/>
                <w:szCs w:val="21"/>
              </w:rPr>
              <w:t>1.1 具有独立承担民事责任的能力</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须提供承诺书</w:t>
            </w:r>
            <w:r>
              <w:rPr>
                <w:rFonts w:hint="eastAsia" w:ascii="仿宋" w:hAnsi="仿宋" w:eastAsia="仿宋" w:cs="仿宋"/>
                <w:color w:val="auto"/>
                <w:szCs w:val="21"/>
                <w:lang w:eastAsia="zh-CN"/>
              </w:rPr>
              <w:t>）</w:t>
            </w:r>
            <w:r>
              <w:rPr>
                <w:rFonts w:hint="eastAsia" w:ascii="仿宋" w:hAnsi="仿宋" w:eastAsia="仿宋" w:cs="仿宋"/>
                <w:color w:val="auto"/>
                <w:szCs w:val="21"/>
              </w:rPr>
              <w:t>；</w:t>
            </w:r>
          </w:p>
          <w:p w14:paraId="50C45418">
            <w:pPr>
              <w:spacing w:line="440" w:lineRule="exact"/>
              <w:jc w:val="left"/>
              <w:rPr>
                <w:rFonts w:hint="eastAsia" w:ascii="仿宋" w:hAnsi="仿宋" w:eastAsia="仿宋" w:cs="仿宋"/>
                <w:color w:val="auto"/>
                <w:szCs w:val="21"/>
              </w:rPr>
            </w:pPr>
            <w:r>
              <w:rPr>
                <w:rFonts w:hint="eastAsia" w:ascii="仿宋" w:hAnsi="仿宋" w:eastAsia="仿宋" w:cs="仿宋"/>
                <w:color w:val="auto"/>
                <w:szCs w:val="21"/>
              </w:rPr>
              <w:t>1.2 具有良好的商业信誉和健全的财务会计制度：2023年度经会计师事务所出具的审计报告复印件（报告中须包括资产负债表、利润表、现金流量表及财务报表附注）。如供应商注册不满1年提供</w:t>
            </w:r>
            <w:r>
              <w:rPr>
                <w:rFonts w:hint="eastAsia" w:ascii="仿宋" w:hAnsi="仿宋" w:eastAsia="仿宋" w:cs="仿宋"/>
                <w:color w:val="auto"/>
                <w:szCs w:val="21"/>
                <w:lang w:val="en-US" w:eastAsia="zh-CN"/>
              </w:rPr>
              <w:t>自成立以来至今的财务报表</w:t>
            </w:r>
            <w:r>
              <w:rPr>
                <w:rFonts w:hint="eastAsia" w:ascii="仿宋" w:hAnsi="仿宋" w:eastAsia="仿宋" w:cs="仿宋"/>
                <w:color w:val="auto"/>
                <w:szCs w:val="21"/>
              </w:rPr>
              <w:t>。</w:t>
            </w:r>
          </w:p>
          <w:p w14:paraId="30B70E3A">
            <w:pPr>
              <w:spacing w:line="440" w:lineRule="exact"/>
              <w:jc w:val="left"/>
              <w:rPr>
                <w:rFonts w:hint="eastAsia" w:ascii="仿宋" w:hAnsi="仿宋" w:eastAsia="仿宋" w:cs="仿宋"/>
                <w:color w:val="auto"/>
                <w:szCs w:val="21"/>
              </w:rPr>
            </w:pPr>
            <w:r>
              <w:rPr>
                <w:rFonts w:hint="eastAsia" w:ascii="仿宋" w:hAnsi="仿宋" w:eastAsia="仿宋" w:cs="仿宋"/>
                <w:color w:val="auto"/>
                <w:szCs w:val="21"/>
              </w:rPr>
              <w:t>1.3 具有履行合同所必需的设备和专业技术能力</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须提供承诺书</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w:t>
            </w:r>
          </w:p>
          <w:p w14:paraId="2605F782">
            <w:pPr>
              <w:spacing w:line="440" w:lineRule="exact"/>
              <w:jc w:val="left"/>
              <w:rPr>
                <w:rFonts w:hint="eastAsia" w:ascii="仿宋" w:hAnsi="仿宋" w:eastAsia="仿宋" w:cs="仿宋"/>
                <w:color w:val="auto"/>
                <w:szCs w:val="21"/>
              </w:rPr>
            </w:pPr>
            <w:r>
              <w:rPr>
                <w:rFonts w:hint="eastAsia" w:ascii="仿宋" w:hAnsi="仿宋" w:eastAsia="仿宋" w:cs="仿宋"/>
                <w:color w:val="auto"/>
                <w:szCs w:val="21"/>
              </w:rPr>
              <w:t>1.4 有依法缴纳税收和社会保障资金的良好记录</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须提供承诺书</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w:t>
            </w:r>
          </w:p>
          <w:p w14:paraId="599604E8">
            <w:pPr>
              <w:spacing w:line="440" w:lineRule="exact"/>
              <w:jc w:val="left"/>
              <w:rPr>
                <w:rFonts w:hint="eastAsia" w:ascii="仿宋" w:hAnsi="仿宋" w:eastAsia="仿宋" w:cs="仿宋"/>
                <w:color w:val="auto"/>
                <w:szCs w:val="21"/>
              </w:rPr>
            </w:pPr>
            <w:r>
              <w:rPr>
                <w:rFonts w:hint="eastAsia" w:ascii="仿宋" w:hAnsi="仿宋" w:eastAsia="仿宋" w:cs="仿宋"/>
                <w:color w:val="auto"/>
                <w:szCs w:val="21"/>
              </w:rPr>
              <w:t xml:space="preserve">1.5 参加政府采购活动前三年内，在经营活动中没有重大违法记录：提供前三年内在经营活动中没有重大违法记录的书面声明； </w:t>
            </w:r>
          </w:p>
          <w:p w14:paraId="4C1AC24E">
            <w:pPr>
              <w:widowControl/>
              <w:textAlignment w:val="center"/>
              <w:rPr>
                <w:rFonts w:hint="default"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auto"/>
                <w:szCs w:val="21"/>
              </w:rPr>
              <w:t>1.6 法律、行政法规规定的其他条件。</w:t>
            </w:r>
          </w:p>
        </w:tc>
        <w:tc>
          <w:tcPr>
            <w:tcW w:w="555" w:type="dxa"/>
          </w:tcPr>
          <w:p w14:paraId="10B6F80D">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14:paraId="2884A2DC">
            <w:pPr>
              <w:rPr>
                <w:rFonts w:ascii="仿宋" w:hAnsi="仿宋" w:eastAsia="仿宋" w:cs="仿宋"/>
                <w:color w:val="000000" w:themeColor="text1"/>
                <w:sz w:val="24"/>
                <w:szCs w:val="24"/>
                <w:lang w:eastAsia="zh-CN"/>
                <w14:textFill>
                  <w14:solidFill>
                    <w14:schemeClr w14:val="tx1"/>
                  </w14:solidFill>
                </w14:textFill>
              </w:rPr>
            </w:pPr>
          </w:p>
        </w:tc>
      </w:tr>
      <w:tr w14:paraId="44D0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81" w:type="dxa"/>
            <w:vMerge w:val="continue"/>
            <w:vAlign w:val="center"/>
          </w:tcPr>
          <w:p w14:paraId="1819AE64">
            <w:pPr>
              <w:jc w:val="center"/>
              <w:rPr>
                <w:rFonts w:ascii="仿宋" w:hAnsi="仿宋" w:eastAsia="仿宋" w:cs="仿宋"/>
                <w:color w:val="000000" w:themeColor="text1"/>
                <w:sz w:val="24"/>
                <w:szCs w:val="24"/>
                <w:lang w:eastAsia="zh-CN"/>
                <w14:textFill>
                  <w14:solidFill>
                    <w14:schemeClr w14:val="tx1"/>
                  </w14:solidFill>
                </w14:textFill>
              </w:rPr>
            </w:pPr>
          </w:p>
        </w:tc>
        <w:tc>
          <w:tcPr>
            <w:tcW w:w="547" w:type="dxa"/>
            <w:vAlign w:val="center"/>
          </w:tcPr>
          <w:p w14:paraId="7226F67E">
            <w:pPr>
              <w:widowControl/>
              <w:jc w:val="center"/>
              <w:textAlignment w:val="center"/>
              <w:rPr>
                <w:rFonts w:hint="default"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2</w:t>
            </w:r>
          </w:p>
        </w:tc>
        <w:tc>
          <w:tcPr>
            <w:tcW w:w="6649" w:type="dxa"/>
            <w:shd w:val="clear" w:color="auto" w:fill="auto"/>
            <w:vAlign w:val="center"/>
          </w:tcPr>
          <w:p w14:paraId="2EB9A8BB">
            <w:pPr>
              <w:widowControl/>
              <w:textAlignment w:val="center"/>
              <w:rPr>
                <w:rFonts w:hint="eastAsia"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具备有效的营业执照副本</w:t>
            </w:r>
          </w:p>
        </w:tc>
        <w:tc>
          <w:tcPr>
            <w:tcW w:w="555" w:type="dxa"/>
          </w:tcPr>
          <w:p w14:paraId="20094C8D">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14:paraId="030D273F">
            <w:pPr>
              <w:rPr>
                <w:rFonts w:ascii="仿宋" w:hAnsi="仿宋" w:eastAsia="仿宋" w:cs="仿宋"/>
                <w:color w:val="000000" w:themeColor="text1"/>
                <w:sz w:val="24"/>
                <w:szCs w:val="24"/>
                <w:lang w:eastAsia="zh-CN"/>
                <w14:textFill>
                  <w14:solidFill>
                    <w14:schemeClr w14:val="tx1"/>
                  </w14:solidFill>
                </w14:textFill>
              </w:rPr>
            </w:pPr>
          </w:p>
        </w:tc>
      </w:tr>
      <w:tr w14:paraId="4B34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81" w:type="dxa"/>
            <w:vMerge w:val="continue"/>
            <w:vAlign w:val="center"/>
          </w:tcPr>
          <w:p w14:paraId="1174EFD8">
            <w:pPr>
              <w:jc w:val="center"/>
              <w:rPr>
                <w:rFonts w:ascii="仿宋" w:hAnsi="仿宋" w:eastAsia="仿宋" w:cs="仿宋"/>
                <w:color w:val="000000" w:themeColor="text1"/>
                <w:sz w:val="24"/>
                <w:szCs w:val="24"/>
                <w:lang w:eastAsia="zh-CN"/>
                <w14:textFill>
                  <w14:solidFill>
                    <w14:schemeClr w14:val="tx1"/>
                  </w14:solidFill>
                </w14:textFill>
              </w:rPr>
            </w:pPr>
          </w:p>
        </w:tc>
        <w:tc>
          <w:tcPr>
            <w:tcW w:w="547" w:type="dxa"/>
            <w:vAlign w:val="center"/>
          </w:tcPr>
          <w:p w14:paraId="7BBE9792">
            <w:pPr>
              <w:widowControl/>
              <w:jc w:val="center"/>
              <w:textAlignment w:val="center"/>
              <w:rPr>
                <w:rFonts w:hint="eastAsia"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3</w:t>
            </w:r>
          </w:p>
        </w:tc>
        <w:tc>
          <w:tcPr>
            <w:tcW w:w="6649" w:type="dxa"/>
            <w:shd w:val="clear" w:color="auto" w:fill="auto"/>
            <w:vAlign w:val="center"/>
          </w:tcPr>
          <w:p w14:paraId="07DF441C">
            <w:pPr>
              <w:widowControl/>
              <w:textAlignment w:val="center"/>
              <w:rPr>
                <w:rFonts w:hint="eastAsia"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auto"/>
                <w:kern w:val="0"/>
                <w:sz w:val="24"/>
                <w:szCs w:val="24"/>
                <w:highlight w:val="none"/>
                <w:lang w:eastAsia="zh-CN" w:bidi="ar"/>
              </w:rPr>
              <w:t>投标</w:t>
            </w:r>
            <w:r>
              <w:rPr>
                <w:rFonts w:hint="eastAsia" w:ascii="仿宋" w:hAnsi="仿宋" w:eastAsia="仿宋" w:cs="仿宋"/>
                <w:color w:val="auto"/>
                <w:kern w:val="0"/>
                <w:sz w:val="24"/>
                <w:szCs w:val="24"/>
                <w:highlight w:val="none"/>
                <w:lang w:bidi="ar"/>
              </w:rPr>
              <w:t>保证金</w:t>
            </w:r>
            <w:r>
              <w:rPr>
                <w:rFonts w:hint="eastAsia" w:ascii="仿宋" w:hAnsi="仿宋" w:eastAsia="仿宋" w:cs="仿宋"/>
                <w:color w:val="auto"/>
                <w:kern w:val="0"/>
                <w:sz w:val="24"/>
                <w:szCs w:val="24"/>
                <w:highlight w:val="none"/>
                <w:lang w:eastAsia="zh-CN" w:bidi="ar"/>
              </w:rPr>
              <w:t>汇款凭证或保证金</w:t>
            </w:r>
            <w:r>
              <w:rPr>
                <w:rFonts w:hint="eastAsia" w:ascii="仿宋" w:hAnsi="仿宋" w:eastAsia="仿宋" w:cs="仿宋"/>
                <w:color w:val="auto"/>
                <w:kern w:val="0"/>
                <w:sz w:val="24"/>
                <w:szCs w:val="24"/>
                <w:highlight w:val="none"/>
                <w:lang w:bidi="ar"/>
              </w:rPr>
              <w:t>收据</w:t>
            </w:r>
            <w:r>
              <w:rPr>
                <w:rFonts w:hint="eastAsia" w:ascii="仿宋" w:hAnsi="仿宋" w:eastAsia="仿宋" w:cs="仿宋"/>
                <w:color w:val="auto"/>
                <w:kern w:val="0"/>
                <w:sz w:val="24"/>
                <w:szCs w:val="24"/>
                <w:highlight w:val="none"/>
                <w:lang w:eastAsia="zh-CN" w:bidi="ar"/>
              </w:rPr>
              <w:t>或</w:t>
            </w:r>
            <w:r>
              <w:rPr>
                <w:rFonts w:hint="eastAsia" w:ascii="仿宋" w:hAnsi="仿宋" w:eastAsia="仿宋" w:cs="仿宋"/>
                <w:color w:val="auto"/>
                <w:kern w:val="0"/>
                <w:sz w:val="24"/>
                <w:szCs w:val="24"/>
                <w:highlight w:val="none"/>
                <w:lang w:val="en-US" w:eastAsia="zh-CN" w:bidi="ar"/>
              </w:rPr>
              <w:t>投标担保函</w:t>
            </w:r>
          </w:p>
        </w:tc>
        <w:tc>
          <w:tcPr>
            <w:tcW w:w="555" w:type="dxa"/>
          </w:tcPr>
          <w:p w14:paraId="65F7057E">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14:paraId="276DD7B9">
            <w:pPr>
              <w:rPr>
                <w:rFonts w:ascii="仿宋" w:hAnsi="仿宋" w:eastAsia="仿宋" w:cs="仿宋"/>
                <w:color w:val="000000" w:themeColor="text1"/>
                <w:sz w:val="24"/>
                <w:szCs w:val="24"/>
                <w:lang w:eastAsia="zh-CN"/>
                <w14:textFill>
                  <w14:solidFill>
                    <w14:schemeClr w14:val="tx1"/>
                  </w14:solidFill>
                </w14:textFill>
              </w:rPr>
            </w:pPr>
          </w:p>
        </w:tc>
      </w:tr>
      <w:tr w14:paraId="7B8A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81" w:type="dxa"/>
            <w:vMerge w:val="continue"/>
            <w:vAlign w:val="center"/>
          </w:tcPr>
          <w:p w14:paraId="5025188C">
            <w:pPr>
              <w:rPr>
                <w:rFonts w:ascii="仿宋" w:hAnsi="仿宋" w:eastAsia="仿宋" w:cs="仿宋"/>
                <w:color w:val="000000" w:themeColor="text1"/>
                <w:sz w:val="24"/>
                <w:szCs w:val="24"/>
                <w:lang w:eastAsia="zh-CN"/>
                <w14:textFill>
                  <w14:solidFill>
                    <w14:schemeClr w14:val="tx1"/>
                  </w14:solidFill>
                </w14:textFill>
              </w:rPr>
            </w:pPr>
          </w:p>
        </w:tc>
        <w:tc>
          <w:tcPr>
            <w:tcW w:w="547" w:type="dxa"/>
            <w:vAlign w:val="center"/>
          </w:tcPr>
          <w:p w14:paraId="2B2FDA13">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6649" w:type="dxa"/>
            <w:shd w:val="clear" w:color="auto" w:fill="auto"/>
            <w:vAlign w:val="center"/>
          </w:tcPr>
          <w:p w14:paraId="2E21910F">
            <w:pPr>
              <w:widowControl/>
              <w:textAlignment w:val="center"/>
              <w:rPr>
                <w:rFonts w:hint="eastAsia"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法定代表人投标需提供法定代表人资格证明书，委托代理人投标需提供法定代表人授权委托书</w:t>
            </w:r>
          </w:p>
        </w:tc>
        <w:tc>
          <w:tcPr>
            <w:tcW w:w="555" w:type="dxa"/>
          </w:tcPr>
          <w:p w14:paraId="30948A57">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14:paraId="3FA090D4">
            <w:pPr>
              <w:rPr>
                <w:rFonts w:ascii="仿宋" w:hAnsi="仿宋" w:eastAsia="仿宋" w:cs="仿宋"/>
                <w:color w:val="000000" w:themeColor="text1"/>
                <w:sz w:val="24"/>
                <w:szCs w:val="24"/>
                <w:lang w:eastAsia="zh-CN"/>
                <w14:textFill>
                  <w14:solidFill>
                    <w14:schemeClr w14:val="tx1"/>
                  </w14:solidFill>
                </w14:textFill>
              </w:rPr>
            </w:pPr>
          </w:p>
        </w:tc>
      </w:tr>
      <w:tr w14:paraId="572E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81" w:type="dxa"/>
            <w:vMerge w:val="continue"/>
            <w:vAlign w:val="center"/>
          </w:tcPr>
          <w:p w14:paraId="0005B2C1">
            <w:pPr>
              <w:rPr>
                <w:rFonts w:ascii="仿宋" w:hAnsi="仿宋" w:eastAsia="仿宋" w:cs="仿宋"/>
                <w:color w:val="000000" w:themeColor="text1"/>
                <w:sz w:val="24"/>
                <w:szCs w:val="24"/>
                <w:lang w:eastAsia="zh-CN"/>
                <w14:textFill>
                  <w14:solidFill>
                    <w14:schemeClr w14:val="tx1"/>
                  </w14:solidFill>
                </w14:textFill>
              </w:rPr>
            </w:pPr>
          </w:p>
        </w:tc>
        <w:tc>
          <w:tcPr>
            <w:tcW w:w="547" w:type="dxa"/>
            <w:vAlign w:val="center"/>
          </w:tcPr>
          <w:p w14:paraId="0B1AB84B">
            <w:pPr>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6649" w:type="dxa"/>
            <w:shd w:val="clear" w:color="auto" w:fill="auto"/>
            <w:vAlign w:val="center"/>
          </w:tcPr>
          <w:p w14:paraId="7944CEB9">
            <w:pPr>
              <w:widowControl/>
              <w:textAlignment w:val="center"/>
              <w:rPr>
                <w:rFonts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tc>
        <w:tc>
          <w:tcPr>
            <w:tcW w:w="555" w:type="dxa"/>
          </w:tcPr>
          <w:p w14:paraId="6831371C">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14:paraId="35A6AD45">
            <w:pPr>
              <w:rPr>
                <w:rFonts w:ascii="仿宋" w:hAnsi="仿宋" w:eastAsia="仿宋" w:cs="仿宋"/>
                <w:color w:val="000000" w:themeColor="text1"/>
                <w:sz w:val="24"/>
                <w:szCs w:val="24"/>
                <w:lang w:eastAsia="zh-CN"/>
                <w14:textFill>
                  <w14:solidFill>
                    <w14:schemeClr w14:val="tx1"/>
                  </w14:solidFill>
                </w14:textFill>
              </w:rPr>
            </w:pPr>
          </w:p>
        </w:tc>
      </w:tr>
      <w:tr w14:paraId="7F25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81" w:type="dxa"/>
            <w:vMerge w:val="continue"/>
            <w:vAlign w:val="center"/>
          </w:tcPr>
          <w:p w14:paraId="3F34B06D">
            <w:pPr>
              <w:jc w:val="center"/>
              <w:rPr>
                <w:rFonts w:ascii="仿宋" w:hAnsi="仿宋" w:eastAsia="仿宋" w:cs="仿宋"/>
                <w:color w:val="000000" w:themeColor="text1"/>
                <w:sz w:val="24"/>
                <w:szCs w:val="24"/>
                <w:lang w:eastAsia="zh-CN"/>
                <w14:textFill>
                  <w14:solidFill>
                    <w14:schemeClr w14:val="tx1"/>
                  </w14:solidFill>
                </w14:textFill>
              </w:rPr>
            </w:pPr>
          </w:p>
        </w:tc>
        <w:tc>
          <w:tcPr>
            <w:tcW w:w="547" w:type="dxa"/>
          </w:tcPr>
          <w:p w14:paraId="1152C8CE">
            <w:pPr>
              <w:spacing w:line="440" w:lineRule="exact"/>
              <w:rPr>
                <w:rFonts w:ascii="仿宋" w:hAnsi="仿宋" w:eastAsia="仿宋" w:cs="仿宋"/>
                <w:color w:val="000000" w:themeColor="text1"/>
                <w:sz w:val="24"/>
                <w:szCs w:val="24"/>
                <w:lang w:eastAsia="zh-CN"/>
                <w14:textFill>
                  <w14:solidFill>
                    <w14:schemeClr w14:val="tx1"/>
                  </w14:solidFill>
                </w14:textFill>
              </w:rPr>
            </w:pPr>
          </w:p>
        </w:tc>
        <w:tc>
          <w:tcPr>
            <w:tcW w:w="6649" w:type="dxa"/>
          </w:tcPr>
          <w:p w14:paraId="002B938C">
            <w:pP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结论：是否通过评审（须填写通过或不通过）</w:t>
            </w:r>
          </w:p>
          <w:p w14:paraId="205BB4DF">
            <w:pP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注：如有一项不合格，作废标处理。</w:t>
            </w:r>
          </w:p>
        </w:tc>
        <w:tc>
          <w:tcPr>
            <w:tcW w:w="1209" w:type="dxa"/>
            <w:gridSpan w:val="2"/>
          </w:tcPr>
          <w:p w14:paraId="5A42ED9C">
            <w:pPr>
              <w:rPr>
                <w:rFonts w:ascii="仿宋" w:hAnsi="仿宋" w:eastAsia="仿宋" w:cs="仿宋"/>
                <w:color w:val="000000" w:themeColor="text1"/>
                <w:sz w:val="24"/>
                <w:szCs w:val="24"/>
                <w:lang w:eastAsia="zh-CN"/>
                <w14:textFill>
                  <w14:solidFill>
                    <w14:schemeClr w14:val="tx1"/>
                  </w14:solidFill>
                </w14:textFill>
              </w:rPr>
            </w:pPr>
          </w:p>
        </w:tc>
      </w:tr>
    </w:tbl>
    <w:p w14:paraId="1804640B">
      <w:pPr>
        <w:spacing w:line="400" w:lineRule="exact"/>
        <w:ind w:firstLine="590" w:firstLineChars="241"/>
        <w:rPr>
          <w:rFonts w:ascii="仿宋" w:hAnsi="仿宋" w:eastAsia="仿宋" w:cs="仿宋"/>
          <w:b/>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6.2如评标专家在检验电子标书过程中，如果由于投标人自身原因导致评标专家无法查看并检验电子标书中以上相关资料的，否决其投标。即使投标单位将原件携带至现场的，同样按无效投标处理。</w:t>
      </w:r>
    </w:p>
    <w:p w14:paraId="7B23350F">
      <w:pPr>
        <w:spacing w:before="156" w:beforeLines="50" w:line="440" w:lineRule="exact"/>
        <w:ind w:firstLine="359" w:firstLineChars="147"/>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7</w:t>
      </w:r>
      <w:r>
        <w:rPr>
          <w:rFonts w:hint="eastAsia" w:ascii="仿宋" w:hAnsi="仿宋" w:eastAsia="仿宋" w:cs="仿宋"/>
          <w:b/>
          <w:color w:val="000000" w:themeColor="text1"/>
          <w:sz w:val="24"/>
          <w:szCs w:val="24"/>
          <w14:textFill>
            <w14:solidFill>
              <w14:schemeClr w14:val="tx1"/>
            </w14:solidFill>
          </w14:textFill>
        </w:rPr>
        <w:t>.符合性审查</w:t>
      </w:r>
    </w:p>
    <w:p w14:paraId="72E98F9F">
      <w:pPr>
        <w:spacing w:line="440" w:lineRule="exact"/>
        <w:ind w:firstLine="367" w:firstLineChars="1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．1评审细则</w:t>
      </w:r>
    </w:p>
    <w:tbl>
      <w:tblPr>
        <w:tblStyle w:val="19"/>
        <w:tblpPr w:leftFromText="180" w:rightFromText="180" w:vertAnchor="text" w:horzAnchor="page" w:tblpX="1333" w:tblpY="363"/>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497"/>
        <w:gridCol w:w="6478"/>
        <w:gridCol w:w="482"/>
        <w:gridCol w:w="884"/>
      </w:tblGrid>
      <w:tr w14:paraId="746B0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tcBorders>
              <w:top w:val="single" w:color="auto" w:sz="4" w:space="0"/>
              <w:left w:val="single" w:color="auto" w:sz="4" w:space="0"/>
            </w:tcBorders>
            <w:vAlign w:val="center"/>
          </w:tcPr>
          <w:p w14:paraId="40CA75BC">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w:t>
            </w:r>
          </w:p>
        </w:tc>
        <w:tc>
          <w:tcPr>
            <w:tcW w:w="6975" w:type="dxa"/>
            <w:gridSpan w:val="2"/>
            <w:tcBorders>
              <w:top w:val="single" w:color="auto" w:sz="4" w:space="0"/>
            </w:tcBorders>
            <w:vAlign w:val="center"/>
          </w:tcPr>
          <w:p w14:paraId="07605FCC">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评审内容</w:t>
            </w:r>
          </w:p>
        </w:tc>
        <w:tc>
          <w:tcPr>
            <w:tcW w:w="1366" w:type="dxa"/>
            <w:gridSpan w:val="2"/>
            <w:tcBorders>
              <w:top w:val="single" w:color="auto" w:sz="4" w:space="0"/>
              <w:right w:val="single" w:color="auto" w:sz="4" w:space="0"/>
            </w:tcBorders>
            <w:vAlign w:val="center"/>
          </w:tcPr>
          <w:p w14:paraId="45DBE026">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评审意见</w:t>
            </w:r>
          </w:p>
        </w:tc>
      </w:tr>
      <w:tr w14:paraId="1D7DB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tcBorders>
              <w:left w:val="single" w:color="auto" w:sz="4" w:space="0"/>
              <w:bottom w:val="single" w:color="auto" w:sz="4" w:space="0"/>
            </w:tcBorders>
            <w:vAlign w:val="center"/>
          </w:tcPr>
          <w:p w14:paraId="3DBEADFF">
            <w:pPr>
              <w:rPr>
                <w:rFonts w:ascii="仿宋" w:hAnsi="仿宋" w:eastAsia="仿宋" w:cs="仿宋"/>
                <w:color w:val="000000" w:themeColor="text1"/>
                <w:sz w:val="24"/>
                <w:szCs w:val="24"/>
                <w14:textFill>
                  <w14:solidFill>
                    <w14:schemeClr w14:val="tx1"/>
                  </w14:solidFill>
                </w14:textFill>
              </w:rPr>
            </w:pPr>
          </w:p>
        </w:tc>
        <w:tc>
          <w:tcPr>
            <w:tcW w:w="6975" w:type="dxa"/>
            <w:gridSpan w:val="2"/>
            <w:tcBorders>
              <w:bottom w:val="single" w:color="auto" w:sz="4" w:space="0"/>
            </w:tcBorders>
          </w:tcPr>
          <w:p w14:paraId="3B19CE3A">
            <w:pPr>
              <w:rPr>
                <w:rFonts w:ascii="仿宋" w:hAnsi="仿宋" w:eastAsia="仿宋" w:cs="仿宋"/>
                <w:color w:val="000000" w:themeColor="text1"/>
                <w:sz w:val="24"/>
                <w:szCs w:val="24"/>
                <w14:textFill>
                  <w14:solidFill>
                    <w14:schemeClr w14:val="tx1"/>
                  </w14:solidFill>
                </w14:textFill>
              </w:rPr>
            </w:pPr>
          </w:p>
        </w:tc>
        <w:tc>
          <w:tcPr>
            <w:tcW w:w="482" w:type="dxa"/>
            <w:vAlign w:val="center"/>
          </w:tcPr>
          <w:p w14:paraId="0A8925F7">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是</w:t>
            </w:r>
          </w:p>
        </w:tc>
        <w:tc>
          <w:tcPr>
            <w:tcW w:w="884" w:type="dxa"/>
            <w:tcBorders>
              <w:right w:val="single" w:color="auto" w:sz="4" w:space="0"/>
            </w:tcBorders>
            <w:vAlign w:val="center"/>
          </w:tcPr>
          <w:p w14:paraId="4A0C4F5D">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否</w:t>
            </w:r>
          </w:p>
        </w:tc>
      </w:tr>
      <w:tr w14:paraId="295F1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54E40209">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审</w:t>
            </w:r>
          </w:p>
          <w:p w14:paraId="6DBA2F82">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查</w:t>
            </w:r>
          </w:p>
          <w:p w14:paraId="04000BF4">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w:t>
            </w:r>
          </w:p>
          <w:p w14:paraId="6FCA6C2F">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准</w:t>
            </w:r>
          </w:p>
        </w:tc>
        <w:tc>
          <w:tcPr>
            <w:tcW w:w="497" w:type="dxa"/>
            <w:tcBorders>
              <w:top w:val="single" w:color="auto" w:sz="4" w:space="0"/>
              <w:left w:val="single" w:color="auto" w:sz="4" w:space="0"/>
              <w:right w:val="single" w:color="auto" w:sz="4" w:space="0"/>
            </w:tcBorders>
            <w:vAlign w:val="center"/>
          </w:tcPr>
          <w:p w14:paraId="6A348138">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6478" w:type="dxa"/>
            <w:tcBorders>
              <w:top w:val="single" w:color="auto" w:sz="4" w:space="0"/>
              <w:left w:val="single" w:color="auto" w:sz="4" w:space="0"/>
              <w:right w:val="single" w:color="auto" w:sz="4" w:space="0"/>
            </w:tcBorders>
            <w:vAlign w:val="top"/>
          </w:tcPr>
          <w:p w14:paraId="39A5AB9B">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由政府立项核准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审批的采购项目, 投标报价</w:t>
            </w:r>
            <w:r>
              <w:rPr>
                <w:rFonts w:hint="eastAsia" w:ascii="仿宋" w:hAnsi="仿宋" w:eastAsia="仿宋" w:cs="仿宋"/>
                <w:color w:val="auto"/>
                <w:sz w:val="24"/>
                <w:szCs w:val="24"/>
                <w:highlight w:val="none"/>
                <w:lang w:eastAsia="zh-CN"/>
              </w:rPr>
              <w:t>低</w:t>
            </w:r>
            <w:r>
              <w:rPr>
                <w:rFonts w:hint="eastAsia" w:ascii="仿宋" w:hAnsi="仿宋" w:eastAsia="仿宋" w:cs="仿宋"/>
                <w:color w:val="auto"/>
                <w:sz w:val="24"/>
                <w:szCs w:val="24"/>
                <w:highlight w:val="none"/>
              </w:rPr>
              <w:t>于设定的采购预算价；</w:t>
            </w:r>
          </w:p>
        </w:tc>
        <w:tc>
          <w:tcPr>
            <w:tcW w:w="482" w:type="dxa"/>
            <w:tcBorders>
              <w:left w:val="single" w:color="auto" w:sz="4" w:space="0"/>
              <w:right w:val="single" w:color="auto" w:sz="4" w:space="0"/>
            </w:tcBorders>
          </w:tcPr>
          <w:p w14:paraId="5A297B21">
            <w:pPr>
              <w:jc w:val="center"/>
              <w:rPr>
                <w:rFonts w:ascii="仿宋" w:hAnsi="仿宋" w:eastAsia="仿宋" w:cs="仿宋"/>
                <w:b/>
                <w:color w:val="000000" w:themeColor="text1"/>
                <w:sz w:val="24"/>
                <w:szCs w:val="24"/>
                <w:lang w:eastAsia="zh-CN"/>
                <w14:textFill>
                  <w14:solidFill>
                    <w14:schemeClr w14:val="tx1"/>
                  </w14:solidFill>
                </w14:textFill>
              </w:rPr>
            </w:pPr>
          </w:p>
        </w:tc>
        <w:tc>
          <w:tcPr>
            <w:tcW w:w="884" w:type="dxa"/>
            <w:tcBorders>
              <w:left w:val="single" w:color="auto" w:sz="4" w:space="0"/>
              <w:right w:val="single" w:color="auto" w:sz="4" w:space="0"/>
            </w:tcBorders>
          </w:tcPr>
          <w:p w14:paraId="1C9D2815">
            <w:pPr>
              <w:jc w:val="center"/>
              <w:rPr>
                <w:rFonts w:ascii="仿宋" w:hAnsi="仿宋" w:eastAsia="仿宋" w:cs="仿宋"/>
                <w:b/>
                <w:color w:val="000000" w:themeColor="text1"/>
                <w:sz w:val="24"/>
                <w:szCs w:val="24"/>
                <w:lang w:eastAsia="zh-CN"/>
                <w14:textFill>
                  <w14:solidFill>
                    <w14:schemeClr w14:val="tx1"/>
                  </w14:solidFill>
                </w14:textFill>
              </w:rPr>
            </w:pPr>
          </w:p>
        </w:tc>
      </w:tr>
      <w:tr w14:paraId="7A402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41C79615">
            <w:pPr>
              <w:rPr>
                <w:rFonts w:ascii="仿宋" w:hAnsi="仿宋" w:eastAsia="仿宋" w:cs="仿宋"/>
                <w:color w:val="000000" w:themeColor="text1"/>
                <w:sz w:val="24"/>
                <w:szCs w:val="24"/>
                <w:lang w:eastAsia="zh-CN"/>
                <w14:textFill>
                  <w14:solidFill>
                    <w14:schemeClr w14:val="tx1"/>
                  </w14:solidFill>
                </w14:textFill>
              </w:rPr>
            </w:pPr>
          </w:p>
        </w:tc>
        <w:tc>
          <w:tcPr>
            <w:tcW w:w="497" w:type="dxa"/>
            <w:tcBorders>
              <w:top w:val="single" w:color="auto" w:sz="4" w:space="0"/>
              <w:left w:val="single" w:color="auto" w:sz="4" w:space="0"/>
              <w:right w:val="single" w:color="auto" w:sz="4" w:space="0"/>
            </w:tcBorders>
            <w:vAlign w:val="center"/>
          </w:tcPr>
          <w:p w14:paraId="184E5C52">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6478" w:type="dxa"/>
            <w:tcBorders>
              <w:top w:val="single" w:color="auto" w:sz="4" w:space="0"/>
              <w:left w:val="single" w:color="auto" w:sz="4" w:space="0"/>
              <w:right w:val="single" w:color="auto" w:sz="4" w:space="0"/>
            </w:tcBorders>
            <w:vAlign w:val="top"/>
          </w:tcPr>
          <w:p w14:paraId="5F6C6D24">
            <w:pPr>
              <w:autoSpaceDN w:val="0"/>
              <w:jc w:val="left"/>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sz w:val="24"/>
                <w:szCs w:val="24"/>
                <w:highlight w:val="none"/>
              </w:rPr>
              <w:t>只能有一个有效报价，不得提交选择性报价</w:t>
            </w:r>
            <w:r>
              <w:rPr>
                <w:rFonts w:hint="eastAsia" w:ascii="仿宋" w:hAnsi="仿宋" w:eastAsia="仿宋" w:cs="仿宋"/>
                <w:color w:val="auto"/>
                <w:sz w:val="24"/>
                <w:szCs w:val="24"/>
                <w:highlight w:val="none"/>
                <w:lang w:eastAsia="zh-CN"/>
              </w:rPr>
              <w:t>；</w:t>
            </w:r>
          </w:p>
        </w:tc>
        <w:tc>
          <w:tcPr>
            <w:tcW w:w="482" w:type="dxa"/>
            <w:tcBorders>
              <w:left w:val="single" w:color="auto" w:sz="4" w:space="0"/>
            </w:tcBorders>
          </w:tcPr>
          <w:p w14:paraId="350D01F1">
            <w:pPr>
              <w:rPr>
                <w:rFonts w:ascii="仿宋" w:hAnsi="仿宋" w:eastAsia="仿宋" w:cs="仿宋"/>
                <w:color w:val="000000" w:themeColor="text1"/>
                <w:sz w:val="24"/>
                <w:szCs w:val="24"/>
                <w14:textFill>
                  <w14:solidFill>
                    <w14:schemeClr w14:val="tx1"/>
                  </w14:solidFill>
                </w14:textFill>
              </w:rPr>
            </w:pPr>
          </w:p>
        </w:tc>
        <w:tc>
          <w:tcPr>
            <w:tcW w:w="884" w:type="dxa"/>
            <w:tcBorders>
              <w:right w:val="single" w:color="auto" w:sz="4" w:space="0"/>
            </w:tcBorders>
          </w:tcPr>
          <w:p w14:paraId="1E55F7A7">
            <w:pPr>
              <w:rPr>
                <w:rFonts w:ascii="仿宋" w:hAnsi="仿宋" w:eastAsia="仿宋" w:cs="仿宋"/>
                <w:color w:val="000000" w:themeColor="text1"/>
                <w:sz w:val="24"/>
                <w:szCs w:val="24"/>
                <w14:textFill>
                  <w14:solidFill>
                    <w14:schemeClr w14:val="tx1"/>
                  </w14:solidFill>
                </w14:textFill>
              </w:rPr>
            </w:pPr>
          </w:p>
        </w:tc>
      </w:tr>
      <w:tr w14:paraId="0AC0E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7BBD5B45">
            <w:pPr>
              <w:rPr>
                <w:rFonts w:ascii="仿宋" w:hAnsi="仿宋" w:eastAsia="仿宋" w:cs="仿宋"/>
                <w:color w:val="000000" w:themeColor="text1"/>
                <w:sz w:val="24"/>
                <w:szCs w:val="24"/>
                <w:lang w:eastAsia="zh-CN"/>
                <w14:textFill>
                  <w14:solidFill>
                    <w14:schemeClr w14:val="tx1"/>
                  </w14:solidFill>
                </w14:textFill>
              </w:rPr>
            </w:pPr>
          </w:p>
        </w:tc>
        <w:tc>
          <w:tcPr>
            <w:tcW w:w="497" w:type="dxa"/>
            <w:tcBorders>
              <w:left w:val="single" w:color="auto" w:sz="4" w:space="0"/>
              <w:bottom w:val="single" w:color="auto" w:sz="4" w:space="0"/>
            </w:tcBorders>
            <w:vAlign w:val="center"/>
          </w:tcPr>
          <w:p w14:paraId="7F65C54B">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6478" w:type="dxa"/>
            <w:tcBorders>
              <w:bottom w:val="single" w:color="auto" w:sz="4" w:space="0"/>
              <w:right w:val="single" w:color="auto" w:sz="4" w:space="0"/>
            </w:tcBorders>
            <w:vAlign w:val="top"/>
          </w:tcPr>
          <w:p w14:paraId="307B235B">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内容齐全、无遗漏</w:t>
            </w:r>
            <w:r>
              <w:rPr>
                <w:rFonts w:hint="eastAsia" w:ascii="仿宋" w:hAnsi="仿宋" w:eastAsia="仿宋" w:cs="仿宋"/>
                <w:color w:val="auto"/>
                <w:sz w:val="24"/>
                <w:szCs w:val="24"/>
                <w:highlight w:val="none"/>
                <w:lang w:eastAsia="zh-CN"/>
              </w:rPr>
              <w:t>；</w:t>
            </w:r>
          </w:p>
        </w:tc>
        <w:tc>
          <w:tcPr>
            <w:tcW w:w="482" w:type="dxa"/>
            <w:tcBorders>
              <w:left w:val="single" w:color="auto" w:sz="4" w:space="0"/>
              <w:bottom w:val="single" w:color="auto" w:sz="4" w:space="0"/>
            </w:tcBorders>
          </w:tcPr>
          <w:p w14:paraId="7A975D49">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bottom w:val="single" w:color="auto" w:sz="4" w:space="0"/>
              <w:right w:val="single" w:color="auto" w:sz="4" w:space="0"/>
            </w:tcBorders>
          </w:tcPr>
          <w:p w14:paraId="4B4E63CC">
            <w:pPr>
              <w:rPr>
                <w:rFonts w:ascii="仿宋" w:hAnsi="仿宋" w:eastAsia="仿宋" w:cs="仿宋"/>
                <w:color w:val="000000" w:themeColor="text1"/>
                <w:sz w:val="24"/>
                <w:szCs w:val="24"/>
                <w:lang w:eastAsia="zh-CN"/>
                <w14:textFill>
                  <w14:solidFill>
                    <w14:schemeClr w14:val="tx1"/>
                  </w14:solidFill>
                </w14:textFill>
              </w:rPr>
            </w:pPr>
          </w:p>
        </w:tc>
      </w:tr>
      <w:tr w14:paraId="03A2A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5449BB7E">
            <w:pPr>
              <w:rPr>
                <w:rFonts w:ascii="仿宋" w:hAnsi="仿宋" w:eastAsia="仿宋" w:cs="仿宋"/>
                <w:color w:val="000000" w:themeColor="text1"/>
                <w:sz w:val="24"/>
                <w:szCs w:val="24"/>
                <w:lang w:eastAsia="zh-CN"/>
                <w14:textFill>
                  <w14:solidFill>
                    <w14:schemeClr w14:val="tx1"/>
                  </w14:solidFill>
                </w14:textFill>
              </w:rPr>
            </w:pPr>
          </w:p>
        </w:tc>
        <w:tc>
          <w:tcPr>
            <w:tcW w:w="497" w:type="dxa"/>
            <w:tcBorders>
              <w:top w:val="single" w:color="auto" w:sz="4" w:space="0"/>
              <w:left w:val="single" w:color="auto" w:sz="4" w:space="0"/>
              <w:bottom w:val="single" w:color="auto" w:sz="4" w:space="0"/>
              <w:right w:val="single" w:color="auto" w:sz="4" w:space="0"/>
            </w:tcBorders>
            <w:vAlign w:val="center"/>
          </w:tcPr>
          <w:p w14:paraId="46C32F24">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6478" w:type="dxa"/>
            <w:tcBorders>
              <w:top w:val="single" w:color="auto" w:sz="4" w:space="0"/>
              <w:left w:val="single" w:color="auto" w:sz="4" w:space="0"/>
              <w:bottom w:val="single" w:color="auto" w:sz="4" w:space="0"/>
              <w:right w:val="single" w:color="auto" w:sz="4" w:space="0"/>
            </w:tcBorders>
            <w:vAlign w:val="top"/>
          </w:tcPr>
          <w:p w14:paraId="477DF93B">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规定的招标内容全部作出响应</w:t>
            </w:r>
            <w:r>
              <w:rPr>
                <w:rFonts w:hint="eastAsia" w:ascii="仿宋" w:hAnsi="仿宋" w:eastAsia="仿宋" w:cs="仿宋"/>
                <w:color w:val="auto"/>
                <w:sz w:val="24"/>
                <w:szCs w:val="24"/>
                <w:highlight w:val="none"/>
                <w:lang w:eastAsia="zh-CN"/>
              </w:rPr>
              <w:t>；</w:t>
            </w:r>
          </w:p>
        </w:tc>
        <w:tc>
          <w:tcPr>
            <w:tcW w:w="482" w:type="dxa"/>
            <w:tcBorders>
              <w:top w:val="single" w:color="auto" w:sz="4" w:space="0"/>
              <w:left w:val="single" w:color="auto" w:sz="4" w:space="0"/>
              <w:bottom w:val="single" w:color="auto" w:sz="4" w:space="0"/>
              <w:right w:val="single" w:color="auto" w:sz="4" w:space="0"/>
            </w:tcBorders>
          </w:tcPr>
          <w:p w14:paraId="580C8F31">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tcPr>
          <w:p w14:paraId="54D25ACE">
            <w:pPr>
              <w:rPr>
                <w:rFonts w:ascii="仿宋" w:hAnsi="仿宋" w:eastAsia="仿宋" w:cs="仿宋"/>
                <w:color w:val="000000" w:themeColor="text1"/>
                <w:sz w:val="24"/>
                <w:szCs w:val="24"/>
                <w:lang w:eastAsia="zh-CN"/>
                <w14:textFill>
                  <w14:solidFill>
                    <w14:schemeClr w14:val="tx1"/>
                  </w14:solidFill>
                </w14:textFill>
              </w:rPr>
            </w:pPr>
          </w:p>
        </w:tc>
      </w:tr>
      <w:tr w14:paraId="03082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20B6FC67">
            <w:pPr>
              <w:rPr>
                <w:rFonts w:ascii="仿宋" w:hAnsi="仿宋" w:eastAsia="仿宋" w:cs="仿宋"/>
                <w:color w:val="000000" w:themeColor="text1"/>
                <w:sz w:val="24"/>
                <w:szCs w:val="24"/>
                <w:lang w:eastAsia="zh-CN"/>
                <w14:textFill>
                  <w14:solidFill>
                    <w14:schemeClr w14:val="tx1"/>
                  </w14:solidFill>
                </w14:textFill>
              </w:rPr>
            </w:pPr>
          </w:p>
        </w:tc>
        <w:tc>
          <w:tcPr>
            <w:tcW w:w="497" w:type="dxa"/>
            <w:tcBorders>
              <w:left w:val="single" w:color="auto" w:sz="4" w:space="0"/>
            </w:tcBorders>
            <w:vAlign w:val="center"/>
          </w:tcPr>
          <w:p w14:paraId="343AA05D">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6478" w:type="dxa"/>
            <w:tcBorders>
              <w:right w:val="single" w:color="auto" w:sz="4" w:space="0"/>
            </w:tcBorders>
            <w:vAlign w:val="top"/>
          </w:tcPr>
          <w:p w14:paraId="6A0D21BE">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完成期限满足</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w:t>
            </w:r>
          </w:p>
        </w:tc>
        <w:tc>
          <w:tcPr>
            <w:tcW w:w="482" w:type="dxa"/>
            <w:tcBorders>
              <w:left w:val="single" w:color="auto" w:sz="4" w:space="0"/>
            </w:tcBorders>
          </w:tcPr>
          <w:p w14:paraId="58AA6BB4">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right w:val="single" w:color="auto" w:sz="4" w:space="0"/>
            </w:tcBorders>
          </w:tcPr>
          <w:p w14:paraId="7B8B727D">
            <w:pPr>
              <w:rPr>
                <w:rFonts w:ascii="仿宋" w:hAnsi="仿宋" w:eastAsia="仿宋" w:cs="仿宋"/>
                <w:color w:val="000000" w:themeColor="text1"/>
                <w:sz w:val="24"/>
                <w:szCs w:val="24"/>
                <w:lang w:eastAsia="zh-CN"/>
                <w14:textFill>
                  <w14:solidFill>
                    <w14:schemeClr w14:val="tx1"/>
                  </w14:solidFill>
                </w14:textFill>
              </w:rPr>
            </w:pPr>
          </w:p>
        </w:tc>
      </w:tr>
      <w:tr w14:paraId="4FD69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37D96ADB">
            <w:pPr>
              <w:rPr>
                <w:rFonts w:ascii="仿宋" w:hAnsi="仿宋" w:eastAsia="仿宋" w:cs="仿宋"/>
                <w:color w:val="000000" w:themeColor="text1"/>
                <w:sz w:val="24"/>
                <w:szCs w:val="24"/>
                <w:lang w:eastAsia="zh-CN"/>
                <w14:textFill>
                  <w14:solidFill>
                    <w14:schemeClr w14:val="tx1"/>
                  </w14:solidFill>
                </w14:textFill>
              </w:rPr>
            </w:pPr>
          </w:p>
        </w:tc>
        <w:tc>
          <w:tcPr>
            <w:tcW w:w="497" w:type="dxa"/>
            <w:tcBorders>
              <w:left w:val="single" w:color="auto" w:sz="4" w:space="0"/>
            </w:tcBorders>
            <w:vAlign w:val="center"/>
          </w:tcPr>
          <w:p w14:paraId="295608B6">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6478" w:type="dxa"/>
            <w:tcBorders>
              <w:right w:val="single" w:color="auto" w:sz="4" w:space="0"/>
            </w:tcBorders>
            <w:vAlign w:val="top"/>
          </w:tcPr>
          <w:p w14:paraId="2B597B13">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有效期满足</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w:t>
            </w:r>
          </w:p>
        </w:tc>
        <w:tc>
          <w:tcPr>
            <w:tcW w:w="482" w:type="dxa"/>
            <w:tcBorders>
              <w:left w:val="single" w:color="auto" w:sz="4" w:space="0"/>
            </w:tcBorders>
          </w:tcPr>
          <w:p w14:paraId="19A17D8E">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right w:val="single" w:color="auto" w:sz="4" w:space="0"/>
            </w:tcBorders>
          </w:tcPr>
          <w:p w14:paraId="0F977187">
            <w:pPr>
              <w:rPr>
                <w:rFonts w:ascii="仿宋" w:hAnsi="仿宋" w:eastAsia="仿宋" w:cs="仿宋"/>
                <w:color w:val="000000" w:themeColor="text1"/>
                <w:sz w:val="24"/>
                <w:szCs w:val="24"/>
                <w:lang w:eastAsia="zh-CN"/>
                <w14:textFill>
                  <w14:solidFill>
                    <w14:schemeClr w14:val="tx1"/>
                  </w14:solidFill>
                </w14:textFill>
              </w:rPr>
            </w:pPr>
          </w:p>
        </w:tc>
      </w:tr>
      <w:tr w14:paraId="7E46C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69F7C0DB">
            <w:pPr>
              <w:jc w:val="center"/>
              <w:rPr>
                <w:rFonts w:ascii="仿宋" w:hAnsi="仿宋" w:eastAsia="仿宋" w:cs="仿宋"/>
                <w:color w:val="000000" w:themeColor="text1"/>
                <w:sz w:val="24"/>
                <w:szCs w:val="24"/>
                <w:lang w:eastAsia="zh-CN"/>
                <w14:textFill>
                  <w14:solidFill>
                    <w14:schemeClr w14:val="tx1"/>
                  </w14:solidFill>
                </w14:textFill>
              </w:rPr>
            </w:pPr>
          </w:p>
        </w:tc>
        <w:tc>
          <w:tcPr>
            <w:tcW w:w="6975" w:type="dxa"/>
            <w:gridSpan w:val="2"/>
            <w:tcBorders>
              <w:left w:val="single" w:color="auto" w:sz="4" w:space="0"/>
              <w:bottom w:val="single" w:color="auto" w:sz="4" w:space="0"/>
              <w:right w:val="single" w:color="auto" w:sz="4" w:space="0"/>
            </w:tcBorders>
          </w:tcPr>
          <w:p w14:paraId="51F773DA">
            <w:pP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结论：是否通过评审（须填写通过或不通过）</w:t>
            </w:r>
          </w:p>
          <w:p w14:paraId="2E900882">
            <w:pP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注：如有一项不合格，作废标处理。</w:t>
            </w:r>
          </w:p>
        </w:tc>
        <w:tc>
          <w:tcPr>
            <w:tcW w:w="1366" w:type="dxa"/>
            <w:gridSpan w:val="2"/>
            <w:tcBorders>
              <w:left w:val="single" w:color="auto" w:sz="4" w:space="0"/>
              <w:bottom w:val="single" w:color="auto" w:sz="4" w:space="0"/>
              <w:right w:val="single" w:color="auto" w:sz="4" w:space="0"/>
            </w:tcBorders>
          </w:tcPr>
          <w:p w14:paraId="08FE4785">
            <w:pPr>
              <w:rPr>
                <w:rFonts w:ascii="仿宋" w:hAnsi="仿宋" w:eastAsia="仿宋" w:cs="仿宋"/>
                <w:color w:val="000000" w:themeColor="text1"/>
                <w:sz w:val="24"/>
                <w:szCs w:val="24"/>
                <w:lang w:eastAsia="zh-CN"/>
                <w14:textFill>
                  <w14:solidFill>
                    <w14:schemeClr w14:val="tx1"/>
                  </w14:solidFill>
                </w14:textFill>
              </w:rPr>
            </w:pPr>
          </w:p>
        </w:tc>
      </w:tr>
    </w:tbl>
    <w:p w14:paraId="3174EFFB">
      <w:pPr>
        <w:numPr>
          <w:ilvl w:val="0"/>
          <w:numId w:val="0"/>
        </w:num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评委会判定</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的响应性只根据</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本身的内容，而不寻求外部的证</w:t>
      </w:r>
    </w:p>
    <w:p w14:paraId="0A57A5BB">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据，但投标有不真实不正确的内容时除外。</w:t>
      </w:r>
    </w:p>
    <w:p w14:paraId="6F3434D3">
      <w:pPr>
        <w:spacing w:line="400" w:lineRule="exact"/>
        <w:ind w:left="490" w:leftChars="200"/>
        <w:rPr>
          <w:rFonts w:ascii="仿宋" w:hAnsi="仿宋" w:eastAsia="仿宋" w:cs="仿宋"/>
          <w:color w:val="auto"/>
          <w:sz w:val="24"/>
          <w:szCs w:val="24"/>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如果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实质上没有响应</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的要求，评委会将予以拒绝，投标人不得通过修正或撤销不符合要求的偏离或保留，而使其投标成为实质上响应的投标。</w:t>
      </w:r>
    </w:p>
    <w:p w14:paraId="50285D6C">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投标人可在现场20分钟内对评标委员会的评审结论提出异议，评标委员会根据</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及有关规定对投标人的异议进行复议</w:t>
      </w:r>
    </w:p>
    <w:p w14:paraId="17B010EB">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只有通过初审的投标人才能进入下一步评标程序。</w:t>
      </w:r>
    </w:p>
    <w:p w14:paraId="1F370492">
      <w:pPr>
        <w:spacing w:line="400" w:lineRule="exact"/>
        <w:ind w:firstLine="490" w:firstLineChars="200"/>
        <w:rPr>
          <w:rFonts w:ascii="仿宋" w:hAnsi="仿宋" w:eastAsia="仿宋" w:cs="仿宋"/>
          <w:color w:val="auto"/>
          <w:sz w:val="24"/>
          <w:szCs w:val="24"/>
        </w:rPr>
      </w:pPr>
      <w:r>
        <w:rPr>
          <w:rFonts w:hint="eastAsia" w:ascii="仿宋" w:hAnsi="仿宋" w:eastAsia="仿宋" w:cs="仿宋"/>
          <w:b/>
          <w:color w:val="auto"/>
          <w:sz w:val="24"/>
          <w:szCs w:val="24"/>
        </w:rPr>
        <w:t>温馨提示：</w:t>
      </w:r>
      <w:r>
        <w:rPr>
          <w:rFonts w:hint="eastAsia" w:ascii="仿宋" w:hAnsi="仿宋" w:eastAsia="仿宋" w:cs="仿宋"/>
          <w:b/>
          <w:color w:val="auto"/>
          <w:sz w:val="24"/>
          <w:szCs w:val="24"/>
          <w:lang w:eastAsia="zh-CN"/>
        </w:rPr>
        <w:t>响应文件</w:t>
      </w:r>
      <w:r>
        <w:rPr>
          <w:rFonts w:hint="eastAsia" w:ascii="仿宋" w:hAnsi="仿宋" w:eastAsia="仿宋" w:cs="仿宋"/>
          <w:b/>
          <w:color w:val="auto"/>
          <w:sz w:val="24"/>
          <w:szCs w:val="24"/>
        </w:rPr>
        <w:t>资格审查资料请精心准备,如评标专家在检验电子标书过程中，如果由于投标人自身原因导致评标专家无法查看并检验电子标书中以上相关资料的，按无效投标处理。</w:t>
      </w:r>
    </w:p>
    <w:p w14:paraId="2986D0BF">
      <w:pPr>
        <w:spacing w:beforeLines="50"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lang w:eastAsia="zh-CN"/>
        </w:rPr>
        <w:t>（二）响应文件</w:t>
      </w:r>
      <w:r>
        <w:rPr>
          <w:rFonts w:hint="eastAsia" w:ascii="仿宋" w:hAnsi="仿宋" w:eastAsia="仿宋" w:cs="仿宋"/>
          <w:b/>
          <w:color w:val="auto"/>
          <w:sz w:val="24"/>
          <w:szCs w:val="24"/>
        </w:rPr>
        <w:t>的澄清和补正</w:t>
      </w:r>
    </w:p>
    <w:p w14:paraId="39C6EA5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5、澄清、说明或补正的形式</w:t>
      </w:r>
    </w:p>
    <w:p w14:paraId="51134EB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0分钟。</w:t>
      </w:r>
    </w:p>
    <w:p w14:paraId="0DED923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投标供应商的澄清、说明或者补正应当通过“政府采购云平台”在线答复的方式提交，并加盖公章（电子印章），或者由法定代表人（负责人）或其授权的代表签章。投标供应商的澄清、说明或者补正不得超出响应文件的范围或者改变响应文件的实质性内容，不接受投标供应商主动对响应文件的澄清、说明或者补正。</w:t>
      </w:r>
    </w:p>
    <w:p w14:paraId="209668BB">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EF9DC35">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9．错误修正的原则</w:t>
      </w:r>
    </w:p>
    <w:p w14:paraId="4C35872C">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电子交易平台客户端里开标一览表录入的投标报价或优惠率与扫描上传的报价文件信息不一致的，以扫描上传的报价文件信息为准进行修正。</w:t>
      </w:r>
    </w:p>
    <w:p w14:paraId="7FBC94D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响应文件报价出现前后不一致的，除谈判文件 另有规定外，按照下列规定修正：</w:t>
      </w:r>
    </w:p>
    <w:p w14:paraId="20F4902D">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10、投标函中表述的内容与报价表中不一致的，以报价表为准；报价表中的内容与报价明细表不一致的，以报价表为准；</w:t>
      </w:r>
    </w:p>
    <w:p w14:paraId="5CDCF791">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11、响应文件中的大写金额和小写金额不一致的，以大写金额为准；</w:t>
      </w:r>
    </w:p>
    <w:p w14:paraId="721F16C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12、单价金额小数点或者百分比有明显错位的，以开标一览表的总价为准，并修改单价；</w:t>
      </w:r>
    </w:p>
    <w:p w14:paraId="4447CDF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13、总价金额与按单价汇总金额不一致的，以单价金额计算结果为准；</w:t>
      </w:r>
    </w:p>
    <w:p w14:paraId="0EABBC1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14、若用文字表示的数值与用数字表示的数值不一致，以文字表示的数值为准；</w:t>
      </w:r>
    </w:p>
    <w:p w14:paraId="46AE0C9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15、如有多报（指数量超出谈判文件 需求）、重报（指同一货物重复报价），其投标总价在评标过程中不予调整，如其中标，其合同价按其投标单价予以调整；</w:t>
      </w:r>
    </w:p>
    <w:p w14:paraId="4AACF9BB">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16、对不同文字文本响应文件的解释发生异议的，以中文文本为准；</w:t>
      </w:r>
    </w:p>
    <w:p w14:paraId="11AF926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14:paraId="76AE1D8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17、供应商需要注意的其它事项：</w:t>
      </w:r>
    </w:p>
    <w:p w14:paraId="4A1F3B5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 供应商必须由法定代表人或其委托全权代理人参加竞争性谈判，法定代表人委托代理人参加竞争性谈判必须保证在开标期间，随时通过政府采购云平台接受谈判小组的询问，并予以解答问题。</w:t>
      </w:r>
    </w:p>
    <w:p w14:paraId="63CF1A06">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2、供应商应遵守有关法律、法规，不得采取不正当的竞争手段，否则，其后果由供应商自负。</w:t>
      </w:r>
    </w:p>
    <w:p w14:paraId="500918A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3、在谈判会直至宣布结果之前，供应商不得向谈判评审专家询问谈判情况，不得进行旨在影响成交结果的活动，否则，其竞争性谈判无效并追究相应责任。</w:t>
      </w:r>
    </w:p>
    <w:p w14:paraId="38263FA9">
      <w:pPr>
        <w:spacing w:line="440" w:lineRule="exact"/>
        <w:ind w:firstLine="490" w:firstLineChars="200"/>
        <w:rPr>
          <w:sz w:val="24"/>
          <w:szCs w:val="24"/>
        </w:rPr>
      </w:pPr>
      <w:r>
        <w:rPr>
          <w:rFonts w:hint="eastAsia" w:ascii="仿宋" w:hAnsi="仿宋" w:eastAsia="仿宋" w:cs="仿宋"/>
          <w:color w:val="auto"/>
          <w:sz w:val="24"/>
          <w:szCs w:val="24"/>
          <w:lang w:eastAsia="zh-CN"/>
        </w:rPr>
        <w:t>4、本谈判文件的未尽事项，按现行的有关法律、法规及规章执行</w:t>
      </w:r>
    </w:p>
    <w:p w14:paraId="74EBE052">
      <w:pPr>
        <w:pStyle w:val="4"/>
        <w:rPr>
          <w:rFonts w:hint="eastAsia" w:ascii="仿宋" w:hAnsi="仿宋" w:eastAsia="仿宋" w:cs="仿宋"/>
          <w:color w:val="auto"/>
          <w:sz w:val="28"/>
          <w:szCs w:val="28"/>
        </w:rPr>
      </w:pPr>
    </w:p>
    <w:p w14:paraId="6401A281">
      <w:pPr>
        <w:pStyle w:val="4"/>
        <w:rPr>
          <w:rFonts w:ascii="仿宋" w:hAnsi="仿宋" w:eastAsia="仿宋" w:cs="仿宋"/>
          <w:color w:val="auto"/>
          <w:sz w:val="28"/>
          <w:szCs w:val="28"/>
        </w:rPr>
      </w:pPr>
      <w:r>
        <w:rPr>
          <w:rFonts w:hint="eastAsia" w:ascii="仿宋" w:hAnsi="仿宋" w:eastAsia="仿宋" w:cs="仿宋"/>
          <w:color w:val="auto"/>
          <w:sz w:val="28"/>
          <w:szCs w:val="28"/>
        </w:rPr>
        <w:t>八、成交及合同签订</w:t>
      </w:r>
    </w:p>
    <w:p w14:paraId="2A85B02A">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二十七</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成交</w:t>
      </w:r>
      <w:r>
        <w:rPr>
          <w:rFonts w:hint="eastAsia" w:ascii="仿宋" w:hAnsi="仿宋" w:eastAsia="仿宋" w:cs="仿宋"/>
          <w:b/>
          <w:bCs/>
          <w:color w:val="auto"/>
          <w:sz w:val="24"/>
          <w:szCs w:val="24"/>
        </w:rPr>
        <w:t>供应商</w:t>
      </w:r>
    </w:p>
    <w:p w14:paraId="1A3E415A">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对各供应商满足</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实质性响应【</w:t>
      </w:r>
      <w:r>
        <w:rPr>
          <w:rFonts w:hint="eastAsia" w:ascii="仿宋" w:hAnsi="仿宋" w:eastAsia="仿宋" w:cs="仿宋"/>
          <w:b/>
          <w:color w:val="auto"/>
          <w:sz w:val="24"/>
          <w:szCs w:val="24"/>
        </w:rPr>
        <w:t>所谓实质性响应，是指响应文件应与</w:t>
      </w:r>
      <w:r>
        <w:rPr>
          <w:rFonts w:hint="eastAsia" w:ascii="仿宋" w:hAnsi="仿宋" w:eastAsia="仿宋" w:cs="仿宋"/>
          <w:b/>
          <w:bCs/>
          <w:color w:val="auto"/>
          <w:sz w:val="24"/>
          <w:szCs w:val="24"/>
          <w:lang w:eastAsia="zh-CN"/>
        </w:rPr>
        <w:t>谈判文件</w:t>
      </w:r>
      <w:r>
        <w:rPr>
          <w:rFonts w:hint="eastAsia" w:ascii="仿宋" w:hAnsi="仿宋" w:eastAsia="仿宋" w:cs="仿宋"/>
          <w:b/>
          <w:color w:val="auto"/>
          <w:sz w:val="24"/>
          <w:szCs w:val="24"/>
        </w:rPr>
        <w:t>的所有实质性条款、条件和要求相符，无显著差异或保留（由</w:t>
      </w:r>
      <w:r>
        <w:rPr>
          <w:rFonts w:hint="eastAsia" w:ascii="仿宋" w:hAnsi="仿宋" w:eastAsia="仿宋" w:cs="仿宋"/>
          <w:b/>
          <w:color w:val="auto"/>
          <w:sz w:val="24"/>
          <w:szCs w:val="24"/>
          <w:lang w:eastAsia="zh-CN"/>
        </w:rPr>
        <w:t>谈判小组</w:t>
      </w:r>
      <w:r>
        <w:rPr>
          <w:rFonts w:hint="eastAsia" w:ascii="仿宋" w:hAnsi="仿宋" w:eastAsia="仿宋" w:cs="仿宋"/>
          <w:b/>
          <w:color w:val="auto"/>
          <w:sz w:val="24"/>
          <w:szCs w:val="24"/>
        </w:rPr>
        <w:t>确定）、质量和服务相等且</w:t>
      </w:r>
      <w:r>
        <w:rPr>
          <w:rFonts w:hint="eastAsia" w:ascii="仿宋" w:hAnsi="仿宋" w:eastAsia="仿宋" w:cs="仿宋"/>
          <w:b/>
          <w:color w:val="auto"/>
          <w:sz w:val="24"/>
          <w:szCs w:val="24"/>
          <w:lang w:eastAsia="zh-CN"/>
        </w:rPr>
        <w:t>报价</w:t>
      </w:r>
      <w:r>
        <w:rPr>
          <w:rFonts w:hint="eastAsia" w:ascii="仿宋" w:hAnsi="仿宋" w:eastAsia="仿宋" w:cs="仿宋"/>
          <w:b/>
          <w:color w:val="auto"/>
          <w:sz w:val="24"/>
          <w:szCs w:val="24"/>
        </w:rPr>
        <w:t>最</w:t>
      </w:r>
      <w:r>
        <w:rPr>
          <w:rFonts w:hint="eastAsia" w:ascii="仿宋" w:hAnsi="仿宋" w:eastAsia="仿宋" w:cs="仿宋"/>
          <w:b/>
          <w:color w:val="auto"/>
          <w:sz w:val="24"/>
          <w:szCs w:val="24"/>
          <w:lang w:eastAsia="zh-CN"/>
        </w:rPr>
        <w:t>低</w:t>
      </w:r>
      <w:r>
        <w:rPr>
          <w:rFonts w:hint="eastAsia" w:ascii="仿宋" w:hAnsi="仿宋" w:eastAsia="仿宋" w:cs="仿宋"/>
          <w:b/>
          <w:color w:val="auto"/>
          <w:sz w:val="24"/>
          <w:szCs w:val="24"/>
        </w:rPr>
        <w:t>的原则确定成交候选供应商。</w:t>
      </w:r>
      <w:r>
        <w:rPr>
          <w:rFonts w:hint="eastAsia" w:ascii="仿宋" w:hAnsi="仿宋" w:eastAsia="仿宋" w:cs="仿宋"/>
          <w:color w:val="auto"/>
          <w:sz w:val="24"/>
          <w:szCs w:val="24"/>
        </w:rPr>
        <w:t>】</w:t>
      </w:r>
    </w:p>
    <w:p w14:paraId="01431B19">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采购人根据</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的评审报告，将排名</w:t>
      </w:r>
      <w:r>
        <w:rPr>
          <w:rFonts w:hint="eastAsia" w:ascii="仿宋" w:hAnsi="仿宋" w:eastAsia="仿宋" w:cs="仿宋"/>
          <w:color w:val="auto"/>
          <w:sz w:val="24"/>
          <w:szCs w:val="24"/>
          <w:lang w:eastAsia="zh-CN"/>
        </w:rPr>
        <w:t>第</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的成交候选人纳为</w:t>
      </w:r>
      <w:r>
        <w:rPr>
          <w:rFonts w:hint="eastAsia" w:ascii="仿宋" w:hAnsi="仿宋" w:eastAsia="仿宋" w:cs="仿宋"/>
          <w:color w:val="auto"/>
          <w:sz w:val="24"/>
          <w:szCs w:val="24"/>
          <w:lang w:eastAsia="zh-CN"/>
        </w:rPr>
        <w:t>青河县城乡中小学信息化教学能力提升项目</w:t>
      </w:r>
      <w:r>
        <w:rPr>
          <w:rFonts w:hint="eastAsia" w:ascii="仿宋" w:hAnsi="仿宋" w:eastAsia="仿宋" w:cs="仿宋"/>
          <w:color w:val="auto"/>
          <w:sz w:val="24"/>
          <w:szCs w:val="24"/>
        </w:rPr>
        <w:t>指定</w:t>
      </w:r>
      <w:r>
        <w:rPr>
          <w:rFonts w:hint="eastAsia" w:ascii="仿宋" w:hAnsi="仿宋" w:eastAsia="仿宋" w:cs="仿宋"/>
          <w:color w:val="auto"/>
          <w:sz w:val="24"/>
          <w:szCs w:val="24"/>
          <w:lang w:eastAsia="zh-CN"/>
        </w:rPr>
        <w:t>供应商。</w:t>
      </w:r>
    </w:p>
    <w:p w14:paraId="7EA6071B">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二十八</w:t>
      </w:r>
      <w:r>
        <w:rPr>
          <w:rFonts w:hint="eastAsia" w:ascii="仿宋" w:hAnsi="仿宋" w:eastAsia="仿宋" w:cs="仿宋"/>
          <w:b/>
          <w:bCs/>
          <w:color w:val="auto"/>
          <w:sz w:val="24"/>
          <w:szCs w:val="24"/>
        </w:rPr>
        <w:t>）资格条件</w:t>
      </w:r>
    </w:p>
    <w:p w14:paraId="7DABB859">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采购人将在签订合同前对成交候选供应商是否能圆满地履行合同进行审查。审查包括成交候选供应商响应文件中提供的所有资格证明材料原件，成交候选供应商响应文件及补充承诺中涉及的其他相关资料原件，以及对本项目实施可能存在风险的其他因素。</w:t>
      </w:r>
    </w:p>
    <w:p w14:paraId="01624978">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2、采购人若发现成交候选供应商在投标过程中提供虚假证明文件，故意隐瞒不良信誉和财务状况，以及存在可能对合同圆满履行造成风险的其他因素等，则按规定取消其成交资格，监管部门依法进行处理。</w:t>
      </w:r>
    </w:p>
    <w:p w14:paraId="770159EB">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3、如果成交候选供应商被确认为不具备执行合同的能力，采购人将考虑按同样的程序审查下一个成交候选供应商。</w:t>
      </w:r>
    </w:p>
    <w:p w14:paraId="58F9053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二十九</w:t>
      </w:r>
      <w:r>
        <w:rPr>
          <w:rFonts w:hint="eastAsia" w:ascii="仿宋" w:hAnsi="仿宋" w:eastAsia="仿宋" w:cs="仿宋"/>
          <w:b/>
          <w:bCs/>
          <w:color w:val="auto"/>
          <w:sz w:val="24"/>
          <w:szCs w:val="24"/>
        </w:rPr>
        <w:t>）成交通知书</w:t>
      </w:r>
    </w:p>
    <w:p w14:paraId="2F1222BA">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1、定标后，经采购人同意，采购代理机构应当向</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发出成交通知书。</w:t>
      </w:r>
    </w:p>
    <w:p w14:paraId="4E0FD84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应及时到采购代理机构领取成交通知书，成交通知书是签订合同的依据和组成部分。</w:t>
      </w:r>
    </w:p>
    <w:p w14:paraId="269B4F46">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（三十）签订合同</w:t>
      </w:r>
    </w:p>
    <w:p w14:paraId="42181313">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在自成交通知书发出之日起30日内，依据《中华人民共和国经济</w:t>
      </w:r>
      <w:r>
        <w:rPr>
          <w:rFonts w:hint="eastAsia" w:ascii="仿宋" w:hAnsi="仿宋" w:eastAsia="仿宋" w:cs="仿宋"/>
          <w:color w:val="auto"/>
          <w:sz w:val="24"/>
          <w:szCs w:val="24"/>
          <w:lang w:val="en-US" w:eastAsia="zh-CN"/>
        </w:rPr>
        <w:t>民法典</w:t>
      </w:r>
      <w:r>
        <w:rPr>
          <w:rFonts w:hint="eastAsia" w:ascii="仿宋" w:hAnsi="仿宋" w:eastAsia="仿宋" w:cs="仿宋"/>
          <w:color w:val="auto"/>
          <w:sz w:val="24"/>
          <w:szCs w:val="24"/>
        </w:rPr>
        <w:t>》和有关法规及</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、响应文件与采购人签订合同。</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供应商的响应文件及服务承诺文件以及评标过程中有关澄清文件均作为合同附件，合同经采购人审核盖章后实施。</w:t>
      </w:r>
    </w:p>
    <w:p w14:paraId="7B7EAF6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未能按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要求与采购单位签订采购合同，逾期将视为自动放弃中标资格，采购人将顺延下一中标候选人为</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，依次类推或依法重新进行采购。</w:t>
      </w:r>
    </w:p>
    <w:p w14:paraId="7A7ED436">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采购人若发现中标候</w:t>
      </w:r>
      <w:bookmarkStart w:id="36" w:name="_bookmark10"/>
      <w:bookmarkEnd w:id="36"/>
      <w:r>
        <w:rPr>
          <w:rFonts w:hint="eastAsia" w:ascii="仿宋" w:hAnsi="仿宋" w:eastAsia="仿宋" w:cs="仿宋"/>
          <w:color w:val="auto"/>
          <w:sz w:val="24"/>
          <w:szCs w:val="24"/>
        </w:rPr>
        <w:t>选供应商在竞标过程中提供虚假证明文件，故意隐瞒不良信誉和财务状况，以及存在可能对合同圆满履行造成风险的其他因素等，则按规定取消其中标资格，监管部门依法进行处理。</w:t>
      </w:r>
    </w:p>
    <w:p w14:paraId="1F518EB2">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如果中标候选供应商被确认为不具备执行合同的能力，采购人将考虑按同样的程序审查下一个中标候选供应商或依法重新招标。</w:t>
      </w:r>
    </w:p>
    <w:p w14:paraId="428B8DAE">
      <w:pPr>
        <w:snapToGrid w:val="0"/>
        <w:spacing w:line="360" w:lineRule="auto"/>
        <w:ind w:firstLine="490"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（三十</w:t>
      </w: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）中标服务费计算方法</w:t>
      </w:r>
    </w:p>
    <w:p w14:paraId="21890E83">
      <w:pPr>
        <w:keepNext w:val="0"/>
        <w:keepLines w:val="0"/>
        <w:pageBreakBefore w:val="0"/>
        <w:widowControl w:val="0"/>
        <w:kinsoku/>
        <w:wordWrap/>
        <w:overflowPunct/>
        <w:topLinePunct w:val="0"/>
        <w:autoSpaceDE/>
        <w:autoSpaceDN/>
        <w:bidi w:val="0"/>
        <w:spacing w:line="336" w:lineRule="auto"/>
        <w:ind w:firstLine="490" w:firstLineChars="200"/>
        <w:textAlignment w:val="auto"/>
        <w:rPr>
          <w:rFonts w:ascii="仿宋" w:hAnsi="仿宋" w:eastAsia="仿宋" w:cs="仿宋"/>
          <w:color w:val="auto"/>
          <w:sz w:val="24"/>
          <w:szCs w:val="24"/>
        </w:rPr>
      </w:pPr>
      <w:r>
        <w:rPr>
          <w:rFonts w:hint="eastAsia" w:ascii="仿宋" w:hAnsi="仿宋" w:eastAsia="仿宋" w:cs="仿宋"/>
          <w:b/>
          <w:bCs/>
          <w:color w:val="auto"/>
          <w:sz w:val="24"/>
          <w:szCs w:val="24"/>
        </w:rPr>
        <w:t>由</w:t>
      </w:r>
      <w:r>
        <w:rPr>
          <w:rFonts w:hint="eastAsia" w:ascii="仿宋" w:hAnsi="仿宋" w:eastAsia="仿宋" w:cs="仿宋"/>
          <w:b/>
          <w:bCs/>
          <w:color w:val="auto"/>
          <w:sz w:val="24"/>
          <w:szCs w:val="24"/>
          <w:lang w:eastAsia="zh-CN"/>
        </w:rPr>
        <w:t>成交</w:t>
      </w:r>
      <w:r>
        <w:rPr>
          <w:rFonts w:hint="eastAsia" w:ascii="仿宋" w:hAnsi="仿宋" w:eastAsia="仿宋" w:cs="仿宋"/>
          <w:b/>
          <w:bCs/>
          <w:color w:val="auto"/>
          <w:sz w:val="24"/>
          <w:szCs w:val="24"/>
        </w:rPr>
        <w:t>供应商向招标代理机构支付，详见前附表。</w:t>
      </w:r>
    </w:p>
    <w:p w14:paraId="26177D1F">
      <w:pPr>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4"/>
          <w:szCs w:val="24"/>
        </w:rPr>
      </w:pPr>
    </w:p>
    <w:p w14:paraId="5806DB95">
      <w:pPr>
        <w:pStyle w:val="4"/>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8"/>
          <w:szCs w:val="28"/>
        </w:rPr>
      </w:pPr>
      <w:r>
        <w:rPr>
          <w:rFonts w:hint="eastAsia" w:ascii="仿宋" w:hAnsi="仿宋" w:eastAsia="仿宋" w:cs="仿宋"/>
          <w:color w:val="auto"/>
          <w:sz w:val="28"/>
          <w:szCs w:val="28"/>
          <w:lang w:eastAsia="zh-CN"/>
        </w:rPr>
        <w:t>九</w:t>
      </w:r>
      <w:r>
        <w:rPr>
          <w:rFonts w:hint="eastAsia" w:ascii="仿宋" w:hAnsi="仿宋" w:eastAsia="仿宋" w:cs="仿宋"/>
          <w:color w:val="auto"/>
          <w:sz w:val="28"/>
          <w:szCs w:val="28"/>
        </w:rPr>
        <w:t>、法律责任</w:t>
      </w:r>
    </w:p>
    <w:p w14:paraId="620B73A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供应商有下列情形之一的，处以采购项目采购金额千分之五以上千分之十以下的罚款，列入不良行为记录名单，在一至三年内禁止参加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采购活动，并予以公告，有违法所得的，并处没收违法所得，情节严重的，由行政管理机关吊销营业执照；构成犯罪的，依法追究刑事责任：</w:t>
      </w:r>
    </w:p>
    <w:p w14:paraId="3827EB0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1、提供虚假材料谋取中标的；</w:t>
      </w:r>
    </w:p>
    <w:p w14:paraId="0936113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2、采取不正当手段诋毁、排挤其他供应商的；</w:t>
      </w:r>
    </w:p>
    <w:p w14:paraId="28B571D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3、与采购人、其他供应商或采购代理机构恶意串通的；</w:t>
      </w:r>
    </w:p>
    <w:p w14:paraId="7286C01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4、向采购人、采购代理机构行贿或者提供其他不正当利益的；</w:t>
      </w:r>
    </w:p>
    <w:p w14:paraId="14D0374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5、在招标过程中与招标采购单位进行协商谈判、不按照</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的响应文件订立合同，或者与采购人另行订立背离合同实质性内容的协议的；</w:t>
      </w:r>
    </w:p>
    <w:p w14:paraId="0090EB8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6、拒绝有关部门监督检查或者提供虚假情况的。供应商有前款情形之一的，中标无效。</w:t>
      </w:r>
    </w:p>
    <w:p w14:paraId="05D5C87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有下列情形之一的，情节严重的，由财政部门将其列入不良行为记录名单，在一至三年内禁止参加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采购活动，并予以通报：</w:t>
      </w:r>
    </w:p>
    <w:p w14:paraId="1082324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1、中标后无正当理由不与采购人签订合同，或者与采购人另行订立背离合同实质性内容的协议的；</w:t>
      </w:r>
    </w:p>
    <w:p w14:paraId="1ECED26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2、将中标项目转让给他人，或者在响应文件中未说明，且未经采购人同意，将中标项目分包给他人的；</w:t>
      </w:r>
    </w:p>
    <w:p w14:paraId="1307B69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3、拒绝履行合同义务的。</w:t>
      </w:r>
    </w:p>
    <w:p w14:paraId="430A2E49">
      <w:pPr>
        <w:snapToGrid w:val="0"/>
        <w:spacing w:line="360" w:lineRule="auto"/>
        <w:ind w:firstLine="490" w:firstLineChars="200"/>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有前款情形之一的，中标无效。</w:t>
      </w:r>
    </w:p>
    <w:p w14:paraId="6FCBC388">
      <w:pPr>
        <w:snapToGrid w:val="0"/>
        <w:spacing w:line="360" w:lineRule="auto"/>
        <w:ind w:firstLine="490" w:firstLineChars="200"/>
        <w:outlineLvl w:val="0"/>
        <w:rPr>
          <w:rFonts w:hint="eastAsia"/>
        </w:rPr>
      </w:pPr>
      <w:r>
        <w:rPr>
          <w:rFonts w:hint="eastAsia" w:ascii="仿宋" w:hAnsi="仿宋" w:eastAsia="仿宋" w:cs="仿宋"/>
          <w:color w:val="auto"/>
          <w:sz w:val="24"/>
          <w:szCs w:val="24"/>
        </w:rPr>
        <w:t>按照以上条款规定，经同级或其上级财政部门认定中标无效的，可按中标候选顺序重新确定，或重新进行采购。</w:t>
      </w:r>
      <w:bookmarkStart w:id="37" w:name="_Toc497129227"/>
    </w:p>
    <w:p w14:paraId="284279B6">
      <w:pPr>
        <w:shd w:val="clear" w:color="auto" w:fill="auto"/>
        <w:spacing w:before="156" w:beforeLines="50" w:after="156" w:afterLines="50" w:line="500" w:lineRule="exact"/>
        <w:jc w:val="center"/>
        <w:rPr>
          <w:rFonts w:hint="eastAsia" w:ascii="仿宋" w:hAnsi="仿宋" w:eastAsia="仿宋" w:cs="仿宋"/>
          <w:b/>
          <w:color w:val="auto"/>
          <w:sz w:val="28"/>
          <w:szCs w:val="28"/>
          <w:lang w:val="en-US" w:eastAsia="en-US" w:bidi="en-US"/>
        </w:rPr>
      </w:pPr>
      <w:r>
        <w:rPr>
          <w:rFonts w:hint="eastAsia" w:ascii="仿宋" w:hAnsi="仿宋" w:eastAsia="仿宋" w:cs="仿宋"/>
          <w:b/>
          <w:color w:val="auto"/>
          <w:sz w:val="28"/>
          <w:szCs w:val="28"/>
          <w:lang w:val="en-US" w:eastAsia="zh-CN" w:bidi="en-US"/>
        </w:rPr>
        <w:t>十、</w:t>
      </w:r>
      <w:r>
        <w:rPr>
          <w:rFonts w:hint="eastAsia" w:ascii="仿宋" w:hAnsi="仿宋" w:eastAsia="仿宋" w:cs="仿宋"/>
          <w:b/>
          <w:color w:val="auto"/>
          <w:sz w:val="28"/>
          <w:szCs w:val="28"/>
          <w:lang w:val="en-US" w:eastAsia="en-US" w:bidi="en-US"/>
        </w:rPr>
        <w:t>质疑与投诉</w:t>
      </w:r>
    </w:p>
    <w:p w14:paraId="39B550F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1、质疑和投诉</w:t>
      </w:r>
    </w:p>
    <w:p w14:paraId="2636E00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供应商认为竞争性谈判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3F9738F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（一）对可以质疑的竞争性谈判文件提出质疑的，为收到竞争性谈判文件之日或者竞争性谈判文件公告期限届满之日；</w:t>
      </w:r>
    </w:p>
    <w:p w14:paraId="3C0C797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（二）对采购过程提出质疑的，为各采购程序环节结束之日；</w:t>
      </w:r>
    </w:p>
    <w:p w14:paraId="3577F62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（三）对中标或者成交结果提出质疑的，为中标或者成交结果公告期限届满之日。</w:t>
      </w:r>
    </w:p>
    <w:p w14:paraId="23CC7DF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590C828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供应商为自然人的，应当由本人签字；供应商为法人或者其他组织的，应当由法定代表人、主要负责人，或者其授权代表签字或者盖章，并加盖公章。</w:t>
      </w:r>
    </w:p>
    <w:p w14:paraId="08DC014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1.3供应商质疑、投诉应当有明确的请求和必要的证明材料。供应商投诉的事项不得超出已质疑事项的范围。采购人及采购代理机构按《政府采购质疑和投诉办法》进行处理供应商质疑事项。</w:t>
      </w:r>
    </w:p>
    <w:p w14:paraId="071B8A6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1.4质疑供应商对采购人、采购代理机构的质疑答复不满意，或者采购人、采购代理机构未在规定期限内作出答复的，供应商可以在答复期满后15个工作日内向同级财政部门提起投诉。</w:t>
      </w:r>
    </w:p>
    <w:p w14:paraId="50DCFC7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1.5供应商有下列情形之一的，采购代理机构将青河县财政局，将其列入不良行为记录名单：</w:t>
      </w:r>
    </w:p>
    <w:p w14:paraId="1F5958F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（一）一年内三次以上质疑均查无实据的；</w:t>
      </w:r>
    </w:p>
    <w:p w14:paraId="0A33612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（二）捏造事实或者提供虚假质疑材料的。</w:t>
      </w:r>
    </w:p>
    <w:p w14:paraId="05DC4CD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（三）以非法手段取得证明材料。证据来源的合法性存在明显疑问，质疑人无法证明其取得方式合法的，视为以非法手段取得证明材料。</w:t>
      </w:r>
    </w:p>
    <w:p w14:paraId="0EB8430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p>
    <w:p w14:paraId="182566E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附件：</w:t>
      </w:r>
      <w:r>
        <w:rPr>
          <w:rFonts w:hint="eastAsia" w:ascii="仿宋" w:hAnsi="仿宋" w:eastAsia="仿宋" w:cs="仿宋"/>
          <w:color w:val="auto"/>
          <w:sz w:val="24"/>
          <w:szCs w:val="24"/>
          <w:lang w:val="en-US" w:eastAsia="zh-CN"/>
        </w:rPr>
        <w:t>严格按照财政部令94号《政府采购质疑和投诉办法》执行</w:t>
      </w:r>
    </w:p>
    <w:p w14:paraId="0A87935F">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br w:type="page"/>
      </w:r>
    </w:p>
    <w:p w14:paraId="4F59363C">
      <w:pPr>
        <w:keepNext w:val="0"/>
        <w:keepLines w:val="0"/>
        <w:pageBreakBefore w:val="0"/>
        <w:widowControl w:val="0"/>
        <w:kinsoku/>
        <w:wordWrap/>
        <w:overflowPunct/>
        <w:topLinePunct w:val="0"/>
        <w:autoSpaceDE/>
        <w:autoSpaceDN/>
        <w:bidi w:val="0"/>
        <w:snapToGrid w:val="0"/>
        <w:spacing w:line="336" w:lineRule="auto"/>
        <w:ind w:firstLine="490" w:firstLineChars="200"/>
        <w:jc w:val="center"/>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政府采购投诉书（范本）、质疑函范本</w:t>
      </w:r>
    </w:p>
    <w:p w14:paraId="5A08C043">
      <w:pPr>
        <w:keepNext w:val="0"/>
        <w:keepLines w:val="0"/>
        <w:pageBreakBefore w:val="0"/>
        <w:widowControl w:val="0"/>
        <w:kinsoku/>
        <w:wordWrap/>
        <w:overflowPunct/>
        <w:topLinePunct w:val="0"/>
        <w:autoSpaceDE/>
        <w:autoSpaceDN/>
        <w:bidi w:val="0"/>
        <w:snapToGrid w:val="0"/>
        <w:spacing w:line="336" w:lineRule="auto"/>
        <w:ind w:firstLine="490" w:firstLineChars="200"/>
        <w:jc w:val="center"/>
        <w:textAlignment w:val="auto"/>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政府采购投诉书（范本）</w:t>
      </w:r>
    </w:p>
    <w:p w14:paraId="67C6F34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投诉人：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法定代表人：            </w:t>
      </w:r>
    </w:p>
    <w:p w14:paraId="2786EA8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电话：                 </w:t>
      </w:r>
    </w:p>
    <w:p w14:paraId="68A2C9A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委托代理人姓名：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职务：               </w:t>
      </w:r>
    </w:p>
    <w:p w14:paraId="6702AF6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住址：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联系电话：              </w:t>
      </w:r>
    </w:p>
    <w:p w14:paraId="44ED0EA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被投诉人：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法定代表人：         </w:t>
      </w:r>
    </w:p>
    <w:p w14:paraId="503A542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电话：               </w:t>
      </w:r>
    </w:p>
    <w:p w14:paraId="7398BBC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58E516E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我公司参加了     年    月    日被投诉人组织的（采购人）（项目名称）（项目编号）的采购活动，我公司认为该项目的（</w:t>
      </w:r>
      <w:r>
        <w:rPr>
          <w:rFonts w:hint="eastAsia" w:ascii="仿宋" w:hAnsi="仿宋" w:eastAsia="仿宋" w:cs="仿宋"/>
          <w:color w:val="auto"/>
          <w:sz w:val="24"/>
          <w:szCs w:val="24"/>
          <w:lang w:eastAsia="zh-CN"/>
        </w:rPr>
        <w:t>竞争性</w:t>
      </w:r>
      <w:r>
        <w:rPr>
          <w:rFonts w:hint="eastAsia" w:ascii="仿宋" w:hAnsi="仿宋" w:eastAsia="仿宋" w:cs="仿宋"/>
          <w:color w:val="auto"/>
          <w:sz w:val="24"/>
          <w:szCs w:val="24"/>
          <w:lang w:val="en-US" w:eastAsia="zh-CN"/>
        </w:rPr>
        <w:t>谈判</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/采购过程/中标（</w:t>
      </w:r>
      <w:r>
        <w:rPr>
          <w:rFonts w:hint="eastAsia" w:ascii="仿宋" w:hAnsi="仿宋" w:eastAsia="仿宋" w:cs="仿宋"/>
          <w:color w:val="auto"/>
          <w:sz w:val="24"/>
          <w:szCs w:val="24"/>
          <w:lang w:eastAsia="zh-CN"/>
        </w:rPr>
        <w:t>中标</w:t>
      </w:r>
      <w:r>
        <w:rPr>
          <w:rFonts w:hint="eastAsia" w:ascii="仿宋" w:hAnsi="仿宋" w:eastAsia="仿宋" w:cs="仿宋"/>
          <w:color w:val="auto"/>
          <w:sz w:val="24"/>
          <w:szCs w:val="24"/>
        </w:rPr>
        <w:t>）结果）损害了我公司权益，对此，我公司于     年    月    日向（采购人或者政府采购代理机构）提出了质疑，（其于    年  月  日作出书面答复，因对其作出的答复不满意）/（被质疑人未在法定期内予以答复，按照政府采购有关规定），现向贵机关提起投诉：</w:t>
      </w:r>
    </w:p>
    <w:p w14:paraId="3D52E26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1.具体的投诉事项及事实依据；</w:t>
      </w:r>
    </w:p>
    <w:p w14:paraId="0270A23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2.质疑和质疑答复情况简要描述；</w:t>
      </w:r>
    </w:p>
    <w:p w14:paraId="4425B82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3.投诉请求。</w:t>
      </w:r>
    </w:p>
    <w:p w14:paraId="466B018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附件：</w:t>
      </w:r>
    </w:p>
    <w:p w14:paraId="022C0B5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1.质疑书和质疑答复书；</w:t>
      </w:r>
    </w:p>
    <w:p w14:paraId="11C4047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2.证据材料（需注明证据来源），证人的姓名、住址和联系方式等；</w:t>
      </w:r>
    </w:p>
    <w:p w14:paraId="4A79E87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3.营业执照；</w:t>
      </w:r>
    </w:p>
    <w:p w14:paraId="575A09C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4.法定代表人身份证明函</w:t>
      </w:r>
    </w:p>
    <w:p w14:paraId="631A456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5.法定代表人授权委托书（包含法定代表人和委托代理人的身份证复印件）；</w:t>
      </w:r>
    </w:p>
    <w:p w14:paraId="352DB35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6.政府采购监管部门认为应当提供的其它材料。</w:t>
      </w:r>
    </w:p>
    <w:p w14:paraId="61B3D9A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投诉供应商：（盖章）</w:t>
      </w:r>
    </w:p>
    <w:p w14:paraId="3D36E19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法定代表人（或主要负责人）：（签字）</w:t>
      </w:r>
    </w:p>
    <w:p w14:paraId="21F2453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p w14:paraId="09083A9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448937D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本投诉书正本叁份，副本   份并附电子文档。</w:t>
      </w:r>
    </w:p>
    <w:p w14:paraId="1651361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38" w:name="_Toc26611"/>
      <w:bookmarkStart w:id="39" w:name="_Toc19829"/>
      <w:bookmarkStart w:id="40" w:name="_Toc31388"/>
      <w:bookmarkStart w:id="41" w:name="_Toc30505"/>
      <w:bookmarkStart w:id="42" w:name="_Toc21861"/>
      <w:bookmarkStart w:id="43" w:name="_Toc17515"/>
    </w:p>
    <w:p w14:paraId="7311F30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703E516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4BD6CB0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投诉相关说明</w:t>
      </w:r>
      <w:bookmarkEnd w:id="38"/>
      <w:bookmarkEnd w:id="39"/>
      <w:bookmarkEnd w:id="40"/>
      <w:bookmarkEnd w:id="41"/>
      <w:bookmarkEnd w:id="42"/>
      <w:bookmarkEnd w:id="43"/>
    </w:p>
    <w:p w14:paraId="5BB2DAF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投诉人应当满足《政府采购法》、《政府采购法实施条例》和《政府采购供应商投诉处理办法》的相关规定。</w:t>
      </w:r>
    </w:p>
    <w:p w14:paraId="56758B2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44" w:name="_Toc26327"/>
      <w:bookmarkStart w:id="45" w:name="_Toc27141"/>
      <w:bookmarkStart w:id="46" w:name="_Toc27615"/>
      <w:bookmarkStart w:id="47" w:name="_Toc29243"/>
      <w:bookmarkStart w:id="48" w:name="_Toc11499"/>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质疑前置及时间要求</w:t>
      </w:r>
      <w:bookmarkEnd w:id="44"/>
      <w:bookmarkEnd w:id="45"/>
      <w:bookmarkEnd w:id="46"/>
      <w:bookmarkEnd w:id="47"/>
      <w:bookmarkEnd w:id="48"/>
    </w:p>
    <w:p w14:paraId="75D8102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《中华人民共和国政府采购法》第五十一条：供应商对政府采购活动事项有疑问的，可以向采购人提出询问，采购人应当及时作出答复，但答复的内容不得涉及商业秘密。</w:t>
      </w:r>
    </w:p>
    <w:p w14:paraId="40C48AE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第五十二条：供应商认为</w:t>
      </w:r>
      <w:r>
        <w:rPr>
          <w:rFonts w:hint="eastAsia" w:ascii="仿宋" w:hAnsi="仿宋" w:eastAsia="仿宋" w:cs="仿宋"/>
          <w:color w:val="auto"/>
          <w:sz w:val="24"/>
          <w:szCs w:val="24"/>
          <w:lang w:eastAsia="zh-CN"/>
        </w:rPr>
        <w:t>竞争性</w:t>
      </w:r>
      <w:r>
        <w:rPr>
          <w:rFonts w:hint="eastAsia" w:ascii="仿宋" w:hAnsi="仿宋" w:eastAsia="仿宋" w:cs="仿宋"/>
          <w:color w:val="auto"/>
          <w:sz w:val="24"/>
          <w:szCs w:val="24"/>
          <w:lang w:val="en-US" w:eastAsia="zh-CN"/>
        </w:rPr>
        <w:t>谈判</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、采购过程和中标、</w:t>
      </w:r>
      <w:r>
        <w:rPr>
          <w:rFonts w:hint="eastAsia" w:ascii="仿宋" w:hAnsi="仿宋" w:eastAsia="仿宋" w:cs="仿宋"/>
          <w:color w:val="auto"/>
          <w:sz w:val="24"/>
          <w:szCs w:val="24"/>
          <w:lang w:eastAsia="zh-CN"/>
        </w:rPr>
        <w:t>中标</w:t>
      </w:r>
      <w:r>
        <w:rPr>
          <w:rFonts w:hint="eastAsia" w:ascii="仿宋" w:hAnsi="仿宋" w:eastAsia="仿宋" w:cs="仿宋"/>
          <w:color w:val="auto"/>
          <w:sz w:val="24"/>
          <w:szCs w:val="24"/>
        </w:rPr>
        <w:t>结果使自己的权益受到损害的，可以在知道或者应知其权益受到损害之日起七个工作日内，以书面形式向采购人提出质疑。</w:t>
      </w:r>
    </w:p>
    <w:p w14:paraId="09CF2AC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第五十三条：采购人应当在收到供应商的书面质疑后七个工作日内作出答复，并以书面形式通知质疑供应商和其他有关供应商，但答复的内容不得涉及商业秘密。</w:t>
      </w:r>
    </w:p>
    <w:p w14:paraId="337C111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01FDCCD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《政府采购实施条例》第五十五条：供应商质疑、投诉应当有明确的请求和必要的证明材料。供应商投诉的事项不得超出质疑事项的范围。</w:t>
      </w:r>
    </w:p>
    <w:p w14:paraId="5D64EF3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bookmarkStart w:id="49" w:name="_Toc14918"/>
      <w:bookmarkStart w:id="50" w:name="_Toc9471"/>
      <w:bookmarkStart w:id="51" w:name="_Toc26522"/>
      <w:bookmarkStart w:id="52" w:name="_Toc7672"/>
      <w:bookmarkStart w:id="53" w:name="_Toc13508"/>
      <w:r>
        <w:rPr>
          <w:rFonts w:hint="eastAsia" w:ascii="仿宋" w:hAnsi="仿宋" w:eastAsia="仿宋" w:cs="仿宋"/>
          <w:color w:val="auto"/>
          <w:sz w:val="24"/>
          <w:szCs w:val="24"/>
        </w:rPr>
        <w:t>二、书面方式</w:t>
      </w:r>
      <w:bookmarkEnd w:id="49"/>
      <w:bookmarkEnd w:id="50"/>
      <w:bookmarkEnd w:id="51"/>
      <w:bookmarkEnd w:id="52"/>
      <w:bookmarkEnd w:id="53"/>
    </w:p>
    <w:p w14:paraId="3D45340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《政府采购供应商投诉处理办法》第八条：投诉人投诉</w:t>
      </w:r>
    </w:p>
    <w:p w14:paraId="5C912FB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时，应当提交投诉书，并按照被投诉人以及与投诉事项有关的供应商数量提供投诉书的副本。</w:t>
      </w:r>
    </w:p>
    <w:p w14:paraId="25BEBCF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投诉书应当包括下列主要内容：</w:t>
      </w:r>
    </w:p>
    <w:p w14:paraId="623330A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投诉人和被投诉人的名称、地址、电话等；</w:t>
      </w:r>
    </w:p>
    <w:p w14:paraId="6B38CD5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具体的投诉事项及事实依据；</w:t>
      </w:r>
    </w:p>
    <w:p w14:paraId="60BA432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质疑和质疑答复情况及相关证明材料；</w:t>
      </w:r>
    </w:p>
    <w:p w14:paraId="226F53C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提起投诉的日期。</w:t>
      </w:r>
    </w:p>
    <w:p w14:paraId="7E4F69B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投诉书应当署名。投诉人为自然人，应当由本人签字；投诉人为法人或者其他组织的，应当由法定代表人或者主要负责人签字并加盖公章。</w:t>
      </w:r>
    </w:p>
    <w:p w14:paraId="3478DEB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5CDB664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《政府采购供应商投诉处理办法》第十条：投诉人提起投诉应当符合下列条件：</w:t>
      </w:r>
    </w:p>
    <w:p w14:paraId="78D0BBD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投诉人是参与所投诉政府采购活动的供应商；</w:t>
      </w:r>
    </w:p>
    <w:p w14:paraId="7BE2BC7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提起投诉诉前已依法进行质疑；</w:t>
      </w:r>
    </w:p>
    <w:p w14:paraId="50093BF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投诉书内容符合本办法的规定；</w:t>
      </w:r>
    </w:p>
    <w:p w14:paraId="06494BF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在投诉有效期内提起投诉；</w:t>
      </w:r>
    </w:p>
    <w:p w14:paraId="1D14F04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属于本级财政部门管辖；</w:t>
      </w:r>
    </w:p>
    <w:p w14:paraId="54379B4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同一投诉事项未经财政部门投诉处理；</w:t>
      </w:r>
    </w:p>
    <w:p w14:paraId="0B1ED8E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国务院财政部门规定的其他条件。</w:t>
      </w:r>
    </w:p>
    <w:p w14:paraId="34EE105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54" w:name="_Toc526"/>
      <w:bookmarkStart w:id="55" w:name="_Toc5978"/>
      <w:bookmarkStart w:id="56" w:name="_Toc2650"/>
      <w:bookmarkStart w:id="57" w:name="_Toc19128"/>
      <w:bookmarkStart w:id="58" w:name="_Toc21993"/>
      <w:r>
        <w:rPr>
          <w:rFonts w:hint="eastAsia" w:ascii="仿宋" w:hAnsi="仿宋" w:eastAsia="仿宋" w:cs="仿宋"/>
          <w:color w:val="auto"/>
          <w:sz w:val="24"/>
          <w:szCs w:val="24"/>
        </w:rPr>
        <w:t>三、虚假、恶意投诉法律责任</w:t>
      </w:r>
      <w:bookmarkEnd w:id="54"/>
      <w:bookmarkEnd w:id="55"/>
      <w:bookmarkEnd w:id="56"/>
      <w:bookmarkEnd w:id="57"/>
      <w:bookmarkEnd w:id="58"/>
    </w:p>
    <w:p w14:paraId="49C6F9F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第七十三条：供应商捏造实施、提供虚假材料或者以非法手段取得证明材料进行投诉的，由财政部门列入不良行为记录名单，禁止其1至3年内参加政府采购活动。</w:t>
      </w:r>
    </w:p>
    <w:p w14:paraId="2ECC9E4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《政府采购供应商投诉处理办法》第二十六条：投诉人有下列情形之一的，属于虚假、恶意投诉，财政部门应当驳回投诉，将其列入不良行为记录名单，并依法予以处罚：</w:t>
      </w:r>
    </w:p>
    <w:p w14:paraId="3CA89BB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（一）1年内3次以上投诉均查无实据的；</w:t>
      </w:r>
    </w:p>
    <w:p w14:paraId="297F746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（二）捏造事实或者提供虚假投诉材料的。</w:t>
      </w:r>
    </w:p>
    <w:p w14:paraId="4E94C8FA">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15DEA24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627FB31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递交投诉书地址</w:t>
      </w:r>
      <w:r>
        <w:rPr>
          <w:rFonts w:hint="eastAsia" w:ascii="仿宋" w:hAnsi="仿宋" w:eastAsia="仿宋" w:cs="仿宋"/>
          <w:color w:val="auto"/>
          <w:sz w:val="24"/>
          <w:szCs w:val="24"/>
          <w:lang w:val="en-US" w:eastAsia="zh-CN"/>
        </w:rPr>
        <w:t>青河县财政局政府采购办</w:t>
      </w:r>
      <w:r>
        <w:rPr>
          <w:rFonts w:hint="eastAsia" w:ascii="仿宋" w:hAnsi="仿宋" w:eastAsia="仿宋" w:cs="仿宋"/>
          <w:color w:val="auto"/>
          <w:sz w:val="24"/>
          <w:szCs w:val="24"/>
        </w:rPr>
        <w:t>监管办公室</w:t>
      </w:r>
    </w:p>
    <w:p w14:paraId="2215AE8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27B3184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79BB49A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1885783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0CC0F52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38715E1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59" w:name="_Toc1697"/>
    </w:p>
    <w:p w14:paraId="5B45C30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367878F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6F9AC18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60" w:name="_Toc16839"/>
      <w:bookmarkStart w:id="61" w:name="_Toc21386"/>
      <w:bookmarkStart w:id="62" w:name="_Toc20613"/>
      <w:bookmarkStart w:id="63" w:name="_Toc30728"/>
      <w:bookmarkStart w:id="64" w:name="_Toc8992"/>
    </w:p>
    <w:p w14:paraId="0767EE84">
      <w:pPr>
        <w:pStyle w:val="9"/>
        <w:numPr>
          <w:ilvl w:val="0"/>
          <w:numId w:val="0"/>
        </w:numPr>
        <w:ind w:left="360" w:leftChars="0"/>
        <w:rPr>
          <w:rFonts w:hint="eastAsia"/>
        </w:rPr>
      </w:pPr>
    </w:p>
    <w:p w14:paraId="0B29CD43">
      <w:pPr>
        <w:pStyle w:val="13"/>
        <w:rPr>
          <w:rFonts w:hint="eastAsia" w:ascii="仿宋" w:hAnsi="仿宋" w:eastAsia="仿宋" w:cs="仿宋"/>
          <w:color w:val="auto"/>
          <w:sz w:val="24"/>
          <w:szCs w:val="24"/>
        </w:rPr>
      </w:pPr>
    </w:p>
    <w:p w14:paraId="4CDFD2EE">
      <w:pPr>
        <w:rPr>
          <w:rFonts w:hint="eastAsia" w:ascii="仿宋" w:hAnsi="仿宋" w:eastAsia="仿宋" w:cs="仿宋"/>
          <w:color w:val="auto"/>
          <w:sz w:val="24"/>
          <w:szCs w:val="24"/>
        </w:rPr>
      </w:pPr>
    </w:p>
    <w:p w14:paraId="0C825F47">
      <w:pPr>
        <w:pStyle w:val="9"/>
        <w:numPr>
          <w:ilvl w:val="0"/>
          <w:numId w:val="0"/>
        </w:numPr>
        <w:ind w:left="360" w:leftChars="0"/>
        <w:rPr>
          <w:rFonts w:hint="eastAsia"/>
        </w:rPr>
      </w:pPr>
    </w:p>
    <w:p w14:paraId="10E62613">
      <w:pPr>
        <w:pStyle w:val="13"/>
        <w:rPr>
          <w:rFonts w:hint="eastAsia"/>
        </w:rPr>
      </w:pPr>
    </w:p>
    <w:p w14:paraId="398DB6AF">
      <w:pPr>
        <w:rPr>
          <w:rFonts w:hint="eastAsia"/>
        </w:rPr>
      </w:pPr>
    </w:p>
    <w:p w14:paraId="3D23FBF3">
      <w:pPr>
        <w:keepNext w:val="0"/>
        <w:keepLines w:val="0"/>
        <w:pageBreakBefore w:val="0"/>
        <w:widowControl w:val="0"/>
        <w:kinsoku/>
        <w:wordWrap/>
        <w:overflowPunct/>
        <w:topLinePunct w:val="0"/>
        <w:autoSpaceDE/>
        <w:autoSpaceDN/>
        <w:bidi w:val="0"/>
        <w:snapToGrid w:val="0"/>
        <w:spacing w:line="336" w:lineRule="auto"/>
        <w:textAlignment w:val="auto"/>
        <w:outlineLvl w:val="0"/>
        <w:rPr>
          <w:rFonts w:hint="eastAsia" w:ascii="仿宋" w:hAnsi="仿宋" w:eastAsia="仿宋" w:cs="仿宋"/>
          <w:color w:val="auto"/>
          <w:sz w:val="24"/>
          <w:szCs w:val="24"/>
        </w:rPr>
      </w:pPr>
    </w:p>
    <w:p w14:paraId="6F3ACF13">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30DBAAAE">
      <w:pPr>
        <w:keepNext w:val="0"/>
        <w:keepLines w:val="0"/>
        <w:pageBreakBefore w:val="0"/>
        <w:widowControl w:val="0"/>
        <w:kinsoku/>
        <w:wordWrap/>
        <w:overflowPunct/>
        <w:topLinePunct w:val="0"/>
        <w:autoSpaceDE/>
        <w:autoSpaceDN/>
        <w:bidi w:val="0"/>
        <w:snapToGrid w:val="0"/>
        <w:spacing w:line="336" w:lineRule="auto"/>
        <w:jc w:val="center"/>
        <w:textAlignment w:val="auto"/>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质疑函范本</w:t>
      </w:r>
      <w:bookmarkEnd w:id="59"/>
      <w:bookmarkEnd w:id="60"/>
      <w:bookmarkEnd w:id="61"/>
      <w:bookmarkEnd w:id="62"/>
      <w:bookmarkEnd w:id="63"/>
      <w:bookmarkEnd w:id="64"/>
    </w:p>
    <w:p w14:paraId="3407E8F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65" w:name="_Toc22511"/>
      <w:bookmarkStart w:id="66" w:name="_Toc30023"/>
      <w:bookmarkStart w:id="67" w:name="_Toc9061"/>
      <w:bookmarkStart w:id="68" w:name="_Toc2374"/>
      <w:bookmarkStart w:id="69" w:name="_Toc1830"/>
      <w:r>
        <w:rPr>
          <w:rFonts w:hint="eastAsia" w:ascii="仿宋" w:hAnsi="仿宋" w:eastAsia="仿宋" w:cs="仿宋"/>
          <w:color w:val="auto"/>
          <w:sz w:val="24"/>
          <w:szCs w:val="24"/>
        </w:rPr>
        <w:t>一、质疑供应商基本信息</w:t>
      </w:r>
      <w:bookmarkEnd w:id="65"/>
      <w:bookmarkEnd w:id="66"/>
      <w:bookmarkEnd w:id="67"/>
      <w:bookmarkEnd w:id="68"/>
      <w:bookmarkEnd w:id="69"/>
    </w:p>
    <w:p w14:paraId="3CE41A9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质疑供应商：                         </w:t>
      </w:r>
    </w:p>
    <w:p w14:paraId="4CDD43B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邮编：            </w:t>
      </w:r>
    </w:p>
    <w:p w14:paraId="5EC2F49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联系人：                      联系电话：            </w:t>
      </w:r>
    </w:p>
    <w:p w14:paraId="4F41A64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授权代表：                                          </w:t>
      </w:r>
    </w:p>
    <w:p w14:paraId="54232EC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联系电话：                                          </w:t>
      </w:r>
    </w:p>
    <w:p w14:paraId="445E100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邮编：               </w:t>
      </w:r>
    </w:p>
    <w:p w14:paraId="113850F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70" w:name="_Toc17113"/>
      <w:bookmarkStart w:id="71" w:name="_Toc29308"/>
      <w:bookmarkStart w:id="72" w:name="_Toc18264"/>
      <w:bookmarkStart w:id="73" w:name="_Toc15938"/>
      <w:bookmarkStart w:id="74" w:name="_Toc1689"/>
      <w:r>
        <w:rPr>
          <w:rFonts w:hint="eastAsia" w:ascii="仿宋" w:hAnsi="仿宋" w:eastAsia="仿宋" w:cs="仿宋"/>
          <w:color w:val="auto"/>
          <w:sz w:val="24"/>
          <w:szCs w:val="24"/>
        </w:rPr>
        <w:t>二、质疑项目基本情况</w:t>
      </w:r>
      <w:bookmarkEnd w:id="70"/>
      <w:bookmarkEnd w:id="71"/>
      <w:bookmarkEnd w:id="72"/>
      <w:bookmarkEnd w:id="73"/>
      <w:bookmarkEnd w:id="74"/>
    </w:p>
    <w:p w14:paraId="2F1369E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质疑项目的名称：                                     </w:t>
      </w:r>
    </w:p>
    <w:p w14:paraId="0F9E5F2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质疑项目的编号：               包号：                </w:t>
      </w:r>
    </w:p>
    <w:p w14:paraId="785A9A2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采购人名称：                                         </w:t>
      </w:r>
    </w:p>
    <w:p w14:paraId="334444A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竞争性</w:t>
      </w:r>
      <w:r>
        <w:rPr>
          <w:rFonts w:hint="eastAsia" w:ascii="仿宋" w:hAnsi="仿宋" w:eastAsia="仿宋" w:cs="仿宋"/>
          <w:color w:val="auto"/>
          <w:sz w:val="24"/>
          <w:szCs w:val="24"/>
          <w:lang w:val="en-US" w:eastAsia="zh-CN"/>
        </w:rPr>
        <w:t>谈判</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 xml:space="preserve">获取日期：                                   </w:t>
      </w:r>
    </w:p>
    <w:p w14:paraId="0279843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bookmarkStart w:id="75" w:name="_Toc31166"/>
      <w:bookmarkStart w:id="76" w:name="_Toc27626"/>
      <w:bookmarkStart w:id="77" w:name="_Toc28143"/>
      <w:bookmarkStart w:id="78" w:name="_Toc18271"/>
      <w:bookmarkStart w:id="79" w:name="_Toc15547"/>
      <w:r>
        <w:rPr>
          <w:rFonts w:hint="eastAsia" w:ascii="仿宋" w:hAnsi="仿宋" w:eastAsia="仿宋" w:cs="仿宋"/>
          <w:color w:val="auto"/>
          <w:sz w:val="24"/>
          <w:szCs w:val="24"/>
          <w:lang w:eastAsia="zh-CN"/>
        </w:rPr>
        <w:t>三、质疑事项具体内容</w:t>
      </w:r>
      <w:bookmarkEnd w:id="75"/>
      <w:bookmarkEnd w:id="76"/>
      <w:bookmarkEnd w:id="77"/>
      <w:bookmarkEnd w:id="78"/>
      <w:bookmarkEnd w:id="79"/>
    </w:p>
    <w:p w14:paraId="6EBBF54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质疑事项1：                                         </w:t>
      </w:r>
    </w:p>
    <w:p w14:paraId="5169899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事实依据：                                           </w:t>
      </w:r>
    </w:p>
    <w:p w14:paraId="4AC4215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法律依据：                                           </w:t>
      </w:r>
    </w:p>
    <w:p w14:paraId="3C6E5F5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质疑事项2</w:t>
      </w:r>
    </w:p>
    <w:p w14:paraId="0C13883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p>
    <w:p w14:paraId="32BF01E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bookmarkStart w:id="80" w:name="_Toc15463"/>
      <w:bookmarkStart w:id="81" w:name="_Toc22365"/>
      <w:bookmarkStart w:id="82" w:name="_Toc26603"/>
      <w:bookmarkStart w:id="83" w:name="_Toc30281"/>
      <w:bookmarkStart w:id="84" w:name="_Toc29488"/>
      <w:r>
        <w:rPr>
          <w:rFonts w:hint="eastAsia" w:ascii="仿宋" w:hAnsi="仿宋" w:eastAsia="仿宋" w:cs="仿宋"/>
          <w:color w:val="auto"/>
          <w:sz w:val="24"/>
          <w:szCs w:val="24"/>
          <w:lang w:eastAsia="zh-CN"/>
        </w:rPr>
        <w:t>四、与质疑事项相关的质疑请求</w:t>
      </w:r>
      <w:bookmarkEnd w:id="80"/>
      <w:bookmarkEnd w:id="81"/>
      <w:bookmarkEnd w:id="82"/>
      <w:bookmarkEnd w:id="83"/>
      <w:bookmarkEnd w:id="84"/>
    </w:p>
    <w:p w14:paraId="009C77B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请求：                                               </w:t>
      </w:r>
    </w:p>
    <w:p w14:paraId="75D32EFA">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签字(签章)：                   公章：                      </w:t>
      </w:r>
    </w:p>
    <w:p w14:paraId="1D27140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日期：   </w:t>
      </w:r>
    </w:p>
    <w:p w14:paraId="7F98363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p>
    <w:p w14:paraId="2C509B4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p>
    <w:p w14:paraId="03EBE276">
      <w:pPr>
        <w:pStyle w:val="9"/>
        <w:numPr>
          <w:ilvl w:val="0"/>
          <w:numId w:val="0"/>
        </w:numPr>
        <w:ind w:left="360" w:leftChars="0"/>
        <w:rPr>
          <w:rFonts w:hint="eastAsia"/>
          <w:lang w:eastAsia="zh-CN"/>
        </w:rPr>
      </w:pPr>
    </w:p>
    <w:p w14:paraId="262B9837">
      <w:pPr>
        <w:pStyle w:val="13"/>
        <w:rPr>
          <w:rFonts w:hint="eastAsia" w:ascii="仿宋" w:hAnsi="仿宋" w:eastAsia="仿宋" w:cs="仿宋"/>
          <w:color w:val="auto"/>
          <w:sz w:val="24"/>
          <w:szCs w:val="24"/>
          <w:lang w:eastAsia="zh-CN"/>
        </w:rPr>
      </w:pPr>
    </w:p>
    <w:p w14:paraId="3CD3A856">
      <w:pPr>
        <w:rPr>
          <w:rFonts w:hint="eastAsia" w:ascii="仿宋" w:hAnsi="仿宋" w:eastAsia="仿宋" w:cs="仿宋"/>
          <w:color w:val="auto"/>
          <w:sz w:val="24"/>
          <w:szCs w:val="24"/>
          <w:lang w:eastAsia="zh-CN"/>
        </w:rPr>
      </w:pPr>
    </w:p>
    <w:p w14:paraId="7D9FDC08">
      <w:pPr>
        <w:pStyle w:val="9"/>
        <w:numPr>
          <w:ilvl w:val="0"/>
          <w:numId w:val="0"/>
        </w:numPr>
        <w:ind w:left="360" w:leftChars="0"/>
        <w:rPr>
          <w:rFonts w:hint="eastAsia"/>
          <w:lang w:eastAsia="zh-CN"/>
        </w:rPr>
      </w:pPr>
    </w:p>
    <w:p w14:paraId="31E3E176">
      <w:pPr>
        <w:pStyle w:val="13"/>
        <w:rPr>
          <w:rFonts w:hint="eastAsia" w:ascii="仿宋" w:hAnsi="仿宋" w:eastAsia="仿宋" w:cs="仿宋"/>
          <w:color w:val="auto"/>
          <w:sz w:val="24"/>
          <w:szCs w:val="24"/>
          <w:lang w:eastAsia="zh-CN"/>
        </w:rPr>
      </w:pPr>
    </w:p>
    <w:p w14:paraId="3E8C8DBA">
      <w:pPr>
        <w:rPr>
          <w:rFonts w:hint="eastAsia" w:ascii="仿宋" w:hAnsi="仿宋" w:eastAsia="仿宋" w:cs="仿宋"/>
          <w:color w:val="auto"/>
          <w:sz w:val="24"/>
          <w:szCs w:val="24"/>
          <w:lang w:eastAsia="zh-CN"/>
        </w:rPr>
      </w:pPr>
    </w:p>
    <w:p w14:paraId="3D8F0331">
      <w:pPr>
        <w:rPr>
          <w:rFonts w:hint="eastAsia" w:ascii="仿宋" w:hAnsi="仿宋" w:eastAsia="仿宋" w:cs="仿宋"/>
          <w:b/>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br w:type="page"/>
      </w:r>
    </w:p>
    <w:p w14:paraId="34EEF8AC">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color w:val="000000" w:themeColor="text1"/>
          <w:sz w:val="32"/>
          <w:szCs w:val="32"/>
          <w:lang w:val="en-US" w:eastAsia="zh-CN"/>
          <w14:textFill>
            <w14:solidFill>
              <w14:schemeClr w14:val="tx1"/>
            </w14:solidFill>
          </w14:textFill>
        </w:rPr>
        <w:t>采购清单</w:t>
      </w:r>
    </w:p>
    <w:tbl>
      <w:tblPr>
        <w:tblStyle w:val="19"/>
        <w:tblW w:w="97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27"/>
      </w:tblGrid>
      <w:tr w14:paraId="3E35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27" w:type="dxa"/>
            <w:vMerge w:val="restart"/>
            <w:tcBorders>
              <w:top w:val="nil"/>
              <w:left w:val="nil"/>
              <w:right w:val="nil"/>
            </w:tcBorders>
            <w:shd w:val="clear" w:color="auto" w:fill="auto"/>
            <w:vAlign w:val="top"/>
          </w:tcPr>
          <w:p w14:paraId="346F7C3C">
            <w:pPr>
              <w:spacing w:line="360" w:lineRule="auto"/>
              <w:jc w:val="center"/>
              <w:rPr>
                <w:rFonts w:hint="eastAsia" w:ascii="宋体" w:hAnsi="宋体" w:eastAsia="宋体" w:cs="宋体"/>
                <w:i w:val="0"/>
                <w:iCs w:val="0"/>
                <w:color w:val="000000"/>
                <w:sz w:val="22"/>
                <w:szCs w:val="22"/>
                <w:u w:val="none"/>
              </w:rPr>
            </w:pPr>
            <w:r>
              <w:rPr>
                <w:rFonts w:hint="eastAsia" w:ascii="仿宋" w:hAnsi="仿宋" w:eastAsia="仿宋" w:cs="仿宋"/>
                <w:b/>
                <w:color w:val="000000" w:themeColor="text1"/>
                <w:sz w:val="32"/>
                <w:szCs w:val="32"/>
                <w:lang w:val="en-US" w:eastAsia="zh-CN"/>
                <w14:textFill>
                  <w14:solidFill>
                    <w14:schemeClr w14:val="tx1"/>
                  </w14:solidFill>
                </w14:textFill>
              </w:rPr>
              <w:t>另卷</w:t>
            </w:r>
          </w:p>
        </w:tc>
      </w:tr>
      <w:tr w14:paraId="0F81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27" w:type="dxa"/>
            <w:vMerge w:val="continue"/>
            <w:tcBorders>
              <w:top w:val="nil"/>
              <w:left w:val="nil"/>
              <w:bottom w:val="nil"/>
              <w:right w:val="nil"/>
            </w:tcBorders>
            <w:shd w:val="clear" w:color="auto" w:fill="auto"/>
            <w:vAlign w:val="top"/>
          </w:tcPr>
          <w:p w14:paraId="047FC61E">
            <w:pPr>
              <w:jc w:val="left"/>
              <w:rPr>
                <w:rFonts w:hint="eastAsia" w:ascii="宋体" w:hAnsi="宋体" w:eastAsia="宋体" w:cs="宋体"/>
                <w:i w:val="0"/>
                <w:iCs w:val="0"/>
                <w:color w:val="000000"/>
                <w:sz w:val="22"/>
                <w:szCs w:val="22"/>
                <w:u w:val="none"/>
              </w:rPr>
            </w:pPr>
          </w:p>
        </w:tc>
      </w:tr>
      <w:tr w14:paraId="39D7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27" w:type="dxa"/>
            <w:vMerge w:val="continue"/>
            <w:tcBorders>
              <w:top w:val="nil"/>
              <w:left w:val="nil"/>
              <w:bottom w:val="nil"/>
              <w:right w:val="nil"/>
            </w:tcBorders>
            <w:shd w:val="clear" w:color="auto" w:fill="auto"/>
            <w:vAlign w:val="top"/>
          </w:tcPr>
          <w:p w14:paraId="06113747">
            <w:pPr>
              <w:jc w:val="left"/>
              <w:rPr>
                <w:rFonts w:hint="eastAsia" w:ascii="宋体" w:hAnsi="宋体" w:eastAsia="宋体" w:cs="宋体"/>
                <w:i w:val="0"/>
                <w:iCs w:val="0"/>
                <w:color w:val="000000"/>
                <w:sz w:val="22"/>
                <w:szCs w:val="22"/>
                <w:u w:val="none"/>
              </w:rPr>
            </w:pPr>
          </w:p>
        </w:tc>
      </w:tr>
      <w:tr w14:paraId="749DC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27" w:type="dxa"/>
            <w:vMerge w:val="continue"/>
            <w:tcBorders>
              <w:top w:val="nil"/>
              <w:left w:val="nil"/>
              <w:bottom w:val="nil"/>
              <w:right w:val="nil"/>
            </w:tcBorders>
            <w:shd w:val="clear" w:color="auto" w:fill="auto"/>
            <w:vAlign w:val="top"/>
          </w:tcPr>
          <w:p w14:paraId="01E2508F">
            <w:pPr>
              <w:jc w:val="left"/>
              <w:rPr>
                <w:rFonts w:hint="eastAsia" w:ascii="宋体" w:hAnsi="宋体" w:eastAsia="宋体" w:cs="宋体"/>
                <w:i w:val="0"/>
                <w:iCs w:val="0"/>
                <w:color w:val="000000"/>
                <w:sz w:val="22"/>
                <w:szCs w:val="22"/>
                <w:u w:val="none"/>
              </w:rPr>
            </w:pPr>
          </w:p>
        </w:tc>
      </w:tr>
      <w:tr w14:paraId="741B9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27" w:type="dxa"/>
            <w:vMerge w:val="continue"/>
            <w:tcBorders>
              <w:top w:val="nil"/>
              <w:left w:val="nil"/>
              <w:bottom w:val="nil"/>
              <w:right w:val="nil"/>
            </w:tcBorders>
            <w:shd w:val="clear" w:color="auto" w:fill="auto"/>
            <w:vAlign w:val="top"/>
          </w:tcPr>
          <w:p w14:paraId="4D376148">
            <w:pPr>
              <w:jc w:val="left"/>
              <w:rPr>
                <w:rFonts w:hint="eastAsia" w:ascii="宋体" w:hAnsi="宋体" w:eastAsia="宋体" w:cs="宋体"/>
                <w:i w:val="0"/>
                <w:iCs w:val="0"/>
                <w:color w:val="000000"/>
                <w:sz w:val="22"/>
                <w:szCs w:val="22"/>
                <w:u w:val="none"/>
              </w:rPr>
            </w:pPr>
          </w:p>
        </w:tc>
      </w:tr>
    </w:tbl>
    <w:p w14:paraId="59FB5989">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1.包装要求</w:t>
      </w:r>
    </w:p>
    <w:p w14:paraId="4F392A86">
      <w:pPr>
        <w:spacing w:line="360" w:lineRule="auto"/>
        <w:ind w:firstLine="490" w:firstLineChars="200"/>
        <w:jc w:val="both"/>
        <w:rPr>
          <w:rFonts w:ascii="仿宋" w:hAnsi="仿宋" w:eastAsia="仿宋" w:cs="仿宋"/>
          <w:b/>
          <w:bCs/>
          <w:color w:val="FF0000"/>
          <w:sz w:val="24"/>
          <w:szCs w:val="24"/>
          <w:lang w:eastAsia="zh-CN"/>
        </w:rPr>
      </w:pPr>
      <w:r>
        <w:rPr>
          <w:rFonts w:hint="eastAsia" w:ascii="仿宋" w:hAnsi="仿宋" w:eastAsia="仿宋" w:cs="仿宋"/>
          <w:color w:val="auto"/>
          <w:sz w:val="24"/>
          <w:szCs w:val="24"/>
          <w:lang w:val="en-US" w:eastAsia="zh-CN"/>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14:paraId="4BED16FA">
      <w:pPr>
        <w:numPr>
          <w:ilvl w:val="0"/>
          <w:numId w:val="0"/>
        </w:num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b/>
          <w:bCs/>
          <w:color w:val="000000" w:themeColor="text1"/>
          <w:sz w:val="24"/>
          <w:szCs w:val="24"/>
          <w:lang w:eastAsia="zh-CN"/>
          <w14:textFill>
            <w14:solidFill>
              <w14:schemeClr w14:val="tx1"/>
            </w14:solidFill>
          </w14:textFill>
        </w:rPr>
        <w:t>（一）实施（交货）期 ：</w:t>
      </w:r>
      <w:r>
        <w:rPr>
          <w:rFonts w:hint="eastAsia" w:ascii="仿宋" w:hAnsi="仿宋" w:eastAsia="仿宋" w:cs="仿宋"/>
          <w:color w:val="auto"/>
          <w:sz w:val="24"/>
          <w:szCs w:val="24"/>
          <w:highlight w:val="none"/>
          <w:lang w:val="en-US" w:eastAsia="zh-CN"/>
        </w:rPr>
        <w:t>签订合同后15（日历日）供货，60（日历日）完成设备的安装、调试等</w:t>
      </w:r>
      <w:r>
        <w:rPr>
          <w:rFonts w:hint="eastAsia" w:ascii="仿宋" w:hAnsi="仿宋" w:eastAsia="仿宋" w:cs="仿宋"/>
          <w:color w:val="auto"/>
          <w:sz w:val="24"/>
          <w:szCs w:val="24"/>
          <w:lang w:val="en-US" w:eastAsia="zh-CN"/>
        </w:rPr>
        <w:t>。</w:t>
      </w:r>
    </w:p>
    <w:p w14:paraId="190E00DB">
      <w:pPr>
        <w:spacing w:line="360" w:lineRule="auto"/>
        <w:ind w:firstLine="49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（二）实施（交货）地点</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采购人要求的</w:t>
      </w:r>
      <w:r>
        <w:rPr>
          <w:rFonts w:hint="eastAsia" w:ascii="仿宋" w:hAnsi="仿宋" w:eastAsia="仿宋" w:cs="仿宋"/>
          <w:color w:val="auto"/>
          <w:sz w:val="24"/>
          <w:szCs w:val="24"/>
          <w:highlight w:val="none"/>
          <w:lang w:val="en-US" w:eastAsia="zh-CN"/>
        </w:rPr>
        <w:t>指定地点，具体以甲乙双方签订合同为准。</w:t>
      </w:r>
    </w:p>
    <w:p w14:paraId="560966C3">
      <w:pPr>
        <w:spacing w:line="360" w:lineRule="auto"/>
        <w:ind w:firstLine="490" w:firstLineChars="20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质保期：2年</w:t>
      </w:r>
      <w:r>
        <w:rPr>
          <w:rFonts w:hint="eastAsia" w:ascii="仿宋" w:hAnsi="仿宋" w:eastAsia="仿宋" w:cs="仿宋"/>
          <w:color w:val="auto"/>
          <w:sz w:val="24"/>
          <w:szCs w:val="24"/>
          <w:highlight w:val="none"/>
          <w:lang w:val="en-US" w:eastAsia="zh-CN"/>
        </w:rPr>
        <w:t>，质保期内货物/服务</w:t>
      </w:r>
      <w:r>
        <w:rPr>
          <w:rFonts w:hint="eastAsia" w:ascii="仿宋" w:hAnsi="仿宋" w:eastAsia="仿宋" w:cs="仿宋"/>
          <w:color w:val="auto"/>
          <w:sz w:val="24"/>
          <w:szCs w:val="24"/>
          <w:lang w:val="en-US" w:eastAsia="zh-CN"/>
        </w:rPr>
        <w:t>出现的所有问题，供应商须免费更换或维护</w:t>
      </w:r>
    </w:p>
    <w:p w14:paraId="484FA6D4">
      <w:pPr>
        <w:spacing w:line="360" w:lineRule="auto"/>
        <w:rPr>
          <w:rFonts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w:t>
      </w:r>
      <w:r>
        <w:rPr>
          <w:rFonts w:hint="eastAsia" w:ascii="仿宋" w:hAnsi="仿宋" w:eastAsia="仿宋" w:cs="仿宋"/>
          <w:b/>
          <w:bCs/>
          <w:color w:val="000000" w:themeColor="text1"/>
          <w:sz w:val="24"/>
          <w:szCs w:val="24"/>
          <w:lang w:eastAsia="zh-CN"/>
          <w14:textFill>
            <w14:solidFill>
              <w14:schemeClr w14:val="tx1"/>
            </w14:solidFill>
          </w14:textFill>
        </w:rPr>
        <w:t>报价要求</w:t>
      </w:r>
    </w:p>
    <w:p w14:paraId="1C48E68E">
      <w:pPr>
        <w:spacing w:line="360" w:lineRule="auto"/>
        <w:ind w:firstLine="49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本次报价为人民币报价，投标报价应包括：货物本身价格、保险费用、包装费、运输费用、二次搬运费、损耗、技术指导、税金费用、随产品备品备件费、专用工具费、随产品资料费、技术服务费、技术考察费、培训费、安装费、调试费、自检费及验收合格前和质保期内发生的一切费用、应当提供的伴随服务/售后服务费用。</w:t>
      </w:r>
    </w:p>
    <w:p w14:paraId="406D37CC">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3.质量要求</w:t>
      </w:r>
    </w:p>
    <w:p w14:paraId="22C4DEE4">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1、投标人应保证用品是全新、未使用过的合格正品,并完全符合国家执行标准和行业的相关标准。</w:t>
      </w:r>
    </w:p>
    <w:p w14:paraId="442A1AC5">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2、投标人提供伪劣假冒商品或非合格全新的，投标人应无条件更换为合格产品。给甲方造成损失的,应承担赔偿责任。</w:t>
      </w:r>
    </w:p>
    <w:p w14:paraId="562B3523">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3、所供货物质量如达不到甲方质量要求的，必须按甲方要求更换，更换至甲方满意为止。</w:t>
      </w:r>
    </w:p>
    <w:p w14:paraId="23E12E2A">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4.验收</w:t>
      </w:r>
    </w:p>
    <w:p w14:paraId="3B3E74EC">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1、货物到达现场后，供应商应在使用单位人员在场情况下当面共同清点、检查，作出检查记录，双方签字确认。</w:t>
      </w:r>
    </w:p>
    <w:p w14:paraId="10ADF581">
      <w:pPr>
        <w:pStyle w:val="25"/>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2、供应商提供的货物未达到谈判文件规定要求，且对采购人造成损失的，由供应商承担一切责任，并赔偿所造成的损失。</w:t>
      </w:r>
    </w:p>
    <w:p w14:paraId="79B7C49A">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5、付款方式</w:t>
      </w:r>
    </w:p>
    <w:p w14:paraId="625F5260">
      <w:pPr>
        <w:spacing w:line="360" w:lineRule="auto"/>
        <w:rPr>
          <w:rFonts w:hint="eastAsia" w:ascii="仿宋" w:hAnsi="仿宋" w:eastAsia="仿宋" w:cs="仿宋"/>
          <w:color w:val="auto"/>
          <w:sz w:val="24"/>
          <w:szCs w:val="24"/>
          <w:highlight w:val="none"/>
        </w:rPr>
      </w:pPr>
      <w:bookmarkStart w:id="85" w:name="_Toc16945"/>
      <w:bookmarkStart w:id="86" w:name="_Toc8238"/>
      <w:bookmarkStart w:id="87" w:name="_Toc21807"/>
      <w:r>
        <w:rPr>
          <w:rFonts w:hint="eastAsia" w:ascii="仿宋" w:hAnsi="仿宋" w:eastAsia="仿宋" w:cs="仿宋"/>
          <w:b w:val="0"/>
          <w:bCs w:val="0"/>
          <w:color w:val="auto"/>
          <w:sz w:val="24"/>
          <w:szCs w:val="24"/>
          <w:lang w:val="en-US" w:eastAsia="zh-CN"/>
        </w:rPr>
        <w:t>货物全部到场安装调试完成并验收合格，正常使用后，支付全部货款</w:t>
      </w:r>
      <w:r>
        <w:rPr>
          <w:rFonts w:hint="eastAsia" w:ascii="仿宋" w:hAnsi="仿宋" w:eastAsia="仿宋" w:cs="仿宋"/>
          <w:color w:val="auto"/>
          <w:sz w:val="24"/>
          <w:szCs w:val="24"/>
          <w:highlight w:val="none"/>
          <w:lang w:val="en-US" w:eastAsia="zh-CN"/>
        </w:rPr>
        <w:t>。</w:t>
      </w:r>
    </w:p>
    <w:p w14:paraId="1C412BF4">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lang w:eastAsia="zh-CN"/>
        </w:rPr>
        <w:t>知识产权</w:t>
      </w:r>
      <w:bookmarkEnd w:id="85"/>
      <w:bookmarkEnd w:id="86"/>
      <w:bookmarkEnd w:id="87"/>
    </w:p>
    <w:p w14:paraId="511F4017">
      <w:pPr>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采购方在中华人民共和国境内使用投标人提供的货物及服务时免受第三方提出的侵犯其专利权或其它知识产权的起诉。如果第三方提出侵权指控，供货服务商应承担由此而引起的一切法律责任和费用。</w:t>
      </w:r>
    </w:p>
    <w:p w14:paraId="0FADBA06">
      <w:pPr>
        <w:spacing w:line="360" w:lineRule="auto"/>
        <w:rPr>
          <w:rFonts w:hint="eastAsia" w:ascii="仿宋" w:hAnsi="仿宋" w:eastAsia="仿宋" w:cs="仿宋"/>
          <w:b/>
          <w:bCs/>
          <w:color w:val="auto"/>
          <w:sz w:val="24"/>
          <w:szCs w:val="24"/>
          <w:lang w:val="en-US" w:eastAsia="zh-CN"/>
        </w:rPr>
      </w:pPr>
      <w:bookmarkStart w:id="88" w:name="_Toc12239"/>
      <w:bookmarkStart w:id="89" w:name="_Toc12840_WPSOffice_Level1"/>
      <w:bookmarkStart w:id="90" w:name="_Toc439255252"/>
      <w:bookmarkStart w:id="91" w:name="_Toc7598"/>
      <w:bookmarkStart w:id="92" w:name="_Toc20832"/>
      <w:bookmarkStart w:id="93" w:name="_Toc267320054"/>
      <w:r>
        <w:rPr>
          <w:rFonts w:hint="eastAsia" w:ascii="仿宋" w:hAnsi="仿宋" w:eastAsia="仿宋" w:cs="仿宋"/>
          <w:b/>
          <w:bCs/>
          <w:color w:val="auto"/>
          <w:sz w:val="24"/>
          <w:szCs w:val="24"/>
          <w:lang w:val="en-US" w:eastAsia="zh-CN"/>
        </w:rPr>
        <w:t>7、</w:t>
      </w:r>
      <w:bookmarkEnd w:id="88"/>
      <w:bookmarkEnd w:id="89"/>
      <w:bookmarkEnd w:id="90"/>
      <w:bookmarkEnd w:id="91"/>
      <w:bookmarkEnd w:id="92"/>
      <w:bookmarkEnd w:id="93"/>
      <w:r>
        <w:rPr>
          <w:rFonts w:hint="eastAsia" w:ascii="仿宋" w:hAnsi="仿宋" w:eastAsia="仿宋" w:cs="仿宋"/>
          <w:b/>
          <w:bCs/>
          <w:color w:val="auto"/>
          <w:sz w:val="24"/>
          <w:szCs w:val="24"/>
          <w:lang w:val="en-US" w:eastAsia="zh-CN"/>
        </w:rPr>
        <w:t>设备采购与运输</w:t>
      </w:r>
    </w:p>
    <w:p w14:paraId="3AE00672">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7.1供应商按照合同要求进行设备生产，并在规定时间内完成交货。</w:t>
      </w:r>
    </w:p>
    <w:p w14:paraId="2983F163">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7.2对设备进行检验和验收，确保设备符合合同要求和质量标准。</w:t>
      </w:r>
    </w:p>
    <w:p w14:paraId="465EBD41">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8.安装与调试</w:t>
      </w:r>
    </w:p>
    <w:p w14:paraId="2ED8E2FE">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8.1中标供应商进行安装工作，确保安装质量符合相关标准和规范。</w:t>
      </w:r>
    </w:p>
    <w:p w14:paraId="77EDB002">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8.2中标供应商派遣技术人员进行设备调试，确保设备正常使用。</w:t>
      </w:r>
    </w:p>
    <w:p w14:paraId="0B4B8C15">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9.验收与培训</w:t>
      </w:r>
    </w:p>
    <w:p w14:paraId="5F14F0A1">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9.1中标供应商组织相关部门进行验收，包括设备性能、安全指标、环保要求等方面。</w:t>
      </w:r>
    </w:p>
    <w:p w14:paraId="3D129D75">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9.2中标供应商对使用单位的操作人员进行培训，使其掌握设备的操作方法和维护保养知识。</w:t>
      </w:r>
    </w:p>
    <w:p w14:paraId="2D52AC7A">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lang w:eastAsia="zh-CN"/>
        </w:rPr>
        <w:t>其他</w:t>
      </w:r>
    </w:p>
    <w:p w14:paraId="7C7CB621">
      <w:pPr>
        <w:shd w:val="clear" w:color="auto" w:fill="auto"/>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10.1</w:t>
      </w:r>
      <w:r>
        <w:rPr>
          <w:rFonts w:hint="eastAsia" w:ascii="仿宋" w:hAnsi="仿宋" w:eastAsia="仿宋" w:cs="仿宋"/>
          <w:color w:val="auto"/>
          <w:sz w:val="24"/>
          <w:szCs w:val="24"/>
          <w:lang w:eastAsia="zh-CN"/>
        </w:rPr>
        <w:t>投标人必须在响应文件中对以上条款和服务承诺明确列出，承诺内容必须达到本篇及谈判文件其他条款的要求。</w:t>
      </w:r>
    </w:p>
    <w:p w14:paraId="7F05D1D0">
      <w:pPr>
        <w:shd w:val="clear" w:color="auto" w:fill="auto"/>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10.2</w:t>
      </w:r>
      <w:r>
        <w:rPr>
          <w:rFonts w:hint="eastAsia" w:ascii="仿宋" w:hAnsi="仿宋" w:eastAsia="仿宋" w:cs="仿宋"/>
          <w:color w:val="auto"/>
          <w:sz w:val="24"/>
          <w:szCs w:val="24"/>
          <w:lang w:eastAsia="zh-CN"/>
        </w:rPr>
        <w:t>其他未尽事宜由供需双方在采购合同中详细约定。</w:t>
      </w:r>
    </w:p>
    <w:p w14:paraId="3504FFAE">
      <w:pPr>
        <w:pStyle w:val="4"/>
        <w:rPr>
          <w:rFonts w:hint="eastAsia"/>
          <w:lang w:eastAsia="zh-CN"/>
        </w:rPr>
      </w:pPr>
    </w:p>
    <w:p w14:paraId="7148DE5A">
      <w:pPr>
        <w:pStyle w:val="16"/>
        <w:rPr>
          <w:rFonts w:hint="eastAsia" w:ascii="仿宋" w:hAnsi="仿宋" w:eastAsia="仿宋" w:cs="仿宋"/>
          <w:color w:val="auto"/>
          <w:sz w:val="21"/>
          <w:szCs w:val="21"/>
          <w:lang w:eastAsia="zh-CN"/>
        </w:rPr>
      </w:pPr>
    </w:p>
    <w:p w14:paraId="7B412057">
      <w:pPr>
        <w:pStyle w:val="9"/>
        <w:numPr>
          <w:ilvl w:val="0"/>
          <w:numId w:val="0"/>
        </w:numPr>
        <w:ind w:left="360" w:leftChars="0"/>
        <w:rPr>
          <w:rFonts w:hint="eastAsia"/>
          <w:lang w:eastAsia="zh-CN"/>
        </w:rPr>
      </w:pPr>
    </w:p>
    <w:p w14:paraId="295212E2">
      <w:pPr>
        <w:pStyle w:val="25"/>
        <w:rPr>
          <w:rFonts w:hint="default" w:ascii="仿宋" w:hAnsi="仿宋" w:eastAsia="仿宋" w:cs="仿宋"/>
          <w:color w:val="auto"/>
          <w:sz w:val="24"/>
          <w:szCs w:val="24"/>
          <w:lang w:val="en-US" w:eastAsia="zh-CN"/>
        </w:rPr>
      </w:pPr>
    </w:p>
    <w:bookmarkEnd w:id="37"/>
    <w:p w14:paraId="34320854">
      <w:pPr>
        <w:rPr>
          <w:rFonts w:hint="eastAsia"/>
          <w:lang w:eastAsia="zh-CN"/>
        </w:rPr>
      </w:pPr>
      <w:r>
        <w:rPr>
          <w:rFonts w:hint="eastAsia"/>
          <w:lang w:eastAsia="zh-CN"/>
        </w:rPr>
        <w:br w:type="page"/>
      </w:r>
    </w:p>
    <w:p w14:paraId="56F5CC1C">
      <w:pPr>
        <w:rPr>
          <w:rFonts w:hint="eastAsia"/>
          <w:lang w:eastAsia="zh-CN"/>
        </w:rPr>
      </w:pPr>
    </w:p>
    <w:p w14:paraId="1F52E8A1">
      <w:pPr>
        <w:numPr>
          <w:ilvl w:val="0"/>
          <w:numId w:val="4"/>
        </w:numPr>
        <w:jc w:val="center"/>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 xml:space="preserve">  </w:t>
      </w:r>
      <w:r>
        <w:rPr>
          <w:rFonts w:hint="eastAsia" w:ascii="仿宋" w:hAnsi="仿宋" w:eastAsia="仿宋" w:cs="仿宋"/>
          <w:b/>
          <w:color w:val="000000" w:themeColor="text1"/>
          <w:sz w:val="32"/>
          <w:szCs w:val="32"/>
          <w:lang w:eastAsia="zh-CN"/>
          <w14:textFill>
            <w14:solidFill>
              <w14:schemeClr w14:val="tx1"/>
            </w14:solidFill>
          </w14:textFill>
        </w:rPr>
        <w:t>合 同</w:t>
      </w:r>
    </w:p>
    <w:p w14:paraId="209B5319">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sz w:val="24"/>
          <w:szCs w:val="24"/>
        </w:rPr>
      </w:pPr>
      <w:r>
        <w:rPr>
          <w:rFonts w:hint="eastAsia" w:ascii="仿宋" w:hAnsi="仿宋" w:eastAsia="仿宋" w:cs="仿宋"/>
          <w:b/>
          <w:bCs/>
          <w:color w:val="auto"/>
          <w:sz w:val="24"/>
          <w:szCs w:val="24"/>
        </w:rPr>
        <w:t>（本合同为合同样稿，最终稿由供需双方协商后确定</w:t>
      </w:r>
      <w:r>
        <w:rPr>
          <w:rFonts w:hint="eastAsia" w:ascii="仿宋" w:hAnsi="仿宋" w:eastAsia="仿宋" w:cs="仿宋"/>
          <w:b/>
          <w:bCs/>
          <w:color w:val="auto"/>
          <w:sz w:val="24"/>
          <w:szCs w:val="24"/>
          <w:lang w:eastAsia="zh-CN"/>
        </w:rPr>
        <w:t>）</w:t>
      </w:r>
    </w:p>
    <w:p w14:paraId="05361044">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cs="宋体"/>
          <w:sz w:val="24"/>
          <w:szCs w:val="24"/>
        </w:rPr>
      </w:pPr>
      <w:r>
        <w:rPr>
          <w:rFonts w:hint="eastAsia" w:ascii="宋体" w:hAnsi="宋体" w:eastAsia="宋体" w:cs="宋体"/>
          <w:sz w:val="24"/>
          <w:szCs w:val="24"/>
          <w:lang w:val="en-US" w:eastAsia="zh-CN"/>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合同编号：</w:t>
      </w:r>
    </w:p>
    <w:p w14:paraId="49A08790">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需    方：</w:t>
      </w:r>
    </w:p>
    <w:p w14:paraId="1BF1DE7D">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供 应 方：</w:t>
      </w:r>
    </w:p>
    <w:p w14:paraId="3F09A873">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4"/>
          <w:szCs w:val="24"/>
          <w:u w:val="single"/>
        </w:rPr>
      </w:pPr>
      <w:r>
        <w:rPr>
          <w:rFonts w:hint="eastAsia" w:ascii="仿宋" w:hAnsi="仿宋" w:eastAsia="仿宋" w:cs="仿宋"/>
          <w:b w:val="0"/>
          <w:bCs w:val="0"/>
          <w:color w:val="auto"/>
          <w:sz w:val="24"/>
          <w:szCs w:val="24"/>
        </w:rPr>
        <w:t xml:space="preserve">（代理公司名称）受有关单位委托，为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p>
    <w:p w14:paraId="4D8E5144">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（下称需方）经</w:t>
      </w:r>
      <w:r>
        <w:rPr>
          <w:rFonts w:hint="eastAsia" w:ascii="仿宋" w:hAnsi="仿宋" w:eastAsia="仿宋" w:cs="仿宋"/>
          <w:b w:val="0"/>
          <w:bCs w:val="0"/>
          <w:color w:val="auto"/>
          <w:sz w:val="24"/>
          <w:szCs w:val="24"/>
          <w:lang w:eastAsia="zh-CN"/>
        </w:rPr>
        <w:t>竞争性谈判</w:t>
      </w:r>
      <w:r>
        <w:rPr>
          <w:rFonts w:hint="eastAsia" w:ascii="仿宋" w:hAnsi="仿宋" w:eastAsia="仿宋" w:cs="仿宋"/>
          <w:b w:val="0"/>
          <w:bCs w:val="0"/>
          <w:color w:val="auto"/>
          <w:sz w:val="24"/>
          <w:szCs w:val="24"/>
        </w:rPr>
        <w:t>结果确定</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为供应方。现经供需双方充分协商订立本合同。</w:t>
      </w:r>
    </w:p>
    <w:p w14:paraId="62CA5ECA">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一、名称、规格、数量及价款</w:t>
      </w:r>
    </w:p>
    <w:p w14:paraId="0B7552A7">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（名称、规格、数量及单价）                           </w:t>
      </w:r>
    </w:p>
    <w:p w14:paraId="6D18F1E0">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合同总金额          元整（￥      元）。</w:t>
      </w:r>
    </w:p>
    <w:p w14:paraId="4DEB94BF">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二、质量要求及技术标准</w:t>
      </w:r>
    </w:p>
    <w:p w14:paraId="15AE8D8C">
      <w:pPr>
        <w:keepNext w:val="0"/>
        <w:keepLines w:val="0"/>
        <w:pageBreakBefore w:val="0"/>
        <w:widowControl w:val="0"/>
        <w:shd w:val="clear"/>
        <w:kinsoku/>
        <w:wordWrap/>
        <w:overflowPunct/>
        <w:topLinePunct w:val="0"/>
        <w:autoSpaceDE/>
        <w:autoSpaceDN/>
        <w:bidi w:val="0"/>
        <w:adjustRightInd/>
        <w:snapToGrid/>
        <w:spacing w:before="0" w:after="0" w:line="480" w:lineRule="exact"/>
        <w:ind w:left="0" w:right="0" w:firstLine="490" w:firstLineChars="200"/>
        <w:jc w:val="both"/>
        <w:textAlignment w:val="auto"/>
        <w:rPr>
          <w:rFonts w:hint="eastAsia" w:ascii="仿宋" w:hAnsi="仿宋" w:eastAsia="仿宋" w:cs="仿宋"/>
          <w:b w:val="0"/>
          <w:bCs w:val="0"/>
          <w:spacing w:val="0"/>
          <w:w w:val="100"/>
          <w:kern w:val="2"/>
          <w:position w:val="0"/>
          <w:sz w:val="24"/>
          <w:szCs w:val="24"/>
          <w:shd w:val="clear"/>
          <w:lang w:val="en-US" w:eastAsia="zh-CN" w:bidi="ar-SA"/>
        </w:rPr>
      </w:pPr>
      <w:r>
        <w:rPr>
          <w:rFonts w:hint="eastAsia" w:ascii="仿宋" w:hAnsi="仿宋" w:eastAsia="仿宋" w:cs="仿宋"/>
          <w:b w:val="0"/>
          <w:bCs w:val="0"/>
          <w:color w:val="auto"/>
          <w:spacing w:val="0"/>
          <w:w w:val="100"/>
          <w:kern w:val="2"/>
          <w:position w:val="0"/>
          <w:sz w:val="24"/>
          <w:szCs w:val="24"/>
          <w:shd w:val="clear"/>
          <w:lang w:val="en-US" w:eastAsia="zh-CN" w:bidi="ar-SA"/>
        </w:rPr>
        <w:t>1</w:t>
      </w:r>
      <w:r>
        <w:rPr>
          <w:rFonts w:hint="eastAsia" w:ascii="仿宋" w:hAnsi="仿宋" w:eastAsia="仿宋" w:cs="仿宋"/>
          <w:b w:val="0"/>
          <w:bCs w:val="0"/>
          <w:spacing w:val="0"/>
          <w:w w:val="100"/>
          <w:kern w:val="2"/>
          <w:position w:val="0"/>
          <w:sz w:val="24"/>
          <w:szCs w:val="24"/>
          <w:shd w:val="clear"/>
          <w:lang w:val="en-US" w:eastAsia="zh-CN" w:bidi="ar-SA"/>
        </w:rPr>
        <w:t>、投标人应保证用品是全新、未使用过的合格正品,并完全符合国家规定的质量、规格和性能要求。</w:t>
      </w:r>
    </w:p>
    <w:p w14:paraId="69E9C199">
      <w:pPr>
        <w:keepNext w:val="0"/>
        <w:keepLines w:val="0"/>
        <w:pageBreakBefore w:val="0"/>
        <w:widowControl w:val="0"/>
        <w:shd w:val="clear"/>
        <w:kinsoku/>
        <w:wordWrap/>
        <w:overflowPunct/>
        <w:topLinePunct w:val="0"/>
        <w:autoSpaceDE/>
        <w:autoSpaceDN/>
        <w:bidi w:val="0"/>
        <w:adjustRightInd/>
        <w:snapToGrid/>
        <w:spacing w:before="0" w:after="0" w:line="480" w:lineRule="exact"/>
        <w:ind w:left="0" w:right="0" w:firstLine="490" w:firstLineChars="200"/>
        <w:jc w:val="both"/>
        <w:textAlignment w:val="auto"/>
        <w:rPr>
          <w:rFonts w:hint="eastAsia" w:ascii="仿宋" w:hAnsi="仿宋" w:eastAsia="仿宋" w:cs="仿宋"/>
          <w:b w:val="0"/>
          <w:bCs w:val="0"/>
          <w:spacing w:val="0"/>
          <w:w w:val="100"/>
          <w:kern w:val="2"/>
          <w:position w:val="0"/>
          <w:sz w:val="24"/>
          <w:szCs w:val="24"/>
          <w:shd w:val="clear"/>
          <w:lang w:val="en-US" w:eastAsia="zh-CN" w:bidi="ar-SA"/>
        </w:rPr>
      </w:pPr>
      <w:r>
        <w:rPr>
          <w:rFonts w:hint="eastAsia" w:ascii="仿宋" w:hAnsi="仿宋" w:eastAsia="仿宋" w:cs="仿宋"/>
          <w:b w:val="0"/>
          <w:bCs w:val="0"/>
          <w:spacing w:val="0"/>
          <w:w w:val="100"/>
          <w:kern w:val="2"/>
          <w:position w:val="0"/>
          <w:sz w:val="24"/>
          <w:szCs w:val="24"/>
          <w:shd w:val="clear"/>
          <w:lang w:val="en-US" w:eastAsia="zh-CN" w:bidi="ar-SA"/>
        </w:rPr>
        <w:t>2、投标人提供伪劣假冒商品或非合格全新的，投标人应无条件更换为合格产品。给甲方造成损失的,应承担赔偿责任。</w:t>
      </w:r>
    </w:p>
    <w:p w14:paraId="11BC0AD4">
      <w:pPr>
        <w:keepNext w:val="0"/>
        <w:keepLines w:val="0"/>
        <w:pageBreakBefore w:val="0"/>
        <w:widowControl w:val="0"/>
        <w:shd w:val="clear"/>
        <w:kinsoku/>
        <w:wordWrap/>
        <w:overflowPunct/>
        <w:topLinePunct w:val="0"/>
        <w:autoSpaceDE/>
        <w:autoSpaceDN/>
        <w:bidi w:val="0"/>
        <w:adjustRightInd/>
        <w:snapToGrid/>
        <w:spacing w:before="0" w:after="0" w:line="480" w:lineRule="exact"/>
        <w:ind w:left="0" w:right="0" w:firstLine="490" w:firstLineChars="200"/>
        <w:jc w:val="both"/>
        <w:textAlignment w:val="auto"/>
        <w:rPr>
          <w:rFonts w:hint="eastAsia" w:ascii="仿宋" w:hAnsi="仿宋" w:eastAsia="仿宋" w:cs="仿宋"/>
          <w:b w:val="0"/>
          <w:bCs w:val="0"/>
          <w:spacing w:val="0"/>
          <w:w w:val="100"/>
          <w:kern w:val="2"/>
          <w:position w:val="0"/>
          <w:sz w:val="24"/>
          <w:szCs w:val="24"/>
          <w:shd w:val="clear"/>
          <w:lang w:val="en-US" w:eastAsia="zh-CN" w:bidi="ar-SA"/>
        </w:rPr>
      </w:pPr>
      <w:r>
        <w:rPr>
          <w:rFonts w:hint="eastAsia" w:ascii="仿宋" w:hAnsi="仿宋" w:eastAsia="仿宋" w:cs="仿宋"/>
          <w:b w:val="0"/>
          <w:bCs w:val="0"/>
          <w:spacing w:val="0"/>
          <w:w w:val="100"/>
          <w:kern w:val="2"/>
          <w:position w:val="0"/>
          <w:sz w:val="24"/>
          <w:szCs w:val="24"/>
          <w:shd w:val="clear"/>
          <w:lang w:val="en-US" w:eastAsia="zh-CN" w:bidi="ar-SA"/>
        </w:rPr>
        <w:t>3、所供货物质量如达不到甲方质量要求的，必须按甲方要求更换，更换至甲方满意为止。</w:t>
      </w:r>
    </w:p>
    <w:p w14:paraId="0BCF7ED1">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三、交货时间、地点</w:t>
      </w:r>
    </w:p>
    <w:p w14:paraId="799BE678">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货物供应方须在     年  月  日在    交货，并由使用方验收。</w:t>
      </w:r>
    </w:p>
    <w:p w14:paraId="2B96DA63">
      <w:pPr>
        <w:spacing w:line="360" w:lineRule="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rPr>
        <w:t>四、</w:t>
      </w:r>
      <w:r>
        <w:rPr>
          <w:rFonts w:hint="eastAsia" w:ascii="仿宋" w:hAnsi="仿宋" w:eastAsia="仿宋" w:cs="仿宋"/>
          <w:b/>
          <w:bCs/>
          <w:color w:val="auto"/>
          <w:sz w:val="24"/>
          <w:szCs w:val="24"/>
          <w:lang w:val="en-US" w:eastAsia="zh-CN"/>
        </w:rPr>
        <w:t>质量技术及验收保证的承诺</w:t>
      </w:r>
    </w:p>
    <w:p w14:paraId="51FE36EE">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1、产品质量：在合同期内甲方正常使用乙方所供产品而出现质量问题时，乙方负责。产品使用：甲方在使用乙方所供产品中出现问题需乙方解决时，乙方应无偿解决（退换货）。</w:t>
      </w:r>
    </w:p>
    <w:p w14:paraId="6C96B100">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2、验收</w:t>
      </w:r>
    </w:p>
    <w:p w14:paraId="3742E862">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①、货物到达现场后，供应商应在使用单位人员在场情况下当面共同清点、检查，作出检查记录，双方签字确认。</w:t>
      </w:r>
    </w:p>
    <w:p w14:paraId="465D4FCD">
      <w:pPr>
        <w:spacing w:line="360" w:lineRule="auto"/>
        <w:ind w:firstLine="490" w:firstLineChars="200"/>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②</w:t>
      </w:r>
      <w:r>
        <w:rPr>
          <w:rFonts w:hint="eastAsia" w:ascii="仿宋" w:hAnsi="仿宋" w:eastAsia="仿宋" w:cs="仿宋"/>
          <w:color w:val="auto"/>
          <w:sz w:val="24"/>
          <w:szCs w:val="24"/>
          <w:lang w:val="en-US" w:eastAsia="zh-CN"/>
        </w:rPr>
        <w:t>、供应商提供的货物未达到谈判文件规定要求，且对采购人造成损失的，由供应商承担一切责任，并赔偿所造成的损失。</w:t>
      </w:r>
    </w:p>
    <w:p w14:paraId="4F3F85EC">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五、付款方式</w:t>
      </w:r>
    </w:p>
    <w:p w14:paraId="160E55B0">
      <w:pPr>
        <w:shd w:val="clear" w:color="auto" w:fill="auto"/>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lang w:val="en-US" w:eastAsia="zh-CN"/>
        </w:rPr>
        <w:t>货物全部到场安装调试完成并验收合格，正常使用后，支付全部货款。</w:t>
      </w:r>
    </w:p>
    <w:p w14:paraId="311BFC31">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、违约责任</w:t>
      </w:r>
    </w:p>
    <w:p w14:paraId="69FF7AFD">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违反买卖合同者，应承担违约责任，向对方支付合同金额20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14:paraId="27147CB1">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2、如有质量问题时需方可以按照供应方</w:t>
      </w:r>
      <w:r>
        <w:rPr>
          <w:rFonts w:hint="eastAsia" w:ascii="仿宋" w:hAnsi="仿宋" w:eastAsia="仿宋" w:cs="仿宋"/>
          <w:b w:val="0"/>
          <w:bCs w:val="0"/>
          <w:color w:val="auto"/>
          <w:sz w:val="24"/>
          <w:szCs w:val="24"/>
          <w:lang w:eastAsia="zh-CN"/>
        </w:rPr>
        <w:t>响应文件</w:t>
      </w:r>
      <w:r>
        <w:rPr>
          <w:rFonts w:hint="eastAsia" w:ascii="仿宋" w:hAnsi="仿宋" w:eastAsia="仿宋" w:cs="仿宋"/>
          <w:b w:val="0"/>
          <w:bCs w:val="0"/>
          <w:color w:val="auto"/>
          <w:sz w:val="24"/>
          <w:szCs w:val="24"/>
        </w:rPr>
        <w:t>的服务承诺从质量保证金款项中扣除相关费用。</w:t>
      </w:r>
    </w:p>
    <w:p w14:paraId="4DEDDD38">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3、其它违约，按《中华人民共和国</w:t>
      </w:r>
      <w:r>
        <w:rPr>
          <w:rFonts w:hint="eastAsia" w:ascii="仿宋" w:hAnsi="仿宋" w:eastAsia="仿宋" w:cs="仿宋"/>
          <w:b w:val="0"/>
          <w:bCs w:val="0"/>
          <w:color w:val="auto"/>
          <w:sz w:val="24"/>
          <w:szCs w:val="24"/>
          <w:lang w:val="en-US" w:eastAsia="zh-CN"/>
        </w:rPr>
        <w:t>民法典</w:t>
      </w:r>
      <w:r>
        <w:rPr>
          <w:rFonts w:hint="eastAsia" w:ascii="仿宋" w:hAnsi="仿宋" w:eastAsia="仿宋" w:cs="仿宋"/>
          <w:b w:val="0"/>
          <w:bCs w:val="0"/>
          <w:color w:val="auto"/>
          <w:sz w:val="24"/>
          <w:szCs w:val="24"/>
        </w:rPr>
        <w:t>》的相关条款执行。</w:t>
      </w:r>
    </w:p>
    <w:p w14:paraId="4231C7F8">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七</w:t>
      </w:r>
      <w:r>
        <w:rPr>
          <w:rFonts w:hint="eastAsia" w:ascii="仿宋" w:hAnsi="仿宋" w:eastAsia="仿宋" w:cs="仿宋"/>
          <w:b/>
          <w:bCs/>
          <w:color w:val="auto"/>
          <w:sz w:val="24"/>
          <w:szCs w:val="24"/>
        </w:rPr>
        <w:t>、解决合同纠纷的方式</w:t>
      </w:r>
    </w:p>
    <w:p w14:paraId="5D96A454">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当出现纠纷时，双方协商解决；协商不成时可向当地仲裁机关申请仲裁。</w:t>
      </w:r>
    </w:p>
    <w:p w14:paraId="696E73DF">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八</w:t>
      </w:r>
      <w:r>
        <w:rPr>
          <w:rFonts w:hint="eastAsia" w:ascii="仿宋" w:hAnsi="仿宋" w:eastAsia="仿宋" w:cs="仿宋"/>
          <w:b/>
          <w:bCs/>
          <w:color w:val="auto"/>
          <w:sz w:val="24"/>
          <w:szCs w:val="24"/>
        </w:rPr>
        <w:t>、技术协议</w:t>
      </w:r>
    </w:p>
    <w:p w14:paraId="1E09568A">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附技术协议（另定）</w:t>
      </w:r>
    </w:p>
    <w:p w14:paraId="4335B476">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九</w:t>
      </w:r>
      <w:r>
        <w:rPr>
          <w:rFonts w:hint="eastAsia" w:ascii="仿宋" w:hAnsi="仿宋" w:eastAsia="仿宋" w:cs="仿宋"/>
          <w:b/>
          <w:bCs/>
          <w:color w:val="auto"/>
          <w:sz w:val="24"/>
          <w:szCs w:val="24"/>
        </w:rPr>
        <w:t>、其它约定事项</w:t>
      </w:r>
    </w:p>
    <w:p w14:paraId="332499E0">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1、本合同壹式叁份，经双方法定代表人或授权代理人</w:t>
      </w:r>
      <w:r>
        <w:rPr>
          <w:rFonts w:hint="eastAsia" w:ascii="仿宋" w:hAnsi="仿宋" w:eastAsia="仿宋" w:cs="仿宋"/>
          <w:b w:val="0"/>
          <w:bCs w:val="0"/>
          <w:color w:val="auto"/>
          <w:sz w:val="24"/>
          <w:szCs w:val="24"/>
          <w:lang w:eastAsia="zh-CN"/>
        </w:rPr>
        <w:t>签字或盖章</w:t>
      </w:r>
      <w:r>
        <w:rPr>
          <w:rFonts w:hint="eastAsia" w:ascii="仿宋" w:hAnsi="仿宋" w:eastAsia="仿宋" w:cs="仿宋"/>
          <w:b w:val="0"/>
          <w:bCs w:val="0"/>
          <w:color w:val="auto"/>
          <w:sz w:val="24"/>
          <w:szCs w:val="24"/>
        </w:rPr>
        <w:t>，州政府采购中心鉴证后生效。</w:t>
      </w:r>
    </w:p>
    <w:p w14:paraId="1166EAB0">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2、本合同一式三份，供应方执一份，需方执</w:t>
      </w:r>
      <w:r>
        <w:rPr>
          <w:rFonts w:hint="eastAsia" w:ascii="仿宋" w:hAnsi="仿宋" w:eastAsia="仿宋" w:cs="仿宋"/>
          <w:b w:val="0"/>
          <w:bCs w:val="0"/>
          <w:color w:val="auto"/>
          <w:sz w:val="24"/>
          <w:szCs w:val="24"/>
          <w:lang w:eastAsia="zh-CN"/>
        </w:rPr>
        <w:t>二</w:t>
      </w:r>
      <w:r>
        <w:rPr>
          <w:rFonts w:hint="eastAsia" w:ascii="仿宋" w:hAnsi="仿宋" w:eastAsia="仿宋" w:cs="仿宋"/>
          <w:b w:val="0"/>
          <w:bCs w:val="0"/>
          <w:color w:val="auto"/>
          <w:sz w:val="24"/>
          <w:szCs w:val="24"/>
        </w:rPr>
        <w:t>份，</w:t>
      </w:r>
    </w:p>
    <w:p w14:paraId="07BB968D">
      <w:pPr>
        <w:shd w:val="clear" w:color="auto" w:fill="auto"/>
        <w:spacing w:line="360" w:lineRule="auto"/>
        <w:ind w:firstLine="490" w:firstLineChars="200"/>
        <w:jc w:val="left"/>
        <w:rPr>
          <w:rFonts w:hint="eastAsia"/>
          <w:sz w:val="24"/>
          <w:szCs w:val="24"/>
        </w:rPr>
      </w:pPr>
      <w:r>
        <w:rPr>
          <w:rFonts w:hint="eastAsia" w:ascii="仿宋" w:hAnsi="仿宋" w:eastAsia="仿宋" w:cs="仿宋"/>
          <w:b w:val="0"/>
          <w:bCs w:val="0"/>
          <w:color w:val="auto"/>
          <w:sz w:val="24"/>
          <w:szCs w:val="24"/>
        </w:rPr>
        <w:t>3、相关</w:t>
      </w:r>
      <w:r>
        <w:rPr>
          <w:rFonts w:hint="eastAsia" w:ascii="仿宋" w:hAnsi="仿宋" w:eastAsia="仿宋" w:cs="仿宋"/>
          <w:b w:val="0"/>
          <w:bCs w:val="0"/>
          <w:color w:val="auto"/>
          <w:sz w:val="24"/>
          <w:szCs w:val="24"/>
          <w:lang w:eastAsia="zh-CN"/>
        </w:rPr>
        <w:t>谈判文件</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eastAsia="zh-CN"/>
        </w:rPr>
        <w:t>响应文件</w:t>
      </w:r>
      <w:r>
        <w:rPr>
          <w:rFonts w:hint="eastAsia" w:ascii="仿宋" w:hAnsi="仿宋" w:eastAsia="仿宋" w:cs="仿宋"/>
          <w:b w:val="0"/>
          <w:bCs w:val="0"/>
          <w:color w:val="auto"/>
          <w:sz w:val="24"/>
          <w:szCs w:val="24"/>
        </w:rPr>
        <w:t>与本合同具有同等法律效力。</w:t>
      </w:r>
    </w:p>
    <w:p w14:paraId="0E2D620F">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供  应  方：                               需     方：</w:t>
      </w:r>
    </w:p>
    <w:p w14:paraId="2BB33DD3">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法定代表人：                               法定代表人：</w:t>
      </w:r>
    </w:p>
    <w:p w14:paraId="50ECA1CD">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单位 地址：                                单位 地址：</w:t>
      </w:r>
    </w:p>
    <w:p w14:paraId="3573E422">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联系 电话：                                联系 电话：</w:t>
      </w:r>
    </w:p>
    <w:p w14:paraId="78727D82">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开户 银行：                                开户 银行：</w:t>
      </w:r>
    </w:p>
    <w:p w14:paraId="03658DA9">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账     号：                                账     号：</w:t>
      </w:r>
    </w:p>
    <w:p w14:paraId="415DAEB1">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签约时间：                                 签约地点：</w:t>
      </w:r>
    </w:p>
    <w:p w14:paraId="2191E861">
      <w:pPr>
        <w:pStyle w:val="27"/>
        <w:keepNext/>
        <w:keepLines/>
        <w:spacing w:before="0" w:after="1160"/>
        <w:jc w:val="both"/>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lang w:eastAsia="zh-CN"/>
        </w:rPr>
        <w:t>五</w:t>
      </w:r>
      <w:r>
        <w:rPr>
          <w:rFonts w:hint="eastAsia" w:ascii="仿宋" w:hAnsi="仿宋" w:eastAsia="仿宋" w:cs="仿宋"/>
          <w:b/>
          <w:bCs/>
          <w:color w:val="auto"/>
        </w:rPr>
        <w:t>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响应文件</w:t>
      </w:r>
      <w:r>
        <w:rPr>
          <w:rFonts w:hint="eastAsia" w:ascii="仿宋" w:hAnsi="仿宋" w:eastAsia="仿宋" w:cs="仿宋"/>
          <w:b/>
          <w:bCs/>
          <w:color w:val="auto"/>
        </w:rPr>
        <w:t>格式</w:t>
      </w:r>
    </w:p>
    <w:p w14:paraId="45503BE7">
      <w:pPr>
        <w:adjustRightInd w:val="0"/>
        <w:snapToGrid w:val="0"/>
        <w:spacing w:line="360" w:lineRule="auto"/>
        <w:jc w:val="center"/>
        <w:rPr>
          <w:rFonts w:ascii="仿宋" w:hAnsi="仿宋" w:eastAsia="仿宋" w:cs="仿宋"/>
          <w:b/>
          <w:caps/>
          <w:color w:val="auto"/>
        </w:rPr>
      </w:pPr>
      <w:bookmarkStart w:id="94" w:name="bookmark196"/>
    </w:p>
    <w:p w14:paraId="22BCE4BC">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caps/>
          <w:color w:val="auto"/>
          <w:sz w:val="32"/>
          <w:szCs w:val="32"/>
        </w:rPr>
        <w:t>（项目名称）</w:t>
      </w:r>
    </w:p>
    <w:p w14:paraId="29142CDA">
      <w:pPr>
        <w:adjustRightInd w:val="0"/>
        <w:snapToGrid w:val="0"/>
        <w:spacing w:line="360" w:lineRule="auto"/>
        <w:jc w:val="both"/>
        <w:rPr>
          <w:rFonts w:ascii="仿宋" w:hAnsi="仿宋" w:eastAsia="仿宋" w:cs="仿宋"/>
          <w:bCs/>
          <w:color w:val="auto"/>
          <w:sz w:val="32"/>
          <w:szCs w:val="32"/>
        </w:rPr>
      </w:pPr>
    </w:p>
    <w:p w14:paraId="7BD34B64">
      <w:pPr>
        <w:adjustRightInd w:val="0"/>
        <w:snapToGrid w:val="0"/>
        <w:spacing w:line="360" w:lineRule="auto"/>
        <w:jc w:val="center"/>
        <w:rPr>
          <w:rFonts w:ascii="仿宋" w:hAnsi="仿宋" w:eastAsia="仿宋" w:cs="仿宋"/>
          <w:bCs/>
          <w:color w:val="auto"/>
          <w:sz w:val="32"/>
          <w:szCs w:val="32"/>
        </w:rPr>
      </w:pPr>
    </w:p>
    <w:p w14:paraId="35871925">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bCs/>
          <w:color w:val="auto"/>
          <w:sz w:val="44"/>
          <w:szCs w:val="44"/>
        </w:rPr>
        <w:t>响应文件</w:t>
      </w:r>
    </w:p>
    <w:p w14:paraId="0BBB7037">
      <w:pPr>
        <w:adjustRightInd w:val="0"/>
        <w:snapToGrid w:val="0"/>
        <w:spacing w:line="360" w:lineRule="auto"/>
        <w:jc w:val="center"/>
        <w:rPr>
          <w:rFonts w:ascii="仿宋" w:hAnsi="仿宋" w:eastAsia="仿宋" w:cs="仿宋"/>
          <w:bCs/>
          <w:color w:val="auto"/>
          <w:sz w:val="32"/>
          <w:szCs w:val="32"/>
        </w:rPr>
      </w:pPr>
    </w:p>
    <w:p w14:paraId="663CC6A2">
      <w:pPr>
        <w:adjustRightInd w:val="0"/>
        <w:snapToGrid w:val="0"/>
        <w:spacing w:line="360" w:lineRule="auto"/>
        <w:jc w:val="both"/>
        <w:rPr>
          <w:rFonts w:ascii="仿宋" w:hAnsi="仿宋" w:eastAsia="仿宋" w:cs="仿宋"/>
          <w:bCs/>
          <w:color w:val="auto"/>
          <w:sz w:val="32"/>
          <w:szCs w:val="32"/>
        </w:rPr>
      </w:pPr>
    </w:p>
    <w:p w14:paraId="4991087C">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kern w:val="0"/>
          <w:sz w:val="28"/>
          <w:szCs w:val="28"/>
          <w:fitText w:val="2810" w:id="202655923"/>
        </w:rPr>
        <w:t>供应商名称（公章）：</w:t>
      </w:r>
    </w:p>
    <w:p w14:paraId="566ECB5D">
      <w:pPr>
        <w:adjustRightInd w:val="0"/>
        <w:snapToGrid w:val="0"/>
        <w:spacing w:line="360" w:lineRule="auto"/>
        <w:ind w:right="-156" w:rightChars="-64"/>
        <w:rPr>
          <w:rFonts w:ascii="仿宋" w:hAnsi="仿宋" w:eastAsia="仿宋" w:cs="仿宋"/>
          <w:b/>
          <w:caps/>
          <w:color w:val="auto"/>
          <w:sz w:val="28"/>
          <w:szCs w:val="28"/>
        </w:rPr>
      </w:pPr>
    </w:p>
    <w:p w14:paraId="3B834426">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w w:val="77"/>
          <w:kern w:val="0"/>
          <w:sz w:val="28"/>
          <w:szCs w:val="28"/>
          <w:fitText w:val="2810" w:id="1"/>
        </w:rPr>
        <w:t>法定代表人（</w:t>
      </w:r>
      <w:r>
        <w:rPr>
          <w:rFonts w:hint="eastAsia" w:ascii="仿宋" w:hAnsi="仿宋" w:eastAsia="仿宋" w:cs="仿宋"/>
          <w:b/>
          <w:caps/>
          <w:color w:val="auto"/>
          <w:spacing w:val="0"/>
          <w:w w:val="77"/>
          <w:kern w:val="0"/>
          <w:sz w:val="28"/>
          <w:szCs w:val="28"/>
          <w:fitText w:val="2810" w:id="1"/>
          <w:lang w:eastAsia="zh-CN"/>
        </w:rPr>
        <w:t>签章</w:t>
      </w:r>
      <w:r>
        <w:rPr>
          <w:rFonts w:hint="eastAsia" w:ascii="仿宋" w:hAnsi="仿宋" w:eastAsia="仿宋" w:cs="仿宋"/>
          <w:b/>
          <w:caps/>
          <w:color w:val="auto"/>
          <w:spacing w:val="0"/>
          <w:w w:val="77"/>
          <w:kern w:val="0"/>
          <w:sz w:val="28"/>
          <w:szCs w:val="28"/>
          <w:fitText w:val="2810" w:id="1"/>
        </w:rPr>
        <w:t>或盖章）</w:t>
      </w:r>
      <w:r>
        <w:rPr>
          <w:rFonts w:hint="eastAsia" w:ascii="仿宋" w:hAnsi="仿宋" w:eastAsia="仿宋" w:cs="仿宋"/>
          <w:b/>
          <w:caps/>
          <w:color w:val="auto"/>
          <w:spacing w:val="-1"/>
          <w:w w:val="77"/>
          <w:kern w:val="0"/>
          <w:sz w:val="28"/>
          <w:szCs w:val="28"/>
          <w:fitText w:val="2810" w:id="1"/>
        </w:rPr>
        <w:t>：</w:t>
      </w:r>
    </w:p>
    <w:p w14:paraId="1B26F095">
      <w:pPr>
        <w:adjustRightInd w:val="0"/>
        <w:snapToGrid w:val="0"/>
        <w:spacing w:line="360" w:lineRule="auto"/>
        <w:ind w:right="-156" w:rightChars="-64"/>
        <w:rPr>
          <w:rFonts w:ascii="仿宋" w:hAnsi="仿宋" w:eastAsia="仿宋" w:cs="仿宋"/>
          <w:b/>
          <w:caps/>
          <w:color w:val="auto"/>
          <w:sz w:val="28"/>
          <w:szCs w:val="28"/>
        </w:rPr>
      </w:pPr>
    </w:p>
    <w:p w14:paraId="5328DC14">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13"/>
          <w:kern w:val="0"/>
          <w:sz w:val="28"/>
          <w:szCs w:val="28"/>
          <w:fitText w:val="2810" w:id="2"/>
        </w:rPr>
        <w:t>供应商地址</w:t>
      </w:r>
      <w:r>
        <w:rPr>
          <w:rFonts w:hint="eastAsia" w:ascii="仿宋" w:hAnsi="仿宋" w:eastAsia="仿宋" w:cs="仿宋"/>
          <w:b/>
          <w:caps/>
          <w:color w:val="auto"/>
          <w:spacing w:val="0"/>
          <w:kern w:val="0"/>
          <w:sz w:val="28"/>
          <w:szCs w:val="28"/>
          <w:fitText w:val="2810" w:id="2"/>
        </w:rPr>
        <w:t>：</w:t>
      </w:r>
    </w:p>
    <w:p w14:paraId="47FA0CAD">
      <w:pPr>
        <w:adjustRightInd w:val="0"/>
        <w:snapToGrid w:val="0"/>
        <w:spacing w:line="360" w:lineRule="auto"/>
        <w:ind w:right="-156" w:rightChars="-64"/>
        <w:rPr>
          <w:rFonts w:ascii="仿宋" w:hAnsi="仿宋" w:eastAsia="仿宋" w:cs="仿宋"/>
          <w:b/>
          <w:caps/>
          <w:color w:val="auto"/>
          <w:sz w:val="28"/>
          <w:szCs w:val="28"/>
        </w:rPr>
      </w:pPr>
    </w:p>
    <w:p w14:paraId="7AE86886">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281"/>
          <w:kern w:val="0"/>
          <w:sz w:val="28"/>
          <w:szCs w:val="28"/>
          <w:fitText w:val="2810" w:id="3"/>
        </w:rPr>
        <w:t>联系人</w:t>
      </w:r>
      <w:r>
        <w:rPr>
          <w:rFonts w:hint="eastAsia" w:ascii="仿宋" w:hAnsi="仿宋" w:eastAsia="仿宋" w:cs="仿宋"/>
          <w:b/>
          <w:caps/>
          <w:color w:val="auto"/>
          <w:spacing w:val="2"/>
          <w:kern w:val="0"/>
          <w:sz w:val="28"/>
          <w:szCs w:val="28"/>
          <w:fitText w:val="2810" w:id="3"/>
        </w:rPr>
        <w:t>：</w:t>
      </w:r>
    </w:p>
    <w:p w14:paraId="09B664A4">
      <w:pPr>
        <w:adjustRightInd w:val="0"/>
        <w:snapToGrid w:val="0"/>
        <w:spacing w:line="360" w:lineRule="auto"/>
        <w:ind w:right="-156" w:rightChars="-64"/>
        <w:rPr>
          <w:rFonts w:ascii="仿宋" w:hAnsi="仿宋" w:eastAsia="仿宋" w:cs="仿宋"/>
          <w:b/>
          <w:caps/>
          <w:color w:val="auto"/>
          <w:sz w:val="28"/>
          <w:szCs w:val="28"/>
        </w:rPr>
      </w:pPr>
    </w:p>
    <w:p w14:paraId="7EBD6E92">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76"/>
          <w:kern w:val="0"/>
          <w:sz w:val="28"/>
          <w:szCs w:val="28"/>
          <w:fitText w:val="2810" w:id="4"/>
        </w:rPr>
        <w:t>联系电话</w:t>
      </w:r>
      <w:r>
        <w:rPr>
          <w:rFonts w:hint="eastAsia" w:ascii="仿宋" w:hAnsi="仿宋" w:eastAsia="仿宋" w:cs="仿宋"/>
          <w:b/>
          <w:caps/>
          <w:color w:val="auto"/>
          <w:spacing w:val="1"/>
          <w:kern w:val="0"/>
          <w:sz w:val="28"/>
          <w:szCs w:val="28"/>
          <w:fitText w:val="2810" w:id="4"/>
        </w:rPr>
        <w:t>：</w:t>
      </w:r>
    </w:p>
    <w:p w14:paraId="60ABBD12">
      <w:pPr>
        <w:adjustRightInd w:val="0"/>
        <w:snapToGrid w:val="0"/>
        <w:spacing w:line="360" w:lineRule="auto"/>
        <w:jc w:val="center"/>
        <w:rPr>
          <w:rFonts w:ascii="仿宋" w:hAnsi="仿宋" w:eastAsia="仿宋" w:cs="仿宋"/>
          <w:b/>
          <w:caps/>
          <w:color w:val="auto"/>
          <w:sz w:val="28"/>
          <w:szCs w:val="28"/>
        </w:rPr>
      </w:pPr>
    </w:p>
    <w:p w14:paraId="431BEA95">
      <w:pPr>
        <w:adjustRightInd w:val="0"/>
        <w:snapToGrid w:val="0"/>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rPr>
        <w:t>年</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rPr>
        <w:t>月</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rPr>
        <w:t>日</w:t>
      </w:r>
    </w:p>
    <w:p w14:paraId="094055A4">
      <w:pPr>
        <w:pStyle w:val="29"/>
        <w:spacing w:after="340" w:line="240" w:lineRule="auto"/>
        <w:ind w:firstLine="0"/>
        <w:jc w:val="both"/>
        <w:rPr>
          <w:rFonts w:hint="eastAsia" w:ascii="仿宋" w:hAnsi="仿宋" w:eastAsia="仿宋" w:cs="仿宋"/>
          <w:b/>
          <w:color w:val="auto"/>
          <w:sz w:val="28"/>
          <w:szCs w:val="28"/>
        </w:rPr>
      </w:pPr>
    </w:p>
    <w:p w14:paraId="20A1DCBB">
      <w:pPr>
        <w:pStyle w:val="29"/>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p>
    <w:p w14:paraId="033FC15E">
      <w:pPr>
        <w:pStyle w:val="29"/>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资格证明文件</w:t>
      </w:r>
    </w:p>
    <w:bookmarkEnd w:id="94"/>
    <w:p w14:paraId="3D783FF3">
      <w:pPr>
        <w:keepNext w:val="0"/>
        <w:keepLines w:val="0"/>
        <w:pageBreakBefore w:val="0"/>
        <w:widowControl w:val="0"/>
        <w:numPr>
          <w:ilvl w:val="0"/>
          <w:numId w:val="5"/>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具备有效的营业执照副本</w:t>
      </w:r>
    </w:p>
    <w:p w14:paraId="09016950">
      <w:pPr>
        <w:keepNext w:val="0"/>
        <w:keepLines w:val="0"/>
        <w:pageBreakBefore w:val="0"/>
        <w:widowControl w:val="0"/>
        <w:numPr>
          <w:ilvl w:val="0"/>
          <w:numId w:val="0"/>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2、法定代表人资格证明书</w:t>
      </w:r>
    </w:p>
    <w:p w14:paraId="05A12D8D">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3、法定代表人授权书</w:t>
      </w:r>
    </w:p>
    <w:p w14:paraId="238CE7B8">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4、</w:t>
      </w:r>
      <w:r>
        <w:rPr>
          <w:rFonts w:hint="eastAsia" w:ascii="仿宋" w:hAnsi="仿宋" w:eastAsia="仿宋" w:cs="仿宋"/>
          <w:b/>
          <w:color w:val="auto"/>
          <w:lang w:val="en-US" w:eastAsia="zh-CN"/>
        </w:rPr>
        <w:t>投标保证金缴纳凭证或投标担保函</w:t>
      </w:r>
      <w:r>
        <w:rPr>
          <w:rFonts w:hint="eastAsia" w:ascii="仿宋" w:hAnsi="仿宋" w:eastAsia="仿宋" w:cs="仿宋"/>
          <w:b/>
          <w:color w:val="auto"/>
          <w:lang w:eastAsia="zh-CN"/>
        </w:rPr>
        <w:t>；</w:t>
      </w:r>
    </w:p>
    <w:p w14:paraId="14B5D55B">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5</w:t>
      </w:r>
      <w:r>
        <w:rPr>
          <w:rFonts w:hint="eastAsia" w:ascii="仿宋" w:hAnsi="仿宋" w:eastAsia="仿宋" w:cs="仿宋"/>
          <w:b/>
          <w:color w:val="auto"/>
          <w:lang w:eastAsia="zh-CN"/>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p w14:paraId="2133B8E0">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6</w:t>
      </w:r>
      <w:r>
        <w:rPr>
          <w:rFonts w:hint="eastAsia" w:ascii="仿宋" w:hAnsi="仿宋" w:eastAsia="仿宋" w:cs="仿宋"/>
          <w:b/>
          <w:color w:val="auto"/>
          <w:lang w:eastAsia="zh-CN"/>
        </w:rPr>
        <w:t xml:space="preserve">、投标人须知资料表要求的其他资格证明文件; </w:t>
      </w:r>
    </w:p>
    <w:p w14:paraId="038965A4">
      <w:pPr>
        <w:pStyle w:val="9"/>
        <w:keepNext w:val="0"/>
        <w:keepLines w:val="0"/>
        <w:pageBreakBefore w:val="0"/>
        <w:widowControl w:val="0"/>
        <w:numPr>
          <w:ilvl w:val="0"/>
          <w:numId w:val="0"/>
        </w:numPr>
        <w:tabs>
          <w:tab w:val="clear" w:pos="780"/>
        </w:tabs>
        <w:kinsoku w:val="0"/>
        <w:wordWrap/>
        <w:overflowPunct w:val="0"/>
        <w:topLinePunct w:val="0"/>
        <w:autoSpaceDE/>
        <w:autoSpaceDN/>
        <w:bidi w:val="0"/>
        <w:adjustRightInd/>
        <w:spacing w:before="130" w:line="480" w:lineRule="auto"/>
        <w:ind w:left="480" w:right="7"/>
        <w:jc w:val="both"/>
        <w:textAlignment w:val="auto"/>
        <w:rPr>
          <w:rFonts w:hint="eastAsia" w:ascii="仿宋" w:hAnsi="仿宋" w:eastAsia="仿宋" w:cs="仿宋"/>
          <w:b/>
          <w:bCs/>
          <w:color w:val="auto"/>
          <w:sz w:val="36"/>
          <w:szCs w:val="36"/>
        </w:rPr>
      </w:pPr>
    </w:p>
    <w:p w14:paraId="000C92D6">
      <w:pPr>
        <w:pStyle w:val="10"/>
        <w:numPr>
          <w:ilvl w:val="0"/>
          <w:numId w:val="0"/>
        </w:numPr>
        <w:tabs>
          <w:tab w:val="clear" w:pos="780"/>
        </w:tabs>
        <w:ind w:leftChars="100"/>
        <w:rPr>
          <w:rFonts w:hint="eastAsia"/>
        </w:rPr>
      </w:pPr>
    </w:p>
    <w:p w14:paraId="2290BD2D">
      <w:pPr>
        <w:rPr>
          <w:rFonts w:hint="eastAsia"/>
        </w:rPr>
      </w:pPr>
    </w:p>
    <w:p w14:paraId="7F55E661">
      <w:pPr>
        <w:pStyle w:val="16"/>
        <w:rPr>
          <w:rFonts w:hint="eastAsia"/>
        </w:rPr>
      </w:pPr>
    </w:p>
    <w:p w14:paraId="313A7246">
      <w:pPr>
        <w:rPr>
          <w:rFonts w:hint="eastAsia" w:ascii="仿宋" w:hAnsi="仿宋" w:eastAsia="仿宋" w:cs="仿宋"/>
          <w:b/>
          <w:bCs/>
          <w:color w:val="auto"/>
          <w:sz w:val="36"/>
          <w:szCs w:val="36"/>
        </w:rPr>
      </w:pPr>
    </w:p>
    <w:p w14:paraId="08FF4B1B">
      <w:pPr>
        <w:pStyle w:val="16"/>
        <w:rPr>
          <w:rFonts w:hint="eastAsia"/>
        </w:rPr>
      </w:pPr>
    </w:p>
    <w:p w14:paraId="50B888F6">
      <w:pPr>
        <w:pStyle w:val="9"/>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14:paraId="78F80460">
      <w:pPr>
        <w:pStyle w:val="9"/>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14:paraId="546E24AD">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7C908B73">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19BBDAA4">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27B13EF3">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13277157">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lang w:val="en-US" w:eastAsia="zh-CN"/>
        </w:rPr>
      </w:pPr>
    </w:p>
    <w:p w14:paraId="0A276626">
      <w:pP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br w:type="page"/>
      </w:r>
    </w:p>
    <w:p w14:paraId="50355279">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1、 具备有效的营业执照副本；</w:t>
      </w:r>
    </w:p>
    <w:p w14:paraId="2519950B">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jc w:val="center"/>
        <w:rPr>
          <w:rFonts w:hint="eastAsia" w:ascii="仿宋" w:hAnsi="仿宋" w:eastAsia="仿宋" w:cs="仿宋"/>
          <w:b/>
          <w:color w:val="auto"/>
          <w:sz w:val="24"/>
          <w:highlight w:val="none"/>
        </w:rPr>
      </w:pPr>
    </w:p>
    <w:p w14:paraId="72CC4E86">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619629A0">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216BE8E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说明：提供有效的营业执照等证明文件复印件，复印件上应加盖本单位章。</w:t>
      </w:r>
    </w:p>
    <w:p w14:paraId="75A0DB38">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09E79384">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414E6F8">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24CA00A">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AE772A0">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94009CF">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FD7AA98">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30C6B72">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AF79C82">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0C3C303F">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4283D776">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7A12B92">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D8361A6">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04BBD4B">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4DB5E31F">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CCCFCB3">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0AE0C29">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137CD75">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F61B360">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0795E7BE">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4574906">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7A0A433E">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D4D655A">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33675DB2">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53295A91">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2、</w:t>
      </w:r>
      <w:r>
        <w:rPr>
          <w:rFonts w:hint="eastAsia" w:ascii="仿宋" w:hAnsi="仿宋" w:eastAsia="仿宋" w:cs="仿宋"/>
          <w:b/>
          <w:bCs/>
          <w:color w:val="auto"/>
          <w:sz w:val="36"/>
          <w:szCs w:val="36"/>
        </w:rPr>
        <w:t>法定代表人身份证明</w:t>
      </w:r>
    </w:p>
    <w:p w14:paraId="4C6F8919">
      <w:pPr>
        <w:pStyle w:val="5"/>
        <w:rPr>
          <w:rFonts w:hint="eastAsia"/>
        </w:rPr>
      </w:pPr>
    </w:p>
    <w:p w14:paraId="2927FC88">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投标单位名称：</w:t>
      </w:r>
      <w:r>
        <w:rPr>
          <w:rFonts w:hint="eastAsia" w:ascii="仿宋" w:hAnsi="仿宋" w:eastAsia="仿宋" w:cs="仿宋"/>
          <w:color w:val="auto"/>
          <w:kern w:val="0"/>
          <w:sz w:val="24"/>
          <w:u w:val="single"/>
        </w:rPr>
        <w:t xml:space="preserve">                       </w:t>
      </w:r>
    </w:p>
    <w:p w14:paraId="5760A03A">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单位性质：</w:t>
      </w:r>
      <w:r>
        <w:rPr>
          <w:rFonts w:hint="eastAsia" w:ascii="仿宋" w:hAnsi="仿宋" w:eastAsia="仿宋" w:cs="仿宋"/>
          <w:color w:val="auto"/>
          <w:kern w:val="0"/>
          <w:sz w:val="24"/>
          <w:u w:val="single"/>
        </w:rPr>
        <w:t xml:space="preserve">                           </w:t>
      </w:r>
    </w:p>
    <w:p w14:paraId="77C4123A">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地址：</w:t>
      </w:r>
      <w:r>
        <w:rPr>
          <w:rFonts w:hint="eastAsia" w:ascii="仿宋" w:hAnsi="仿宋" w:eastAsia="仿宋" w:cs="仿宋"/>
          <w:color w:val="auto"/>
          <w:kern w:val="0"/>
          <w:sz w:val="24"/>
          <w:u w:val="single"/>
        </w:rPr>
        <w:t xml:space="preserve">                               </w:t>
      </w:r>
    </w:p>
    <w:p w14:paraId="5179F513">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成立时间：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030453DB">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经营期限：</w:t>
      </w:r>
      <w:r>
        <w:rPr>
          <w:rFonts w:hint="eastAsia" w:ascii="仿宋" w:hAnsi="仿宋" w:eastAsia="仿宋" w:cs="仿宋"/>
          <w:color w:val="auto"/>
          <w:kern w:val="0"/>
          <w:sz w:val="24"/>
          <w:u w:val="single"/>
        </w:rPr>
        <w:t xml:space="preserve">             </w:t>
      </w:r>
    </w:p>
    <w:p w14:paraId="720FB540">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性别：</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年龄：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职务：</w:t>
      </w:r>
      <w:r>
        <w:rPr>
          <w:rFonts w:hint="eastAsia" w:ascii="仿宋" w:hAnsi="仿宋" w:eastAsia="仿宋" w:cs="仿宋"/>
          <w:color w:val="auto"/>
          <w:kern w:val="0"/>
          <w:sz w:val="24"/>
          <w:u w:val="single"/>
        </w:rPr>
        <w:t xml:space="preserve">           </w:t>
      </w:r>
    </w:p>
    <w:p w14:paraId="32E263E2">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身份证号码：</w:t>
      </w:r>
      <w:r>
        <w:rPr>
          <w:rFonts w:hint="eastAsia" w:ascii="仿宋" w:hAnsi="仿宋" w:eastAsia="仿宋" w:cs="仿宋"/>
          <w:color w:val="auto"/>
          <w:kern w:val="0"/>
          <w:sz w:val="24"/>
          <w:u w:val="single"/>
        </w:rPr>
        <w:t xml:space="preserve">                                  </w:t>
      </w:r>
    </w:p>
    <w:p w14:paraId="2E5B3663">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系</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（投标单位名称）的法定代表人。</w:t>
      </w:r>
    </w:p>
    <w:p w14:paraId="51269819">
      <w:pPr>
        <w:spacing w:line="420" w:lineRule="exact"/>
        <w:ind w:firstLine="980" w:firstLineChars="400"/>
        <w:rPr>
          <w:rFonts w:hint="eastAsia" w:ascii="仿宋" w:hAnsi="仿宋" w:eastAsia="仿宋" w:cs="仿宋"/>
          <w:color w:val="auto"/>
          <w:kern w:val="0"/>
          <w:sz w:val="24"/>
        </w:rPr>
      </w:pPr>
      <w:r>
        <w:rPr>
          <w:rFonts w:hint="eastAsia" w:ascii="仿宋" w:hAnsi="仿宋" w:eastAsia="仿宋" w:cs="仿宋"/>
          <w:color w:val="auto"/>
          <w:kern w:val="0"/>
          <w:sz w:val="24"/>
        </w:rPr>
        <w:t>特此证明。</w:t>
      </w:r>
    </w:p>
    <w:p w14:paraId="589F2E45">
      <w:pPr>
        <w:pStyle w:val="9"/>
        <w:numPr>
          <w:ilvl w:val="0"/>
          <w:numId w:val="0"/>
        </w:numPr>
        <w:kinsoku w:val="0"/>
        <w:overflowPunct w:val="0"/>
        <w:ind w:leftChars="0" w:right="0" w:rightChars="0"/>
        <w:rPr>
          <w:rFonts w:hint="eastAsia" w:ascii="仿宋" w:hAnsi="仿宋" w:eastAsia="仿宋" w:cs="仿宋"/>
          <w:color w:val="auto"/>
          <w:sz w:val="20"/>
          <w:szCs w:val="20"/>
        </w:rPr>
      </w:pPr>
    </w:p>
    <w:p w14:paraId="192C3D6B">
      <w:pPr>
        <w:pStyle w:val="9"/>
        <w:numPr>
          <w:ilvl w:val="0"/>
          <w:numId w:val="0"/>
        </w:numPr>
        <w:kinsoku w:val="0"/>
        <w:overflowPunct w:val="0"/>
        <w:spacing w:before="7"/>
        <w:ind w:leftChars="0" w:right="0" w:rightChars="0"/>
        <w:rPr>
          <w:rFonts w:hint="eastAsia" w:ascii="仿宋" w:hAnsi="仿宋" w:eastAsia="仿宋" w:cs="仿宋"/>
          <w:color w:val="auto"/>
          <w:sz w:val="25"/>
          <w:szCs w:val="25"/>
        </w:rPr>
      </w:pPr>
    </w:p>
    <w:p w14:paraId="79BEC3F9">
      <w:pPr>
        <w:pStyle w:val="9"/>
        <w:numPr>
          <w:ilvl w:val="0"/>
          <w:numId w:val="0"/>
        </w:numPr>
        <w:kinsoku w:val="0"/>
        <w:overflowPunct w:val="0"/>
        <w:spacing w:line="200" w:lineRule="atLeast"/>
        <w:ind w:right="0" w:rightChars="0"/>
        <w:rPr>
          <w:rFonts w:hint="eastAsia" w:ascii="仿宋" w:hAnsi="仿宋" w:eastAsia="仿宋" w:cs="仿宋"/>
          <w:color w:val="auto"/>
          <w:sz w:val="20"/>
          <w:szCs w:val="20"/>
        </w:rPr>
      </w:pPr>
      <w:r>
        <w:rPr>
          <w:rFonts w:hint="eastAsia" w:ascii="仿宋" w:hAnsi="仿宋" w:eastAsia="仿宋" w:cs="仿宋"/>
          <w:color w:val="auto"/>
          <w:sz w:val="20"/>
          <w:szCs w:val="20"/>
        </w:rPr>
        <mc:AlternateContent>
          <mc:Choice Requires="wpg">
            <w:drawing>
              <wp:inline distT="0" distB="0" distL="114300" distR="114300">
                <wp:extent cx="5136515" cy="1458595"/>
                <wp:effectExtent l="635" t="635" r="6350" b="7620"/>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a:effectLst/>
                      </wpg:grpSpPr>
                      <wps:wsp>
                        <wps:cNvPr id="14" name="任意多边形 14"/>
                        <wps:cNvSpPr/>
                        <wps:spPr>
                          <a:xfrm>
                            <a:off x="4" y="9"/>
                            <a:ext cx="8079" cy="20"/>
                          </a:xfrm>
                          <a:custGeom>
                            <a:avLst/>
                            <a:gdLst/>
                            <a:ahLst/>
                            <a:cxnLst/>
                            <a:pathLst>
                              <a:path w="8079" h="20">
                                <a:moveTo>
                                  <a:pt x="0" y="0"/>
                                </a:moveTo>
                                <a:lnTo>
                                  <a:pt x="8078" y="0"/>
                                </a:lnTo>
                              </a:path>
                            </a:pathLst>
                          </a:custGeom>
                          <a:solidFill>
                            <a:srgbClr val="CCE8CF"/>
                          </a:solidFill>
                          <a:ln w="25400" cap="flat" cmpd="sng" algn="ctr">
                            <a:noFill/>
                            <a:prstDash val="solid"/>
                            <a:headEnd type="none" w="med" len="med"/>
                            <a:tailEnd type="none" w="med" len="med"/>
                          </a:ln>
                          <a:effectLst/>
                        </wps:spPr>
                        <wps:bodyPr upright="1"/>
                      </wps:wsp>
                      <wps:wsp>
                        <wps:cNvPr id="15" name="任意多边形 15"/>
                        <wps:cNvSpPr/>
                        <wps:spPr>
                          <a:xfrm>
                            <a:off x="24" y="28"/>
                            <a:ext cx="8041" cy="20"/>
                          </a:xfrm>
                          <a:custGeom>
                            <a:avLst/>
                            <a:gdLst/>
                            <a:ahLst/>
                            <a:cxnLst/>
                            <a:pathLst>
                              <a:path w="8041" h="20">
                                <a:moveTo>
                                  <a:pt x="0" y="0"/>
                                </a:moveTo>
                                <a:lnTo>
                                  <a:pt x="8040" y="0"/>
                                </a:lnTo>
                              </a:path>
                            </a:pathLst>
                          </a:custGeom>
                          <a:solidFill>
                            <a:srgbClr val="CCE8CF"/>
                          </a:solidFill>
                          <a:ln w="25400" cap="flat" cmpd="sng" algn="ctr">
                            <a:noFill/>
                            <a:prstDash val="solid"/>
                            <a:headEnd type="none" w="med" len="med"/>
                            <a:tailEnd type="none" w="med" len="med"/>
                          </a:ln>
                          <a:effectLst/>
                        </wps:spPr>
                        <wps:bodyPr upright="1"/>
                      </wps:wsp>
                      <wps:wsp>
                        <wps:cNvPr id="16" name="任意多边形 16"/>
                        <wps:cNvSpPr/>
                        <wps:spPr>
                          <a:xfrm>
                            <a:off x="24" y="2267"/>
                            <a:ext cx="8041" cy="20"/>
                          </a:xfrm>
                          <a:custGeom>
                            <a:avLst/>
                            <a:gdLst/>
                            <a:ahLst/>
                            <a:cxnLst/>
                            <a:pathLst>
                              <a:path w="8041" h="20">
                                <a:moveTo>
                                  <a:pt x="0" y="0"/>
                                </a:moveTo>
                                <a:lnTo>
                                  <a:pt x="8040" y="0"/>
                                </a:lnTo>
                              </a:path>
                            </a:pathLst>
                          </a:custGeom>
                          <a:solidFill>
                            <a:srgbClr val="CCE8CF"/>
                          </a:solidFill>
                          <a:ln w="25400" cap="flat" cmpd="sng" algn="ctr">
                            <a:noFill/>
                            <a:prstDash val="solid"/>
                            <a:headEnd type="none" w="med" len="med"/>
                            <a:tailEnd type="none" w="med" len="med"/>
                          </a:ln>
                          <a:effectLst/>
                        </wps:spPr>
                        <wps:bodyPr upright="1"/>
                      </wps:wsp>
                      <wps:wsp>
                        <wps:cNvPr id="17" name="任意多边形 17"/>
                        <wps:cNvSpPr/>
                        <wps:spPr>
                          <a:xfrm>
                            <a:off x="4" y="2286"/>
                            <a:ext cx="8079" cy="20"/>
                          </a:xfrm>
                          <a:custGeom>
                            <a:avLst/>
                            <a:gdLst/>
                            <a:ahLst/>
                            <a:cxnLst/>
                            <a:pathLst>
                              <a:path w="8079" h="20">
                                <a:moveTo>
                                  <a:pt x="0" y="0"/>
                                </a:moveTo>
                                <a:lnTo>
                                  <a:pt x="8078" y="0"/>
                                </a:lnTo>
                              </a:path>
                            </a:pathLst>
                          </a:custGeom>
                          <a:solidFill>
                            <a:srgbClr val="CCE8CF"/>
                          </a:solidFill>
                          <a:ln w="25400" cap="flat" cmpd="sng" algn="ctr">
                            <a:noFill/>
                            <a:prstDash val="solid"/>
                            <a:headEnd type="none" w="med" len="med"/>
                            <a:tailEnd type="none" w="med" len="med"/>
                          </a:ln>
                          <a:effectLst/>
                        </wps:spPr>
                        <wps:bodyPr upright="1"/>
                      </wps:wsp>
                      <wps:wsp>
                        <wps:cNvPr id="19" name="任意多边形 19"/>
                        <wps:cNvSpPr/>
                        <wps:spPr>
                          <a:xfrm>
                            <a:off x="9" y="4"/>
                            <a:ext cx="20" cy="2287"/>
                          </a:xfrm>
                          <a:custGeom>
                            <a:avLst/>
                            <a:gdLst/>
                            <a:ahLst/>
                            <a:cxnLst/>
                            <a:pathLst>
                              <a:path w="20" h="2287">
                                <a:moveTo>
                                  <a:pt x="0" y="0"/>
                                </a:moveTo>
                                <a:lnTo>
                                  <a:pt x="0" y="2286"/>
                                </a:lnTo>
                              </a:path>
                            </a:pathLst>
                          </a:custGeom>
                          <a:solidFill>
                            <a:srgbClr val="CCE8CF"/>
                          </a:solidFill>
                          <a:ln w="25400" cap="flat" cmpd="sng" algn="ctr">
                            <a:noFill/>
                            <a:prstDash val="solid"/>
                            <a:headEnd type="none" w="med" len="med"/>
                            <a:tailEnd type="none" w="med" len="med"/>
                          </a:ln>
                          <a:effectLst/>
                        </wps:spPr>
                        <wps:bodyPr upright="1"/>
                      </wps:wsp>
                      <wps:wsp>
                        <wps:cNvPr id="20" name="任意多边形 20"/>
                        <wps:cNvSpPr/>
                        <wps:spPr>
                          <a:xfrm>
                            <a:off x="28" y="24"/>
                            <a:ext cx="20" cy="2249"/>
                          </a:xfrm>
                          <a:custGeom>
                            <a:avLst/>
                            <a:gdLst/>
                            <a:ahLst/>
                            <a:cxnLst/>
                            <a:pathLst>
                              <a:path w="20" h="2249">
                                <a:moveTo>
                                  <a:pt x="0" y="0"/>
                                </a:moveTo>
                                <a:lnTo>
                                  <a:pt x="0" y="2248"/>
                                </a:lnTo>
                              </a:path>
                            </a:pathLst>
                          </a:custGeom>
                          <a:solidFill>
                            <a:srgbClr val="CCE8CF"/>
                          </a:solidFill>
                          <a:ln w="25400" cap="flat" cmpd="sng" algn="ctr">
                            <a:noFill/>
                            <a:prstDash val="solid"/>
                            <a:headEnd type="none" w="med" len="med"/>
                            <a:tailEnd type="none" w="med" len="med"/>
                          </a:ln>
                          <a:effectLst/>
                        </wps:spPr>
                        <wps:bodyPr upright="1"/>
                      </wps:wsp>
                      <wps:wsp>
                        <wps:cNvPr id="21" name="任意多边形 21"/>
                        <wps:cNvSpPr/>
                        <wps:spPr>
                          <a:xfrm>
                            <a:off x="4034" y="24"/>
                            <a:ext cx="20" cy="2239"/>
                          </a:xfrm>
                          <a:custGeom>
                            <a:avLst/>
                            <a:gdLst/>
                            <a:ahLst/>
                            <a:cxnLst/>
                            <a:pathLst>
                              <a:path w="20" h="2239">
                                <a:moveTo>
                                  <a:pt x="0" y="0"/>
                                </a:moveTo>
                                <a:lnTo>
                                  <a:pt x="0" y="2238"/>
                                </a:lnTo>
                              </a:path>
                            </a:pathLst>
                          </a:custGeom>
                          <a:solidFill>
                            <a:srgbClr val="CCE8CF"/>
                          </a:solidFill>
                          <a:ln w="25400" cap="flat" cmpd="sng" algn="ctr">
                            <a:noFill/>
                            <a:prstDash val="solid"/>
                            <a:headEnd type="none" w="med" len="med"/>
                            <a:tailEnd type="none" w="med" len="med"/>
                          </a:ln>
                          <a:effectLst/>
                        </wps:spPr>
                        <wps:bodyPr upright="1"/>
                      </wps:wsp>
                      <wps:wsp>
                        <wps:cNvPr id="22" name="任意多边形 22"/>
                        <wps:cNvSpPr/>
                        <wps:spPr>
                          <a:xfrm>
                            <a:off x="4053" y="24"/>
                            <a:ext cx="20" cy="2239"/>
                          </a:xfrm>
                          <a:custGeom>
                            <a:avLst/>
                            <a:gdLst/>
                            <a:ahLst/>
                            <a:cxnLst/>
                            <a:pathLst>
                              <a:path w="20" h="2239">
                                <a:moveTo>
                                  <a:pt x="0" y="0"/>
                                </a:moveTo>
                                <a:lnTo>
                                  <a:pt x="0" y="2238"/>
                                </a:lnTo>
                              </a:path>
                            </a:pathLst>
                          </a:custGeom>
                          <a:solidFill>
                            <a:srgbClr val="CCE8CF"/>
                          </a:solidFill>
                          <a:ln w="25400" cap="flat" cmpd="sng" algn="ctr">
                            <a:noFill/>
                            <a:prstDash val="solid"/>
                            <a:headEnd type="none" w="med" len="med"/>
                            <a:tailEnd type="none" w="med" len="med"/>
                          </a:ln>
                          <a:effectLst/>
                        </wps:spPr>
                        <wps:bodyPr upright="1"/>
                      </wps:wsp>
                      <wps:wsp>
                        <wps:cNvPr id="23" name="任意多边形 23"/>
                        <wps:cNvSpPr/>
                        <wps:spPr>
                          <a:xfrm>
                            <a:off x="8059" y="33"/>
                            <a:ext cx="20" cy="2239"/>
                          </a:xfrm>
                          <a:custGeom>
                            <a:avLst/>
                            <a:gdLst/>
                            <a:ahLst/>
                            <a:cxnLst/>
                            <a:pathLst>
                              <a:path w="20" h="2239">
                                <a:moveTo>
                                  <a:pt x="0" y="0"/>
                                </a:moveTo>
                                <a:lnTo>
                                  <a:pt x="0" y="2238"/>
                                </a:lnTo>
                              </a:path>
                            </a:pathLst>
                          </a:custGeom>
                          <a:solidFill>
                            <a:srgbClr val="CCE8CF"/>
                          </a:solidFill>
                          <a:ln w="25400" cap="flat" cmpd="sng" algn="ctr">
                            <a:noFill/>
                            <a:prstDash val="solid"/>
                            <a:headEnd type="none" w="med" len="med"/>
                            <a:tailEnd type="none" w="med" len="med"/>
                          </a:ln>
                          <a:effectLst/>
                        </wps:spPr>
                        <wps:bodyPr upright="1"/>
                      </wps:wsp>
                      <wps:wsp>
                        <wps:cNvPr id="24" name="任意多边形 24"/>
                        <wps:cNvSpPr/>
                        <wps:spPr>
                          <a:xfrm>
                            <a:off x="8078" y="14"/>
                            <a:ext cx="20" cy="2278"/>
                          </a:xfrm>
                          <a:custGeom>
                            <a:avLst/>
                            <a:gdLst/>
                            <a:ahLst/>
                            <a:cxnLst/>
                            <a:pathLst>
                              <a:path w="20" h="2278">
                                <a:moveTo>
                                  <a:pt x="0" y="0"/>
                                </a:moveTo>
                                <a:lnTo>
                                  <a:pt x="0" y="2277"/>
                                </a:lnTo>
                              </a:path>
                            </a:pathLst>
                          </a:custGeom>
                          <a:solidFill>
                            <a:srgbClr val="CCE8CF"/>
                          </a:solidFill>
                          <a:ln w="25400" cap="flat" cmpd="sng" algn="ctr">
                            <a:noFill/>
                            <a:prstDash val="solid"/>
                            <a:headEnd type="none" w="med" len="med"/>
                            <a:tailEnd type="none" w="med" len="med"/>
                          </a:ln>
                          <a:effectLst/>
                        </wps:spPr>
                        <wps:bodyPr upright="1"/>
                      </wps:wsp>
                      <wps:wsp>
                        <wps:cNvPr id="27" name="文本框 27"/>
                        <wps:cNvSpPr txBox="1"/>
                        <wps:spPr>
                          <a:xfrm>
                            <a:off x="19" y="19"/>
                            <a:ext cx="4025" cy="2258"/>
                          </a:xfrm>
                          <a:prstGeom prst="rect">
                            <a:avLst/>
                          </a:prstGeom>
                          <a:noFill/>
                          <a:ln w="25400" cap="flat" cmpd="sng" algn="ctr">
                            <a:solidFill>
                              <a:srgbClr val="000000"/>
                            </a:solidFill>
                            <a:prstDash val="solid"/>
                          </a:ln>
                          <a:effectLst/>
                        </wps:spPr>
                        <wps:txbx>
                          <w:txbxContent>
                            <w:p w14:paraId="403A36DC">
                              <w:pPr>
                                <w:pStyle w:val="9"/>
                                <w:numPr>
                                  <w:ilvl w:val="0"/>
                                  <w:numId w:val="0"/>
                                </w:numPr>
                                <w:kinsoku w:val="0"/>
                                <w:overflowPunct w:val="0"/>
                                <w:spacing w:before="13"/>
                                <w:ind w:leftChars="0" w:right="0" w:rightChars="0"/>
                                <w:rPr>
                                  <w:rFonts w:hint="eastAsia"/>
                                  <w:sz w:val="28"/>
                                  <w:szCs w:val="28"/>
                                </w:rPr>
                              </w:pPr>
                            </w:p>
                            <w:p w14:paraId="3B1F8EDE">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txbxContent>
                        </wps:txbx>
                        <wps:bodyPr lIns="0" tIns="0" rIns="0" bIns="0" upright="1"/>
                      </wps:wsp>
                      <wps:wsp>
                        <wps:cNvPr id="32" name="文本框 32"/>
                        <wps:cNvSpPr txBox="1"/>
                        <wps:spPr>
                          <a:xfrm>
                            <a:off x="4044" y="19"/>
                            <a:ext cx="4025" cy="2258"/>
                          </a:xfrm>
                          <a:prstGeom prst="rect">
                            <a:avLst/>
                          </a:prstGeom>
                          <a:noFill/>
                          <a:ln w="25400" cap="flat" cmpd="sng" algn="ctr">
                            <a:solidFill>
                              <a:srgbClr val="000000"/>
                            </a:solidFill>
                            <a:prstDash val="solid"/>
                          </a:ln>
                          <a:effectLst/>
                        </wps:spPr>
                        <wps:txbx>
                          <w:txbxContent>
                            <w:p w14:paraId="166EDF6D">
                              <w:pPr>
                                <w:pStyle w:val="9"/>
                                <w:numPr>
                                  <w:ilvl w:val="0"/>
                                  <w:numId w:val="0"/>
                                </w:numPr>
                                <w:kinsoku w:val="0"/>
                                <w:overflowPunct w:val="0"/>
                                <w:spacing w:before="13"/>
                                <w:ind w:leftChars="0" w:right="0" w:rightChars="0"/>
                                <w:rPr>
                                  <w:rFonts w:hint="eastAsia"/>
                                  <w:sz w:val="28"/>
                                  <w:szCs w:val="28"/>
                                </w:rPr>
                              </w:pPr>
                            </w:p>
                            <w:p w14:paraId="0C264AB3">
                              <w:pPr>
                                <w:pStyle w:val="9"/>
                                <w:numPr>
                                  <w:ilvl w:val="0"/>
                                  <w:numId w:val="0"/>
                                </w:numPr>
                                <w:kinsoku w:val="0"/>
                                <w:overflowPunct w:val="0"/>
                                <w:ind w:right="0" w:rightChars="0" w:firstLine="241" w:firstLineChars="100"/>
                                <w:rPr>
                                  <w:rFonts w:hint="eastAsia" w:ascii="仿宋" w:hAnsi="仿宋" w:eastAsia="仿宋" w:cs="仿宋"/>
                                  <w:sz w:val="24"/>
                                  <w:szCs w:val="24"/>
                                </w:rPr>
                              </w:pPr>
                              <w:r>
                                <w:rPr>
                                  <w:rFonts w:hint="eastAsia" w:ascii="仿宋" w:hAnsi="仿宋" w:eastAsia="仿宋" w:cs="仿宋"/>
                                  <w:b/>
                                  <w:bCs/>
                                  <w:sz w:val="24"/>
                                  <w:szCs w:val="24"/>
                                </w:rPr>
                                <w:t>法定代表人身份证复印件</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CX+X3P1gAAAAUBAAAPAAAAAAAAAAEAIAAAACIAAABkcnMvZG93bnJldi54bWxQ&#10;SwECFAAUAAAACACHTuJA3kKlIt4EAAAtIwAADgAAAAAAAAABACAAAAAlAQAAZHJzL2Uyb0RvYy54&#10;bWxQSwUGAAAAAAYABgBZAQAAdQgAAAAA&#10;">
                <o:lock v:ext="edit" rotation="t" aspectratio="f"/>
                <v:shape id="_x0000_s1026" o:spid="_x0000_s1026" o:spt="100" style="position:absolute;left:4;top:9;height:20;width:8079;" fillcolor="#CCE8CF" filled="t" stroked="f" coordsize="8079,20" o:gfxdata="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pfVh7sAAADb&#10;AAAADwAAAAAAAAABACAAAAAiAAAAZHJzL2Rvd25yZXYueG1sUEsBAhQAFAAAAAgAh07iQDMvBZ47&#10;AAAAOQAAABAAAAAAAAAAAQAgAAAACgEAAGRycy9zaGFwZXhtbC54bWxQSwUGAAAAAAYABgBbAQAA&#10;tAMAAAAA&#10;" path="m0,0l8078,0e">
                  <v:fill on="t" focussize="0,0"/>
                  <v:stroke on="f" weight="2pt"/>
                  <v:imagedata o:title=""/>
                  <o:lock v:ext="edit" aspectratio="f"/>
                </v:shape>
                <v:shape id="_x0000_s1026" o:spid="_x0000_s1026" o:spt="100" style="position:absolute;left:24;top:28;height:20;width:8041;" fillcolor="#CCE8CF" filled="t" stroked="f" coordsize="8041,20" o:gfxdata="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3QH+/&#10;AAAA2wAAAA8AAAAAAAAAAQAgAAAAIgAAAGRycy9kb3ducmV2LnhtbFBLAQIUABQAAAAIAIdO4kAz&#10;LwWeOwAAADkAAAAQAAAAAAAAAAEAIAAAAA4BAABkcnMvc2hhcGV4bWwueG1sUEsFBgAAAAAGAAYA&#10;WwEAALgDAAAAAA==&#10;" path="m0,0l8040,0e">
                  <v:fill on="t" focussize="0,0"/>
                  <v:stroke on="f" weight="2pt"/>
                  <v:imagedata o:title=""/>
                  <o:lock v:ext="edit" aspectratio="f"/>
                </v:shape>
                <v:shape id="_x0000_s1026" o:spid="_x0000_s1026" o:spt="100" style="position:absolute;left:24;top:2267;height:20;width:8041;" fillcolor="#CCE8CF" filled="t" stroked="f" coordsize="8041,20" o:gfxdata="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XeCL4A&#10;AADbAAAADwAAAAAAAAABACAAAAAiAAAAZHJzL2Rvd25yZXYueG1sUEsBAhQAFAAAAAgAh07iQDMv&#10;BZ47AAAAOQAAABAAAAAAAAAAAQAgAAAADQEAAGRycy9zaGFwZXhtbC54bWxQSwUGAAAAAAYABgBb&#10;AQAAtwMAAAAA&#10;" path="m0,0l8040,0e">
                  <v:fill on="t" focussize="0,0"/>
                  <v:stroke on="f" weight="2pt"/>
                  <v:imagedata o:title=""/>
                  <o:lock v:ext="edit" aspectratio="f"/>
                </v:shape>
                <v:shape id="_x0000_s1026" o:spid="_x0000_s1026" o:spt="100" style="position:absolute;left:4;top:2286;height:20;width:8079;" fillcolor="#CCE8CF" filled="t" stroked="f" coordsize="8079,20" o:gfxdata="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FS/C8AAAA&#10;2wAAAA8AAAAAAAAAAQAgAAAAIgAAAGRycy9kb3ducmV2LnhtbFBLAQIUABQAAAAIAIdO4kAzLwWe&#10;OwAAADkAAAAQAAAAAAAAAAEAIAAAAAsBAABkcnMvc2hhcGV4bWwueG1sUEsFBgAAAAAGAAYAWwEA&#10;ALUDAAAAAA==&#10;" path="m0,0l8078,0e">
                  <v:fill on="t" focussize="0,0"/>
                  <v:stroke on="f" weight="2pt"/>
                  <v:imagedata o:title=""/>
                  <o:lock v:ext="edit" aspectratio="f"/>
                </v:shape>
                <v:shape id="_x0000_s1026" o:spid="_x0000_s1026" o:spt="100" style="position:absolute;left:9;top:4;height:2287;width:20;" fillcolor="#CCE8CF" filled="t" stroked="f" coordsize="20,2287" o:gfxdata="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5kJe5AAAA2wAA&#10;AA8AAAAAAAAAAQAgAAAAIgAAAGRycy9kb3ducmV2LnhtbFBLAQIUABQAAAAIAIdO4kAzLwWeOwAA&#10;ADkAAAAQAAAAAAAAAAEAIAAAAAgBAABkcnMvc2hhcGV4bWwueG1sUEsFBgAAAAAGAAYAWwEAALID&#10;AAAAAA==&#10;" path="m0,0l0,2286e">
                  <v:fill on="t" focussize="0,0"/>
                  <v:stroke on="f" weight="2pt"/>
                  <v:imagedata o:title=""/>
                  <o:lock v:ext="edit" aspectratio="f"/>
                </v:shape>
                <v:shape id="_x0000_s1026" o:spid="_x0000_s1026" o:spt="100" style="position:absolute;left:28;top:24;height:2249;width:20;" fillcolor="#CCE8CF" filled="t" stroked="f" coordsize="20,2249" o:gfxdata="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kL4cbgAAADbAAAA&#10;DwAAAAAAAAABACAAAAAiAAAAZHJzL2Rvd25yZXYueG1sUEsBAhQAFAAAAAgAh07iQDMvBZ47AAAA&#10;OQAAABAAAAAAAAAAAQAgAAAABwEAAGRycy9zaGFwZXhtbC54bWxQSwUGAAAAAAYABgBbAQAAsQMA&#10;AAAA&#10;" path="m0,0l0,2248e">
                  <v:fill on="t" focussize="0,0"/>
                  <v:stroke on="f" weight="2pt"/>
                  <v:imagedata o:title=""/>
                  <o:lock v:ext="edit" aspectratio="f"/>
                </v:shape>
                <v:shape id="_x0000_s1026" o:spid="_x0000_s1026" o:spt="100" style="position:absolute;left:4034;top:24;height:2239;width:20;" fillcolor="#CCE8CF" filled="t" stroked="f" coordsize="20,2239" o:gfxdata="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IAxm/&#10;AAAA2wAAAA8AAAAAAAAAAQAgAAAAIgAAAGRycy9kb3ducmV2LnhtbFBLAQIUABQAAAAIAIdO4kAz&#10;LwWeOwAAADkAAAAQAAAAAAAAAAEAIAAAAA4BAABkcnMvc2hhcGV4bWwueG1sUEsFBgAAAAAGAAYA&#10;WwEAALgDAAAAAA==&#10;" path="m0,0l0,2238e">
                  <v:fill on="t" focussize="0,0"/>
                  <v:stroke on="f" weight="2pt"/>
                  <v:imagedata o:title=""/>
                  <o:lock v:ext="edit" aspectratio="f"/>
                </v:shape>
                <v:shape id="_x0000_s1026" o:spid="_x0000_s1026" o:spt="100" style="position:absolute;left:4053;top:24;height:2239;width:20;" fillcolor="#CCE8CF" filled="t" stroked="f" coordsize="20,2239" o:gfxdata="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qdbr4A&#10;AADbAAAADwAAAAAAAAABACAAAAAiAAAAZHJzL2Rvd25yZXYueG1sUEsBAhQAFAAAAAgAh07iQDMv&#10;BZ47AAAAOQAAABAAAAAAAAAAAQAgAAAADQEAAGRycy9zaGFwZXhtbC54bWxQSwUGAAAAAAYABgBb&#10;AQAAtwMAAAAA&#10;" path="m0,0l0,2238e">
                  <v:fill on="t" focussize="0,0"/>
                  <v:stroke on="f" weight="2pt"/>
                  <v:imagedata o:title=""/>
                  <o:lock v:ext="edit" aspectratio="f"/>
                </v:shape>
                <v:shape id="_x0000_s1026" o:spid="_x0000_s1026" o:spt="100" style="position:absolute;left:8059;top:33;height:2239;width:20;" fillcolor="#CCE8CF" filled="t" stroked="f" coordsize="20,2239" o:gfxdata="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xY49b4A&#10;AADbAAAADwAAAAAAAAABACAAAAAiAAAAZHJzL2Rvd25yZXYueG1sUEsBAhQAFAAAAAgAh07iQDMv&#10;BZ47AAAAOQAAABAAAAAAAAAAAQAgAAAADQEAAGRycy9zaGFwZXhtbC54bWxQSwUGAAAAAAYABgBb&#10;AQAAtwMAAAAA&#10;" path="m0,0l0,2238e">
                  <v:fill on="t" focussize="0,0"/>
                  <v:stroke on="f" weight="2pt"/>
                  <v:imagedata o:title=""/>
                  <o:lock v:ext="edit" aspectratio="f"/>
                </v:shape>
                <v:shape id="_x0000_s1026" o:spid="_x0000_s1026" o:spt="100" style="position:absolute;left:8078;top:14;height:2278;width:20;" fillcolor="#CCE8CF" filled="t" stroked="f" coordsize="20,2278" o:gfxdata="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Q9rq/&#10;AAAA2wAAAA8AAAAAAAAAAQAgAAAAIgAAAGRycy9kb3ducmV2LnhtbFBLAQIUABQAAAAIAIdO4kAz&#10;LwWeOwAAADkAAAAQAAAAAAAAAAEAIAAAAA4BAABkcnMvc2hhcGV4bWwueG1sUEsFBgAAAAAGAAYA&#10;WwEAALgDAAAAAA==&#10;" path="m0,0l0,2277e">
                  <v:fill on="t" focussize="0,0"/>
                  <v:stroke on="f" weight="2pt"/>
                  <v:imagedata o:title=""/>
                  <o:lock v:ext="edit" aspectratio="f"/>
                </v:shape>
                <v:shape id="_x0000_s1026" o:spid="_x0000_s1026" o:spt="202" type="#_x0000_t202" style="position:absolute;left:19;top:19;height:2258;width:4025;" filled="f" stroked="t" coordsize="21600,21600" o:gfxdata="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CJhPvQAA&#10;ANs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textbox inset="0mm,0mm,0mm,0mm">
                    <w:txbxContent>
                      <w:p w14:paraId="403A36DC">
                        <w:pPr>
                          <w:pStyle w:val="9"/>
                          <w:numPr>
                            <w:ilvl w:val="0"/>
                            <w:numId w:val="0"/>
                          </w:numPr>
                          <w:kinsoku w:val="0"/>
                          <w:overflowPunct w:val="0"/>
                          <w:spacing w:before="13"/>
                          <w:ind w:leftChars="0" w:right="0" w:rightChars="0"/>
                          <w:rPr>
                            <w:rFonts w:hint="eastAsia"/>
                            <w:sz w:val="28"/>
                            <w:szCs w:val="28"/>
                          </w:rPr>
                        </w:pPr>
                      </w:p>
                      <w:p w14:paraId="3B1F8EDE">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txbxContent>
                  </v:textbox>
                </v:shape>
                <v:shape id="_x0000_s1026" o:spid="_x0000_s1026" o:spt="202" type="#_x0000_t202" style="position:absolute;left:4044;top:19;height:2258;width:4025;" filled="f" stroked="t" coordsize="21600,21600" o:gfxdata="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pq0KvQAA&#10;ANs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textbox inset="0mm,0mm,0mm,0mm">
                    <w:txbxContent>
                      <w:p w14:paraId="166EDF6D">
                        <w:pPr>
                          <w:pStyle w:val="9"/>
                          <w:numPr>
                            <w:ilvl w:val="0"/>
                            <w:numId w:val="0"/>
                          </w:numPr>
                          <w:kinsoku w:val="0"/>
                          <w:overflowPunct w:val="0"/>
                          <w:spacing w:before="13"/>
                          <w:ind w:leftChars="0" w:right="0" w:rightChars="0"/>
                          <w:rPr>
                            <w:rFonts w:hint="eastAsia"/>
                            <w:sz w:val="28"/>
                            <w:szCs w:val="28"/>
                          </w:rPr>
                        </w:pPr>
                      </w:p>
                      <w:p w14:paraId="0C264AB3">
                        <w:pPr>
                          <w:pStyle w:val="9"/>
                          <w:numPr>
                            <w:ilvl w:val="0"/>
                            <w:numId w:val="0"/>
                          </w:numPr>
                          <w:kinsoku w:val="0"/>
                          <w:overflowPunct w:val="0"/>
                          <w:ind w:right="0" w:rightChars="0" w:firstLine="241" w:firstLineChars="100"/>
                          <w:rPr>
                            <w:rFonts w:hint="eastAsia" w:ascii="仿宋" w:hAnsi="仿宋" w:eastAsia="仿宋" w:cs="仿宋"/>
                            <w:sz w:val="24"/>
                            <w:szCs w:val="24"/>
                          </w:rPr>
                        </w:pPr>
                        <w:r>
                          <w:rPr>
                            <w:rFonts w:hint="eastAsia" w:ascii="仿宋" w:hAnsi="仿宋" w:eastAsia="仿宋" w:cs="仿宋"/>
                            <w:b/>
                            <w:bCs/>
                            <w:sz w:val="24"/>
                            <w:szCs w:val="24"/>
                          </w:rPr>
                          <w:t>法定代表人身份证复印件</w:t>
                        </w:r>
                      </w:p>
                    </w:txbxContent>
                  </v:textbox>
                </v:shape>
                <w10:wrap type="none"/>
                <w10:anchorlock/>
              </v:group>
            </w:pict>
          </mc:Fallback>
        </mc:AlternateContent>
      </w:r>
    </w:p>
    <w:p w14:paraId="45E83D70">
      <w:pPr>
        <w:wordWrap w:val="0"/>
        <w:spacing w:line="420" w:lineRule="exact"/>
        <w:ind w:firstLine="490" w:firstLineChars="200"/>
        <w:jc w:val="right"/>
        <w:rPr>
          <w:rFonts w:hint="eastAsia" w:ascii="仿宋" w:hAnsi="仿宋" w:eastAsia="仿宋" w:cs="仿宋"/>
          <w:color w:val="auto"/>
          <w:kern w:val="0"/>
          <w:sz w:val="24"/>
        </w:rPr>
      </w:pPr>
    </w:p>
    <w:p w14:paraId="7FEC341D">
      <w:pPr>
        <w:spacing w:line="420" w:lineRule="exact"/>
        <w:ind w:firstLine="490" w:firstLineChars="200"/>
        <w:jc w:val="right"/>
        <w:rPr>
          <w:rFonts w:hint="eastAsia" w:ascii="仿宋" w:hAnsi="仿宋" w:eastAsia="仿宋" w:cs="仿宋"/>
          <w:color w:val="auto"/>
          <w:kern w:val="0"/>
          <w:sz w:val="24"/>
        </w:rPr>
      </w:pPr>
    </w:p>
    <w:p w14:paraId="761C002E">
      <w:pPr>
        <w:pStyle w:val="16"/>
        <w:rPr>
          <w:rFonts w:hint="eastAsia" w:ascii="仿宋" w:hAnsi="仿宋" w:eastAsia="仿宋" w:cs="仿宋"/>
          <w:color w:val="auto"/>
          <w:kern w:val="0"/>
          <w:sz w:val="24"/>
        </w:rPr>
      </w:pPr>
    </w:p>
    <w:p w14:paraId="28FC3247">
      <w:pPr>
        <w:pStyle w:val="16"/>
        <w:rPr>
          <w:rFonts w:hint="eastAsia" w:ascii="仿宋" w:hAnsi="仿宋" w:eastAsia="仿宋" w:cs="仿宋"/>
          <w:color w:val="auto"/>
          <w:kern w:val="0"/>
          <w:sz w:val="24"/>
        </w:rPr>
      </w:pPr>
    </w:p>
    <w:p w14:paraId="117B1AA5">
      <w:pPr>
        <w:spacing w:line="420" w:lineRule="exact"/>
        <w:ind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（公章）</w:t>
      </w:r>
    </w:p>
    <w:p w14:paraId="601F2407">
      <w:pPr>
        <w:wordWrap w:val="0"/>
        <w:spacing w:line="420" w:lineRule="exact"/>
        <w:ind w:right="480"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日 </w:t>
      </w:r>
    </w:p>
    <w:p w14:paraId="4FF83433">
      <w:pPr>
        <w:pStyle w:val="9"/>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Cs w:val="21"/>
        </w:rPr>
      </w:pPr>
      <w:r>
        <w:rPr>
          <w:rFonts w:hint="eastAsia" w:ascii="仿宋" w:hAnsi="仿宋" w:eastAsia="仿宋" w:cs="仿宋"/>
          <w:color w:val="auto"/>
        </w:rPr>
        <w:br w:type="page"/>
      </w:r>
      <w:r>
        <w:rPr>
          <w:rFonts w:hint="eastAsia" w:ascii="仿宋" w:hAnsi="仿宋" w:eastAsia="仿宋" w:cs="仿宋"/>
          <w:b/>
          <w:bCs/>
          <w:color w:val="auto"/>
          <w:sz w:val="36"/>
          <w:szCs w:val="36"/>
          <w:lang w:val="en-US" w:eastAsia="zh-CN"/>
        </w:rPr>
        <w:t>3</w:t>
      </w:r>
      <w:r>
        <w:rPr>
          <w:rFonts w:hint="eastAsia" w:ascii="仿宋" w:hAnsi="仿宋" w:eastAsia="仿宋" w:cs="仿宋"/>
          <w:b/>
          <w:bCs/>
          <w:color w:val="auto"/>
          <w:sz w:val="36"/>
          <w:szCs w:val="36"/>
        </w:rPr>
        <w:t>、授权委托书</w:t>
      </w:r>
    </w:p>
    <w:p w14:paraId="6BA6291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致：采购人名称 </w:t>
      </w:r>
    </w:p>
    <w:p w14:paraId="545C237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本授权书声明：注册于（投标人地址）的（投标人名称）法定代表人（负责人）姓名、职务或职称）代表本公司授权（姓名）为本单位的合法代理人，参与贵方组织的（项目名称及项目编号） 的投标、谈判、签约等具体工作，并签署全部有关文件、协议及合同。</w:t>
      </w:r>
    </w:p>
    <w:p w14:paraId="4F2DCEB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我单位对被授权人的上述经济活动负全部责任。在撤销授权的书面通知前，本授权书一直有效。被授权人在授权书有效期内签署的所有文件不因授权的撤消而失效。</w:t>
      </w:r>
    </w:p>
    <w:p w14:paraId="02CB5C4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6489C5D6">
      <w:pPr>
        <w:pStyle w:val="9"/>
        <w:kinsoku w:val="0"/>
        <w:overflowPunct w:val="0"/>
        <w:adjustRightInd w:val="0"/>
        <w:snapToGrid w:val="0"/>
        <w:spacing w:before="12"/>
        <w:rPr>
          <w:rFonts w:hint="eastAsia" w:ascii="仿宋" w:hAnsi="仿宋" w:eastAsia="仿宋" w:cs="仿宋"/>
          <w:color w:val="auto"/>
          <w:sz w:val="4"/>
          <w:szCs w:val="4"/>
        </w:rPr>
      </w:pPr>
    </w:p>
    <w:p w14:paraId="09014481">
      <w:pPr>
        <w:pStyle w:val="9"/>
        <w:numPr>
          <w:ilvl w:val="0"/>
          <w:numId w:val="0"/>
        </w:numPr>
        <w:kinsoku w:val="0"/>
        <w:overflowPunct w:val="0"/>
        <w:adjustRightInd w:val="0"/>
        <w:snapToGrid w:val="0"/>
        <w:spacing w:line="200" w:lineRule="atLeast"/>
        <w:ind w:right="1947" w:rightChars="795"/>
        <w:jc w:val="center"/>
        <w:rPr>
          <w:rFonts w:hint="eastAsia" w:ascii="仿宋" w:hAnsi="仿宋" w:eastAsia="仿宋" w:cs="仿宋"/>
          <w:color w:val="auto"/>
          <w:sz w:val="18"/>
          <w:szCs w:val="20"/>
        </w:rPr>
      </w:pPr>
      <w:r>
        <w:rPr>
          <w:rFonts w:hint="eastAsia" w:ascii="仿宋" w:hAnsi="仿宋" w:eastAsia="仿宋" w:cs="仿宋"/>
          <w:color w:val="auto"/>
          <w:sz w:val="18"/>
          <w:szCs w:val="20"/>
        </w:rPr>
        <mc:AlternateContent>
          <mc:Choice Requires="wpg">
            <w:drawing>
              <wp:inline distT="0" distB="0" distL="114300" distR="114300">
                <wp:extent cx="5136515" cy="1458595"/>
                <wp:effectExtent l="635" t="635" r="6350" b="7620"/>
                <wp:docPr id="28" name="组合 28"/>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a:effectLst/>
                      </wpg:grpSpPr>
                      <wps:wsp>
                        <wps:cNvPr id="33"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4"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5"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a:effectLst/>
                        </wps:spPr>
                        <wps:bodyPr upright="1"/>
                      </wps:wsp>
                      <wps:wsp>
                        <wps:cNvPr id="6"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a:effectLst/>
                        </wps:spPr>
                        <wps:bodyPr upright="1"/>
                      </wps:wsp>
                      <wps:wsp>
                        <wps:cNvPr id="7"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8"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9"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10"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a:effectLst/>
                        </wps:spPr>
                        <wps:bodyPr upright="1"/>
                      </wps:wsp>
                      <wps:wsp>
                        <wps:cNvPr id="11" name="文本框 11"/>
                        <wps:cNvSpPr txBox="1"/>
                        <wps:spPr>
                          <a:xfrm>
                            <a:off x="19" y="19"/>
                            <a:ext cx="4025" cy="2258"/>
                          </a:xfrm>
                          <a:prstGeom prst="rect">
                            <a:avLst/>
                          </a:prstGeom>
                          <a:noFill/>
                          <a:ln w="25400" cap="flat" cmpd="sng" algn="ctr">
                            <a:solidFill>
                              <a:srgbClr val="000000"/>
                            </a:solidFill>
                            <a:prstDash val="solid"/>
                          </a:ln>
                          <a:effectLst/>
                        </wps:spPr>
                        <wps:txbx>
                          <w:txbxContent>
                            <w:p w14:paraId="39FCF1C5">
                              <w:pPr>
                                <w:pStyle w:val="9"/>
                                <w:numPr>
                                  <w:ilvl w:val="0"/>
                                  <w:numId w:val="0"/>
                                </w:numPr>
                                <w:kinsoku w:val="0"/>
                                <w:overflowPunct w:val="0"/>
                                <w:spacing w:before="12"/>
                                <w:ind w:leftChars="0" w:right="0" w:rightChars="0"/>
                                <w:rPr>
                                  <w:rFonts w:hint="eastAsia" w:ascii="仿宋" w:hAnsi="仿宋" w:eastAsia="仿宋" w:cs="仿宋"/>
                                  <w:b w:val="0"/>
                                  <w:bCs w:val="0"/>
                                  <w:sz w:val="28"/>
                                  <w:szCs w:val="28"/>
                                </w:rPr>
                              </w:pPr>
                            </w:p>
                            <w:p w14:paraId="43A07EE4">
                              <w:pPr>
                                <w:pStyle w:val="9"/>
                                <w:numPr>
                                  <w:ilvl w:val="0"/>
                                  <w:numId w:val="0"/>
                                </w:numPr>
                                <w:kinsoku w:val="0"/>
                                <w:overflowPunct w:val="0"/>
                                <w:ind w:right="0" w:rightChars="0"/>
                                <w:jc w:val="center"/>
                                <w:rPr>
                                  <w:rFonts w:hint="eastAsia" w:ascii="仿宋" w:hAnsi="仿宋" w:eastAsia="仿宋" w:cs="仿宋"/>
                                  <w:b/>
                                  <w:bCs/>
                                  <w:sz w:val="24"/>
                                  <w:szCs w:val="24"/>
                                </w:rPr>
                              </w:pPr>
                            </w:p>
                            <w:p w14:paraId="643FF543">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p w14:paraId="411B5B53">
                              <w:pPr>
                                <w:pStyle w:val="9"/>
                                <w:numPr>
                                  <w:ilvl w:val="0"/>
                                  <w:numId w:val="0"/>
                                </w:numPr>
                                <w:kinsoku w:val="0"/>
                                <w:overflowPunct w:val="0"/>
                                <w:ind w:right="0" w:rightChars="0"/>
                                <w:jc w:val="center"/>
                                <w:rPr>
                                  <w:rFonts w:hint="eastAsia" w:ascii="仿宋" w:hAnsi="仿宋" w:eastAsia="仿宋" w:cs="仿宋"/>
                                </w:rPr>
                              </w:pPr>
                            </w:p>
                            <w:p w14:paraId="62A4AF0B">
                              <w:pPr>
                                <w:pStyle w:val="9"/>
                                <w:numPr>
                                  <w:ilvl w:val="0"/>
                                  <w:numId w:val="0"/>
                                </w:numPr>
                                <w:kinsoku w:val="0"/>
                                <w:overflowPunct w:val="0"/>
                                <w:ind w:right="0" w:rightChars="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xbxContent>
                        </wps:txbx>
                        <wps:bodyPr lIns="0" tIns="0" rIns="0" bIns="0" upright="1"/>
                      </wps:wsp>
                      <wps:wsp>
                        <wps:cNvPr id="12" name="文本框 12"/>
                        <wps:cNvSpPr txBox="1"/>
                        <wps:spPr>
                          <a:xfrm>
                            <a:off x="4044" y="19"/>
                            <a:ext cx="4025" cy="2258"/>
                          </a:xfrm>
                          <a:prstGeom prst="rect">
                            <a:avLst/>
                          </a:prstGeom>
                          <a:noFill/>
                          <a:ln w="25400" cap="flat" cmpd="sng" algn="ctr">
                            <a:solidFill>
                              <a:srgbClr val="000000"/>
                            </a:solidFill>
                            <a:prstDash val="solid"/>
                          </a:ln>
                          <a:effectLst/>
                        </wps:spPr>
                        <wps:txbx>
                          <w:txbxContent>
                            <w:p w14:paraId="1750EF14">
                              <w:pPr>
                                <w:pStyle w:val="9"/>
                                <w:numPr>
                                  <w:ilvl w:val="0"/>
                                  <w:numId w:val="0"/>
                                </w:numPr>
                                <w:shd w:val="clear" w:color="auto" w:fill="auto"/>
                                <w:kinsoku w:val="0"/>
                                <w:overflowPunct w:val="0"/>
                                <w:ind w:right="0" w:rightChars="0"/>
                                <w:jc w:val="center"/>
                                <w:rPr>
                                  <w:rFonts w:hint="eastAsia" w:ascii="仿宋" w:hAnsi="仿宋" w:eastAsia="仿宋" w:cs="仿宋"/>
                                </w:rPr>
                              </w:pPr>
                            </w:p>
                            <w:p w14:paraId="194834F2">
                              <w:pPr>
                                <w:pStyle w:val="9"/>
                                <w:numPr>
                                  <w:ilvl w:val="0"/>
                                  <w:numId w:val="0"/>
                                </w:numPr>
                                <w:shd w:val="clear" w:color="auto" w:fill="auto"/>
                                <w:kinsoku w:val="0"/>
                                <w:overflowPunct w:val="0"/>
                                <w:ind w:right="0" w:rightChars="0"/>
                                <w:jc w:val="center"/>
                                <w:rPr>
                                  <w:rFonts w:hint="eastAsia" w:ascii="仿宋" w:hAnsi="仿宋" w:eastAsia="仿宋" w:cs="仿宋"/>
                                </w:rPr>
                              </w:pPr>
                            </w:p>
                            <w:p w14:paraId="306BA413">
                              <w:pPr>
                                <w:pStyle w:val="9"/>
                                <w:numPr>
                                  <w:ilvl w:val="0"/>
                                  <w:numId w:val="0"/>
                                </w:numPr>
                                <w:shd w:val="clear" w:color="auto" w:fill="auto"/>
                                <w:kinsoku w:val="0"/>
                                <w:overflowPunct w:val="0"/>
                                <w:ind w:right="0" w:rightChars="0"/>
                                <w:jc w:val="center"/>
                                <w:rPr>
                                  <w:rFonts w:hint="eastAsia" w:ascii="仿宋" w:hAnsi="仿宋" w:eastAsia="仿宋" w:cs="仿宋"/>
                                  <w:sz w:val="24"/>
                                  <w:szCs w:val="24"/>
                                </w:rPr>
                              </w:pPr>
                            </w:p>
                            <w:p w14:paraId="29F8C9AC">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p w14:paraId="231415BE">
                              <w:pPr>
                                <w:pStyle w:val="9"/>
                                <w:numPr>
                                  <w:ilvl w:val="0"/>
                                  <w:numId w:val="0"/>
                                </w:numPr>
                                <w:shd w:val="clear" w:color="auto" w:fill="auto"/>
                                <w:kinsoku w:val="0"/>
                                <w:overflowPunct w:val="0"/>
                                <w:ind w:right="0" w:rightChars="0"/>
                                <w:jc w:val="center"/>
                                <w:rPr>
                                  <w:rFonts w:hint="eastAsia" w:ascii="仿宋" w:hAnsi="仿宋" w:eastAsia="仿宋" w:cs="仿宋"/>
                                  <w:sz w:val="24"/>
                                  <w:szCs w:val="24"/>
                                </w:rPr>
                              </w:pP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">
                <o:lock v:ext="edit" rotation="t" aspectratio="f"/>
                <v:shape id="任意多边形 1" o:spid="_x0000_s1026" o:spt="100" style="position:absolute;left:4;top:9;height:20;width:8079;" filled="f" stroked="t" coordsize="8079,20" o:gfxdata="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C4NG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t" coordsize="21600,21600" o:gfxdata="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8FvHbsAAADb&#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textbox inset="0mm,0mm,0mm,0mm">
                    <w:txbxContent>
                      <w:p w14:paraId="39FCF1C5">
                        <w:pPr>
                          <w:pStyle w:val="9"/>
                          <w:numPr>
                            <w:ilvl w:val="0"/>
                            <w:numId w:val="0"/>
                          </w:numPr>
                          <w:kinsoku w:val="0"/>
                          <w:overflowPunct w:val="0"/>
                          <w:spacing w:before="12"/>
                          <w:ind w:leftChars="0" w:right="0" w:rightChars="0"/>
                          <w:rPr>
                            <w:rFonts w:hint="eastAsia" w:ascii="仿宋" w:hAnsi="仿宋" w:eastAsia="仿宋" w:cs="仿宋"/>
                            <w:b w:val="0"/>
                            <w:bCs w:val="0"/>
                            <w:sz w:val="28"/>
                            <w:szCs w:val="28"/>
                          </w:rPr>
                        </w:pPr>
                      </w:p>
                      <w:p w14:paraId="43A07EE4">
                        <w:pPr>
                          <w:pStyle w:val="9"/>
                          <w:numPr>
                            <w:ilvl w:val="0"/>
                            <w:numId w:val="0"/>
                          </w:numPr>
                          <w:kinsoku w:val="0"/>
                          <w:overflowPunct w:val="0"/>
                          <w:ind w:right="0" w:rightChars="0"/>
                          <w:jc w:val="center"/>
                          <w:rPr>
                            <w:rFonts w:hint="eastAsia" w:ascii="仿宋" w:hAnsi="仿宋" w:eastAsia="仿宋" w:cs="仿宋"/>
                            <w:b/>
                            <w:bCs/>
                            <w:sz w:val="24"/>
                            <w:szCs w:val="24"/>
                          </w:rPr>
                        </w:pPr>
                      </w:p>
                      <w:p w14:paraId="643FF543">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p w14:paraId="411B5B53">
                        <w:pPr>
                          <w:pStyle w:val="9"/>
                          <w:numPr>
                            <w:ilvl w:val="0"/>
                            <w:numId w:val="0"/>
                          </w:numPr>
                          <w:kinsoku w:val="0"/>
                          <w:overflowPunct w:val="0"/>
                          <w:ind w:right="0" w:rightChars="0"/>
                          <w:jc w:val="center"/>
                          <w:rPr>
                            <w:rFonts w:hint="eastAsia" w:ascii="仿宋" w:hAnsi="仿宋" w:eastAsia="仿宋" w:cs="仿宋"/>
                          </w:rPr>
                        </w:pPr>
                      </w:p>
                      <w:p w14:paraId="62A4AF0B">
                        <w:pPr>
                          <w:pStyle w:val="9"/>
                          <w:numPr>
                            <w:ilvl w:val="0"/>
                            <w:numId w:val="0"/>
                          </w:numPr>
                          <w:kinsoku w:val="0"/>
                          <w:overflowPunct w:val="0"/>
                          <w:ind w:right="0" w:rightChars="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xbxContent>
                  </v:textbox>
                </v:shape>
                <v:shape id="_x0000_s1026" o:spid="_x0000_s1026" o:spt="202" type="#_x0000_t202" style="position:absolute;left:4044;top:19;height:2258;width:4025;" filled="f" stroked="t" coordsize="21600,21600" o:gfxdata="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PxarsAAADb&#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textbox inset="0mm,0mm,0mm,0mm">
                    <w:txbxContent>
                      <w:p w14:paraId="1750EF14">
                        <w:pPr>
                          <w:pStyle w:val="9"/>
                          <w:numPr>
                            <w:ilvl w:val="0"/>
                            <w:numId w:val="0"/>
                          </w:numPr>
                          <w:shd w:val="clear" w:color="auto" w:fill="auto"/>
                          <w:kinsoku w:val="0"/>
                          <w:overflowPunct w:val="0"/>
                          <w:ind w:right="0" w:rightChars="0"/>
                          <w:jc w:val="center"/>
                          <w:rPr>
                            <w:rFonts w:hint="eastAsia" w:ascii="仿宋" w:hAnsi="仿宋" w:eastAsia="仿宋" w:cs="仿宋"/>
                          </w:rPr>
                        </w:pPr>
                      </w:p>
                      <w:p w14:paraId="194834F2">
                        <w:pPr>
                          <w:pStyle w:val="9"/>
                          <w:numPr>
                            <w:ilvl w:val="0"/>
                            <w:numId w:val="0"/>
                          </w:numPr>
                          <w:shd w:val="clear" w:color="auto" w:fill="auto"/>
                          <w:kinsoku w:val="0"/>
                          <w:overflowPunct w:val="0"/>
                          <w:ind w:right="0" w:rightChars="0"/>
                          <w:jc w:val="center"/>
                          <w:rPr>
                            <w:rFonts w:hint="eastAsia" w:ascii="仿宋" w:hAnsi="仿宋" w:eastAsia="仿宋" w:cs="仿宋"/>
                          </w:rPr>
                        </w:pPr>
                      </w:p>
                      <w:p w14:paraId="306BA413">
                        <w:pPr>
                          <w:pStyle w:val="9"/>
                          <w:numPr>
                            <w:ilvl w:val="0"/>
                            <w:numId w:val="0"/>
                          </w:numPr>
                          <w:shd w:val="clear" w:color="auto" w:fill="auto"/>
                          <w:kinsoku w:val="0"/>
                          <w:overflowPunct w:val="0"/>
                          <w:ind w:right="0" w:rightChars="0"/>
                          <w:jc w:val="center"/>
                          <w:rPr>
                            <w:rFonts w:hint="eastAsia" w:ascii="仿宋" w:hAnsi="仿宋" w:eastAsia="仿宋" w:cs="仿宋"/>
                            <w:sz w:val="24"/>
                            <w:szCs w:val="24"/>
                          </w:rPr>
                        </w:pPr>
                      </w:p>
                      <w:p w14:paraId="29F8C9AC">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p w14:paraId="231415BE">
                        <w:pPr>
                          <w:pStyle w:val="9"/>
                          <w:numPr>
                            <w:ilvl w:val="0"/>
                            <w:numId w:val="0"/>
                          </w:numPr>
                          <w:shd w:val="clear" w:color="auto" w:fill="auto"/>
                          <w:kinsoku w:val="0"/>
                          <w:overflowPunct w:val="0"/>
                          <w:ind w:right="0" w:rightChars="0"/>
                          <w:jc w:val="center"/>
                          <w:rPr>
                            <w:rFonts w:hint="eastAsia" w:ascii="仿宋" w:hAnsi="仿宋" w:eastAsia="仿宋" w:cs="仿宋"/>
                            <w:sz w:val="24"/>
                            <w:szCs w:val="24"/>
                          </w:rPr>
                        </w:pPr>
                      </w:p>
                    </w:txbxContent>
                  </v:textbox>
                </v:shape>
                <w10:wrap type="none"/>
                <w10:anchorlock/>
              </v:group>
            </w:pict>
          </mc:Fallback>
        </mc:AlternateContent>
      </w:r>
    </w:p>
    <w:p w14:paraId="700D76F6">
      <w:pPr>
        <w:pStyle w:val="9"/>
        <w:numPr>
          <w:ilvl w:val="0"/>
          <w:numId w:val="0"/>
        </w:numPr>
        <w:kinsoku w:val="0"/>
        <w:overflowPunct w:val="0"/>
        <w:adjustRightInd w:val="0"/>
        <w:snapToGrid w:val="0"/>
        <w:spacing w:line="200" w:lineRule="atLeast"/>
        <w:ind w:right="0" w:rightChars="0"/>
        <w:rPr>
          <w:rFonts w:hint="eastAsia" w:ascii="仿宋" w:hAnsi="仿宋" w:eastAsia="仿宋" w:cs="仿宋"/>
          <w:color w:val="auto"/>
          <w:sz w:val="18"/>
          <w:szCs w:val="20"/>
        </w:rPr>
      </w:pPr>
      <w:r>
        <w:rPr>
          <w:rFonts w:hint="eastAsia" w:ascii="仿宋" w:hAnsi="仿宋" w:eastAsia="仿宋" w:cs="仿宋"/>
          <w:color w:val="auto"/>
          <w:sz w:val="18"/>
          <w:szCs w:val="20"/>
        </w:rPr>
        <mc:AlternateContent>
          <mc:Choice Requires="wpg">
            <w:drawing>
              <wp:inline distT="0" distB="0" distL="114300" distR="114300">
                <wp:extent cx="5137150" cy="1384935"/>
                <wp:effectExtent l="635" t="635" r="5715" b="5080"/>
                <wp:docPr id="36" name="组合 36"/>
                <wp:cNvGraphicFramePr/>
                <a:graphic xmlns:a="http://schemas.openxmlformats.org/drawingml/2006/main">
                  <a:graphicData uri="http://schemas.microsoft.com/office/word/2010/wordprocessingGroup">
                    <wpg:wgp>
                      <wpg:cNvGrpSpPr>
                        <a:grpSpLocks noRot="1"/>
                      </wpg:cNvGrpSpPr>
                      <wpg:grpSpPr>
                        <a:xfrm>
                          <a:off x="0" y="0"/>
                          <a:ext cx="5137150" cy="1384935"/>
                          <a:chOff x="0" y="0"/>
                          <a:chExt cx="8089" cy="2181"/>
                        </a:xfrm>
                        <a:effectLst/>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a:effectLst/>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a:effectLst/>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a:effectLst/>
                        </wps:spPr>
                        <wps:bodyPr upright="1"/>
                      </wps:wsp>
                      <wps:wsp>
                        <wps:cNvPr id="47" name="文本框 44"/>
                        <wps:cNvSpPr txBox="1"/>
                        <wps:spPr>
                          <a:xfrm>
                            <a:off x="19" y="19"/>
                            <a:ext cx="4025" cy="2142"/>
                          </a:xfrm>
                          <a:prstGeom prst="rect">
                            <a:avLst/>
                          </a:prstGeom>
                          <a:noFill/>
                          <a:ln w="25400" cap="flat" cmpd="sng" algn="ctr">
                            <a:solidFill>
                              <a:srgbClr val="000000"/>
                            </a:solidFill>
                            <a:prstDash val="solid"/>
                          </a:ln>
                          <a:effectLst/>
                        </wps:spPr>
                        <wps:txbx>
                          <w:txbxContent>
                            <w:p w14:paraId="70954BFB">
                              <w:pPr>
                                <w:pStyle w:val="9"/>
                                <w:numPr>
                                  <w:ilvl w:val="0"/>
                                  <w:numId w:val="0"/>
                                </w:numPr>
                                <w:kinsoku w:val="0"/>
                                <w:overflowPunct w:val="0"/>
                                <w:ind w:right="0" w:rightChars="0"/>
                                <w:rPr>
                                  <w:rFonts w:hint="eastAsia"/>
                                </w:rPr>
                              </w:pPr>
                            </w:p>
                            <w:p w14:paraId="35536737">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lang w:val="en-US" w:eastAsia="zh-CN"/>
                                </w:rPr>
                              </w:pPr>
                            </w:p>
                            <w:p w14:paraId="4FAD3A17">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被授权人</w:t>
                              </w:r>
                              <w:r>
                                <w:rPr>
                                  <w:rFonts w:hint="eastAsia" w:ascii="仿宋" w:hAnsi="仿宋" w:eastAsia="仿宋" w:cs="仿宋"/>
                                  <w:b/>
                                  <w:bCs/>
                                  <w:sz w:val="24"/>
                                  <w:szCs w:val="24"/>
                                </w:rPr>
                                <w:t>身份证复印件</w:t>
                              </w:r>
                            </w:p>
                          </w:txbxContent>
                        </wps:txbx>
                        <wps:bodyPr lIns="0" tIns="0" rIns="0" bIns="0" upright="1"/>
                      </wps:wsp>
                      <wps:wsp>
                        <wps:cNvPr id="48" name="文本框 45"/>
                        <wps:cNvSpPr txBox="1"/>
                        <wps:spPr>
                          <a:xfrm>
                            <a:off x="4044" y="19"/>
                            <a:ext cx="4025" cy="2142"/>
                          </a:xfrm>
                          <a:prstGeom prst="rect">
                            <a:avLst/>
                          </a:prstGeom>
                          <a:noFill/>
                          <a:ln w="25400" cap="flat" cmpd="sng" algn="ctr">
                            <a:solidFill>
                              <a:srgbClr val="000000"/>
                            </a:solidFill>
                            <a:prstDash val="solid"/>
                          </a:ln>
                          <a:effectLst/>
                        </wps:spPr>
                        <wps:txbx>
                          <w:txbxContent>
                            <w:p w14:paraId="44D48CC8">
                              <w:pPr>
                                <w:pStyle w:val="9"/>
                                <w:numPr>
                                  <w:ilvl w:val="0"/>
                                  <w:numId w:val="0"/>
                                </w:numPr>
                                <w:kinsoku w:val="0"/>
                                <w:overflowPunct w:val="0"/>
                                <w:ind w:right="0" w:rightChars="0"/>
                                <w:rPr>
                                  <w:rFonts w:hint="eastAsia"/>
                                </w:rPr>
                              </w:pPr>
                            </w:p>
                            <w:p w14:paraId="1B4CD5CB">
                              <w:pPr>
                                <w:pStyle w:val="9"/>
                                <w:numPr>
                                  <w:ilvl w:val="0"/>
                                  <w:numId w:val="0"/>
                                </w:numPr>
                                <w:shd w:val="clear" w:color="auto" w:fill="auto"/>
                                <w:kinsoku w:val="0"/>
                                <w:overflowPunct w:val="0"/>
                                <w:ind w:right="0" w:rightChars="0"/>
                                <w:rPr>
                                  <w:rFonts w:hint="eastAsia" w:ascii="仿宋" w:hAnsi="仿宋" w:eastAsia="仿宋" w:cs="仿宋"/>
                                  <w:sz w:val="24"/>
                                  <w:szCs w:val="24"/>
                                </w:rPr>
                              </w:pPr>
                            </w:p>
                            <w:p w14:paraId="39577DAE">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被授权人</w:t>
                              </w:r>
                              <w:r>
                                <w:rPr>
                                  <w:rFonts w:hint="eastAsia" w:ascii="仿宋" w:hAnsi="仿宋" w:eastAsia="仿宋" w:cs="仿宋"/>
                                  <w:b/>
                                  <w:bCs/>
                                  <w:sz w:val="24"/>
                                  <w:szCs w:val="24"/>
                                </w:rPr>
                                <w:t>身份证复印件</w:t>
                              </w:r>
                            </w:p>
                            <w:p w14:paraId="454DC7B4">
                              <w:pPr>
                                <w:pStyle w:val="9"/>
                                <w:numPr>
                                  <w:ilvl w:val="0"/>
                                  <w:numId w:val="0"/>
                                </w:numPr>
                                <w:shd w:val="clear" w:color="auto" w:fill="auto"/>
                                <w:kinsoku w:val="0"/>
                                <w:overflowPunct w:val="0"/>
                                <w:ind w:right="0" w:rightChars="0" w:firstLine="221" w:firstLineChars="100"/>
                                <w:rPr>
                                  <w:b/>
                                  <w:bCs/>
                                </w:rPr>
                              </w:pPr>
                            </w:p>
                          </w:txbxContent>
                        </wps:txbx>
                        <wps:bodyPr lIns="0" tIns="0" rIns="0" bIns="0" upright="1"/>
                      </wps:wsp>
                    </wpg:wgp>
                  </a:graphicData>
                </a:graphic>
              </wp:inline>
            </w:drawing>
          </mc:Choice>
          <mc:Fallback>
            <w:pict>
              <v:group id="_x0000_s1026" o:spid="_x0000_s1026" o:spt="203" style="height:109.05pt;width:404.5pt;" coordsize="8089,2181" o:gfxdata="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t" coordsize="21600,21600" o:gfxdata="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Xfe+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inset="0mm,0mm,0mm,0mm">
                    <w:txbxContent>
                      <w:p w14:paraId="70954BFB">
                        <w:pPr>
                          <w:pStyle w:val="9"/>
                          <w:numPr>
                            <w:ilvl w:val="0"/>
                            <w:numId w:val="0"/>
                          </w:numPr>
                          <w:kinsoku w:val="0"/>
                          <w:overflowPunct w:val="0"/>
                          <w:ind w:right="0" w:rightChars="0"/>
                          <w:rPr>
                            <w:rFonts w:hint="eastAsia"/>
                          </w:rPr>
                        </w:pPr>
                      </w:p>
                      <w:p w14:paraId="35536737">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lang w:val="en-US" w:eastAsia="zh-CN"/>
                          </w:rPr>
                        </w:pPr>
                      </w:p>
                      <w:p w14:paraId="4FAD3A17">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被授权人</w:t>
                        </w:r>
                        <w:r>
                          <w:rPr>
                            <w:rFonts w:hint="eastAsia" w:ascii="仿宋" w:hAnsi="仿宋" w:eastAsia="仿宋" w:cs="仿宋"/>
                            <w:b/>
                            <w:bCs/>
                            <w:sz w:val="24"/>
                            <w:szCs w:val="24"/>
                          </w:rPr>
                          <w:t>身份证复印件</w:t>
                        </w:r>
                      </w:p>
                    </w:txbxContent>
                  </v:textbox>
                </v:shape>
                <v:shape id="文本框 45" o:spid="_x0000_s1026" o:spt="202" type="#_x0000_t202" style="position:absolute;left:4044;top:19;height:2142;width:4025;" filled="f" stroked="t" coordsize="21600,21600" o:gfxdata="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SOmdugAAANsA&#10;AAAPAAAAAAAAAAEAIAAAACIAAABkcnMvZG93bnJldi54bWxQSwECFAAUAAAACACHTuJAMy8FnjsA&#10;AAA5AAAAEAAAAAAAAAABACAAAAAJAQAAZHJzL3NoYXBleG1sLnhtbFBLBQYAAAAABgAGAFsBAACz&#10;AwAAAAA=&#10;">
                  <v:fill on="f" focussize="0,0"/>
                  <v:stroke weight="2pt" color="#000000" joinstyle="round"/>
                  <v:imagedata o:title=""/>
                  <o:lock v:ext="edit" aspectratio="f"/>
                  <v:textbox inset="0mm,0mm,0mm,0mm">
                    <w:txbxContent>
                      <w:p w14:paraId="44D48CC8">
                        <w:pPr>
                          <w:pStyle w:val="9"/>
                          <w:numPr>
                            <w:ilvl w:val="0"/>
                            <w:numId w:val="0"/>
                          </w:numPr>
                          <w:kinsoku w:val="0"/>
                          <w:overflowPunct w:val="0"/>
                          <w:ind w:right="0" w:rightChars="0"/>
                          <w:rPr>
                            <w:rFonts w:hint="eastAsia"/>
                          </w:rPr>
                        </w:pPr>
                      </w:p>
                      <w:p w14:paraId="1B4CD5CB">
                        <w:pPr>
                          <w:pStyle w:val="9"/>
                          <w:numPr>
                            <w:ilvl w:val="0"/>
                            <w:numId w:val="0"/>
                          </w:numPr>
                          <w:shd w:val="clear" w:color="auto" w:fill="auto"/>
                          <w:kinsoku w:val="0"/>
                          <w:overflowPunct w:val="0"/>
                          <w:ind w:right="0" w:rightChars="0"/>
                          <w:rPr>
                            <w:rFonts w:hint="eastAsia" w:ascii="仿宋" w:hAnsi="仿宋" w:eastAsia="仿宋" w:cs="仿宋"/>
                            <w:sz w:val="24"/>
                            <w:szCs w:val="24"/>
                          </w:rPr>
                        </w:pPr>
                      </w:p>
                      <w:p w14:paraId="39577DAE">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被授权人</w:t>
                        </w:r>
                        <w:r>
                          <w:rPr>
                            <w:rFonts w:hint="eastAsia" w:ascii="仿宋" w:hAnsi="仿宋" w:eastAsia="仿宋" w:cs="仿宋"/>
                            <w:b/>
                            <w:bCs/>
                            <w:sz w:val="24"/>
                            <w:szCs w:val="24"/>
                          </w:rPr>
                          <w:t>身份证复印件</w:t>
                        </w:r>
                      </w:p>
                      <w:p w14:paraId="454DC7B4">
                        <w:pPr>
                          <w:pStyle w:val="9"/>
                          <w:numPr>
                            <w:ilvl w:val="0"/>
                            <w:numId w:val="0"/>
                          </w:numPr>
                          <w:shd w:val="clear" w:color="auto" w:fill="auto"/>
                          <w:kinsoku w:val="0"/>
                          <w:overflowPunct w:val="0"/>
                          <w:ind w:right="0" w:rightChars="0" w:firstLine="221" w:firstLineChars="100"/>
                          <w:rPr>
                            <w:b/>
                            <w:bCs/>
                          </w:rPr>
                        </w:pPr>
                      </w:p>
                    </w:txbxContent>
                  </v:textbox>
                </v:shape>
                <w10:wrap type="none"/>
                <w10:anchorlock/>
              </v:group>
            </w:pict>
          </mc:Fallback>
        </mc:AlternateContent>
      </w:r>
    </w:p>
    <w:p w14:paraId="77966EC7">
      <w:pPr>
        <w:pStyle w:val="9"/>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46B13CD3">
      <w:pPr>
        <w:pStyle w:val="9"/>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1395D367">
      <w:pPr>
        <w:pStyle w:val="9"/>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被授权代表（</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投标人法定代表人（</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p>
    <w:p w14:paraId="0AB95DA0">
      <w:pPr>
        <w:pStyle w:val="9"/>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p>
    <w:p w14:paraId="3492E90E">
      <w:pPr>
        <w:pStyle w:val="9"/>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p>
    <w:p w14:paraId="367C9736">
      <w:pPr>
        <w:pStyle w:val="9"/>
        <w:numPr>
          <w:ilvl w:val="0"/>
          <w:numId w:val="0"/>
        </w:numPr>
        <w:tabs>
          <w:tab w:val="left" w:pos="5631"/>
          <w:tab w:val="left" w:pos="6591"/>
          <w:tab w:val="left" w:pos="7191"/>
          <w:tab w:val="left" w:pos="7791"/>
          <w:tab w:val="left" w:pos="8247"/>
          <w:tab w:val="clear" w:pos="780"/>
        </w:tabs>
        <w:kinsoku w:val="0"/>
        <w:overflowPunct w:val="0"/>
        <w:adjustRightInd w:val="0"/>
        <w:snapToGrid w:val="0"/>
        <w:spacing w:line="360" w:lineRule="auto"/>
        <w:ind w:left="709" w:leftChars="0" w:right="238" w:rightChars="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（盖章）</w:t>
      </w:r>
    </w:p>
    <w:p w14:paraId="7A98D9BC">
      <w:pPr>
        <w:pStyle w:val="9"/>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4"/>
        </w:rPr>
      </w:pPr>
    </w:p>
    <w:p w14:paraId="35064197">
      <w:pPr>
        <w:pStyle w:val="9"/>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0"/>
        </w:rPr>
      </w:pP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r>
        <w:rPr>
          <w:rFonts w:hint="eastAsia" w:ascii="仿宋" w:hAnsi="仿宋" w:eastAsia="仿宋" w:cs="仿宋"/>
          <w:color w:val="auto"/>
          <w:sz w:val="20"/>
        </w:rPr>
        <w:t xml:space="preserve">               </w:t>
      </w:r>
    </w:p>
    <w:p w14:paraId="5EEC0877">
      <w:pPr>
        <w:pStyle w:val="9"/>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auto"/>
          <w:sz w:val="36"/>
          <w:szCs w:val="36"/>
        </w:rPr>
      </w:pPr>
    </w:p>
    <w:p w14:paraId="5B3DB54D">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73F98316">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en-US" w:bidi="en-US"/>
        </w:rPr>
      </w:pPr>
      <w:r>
        <w:rPr>
          <w:rFonts w:hint="eastAsia" w:ascii="仿宋" w:hAnsi="仿宋" w:eastAsia="仿宋" w:cs="仿宋"/>
          <w:b/>
          <w:bCs/>
          <w:color w:val="auto"/>
          <w:spacing w:val="0"/>
          <w:w w:val="100"/>
          <w:position w:val="0"/>
          <w:sz w:val="36"/>
          <w:szCs w:val="36"/>
          <w:shd w:val="clear" w:color="auto" w:fill="auto"/>
          <w:lang w:val="en-US" w:eastAsia="zh-CN" w:bidi="en-US"/>
        </w:rPr>
        <w:t>4、</w:t>
      </w:r>
      <w:r>
        <w:rPr>
          <w:rFonts w:hint="eastAsia" w:ascii="仿宋" w:hAnsi="仿宋" w:eastAsia="仿宋" w:cs="仿宋"/>
          <w:b/>
          <w:bCs/>
          <w:color w:val="auto"/>
          <w:spacing w:val="0"/>
          <w:w w:val="100"/>
          <w:position w:val="0"/>
          <w:sz w:val="36"/>
          <w:szCs w:val="36"/>
          <w:shd w:val="clear" w:color="auto" w:fill="auto"/>
          <w:lang w:val="en-US" w:eastAsia="en-US" w:bidi="en-US"/>
        </w:rPr>
        <w:t>投标保证金缴纳凭证或投标担保函</w:t>
      </w:r>
    </w:p>
    <w:p w14:paraId="2BE66D6A">
      <w:pPr>
        <w:shd w:val="clear" w:color="auto" w:fill="auto"/>
        <w:ind w:firstLine="490" w:firstLineChars="200"/>
        <w:rPr>
          <w:rFonts w:hint="eastAsia" w:ascii="仿宋" w:hAnsi="仿宋" w:eastAsia="仿宋" w:cs="仿宋"/>
          <w:color w:val="auto"/>
          <w:sz w:val="24"/>
          <w:highlight w:val="none"/>
        </w:rPr>
      </w:pPr>
    </w:p>
    <w:p w14:paraId="10FC6CEF">
      <w:pPr>
        <w:pStyle w:val="7"/>
        <w:shd w:val="clear" w:color="auto" w:fill="auto"/>
        <w:rPr>
          <w:rFonts w:hint="eastAsia" w:ascii="仿宋" w:hAnsi="仿宋" w:eastAsia="仿宋" w:cs="仿宋"/>
          <w:color w:val="auto"/>
          <w:highlight w:val="none"/>
        </w:rPr>
      </w:pPr>
    </w:p>
    <w:tbl>
      <w:tblPr>
        <w:tblStyle w:val="19"/>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59FE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3BF62BFB">
            <w:pPr>
              <w:shd w:val="clear" w:color="auto" w:fill="auto"/>
              <w:rPr>
                <w:rFonts w:hint="eastAsia" w:ascii="仿宋" w:hAnsi="仿宋" w:eastAsia="仿宋" w:cs="仿宋"/>
                <w:b/>
                <w:bCs/>
                <w:color w:val="auto"/>
                <w:sz w:val="30"/>
                <w:szCs w:val="30"/>
                <w:highlight w:val="none"/>
              </w:rPr>
            </w:pPr>
          </w:p>
          <w:p w14:paraId="203C85BF">
            <w:pPr>
              <w:shd w:val="clear" w:color="auto" w:fill="auto"/>
              <w:jc w:val="center"/>
              <w:rPr>
                <w:rFonts w:hint="eastAsia" w:ascii="仿宋" w:hAnsi="仿宋" w:eastAsia="仿宋" w:cs="仿宋"/>
                <w:b/>
                <w:bCs/>
                <w:color w:val="auto"/>
                <w:sz w:val="30"/>
                <w:szCs w:val="30"/>
                <w:highlight w:val="none"/>
              </w:rPr>
            </w:pPr>
          </w:p>
          <w:p w14:paraId="4F31B367">
            <w:pPr>
              <w:shd w:val="clear" w:color="auto" w:fill="auto"/>
              <w:jc w:val="center"/>
              <w:rPr>
                <w:rFonts w:hint="eastAsia" w:ascii="仿宋" w:hAnsi="仿宋" w:eastAsia="仿宋" w:cs="仿宋"/>
                <w:b/>
                <w:bCs/>
                <w:color w:val="auto"/>
                <w:sz w:val="30"/>
                <w:szCs w:val="30"/>
                <w:highlight w:val="none"/>
              </w:rPr>
            </w:pPr>
          </w:p>
          <w:p w14:paraId="0489B097">
            <w:pPr>
              <w:shd w:val="clear" w:color="auto" w:fill="auto"/>
              <w:jc w:val="center"/>
              <w:rPr>
                <w:rFonts w:hint="eastAsia" w:ascii="仿宋" w:hAnsi="仿宋" w:eastAsia="仿宋" w:cs="仿宋"/>
                <w:b/>
                <w:bCs/>
                <w:color w:val="auto"/>
                <w:sz w:val="30"/>
                <w:szCs w:val="30"/>
                <w:highlight w:val="none"/>
              </w:rPr>
            </w:pPr>
          </w:p>
          <w:p w14:paraId="6AE675D3">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投标保证金</w:t>
            </w:r>
            <w:r>
              <w:rPr>
                <w:rFonts w:hint="eastAsia" w:ascii="仿宋" w:hAnsi="仿宋" w:eastAsia="仿宋" w:cs="仿宋"/>
                <w:b/>
                <w:bCs/>
                <w:color w:val="auto"/>
                <w:sz w:val="30"/>
                <w:szCs w:val="30"/>
                <w:highlight w:val="none"/>
                <w:lang w:eastAsia="zh-CN"/>
              </w:rPr>
              <w:t>缴纳凭证</w:t>
            </w:r>
          </w:p>
        </w:tc>
      </w:tr>
    </w:tbl>
    <w:p w14:paraId="66468473">
      <w:pPr>
        <w:pStyle w:val="7"/>
        <w:shd w:val="clear" w:color="auto" w:fill="auto"/>
        <w:rPr>
          <w:rFonts w:hint="eastAsia" w:ascii="仿宋" w:hAnsi="仿宋" w:eastAsia="仿宋" w:cs="仿宋"/>
          <w:color w:val="auto"/>
          <w:highlight w:val="none"/>
        </w:rPr>
      </w:pPr>
    </w:p>
    <w:p w14:paraId="2DBA4A09">
      <w:pPr>
        <w:shd w:val="clear" w:color="auto" w:fill="auto"/>
        <w:spacing w:line="240" w:lineRule="atLeast"/>
        <w:ind w:left="1169" w:leftChars="257" w:hanging="540"/>
        <w:jc w:val="center"/>
        <w:rPr>
          <w:rFonts w:hint="eastAsia" w:ascii="仿宋" w:hAnsi="仿宋" w:eastAsia="仿宋" w:cs="仿宋"/>
          <w:color w:val="auto"/>
          <w:sz w:val="24"/>
          <w:highlight w:val="none"/>
        </w:rPr>
      </w:pPr>
    </w:p>
    <w:p w14:paraId="11D860A9">
      <w:pPr>
        <w:shd w:val="clear" w:color="auto" w:fill="auto"/>
        <w:rPr>
          <w:rFonts w:hint="eastAsia" w:ascii="仿宋" w:hAnsi="仿宋" w:eastAsia="仿宋" w:cs="仿宋"/>
          <w:color w:val="auto"/>
          <w:sz w:val="28"/>
          <w:szCs w:val="28"/>
          <w:highlight w:val="none"/>
        </w:rPr>
      </w:pPr>
    </w:p>
    <w:tbl>
      <w:tblPr>
        <w:tblStyle w:val="19"/>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047B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3BB6332D">
            <w:pPr>
              <w:shd w:val="clear" w:color="auto" w:fill="auto"/>
              <w:rPr>
                <w:rFonts w:hint="eastAsia" w:ascii="仿宋" w:hAnsi="仿宋" w:eastAsia="仿宋" w:cs="仿宋"/>
                <w:b/>
                <w:bCs/>
                <w:color w:val="auto"/>
                <w:sz w:val="30"/>
                <w:szCs w:val="30"/>
                <w:highlight w:val="none"/>
              </w:rPr>
            </w:pPr>
          </w:p>
          <w:p w14:paraId="18B6E93B">
            <w:pPr>
              <w:shd w:val="clear" w:color="auto" w:fill="auto"/>
              <w:jc w:val="center"/>
              <w:rPr>
                <w:rFonts w:hint="eastAsia" w:ascii="仿宋" w:hAnsi="仿宋" w:eastAsia="仿宋" w:cs="仿宋"/>
                <w:b/>
                <w:bCs/>
                <w:color w:val="auto"/>
                <w:sz w:val="30"/>
                <w:szCs w:val="30"/>
                <w:highlight w:val="none"/>
              </w:rPr>
            </w:pPr>
          </w:p>
          <w:p w14:paraId="42646080">
            <w:pPr>
              <w:shd w:val="clear" w:color="auto" w:fill="auto"/>
              <w:jc w:val="center"/>
              <w:rPr>
                <w:rFonts w:hint="eastAsia" w:ascii="仿宋" w:hAnsi="仿宋" w:eastAsia="仿宋" w:cs="仿宋"/>
                <w:b/>
                <w:bCs/>
                <w:color w:val="auto"/>
                <w:sz w:val="30"/>
                <w:szCs w:val="30"/>
                <w:highlight w:val="none"/>
              </w:rPr>
            </w:pPr>
          </w:p>
          <w:p w14:paraId="2EED2EB8">
            <w:pPr>
              <w:shd w:val="clear" w:color="auto" w:fill="auto"/>
              <w:jc w:val="center"/>
              <w:rPr>
                <w:rFonts w:hint="eastAsia" w:ascii="仿宋" w:hAnsi="仿宋" w:eastAsia="仿宋" w:cs="仿宋"/>
                <w:b/>
                <w:bCs/>
                <w:color w:val="auto"/>
                <w:sz w:val="30"/>
                <w:szCs w:val="30"/>
                <w:highlight w:val="none"/>
              </w:rPr>
            </w:pPr>
          </w:p>
          <w:p w14:paraId="367E7C1B">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7EB146FD">
      <w:pPr>
        <w:pStyle w:val="7"/>
        <w:shd w:val="clear" w:color="auto" w:fill="auto"/>
        <w:rPr>
          <w:rFonts w:hint="eastAsia" w:ascii="仿宋" w:hAnsi="仿宋" w:eastAsia="仿宋" w:cs="仿宋"/>
          <w:color w:val="auto"/>
          <w:highlight w:val="none"/>
        </w:rPr>
      </w:pPr>
    </w:p>
    <w:p w14:paraId="2CD0D3D5">
      <w:pPr>
        <w:pStyle w:val="7"/>
        <w:shd w:val="clear" w:color="auto" w:fill="auto"/>
        <w:rPr>
          <w:rFonts w:hint="eastAsia" w:ascii="仿宋" w:hAnsi="仿宋" w:eastAsia="仿宋" w:cs="仿宋"/>
          <w:color w:val="auto"/>
          <w:highlight w:val="none"/>
        </w:rPr>
      </w:pPr>
    </w:p>
    <w:p w14:paraId="7F9AACC9">
      <w:pPr>
        <w:pStyle w:val="7"/>
        <w:shd w:val="clear" w:color="auto" w:fill="auto"/>
        <w:rPr>
          <w:rFonts w:hint="eastAsia" w:ascii="仿宋" w:hAnsi="仿宋" w:eastAsia="仿宋" w:cs="仿宋"/>
          <w:color w:val="auto"/>
          <w:highlight w:val="none"/>
        </w:rPr>
      </w:pPr>
    </w:p>
    <w:p w14:paraId="1C7750BD">
      <w:pPr>
        <w:pStyle w:val="7"/>
        <w:shd w:val="clear" w:color="auto" w:fill="auto"/>
        <w:rPr>
          <w:rFonts w:hint="eastAsia" w:ascii="仿宋" w:hAnsi="仿宋" w:eastAsia="仿宋" w:cs="仿宋"/>
          <w:color w:val="auto"/>
          <w:highlight w:val="none"/>
        </w:rPr>
      </w:pPr>
    </w:p>
    <w:p w14:paraId="4AD4A85C">
      <w:pPr>
        <w:pStyle w:val="7"/>
        <w:shd w:val="clear" w:color="auto" w:fill="auto"/>
        <w:rPr>
          <w:rFonts w:hint="eastAsia" w:ascii="仿宋" w:hAnsi="仿宋" w:eastAsia="仿宋" w:cs="仿宋"/>
          <w:color w:val="auto"/>
          <w:highlight w:val="none"/>
        </w:rPr>
      </w:pPr>
    </w:p>
    <w:p w14:paraId="0E136DEA">
      <w:pPr>
        <w:pStyle w:val="7"/>
        <w:shd w:val="clear" w:color="auto" w:fill="auto"/>
        <w:rPr>
          <w:rFonts w:hint="eastAsia" w:ascii="仿宋" w:hAnsi="仿宋" w:eastAsia="仿宋" w:cs="仿宋"/>
          <w:color w:val="auto"/>
          <w:highlight w:val="none"/>
        </w:rPr>
      </w:pPr>
    </w:p>
    <w:p w14:paraId="031090F9">
      <w:pPr>
        <w:rPr>
          <w:rFonts w:hint="eastAsia" w:ascii="仿宋" w:hAnsi="仿宋" w:eastAsia="仿宋" w:cs="仿宋"/>
          <w:color w:val="auto"/>
        </w:rPr>
      </w:pPr>
    </w:p>
    <w:p w14:paraId="0C7E29FF">
      <w:pPr>
        <w:pStyle w:val="5"/>
        <w:rPr>
          <w:rFonts w:hint="eastAsia" w:ascii="仿宋" w:hAnsi="仿宋" w:eastAsia="仿宋" w:cs="仿宋"/>
          <w:color w:val="auto"/>
        </w:rPr>
      </w:pPr>
    </w:p>
    <w:p w14:paraId="1BE7929D">
      <w:pPr>
        <w:rPr>
          <w:rFonts w:hint="eastAsia" w:ascii="仿宋" w:hAnsi="仿宋" w:eastAsia="仿宋" w:cs="仿宋"/>
          <w:color w:val="auto"/>
        </w:rPr>
      </w:pPr>
    </w:p>
    <w:p w14:paraId="0CCF354F">
      <w:pPr>
        <w:rPr>
          <w:rFonts w:hint="eastAsia" w:ascii="仿宋" w:hAnsi="仿宋" w:eastAsia="仿宋" w:cs="仿宋"/>
          <w:color w:val="auto"/>
        </w:rPr>
      </w:pPr>
    </w:p>
    <w:p w14:paraId="6589CF20">
      <w:pPr>
        <w:rPr>
          <w:rFonts w:hint="eastAsia" w:ascii="仿宋" w:hAnsi="仿宋" w:eastAsia="仿宋" w:cs="仿宋"/>
          <w:color w:val="auto"/>
        </w:rPr>
      </w:pPr>
    </w:p>
    <w:p w14:paraId="744B7973">
      <w:pPr>
        <w:shd w:val="clear" w:color="auto" w:fill="auto"/>
        <w:jc w:val="center"/>
        <w:rPr>
          <w:rFonts w:hint="eastAsia" w:ascii="仿宋" w:hAnsi="仿宋" w:eastAsia="仿宋" w:cs="仿宋"/>
          <w:color w:val="auto"/>
          <w:sz w:val="28"/>
          <w:szCs w:val="28"/>
          <w:highlight w:val="none"/>
        </w:rPr>
      </w:pPr>
    </w:p>
    <w:p w14:paraId="1D3A6C5F">
      <w:pPr>
        <w:shd w:val="clear" w:color="auto" w:fill="auto"/>
        <w:jc w:val="center"/>
        <w:rPr>
          <w:rFonts w:hint="eastAsia" w:ascii="仿宋" w:hAnsi="仿宋" w:eastAsia="仿宋" w:cs="仿宋"/>
          <w:color w:val="auto"/>
          <w:sz w:val="28"/>
          <w:szCs w:val="28"/>
          <w:highlight w:val="none"/>
        </w:rPr>
      </w:pPr>
    </w:p>
    <w:p w14:paraId="35C0631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CFD6CC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334243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A59D21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4C0982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C2E5C7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30607E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600CD4F">
      <w:pPr>
        <w:ind w:left="4777" w:leftChars="200" w:hanging="4287" w:hangingChars="1750"/>
        <w:rPr>
          <w:rFonts w:hint="eastAsia" w:ascii="宋体" w:hAnsi="宋体" w:eastAsia="宋体" w:cs="宋体"/>
          <w:color w:val="auto"/>
        </w:rPr>
      </w:pPr>
    </w:p>
    <w:p w14:paraId="2EA963AA">
      <w:pPr>
        <w:shd w:val="clear" w:color="auto" w:fill="auto"/>
        <w:jc w:val="center"/>
        <w:rPr>
          <w:rFonts w:hint="eastAsia" w:ascii="仿宋" w:hAnsi="仿宋" w:eastAsia="仿宋" w:cs="仿宋"/>
          <w:b/>
          <w:bCs/>
          <w:color w:val="auto"/>
          <w:sz w:val="28"/>
          <w:szCs w:val="28"/>
          <w:highlight w:val="none"/>
        </w:rPr>
      </w:pPr>
      <w:bookmarkStart w:id="95" w:name="bookmark228"/>
      <w:bookmarkStart w:id="96" w:name="bookmark235"/>
      <w:bookmarkStart w:id="97" w:name="bookmark234"/>
      <w:bookmarkStart w:id="98" w:name="bookmark226"/>
      <w:bookmarkStart w:id="99" w:name="bookmark236"/>
      <w:bookmarkStart w:id="100" w:name="bookmark233"/>
      <w:bookmarkStart w:id="101" w:name="bookmark225"/>
    </w:p>
    <w:p w14:paraId="4B3623F3">
      <w:pPr>
        <w:shd w:val="clear" w:color="auto" w:fill="auto"/>
        <w:jc w:val="center"/>
        <w:rPr>
          <w:rFonts w:hint="eastAsia" w:ascii="仿宋" w:hAnsi="仿宋" w:eastAsia="仿宋" w:cs="仿宋"/>
          <w:b/>
          <w:bCs/>
          <w:color w:val="auto"/>
          <w:sz w:val="28"/>
          <w:szCs w:val="28"/>
          <w:highlight w:val="none"/>
        </w:rPr>
      </w:pPr>
    </w:p>
    <w:p w14:paraId="5EAF4534">
      <w:pPr>
        <w:shd w:val="clear" w:color="auto" w:fill="auto"/>
        <w:jc w:val="center"/>
        <w:rPr>
          <w:rFonts w:hint="eastAsia" w:ascii="仿宋" w:hAnsi="仿宋" w:eastAsia="仿宋" w:cs="仿宋"/>
          <w:b/>
          <w:bCs/>
          <w:color w:val="auto"/>
          <w:sz w:val="28"/>
          <w:szCs w:val="28"/>
          <w:highlight w:val="none"/>
        </w:rPr>
      </w:pPr>
    </w:p>
    <w:p w14:paraId="432C813B">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政府采购投标担保函 </w:t>
      </w:r>
    </w:p>
    <w:p w14:paraId="319F72F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编号：</w:t>
      </w:r>
    </w:p>
    <w:p w14:paraId="2FA7CB1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default"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（采购人或采购代理机构）：  </w:t>
      </w:r>
    </w:p>
    <w:p w14:paraId="6F981C4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鉴于               （以下简称“投标人”）拟参加编号为                 的                                       </w:t>
      </w:r>
    </w:p>
    <w:p w14:paraId="1E9D42B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项目（以下简称“本项目”）投标，根据本项目谈判文件，供应商参加投标时应向你方交纳投标保证金，且可以投标担保函的形式交纳投标保证金。应供应商的申请，我方以保证的方式向你方提供如下投标保证金担保：</w:t>
      </w:r>
    </w:p>
    <w:p w14:paraId="315A7D2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一、保证责任的情形及保证金额</w:t>
      </w:r>
    </w:p>
    <w:p w14:paraId="39C0954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（一）在投标人出现下列情形之一时，我方承担保证责任：</w:t>
      </w:r>
    </w:p>
    <w:p w14:paraId="3F88BD0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1．中标后投标人无正当理由不与采购人或者采购代理机构签订《政府采购合同》；</w:t>
      </w:r>
    </w:p>
    <w:p w14:paraId="173E5A7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2．谈判文件规定的投标人应当缴纳保证金的其他情形。</w:t>
      </w:r>
    </w:p>
    <w:p w14:paraId="64D4BAF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14:paraId="45C9922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二、保证的方式及保证期间</w:t>
      </w:r>
    </w:p>
    <w:p w14:paraId="34635B4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我方保证的方式为：连带责任保证。</w:t>
      </w:r>
    </w:p>
    <w:p w14:paraId="505BB4A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我方的保证期间为：自本保函生效之日起    个月止。</w:t>
      </w:r>
    </w:p>
    <w:p w14:paraId="6D4C79E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三、承担保证责任的程序</w:t>
      </w:r>
    </w:p>
    <w:p w14:paraId="5513C46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0CE9BF8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14:paraId="3FDF6A7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四、保证责任的终止</w:t>
      </w:r>
    </w:p>
    <w:p w14:paraId="355E754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14:paraId="0FE4E3C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14:paraId="3A8FF55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14:paraId="2900F8A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五、免责条款</w:t>
      </w:r>
    </w:p>
    <w:p w14:paraId="2E7448A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14:paraId="6621ED4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14:paraId="2983135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14:paraId="2E16DCA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4．你方或其他有权机关对谈判文件进行任何澄清或修改，加重我方保证责任的，我方对加重部分不承担保证责任，但该澄清或修改经我方事先书面同意的除外。</w:t>
      </w:r>
    </w:p>
    <w:p w14:paraId="167F796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六、争议的解决</w:t>
      </w:r>
    </w:p>
    <w:p w14:paraId="61860E1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14:paraId="015B14B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七、保函的生效</w:t>
      </w:r>
    </w:p>
    <w:p w14:paraId="4106CBE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本保函自我方加盖公章之日起生效。</w:t>
      </w:r>
    </w:p>
    <w:p w14:paraId="1BB9699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73B1298D">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ab/>
      </w: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保证人：（公章）</w:t>
      </w:r>
    </w:p>
    <w:p w14:paraId="73D49F8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14:paraId="4E80587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jc w:val="center"/>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sectPr>
          <w:footerReference r:id="rId3" w:type="default"/>
          <w:pgSz w:w="11905" w:h="16838"/>
          <w:pgMar w:top="1440" w:right="1080" w:bottom="1440" w:left="1080" w:header="850" w:footer="992" w:gutter="0"/>
          <w:pgNumType w:fmt="decimal"/>
          <w:cols w:space="0" w:num="1"/>
          <w:rtlGutter w:val="0"/>
          <w:docGrid w:type="linesAndChars" w:linePitch="332" w:charSpace="1057"/>
        </w:sect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年     月     日  </w:t>
      </w:r>
    </w:p>
    <w:p w14:paraId="56E3E45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5、参加采购活动前三年内，在经营活动中没有重大违法记录，供应商须提供 “信用中国”网站（http://www.creditchina.gov.cn/）、“中国政府采购网”网站（http://www.ccgp.gov.cn）无违法违规行为的查询记录（提供查询结果网页截图并加盖供应商公章）；</w:t>
      </w:r>
    </w:p>
    <w:p w14:paraId="67EF1B3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401318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5BBDBF9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9A52E3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D596CC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2EB65D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3C21FE7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6ADAD9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61C930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0E4019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278DCD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071393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4FCBBD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21C6C28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28B70D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090865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217BF75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3D96BE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1F3ACE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B52304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1E65AE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378AD7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71C152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A34976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3242D27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D29423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0FE288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34000B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580E33A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25E0B87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8036AF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5668E0C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6、投标人须知资料表要求的其他资格证明文件</w:t>
      </w:r>
    </w:p>
    <w:p w14:paraId="398F27D5">
      <w:pPr>
        <w:snapToGrid w:val="0"/>
        <w:spacing w:line="360" w:lineRule="auto"/>
        <w:rPr>
          <w:rFonts w:hint="eastAsia" w:ascii="仿宋" w:hAnsi="仿宋" w:eastAsia="仿宋" w:cs="仿宋"/>
          <w:b/>
          <w:color w:val="FF0000"/>
          <w:lang w:val="en-US" w:eastAsia="zh-CN"/>
        </w:rPr>
      </w:pPr>
    </w:p>
    <w:p w14:paraId="5028EB26">
      <w:pPr>
        <w:snapToGrid w:val="0"/>
        <w:spacing w:line="360" w:lineRule="auto"/>
        <w:rPr>
          <w:rFonts w:hint="eastAsia" w:ascii="仿宋" w:hAnsi="仿宋" w:eastAsia="仿宋" w:cs="仿宋"/>
          <w:b/>
          <w:color w:val="FF0000"/>
          <w:lang w:val="en-US" w:eastAsia="zh-CN"/>
        </w:rPr>
      </w:pPr>
    </w:p>
    <w:p w14:paraId="1B103D92">
      <w:pPr>
        <w:snapToGrid w:val="0"/>
        <w:spacing w:line="360" w:lineRule="auto"/>
        <w:rPr>
          <w:rFonts w:hint="eastAsia" w:ascii="仿宋" w:hAnsi="仿宋" w:eastAsia="仿宋" w:cs="仿宋"/>
          <w:b/>
          <w:color w:val="FF0000"/>
          <w:lang w:val="en-US" w:eastAsia="zh-CN"/>
        </w:rPr>
      </w:pPr>
    </w:p>
    <w:p w14:paraId="21FBF337">
      <w:pPr>
        <w:snapToGrid w:val="0"/>
        <w:spacing w:line="360" w:lineRule="auto"/>
        <w:rPr>
          <w:rFonts w:hint="eastAsia" w:ascii="仿宋" w:hAnsi="仿宋" w:eastAsia="仿宋" w:cs="仿宋"/>
          <w:b/>
          <w:color w:val="FF0000"/>
          <w:lang w:val="en-US" w:eastAsia="zh-CN"/>
        </w:rPr>
      </w:pPr>
    </w:p>
    <w:p w14:paraId="53F6D4F8">
      <w:pPr>
        <w:snapToGrid w:val="0"/>
        <w:spacing w:line="360" w:lineRule="auto"/>
        <w:rPr>
          <w:rFonts w:hint="eastAsia" w:ascii="仿宋" w:hAnsi="仿宋" w:eastAsia="仿宋" w:cs="仿宋"/>
          <w:b/>
          <w:color w:val="FF0000"/>
          <w:lang w:val="en-US" w:eastAsia="zh-CN"/>
        </w:rPr>
      </w:pPr>
    </w:p>
    <w:p w14:paraId="0D97CDBD">
      <w:pPr>
        <w:snapToGrid w:val="0"/>
        <w:spacing w:line="360" w:lineRule="auto"/>
        <w:rPr>
          <w:rFonts w:hint="eastAsia" w:ascii="仿宋" w:hAnsi="仿宋" w:eastAsia="仿宋" w:cs="仿宋"/>
          <w:b/>
          <w:color w:val="FF0000"/>
          <w:lang w:val="en-US" w:eastAsia="zh-CN"/>
        </w:rPr>
      </w:pPr>
    </w:p>
    <w:p w14:paraId="57DBB322">
      <w:pPr>
        <w:snapToGrid w:val="0"/>
        <w:spacing w:line="360" w:lineRule="auto"/>
        <w:rPr>
          <w:rFonts w:hint="eastAsia" w:ascii="仿宋" w:hAnsi="仿宋" w:eastAsia="仿宋" w:cs="仿宋"/>
          <w:b/>
          <w:color w:val="FF0000"/>
          <w:lang w:val="en-US" w:eastAsia="zh-CN"/>
        </w:rPr>
      </w:pPr>
    </w:p>
    <w:p w14:paraId="6FC2EFF7">
      <w:pPr>
        <w:snapToGrid w:val="0"/>
        <w:spacing w:line="360" w:lineRule="auto"/>
        <w:rPr>
          <w:rFonts w:hint="eastAsia" w:ascii="仿宋" w:hAnsi="仿宋" w:eastAsia="仿宋" w:cs="仿宋"/>
          <w:b/>
          <w:color w:val="FF0000"/>
          <w:lang w:val="en-US" w:eastAsia="zh-CN"/>
        </w:rPr>
      </w:pPr>
    </w:p>
    <w:p w14:paraId="647B3C95">
      <w:pPr>
        <w:snapToGrid w:val="0"/>
        <w:spacing w:line="360" w:lineRule="auto"/>
        <w:rPr>
          <w:rFonts w:hint="eastAsia" w:ascii="仿宋" w:hAnsi="仿宋" w:eastAsia="仿宋" w:cs="仿宋"/>
          <w:b/>
          <w:color w:val="FF0000"/>
          <w:lang w:val="en-US" w:eastAsia="zh-CN"/>
        </w:rPr>
      </w:pPr>
    </w:p>
    <w:p w14:paraId="735F96A2">
      <w:pPr>
        <w:snapToGrid w:val="0"/>
        <w:spacing w:line="360" w:lineRule="auto"/>
        <w:rPr>
          <w:rFonts w:hint="eastAsia" w:ascii="仿宋" w:hAnsi="仿宋" w:eastAsia="仿宋" w:cs="仿宋"/>
          <w:b/>
          <w:color w:val="FF0000"/>
          <w:lang w:val="en-US" w:eastAsia="zh-CN"/>
        </w:rPr>
      </w:pPr>
    </w:p>
    <w:p w14:paraId="61391D47">
      <w:pPr>
        <w:snapToGrid w:val="0"/>
        <w:spacing w:line="360" w:lineRule="auto"/>
        <w:rPr>
          <w:rFonts w:hint="eastAsia" w:ascii="仿宋" w:hAnsi="仿宋" w:eastAsia="仿宋" w:cs="仿宋"/>
          <w:b/>
          <w:color w:val="FF0000"/>
          <w:lang w:val="en-US" w:eastAsia="zh-CN"/>
        </w:rPr>
      </w:pPr>
    </w:p>
    <w:p w14:paraId="48CCEAC6">
      <w:pPr>
        <w:snapToGrid w:val="0"/>
        <w:spacing w:line="360" w:lineRule="auto"/>
        <w:jc w:val="center"/>
        <w:rPr>
          <w:rFonts w:hint="eastAsia" w:ascii="仿宋" w:hAnsi="仿宋" w:eastAsia="仿宋" w:cs="仿宋"/>
          <w:b/>
          <w:color w:val="auto"/>
          <w:sz w:val="28"/>
          <w:szCs w:val="28"/>
          <w:lang w:val="en-US" w:eastAsia="zh-CN"/>
        </w:rPr>
      </w:pPr>
    </w:p>
    <w:p w14:paraId="4BE7AA57">
      <w:pPr>
        <w:pStyle w:val="9"/>
        <w:numPr>
          <w:ilvl w:val="0"/>
          <w:numId w:val="0"/>
        </w:numPr>
        <w:ind w:left="360" w:leftChars="0"/>
        <w:rPr>
          <w:rFonts w:hint="eastAsia"/>
          <w:lang w:val="en-US" w:eastAsia="zh-CN"/>
        </w:rPr>
      </w:pPr>
    </w:p>
    <w:p w14:paraId="71DFC753">
      <w:pPr>
        <w:pStyle w:val="13"/>
        <w:rPr>
          <w:rFonts w:hint="eastAsia" w:ascii="仿宋" w:hAnsi="仿宋" w:eastAsia="仿宋" w:cs="仿宋"/>
          <w:b/>
          <w:color w:val="auto"/>
          <w:sz w:val="28"/>
          <w:szCs w:val="28"/>
          <w:lang w:val="en-US" w:eastAsia="zh-CN"/>
        </w:rPr>
      </w:pPr>
    </w:p>
    <w:p w14:paraId="0810FCF7">
      <w:pPr>
        <w:rPr>
          <w:rFonts w:hint="eastAsia"/>
          <w:lang w:val="en-US" w:eastAsia="zh-CN"/>
        </w:rPr>
      </w:pPr>
    </w:p>
    <w:p w14:paraId="20CC63D2">
      <w:pPr>
        <w:pStyle w:val="9"/>
        <w:numPr>
          <w:ilvl w:val="0"/>
          <w:numId w:val="0"/>
        </w:numPr>
        <w:ind w:left="360" w:leftChars="0"/>
        <w:rPr>
          <w:rFonts w:hint="eastAsia"/>
          <w:lang w:val="en-US" w:eastAsia="zh-CN"/>
        </w:rPr>
      </w:pPr>
    </w:p>
    <w:p w14:paraId="719126CF">
      <w:pPr>
        <w:pStyle w:val="13"/>
        <w:rPr>
          <w:rFonts w:hint="eastAsia"/>
          <w:lang w:val="en-US" w:eastAsia="zh-CN"/>
        </w:rPr>
      </w:pPr>
    </w:p>
    <w:p w14:paraId="67800125">
      <w:pPr>
        <w:rPr>
          <w:rFonts w:hint="eastAsia"/>
          <w:lang w:val="en-US" w:eastAsia="zh-CN"/>
        </w:rPr>
      </w:pPr>
    </w:p>
    <w:p w14:paraId="680BEBD1">
      <w:pPr>
        <w:pStyle w:val="9"/>
        <w:numPr>
          <w:ilvl w:val="0"/>
          <w:numId w:val="0"/>
        </w:numPr>
        <w:ind w:left="360" w:leftChars="0"/>
        <w:rPr>
          <w:rFonts w:hint="eastAsia"/>
          <w:lang w:val="en-US" w:eastAsia="zh-CN"/>
        </w:rPr>
      </w:pPr>
    </w:p>
    <w:p w14:paraId="33D75348">
      <w:pPr>
        <w:pStyle w:val="13"/>
        <w:rPr>
          <w:rFonts w:hint="eastAsia"/>
          <w:lang w:val="en-US" w:eastAsia="zh-CN"/>
        </w:rPr>
      </w:pPr>
    </w:p>
    <w:p w14:paraId="36BF58FC">
      <w:pPr>
        <w:rPr>
          <w:rFonts w:hint="eastAsia"/>
          <w:lang w:val="en-US" w:eastAsia="zh-CN"/>
        </w:rPr>
      </w:pPr>
    </w:p>
    <w:p w14:paraId="788AF7D7">
      <w:pPr>
        <w:pStyle w:val="9"/>
        <w:numPr>
          <w:ilvl w:val="0"/>
          <w:numId w:val="0"/>
        </w:numPr>
        <w:ind w:left="360" w:leftChars="0"/>
        <w:rPr>
          <w:rFonts w:hint="eastAsia"/>
          <w:lang w:val="en-US" w:eastAsia="zh-CN"/>
        </w:rPr>
      </w:pPr>
    </w:p>
    <w:p w14:paraId="2BB74B55">
      <w:pPr>
        <w:rPr>
          <w:rFonts w:hint="eastAsia"/>
          <w:lang w:val="en-US" w:eastAsia="zh-CN"/>
        </w:rPr>
      </w:pPr>
    </w:p>
    <w:p w14:paraId="0EB84162">
      <w:pPr>
        <w:pStyle w:val="9"/>
        <w:numPr>
          <w:ilvl w:val="0"/>
          <w:numId w:val="0"/>
        </w:numPr>
        <w:ind w:left="360" w:leftChars="0"/>
        <w:rPr>
          <w:rFonts w:hint="eastAsia"/>
          <w:lang w:val="en-US" w:eastAsia="zh-CN"/>
        </w:rPr>
      </w:pPr>
    </w:p>
    <w:p w14:paraId="1B5E6778">
      <w:pPr>
        <w:pStyle w:val="13"/>
        <w:rPr>
          <w:rFonts w:hint="eastAsia"/>
          <w:lang w:val="en-US" w:eastAsia="zh-CN"/>
        </w:rPr>
      </w:pPr>
    </w:p>
    <w:p w14:paraId="17E9539E">
      <w:pPr>
        <w:pStyle w:val="13"/>
        <w:rPr>
          <w:rFonts w:hint="eastAsia"/>
          <w:lang w:val="en-US" w:eastAsia="zh-CN"/>
        </w:rPr>
      </w:pPr>
    </w:p>
    <w:p w14:paraId="3E8ECE28">
      <w:pPr>
        <w:snapToGrid w:val="0"/>
        <w:spacing w:line="360" w:lineRule="auto"/>
        <w:jc w:val="center"/>
        <w:rPr>
          <w:rFonts w:hint="eastAsia" w:ascii="仿宋" w:hAnsi="仿宋" w:eastAsia="仿宋" w:cs="仿宋"/>
          <w:b/>
          <w:color w:val="auto"/>
          <w:sz w:val="28"/>
          <w:szCs w:val="28"/>
          <w:lang w:val="en-US" w:eastAsia="zh-CN"/>
        </w:rPr>
      </w:pPr>
    </w:p>
    <w:p w14:paraId="5D7932C7">
      <w:pPr>
        <w:snapToGrid w:val="0"/>
        <w:spacing w:line="360" w:lineRule="auto"/>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商务及技术文件</w:t>
      </w:r>
    </w:p>
    <w:p w14:paraId="558A8426">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1、投标函</w:t>
      </w:r>
    </w:p>
    <w:p w14:paraId="41E9022C">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2、开标一览表</w:t>
      </w:r>
    </w:p>
    <w:p w14:paraId="1DAB0218">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3、货物说明一览表</w:t>
      </w:r>
    </w:p>
    <w:p w14:paraId="204DE14F">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4、投标分项报价表</w:t>
      </w:r>
    </w:p>
    <w:p w14:paraId="2195EF6B">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5、技术规格偏离表</w:t>
      </w:r>
    </w:p>
    <w:p w14:paraId="524F775D">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6、商务条款偏离表</w:t>
      </w:r>
    </w:p>
    <w:p w14:paraId="4964C9C0">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7、投标人基本情况表</w:t>
      </w:r>
    </w:p>
    <w:p w14:paraId="7D2BA835">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8、中小企业声明函(货物)</w:t>
      </w:r>
    </w:p>
    <w:p w14:paraId="4EC593A9">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9、《残疾人福利性单位声明函》</w:t>
      </w:r>
    </w:p>
    <w:p w14:paraId="3286E119">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sz w:val="24"/>
          <w:szCs w:val="24"/>
          <w:lang w:val="en-US" w:eastAsia="zh-CN" w:bidi="en-US"/>
        </w:rPr>
      </w:pPr>
      <w:r>
        <w:rPr>
          <w:rFonts w:hint="eastAsia" w:ascii="仿宋" w:hAnsi="仿宋" w:eastAsia="仿宋" w:cs="仿宋"/>
          <w:b/>
          <w:color w:val="auto"/>
          <w:sz w:val="24"/>
          <w:szCs w:val="24"/>
          <w:lang w:val="en-US" w:eastAsia="zh-CN" w:bidi="en-US"/>
        </w:rPr>
        <w:t>10、投标人认为有必要提供的其他证明材料</w:t>
      </w:r>
    </w:p>
    <w:p w14:paraId="109F6D28">
      <w:pPr>
        <w:pStyle w:val="25"/>
      </w:pPr>
    </w:p>
    <w:p w14:paraId="0EE00ABD">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10310A2B">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7DA153AC">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41CBA81E">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393FCB4D">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071A0E72">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17BA4B44">
      <w:pPr>
        <w:pStyle w:val="13"/>
        <w:rPr>
          <w:rFonts w:hint="eastAsia"/>
          <w:lang w:val="en-US" w:eastAsia="zh-CN"/>
        </w:rPr>
      </w:pPr>
    </w:p>
    <w:p w14:paraId="4DA0F333">
      <w:pPr>
        <w:pStyle w:val="9"/>
        <w:numPr>
          <w:ilvl w:val="0"/>
          <w:numId w:val="0"/>
        </w:numPr>
        <w:kinsoku w:val="0"/>
        <w:overflowPunct w:val="0"/>
        <w:spacing w:before="130" w:line="355" w:lineRule="auto"/>
        <w:ind w:right="7" w:rightChars="0"/>
        <w:jc w:val="both"/>
        <w:rPr>
          <w:rFonts w:hint="eastAsia" w:ascii="仿宋" w:hAnsi="仿宋" w:eastAsia="仿宋" w:cs="仿宋"/>
          <w:b/>
          <w:bCs/>
          <w:color w:val="auto"/>
          <w:sz w:val="36"/>
          <w:szCs w:val="36"/>
          <w:lang w:val="en-US" w:eastAsia="zh-CN"/>
        </w:rPr>
      </w:pPr>
    </w:p>
    <w:p w14:paraId="5DB354D1">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14:paraId="296F9D36">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14:paraId="700693CA">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14:paraId="70EA3594">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lang w:eastAsia="zh-CN"/>
        </w:rPr>
        <w:t>谈判文件</w:t>
      </w:r>
      <w:r>
        <w:rPr>
          <w:rFonts w:hint="eastAsia" w:ascii="仿宋" w:hAnsi="仿宋" w:eastAsia="仿宋" w:cs="仿宋"/>
          <w:color w:val="auto"/>
          <w:kern w:val="0"/>
          <w:sz w:val="24"/>
        </w:rPr>
        <w:t>的全部内容。</w:t>
      </w:r>
    </w:p>
    <w:p w14:paraId="2945E017">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的所有内容，包括澄清、修改文件（如果有）和所有已提供的参考资料以及有关附件，我方完全明白并认为此</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没有倾向性，也不存在排斥潜在报价投标人的内容，我方同意</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的相关条款，放弃对</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提出误解和质疑的一切权力。</w:t>
      </w:r>
    </w:p>
    <w:p w14:paraId="28B43732">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14:paraId="4BC9F38E">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的所有条款要求，并申明如下：</w:t>
      </w:r>
    </w:p>
    <w:p w14:paraId="7EBAA54C">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提供的全部货物与相关服务的投标总价详见《报价一览表》。</w:t>
      </w:r>
    </w:p>
    <w:p w14:paraId="4D714647">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的有效期为投标截止时间起</w:t>
      </w:r>
      <w:r>
        <w:rPr>
          <w:rFonts w:hint="eastAsia" w:ascii="仿宋" w:hAnsi="仿宋" w:eastAsia="仿宋" w:cs="仿宋"/>
          <w:color w:val="auto"/>
          <w:kern w:val="0"/>
          <w:sz w:val="24"/>
          <w:u w:val="single"/>
          <w:lang w:val="en-US" w:eastAsia="zh-CN"/>
        </w:rPr>
        <w:t>60</w:t>
      </w:r>
      <w:r>
        <w:rPr>
          <w:rFonts w:hint="eastAsia" w:ascii="仿宋" w:hAnsi="仿宋" w:eastAsia="仿宋" w:cs="仿宋"/>
          <w:color w:val="auto"/>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435AAA6B">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14:paraId="2CD6DC50">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）我方理解贵方不一定接受最低投标价或任何贵方可能收到的投标。</w:t>
      </w:r>
    </w:p>
    <w:p w14:paraId="54452B41">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）我方如果中标，将保证履行</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及其澄清、修改文件（如果有）中的全部责任和义务，按质、按量、按期完成《招标内容》及《合同书》中的全部任务。</w:t>
      </w:r>
    </w:p>
    <w:p w14:paraId="5AE299FC">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）如我方被授予合同，我方承诺支付就本次招标应支付或将支付的中标服务费（详见按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要求格式填写的《中标服务费支付承诺书》）。</w:t>
      </w:r>
    </w:p>
    <w:p w14:paraId="1A65DEA7">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14:paraId="1554323F">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）我方投标报价已包含应向知识产权所有权人支付的所有相关税费，并保证采购人在中国使用我方提供的货物时，如有第三方提出侵犯其知识产权主张的，责任由我方承担。</w:t>
      </w:r>
    </w:p>
    <w:p w14:paraId="67A15AC8">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）我方与其他投标人不存在单位负责人为同一人或者存在直接控股、管理关系。</w:t>
      </w:r>
    </w:p>
    <w:p w14:paraId="457CA9AB">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（十）我方承诺未为本项目提供整体设计、规范编制或者项目管理、监理、检测等服务。</w:t>
      </w:r>
    </w:p>
    <w:p w14:paraId="4DB20BC6">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w:t>
      </w:r>
      <w:r>
        <w:rPr>
          <w:rFonts w:hint="eastAsia" w:ascii="仿宋" w:hAnsi="仿宋" w:eastAsia="仿宋" w:cs="仿宋"/>
          <w:color w:val="auto"/>
          <w:kern w:val="0"/>
          <w:sz w:val="24"/>
          <w:lang w:eastAsia="zh-CN"/>
        </w:rPr>
        <w:t>一</w:t>
      </w:r>
      <w:r>
        <w:rPr>
          <w:rFonts w:hint="eastAsia" w:ascii="仿宋" w:hAnsi="仿宋" w:eastAsia="仿宋" w:cs="仿宋"/>
          <w:color w:val="auto"/>
          <w:kern w:val="0"/>
          <w:sz w:val="24"/>
        </w:rPr>
        <w:t>）我方具备《政府采购法》第二十二条规定的条件，承诺如下：</w:t>
      </w:r>
    </w:p>
    <w:p w14:paraId="176497E2">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14:paraId="1FF6F14D">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14:paraId="764C4FDE">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14:paraId="4D025505">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14:paraId="0FDCD8A4">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14:paraId="4AEF9196">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14:paraId="11648D44">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中所作的所有承诺承担法律责任。</w:t>
      </w:r>
    </w:p>
    <w:p w14:paraId="2A237B9D">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14:paraId="0B9489E8">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7E7CF59C">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0A5EA5FC">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444FF6D4">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2355436">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14:paraId="46475E83">
      <w:pPr>
        <w:keepNext w:val="0"/>
        <w:keepLines w:val="0"/>
        <w:pageBreakBefore w:val="0"/>
        <w:widowControl w:val="0"/>
        <w:wordWrap w:val="0"/>
        <w:topLinePunct w:val="0"/>
        <w:autoSpaceDE/>
        <w:autoSpaceDN/>
        <w:bidi w:val="0"/>
        <w:adjustRightInd/>
        <w:snapToGrid/>
        <w:spacing w:line="440" w:lineRule="exact"/>
        <w:ind w:firstLine="490"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法定代表人或委托人：</w:t>
      </w:r>
      <w:r>
        <w:rPr>
          <w:rFonts w:hint="eastAsia" w:ascii="仿宋" w:hAnsi="仿宋" w:eastAsia="仿宋" w:cs="仿宋"/>
          <w:color w:val="auto"/>
          <w:kern w:val="0"/>
          <w:sz w:val="24"/>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签字或盖章</w:t>
      </w:r>
      <w:r>
        <w:rPr>
          <w:rFonts w:hint="eastAsia" w:ascii="仿宋" w:hAnsi="仿宋" w:eastAsia="仿宋" w:cs="仿宋"/>
          <w:color w:val="auto"/>
          <w:kern w:val="0"/>
          <w:sz w:val="24"/>
        </w:rPr>
        <w:t xml:space="preserve">）  </w:t>
      </w:r>
    </w:p>
    <w:p w14:paraId="0139D70E">
      <w:pPr>
        <w:keepNext w:val="0"/>
        <w:keepLines w:val="0"/>
        <w:pageBreakBefore w:val="0"/>
        <w:widowControl w:val="0"/>
        <w:wordWrap w:val="0"/>
        <w:topLinePunct w:val="0"/>
        <w:autoSpaceDE/>
        <w:autoSpaceDN/>
        <w:bidi w:val="0"/>
        <w:adjustRightInd/>
        <w:snapToGrid/>
        <w:spacing w:line="440" w:lineRule="exact"/>
        <w:ind w:firstLine="490"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0521429C">
      <w:pPr>
        <w:pStyle w:val="25"/>
        <w:rPr>
          <w:rFonts w:hint="eastAsia" w:ascii="仿宋" w:hAnsi="仿宋" w:eastAsia="仿宋" w:cs="仿宋"/>
          <w:color w:val="auto"/>
          <w:sz w:val="24"/>
          <w:highlight w:val="none"/>
        </w:rPr>
      </w:pPr>
      <w:r>
        <w:rPr>
          <w:rFonts w:hint="eastAsia" w:ascii="仿宋" w:hAnsi="仿宋" w:eastAsia="仿宋" w:cs="仿宋"/>
          <w:color w:val="auto"/>
        </w:rPr>
        <w:br w:type="page"/>
      </w:r>
    </w:p>
    <w:p w14:paraId="25E91882">
      <w:pPr>
        <w:pStyle w:val="7"/>
        <w:shd w:val="clear" w:color="auto" w:fill="auto"/>
        <w:tabs>
          <w:tab w:val="left" w:pos="5580"/>
        </w:tabs>
        <w:spacing w:line="240" w:lineRule="atLeast"/>
        <w:ind w:firstLine="3383"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14:paraId="708E859D">
      <w:pPr>
        <w:shd w:val="clear" w:color="auto" w:fill="auto"/>
        <w:adjustRightInd w:val="0"/>
        <w:snapToGrid w:val="0"/>
        <w:spacing w:line="5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14:paraId="0D38D800">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141F99FC">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19"/>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3302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228E992A">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noWrap w:val="0"/>
            <w:vAlign w:val="center"/>
          </w:tcPr>
          <w:p w14:paraId="53E3F590">
            <w:pPr>
              <w:shd w:val="clear" w:color="auto" w:fill="auto"/>
              <w:rPr>
                <w:rFonts w:hint="eastAsia" w:ascii="仿宋" w:hAnsi="仿宋" w:eastAsia="仿宋" w:cs="仿宋"/>
                <w:color w:val="auto"/>
                <w:szCs w:val="21"/>
                <w:highlight w:val="none"/>
              </w:rPr>
            </w:pPr>
          </w:p>
        </w:tc>
      </w:tr>
      <w:tr w14:paraId="2FD9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579802CE">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供货期</w:t>
            </w:r>
            <w:r>
              <w:rPr>
                <w:rFonts w:hint="eastAsia" w:ascii="仿宋" w:hAnsi="仿宋" w:eastAsia="仿宋" w:cs="仿宋"/>
                <w:color w:val="auto"/>
                <w:szCs w:val="21"/>
                <w:highlight w:val="none"/>
                <w:lang w:eastAsia="zh-CN"/>
              </w:rPr>
              <w:t>（天）</w:t>
            </w:r>
          </w:p>
        </w:tc>
        <w:tc>
          <w:tcPr>
            <w:tcW w:w="6185" w:type="dxa"/>
            <w:noWrap w:val="0"/>
            <w:vAlign w:val="center"/>
          </w:tcPr>
          <w:p w14:paraId="367958C8">
            <w:pPr>
              <w:shd w:val="clear" w:color="auto" w:fill="auto"/>
              <w:jc w:val="center"/>
              <w:rPr>
                <w:rFonts w:hint="eastAsia" w:ascii="仿宋" w:hAnsi="仿宋" w:eastAsia="仿宋" w:cs="仿宋"/>
                <w:color w:val="auto"/>
                <w:szCs w:val="21"/>
                <w:highlight w:val="none"/>
              </w:rPr>
            </w:pPr>
          </w:p>
        </w:tc>
      </w:tr>
      <w:tr w14:paraId="23F8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3DAC9040">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0D8A8043">
            <w:pPr>
              <w:shd w:val="clear" w:color="auto" w:fill="auto"/>
              <w:jc w:val="center"/>
              <w:rPr>
                <w:rFonts w:hint="eastAsia" w:ascii="仿宋" w:hAnsi="仿宋" w:eastAsia="仿宋" w:cs="仿宋"/>
                <w:color w:val="auto"/>
                <w:szCs w:val="21"/>
                <w:highlight w:val="none"/>
                <w:lang w:val="en-US" w:eastAsia="zh-CN"/>
              </w:rPr>
            </w:pPr>
          </w:p>
        </w:tc>
      </w:tr>
      <w:tr w14:paraId="5F81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0E4B8696">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482722AF">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14:paraId="66949570">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14:paraId="2C578B61">
            <w:pPr>
              <w:shd w:val="clear" w:color="auto" w:fill="auto"/>
              <w:jc w:val="center"/>
              <w:rPr>
                <w:rFonts w:hint="default" w:ascii="仿宋" w:hAnsi="仿宋" w:eastAsia="仿宋" w:cs="仿宋"/>
                <w:color w:val="auto"/>
                <w:szCs w:val="21"/>
                <w:highlight w:val="none"/>
                <w:lang w:val="en-US" w:eastAsia="zh-CN"/>
              </w:rPr>
            </w:pPr>
          </w:p>
        </w:tc>
      </w:tr>
      <w:tr w14:paraId="7708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03FA0221">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14:paraId="36CA5C21">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14:paraId="3CCF2B25">
            <w:pPr>
              <w:shd w:val="clear" w:color="auto" w:fill="auto"/>
              <w:jc w:val="center"/>
              <w:rPr>
                <w:rFonts w:hint="eastAsia" w:ascii="仿宋" w:hAnsi="仿宋" w:eastAsia="仿宋" w:cs="仿宋"/>
                <w:color w:val="auto"/>
                <w:szCs w:val="21"/>
                <w:highlight w:val="none"/>
              </w:rPr>
            </w:pPr>
          </w:p>
        </w:tc>
      </w:tr>
    </w:tbl>
    <w:p w14:paraId="7F712839">
      <w:pPr>
        <w:shd w:val="clear" w:color="auto" w:fill="auto"/>
        <w:spacing w:line="500" w:lineRule="exact"/>
        <w:ind w:firstLine="479"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47A340D5">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.开标时，本表中的内容与</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61787391">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.投标总价为招标范围所列全部招标项目的报价总和，并应与投标报价明细表及分项价格表保持一致。</w:t>
      </w:r>
    </w:p>
    <w:p w14:paraId="47197DD8">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.必须在</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中装订。</w:t>
      </w:r>
    </w:p>
    <w:p w14:paraId="059EC131">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.投标报价不得填报选择性报价。</w:t>
      </w:r>
    </w:p>
    <w:p w14:paraId="09BACC9D">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49E80FFE">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A9B4895">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CA3B8A1">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69052336">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14:paraId="7EF93621">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14:paraId="743C3C5B">
      <w:pP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br w:type="page"/>
      </w:r>
    </w:p>
    <w:p w14:paraId="2A629997">
      <w:pPr>
        <w:pStyle w:val="27"/>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3、货物说明一览表</w:t>
      </w:r>
    </w:p>
    <w:p w14:paraId="70BF3219">
      <w:pPr>
        <w:pStyle w:val="11"/>
        <w:shd w:val="clear" w:color="auto" w:fill="auto"/>
        <w:spacing w:line="240" w:lineRule="atLeast"/>
        <w:ind w:left="1169" w:leftChars="257" w:hanging="540"/>
        <w:rPr>
          <w:rFonts w:hint="eastAsia" w:ascii="仿宋" w:hAnsi="仿宋" w:eastAsia="仿宋" w:cs="仿宋"/>
          <w:color w:val="auto"/>
          <w:sz w:val="24"/>
          <w:highlight w:val="none"/>
        </w:rPr>
      </w:pPr>
    </w:p>
    <w:p w14:paraId="1D6DBD6E">
      <w:pPr>
        <w:pStyle w:val="11"/>
        <w:shd w:val="clear" w:color="auto" w:fill="auto"/>
        <w:spacing w:line="240" w:lineRule="atLeast"/>
        <w:ind w:left="116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55519D39">
      <w:pPr>
        <w:pStyle w:val="11"/>
        <w:shd w:val="clear" w:color="auto" w:fill="auto"/>
        <w:spacing w:line="240" w:lineRule="atLeast"/>
        <w:ind w:left="116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包号:                      </w:t>
      </w:r>
    </w:p>
    <w:p w14:paraId="13D99A2C">
      <w:pPr>
        <w:pStyle w:val="11"/>
        <w:shd w:val="clear" w:color="auto" w:fill="auto"/>
        <w:spacing w:line="240" w:lineRule="atLeast"/>
        <w:ind w:left="1169" w:leftChars="257" w:hanging="540"/>
        <w:rPr>
          <w:rFonts w:hint="eastAsia" w:ascii="仿宋" w:hAnsi="仿宋" w:eastAsia="仿宋" w:cs="仿宋"/>
          <w:color w:val="auto"/>
          <w:sz w:val="24"/>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1EE0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14:paraId="11AB6C70">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01" w:type="dxa"/>
            <w:noWrap w:val="0"/>
            <w:vAlign w:val="center"/>
          </w:tcPr>
          <w:p w14:paraId="151E55B8">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225" w:type="dxa"/>
            <w:noWrap w:val="0"/>
            <w:vAlign w:val="center"/>
          </w:tcPr>
          <w:p w14:paraId="338735C8">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主要规格</w:t>
            </w:r>
          </w:p>
        </w:tc>
        <w:tc>
          <w:tcPr>
            <w:tcW w:w="1138" w:type="dxa"/>
            <w:noWrap w:val="0"/>
            <w:vAlign w:val="center"/>
          </w:tcPr>
          <w:p w14:paraId="16347BC7">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275" w:type="dxa"/>
            <w:noWrap w:val="0"/>
            <w:vAlign w:val="center"/>
          </w:tcPr>
          <w:p w14:paraId="72AC6F47">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交货期</w:t>
            </w:r>
          </w:p>
        </w:tc>
        <w:tc>
          <w:tcPr>
            <w:tcW w:w="1250" w:type="dxa"/>
            <w:noWrap w:val="0"/>
            <w:vAlign w:val="center"/>
          </w:tcPr>
          <w:p w14:paraId="5BD8EBA3">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交货地点</w:t>
            </w:r>
          </w:p>
        </w:tc>
        <w:tc>
          <w:tcPr>
            <w:tcW w:w="1690" w:type="dxa"/>
            <w:noWrap w:val="0"/>
            <w:vAlign w:val="center"/>
          </w:tcPr>
          <w:p w14:paraId="4DE92A13">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14:paraId="08EF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2C608C16">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675FFCE0">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20C2FE60">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0F46146B">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0FA198AA">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187D8B7D">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0AC47C8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76C8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02852CE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44FA4E3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1CA1708B">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7F27800B">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5351B074">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07B8030E">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042F2156">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5233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5DFDAFF9">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07192903">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083D38C9">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0754EE4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0B40761F">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5DCF936A">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4FE57DCB">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7973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222D66E2">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4960C22F">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2631872C">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5BD89853">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25C09F11">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5E21D7F6">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69654E52">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00D7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14:paraId="0B51738D">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520C6F5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21E391C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4D93AAA2">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3455C28A">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254F4CBE">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06128B0D">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4D69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14:paraId="444DC570">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5845A523">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29828E96">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658A9329">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43B26823">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09EFDB9A">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6FEB4372">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588F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14:paraId="4993F263">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10AEF9A4">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25E11FE4">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155928ED">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2907A7FE">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06FA501A">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7ADDA4CF">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1B60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14:paraId="09281C97">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23653132">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03E89539">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05F88E5B">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53F9CD44">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7F9ED67F">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6C4AA0EC">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bl>
    <w:p w14:paraId="044FB7F8">
      <w:pPr>
        <w:pStyle w:val="11"/>
        <w:shd w:val="clear" w:color="auto" w:fill="auto"/>
        <w:spacing w:line="240" w:lineRule="atLeast"/>
        <w:ind w:left="1169" w:leftChars="257" w:hanging="540"/>
        <w:rPr>
          <w:rFonts w:hint="eastAsia" w:ascii="仿宋" w:hAnsi="仿宋" w:eastAsia="仿宋" w:cs="仿宋"/>
          <w:color w:val="auto"/>
          <w:sz w:val="24"/>
          <w:highlight w:val="none"/>
        </w:rPr>
      </w:pPr>
    </w:p>
    <w:p w14:paraId="2B6CCEEC">
      <w:pPr>
        <w:pStyle w:val="11"/>
        <w:shd w:val="clear" w:color="auto" w:fill="auto"/>
        <w:spacing w:line="240" w:lineRule="atLeast"/>
        <w:ind w:left="1169" w:leftChars="257" w:hanging="540"/>
        <w:rPr>
          <w:rFonts w:hint="eastAsia" w:ascii="宋体" w:hAnsi="宋体" w:eastAsia="宋体" w:cs="宋体"/>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p>
    <w:p w14:paraId="0390F4F2">
      <w:pPr>
        <w:pStyle w:val="11"/>
        <w:shd w:val="clear" w:color="auto" w:fill="auto"/>
        <w:tabs>
          <w:tab w:val="left" w:pos="5370"/>
        </w:tabs>
        <w:spacing w:line="240" w:lineRule="atLeast"/>
        <w:ind w:left="1169" w:leftChars="257" w:hanging="540"/>
        <w:rPr>
          <w:rFonts w:hint="eastAsia" w:ascii="宋体" w:hAnsi="宋体" w:eastAsia="宋体" w:cs="宋体"/>
          <w:color w:val="auto"/>
          <w:sz w:val="24"/>
          <w:highlight w:val="none"/>
        </w:rPr>
      </w:pPr>
    </w:p>
    <w:p w14:paraId="49F4C0D4">
      <w:pPr>
        <w:pStyle w:val="11"/>
        <w:shd w:val="clear" w:color="auto" w:fill="auto"/>
        <w:tabs>
          <w:tab w:val="left" w:pos="5370"/>
        </w:tabs>
        <w:spacing w:line="240" w:lineRule="atLeast"/>
        <w:ind w:left="116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33D3B67D">
      <w:pPr>
        <w:pStyle w:val="11"/>
        <w:shd w:val="clear" w:color="auto" w:fill="auto"/>
        <w:spacing w:line="240" w:lineRule="atLeast"/>
        <w:ind w:left="1169" w:leftChars="257" w:hanging="540"/>
        <w:rPr>
          <w:rFonts w:hint="eastAsia" w:ascii="仿宋" w:hAnsi="仿宋" w:eastAsia="仿宋" w:cs="仿宋"/>
          <w:color w:val="auto"/>
          <w:sz w:val="24"/>
          <w:highlight w:val="none"/>
        </w:rPr>
      </w:pPr>
    </w:p>
    <w:p w14:paraId="1C9B6262">
      <w:pPr>
        <w:pStyle w:val="11"/>
        <w:shd w:val="clear" w:color="auto" w:fill="auto"/>
        <w:spacing w:line="240" w:lineRule="atLeast"/>
        <w:ind w:left="116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注: 各项货物详细技术性能应另页描述。</w:t>
      </w:r>
    </w:p>
    <w:p w14:paraId="79A1570A">
      <w:pPr>
        <w:pStyle w:val="11"/>
        <w:shd w:val="clear" w:color="auto" w:fill="auto"/>
        <w:spacing w:line="240" w:lineRule="atLeast"/>
        <w:ind w:left="1169" w:leftChars="257" w:hanging="540"/>
        <w:jc w:val="center"/>
        <w:rPr>
          <w:rFonts w:hint="eastAsia" w:ascii="仿宋" w:hAnsi="仿宋" w:eastAsia="仿宋" w:cs="仿宋"/>
          <w:color w:val="auto"/>
          <w:sz w:val="24"/>
          <w:highlight w:val="none"/>
        </w:rPr>
      </w:pPr>
    </w:p>
    <w:p w14:paraId="51291149">
      <w:pPr>
        <w:pStyle w:val="11"/>
        <w:shd w:val="clear" w:color="auto" w:fill="auto"/>
        <w:spacing w:line="240" w:lineRule="atLeast"/>
        <w:ind w:left="1169" w:leftChars="257" w:hanging="540"/>
        <w:jc w:val="center"/>
        <w:rPr>
          <w:rFonts w:hint="eastAsia" w:ascii="仿宋" w:hAnsi="仿宋" w:eastAsia="仿宋" w:cs="仿宋"/>
          <w:color w:val="auto"/>
          <w:sz w:val="24"/>
          <w:highlight w:val="none"/>
        </w:rPr>
        <w:sectPr>
          <w:footerReference r:id="rId4" w:type="default"/>
          <w:pgSz w:w="11905" w:h="16838"/>
          <w:pgMar w:top="1440" w:right="1417" w:bottom="1440" w:left="1417" w:header="850" w:footer="992" w:gutter="0"/>
          <w:pgNumType w:fmt="decimal"/>
          <w:cols w:space="0" w:num="1"/>
          <w:rtlGutter w:val="0"/>
          <w:docGrid w:type="linesAndChars" w:linePitch="332" w:charSpace="1057"/>
        </w:sectPr>
      </w:pPr>
    </w:p>
    <w:p w14:paraId="59F2723B">
      <w:pPr>
        <w:pStyle w:val="27"/>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i w:val="0"/>
          <w:iCs w:val="0"/>
          <w:color w:val="auto"/>
          <w:spacing w:val="0"/>
          <w:w w:val="100"/>
          <w:position w:val="0"/>
        </w:rPr>
      </w:pPr>
      <w:r>
        <w:rPr>
          <w:rFonts w:hint="eastAsia" w:ascii="仿宋" w:hAnsi="仿宋" w:eastAsia="仿宋" w:cs="仿宋"/>
          <w:b/>
          <w:bCs/>
          <w:i w:val="0"/>
          <w:iCs w:val="0"/>
          <w:color w:val="auto"/>
          <w:spacing w:val="0"/>
          <w:w w:val="100"/>
          <w:position w:val="0"/>
          <w:lang w:val="en-US" w:eastAsia="zh-CN"/>
        </w:rPr>
        <w:t>4</w:t>
      </w:r>
      <w:r>
        <w:rPr>
          <w:rFonts w:hint="eastAsia" w:ascii="仿宋" w:hAnsi="仿宋" w:eastAsia="仿宋" w:cs="仿宋"/>
          <w:b/>
          <w:bCs/>
          <w:i w:val="0"/>
          <w:iCs w:val="0"/>
          <w:color w:val="auto"/>
          <w:spacing w:val="0"/>
          <w:w w:val="100"/>
          <w:position w:val="0"/>
          <w:lang w:eastAsia="zh-CN"/>
        </w:rPr>
        <w:t>、</w:t>
      </w:r>
      <w:r>
        <w:rPr>
          <w:rFonts w:hint="eastAsia" w:ascii="仿宋" w:hAnsi="仿宋" w:eastAsia="仿宋" w:cs="仿宋"/>
          <w:b/>
          <w:bCs/>
          <w:i w:val="0"/>
          <w:iCs w:val="0"/>
          <w:color w:val="auto"/>
          <w:spacing w:val="0"/>
          <w:w w:val="100"/>
          <w:position w:val="0"/>
        </w:rPr>
        <w:t>投标报价明细表</w:t>
      </w:r>
    </w:p>
    <w:p w14:paraId="0F8D1A1E">
      <w:pPr>
        <w:pStyle w:val="7"/>
        <w:tabs>
          <w:tab w:val="left" w:pos="7020"/>
        </w:tabs>
        <w:spacing w:line="360" w:lineRule="auto"/>
        <w:ind w:firstLine="484" w:firstLineChars="20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项目名称：</w:t>
      </w:r>
      <w:r>
        <w:rPr>
          <w:rFonts w:hint="eastAsia" w:ascii="仿宋" w:hAnsi="仿宋" w:eastAsia="仿宋" w:cs="仿宋"/>
          <w:color w:val="auto"/>
          <w:sz w:val="24"/>
          <w:highlight w:val="none"/>
        </w:rPr>
        <w:tab/>
      </w:r>
    </w:p>
    <w:p w14:paraId="28F8B781">
      <w:pPr>
        <w:pStyle w:val="7"/>
        <w:tabs>
          <w:tab w:val="left" w:pos="7560"/>
        </w:tabs>
        <w:spacing w:line="360" w:lineRule="auto"/>
        <w:ind w:firstLine="484" w:firstLineChars="20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项目编号</w:t>
      </w:r>
      <w:r>
        <w:rPr>
          <w:rFonts w:hint="eastAsia" w:ascii="仿宋" w:hAnsi="仿宋" w:eastAsia="仿宋" w:cs="仿宋"/>
          <w:color w:val="auto"/>
          <w:kern w:val="0"/>
          <w:sz w:val="24"/>
          <w:highlight w:val="none"/>
        </w:rPr>
        <w:t>：</w:t>
      </w:r>
    </w:p>
    <w:tbl>
      <w:tblPr>
        <w:tblStyle w:val="19"/>
        <w:tblW w:w="48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315"/>
        <w:gridCol w:w="1216"/>
        <w:gridCol w:w="734"/>
        <w:gridCol w:w="825"/>
        <w:gridCol w:w="1261"/>
        <w:gridCol w:w="1188"/>
        <w:gridCol w:w="828"/>
      </w:tblGrid>
      <w:tr w14:paraId="3908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18" w:type="pct"/>
            <w:noWrap w:val="0"/>
            <w:vAlign w:val="center"/>
          </w:tcPr>
          <w:p w14:paraId="7A4E6467">
            <w:pPr>
              <w:pStyle w:val="11"/>
              <w:spacing w:before="120" w:beforeLines="50"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799" w:type="pct"/>
            <w:noWrap w:val="0"/>
            <w:vAlign w:val="center"/>
          </w:tcPr>
          <w:p w14:paraId="31029B71">
            <w:pPr>
              <w:pStyle w:val="11"/>
              <w:spacing w:before="120" w:beforeLines="50"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项目名称</w:t>
            </w:r>
          </w:p>
        </w:tc>
        <w:tc>
          <w:tcPr>
            <w:tcW w:w="739" w:type="pct"/>
            <w:noWrap w:val="0"/>
            <w:vAlign w:val="center"/>
          </w:tcPr>
          <w:p w14:paraId="74E80B94">
            <w:pPr>
              <w:pStyle w:val="11"/>
              <w:spacing w:before="120" w:beforeLines="50"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技术要求</w:t>
            </w:r>
          </w:p>
        </w:tc>
        <w:tc>
          <w:tcPr>
            <w:tcW w:w="446" w:type="pct"/>
            <w:noWrap w:val="0"/>
            <w:vAlign w:val="center"/>
          </w:tcPr>
          <w:p w14:paraId="7E29F008">
            <w:pPr>
              <w:pStyle w:val="11"/>
              <w:spacing w:before="120" w:beforeLines="50"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数量</w:t>
            </w:r>
          </w:p>
        </w:tc>
        <w:tc>
          <w:tcPr>
            <w:tcW w:w="501" w:type="pct"/>
            <w:noWrap w:val="0"/>
            <w:vAlign w:val="center"/>
          </w:tcPr>
          <w:p w14:paraId="6CF728D5">
            <w:pPr>
              <w:pStyle w:val="11"/>
              <w:spacing w:before="120" w:beforeLines="50"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单位</w:t>
            </w:r>
          </w:p>
        </w:tc>
        <w:tc>
          <w:tcPr>
            <w:tcW w:w="767" w:type="pct"/>
            <w:noWrap w:val="0"/>
            <w:vAlign w:val="center"/>
          </w:tcPr>
          <w:p w14:paraId="0ACDEB1A">
            <w:pPr>
              <w:pStyle w:val="11"/>
              <w:spacing w:before="120" w:beforeLines="50"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单价（元）</w:t>
            </w:r>
          </w:p>
        </w:tc>
        <w:tc>
          <w:tcPr>
            <w:tcW w:w="722" w:type="pct"/>
            <w:noWrap w:val="0"/>
            <w:vAlign w:val="center"/>
          </w:tcPr>
          <w:p w14:paraId="679CD21D">
            <w:pPr>
              <w:pStyle w:val="11"/>
              <w:spacing w:before="120" w:beforeLines="50"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合价（元）</w:t>
            </w:r>
          </w:p>
        </w:tc>
        <w:tc>
          <w:tcPr>
            <w:tcW w:w="503" w:type="pct"/>
            <w:noWrap w:val="0"/>
            <w:vAlign w:val="center"/>
          </w:tcPr>
          <w:p w14:paraId="5F02B9E9">
            <w:pPr>
              <w:pStyle w:val="11"/>
              <w:spacing w:before="120" w:beforeLines="50"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备注</w:t>
            </w:r>
          </w:p>
        </w:tc>
      </w:tr>
      <w:tr w14:paraId="381C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1F17FD9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99" w:type="pct"/>
            <w:noWrap w:val="0"/>
            <w:vAlign w:val="center"/>
          </w:tcPr>
          <w:p w14:paraId="1F7B8E94">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3D9964F2">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45E2E59B">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33688DAF">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5765BA0E">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6A6B03C9">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3FB8040A">
            <w:pPr>
              <w:pStyle w:val="11"/>
              <w:spacing w:line="360" w:lineRule="auto"/>
              <w:jc w:val="center"/>
              <w:rPr>
                <w:rFonts w:hint="eastAsia" w:ascii="仿宋" w:hAnsi="仿宋" w:eastAsia="仿宋" w:cs="仿宋"/>
                <w:color w:val="auto"/>
                <w:kern w:val="0"/>
                <w:sz w:val="24"/>
                <w:szCs w:val="24"/>
                <w:highlight w:val="none"/>
              </w:rPr>
            </w:pPr>
          </w:p>
        </w:tc>
      </w:tr>
      <w:tr w14:paraId="69B9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0DF1144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99" w:type="pct"/>
            <w:noWrap w:val="0"/>
            <w:vAlign w:val="center"/>
          </w:tcPr>
          <w:p w14:paraId="6279065A">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5E1711CF">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0E7A045E">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5F283018">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6CA432D6">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0E7728E5">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6260AFE6">
            <w:pPr>
              <w:pStyle w:val="11"/>
              <w:spacing w:line="360" w:lineRule="auto"/>
              <w:jc w:val="center"/>
              <w:rPr>
                <w:rFonts w:hint="eastAsia" w:ascii="仿宋" w:hAnsi="仿宋" w:eastAsia="仿宋" w:cs="仿宋"/>
                <w:color w:val="auto"/>
                <w:kern w:val="0"/>
                <w:sz w:val="24"/>
                <w:szCs w:val="24"/>
                <w:highlight w:val="none"/>
              </w:rPr>
            </w:pPr>
          </w:p>
        </w:tc>
      </w:tr>
      <w:tr w14:paraId="63CA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52E59D9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99" w:type="pct"/>
            <w:noWrap w:val="0"/>
            <w:vAlign w:val="center"/>
          </w:tcPr>
          <w:p w14:paraId="025970C0">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45ED408C">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1A2691B7">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36CB72DC">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0E36B364">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651CBD19">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1AA19D01">
            <w:pPr>
              <w:pStyle w:val="11"/>
              <w:spacing w:line="360" w:lineRule="auto"/>
              <w:jc w:val="center"/>
              <w:rPr>
                <w:rFonts w:hint="eastAsia" w:ascii="仿宋" w:hAnsi="仿宋" w:eastAsia="仿宋" w:cs="仿宋"/>
                <w:color w:val="auto"/>
                <w:kern w:val="0"/>
                <w:sz w:val="24"/>
                <w:szCs w:val="24"/>
                <w:highlight w:val="none"/>
              </w:rPr>
            </w:pPr>
          </w:p>
        </w:tc>
      </w:tr>
      <w:tr w14:paraId="12DA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18" w:type="pct"/>
            <w:noWrap w:val="0"/>
            <w:vAlign w:val="center"/>
          </w:tcPr>
          <w:p w14:paraId="76097405">
            <w:pPr>
              <w:pStyle w:val="11"/>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799" w:type="pct"/>
            <w:noWrap w:val="0"/>
            <w:vAlign w:val="center"/>
          </w:tcPr>
          <w:p w14:paraId="28CACE3F">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19B2187B">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2FCCAC56">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638BD096">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3346E4EB">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442D80BF">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51AD4714">
            <w:pPr>
              <w:pStyle w:val="11"/>
              <w:spacing w:line="360" w:lineRule="auto"/>
              <w:jc w:val="center"/>
              <w:rPr>
                <w:rFonts w:hint="eastAsia" w:ascii="仿宋" w:hAnsi="仿宋" w:eastAsia="仿宋" w:cs="仿宋"/>
                <w:color w:val="auto"/>
                <w:kern w:val="0"/>
                <w:sz w:val="24"/>
                <w:szCs w:val="24"/>
                <w:highlight w:val="none"/>
              </w:rPr>
            </w:pPr>
          </w:p>
        </w:tc>
      </w:tr>
      <w:tr w14:paraId="1B1C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629C5CFF">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4760E45F">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4062F162">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52C7E454">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0D6804B3">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556A6B16">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0D00DE53">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0AF326F5">
            <w:pPr>
              <w:pStyle w:val="11"/>
              <w:spacing w:line="360" w:lineRule="auto"/>
              <w:jc w:val="center"/>
              <w:rPr>
                <w:rFonts w:hint="eastAsia" w:ascii="仿宋" w:hAnsi="仿宋" w:eastAsia="仿宋" w:cs="仿宋"/>
                <w:color w:val="auto"/>
                <w:kern w:val="0"/>
                <w:sz w:val="24"/>
                <w:szCs w:val="24"/>
                <w:highlight w:val="none"/>
              </w:rPr>
            </w:pPr>
          </w:p>
        </w:tc>
      </w:tr>
      <w:tr w14:paraId="60BF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308A4D58">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1BC12959">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5B60A013">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5057B9CB">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69FB3960">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3F447E47">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1AFB9D95">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5045D26C">
            <w:pPr>
              <w:pStyle w:val="11"/>
              <w:spacing w:line="360" w:lineRule="auto"/>
              <w:jc w:val="center"/>
              <w:rPr>
                <w:rFonts w:hint="eastAsia" w:ascii="仿宋" w:hAnsi="仿宋" w:eastAsia="仿宋" w:cs="仿宋"/>
                <w:color w:val="auto"/>
                <w:kern w:val="0"/>
                <w:sz w:val="24"/>
                <w:szCs w:val="24"/>
                <w:highlight w:val="none"/>
              </w:rPr>
            </w:pPr>
          </w:p>
        </w:tc>
      </w:tr>
      <w:tr w14:paraId="08D0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6D0747BB">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4E08466C">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7A8EB698">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25BD1153">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0F755E84">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6495B748">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54CB4107">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328BEE38">
            <w:pPr>
              <w:pStyle w:val="11"/>
              <w:spacing w:line="360" w:lineRule="auto"/>
              <w:jc w:val="center"/>
              <w:rPr>
                <w:rFonts w:hint="eastAsia" w:ascii="仿宋" w:hAnsi="仿宋" w:eastAsia="仿宋" w:cs="仿宋"/>
                <w:color w:val="auto"/>
                <w:kern w:val="0"/>
                <w:sz w:val="24"/>
                <w:szCs w:val="24"/>
                <w:highlight w:val="none"/>
              </w:rPr>
            </w:pPr>
          </w:p>
        </w:tc>
      </w:tr>
      <w:tr w14:paraId="5295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2F4F364A">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5226E990">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03813652">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20F74D1F">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6261AC66">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163560BA">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0F04E8AF">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347A15F0">
            <w:pPr>
              <w:pStyle w:val="11"/>
              <w:spacing w:line="360" w:lineRule="auto"/>
              <w:jc w:val="center"/>
              <w:rPr>
                <w:rFonts w:hint="eastAsia" w:ascii="仿宋" w:hAnsi="仿宋" w:eastAsia="仿宋" w:cs="仿宋"/>
                <w:color w:val="auto"/>
                <w:kern w:val="0"/>
                <w:sz w:val="24"/>
                <w:szCs w:val="24"/>
                <w:highlight w:val="none"/>
              </w:rPr>
            </w:pPr>
          </w:p>
        </w:tc>
      </w:tr>
      <w:tr w14:paraId="1EB4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04C9C743">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04502B93">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32E17DD2">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13945327">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66C14622">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6D142F7B">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5D3846F0">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57CF3C75">
            <w:pPr>
              <w:pStyle w:val="11"/>
              <w:spacing w:line="360" w:lineRule="auto"/>
              <w:jc w:val="center"/>
              <w:rPr>
                <w:rFonts w:hint="eastAsia" w:ascii="仿宋" w:hAnsi="仿宋" w:eastAsia="仿宋" w:cs="仿宋"/>
                <w:color w:val="auto"/>
                <w:kern w:val="0"/>
                <w:sz w:val="24"/>
                <w:szCs w:val="24"/>
                <w:highlight w:val="none"/>
              </w:rPr>
            </w:pPr>
          </w:p>
        </w:tc>
      </w:tr>
      <w:tr w14:paraId="1D10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3801E1BE">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26F60E09">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096CA631">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48D9E9ED">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4147B95C">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30071CEA">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0BF71F52">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2404EABD">
            <w:pPr>
              <w:pStyle w:val="11"/>
              <w:spacing w:line="360" w:lineRule="auto"/>
              <w:jc w:val="center"/>
              <w:rPr>
                <w:rFonts w:hint="eastAsia" w:ascii="仿宋" w:hAnsi="仿宋" w:eastAsia="仿宋" w:cs="仿宋"/>
                <w:color w:val="auto"/>
                <w:kern w:val="0"/>
                <w:sz w:val="24"/>
                <w:szCs w:val="24"/>
                <w:highlight w:val="none"/>
              </w:rPr>
            </w:pPr>
          </w:p>
        </w:tc>
      </w:tr>
      <w:tr w14:paraId="722A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33B6C8F1">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7C216D0B">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4B2576E4">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07D2A9ED">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1E32BAC4">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35439350">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5F96FB6A">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78AE6FE4">
            <w:pPr>
              <w:pStyle w:val="11"/>
              <w:spacing w:line="360" w:lineRule="auto"/>
              <w:jc w:val="center"/>
              <w:rPr>
                <w:rFonts w:hint="eastAsia" w:ascii="仿宋" w:hAnsi="仿宋" w:eastAsia="仿宋" w:cs="仿宋"/>
                <w:color w:val="auto"/>
                <w:kern w:val="0"/>
                <w:sz w:val="24"/>
                <w:szCs w:val="24"/>
                <w:highlight w:val="none"/>
              </w:rPr>
            </w:pPr>
          </w:p>
        </w:tc>
      </w:tr>
    </w:tbl>
    <w:p w14:paraId="6D0B3523">
      <w:pPr>
        <w:pStyle w:val="31"/>
        <w:keepNext w:val="0"/>
        <w:keepLines w:val="0"/>
        <w:pageBreakBefore w:val="0"/>
        <w:widowControl w:val="0"/>
        <w:shd w:val="clear" w:color="auto" w:fill="auto"/>
        <w:kinsoku/>
        <w:wordWrap/>
        <w:overflowPunct/>
        <w:topLinePunct w:val="0"/>
        <w:autoSpaceDE/>
        <w:autoSpaceDN/>
        <w:bidi w:val="0"/>
        <w:adjustRightInd/>
        <w:snapToGrid/>
        <w:spacing w:before="0" w:after="0" w:line="357" w:lineRule="exact"/>
        <w:ind w:left="176" w:right="0" w:firstLine="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说明：</w:t>
      </w:r>
      <w:r>
        <w:rPr>
          <w:rFonts w:hint="eastAsia" w:ascii="仿宋" w:hAnsi="仿宋" w:eastAsia="仿宋" w:cs="仿宋"/>
          <w:color w:val="auto"/>
          <w:spacing w:val="0"/>
          <w:w w:val="100"/>
          <w:position w:val="0"/>
          <w:sz w:val="24"/>
          <w:szCs w:val="24"/>
          <w:lang w:val="en-US" w:eastAsia="en-US" w:bidi="en-US"/>
        </w:rPr>
        <w:t>1.</w:t>
      </w:r>
      <w:r>
        <w:rPr>
          <w:rFonts w:hint="eastAsia" w:ascii="仿宋" w:hAnsi="仿宋" w:eastAsia="仿宋" w:cs="仿宋"/>
          <w:color w:val="auto"/>
          <w:spacing w:val="0"/>
          <w:w w:val="100"/>
          <w:position w:val="0"/>
          <w:sz w:val="24"/>
          <w:szCs w:val="24"/>
        </w:rPr>
        <w:t>所有价格均用人民币表示，单位为元。</w:t>
      </w:r>
    </w:p>
    <w:p w14:paraId="0AAE62D5">
      <w:pPr>
        <w:pStyle w:val="31"/>
        <w:keepNext w:val="0"/>
        <w:keepLines w:val="0"/>
        <w:pageBreakBefore w:val="0"/>
        <w:widowControl w:val="0"/>
        <w:numPr>
          <w:ilvl w:val="0"/>
          <w:numId w:val="0"/>
        </w:numPr>
        <w:shd w:val="clear" w:color="auto" w:fill="auto"/>
        <w:tabs>
          <w:tab w:val="left" w:pos="378"/>
        </w:tabs>
        <w:kinsoku/>
        <w:wordWrap/>
        <w:overflowPunct/>
        <w:topLinePunct w:val="0"/>
        <w:autoSpaceDE/>
        <w:autoSpaceDN/>
        <w:bidi w:val="0"/>
        <w:adjustRightInd/>
        <w:snapToGrid/>
        <w:spacing w:before="0" w:after="0" w:line="357" w:lineRule="exact"/>
        <w:ind w:left="176" w:leftChars="0" w:right="0" w:rightChars="0" w:firstLine="720" w:firstLineChars="3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lang w:val="en-US" w:eastAsia="zh-CN"/>
        </w:rPr>
        <w:t>2.</w:t>
      </w:r>
      <w:r>
        <w:rPr>
          <w:rFonts w:hint="eastAsia" w:ascii="仿宋" w:hAnsi="仿宋" w:eastAsia="仿宋" w:cs="仿宋"/>
          <w:color w:val="auto"/>
          <w:spacing w:val="0"/>
          <w:w w:val="100"/>
          <w:position w:val="0"/>
          <w:sz w:val="24"/>
          <w:szCs w:val="24"/>
        </w:rPr>
        <w:t>报价总计价格必须与《</w:t>
      </w:r>
      <w:r>
        <w:rPr>
          <w:rFonts w:hint="eastAsia" w:ascii="仿宋" w:hAnsi="仿宋" w:eastAsia="仿宋" w:cs="仿宋"/>
          <w:color w:val="auto"/>
          <w:spacing w:val="0"/>
          <w:w w:val="100"/>
          <w:position w:val="0"/>
          <w:sz w:val="24"/>
          <w:szCs w:val="24"/>
          <w:lang w:eastAsia="zh-CN"/>
        </w:rPr>
        <w:t>投标报价单</w:t>
      </w:r>
      <w:r>
        <w:rPr>
          <w:rFonts w:hint="eastAsia" w:ascii="仿宋" w:hAnsi="仿宋" w:eastAsia="仿宋" w:cs="仿宋"/>
          <w:color w:val="auto"/>
          <w:spacing w:val="0"/>
          <w:w w:val="100"/>
          <w:position w:val="0"/>
          <w:sz w:val="24"/>
          <w:szCs w:val="24"/>
        </w:rPr>
        <w:t>》报价一致。</w:t>
      </w:r>
    </w:p>
    <w:p w14:paraId="707157EE">
      <w:pPr>
        <w:pStyle w:val="31"/>
        <w:keepNext w:val="0"/>
        <w:keepLines w:val="0"/>
        <w:pageBreakBefore w:val="0"/>
        <w:widowControl w:val="0"/>
        <w:numPr>
          <w:ilvl w:val="0"/>
          <w:numId w:val="0"/>
        </w:numPr>
        <w:shd w:val="clear" w:color="auto" w:fill="auto"/>
        <w:tabs>
          <w:tab w:val="left" w:pos="409"/>
          <w:tab w:val="left" w:pos="490"/>
        </w:tabs>
        <w:kinsoku/>
        <w:wordWrap/>
        <w:overflowPunct/>
        <w:topLinePunct w:val="0"/>
        <w:autoSpaceDE/>
        <w:autoSpaceDN/>
        <w:bidi w:val="0"/>
        <w:adjustRightInd/>
        <w:snapToGrid/>
        <w:spacing w:before="0" w:after="0" w:line="357" w:lineRule="exact"/>
        <w:ind w:left="176" w:leftChars="0" w:right="0" w:rightChars="0" w:firstLine="720" w:firstLineChars="300"/>
        <w:jc w:val="left"/>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en-US" w:eastAsia="zh-CN"/>
        </w:rPr>
        <w:t>3.</w:t>
      </w:r>
      <w:r>
        <w:rPr>
          <w:rFonts w:hint="eastAsia" w:ascii="仿宋" w:hAnsi="仿宋" w:eastAsia="仿宋" w:cs="仿宋"/>
          <w:color w:val="auto"/>
          <w:spacing w:val="0"/>
          <w:w w:val="100"/>
          <w:position w:val="0"/>
          <w:sz w:val="24"/>
          <w:szCs w:val="24"/>
        </w:rPr>
        <w:t>如果不提供详细的分项报价表将被视为没有实质性</w:t>
      </w:r>
      <w:r>
        <w:rPr>
          <w:rFonts w:hint="eastAsia" w:ascii="仿宋" w:hAnsi="仿宋" w:eastAsia="仿宋" w:cs="仿宋"/>
          <w:color w:val="auto"/>
          <w:spacing w:val="0"/>
          <w:w w:val="100"/>
          <w:position w:val="0"/>
          <w:sz w:val="24"/>
          <w:szCs w:val="24"/>
          <w:lang w:eastAsia="zh-CN"/>
        </w:rPr>
        <w:t>响应文件</w:t>
      </w:r>
      <w:r>
        <w:rPr>
          <w:rFonts w:hint="eastAsia" w:ascii="仿宋" w:hAnsi="仿宋" w:eastAsia="仿宋" w:cs="仿宋"/>
          <w:color w:val="auto"/>
          <w:spacing w:val="0"/>
          <w:w w:val="100"/>
          <w:position w:val="0"/>
          <w:sz w:val="24"/>
          <w:szCs w:val="24"/>
        </w:rPr>
        <w:t>。</w:t>
      </w:r>
    </w:p>
    <w:p w14:paraId="143E22AE">
      <w:pPr>
        <w:pStyle w:val="31"/>
        <w:keepNext w:val="0"/>
        <w:keepLines w:val="0"/>
        <w:pageBreakBefore w:val="0"/>
        <w:widowControl w:val="0"/>
        <w:numPr>
          <w:ilvl w:val="0"/>
          <w:numId w:val="0"/>
        </w:numPr>
        <w:shd w:val="clear" w:color="auto" w:fill="auto"/>
        <w:tabs>
          <w:tab w:val="left" w:pos="409"/>
          <w:tab w:val="left" w:pos="490"/>
        </w:tabs>
        <w:kinsoku/>
        <w:wordWrap/>
        <w:overflowPunct/>
        <w:topLinePunct w:val="0"/>
        <w:autoSpaceDE/>
        <w:autoSpaceDN/>
        <w:bidi w:val="0"/>
        <w:adjustRightInd/>
        <w:snapToGrid/>
        <w:spacing w:before="0" w:after="0" w:line="357" w:lineRule="exact"/>
        <w:ind w:left="176" w:leftChars="0" w:right="0" w:rightChars="0" w:firstLine="720" w:firstLineChars="3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lang w:val="en-US" w:eastAsia="zh-CN"/>
        </w:rPr>
        <w:t>4.</w:t>
      </w:r>
      <w:r>
        <w:rPr>
          <w:rFonts w:hint="eastAsia" w:ascii="仿宋" w:hAnsi="仿宋" w:eastAsia="仿宋" w:cs="仿宋"/>
          <w:color w:val="auto"/>
          <w:spacing w:val="0"/>
          <w:w w:val="100"/>
          <w:position w:val="0"/>
          <w:sz w:val="24"/>
          <w:szCs w:val="24"/>
        </w:rPr>
        <w:t>投标人必须按此表格式中的对应栏目内容填写，若需增加栏目，请在栏目</w:t>
      </w:r>
      <w:r>
        <w:rPr>
          <w:rFonts w:hint="eastAsia" w:ascii="仿宋" w:hAnsi="仿宋" w:eastAsia="仿宋" w:cs="仿宋"/>
          <w:color w:val="auto"/>
          <w:spacing w:val="0"/>
          <w:w w:val="100"/>
          <w:position w:val="0"/>
          <w:sz w:val="24"/>
          <w:szCs w:val="24"/>
          <w:lang w:val="zh-CN" w:eastAsia="zh-CN" w:bidi="zh-CN"/>
        </w:rPr>
        <w:t>“其</w:t>
      </w:r>
      <w:r>
        <w:rPr>
          <w:rFonts w:hint="eastAsia" w:ascii="仿宋" w:hAnsi="仿宋" w:eastAsia="仿宋" w:cs="仿宋"/>
          <w:color w:val="auto"/>
          <w:spacing w:val="0"/>
          <w:w w:val="100"/>
          <w:position w:val="0"/>
          <w:sz w:val="24"/>
          <w:szCs w:val="24"/>
        </w:rPr>
        <w:t>它”中填写，并作详细说明。</w:t>
      </w:r>
    </w:p>
    <w:p w14:paraId="66A50C3E">
      <w:pPr>
        <w:pStyle w:val="31"/>
        <w:keepNext w:val="0"/>
        <w:keepLines w:val="0"/>
        <w:pageBreakBefore w:val="0"/>
        <w:widowControl w:val="0"/>
        <w:numPr>
          <w:ilvl w:val="0"/>
          <w:numId w:val="0"/>
        </w:numPr>
        <w:shd w:val="clear" w:color="auto" w:fill="auto"/>
        <w:tabs>
          <w:tab w:val="left" w:pos="493"/>
        </w:tabs>
        <w:kinsoku/>
        <w:wordWrap/>
        <w:overflowPunct/>
        <w:topLinePunct w:val="0"/>
        <w:autoSpaceDE/>
        <w:autoSpaceDN/>
        <w:bidi w:val="0"/>
        <w:adjustRightInd/>
        <w:snapToGrid/>
        <w:spacing w:before="0" w:after="0" w:line="357" w:lineRule="exact"/>
        <w:ind w:left="176" w:leftChars="0" w:right="0" w:rightChars="0"/>
        <w:jc w:val="left"/>
        <w:textAlignment w:val="auto"/>
        <w:rPr>
          <w:rFonts w:hint="eastAsia" w:ascii="仿宋" w:hAnsi="仿宋" w:eastAsia="仿宋" w:cs="仿宋"/>
          <w:color w:val="auto"/>
          <w:spacing w:val="0"/>
          <w:w w:val="100"/>
          <w:position w:val="0"/>
          <w:sz w:val="24"/>
          <w:szCs w:val="24"/>
        </w:rPr>
      </w:pPr>
    </w:p>
    <w:p w14:paraId="73D2EBD5">
      <w:pPr>
        <w:pStyle w:val="31"/>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auto"/>
          <w:spacing w:val="0"/>
          <w:w w:val="100"/>
          <w:position w:val="0"/>
          <w:sz w:val="20"/>
          <w:szCs w:val="20"/>
        </w:rPr>
      </w:pPr>
    </w:p>
    <w:p w14:paraId="4E209FD4">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2D39CAED">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14:paraId="0DA5AF86">
      <w:pPr>
        <w:pStyle w:val="9"/>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5945B530">
      <w:pPr>
        <w:rPr>
          <w:rFonts w:hint="eastAsia" w:ascii="仿宋" w:hAnsi="仿宋" w:eastAsia="仿宋" w:cs="仿宋"/>
          <w:color w:val="auto"/>
          <w:sz w:val="24"/>
          <w:szCs w:val="24"/>
        </w:rPr>
      </w:pPr>
    </w:p>
    <w:p w14:paraId="2EF47133">
      <w:pPr>
        <w:pStyle w:val="16"/>
        <w:rPr>
          <w:rFonts w:hint="eastAsia" w:ascii="仿宋" w:hAnsi="仿宋" w:eastAsia="仿宋" w:cs="仿宋"/>
          <w:color w:val="auto"/>
          <w:sz w:val="24"/>
          <w:szCs w:val="24"/>
        </w:rPr>
      </w:pPr>
    </w:p>
    <w:p w14:paraId="76723500">
      <w:pPr>
        <w:pStyle w:val="9"/>
        <w:numPr>
          <w:ilvl w:val="0"/>
          <w:numId w:val="0"/>
        </w:numPr>
        <w:ind w:left="360" w:leftChars="0"/>
        <w:rPr>
          <w:rFonts w:hint="eastAsia"/>
        </w:rPr>
      </w:pPr>
    </w:p>
    <w:p w14:paraId="3E6E61A6">
      <w:pPr>
        <w:pStyle w:val="16"/>
        <w:rPr>
          <w:rFonts w:hint="eastAsia"/>
          <w:lang w:val="en-US" w:eastAsia="zh-CN"/>
        </w:rPr>
      </w:pPr>
    </w:p>
    <w:p w14:paraId="5B099E5C">
      <w:pP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br w:type="page"/>
      </w:r>
    </w:p>
    <w:p w14:paraId="21CBA4A6">
      <w:pPr>
        <w:pStyle w:val="27"/>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5、技术条款偏离表</w:t>
      </w:r>
    </w:p>
    <w:tbl>
      <w:tblPr>
        <w:tblStyle w:val="19"/>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14:paraId="74995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14:paraId="23EB393B">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57" w:type="dxa"/>
            <w:noWrap w:val="0"/>
            <w:vAlign w:val="center"/>
          </w:tcPr>
          <w:p w14:paraId="626F4B09">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326" w:type="dxa"/>
            <w:noWrap w:val="0"/>
            <w:vAlign w:val="center"/>
          </w:tcPr>
          <w:p w14:paraId="1F8E0DE5">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谈判文件</w:t>
            </w:r>
            <w:r>
              <w:rPr>
                <w:rFonts w:hint="eastAsia" w:ascii="仿宋" w:hAnsi="仿宋" w:eastAsia="仿宋" w:cs="仿宋"/>
                <w:bCs/>
                <w:color w:val="auto"/>
                <w:sz w:val="24"/>
                <w:szCs w:val="24"/>
              </w:rPr>
              <w:t>条目号</w:t>
            </w:r>
          </w:p>
        </w:tc>
        <w:tc>
          <w:tcPr>
            <w:tcW w:w="1326" w:type="dxa"/>
            <w:noWrap w:val="0"/>
            <w:vAlign w:val="center"/>
          </w:tcPr>
          <w:p w14:paraId="33EEF9DD">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谈判文件</w:t>
            </w:r>
            <w:r>
              <w:rPr>
                <w:rFonts w:hint="eastAsia" w:ascii="仿宋" w:hAnsi="仿宋" w:eastAsia="仿宋" w:cs="仿宋"/>
                <w:bCs/>
                <w:color w:val="auto"/>
                <w:sz w:val="24"/>
                <w:szCs w:val="24"/>
              </w:rPr>
              <w:t>要求规格</w:t>
            </w:r>
          </w:p>
        </w:tc>
        <w:tc>
          <w:tcPr>
            <w:tcW w:w="1326" w:type="dxa"/>
            <w:noWrap w:val="0"/>
            <w:vAlign w:val="center"/>
          </w:tcPr>
          <w:p w14:paraId="4FC7075C">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投标规格</w:t>
            </w:r>
          </w:p>
        </w:tc>
        <w:tc>
          <w:tcPr>
            <w:tcW w:w="1327" w:type="dxa"/>
            <w:noWrap w:val="0"/>
            <w:vAlign w:val="center"/>
          </w:tcPr>
          <w:p w14:paraId="062AAE7F">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tc>
        <w:tc>
          <w:tcPr>
            <w:tcW w:w="1327" w:type="dxa"/>
            <w:noWrap w:val="0"/>
            <w:vAlign w:val="center"/>
          </w:tcPr>
          <w:p w14:paraId="12696C6D">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w:t>
            </w:r>
          </w:p>
        </w:tc>
      </w:tr>
      <w:tr w14:paraId="5CAF3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4655B211">
            <w:pPr>
              <w:jc w:val="center"/>
              <w:rPr>
                <w:rFonts w:hint="eastAsia" w:ascii="仿宋" w:hAnsi="仿宋" w:eastAsia="仿宋" w:cs="仿宋"/>
                <w:b/>
                <w:bCs/>
                <w:color w:val="auto"/>
                <w:sz w:val="24"/>
                <w:szCs w:val="24"/>
              </w:rPr>
            </w:pPr>
          </w:p>
        </w:tc>
        <w:tc>
          <w:tcPr>
            <w:tcW w:w="1357" w:type="dxa"/>
            <w:noWrap w:val="0"/>
            <w:vAlign w:val="top"/>
          </w:tcPr>
          <w:p w14:paraId="1A60195F">
            <w:pPr>
              <w:jc w:val="center"/>
              <w:rPr>
                <w:rFonts w:hint="eastAsia" w:ascii="仿宋" w:hAnsi="仿宋" w:eastAsia="仿宋" w:cs="仿宋"/>
                <w:b/>
                <w:bCs/>
                <w:color w:val="auto"/>
                <w:sz w:val="24"/>
                <w:szCs w:val="24"/>
              </w:rPr>
            </w:pPr>
          </w:p>
        </w:tc>
        <w:tc>
          <w:tcPr>
            <w:tcW w:w="1326" w:type="dxa"/>
            <w:noWrap w:val="0"/>
            <w:vAlign w:val="top"/>
          </w:tcPr>
          <w:p w14:paraId="747238B1">
            <w:pPr>
              <w:jc w:val="center"/>
              <w:rPr>
                <w:rFonts w:hint="eastAsia" w:ascii="仿宋" w:hAnsi="仿宋" w:eastAsia="仿宋" w:cs="仿宋"/>
                <w:b/>
                <w:bCs/>
                <w:color w:val="auto"/>
                <w:sz w:val="24"/>
                <w:szCs w:val="24"/>
              </w:rPr>
            </w:pPr>
          </w:p>
        </w:tc>
        <w:tc>
          <w:tcPr>
            <w:tcW w:w="1326" w:type="dxa"/>
            <w:noWrap w:val="0"/>
            <w:vAlign w:val="top"/>
          </w:tcPr>
          <w:p w14:paraId="0B1D4130">
            <w:pPr>
              <w:jc w:val="center"/>
              <w:rPr>
                <w:rFonts w:hint="eastAsia" w:ascii="仿宋" w:hAnsi="仿宋" w:eastAsia="仿宋" w:cs="仿宋"/>
                <w:b/>
                <w:bCs/>
                <w:color w:val="auto"/>
                <w:sz w:val="24"/>
                <w:szCs w:val="24"/>
              </w:rPr>
            </w:pPr>
          </w:p>
        </w:tc>
        <w:tc>
          <w:tcPr>
            <w:tcW w:w="1326" w:type="dxa"/>
            <w:noWrap w:val="0"/>
            <w:vAlign w:val="top"/>
          </w:tcPr>
          <w:p w14:paraId="51490FA5">
            <w:pPr>
              <w:jc w:val="center"/>
              <w:rPr>
                <w:rFonts w:hint="eastAsia" w:ascii="仿宋" w:hAnsi="仿宋" w:eastAsia="仿宋" w:cs="仿宋"/>
                <w:b/>
                <w:bCs/>
                <w:color w:val="auto"/>
                <w:sz w:val="24"/>
                <w:szCs w:val="24"/>
              </w:rPr>
            </w:pPr>
          </w:p>
        </w:tc>
        <w:tc>
          <w:tcPr>
            <w:tcW w:w="1327" w:type="dxa"/>
            <w:noWrap w:val="0"/>
            <w:vAlign w:val="top"/>
          </w:tcPr>
          <w:p w14:paraId="69A1B206">
            <w:pPr>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如有正偏离需提供证明材料，证明材料附后(并注明页码)</w:t>
            </w:r>
          </w:p>
        </w:tc>
        <w:tc>
          <w:tcPr>
            <w:tcW w:w="1327" w:type="dxa"/>
            <w:noWrap w:val="0"/>
            <w:vAlign w:val="top"/>
          </w:tcPr>
          <w:p w14:paraId="1D0606EB">
            <w:pPr>
              <w:jc w:val="center"/>
              <w:rPr>
                <w:rFonts w:hint="eastAsia" w:ascii="仿宋" w:hAnsi="仿宋" w:eastAsia="仿宋" w:cs="仿宋"/>
                <w:b/>
                <w:bCs/>
                <w:color w:val="auto"/>
                <w:sz w:val="24"/>
                <w:szCs w:val="24"/>
              </w:rPr>
            </w:pPr>
          </w:p>
        </w:tc>
      </w:tr>
      <w:tr w14:paraId="68BB8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04641A76">
            <w:pPr>
              <w:jc w:val="center"/>
              <w:rPr>
                <w:rFonts w:hint="eastAsia" w:ascii="仿宋" w:hAnsi="仿宋" w:eastAsia="仿宋" w:cs="仿宋"/>
                <w:b/>
                <w:bCs/>
                <w:color w:val="auto"/>
                <w:sz w:val="24"/>
                <w:szCs w:val="24"/>
              </w:rPr>
            </w:pPr>
          </w:p>
        </w:tc>
        <w:tc>
          <w:tcPr>
            <w:tcW w:w="1357" w:type="dxa"/>
            <w:noWrap w:val="0"/>
            <w:vAlign w:val="top"/>
          </w:tcPr>
          <w:p w14:paraId="237F49BB">
            <w:pPr>
              <w:jc w:val="center"/>
              <w:rPr>
                <w:rFonts w:hint="eastAsia" w:ascii="仿宋" w:hAnsi="仿宋" w:eastAsia="仿宋" w:cs="仿宋"/>
                <w:b/>
                <w:bCs/>
                <w:color w:val="auto"/>
                <w:sz w:val="24"/>
                <w:szCs w:val="24"/>
              </w:rPr>
            </w:pPr>
          </w:p>
        </w:tc>
        <w:tc>
          <w:tcPr>
            <w:tcW w:w="1326" w:type="dxa"/>
            <w:noWrap w:val="0"/>
            <w:vAlign w:val="top"/>
          </w:tcPr>
          <w:p w14:paraId="690DEDFB">
            <w:pPr>
              <w:jc w:val="center"/>
              <w:rPr>
                <w:rFonts w:hint="eastAsia" w:ascii="仿宋" w:hAnsi="仿宋" w:eastAsia="仿宋" w:cs="仿宋"/>
                <w:b/>
                <w:bCs/>
                <w:color w:val="auto"/>
                <w:sz w:val="24"/>
                <w:szCs w:val="24"/>
              </w:rPr>
            </w:pPr>
          </w:p>
        </w:tc>
        <w:tc>
          <w:tcPr>
            <w:tcW w:w="1326" w:type="dxa"/>
            <w:noWrap w:val="0"/>
            <w:vAlign w:val="top"/>
          </w:tcPr>
          <w:p w14:paraId="1570A37A">
            <w:pPr>
              <w:jc w:val="center"/>
              <w:rPr>
                <w:rFonts w:hint="eastAsia" w:ascii="仿宋" w:hAnsi="仿宋" w:eastAsia="仿宋" w:cs="仿宋"/>
                <w:b/>
                <w:bCs/>
                <w:color w:val="auto"/>
                <w:sz w:val="24"/>
                <w:szCs w:val="24"/>
              </w:rPr>
            </w:pPr>
          </w:p>
        </w:tc>
        <w:tc>
          <w:tcPr>
            <w:tcW w:w="1326" w:type="dxa"/>
            <w:noWrap w:val="0"/>
            <w:vAlign w:val="top"/>
          </w:tcPr>
          <w:p w14:paraId="480B2C61">
            <w:pPr>
              <w:jc w:val="center"/>
              <w:rPr>
                <w:rFonts w:hint="eastAsia" w:ascii="仿宋" w:hAnsi="仿宋" w:eastAsia="仿宋" w:cs="仿宋"/>
                <w:b/>
                <w:bCs/>
                <w:color w:val="auto"/>
                <w:sz w:val="24"/>
                <w:szCs w:val="24"/>
              </w:rPr>
            </w:pPr>
          </w:p>
        </w:tc>
        <w:tc>
          <w:tcPr>
            <w:tcW w:w="1327" w:type="dxa"/>
            <w:noWrap w:val="0"/>
            <w:vAlign w:val="top"/>
          </w:tcPr>
          <w:p w14:paraId="3B10EF98">
            <w:pPr>
              <w:jc w:val="center"/>
              <w:rPr>
                <w:rFonts w:hint="eastAsia" w:ascii="仿宋" w:hAnsi="仿宋" w:eastAsia="仿宋" w:cs="仿宋"/>
                <w:b/>
                <w:bCs/>
                <w:color w:val="auto"/>
                <w:sz w:val="24"/>
                <w:szCs w:val="24"/>
              </w:rPr>
            </w:pPr>
          </w:p>
        </w:tc>
        <w:tc>
          <w:tcPr>
            <w:tcW w:w="1327" w:type="dxa"/>
            <w:noWrap w:val="0"/>
            <w:vAlign w:val="top"/>
          </w:tcPr>
          <w:p w14:paraId="164EA339">
            <w:pPr>
              <w:jc w:val="center"/>
              <w:rPr>
                <w:rFonts w:hint="eastAsia" w:ascii="仿宋" w:hAnsi="仿宋" w:eastAsia="仿宋" w:cs="仿宋"/>
                <w:b/>
                <w:bCs/>
                <w:color w:val="auto"/>
                <w:sz w:val="24"/>
                <w:szCs w:val="24"/>
              </w:rPr>
            </w:pPr>
          </w:p>
        </w:tc>
      </w:tr>
      <w:tr w14:paraId="1473F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262C45B1">
            <w:pPr>
              <w:jc w:val="center"/>
              <w:rPr>
                <w:rFonts w:hint="eastAsia" w:ascii="仿宋" w:hAnsi="仿宋" w:eastAsia="仿宋" w:cs="仿宋"/>
                <w:b/>
                <w:bCs/>
                <w:color w:val="auto"/>
                <w:sz w:val="24"/>
                <w:szCs w:val="24"/>
              </w:rPr>
            </w:pPr>
          </w:p>
        </w:tc>
        <w:tc>
          <w:tcPr>
            <w:tcW w:w="1357" w:type="dxa"/>
            <w:noWrap w:val="0"/>
            <w:vAlign w:val="top"/>
          </w:tcPr>
          <w:p w14:paraId="7B8E8CDF">
            <w:pPr>
              <w:jc w:val="center"/>
              <w:rPr>
                <w:rFonts w:hint="eastAsia" w:ascii="仿宋" w:hAnsi="仿宋" w:eastAsia="仿宋" w:cs="仿宋"/>
                <w:b/>
                <w:bCs/>
                <w:color w:val="auto"/>
                <w:sz w:val="24"/>
                <w:szCs w:val="24"/>
              </w:rPr>
            </w:pPr>
          </w:p>
        </w:tc>
        <w:tc>
          <w:tcPr>
            <w:tcW w:w="1326" w:type="dxa"/>
            <w:noWrap w:val="0"/>
            <w:vAlign w:val="top"/>
          </w:tcPr>
          <w:p w14:paraId="498EBDB4">
            <w:pPr>
              <w:jc w:val="center"/>
              <w:rPr>
                <w:rFonts w:hint="eastAsia" w:ascii="仿宋" w:hAnsi="仿宋" w:eastAsia="仿宋" w:cs="仿宋"/>
                <w:b/>
                <w:bCs/>
                <w:color w:val="auto"/>
                <w:sz w:val="24"/>
                <w:szCs w:val="24"/>
              </w:rPr>
            </w:pPr>
          </w:p>
        </w:tc>
        <w:tc>
          <w:tcPr>
            <w:tcW w:w="1326" w:type="dxa"/>
            <w:noWrap w:val="0"/>
            <w:vAlign w:val="top"/>
          </w:tcPr>
          <w:p w14:paraId="198816D5">
            <w:pPr>
              <w:jc w:val="center"/>
              <w:rPr>
                <w:rFonts w:hint="eastAsia" w:ascii="仿宋" w:hAnsi="仿宋" w:eastAsia="仿宋" w:cs="仿宋"/>
                <w:b/>
                <w:bCs/>
                <w:color w:val="auto"/>
                <w:sz w:val="24"/>
                <w:szCs w:val="24"/>
              </w:rPr>
            </w:pPr>
          </w:p>
        </w:tc>
        <w:tc>
          <w:tcPr>
            <w:tcW w:w="1326" w:type="dxa"/>
            <w:noWrap w:val="0"/>
            <w:vAlign w:val="top"/>
          </w:tcPr>
          <w:p w14:paraId="3F9582A5">
            <w:pPr>
              <w:jc w:val="center"/>
              <w:rPr>
                <w:rFonts w:hint="eastAsia" w:ascii="仿宋" w:hAnsi="仿宋" w:eastAsia="仿宋" w:cs="仿宋"/>
                <w:b/>
                <w:bCs/>
                <w:color w:val="auto"/>
                <w:sz w:val="24"/>
                <w:szCs w:val="24"/>
              </w:rPr>
            </w:pPr>
          </w:p>
        </w:tc>
        <w:tc>
          <w:tcPr>
            <w:tcW w:w="1327" w:type="dxa"/>
            <w:noWrap w:val="0"/>
            <w:vAlign w:val="top"/>
          </w:tcPr>
          <w:p w14:paraId="435FB1D6">
            <w:pPr>
              <w:jc w:val="center"/>
              <w:rPr>
                <w:rFonts w:hint="eastAsia" w:ascii="仿宋" w:hAnsi="仿宋" w:eastAsia="仿宋" w:cs="仿宋"/>
                <w:b/>
                <w:bCs/>
                <w:color w:val="auto"/>
                <w:sz w:val="24"/>
                <w:szCs w:val="24"/>
              </w:rPr>
            </w:pPr>
          </w:p>
        </w:tc>
        <w:tc>
          <w:tcPr>
            <w:tcW w:w="1327" w:type="dxa"/>
            <w:noWrap w:val="0"/>
            <w:vAlign w:val="top"/>
          </w:tcPr>
          <w:p w14:paraId="72B57819">
            <w:pPr>
              <w:jc w:val="center"/>
              <w:rPr>
                <w:rFonts w:hint="eastAsia" w:ascii="仿宋" w:hAnsi="仿宋" w:eastAsia="仿宋" w:cs="仿宋"/>
                <w:b/>
                <w:bCs/>
                <w:color w:val="auto"/>
                <w:sz w:val="24"/>
                <w:szCs w:val="24"/>
              </w:rPr>
            </w:pPr>
          </w:p>
        </w:tc>
      </w:tr>
      <w:tr w14:paraId="19397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27179488">
            <w:pPr>
              <w:jc w:val="center"/>
              <w:rPr>
                <w:rFonts w:hint="eastAsia" w:ascii="仿宋" w:hAnsi="仿宋" w:eastAsia="仿宋" w:cs="仿宋"/>
                <w:b/>
                <w:bCs/>
                <w:color w:val="auto"/>
                <w:sz w:val="24"/>
                <w:szCs w:val="24"/>
              </w:rPr>
            </w:pPr>
          </w:p>
        </w:tc>
        <w:tc>
          <w:tcPr>
            <w:tcW w:w="1357" w:type="dxa"/>
            <w:noWrap w:val="0"/>
            <w:vAlign w:val="top"/>
          </w:tcPr>
          <w:p w14:paraId="66093D1A">
            <w:pPr>
              <w:jc w:val="center"/>
              <w:rPr>
                <w:rFonts w:hint="eastAsia" w:ascii="仿宋" w:hAnsi="仿宋" w:eastAsia="仿宋" w:cs="仿宋"/>
                <w:b/>
                <w:bCs/>
                <w:color w:val="auto"/>
                <w:sz w:val="24"/>
                <w:szCs w:val="24"/>
              </w:rPr>
            </w:pPr>
          </w:p>
        </w:tc>
        <w:tc>
          <w:tcPr>
            <w:tcW w:w="1326" w:type="dxa"/>
            <w:noWrap w:val="0"/>
            <w:vAlign w:val="top"/>
          </w:tcPr>
          <w:p w14:paraId="53C10287">
            <w:pPr>
              <w:jc w:val="center"/>
              <w:rPr>
                <w:rFonts w:hint="eastAsia" w:ascii="仿宋" w:hAnsi="仿宋" w:eastAsia="仿宋" w:cs="仿宋"/>
                <w:b/>
                <w:bCs/>
                <w:color w:val="auto"/>
                <w:sz w:val="24"/>
                <w:szCs w:val="24"/>
              </w:rPr>
            </w:pPr>
          </w:p>
        </w:tc>
        <w:tc>
          <w:tcPr>
            <w:tcW w:w="1326" w:type="dxa"/>
            <w:noWrap w:val="0"/>
            <w:vAlign w:val="top"/>
          </w:tcPr>
          <w:p w14:paraId="5C7A1F9A">
            <w:pPr>
              <w:jc w:val="center"/>
              <w:rPr>
                <w:rFonts w:hint="eastAsia" w:ascii="仿宋" w:hAnsi="仿宋" w:eastAsia="仿宋" w:cs="仿宋"/>
                <w:b/>
                <w:bCs/>
                <w:color w:val="auto"/>
                <w:sz w:val="24"/>
                <w:szCs w:val="24"/>
              </w:rPr>
            </w:pPr>
          </w:p>
        </w:tc>
        <w:tc>
          <w:tcPr>
            <w:tcW w:w="1326" w:type="dxa"/>
            <w:noWrap w:val="0"/>
            <w:vAlign w:val="top"/>
          </w:tcPr>
          <w:p w14:paraId="40017B45">
            <w:pPr>
              <w:jc w:val="center"/>
              <w:rPr>
                <w:rFonts w:hint="eastAsia" w:ascii="仿宋" w:hAnsi="仿宋" w:eastAsia="仿宋" w:cs="仿宋"/>
                <w:b/>
                <w:bCs/>
                <w:color w:val="auto"/>
                <w:sz w:val="24"/>
                <w:szCs w:val="24"/>
              </w:rPr>
            </w:pPr>
          </w:p>
        </w:tc>
        <w:tc>
          <w:tcPr>
            <w:tcW w:w="1327" w:type="dxa"/>
            <w:noWrap w:val="0"/>
            <w:vAlign w:val="top"/>
          </w:tcPr>
          <w:p w14:paraId="1B5B57DA">
            <w:pPr>
              <w:jc w:val="center"/>
              <w:rPr>
                <w:rFonts w:hint="eastAsia" w:ascii="仿宋" w:hAnsi="仿宋" w:eastAsia="仿宋" w:cs="仿宋"/>
                <w:b/>
                <w:bCs/>
                <w:color w:val="auto"/>
                <w:sz w:val="24"/>
                <w:szCs w:val="24"/>
              </w:rPr>
            </w:pPr>
          </w:p>
        </w:tc>
        <w:tc>
          <w:tcPr>
            <w:tcW w:w="1327" w:type="dxa"/>
            <w:noWrap w:val="0"/>
            <w:vAlign w:val="top"/>
          </w:tcPr>
          <w:p w14:paraId="20A5EBCC">
            <w:pPr>
              <w:jc w:val="center"/>
              <w:rPr>
                <w:rFonts w:hint="eastAsia" w:ascii="仿宋" w:hAnsi="仿宋" w:eastAsia="仿宋" w:cs="仿宋"/>
                <w:b/>
                <w:bCs/>
                <w:color w:val="auto"/>
                <w:sz w:val="24"/>
                <w:szCs w:val="24"/>
              </w:rPr>
            </w:pPr>
          </w:p>
        </w:tc>
      </w:tr>
      <w:tr w14:paraId="4E8BD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0B048C68">
            <w:pPr>
              <w:jc w:val="center"/>
              <w:rPr>
                <w:rFonts w:hint="eastAsia" w:ascii="仿宋" w:hAnsi="仿宋" w:eastAsia="仿宋" w:cs="仿宋"/>
                <w:b/>
                <w:bCs/>
                <w:color w:val="auto"/>
                <w:sz w:val="24"/>
                <w:szCs w:val="24"/>
              </w:rPr>
            </w:pPr>
          </w:p>
        </w:tc>
        <w:tc>
          <w:tcPr>
            <w:tcW w:w="1357" w:type="dxa"/>
            <w:noWrap w:val="0"/>
            <w:vAlign w:val="top"/>
          </w:tcPr>
          <w:p w14:paraId="6FE269FF">
            <w:pPr>
              <w:jc w:val="center"/>
              <w:rPr>
                <w:rFonts w:hint="eastAsia" w:ascii="仿宋" w:hAnsi="仿宋" w:eastAsia="仿宋" w:cs="仿宋"/>
                <w:b/>
                <w:bCs/>
                <w:color w:val="auto"/>
                <w:sz w:val="24"/>
                <w:szCs w:val="24"/>
              </w:rPr>
            </w:pPr>
          </w:p>
        </w:tc>
        <w:tc>
          <w:tcPr>
            <w:tcW w:w="1326" w:type="dxa"/>
            <w:noWrap w:val="0"/>
            <w:vAlign w:val="top"/>
          </w:tcPr>
          <w:p w14:paraId="53A57414">
            <w:pPr>
              <w:jc w:val="center"/>
              <w:rPr>
                <w:rFonts w:hint="eastAsia" w:ascii="仿宋" w:hAnsi="仿宋" w:eastAsia="仿宋" w:cs="仿宋"/>
                <w:b/>
                <w:bCs/>
                <w:color w:val="auto"/>
                <w:sz w:val="24"/>
                <w:szCs w:val="24"/>
              </w:rPr>
            </w:pPr>
          </w:p>
        </w:tc>
        <w:tc>
          <w:tcPr>
            <w:tcW w:w="1326" w:type="dxa"/>
            <w:noWrap w:val="0"/>
            <w:vAlign w:val="top"/>
          </w:tcPr>
          <w:p w14:paraId="207D4A39">
            <w:pPr>
              <w:jc w:val="center"/>
              <w:rPr>
                <w:rFonts w:hint="eastAsia" w:ascii="仿宋" w:hAnsi="仿宋" w:eastAsia="仿宋" w:cs="仿宋"/>
                <w:b/>
                <w:bCs/>
                <w:color w:val="auto"/>
                <w:sz w:val="24"/>
                <w:szCs w:val="24"/>
              </w:rPr>
            </w:pPr>
          </w:p>
        </w:tc>
        <w:tc>
          <w:tcPr>
            <w:tcW w:w="1326" w:type="dxa"/>
            <w:noWrap w:val="0"/>
            <w:vAlign w:val="top"/>
          </w:tcPr>
          <w:p w14:paraId="71671A10">
            <w:pPr>
              <w:jc w:val="center"/>
              <w:rPr>
                <w:rFonts w:hint="eastAsia" w:ascii="仿宋" w:hAnsi="仿宋" w:eastAsia="仿宋" w:cs="仿宋"/>
                <w:b/>
                <w:bCs/>
                <w:color w:val="auto"/>
                <w:sz w:val="24"/>
                <w:szCs w:val="24"/>
              </w:rPr>
            </w:pPr>
          </w:p>
        </w:tc>
        <w:tc>
          <w:tcPr>
            <w:tcW w:w="1327" w:type="dxa"/>
            <w:noWrap w:val="0"/>
            <w:vAlign w:val="top"/>
          </w:tcPr>
          <w:p w14:paraId="469FD2B1">
            <w:pPr>
              <w:jc w:val="center"/>
              <w:rPr>
                <w:rFonts w:hint="eastAsia" w:ascii="仿宋" w:hAnsi="仿宋" w:eastAsia="仿宋" w:cs="仿宋"/>
                <w:b/>
                <w:bCs/>
                <w:color w:val="auto"/>
                <w:sz w:val="24"/>
                <w:szCs w:val="24"/>
              </w:rPr>
            </w:pPr>
          </w:p>
        </w:tc>
        <w:tc>
          <w:tcPr>
            <w:tcW w:w="1327" w:type="dxa"/>
            <w:noWrap w:val="0"/>
            <w:vAlign w:val="top"/>
          </w:tcPr>
          <w:p w14:paraId="1A4F4BE8">
            <w:pPr>
              <w:jc w:val="center"/>
              <w:rPr>
                <w:rFonts w:hint="eastAsia" w:ascii="仿宋" w:hAnsi="仿宋" w:eastAsia="仿宋" w:cs="仿宋"/>
                <w:b/>
                <w:bCs/>
                <w:color w:val="auto"/>
                <w:sz w:val="24"/>
                <w:szCs w:val="24"/>
              </w:rPr>
            </w:pPr>
          </w:p>
        </w:tc>
      </w:tr>
    </w:tbl>
    <w:p w14:paraId="4067CDD8">
      <w:pPr>
        <w:spacing w:line="360" w:lineRule="auto"/>
        <w:ind w:firstLine="475"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第四章“技术标准和要求”中的要求，有差异的，则在此表中列明实际响应的内容提要并加以说明，以便查对。本表包括所有的技术响应及差异。无差异说明表示完全响应。</w:t>
      </w:r>
    </w:p>
    <w:p w14:paraId="7AA0705B">
      <w:pPr>
        <w:pStyle w:val="11"/>
        <w:tabs>
          <w:tab w:val="left" w:pos="5580"/>
        </w:tabs>
        <w:spacing w:line="360" w:lineRule="auto"/>
        <w:ind w:firstLine="3120" w:firstLineChars="1300"/>
        <w:rPr>
          <w:rFonts w:hint="eastAsia" w:ascii="仿宋" w:hAnsi="仿宋" w:eastAsia="仿宋" w:cs="仿宋"/>
          <w:color w:val="auto"/>
          <w:sz w:val="24"/>
        </w:rPr>
      </w:pPr>
    </w:p>
    <w:p w14:paraId="11086EB2">
      <w:pPr>
        <w:pStyle w:val="11"/>
        <w:tabs>
          <w:tab w:val="left" w:pos="5580"/>
        </w:tabs>
        <w:spacing w:line="360" w:lineRule="auto"/>
        <w:ind w:firstLine="3120" w:firstLineChars="1300"/>
        <w:rPr>
          <w:rFonts w:hint="eastAsia" w:ascii="仿宋" w:hAnsi="仿宋" w:eastAsia="仿宋" w:cs="仿宋"/>
          <w:color w:val="auto"/>
          <w:sz w:val="24"/>
        </w:rPr>
      </w:pPr>
      <w:r>
        <w:rPr>
          <w:rFonts w:hint="eastAsia" w:ascii="仿宋" w:hAnsi="仿宋" w:eastAsia="仿宋" w:cs="仿宋"/>
          <w:color w:val="auto"/>
          <w:sz w:val="24"/>
        </w:rPr>
        <w:t>投标人（盖章）：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6BA7246C">
      <w:pPr>
        <w:pStyle w:val="11"/>
        <w:tabs>
          <w:tab w:val="left" w:pos="5580"/>
        </w:tabs>
        <w:spacing w:line="360" w:lineRule="auto"/>
        <w:ind w:firstLine="3120" w:firstLineChars="1300"/>
        <w:rPr>
          <w:rFonts w:hint="eastAsia" w:ascii="仿宋" w:hAnsi="仿宋" w:eastAsia="仿宋" w:cs="仿宋"/>
          <w:color w:val="auto"/>
          <w:kern w:val="0"/>
          <w:sz w:val="24"/>
          <w:szCs w:val="24"/>
          <w:u w:val="single"/>
          <w:lang w:val="en-US" w:eastAsia="zh-CN"/>
        </w:rPr>
      </w:pPr>
      <w:r>
        <w:rPr>
          <w:rFonts w:hint="eastAsia" w:ascii="仿宋" w:hAnsi="仿宋" w:eastAsia="仿宋" w:cs="仿宋"/>
          <w:color w:val="auto"/>
          <w:sz w:val="24"/>
          <w:lang w:eastAsia="zh-CN"/>
        </w:rPr>
        <w:t>法定代表人或</w:t>
      </w:r>
      <w:r>
        <w:rPr>
          <w:rFonts w:hint="eastAsia" w:ascii="仿宋" w:hAnsi="仿宋" w:eastAsia="仿宋" w:cs="仿宋"/>
          <w:color w:val="auto"/>
          <w:kern w:val="0"/>
          <w:sz w:val="24"/>
          <w:szCs w:val="24"/>
        </w:rPr>
        <w:t>委托代理人</w:t>
      </w:r>
      <w:r>
        <w:rPr>
          <w:rFonts w:hint="eastAsia" w:ascii="仿宋" w:hAnsi="仿宋" w:eastAsia="仿宋" w:cs="仿宋"/>
          <w:color w:val="auto"/>
          <w:sz w:val="24"/>
          <w:lang w:eastAsia="zh-CN"/>
        </w:rPr>
        <w:t>（签字或盖章）</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 xml:space="preserve">                   </w:t>
      </w:r>
    </w:p>
    <w:p w14:paraId="3C8B362C">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14:paraId="1CCDD40E">
      <w:pPr>
        <w:pStyle w:val="5"/>
        <w:rPr>
          <w:rFonts w:hint="eastAsia" w:ascii="仿宋" w:hAnsi="仿宋" w:eastAsia="仿宋" w:cs="仿宋"/>
          <w:b/>
          <w:bCs/>
          <w:color w:val="auto"/>
          <w:sz w:val="36"/>
          <w:szCs w:val="36"/>
        </w:rPr>
      </w:pPr>
    </w:p>
    <w:p w14:paraId="4999BB36">
      <w:pPr>
        <w:rPr>
          <w:rFonts w:hint="eastAsia" w:ascii="仿宋" w:hAnsi="仿宋" w:eastAsia="仿宋" w:cs="仿宋"/>
          <w:color w:val="auto"/>
        </w:rPr>
      </w:pPr>
    </w:p>
    <w:p w14:paraId="2B13EBFB">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2A69E7E">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1E3C6894">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770D5FD">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4215731A">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908C60B">
      <w:pPr>
        <w:pStyle w:val="28"/>
        <w:keepNext w:val="0"/>
        <w:keepLines w:val="0"/>
        <w:widowControl w:val="0"/>
        <w:shd w:val="clear" w:color="auto" w:fill="auto"/>
        <w:bidi w:val="0"/>
        <w:spacing w:before="0" w:after="0" w:line="240" w:lineRule="auto"/>
        <w:ind w:left="0" w:leftChars="0" w:right="0" w:firstLine="0" w:firstLineChars="0"/>
        <w:jc w:val="both"/>
        <w:rPr>
          <w:rFonts w:hint="eastAsia" w:ascii="仿宋" w:hAnsi="仿宋" w:eastAsia="仿宋" w:cs="仿宋"/>
          <w:color w:val="auto"/>
          <w:spacing w:val="0"/>
          <w:w w:val="100"/>
          <w:position w:val="0"/>
          <w:sz w:val="36"/>
          <w:szCs w:val="36"/>
          <w:lang w:eastAsia="zh-CN"/>
        </w:rPr>
      </w:pPr>
    </w:p>
    <w:p w14:paraId="47D37473">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14:paraId="45728CB7">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b/>
          <w:bCs/>
          <w:color w:val="auto"/>
          <w:spacing w:val="0"/>
          <w:w w:val="100"/>
          <w:position w:val="0"/>
          <w:sz w:val="36"/>
          <w:szCs w:val="36"/>
          <w:lang w:val="en-US" w:eastAsia="zh-CN"/>
        </w:rPr>
        <w:t>6</w:t>
      </w:r>
      <w:r>
        <w:rPr>
          <w:rFonts w:hint="eastAsia" w:ascii="仿宋" w:hAnsi="仿宋" w:eastAsia="仿宋" w:cs="仿宋"/>
          <w:b/>
          <w:bCs/>
          <w:color w:val="auto"/>
          <w:spacing w:val="0"/>
          <w:w w:val="100"/>
          <w:position w:val="0"/>
          <w:sz w:val="36"/>
          <w:szCs w:val="36"/>
        </w:rPr>
        <w:t>、</w:t>
      </w:r>
      <w:r>
        <w:rPr>
          <w:rFonts w:hint="eastAsia" w:ascii="仿宋" w:hAnsi="仿宋" w:eastAsia="仿宋" w:cs="仿宋"/>
          <w:b/>
          <w:bCs/>
          <w:color w:val="auto"/>
          <w:spacing w:val="0"/>
          <w:w w:val="100"/>
          <w:position w:val="0"/>
          <w:sz w:val="36"/>
          <w:szCs w:val="36"/>
          <w:lang w:eastAsia="zh-CN"/>
        </w:rPr>
        <w:t>商务条款偏离表</w:t>
      </w:r>
    </w:p>
    <w:tbl>
      <w:tblPr>
        <w:tblStyle w:val="1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083C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240FB07">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154" w:type="dxa"/>
            <w:noWrap w:val="0"/>
            <w:vAlign w:val="top"/>
          </w:tcPr>
          <w:p w14:paraId="4970616C">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谈判文件条款号</w:t>
            </w:r>
          </w:p>
        </w:tc>
        <w:tc>
          <w:tcPr>
            <w:tcW w:w="2477" w:type="dxa"/>
            <w:noWrap w:val="0"/>
            <w:vAlign w:val="top"/>
          </w:tcPr>
          <w:p w14:paraId="12465979">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谈判文件的商务条款</w:t>
            </w:r>
          </w:p>
        </w:tc>
        <w:tc>
          <w:tcPr>
            <w:tcW w:w="2454" w:type="dxa"/>
            <w:noWrap w:val="0"/>
            <w:vAlign w:val="top"/>
          </w:tcPr>
          <w:p w14:paraId="728590C9">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响应文件的商务条款</w:t>
            </w:r>
          </w:p>
        </w:tc>
        <w:tc>
          <w:tcPr>
            <w:tcW w:w="1130" w:type="dxa"/>
            <w:noWrap w:val="0"/>
            <w:vAlign w:val="top"/>
          </w:tcPr>
          <w:p w14:paraId="7BB42391">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14:paraId="7337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DC5230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154" w:type="dxa"/>
            <w:noWrap w:val="0"/>
            <w:vAlign w:val="center"/>
          </w:tcPr>
          <w:p w14:paraId="2FFE723C">
            <w:pPr>
              <w:rPr>
                <w:rFonts w:hint="eastAsia" w:ascii="仿宋" w:hAnsi="仿宋" w:eastAsia="仿宋" w:cs="仿宋"/>
                <w:color w:val="auto"/>
                <w:spacing w:val="-1"/>
                <w:kern w:val="0"/>
                <w:sz w:val="24"/>
              </w:rPr>
            </w:pPr>
          </w:p>
        </w:tc>
        <w:tc>
          <w:tcPr>
            <w:tcW w:w="2477" w:type="dxa"/>
            <w:noWrap w:val="0"/>
            <w:vAlign w:val="center"/>
          </w:tcPr>
          <w:p w14:paraId="298D2DB6">
            <w:pPr>
              <w:rPr>
                <w:rFonts w:hint="eastAsia" w:ascii="仿宋" w:hAnsi="仿宋" w:eastAsia="仿宋" w:cs="仿宋"/>
                <w:color w:val="auto"/>
                <w:spacing w:val="-1"/>
                <w:kern w:val="0"/>
                <w:sz w:val="24"/>
              </w:rPr>
            </w:pPr>
          </w:p>
        </w:tc>
        <w:tc>
          <w:tcPr>
            <w:tcW w:w="2454" w:type="dxa"/>
            <w:noWrap w:val="0"/>
            <w:vAlign w:val="center"/>
          </w:tcPr>
          <w:p w14:paraId="0CA98700">
            <w:pPr>
              <w:rPr>
                <w:rFonts w:hint="eastAsia" w:ascii="仿宋" w:hAnsi="仿宋" w:eastAsia="仿宋" w:cs="仿宋"/>
                <w:color w:val="auto"/>
                <w:spacing w:val="-1"/>
                <w:kern w:val="0"/>
                <w:sz w:val="24"/>
              </w:rPr>
            </w:pPr>
          </w:p>
        </w:tc>
        <w:tc>
          <w:tcPr>
            <w:tcW w:w="1130" w:type="dxa"/>
            <w:noWrap w:val="0"/>
            <w:vAlign w:val="center"/>
          </w:tcPr>
          <w:p w14:paraId="306A16AF">
            <w:pPr>
              <w:rPr>
                <w:rFonts w:hint="eastAsia" w:ascii="仿宋" w:hAnsi="仿宋" w:eastAsia="仿宋" w:cs="仿宋"/>
                <w:color w:val="auto"/>
                <w:spacing w:val="-1"/>
                <w:kern w:val="0"/>
                <w:sz w:val="24"/>
              </w:rPr>
            </w:pPr>
          </w:p>
        </w:tc>
      </w:tr>
      <w:tr w14:paraId="1452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D1B9796">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154" w:type="dxa"/>
            <w:noWrap w:val="0"/>
            <w:vAlign w:val="center"/>
          </w:tcPr>
          <w:p w14:paraId="221A9BF6">
            <w:pPr>
              <w:rPr>
                <w:rFonts w:hint="eastAsia" w:ascii="仿宋" w:hAnsi="仿宋" w:eastAsia="仿宋" w:cs="仿宋"/>
                <w:color w:val="auto"/>
                <w:spacing w:val="-1"/>
                <w:kern w:val="0"/>
                <w:sz w:val="24"/>
              </w:rPr>
            </w:pPr>
          </w:p>
        </w:tc>
        <w:tc>
          <w:tcPr>
            <w:tcW w:w="2477" w:type="dxa"/>
            <w:noWrap w:val="0"/>
            <w:vAlign w:val="center"/>
          </w:tcPr>
          <w:p w14:paraId="06ADC33C">
            <w:pPr>
              <w:rPr>
                <w:rFonts w:hint="eastAsia" w:ascii="仿宋" w:hAnsi="仿宋" w:eastAsia="仿宋" w:cs="仿宋"/>
                <w:color w:val="auto"/>
                <w:spacing w:val="-1"/>
                <w:kern w:val="0"/>
                <w:sz w:val="24"/>
              </w:rPr>
            </w:pPr>
          </w:p>
        </w:tc>
        <w:tc>
          <w:tcPr>
            <w:tcW w:w="2454" w:type="dxa"/>
            <w:noWrap w:val="0"/>
            <w:vAlign w:val="center"/>
          </w:tcPr>
          <w:p w14:paraId="70DA4046">
            <w:pPr>
              <w:rPr>
                <w:rFonts w:hint="eastAsia" w:ascii="仿宋" w:hAnsi="仿宋" w:eastAsia="仿宋" w:cs="仿宋"/>
                <w:color w:val="auto"/>
                <w:spacing w:val="-1"/>
                <w:kern w:val="0"/>
                <w:sz w:val="24"/>
              </w:rPr>
            </w:pPr>
          </w:p>
        </w:tc>
        <w:tc>
          <w:tcPr>
            <w:tcW w:w="1130" w:type="dxa"/>
            <w:noWrap w:val="0"/>
            <w:vAlign w:val="center"/>
          </w:tcPr>
          <w:p w14:paraId="0CB21D42">
            <w:pPr>
              <w:rPr>
                <w:rFonts w:hint="eastAsia" w:ascii="仿宋" w:hAnsi="仿宋" w:eastAsia="仿宋" w:cs="仿宋"/>
                <w:color w:val="auto"/>
                <w:spacing w:val="-1"/>
                <w:kern w:val="0"/>
                <w:sz w:val="24"/>
              </w:rPr>
            </w:pPr>
          </w:p>
        </w:tc>
      </w:tr>
      <w:tr w14:paraId="10F2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ADB365A">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154" w:type="dxa"/>
            <w:noWrap w:val="0"/>
            <w:vAlign w:val="center"/>
          </w:tcPr>
          <w:p w14:paraId="19076D99">
            <w:pPr>
              <w:rPr>
                <w:rFonts w:hint="eastAsia" w:ascii="仿宋" w:hAnsi="仿宋" w:eastAsia="仿宋" w:cs="仿宋"/>
                <w:color w:val="auto"/>
                <w:spacing w:val="-1"/>
                <w:kern w:val="0"/>
                <w:sz w:val="24"/>
              </w:rPr>
            </w:pPr>
          </w:p>
        </w:tc>
        <w:tc>
          <w:tcPr>
            <w:tcW w:w="2477" w:type="dxa"/>
            <w:noWrap w:val="0"/>
            <w:vAlign w:val="center"/>
          </w:tcPr>
          <w:p w14:paraId="496D94A8">
            <w:pPr>
              <w:rPr>
                <w:rFonts w:hint="eastAsia" w:ascii="仿宋" w:hAnsi="仿宋" w:eastAsia="仿宋" w:cs="仿宋"/>
                <w:color w:val="auto"/>
                <w:spacing w:val="-1"/>
                <w:kern w:val="0"/>
                <w:sz w:val="24"/>
              </w:rPr>
            </w:pPr>
          </w:p>
        </w:tc>
        <w:tc>
          <w:tcPr>
            <w:tcW w:w="2454" w:type="dxa"/>
            <w:noWrap w:val="0"/>
            <w:vAlign w:val="center"/>
          </w:tcPr>
          <w:p w14:paraId="4C9B078D">
            <w:pPr>
              <w:rPr>
                <w:rFonts w:hint="eastAsia" w:ascii="仿宋" w:hAnsi="仿宋" w:eastAsia="仿宋" w:cs="仿宋"/>
                <w:color w:val="auto"/>
                <w:spacing w:val="-1"/>
                <w:kern w:val="0"/>
                <w:sz w:val="24"/>
              </w:rPr>
            </w:pPr>
          </w:p>
        </w:tc>
        <w:tc>
          <w:tcPr>
            <w:tcW w:w="1130" w:type="dxa"/>
            <w:noWrap w:val="0"/>
            <w:vAlign w:val="center"/>
          </w:tcPr>
          <w:p w14:paraId="35304A37">
            <w:pPr>
              <w:rPr>
                <w:rFonts w:hint="eastAsia" w:ascii="仿宋" w:hAnsi="仿宋" w:eastAsia="仿宋" w:cs="仿宋"/>
                <w:color w:val="auto"/>
                <w:spacing w:val="-1"/>
                <w:kern w:val="0"/>
                <w:sz w:val="24"/>
              </w:rPr>
            </w:pPr>
          </w:p>
        </w:tc>
      </w:tr>
      <w:tr w14:paraId="41D9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88B7EFD">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154" w:type="dxa"/>
            <w:noWrap w:val="0"/>
            <w:vAlign w:val="center"/>
          </w:tcPr>
          <w:p w14:paraId="6BC787DC">
            <w:pPr>
              <w:rPr>
                <w:rFonts w:hint="eastAsia" w:ascii="仿宋" w:hAnsi="仿宋" w:eastAsia="仿宋" w:cs="仿宋"/>
                <w:color w:val="auto"/>
                <w:spacing w:val="-1"/>
                <w:kern w:val="0"/>
                <w:sz w:val="24"/>
              </w:rPr>
            </w:pPr>
          </w:p>
        </w:tc>
        <w:tc>
          <w:tcPr>
            <w:tcW w:w="2477" w:type="dxa"/>
            <w:noWrap w:val="0"/>
            <w:vAlign w:val="center"/>
          </w:tcPr>
          <w:p w14:paraId="37452C70">
            <w:pPr>
              <w:rPr>
                <w:rFonts w:hint="eastAsia" w:ascii="仿宋" w:hAnsi="仿宋" w:eastAsia="仿宋" w:cs="仿宋"/>
                <w:color w:val="auto"/>
                <w:spacing w:val="-1"/>
                <w:kern w:val="0"/>
                <w:sz w:val="24"/>
              </w:rPr>
            </w:pPr>
          </w:p>
        </w:tc>
        <w:tc>
          <w:tcPr>
            <w:tcW w:w="2454" w:type="dxa"/>
            <w:noWrap w:val="0"/>
            <w:vAlign w:val="center"/>
          </w:tcPr>
          <w:p w14:paraId="191E40FC">
            <w:pPr>
              <w:rPr>
                <w:rFonts w:hint="eastAsia" w:ascii="仿宋" w:hAnsi="仿宋" w:eastAsia="仿宋" w:cs="仿宋"/>
                <w:color w:val="auto"/>
                <w:spacing w:val="-1"/>
                <w:kern w:val="0"/>
                <w:sz w:val="24"/>
              </w:rPr>
            </w:pPr>
          </w:p>
        </w:tc>
        <w:tc>
          <w:tcPr>
            <w:tcW w:w="1130" w:type="dxa"/>
            <w:noWrap w:val="0"/>
            <w:vAlign w:val="center"/>
          </w:tcPr>
          <w:p w14:paraId="07AC2320">
            <w:pPr>
              <w:rPr>
                <w:rFonts w:hint="eastAsia" w:ascii="仿宋" w:hAnsi="仿宋" w:eastAsia="仿宋" w:cs="仿宋"/>
                <w:color w:val="auto"/>
                <w:spacing w:val="-1"/>
                <w:kern w:val="0"/>
                <w:sz w:val="24"/>
              </w:rPr>
            </w:pPr>
          </w:p>
        </w:tc>
      </w:tr>
      <w:tr w14:paraId="4E74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24F303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154" w:type="dxa"/>
            <w:noWrap w:val="0"/>
            <w:vAlign w:val="center"/>
          </w:tcPr>
          <w:p w14:paraId="68B4BB9F">
            <w:pPr>
              <w:rPr>
                <w:rFonts w:hint="eastAsia" w:ascii="仿宋" w:hAnsi="仿宋" w:eastAsia="仿宋" w:cs="仿宋"/>
                <w:color w:val="auto"/>
                <w:spacing w:val="-1"/>
                <w:kern w:val="0"/>
                <w:sz w:val="24"/>
              </w:rPr>
            </w:pPr>
          </w:p>
        </w:tc>
        <w:tc>
          <w:tcPr>
            <w:tcW w:w="2477" w:type="dxa"/>
            <w:noWrap w:val="0"/>
            <w:vAlign w:val="center"/>
          </w:tcPr>
          <w:p w14:paraId="78F874F4">
            <w:pPr>
              <w:rPr>
                <w:rFonts w:hint="eastAsia" w:ascii="仿宋" w:hAnsi="仿宋" w:eastAsia="仿宋" w:cs="仿宋"/>
                <w:color w:val="auto"/>
                <w:spacing w:val="-1"/>
                <w:kern w:val="0"/>
                <w:sz w:val="24"/>
              </w:rPr>
            </w:pPr>
          </w:p>
        </w:tc>
        <w:tc>
          <w:tcPr>
            <w:tcW w:w="2454" w:type="dxa"/>
            <w:noWrap w:val="0"/>
            <w:vAlign w:val="center"/>
          </w:tcPr>
          <w:p w14:paraId="04FC6D60">
            <w:pPr>
              <w:rPr>
                <w:rFonts w:hint="eastAsia" w:ascii="仿宋" w:hAnsi="仿宋" w:eastAsia="仿宋" w:cs="仿宋"/>
                <w:color w:val="auto"/>
                <w:spacing w:val="-1"/>
                <w:kern w:val="0"/>
                <w:sz w:val="24"/>
              </w:rPr>
            </w:pPr>
          </w:p>
        </w:tc>
        <w:tc>
          <w:tcPr>
            <w:tcW w:w="1130" w:type="dxa"/>
            <w:noWrap w:val="0"/>
            <w:vAlign w:val="center"/>
          </w:tcPr>
          <w:p w14:paraId="5BA80DBD">
            <w:pPr>
              <w:rPr>
                <w:rFonts w:hint="eastAsia" w:ascii="仿宋" w:hAnsi="仿宋" w:eastAsia="仿宋" w:cs="仿宋"/>
                <w:color w:val="auto"/>
                <w:spacing w:val="-1"/>
                <w:kern w:val="0"/>
                <w:sz w:val="24"/>
              </w:rPr>
            </w:pPr>
          </w:p>
        </w:tc>
      </w:tr>
      <w:tr w14:paraId="6482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8A16440">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154" w:type="dxa"/>
            <w:noWrap w:val="0"/>
            <w:vAlign w:val="center"/>
          </w:tcPr>
          <w:p w14:paraId="74A35EDD">
            <w:pPr>
              <w:rPr>
                <w:rFonts w:hint="eastAsia" w:ascii="仿宋" w:hAnsi="仿宋" w:eastAsia="仿宋" w:cs="仿宋"/>
                <w:color w:val="auto"/>
                <w:spacing w:val="-1"/>
                <w:kern w:val="0"/>
                <w:sz w:val="24"/>
              </w:rPr>
            </w:pPr>
          </w:p>
        </w:tc>
        <w:tc>
          <w:tcPr>
            <w:tcW w:w="2477" w:type="dxa"/>
            <w:noWrap w:val="0"/>
            <w:vAlign w:val="center"/>
          </w:tcPr>
          <w:p w14:paraId="348E4C64">
            <w:pPr>
              <w:rPr>
                <w:rFonts w:hint="eastAsia" w:ascii="仿宋" w:hAnsi="仿宋" w:eastAsia="仿宋" w:cs="仿宋"/>
                <w:color w:val="auto"/>
                <w:spacing w:val="-1"/>
                <w:kern w:val="0"/>
                <w:sz w:val="24"/>
              </w:rPr>
            </w:pPr>
          </w:p>
        </w:tc>
        <w:tc>
          <w:tcPr>
            <w:tcW w:w="2454" w:type="dxa"/>
            <w:noWrap w:val="0"/>
            <w:vAlign w:val="center"/>
          </w:tcPr>
          <w:p w14:paraId="01334ADD">
            <w:pPr>
              <w:rPr>
                <w:rFonts w:hint="eastAsia" w:ascii="仿宋" w:hAnsi="仿宋" w:eastAsia="仿宋" w:cs="仿宋"/>
                <w:color w:val="auto"/>
                <w:spacing w:val="-1"/>
                <w:kern w:val="0"/>
                <w:sz w:val="24"/>
              </w:rPr>
            </w:pPr>
          </w:p>
        </w:tc>
        <w:tc>
          <w:tcPr>
            <w:tcW w:w="1130" w:type="dxa"/>
            <w:noWrap w:val="0"/>
            <w:vAlign w:val="center"/>
          </w:tcPr>
          <w:p w14:paraId="258B84E7">
            <w:pPr>
              <w:rPr>
                <w:rFonts w:hint="eastAsia" w:ascii="仿宋" w:hAnsi="仿宋" w:eastAsia="仿宋" w:cs="仿宋"/>
                <w:color w:val="auto"/>
                <w:spacing w:val="-1"/>
                <w:kern w:val="0"/>
                <w:sz w:val="24"/>
              </w:rPr>
            </w:pPr>
          </w:p>
        </w:tc>
      </w:tr>
      <w:tr w14:paraId="37EE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6262B9D">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154" w:type="dxa"/>
            <w:noWrap w:val="0"/>
            <w:vAlign w:val="center"/>
          </w:tcPr>
          <w:p w14:paraId="48E9D686">
            <w:pPr>
              <w:rPr>
                <w:rFonts w:hint="eastAsia" w:ascii="仿宋" w:hAnsi="仿宋" w:eastAsia="仿宋" w:cs="仿宋"/>
                <w:color w:val="auto"/>
                <w:spacing w:val="-1"/>
                <w:kern w:val="0"/>
                <w:sz w:val="24"/>
              </w:rPr>
            </w:pPr>
          </w:p>
        </w:tc>
        <w:tc>
          <w:tcPr>
            <w:tcW w:w="2477" w:type="dxa"/>
            <w:noWrap w:val="0"/>
            <w:vAlign w:val="center"/>
          </w:tcPr>
          <w:p w14:paraId="6698AA8F">
            <w:pPr>
              <w:rPr>
                <w:rFonts w:hint="eastAsia" w:ascii="仿宋" w:hAnsi="仿宋" w:eastAsia="仿宋" w:cs="仿宋"/>
                <w:color w:val="auto"/>
                <w:spacing w:val="-1"/>
                <w:kern w:val="0"/>
                <w:sz w:val="24"/>
              </w:rPr>
            </w:pPr>
          </w:p>
        </w:tc>
        <w:tc>
          <w:tcPr>
            <w:tcW w:w="2454" w:type="dxa"/>
            <w:noWrap w:val="0"/>
            <w:vAlign w:val="center"/>
          </w:tcPr>
          <w:p w14:paraId="5C706373">
            <w:pPr>
              <w:rPr>
                <w:rFonts w:hint="eastAsia" w:ascii="仿宋" w:hAnsi="仿宋" w:eastAsia="仿宋" w:cs="仿宋"/>
                <w:color w:val="auto"/>
                <w:spacing w:val="-1"/>
                <w:kern w:val="0"/>
                <w:sz w:val="24"/>
              </w:rPr>
            </w:pPr>
          </w:p>
        </w:tc>
        <w:tc>
          <w:tcPr>
            <w:tcW w:w="1130" w:type="dxa"/>
            <w:noWrap w:val="0"/>
            <w:vAlign w:val="center"/>
          </w:tcPr>
          <w:p w14:paraId="1B650348">
            <w:pPr>
              <w:rPr>
                <w:rFonts w:hint="eastAsia" w:ascii="仿宋" w:hAnsi="仿宋" w:eastAsia="仿宋" w:cs="仿宋"/>
                <w:color w:val="auto"/>
                <w:spacing w:val="-1"/>
                <w:kern w:val="0"/>
                <w:sz w:val="24"/>
              </w:rPr>
            </w:pPr>
          </w:p>
        </w:tc>
      </w:tr>
      <w:tr w14:paraId="090A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589E3B1">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154" w:type="dxa"/>
            <w:noWrap w:val="0"/>
            <w:vAlign w:val="center"/>
          </w:tcPr>
          <w:p w14:paraId="4A811E52">
            <w:pPr>
              <w:rPr>
                <w:rFonts w:hint="eastAsia" w:ascii="仿宋" w:hAnsi="仿宋" w:eastAsia="仿宋" w:cs="仿宋"/>
                <w:color w:val="auto"/>
                <w:spacing w:val="-1"/>
                <w:kern w:val="0"/>
                <w:sz w:val="24"/>
              </w:rPr>
            </w:pPr>
          </w:p>
        </w:tc>
        <w:tc>
          <w:tcPr>
            <w:tcW w:w="2477" w:type="dxa"/>
            <w:noWrap w:val="0"/>
            <w:vAlign w:val="center"/>
          </w:tcPr>
          <w:p w14:paraId="313F00AE">
            <w:pPr>
              <w:rPr>
                <w:rFonts w:hint="eastAsia" w:ascii="仿宋" w:hAnsi="仿宋" w:eastAsia="仿宋" w:cs="仿宋"/>
                <w:color w:val="auto"/>
                <w:spacing w:val="-1"/>
                <w:kern w:val="0"/>
                <w:sz w:val="24"/>
              </w:rPr>
            </w:pPr>
          </w:p>
        </w:tc>
        <w:tc>
          <w:tcPr>
            <w:tcW w:w="2454" w:type="dxa"/>
            <w:noWrap w:val="0"/>
            <w:vAlign w:val="center"/>
          </w:tcPr>
          <w:p w14:paraId="644D0760">
            <w:pPr>
              <w:rPr>
                <w:rFonts w:hint="eastAsia" w:ascii="仿宋" w:hAnsi="仿宋" w:eastAsia="仿宋" w:cs="仿宋"/>
                <w:color w:val="auto"/>
                <w:spacing w:val="-1"/>
                <w:kern w:val="0"/>
                <w:sz w:val="24"/>
              </w:rPr>
            </w:pPr>
          </w:p>
        </w:tc>
        <w:tc>
          <w:tcPr>
            <w:tcW w:w="1130" w:type="dxa"/>
            <w:noWrap w:val="0"/>
            <w:vAlign w:val="center"/>
          </w:tcPr>
          <w:p w14:paraId="057FE72D">
            <w:pPr>
              <w:rPr>
                <w:rFonts w:hint="eastAsia" w:ascii="仿宋" w:hAnsi="仿宋" w:eastAsia="仿宋" w:cs="仿宋"/>
                <w:color w:val="auto"/>
                <w:spacing w:val="-1"/>
                <w:kern w:val="0"/>
                <w:sz w:val="24"/>
              </w:rPr>
            </w:pPr>
          </w:p>
        </w:tc>
      </w:tr>
      <w:tr w14:paraId="4F99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BCAEA1B">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154" w:type="dxa"/>
            <w:noWrap w:val="0"/>
            <w:vAlign w:val="center"/>
          </w:tcPr>
          <w:p w14:paraId="13BE35B6">
            <w:pPr>
              <w:rPr>
                <w:rFonts w:hint="eastAsia" w:ascii="仿宋" w:hAnsi="仿宋" w:eastAsia="仿宋" w:cs="仿宋"/>
                <w:color w:val="auto"/>
                <w:spacing w:val="-1"/>
                <w:kern w:val="0"/>
                <w:sz w:val="24"/>
              </w:rPr>
            </w:pPr>
          </w:p>
        </w:tc>
        <w:tc>
          <w:tcPr>
            <w:tcW w:w="2477" w:type="dxa"/>
            <w:noWrap w:val="0"/>
            <w:vAlign w:val="center"/>
          </w:tcPr>
          <w:p w14:paraId="12B84941">
            <w:pPr>
              <w:rPr>
                <w:rFonts w:hint="eastAsia" w:ascii="仿宋" w:hAnsi="仿宋" w:eastAsia="仿宋" w:cs="仿宋"/>
                <w:color w:val="auto"/>
                <w:spacing w:val="-1"/>
                <w:kern w:val="0"/>
                <w:sz w:val="24"/>
              </w:rPr>
            </w:pPr>
          </w:p>
        </w:tc>
        <w:tc>
          <w:tcPr>
            <w:tcW w:w="2454" w:type="dxa"/>
            <w:noWrap w:val="0"/>
            <w:vAlign w:val="center"/>
          </w:tcPr>
          <w:p w14:paraId="492DB7AD">
            <w:pPr>
              <w:rPr>
                <w:rFonts w:hint="eastAsia" w:ascii="仿宋" w:hAnsi="仿宋" w:eastAsia="仿宋" w:cs="仿宋"/>
                <w:color w:val="auto"/>
                <w:spacing w:val="-1"/>
                <w:kern w:val="0"/>
                <w:sz w:val="24"/>
              </w:rPr>
            </w:pPr>
          </w:p>
        </w:tc>
        <w:tc>
          <w:tcPr>
            <w:tcW w:w="1130" w:type="dxa"/>
            <w:noWrap w:val="0"/>
            <w:vAlign w:val="center"/>
          </w:tcPr>
          <w:p w14:paraId="32DC21A2">
            <w:pPr>
              <w:rPr>
                <w:rFonts w:hint="eastAsia" w:ascii="仿宋" w:hAnsi="仿宋" w:eastAsia="仿宋" w:cs="仿宋"/>
                <w:color w:val="auto"/>
                <w:spacing w:val="-1"/>
                <w:kern w:val="0"/>
                <w:sz w:val="24"/>
              </w:rPr>
            </w:pPr>
          </w:p>
        </w:tc>
      </w:tr>
      <w:tr w14:paraId="09DD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8F0487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154" w:type="dxa"/>
            <w:noWrap w:val="0"/>
            <w:vAlign w:val="center"/>
          </w:tcPr>
          <w:p w14:paraId="338AF511">
            <w:pPr>
              <w:rPr>
                <w:rFonts w:hint="eastAsia" w:ascii="仿宋" w:hAnsi="仿宋" w:eastAsia="仿宋" w:cs="仿宋"/>
                <w:color w:val="auto"/>
                <w:spacing w:val="-1"/>
                <w:kern w:val="0"/>
                <w:sz w:val="24"/>
              </w:rPr>
            </w:pPr>
          </w:p>
        </w:tc>
        <w:tc>
          <w:tcPr>
            <w:tcW w:w="2477" w:type="dxa"/>
            <w:noWrap w:val="0"/>
            <w:vAlign w:val="center"/>
          </w:tcPr>
          <w:p w14:paraId="7C6C5667">
            <w:pPr>
              <w:rPr>
                <w:rFonts w:hint="eastAsia" w:ascii="仿宋" w:hAnsi="仿宋" w:eastAsia="仿宋" w:cs="仿宋"/>
                <w:color w:val="auto"/>
                <w:spacing w:val="-1"/>
                <w:kern w:val="0"/>
                <w:sz w:val="24"/>
              </w:rPr>
            </w:pPr>
          </w:p>
        </w:tc>
        <w:tc>
          <w:tcPr>
            <w:tcW w:w="2454" w:type="dxa"/>
            <w:noWrap w:val="0"/>
            <w:vAlign w:val="center"/>
          </w:tcPr>
          <w:p w14:paraId="1339A5A8">
            <w:pPr>
              <w:rPr>
                <w:rFonts w:hint="eastAsia" w:ascii="仿宋" w:hAnsi="仿宋" w:eastAsia="仿宋" w:cs="仿宋"/>
                <w:color w:val="auto"/>
                <w:spacing w:val="-1"/>
                <w:kern w:val="0"/>
                <w:sz w:val="24"/>
              </w:rPr>
            </w:pPr>
          </w:p>
        </w:tc>
        <w:tc>
          <w:tcPr>
            <w:tcW w:w="1130" w:type="dxa"/>
            <w:noWrap w:val="0"/>
            <w:vAlign w:val="center"/>
          </w:tcPr>
          <w:p w14:paraId="4526F2C1">
            <w:pPr>
              <w:rPr>
                <w:rFonts w:hint="eastAsia" w:ascii="仿宋" w:hAnsi="仿宋" w:eastAsia="仿宋" w:cs="仿宋"/>
                <w:color w:val="auto"/>
                <w:spacing w:val="-1"/>
                <w:kern w:val="0"/>
                <w:sz w:val="24"/>
              </w:rPr>
            </w:pPr>
          </w:p>
        </w:tc>
      </w:tr>
      <w:tr w14:paraId="0F75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91D6BD7">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154" w:type="dxa"/>
            <w:noWrap w:val="0"/>
            <w:vAlign w:val="center"/>
          </w:tcPr>
          <w:p w14:paraId="5E494EBE">
            <w:pPr>
              <w:rPr>
                <w:rFonts w:hint="eastAsia" w:ascii="仿宋" w:hAnsi="仿宋" w:eastAsia="仿宋" w:cs="仿宋"/>
                <w:color w:val="auto"/>
                <w:spacing w:val="-1"/>
                <w:kern w:val="0"/>
                <w:sz w:val="24"/>
              </w:rPr>
            </w:pPr>
          </w:p>
        </w:tc>
        <w:tc>
          <w:tcPr>
            <w:tcW w:w="2477" w:type="dxa"/>
            <w:noWrap w:val="0"/>
            <w:vAlign w:val="center"/>
          </w:tcPr>
          <w:p w14:paraId="14D3BB1B">
            <w:pPr>
              <w:rPr>
                <w:rFonts w:hint="eastAsia" w:ascii="仿宋" w:hAnsi="仿宋" w:eastAsia="仿宋" w:cs="仿宋"/>
                <w:color w:val="auto"/>
                <w:spacing w:val="-1"/>
                <w:kern w:val="0"/>
                <w:sz w:val="24"/>
              </w:rPr>
            </w:pPr>
          </w:p>
        </w:tc>
        <w:tc>
          <w:tcPr>
            <w:tcW w:w="2454" w:type="dxa"/>
            <w:noWrap w:val="0"/>
            <w:vAlign w:val="center"/>
          </w:tcPr>
          <w:p w14:paraId="73676A87">
            <w:pPr>
              <w:rPr>
                <w:rFonts w:hint="eastAsia" w:ascii="仿宋" w:hAnsi="仿宋" w:eastAsia="仿宋" w:cs="仿宋"/>
                <w:color w:val="auto"/>
                <w:spacing w:val="-1"/>
                <w:kern w:val="0"/>
                <w:sz w:val="24"/>
              </w:rPr>
            </w:pPr>
          </w:p>
        </w:tc>
        <w:tc>
          <w:tcPr>
            <w:tcW w:w="1130" w:type="dxa"/>
            <w:noWrap w:val="0"/>
            <w:vAlign w:val="center"/>
          </w:tcPr>
          <w:p w14:paraId="5723850D">
            <w:pPr>
              <w:rPr>
                <w:rFonts w:hint="eastAsia" w:ascii="仿宋" w:hAnsi="仿宋" w:eastAsia="仿宋" w:cs="仿宋"/>
                <w:color w:val="auto"/>
                <w:spacing w:val="-1"/>
                <w:kern w:val="0"/>
                <w:sz w:val="24"/>
              </w:rPr>
            </w:pPr>
          </w:p>
        </w:tc>
      </w:tr>
      <w:tr w14:paraId="037F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6CE0C86">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154" w:type="dxa"/>
            <w:noWrap w:val="0"/>
            <w:vAlign w:val="center"/>
          </w:tcPr>
          <w:p w14:paraId="52641DFD">
            <w:pPr>
              <w:rPr>
                <w:rFonts w:hint="eastAsia" w:ascii="仿宋" w:hAnsi="仿宋" w:eastAsia="仿宋" w:cs="仿宋"/>
                <w:color w:val="auto"/>
                <w:spacing w:val="-1"/>
                <w:kern w:val="0"/>
                <w:sz w:val="24"/>
              </w:rPr>
            </w:pPr>
          </w:p>
        </w:tc>
        <w:tc>
          <w:tcPr>
            <w:tcW w:w="2477" w:type="dxa"/>
            <w:noWrap w:val="0"/>
            <w:vAlign w:val="center"/>
          </w:tcPr>
          <w:p w14:paraId="3F31E014">
            <w:pPr>
              <w:rPr>
                <w:rFonts w:hint="eastAsia" w:ascii="仿宋" w:hAnsi="仿宋" w:eastAsia="仿宋" w:cs="仿宋"/>
                <w:color w:val="auto"/>
                <w:spacing w:val="-1"/>
                <w:kern w:val="0"/>
                <w:sz w:val="24"/>
              </w:rPr>
            </w:pPr>
          </w:p>
        </w:tc>
        <w:tc>
          <w:tcPr>
            <w:tcW w:w="2454" w:type="dxa"/>
            <w:noWrap w:val="0"/>
            <w:vAlign w:val="center"/>
          </w:tcPr>
          <w:p w14:paraId="007EEAF7">
            <w:pPr>
              <w:rPr>
                <w:rFonts w:hint="eastAsia" w:ascii="仿宋" w:hAnsi="仿宋" w:eastAsia="仿宋" w:cs="仿宋"/>
                <w:color w:val="auto"/>
                <w:spacing w:val="-1"/>
                <w:kern w:val="0"/>
                <w:sz w:val="24"/>
              </w:rPr>
            </w:pPr>
          </w:p>
        </w:tc>
        <w:tc>
          <w:tcPr>
            <w:tcW w:w="1130" w:type="dxa"/>
            <w:noWrap w:val="0"/>
            <w:vAlign w:val="center"/>
          </w:tcPr>
          <w:p w14:paraId="58E83039">
            <w:pPr>
              <w:rPr>
                <w:rFonts w:hint="eastAsia" w:ascii="仿宋" w:hAnsi="仿宋" w:eastAsia="仿宋" w:cs="仿宋"/>
                <w:color w:val="auto"/>
                <w:spacing w:val="-1"/>
                <w:kern w:val="0"/>
                <w:sz w:val="24"/>
              </w:rPr>
            </w:pPr>
          </w:p>
        </w:tc>
      </w:tr>
      <w:tr w14:paraId="7691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7049D6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154" w:type="dxa"/>
            <w:noWrap w:val="0"/>
            <w:vAlign w:val="center"/>
          </w:tcPr>
          <w:p w14:paraId="389B7E30">
            <w:pPr>
              <w:rPr>
                <w:rFonts w:hint="eastAsia" w:ascii="仿宋" w:hAnsi="仿宋" w:eastAsia="仿宋" w:cs="仿宋"/>
                <w:color w:val="auto"/>
                <w:spacing w:val="-1"/>
                <w:kern w:val="0"/>
                <w:sz w:val="24"/>
              </w:rPr>
            </w:pPr>
          </w:p>
        </w:tc>
        <w:tc>
          <w:tcPr>
            <w:tcW w:w="2477" w:type="dxa"/>
            <w:noWrap w:val="0"/>
            <w:vAlign w:val="center"/>
          </w:tcPr>
          <w:p w14:paraId="587571C8">
            <w:pPr>
              <w:rPr>
                <w:rFonts w:hint="eastAsia" w:ascii="仿宋" w:hAnsi="仿宋" w:eastAsia="仿宋" w:cs="仿宋"/>
                <w:color w:val="auto"/>
                <w:spacing w:val="-1"/>
                <w:kern w:val="0"/>
                <w:sz w:val="24"/>
              </w:rPr>
            </w:pPr>
          </w:p>
        </w:tc>
        <w:tc>
          <w:tcPr>
            <w:tcW w:w="2454" w:type="dxa"/>
            <w:noWrap w:val="0"/>
            <w:vAlign w:val="center"/>
          </w:tcPr>
          <w:p w14:paraId="2A27B879">
            <w:pPr>
              <w:rPr>
                <w:rFonts w:hint="eastAsia" w:ascii="仿宋" w:hAnsi="仿宋" w:eastAsia="仿宋" w:cs="仿宋"/>
                <w:color w:val="auto"/>
                <w:spacing w:val="-1"/>
                <w:kern w:val="0"/>
                <w:sz w:val="24"/>
              </w:rPr>
            </w:pPr>
          </w:p>
        </w:tc>
        <w:tc>
          <w:tcPr>
            <w:tcW w:w="1130" w:type="dxa"/>
            <w:noWrap w:val="0"/>
            <w:vAlign w:val="center"/>
          </w:tcPr>
          <w:p w14:paraId="7C537923">
            <w:pPr>
              <w:rPr>
                <w:rFonts w:hint="eastAsia" w:ascii="仿宋" w:hAnsi="仿宋" w:eastAsia="仿宋" w:cs="仿宋"/>
                <w:color w:val="auto"/>
                <w:spacing w:val="-1"/>
                <w:kern w:val="0"/>
                <w:sz w:val="24"/>
              </w:rPr>
            </w:pPr>
          </w:p>
        </w:tc>
      </w:tr>
      <w:tr w14:paraId="2CD8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353F9A6">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154" w:type="dxa"/>
            <w:noWrap w:val="0"/>
            <w:vAlign w:val="center"/>
          </w:tcPr>
          <w:p w14:paraId="5AE2073D">
            <w:pPr>
              <w:rPr>
                <w:rFonts w:hint="eastAsia" w:ascii="仿宋" w:hAnsi="仿宋" w:eastAsia="仿宋" w:cs="仿宋"/>
                <w:color w:val="auto"/>
                <w:spacing w:val="-1"/>
                <w:kern w:val="0"/>
                <w:sz w:val="24"/>
              </w:rPr>
            </w:pPr>
          </w:p>
        </w:tc>
        <w:tc>
          <w:tcPr>
            <w:tcW w:w="2477" w:type="dxa"/>
            <w:noWrap w:val="0"/>
            <w:vAlign w:val="center"/>
          </w:tcPr>
          <w:p w14:paraId="209A9B88">
            <w:pPr>
              <w:rPr>
                <w:rFonts w:hint="eastAsia" w:ascii="仿宋" w:hAnsi="仿宋" w:eastAsia="仿宋" w:cs="仿宋"/>
                <w:color w:val="auto"/>
                <w:spacing w:val="-1"/>
                <w:kern w:val="0"/>
                <w:sz w:val="24"/>
              </w:rPr>
            </w:pPr>
          </w:p>
        </w:tc>
        <w:tc>
          <w:tcPr>
            <w:tcW w:w="2454" w:type="dxa"/>
            <w:noWrap w:val="0"/>
            <w:vAlign w:val="center"/>
          </w:tcPr>
          <w:p w14:paraId="5D107281">
            <w:pPr>
              <w:rPr>
                <w:rFonts w:hint="eastAsia" w:ascii="仿宋" w:hAnsi="仿宋" w:eastAsia="仿宋" w:cs="仿宋"/>
                <w:color w:val="auto"/>
                <w:spacing w:val="-1"/>
                <w:kern w:val="0"/>
                <w:sz w:val="24"/>
              </w:rPr>
            </w:pPr>
          </w:p>
        </w:tc>
        <w:tc>
          <w:tcPr>
            <w:tcW w:w="1130" w:type="dxa"/>
            <w:noWrap w:val="0"/>
            <w:vAlign w:val="center"/>
          </w:tcPr>
          <w:p w14:paraId="63288822">
            <w:pPr>
              <w:rPr>
                <w:rFonts w:hint="eastAsia" w:ascii="仿宋" w:hAnsi="仿宋" w:eastAsia="仿宋" w:cs="仿宋"/>
                <w:color w:val="auto"/>
                <w:spacing w:val="-1"/>
                <w:kern w:val="0"/>
                <w:sz w:val="24"/>
              </w:rPr>
            </w:pPr>
          </w:p>
        </w:tc>
      </w:tr>
      <w:tr w14:paraId="611C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15093C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154" w:type="dxa"/>
            <w:noWrap w:val="0"/>
            <w:vAlign w:val="center"/>
          </w:tcPr>
          <w:p w14:paraId="54688325">
            <w:pPr>
              <w:rPr>
                <w:rFonts w:hint="eastAsia" w:ascii="仿宋" w:hAnsi="仿宋" w:eastAsia="仿宋" w:cs="仿宋"/>
                <w:color w:val="auto"/>
                <w:spacing w:val="-1"/>
                <w:kern w:val="0"/>
                <w:sz w:val="24"/>
              </w:rPr>
            </w:pPr>
          </w:p>
        </w:tc>
        <w:tc>
          <w:tcPr>
            <w:tcW w:w="2477" w:type="dxa"/>
            <w:noWrap w:val="0"/>
            <w:vAlign w:val="center"/>
          </w:tcPr>
          <w:p w14:paraId="0738A87F">
            <w:pPr>
              <w:rPr>
                <w:rFonts w:hint="eastAsia" w:ascii="仿宋" w:hAnsi="仿宋" w:eastAsia="仿宋" w:cs="仿宋"/>
                <w:color w:val="auto"/>
                <w:spacing w:val="-1"/>
                <w:kern w:val="0"/>
                <w:sz w:val="24"/>
              </w:rPr>
            </w:pPr>
          </w:p>
        </w:tc>
        <w:tc>
          <w:tcPr>
            <w:tcW w:w="2454" w:type="dxa"/>
            <w:noWrap w:val="0"/>
            <w:vAlign w:val="center"/>
          </w:tcPr>
          <w:p w14:paraId="51186C35">
            <w:pPr>
              <w:rPr>
                <w:rFonts w:hint="eastAsia" w:ascii="仿宋" w:hAnsi="仿宋" w:eastAsia="仿宋" w:cs="仿宋"/>
                <w:color w:val="auto"/>
                <w:spacing w:val="-1"/>
                <w:kern w:val="0"/>
                <w:sz w:val="24"/>
              </w:rPr>
            </w:pPr>
          </w:p>
        </w:tc>
        <w:tc>
          <w:tcPr>
            <w:tcW w:w="1130" w:type="dxa"/>
            <w:noWrap w:val="0"/>
            <w:vAlign w:val="center"/>
          </w:tcPr>
          <w:p w14:paraId="4D987F41">
            <w:pPr>
              <w:rPr>
                <w:rFonts w:hint="eastAsia" w:ascii="仿宋" w:hAnsi="仿宋" w:eastAsia="仿宋" w:cs="仿宋"/>
                <w:color w:val="auto"/>
                <w:spacing w:val="-1"/>
                <w:kern w:val="0"/>
                <w:sz w:val="24"/>
              </w:rPr>
            </w:pPr>
          </w:p>
        </w:tc>
      </w:tr>
    </w:tbl>
    <w:p w14:paraId="62D75177">
      <w:pPr>
        <w:rPr>
          <w:rFonts w:hint="eastAsia" w:ascii="仿宋" w:hAnsi="仿宋" w:eastAsia="仿宋" w:cs="仿宋"/>
          <w:color w:val="auto"/>
          <w:spacing w:val="-1"/>
          <w:kern w:val="0"/>
          <w:sz w:val="24"/>
        </w:rPr>
      </w:pPr>
    </w:p>
    <w:p w14:paraId="0345E553">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注：请在“偏离说明”栏内扼要说明偏离情况，如无偏离则不需列明。</w:t>
      </w:r>
    </w:p>
    <w:p w14:paraId="45D5B415">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rPr>
      </w:pPr>
    </w:p>
    <w:p w14:paraId="50A87543">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rPr>
      </w:pPr>
    </w:p>
    <w:p w14:paraId="182D77B9">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14:paraId="665EEB72">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5FAA4411">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14:paraId="060840A6">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z w:val="24"/>
          <w:szCs w:val="24"/>
        </w:rPr>
      </w:pPr>
    </w:p>
    <w:p w14:paraId="286C5139">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074984D3">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7371C64B">
      <w:pPr>
        <w:pStyle w:val="29"/>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4C39E6E8">
      <w:pPr>
        <w:pStyle w:val="29"/>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07616E72">
      <w:pPr>
        <w:pStyle w:val="29"/>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7152B257">
      <w:pPr>
        <w:pStyle w:val="29"/>
        <w:keepNext w:val="0"/>
        <w:keepLines w:val="0"/>
        <w:widowControl w:val="0"/>
        <w:shd w:val="clear" w:color="auto" w:fill="auto"/>
        <w:tabs>
          <w:tab w:val="left" w:pos="826"/>
        </w:tabs>
        <w:bidi w:val="0"/>
        <w:spacing w:before="0" w:after="0" w:line="470" w:lineRule="exact"/>
        <w:ind w:left="0" w:leftChars="0" w:right="0" w:firstLine="0" w:firstLineChars="0"/>
        <w:jc w:val="both"/>
        <w:rPr>
          <w:rFonts w:hint="eastAsia" w:ascii="仿宋" w:hAnsi="仿宋" w:eastAsia="仿宋" w:cs="仿宋"/>
          <w:color w:val="auto"/>
          <w:spacing w:val="0"/>
          <w:w w:val="100"/>
          <w:position w:val="0"/>
          <w:sz w:val="21"/>
          <w:szCs w:val="21"/>
        </w:rPr>
      </w:pPr>
    </w:p>
    <w:p w14:paraId="25F65F7D">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14:paraId="298AC4F0">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7、投标人基本情况表</w:t>
      </w:r>
    </w:p>
    <w:p w14:paraId="7ED89BC9">
      <w:pPr>
        <w:pStyle w:val="9"/>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19"/>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73ABF873">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3BA50F3A">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090DF18A">
            <w:pPr>
              <w:rPr>
                <w:rFonts w:hint="eastAsia" w:ascii="仿宋" w:hAnsi="仿宋" w:eastAsia="仿宋" w:cs="仿宋"/>
                <w:color w:val="auto"/>
              </w:rPr>
            </w:pPr>
          </w:p>
        </w:tc>
      </w:tr>
      <w:tr w14:paraId="0943E46E">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0EA745E1">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06B8D8C8">
            <w:pPr>
              <w:rPr>
                <w:rFonts w:hint="eastAsia" w:ascii="仿宋" w:hAnsi="仿宋" w:eastAsia="仿宋" w:cs="仿宋"/>
                <w:color w:val="auto"/>
              </w:rPr>
            </w:pPr>
          </w:p>
        </w:tc>
      </w:tr>
      <w:tr w14:paraId="39BCE854">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13702608">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7585B6D8">
            <w:pPr>
              <w:rPr>
                <w:rFonts w:hint="eastAsia" w:ascii="仿宋" w:hAnsi="仿宋" w:eastAsia="仿宋" w:cs="仿宋"/>
                <w:color w:val="auto"/>
              </w:rPr>
            </w:pPr>
          </w:p>
        </w:tc>
      </w:tr>
      <w:tr w14:paraId="0FF7A937">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522B9FA2">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14:paraId="68117069">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14:paraId="1492816E">
            <w:pPr>
              <w:pStyle w:val="32"/>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14:paraId="04B82E1B">
            <w:pPr>
              <w:rPr>
                <w:rFonts w:hint="eastAsia" w:ascii="仿宋" w:hAnsi="仿宋" w:eastAsia="仿宋" w:cs="仿宋"/>
                <w:color w:val="auto"/>
              </w:rPr>
            </w:pPr>
          </w:p>
        </w:tc>
      </w:tr>
      <w:tr w14:paraId="30734FC8">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3698FC38">
            <w:pPr>
              <w:pStyle w:val="32"/>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2B253434">
            <w:pPr>
              <w:rPr>
                <w:rFonts w:hint="eastAsia" w:ascii="仿宋" w:hAnsi="仿宋" w:eastAsia="仿宋" w:cs="仿宋"/>
                <w:color w:val="auto"/>
              </w:rPr>
            </w:pPr>
          </w:p>
        </w:tc>
      </w:tr>
      <w:tr w14:paraId="432533F2">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6BAFFDFB">
            <w:pPr>
              <w:pStyle w:val="32"/>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6870717A">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4E3AB88C">
            <w:pPr>
              <w:pStyle w:val="32"/>
              <w:kinsoku w:val="0"/>
              <w:overflowPunct w:val="0"/>
              <w:spacing w:before="4"/>
              <w:rPr>
                <w:rFonts w:hint="eastAsia" w:ascii="仿宋" w:hAnsi="仿宋" w:eastAsia="仿宋" w:cs="仿宋"/>
                <w:b/>
                <w:bCs/>
                <w:color w:val="auto"/>
                <w:sz w:val="20"/>
                <w:szCs w:val="20"/>
              </w:rPr>
            </w:pPr>
          </w:p>
          <w:p w14:paraId="08AFC3C9">
            <w:pPr>
              <w:pStyle w:val="32"/>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14:paraId="649B040E">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14:paraId="7DCBF0C2">
            <w:pPr>
              <w:pStyle w:val="32"/>
              <w:kinsoku w:val="0"/>
              <w:overflowPunct w:val="0"/>
              <w:spacing w:before="4"/>
              <w:rPr>
                <w:rFonts w:hint="eastAsia" w:ascii="仿宋" w:hAnsi="仿宋" w:eastAsia="仿宋" w:cs="仿宋"/>
                <w:b/>
                <w:bCs/>
                <w:color w:val="auto"/>
                <w:sz w:val="20"/>
                <w:szCs w:val="20"/>
              </w:rPr>
            </w:pPr>
          </w:p>
          <w:p w14:paraId="1DE51B29">
            <w:pPr>
              <w:pStyle w:val="32"/>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37188C1E">
            <w:pPr>
              <w:rPr>
                <w:rFonts w:hint="eastAsia" w:ascii="仿宋" w:hAnsi="仿宋" w:eastAsia="仿宋" w:cs="仿宋"/>
                <w:color w:val="auto"/>
              </w:rPr>
            </w:pPr>
          </w:p>
        </w:tc>
      </w:tr>
      <w:tr w14:paraId="0DA41209">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14:paraId="336B3238">
            <w:pPr>
              <w:pStyle w:val="32"/>
              <w:kinsoku w:val="0"/>
              <w:overflowPunct w:val="0"/>
              <w:rPr>
                <w:rFonts w:hint="eastAsia" w:ascii="仿宋" w:hAnsi="仿宋" w:eastAsia="仿宋" w:cs="仿宋"/>
                <w:b/>
                <w:bCs/>
                <w:color w:val="auto"/>
              </w:rPr>
            </w:pPr>
          </w:p>
          <w:p w14:paraId="25FEB021">
            <w:pPr>
              <w:pStyle w:val="32"/>
              <w:kinsoku w:val="0"/>
              <w:overflowPunct w:val="0"/>
              <w:rPr>
                <w:rFonts w:hint="eastAsia" w:ascii="仿宋" w:hAnsi="仿宋" w:eastAsia="仿宋" w:cs="仿宋"/>
                <w:b/>
                <w:bCs/>
                <w:color w:val="auto"/>
              </w:rPr>
            </w:pPr>
          </w:p>
          <w:p w14:paraId="14AF4201">
            <w:pPr>
              <w:pStyle w:val="32"/>
              <w:kinsoku w:val="0"/>
              <w:overflowPunct w:val="0"/>
              <w:rPr>
                <w:rFonts w:hint="eastAsia" w:ascii="仿宋" w:hAnsi="仿宋" w:eastAsia="仿宋" w:cs="仿宋"/>
                <w:b/>
                <w:bCs/>
                <w:color w:val="auto"/>
              </w:rPr>
            </w:pPr>
          </w:p>
          <w:p w14:paraId="0A1C246C">
            <w:pPr>
              <w:pStyle w:val="32"/>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40F72BA0">
            <w:pPr>
              <w:pStyle w:val="32"/>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533D799D">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top"/>
          </w:tcPr>
          <w:p w14:paraId="7E877DCE">
            <w:pPr>
              <w:pStyle w:val="32"/>
              <w:kinsoku w:val="0"/>
              <w:overflowPunct w:val="0"/>
              <w:spacing w:before="144"/>
              <w:ind w:left="118"/>
              <w:rPr>
                <w:rFonts w:hint="eastAsia"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06DCFA48">
            <w:pPr>
              <w:rPr>
                <w:rFonts w:hint="eastAsia" w:ascii="仿宋" w:hAnsi="仿宋" w:eastAsia="仿宋" w:cs="仿宋"/>
                <w:color w:val="auto"/>
              </w:rPr>
            </w:pPr>
          </w:p>
        </w:tc>
      </w:tr>
      <w:tr w14:paraId="2CD6F675">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1059D97C">
            <w:pPr>
              <w:rPr>
                <w:rFonts w:hint="eastAsia"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112F660F">
            <w:pPr>
              <w:pStyle w:val="32"/>
              <w:kinsoku w:val="0"/>
              <w:overflowPunct w:val="0"/>
              <w:spacing w:before="145"/>
              <w:jc w:val="center"/>
              <w:rPr>
                <w:rFonts w:hint="eastAsia" w:ascii="仿宋" w:hAnsi="仿宋" w:eastAsia="仿宋" w:cs="仿宋"/>
                <w:color w:val="auto"/>
              </w:rPr>
            </w:pPr>
            <w:r>
              <w:rPr>
                <w:rFonts w:hint="eastAsia" w:ascii="仿宋" w:hAnsi="仿宋" w:eastAsia="仿宋" w:cs="仿宋"/>
                <w:color w:val="auto"/>
              </w:rPr>
              <w:t>单位行政和技术负责人</w:t>
            </w:r>
          </w:p>
        </w:tc>
      </w:tr>
      <w:tr w14:paraId="508E4D5F">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353CF277">
            <w:pPr>
              <w:pStyle w:val="32"/>
              <w:kinsoku w:val="0"/>
              <w:overflowPunct w:val="0"/>
              <w:spacing w:before="145"/>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6DB42251">
            <w:pPr>
              <w:pStyle w:val="32"/>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6B32AC81">
            <w:pPr>
              <w:pStyle w:val="32"/>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13F38E45">
            <w:pPr>
              <w:pStyle w:val="32"/>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35F2FF98">
            <w:pPr>
              <w:pStyle w:val="32"/>
              <w:tabs>
                <w:tab w:val="left" w:pos="479"/>
              </w:tabs>
              <w:kinsoku w:val="0"/>
              <w:overflowPunct w:val="0"/>
              <w:spacing w:before="145"/>
              <w:ind w:right="1"/>
              <w:jc w:val="center"/>
              <w:rPr>
                <w:rFonts w:hint="eastAsia"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14:paraId="03CB0EE9">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7B760FD6">
            <w:pPr>
              <w:pStyle w:val="32"/>
              <w:tabs>
                <w:tab w:val="left" w:pos="479"/>
              </w:tabs>
              <w:kinsoku w:val="0"/>
              <w:overflowPunct w:val="0"/>
              <w:spacing w:before="145"/>
              <w:ind w:right="1"/>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06177D24">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27DEA24A">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1AF60E6F">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1E6BE80D">
            <w:pPr>
              <w:rPr>
                <w:rFonts w:hint="eastAsia" w:ascii="仿宋" w:hAnsi="仿宋" w:eastAsia="仿宋" w:cs="仿宋"/>
                <w:color w:val="auto"/>
              </w:rPr>
            </w:pPr>
          </w:p>
        </w:tc>
      </w:tr>
      <w:tr w14:paraId="5B09B8E4">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59CDB964">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395786B1">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48D16D3B">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492E3883">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360B9DCB">
            <w:pPr>
              <w:rPr>
                <w:rFonts w:hint="eastAsia" w:ascii="仿宋" w:hAnsi="仿宋" w:eastAsia="仿宋" w:cs="仿宋"/>
                <w:color w:val="auto"/>
              </w:rPr>
            </w:pPr>
          </w:p>
        </w:tc>
      </w:tr>
      <w:tr w14:paraId="0B2F32CA">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73152608">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2EC78418">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308A5F75">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4C7C69E4">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0D233C89">
            <w:pPr>
              <w:rPr>
                <w:rFonts w:hint="eastAsia" w:ascii="仿宋" w:hAnsi="仿宋" w:eastAsia="仿宋" w:cs="仿宋"/>
                <w:color w:val="auto"/>
              </w:rPr>
            </w:pPr>
          </w:p>
        </w:tc>
      </w:tr>
      <w:tr w14:paraId="63B8C2E2">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24E35A32">
            <w:pPr>
              <w:pStyle w:val="32"/>
              <w:kinsoku w:val="0"/>
              <w:overflowPunct w:val="0"/>
              <w:spacing w:before="1"/>
              <w:rPr>
                <w:rFonts w:hint="eastAsia" w:ascii="仿宋" w:hAnsi="仿宋" w:eastAsia="仿宋" w:cs="仿宋"/>
                <w:b/>
                <w:bCs/>
                <w:color w:val="auto"/>
                <w:sz w:val="23"/>
                <w:szCs w:val="23"/>
              </w:rPr>
            </w:pPr>
          </w:p>
          <w:p w14:paraId="522AF6F3">
            <w:pPr>
              <w:pStyle w:val="32"/>
              <w:kinsoku w:val="0"/>
              <w:overflowPunct w:val="0"/>
              <w:spacing w:line="237" w:lineRule="auto"/>
              <w:ind w:left="497" w:right="493"/>
              <w:jc w:val="both"/>
              <w:rPr>
                <w:rFonts w:hint="eastAsia"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69900069">
            <w:pPr>
              <w:rPr>
                <w:rFonts w:hint="eastAsia" w:ascii="仿宋" w:hAnsi="仿宋" w:eastAsia="仿宋" w:cs="仿宋"/>
                <w:color w:val="auto"/>
              </w:rPr>
            </w:pPr>
          </w:p>
        </w:tc>
      </w:tr>
    </w:tbl>
    <w:p w14:paraId="6A78200D">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68F386F6">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FCBFBAA">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467003B5">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5A5FE65E">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552A7FC9">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23A115D0">
      <w:pPr>
        <w:shd w:val="clear" w:color="auto" w:fill="auto"/>
        <w:spacing w:line="360" w:lineRule="auto"/>
        <w:jc w:val="both"/>
        <w:rPr>
          <w:rFonts w:hint="eastAsia" w:ascii="仿宋" w:hAnsi="仿宋" w:eastAsia="仿宋" w:cs="仿宋"/>
          <w:b/>
          <w:bCs w:val="0"/>
          <w:color w:val="auto"/>
          <w:kern w:val="0"/>
          <w:sz w:val="36"/>
          <w:szCs w:val="36"/>
          <w:lang w:val="en-US" w:eastAsia="zh-CN"/>
        </w:rPr>
      </w:pPr>
    </w:p>
    <w:p w14:paraId="624A2A3C">
      <w:pPr>
        <w:shd w:val="clear" w:color="auto" w:fill="auto"/>
        <w:spacing w:line="360" w:lineRule="auto"/>
        <w:jc w:val="center"/>
        <w:rPr>
          <w:rFonts w:hint="eastAsia" w:ascii="仿宋" w:hAnsi="仿宋" w:eastAsia="仿宋" w:cs="仿宋"/>
          <w:b/>
          <w:bCs w:val="0"/>
          <w:color w:val="auto"/>
          <w:kern w:val="0"/>
          <w:sz w:val="36"/>
          <w:szCs w:val="36"/>
        </w:rPr>
      </w:pPr>
      <w:r>
        <w:rPr>
          <w:rFonts w:hint="eastAsia" w:ascii="仿宋" w:hAnsi="仿宋" w:eastAsia="仿宋" w:cs="仿宋"/>
          <w:b/>
          <w:bCs w:val="0"/>
          <w:color w:val="auto"/>
          <w:kern w:val="0"/>
          <w:sz w:val="36"/>
          <w:szCs w:val="36"/>
          <w:lang w:val="en-US" w:eastAsia="zh-CN"/>
        </w:rPr>
        <w:t>8</w:t>
      </w:r>
      <w:r>
        <w:rPr>
          <w:rFonts w:hint="eastAsia" w:ascii="仿宋" w:hAnsi="仿宋" w:eastAsia="仿宋" w:cs="仿宋"/>
          <w:b/>
          <w:bCs w:val="0"/>
          <w:color w:val="auto"/>
          <w:kern w:val="0"/>
          <w:sz w:val="36"/>
          <w:szCs w:val="36"/>
        </w:rPr>
        <w:t>、中小企业声明函(</w:t>
      </w:r>
      <w:r>
        <w:rPr>
          <w:rFonts w:hint="eastAsia" w:ascii="仿宋" w:hAnsi="仿宋" w:eastAsia="仿宋" w:cs="仿宋"/>
          <w:b/>
          <w:bCs w:val="0"/>
          <w:color w:val="auto"/>
          <w:kern w:val="0"/>
          <w:sz w:val="36"/>
          <w:szCs w:val="36"/>
          <w:lang w:eastAsia="zh-CN"/>
        </w:rPr>
        <w:t>货物</w:t>
      </w:r>
      <w:r>
        <w:rPr>
          <w:rFonts w:hint="eastAsia" w:ascii="仿宋" w:hAnsi="仿宋" w:eastAsia="仿宋" w:cs="仿宋"/>
          <w:b/>
          <w:bCs w:val="0"/>
          <w:color w:val="auto"/>
          <w:kern w:val="0"/>
          <w:sz w:val="36"/>
          <w:szCs w:val="36"/>
        </w:rPr>
        <w:t>)</w:t>
      </w:r>
    </w:p>
    <w:p w14:paraId="2DDA788E">
      <w:pPr>
        <w:spacing w:line="500" w:lineRule="exact"/>
        <w:ind w:firstLine="720" w:firstLineChars="300"/>
        <w:jc w:val="left"/>
        <w:rPr>
          <w:rFonts w:hint="eastAsia" w:ascii="仿宋" w:hAnsi="仿宋" w:eastAsia="仿宋" w:cs="仿宋"/>
          <w:color w:val="auto"/>
          <w:kern w:val="2"/>
          <w:sz w:val="24"/>
          <w:szCs w:val="24"/>
          <w:u w:val="none" w:color="000000"/>
          <w:lang w:val="en-US" w:eastAsia="zh-CN" w:bidi="ar-SA"/>
        </w:rPr>
      </w:pPr>
      <w:r>
        <w:rPr>
          <w:rFonts w:hint="eastAsia" w:ascii="仿宋" w:hAnsi="仿宋" w:eastAsia="仿宋" w:cs="仿宋"/>
          <w:color w:val="auto"/>
          <w:kern w:val="2"/>
          <w:sz w:val="24"/>
          <w:szCs w:val="24"/>
          <w:u w:val="none" w:color="000000"/>
          <w:lang w:val="en-US" w:eastAsia="zh-CN" w:bidi="ar-SA"/>
        </w:rPr>
        <w:t xml:space="preserve">本公司（联合体）郑重声明，根据《政府采购促进中小企业发展管理办法》（财库[2020]46号）的规定，本公司（联合体）参加（单位名称）的（项目名称）采购活动，提供的货物全部由符合政策要求的中小企业制造。相关企业 （含联合体中的中小企业、签订分包意向协议的中小企业） 的具体情况如下： </w:t>
      </w:r>
    </w:p>
    <w:p w14:paraId="0CDD5F91">
      <w:pPr>
        <w:spacing w:line="500" w:lineRule="exact"/>
        <w:jc w:val="left"/>
        <w:rPr>
          <w:rFonts w:hint="eastAsia" w:ascii="仿宋" w:hAnsi="仿宋" w:eastAsia="仿宋" w:cs="仿宋"/>
          <w:color w:val="auto"/>
          <w:kern w:val="2"/>
          <w:sz w:val="24"/>
          <w:szCs w:val="24"/>
          <w:u w:val="single" w:color="auto"/>
          <w:lang w:val="en-US" w:eastAsia="zh-CN" w:bidi="ar-SA"/>
        </w:rPr>
      </w:pPr>
      <w:r>
        <w:rPr>
          <w:rFonts w:hint="eastAsia" w:ascii="仿宋" w:hAnsi="仿宋" w:eastAsia="仿宋" w:cs="仿宋"/>
          <w:color w:val="auto"/>
          <w:kern w:val="2"/>
          <w:sz w:val="24"/>
          <w:szCs w:val="24"/>
          <w:u w:val="none" w:color="000000"/>
          <w:lang w:val="en-US" w:eastAsia="zh-CN" w:bidi="ar-SA"/>
        </w:rPr>
        <w:t xml:space="preserve">1. </w:t>
      </w:r>
      <w:r>
        <w:rPr>
          <w:rFonts w:hint="eastAsia" w:ascii="仿宋" w:hAnsi="仿宋" w:eastAsia="仿宋" w:cs="仿宋"/>
          <w:color w:val="auto"/>
          <w:kern w:val="2"/>
          <w:sz w:val="24"/>
          <w:szCs w:val="24"/>
          <w:u w:val="single" w:color="auto"/>
          <w:lang w:val="en-US" w:eastAsia="zh-CN" w:bidi="ar-SA"/>
        </w:rPr>
        <w:t>（标的名称）</w:t>
      </w:r>
      <w:r>
        <w:rPr>
          <w:rFonts w:hint="eastAsia" w:ascii="仿宋" w:hAnsi="仿宋" w:eastAsia="仿宋" w:cs="仿宋"/>
          <w:color w:val="auto"/>
          <w:kern w:val="2"/>
          <w:sz w:val="24"/>
          <w:szCs w:val="24"/>
          <w:u w:val="none" w:color="000000"/>
          <w:lang w:val="en-US" w:eastAsia="zh-CN" w:bidi="ar-SA"/>
        </w:rPr>
        <w:t xml:space="preserve"> ，属于</w:t>
      </w:r>
      <w:r>
        <w:rPr>
          <w:rFonts w:hint="eastAsia" w:ascii="仿宋" w:hAnsi="仿宋" w:eastAsia="仿宋" w:cs="仿宋"/>
          <w:color w:val="auto"/>
          <w:kern w:val="2"/>
          <w:sz w:val="24"/>
          <w:szCs w:val="24"/>
          <w:u w:val="single" w:color="auto"/>
          <w:lang w:val="en-US" w:eastAsia="zh-CN" w:bidi="ar-SA"/>
        </w:rPr>
        <w:t>（采购文件中明确的所属行业）</w:t>
      </w:r>
      <w:r>
        <w:rPr>
          <w:rFonts w:hint="eastAsia" w:ascii="仿宋" w:hAnsi="仿宋" w:eastAsia="仿宋" w:cs="仿宋"/>
          <w:color w:val="auto"/>
          <w:kern w:val="2"/>
          <w:sz w:val="24"/>
          <w:szCs w:val="24"/>
          <w:u w:val="none" w:color="000000"/>
          <w:lang w:val="en-US" w:eastAsia="zh-CN" w:bidi="ar-SA"/>
        </w:rPr>
        <w:t xml:space="preserve"> 行业；制造商为</w:t>
      </w:r>
      <w:r>
        <w:rPr>
          <w:rFonts w:hint="eastAsia" w:ascii="仿宋" w:hAnsi="仿宋" w:eastAsia="仿宋" w:cs="仿宋"/>
          <w:color w:val="auto"/>
          <w:kern w:val="2"/>
          <w:sz w:val="24"/>
          <w:szCs w:val="24"/>
          <w:u w:val="single" w:color="auto"/>
          <w:lang w:val="en-US" w:eastAsia="zh-CN" w:bidi="ar-SA"/>
        </w:rPr>
        <w:t>（企业名称）</w:t>
      </w:r>
      <w:r>
        <w:rPr>
          <w:rFonts w:hint="eastAsia" w:ascii="仿宋" w:hAnsi="仿宋" w:eastAsia="仿宋" w:cs="仿宋"/>
          <w:color w:val="auto"/>
          <w:kern w:val="2"/>
          <w:sz w:val="24"/>
          <w:szCs w:val="24"/>
          <w:u w:val="none" w:color="000000"/>
          <w:lang w:val="en-US" w:eastAsia="zh-CN" w:bidi="ar-SA"/>
        </w:rPr>
        <w:t>，从业人员</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人，营业收 入为</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 xml:space="preserve"> 万元，资产总额为</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万元，属于</w:t>
      </w:r>
      <w:r>
        <w:rPr>
          <w:rFonts w:hint="eastAsia" w:ascii="仿宋" w:hAnsi="仿宋" w:eastAsia="仿宋" w:cs="仿宋"/>
          <w:color w:val="auto"/>
          <w:kern w:val="2"/>
          <w:sz w:val="24"/>
          <w:szCs w:val="24"/>
          <w:u w:val="single" w:color="auto"/>
          <w:lang w:val="en-US" w:eastAsia="zh-CN" w:bidi="ar-SA"/>
        </w:rPr>
        <w:t xml:space="preserve">（中型企业、小 型企业、微型企业）； </w:t>
      </w:r>
    </w:p>
    <w:p w14:paraId="1E3C035B">
      <w:pPr>
        <w:spacing w:line="500" w:lineRule="exact"/>
        <w:jc w:val="left"/>
        <w:rPr>
          <w:rFonts w:hint="eastAsia" w:ascii="仿宋" w:hAnsi="仿宋" w:eastAsia="仿宋" w:cs="仿宋"/>
          <w:color w:val="auto"/>
          <w:kern w:val="2"/>
          <w:sz w:val="24"/>
          <w:szCs w:val="24"/>
          <w:u w:val="single" w:color="auto"/>
          <w:lang w:val="en-US" w:eastAsia="zh-CN" w:bidi="ar-SA"/>
        </w:rPr>
      </w:pPr>
      <w:r>
        <w:rPr>
          <w:rFonts w:hint="eastAsia" w:ascii="仿宋" w:hAnsi="仿宋" w:eastAsia="仿宋" w:cs="仿宋"/>
          <w:color w:val="auto"/>
          <w:kern w:val="2"/>
          <w:sz w:val="24"/>
          <w:szCs w:val="24"/>
          <w:u w:val="none" w:color="000000"/>
          <w:lang w:val="en-US" w:eastAsia="zh-CN" w:bidi="ar-SA"/>
        </w:rPr>
        <w:t xml:space="preserve">2. </w:t>
      </w:r>
      <w:r>
        <w:rPr>
          <w:rFonts w:hint="eastAsia" w:ascii="仿宋" w:hAnsi="仿宋" w:eastAsia="仿宋" w:cs="仿宋"/>
          <w:color w:val="auto"/>
          <w:kern w:val="2"/>
          <w:sz w:val="24"/>
          <w:szCs w:val="24"/>
          <w:u w:val="single" w:color="auto"/>
          <w:lang w:val="en-US" w:eastAsia="zh-CN" w:bidi="ar-SA"/>
        </w:rPr>
        <w:t>（标的名称）</w:t>
      </w:r>
      <w:r>
        <w:rPr>
          <w:rFonts w:hint="eastAsia" w:ascii="仿宋" w:hAnsi="仿宋" w:eastAsia="仿宋" w:cs="仿宋"/>
          <w:color w:val="auto"/>
          <w:kern w:val="2"/>
          <w:sz w:val="24"/>
          <w:szCs w:val="24"/>
          <w:u w:val="none" w:color="000000"/>
          <w:lang w:val="en-US" w:eastAsia="zh-CN" w:bidi="ar-SA"/>
        </w:rPr>
        <w:t xml:space="preserve"> ，属于</w:t>
      </w:r>
      <w:r>
        <w:rPr>
          <w:rFonts w:hint="eastAsia" w:ascii="仿宋" w:hAnsi="仿宋" w:eastAsia="仿宋" w:cs="仿宋"/>
          <w:color w:val="auto"/>
          <w:kern w:val="2"/>
          <w:sz w:val="24"/>
          <w:szCs w:val="24"/>
          <w:u w:val="single" w:color="auto"/>
          <w:lang w:val="en-US" w:eastAsia="zh-CN" w:bidi="ar-SA"/>
        </w:rPr>
        <w:t>（采购文件中明确的所属行业）</w:t>
      </w:r>
      <w:r>
        <w:rPr>
          <w:rFonts w:hint="eastAsia" w:ascii="仿宋" w:hAnsi="仿宋" w:eastAsia="仿宋" w:cs="仿宋"/>
          <w:color w:val="auto"/>
          <w:kern w:val="2"/>
          <w:sz w:val="24"/>
          <w:szCs w:val="24"/>
          <w:u w:val="none" w:color="000000"/>
          <w:lang w:val="en-US" w:eastAsia="zh-CN" w:bidi="ar-SA"/>
        </w:rPr>
        <w:t>行业；制造商为</w:t>
      </w:r>
      <w:r>
        <w:rPr>
          <w:rFonts w:hint="eastAsia" w:ascii="仿宋" w:hAnsi="仿宋" w:eastAsia="仿宋" w:cs="仿宋"/>
          <w:color w:val="auto"/>
          <w:kern w:val="2"/>
          <w:sz w:val="24"/>
          <w:szCs w:val="24"/>
          <w:u w:val="single" w:color="auto"/>
          <w:lang w:val="en-US" w:eastAsia="zh-CN" w:bidi="ar-SA"/>
        </w:rPr>
        <w:t>（企业名称）</w:t>
      </w:r>
      <w:r>
        <w:rPr>
          <w:rFonts w:hint="eastAsia" w:ascii="仿宋" w:hAnsi="仿宋" w:eastAsia="仿宋" w:cs="仿宋"/>
          <w:color w:val="auto"/>
          <w:kern w:val="2"/>
          <w:sz w:val="24"/>
          <w:szCs w:val="24"/>
          <w:u w:val="none" w:color="000000"/>
          <w:lang w:val="en-US" w:eastAsia="zh-CN" w:bidi="ar-SA"/>
        </w:rPr>
        <w:t xml:space="preserve">，从业人员 </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人，营业收入为</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万元，资产总额为员</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万元，属于</w:t>
      </w:r>
      <w:r>
        <w:rPr>
          <w:rFonts w:hint="eastAsia" w:ascii="仿宋" w:hAnsi="仿宋" w:eastAsia="仿宋" w:cs="仿宋"/>
          <w:color w:val="auto"/>
          <w:kern w:val="2"/>
          <w:sz w:val="24"/>
          <w:szCs w:val="24"/>
          <w:u w:val="single" w:color="auto"/>
          <w:lang w:val="en-US" w:eastAsia="zh-CN" w:bidi="ar-SA"/>
        </w:rPr>
        <w:t xml:space="preserve">（中型企业、小型 企业、微型企业）； </w:t>
      </w:r>
    </w:p>
    <w:p w14:paraId="4DC4215D">
      <w:pPr>
        <w:spacing w:line="500" w:lineRule="exact"/>
        <w:jc w:val="left"/>
        <w:rPr>
          <w:rFonts w:hint="eastAsia" w:ascii="仿宋" w:hAnsi="仿宋" w:eastAsia="仿宋" w:cs="仿宋"/>
          <w:color w:val="auto"/>
          <w:kern w:val="2"/>
          <w:sz w:val="24"/>
          <w:szCs w:val="24"/>
          <w:u w:val="none" w:color="000000"/>
          <w:lang w:val="en-US" w:eastAsia="zh-CN" w:bidi="ar-SA"/>
        </w:rPr>
      </w:pPr>
      <w:r>
        <w:rPr>
          <w:rFonts w:hint="eastAsia" w:ascii="仿宋" w:hAnsi="仿宋" w:eastAsia="仿宋" w:cs="仿宋"/>
          <w:color w:val="auto"/>
          <w:kern w:val="2"/>
          <w:sz w:val="24"/>
          <w:szCs w:val="24"/>
          <w:u w:val="none" w:color="000000"/>
          <w:lang w:val="en-US" w:eastAsia="zh-CN" w:bidi="ar-SA"/>
        </w:rPr>
        <w:t>……</w:t>
      </w:r>
    </w:p>
    <w:p w14:paraId="7A5F2A88">
      <w:pPr>
        <w:spacing w:line="500" w:lineRule="exact"/>
        <w:jc w:val="left"/>
        <w:rPr>
          <w:rFonts w:hint="eastAsia" w:ascii="仿宋" w:hAnsi="仿宋" w:eastAsia="仿宋" w:cs="仿宋"/>
          <w:color w:val="auto"/>
          <w:kern w:val="2"/>
          <w:sz w:val="24"/>
          <w:szCs w:val="24"/>
          <w:u w:val="none" w:color="000000"/>
          <w:lang w:val="en-US" w:eastAsia="zh-CN" w:bidi="ar-SA"/>
        </w:rPr>
      </w:pPr>
      <w:r>
        <w:rPr>
          <w:rFonts w:hint="eastAsia" w:ascii="仿宋" w:hAnsi="仿宋" w:eastAsia="仿宋" w:cs="仿宋"/>
          <w:color w:val="auto"/>
          <w:kern w:val="2"/>
          <w:sz w:val="24"/>
          <w:szCs w:val="24"/>
          <w:u w:val="none" w:color="000000"/>
          <w:lang w:val="en-US" w:eastAsia="zh-CN" w:bidi="ar-SA"/>
        </w:rPr>
        <w:t>以上企业，不属于大企业的分支机构，不存在控股股东为大企业的情形，也不存在与大企业的负责人为同一人的情形。</w:t>
      </w:r>
    </w:p>
    <w:p w14:paraId="70267547">
      <w:pPr>
        <w:spacing w:line="500" w:lineRule="exact"/>
        <w:jc w:val="left"/>
        <w:rPr>
          <w:rFonts w:hint="eastAsia" w:ascii="仿宋" w:hAnsi="仿宋" w:eastAsia="仿宋" w:cs="仿宋"/>
          <w:color w:val="auto"/>
          <w:kern w:val="2"/>
          <w:sz w:val="24"/>
          <w:szCs w:val="24"/>
          <w:u w:val="none" w:color="000000"/>
          <w:lang w:val="en-US" w:eastAsia="zh-CN" w:bidi="ar-SA"/>
        </w:rPr>
      </w:pPr>
      <w:r>
        <w:rPr>
          <w:rFonts w:hint="eastAsia" w:ascii="仿宋" w:hAnsi="仿宋" w:eastAsia="仿宋" w:cs="仿宋"/>
          <w:color w:val="auto"/>
          <w:kern w:val="2"/>
          <w:sz w:val="24"/>
          <w:szCs w:val="24"/>
          <w:u w:val="none" w:color="000000"/>
          <w:lang w:val="en-US" w:eastAsia="zh-CN" w:bidi="ar-SA"/>
        </w:rPr>
        <w:t xml:space="preserve">本企业对上述声明内容的真实性负责。如有虚假，将依法承担相应责任。 </w:t>
      </w:r>
    </w:p>
    <w:p w14:paraId="3E27CB19">
      <w:pPr>
        <w:spacing w:line="500" w:lineRule="exact"/>
        <w:jc w:val="left"/>
        <w:rPr>
          <w:rFonts w:hint="eastAsia" w:ascii="仿宋" w:hAnsi="仿宋" w:eastAsia="仿宋" w:cs="仿宋"/>
          <w:color w:val="auto"/>
          <w:kern w:val="2"/>
          <w:sz w:val="24"/>
          <w:szCs w:val="24"/>
          <w:u w:val="none" w:color="000000"/>
          <w:lang w:val="en-US" w:eastAsia="zh-CN" w:bidi="ar-SA"/>
        </w:rPr>
      </w:pPr>
      <w:r>
        <w:rPr>
          <w:rFonts w:hint="eastAsia" w:ascii="仿宋" w:hAnsi="仿宋" w:eastAsia="仿宋" w:cs="仿宋"/>
          <w:color w:val="auto"/>
          <w:kern w:val="2"/>
          <w:sz w:val="24"/>
          <w:szCs w:val="24"/>
          <w:u w:val="none" w:color="000000"/>
          <w:lang w:val="en-US" w:eastAsia="zh-CN" w:bidi="ar-SA"/>
        </w:rPr>
        <w:t xml:space="preserve">企业名称（盖章）：      </w:t>
      </w:r>
    </w:p>
    <w:p w14:paraId="40D75AD5">
      <w:pPr>
        <w:spacing w:line="500" w:lineRule="exact"/>
        <w:jc w:val="left"/>
        <w:rPr>
          <w:rFonts w:hint="eastAsia" w:ascii="仿宋" w:hAnsi="仿宋" w:eastAsia="仿宋" w:cs="仿宋"/>
          <w:sz w:val="24"/>
          <w:szCs w:val="24"/>
        </w:rPr>
      </w:pPr>
      <w:r>
        <w:rPr>
          <w:rFonts w:hint="eastAsia" w:ascii="仿宋" w:hAnsi="仿宋" w:eastAsia="仿宋" w:cs="仿宋"/>
          <w:color w:val="auto"/>
          <w:kern w:val="2"/>
          <w:sz w:val="24"/>
          <w:szCs w:val="24"/>
          <w:u w:val="none" w:color="000000"/>
          <w:lang w:val="en-US" w:eastAsia="zh-CN" w:bidi="ar-SA"/>
        </w:rPr>
        <w:t xml:space="preserve">日 期：     </w:t>
      </w:r>
      <w:r>
        <w:rPr>
          <w:rFonts w:hint="eastAsia" w:ascii="仿宋" w:hAnsi="仿宋" w:eastAsia="仿宋" w:cs="仿宋"/>
          <w:kern w:val="0"/>
          <w:sz w:val="24"/>
          <w:szCs w:val="24"/>
        </w:rPr>
        <w:t xml:space="preserve">        </w:t>
      </w:r>
    </w:p>
    <w:p w14:paraId="69B1D67C">
      <w:pPr>
        <w:widowControl/>
        <w:spacing w:line="500" w:lineRule="atLeast"/>
        <w:jc w:val="both"/>
        <w:rPr>
          <w:rFonts w:hint="eastAsia" w:ascii="宋体" w:hAnsi="Times New Roman" w:eastAsia="宋体" w:cs="Times New Roman"/>
          <w:b/>
          <w:kern w:val="0"/>
          <w:sz w:val="30"/>
          <w:szCs w:val="30"/>
          <w:lang w:val="en-US" w:eastAsia="zh-CN" w:bidi="ar-SA"/>
        </w:rPr>
      </w:pPr>
    </w:p>
    <w:p w14:paraId="1CB176A4">
      <w:pPr>
        <w:widowControl/>
        <w:spacing w:line="500" w:lineRule="atLeast"/>
        <w:jc w:val="both"/>
        <w:rPr>
          <w:rFonts w:hint="eastAsia" w:ascii="宋体" w:hAnsi="Times New Roman" w:eastAsia="宋体" w:cs="Times New Roman"/>
          <w:b/>
          <w:kern w:val="0"/>
          <w:sz w:val="30"/>
          <w:szCs w:val="30"/>
          <w:lang w:val="en-US" w:eastAsia="zh-CN" w:bidi="ar-SA"/>
        </w:rPr>
      </w:pPr>
    </w:p>
    <w:p w14:paraId="76DFCA67">
      <w:pPr>
        <w:widowControl/>
        <w:spacing w:line="500" w:lineRule="atLeast"/>
        <w:jc w:val="both"/>
        <w:rPr>
          <w:rFonts w:hint="eastAsia" w:ascii="宋体" w:hAnsi="Times New Roman" w:eastAsia="宋体" w:cs="Times New Roman"/>
          <w:b/>
          <w:kern w:val="0"/>
          <w:sz w:val="30"/>
          <w:szCs w:val="30"/>
          <w:lang w:val="en-US" w:eastAsia="zh-CN" w:bidi="ar-SA"/>
        </w:rPr>
      </w:pPr>
    </w:p>
    <w:p w14:paraId="0D2A0BF8"/>
    <w:p w14:paraId="0DDD99DB">
      <w:pPr>
        <w:tabs>
          <w:tab w:val="left" w:pos="3600"/>
        </w:tabs>
        <w:adjustRightInd w:val="0"/>
        <w:snapToGrid w:val="0"/>
        <w:spacing w:line="440" w:lineRule="exact"/>
        <w:jc w:val="both"/>
        <w:rPr>
          <w:rFonts w:hint="eastAsia" w:ascii="仿宋" w:hAnsi="仿宋" w:eastAsia="仿宋" w:cs="仿宋"/>
          <w:color w:val="auto"/>
          <w:spacing w:val="0"/>
          <w:w w:val="100"/>
          <w:position w:val="0"/>
          <w:sz w:val="36"/>
          <w:szCs w:val="36"/>
          <w:lang w:val="en-US" w:eastAsia="zh-CN"/>
        </w:rPr>
      </w:pPr>
    </w:p>
    <w:p w14:paraId="5460B57E">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5D33F03F">
      <w:pPr>
        <w:pStyle w:val="5"/>
        <w:rPr>
          <w:rFonts w:hint="eastAsia" w:ascii="仿宋" w:hAnsi="仿宋" w:eastAsia="仿宋" w:cs="仿宋"/>
          <w:color w:val="auto"/>
          <w:spacing w:val="0"/>
          <w:w w:val="100"/>
          <w:position w:val="0"/>
          <w:sz w:val="36"/>
          <w:szCs w:val="36"/>
          <w:lang w:val="en-US" w:eastAsia="zh-CN"/>
        </w:rPr>
      </w:pPr>
    </w:p>
    <w:p w14:paraId="5E29A7A0">
      <w:pPr>
        <w:rPr>
          <w:rFonts w:hint="eastAsia" w:ascii="仿宋" w:hAnsi="仿宋" w:eastAsia="仿宋" w:cs="仿宋"/>
          <w:color w:val="auto"/>
          <w:spacing w:val="0"/>
          <w:w w:val="100"/>
          <w:position w:val="0"/>
          <w:sz w:val="36"/>
          <w:szCs w:val="36"/>
          <w:lang w:val="en-US" w:eastAsia="zh-CN"/>
        </w:rPr>
      </w:pPr>
    </w:p>
    <w:p w14:paraId="48F2BEB6">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4C9D2AD3">
      <w:pPr>
        <w:tabs>
          <w:tab w:val="left" w:pos="3600"/>
        </w:tabs>
        <w:adjustRightInd w:val="0"/>
        <w:snapToGrid w:val="0"/>
        <w:spacing w:line="440" w:lineRule="exact"/>
        <w:jc w:val="center"/>
        <w:rPr>
          <w:rFonts w:hint="eastAsia" w:ascii="仿宋" w:hAnsi="仿宋" w:eastAsia="仿宋" w:cs="仿宋"/>
          <w:b/>
          <w:bCs/>
          <w:color w:val="auto"/>
          <w:spacing w:val="6"/>
          <w:kern w:val="0"/>
          <w:sz w:val="36"/>
          <w:szCs w:val="36"/>
        </w:rPr>
      </w:pPr>
      <w:r>
        <w:rPr>
          <w:rFonts w:hint="eastAsia" w:ascii="仿宋" w:hAnsi="仿宋" w:eastAsia="仿宋" w:cs="仿宋"/>
          <w:color w:val="auto"/>
          <w:spacing w:val="0"/>
          <w:w w:val="100"/>
          <w:position w:val="0"/>
          <w:sz w:val="36"/>
          <w:szCs w:val="36"/>
          <w:lang w:val="en-US" w:eastAsia="zh-CN"/>
        </w:rPr>
        <w:t>9</w:t>
      </w:r>
      <w:r>
        <w:rPr>
          <w:rFonts w:hint="eastAsia" w:ascii="仿宋" w:hAnsi="仿宋" w:eastAsia="仿宋" w:cs="仿宋"/>
          <w:color w:val="auto"/>
          <w:spacing w:val="0"/>
          <w:w w:val="100"/>
          <w:position w:val="0"/>
          <w:sz w:val="36"/>
          <w:szCs w:val="36"/>
          <w:lang w:eastAsia="zh-CN"/>
        </w:rPr>
        <w:t>、</w:t>
      </w:r>
      <w:r>
        <w:rPr>
          <w:rFonts w:hint="eastAsia" w:ascii="仿宋" w:hAnsi="仿宋" w:eastAsia="仿宋" w:cs="仿宋"/>
          <w:b/>
          <w:bCs/>
          <w:color w:val="auto"/>
          <w:spacing w:val="6"/>
          <w:kern w:val="0"/>
          <w:sz w:val="36"/>
          <w:szCs w:val="36"/>
        </w:rPr>
        <w:t>残疾人福利性单位声明函</w:t>
      </w:r>
    </w:p>
    <w:p w14:paraId="1527AA41">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p>
    <w:p w14:paraId="7A907E8E">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B54248">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本单位对上述声明的真实性负责。如有虚假，将依法承担相应责任。</w:t>
      </w:r>
    </w:p>
    <w:p w14:paraId="20AC69D2">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w:t>
      </w:r>
    </w:p>
    <w:p w14:paraId="17A9584E">
      <w:pPr>
        <w:widowControl/>
        <w:adjustRightInd w:val="0"/>
        <w:snapToGrid w:val="0"/>
        <w:spacing w:line="440" w:lineRule="exact"/>
        <w:ind w:firstLine="5544" w:firstLineChars="2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单位名称（盖章）：</w:t>
      </w:r>
    </w:p>
    <w:p w14:paraId="708FC28A">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日  期：</w:t>
      </w:r>
    </w:p>
    <w:p w14:paraId="42593F8D">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0E9F42CD">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789003B7">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4157056F">
      <w:pPr>
        <w:rPr>
          <w:rFonts w:hint="eastAsia" w:ascii="仿宋" w:hAnsi="仿宋" w:eastAsia="仿宋" w:cs="仿宋"/>
          <w:b/>
          <w:bCs/>
          <w:color w:val="auto"/>
          <w:sz w:val="24"/>
          <w:highlight w:val="none"/>
          <w:lang w:val="en-US" w:eastAsia="zh-CN"/>
        </w:rPr>
      </w:pPr>
    </w:p>
    <w:p w14:paraId="7789EA3F">
      <w:pPr>
        <w:pStyle w:val="25"/>
        <w:rPr>
          <w:rFonts w:hint="eastAsia" w:ascii="仿宋" w:hAnsi="仿宋" w:eastAsia="仿宋" w:cs="仿宋"/>
          <w:b/>
          <w:bCs/>
          <w:color w:val="auto"/>
          <w:sz w:val="24"/>
          <w:highlight w:val="none"/>
          <w:lang w:val="en-US" w:eastAsia="zh-CN"/>
        </w:rPr>
      </w:pPr>
    </w:p>
    <w:p w14:paraId="6C1E1327">
      <w:pPr>
        <w:pStyle w:val="27"/>
        <w:keepNext/>
        <w:keepLines/>
        <w:spacing w:before="0" w:after="660"/>
        <w:ind w:firstLine="420"/>
        <w:rPr>
          <w:rFonts w:hint="eastAsia" w:ascii="仿宋" w:hAnsi="仿宋" w:eastAsia="仿宋" w:cs="仿宋"/>
          <w:color w:val="auto"/>
          <w:lang w:eastAsia="zh-CN"/>
        </w:rPr>
      </w:pPr>
    </w:p>
    <w:p w14:paraId="06D44C38">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4CBD6B28">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063176DA">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0B0058E0">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544C393B">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519FBF62">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1FA5E17C">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4E6441F0">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07885702">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4BF06F71">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2FF1DFD8">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2D8BEBDF">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7CCA5E81">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0966A597">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10、</w:t>
      </w:r>
      <w:r>
        <w:rPr>
          <w:rFonts w:hint="eastAsia" w:ascii="仿宋" w:hAnsi="仿宋" w:eastAsia="仿宋" w:cs="仿宋"/>
          <w:b/>
          <w:bCs/>
          <w:color w:val="auto"/>
          <w:spacing w:val="0"/>
          <w:w w:val="90"/>
          <w:position w:val="0"/>
          <w:sz w:val="36"/>
          <w:szCs w:val="36"/>
          <w:lang w:val="en-US" w:eastAsia="zh-CN"/>
        </w:rPr>
        <w:t>投标人认为有必要提供的其他证明材料</w:t>
      </w:r>
    </w:p>
    <w:p w14:paraId="08A3B2EE">
      <w:pPr>
        <w:pStyle w:val="11"/>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7734AABA">
      <w:pPr>
        <w:pStyle w:val="11"/>
        <w:shd w:val="clear" w:color="auto" w:fill="auto"/>
        <w:tabs>
          <w:tab w:val="left" w:pos="5580"/>
        </w:tabs>
        <w:spacing w:line="240" w:lineRule="atLeast"/>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14:paraId="0914BDB2">
      <w:pPr>
        <w:pStyle w:val="12"/>
        <w:rPr>
          <w:rFonts w:hint="eastAsia"/>
          <w:color w:val="auto"/>
        </w:rPr>
      </w:pPr>
    </w:p>
    <w:p w14:paraId="2C84FEE7">
      <w:pPr>
        <w:pStyle w:val="27"/>
        <w:keepNext/>
        <w:keepLines/>
        <w:spacing w:before="0" w:after="660"/>
        <w:ind w:firstLine="420"/>
        <w:rPr>
          <w:rFonts w:hint="eastAsia" w:ascii="仿宋" w:hAnsi="仿宋" w:eastAsia="仿宋" w:cs="仿宋"/>
          <w:color w:val="auto"/>
          <w:lang w:eastAsia="zh-CN"/>
        </w:rPr>
      </w:pPr>
    </w:p>
    <w:p w14:paraId="7CDDE553">
      <w:pPr>
        <w:pStyle w:val="27"/>
        <w:keepNext/>
        <w:keepLines/>
        <w:spacing w:before="0" w:after="660"/>
        <w:ind w:firstLine="420"/>
        <w:rPr>
          <w:rFonts w:hint="eastAsia" w:ascii="仿宋" w:hAnsi="仿宋" w:eastAsia="仿宋" w:cs="仿宋"/>
          <w:color w:val="auto"/>
          <w:lang w:eastAsia="zh-CN"/>
        </w:rPr>
      </w:pPr>
    </w:p>
    <w:p w14:paraId="6E8D532A">
      <w:pPr>
        <w:pStyle w:val="27"/>
        <w:keepNext/>
        <w:keepLines/>
        <w:spacing w:before="0" w:after="660"/>
        <w:ind w:firstLine="420"/>
        <w:rPr>
          <w:rFonts w:hint="eastAsia" w:ascii="仿宋" w:hAnsi="仿宋" w:eastAsia="仿宋" w:cs="仿宋"/>
          <w:color w:val="auto"/>
          <w:lang w:eastAsia="zh-CN"/>
        </w:rPr>
      </w:pPr>
    </w:p>
    <w:bookmarkEnd w:id="95"/>
    <w:bookmarkEnd w:id="96"/>
    <w:bookmarkEnd w:id="97"/>
    <w:bookmarkEnd w:id="98"/>
    <w:bookmarkEnd w:id="99"/>
    <w:bookmarkEnd w:id="100"/>
    <w:bookmarkEnd w:id="101"/>
    <w:p w14:paraId="7E2A7B97">
      <w:pPr>
        <w:pStyle w:val="29"/>
        <w:spacing w:after="240" w:line="240" w:lineRule="auto"/>
        <w:ind w:firstLine="0"/>
        <w:jc w:val="center"/>
        <w:rPr>
          <w:rFonts w:ascii="仿宋" w:hAnsi="仿宋" w:eastAsia="仿宋" w:cs="仿宋"/>
          <w:b/>
          <w:bCs/>
          <w:color w:val="auto"/>
          <w:sz w:val="36"/>
          <w:szCs w:val="36"/>
          <w:lang w:eastAsia="zh-CN"/>
        </w:rPr>
      </w:pPr>
    </w:p>
    <w:p w14:paraId="2D95B025">
      <w:pPr>
        <w:pStyle w:val="29"/>
        <w:spacing w:after="240" w:line="240" w:lineRule="auto"/>
        <w:ind w:firstLine="0"/>
        <w:jc w:val="center"/>
        <w:rPr>
          <w:rFonts w:ascii="仿宋" w:hAnsi="仿宋" w:eastAsia="仿宋" w:cs="仿宋"/>
          <w:b/>
          <w:bCs/>
          <w:color w:val="auto"/>
          <w:sz w:val="36"/>
          <w:szCs w:val="36"/>
          <w:lang w:eastAsia="zh-CN"/>
        </w:rPr>
      </w:pPr>
    </w:p>
    <w:p w14:paraId="6C21D8CE">
      <w:pPr>
        <w:pStyle w:val="29"/>
        <w:spacing w:after="240" w:line="240" w:lineRule="auto"/>
        <w:ind w:firstLine="0"/>
        <w:jc w:val="center"/>
        <w:rPr>
          <w:rFonts w:ascii="仿宋" w:hAnsi="仿宋" w:eastAsia="仿宋" w:cs="仿宋"/>
          <w:b/>
          <w:bCs/>
          <w:color w:val="auto"/>
          <w:sz w:val="36"/>
          <w:szCs w:val="36"/>
          <w:lang w:eastAsia="zh-CN"/>
        </w:rPr>
      </w:pPr>
    </w:p>
    <w:p w14:paraId="4FD192FC">
      <w:pPr>
        <w:spacing w:after="99" w:line="1" w:lineRule="exact"/>
        <w:rPr>
          <w:rFonts w:ascii="仿宋" w:hAnsi="仿宋" w:eastAsia="仿宋" w:cs="仿宋"/>
          <w:color w:val="auto"/>
        </w:rPr>
      </w:pPr>
    </w:p>
    <w:p w14:paraId="096B4E30">
      <w:pPr>
        <w:pStyle w:val="29"/>
        <w:tabs>
          <w:tab w:val="left" w:pos="2263"/>
          <w:tab w:val="left" w:pos="3102"/>
          <w:tab w:val="left" w:pos="3933"/>
        </w:tabs>
        <w:spacing w:after="180" w:line="240" w:lineRule="auto"/>
        <w:ind w:firstLine="380"/>
        <w:jc w:val="both"/>
        <w:rPr>
          <w:rFonts w:ascii="仿宋" w:hAnsi="仿宋" w:eastAsia="仿宋" w:cs="仿宋"/>
          <w:color w:val="auto"/>
        </w:rPr>
      </w:pPr>
    </w:p>
    <w:p w14:paraId="2B98F69A">
      <w:pPr>
        <w:pStyle w:val="29"/>
        <w:tabs>
          <w:tab w:val="left" w:pos="826"/>
        </w:tabs>
        <w:spacing w:line="470" w:lineRule="exact"/>
        <w:ind w:firstLine="0"/>
        <w:jc w:val="both"/>
        <w:rPr>
          <w:rFonts w:ascii="仿宋" w:hAnsi="仿宋" w:eastAsia="仿宋" w:cs="仿宋"/>
          <w:color w:val="auto"/>
          <w:sz w:val="21"/>
          <w:szCs w:val="21"/>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B82CF">
    <w:pPr>
      <w:pStyle w:val="14"/>
      <w:ind w:right="360"/>
      <w:jc w:val="both"/>
    </w:pPr>
    <w:r>
      <w:rPr>
        <w:rFonts w:hint="eastAsia"/>
        <w:sz w:val="13"/>
        <w:szCs w:val="13"/>
      </w:rPr>
      <w:t xml:space="preserve"> </w:t>
    </w:r>
    <w:r>
      <w:rPr>
        <w:rFonts w:hint="eastAsia"/>
      </w:rPr>
      <w:t xml:space="preserve">  </w:t>
    </w:r>
  </w:p>
  <w:p w14:paraId="761262DE">
    <w:pPr>
      <w:pStyle w:val="14"/>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7540">
    <w:pPr>
      <w:pStyle w:val="14"/>
      <w:ind w:right="360"/>
      <w:jc w:val="both"/>
      <w:rPr>
        <w:rFonts w:hint="eastAsia"/>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61FF23">
                          <w:pPr>
                            <w:pStyle w:val="14"/>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ttzM4BAACp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5ecOWHpxS/fv11+/Lr8/Moo&#10;RgL1ASuqewhUGYc7P9DazHGkYOI9tGDTlxgxypO856u8aohMpkvr1XpdUkpSbnYIv3i8HgDjW+Ut&#10;S0bNgd4vyypO7zGOpXNJ6ub8vTYmv6FxfwUIc4yovATT7cRknDhZcdgPE729b87ErqdFqLmjvefM&#10;vHOkc9qZ2YDZ2M/GMYA+dHmpUncMt8dII+VJU4cRlhgmh14wc522La3In36uevzD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arbczOAQAAqQMAAA4AAAAAAAAAAQAgAAAAHgEAAGRycy9l&#10;Mm9Eb2MueG1sUEsFBgAAAAAGAAYAWQEAAF4FAAAAAA==&#10;">
              <v:fill on="f" focussize="0,0"/>
              <v:stroke on="f"/>
              <v:imagedata o:title=""/>
              <o:lock v:ext="edit" aspectratio="f"/>
              <v:textbox inset="0mm,0mm,0mm,0mm" style="mso-fit-shape-to-text:t;">
                <w:txbxContent>
                  <w:p w14:paraId="2261FF23">
                    <w:pPr>
                      <w:pStyle w:val="14"/>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14:paraId="456AF902">
    <w:pPr>
      <w:pStyle w:val="14"/>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0BA7E457">
    <w:pPr>
      <w:pStyle w:val="14"/>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66B15">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DD660D2">
                          <w:pPr>
                            <w:pStyle w:val="14"/>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QZEb3F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3nLmhKUbv3z/dvnx6/Lz&#10;K6MaGdQHrKjvMTzAlCGFSe3Qgk1v0sGGbOr5aqoaIpNUXK5X63VJfks6mxPCKZ4+D4DxXnnLUlBz&#10;oFvLZorTB4xj69ySpjl/p42huqiM+6tAmKlSJMYjxxTFYT9MxPe+OZPeni685o72mzPz3pGfaTfm&#10;AOZgPwfHAPrQEbVl5oXh9hiJROaWJoyw02C6qaxu2qq0Cn/mue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kGRG9xQEAAJEDAAAOAAAAAAAAAAEAIAAAAB8BAABkcnMvZTJvRG9jLnht&#10;bFBLBQYAAAAABgAGAFkBAABWBQAAAAA=&#10;">
              <v:fill on="f" focussize="0,0"/>
              <v:stroke on="f"/>
              <v:imagedata o:title=""/>
              <o:lock v:ext="edit" aspectratio="f"/>
              <v:textbox inset="0mm,0mm,0mm,0mm" style="mso-fit-shape-to-text:t;">
                <w:txbxContent>
                  <w:p w14:paraId="7DD660D2">
                    <w:pPr>
                      <w:pStyle w:val="14"/>
                    </w:pPr>
                    <w:r>
                      <w:fldChar w:fldCharType="begin"/>
                    </w:r>
                    <w:r>
                      <w:instrText xml:space="preserve"> PAGE  \* MERGEFORMAT </w:instrText>
                    </w:r>
                    <w:r>
                      <w:fldChar w:fldCharType="separate"/>
                    </w:r>
                    <w:r>
                      <w:t>55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153A2"/>
    <w:multiLevelType w:val="singleLevel"/>
    <w:tmpl w:val="9BC153A2"/>
    <w:lvl w:ilvl="0" w:tentative="0">
      <w:start w:val="3"/>
      <w:numFmt w:val="chineseCounting"/>
      <w:suff w:val="space"/>
      <w:lvlText w:val="第%1部分"/>
      <w:lvlJc w:val="left"/>
      <w:rPr>
        <w:rFonts w:hint="eastAsia"/>
        <w:b/>
        <w:bCs/>
        <w:sz w:val="32"/>
        <w:szCs w:val="32"/>
      </w:rPr>
    </w:lvl>
  </w:abstractNum>
  <w:abstractNum w:abstractNumId="1">
    <w:nsid w:val="0000000D"/>
    <w:multiLevelType w:val="multilevel"/>
    <w:tmpl w:val="0000000D"/>
    <w:lvl w:ilvl="0" w:tentative="0">
      <w:start w:val="1"/>
      <w:numFmt w:val="decimal"/>
      <w:pStyle w:val="9"/>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18734CA6"/>
    <w:multiLevelType w:val="singleLevel"/>
    <w:tmpl w:val="18734CA6"/>
    <w:lvl w:ilvl="0" w:tentative="0">
      <w:start w:val="2"/>
      <w:numFmt w:val="chineseCounting"/>
      <w:suff w:val="nothing"/>
      <w:lvlText w:val="%1、"/>
      <w:lvlJc w:val="left"/>
      <w:rPr>
        <w:rFonts w:hint="eastAsia"/>
      </w:rPr>
    </w:lvl>
  </w:abstractNum>
  <w:abstractNum w:abstractNumId="3">
    <w:nsid w:val="3EA33E32"/>
    <w:multiLevelType w:val="singleLevel"/>
    <w:tmpl w:val="3EA33E32"/>
    <w:lvl w:ilvl="0" w:tentative="0">
      <w:start w:val="1"/>
      <w:numFmt w:val="chineseCounting"/>
      <w:suff w:val="space"/>
      <w:lvlText w:val="第%1部分"/>
      <w:lvlJc w:val="left"/>
      <w:rPr>
        <w:rFonts w:hint="eastAsia"/>
      </w:rPr>
    </w:lvl>
  </w:abstractNum>
  <w:abstractNum w:abstractNumId="4">
    <w:nsid w:val="5E5A7A00"/>
    <w:multiLevelType w:val="singleLevel"/>
    <w:tmpl w:val="5E5A7A00"/>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MTA1NzY5NGU4YTNmZDMzYjkzNDQzN2ZjOGE3YmUifQ=="/>
    <w:docVar w:name="KSO_WPS_MARK_KEY" w:val="28bc2ac0-74e7-49af-9bcd-e0becb5c3e0d"/>
  </w:docVars>
  <w:rsids>
    <w:rsidRoot w:val="430832B2"/>
    <w:rsid w:val="001E462A"/>
    <w:rsid w:val="003A6B95"/>
    <w:rsid w:val="004519BB"/>
    <w:rsid w:val="006911F9"/>
    <w:rsid w:val="0098388D"/>
    <w:rsid w:val="009B0550"/>
    <w:rsid w:val="00A768E1"/>
    <w:rsid w:val="00D544C1"/>
    <w:rsid w:val="00DA7A9B"/>
    <w:rsid w:val="00DE3995"/>
    <w:rsid w:val="00E346F3"/>
    <w:rsid w:val="01311D17"/>
    <w:rsid w:val="015836BC"/>
    <w:rsid w:val="02331ABF"/>
    <w:rsid w:val="02581525"/>
    <w:rsid w:val="026779BA"/>
    <w:rsid w:val="029A0A76"/>
    <w:rsid w:val="02C12630"/>
    <w:rsid w:val="02FB136D"/>
    <w:rsid w:val="03120DC1"/>
    <w:rsid w:val="03FD4132"/>
    <w:rsid w:val="04161698"/>
    <w:rsid w:val="042A106A"/>
    <w:rsid w:val="04D60C9E"/>
    <w:rsid w:val="05145BD8"/>
    <w:rsid w:val="05C16796"/>
    <w:rsid w:val="05C23886"/>
    <w:rsid w:val="05E65820"/>
    <w:rsid w:val="061C242F"/>
    <w:rsid w:val="063B7194"/>
    <w:rsid w:val="0671176C"/>
    <w:rsid w:val="0680729D"/>
    <w:rsid w:val="0699677B"/>
    <w:rsid w:val="07F95559"/>
    <w:rsid w:val="084A7B62"/>
    <w:rsid w:val="085D5AE7"/>
    <w:rsid w:val="090221EB"/>
    <w:rsid w:val="09231976"/>
    <w:rsid w:val="09383E5F"/>
    <w:rsid w:val="093B78CB"/>
    <w:rsid w:val="09D059EE"/>
    <w:rsid w:val="09F61E3E"/>
    <w:rsid w:val="0A20501F"/>
    <w:rsid w:val="0A3B60BE"/>
    <w:rsid w:val="0A7E1D45"/>
    <w:rsid w:val="0AEE1196"/>
    <w:rsid w:val="0B2F3756"/>
    <w:rsid w:val="0B446AEB"/>
    <w:rsid w:val="0B6D588F"/>
    <w:rsid w:val="0B8B64C8"/>
    <w:rsid w:val="0BB21CA6"/>
    <w:rsid w:val="0BF26C44"/>
    <w:rsid w:val="0C3C3C66"/>
    <w:rsid w:val="0C4F055A"/>
    <w:rsid w:val="0CDF324B"/>
    <w:rsid w:val="0D811CDB"/>
    <w:rsid w:val="0DA51639"/>
    <w:rsid w:val="0DCE3CFC"/>
    <w:rsid w:val="0E0013EF"/>
    <w:rsid w:val="0E0143FC"/>
    <w:rsid w:val="0E635D43"/>
    <w:rsid w:val="0EB61B3E"/>
    <w:rsid w:val="0F353C35"/>
    <w:rsid w:val="0F8A0150"/>
    <w:rsid w:val="0FFC769D"/>
    <w:rsid w:val="103A670E"/>
    <w:rsid w:val="10685029"/>
    <w:rsid w:val="108B2820"/>
    <w:rsid w:val="10F16DCD"/>
    <w:rsid w:val="11016BDA"/>
    <w:rsid w:val="113E6612"/>
    <w:rsid w:val="11400706"/>
    <w:rsid w:val="11E626AA"/>
    <w:rsid w:val="120509AC"/>
    <w:rsid w:val="12084764"/>
    <w:rsid w:val="125622C4"/>
    <w:rsid w:val="1361772B"/>
    <w:rsid w:val="136A4473"/>
    <w:rsid w:val="13AC7923"/>
    <w:rsid w:val="13F43A1D"/>
    <w:rsid w:val="147B69EE"/>
    <w:rsid w:val="149E726C"/>
    <w:rsid w:val="14CC24CA"/>
    <w:rsid w:val="1513337E"/>
    <w:rsid w:val="1525173B"/>
    <w:rsid w:val="152F1B60"/>
    <w:rsid w:val="153C6A85"/>
    <w:rsid w:val="15714980"/>
    <w:rsid w:val="15C2342E"/>
    <w:rsid w:val="15E23306"/>
    <w:rsid w:val="15E839EB"/>
    <w:rsid w:val="15EE5971"/>
    <w:rsid w:val="15FF3B9E"/>
    <w:rsid w:val="162905B3"/>
    <w:rsid w:val="164107F7"/>
    <w:rsid w:val="16480AD2"/>
    <w:rsid w:val="16840900"/>
    <w:rsid w:val="168411C4"/>
    <w:rsid w:val="16AA639C"/>
    <w:rsid w:val="16D3103C"/>
    <w:rsid w:val="171F0B4E"/>
    <w:rsid w:val="17EB3771"/>
    <w:rsid w:val="181B5077"/>
    <w:rsid w:val="18760552"/>
    <w:rsid w:val="18876FE4"/>
    <w:rsid w:val="189D783A"/>
    <w:rsid w:val="18AB28D3"/>
    <w:rsid w:val="18CC2617"/>
    <w:rsid w:val="18CF47BA"/>
    <w:rsid w:val="18DC4807"/>
    <w:rsid w:val="18E2243E"/>
    <w:rsid w:val="18FE29CF"/>
    <w:rsid w:val="190855FC"/>
    <w:rsid w:val="19560639"/>
    <w:rsid w:val="19651766"/>
    <w:rsid w:val="198D3D53"/>
    <w:rsid w:val="19AC5F87"/>
    <w:rsid w:val="19AE52C2"/>
    <w:rsid w:val="19B62313"/>
    <w:rsid w:val="19D56FD4"/>
    <w:rsid w:val="1A09121C"/>
    <w:rsid w:val="1A1B4EBB"/>
    <w:rsid w:val="1A2C531A"/>
    <w:rsid w:val="1AA14F3E"/>
    <w:rsid w:val="1AB07CF9"/>
    <w:rsid w:val="1AD976EE"/>
    <w:rsid w:val="1BB750B7"/>
    <w:rsid w:val="1BE65325"/>
    <w:rsid w:val="1D4D5CD3"/>
    <w:rsid w:val="1D570900"/>
    <w:rsid w:val="1D743467"/>
    <w:rsid w:val="1E6813A9"/>
    <w:rsid w:val="1E9F3EE4"/>
    <w:rsid w:val="1ECE2E43"/>
    <w:rsid w:val="1F5B26D6"/>
    <w:rsid w:val="1F9E45C4"/>
    <w:rsid w:val="1FA567E1"/>
    <w:rsid w:val="20061318"/>
    <w:rsid w:val="21241BF2"/>
    <w:rsid w:val="21E309B4"/>
    <w:rsid w:val="21FE7E2D"/>
    <w:rsid w:val="224D3F2E"/>
    <w:rsid w:val="22833F45"/>
    <w:rsid w:val="22965E6B"/>
    <w:rsid w:val="22C95DFC"/>
    <w:rsid w:val="23720241"/>
    <w:rsid w:val="23C35548"/>
    <w:rsid w:val="23E0129C"/>
    <w:rsid w:val="23F61FE0"/>
    <w:rsid w:val="24C421D5"/>
    <w:rsid w:val="25186BBB"/>
    <w:rsid w:val="25546BA5"/>
    <w:rsid w:val="25D02FFD"/>
    <w:rsid w:val="25FB510C"/>
    <w:rsid w:val="260B3B46"/>
    <w:rsid w:val="261065A0"/>
    <w:rsid w:val="26192BF6"/>
    <w:rsid w:val="26453C51"/>
    <w:rsid w:val="265353B0"/>
    <w:rsid w:val="26804A23"/>
    <w:rsid w:val="269756C8"/>
    <w:rsid w:val="26E94F43"/>
    <w:rsid w:val="27442F7D"/>
    <w:rsid w:val="27D642EB"/>
    <w:rsid w:val="27E40FE2"/>
    <w:rsid w:val="27F4193C"/>
    <w:rsid w:val="28044AB8"/>
    <w:rsid w:val="281177B6"/>
    <w:rsid w:val="2826784C"/>
    <w:rsid w:val="289D4C3A"/>
    <w:rsid w:val="291C049E"/>
    <w:rsid w:val="29656152"/>
    <w:rsid w:val="29A33DE7"/>
    <w:rsid w:val="2ACD12EC"/>
    <w:rsid w:val="2AF552B4"/>
    <w:rsid w:val="2B762634"/>
    <w:rsid w:val="2BD23019"/>
    <w:rsid w:val="2CA55697"/>
    <w:rsid w:val="2CC47634"/>
    <w:rsid w:val="2CCC7380"/>
    <w:rsid w:val="2D1B0C53"/>
    <w:rsid w:val="2D3C3247"/>
    <w:rsid w:val="2D8762FF"/>
    <w:rsid w:val="2DDE4B40"/>
    <w:rsid w:val="2E210D34"/>
    <w:rsid w:val="2E3708A7"/>
    <w:rsid w:val="2E5A5F56"/>
    <w:rsid w:val="2EA339A5"/>
    <w:rsid w:val="2EB919B2"/>
    <w:rsid w:val="2EBF0297"/>
    <w:rsid w:val="2EE10029"/>
    <w:rsid w:val="2F1A353B"/>
    <w:rsid w:val="2F7E1D1C"/>
    <w:rsid w:val="2FBE036A"/>
    <w:rsid w:val="30004E27"/>
    <w:rsid w:val="302F3429"/>
    <w:rsid w:val="30A53A72"/>
    <w:rsid w:val="30C2376F"/>
    <w:rsid w:val="30D42619"/>
    <w:rsid w:val="30EE2FEC"/>
    <w:rsid w:val="317E6AC1"/>
    <w:rsid w:val="31A66981"/>
    <w:rsid w:val="31C54436"/>
    <w:rsid w:val="31D97301"/>
    <w:rsid w:val="328104FA"/>
    <w:rsid w:val="32B759A1"/>
    <w:rsid w:val="32CE6DC2"/>
    <w:rsid w:val="335A6787"/>
    <w:rsid w:val="335C76C1"/>
    <w:rsid w:val="336E3E55"/>
    <w:rsid w:val="337E0595"/>
    <w:rsid w:val="33C00B55"/>
    <w:rsid w:val="34014CC9"/>
    <w:rsid w:val="3454129D"/>
    <w:rsid w:val="345F2249"/>
    <w:rsid w:val="3464452F"/>
    <w:rsid w:val="34680F1F"/>
    <w:rsid w:val="34AC63E7"/>
    <w:rsid w:val="34BF0E0C"/>
    <w:rsid w:val="34CE1050"/>
    <w:rsid w:val="34D21F37"/>
    <w:rsid w:val="34FF56AD"/>
    <w:rsid w:val="35427B0F"/>
    <w:rsid w:val="3581411C"/>
    <w:rsid w:val="35B0680E"/>
    <w:rsid w:val="35DC779C"/>
    <w:rsid w:val="366D6785"/>
    <w:rsid w:val="36AA5E0A"/>
    <w:rsid w:val="36CC7811"/>
    <w:rsid w:val="37094C18"/>
    <w:rsid w:val="372876AC"/>
    <w:rsid w:val="373830F8"/>
    <w:rsid w:val="374F411C"/>
    <w:rsid w:val="37B24C58"/>
    <w:rsid w:val="37C3244F"/>
    <w:rsid w:val="37CD55EE"/>
    <w:rsid w:val="37F232A7"/>
    <w:rsid w:val="38083993"/>
    <w:rsid w:val="39120E26"/>
    <w:rsid w:val="391D07F7"/>
    <w:rsid w:val="39237C3D"/>
    <w:rsid w:val="3956224D"/>
    <w:rsid w:val="397958CA"/>
    <w:rsid w:val="39D00B00"/>
    <w:rsid w:val="39DC5BAE"/>
    <w:rsid w:val="39F8091D"/>
    <w:rsid w:val="3A1377A9"/>
    <w:rsid w:val="3AB6680E"/>
    <w:rsid w:val="3AD117C4"/>
    <w:rsid w:val="3AF85078"/>
    <w:rsid w:val="3BAB1F76"/>
    <w:rsid w:val="3C300842"/>
    <w:rsid w:val="3C6502BB"/>
    <w:rsid w:val="3CA827C1"/>
    <w:rsid w:val="3D08452F"/>
    <w:rsid w:val="3D2A5291"/>
    <w:rsid w:val="3D751F42"/>
    <w:rsid w:val="3D8004D0"/>
    <w:rsid w:val="3D960B78"/>
    <w:rsid w:val="3DA2751D"/>
    <w:rsid w:val="3DD32CF7"/>
    <w:rsid w:val="3E0F03F9"/>
    <w:rsid w:val="3E1B6F88"/>
    <w:rsid w:val="3E481E73"/>
    <w:rsid w:val="3F1E0E25"/>
    <w:rsid w:val="3F602B86"/>
    <w:rsid w:val="406F4E32"/>
    <w:rsid w:val="408E72C3"/>
    <w:rsid w:val="408E7BCF"/>
    <w:rsid w:val="40B26236"/>
    <w:rsid w:val="40B73A4B"/>
    <w:rsid w:val="416F668A"/>
    <w:rsid w:val="418F7DB9"/>
    <w:rsid w:val="41E973CD"/>
    <w:rsid w:val="41ED2E2C"/>
    <w:rsid w:val="42701998"/>
    <w:rsid w:val="427042FE"/>
    <w:rsid w:val="42F70751"/>
    <w:rsid w:val="430832B2"/>
    <w:rsid w:val="43940F07"/>
    <w:rsid w:val="43C755E8"/>
    <w:rsid w:val="43D45F57"/>
    <w:rsid w:val="442E38B9"/>
    <w:rsid w:val="44740DA7"/>
    <w:rsid w:val="44CE660D"/>
    <w:rsid w:val="45046DBB"/>
    <w:rsid w:val="45094EEC"/>
    <w:rsid w:val="451311C2"/>
    <w:rsid w:val="454815E5"/>
    <w:rsid w:val="45567A0A"/>
    <w:rsid w:val="457C2033"/>
    <w:rsid w:val="45FD2B80"/>
    <w:rsid w:val="467B17AA"/>
    <w:rsid w:val="46DD3374"/>
    <w:rsid w:val="46F77B89"/>
    <w:rsid w:val="46FB29AD"/>
    <w:rsid w:val="46FD5548"/>
    <w:rsid w:val="4743767B"/>
    <w:rsid w:val="47507FEA"/>
    <w:rsid w:val="495F570C"/>
    <w:rsid w:val="49E669E4"/>
    <w:rsid w:val="4A3B2AF5"/>
    <w:rsid w:val="4A443E36"/>
    <w:rsid w:val="4A6D4A0F"/>
    <w:rsid w:val="4A954692"/>
    <w:rsid w:val="4A981A8C"/>
    <w:rsid w:val="4AA64A3A"/>
    <w:rsid w:val="4AC77021"/>
    <w:rsid w:val="4B407076"/>
    <w:rsid w:val="4B577B99"/>
    <w:rsid w:val="4B78366B"/>
    <w:rsid w:val="4BB73B85"/>
    <w:rsid w:val="4C257A37"/>
    <w:rsid w:val="4C944C1F"/>
    <w:rsid w:val="4D8771D0"/>
    <w:rsid w:val="4DA40CFB"/>
    <w:rsid w:val="4DF50B78"/>
    <w:rsid w:val="4E393586"/>
    <w:rsid w:val="4E6938E7"/>
    <w:rsid w:val="4EAF6DDD"/>
    <w:rsid w:val="4EC10539"/>
    <w:rsid w:val="4F006719"/>
    <w:rsid w:val="4F0C65CD"/>
    <w:rsid w:val="4F133DD7"/>
    <w:rsid w:val="4F1F420E"/>
    <w:rsid w:val="4F2E489B"/>
    <w:rsid w:val="50080AAD"/>
    <w:rsid w:val="50827466"/>
    <w:rsid w:val="50EC43BB"/>
    <w:rsid w:val="51136310"/>
    <w:rsid w:val="51621046"/>
    <w:rsid w:val="51D610EC"/>
    <w:rsid w:val="52327518"/>
    <w:rsid w:val="532F31A9"/>
    <w:rsid w:val="533662E6"/>
    <w:rsid w:val="53443B6F"/>
    <w:rsid w:val="538C05FC"/>
    <w:rsid w:val="53D9765E"/>
    <w:rsid w:val="543C749F"/>
    <w:rsid w:val="5539030F"/>
    <w:rsid w:val="559D264C"/>
    <w:rsid w:val="56493792"/>
    <w:rsid w:val="564C2999"/>
    <w:rsid w:val="56C02A96"/>
    <w:rsid w:val="56C73244"/>
    <w:rsid w:val="56D77DE0"/>
    <w:rsid w:val="56DF6C95"/>
    <w:rsid w:val="57134BF6"/>
    <w:rsid w:val="57711FE2"/>
    <w:rsid w:val="57B26BF0"/>
    <w:rsid w:val="57B974E6"/>
    <w:rsid w:val="57D342A4"/>
    <w:rsid w:val="57EC78BB"/>
    <w:rsid w:val="583A2931"/>
    <w:rsid w:val="58501BF8"/>
    <w:rsid w:val="5866783D"/>
    <w:rsid w:val="58725B91"/>
    <w:rsid w:val="587F1FD3"/>
    <w:rsid w:val="5889335C"/>
    <w:rsid w:val="58C6303A"/>
    <w:rsid w:val="58CE5229"/>
    <w:rsid w:val="58D573B9"/>
    <w:rsid w:val="59126EAD"/>
    <w:rsid w:val="592B7F6F"/>
    <w:rsid w:val="59BD150F"/>
    <w:rsid w:val="59E05E2C"/>
    <w:rsid w:val="59E20F76"/>
    <w:rsid w:val="5A144EA7"/>
    <w:rsid w:val="5A7C4B82"/>
    <w:rsid w:val="5A871B1D"/>
    <w:rsid w:val="5A987886"/>
    <w:rsid w:val="5C2547FD"/>
    <w:rsid w:val="5D026D46"/>
    <w:rsid w:val="5D1D108A"/>
    <w:rsid w:val="5D2366CB"/>
    <w:rsid w:val="5D3331A6"/>
    <w:rsid w:val="5DA57176"/>
    <w:rsid w:val="5DD60DF1"/>
    <w:rsid w:val="5E135BA1"/>
    <w:rsid w:val="5E1D1079"/>
    <w:rsid w:val="5E2A4C99"/>
    <w:rsid w:val="5EB94AF4"/>
    <w:rsid w:val="5F28266A"/>
    <w:rsid w:val="5F3062DF"/>
    <w:rsid w:val="5F8E3006"/>
    <w:rsid w:val="5FDA449D"/>
    <w:rsid w:val="604B5D12"/>
    <w:rsid w:val="60811987"/>
    <w:rsid w:val="612B4FB0"/>
    <w:rsid w:val="61761FA3"/>
    <w:rsid w:val="617F070E"/>
    <w:rsid w:val="61947A09"/>
    <w:rsid w:val="61E24540"/>
    <w:rsid w:val="623C3953"/>
    <w:rsid w:val="62611C41"/>
    <w:rsid w:val="62C95A09"/>
    <w:rsid w:val="62CF0F7D"/>
    <w:rsid w:val="630E2DDB"/>
    <w:rsid w:val="633C08A0"/>
    <w:rsid w:val="63770981"/>
    <w:rsid w:val="63BA086D"/>
    <w:rsid w:val="64204F45"/>
    <w:rsid w:val="642B45E0"/>
    <w:rsid w:val="644E1EA6"/>
    <w:rsid w:val="64677BC9"/>
    <w:rsid w:val="64966F85"/>
    <w:rsid w:val="65D4762D"/>
    <w:rsid w:val="65E60D0C"/>
    <w:rsid w:val="66A23F66"/>
    <w:rsid w:val="66A5387A"/>
    <w:rsid w:val="66C35C8B"/>
    <w:rsid w:val="66F6096B"/>
    <w:rsid w:val="67002A3B"/>
    <w:rsid w:val="67160D0C"/>
    <w:rsid w:val="67656B1B"/>
    <w:rsid w:val="67AE419D"/>
    <w:rsid w:val="681C7A5C"/>
    <w:rsid w:val="683769EB"/>
    <w:rsid w:val="68881DFA"/>
    <w:rsid w:val="692347F3"/>
    <w:rsid w:val="69543303"/>
    <w:rsid w:val="6ADE7537"/>
    <w:rsid w:val="6B7632CC"/>
    <w:rsid w:val="6BE24E05"/>
    <w:rsid w:val="6C7543E1"/>
    <w:rsid w:val="6C9F1808"/>
    <w:rsid w:val="6CA7574F"/>
    <w:rsid w:val="6CC81EA4"/>
    <w:rsid w:val="6CD97949"/>
    <w:rsid w:val="6CED3A62"/>
    <w:rsid w:val="6D343345"/>
    <w:rsid w:val="6D37776E"/>
    <w:rsid w:val="6D9F6AAE"/>
    <w:rsid w:val="6E7A30D3"/>
    <w:rsid w:val="6EFD2A64"/>
    <w:rsid w:val="6F8A763A"/>
    <w:rsid w:val="70C202DD"/>
    <w:rsid w:val="712E63F7"/>
    <w:rsid w:val="71F7318A"/>
    <w:rsid w:val="723E3676"/>
    <w:rsid w:val="724C2FD8"/>
    <w:rsid w:val="7265409A"/>
    <w:rsid w:val="727E5137"/>
    <w:rsid w:val="72AE01EE"/>
    <w:rsid w:val="72B229EC"/>
    <w:rsid w:val="72DB435C"/>
    <w:rsid w:val="74B86703"/>
    <w:rsid w:val="753541F8"/>
    <w:rsid w:val="75AB1C93"/>
    <w:rsid w:val="75C13CDD"/>
    <w:rsid w:val="76197675"/>
    <w:rsid w:val="761B163F"/>
    <w:rsid w:val="76810114"/>
    <w:rsid w:val="76E97048"/>
    <w:rsid w:val="77291B3A"/>
    <w:rsid w:val="775B5595"/>
    <w:rsid w:val="778A3F9B"/>
    <w:rsid w:val="77901BB9"/>
    <w:rsid w:val="77CD5C91"/>
    <w:rsid w:val="78180A1F"/>
    <w:rsid w:val="78AE679B"/>
    <w:rsid w:val="792C5912"/>
    <w:rsid w:val="79334EF2"/>
    <w:rsid w:val="798E0318"/>
    <w:rsid w:val="79E104D4"/>
    <w:rsid w:val="7A102B3D"/>
    <w:rsid w:val="7A2F3444"/>
    <w:rsid w:val="7A302A75"/>
    <w:rsid w:val="7A910122"/>
    <w:rsid w:val="7AA5597C"/>
    <w:rsid w:val="7AD93877"/>
    <w:rsid w:val="7B1C5243"/>
    <w:rsid w:val="7B456F30"/>
    <w:rsid w:val="7BC65BA9"/>
    <w:rsid w:val="7CA431AC"/>
    <w:rsid w:val="7D423759"/>
    <w:rsid w:val="7DD956AA"/>
    <w:rsid w:val="7E2E0D8C"/>
    <w:rsid w:val="7ECC5E33"/>
    <w:rsid w:val="7EFC1AC9"/>
    <w:rsid w:val="7FE83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table of authorities"/>
    <w:basedOn w:val="1"/>
    <w:next w:val="1"/>
    <w:qFormat/>
    <w:uiPriority w:val="0"/>
    <w:pPr>
      <w:ind w:left="200" w:leftChars="200"/>
    </w:pPr>
    <w:rPr>
      <w:rFonts w:ascii="Calibri" w:hAnsi="Calibri"/>
    </w:rPr>
  </w:style>
  <w:style w:type="paragraph" w:styleId="7">
    <w:name w:val="Normal Indent"/>
    <w:basedOn w:val="1"/>
    <w:next w:val="8"/>
    <w:qFormat/>
    <w:uiPriority w:val="0"/>
    <w:pPr>
      <w:autoSpaceDE w:val="0"/>
      <w:autoSpaceDN w:val="0"/>
      <w:adjustRightInd w:val="0"/>
      <w:ind w:firstLine="420"/>
    </w:pPr>
    <w:rPr>
      <w:rFonts w:ascii="宋体"/>
      <w:szCs w:val="20"/>
    </w:rPr>
  </w:style>
  <w:style w:type="paragraph" w:styleId="8">
    <w:name w:val="toa heading"/>
    <w:basedOn w:val="1"/>
    <w:next w:val="1"/>
    <w:qFormat/>
    <w:uiPriority w:val="0"/>
    <w:pPr>
      <w:spacing w:before="120"/>
    </w:pPr>
    <w:rPr>
      <w:rFonts w:ascii="Cambria" w:hAnsi="Cambria"/>
      <w:szCs w:val="20"/>
    </w:rPr>
  </w:style>
  <w:style w:type="paragraph" w:styleId="9">
    <w:name w:val="Body Text"/>
    <w:basedOn w:val="1"/>
    <w:next w:val="10"/>
    <w:qFormat/>
    <w:uiPriority w:val="99"/>
    <w:pPr>
      <w:numPr>
        <w:ilvl w:val="0"/>
        <w:numId w:val="1"/>
      </w:numPr>
    </w:pPr>
    <w:rPr>
      <w:rFonts w:ascii="黑体" w:eastAsia="黑体"/>
      <w:sz w:val="22"/>
    </w:rPr>
  </w:style>
  <w:style w:type="paragraph" w:styleId="10">
    <w:name w:val="Body Text First Indent"/>
    <w:basedOn w:val="9"/>
    <w:next w:val="1"/>
    <w:unhideWhenUsed/>
    <w:qFormat/>
    <w:uiPriority w:val="99"/>
    <w:pPr>
      <w:tabs>
        <w:tab w:val="left" w:pos="567"/>
      </w:tabs>
      <w:ind w:firstLine="420" w:firstLineChars="100"/>
    </w:pPr>
  </w:style>
  <w:style w:type="paragraph" w:styleId="11">
    <w:name w:val="Plain Text"/>
    <w:basedOn w:val="1"/>
    <w:next w:val="12"/>
    <w:qFormat/>
    <w:uiPriority w:val="0"/>
    <w:rPr>
      <w:rFonts w:ascii="宋体"/>
      <w:color w:val="000000"/>
      <w:szCs w:val="20"/>
      <w:u w:val="none" w:color="00000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Date"/>
    <w:basedOn w:val="1"/>
    <w:next w:val="1"/>
    <w:qFormat/>
    <w:uiPriority w:val="0"/>
    <w:rPr>
      <w:rFonts w:ascii="Arial" w:hAnsi="Arial" w:eastAsia="仿宋_GB2312"/>
      <w:color w:val="000000"/>
      <w:sz w:val="32"/>
      <w:szCs w:val="20"/>
      <w:u w:val="none" w:color="000000"/>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footnote text"/>
    <w:basedOn w:val="1"/>
    <w:next w:val="9"/>
    <w:unhideWhenUsed/>
    <w:qFormat/>
    <w:uiPriority w:val="99"/>
    <w:pPr>
      <w:snapToGrid w:val="0"/>
    </w:pPr>
    <w:rPr>
      <w:sz w:val="18"/>
      <w:szCs w:val="18"/>
    </w:rPr>
  </w:style>
  <w:style w:type="paragraph" w:styleId="17">
    <w:name w:val="Body Text 2"/>
    <w:basedOn w:val="1"/>
    <w:qFormat/>
    <w:uiPriority w:val="0"/>
    <w:pPr>
      <w:tabs>
        <w:tab w:val="left" w:pos="0"/>
      </w:tabs>
      <w:spacing w:line="400" w:lineRule="atLeast"/>
    </w:pPr>
    <w:rPr>
      <w:rFonts w:ascii="Arial" w:hAnsi="Arial"/>
    </w:rPr>
  </w:style>
  <w:style w:type="paragraph" w:styleId="18">
    <w:name w:val="Normal (Web)"/>
    <w:basedOn w:val="1"/>
    <w:next w:val="1"/>
    <w:qFormat/>
    <w:uiPriority w:val="99"/>
    <w:pPr>
      <w:widowControl/>
    </w:pPr>
    <w:rPr>
      <w:rFonts w:ascii="宋体" w:hAnsi="宋体" w:eastAsia="宋体" w:cs="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footnote reference"/>
    <w:basedOn w:val="21"/>
    <w:unhideWhenUsed/>
    <w:qFormat/>
    <w:uiPriority w:val="99"/>
    <w:rPr>
      <w:vertAlign w:val="superscript"/>
    </w:rPr>
  </w:style>
  <w:style w:type="character" w:styleId="24">
    <w:name w:val="HTML Sample"/>
    <w:basedOn w:val="21"/>
    <w:qFormat/>
    <w:uiPriority w:val="0"/>
    <w:rPr>
      <w:rFonts w:ascii="Courier New" w:hAnsi="Courier New"/>
    </w:rPr>
  </w:style>
  <w:style w:type="paragraph" w:customStyle="1" w:styleId="25">
    <w:name w:val="正文格式"/>
    <w:basedOn w:val="1"/>
    <w:qFormat/>
    <w:uiPriority w:val="99"/>
    <w:pPr>
      <w:widowControl/>
      <w:adjustRightInd w:val="0"/>
      <w:snapToGrid w:val="0"/>
      <w:spacing w:line="400" w:lineRule="atLeast"/>
      <w:ind w:firstLine="482"/>
      <w:textAlignment w:val="baseline"/>
    </w:pPr>
  </w:style>
  <w:style w:type="paragraph" w:customStyle="1" w:styleId="26">
    <w:name w:val="_Style 2"/>
    <w:basedOn w:val="3"/>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27">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28">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29">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0">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1">
    <w:name w:val="Table caption|1"/>
    <w:basedOn w:val="1"/>
    <w:qFormat/>
    <w:uiPriority w:val="0"/>
    <w:rPr>
      <w:rFonts w:ascii="宋体" w:hAnsi="宋体" w:eastAsia="宋体" w:cs="宋体"/>
      <w:sz w:val="22"/>
      <w:szCs w:val="22"/>
      <w:lang w:val="zh-TW" w:eastAsia="zh-TW" w:bidi="zh-TW"/>
    </w:rPr>
  </w:style>
  <w:style w:type="paragraph" w:customStyle="1" w:styleId="32">
    <w:name w:val="Table Paragraph"/>
    <w:basedOn w:val="1"/>
    <w:qFormat/>
    <w:uiPriority w:val="1"/>
    <w:pPr>
      <w:autoSpaceDE w:val="0"/>
      <w:autoSpaceDN w:val="0"/>
      <w:adjustRightInd w:val="0"/>
    </w:pPr>
    <w:rPr>
      <w:rFonts w:eastAsia="宋体"/>
    </w:rPr>
  </w:style>
  <w:style w:type="paragraph" w:customStyle="1" w:styleId="33">
    <w:name w:val="BodyText"/>
    <w:basedOn w:val="1"/>
    <w:next w:val="1"/>
    <w:qFormat/>
    <w:uiPriority w:val="0"/>
    <w:pPr>
      <w:tabs>
        <w:tab w:val="left" w:pos="780"/>
      </w:tabs>
    </w:pPr>
    <w:rPr>
      <w:rFonts w:ascii="黑体" w:eastAsia="黑体"/>
      <w:sz w:val="22"/>
    </w:rPr>
  </w:style>
  <w:style w:type="character" w:customStyle="1" w:styleId="34">
    <w:name w:val="font01"/>
    <w:basedOn w:val="21"/>
    <w:qFormat/>
    <w:uiPriority w:val="0"/>
    <w:rPr>
      <w:rFonts w:hint="eastAsia" w:ascii="宋体" w:hAnsi="宋体" w:eastAsia="宋体" w:cs="宋体"/>
      <w:color w:val="000000"/>
      <w:sz w:val="22"/>
      <w:szCs w:val="22"/>
      <w:u w:val="none"/>
    </w:rPr>
  </w:style>
  <w:style w:type="character" w:customStyle="1" w:styleId="35">
    <w:name w:val="font11"/>
    <w:basedOn w:val="21"/>
    <w:qFormat/>
    <w:uiPriority w:val="0"/>
    <w:rPr>
      <w:rFonts w:ascii="Arial" w:hAnsi="Arial" w:cs="Arial"/>
      <w:color w:val="000000"/>
      <w:sz w:val="22"/>
      <w:szCs w:val="22"/>
      <w:u w:val="none"/>
    </w:rPr>
  </w:style>
  <w:style w:type="character" w:customStyle="1" w:styleId="36">
    <w:name w:val="font31"/>
    <w:basedOn w:val="21"/>
    <w:qFormat/>
    <w:uiPriority w:val="0"/>
    <w:rPr>
      <w:rFonts w:hint="eastAsia" w:ascii="宋体" w:hAnsi="宋体" w:eastAsia="宋体" w:cs="宋体"/>
      <w:color w:val="000000"/>
      <w:sz w:val="22"/>
      <w:szCs w:val="22"/>
      <w:u w:val="none"/>
    </w:rPr>
  </w:style>
  <w:style w:type="character" w:customStyle="1" w:styleId="37">
    <w:name w:val="font61"/>
    <w:basedOn w:val="21"/>
    <w:qFormat/>
    <w:uiPriority w:val="0"/>
    <w:rPr>
      <w:rFonts w:ascii="宋体" w:hAnsi="宋体" w:eastAsia="宋体" w:cs="宋体"/>
      <w:color w:val="000000"/>
      <w:sz w:val="22"/>
      <w:szCs w:val="22"/>
      <w:u w:val="none"/>
    </w:rPr>
  </w:style>
  <w:style w:type="character" w:customStyle="1" w:styleId="38">
    <w:name w:val="font51"/>
    <w:basedOn w:val="21"/>
    <w:qFormat/>
    <w:uiPriority w:val="0"/>
    <w:rPr>
      <w:rFonts w:hint="eastAsia" w:ascii="宋体" w:hAnsi="宋体" w:eastAsia="宋体" w:cs="宋体"/>
      <w:color w:val="000000"/>
      <w:sz w:val="22"/>
      <w:szCs w:val="22"/>
      <w:u w:val="none"/>
    </w:rPr>
  </w:style>
  <w:style w:type="character" w:customStyle="1" w:styleId="39">
    <w:name w:val="font121"/>
    <w:basedOn w:val="21"/>
    <w:qFormat/>
    <w:uiPriority w:val="0"/>
    <w:rPr>
      <w:rFonts w:hint="eastAsia" w:ascii="宋体" w:hAnsi="宋体" w:eastAsia="宋体" w:cs="宋体"/>
      <w:color w:val="000000"/>
      <w:sz w:val="22"/>
      <w:szCs w:val="22"/>
      <w:u w:val="none"/>
      <w:vertAlign w:val="superscript"/>
    </w:rPr>
  </w:style>
  <w:style w:type="paragraph" w:customStyle="1" w:styleId="40">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4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2600</Words>
  <Characters>3021</Characters>
  <Lines>216</Lines>
  <Paragraphs>61</Paragraphs>
  <TotalTime>1176</TotalTime>
  <ScaleCrop>false</ScaleCrop>
  <LinksUpToDate>false</LinksUpToDate>
  <CharactersWithSpaces>3278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金梦薇</cp:lastModifiedBy>
  <cp:lastPrinted>2022-12-28T04:58:00Z</cp:lastPrinted>
  <dcterms:modified xsi:type="dcterms:W3CDTF">2025-06-17T11:12:27Z</dcterms:modified>
  <dc:title>克州职工基本医疗保险基金转为定期存款项目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FF42928C5EFC4EB8992728F25B1F153A_13</vt:lpwstr>
  </property>
  <property fmtid="{D5CDD505-2E9C-101B-9397-08002B2CF9AE}" pid="4" name="KSOTemplateDocerSaveRecord">
    <vt:lpwstr>eyJoZGlkIjoiN2I3MjhkZjI5MTBmY2I4MWI3YjI0OGRmNDI3ZWIwODkiLCJ1c2VySWQiOiIxNTk5MDEwODY5In0=</vt:lpwstr>
  </property>
</Properties>
</file>