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69239">
      <w:pPr>
        <w:widowControl/>
        <w:spacing w:line="400" w:lineRule="exact"/>
        <w:jc w:val="center"/>
        <w:outlineLvl w:val="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哈巴河工业园区环境综合服务项目</w:t>
      </w:r>
    </w:p>
    <w:p w14:paraId="3BA22B68">
      <w:pPr>
        <w:widowControl/>
        <w:spacing w:line="400" w:lineRule="exact"/>
        <w:jc w:val="center"/>
        <w:outlineLvl w:val="0"/>
        <w:rPr>
          <w:rFonts w:ascii="仿宋" w:hAnsi="仿宋" w:eastAsia="仿宋" w:cs="仿宋"/>
          <w:color w:val="auto"/>
          <w:sz w:val="24"/>
          <w:szCs w:val="24"/>
        </w:rPr>
      </w:pPr>
      <w:r>
        <w:rPr>
          <w:rFonts w:hint="eastAsia" w:ascii="仿宋" w:hAnsi="仿宋" w:eastAsia="仿宋" w:cs="仿宋"/>
          <w:b/>
          <w:color w:val="auto"/>
          <w:sz w:val="32"/>
          <w:szCs w:val="32"/>
        </w:rPr>
        <w:t>招标公告</w:t>
      </w:r>
    </w:p>
    <w:p w14:paraId="3A980BE0">
      <w:pPr>
        <w:pStyle w:val="7"/>
        <w:spacing w:before="0" w:beforeAutospacing="0" w:after="0" w:afterAutospacing="0" w:line="400" w:lineRule="exact"/>
        <w:ind w:left="210"/>
        <w:outlineLvl w:val="1"/>
        <w:rPr>
          <w:rFonts w:ascii="仿宋" w:hAnsi="仿宋" w:eastAsia="仿宋" w:cs="仿宋"/>
          <w:b/>
          <w:bCs/>
          <w:color w:val="auto"/>
        </w:rPr>
      </w:pPr>
      <w:bookmarkStart w:id="0" w:name="_Toc28359002"/>
      <w:bookmarkStart w:id="1" w:name="_Toc35393621"/>
      <w:bookmarkStart w:id="2" w:name="_Toc86229022"/>
      <w:bookmarkStart w:id="3" w:name="_Toc35393790"/>
      <w:bookmarkStart w:id="4" w:name="_Toc28359079"/>
      <w:bookmarkStart w:id="5" w:name="_Hlk24379207"/>
      <w:r>
        <w:rPr>
          <w:rFonts w:hint="eastAsia" w:ascii="仿宋" w:hAnsi="仿宋" w:eastAsia="仿宋" w:cs="仿宋"/>
          <w:b/>
          <w:bCs/>
          <w:color w:val="auto"/>
        </w:rPr>
        <w:t>一、项目基本情况</w:t>
      </w:r>
      <w:bookmarkEnd w:id="0"/>
      <w:bookmarkEnd w:id="1"/>
      <w:bookmarkEnd w:id="2"/>
      <w:bookmarkEnd w:id="3"/>
      <w:bookmarkEnd w:id="4"/>
    </w:p>
    <w:p w14:paraId="4F3BA66D">
      <w:pPr>
        <w:pStyle w:val="4"/>
        <w:ind w:firstLine="453"/>
        <w:jc w:val="left"/>
        <w:rPr>
          <w:rFonts w:hint="eastAsia" w:ascii="仿宋" w:hAnsi="仿宋" w:eastAsia="仿宋" w:cs="仿宋"/>
          <w:color w:val="auto"/>
          <w:kern w:val="0"/>
          <w:szCs w:val="24"/>
          <w:lang w:eastAsia="zh-CN"/>
        </w:rPr>
      </w:pPr>
      <w:r>
        <w:rPr>
          <w:rFonts w:hint="eastAsia" w:ascii="仿宋" w:hAnsi="仿宋" w:eastAsia="仿宋" w:cs="仿宋"/>
          <w:color w:val="auto"/>
        </w:rPr>
        <w:t>采购项目名称：</w:t>
      </w:r>
      <w:r>
        <w:rPr>
          <w:rFonts w:hint="eastAsia" w:ascii="仿宋" w:hAnsi="仿宋" w:eastAsia="仿宋" w:cs="仿宋"/>
          <w:color w:val="auto"/>
          <w:kern w:val="0"/>
          <w:szCs w:val="24"/>
          <w:lang w:eastAsia="zh-CN"/>
        </w:rPr>
        <w:t>哈巴河工业园区环境综合服务项目</w:t>
      </w:r>
    </w:p>
    <w:p w14:paraId="093CDFF0">
      <w:pPr>
        <w:pStyle w:val="4"/>
        <w:ind w:firstLine="453"/>
        <w:jc w:val="left"/>
        <w:rPr>
          <w:rFonts w:hint="default" w:ascii="仿宋" w:hAnsi="仿宋" w:eastAsia="仿宋" w:cs="仿宋"/>
          <w:b/>
          <w:color w:val="auto"/>
          <w:sz w:val="44"/>
          <w:szCs w:val="44"/>
          <w:lang w:val="en-US" w:eastAsia="zh-CN"/>
        </w:rPr>
      </w:pPr>
      <w:r>
        <w:rPr>
          <w:rFonts w:hint="eastAsia" w:ascii="仿宋" w:hAnsi="仿宋" w:eastAsia="仿宋" w:cs="仿宋"/>
          <w:color w:val="auto"/>
        </w:rPr>
        <w:t>采购项目编号：</w:t>
      </w:r>
      <w:r>
        <w:rPr>
          <w:rFonts w:hint="eastAsia" w:ascii="仿宋" w:hAnsi="仿宋" w:eastAsia="仿宋" w:cs="仿宋"/>
          <w:color w:val="auto"/>
          <w:lang w:eastAsia="zh-CN"/>
        </w:rPr>
        <w:t>LC-BEJZB[2025]004-1</w:t>
      </w:r>
    </w:p>
    <w:p w14:paraId="4B2E5B12">
      <w:pPr>
        <w:pStyle w:val="7"/>
        <w:spacing w:before="0" w:beforeAutospacing="0" w:after="0" w:afterAutospacing="0" w:line="400" w:lineRule="exact"/>
        <w:ind w:firstLine="480" w:firstLineChars="200"/>
        <w:rPr>
          <w:rFonts w:ascii="仿宋" w:hAnsi="仿宋" w:eastAsia="仿宋" w:cs="仿宋"/>
          <w:color w:val="auto"/>
        </w:rPr>
      </w:pPr>
      <w:r>
        <w:rPr>
          <w:rFonts w:hint="eastAsia" w:ascii="仿宋" w:hAnsi="仿宋" w:eastAsia="仿宋" w:cs="仿宋"/>
          <w:color w:val="auto"/>
        </w:rPr>
        <w:t>采购方式：竞争性磋商</w:t>
      </w:r>
    </w:p>
    <w:bookmarkEnd w:id="5"/>
    <w:p w14:paraId="16C9CE24">
      <w:pPr>
        <w:pStyle w:val="7"/>
        <w:spacing w:before="0" w:beforeAutospacing="0" w:after="0" w:afterAutospacing="0" w:line="400" w:lineRule="exact"/>
        <w:ind w:firstLine="409" w:firstLineChars="195"/>
        <w:rPr>
          <w:rFonts w:ascii="仿宋" w:hAnsi="仿宋" w:eastAsia="仿宋" w:cs="仿宋"/>
          <w:color w:val="auto"/>
          <w:sz w:val="21"/>
          <w:szCs w:val="21"/>
        </w:rPr>
      </w:pPr>
      <w:r>
        <w:rPr>
          <w:rFonts w:hint="eastAsia" w:ascii="仿宋" w:hAnsi="仿宋" w:eastAsia="仿宋" w:cs="仿宋"/>
          <w:color w:val="auto"/>
          <w:sz w:val="21"/>
          <w:szCs w:val="21"/>
        </w:rPr>
        <w:t>预算金额：</w:t>
      </w:r>
      <w:r>
        <w:rPr>
          <w:rFonts w:hint="eastAsia" w:ascii="仿宋" w:hAnsi="仿宋" w:eastAsia="仿宋" w:cs="仿宋"/>
          <w:color w:val="auto"/>
          <w:sz w:val="21"/>
          <w:szCs w:val="21"/>
          <w:lang w:val="en-US" w:eastAsia="zh-CN"/>
        </w:rPr>
        <w:t>1550000元</w:t>
      </w:r>
    </w:p>
    <w:p w14:paraId="7059EBD9">
      <w:pPr>
        <w:pStyle w:val="7"/>
        <w:spacing w:before="0" w:beforeAutospacing="0" w:after="0" w:afterAutospacing="0" w:line="400" w:lineRule="exact"/>
        <w:ind w:firstLine="409" w:firstLineChars="195"/>
        <w:rPr>
          <w:rFonts w:ascii="仿宋" w:hAnsi="仿宋" w:eastAsia="仿宋" w:cs="仿宋"/>
          <w:color w:val="auto"/>
          <w:sz w:val="21"/>
          <w:szCs w:val="21"/>
        </w:rPr>
      </w:pPr>
      <w:r>
        <w:rPr>
          <w:rFonts w:hint="eastAsia" w:ascii="仿宋" w:hAnsi="仿宋" w:eastAsia="仿宋" w:cs="仿宋"/>
          <w:color w:val="auto"/>
          <w:sz w:val="21"/>
          <w:szCs w:val="21"/>
        </w:rPr>
        <w:t>最高限价：</w:t>
      </w:r>
      <w:r>
        <w:rPr>
          <w:rFonts w:hint="eastAsia" w:ascii="仿宋" w:hAnsi="仿宋" w:eastAsia="仿宋" w:cs="仿宋"/>
          <w:color w:val="auto"/>
          <w:sz w:val="21"/>
          <w:szCs w:val="21"/>
          <w:lang w:val="en-US" w:eastAsia="zh-CN"/>
        </w:rPr>
        <w:t>1550000元</w:t>
      </w:r>
    </w:p>
    <w:p w14:paraId="3174CEB9">
      <w:pPr>
        <w:pStyle w:val="7"/>
        <w:spacing w:before="0" w:beforeAutospacing="0" w:after="0" w:afterAutospacing="0" w:line="400" w:lineRule="exact"/>
        <w:ind w:firstLine="468" w:firstLineChars="195"/>
        <w:rPr>
          <w:rFonts w:ascii="仿宋" w:hAnsi="仿宋" w:eastAsia="仿宋" w:cs="仿宋"/>
          <w:color w:val="auto"/>
        </w:rPr>
      </w:pPr>
    </w:p>
    <w:tbl>
      <w:tblPr>
        <w:tblStyle w:val="8"/>
        <w:tblW w:w="9116"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6"/>
        <w:gridCol w:w="2536"/>
        <w:gridCol w:w="1064"/>
        <w:gridCol w:w="1746"/>
        <w:gridCol w:w="465"/>
        <w:gridCol w:w="2409"/>
      </w:tblGrid>
      <w:tr w14:paraId="7BFD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96" w:type="dxa"/>
            <w:tcMar>
              <w:top w:w="75" w:type="dxa"/>
              <w:left w:w="150" w:type="dxa"/>
              <w:bottom w:w="75" w:type="dxa"/>
              <w:right w:w="150" w:type="dxa"/>
            </w:tcMar>
            <w:vAlign w:val="center"/>
          </w:tcPr>
          <w:p w14:paraId="49825C79">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标项序号</w:t>
            </w:r>
          </w:p>
        </w:tc>
        <w:tc>
          <w:tcPr>
            <w:tcW w:w="2536" w:type="dxa"/>
            <w:tcMar>
              <w:top w:w="75" w:type="dxa"/>
              <w:left w:w="150" w:type="dxa"/>
              <w:bottom w:w="75" w:type="dxa"/>
              <w:right w:w="150" w:type="dxa"/>
            </w:tcMar>
            <w:vAlign w:val="center"/>
          </w:tcPr>
          <w:p w14:paraId="3C041516">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标项名称</w:t>
            </w:r>
          </w:p>
        </w:tc>
        <w:tc>
          <w:tcPr>
            <w:tcW w:w="1064" w:type="dxa"/>
            <w:tcMar>
              <w:top w:w="75" w:type="dxa"/>
              <w:left w:w="150" w:type="dxa"/>
              <w:bottom w:w="75" w:type="dxa"/>
              <w:right w:w="150" w:type="dxa"/>
            </w:tcMar>
            <w:vAlign w:val="center"/>
          </w:tcPr>
          <w:p w14:paraId="2DB60F2C">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数量</w:t>
            </w:r>
          </w:p>
        </w:tc>
        <w:tc>
          <w:tcPr>
            <w:tcW w:w="1746" w:type="dxa"/>
            <w:tcMar>
              <w:top w:w="75" w:type="dxa"/>
              <w:left w:w="150" w:type="dxa"/>
              <w:bottom w:w="75" w:type="dxa"/>
              <w:right w:w="150" w:type="dxa"/>
            </w:tcMar>
            <w:vAlign w:val="center"/>
          </w:tcPr>
          <w:p w14:paraId="11FA5F49">
            <w:pPr>
              <w:widowControl/>
              <w:spacing w:line="4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预算金额(元)</w:t>
            </w:r>
          </w:p>
        </w:tc>
        <w:tc>
          <w:tcPr>
            <w:tcW w:w="465" w:type="dxa"/>
            <w:tcMar>
              <w:top w:w="75" w:type="dxa"/>
              <w:left w:w="150" w:type="dxa"/>
              <w:bottom w:w="75" w:type="dxa"/>
              <w:right w:w="150" w:type="dxa"/>
            </w:tcMar>
            <w:vAlign w:val="center"/>
          </w:tcPr>
          <w:p w14:paraId="377507B6">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单位</w:t>
            </w:r>
          </w:p>
        </w:tc>
        <w:tc>
          <w:tcPr>
            <w:tcW w:w="2409" w:type="dxa"/>
            <w:tcMar>
              <w:top w:w="75" w:type="dxa"/>
              <w:left w:w="150" w:type="dxa"/>
              <w:bottom w:w="75" w:type="dxa"/>
              <w:right w:w="150" w:type="dxa"/>
            </w:tcMar>
            <w:vAlign w:val="center"/>
          </w:tcPr>
          <w:p w14:paraId="6D2D1BDB">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简要规格描述</w:t>
            </w:r>
          </w:p>
        </w:tc>
      </w:tr>
      <w:tr w14:paraId="328D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trPr>
        <w:tc>
          <w:tcPr>
            <w:tcW w:w="896" w:type="dxa"/>
            <w:tcMar>
              <w:top w:w="75" w:type="dxa"/>
              <w:left w:w="150" w:type="dxa"/>
              <w:bottom w:w="75" w:type="dxa"/>
              <w:right w:w="150" w:type="dxa"/>
            </w:tcMar>
            <w:vAlign w:val="center"/>
          </w:tcPr>
          <w:p w14:paraId="4FC7C7B2">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2536" w:type="dxa"/>
            <w:tcMar>
              <w:top w:w="75" w:type="dxa"/>
              <w:left w:w="150" w:type="dxa"/>
              <w:bottom w:w="75" w:type="dxa"/>
              <w:right w:w="150" w:type="dxa"/>
            </w:tcMar>
            <w:vAlign w:val="center"/>
          </w:tcPr>
          <w:p w14:paraId="330DBDC3">
            <w:pPr>
              <w:widowControl/>
              <w:spacing w:line="400" w:lineRule="exact"/>
              <w:jc w:val="center"/>
              <w:rPr>
                <w:rFonts w:hint="eastAsia" w:ascii="仿宋" w:hAnsi="仿宋" w:eastAsia="仿宋" w:cs="仿宋"/>
                <w:color w:val="auto"/>
                <w:sz w:val="24"/>
                <w:szCs w:val="24"/>
                <w:highlight w:val="yellow"/>
                <w:lang w:eastAsia="zh-CN"/>
              </w:rPr>
            </w:pPr>
            <w:r>
              <w:rPr>
                <w:rFonts w:hint="eastAsia" w:ascii="仿宋" w:hAnsi="仿宋" w:eastAsia="仿宋" w:cs="仿宋"/>
                <w:color w:val="auto"/>
                <w:kern w:val="0"/>
                <w:szCs w:val="24"/>
                <w:lang w:eastAsia="zh-CN"/>
              </w:rPr>
              <w:t>哈巴河工业园区环境综合服务项目</w:t>
            </w:r>
          </w:p>
        </w:tc>
        <w:tc>
          <w:tcPr>
            <w:tcW w:w="1064" w:type="dxa"/>
            <w:tcMar>
              <w:top w:w="75" w:type="dxa"/>
              <w:left w:w="150" w:type="dxa"/>
              <w:bottom w:w="75" w:type="dxa"/>
              <w:right w:w="150" w:type="dxa"/>
            </w:tcMar>
            <w:vAlign w:val="center"/>
          </w:tcPr>
          <w:p w14:paraId="316D65C3">
            <w:pPr>
              <w:widowControl/>
              <w:spacing w:line="400" w:lineRule="exact"/>
              <w:jc w:val="center"/>
              <w:rPr>
                <w:rFonts w:ascii="仿宋" w:hAnsi="仿宋" w:eastAsia="仿宋" w:cs="仿宋"/>
                <w:color w:val="auto"/>
                <w:sz w:val="24"/>
                <w:szCs w:val="24"/>
                <w:highlight w:val="yellow"/>
              </w:rPr>
            </w:pPr>
            <w:r>
              <w:rPr>
                <w:rFonts w:hint="eastAsia" w:ascii="仿宋" w:hAnsi="仿宋" w:eastAsia="仿宋" w:cs="仿宋"/>
                <w:bCs/>
                <w:color w:val="auto"/>
                <w:sz w:val="24"/>
                <w:szCs w:val="24"/>
                <w:lang w:bidi="ar"/>
              </w:rPr>
              <w:t>1</w:t>
            </w:r>
          </w:p>
        </w:tc>
        <w:tc>
          <w:tcPr>
            <w:tcW w:w="1746" w:type="dxa"/>
            <w:tcMar>
              <w:top w:w="75" w:type="dxa"/>
              <w:left w:w="150" w:type="dxa"/>
              <w:bottom w:w="75" w:type="dxa"/>
              <w:right w:w="150" w:type="dxa"/>
            </w:tcMar>
            <w:vAlign w:val="center"/>
          </w:tcPr>
          <w:p w14:paraId="01BC68FB">
            <w:pPr>
              <w:spacing w:line="400" w:lineRule="exact"/>
              <w:jc w:val="center"/>
              <w:rPr>
                <w:rFonts w:ascii="仿宋" w:hAnsi="仿宋" w:eastAsia="仿宋" w:cs="仿宋"/>
                <w:color w:val="auto"/>
                <w:sz w:val="24"/>
                <w:szCs w:val="24"/>
                <w:highlight w:val="yellow"/>
              </w:rPr>
            </w:pPr>
            <w:r>
              <w:rPr>
                <w:rFonts w:hint="eastAsia" w:ascii="仿宋" w:hAnsi="仿宋" w:eastAsia="仿宋" w:cs="仿宋"/>
                <w:color w:val="auto"/>
                <w:kern w:val="0"/>
                <w:szCs w:val="24"/>
                <w:lang w:val="en-US" w:eastAsia="zh-CN"/>
              </w:rPr>
              <w:t>1550000</w:t>
            </w:r>
          </w:p>
        </w:tc>
        <w:tc>
          <w:tcPr>
            <w:tcW w:w="465" w:type="dxa"/>
            <w:tcMar>
              <w:top w:w="75" w:type="dxa"/>
              <w:left w:w="150" w:type="dxa"/>
              <w:bottom w:w="75" w:type="dxa"/>
              <w:right w:w="150" w:type="dxa"/>
            </w:tcMar>
            <w:vAlign w:val="center"/>
          </w:tcPr>
          <w:p w14:paraId="17E7B045">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项</w:t>
            </w:r>
          </w:p>
        </w:tc>
        <w:tc>
          <w:tcPr>
            <w:tcW w:w="2409" w:type="dxa"/>
            <w:tcMar>
              <w:top w:w="75" w:type="dxa"/>
              <w:left w:w="150" w:type="dxa"/>
              <w:bottom w:w="75" w:type="dxa"/>
              <w:right w:w="150" w:type="dxa"/>
            </w:tcMar>
            <w:vAlign w:val="center"/>
          </w:tcPr>
          <w:p w14:paraId="534A14C7">
            <w:pPr>
              <w:widowControl/>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产业园区内环境卫生、园林绿化、生活垃圾收运处置等综合服务项目进行购买采购。（具体清单详见招标文件）</w:t>
            </w:r>
          </w:p>
        </w:tc>
      </w:tr>
    </w:tbl>
    <w:p w14:paraId="114A7F87">
      <w:pPr>
        <w:pStyle w:val="7"/>
        <w:spacing w:before="0" w:beforeAutospacing="0" w:after="0" w:afterAutospacing="0" w:line="400" w:lineRule="exact"/>
        <w:ind w:left="210"/>
        <w:outlineLvl w:val="1"/>
        <w:rPr>
          <w:rFonts w:ascii="仿宋" w:hAnsi="仿宋" w:eastAsia="仿宋" w:cs="仿宋"/>
          <w:b/>
          <w:bCs/>
          <w:color w:val="auto"/>
        </w:rPr>
      </w:pPr>
      <w:r>
        <w:rPr>
          <w:rFonts w:hint="eastAsia" w:ascii="仿宋" w:hAnsi="仿宋" w:eastAsia="仿宋" w:cs="仿宋"/>
          <w:b/>
          <w:bCs/>
          <w:color w:val="auto"/>
        </w:rPr>
        <w:t>二、供应商资格要求： </w:t>
      </w:r>
    </w:p>
    <w:p w14:paraId="4FC742BD">
      <w:pPr>
        <w:pStyle w:val="7"/>
        <w:spacing w:before="0" w:beforeAutospacing="0" w:after="0" w:afterAutospacing="0" w:line="400" w:lineRule="exact"/>
        <w:ind w:firstLine="480" w:firstLineChars="200"/>
        <w:jc w:val="both"/>
        <w:outlineLvl w:val="2"/>
        <w:rPr>
          <w:rFonts w:ascii="仿宋" w:hAnsi="仿宋" w:eastAsia="仿宋" w:cs="仿宋"/>
          <w:color w:val="auto"/>
          <w:kern w:val="2"/>
        </w:rPr>
      </w:pPr>
      <w:r>
        <w:rPr>
          <w:rFonts w:hint="eastAsia" w:ascii="仿宋" w:hAnsi="仿宋" w:eastAsia="仿宋" w:cs="仿宋"/>
          <w:color w:val="auto"/>
          <w:kern w:val="2"/>
        </w:rPr>
        <w:t>1.满足《中华人民共和国政府采购法》第二十二条规定；</w:t>
      </w:r>
    </w:p>
    <w:p w14:paraId="4F0C0C94">
      <w:pPr>
        <w:pStyle w:val="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1）具有独立承担民事责任的能力，有效的营业执照和相应的经营范围、良好的信誉，能够独立承担民事责任，承认并履行招标文件的各项规定；</w:t>
      </w:r>
    </w:p>
    <w:p w14:paraId="291026D3">
      <w:pPr>
        <w:pStyle w:val="7"/>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2)供应商提供有效的统一社会信用代码的营业执照，供应商必须是中华人民共和国境内注册的，具有独立承担民事责任的能力；</w:t>
      </w:r>
    </w:p>
    <w:p w14:paraId="7DFE3C0A">
      <w:pPr>
        <w:pStyle w:val="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3) 财务状况报告：</w:t>
      </w:r>
      <w:r>
        <w:rPr>
          <w:rFonts w:hint="eastAsia" w:ascii="仿宋" w:hAnsi="仿宋" w:eastAsia="仿宋" w:cs="仿宋"/>
          <w:color w:val="auto"/>
          <w:kern w:val="2"/>
          <w:lang w:eastAsia="zh-CN"/>
        </w:rPr>
        <w:t>供应商提供2024年度经第三方权威机构</w:t>
      </w:r>
      <w:r>
        <w:rPr>
          <w:rFonts w:hint="eastAsia" w:ascii="仿宋" w:hAnsi="仿宋" w:eastAsia="仿宋" w:cs="仿宋"/>
          <w:color w:val="auto"/>
          <w:kern w:val="2"/>
        </w:rPr>
        <w:t>出具的完整的财务审计报告或自发布公告之日起基本开户银行出具的资信证明； </w:t>
      </w:r>
    </w:p>
    <w:p w14:paraId="60963A03">
      <w:pPr>
        <w:pStyle w:val="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4) 依法缴纳税收：供应商提供自投标截止之日前半年内任意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个月依法缴纳税收的凭据，依法免税的供应商，应提供充足的证明材料；</w:t>
      </w:r>
    </w:p>
    <w:p w14:paraId="7302FAF2">
      <w:pPr>
        <w:pStyle w:val="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5) 供应商逐月缴纳社会保障资金的，提供自投标截止之日前半年内任意</w:t>
      </w:r>
      <w:r>
        <w:rPr>
          <w:rFonts w:hint="eastAsia" w:ascii="仿宋" w:hAnsi="仿宋" w:eastAsia="仿宋" w:cs="仿宋"/>
          <w:color w:val="auto"/>
          <w:kern w:val="2"/>
          <w:lang w:val="en-US" w:eastAsia="zh-CN"/>
        </w:rPr>
        <w:t>三</w:t>
      </w:r>
      <w:r>
        <w:rPr>
          <w:rFonts w:hint="eastAsia" w:ascii="仿宋" w:hAnsi="仿宋" w:eastAsia="仿宋" w:cs="仿宋"/>
          <w:color w:val="auto"/>
          <w:kern w:val="2"/>
        </w:rPr>
        <w:t xml:space="preserve">个月缴纳社会保障资金的凭证；供应商逐年缴纳社会保障资金的，提供上年度缴纳社会保障资金的凭证； </w:t>
      </w:r>
    </w:p>
    <w:p w14:paraId="77765165">
      <w:pPr>
        <w:pStyle w:val="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 xml:space="preserve">6) 供应商具备履行合同所必需的设备和专业技术能力的证明材料； </w:t>
      </w:r>
    </w:p>
    <w:p w14:paraId="0AAF6464">
      <w:pPr>
        <w:pStyle w:val="7"/>
        <w:spacing w:before="0" w:beforeAutospacing="0" w:after="0" w:afterAutospacing="0" w:line="400" w:lineRule="exact"/>
        <w:ind w:firstLine="468" w:firstLineChars="195"/>
        <w:rPr>
          <w:rFonts w:ascii="仿宋" w:hAnsi="仿宋" w:eastAsia="仿宋" w:cs="仿宋"/>
          <w:color w:val="auto"/>
          <w:kern w:val="2"/>
        </w:rPr>
      </w:pPr>
      <w:r>
        <w:rPr>
          <w:rFonts w:hint="eastAsia" w:ascii="仿宋" w:hAnsi="仿宋" w:eastAsia="仿宋" w:cs="仿宋"/>
          <w:color w:val="auto"/>
          <w:kern w:val="2"/>
        </w:rPr>
        <w:t>7) 供应商提供参加政府采购活动前 3 年内在经营活动中没有重大违法记录的书面声明（截至开标日成立不满 3 年的供应商，可提供自成立以来无重大违法记录的书面声明）；</w:t>
      </w:r>
    </w:p>
    <w:p w14:paraId="408A6BED">
      <w:pPr>
        <w:pStyle w:val="7"/>
        <w:spacing w:before="0" w:beforeAutospacing="0" w:after="0" w:afterAutospacing="0" w:line="400" w:lineRule="exact"/>
        <w:ind w:firstLine="480" w:firstLineChars="200"/>
        <w:jc w:val="both"/>
        <w:rPr>
          <w:rFonts w:hint="eastAsia" w:ascii="仿宋" w:hAnsi="仿宋" w:eastAsia="仿宋" w:cs="仿宋"/>
          <w:color w:val="auto"/>
          <w:kern w:val="2"/>
          <w:lang w:eastAsia="zh-CN"/>
        </w:rPr>
      </w:pPr>
      <w:r>
        <w:rPr>
          <w:rFonts w:ascii="仿宋" w:hAnsi="仿宋" w:eastAsia="仿宋" w:cs="仿宋"/>
          <w:color w:val="auto"/>
          <w:kern w:val="2"/>
        </w:rPr>
        <w:t>8</w:t>
      </w:r>
      <w:r>
        <w:rPr>
          <w:rFonts w:hint="eastAsia" w:ascii="仿宋" w:hAnsi="仿宋" w:eastAsia="仿宋" w:cs="仿宋"/>
          <w:color w:val="auto"/>
          <w:kern w:val="2"/>
        </w:rPr>
        <w:t>) 本项目特定资质：</w:t>
      </w:r>
      <w:r>
        <w:rPr>
          <w:rFonts w:hint="eastAsia" w:ascii="仿宋" w:hAnsi="仿宋" w:eastAsia="仿宋" w:cs="仿宋"/>
          <w:color w:val="auto"/>
          <w:kern w:val="2"/>
          <w:lang w:eastAsia="zh-CN"/>
        </w:rPr>
        <w:t>无</w:t>
      </w:r>
    </w:p>
    <w:p w14:paraId="05642E86">
      <w:pPr>
        <w:pStyle w:val="7"/>
        <w:spacing w:before="0" w:beforeAutospacing="0" w:after="0" w:afterAutospacing="0" w:line="400" w:lineRule="exact"/>
        <w:ind w:firstLine="480" w:firstLineChars="200"/>
        <w:jc w:val="both"/>
        <w:rPr>
          <w:rFonts w:ascii="仿宋" w:hAnsi="仿宋" w:eastAsia="仿宋" w:cs="仿宋"/>
          <w:color w:val="auto"/>
          <w:kern w:val="2"/>
        </w:rPr>
      </w:pPr>
      <w:r>
        <w:rPr>
          <w:rFonts w:ascii="仿宋" w:hAnsi="仿宋" w:eastAsia="仿宋" w:cs="仿宋"/>
          <w:color w:val="auto"/>
          <w:kern w:val="2"/>
        </w:rPr>
        <w:t>9</w:t>
      </w:r>
      <w:r>
        <w:rPr>
          <w:rFonts w:hint="eastAsia" w:ascii="仿宋" w:hAnsi="仿宋" w:eastAsia="仿宋" w:cs="仿宋"/>
          <w:color w:val="auto"/>
          <w:kern w:val="2"/>
        </w:rPr>
        <w:t>)</w:t>
      </w:r>
      <w:r>
        <w:rPr>
          <w:rFonts w:ascii="仿宋" w:hAnsi="仿宋" w:eastAsia="仿宋" w:cs="仿宋"/>
          <w:color w:val="auto"/>
          <w:kern w:val="2"/>
        </w:rPr>
        <w:t xml:space="preserve"> </w:t>
      </w:r>
      <w:r>
        <w:rPr>
          <w:rFonts w:hint="eastAsia" w:ascii="仿宋" w:hAnsi="仿宋" w:eastAsia="仿宋" w:cs="仿宋"/>
          <w:color w:val="auto"/>
          <w:kern w:val="2"/>
        </w:rPr>
        <w:t>本项目专门面向中小企业采购，大型企业不允许参加此次项目投标。符合要求的供应商须提供《中小企业声明函》。监狱企业、残疾人福利性单位，视同为小型和微型企业，须提供《声明函》。</w:t>
      </w:r>
    </w:p>
    <w:p w14:paraId="63AD6F9D">
      <w:pPr>
        <w:pStyle w:val="7"/>
        <w:spacing w:before="0" w:beforeAutospacing="0" w:after="0" w:afterAutospacing="0" w:line="400" w:lineRule="exact"/>
        <w:ind w:firstLine="480" w:firstLineChars="200"/>
        <w:rPr>
          <w:rFonts w:ascii="仿宋" w:hAnsi="仿宋" w:eastAsia="仿宋" w:cs="仿宋"/>
          <w:color w:val="auto"/>
          <w:kern w:val="2"/>
        </w:rPr>
      </w:pPr>
      <w:r>
        <w:rPr>
          <w:rFonts w:hint="eastAsia" w:ascii="仿宋" w:hAnsi="仿宋" w:eastAsia="仿宋" w:cs="仿宋"/>
          <w:color w:val="auto"/>
          <w:kern w:val="2"/>
        </w:rPr>
        <w:t>1</w:t>
      </w:r>
      <w:r>
        <w:rPr>
          <w:rFonts w:ascii="仿宋" w:hAnsi="仿宋" w:eastAsia="仿宋" w:cs="仿宋"/>
          <w:color w:val="auto"/>
          <w:kern w:val="2"/>
        </w:rPr>
        <w:t>0</w:t>
      </w:r>
      <w:r>
        <w:rPr>
          <w:rFonts w:hint="eastAsia" w:ascii="仿宋" w:hAnsi="仿宋" w:eastAsia="仿宋" w:cs="仿宋"/>
          <w:color w:val="auto"/>
          <w:kern w:val="2"/>
        </w:rPr>
        <w:t>) 在“信用中国”网站被列入失信被执行人、重大税收违法失信主体，在中国裁判文书网有行贿犯罪记录的（尚在处罚期内的），在中国政府采购网被列入政府采购严重违法失信行为记录名单的（尚在处罚期内的），将拒绝本次政府采购活动,须提供网站查询结果截图。  </w:t>
      </w:r>
      <w:r>
        <w:rPr>
          <w:rFonts w:hint="eastAsia" w:ascii="仿宋" w:hAnsi="仿宋" w:eastAsia="仿宋" w:cs="仿宋"/>
          <w:color w:val="auto"/>
        </w:rPr>
        <w:t xml:space="preserve">       </w:t>
      </w:r>
    </w:p>
    <w:p w14:paraId="3CE3634A">
      <w:pPr>
        <w:pStyle w:val="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w:t>
      </w:r>
      <w:r>
        <w:rPr>
          <w:rFonts w:ascii="仿宋" w:hAnsi="仿宋" w:eastAsia="仿宋" w:cs="仿宋"/>
          <w:color w:val="auto"/>
          <w:kern w:val="2"/>
        </w:rPr>
        <w:t>1</w:t>
      </w:r>
      <w:r>
        <w:rPr>
          <w:rFonts w:hint="eastAsia" w:ascii="仿宋" w:hAnsi="仿宋" w:eastAsia="仿宋" w:cs="仿宋"/>
          <w:color w:val="auto"/>
          <w:kern w:val="2"/>
        </w:rPr>
        <w:t>）提供的资格、资质文件和业绩情况均真实有效，否则由报价单位承担由此引起的一切后果及损失；</w:t>
      </w:r>
    </w:p>
    <w:p w14:paraId="6C9E5074">
      <w:pPr>
        <w:pStyle w:val="7"/>
        <w:spacing w:before="0" w:beforeAutospacing="0" w:after="0" w:afterAutospacing="0" w:line="400" w:lineRule="exact"/>
        <w:ind w:firstLine="480" w:firstLineChars="200"/>
        <w:jc w:val="both"/>
        <w:rPr>
          <w:rFonts w:ascii="仿宋" w:hAnsi="仿宋" w:eastAsia="仿宋" w:cs="仿宋"/>
          <w:color w:val="auto"/>
          <w:kern w:val="2"/>
        </w:rPr>
      </w:pPr>
      <w:r>
        <w:rPr>
          <w:rFonts w:hint="eastAsia" w:ascii="仿宋" w:hAnsi="仿宋" w:eastAsia="仿宋" w:cs="仿宋"/>
          <w:color w:val="auto"/>
          <w:kern w:val="2"/>
        </w:rPr>
        <w:t>1</w:t>
      </w:r>
      <w:r>
        <w:rPr>
          <w:rFonts w:ascii="仿宋" w:hAnsi="仿宋" w:eastAsia="仿宋" w:cs="仿宋"/>
          <w:color w:val="auto"/>
          <w:kern w:val="2"/>
        </w:rPr>
        <w:t>2</w:t>
      </w:r>
      <w:r>
        <w:rPr>
          <w:rFonts w:hint="eastAsia" w:ascii="仿宋" w:hAnsi="仿宋" w:eastAsia="仿宋" w:cs="仿宋"/>
          <w:color w:val="auto"/>
          <w:kern w:val="2"/>
        </w:rPr>
        <w:t>）单位负责人为同一人或者存在直接控股、管理关系的不同供应商，不得参加同一合同项下的政府采购活动；与采购人存在利害关系可能影响采购公正性的法人、其他组织或个人不得参与投标，违反规定的相关投标均无效；</w:t>
      </w:r>
    </w:p>
    <w:p w14:paraId="727AF543">
      <w:pPr>
        <w:pStyle w:val="7"/>
        <w:spacing w:before="0" w:beforeAutospacing="0" w:after="0" w:afterAutospacing="0" w:line="400" w:lineRule="exact"/>
        <w:ind w:firstLine="480" w:firstLineChars="200"/>
        <w:jc w:val="both"/>
        <w:outlineLvl w:val="2"/>
        <w:rPr>
          <w:rFonts w:ascii="仿宋" w:hAnsi="仿宋" w:eastAsia="仿宋" w:cs="仿宋"/>
          <w:color w:val="auto"/>
          <w:kern w:val="2"/>
        </w:rPr>
      </w:pPr>
      <w:r>
        <w:rPr>
          <w:rFonts w:hint="eastAsia" w:ascii="仿宋" w:hAnsi="仿宋" w:eastAsia="仿宋" w:cs="仿宋"/>
          <w:color w:val="auto"/>
          <w:kern w:val="2"/>
        </w:rPr>
        <w:t>2、本项目不接受联合体投标。</w:t>
      </w:r>
    </w:p>
    <w:p w14:paraId="5BA51086">
      <w:pPr>
        <w:pStyle w:val="7"/>
        <w:spacing w:before="0" w:beforeAutospacing="0" w:after="0" w:afterAutospacing="0" w:line="400" w:lineRule="exact"/>
        <w:outlineLvl w:val="1"/>
        <w:rPr>
          <w:rFonts w:ascii="仿宋" w:hAnsi="仿宋" w:eastAsia="仿宋" w:cs="仿宋"/>
          <w:b/>
          <w:bCs/>
          <w:color w:val="auto"/>
        </w:rPr>
      </w:pPr>
      <w:r>
        <w:rPr>
          <w:rFonts w:hint="eastAsia" w:ascii="仿宋" w:hAnsi="仿宋" w:eastAsia="仿宋" w:cs="仿宋"/>
          <w:b/>
          <w:bCs/>
          <w:color w:val="auto"/>
        </w:rPr>
        <w:t>三、获取招标文件</w:t>
      </w:r>
    </w:p>
    <w:p w14:paraId="610719BC">
      <w:pPr>
        <w:pStyle w:val="7"/>
        <w:spacing w:before="0" w:beforeAutospacing="0" w:after="0" w:afterAutospacing="0" w:line="400" w:lineRule="exact"/>
        <w:ind w:firstLine="480" w:firstLineChars="200"/>
        <w:rPr>
          <w:rFonts w:ascii="仿宋" w:hAnsi="仿宋" w:eastAsia="仿宋" w:cs="仿宋"/>
          <w:color w:val="auto"/>
        </w:rPr>
      </w:pPr>
      <w:r>
        <w:rPr>
          <w:rFonts w:hint="eastAsia" w:ascii="宋体" w:hAnsi="宋体" w:cs="宋体"/>
          <w:color w:val="auto"/>
        </w:rPr>
        <w:t>1.</w:t>
      </w:r>
      <w:r>
        <w:rPr>
          <w:rFonts w:hint="eastAsia" w:ascii="仿宋" w:hAnsi="仿宋" w:eastAsia="仿宋" w:cs="仿宋"/>
          <w:color w:val="auto"/>
        </w:rPr>
        <w:t>获取投标文件时</w:t>
      </w:r>
      <w:r>
        <w:rPr>
          <w:rStyle w:val="10"/>
          <w:rFonts w:hint="eastAsia" w:ascii="仿宋" w:hAnsi="仿宋" w:eastAsia="仿宋" w:cs="仿宋"/>
          <w:b w:val="0"/>
          <w:bCs w:val="0"/>
          <w:color w:val="auto"/>
        </w:rPr>
        <w:t>间：202</w:t>
      </w:r>
      <w:r>
        <w:rPr>
          <w:rStyle w:val="10"/>
          <w:rFonts w:hint="eastAsia" w:ascii="仿宋" w:hAnsi="仿宋" w:eastAsia="仿宋" w:cs="仿宋"/>
          <w:b w:val="0"/>
          <w:bCs w:val="0"/>
          <w:color w:val="auto"/>
          <w:lang w:val="en-US" w:eastAsia="zh-CN"/>
        </w:rPr>
        <w:t>5</w:t>
      </w:r>
      <w:r>
        <w:rPr>
          <w:rStyle w:val="10"/>
          <w:rFonts w:hint="eastAsia" w:ascii="仿宋" w:hAnsi="仿宋" w:eastAsia="仿宋" w:cs="仿宋"/>
          <w:b w:val="0"/>
          <w:bCs w:val="0"/>
          <w:color w:val="auto"/>
        </w:rPr>
        <w:t>年</w:t>
      </w:r>
      <w:r>
        <w:rPr>
          <w:rStyle w:val="10"/>
          <w:rFonts w:hint="eastAsia" w:ascii="仿宋" w:hAnsi="仿宋" w:eastAsia="仿宋" w:cs="仿宋"/>
          <w:b w:val="0"/>
          <w:bCs w:val="0"/>
          <w:color w:val="auto"/>
          <w:lang w:val="en-US" w:eastAsia="zh-CN"/>
        </w:rPr>
        <w:t>6</w:t>
      </w:r>
      <w:r>
        <w:rPr>
          <w:rStyle w:val="10"/>
          <w:rFonts w:hint="eastAsia" w:ascii="仿宋" w:hAnsi="仿宋" w:eastAsia="仿宋" w:cs="仿宋"/>
          <w:b w:val="0"/>
          <w:bCs w:val="0"/>
          <w:color w:val="auto"/>
        </w:rPr>
        <w:t>月</w:t>
      </w:r>
      <w:r>
        <w:rPr>
          <w:rStyle w:val="10"/>
          <w:rFonts w:hint="eastAsia" w:ascii="仿宋" w:hAnsi="仿宋" w:eastAsia="仿宋" w:cs="仿宋"/>
          <w:b w:val="0"/>
          <w:bCs w:val="0"/>
          <w:color w:val="auto"/>
          <w:lang w:val="en-US" w:eastAsia="zh-CN"/>
        </w:rPr>
        <w:t>27</w:t>
      </w:r>
      <w:r>
        <w:rPr>
          <w:rStyle w:val="10"/>
          <w:rFonts w:hint="eastAsia" w:ascii="仿宋" w:hAnsi="仿宋" w:eastAsia="仿宋" w:cs="仿宋"/>
          <w:b w:val="0"/>
          <w:bCs w:val="0"/>
          <w:color w:val="auto"/>
        </w:rPr>
        <w:t>日至</w:t>
      </w:r>
      <w:r>
        <w:rPr>
          <w:rStyle w:val="10"/>
          <w:rFonts w:hint="eastAsia" w:ascii="仿宋" w:hAnsi="仿宋" w:eastAsia="仿宋" w:cs="仿宋"/>
          <w:b w:val="0"/>
          <w:bCs w:val="0"/>
          <w:color w:val="auto"/>
          <w:lang w:eastAsia="zh-CN"/>
        </w:rPr>
        <w:t>2025年</w:t>
      </w:r>
      <w:r>
        <w:rPr>
          <w:rStyle w:val="10"/>
          <w:rFonts w:hint="eastAsia" w:ascii="仿宋" w:hAnsi="仿宋" w:eastAsia="仿宋" w:cs="仿宋"/>
          <w:b w:val="0"/>
          <w:bCs w:val="0"/>
          <w:color w:val="auto"/>
          <w:lang w:val="en-US" w:eastAsia="zh-CN"/>
        </w:rPr>
        <w:t>7</w:t>
      </w:r>
      <w:r>
        <w:rPr>
          <w:rStyle w:val="10"/>
          <w:rFonts w:hint="eastAsia" w:ascii="仿宋" w:hAnsi="仿宋" w:eastAsia="仿宋" w:cs="仿宋"/>
          <w:b w:val="0"/>
          <w:bCs w:val="0"/>
          <w:color w:val="auto"/>
          <w:lang w:eastAsia="zh-CN"/>
        </w:rPr>
        <w:t>月</w:t>
      </w:r>
      <w:r>
        <w:rPr>
          <w:rStyle w:val="10"/>
          <w:rFonts w:hint="eastAsia" w:ascii="仿宋" w:hAnsi="仿宋" w:eastAsia="仿宋" w:cs="仿宋"/>
          <w:b w:val="0"/>
          <w:bCs w:val="0"/>
          <w:color w:val="auto"/>
          <w:lang w:val="en-US" w:eastAsia="zh-CN"/>
        </w:rPr>
        <w:t>4</w:t>
      </w:r>
      <w:r>
        <w:rPr>
          <w:rStyle w:val="10"/>
          <w:rFonts w:hint="eastAsia" w:ascii="仿宋" w:hAnsi="仿宋" w:eastAsia="仿宋" w:cs="仿宋"/>
          <w:b w:val="0"/>
          <w:bCs w:val="0"/>
          <w:color w:val="auto"/>
          <w:lang w:eastAsia="zh-CN"/>
        </w:rPr>
        <w:t>日</w:t>
      </w:r>
      <w:r>
        <w:rPr>
          <w:rStyle w:val="10"/>
          <w:rFonts w:hint="eastAsia" w:ascii="仿宋" w:hAnsi="仿宋" w:eastAsia="仿宋" w:cs="仿宋"/>
          <w:b w:val="0"/>
          <w:bCs w:val="0"/>
          <w:color w:val="auto"/>
        </w:rPr>
        <w:t>，每天上午10:00至14:00，下午</w:t>
      </w:r>
      <w:r>
        <w:rPr>
          <w:rStyle w:val="10"/>
          <w:rFonts w:hint="eastAsia" w:ascii="仿宋" w:hAnsi="仿宋" w:eastAsia="仿宋" w:cs="仿宋"/>
          <w:b w:val="0"/>
          <w:bCs w:val="0"/>
          <w:color w:val="auto"/>
          <w:lang w:val="en-US" w:eastAsia="zh-CN"/>
        </w:rPr>
        <w:t>16</w:t>
      </w:r>
      <w:r>
        <w:rPr>
          <w:rStyle w:val="10"/>
          <w:rFonts w:hint="eastAsia" w:ascii="仿宋" w:hAnsi="仿宋" w:eastAsia="仿宋" w:cs="仿宋"/>
          <w:b w:val="0"/>
          <w:bCs w:val="0"/>
          <w:color w:val="auto"/>
        </w:rPr>
        <w:t>:</w:t>
      </w:r>
      <w:r>
        <w:rPr>
          <w:rStyle w:val="10"/>
          <w:rFonts w:hint="eastAsia" w:ascii="仿宋" w:hAnsi="仿宋" w:eastAsia="仿宋" w:cs="仿宋"/>
          <w:b w:val="0"/>
          <w:bCs w:val="0"/>
          <w:color w:val="auto"/>
          <w:lang w:val="en-US" w:eastAsia="zh-CN"/>
        </w:rPr>
        <w:t>0</w:t>
      </w:r>
      <w:r>
        <w:rPr>
          <w:rStyle w:val="10"/>
          <w:rFonts w:hint="eastAsia" w:ascii="仿宋" w:hAnsi="仿宋" w:eastAsia="仿宋" w:cs="仿宋"/>
          <w:b w:val="0"/>
          <w:bCs w:val="0"/>
          <w:color w:val="auto"/>
        </w:rPr>
        <w:t>0至</w:t>
      </w:r>
      <w:r>
        <w:rPr>
          <w:rStyle w:val="10"/>
          <w:rFonts w:hint="eastAsia" w:ascii="仿宋" w:hAnsi="仿宋" w:eastAsia="仿宋" w:cs="仿宋"/>
          <w:b w:val="0"/>
          <w:bCs w:val="0"/>
          <w:color w:val="auto"/>
          <w:lang w:val="en-US" w:eastAsia="zh-CN"/>
        </w:rPr>
        <w:t>20</w:t>
      </w:r>
      <w:r>
        <w:rPr>
          <w:rStyle w:val="10"/>
          <w:rFonts w:hint="eastAsia" w:ascii="仿宋" w:hAnsi="仿宋" w:eastAsia="仿宋" w:cs="仿宋"/>
          <w:b w:val="0"/>
          <w:bCs w:val="0"/>
          <w:color w:val="auto"/>
        </w:rPr>
        <w:t>:</w:t>
      </w:r>
      <w:r>
        <w:rPr>
          <w:rStyle w:val="10"/>
          <w:rFonts w:hint="eastAsia" w:ascii="仿宋" w:hAnsi="仿宋" w:eastAsia="仿宋" w:cs="仿宋"/>
          <w:b w:val="0"/>
          <w:bCs w:val="0"/>
          <w:color w:val="auto"/>
          <w:lang w:val="en-US" w:eastAsia="zh-CN"/>
        </w:rPr>
        <w:t>0</w:t>
      </w:r>
      <w:r>
        <w:rPr>
          <w:rStyle w:val="10"/>
          <w:rFonts w:hint="eastAsia" w:ascii="仿宋" w:hAnsi="仿宋" w:eastAsia="仿宋" w:cs="仿宋"/>
          <w:b w:val="0"/>
          <w:bCs w:val="0"/>
          <w:color w:val="auto"/>
        </w:rPr>
        <w:t>0（北京时间，法定节假日除外）</w:t>
      </w:r>
    </w:p>
    <w:p w14:paraId="22B965CC">
      <w:pPr>
        <w:pStyle w:val="7"/>
        <w:spacing w:before="0" w:beforeAutospacing="0" w:after="0" w:afterAutospacing="0" w:line="400" w:lineRule="exact"/>
        <w:ind w:firstLine="480" w:firstLineChars="200"/>
        <w:rPr>
          <w:rFonts w:ascii="仿宋" w:hAnsi="仿宋" w:eastAsia="仿宋" w:cs="仿宋"/>
          <w:color w:val="auto"/>
        </w:rPr>
      </w:pPr>
      <w:r>
        <w:rPr>
          <w:rFonts w:hint="eastAsia" w:ascii="仿宋" w:hAnsi="仿宋" w:eastAsia="仿宋" w:cs="仿宋"/>
          <w:color w:val="auto"/>
        </w:rPr>
        <w:t>2.获取投标文件地址：政采云平台http://www.zcygov.cn</w:t>
      </w:r>
    </w:p>
    <w:p w14:paraId="003F0017">
      <w:pPr>
        <w:pStyle w:val="7"/>
        <w:spacing w:before="0" w:beforeAutospacing="0" w:after="0" w:afterAutospacing="0" w:line="400" w:lineRule="exact"/>
        <w:ind w:firstLine="470" w:firstLineChars="196"/>
        <w:rPr>
          <w:rStyle w:val="10"/>
          <w:rFonts w:ascii="仿宋" w:hAnsi="仿宋" w:eastAsia="仿宋" w:cs="仿宋"/>
          <w:b w:val="0"/>
          <w:bCs w:val="0"/>
          <w:color w:val="auto"/>
        </w:rPr>
      </w:pPr>
      <w:r>
        <w:rPr>
          <w:rStyle w:val="10"/>
          <w:rFonts w:hint="eastAsia" w:ascii="仿宋" w:hAnsi="仿宋" w:eastAsia="仿宋" w:cs="仿宋"/>
          <w:b w:val="0"/>
          <w:bCs w:val="0"/>
          <w:color w:val="auto"/>
        </w:rPr>
        <w:t>3.获取采购文件方式：线上获取。供应商登录政采云平台https://www.zcygov.cn/在线申请获取招标文件（进入“项目采购”应用，在获取采购文件菜单中选择项目，申请获取采购文件，如有操作性问题，可与政采云在线客服进行咨询，咨询电话：95763）。</w:t>
      </w:r>
    </w:p>
    <w:p w14:paraId="79BCAB1C">
      <w:pPr>
        <w:pStyle w:val="7"/>
        <w:tabs>
          <w:tab w:val="center" w:pos="4536"/>
        </w:tabs>
        <w:spacing w:before="0" w:beforeAutospacing="0" w:after="0" w:afterAutospacing="0" w:line="400" w:lineRule="exact"/>
        <w:ind w:firstLine="480" w:firstLineChars="200"/>
        <w:outlineLvl w:val="2"/>
        <w:rPr>
          <w:rStyle w:val="10"/>
          <w:rFonts w:ascii="仿宋" w:hAnsi="仿宋" w:eastAsia="仿宋" w:cs="仿宋"/>
          <w:b w:val="0"/>
          <w:bCs w:val="0"/>
          <w:color w:val="auto"/>
        </w:rPr>
      </w:pPr>
      <w:r>
        <w:rPr>
          <w:rStyle w:val="10"/>
          <w:rFonts w:hint="eastAsia" w:ascii="仿宋" w:hAnsi="仿宋" w:eastAsia="仿宋" w:cs="仿宋"/>
          <w:b w:val="0"/>
          <w:bCs w:val="0"/>
          <w:color w:val="auto"/>
        </w:rPr>
        <w:t>4.采购标文件售价（元）：0元/份</w:t>
      </w:r>
      <w:r>
        <w:rPr>
          <w:rStyle w:val="10"/>
          <w:rFonts w:hint="eastAsia" w:ascii="仿宋" w:hAnsi="仿宋" w:eastAsia="仿宋" w:cs="仿宋"/>
          <w:b w:val="0"/>
          <w:bCs w:val="0"/>
          <w:color w:val="auto"/>
        </w:rPr>
        <w:tab/>
      </w:r>
    </w:p>
    <w:p w14:paraId="1014174E">
      <w:pPr>
        <w:pStyle w:val="3"/>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四、提交投标文件截止时间、开标时间和地点</w:t>
      </w:r>
    </w:p>
    <w:p w14:paraId="21FFC570">
      <w:pPr>
        <w:spacing w:line="400" w:lineRule="exact"/>
        <w:ind w:firstLine="480" w:firstLineChars="200"/>
        <w:rPr>
          <w:rStyle w:val="10"/>
          <w:rFonts w:ascii="仿宋" w:hAnsi="仿宋" w:eastAsia="仿宋" w:cs="仿宋"/>
          <w:b w:val="0"/>
          <w:bCs w:val="0"/>
          <w:color w:val="auto"/>
          <w:kern w:val="0"/>
          <w:sz w:val="24"/>
          <w:szCs w:val="24"/>
          <w:highlight w:val="yellow"/>
        </w:rPr>
      </w:pPr>
      <w:r>
        <w:rPr>
          <w:rStyle w:val="10"/>
          <w:rFonts w:hint="eastAsia" w:ascii="仿宋" w:hAnsi="仿宋" w:eastAsia="仿宋" w:cs="仿宋"/>
          <w:b w:val="0"/>
          <w:bCs w:val="0"/>
          <w:color w:val="auto"/>
          <w:kern w:val="0"/>
          <w:sz w:val="24"/>
          <w:szCs w:val="24"/>
        </w:rPr>
        <w:t>1.提交投标文件截止时间、开标时间：</w:t>
      </w:r>
      <w:r>
        <w:rPr>
          <w:rFonts w:hint="eastAsia" w:ascii="仿宋" w:hAnsi="仿宋" w:eastAsia="仿宋" w:cs="仿宋"/>
          <w:color w:val="auto"/>
          <w:sz w:val="24"/>
          <w:szCs w:val="24"/>
          <w:lang w:eastAsia="zh-CN"/>
        </w:rPr>
        <w:t>2025年7月7日11点00分</w:t>
      </w:r>
      <w:r>
        <w:rPr>
          <w:rStyle w:val="10"/>
          <w:rFonts w:hint="eastAsia" w:ascii="仿宋" w:hAnsi="仿宋" w:eastAsia="仿宋" w:cs="仿宋"/>
          <w:b w:val="0"/>
          <w:bCs w:val="0"/>
          <w:color w:val="auto"/>
          <w:kern w:val="0"/>
          <w:sz w:val="24"/>
          <w:szCs w:val="24"/>
        </w:rPr>
        <w:t>（北京时间）</w:t>
      </w:r>
    </w:p>
    <w:p w14:paraId="514313C5">
      <w:pPr>
        <w:spacing w:line="400" w:lineRule="exact"/>
        <w:ind w:firstLine="480" w:firstLineChars="200"/>
        <w:outlineLvl w:val="2"/>
        <w:rPr>
          <w:rStyle w:val="10"/>
          <w:rFonts w:ascii="仿宋" w:hAnsi="仿宋" w:eastAsia="仿宋" w:cs="仿宋"/>
          <w:b w:val="0"/>
          <w:bCs w:val="0"/>
          <w:color w:val="auto"/>
          <w:kern w:val="0"/>
          <w:sz w:val="24"/>
          <w:szCs w:val="24"/>
        </w:rPr>
      </w:pPr>
      <w:r>
        <w:rPr>
          <w:rStyle w:val="10"/>
          <w:rFonts w:hint="eastAsia" w:ascii="仿宋" w:hAnsi="仿宋" w:eastAsia="仿宋" w:cs="仿宋"/>
          <w:b w:val="0"/>
          <w:bCs w:val="0"/>
          <w:color w:val="auto"/>
          <w:kern w:val="0"/>
          <w:sz w:val="24"/>
          <w:szCs w:val="24"/>
        </w:rPr>
        <w:t>2.地点：政采云客户端</w:t>
      </w:r>
    </w:p>
    <w:p w14:paraId="402E63EC">
      <w:pPr>
        <w:pStyle w:val="3"/>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五、公告期限</w:t>
      </w:r>
    </w:p>
    <w:p w14:paraId="441A836A">
      <w:pPr>
        <w:pStyle w:val="3"/>
        <w:spacing w:line="400" w:lineRule="exact"/>
        <w:ind w:firstLine="480" w:firstLineChars="200"/>
        <w:rPr>
          <w:rFonts w:ascii="仿宋" w:hAnsi="仿宋" w:eastAsia="仿宋" w:cs="仿宋"/>
          <w:bCs w:val="0"/>
          <w:color w:val="auto"/>
          <w:kern w:val="0"/>
          <w:sz w:val="24"/>
          <w:szCs w:val="24"/>
        </w:rPr>
      </w:pPr>
      <w:r>
        <w:rPr>
          <w:rFonts w:hint="eastAsia" w:ascii="仿宋" w:hAnsi="仿宋" w:eastAsia="仿宋" w:cs="仿宋"/>
          <w:bCs w:val="0"/>
          <w:color w:val="auto"/>
          <w:kern w:val="0"/>
          <w:sz w:val="24"/>
          <w:szCs w:val="24"/>
        </w:rPr>
        <w:t>招标公告及招标文件公告期限为自本公告发布之日起5个工作日。</w:t>
      </w:r>
    </w:p>
    <w:p w14:paraId="5ADF95B8">
      <w:pPr>
        <w:pStyle w:val="3"/>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六、其他补充事宜</w:t>
      </w:r>
    </w:p>
    <w:p w14:paraId="2E0FBE89">
      <w:pPr>
        <w:spacing w:line="400" w:lineRule="exact"/>
        <w:ind w:firstLine="480" w:firstLineChars="200"/>
        <w:outlineLvl w:val="2"/>
        <w:rPr>
          <w:rStyle w:val="10"/>
          <w:rFonts w:eastAsia="仿宋"/>
          <w:b w:val="0"/>
          <w:bCs w:val="0"/>
          <w:color w:val="auto"/>
          <w:kern w:val="0"/>
          <w:sz w:val="24"/>
          <w:szCs w:val="24"/>
        </w:rPr>
      </w:pPr>
      <w:r>
        <w:rPr>
          <w:rStyle w:val="10"/>
          <w:rFonts w:eastAsia="仿宋"/>
          <w:b w:val="0"/>
          <w:bCs w:val="0"/>
          <w:color w:val="auto"/>
          <w:kern w:val="0"/>
          <w:sz w:val="24"/>
          <w:szCs w:val="24"/>
        </w:rPr>
        <w:t xml:space="preserve"> 1、各供应商应在开标前确保成为新疆维吾尔自治区政府采购网正式注册入库供应商，并完成CA数字证书申领。因未注册入库、未办理CA数字证书等原因造成无法投标或投标失败等后果由供应商自行承担。</w:t>
      </w:r>
    </w:p>
    <w:p w14:paraId="3745E13E">
      <w:pPr>
        <w:spacing w:line="400" w:lineRule="exact"/>
        <w:ind w:firstLine="480" w:firstLineChars="200"/>
        <w:outlineLvl w:val="2"/>
        <w:rPr>
          <w:rStyle w:val="10"/>
          <w:rFonts w:eastAsia="仿宋"/>
          <w:b w:val="0"/>
          <w:bCs w:val="0"/>
          <w:color w:val="auto"/>
          <w:kern w:val="0"/>
          <w:sz w:val="24"/>
          <w:szCs w:val="24"/>
        </w:rPr>
      </w:pPr>
      <w:r>
        <w:rPr>
          <w:rStyle w:val="10"/>
          <w:rFonts w:eastAsia="仿宋"/>
          <w:b w:val="0"/>
          <w:bCs w:val="0"/>
          <w:color w:val="auto"/>
          <w:kern w:val="0"/>
          <w:sz w:val="24"/>
          <w:szCs w:val="24"/>
        </w:rPr>
        <w:t>2、有意向参与新疆区域电子开评标的投标人，可访问新疆数字证书认证中心官方网站（https://www.xjca.com.cn/）或下载“新疆政务通”APP自行进行申领。如需咨询，请联系新疆CA服务热线0991-2819290。</w:t>
      </w:r>
    </w:p>
    <w:p w14:paraId="7DFB6EE2">
      <w:pPr>
        <w:spacing w:line="400" w:lineRule="exact"/>
        <w:ind w:firstLine="480" w:firstLineChars="200"/>
        <w:outlineLvl w:val="2"/>
        <w:rPr>
          <w:rStyle w:val="10"/>
          <w:rFonts w:eastAsia="仿宋"/>
          <w:b w:val="0"/>
          <w:bCs w:val="0"/>
          <w:color w:val="auto"/>
          <w:kern w:val="0"/>
          <w:sz w:val="24"/>
          <w:szCs w:val="24"/>
        </w:rPr>
      </w:pPr>
      <w:r>
        <w:rPr>
          <w:rStyle w:val="10"/>
          <w:rFonts w:eastAsia="仿宋"/>
          <w:b w:val="0"/>
          <w:bCs w:val="0"/>
          <w:color w:val="auto"/>
          <w:kern w:val="0"/>
          <w:sz w:val="24"/>
          <w:szCs w:val="24"/>
        </w:rPr>
        <w:t>3、供应商可前往新疆政府采购网（http://www.ccgp-xinjiang.gov.cn/）下载专区，下载政采云电子投标客户端，安装完成后，可通过账号密码或CA登录客户端进行响应文件制作。如有问题可拨打政采云客户服务热线</w:t>
      </w:r>
      <w:r>
        <w:rPr>
          <w:rStyle w:val="10"/>
          <w:rFonts w:hint="eastAsia" w:eastAsia="仿宋"/>
          <w:b w:val="0"/>
          <w:bCs w:val="0"/>
          <w:color w:val="auto"/>
          <w:kern w:val="0"/>
          <w:sz w:val="24"/>
          <w:szCs w:val="24"/>
          <w:lang w:val="en-US" w:eastAsia="zh-CN"/>
        </w:rPr>
        <w:t>95763</w:t>
      </w:r>
      <w:r>
        <w:rPr>
          <w:rStyle w:val="10"/>
          <w:rFonts w:eastAsia="仿宋"/>
          <w:b w:val="0"/>
          <w:bCs w:val="0"/>
          <w:color w:val="auto"/>
          <w:kern w:val="0"/>
          <w:sz w:val="24"/>
          <w:szCs w:val="24"/>
        </w:rPr>
        <w:t>进行咨询。</w:t>
      </w:r>
    </w:p>
    <w:p w14:paraId="6BD9EB87">
      <w:pPr>
        <w:spacing w:line="400" w:lineRule="exact"/>
        <w:ind w:firstLine="480" w:firstLineChars="200"/>
        <w:outlineLvl w:val="2"/>
        <w:rPr>
          <w:rStyle w:val="10"/>
          <w:rFonts w:eastAsia="仿宋"/>
          <w:b w:val="0"/>
          <w:bCs w:val="0"/>
          <w:color w:val="auto"/>
          <w:kern w:val="0"/>
          <w:sz w:val="24"/>
          <w:szCs w:val="24"/>
        </w:rPr>
      </w:pPr>
      <w:r>
        <w:rPr>
          <w:rStyle w:val="10"/>
          <w:rFonts w:eastAsia="仿宋"/>
          <w:b w:val="0"/>
          <w:bCs w:val="0"/>
          <w:color w:val="auto"/>
          <w:kern w:val="0"/>
          <w:sz w:val="24"/>
          <w:szCs w:val="24"/>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3D6AA86">
      <w:pPr>
        <w:spacing w:line="400" w:lineRule="exact"/>
        <w:ind w:firstLine="480" w:firstLineChars="200"/>
        <w:outlineLvl w:val="2"/>
        <w:rPr>
          <w:rStyle w:val="10"/>
          <w:rFonts w:eastAsia="仿宋"/>
          <w:b w:val="0"/>
          <w:bCs w:val="0"/>
          <w:color w:val="auto"/>
          <w:kern w:val="0"/>
          <w:sz w:val="24"/>
          <w:szCs w:val="24"/>
        </w:rPr>
      </w:pPr>
      <w:r>
        <w:rPr>
          <w:rStyle w:val="10"/>
          <w:rFonts w:eastAsia="仿宋"/>
          <w:b w:val="0"/>
          <w:bCs w:val="0"/>
          <w:color w:val="auto"/>
          <w:kern w:val="0"/>
          <w:sz w:val="24"/>
          <w:szCs w:val="24"/>
        </w:rPr>
        <w:t>5、供应商在开标前须提前配置好电脑浏览器（建议使用谷歌浏览器），开标时请使用制作加密电子响应文件的CA锁进行解密及报价确认。本项目响应文件解密时间定为</w:t>
      </w:r>
      <w:r>
        <w:rPr>
          <w:rStyle w:val="10"/>
          <w:rFonts w:hint="eastAsia" w:eastAsia="仿宋"/>
          <w:b w:val="0"/>
          <w:bCs w:val="0"/>
          <w:color w:val="auto"/>
          <w:kern w:val="0"/>
          <w:sz w:val="24"/>
          <w:szCs w:val="24"/>
        </w:rPr>
        <w:t>3</w:t>
      </w:r>
      <w:r>
        <w:rPr>
          <w:rStyle w:val="10"/>
          <w:rFonts w:eastAsia="仿宋"/>
          <w:b w:val="0"/>
          <w:bCs w:val="0"/>
          <w:color w:val="auto"/>
          <w:kern w:val="0"/>
          <w:sz w:val="24"/>
          <w:szCs w:val="24"/>
        </w:rPr>
        <w:t>0分钟，如因自身原因（如：浏览器故障、未安装相关驱动、网络故障、加密CA与解密CA不一致等）导致无法正常解密，后果由供应商自行承担。</w:t>
      </w:r>
    </w:p>
    <w:p w14:paraId="5F26FC48">
      <w:pPr>
        <w:spacing w:line="400" w:lineRule="exact"/>
        <w:ind w:firstLine="480" w:firstLineChars="200"/>
        <w:outlineLvl w:val="2"/>
        <w:rPr>
          <w:color w:val="auto"/>
        </w:rPr>
      </w:pPr>
      <w:r>
        <w:rPr>
          <w:rStyle w:val="10"/>
          <w:rFonts w:eastAsia="仿宋"/>
          <w:b w:val="0"/>
          <w:bCs w:val="0"/>
          <w:color w:val="auto"/>
          <w:kern w:val="0"/>
          <w:sz w:val="24"/>
          <w:szCs w:val="24"/>
        </w:rPr>
        <w:t>6、为了保证开评标顺利进行，投标人开标所使用的电脑设备须具有视频及语音功能。</w:t>
      </w:r>
    </w:p>
    <w:p w14:paraId="717E1536">
      <w:pPr>
        <w:pStyle w:val="7"/>
        <w:spacing w:before="0" w:beforeAutospacing="0" w:after="0" w:afterAutospacing="0" w:line="400" w:lineRule="exact"/>
        <w:outlineLvl w:val="1"/>
        <w:rPr>
          <w:rFonts w:ascii="仿宋" w:hAnsi="仿宋" w:eastAsia="仿宋" w:cs="仿宋"/>
          <w:b/>
          <w:bCs/>
          <w:color w:val="auto"/>
        </w:rPr>
      </w:pPr>
      <w:r>
        <w:rPr>
          <w:rFonts w:hint="eastAsia" w:ascii="仿宋" w:hAnsi="仿宋" w:eastAsia="仿宋" w:cs="仿宋"/>
          <w:b/>
          <w:bCs/>
          <w:color w:val="auto"/>
        </w:rPr>
        <w:t>七、联系方式</w:t>
      </w:r>
    </w:p>
    <w:p w14:paraId="7A4A231D">
      <w:pPr>
        <w:widowControl/>
        <w:shd w:val="clear" w:color="auto" w:fill="FFFFFF"/>
        <w:spacing w:line="400" w:lineRule="exact"/>
        <w:ind w:firstLine="480" w:firstLineChars="200"/>
        <w:jc w:val="left"/>
        <w:outlineLvl w:val="2"/>
        <w:rPr>
          <w:rFonts w:hint="eastAsia" w:ascii="仿宋" w:hAnsi="仿宋" w:eastAsia="仿宋" w:cs="仿宋"/>
          <w:b/>
          <w:color w:val="auto"/>
          <w:sz w:val="32"/>
          <w:szCs w:val="32"/>
          <w:lang w:eastAsia="zh-CN"/>
        </w:rPr>
      </w:pPr>
      <w:r>
        <w:rPr>
          <w:rFonts w:hint="eastAsia" w:ascii="仿宋" w:hAnsi="仿宋" w:eastAsia="仿宋" w:cs="仿宋"/>
          <w:color w:val="auto"/>
          <w:sz w:val="24"/>
          <w:szCs w:val="24"/>
        </w:rPr>
        <w:t>1.采购人名称：</w:t>
      </w:r>
      <w:r>
        <w:rPr>
          <w:rFonts w:hint="eastAsia" w:ascii="仿宋" w:hAnsi="仿宋" w:eastAsia="仿宋" w:cs="仿宋"/>
          <w:color w:val="auto"/>
          <w:sz w:val="24"/>
          <w:szCs w:val="24"/>
          <w:lang w:eastAsia="zh-CN"/>
        </w:rPr>
        <w:t>哈巴河县商务科技和工业信息化局</w:t>
      </w:r>
    </w:p>
    <w:p w14:paraId="3848C474">
      <w:pPr>
        <w:widowControl/>
        <w:shd w:val="clear" w:color="auto" w:fill="FFFFFF"/>
        <w:spacing w:line="400" w:lineRule="exact"/>
        <w:ind w:firstLine="480" w:firstLineChars="200"/>
        <w:jc w:val="left"/>
        <w:outlineLvl w:val="2"/>
        <w:rPr>
          <w:rFonts w:ascii="仿宋" w:hAnsi="仿宋" w:eastAsia="仿宋" w:cs="仿宋"/>
          <w:color w:val="auto"/>
          <w:sz w:val="24"/>
          <w:szCs w:val="24"/>
        </w:rPr>
      </w:pPr>
      <w:r>
        <w:rPr>
          <w:rFonts w:hint="eastAsia" w:ascii="仿宋" w:hAnsi="仿宋" w:eastAsia="仿宋" w:cs="仿宋"/>
          <w:color w:val="auto"/>
          <w:sz w:val="24"/>
          <w:szCs w:val="24"/>
        </w:rPr>
        <w:t>联 系 人：</w:t>
      </w:r>
      <w:r>
        <w:rPr>
          <w:rFonts w:hint="eastAsia" w:ascii="仿宋" w:hAnsi="仿宋" w:eastAsia="仿宋" w:cs="仿宋"/>
          <w:color w:val="auto"/>
          <w:sz w:val="24"/>
          <w:szCs w:val="24"/>
          <w:lang w:eastAsia="zh-CN"/>
        </w:rPr>
        <w:t>刘主任</w:t>
      </w:r>
      <w:r>
        <w:rPr>
          <w:rFonts w:hint="eastAsia" w:ascii="仿宋" w:hAnsi="仿宋" w:eastAsia="仿宋" w:cs="仿宋"/>
          <w:color w:val="auto"/>
          <w:sz w:val="24"/>
          <w:szCs w:val="24"/>
        </w:rPr>
        <w:t xml:space="preserve">  </w:t>
      </w:r>
    </w:p>
    <w:p w14:paraId="6F6EF17F">
      <w:pPr>
        <w:widowControl/>
        <w:shd w:val="clear" w:color="auto" w:fill="FFFFFF"/>
        <w:spacing w:line="40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19990665222</w:t>
      </w:r>
    </w:p>
    <w:p w14:paraId="331401AE">
      <w:pPr>
        <w:widowControl/>
        <w:shd w:val="clear" w:color="auto" w:fill="FFFFFF"/>
        <w:spacing w:line="400" w:lineRule="exact"/>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地址：哈巴河县</w:t>
      </w:r>
    </w:p>
    <w:p w14:paraId="43E6C7D5">
      <w:pPr>
        <w:widowControl/>
        <w:shd w:val="clear" w:color="auto" w:fill="FFFFFF"/>
        <w:spacing w:line="400" w:lineRule="exact"/>
        <w:ind w:firstLine="480" w:firstLineChars="200"/>
        <w:jc w:val="left"/>
        <w:outlineLvl w:val="2"/>
        <w:rPr>
          <w:rFonts w:ascii="仿宋" w:hAnsi="仿宋" w:eastAsia="仿宋" w:cs="仿宋"/>
          <w:color w:val="auto"/>
          <w:sz w:val="24"/>
          <w:szCs w:val="24"/>
        </w:rPr>
      </w:pPr>
    </w:p>
    <w:p w14:paraId="28EA5572">
      <w:pPr>
        <w:widowControl/>
        <w:shd w:val="clear" w:color="auto" w:fill="FFFFFF"/>
        <w:spacing w:line="400" w:lineRule="exact"/>
        <w:ind w:firstLine="480" w:firstLineChars="200"/>
        <w:jc w:val="left"/>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2.采购代理机构名称：</w:t>
      </w:r>
      <w:r>
        <w:rPr>
          <w:rFonts w:hint="eastAsia" w:ascii="仿宋" w:hAnsi="仿宋" w:eastAsia="仿宋" w:cs="仿宋"/>
          <w:color w:val="auto"/>
          <w:sz w:val="24"/>
          <w:szCs w:val="24"/>
          <w:lang w:eastAsia="zh-CN"/>
        </w:rPr>
        <w:t>新疆蓝畅工程咨询管理有限公司</w:t>
      </w:r>
    </w:p>
    <w:p w14:paraId="2CD58053">
      <w:pPr>
        <w:pStyle w:val="7"/>
        <w:spacing w:before="0" w:beforeAutospacing="0" w:after="0" w:afterAutospacing="0" w:line="400" w:lineRule="exact"/>
        <w:ind w:firstLine="468" w:firstLineChars="195"/>
        <w:rPr>
          <w:rFonts w:hint="eastAsia" w:ascii="仿宋" w:hAnsi="仿宋" w:eastAsia="仿宋" w:cs="仿宋"/>
          <w:color w:val="auto"/>
          <w:lang w:eastAsia="zh-CN"/>
        </w:rPr>
      </w:pPr>
      <w:r>
        <w:rPr>
          <w:rFonts w:hint="eastAsia" w:ascii="仿宋" w:hAnsi="仿宋" w:eastAsia="仿宋" w:cs="仿宋"/>
          <w:color w:val="auto"/>
        </w:rPr>
        <w:t>联系人：</w:t>
      </w:r>
      <w:r>
        <w:rPr>
          <w:rFonts w:hint="eastAsia" w:ascii="仿宋" w:hAnsi="仿宋" w:eastAsia="仿宋" w:cs="仿宋"/>
          <w:color w:val="auto"/>
          <w:lang w:val="en-US" w:eastAsia="zh-CN"/>
        </w:rPr>
        <w:t>马洪燕</w:t>
      </w:r>
    </w:p>
    <w:p w14:paraId="578778B9">
      <w:pPr>
        <w:pStyle w:val="7"/>
        <w:spacing w:before="0" w:beforeAutospacing="0" w:after="0" w:afterAutospacing="0" w:line="400" w:lineRule="exact"/>
        <w:ind w:firstLine="470" w:firstLineChars="196"/>
        <w:rPr>
          <w:rFonts w:hint="default" w:ascii="仿宋" w:hAnsi="仿宋" w:eastAsia="仿宋" w:cs="仿宋"/>
          <w:color w:val="auto"/>
          <w:lang w:val="en-US" w:eastAsia="zh-CN"/>
        </w:rPr>
      </w:pPr>
      <w:r>
        <w:rPr>
          <w:rFonts w:hint="eastAsia" w:ascii="仿宋" w:hAnsi="仿宋" w:eastAsia="仿宋" w:cs="仿宋"/>
          <w:color w:val="auto"/>
        </w:rPr>
        <w:t>联系电话：</w:t>
      </w:r>
      <w:r>
        <w:rPr>
          <w:rFonts w:hint="eastAsia" w:ascii="仿宋" w:hAnsi="仿宋" w:eastAsia="仿宋" w:cs="仿宋"/>
          <w:color w:val="auto"/>
          <w:lang w:val="en-US" w:eastAsia="zh-CN"/>
        </w:rPr>
        <w:t>13199798830</w:t>
      </w:r>
    </w:p>
    <w:p w14:paraId="755E9A45">
      <w:pPr>
        <w:ind w:firstLine="420" w:firstLineChars="200"/>
      </w:pPr>
      <w:bookmarkStart w:id="6" w:name="_GoBack"/>
      <w:bookmarkEnd w:id="6"/>
      <w:r>
        <w:rPr>
          <w:rFonts w:hint="eastAsia" w:ascii="仿宋" w:hAnsi="仿宋" w:eastAsia="仿宋" w:cs="仿宋"/>
          <w:color w:val="auto"/>
        </w:rPr>
        <w:t>地址：</w:t>
      </w:r>
      <w:r>
        <w:rPr>
          <w:rFonts w:hint="eastAsia" w:ascii="仿宋" w:hAnsi="仿宋" w:eastAsia="仿宋" w:cs="仿宋"/>
          <w:color w:val="auto"/>
          <w:lang w:eastAsia="zh-CN"/>
        </w:rPr>
        <w:t>布尔津县夜光城旅游小镇4栋3层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4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outlineLvl w:val="2"/>
    </w:pPr>
    <w:rPr>
      <w:bCs/>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Calibri" w:hAnsi="Calibri" w:cs="黑体"/>
      <w:szCs w:val="24"/>
    </w:rPr>
  </w:style>
  <w:style w:type="paragraph" w:styleId="4">
    <w:name w:val="Body Text"/>
    <w:basedOn w:val="1"/>
    <w:next w:val="1"/>
    <w:qFormat/>
    <w:uiPriority w:val="0"/>
    <w:rPr>
      <w:rFonts w:ascii="Arial" w:hAnsi="Arial" w:cs="Arial"/>
      <w:sz w:val="24"/>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2025-06-26T11:30:11Z</dcterms:created>
  <dc:creator>Administrator</dc:creator>
  <cp:lastModifiedBy>Administrator</cp:lastModifiedBy>
  <dcterms:modified xsi:type="dcterms:W3CDTF">2025-06-26T11:31:36Z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eyJoZGlkIjoiMDA1MWEzZmJiYTIxNWM0NmM3YWQ3NGIwOGI0MWU3Y2MifQ==</vt:lpwstr>
  </property>
  <property fmtid="{D5CDD505-2E9C-101B-9397-08002B2CF9AE}" pid="4" name="ICV">
    <vt:lpwstr>6FD0454DCCB54197A7DCFFDAFEA721BB_12</vt:lpwstr>
  </property>
</Properties>
</file>