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val="en-US" w:eastAsia="zh-CN"/>
        </w:rPr>
      </w:pPr>
      <w:r>
        <w:rPr>
          <w:rFonts w:hint="eastAsia" w:ascii="华文中宋" w:hAnsi="华文中宋" w:eastAsia="华文中宋"/>
          <w:lang w:val="en-US" w:eastAsia="zh-CN"/>
        </w:rPr>
        <w:t xml:space="preserve">布尔津县规模化供水工程-监理      </w:t>
      </w:r>
    </w:p>
    <w:p>
      <w:pPr>
        <w:pStyle w:val="3"/>
        <w:tabs>
          <w:tab w:val="left" w:pos="0"/>
        </w:tabs>
        <w:autoSpaceDE w:val="0"/>
        <w:autoSpaceDN w:val="0"/>
        <w:adjustRightInd w:val="0"/>
        <w:spacing w:before="0" w:after="0" w:line="360" w:lineRule="auto"/>
        <w:jc w:val="center"/>
        <w:rPr>
          <w:rFonts w:hint="eastAsia" w:eastAsia="宋体"/>
          <w:lang w:eastAsia="zh-CN"/>
        </w:rPr>
      </w:pPr>
      <w:r>
        <w:rPr>
          <w:rFonts w:hint="eastAsia" w:ascii="华文中宋" w:hAnsi="华文中宋" w:eastAsia="华文中宋"/>
        </w:rPr>
        <w:t>竞争性</w:t>
      </w:r>
      <w:r>
        <w:rPr>
          <w:rFonts w:hint="eastAsia" w:ascii="华文中宋" w:hAnsi="华文中宋" w:eastAsia="华文中宋"/>
          <w:lang w:val="en-US" w:eastAsia="zh-CN"/>
        </w:rPr>
        <w:t>磋商</w:t>
      </w:r>
      <w:r>
        <w:rPr>
          <w:rFonts w:hint="eastAsia" w:ascii="华文中宋" w:hAnsi="华文中宋" w:eastAsia="华文中宋"/>
        </w:rPr>
        <w:t>公告</w:t>
      </w:r>
    </w:p>
    <w:p>
      <w:pPr>
        <w:pStyle w:val="4"/>
        <w:pageBreakBefore w:val="0"/>
        <w:kinsoku/>
        <w:wordWrap/>
        <w:overflowPunct/>
        <w:topLinePunct w:val="0"/>
        <w:bidi w:val="0"/>
        <w:snapToGrid/>
        <w:spacing w:line="440" w:lineRule="exact"/>
        <w:jc w:val="both"/>
        <w:textAlignment w:val="auto"/>
        <w:rPr>
          <w:rFonts w:ascii="黑体" w:hAnsi="黑体" w:cs="宋体"/>
          <w:b w:val="0"/>
          <w:sz w:val="28"/>
          <w:szCs w:val="28"/>
        </w:rPr>
      </w:pPr>
      <w:bookmarkStart w:id="0" w:name="_Toc35393798"/>
      <w:bookmarkStart w:id="1" w:name="_Toc35393629"/>
      <w:bookmarkStart w:id="2" w:name="_Toc28359012"/>
      <w:bookmarkStart w:id="3" w:name="_Toc28359089"/>
      <w:r>
        <w:rPr>
          <w:rFonts w:hint="eastAsia" w:ascii="黑体" w:hAnsi="黑体" w:cs="宋体"/>
          <w:b w:val="0"/>
          <w:sz w:val="28"/>
          <w:szCs w:val="28"/>
        </w:rPr>
        <w:t>一、项目基本情况</w:t>
      </w:r>
      <w:bookmarkEnd w:id="0"/>
      <w:bookmarkEnd w:id="1"/>
      <w:bookmarkEnd w:id="2"/>
      <w:bookmarkEnd w:id="3"/>
    </w:p>
    <w:p>
      <w:pPr>
        <w:pageBreakBefore w:val="0"/>
        <w:kinsoku/>
        <w:wordWrap/>
        <w:overflowPunct/>
        <w:topLinePunct w:val="0"/>
        <w:bidi w:val="0"/>
        <w:snapToGrid/>
        <w:spacing w:line="4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项目编号：LC-BEJZB[202</w:t>
      </w:r>
      <w:r>
        <w:rPr>
          <w:rFonts w:hint="eastAsia" w:ascii="仿宋" w:hAnsi="仿宋" w:eastAsia="仿宋"/>
          <w:sz w:val="28"/>
          <w:szCs w:val="28"/>
          <w:lang w:val="en-US" w:eastAsia="zh-CN"/>
        </w:rPr>
        <w:t>3</w:t>
      </w:r>
      <w:r>
        <w:rPr>
          <w:rFonts w:hint="eastAsia" w:ascii="仿宋" w:hAnsi="仿宋" w:eastAsia="仿宋"/>
          <w:sz w:val="28"/>
          <w:szCs w:val="28"/>
        </w:rPr>
        <w:t>]0</w:t>
      </w:r>
      <w:r>
        <w:rPr>
          <w:rFonts w:hint="eastAsia" w:ascii="仿宋" w:hAnsi="仿宋" w:eastAsia="仿宋"/>
          <w:sz w:val="28"/>
          <w:szCs w:val="28"/>
          <w:lang w:val="en-US" w:eastAsia="zh-CN"/>
        </w:rPr>
        <w:t>02</w:t>
      </w:r>
    </w:p>
    <w:p>
      <w:pPr>
        <w:pageBreakBefore w:val="0"/>
        <w:kinsoku/>
        <w:wordWrap/>
        <w:overflowPunct/>
        <w:topLinePunct w:val="0"/>
        <w:bidi w:val="0"/>
        <w:snapToGrid/>
        <w:spacing w:line="4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项目名称：</w:t>
      </w:r>
      <w:r>
        <w:rPr>
          <w:rFonts w:hint="eastAsia" w:ascii="仿宋" w:hAnsi="仿宋" w:eastAsia="仿宋"/>
          <w:sz w:val="28"/>
          <w:szCs w:val="28"/>
          <w:lang w:val="en-US" w:eastAsia="zh-CN"/>
        </w:rPr>
        <w:t>布尔津县规模化供水工程</w:t>
      </w:r>
      <w:r>
        <w:rPr>
          <w:rFonts w:hint="eastAsia" w:ascii="仿宋" w:hAnsi="仿宋" w:eastAsia="仿宋"/>
          <w:sz w:val="28"/>
          <w:szCs w:val="28"/>
        </w:rPr>
        <w:t>-监理</w:t>
      </w:r>
    </w:p>
    <w:p>
      <w:pPr>
        <w:pageBreakBefore w:val="0"/>
        <w:kinsoku/>
        <w:wordWrap/>
        <w:overflowPunct/>
        <w:topLinePunct w:val="0"/>
        <w:bidi w:val="0"/>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lang w:eastAsia="zh-CN"/>
        </w:rPr>
        <w:t>□</w:t>
      </w:r>
      <w:r>
        <w:rPr>
          <w:rFonts w:hint="eastAsia" w:ascii="仿宋" w:hAnsi="仿宋" w:eastAsia="仿宋"/>
          <w:sz w:val="28"/>
          <w:szCs w:val="28"/>
        </w:rPr>
        <w:t xml:space="preserve">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p>
      <w:pPr>
        <w:pageBreakBefore w:val="0"/>
        <w:kinsoku/>
        <w:wordWrap/>
        <w:overflowPunct/>
        <w:topLinePunct w:val="0"/>
        <w:bidi w:val="0"/>
        <w:snapToGrid/>
        <w:spacing w:line="4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en-US" w:eastAsia="zh-CN"/>
        </w:rPr>
        <w:t>60万元</w:t>
      </w:r>
    </w:p>
    <w:p>
      <w:pPr>
        <w:pageBreakBefore w:val="0"/>
        <w:kinsoku/>
        <w:wordWrap/>
        <w:overflowPunct/>
        <w:topLinePunct w:val="0"/>
        <w:bidi w:val="0"/>
        <w:snapToGrid/>
        <w:spacing w:line="44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最高限价：</w:t>
      </w:r>
      <w:r>
        <w:rPr>
          <w:rFonts w:hint="eastAsia" w:ascii="仿宋" w:hAnsi="仿宋" w:eastAsia="仿宋"/>
          <w:sz w:val="28"/>
          <w:szCs w:val="28"/>
          <w:lang w:val="en-US" w:eastAsia="zh-CN"/>
        </w:rPr>
        <w:t>60万元</w:t>
      </w:r>
    </w:p>
    <w:p>
      <w:pPr>
        <w:pageBreakBefore w:val="0"/>
        <w:kinsoku/>
        <w:wordWrap/>
        <w:overflowPunct/>
        <w:topLinePunct w:val="0"/>
        <w:bidi w:val="0"/>
        <w:snapToGrid/>
        <w:spacing w:line="440" w:lineRule="exact"/>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rPr>
        <w:t>采购需求：</w:t>
      </w:r>
      <w:r>
        <w:rPr>
          <w:rFonts w:hint="eastAsia" w:ascii="仿宋" w:hAnsi="仿宋" w:eastAsia="仿宋"/>
          <w:sz w:val="28"/>
          <w:szCs w:val="28"/>
          <w:lang w:val="en-US" w:eastAsia="zh-CN"/>
        </w:rPr>
        <w:t>布尔津县规模化供水工程</w:t>
      </w:r>
      <w:r>
        <w:rPr>
          <w:rFonts w:hint="eastAsia" w:ascii="仿宋" w:hAnsi="仿宋" w:eastAsia="仿宋"/>
          <w:sz w:val="28"/>
          <w:szCs w:val="28"/>
        </w:rPr>
        <w:t>-监理</w:t>
      </w:r>
      <w:r>
        <w:rPr>
          <w:rFonts w:hint="eastAsia" w:ascii="仿宋" w:hAnsi="仿宋" w:eastAsia="仿宋"/>
          <w:sz w:val="28"/>
          <w:szCs w:val="28"/>
          <w:lang w:eastAsia="zh-CN"/>
        </w:rPr>
        <w:t>，</w:t>
      </w:r>
      <w:r>
        <w:rPr>
          <w:rFonts w:hint="eastAsia" w:ascii="仿宋" w:hAnsi="仿宋" w:eastAsia="仿宋"/>
          <w:sz w:val="28"/>
          <w:szCs w:val="28"/>
        </w:rPr>
        <w:t>详见招标文件</w:t>
      </w:r>
    </w:p>
    <w:p>
      <w:pPr>
        <w:pageBreakBefore w:val="0"/>
        <w:kinsoku/>
        <w:wordWrap/>
        <w:overflowPunct/>
        <w:topLinePunct w:val="0"/>
        <w:bidi w:val="0"/>
        <w:snapToGrid/>
        <w:spacing w:line="440" w:lineRule="exact"/>
        <w:ind w:firstLine="560" w:firstLineChars="200"/>
        <w:textAlignment w:val="auto"/>
        <w:rPr>
          <w:rFonts w:hint="eastAsia" w:ascii="仿宋" w:hAnsi="仿宋" w:eastAsia="仿宋"/>
          <w:sz w:val="28"/>
          <w:szCs w:val="28"/>
          <w:u w:val="single"/>
          <w:lang w:eastAsia="zh-CN"/>
        </w:rPr>
      </w:pPr>
      <w:r>
        <w:rPr>
          <w:rFonts w:hint="eastAsia" w:ascii="仿宋" w:hAnsi="仿宋" w:eastAsia="仿宋"/>
          <w:sz w:val="28"/>
          <w:szCs w:val="28"/>
        </w:rPr>
        <w:t>合同履行期限：</w:t>
      </w:r>
      <w:r>
        <w:rPr>
          <w:rFonts w:hint="eastAsia" w:ascii="仿宋" w:hAnsi="仿宋" w:eastAsia="仿宋"/>
          <w:sz w:val="28"/>
          <w:szCs w:val="28"/>
          <w:lang w:eastAsia="zh-CN"/>
        </w:rPr>
        <w:t>详见</w:t>
      </w:r>
      <w:r>
        <w:rPr>
          <w:rFonts w:hint="eastAsia" w:ascii="仿宋" w:hAnsi="仿宋" w:eastAsia="仿宋"/>
          <w:sz w:val="28"/>
          <w:szCs w:val="28"/>
          <w:lang w:val="en-US" w:eastAsia="zh-CN"/>
        </w:rPr>
        <w:t>招标</w:t>
      </w:r>
      <w:r>
        <w:rPr>
          <w:rFonts w:hint="eastAsia" w:ascii="仿宋" w:hAnsi="仿宋" w:eastAsia="仿宋"/>
          <w:sz w:val="28"/>
          <w:szCs w:val="28"/>
          <w:lang w:eastAsia="zh-CN"/>
        </w:rPr>
        <w:t>文件</w:t>
      </w:r>
    </w:p>
    <w:p>
      <w:pPr>
        <w:pageBreakBefore w:val="0"/>
        <w:kinsoku/>
        <w:wordWrap/>
        <w:overflowPunct/>
        <w:topLinePunct w:val="0"/>
        <w:bidi w:val="0"/>
        <w:snapToGrid/>
        <w:spacing w:line="4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（□是☑</w:t>
      </w:r>
      <w:r>
        <w:rPr>
          <w:rFonts w:ascii="仿宋" w:hAnsi="仿宋" w:eastAsia="仿宋"/>
          <w:i/>
          <w:sz w:val="28"/>
          <w:szCs w:val="28"/>
        </w:rPr>
        <w:t>否</w:t>
      </w:r>
      <w:r>
        <w:rPr>
          <w:rFonts w:hint="eastAsia" w:ascii="仿宋" w:hAnsi="仿宋" w:eastAsia="仿宋"/>
          <w:sz w:val="28"/>
          <w:szCs w:val="28"/>
          <w:lang w:eastAsia="zh-CN"/>
        </w:rPr>
        <w:t>）</w:t>
      </w:r>
      <w:r>
        <w:rPr>
          <w:rFonts w:hint="eastAsia" w:ascii="仿宋" w:hAnsi="仿宋" w:eastAsia="仿宋"/>
          <w:sz w:val="28"/>
          <w:szCs w:val="28"/>
        </w:rPr>
        <w:t>接受联合体。</w:t>
      </w:r>
      <w:bookmarkStart w:id="4" w:name="_Toc28359013"/>
      <w:bookmarkStart w:id="5" w:name="_Toc35393799"/>
      <w:bookmarkStart w:id="6" w:name="_Toc35393630"/>
      <w:bookmarkStart w:id="7" w:name="_Toc28359090"/>
    </w:p>
    <w:p>
      <w:pPr>
        <w:pageBreakBefore w:val="0"/>
        <w:numPr>
          <w:ilvl w:val="0"/>
          <w:numId w:val="0"/>
        </w:numPr>
        <w:kinsoku/>
        <w:wordWrap/>
        <w:overflowPunct/>
        <w:topLinePunct w:val="0"/>
        <w:bidi w:val="0"/>
        <w:snapToGrid/>
        <w:spacing w:line="440" w:lineRule="exact"/>
        <w:textAlignment w:val="auto"/>
        <w:rPr>
          <w:rFonts w:hint="eastAsia" w:ascii="黑体" w:hAnsi="黑体" w:cs="宋体"/>
          <w:b w:val="0"/>
          <w:sz w:val="28"/>
          <w:szCs w:val="28"/>
        </w:rPr>
      </w:pPr>
      <w:r>
        <w:rPr>
          <w:rFonts w:hint="eastAsia" w:ascii="黑体" w:hAnsi="黑体" w:cs="宋体"/>
          <w:b w:val="0"/>
          <w:bCs w:val="0"/>
          <w:sz w:val="28"/>
          <w:szCs w:val="28"/>
          <w:lang w:eastAsia="zh-CN"/>
        </w:rPr>
        <w:t>二、</w:t>
      </w:r>
      <w:r>
        <w:rPr>
          <w:rFonts w:hint="eastAsia" w:ascii="黑体" w:hAnsi="黑体" w:cs="宋体"/>
          <w:b/>
          <w:bCs/>
          <w:sz w:val="28"/>
          <w:szCs w:val="28"/>
        </w:rPr>
        <w:t>申请人的资格要求</w:t>
      </w:r>
      <w:r>
        <w:rPr>
          <w:rFonts w:hint="eastAsia" w:ascii="黑体" w:hAnsi="黑体" w:cs="宋体"/>
          <w:b w:val="0"/>
          <w:sz w:val="28"/>
          <w:szCs w:val="28"/>
        </w:rPr>
        <w:t>：</w:t>
      </w:r>
      <w:bookmarkEnd w:id="4"/>
      <w:bookmarkEnd w:id="5"/>
      <w:bookmarkEnd w:id="6"/>
      <w:bookmarkEnd w:id="7"/>
      <w:bookmarkStart w:id="8" w:name="_Toc28359091"/>
      <w:bookmarkStart w:id="9" w:name="_Toc28359014"/>
      <w:bookmarkStart w:id="10" w:name="_Toc35393800"/>
      <w:bookmarkStart w:id="11" w:name="_Toc35393631"/>
    </w:p>
    <w:p>
      <w:pPr>
        <w:pStyle w:val="8"/>
        <w:keepNext w:val="0"/>
        <w:keepLines w:val="0"/>
        <w:pageBreakBefore w:val="0"/>
        <w:widowControl/>
        <w:suppressLineNumbers w:val="0"/>
        <w:kinsoku/>
        <w:wordWrap/>
        <w:overflowPunct/>
        <w:topLinePunct w:val="0"/>
        <w:bidi w:val="0"/>
        <w:snapToGrid/>
        <w:spacing w:before="75" w:beforeAutospacing="0" w:after="75" w:afterAutospacing="0" w:line="440" w:lineRule="exact"/>
        <w:ind w:left="0" w:right="0" w:firstLine="0"/>
        <w:textAlignment w:val="auto"/>
        <w:rPr>
          <w:rFonts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7"/>
          <w:szCs w:val="27"/>
        </w:rPr>
        <w:t>1.满足《中华人民共和国政府采购法》第二十二条规定；</w:t>
      </w:r>
    </w:p>
    <w:p>
      <w:pPr>
        <w:rPr>
          <w:rFonts w:hint="eastAsia" w:ascii="仿宋" w:hAnsi="仿宋" w:eastAsia="仿宋" w:cs="宋体"/>
          <w:sz w:val="22"/>
          <w:szCs w:val="22"/>
        </w:rPr>
      </w:pPr>
      <w:r>
        <w:rPr>
          <w:rFonts w:hint="eastAsia" w:ascii="仿宋" w:hAnsi="仿宋" w:eastAsia="仿宋" w:cs="宋体"/>
          <w:sz w:val="22"/>
          <w:szCs w:val="22"/>
        </w:rPr>
        <w:t>2.落实政府采购政策需满足的资格要求：</w:t>
      </w:r>
    </w:p>
    <w:p>
      <w:pPr>
        <w:rPr>
          <w:rFonts w:hint="eastAsia" w:ascii="仿宋" w:hAnsi="仿宋" w:eastAsia="仿宋" w:cs="宋体"/>
          <w:sz w:val="22"/>
          <w:szCs w:val="22"/>
        </w:rPr>
      </w:pPr>
      <w:r>
        <w:rPr>
          <w:rFonts w:hint="eastAsia" w:ascii="仿宋" w:hAnsi="仿宋" w:eastAsia="仿宋" w:cs="宋体"/>
          <w:sz w:val="22"/>
          <w:szCs w:val="22"/>
        </w:rPr>
        <w:t>1）具有独立承担民事责任的能力，有效的营业执照和相应的经营范围、良好的信誉，能够独立承担民事责任，承认并履行招标文件的各项规定；</w:t>
      </w:r>
    </w:p>
    <w:p>
      <w:pPr>
        <w:rPr>
          <w:rFonts w:hint="eastAsia" w:ascii="仿宋" w:hAnsi="仿宋" w:eastAsia="仿宋" w:cs="宋体"/>
          <w:sz w:val="22"/>
          <w:szCs w:val="22"/>
        </w:rPr>
      </w:pPr>
      <w:r>
        <w:rPr>
          <w:rFonts w:hint="eastAsia" w:ascii="仿宋" w:hAnsi="仿宋" w:eastAsia="仿宋" w:cs="宋体"/>
          <w:sz w:val="22"/>
          <w:szCs w:val="22"/>
        </w:rPr>
        <w:t>2)供应商提供有效的统一社会信用代码的营业执照，供应商必须是中华人民共和国境内注册的，具有独立承担民事责任的能力；</w:t>
      </w:r>
    </w:p>
    <w:p>
      <w:pPr>
        <w:rPr>
          <w:rFonts w:hint="eastAsia" w:ascii="仿宋" w:hAnsi="仿宋" w:eastAsia="仿宋" w:cs="宋体"/>
          <w:sz w:val="22"/>
          <w:szCs w:val="22"/>
        </w:rPr>
      </w:pPr>
      <w:r>
        <w:rPr>
          <w:rFonts w:hint="eastAsia" w:ascii="仿宋" w:hAnsi="仿宋" w:eastAsia="仿宋" w:cs="宋体"/>
          <w:sz w:val="22"/>
          <w:szCs w:val="22"/>
        </w:rPr>
        <w:t>3) 财务状况报告：供应商提供202</w:t>
      </w:r>
      <w:r>
        <w:rPr>
          <w:rFonts w:hint="eastAsia" w:ascii="仿宋" w:hAnsi="仿宋" w:eastAsia="仿宋" w:cs="宋体"/>
          <w:sz w:val="22"/>
          <w:szCs w:val="22"/>
          <w:lang w:val="en-US" w:eastAsia="zh-CN"/>
        </w:rPr>
        <w:t>2</w:t>
      </w:r>
      <w:r>
        <w:rPr>
          <w:rFonts w:hint="eastAsia" w:ascii="仿宋" w:hAnsi="仿宋" w:eastAsia="仿宋" w:cs="宋体"/>
          <w:sz w:val="22"/>
          <w:szCs w:val="22"/>
        </w:rPr>
        <w:t>年度经第三方权威机构出具的完整的财务审计报告或自发布公告之日起基本开户银行出具的资信证明； </w:t>
      </w:r>
    </w:p>
    <w:p>
      <w:pPr>
        <w:rPr>
          <w:rFonts w:hint="eastAsia" w:ascii="仿宋" w:hAnsi="仿宋" w:eastAsia="仿宋" w:cs="宋体"/>
          <w:sz w:val="22"/>
          <w:szCs w:val="22"/>
        </w:rPr>
      </w:pPr>
      <w:r>
        <w:rPr>
          <w:rFonts w:hint="eastAsia" w:ascii="仿宋" w:hAnsi="仿宋" w:eastAsia="仿宋" w:cs="宋体"/>
          <w:sz w:val="22"/>
          <w:szCs w:val="22"/>
        </w:rPr>
        <w:t>4) 依法缴纳税收：供应商提供自投标截止之日前半年内任意</w:t>
      </w:r>
      <w:r>
        <w:rPr>
          <w:rFonts w:hint="eastAsia" w:ascii="仿宋" w:hAnsi="仿宋" w:eastAsia="仿宋" w:cs="宋体"/>
          <w:sz w:val="22"/>
          <w:szCs w:val="22"/>
          <w:lang w:val="en-US" w:eastAsia="zh-CN"/>
        </w:rPr>
        <w:t>三</w:t>
      </w:r>
      <w:r>
        <w:rPr>
          <w:rFonts w:hint="eastAsia" w:ascii="仿宋" w:hAnsi="仿宋" w:eastAsia="仿宋" w:cs="宋体"/>
          <w:sz w:val="22"/>
          <w:szCs w:val="22"/>
        </w:rPr>
        <w:t>个月依法缴纳税收的凭据，依法免税的供应商，应提供充足的证明材料；</w:t>
      </w:r>
    </w:p>
    <w:p>
      <w:pPr>
        <w:rPr>
          <w:rFonts w:hint="eastAsia" w:ascii="仿宋" w:hAnsi="仿宋" w:eastAsia="仿宋" w:cs="宋体"/>
          <w:sz w:val="22"/>
          <w:szCs w:val="22"/>
        </w:rPr>
      </w:pPr>
      <w:r>
        <w:rPr>
          <w:rFonts w:hint="eastAsia" w:ascii="仿宋" w:hAnsi="仿宋" w:eastAsia="仿宋" w:cs="宋体"/>
          <w:sz w:val="22"/>
          <w:szCs w:val="22"/>
        </w:rPr>
        <w:t>5) 供应商逐月缴纳社会保障资金的，提供自投标截止之日前半年内任意</w:t>
      </w:r>
      <w:r>
        <w:rPr>
          <w:rFonts w:hint="eastAsia" w:ascii="仿宋" w:hAnsi="仿宋" w:eastAsia="仿宋" w:cs="宋体"/>
          <w:sz w:val="22"/>
          <w:szCs w:val="22"/>
          <w:lang w:val="en-US" w:eastAsia="zh-CN"/>
        </w:rPr>
        <w:t>三</w:t>
      </w:r>
      <w:r>
        <w:rPr>
          <w:rFonts w:hint="eastAsia" w:ascii="仿宋" w:hAnsi="仿宋" w:eastAsia="仿宋" w:cs="宋体"/>
          <w:sz w:val="22"/>
          <w:szCs w:val="22"/>
        </w:rPr>
        <w:t xml:space="preserve">个月缴纳社会保障资金的凭证；供应商逐年缴纳社会保障资金的，提供上年度缴纳社会保障资金的凭证； </w:t>
      </w:r>
    </w:p>
    <w:p>
      <w:pPr>
        <w:rPr>
          <w:rFonts w:hint="eastAsia" w:ascii="仿宋" w:hAnsi="仿宋" w:eastAsia="仿宋" w:cs="宋体"/>
          <w:sz w:val="22"/>
          <w:szCs w:val="22"/>
        </w:rPr>
      </w:pPr>
      <w:r>
        <w:rPr>
          <w:rFonts w:hint="eastAsia" w:ascii="仿宋" w:hAnsi="仿宋" w:eastAsia="仿宋" w:cs="宋体"/>
          <w:sz w:val="22"/>
          <w:szCs w:val="22"/>
        </w:rPr>
        <w:t xml:space="preserve">6) 供应商具备履行合同所必需的设备和专业技术能力的证明材料； </w:t>
      </w:r>
    </w:p>
    <w:p>
      <w:pPr>
        <w:rPr>
          <w:rFonts w:hint="eastAsia" w:ascii="仿宋" w:hAnsi="仿宋" w:eastAsia="仿宋" w:cs="宋体"/>
          <w:sz w:val="22"/>
          <w:szCs w:val="22"/>
        </w:rPr>
      </w:pPr>
      <w:r>
        <w:rPr>
          <w:rFonts w:hint="eastAsia" w:ascii="仿宋" w:hAnsi="仿宋" w:eastAsia="仿宋" w:cs="宋体"/>
          <w:sz w:val="22"/>
          <w:szCs w:val="22"/>
        </w:rPr>
        <w:t>7) 供应商提供参加政府采购活动前 3 年内在经营活动中没有重大违法记录的书面声明（截至开标日成立不满 3 年的供应商，可提供自成立以来无重大违法记录的书面声明）；</w:t>
      </w:r>
    </w:p>
    <w:p>
      <w:pPr>
        <w:rPr>
          <w:rFonts w:hint="eastAsia" w:ascii="仿宋" w:hAnsi="仿宋" w:eastAsia="仿宋" w:cs="宋体"/>
          <w:sz w:val="22"/>
          <w:szCs w:val="22"/>
        </w:rPr>
      </w:pPr>
      <w:r>
        <w:rPr>
          <w:rFonts w:hint="eastAsia" w:ascii="仿宋" w:hAnsi="仿宋" w:eastAsia="仿宋" w:cs="宋体"/>
          <w:sz w:val="22"/>
          <w:szCs w:val="22"/>
        </w:rPr>
        <w:t xml:space="preserve"> </w:t>
      </w:r>
    </w:p>
    <w:p>
      <w:pPr>
        <w:rPr>
          <w:rFonts w:hint="eastAsia" w:ascii="仿宋" w:hAnsi="仿宋" w:eastAsia="仿宋" w:cs="宋体"/>
          <w:sz w:val="22"/>
          <w:szCs w:val="22"/>
        </w:rPr>
      </w:pPr>
      <w:r>
        <w:rPr>
          <w:rFonts w:hint="eastAsia" w:ascii="仿宋" w:hAnsi="仿宋" w:eastAsia="仿宋" w:cs="宋体"/>
          <w:sz w:val="22"/>
          <w:szCs w:val="22"/>
        </w:rPr>
        <w:t>本项目特定资格要求：</w:t>
      </w:r>
    </w:p>
    <w:p>
      <w:pPr>
        <w:rPr>
          <w:rFonts w:hint="eastAsia" w:ascii="仿宋" w:hAnsi="仿宋" w:eastAsia="仿宋" w:cs="宋体"/>
          <w:sz w:val="22"/>
          <w:szCs w:val="22"/>
        </w:rPr>
      </w:pPr>
      <w:r>
        <w:rPr>
          <w:rFonts w:hint="eastAsia" w:ascii="仿宋" w:hAnsi="仿宋" w:eastAsia="仿宋" w:cs="宋体"/>
          <w:sz w:val="22"/>
          <w:szCs w:val="22"/>
        </w:rPr>
        <w:t>1.供应商需具有水利工程监理乙级及以上资质。疆外企业须提供《新疆维吾尔自治区区外建设工程企业信息登记册》或新疆工程建设云下载审核通过的信息报送册；</w:t>
      </w:r>
    </w:p>
    <w:p>
      <w:pPr>
        <w:rPr>
          <w:rFonts w:hint="eastAsia" w:ascii="仿宋" w:hAnsi="仿宋" w:eastAsia="仿宋" w:cs="宋体"/>
          <w:sz w:val="22"/>
          <w:szCs w:val="22"/>
        </w:rPr>
      </w:pPr>
      <w:r>
        <w:rPr>
          <w:rFonts w:hint="eastAsia" w:ascii="仿宋" w:hAnsi="仿宋" w:eastAsia="仿宋" w:cs="宋体"/>
          <w:sz w:val="22"/>
          <w:szCs w:val="22"/>
        </w:rPr>
        <w:t>2.项目总监须具备总监理工程师注册资格证书，且在有效期内；  </w:t>
      </w:r>
    </w:p>
    <w:p>
      <w:pPr>
        <w:rPr>
          <w:rFonts w:hint="eastAsia" w:ascii="仿宋" w:hAnsi="仿宋" w:eastAsia="仿宋" w:cs="宋体"/>
          <w:sz w:val="22"/>
          <w:szCs w:val="22"/>
        </w:rPr>
      </w:pPr>
      <w:r>
        <w:rPr>
          <w:rFonts w:hint="eastAsia" w:ascii="仿宋" w:hAnsi="仿宋" w:eastAsia="仿宋" w:cs="宋体"/>
          <w:sz w:val="22"/>
          <w:szCs w:val="22"/>
        </w:rPr>
        <w:t>3.具有良好的商业信誉和健全的财务会计制度；</w:t>
      </w:r>
    </w:p>
    <w:p>
      <w:pPr>
        <w:rPr>
          <w:rFonts w:hint="eastAsia" w:ascii="仿宋" w:hAnsi="仿宋" w:eastAsia="仿宋" w:cs="宋体"/>
          <w:sz w:val="22"/>
          <w:szCs w:val="22"/>
        </w:rPr>
      </w:pPr>
      <w:r>
        <w:rPr>
          <w:rFonts w:hint="eastAsia" w:ascii="仿宋" w:hAnsi="仿宋" w:eastAsia="仿宋" w:cs="宋体"/>
          <w:sz w:val="22"/>
          <w:szCs w:val="22"/>
        </w:rPr>
        <w:t>4.具有履行合同所必需的设备和专业技术能力；</w:t>
      </w:r>
    </w:p>
    <w:p>
      <w:pPr>
        <w:rPr>
          <w:rFonts w:hint="eastAsia" w:ascii="仿宋" w:hAnsi="仿宋" w:eastAsia="仿宋" w:cs="宋体"/>
          <w:sz w:val="22"/>
          <w:szCs w:val="22"/>
        </w:rPr>
      </w:pPr>
      <w:r>
        <w:rPr>
          <w:rFonts w:hint="eastAsia" w:ascii="仿宋" w:hAnsi="仿宋" w:eastAsia="仿宋" w:cs="宋体"/>
          <w:sz w:val="22"/>
          <w:szCs w:val="22"/>
        </w:rPr>
        <w:t>5.有依法缴纳税收和社会保障资金的良好记录；</w:t>
      </w:r>
    </w:p>
    <w:p>
      <w:pPr>
        <w:rPr>
          <w:rFonts w:hint="eastAsia" w:ascii="仿宋" w:hAnsi="仿宋" w:eastAsia="仿宋" w:cs="宋体"/>
          <w:sz w:val="22"/>
          <w:szCs w:val="22"/>
        </w:rPr>
      </w:pPr>
      <w:r>
        <w:rPr>
          <w:rFonts w:hint="eastAsia" w:ascii="仿宋" w:hAnsi="仿宋" w:eastAsia="仿宋" w:cs="宋体"/>
          <w:sz w:val="22"/>
          <w:szCs w:val="22"/>
        </w:rPr>
        <w:t>6.参加政府采购活动前三年内，在经营活动中没有重大违法记录；供应商未被“信用中国”（www.creditchina.gov.cn）、中国政府采购网（www.ccgp.gov.cn）列入失信被执行人、重大税收违法案件当事人名单、政府采购严重违法失信行为记录名单，供应商如在“信用中国”网站或中国政府采购网被列入严重违法失信行为记录名单的（尚在处罚期内的），将拒绝其参加本次政府采购活动﹙投标人网上自行打印后加盖投标单位公章且网页打印时间须在报名时间内。</w:t>
      </w:r>
    </w:p>
    <w:p>
      <w:pPr>
        <w:pStyle w:val="4"/>
        <w:pageBreakBefore w:val="0"/>
        <w:kinsoku/>
        <w:wordWrap/>
        <w:overflowPunct/>
        <w:topLinePunct w:val="0"/>
        <w:bidi w:val="0"/>
        <w:snapToGrid/>
        <w:spacing w:line="440" w:lineRule="exact"/>
        <w:jc w:val="both"/>
        <w:textAlignment w:val="auto"/>
        <w:rPr>
          <w:rFonts w:ascii="黑体" w:hAnsi="黑体" w:cs="宋体"/>
          <w:b w:val="0"/>
          <w:sz w:val="28"/>
          <w:szCs w:val="28"/>
        </w:rPr>
      </w:pPr>
      <w:r>
        <w:rPr>
          <w:rFonts w:hint="eastAsia" w:ascii="黑体" w:hAnsi="黑体" w:cs="宋体"/>
          <w:b w:val="0"/>
          <w:sz w:val="28"/>
          <w:szCs w:val="28"/>
        </w:rPr>
        <w:t>三、获取采购文件</w:t>
      </w:r>
      <w:bookmarkEnd w:id="8"/>
      <w:bookmarkEnd w:id="9"/>
      <w:bookmarkEnd w:id="10"/>
      <w:bookmarkEnd w:id="11"/>
    </w:p>
    <w:p>
      <w:pPr>
        <w:pageBreakBefore w:val="0"/>
        <w:kinsoku/>
        <w:wordWrap/>
        <w:overflowPunct/>
        <w:topLinePunct w:val="0"/>
        <w:bidi w:val="0"/>
        <w:snapToGrid/>
        <w:spacing w:line="440" w:lineRule="exact"/>
        <w:ind w:firstLine="540"/>
        <w:textAlignment w:val="auto"/>
        <w:rPr>
          <w:rFonts w:ascii="仿宋" w:hAnsi="仿宋" w:eastAsia="仿宋" w:cs="宋体"/>
          <w:sz w:val="28"/>
          <w:szCs w:val="28"/>
        </w:rPr>
      </w:pPr>
      <w:r>
        <w:rPr>
          <w:rFonts w:hint="eastAsia" w:ascii="仿宋" w:hAnsi="仿宋" w:eastAsia="仿宋" w:cs="宋体"/>
          <w:sz w:val="28"/>
          <w:szCs w:val="28"/>
        </w:rPr>
        <w:t>1.获取投标文件时间：</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 xml:space="preserve"> 年 </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2023</w:t>
      </w:r>
      <w:r>
        <w:rPr>
          <w:rFonts w:hint="eastAsia" w:ascii="仿宋" w:hAnsi="仿宋" w:eastAsia="仿宋" w:cs="宋体"/>
          <w:sz w:val="28"/>
          <w:szCs w:val="28"/>
          <w:u w:val="single"/>
        </w:rPr>
        <w:t xml:space="preserve"> 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 xml:space="preserve"> 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10：00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14：00</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16：00</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u w:val="single"/>
          <w:lang w:val="en-US" w:eastAsia="zh-CN"/>
        </w:rPr>
        <w:t>20：00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pageBreakBefore w:val="0"/>
        <w:kinsoku/>
        <w:wordWrap/>
        <w:overflowPunct/>
        <w:topLinePunct w:val="0"/>
        <w:bidi w:val="0"/>
        <w:snapToGrid/>
        <w:spacing w:line="440" w:lineRule="exact"/>
        <w:ind w:left="559" w:leftChars="266" w:firstLine="0" w:firstLineChars="0"/>
        <w:textAlignment w:val="auto"/>
        <w:rPr>
          <w:rFonts w:hint="eastAsia" w:ascii="仿宋" w:hAnsi="仿宋" w:eastAsia="仿宋"/>
          <w:sz w:val="28"/>
          <w:szCs w:val="28"/>
        </w:rPr>
      </w:pPr>
      <w:r>
        <w:rPr>
          <w:rFonts w:hint="eastAsia" w:ascii="仿宋" w:hAnsi="仿宋" w:eastAsia="仿宋"/>
          <w:sz w:val="28"/>
          <w:szCs w:val="28"/>
        </w:rPr>
        <w:t>2.获取投标文件地址：政采云平台http://www.zcygov.cn</w:t>
      </w:r>
    </w:p>
    <w:p>
      <w:pPr>
        <w:pageBreakBefore w:val="0"/>
        <w:kinsoku/>
        <w:wordWrap/>
        <w:overflowPunct/>
        <w:topLinePunct w:val="0"/>
        <w:bidi w:val="0"/>
        <w:snapToGrid/>
        <w:spacing w:line="440" w:lineRule="exact"/>
        <w:ind w:left="559" w:leftChars="266" w:firstLine="0" w:firstLineChars="0"/>
        <w:textAlignment w:val="auto"/>
        <w:rPr>
          <w:rFonts w:hint="eastAsia" w:ascii="仿宋" w:hAnsi="仿宋" w:eastAsia="仿宋"/>
          <w:sz w:val="28"/>
          <w:szCs w:val="28"/>
        </w:rPr>
      </w:pPr>
      <w:r>
        <w:rPr>
          <w:rFonts w:hint="eastAsia" w:ascii="仿宋" w:hAnsi="仿宋" w:eastAsia="仿宋"/>
          <w:sz w:val="28"/>
          <w:szCs w:val="28"/>
        </w:rPr>
        <w:t>3.获取采购文件方式：线上获取。供应商登录政采云平台https://www.zcygov.cn/在线申请获取招标文件（进入“项目采购”应用，在获取采购文件菜单中选择项目，申请获取采购文件，如有操作性问题，可与政采云在线客服进行咨询，咨询电话：95763）。</w:t>
      </w:r>
    </w:p>
    <w:p>
      <w:pPr>
        <w:pageBreakBefore w:val="0"/>
        <w:kinsoku/>
        <w:wordWrap/>
        <w:overflowPunct/>
        <w:topLinePunct w:val="0"/>
        <w:bidi w:val="0"/>
        <w:snapToGrid/>
        <w:spacing w:line="440" w:lineRule="exact"/>
        <w:ind w:left="559" w:leftChars="266" w:firstLine="0" w:firstLineChars="0"/>
        <w:textAlignment w:val="auto"/>
        <w:rPr>
          <w:rFonts w:hint="eastAsia" w:ascii="仿宋" w:hAnsi="仿宋" w:eastAsia="仿宋"/>
          <w:sz w:val="28"/>
          <w:szCs w:val="28"/>
        </w:rPr>
      </w:pPr>
      <w:r>
        <w:rPr>
          <w:rFonts w:hint="eastAsia" w:ascii="仿宋" w:hAnsi="仿宋" w:eastAsia="仿宋"/>
          <w:sz w:val="28"/>
          <w:szCs w:val="28"/>
        </w:rPr>
        <w:t>4.采购标文件售价（元）：0元/份</w:t>
      </w:r>
    </w:p>
    <w:p>
      <w:pPr>
        <w:pStyle w:val="5"/>
        <w:spacing w:line="400" w:lineRule="exact"/>
        <w:rPr>
          <w:rFonts w:ascii="仿宋" w:hAnsi="仿宋" w:eastAsia="仿宋" w:cs="仿宋"/>
          <w:b/>
          <w:color w:val="auto"/>
          <w:kern w:val="0"/>
          <w:sz w:val="24"/>
          <w:szCs w:val="24"/>
        </w:rPr>
      </w:pPr>
      <w:bookmarkStart w:id="12" w:name="_Toc35393636"/>
      <w:bookmarkStart w:id="13" w:name="_Toc28359095"/>
      <w:bookmarkStart w:id="14" w:name="_Toc35393805"/>
      <w:bookmarkStart w:id="15" w:name="_Toc28359018"/>
      <w:r>
        <w:rPr>
          <w:rFonts w:hint="eastAsia" w:ascii="仿宋" w:hAnsi="仿宋" w:eastAsia="仿宋" w:cs="仿宋"/>
          <w:b/>
          <w:color w:val="auto"/>
          <w:kern w:val="0"/>
          <w:sz w:val="24"/>
          <w:szCs w:val="24"/>
        </w:rPr>
        <w:t>四、提交投标文件截止时间、开标时间和地点</w:t>
      </w:r>
    </w:p>
    <w:p>
      <w:pPr>
        <w:spacing w:line="400" w:lineRule="exact"/>
        <w:ind w:firstLine="480" w:firstLineChars="200"/>
        <w:rPr>
          <w:rStyle w:val="11"/>
          <w:rFonts w:ascii="仿宋" w:hAnsi="仿宋" w:eastAsia="仿宋" w:cs="仿宋"/>
          <w:b w:val="0"/>
          <w:bCs w:val="0"/>
          <w:color w:val="auto"/>
          <w:kern w:val="0"/>
          <w:sz w:val="24"/>
          <w:szCs w:val="24"/>
          <w:highlight w:val="yellow"/>
        </w:rPr>
      </w:pPr>
      <w:r>
        <w:rPr>
          <w:rStyle w:val="11"/>
          <w:rFonts w:hint="eastAsia" w:ascii="仿宋" w:hAnsi="仿宋" w:eastAsia="仿宋" w:cs="仿宋"/>
          <w:b w:val="0"/>
          <w:bCs w:val="0"/>
          <w:color w:val="auto"/>
          <w:kern w:val="0"/>
          <w:sz w:val="24"/>
          <w:szCs w:val="24"/>
        </w:rPr>
        <w:t>1.提交投标文件截止时间、开标时间：</w:t>
      </w:r>
      <w:r>
        <w:rPr>
          <w:rFonts w:hint="eastAsia" w:ascii="仿宋" w:hAnsi="仿宋" w:eastAsia="仿宋" w:cs="仿宋"/>
          <w:color w:val="auto"/>
          <w:sz w:val="24"/>
          <w:szCs w:val="24"/>
          <w:lang w:eastAsia="zh-CN"/>
        </w:rPr>
        <w:t>2023年</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lang w:eastAsia="zh-CN"/>
        </w:rPr>
        <w:t>日1</w:t>
      </w:r>
      <w:r>
        <w:rPr>
          <w:rFonts w:hint="eastAsia" w:ascii="仿宋" w:hAnsi="仿宋" w:eastAsia="仿宋" w:cs="仿宋"/>
          <w:color w:val="auto"/>
          <w:sz w:val="24"/>
          <w:szCs w:val="24"/>
          <w:lang w:val="en-US" w:eastAsia="zh-CN"/>
        </w:rPr>
        <w:t>6</w:t>
      </w:r>
      <w:bookmarkStart w:id="24" w:name="_GoBack"/>
      <w:bookmarkEnd w:id="24"/>
      <w:r>
        <w:rPr>
          <w:rFonts w:hint="eastAsia" w:ascii="仿宋" w:hAnsi="仿宋" w:eastAsia="仿宋" w:cs="仿宋"/>
          <w:color w:val="auto"/>
          <w:sz w:val="24"/>
          <w:szCs w:val="24"/>
          <w:lang w:eastAsia="zh-CN"/>
        </w:rPr>
        <w:t>点00分</w:t>
      </w:r>
      <w:r>
        <w:rPr>
          <w:rStyle w:val="11"/>
          <w:rFonts w:hint="eastAsia" w:ascii="仿宋" w:hAnsi="仿宋" w:eastAsia="仿宋" w:cs="仿宋"/>
          <w:b w:val="0"/>
          <w:bCs w:val="0"/>
          <w:color w:val="auto"/>
          <w:kern w:val="0"/>
          <w:sz w:val="24"/>
          <w:szCs w:val="24"/>
        </w:rPr>
        <w:t>（北京时间）</w:t>
      </w:r>
    </w:p>
    <w:p>
      <w:pPr>
        <w:spacing w:line="400" w:lineRule="exact"/>
        <w:ind w:firstLine="480" w:firstLineChars="200"/>
        <w:outlineLvl w:val="2"/>
        <w:rPr>
          <w:rStyle w:val="11"/>
          <w:rFonts w:ascii="仿宋" w:hAnsi="仿宋" w:eastAsia="仿宋" w:cs="仿宋"/>
          <w:b w:val="0"/>
          <w:bCs w:val="0"/>
          <w:color w:val="auto"/>
          <w:kern w:val="0"/>
          <w:sz w:val="24"/>
          <w:szCs w:val="24"/>
        </w:rPr>
      </w:pPr>
      <w:r>
        <w:rPr>
          <w:rStyle w:val="11"/>
          <w:rFonts w:hint="eastAsia" w:ascii="仿宋" w:hAnsi="仿宋" w:eastAsia="仿宋" w:cs="仿宋"/>
          <w:b w:val="0"/>
          <w:bCs w:val="0"/>
          <w:color w:val="auto"/>
          <w:kern w:val="0"/>
          <w:sz w:val="24"/>
          <w:szCs w:val="24"/>
        </w:rPr>
        <w:t>2.地点：政采云客户端</w:t>
      </w:r>
    </w:p>
    <w:p>
      <w:pPr>
        <w:pStyle w:val="5"/>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五、公告期限</w:t>
      </w:r>
    </w:p>
    <w:p>
      <w:pPr>
        <w:pStyle w:val="5"/>
        <w:spacing w:line="400" w:lineRule="exact"/>
        <w:ind w:firstLine="480" w:firstLineChars="200"/>
        <w:rPr>
          <w:rFonts w:ascii="仿宋" w:hAnsi="仿宋" w:eastAsia="仿宋" w:cs="仿宋"/>
          <w:bCs w:val="0"/>
          <w:color w:val="auto"/>
          <w:kern w:val="0"/>
          <w:sz w:val="24"/>
          <w:szCs w:val="24"/>
        </w:rPr>
      </w:pPr>
      <w:r>
        <w:rPr>
          <w:rFonts w:hint="eastAsia" w:ascii="仿宋" w:hAnsi="仿宋" w:eastAsia="仿宋" w:cs="仿宋"/>
          <w:bCs w:val="0"/>
          <w:color w:val="auto"/>
          <w:kern w:val="0"/>
          <w:sz w:val="24"/>
          <w:szCs w:val="24"/>
        </w:rPr>
        <w:t>招标公告及招标文件公告期限为自本公告发布之日起5个工作日。</w:t>
      </w:r>
    </w:p>
    <w:p>
      <w:pPr>
        <w:pStyle w:val="5"/>
        <w:spacing w:line="400" w:lineRule="exact"/>
        <w:rPr>
          <w:rFonts w:ascii="仿宋" w:hAnsi="仿宋" w:eastAsia="仿宋" w:cs="仿宋"/>
          <w:b/>
          <w:color w:val="auto"/>
          <w:kern w:val="0"/>
          <w:sz w:val="24"/>
          <w:szCs w:val="24"/>
        </w:rPr>
      </w:pPr>
      <w:r>
        <w:rPr>
          <w:rFonts w:hint="eastAsia" w:ascii="仿宋" w:hAnsi="仿宋" w:eastAsia="仿宋" w:cs="仿宋"/>
          <w:b/>
          <w:color w:val="auto"/>
          <w:kern w:val="0"/>
          <w:sz w:val="24"/>
          <w:szCs w:val="24"/>
        </w:rPr>
        <w:t>六、其他补充事宜</w:t>
      </w:r>
    </w:p>
    <w:p>
      <w:pPr>
        <w:spacing w:line="400" w:lineRule="exact"/>
        <w:ind w:firstLine="480" w:firstLineChars="200"/>
        <w:outlineLvl w:val="2"/>
        <w:rPr>
          <w:rStyle w:val="11"/>
          <w:rFonts w:eastAsia="仿宋"/>
          <w:b w:val="0"/>
          <w:bCs w:val="0"/>
          <w:color w:val="auto"/>
          <w:kern w:val="0"/>
          <w:sz w:val="24"/>
          <w:szCs w:val="24"/>
        </w:rPr>
      </w:pPr>
      <w:r>
        <w:rPr>
          <w:rStyle w:val="11"/>
          <w:rFonts w:eastAsia="仿宋"/>
          <w:b w:val="0"/>
          <w:bCs w:val="0"/>
          <w:color w:val="auto"/>
          <w:kern w:val="0"/>
          <w:sz w:val="24"/>
          <w:szCs w:val="24"/>
        </w:rPr>
        <w:t xml:space="preserve"> 1、各供应商应在开标前确保成为新疆维吾尔自治区政府采购网正式注册入库供应商，并完成CA数字证书申领。因未注册入库、未办理CA数字证书等原因造成无法投标或投标失败等后果由供应商自行承担。</w:t>
      </w:r>
    </w:p>
    <w:p>
      <w:pPr>
        <w:spacing w:line="400" w:lineRule="exact"/>
        <w:ind w:firstLine="480" w:firstLineChars="200"/>
        <w:outlineLvl w:val="2"/>
        <w:rPr>
          <w:rStyle w:val="11"/>
          <w:rFonts w:eastAsia="仿宋"/>
          <w:b w:val="0"/>
          <w:bCs w:val="0"/>
          <w:color w:val="auto"/>
          <w:kern w:val="0"/>
          <w:sz w:val="24"/>
          <w:szCs w:val="24"/>
        </w:rPr>
      </w:pPr>
      <w:r>
        <w:rPr>
          <w:rStyle w:val="11"/>
          <w:rFonts w:eastAsia="仿宋"/>
          <w:b w:val="0"/>
          <w:bCs w:val="0"/>
          <w:color w:val="auto"/>
          <w:kern w:val="0"/>
          <w:sz w:val="24"/>
          <w:szCs w:val="24"/>
        </w:rPr>
        <w:t>2、有意向参与新疆区域电子开评标的投标人，可访问新疆数字证书认证中心官方网站（https://www.xjca.com.cn/）或下载“新疆政务通”APP自行进行申领。如需咨询，请联系新疆CA服务热线0991-2819290。</w:t>
      </w:r>
    </w:p>
    <w:p>
      <w:pPr>
        <w:spacing w:line="400" w:lineRule="exact"/>
        <w:ind w:firstLine="480" w:firstLineChars="200"/>
        <w:outlineLvl w:val="2"/>
        <w:rPr>
          <w:rStyle w:val="11"/>
          <w:rFonts w:eastAsia="仿宋"/>
          <w:b w:val="0"/>
          <w:bCs w:val="0"/>
          <w:color w:val="auto"/>
          <w:kern w:val="0"/>
          <w:sz w:val="24"/>
          <w:szCs w:val="24"/>
        </w:rPr>
      </w:pPr>
      <w:r>
        <w:rPr>
          <w:rStyle w:val="11"/>
          <w:rFonts w:eastAsia="仿宋"/>
          <w:b w:val="0"/>
          <w:bCs w:val="0"/>
          <w:color w:val="auto"/>
          <w:kern w:val="0"/>
          <w:sz w:val="24"/>
          <w:szCs w:val="24"/>
        </w:rPr>
        <w:t>3、供应商可前往新疆政府采购网（http://www.ccgp-xinjiang.gov.cn/）下载专区，下载政采云电子投标客户端，安装完成后，可通过账号密码或CA登录客户端进行响应文件制作。如有问题可拨打政采云客户服务热线400-881-7190进行咨询。</w:t>
      </w:r>
    </w:p>
    <w:p>
      <w:pPr>
        <w:spacing w:line="400" w:lineRule="exact"/>
        <w:ind w:firstLine="480" w:firstLineChars="200"/>
        <w:outlineLvl w:val="2"/>
        <w:rPr>
          <w:rStyle w:val="11"/>
          <w:rFonts w:eastAsia="仿宋"/>
          <w:b w:val="0"/>
          <w:bCs w:val="0"/>
          <w:color w:val="auto"/>
          <w:kern w:val="0"/>
          <w:sz w:val="24"/>
          <w:szCs w:val="24"/>
        </w:rPr>
      </w:pPr>
      <w:r>
        <w:rPr>
          <w:rStyle w:val="11"/>
          <w:rFonts w:eastAsia="仿宋"/>
          <w:b w:val="0"/>
          <w:bCs w:val="0"/>
          <w:color w:val="auto"/>
          <w:kern w:val="0"/>
          <w:sz w:val="24"/>
          <w:szCs w:val="24"/>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spacing w:line="400" w:lineRule="exact"/>
        <w:ind w:firstLine="480" w:firstLineChars="200"/>
        <w:outlineLvl w:val="2"/>
        <w:rPr>
          <w:rStyle w:val="11"/>
          <w:rFonts w:eastAsia="仿宋"/>
          <w:b w:val="0"/>
          <w:bCs w:val="0"/>
          <w:color w:val="auto"/>
          <w:kern w:val="0"/>
          <w:sz w:val="24"/>
          <w:szCs w:val="24"/>
        </w:rPr>
      </w:pPr>
      <w:r>
        <w:rPr>
          <w:rStyle w:val="11"/>
          <w:rFonts w:eastAsia="仿宋"/>
          <w:b w:val="0"/>
          <w:bCs w:val="0"/>
          <w:color w:val="auto"/>
          <w:kern w:val="0"/>
          <w:sz w:val="24"/>
          <w:szCs w:val="24"/>
        </w:rPr>
        <w:t>5、供应商在开标前须提前配置好电脑浏览器（建议使用谷歌浏览器），开标时请使用制作加密电子响应文件的CA锁进行解密及报价确认。本项目响应文件解密时间定为</w:t>
      </w:r>
      <w:r>
        <w:rPr>
          <w:rStyle w:val="11"/>
          <w:rFonts w:hint="eastAsia" w:eastAsia="仿宋"/>
          <w:b w:val="0"/>
          <w:bCs w:val="0"/>
          <w:color w:val="auto"/>
          <w:kern w:val="0"/>
          <w:sz w:val="24"/>
          <w:szCs w:val="24"/>
        </w:rPr>
        <w:t>3</w:t>
      </w:r>
      <w:r>
        <w:rPr>
          <w:rStyle w:val="11"/>
          <w:rFonts w:eastAsia="仿宋"/>
          <w:b w:val="0"/>
          <w:bCs w:val="0"/>
          <w:color w:val="auto"/>
          <w:kern w:val="0"/>
          <w:sz w:val="24"/>
          <w:szCs w:val="24"/>
        </w:rPr>
        <w:t>0分钟，如因自身原因（如：浏览器故障、未安装相关驱动、网络故障、加密CA与解密CA不一致等）导致无法正常解密，后果由供应商自行承担。</w:t>
      </w:r>
    </w:p>
    <w:p>
      <w:pPr>
        <w:spacing w:line="400" w:lineRule="exact"/>
        <w:ind w:firstLine="480" w:firstLineChars="200"/>
        <w:outlineLvl w:val="2"/>
        <w:rPr>
          <w:color w:val="auto"/>
        </w:rPr>
      </w:pPr>
      <w:r>
        <w:rPr>
          <w:rStyle w:val="11"/>
          <w:rFonts w:eastAsia="仿宋"/>
          <w:b w:val="0"/>
          <w:bCs w:val="0"/>
          <w:color w:val="auto"/>
          <w:kern w:val="0"/>
          <w:sz w:val="24"/>
          <w:szCs w:val="24"/>
        </w:rPr>
        <w:t>6、为了保证开评标顺利进行，投标人开标所使用的电脑设备须具有视频及语音功能。</w:t>
      </w:r>
    </w:p>
    <w:p>
      <w:pPr>
        <w:pStyle w:val="4"/>
        <w:pageBreakBefore w:val="0"/>
        <w:widowControl w:val="0"/>
        <w:kinsoku/>
        <w:wordWrap/>
        <w:overflowPunct/>
        <w:topLinePunct w:val="0"/>
        <w:autoSpaceDE/>
        <w:autoSpaceDN/>
        <w:bidi w:val="0"/>
        <w:adjustRightInd/>
        <w:snapToGrid/>
        <w:spacing w:line="440" w:lineRule="exact"/>
        <w:jc w:val="both"/>
        <w:textAlignment w:val="auto"/>
        <w:rPr>
          <w:rFonts w:ascii="黑体" w:hAnsi="黑体" w:cs="宋体"/>
          <w:b w:val="0"/>
          <w:sz w:val="28"/>
          <w:szCs w:val="28"/>
        </w:rPr>
      </w:pPr>
      <w:r>
        <w:rPr>
          <w:rFonts w:hint="eastAsia" w:ascii="黑体" w:hAnsi="黑体" w:cs="宋体"/>
          <w:b w:val="0"/>
          <w:sz w:val="28"/>
          <w:szCs w:val="28"/>
        </w:rPr>
        <w:t>八、联系</w:t>
      </w:r>
      <w:r>
        <w:rPr>
          <w:rFonts w:hint="eastAsia" w:ascii="黑体" w:hAnsi="黑体" w:cs="宋体"/>
          <w:b w:val="0"/>
          <w:sz w:val="28"/>
          <w:szCs w:val="28"/>
          <w:lang w:val="en-US" w:eastAsia="zh-CN"/>
        </w:rPr>
        <w:t>方式</w:t>
      </w:r>
      <w:bookmarkEnd w:id="12"/>
      <w:bookmarkEnd w:id="13"/>
      <w:bookmarkEnd w:id="14"/>
      <w:bookmarkEnd w:id="15"/>
    </w:p>
    <w:p>
      <w:pPr>
        <w:pStyle w:val="4"/>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ascii="仿宋" w:hAnsi="仿宋" w:eastAsia="仿宋" w:cs="宋体"/>
          <w:b w:val="0"/>
          <w:sz w:val="28"/>
          <w:szCs w:val="28"/>
        </w:rPr>
      </w:pPr>
      <w:bookmarkStart w:id="16" w:name="_Toc35393637"/>
      <w:bookmarkStart w:id="17" w:name="_Toc35393806"/>
      <w:bookmarkStart w:id="18" w:name="_Toc28359096"/>
      <w:bookmarkStart w:id="19" w:name="_Toc28359019"/>
      <w:r>
        <w:rPr>
          <w:rFonts w:hint="eastAsia" w:ascii="仿宋" w:hAnsi="仿宋" w:eastAsia="仿宋" w:cs="宋体"/>
          <w:b w:val="0"/>
          <w:sz w:val="28"/>
          <w:szCs w:val="28"/>
        </w:rPr>
        <w:t>1.采购人信息</w:t>
      </w:r>
      <w:bookmarkEnd w:id="16"/>
      <w:bookmarkEnd w:id="17"/>
      <w:bookmarkEnd w:id="18"/>
      <w:bookmarkEnd w:id="19"/>
    </w:p>
    <w:p>
      <w:pPr>
        <w:pageBreakBefore w:val="0"/>
        <w:widowControl w:val="0"/>
        <w:kinsoku/>
        <w:wordWrap/>
        <w:overflowPunct/>
        <w:topLinePunct w:val="0"/>
        <w:autoSpaceDE/>
        <w:autoSpaceDN/>
        <w:bidi w:val="0"/>
        <w:adjustRightInd/>
        <w:snapToGrid/>
        <w:spacing w:line="440" w:lineRule="exact"/>
        <w:ind w:left="1129" w:leftChars="371" w:hanging="350" w:hangingChars="125"/>
        <w:jc w:val="left"/>
        <w:textAlignment w:val="auto"/>
        <w:rPr>
          <w:rFonts w:hint="eastAsia" w:ascii="仿宋" w:hAnsi="仿宋" w:eastAsia="仿宋"/>
          <w:sz w:val="28"/>
          <w:szCs w:val="28"/>
          <w:u w:val="single"/>
        </w:rPr>
      </w:pPr>
      <w:r>
        <w:rPr>
          <w:rFonts w:hint="eastAsia" w:ascii="仿宋" w:hAnsi="仿宋" w:eastAsia="仿宋"/>
          <w:sz w:val="28"/>
          <w:szCs w:val="28"/>
        </w:rPr>
        <w:t>名    称：布尔津县农村饮水安全工程服务中心</w:t>
      </w:r>
    </w:p>
    <w:p>
      <w:pPr>
        <w:pageBreakBefore w:val="0"/>
        <w:widowControl w:val="0"/>
        <w:kinsoku/>
        <w:wordWrap/>
        <w:overflowPunct/>
        <w:topLinePunct w:val="0"/>
        <w:autoSpaceDE/>
        <w:autoSpaceDN/>
        <w:bidi w:val="0"/>
        <w:adjustRightInd/>
        <w:snapToGrid/>
        <w:spacing w:line="440" w:lineRule="exact"/>
        <w:ind w:left="1129" w:leftChars="371" w:hanging="350" w:hangingChars="125"/>
        <w:jc w:val="left"/>
        <w:textAlignment w:val="auto"/>
        <w:rPr>
          <w:rFonts w:hint="eastAsia"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r>
        <w:rPr>
          <w:rFonts w:hint="eastAsia" w:ascii="仿宋" w:hAnsi="仿宋" w:eastAsia="仿宋"/>
          <w:sz w:val="28"/>
          <w:szCs w:val="28"/>
          <w:u w:val="single"/>
          <w:lang w:eastAsia="zh-CN"/>
        </w:rPr>
        <w:t>布尔津县</w:t>
      </w:r>
      <w:r>
        <w:rPr>
          <w:rFonts w:hint="eastAsia" w:ascii="仿宋" w:hAnsi="仿宋" w:eastAsia="仿宋"/>
          <w:sz w:val="28"/>
          <w:szCs w:val="28"/>
          <w:u w:val="single"/>
        </w:rPr>
        <w:t>　　</w:t>
      </w:r>
    </w:p>
    <w:p>
      <w:pPr>
        <w:pStyle w:val="6"/>
        <w:pageBreakBefore w:val="0"/>
        <w:kinsoku/>
        <w:wordWrap/>
        <w:overflowPunct/>
        <w:topLinePunct w:val="0"/>
        <w:bidi w:val="0"/>
        <w:snapToGrid/>
        <w:spacing w:line="440" w:lineRule="exact"/>
        <w:ind w:firstLine="840" w:firstLineChars="300"/>
        <w:textAlignment w:val="auto"/>
        <w:rPr>
          <w:rFonts w:hint="default" w:eastAsia="仿宋"/>
          <w:u w:val="single"/>
          <w:lang w:val="en-US" w:eastAsia="zh-CN"/>
        </w:rPr>
      </w:pPr>
      <w:r>
        <w:rPr>
          <w:rFonts w:hint="eastAsia" w:ascii="仿宋" w:hAnsi="仿宋" w:eastAsia="仿宋"/>
          <w:sz w:val="28"/>
          <w:szCs w:val="28"/>
          <w:u w:val="none"/>
          <w:lang w:eastAsia="zh-CN"/>
        </w:rPr>
        <w:t>联</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lang w:eastAsia="zh-CN"/>
        </w:rPr>
        <w:t>系</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lang w:eastAsia="zh-CN"/>
        </w:rPr>
        <w:t>人：匡建涛</w:t>
      </w:r>
    </w:p>
    <w:p>
      <w:pPr>
        <w:pageBreakBefore w:val="0"/>
        <w:widowControl w:val="0"/>
        <w:kinsoku/>
        <w:wordWrap/>
        <w:overflowPunct/>
        <w:topLinePunct w:val="0"/>
        <w:autoSpaceDE/>
        <w:autoSpaceDN/>
        <w:bidi w:val="0"/>
        <w:adjustRightInd/>
        <w:snapToGrid/>
        <w:spacing w:line="440" w:lineRule="exact"/>
        <w:ind w:left="1129" w:leftChars="371" w:hanging="350" w:hangingChars="125"/>
        <w:jc w:val="left"/>
        <w:textAlignment w:val="auto"/>
        <w:rPr>
          <w:rFonts w:hint="default" w:ascii="仿宋" w:hAnsi="仿宋" w:eastAsia="仿宋"/>
          <w:sz w:val="28"/>
          <w:szCs w:val="28"/>
          <w:lang w:val="en-US" w:eastAsia="zh-CN"/>
        </w:rPr>
      </w:pPr>
      <w:r>
        <w:rPr>
          <w:rFonts w:hint="eastAsia" w:ascii="仿宋" w:hAnsi="仿宋" w:eastAsia="仿宋"/>
          <w:sz w:val="28"/>
          <w:szCs w:val="28"/>
        </w:rPr>
        <w:t>联系方式：</w:t>
      </w:r>
      <w:r>
        <w:rPr>
          <w:rFonts w:hint="eastAsia" w:ascii="仿宋" w:hAnsi="仿宋" w:eastAsia="仿宋"/>
          <w:sz w:val="28"/>
          <w:szCs w:val="28"/>
          <w:u w:val="single"/>
          <w:lang w:val="en-US" w:eastAsia="zh-CN"/>
        </w:rPr>
        <w:t>18999780200</w:t>
      </w:r>
    </w:p>
    <w:p>
      <w:pPr>
        <w:pStyle w:val="4"/>
        <w:pageBreakBefore w:val="0"/>
        <w:widowControl w:val="0"/>
        <w:kinsoku/>
        <w:wordWrap/>
        <w:overflowPunct/>
        <w:topLinePunct w:val="0"/>
        <w:autoSpaceDE/>
        <w:autoSpaceDN/>
        <w:bidi w:val="0"/>
        <w:adjustRightInd/>
        <w:snapToGrid/>
        <w:spacing w:line="440" w:lineRule="exact"/>
        <w:ind w:firstLine="840" w:firstLineChars="300"/>
        <w:jc w:val="both"/>
        <w:textAlignment w:val="auto"/>
        <w:rPr>
          <w:rFonts w:ascii="仿宋" w:hAnsi="仿宋" w:eastAsia="仿宋" w:cs="宋体"/>
          <w:b w:val="0"/>
          <w:sz w:val="28"/>
          <w:szCs w:val="28"/>
        </w:rPr>
      </w:pPr>
      <w:bookmarkStart w:id="20" w:name="_Toc28359020"/>
      <w:bookmarkStart w:id="21" w:name="_Toc28359097"/>
      <w:bookmarkStart w:id="22" w:name="_Toc35393638"/>
      <w:bookmarkStart w:id="23" w:name="_Toc35393807"/>
      <w:r>
        <w:rPr>
          <w:rFonts w:hint="eastAsia" w:ascii="仿宋" w:hAnsi="仿宋" w:eastAsia="仿宋" w:cs="宋体"/>
          <w:b w:val="0"/>
          <w:sz w:val="28"/>
          <w:szCs w:val="28"/>
        </w:rPr>
        <w:t>2.采购代理机构信息</w:t>
      </w:r>
      <w:bookmarkEnd w:id="20"/>
      <w:bookmarkEnd w:id="21"/>
      <w:bookmarkEnd w:id="22"/>
      <w:bookmarkEnd w:id="23"/>
    </w:p>
    <w:p>
      <w:pPr>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lang w:val="en-US"/>
        </w:rPr>
        <w:t>新疆蓝畅工程咨询管理有限公司</w:t>
      </w:r>
    </w:p>
    <w:p>
      <w:pPr>
        <w:pageBreakBefore w:val="0"/>
        <w:widowControl w:val="0"/>
        <w:kinsoku/>
        <w:wordWrap/>
        <w:overflowPunct/>
        <w:topLinePunct w:val="0"/>
        <w:autoSpaceDE/>
        <w:autoSpaceDN/>
        <w:bidi w:val="0"/>
        <w:adjustRightInd/>
        <w:snapToGrid/>
        <w:spacing w:line="440" w:lineRule="exact"/>
        <w:ind w:firstLine="840" w:firstLineChars="300"/>
        <w:textAlignment w:val="auto"/>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lang w:eastAsia="zh-CN"/>
        </w:rPr>
        <w:t>布尔津县夜光城旅游小镇4栋3层</w:t>
      </w:r>
    </w:p>
    <w:p>
      <w:pPr>
        <w:pStyle w:val="7"/>
        <w:pageBreakBefore w:val="0"/>
        <w:widowControl w:val="0"/>
        <w:kinsoku/>
        <w:wordWrap/>
        <w:overflowPunct/>
        <w:topLinePunct w:val="0"/>
        <w:autoSpaceDE/>
        <w:autoSpaceDN/>
        <w:bidi w:val="0"/>
        <w:adjustRightInd/>
        <w:snapToGrid/>
        <w:spacing w:line="440" w:lineRule="exact"/>
        <w:ind w:firstLine="840" w:firstLineChars="300"/>
        <w:textAlignment w:val="auto"/>
        <w:rPr>
          <w:rFonts w:hint="eastAsia" w:ascii="仿宋" w:hAnsi="仿宋" w:eastAsia="仿宋"/>
          <w:sz w:val="28"/>
          <w:szCs w:val="28"/>
          <w:lang w:val="en-US" w:eastAsia="zh-CN"/>
        </w:rPr>
      </w:pPr>
      <w:r>
        <w:rPr>
          <w:rFonts w:hint="eastAsia" w:ascii="仿宋" w:hAnsi="仿宋" w:eastAsia="仿宋"/>
          <w:sz w:val="28"/>
          <w:szCs w:val="28"/>
        </w:rPr>
        <w:t>项目联系人：</w:t>
      </w:r>
      <w:r>
        <w:rPr>
          <w:rFonts w:hint="eastAsia" w:ascii="仿宋" w:hAnsi="仿宋" w:eastAsia="仿宋"/>
          <w:sz w:val="28"/>
          <w:szCs w:val="28"/>
          <w:lang w:eastAsia="zh-CN"/>
        </w:rPr>
        <w:t>马洪燕</w:t>
      </w:r>
    </w:p>
    <w:p>
      <w:pPr>
        <w:pageBreakBefore w:val="0"/>
        <w:widowControl w:val="0"/>
        <w:kinsoku/>
        <w:wordWrap/>
        <w:overflowPunct/>
        <w:topLinePunct w:val="0"/>
        <w:autoSpaceDE/>
        <w:autoSpaceDN/>
        <w:bidi w:val="0"/>
        <w:adjustRightInd/>
        <w:snapToGrid/>
        <w:spacing w:line="440" w:lineRule="exact"/>
        <w:ind w:firstLine="840" w:firstLineChars="300"/>
        <w:textAlignment w:val="auto"/>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lang w:val="en-US" w:eastAsia="zh-CN"/>
        </w:rPr>
        <w:t>13199798830</w:t>
      </w:r>
    </w:p>
    <w:p>
      <w:pPr>
        <w:pageBreakBefore w:val="0"/>
        <w:kinsoku/>
        <w:wordWrap/>
        <w:overflowPunct/>
        <w:topLinePunct w:val="0"/>
        <w:autoSpaceDE w:val="0"/>
        <w:autoSpaceDN w:val="0"/>
        <w:bidi w:val="0"/>
        <w:adjustRightInd w:val="0"/>
        <w:snapToGrid/>
        <w:spacing w:line="440" w:lineRule="exact"/>
        <w:ind w:firstLine="3360" w:firstLineChars="1200"/>
        <w:jc w:val="both"/>
        <w:textAlignment w:val="auto"/>
        <w:rPr>
          <w:rFonts w:hint="default" w:ascii="仿宋" w:hAnsi="仿宋" w:eastAsia="仿宋" w:cs="Times New Roman"/>
          <w:kern w:val="2"/>
          <w:sz w:val="28"/>
          <w:szCs w:val="28"/>
          <w:lang w:val="zh-CN" w:eastAsia="zh-CN" w:bidi="ar-SA"/>
        </w:rPr>
      </w:pPr>
    </w:p>
    <w:p>
      <w:pPr>
        <w:pageBreakBefore w:val="0"/>
        <w:kinsoku/>
        <w:wordWrap/>
        <w:overflowPunct/>
        <w:topLinePunct w:val="0"/>
        <w:autoSpaceDE w:val="0"/>
        <w:autoSpaceDN w:val="0"/>
        <w:bidi w:val="0"/>
        <w:adjustRightInd w:val="0"/>
        <w:snapToGrid/>
        <w:spacing w:line="440" w:lineRule="exact"/>
        <w:jc w:val="both"/>
        <w:textAlignment w:val="auto"/>
        <w:rPr>
          <w:rFonts w:hint="default" w:ascii="仿宋" w:hAnsi="仿宋" w:eastAsia="仿宋" w:cs="Times New Roman"/>
          <w:kern w:val="2"/>
          <w:sz w:val="28"/>
          <w:szCs w:val="28"/>
          <w:lang w:val="zh-CN" w:eastAsia="zh-CN" w:bidi="ar-SA"/>
        </w:rPr>
      </w:pPr>
    </w:p>
    <w:p>
      <w:pPr>
        <w:pageBreakBefore w:val="0"/>
        <w:kinsoku/>
        <w:wordWrap/>
        <w:overflowPunct/>
        <w:topLinePunct w:val="0"/>
        <w:autoSpaceDE w:val="0"/>
        <w:autoSpaceDN w:val="0"/>
        <w:bidi w:val="0"/>
        <w:adjustRightInd w:val="0"/>
        <w:snapToGrid/>
        <w:spacing w:line="440" w:lineRule="exact"/>
        <w:ind w:firstLine="3360" w:firstLineChars="1200"/>
        <w:jc w:val="both"/>
        <w:textAlignment w:val="auto"/>
        <w:rPr>
          <w:rFonts w:hint="eastAsia" w:ascii="仿宋" w:hAnsi="仿宋" w:eastAsia="仿宋" w:cs="Times New Roman"/>
          <w:kern w:val="2"/>
          <w:sz w:val="28"/>
          <w:szCs w:val="28"/>
          <w:lang w:val="zh-CN" w:eastAsia="zh-CN" w:bidi="ar-SA"/>
        </w:rPr>
      </w:pPr>
      <w:r>
        <w:rPr>
          <w:rFonts w:hint="default" w:ascii="仿宋" w:hAnsi="仿宋" w:eastAsia="仿宋" w:cs="Times New Roman"/>
          <w:kern w:val="2"/>
          <w:sz w:val="28"/>
          <w:szCs w:val="28"/>
          <w:lang w:val="zh-CN" w:eastAsia="zh-CN" w:bidi="ar-SA"/>
        </w:rPr>
        <w:t>新疆蓝畅工程咨询管理有限公司</w:t>
      </w:r>
    </w:p>
    <w:p>
      <w:pPr>
        <w:pageBreakBefore w:val="0"/>
        <w:kinsoku/>
        <w:wordWrap/>
        <w:overflowPunct/>
        <w:topLinePunct w:val="0"/>
        <w:bidi w:val="0"/>
        <w:snapToGrid/>
        <w:spacing w:line="440" w:lineRule="exact"/>
        <w:textAlignment w:val="auto"/>
      </w:pPr>
      <w:r>
        <w:rPr>
          <w:rFonts w:hint="default" w:ascii="仿宋" w:hAnsi="仿宋"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 xml:space="preserve">     </w:t>
      </w:r>
      <w:r>
        <w:rPr>
          <w:rFonts w:hint="eastAsia" w:ascii="仿宋" w:hAnsi="仿宋" w:eastAsia="仿宋" w:cs="Times New Roman"/>
          <w:kern w:val="2"/>
          <w:sz w:val="28"/>
          <w:szCs w:val="28"/>
          <w:lang w:val="zh-CN" w:eastAsia="zh-CN" w:bidi="ar-SA"/>
        </w:rPr>
        <w:t>二</w:t>
      </w:r>
      <w:r>
        <w:rPr>
          <w:rFonts w:hint="eastAsia" w:ascii="仿宋" w:hAnsi="仿宋" w:eastAsia="仿宋" w:cs="Times New Roman"/>
          <w:kern w:val="2"/>
          <w:sz w:val="28"/>
          <w:szCs w:val="28"/>
          <w:lang w:val="en-US" w:eastAsia="zh-CN" w:bidi="ar-SA"/>
        </w:rPr>
        <w:t>〇</w:t>
      </w:r>
      <w:r>
        <w:rPr>
          <w:rFonts w:hint="eastAsia" w:ascii="仿宋" w:hAnsi="仿宋" w:eastAsia="仿宋" w:cs="Times New Roman"/>
          <w:kern w:val="2"/>
          <w:sz w:val="28"/>
          <w:szCs w:val="28"/>
          <w:lang w:val="zh-CN" w:eastAsia="zh-CN" w:bidi="ar-SA"/>
        </w:rPr>
        <w:t>二</w:t>
      </w:r>
      <w:r>
        <w:rPr>
          <w:rFonts w:hint="eastAsia" w:ascii="仿宋" w:hAnsi="仿宋" w:eastAsia="仿宋" w:cs="Times New Roman"/>
          <w:kern w:val="2"/>
          <w:sz w:val="28"/>
          <w:szCs w:val="28"/>
          <w:lang w:val="en-US" w:eastAsia="zh-CN" w:bidi="ar-SA"/>
        </w:rPr>
        <w:t>三年八月十六日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2482"/>
    <w:rsid w:val="03042BE6"/>
    <w:rsid w:val="03A13324"/>
    <w:rsid w:val="07205AF6"/>
    <w:rsid w:val="09077AB1"/>
    <w:rsid w:val="0A4F2593"/>
    <w:rsid w:val="0E032803"/>
    <w:rsid w:val="1077205A"/>
    <w:rsid w:val="1235358C"/>
    <w:rsid w:val="12373720"/>
    <w:rsid w:val="1494091B"/>
    <w:rsid w:val="160B1287"/>
    <w:rsid w:val="17401BFE"/>
    <w:rsid w:val="18806650"/>
    <w:rsid w:val="229F2482"/>
    <w:rsid w:val="2645564D"/>
    <w:rsid w:val="296F6B31"/>
    <w:rsid w:val="298634AE"/>
    <w:rsid w:val="2A4A537D"/>
    <w:rsid w:val="2B31155E"/>
    <w:rsid w:val="2BC159AD"/>
    <w:rsid w:val="2DF21954"/>
    <w:rsid w:val="38253D2F"/>
    <w:rsid w:val="3BE12048"/>
    <w:rsid w:val="3C295307"/>
    <w:rsid w:val="3C7F554A"/>
    <w:rsid w:val="3CD06A73"/>
    <w:rsid w:val="409B660A"/>
    <w:rsid w:val="410B46A6"/>
    <w:rsid w:val="43B449CF"/>
    <w:rsid w:val="44C0075C"/>
    <w:rsid w:val="45C166BD"/>
    <w:rsid w:val="49703DC9"/>
    <w:rsid w:val="4A34113A"/>
    <w:rsid w:val="4AED73DD"/>
    <w:rsid w:val="4E287FC5"/>
    <w:rsid w:val="4F1B22D1"/>
    <w:rsid w:val="54F31DAB"/>
    <w:rsid w:val="56671846"/>
    <w:rsid w:val="5B397D61"/>
    <w:rsid w:val="5CFC0982"/>
    <w:rsid w:val="60C93848"/>
    <w:rsid w:val="69A85687"/>
    <w:rsid w:val="6CB55A01"/>
    <w:rsid w:val="6E523153"/>
    <w:rsid w:val="71B15694"/>
    <w:rsid w:val="71DB0D15"/>
    <w:rsid w:val="73B02BDC"/>
    <w:rsid w:val="74E10D4F"/>
    <w:rsid w:val="75B00123"/>
    <w:rsid w:val="763A0890"/>
    <w:rsid w:val="788F4183"/>
    <w:rsid w:val="7A2D30EA"/>
    <w:rsid w:val="7A9C321D"/>
    <w:rsid w:val="7AA07095"/>
    <w:rsid w:val="7B2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360" w:lineRule="auto"/>
      <w:jc w:val="center"/>
      <w:outlineLvl w:val="0"/>
    </w:pPr>
    <w:rPr>
      <w:rFonts w:hint="eastAsia" w:eastAsia="黑体"/>
      <w:kern w:val="44"/>
      <w:sz w:val="30"/>
    </w:rPr>
  </w:style>
  <w:style w:type="paragraph" w:styleId="4">
    <w:name w:val="heading 2"/>
    <w:basedOn w:val="1"/>
    <w:next w:val="1"/>
    <w:qFormat/>
    <w:uiPriority w:val="99"/>
    <w:pPr>
      <w:keepNext/>
      <w:keepLines/>
      <w:spacing w:before="260" w:after="260" w:line="415" w:lineRule="auto"/>
      <w:jc w:val="center"/>
      <w:outlineLvl w:val="1"/>
    </w:pPr>
    <w:rPr>
      <w:rFonts w:hint="eastAsia" w:ascii="Arial" w:hAnsi="Arial" w:eastAsia="黑体"/>
      <w:sz w:val="84"/>
    </w:rPr>
  </w:style>
  <w:style w:type="paragraph" w:styleId="5">
    <w:name w:val="heading 3"/>
    <w:basedOn w:val="1"/>
    <w:next w:val="1"/>
    <w:qFormat/>
    <w:uiPriority w:val="0"/>
    <w:pPr>
      <w:outlineLvl w:val="2"/>
    </w:pPr>
    <w:rPr>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spacing w:line="360" w:lineRule="auto"/>
      <w:ind w:left="50" w:right="62" w:firstLine="200" w:firstLineChars="200"/>
      <w:jc w:val="both"/>
    </w:pPr>
    <w:rPr>
      <w:rFonts w:ascii="宋体" w:hAnsi="Times New Roman" w:eastAsia="宋体" w:cs="Times New Roman"/>
      <w:sz w:val="21"/>
      <w:lang w:val="en-US" w:eastAsia="zh-CN" w:bidi="ar-SA"/>
    </w:rPr>
  </w:style>
  <w:style w:type="paragraph" w:styleId="6">
    <w:name w:val="Normal Indent"/>
    <w:basedOn w:val="1"/>
    <w:qFormat/>
    <w:uiPriority w:val="0"/>
    <w:pPr>
      <w:ind w:firstLine="420"/>
    </w:pPr>
    <w:rPr>
      <w:szCs w:val="20"/>
    </w:rPr>
  </w:style>
  <w:style w:type="paragraph" w:styleId="7">
    <w:name w:val="Plain Text"/>
    <w:basedOn w:val="1"/>
    <w:qFormat/>
    <w:uiPriority w:val="0"/>
    <w:rPr>
      <w:rFonts w:ascii="宋体" w:hAnsi="Courier New"/>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2020-09-17T08:14:00Z</dcterms:created>
  <dc:creator>Administrator</dc:creator>
  <cp:lastModifiedBy>Administrator</cp:lastModifiedBy>
  <dcterms:modified xsi:type="dcterms:W3CDTF">2023-08-15T02:43:52Z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65B5CE093A564783A4EA7D8FA661A9EC</vt:lpwstr>
  </property>
</Properties>
</file>