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A9245">
      <w:pPr>
        <w:pStyle w:val="8"/>
        <w:rPr>
          <w:rFonts w:ascii="Times New Roman"/>
          <w:sz w:val="20"/>
        </w:rPr>
      </w:pPr>
    </w:p>
    <w:p w14:paraId="186B4345">
      <w:pPr>
        <w:pStyle w:val="8"/>
        <w:spacing w:before="8"/>
        <w:rPr>
          <w:rFonts w:ascii="Times New Roman"/>
          <w:sz w:val="29"/>
        </w:rPr>
      </w:pPr>
    </w:p>
    <w:p w14:paraId="3775AAA1">
      <w:pPr>
        <w:spacing w:before="28" w:line="336" w:lineRule="auto"/>
        <w:ind w:left="3465" w:right="2301" w:hanging="924"/>
        <w:jc w:val="left"/>
        <w:rPr>
          <w:rFonts w:hint="eastAsia" w:ascii="宋体" w:eastAsia="宋体"/>
          <w:b/>
          <w:sz w:val="52"/>
        </w:rPr>
      </w:pPr>
      <w:r>
        <w:rPr>
          <w:rFonts w:hint="eastAsia" w:ascii="宋体" w:eastAsia="宋体"/>
          <w:b/>
          <w:sz w:val="52"/>
        </w:rPr>
        <w:t>喀拉希力克乡食用油生产加工厂建设项目</w:t>
      </w:r>
    </w:p>
    <w:p w14:paraId="3D02B11B">
      <w:pPr>
        <w:pStyle w:val="3"/>
        <w:spacing w:line="391" w:lineRule="exact"/>
        <w:ind w:right="1377"/>
      </w:pPr>
      <w:r>
        <w:t>项目编号：ZFCG-HZBY2025</w:t>
      </w:r>
      <w:r>
        <w:rPr>
          <w:rFonts w:hint="eastAsia"/>
          <w:lang w:val="en-US" w:eastAsia="zh-CN"/>
        </w:rPr>
        <w:t>-</w:t>
      </w:r>
      <w:r>
        <w:t>033</w:t>
      </w:r>
    </w:p>
    <w:p w14:paraId="2C501615">
      <w:pPr>
        <w:pStyle w:val="8"/>
        <w:rPr>
          <w:b/>
          <w:sz w:val="32"/>
        </w:rPr>
      </w:pPr>
    </w:p>
    <w:p w14:paraId="3F017793">
      <w:pPr>
        <w:pStyle w:val="8"/>
        <w:rPr>
          <w:b/>
          <w:sz w:val="32"/>
        </w:rPr>
      </w:pPr>
    </w:p>
    <w:p w14:paraId="3DB6ED84">
      <w:pPr>
        <w:pStyle w:val="8"/>
        <w:rPr>
          <w:b/>
          <w:sz w:val="32"/>
        </w:rPr>
      </w:pPr>
    </w:p>
    <w:p w14:paraId="3FC1457B">
      <w:pPr>
        <w:pStyle w:val="8"/>
        <w:spacing w:before="6"/>
        <w:rPr>
          <w:b/>
          <w:sz w:val="42"/>
        </w:rPr>
      </w:pPr>
    </w:p>
    <w:p w14:paraId="2DBB741D">
      <w:pPr>
        <w:pStyle w:val="10"/>
        <w:spacing w:line="312" w:lineRule="auto"/>
      </w:pPr>
      <w:r>
        <w:t>招标文件</w:t>
      </w:r>
    </w:p>
    <w:p w14:paraId="2343BA3E">
      <w:pPr>
        <w:pStyle w:val="8"/>
        <w:rPr>
          <w:rFonts w:ascii="宋体"/>
          <w:b/>
          <w:sz w:val="56"/>
        </w:rPr>
      </w:pPr>
    </w:p>
    <w:p w14:paraId="7703862C">
      <w:pPr>
        <w:pStyle w:val="8"/>
        <w:rPr>
          <w:rFonts w:ascii="宋体"/>
          <w:b/>
          <w:sz w:val="56"/>
        </w:rPr>
      </w:pPr>
    </w:p>
    <w:p w14:paraId="7862514B">
      <w:pPr>
        <w:pStyle w:val="8"/>
        <w:rPr>
          <w:rFonts w:ascii="宋体"/>
          <w:b/>
          <w:sz w:val="56"/>
        </w:rPr>
      </w:pPr>
    </w:p>
    <w:p w14:paraId="0B434124">
      <w:pPr>
        <w:pStyle w:val="8"/>
        <w:rPr>
          <w:rFonts w:ascii="宋体"/>
          <w:b/>
          <w:sz w:val="56"/>
        </w:rPr>
      </w:pPr>
    </w:p>
    <w:p w14:paraId="225092D1">
      <w:pPr>
        <w:pStyle w:val="8"/>
        <w:spacing w:before="10"/>
        <w:rPr>
          <w:rFonts w:ascii="宋体"/>
          <w:b/>
          <w:sz w:val="42"/>
        </w:rPr>
      </w:pPr>
    </w:p>
    <w:p w14:paraId="3CE26189">
      <w:pPr>
        <w:pStyle w:val="4"/>
        <w:spacing w:line="292" w:lineRule="auto"/>
      </w:pPr>
      <w:r>
        <w:t>采购单位：阿勒泰市喀拉希力克乡人民政府代理机构：新疆瀚展博源项目管理有限公司</w:t>
      </w:r>
    </w:p>
    <w:p w14:paraId="54D931F1">
      <w:pPr>
        <w:pStyle w:val="6"/>
        <w:tabs>
          <w:tab w:val="left" w:pos="1080"/>
        </w:tabs>
        <w:spacing w:before="199"/>
        <w:ind w:left="521" w:firstLine="0"/>
        <w:jc w:val="center"/>
      </w:pPr>
      <w:r>
        <w:t>日</w:t>
      </w:r>
      <w:r>
        <w:tab/>
      </w:r>
      <w:r>
        <w:t>期：2025</w:t>
      </w:r>
      <w:r>
        <w:rPr>
          <w:spacing w:val="-72"/>
        </w:rPr>
        <w:t xml:space="preserve"> </w:t>
      </w:r>
      <w:r>
        <w:t>年</w:t>
      </w:r>
      <w:r>
        <w:rPr>
          <w:spacing w:val="-71"/>
        </w:rPr>
        <w:t xml:space="preserve"> </w:t>
      </w:r>
      <w:r>
        <w:rPr>
          <w:rFonts w:hint="eastAsia"/>
          <w:spacing w:val="-71"/>
          <w:lang w:val="en-US" w:eastAsia="zh-CN"/>
        </w:rPr>
        <w:t xml:space="preserve">6   </w:t>
      </w:r>
      <w:r>
        <w:t>月</w:t>
      </w:r>
    </w:p>
    <w:p w14:paraId="58B6AE0D">
      <w:pPr>
        <w:spacing w:after="0"/>
        <w:jc w:val="center"/>
        <w:sectPr>
          <w:type w:val="continuous"/>
          <w:pgSz w:w="11910" w:h="16840"/>
          <w:pgMar w:top="1580" w:right="660" w:bottom="280" w:left="660" w:header="720" w:footer="720" w:gutter="0"/>
          <w:cols w:space="720" w:num="1"/>
        </w:sectPr>
      </w:pPr>
    </w:p>
    <w:p w14:paraId="3BF3E01D">
      <w:pPr>
        <w:pStyle w:val="8"/>
        <w:spacing w:before="4"/>
        <w:rPr>
          <w:sz w:val="11"/>
        </w:rPr>
      </w:pPr>
    </w:p>
    <w:p w14:paraId="770DAF5F">
      <w:pPr>
        <w:tabs>
          <w:tab w:val="left" w:pos="1324"/>
        </w:tabs>
        <w:spacing w:before="38"/>
        <w:ind w:left="0" w:right="146" w:firstLine="0"/>
        <w:jc w:val="center"/>
        <w:rPr>
          <w:b/>
          <w:sz w:val="44"/>
        </w:rPr>
      </w:pPr>
      <w:r>
        <w:rPr>
          <w:b/>
          <w:sz w:val="44"/>
        </w:rPr>
        <w:t>目</w:t>
      </w:r>
      <w:r>
        <w:rPr>
          <w:b/>
          <w:sz w:val="44"/>
        </w:rPr>
        <w:tab/>
      </w:r>
      <w:r>
        <w:rPr>
          <w:b/>
          <w:sz w:val="44"/>
        </w:rPr>
        <w:t>录</w:t>
      </w:r>
    </w:p>
    <w:sdt>
      <w:sdtPr>
        <w:id w:val="1"/>
        <w:docPartObj>
          <w:docPartGallery w:val="Table of Contents"/>
          <w:docPartUnique/>
        </w:docPartObj>
      </w:sdtPr>
      <w:sdtContent>
        <w:p w14:paraId="54569BDB">
          <w:pPr>
            <w:pStyle w:val="9"/>
            <w:tabs>
              <w:tab w:val="left" w:pos="1499"/>
              <w:tab w:val="right" w:leader="dot" w:pos="10166"/>
            </w:tabs>
            <w:spacing w:before="658"/>
            <w:rPr>
              <w:rFonts w:ascii="Times New Roman" w:eastAsia="Times New Roman"/>
            </w:rPr>
          </w:pPr>
          <w:r>
            <w:fldChar w:fldCharType="begin"/>
          </w:r>
          <w:r>
            <w:instrText xml:space="preserve"> HYPERLINK \l "_bookmark0" </w:instrText>
          </w:r>
          <w:r>
            <w:fldChar w:fldCharType="separate"/>
          </w:r>
          <w:r>
            <w:t>第一章</w:t>
          </w:r>
          <w:r>
            <w:tab/>
          </w:r>
          <w:r>
            <w:t>招标公告</w:t>
          </w:r>
          <w:r>
            <w:tab/>
          </w:r>
          <w:r>
            <w:rPr>
              <w:rFonts w:ascii="Times New Roman" w:eastAsia="Times New Roman"/>
            </w:rPr>
            <w:t>1</w:t>
          </w:r>
          <w:r>
            <w:rPr>
              <w:rFonts w:ascii="Times New Roman" w:eastAsia="Times New Roman"/>
            </w:rPr>
            <w:fldChar w:fldCharType="end"/>
          </w:r>
        </w:p>
        <w:p w14:paraId="563CC2D6">
          <w:pPr>
            <w:pStyle w:val="9"/>
            <w:tabs>
              <w:tab w:val="left" w:pos="1379"/>
              <w:tab w:val="right" w:leader="dot" w:pos="10166"/>
            </w:tabs>
            <w:rPr>
              <w:rFonts w:ascii="Times New Roman" w:eastAsia="Times New Roman"/>
            </w:rPr>
          </w:pPr>
          <w:r>
            <w:fldChar w:fldCharType="begin"/>
          </w:r>
          <w:r>
            <w:instrText xml:space="preserve"> HYPERLINK \l "_bookmark1" </w:instrText>
          </w:r>
          <w:r>
            <w:fldChar w:fldCharType="separate"/>
          </w:r>
          <w:r>
            <w:t>第二章</w:t>
          </w:r>
          <w:r>
            <w:tab/>
          </w:r>
          <w:r>
            <w:t>供应商须知</w:t>
          </w:r>
          <w:r>
            <w:tab/>
          </w:r>
          <w:r>
            <w:rPr>
              <w:rFonts w:ascii="Times New Roman" w:eastAsia="Times New Roman"/>
            </w:rPr>
            <w:t>5</w:t>
          </w:r>
          <w:r>
            <w:rPr>
              <w:rFonts w:ascii="Times New Roman" w:eastAsia="Times New Roman"/>
            </w:rPr>
            <w:fldChar w:fldCharType="end"/>
          </w:r>
        </w:p>
        <w:p w14:paraId="27D8C419">
          <w:pPr>
            <w:pStyle w:val="9"/>
            <w:tabs>
              <w:tab w:val="left" w:pos="1379"/>
              <w:tab w:val="right" w:leader="dot" w:pos="10166"/>
            </w:tabs>
            <w:spacing w:before="4"/>
            <w:rPr>
              <w:rFonts w:ascii="Times New Roman" w:eastAsia="Times New Roman"/>
            </w:rPr>
          </w:pPr>
          <w:r>
            <w:fldChar w:fldCharType="begin"/>
          </w:r>
          <w:r>
            <w:instrText xml:space="preserve"> HYPERLINK \l "_bookmark2" </w:instrText>
          </w:r>
          <w:r>
            <w:fldChar w:fldCharType="separate"/>
          </w:r>
          <w:r>
            <w:t>第三章</w:t>
          </w:r>
          <w:r>
            <w:tab/>
          </w:r>
          <w:r>
            <w:t>评标办法</w:t>
          </w:r>
          <w:r>
            <w:tab/>
          </w:r>
          <w:r>
            <w:rPr>
              <w:rFonts w:ascii="Times New Roman" w:eastAsia="Times New Roman"/>
            </w:rPr>
            <w:t>30</w:t>
          </w:r>
          <w:r>
            <w:rPr>
              <w:rFonts w:ascii="Times New Roman" w:eastAsia="Times New Roman"/>
            </w:rPr>
            <w:fldChar w:fldCharType="end"/>
          </w:r>
        </w:p>
        <w:p w14:paraId="7783DF2D">
          <w:pPr>
            <w:pStyle w:val="9"/>
            <w:tabs>
              <w:tab w:val="left" w:pos="1379"/>
              <w:tab w:val="right" w:leader="dot" w:pos="10166"/>
            </w:tabs>
            <w:rPr>
              <w:rFonts w:ascii="Times New Roman" w:eastAsia="Times New Roman"/>
            </w:rPr>
          </w:pPr>
          <w:r>
            <w:fldChar w:fldCharType="begin"/>
          </w:r>
          <w:r>
            <w:instrText xml:space="preserve"> HYPERLINK \l "_bookmark3" </w:instrText>
          </w:r>
          <w:r>
            <w:fldChar w:fldCharType="separate"/>
          </w:r>
          <w:r>
            <w:t>第四章</w:t>
          </w:r>
          <w:r>
            <w:tab/>
          </w:r>
          <w:r>
            <w:t>采购需求清单</w:t>
          </w:r>
          <w:r>
            <w:tab/>
          </w:r>
          <w:r>
            <w:rPr>
              <w:rFonts w:ascii="Times New Roman" w:eastAsia="Times New Roman"/>
            </w:rPr>
            <w:t>41</w:t>
          </w:r>
          <w:r>
            <w:rPr>
              <w:rFonts w:ascii="Times New Roman" w:eastAsia="Times New Roman"/>
            </w:rPr>
            <w:fldChar w:fldCharType="end"/>
          </w:r>
        </w:p>
        <w:p w14:paraId="13DEB05B">
          <w:pPr>
            <w:pStyle w:val="9"/>
            <w:tabs>
              <w:tab w:val="left" w:pos="1499"/>
              <w:tab w:val="right" w:leader="dot" w:pos="10166"/>
            </w:tabs>
            <w:spacing w:before="4"/>
            <w:rPr>
              <w:rFonts w:ascii="Times New Roman" w:eastAsia="Times New Roman"/>
            </w:rPr>
          </w:pPr>
          <w:r>
            <w:fldChar w:fldCharType="begin"/>
          </w:r>
          <w:r>
            <w:instrText xml:space="preserve"> HYPERLINK \l "_bookmark4" </w:instrText>
          </w:r>
          <w:r>
            <w:fldChar w:fldCharType="separate"/>
          </w:r>
          <w:r>
            <w:t>第五章</w:t>
          </w:r>
          <w:r>
            <w:tab/>
          </w:r>
          <w:r>
            <w:t>合同条款及格式</w:t>
          </w:r>
          <w:r>
            <w:tab/>
          </w:r>
          <w:r>
            <w:rPr>
              <w:rFonts w:ascii="Times New Roman" w:eastAsia="Times New Roman"/>
            </w:rPr>
            <w:t>42</w:t>
          </w:r>
          <w:r>
            <w:rPr>
              <w:rFonts w:ascii="Times New Roman" w:eastAsia="Times New Roman"/>
            </w:rPr>
            <w:fldChar w:fldCharType="end"/>
          </w:r>
        </w:p>
        <w:p w14:paraId="4DAE1FB7">
          <w:pPr>
            <w:pStyle w:val="9"/>
            <w:tabs>
              <w:tab w:val="left" w:pos="1499"/>
              <w:tab w:val="right" w:leader="dot" w:pos="10166"/>
            </w:tabs>
            <w:rPr>
              <w:rFonts w:ascii="Times New Roman" w:eastAsia="Times New Roman"/>
            </w:rPr>
          </w:pPr>
          <w:r>
            <w:fldChar w:fldCharType="begin"/>
          </w:r>
          <w:r>
            <w:instrText xml:space="preserve"> HYPERLINK \l "_bookmark5" </w:instrText>
          </w:r>
          <w:r>
            <w:fldChar w:fldCharType="separate"/>
          </w:r>
          <w:r>
            <w:t>第六章</w:t>
          </w:r>
          <w:r>
            <w:tab/>
          </w:r>
          <w:r>
            <w:t>投标文件格式</w:t>
          </w:r>
          <w:r>
            <w:tab/>
          </w:r>
          <w:r>
            <w:rPr>
              <w:rFonts w:ascii="Times New Roman" w:eastAsia="Times New Roman"/>
            </w:rPr>
            <w:t>48</w:t>
          </w:r>
          <w:r>
            <w:rPr>
              <w:rFonts w:ascii="Times New Roman" w:eastAsia="Times New Roman"/>
            </w:rPr>
            <w:fldChar w:fldCharType="end"/>
          </w:r>
        </w:p>
      </w:sdtContent>
    </w:sdt>
    <w:p w14:paraId="1DFD768A">
      <w:pPr>
        <w:spacing w:after="0"/>
        <w:rPr>
          <w:rFonts w:ascii="Times New Roman" w:eastAsia="Times New Roman"/>
        </w:rPr>
        <w:sectPr>
          <w:pgSz w:w="11910" w:h="16840"/>
          <w:pgMar w:top="1580" w:right="660" w:bottom="280" w:left="660" w:header="720" w:footer="720" w:gutter="0"/>
          <w:cols w:space="720" w:num="1"/>
        </w:sectPr>
      </w:pPr>
    </w:p>
    <w:p w14:paraId="7AEBB99C">
      <w:pPr>
        <w:pStyle w:val="2"/>
        <w:tabs>
          <w:tab w:val="left" w:pos="1624"/>
        </w:tabs>
        <w:ind w:right="146"/>
      </w:pPr>
      <w:bookmarkStart w:id="0" w:name="第一章   招标公告"/>
      <w:bookmarkEnd w:id="0"/>
      <w:bookmarkStart w:id="1" w:name="_bookmark0"/>
      <w:bookmarkEnd w:id="1"/>
      <w:r>
        <w:t>第一章</w:t>
      </w:r>
      <w:r>
        <w:tab/>
      </w:r>
      <w:r>
        <w:t>招标公告</w:t>
      </w:r>
    </w:p>
    <w:p w14:paraId="3ADCCEEC">
      <w:pPr>
        <w:pStyle w:val="3"/>
        <w:spacing w:before="284"/>
        <w:ind w:left="0"/>
      </w:pPr>
      <w:r>
        <w:t>喀拉希力克乡食用油生产加工厂建设项目公开招标公告</w:t>
      </w:r>
    </w:p>
    <w:p w14:paraId="6342BDE8">
      <w:pPr>
        <w:pStyle w:val="8"/>
        <w:ind w:left="650"/>
        <w:rPr>
          <w:sz w:val="20"/>
        </w:rPr>
      </w:pPr>
      <w:r>
        <w:rPr>
          <w:position w:val="0"/>
          <w:sz w:val="20"/>
        </w:rPr>
        <mc:AlternateContent>
          <mc:Choice Requires="wps">
            <w:drawing>
              <wp:inline distT="0" distB="0" distL="114300" distR="114300">
                <wp:extent cx="5802630" cy="1333500"/>
                <wp:effectExtent l="6350" t="6350" r="20320" b="12700"/>
                <wp:docPr id="1" name="文本框 2"/>
                <wp:cNvGraphicFramePr/>
                <a:graphic xmlns:a="http://schemas.openxmlformats.org/drawingml/2006/main">
                  <a:graphicData uri="http://schemas.microsoft.com/office/word/2010/wordprocessingShape">
                    <wps:wsp>
                      <wps:cNvSpPr txBox="1"/>
                      <wps:spPr>
                        <a:xfrm>
                          <a:off x="0" y="0"/>
                          <a:ext cx="5802630" cy="1333500"/>
                        </a:xfrm>
                        <a:prstGeom prst="rect">
                          <a:avLst/>
                        </a:prstGeom>
                        <a:noFill/>
                        <a:ln w="12192" cap="flat" cmpd="sng">
                          <a:solidFill>
                            <a:srgbClr val="000000"/>
                          </a:solidFill>
                          <a:prstDash val="solid"/>
                          <a:miter/>
                          <a:headEnd type="none" w="med" len="med"/>
                          <a:tailEnd type="none" w="med" len="med"/>
                        </a:ln>
                      </wps:spPr>
                      <wps:txbx>
                        <w:txbxContent>
                          <w:p w14:paraId="7C3D0319">
                            <w:pPr>
                              <w:spacing w:before="178"/>
                              <w:ind w:left="98" w:right="0" w:firstLine="0"/>
                              <w:jc w:val="left"/>
                              <w:rPr>
                                <w:b/>
                                <w:sz w:val="24"/>
                              </w:rPr>
                            </w:pPr>
                            <w:r>
                              <w:rPr>
                                <w:b/>
                                <w:sz w:val="24"/>
                              </w:rPr>
                              <w:t>项目概况</w:t>
                            </w:r>
                          </w:p>
                          <w:p w14:paraId="7F5E2FD2">
                            <w:pPr>
                              <w:pStyle w:val="8"/>
                              <w:spacing w:before="35" w:line="520" w:lineRule="exact"/>
                              <w:ind w:left="98" w:right="97" w:firstLine="480"/>
                            </w:pPr>
                            <w:r>
                              <w:rPr>
                                <w:u w:val="single"/>
                              </w:rPr>
                              <w:t>喀拉希力克乡食用油生产加工厂建设项目</w:t>
                            </w:r>
                            <w:r>
                              <w:t>的潜在投标人应在政采云平台</w:t>
                            </w:r>
                            <w:r>
                              <w:fldChar w:fldCharType="begin"/>
                            </w:r>
                            <w:r>
                              <w:instrText xml:space="preserve"> HYPERLINK "http://www.zcygov.cn/上获取招标文件" \h </w:instrText>
                            </w:r>
                            <w:r>
                              <w:fldChar w:fldCharType="separate"/>
                            </w:r>
                            <w:r>
                              <w:rPr>
                                <w:sz w:val="22"/>
                              </w:rPr>
                              <w:t>http://www.zcygov.cn/</w:t>
                            </w:r>
                            <w:r>
                              <w:t>上获取招标文件</w:t>
                            </w:r>
                            <w:r>
                              <w:fldChar w:fldCharType="end"/>
                            </w:r>
                            <w:r>
                              <w:rPr>
                                <w:spacing w:val="-18"/>
                              </w:rPr>
                              <w:t>，并于</w:t>
                            </w:r>
                            <w:r>
                              <w:rPr>
                                <w:spacing w:val="-18"/>
                                <w:u w:val="single"/>
                              </w:rPr>
                              <w:t xml:space="preserve"> </w:t>
                            </w:r>
                            <w:r>
                              <w:rPr>
                                <w:rFonts w:hint="eastAsia"/>
                                <w:u w:val="single"/>
                                <w:lang w:eastAsia="zh-CN"/>
                              </w:rPr>
                              <w:t>2025年07月11日16：30</w:t>
                            </w:r>
                            <w:r>
                              <w:rPr>
                                <w:spacing w:val="-30"/>
                                <w:u w:val="single"/>
                              </w:rPr>
                              <w:t xml:space="preserve"> </w:t>
                            </w:r>
                            <w:r>
                              <w:rPr>
                                <w:u w:val="single"/>
                              </w:rPr>
                              <w:t>（</w:t>
                            </w:r>
                            <w:r>
                              <w:t>北京时间）前提交（上传）响应文件。</w:t>
                            </w:r>
                          </w:p>
                        </w:txbxContent>
                      </wps:txbx>
                      <wps:bodyPr lIns="0" tIns="0" rIns="0" bIns="0" upright="1"/>
                    </wps:wsp>
                  </a:graphicData>
                </a:graphic>
              </wp:inline>
            </w:drawing>
          </mc:Choice>
          <mc:Fallback>
            <w:pict>
              <v:shape id="文本框 2" o:spid="_x0000_s1026" o:spt="202" type="#_x0000_t202" style="height:105pt;width:456.9pt;" filled="f" stroked="t" coordsize="21600,21600" o:gfxdata="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be4tYAAAAFAQAADwAAAAAA&#10;AAABACAAAAAiAAAAZHJzL2Rvd25yZXYueG1sUEsBAhQAFAAAAAgAh07iQCZTmMQVAgAAMwQAAA4A&#10;AAAAAAAAAQAgAAAAJQEAAGRycy9lMm9Eb2MueG1sUEsFBgAAAAAGAAYAWQEAAKwFAAAAAA==&#10;">
                <v:fill on="f" focussize="0,0"/>
                <v:stroke weight="0.96pt" color="#000000" joinstyle="miter"/>
                <v:imagedata o:title=""/>
                <o:lock v:ext="edit" aspectratio="f"/>
                <v:textbox inset="0mm,0mm,0mm,0mm">
                  <w:txbxContent>
                    <w:p w14:paraId="7C3D0319">
                      <w:pPr>
                        <w:spacing w:before="178"/>
                        <w:ind w:left="98" w:right="0" w:firstLine="0"/>
                        <w:jc w:val="left"/>
                        <w:rPr>
                          <w:b/>
                          <w:sz w:val="24"/>
                        </w:rPr>
                      </w:pPr>
                      <w:r>
                        <w:rPr>
                          <w:b/>
                          <w:sz w:val="24"/>
                        </w:rPr>
                        <w:t>项目概况</w:t>
                      </w:r>
                    </w:p>
                    <w:p w14:paraId="7F5E2FD2">
                      <w:pPr>
                        <w:pStyle w:val="8"/>
                        <w:spacing w:before="35" w:line="520" w:lineRule="exact"/>
                        <w:ind w:left="98" w:right="97" w:firstLine="480"/>
                      </w:pPr>
                      <w:r>
                        <w:rPr>
                          <w:u w:val="single"/>
                        </w:rPr>
                        <w:t>喀拉希力克乡食用油生产加工厂建设项目</w:t>
                      </w:r>
                      <w:r>
                        <w:t>的潜在投标人应在政采云平台</w:t>
                      </w:r>
                      <w:r>
                        <w:fldChar w:fldCharType="begin"/>
                      </w:r>
                      <w:r>
                        <w:instrText xml:space="preserve"> HYPERLINK "http://www.zcygov.cn/上获取招标文件" \h </w:instrText>
                      </w:r>
                      <w:r>
                        <w:fldChar w:fldCharType="separate"/>
                      </w:r>
                      <w:r>
                        <w:rPr>
                          <w:sz w:val="22"/>
                        </w:rPr>
                        <w:t>http://www.zcygov.cn/</w:t>
                      </w:r>
                      <w:r>
                        <w:t>上获取招标文件</w:t>
                      </w:r>
                      <w:r>
                        <w:fldChar w:fldCharType="end"/>
                      </w:r>
                      <w:r>
                        <w:rPr>
                          <w:spacing w:val="-18"/>
                        </w:rPr>
                        <w:t>，并于</w:t>
                      </w:r>
                      <w:r>
                        <w:rPr>
                          <w:spacing w:val="-18"/>
                          <w:u w:val="single"/>
                        </w:rPr>
                        <w:t xml:space="preserve"> </w:t>
                      </w:r>
                      <w:r>
                        <w:rPr>
                          <w:rFonts w:hint="eastAsia"/>
                          <w:u w:val="single"/>
                          <w:lang w:eastAsia="zh-CN"/>
                        </w:rPr>
                        <w:t>2025年07月11日16：30</w:t>
                      </w:r>
                      <w:r>
                        <w:rPr>
                          <w:spacing w:val="-30"/>
                          <w:u w:val="single"/>
                        </w:rPr>
                        <w:t xml:space="preserve"> </w:t>
                      </w:r>
                      <w:r>
                        <w:rPr>
                          <w:u w:val="single"/>
                        </w:rPr>
                        <w:t>（</w:t>
                      </w:r>
                      <w:r>
                        <w:t>北京时间）前提交（上传）响应文件。</w:t>
                      </w:r>
                    </w:p>
                  </w:txbxContent>
                </v:textbox>
                <w10:wrap type="none"/>
                <w10:anchorlock/>
              </v:shape>
            </w:pict>
          </mc:Fallback>
        </mc:AlternateContent>
      </w:r>
    </w:p>
    <w:p w14:paraId="1554268D">
      <w:pPr>
        <w:pStyle w:val="8"/>
        <w:spacing w:before="2"/>
        <w:rPr>
          <w:b/>
          <w:sz w:val="22"/>
        </w:rPr>
      </w:pPr>
    </w:p>
    <w:p w14:paraId="3412A742">
      <w:pPr>
        <w:pStyle w:val="7"/>
        <w:spacing w:before="1"/>
      </w:pPr>
      <w:r>
        <w:t>一、项目基本情况</w:t>
      </w:r>
    </w:p>
    <w:p w14:paraId="5645ED47">
      <w:pPr>
        <w:pStyle w:val="8"/>
        <w:spacing w:before="3"/>
        <w:rPr>
          <w:b/>
          <w:sz w:val="19"/>
        </w:rPr>
      </w:pPr>
    </w:p>
    <w:p w14:paraId="137677DB">
      <w:pPr>
        <w:pStyle w:val="8"/>
        <w:ind w:left="900"/>
      </w:pPr>
      <w:r>
        <w:t>项目编号：ZFCG-HZBY2025</w:t>
      </w:r>
      <w:r>
        <w:rPr>
          <w:rFonts w:hint="eastAsia"/>
          <w:lang w:val="en-US" w:eastAsia="zh-CN"/>
        </w:rPr>
        <w:t>-</w:t>
      </w:r>
      <w:r>
        <w:t>033</w:t>
      </w:r>
    </w:p>
    <w:p w14:paraId="6AB4DC5B">
      <w:pPr>
        <w:pStyle w:val="8"/>
        <w:spacing w:before="213" w:line="405" w:lineRule="auto"/>
        <w:ind w:left="900" w:right="4165"/>
      </w:pPr>
      <w:r>
        <w:rPr>
          <w:spacing w:val="-1"/>
        </w:rPr>
        <w:t>项目名称：喀拉希力克乡食用油生产加工厂建设项目</w:t>
      </w:r>
      <w:r>
        <w:t>采购方式：公开招标</w:t>
      </w:r>
      <w:bookmarkStart w:id="26" w:name="_GoBack"/>
      <w:bookmarkEnd w:id="26"/>
    </w:p>
    <w:p w14:paraId="70204A6E">
      <w:pPr>
        <w:pStyle w:val="8"/>
        <w:spacing w:line="405" w:lineRule="auto"/>
        <w:ind w:left="900" w:right="7585"/>
      </w:pPr>
      <w:r>
        <w:t>预算金额：500</w:t>
      </w:r>
      <w:r>
        <w:rPr>
          <w:spacing w:val="-27"/>
        </w:rPr>
        <w:t xml:space="preserve"> 万元</w:t>
      </w:r>
      <w:r>
        <w:t>最高限价：492</w:t>
      </w:r>
      <w:r>
        <w:rPr>
          <w:spacing w:val="-27"/>
        </w:rPr>
        <w:t xml:space="preserve"> 万元</w:t>
      </w:r>
    </w:p>
    <w:p w14:paraId="737C2072">
      <w:pPr>
        <w:pStyle w:val="8"/>
        <w:spacing w:before="2"/>
        <w:ind w:left="900"/>
      </w:pPr>
      <w:r>
        <w:t>采购需求：购置日产 20 吨食用油压榨机、精炼机、冷却、仓储等相关设施。</w:t>
      </w:r>
    </w:p>
    <w:p w14:paraId="2E908A69">
      <w:pPr>
        <w:pStyle w:val="8"/>
        <w:spacing w:before="211"/>
        <w:ind w:left="900"/>
      </w:pPr>
      <w:r>
        <w:t>（具体详见招标文件）</w:t>
      </w:r>
    </w:p>
    <w:p w14:paraId="2935A908">
      <w:pPr>
        <w:pStyle w:val="8"/>
        <w:spacing w:before="214" w:line="405" w:lineRule="auto"/>
        <w:ind w:left="900" w:right="6325"/>
      </w:pPr>
      <w:r>
        <w:t>合同履行期限：详见招标文件。本项目不接受联合体投标。</w:t>
      </w:r>
    </w:p>
    <w:p w14:paraId="116DAA71">
      <w:pPr>
        <w:pStyle w:val="7"/>
        <w:spacing w:before="143"/>
      </w:pPr>
      <w:r>
        <w:t>二、申请人的资格要求：</w:t>
      </w:r>
    </w:p>
    <w:p w14:paraId="6233532C">
      <w:pPr>
        <w:pStyle w:val="8"/>
        <w:spacing w:before="6"/>
        <w:rPr>
          <w:b/>
          <w:sz w:val="19"/>
        </w:rPr>
      </w:pPr>
    </w:p>
    <w:p w14:paraId="1E955673">
      <w:pPr>
        <w:pStyle w:val="14"/>
        <w:numPr>
          <w:ilvl w:val="0"/>
          <w:numId w:val="1"/>
        </w:numPr>
        <w:tabs>
          <w:tab w:val="left" w:pos="1141"/>
        </w:tabs>
        <w:spacing w:before="0" w:after="0" w:line="240" w:lineRule="auto"/>
        <w:ind w:left="1141" w:right="0" w:hanging="241"/>
        <w:jc w:val="left"/>
        <w:rPr>
          <w:color w:val="auto"/>
          <w:sz w:val="24"/>
        </w:rPr>
      </w:pPr>
      <w:r>
        <w:rPr>
          <w:color w:val="auto"/>
          <w:sz w:val="24"/>
        </w:rPr>
        <w:t>满足《中华人民共和国政府采购法》第二十二条规定；</w:t>
      </w:r>
    </w:p>
    <w:p w14:paraId="0C49A9EA">
      <w:pPr>
        <w:spacing w:after="0" w:line="240" w:lineRule="auto"/>
        <w:jc w:val="left"/>
        <w:rPr>
          <w:color w:val="auto"/>
          <w:sz w:val="24"/>
        </w:rPr>
      </w:pPr>
    </w:p>
    <w:p w14:paraId="4315727F">
      <w:pPr>
        <w:pStyle w:val="14"/>
        <w:numPr>
          <w:ilvl w:val="0"/>
          <w:numId w:val="1"/>
        </w:numPr>
        <w:tabs>
          <w:tab w:val="left" w:pos="1141"/>
        </w:tabs>
        <w:spacing w:before="38" w:after="0" w:line="240" w:lineRule="auto"/>
        <w:ind w:left="1141" w:right="0" w:hanging="241"/>
        <w:jc w:val="left"/>
        <w:rPr>
          <w:color w:val="auto"/>
          <w:sz w:val="24"/>
        </w:rPr>
      </w:pPr>
      <w:r>
        <w:rPr>
          <w:color w:val="auto"/>
          <w:sz w:val="24"/>
        </w:rPr>
        <w:t>落实政府采购政策需满足的资格要求：供应商为中小企业(含中型、小型、微型企业)；</w:t>
      </w:r>
    </w:p>
    <w:p w14:paraId="25CCFF01">
      <w:pPr>
        <w:pStyle w:val="14"/>
        <w:numPr>
          <w:ilvl w:val="0"/>
          <w:numId w:val="1"/>
        </w:numPr>
        <w:tabs>
          <w:tab w:val="left" w:pos="1206"/>
        </w:tabs>
        <w:spacing w:before="213" w:after="0" w:line="240" w:lineRule="auto"/>
        <w:ind w:left="1205" w:right="0" w:hanging="242"/>
        <w:jc w:val="left"/>
        <w:rPr>
          <w:color w:val="auto"/>
          <w:sz w:val="24"/>
        </w:rPr>
      </w:pPr>
      <w:r>
        <w:rPr>
          <w:color w:val="auto"/>
          <w:sz w:val="24"/>
        </w:rPr>
        <w:t>本项目的特定资格要求：</w:t>
      </w:r>
    </w:p>
    <w:p w14:paraId="0FB93EB3">
      <w:pPr>
        <w:pStyle w:val="14"/>
        <w:numPr>
          <w:ilvl w:val="0"/>
          <w:numId w:val="2"/>
        </w:numPr>
        <w:tabs>
          <w:tab w:val="left" w:pos="1501"/>
        </w:tabs>
        <w:spacing w:before="214" w:after="0" w:line="240" w:lineRule="auto"/>
        <w:ind w:left="1501" w:right="0" w:hanging="601"/>
        <w:jc w:val="left"/>
        <w:rPr>
          <w:color w:val="auto"/>
          <w:sz w:val="24"/>
        </w:rPr>
      </w:pPr>
      <w:r>
        <w:rPr>
          <w:color w:val="auto"/>
          <w:sz w:val="24"/>
        </w:rPr>
        <w:t>具有有效的企业法人营业执照及开户许可证；</w:t>
      </w:r>
    </w:p>
    <w:p w14:paraId="6272A026">
      <w:pPr>
        <w:pStyle w:val="14"/>
        <w:numPr>
          <w:ilvl w:val="0"/>
          <w:numId w:val="2"/>
        </w:numPr>
        <w:tabs>
          <w:tab w:val="left" w:pos="1501"/>
        </w:tabs>
        <w:spacing w:before="211" w:after="0" w:line="240" w:lineRule="auto"/>
        <w:ind w:left="1501" w:right="0" w:hanging="601"/>
        <w:jc w:val="left"/>
        <w:rPr>
          <w:color w:val="auto"/>
          <w:sz w:val="24"/>
        </w:rPr>
      </w:pPr>
      <w:r>
        <w:rPr>
          <w:rFonts w:hint="eastAsia"/>
          <w:color w:val="auto"/>
          <w:sz w:val="24"/>
          <w:lang w:eastAsia="zh-CN"/>
        </w:rPr>
        <w:t>提供2024年财务状况报告</w:t>
      </w:r>
      <w:r>
        <w:rPr>
          <w:color w:val="auto"/>
          <w:sz w:val="24"/>
        </w:rPr>
        <w:t>或银行出具的资信证明材料（新成立的公司可不提供）；</w:t>
      </w:r>
    </w:p>
    <w:p w14:paraId="617B58C9">
      <w:pPr>
        <w:pStyle w:val="14"/>
        <w:numPr>
          <w:ilvl w:val="0"/>
          <w:numId w:val="2"/>
        </w:numPr>
        <w:tabs>
          <w:tab w:val="left" w:pos="1501"/>
        </w:tabs>
        <w:spacing w:before="213" w:after="0" w:line="240" w:lineRule="auto"/>
        <w:ind w:left="1501" w:right="0" w:hanging="601"/>
        <w:jc w:val="left"/>
        <w:rPr>
          <w:color w:val="auto"/>
          <w:sz w:val="24"/>
        </w:rPr>
      </w:pPr>
      <w:r>
        <w:rPr>
          <w:color w:val="auto"/>
          <w:sz w:val="24"/>
        </w:rPr>
        <w:t>具有履行合同所必需的设备和专业技术能力（提供书面说明）；</w:t>
      </w:r>
    </w:p>
    <w:p w14:paraId="36967099">
      <w:pPr>
        <w:pStyle w:val="14"/>
        <w:numPr>
          <w:ilvl w:val="0"/>
          <w:numId w:val="2"/>
        </w:numPr>
        <w:tabs>
          <w:tab w:val="left" w:pos="1501"/>
        </w:tabs>
        <w:spacing w:before="213" w:after="0" w:line="405" w:lineRule="auto"/>
        <w:ind w:left="420" w:right="417" w:firstLine="480"/>
        <w:jc w:val="left"/>
        <w:rPr>
          <w:color w:val="auto"/>
          <w:sz w:val="24"/>
        </w:rPr>
      </w:pPr>
      <w:r>
        <w:rPr>
          <w:color w:val="auto"/>
          <w:spacing w:val="-2"/>
          <w:sz w:val="24"/>
        </w:rPr>
        <w:t>近半年依法缴纳税收证明</w:t>
      </w:r>
      <w:r>
        <w:rPr>
          <w:color w:val="auto"/>
          <w:spacing w:val="-3"/>
          <w:sz w:val="24"/>
        </w:rPr>
        <w:t>（</w:t>
      </w:r>
      <w:r>
        <w:rPr>
          <w:color w:val="auto"/>
          <w:sz w:val="24"/>
        </w:rPr>
        <w:t>纳税凭证</w:t>
      </w:r>
      <w:r>
        <w:rPr>
          <w:color w:val="auto"/>
          <w:spacing w:val="-20"/>
          <w:sz w:val="24"/>
        </w:rPr>
        <w:t>）</w:t>
      </w:r>
      <w:r>
        <w:rPr>
          <w:color w:val="auto"/>
          <w:spacing w:val="-2"/>
          <w:sz w:val="24"/>
        </w:rPr>
        <w:t>和缴纳社会保险的证明</w:t>
      </w:r>
      <w:r>
        <w:rPr>
          <w:color w:val="auto"/>
          <w:spacing w:val="-3"/>
          <w:sz w:val="24"/>
        </w:rPr>
        <w:t>（</w:t>
      </w:r>
      <w:r>
        <w:rPr>
          <w:color w:val="auto"/>
          <w:sz w:val="24"/>
        </w:rPr>
        <w:t>缴费凭证</w:t>
      </w:r>
      <w:r>
        <w:rPr>
          <w:color w:val="auto"/>
          <w:spacing w:val="-9"/>
          <w:sz w:val="24"/>
        </w:rPr>
        <w:t>）</w:t>
      </w:r>
      <w:r>
        <w:rPr>
          <w:color w:val="auto"/>
          <w:spacing w:val="-7"/>
          <w:sz w:val="24"/>
        </w:rPr>
        <w:t>,如依法</w:t>
      </w:r>
      <w:r>
        <w:rPr>
          <w:color w:val="auto"/>
          <w:sz w:val="24"/>
        </w:rPr>
        <w:t>不需要缴纳的，应提供相应证明文件证明无需缴纳；</w:t>
      </w:r>
    </w:p>
    <w:p w14:paraId="72748FC0">
      <w:pPr>
        <w:pStyle w:val="14"/>
        <w:numPr>
          <w:ilvl w:val="0"/>
          <w:numId w:val="2"/>
        </w:numPr>
        <w:tabs>
          <w:tab w:val="left" w:pos="1501"/>
        </w:tabs>
        <w:spacing w:before="0" w:after="0" w:line="240" w:lineRule="auto"/>
        <w:ind w:left="1501" w:right="0" w:hanging="601"/>
        <w:jc w:val="left"/>
        <w:rPr>
          <w:color w:val="auto"/>
          <w:sz w:val="24"/>
        </w:rPr>
      </w:pPr>
      <w:r>
        <w:rPr>
          <w:color w:val="auto"/>
          <w:sz w:val="24"/>
        </w:rPr>
        <w:t>参加政府采购活动前三年内在经营活动中没有重大违法记录的书面声明；</w:t>
      </w:r>
    </w:p>
    <w:p w14:paraId="391EE01B">
      <w:pPr>
        <w:pStyle w:val="14"/>
        <w:numPr>
          <w:ilvl w:val="0"/>
          <w:numId w:val="2"/>
        </w:numPr>
        <w:tabs>
          <w:tab w:val="left" w:pos="1501"/>
        </w:tabs>
        <w:spacing w:before="213" w:after="0" w:line="360" w:lineRule="auto"/>
        <w:ind w:left="1501" w:right="0" w:hanging="601"/>
        <w:jc w:val="left"/>
      </w:pPr>
      <w:r>
        <w:rPr>
          <w:color w:val="auto"/>
          <w:sz w:val="24"/>
        </w:rPr>
        <w:t>法律、行政法规规定的其他条件。</w:t>
      </w:r>
    </w:p>
    <w:p w14:paraId="5EBAC7CE">
      <w:pPr>
        <w:pStyle w:val="14"/>
        <w:numPr>
          <w:ilvl w:val="0"/>
          <w:numId w:val="0"/>
        </w:numPr>
        <w:tabs>
          <w:tab w:val="left" w:pos="1501"/>
        </w:tabs>
        <w:spacing w:before="213" w:after="0" w:line="360" w:lineRule="auto"/>
        <w:ind w:left="900" w:leftChars="0" w:right="0" w:rightChars="0" w:firstLine="396" w:firstLineChars="200"/>
        <w:jc w:val="left"/>
      </w:pPr>
      <w:r>
        <w:rPr>
          <w:color w:val="auto"/>
          <w:spacing w:val="-11"/>
        </w:rPr>
        <w:t>按照《财政部关于在政府采购活动中查询及使用信用记录有关问题的通知》</w:t>
      </w:r>
      <w:r>
        <w:rPr>
          <w:color w:val="auto"/>
        </w:rPr>
        <w:t>（</w:t>
      </w:r>
      <w:r>
        <w:rPr>
          <w:color w:val="auto"/>
          <w:spacing w:val="-27"/>
        </w:rPr>
        <w:t>财库</w:t>
      </w:r>
      <w:r>
        <w:rPr>
          <w:color w:val="auto"/>
          <w:spacing w:val="-3"/>
        </w:rPr>
        <w:t xml:space="preserve">（2016） </w:t>
      </w:r>
      <w:r>
        <w:rPr>
          <w:color w:val="auto"/>
        </w:rPr>
        <w:t>125</w:t>
      </w:r>
      <w:r>
        <w:rPr>
          <w:color w:val="auto"/>
          <w:spacing w:val="-30"/>
        </w:rPr>
        <w:t xml:space="preserve"> 号</w:t>
      </w:r>
      <w:r>
        <w:rPr>
          <w:color w:val="auto"/>
          <w:spacing w:val="-5"/>
        </w:rPr>
        <w:t xml:space="preserve">）的要求，被“信用中国”网站、“中国政府采购网”网站列入失信被执行人、政府采购严重违法失信行为记录名单的，不得参与本项目的政府采购活动；除单一来源采购项目外， </w:t>
      </w:r>
      <w:r>
        <w:rPr>
          <w:color w:val="auto"/>
          <w:spacing w:val="-10"/>
        </w:rPr>
        <w:t>为采购项目提供整体设计、规范编制或者项目管理、监理、检测等服务的供应商，不得再参加</w:t>
      </w:r>
      <w:r>
        <w:rPr>
          <w:color w:val="auto"/>
          <w:spacing w:val="-18"/>
        </w:rPr>
        <w:t xml:space="preserve">该采购项目的其他采购活动；单位负责人为同一人或者存在直接控股、管理关系的不同投标人， </w:t>
      </w:r>
      <w:r>
        <w:rPr>
          <w:color w:val="auto"/>
        </w:rPr>
        <w:t>不得参加</w:t>
      </w:r>
      <w:r>
        <w:t>同一合同项下的政府采购活动。</w:t>
      </w:r>
    </w:p>
    <w:p w14:paraId="2B69A20B">
      <w:pPr>
        <w:pStyle w:val="7"/>
        <w:spacing w:before="146"/>
      </w:pPr>
      <w:r>
        <w:t>三、获取采购文件</w:t>
      </w:r>
    </w:p>
    <w:p w14:paraId="7054072E">
      <w:pPr>
        <w:pStyle w:val="8"/>
        <w:spacing w:before="4"/>
        <w:rPr>
          <w:b/>
          <w:sz w:val="19"/>
        </w:rPr>
      </w:pPr>
    </w:p>
    <w:p w14:paraId="3289DA68">
      <w:pPr>
        <w:pStyle w:val="8"/>
        <w:ind w:left="900"/>
      </w:pPr>
      <w:r>
        <w:t>1</w:t>
      </w:r>
      <w:r>
        <w:rPr>
          <w:spacing w:val="-24"/>
        </w:rPr>
        <w:t>、时间：</w:t>
      </w:r>
      <w:r>
        <w:rPr>
          <w:spacing w:val="-15"/>
          <w:u w:val="single"/>
        </w:rPr>
        <w:t>2025</w:t>
      </w:r>
      <w:r>
        <w:rPr>
          <w:spacing w:val="-30"/>
          <w:u w:val="single"/>
        </w:rPr>
        <w:t xml:space="preserve"> 年 </w:t>
      </w:r>
      <w:r>
        <w:rPr>
          <w:rFonts w:hint="eastAsia"/>
          <w:spacing w:val="-30"/>
          <w:u w:val="single"/>
          <w:lang w:val="en-US" w:eastAsia="zh-CN"/>
        </w:rPr>
        <w:t>6</w:t>
      </w:r>
      <w:r>
        <w:rPr>
          <w:spacing w:val="-30"/>
          <w:u w:val="single"/>
        </w:rPr>
        <w:t xml:space="preserve">月 </w:t>
      </w:r>
      <w:r>
        <w:rPr>
          <w:u w:val="single"/>
        </w:rPr>
        <w:t>1</w:t>
      </w:r>
      <w:r>
        <w:rPr>
          <w:rFonts w:hint="eastAsia"/>
          <w:u w:val="single"/>
          <w:lang w:val="en-US" w:eastAsia="zh-CN"/>
        </w:rPr>
        <w:t>3</w:t>
      </w:r>
      <w:r>
        <w:rPr>
          <w:spacing w:val="-30"/>
          <w:u w:val="single"/>
        </w:rPr>
        <w:t xml:space="preserve"> 日至 </w:t>
      </w:r>
      <w:r>
        <w:rPr>
          <w:u w:val="single"/>
        </w:rPr>
        <w:t>2025</w:t>
      </w:r>
      <w:r>
        <w:rPr>
          <w:spacing w:val="-40"/>
          <w:u w:val="single"/>
        </w:rPr>
        <w:t xml:space="preserve"> 年 </w:t>
      </w:r>
      <w:r>
        <w:rPr>
          <w:u w:val="single"/>
        </w:rPr>
        <w:t>0</w:t>
      </w:r>
      <w:r>
        <w:rPr>
          <w:rFonts w:hint="eastAsia"/>
          <w:u w:val="single"/>
          <w:lang w:val="en-US" w:eastAsia="zh-CN"/>
        </w:rPr>
        <w:t>6</w:t>
      </w:r>
      <w:r>
        <w:rPr>
          <w:spacing w:val="-30"/>
          <w:u w:val="single"/>
        </w:rPr>
        <w:t xml:space="preserve">月 </w:t>
      </w:r>
      <w:r>
        <w:rPr>
          <w:u w:val="single"/>
        </w:rPr>
        <w:t>2</w:t>
      </w:r>
      <w:r>
        <w:rPr>
          <w:rFonts w:hint="eastAsia"/>
          <w:u w:val="single"/>
          <w:lang w:val="en-US" w:eastAsia="zh-CN"/>
        </w:rPr>
        <w:t>3</w:t>
      </w:r>
      <w:r>
        <w:rPr>
          <w:spacing w:val="-26"/>
          <w:u w:val="single"/>
        </w:rPr>
        <w:t xml:space="preserve">日，每天上午 </w:t>
      </w:r>
      <w:r>
        <w:rPr>
          <w:u w:val="single"/>
        </w:rPr>
        <w:t>10:00</w:t>
      </w:r>
      <w:r>
        <w:rPr>
          <w:spacing w:val="-40"/>
          <w:u w:val="single"/>
        </w:rPr>
        <w:t xml:space="preserve"> 至 </w:t>
      </w:r>
      <w:r>
        <w:rPr>
          <w:spacing w:val="-12"/>
          <w:u w:val="single"/>
        </w:rPr>
        <w:t>14:00</w:t>
      </w:r>
      <w:r>
        <w:rPr>
          <w:spacing w:val="-18"/>
          <w:u w:val="single"/>
        </w:rPr>
        <w:t xml:space="preserve">，下午 </w:t>
      </w:r>
      <w:r>
        <w:rPr>
          <w:u w:val="single"/>
        </w:rPr>
        <w:t>16:00</w:t>
      </w:r>
    </w:p>
    <w:p w14:paraId="1AA7B0C1">
      <w:pPr>
        <w:pStyle w:val="8"/>
        <w:spacing w:before="6"/>
        <w:rPr>
          <w:sz w:val="11"/>
        </w:rPr>
      </w:pPr>
    </w:p>
    <w:p w14:paraId="33C40DC3">
      <w:pPr>
        <w:pStyle w:val="8"/>
        <w:spacing w:before="66" w:line="405" w:lineRule="auto"/>
        <w:ind w:left="900" w:right="6197" w:hanging="480"/>
      </w:pPr>
      <w:r>
        <w:rPr>
          <w:u w:val="single"/>
        </w:rPr>
        <w:t>至 20：00</w:t>
      </w:r>
      <w:r>
        <w:t>（北京时间，节假日除外） 2、地点：政采云平台线上获取</w:t>
      </w:r>
    </w:p>
    <w:p w14:paraId="04EE8573">
      <w:pPr>
        <w:pStyle w:val="8"/>
        <w:spacing w:line="405" w:lineRule="auto"/>
        <w:ind w:left="420" w:right="417" w:firstLine="480"/>
      </w:pPr>
      <w:r>
        <w:t>3</w:t>
      </w:r>
      <w:r>
        <w:rPr>
          <w:spacing w:val="-17"/>
        </w:rPr>
        <w:t>、方式：</w:t>
      </w:r>
      <w:r>
        <w:rPr>
          <w:spacing w:val="-8"/>
          <w:u w:val="single"/>
        </w:rPr>
        <w:t xml:space="preserve">供应商登陆政采云平台 </w:t>
      </w:r>
      <w:r>
        <w:fldChar w:fldCharType="begin"/>
      </w:r>
      <w:r>
        <w:instrText xml:space="preserve"> HYPERLINK "http://www.zcygov.cn/" \h </w:instrText>
      </w:r>
      <w:r>
        <w:fldChar w:fldCharType="separate"/>
      </w:r>
      <w:r>
        <w:rPr>
          <w:u w:val="single"/>
        </w:rPr>
        <w:t>http://www.zcygov.cn/</w:t>
      </w:r>
      <w:r>
        <w:rPr>
          <w:u w:val="single"/>
        </w:rPr>
        <w:fldChar w:fldCharType="end"/>
      </w:r>
      <w:r>
        <w:rPr>
          <w:u w:val="single"/>
        </w:rPr>
        <w:t>，在线申请获取招标文件</w:t>
      </w:r>
      <w:r>
        <w:rPr>
          <w:spacing w:val="-60"/>
        </w:rPr>
        <w:t>。</w:t>
      </w:r>
      <w:r>
        <w:t>（</w:t>
      </w:r>
      <w:r>
        <w:rPr>
          <w:spacing w:val="-14"/>
        </w:rPr>
        <w:t>进</w:t>
      </w:r>
      <w:r>
        <w:t>入“项目采购”应用，在获取采购文件菜单中选择项目，申请获取采购文件）</w:t>
      </w:r>
    </w:p>
    <w:p w14:paraId="0CE6BEF1">
      <w:pPr>
        <w:pStyle w:val="8"/>
        <w:spacing w:before="2"/>
        <w:ind w:left="900"/>
      </w:pPr>
      <w:r>
        <w:t>4、售价（元）：0 元/套</w:t>
      </w:r>
    </w:p>
    <w:p w14:paraId="4A3858DB">
      <w:pPr>
        <w:pStyle w:val="8"/>
        <w:spacing w:before="9"/>
        <w:rPr>
          <w:sz w:val="27"/>
        </w:rPr>
      </w:pPr>
    </w:p>
    <w:p w14:paraId="5E2E97C8">
      <w:pPr>
        <w:pStyle w:val="7"/>
      </w:pPr>
      <w:r>
        <w:t>四、提交投标文件截止时间、开标时间和地点</w:t>
      </w:r>
    </w:p>
    <w:p w14:paraId="0C1FAA3F">
      <w:pPr>
        <w:pStyle w:val="8"/>
        <w:spacing w:before="6"/>
        <w:rPr>
          <w:b/>
          <w:sz w:val="19"/>
        </w:rPr>
      </w:pPr>
    </w:p>
    <w:p w14:paraId="69738164">
      <w:pPr>
        <w:pStyle w:val="8"/>
        <w:spacing w:line="405" w:lineRule="auto"/>
        <w:ind w:left="900" w:right="3685"/>
      </w:pPr>
      <w:r>
        <w:t>截止时间：</w:t>
      </w:r>
      <w:r>
        <w:rPr>
          <w:u w:val="single"/>
        </w:rPr>
        <w:t xml:space="preserve"> </w:t>
      </w:r>
      <w:r>
        <w:rPr>
          <w:rFonts w:hint="eastAsia"/>
          <w:u w:val="single"/>
          <w:lang w:eastAsia="zh-CN"/>
        </w:rPr>
        <w:t xml:space="preserve"> 2025年07月11日16：30</w:t>
      </w:r>
      <w:r>
        <w:t>（北京时间</w:t>
      </w:r>
      <w:r>
        <w:rPr>
          <w:spacing w:val="-19"/>
        </w:rPr>
        <w:t xml:space="preserve">） </w:t>
      </w:r>
      <w:r>
        <w:fldChar w:fldCharType="begin"/>
      </w:r>
      <w:r>
        <w:instrText xml:space="preserve"> HYPERLINK "http://www.zcygov.cn/" \h </w:instrText>
      </w:r>
      <w:r>
        <w:fldChar w:fldCharType="separate"/>
      </w:r>
      <w:r>
        <w:t>投标地点：政府采购云平台（www.zcygov.cn</w:t>
      </w:r>
      <w:r>
        <w:fldChar w:fldCharType="end"/>
      </w:r>
      <w:r>
        <w:t>）</w:t>
      </w:r>
    </w:p>
    <w:p w14:paraId="55FC03B4">
      <w:pPr>
        <w:pStyle w:val="8"/>
        <w:ind w:left="900"/>
      </w:pPr>
      <w:r>
        <w:t>开标时间：</w:t>
      </w:r>
      <w:r>
        <w:rPr>
          <w:u w:val="single"/>
        </w:rPr>
        <w:t xml:space="preserve"> </w:t>
      </w:r>
      <w:r>
        <w:rPr>
          <w:rFonts w:hint="eastAsia"/>
          <w:u w:val="single"/>
          <w:lang w:eastAsia="zh-CN"/>
        </w:rPr>
        <w:t xml:space="preserve"> 2025年07月11日16：30</w:t>
      </w:r>
      <w:r>
        <w:t>（北京时间）</w:t>
      </w:r>
    </w:p>
    <w:p w14:paraId="31483E8D">
      <w:pPr>
        <w:pStyle w:val="8"/>
        <w:spacing w:before="213" w:line="405" w:lineRule="auto"/>
        <w:ind w:left="420" w:right="445" w:firstLine="480"/>
        <w:jc w:val="both"/>
      </w:pPr>
      <w:r>
        <w:fldChar w:fldCharType="begin"/>
      </w:r>
      <w:r>
        <w:instrText xml:space="preserve"> HYPERLINK "http://www.zcygov.cn/" \h </w:instrText>
      </w:r>
      <w:r>
        <w:fldChar w:fldCharType="separate"/>
      </w:r>
      <w:r>
        <w:t>开标地点：登录政采云投标客户端投标（在政府采购云平台（www.zcygov.cn</w:t>
      </w:r>
      <w:r>
        <w:fldChar w:fldCharType="end"/>
      </w:r>
      <w:r>
        <w:t>）</w:t>
      </w:r>
      <w:r>
        <w:rPr>
          <w:spacing w:val="-5"/>
        </w:rPr>
        <w:t>上开启投</w:t>
      </w:r>
      <w:r>
        <w:rPr>
          <w:spacing w:val="-3"/>
        </w:rPr>
        <w:t xml:space="preserve">标文件，开标时间后，待采购代理机构发出解密通知后 </w:t>
      </w:r>
      <w:r>
        <w:t>30</w:t>
      </w:r>
      <w:r>
        <w:rPr>
          <w:spacing w:val="-9"/>
        </w:rPr>
        <w:t xml:space="preserve"> 分钟内，供应商须登录“政采云” </w:t>
      </w:r>
      <w:r>
        <w:rPr>
          <w:spacing w:val="-1"/>
        </w:rPr>
        <w:t>平台，用“项目采购-开标评标”功能解密投标文件，未按时解密的供应商，视作自愿放弃本</w:t>
      </w:r>
      <w:r>
        <w:t>项目的投标）</w:t>
      </w:r>
    </w:p>
    <w:p w14:paraId="2A2A5DAA">
      <w:pPr>
        <w:pStyle w:val="7"/>
        <w:spacing w:before="146"/>
      </w:pPr>
      <w:r>
        <w:rPr>
          <w:w w:val="95"/>
        </w:rPr>
        <w:t>五、公告期限</w:t>
      </w:r>
    </w:p>
    <w:p w14:paraId="34795042">
      <w:pPr>
        <w:pStyle w:val="8"/>
        <w:spacing w:before="4"/>
        <w:rPr>
          <w:b/>
          <w:sz w:val="19"/>
        </w:rPr>
      </w:pPr>
    </w:p>
    <w:p w14:paraId="1E59E48A">
      <w:pPr>
        <w:pStyle w:val="8"/>
        <w:ind w:left="900"/>
      </w:pPr>
      <w:r>
        <w:t>自本公告发布之日起 5 个工作日</w:t>
      </w:r>
    </w:p>
    <w:p w14:paraId="190CE5CF">
      <w:pPr>
        <w:pStyle w:val="7"/>
        <w:spacing w:before="162"/>
      </w:pPr>
      <w:r>
        <w:t>六、其他补充事宜</w:t>
      </w:r>
    </w:p>
    <w:p w14:paraId="160801CB">
      <w:pPr>
        <w:pStyle w:val="14"/>
        <w:numPr>
          <w:ilvl w:val="0"/>
          <w:numId w:val="3"/>
        </w:numPr>
        <w:tabs>
          <w:tab w:val="left" w:pos="1141"/>
        </w:tabs>
        <w:spacing w:before="184" w:after="0" w:line="343" w:lineRule="auto"/>
        <w:ind w:left="420" w:right="417" w:firstLine="480"/>
        <w:jc w:val="both"/>
        <w:rPr>
          <w:sz w:val="24"/>
        </w:rPr>
      </w:pPr>
      <w:r>
        <w:rPr>
          <w:spacing w:val="-3"/>
          <w:sz w:val="24"/>
        </w:rPr>
        <w:t xml:space="preserve">本项目采用全流程不见面电子开评标，投标供应商需要使用 </w:t>
      </w:r>
      <w:r>
        <w:rPr>
          <w:sz w:val="24"/>
        </w:rPr>
        <w:t>CA</w:t>
      </w:r>
      <w:r>
        <w:rPr>
          <w:spacing w:val="-8"/>
          <w:sz w:val="24"/>
        </w:rPr>
        <w:t xml:space="preserve"> 加密设备，供应商可通过新疆数字证书认证中心官网</w:t>
      </w:r>
      <w:r>
        <w:rPr>
          <w:sz w:val="24"/>
        </w:rPr>
        <w:t>（</w:t>
      </w:r>
      <w:r>
        <w:fldChar w:fldCharType="begin"/>
      </w:r>
      <w:r>
        <w:instrText xml:space="preserve"> HYPERLINK "http://www.xjca.com.cn/" \h </w:instrText>
      </w:r>
      <w:r>
        <w:fldChar w:fldCharType="separate"/>
      </w:r>
      <w:r>
        <w:rPr>
          <w:sz w:val="24"/>
        </w:rPr>
        <w:t>https://www.xjca.com.cn/</w:t>
      </w:r>
      <w:r>
        <w:rPr>
          <w:sz w:val="24"/>
        </w:rPr>
        <w:fldChar w:fldCharType="end"/>
      </w:r>
      <w:r>
        <w:rPr>
          <w:sz w:val="24"/>
        </w:rPr>
        <w:t>）</w:t>
      </w:r>
      <w:r>
        <w:rPr>
          <w:spacing w:val="-3"/>
          <w:sz w:val="24"/>
        </w:rPr>
        <w:t>或下载“新疆政务通”</w:t>
      </w:r>
      <w:r>
        <w:rPr>
          <w:sz w:val="24"/>
        </w:rPr>
        <w:t>APP</w:t>
      </w:r>
      <w:r>
        <w:rPr>
          <w:spacing w:val="-29"/>
          <w:sz w:val="24"/>
        </w:rPr>
        <w:t xml:space="preserve"> 自行</w:t>
      </w:r>
      <w:r>
        <w:rPr>
          <w:sz w:val="24"/>
        </w:rPr>
        <w:t>进行申领。</w:t>
      </w:r>
    </w:p>
    <w:p w14:paraId="78309F01">
      <w:pPr>
        <w:pStyle w:val="14"/>
        <w:numPr>
          <w:ilvl w:val="0"/>
          <w:numId w:val="3"/>
        </w:numPr>
        <w:tabs>
          <w:tab w:val="left" w:pos="1141"/>
        </w:tabs>
        <w:spacing w:before="1" w:after="0" w:line="345" w:lineRule="auto"/>
        <w:ind w:left="420" w:right="417" w:firstLine="480"/>
        <w:jc w:val="both"/>
        <w:rPr>
          <w:sz w:val="24"/>
        </w:rPr>
      </w:pPr>
      <w:r>
        <w:rPr>
          <w:spacing w:val="-12"/>
          <w:sz w:val="24"/>
        </w:rPr>
        <w:t xml:space="preserve">本项目实行网上投标，采用加密电子响应文件(供应商须使用 </w:t>
      </w:r>
      <w:r>
        <w:rPr>
          <w:sz w:val="24"/>
        </w:rPr>
        <w:t>CA</w:t>
      </w:r>
      <w:r>
        <w:rPr>
          <w:spacing w:val="-9"/>
          <w:sz w:val="24"/>
        </w:rPr>
        <w:t xml:space="preserve"> 加密设备通过政采云电</w:t>
      </w:r>
      <w:r>
        <w:rPr>
          <w:sz w:val="24"/>
        </w:rPr>
        <w:t>子投标客户端制作响应文件)若供应商参与投标自行承担投标一切费用。</w:t>
      </w:r>
    </w:p>
    <w:p w14:paraId="4DD80A6C">
      <w:pPr>
        <w:pStyle w:val="14"/>
        <w:numPr>
          <w:ilvl w:val="0"/>
          <w:numId w:val="3"/>
        </w:numPr>
        <w:tabs>
          <w:tab w:val="left" w:pos="1141"/>
        </w:tabs>
        <w:spacing w:before="0" w:after="0" w:line="343" w:lineRule="auto"/>
        <w:ind w:left="420" w:right="297" w:firstLine="480"/>
        <w:jc w:val="left"/>
        <w:rPr>
          <w:sz w:val="24"/>
        </w:rPr>
      </w:pPr>
      <w:r>
        <w:rPr>
          <w:sz w:val="24"/>
        </w:rPr>
        <w:t>各供应商在开标前应确保成为新疆维吾尔自治区政府采购网正式注册入库供应商(已在政采云平台其他省份入驻的供应商无须重复注册</w:t>
      </w:r>
      <w:r>
        <w:rPr>
          <w:spacing w:val="-32"/>
          <w:sz w:val="24"/>
        </w:rPr>
        <w:t>），</w:t>
      </w:r>
      <w:r>
        <w:rPr>
          <w:spacing w:val="-15"/>
          <w:sz w:val="24"/>
        </w:rPr>
        <w:t xml:space="preserve">并完成 </w:t>
      </w:r>
      <w:r>
        <w:rPr>
          <w:sz w:val="24"/>
        </w:rPr>
        <w:t>CA</w:t>
      </w:r>
      <w:r>
        <w:rPr>
          <w:spacing w:val="-11"/>
          <w:sz w:val="24"/>
        </w:rPr>
        <w:t xml:space="preserve"> 数字证书申领。因未注册入库、</w:t>
      </w:r>
      <w:r>
        <w:rPr>
          <w:spacing w:val="-15"/>
          <w:sz w:val="24"/>
        </w:rPr>
        <w:t xml:space="preserve">未办理 </w:t>
      </w:r>
      <w:r>
        <w:rPr>
          <w:sz w:val="24"/>
        </w:rPr>
        <w:t>CA</w:t>
      </w:r>
      <w:r>
        <w:rPr>
          <w:spacing w:val="-8"/>
          <w:sz w:val="24"/>
        </w:rPr>
        <w:t xml:space="preserve"> 数字证书等原因造成无法投标或投标失败等后果由供应商自行承担。</w:t>
      </w:r>
    </w:p>
    <w:p w14:paraId="32B15C4E">
      <w:pPr>
        <w:pStyle w:val="14"/>
        <w:numPr>
          <w:ilvl w:val="0"/>
          <w:numId w:val="3"/>
        </w:numPr>
        <w:tabs>
          <w:tab w:val="left" w:pos="1141"/>
        </w:tabs>
        <w:spacing w:before="0" w:after="0" w:line="343" w:lineRule="auto"/>
        <w:ind w:left="420" w:right="417" w:firstLine="480"/>
        <w:jc w:val="both"/>
        <w:rPr>
          <w:sz w:val="24"/>
        </w:rPr>
      </w:pPr>
      <w:r>
        <w:rPr>
          <w:spacing w:val="-2"/>
          <w:sz w:val="24"/>
        </w:rPr>
        <w:t xml:space="preserve">供应商将政采云电子交易客户端下载、安装完成后，可通过账号密码或 </w:t>
      </w:r>
      <w:r>
        <w:rPr>
          <w:sz w:val="24"/>
        </w:rPr>
        <w:t>CA</w:t>
      </w:r>
      <w:r>
        <w:rPr>
          <w:spacing w:val="-10"/>
          <w:sz w:val="24"/>
        </w:rPr>
        <w:t xml:space="preserve"> 登录客户端</w:t>
      </w:r>
      <w:r>
        <w:rPr>
          <w:spacing w:val="-14"/>
          <w:sz w:val="24"/>
        </w:rPr>
        <w:t xml:space="preserve">进行响应文件制作。在使用政采云投标客户端时，建议使用 </w:t>
      </w:r>
      <w:r>
        <w:rPr>
          <w:sz w:val="24"/>
        </w:rPr>
        <w:t>WIN7+64</w:t>
      </w:r>
      <w:r>
        <w:rPr>
          <w:spacing w:val="-11"/>
          <w:sz w:val="24"/>
        </w:rPr>
        <w:t xml:space="preserve"> 位及以上操作系统。客户</w:t>
      </w:r>
      <w:r>
        <w:rPr>
          <w:spacing w:val="-5"/>
          <w:sz w:val="24"/>
        </w:rPr>
        <w:t>端请至新疆政府采购网</w:t>
      </w:r>
      <w:r>
        <w:fldChar w:fldCharType="begin"/>
      </w:r>
      <w:r>
        <w:instrText xml:space="preserve"> HYPERLINK "http://www.ccgp-xinjiang.gov.cn/" \h </w:instrText>
      </w:r>
      <w:r>
        <w:fldChar w:fldCharType="separate"/>
      </w:r>
      <w:r>
        <w:rPr>
          <w:spacing w:val="-1"/>
          <w:sz w:val="24"/>
        </w:rPr>
        <w:t>（http://www.ccgp-xinjiang.gov.cn/</w:t>
      </w:r>
      <w:r>
        <w:rPr>
          <w:spacing w:val="-1"/>
          <w:sz w:val="24"/>
        </w:rPr>
        <w:fldChar w:fldCharType="end"/>
      </w:r>
      <w:r>
        <w:rPr>
          <w:spacing w:val="-1"/>
          <w:sz w:val="24"/>
        </w:rPr>
        <w:t>）</w:t>
      </w:r>
      <w:r>
        <w:rPr>
          <w:spacing w:val="-6"/>
          <w:sz w:val="24"/>
        </w:rPr>
        <w:t xml:space="preserve">下载专区查看，如有问题可拨打政采云客户服务热线 </w:t>
      </w:r>
      <w:r>
        <w:rPr>
          <w:sz w:val="24"/>
        </w:rPr>
        <w:t>95763</w:t>
      </w:r>
      <w:r>
        <w:rPr>
          <w:spacing w:val="-10"/>
          <w:sz w:val="24"/>
        </w:rPr>
        <w:t xml:space="preserve"> 进行咨询。</w:t>
      </w:r>
    </w:p>
    <w:p w14:paraId="2E95E795">
      <w:pPr>
        <w:pStyle w:val="14"/>
        <w:numPr>
          <w:ilvl w:val="0"/>
          <w:numId w:val="3"/>
        </w:numPr>
        <w:tabs>
          <w:tab w:val="left" w:pos="1141"/>
        </w:tabs>
        <w:spacing w:before="0" w:after="0" w:line="345" w:lineRule="auto"/>
        <w:ind w:left="420" w:right="445" w:firstLine="480"/>
        <w:jc w:val="both"/>
        <w:rPr>
          <w:sz w:val="24"/>
        </w:rPr>
      </w:pPr>
      <w:r>
        <w:rPr>
          <w:spacing w:val="-3"/>
          <w:sz w:val="24"/>
        </w:rPr>
        <w:t xml:space="preserve">供应商在开标时须使用制作加密电子响应文件所使用的 </w:t>
      </w:r>
      <w:r>
        <w:rPr>
          <w:sz w:val="24"/>
        </w:rPr>
        <w:t>CA</w:t>
      </w:r>
      <w:r>
        <w:rPr>
          <w:spacing w:val="-9"/>
          <w:sz w:val="24"/>
        </w:rPr>
        <w:t xml:space="preserve"> 锁及电脑，电脑须提前配置</w:t>
      </w:r>
      <w:r>
        <w:rPr>
          <w:sz w:val="24"/>
        </w:rPr>
        <w:t>好浏览器（建议使用谷歌浏览器），以便开标时解锁。</w:t>
      </w:r>
    </w:p>
    <w:p w14:paraId="43F221A7">
      <w:pPr>
        <w:pStyle w:val="14"/>
        <w:numPr>
          <w:ilvl w:val="0"/>
          <w:numId w:val="3"/>
        </w:numPr>
        <w:tabs>
          <w:tab w:val="left" w:pos="1141"/>
        </w:tabs>
        <w:spacing w:before="0" w:after="0" w:line="343" w:lineRule="auto"/>
        <w:ind w:left="420" w:right="417" w:firstLine="480"/>
        <w:jc w:val="left"/>
        <w:rPr>
          <w:sz w:val="24"/>
        </w:rPr>
      </w:pPr>
      <w:r>
        <w:rPr>
          <w:sz w:val="24"/>
        </w:rPr>
        <w:t>供应商对不见面开评标系统的技术操作咨询，可通过https://edu.zcygov.cn/luban/xinjiang-e-biding</w:t>
      </w:r>
      <w:r>
        <w:rPr>
          <w:spacing w:val="-11"/>
          <w:sz w:val="24"/>
        </w:rPr>
        <w:t xml:space="preserve"> 自助查询，也可在政采云帮助中心常见问</w:t>
      </w:r>
      <w:r>
        <w:rPr>
          <w:spacing w:val="-3"/>
          <w:sz w:val="24"/>
        </w:rPr>
        <w:t>题解答和操作流程讲解视频中自助查询，网址为：</w:t>
      </w:r>
      <w:r>
        <w:rPr>
          <w:spacing w:val="-1"/>
          <w:sz w:val="24"/>
        </w:rPr>
        <w:t>https://service.zcygov.cn/#/help</w:t>
      </w:r>
      <w:r>
        <w:rPr>
          <w:spacing w:val="-7"/>
          <w:sz w:val="24"/>
        </w:rPr>
        <w:t>，“项</w:t>
      </w:r>
      <w:r>
        <w:rPr>
          <w:spacing w:val="-12"/>
          <w:sz w:val="24"/>
        </w:rPr>
        <w:t>目采购”—“操作流程-电子招投标”—“政府采购项目电子交易管理操作指南-供应商”版面</w:t>
      </w:r>
      <w:r>
        <w:rPr>
          <w:sz w:val="24"/>
        </w:rPr>
        <w:t>获取操作指南。</w:t>
      </w:r>
    </w:p>
    <w:p w14:paraId="2044EA8F">
      <w:pPr>
        <w:pStyle w:val="14"/>
        <w:numPr>
          <w:ilvl w:val="0"/>
          <w:numId w:val="3"/>
        </w:numPr>
        <w:tabs>
          <w:tab w:val="left" w:pos="1141"/>
        </w:tabs>
        <w:spacing w:before="0" w:after="0" w:line="343" w:lineRule="auto"/>
        <w:ind w:left="420" w:right="417" w:firstLine="480"/>
        <w:jc w:val="left"/>
        <w:rPr>
          <w:sz w:val="24"/>
        </w:rPr>
      </w:pPr>
      <w:r>
        <w:rPr>
          <w:spacing w:val="-7"/>
          <w:sz w:val="24"/>
        </w:rPr>
        <w:t>为了保证开评标顺利进行，政采云线上开标功能完全实现，供应商开标所使用的电脑设</w:t>
      </w:r>
      <w:r>
        <w:rPr>
          <w:sz w:val="24"/>
        </w:rPr>
        <w:t>备须具有视频及语音功能。</w:t>
      </w:r>
    </w:p>
    <w:p w14:paraId="4E8E4952">
      <w:pPr>
        <w:pStyle w:val="7"/>
        <w:spacing w:before="202" w:line="434" w:lineRule="auto"/>
        <w:ind w:left="902" w:right="5104" w:hanging="483"/>
      </w:pPr>
      <w:r>
        <w:rPr>
          <w:spacing w:val="-1"/>
        </w:rPr>
        <w:t>七、对本次招标提出询问，请按以下方式联系。</w:t>
      </w:r>
      <w:r>
        <w:t>1.采购人信息</w:t>
      </w:r>
    </w:p>
    <w:p w14:paraId="19855E94">
      <w:pPr>
        <w:pStyle w:val="8"/>
        <w:spacing w:line="270" w:lineRule="exact"/>
        <w:ind w:left="900"/>
      </w:pPr>
      <w:r>
        <w:t>名称：阿勒泰市喀拉希力克乡人民政府</w:t>
      </w:r>
    </w:p>
    <w:p w14:paraId="0D5F7382">
      <w:pPr>
        <w:pStyle w:val="8"/>
        <w:spacing w:before="213" w:line="405" w:lineRule="auto"/>
        <w:ind w:left="900" w:right="5365"/>
        <w:rPr>
          <w:rFonts w:hint="eastAsia" w:eastAsia="仿宋"/>
          <w:lang w:eastAsia="zh-CN"/>
        </w:rPr>
      </w:pPr>
      <w:r>
        <w:rPr>
          <w:spacing w:val="-4"/>
        </w:rPr>
        <w:t xml:space="preserve">地址：阿勒泰市喀拉希力克乡青年路 </w:t>
      </w:r>
      <w:r>
        <w:t>6</w:t>
      </w:r>
      <w:r>
        <w:rPr>
          <w:spacing w:val="-40"/>
        </w:rPr>
        <w:t xml:space="preserve"> 号</w:t>
      </w:r>
      <w:r>
        <w:t>联 系 人：</w:t>
      </w:r>
      <w:r>
        <w:rPr>
          <w:rFonts w:hint="eastAsia"/>
          <w:lang w:eastAsia="zh-CN"/>
        </w:rPr>
        <w:t>刘国梁</w:t>
      </w:r>
    </w:p>
    <w:p w14:paraId="45B9318E">
      <w:pPr>
        <w:pStyle w:val="7"/>
        <w:spacing w:before="38"/>
        <w:ind w:left="902"/>
        <w:rPr>
          <w:rFonts w:ascii="仿宋" w:hAnsi="仿宋" w:eastAsia="仿宋" w:cs="仿宋"/>
          <w:b w:val="0"/>
          <w:bCs w:val="0"/>
          <w:spacing w:val="-4"/>
          <w:sz w:val="24"/>
          <w:szCs w:val="24"/>
          <w:lang w:val="en-US" w:eastAsia="zh-CN" w:bidi="ar-SA"/>
        </w:rPr>
      </w:pPr>
      <w:r>
        <w:rPr>
          <w:rFonts w:ascii="仿宋" w:hAnsi="仿宋" w:eastAsia="仿宋" w:cs="仿宋"/>
          <w:b w:val="0"/>
          <w:bCs w:val="0"/>
          <w:spacing w:val="-4"/>
          <w:sz w:val="24"/>
          <w:szCs w:val="24"/>
          <w:lang w:val="en-US" w:eastAsia="zh-CN" w:bidi="ar-SA"/>
        </w:rPr>
        <w:t>联系方式：</w:t>
      </w:r>
      <w:r>
        <w:rPr>
          <w:rFonts w:hint="eastAsia" w:ascii="仿宋" w:hAnsi="仿宋" w:eastAsia="仿宋" w:cs="仿宋"/>
          <w:b w:val="0"/>
          <w:bCs w:val="0"/>
          <w:spacing w:val="-4"/>
          <w:sz w:val="24"/>
          <w:szCs w:val="24"/>
          <w:lang w:val="en-US" w:eastAsia="zh-CN" w:bidi="ar-SA"/>
        </w:rPr>
        <w:t>13399060065</w:t>
      </w:r>
    </w:p>
    <w:p w14:paraId="628EA486">
      <w:pPr>
        <w:pStyle w:val="7"/>
        <w:spacing w:before="38"/>
        <w:ind w:left="902"/>
      </w:pPr>
      <w:r>
        <w:t>2.采购代理机构信息</w:t>
      </w:r>
    </w:p>
    <w:p w14:paraId="0196AE72">
      <w:pPr>
        <w:pStyle w:val="8"/>
        <w:spacing w:before="213"/>
        <w:ind w:left="900"/>
      </w:pPr>
      <w:r>
        <w:t>名称：新疆瀚展博源项目管理有限公司</w:t>
      </w:r>
    </w:p>
    <w:p w14:paraId="476FD9B6">
      <w:pPr>
        <w:pStyle w:val="8"/>
        <w:spacing w:before="213" w:line="405" w:lineRule="auto"/>
        <w:ind w:left="900" w:right="1285"/>
        <w:rPr>
          <w:rFonts w:hint="default" w:eastAsia="仿宋"/>
          <w:lang w:val="en-US" w:eastAsia="zh-CN"/>
        </w:rPr>
      </w:pPr>
      <w:r>
        <w:rPr>
          <w:spacing w:val="-3"/>
        </w:rPr>
        <w:t xml:space="preserve">地址：新疆阿勒泰地区阿勒泰市迎宾路克兰区 </w:t>
      </w:r>
      <w:r>
        <w:t>99</w:t>
      </w:r>
      <w:r>
        <w:rPr>
          <w:spacing w:val="-18"/>
        </w:rPr>
        <w:t xml:space="preserve"> 号万驰广场 </w:t>
      </w:r>
      <w:r>
        <w:t>1</w:t>
      </w:r>
      <w:r>
        <w:rPr>
          <w:spacing w:val="-20"/>
        </w:rPr>
        <w:t xml:space="preserve"> 栋十四层 </w:t>
      </w:r>
      <w:r>
        <w:t>1404</w:t>
      </w:r>
      <w:r>
        <w:rPr>
          <w:spacing w:val="-40"/>
        </w:rPr>
        <w:t xml:space="preserve"> 号</w:t>
      </w:r>
      <w:r>
        <w:t>联系人：</w:t>
      </w:r>
      <w:r>
        <w:rPr>
          <w:rFonts w:hint="eastAsia"/>
          <w:lang w:val="en-US" w:eastAsia="zh-CN"/>
        </w:rPr>
        <w:t xml:space="preserve">高国青          </w:t>
      </w:r>
      <w:r>
        <w:t>联系方式：</w:t>
      </w:r>
      <w:r>
        <w:rPr>
          <w:rFonts w:hint="eastAsia"/>
          <w:lang w:val="en-US" w:eastAsia="zh-CN"/>
        </w:rPr>
        <w:t>15109063442</w:t>
      </w:r>
    </w:p>
    <w:p w14:paraId="1C814B4F">
      <w:pPr>
        <w:spacing w:after="0"/>
        <w:sectPr>
          <w:footerReference r:id="rId5" w:type="default"/>
          <w:pgSz w:w="11910" w:h="16840"/>
          <w:pgMar w:top="1560" w:right="660" w:bottom="1180" w:left="660" w:header="0" w:footer="909" w:gutter="0"/>
          <w:cols w:space="720" w:num="1"/>
        </w:sectPr>
      </w:pPr>
    </w:p>
    <w:p w14:paraId="577D5284">
      <w:pPr>
        <w:pStyle w:val="2"/>
        <w:tabs>
          <w:tab w:val="left" w:pos="1444"/>
        </w:tabs>
      </w:pPr>
      <w:bookmarkStart w:id="2" w:name="_bookmark1"/>
      <w:bookmarkEnd w:id="2"/>
      <w:bookmarkStart w:id="3" w:name="第二章  供应商须知"/>
      <w:bookmarkEnd w:id="3"/>
      <w:r>
        <w:t>第二章</w:t>
      </w:r>
      <w:r>
        <w:tab/>
      </w:r>
      <w:r>
        <w:t>供应商须知</w:t>
      </w:r>
    </w:p>
    <w:p w14:paraId="137029B1">
      <w:pPr>
        <w:pStyle w:val="7"/>
        <w:spacing w:before="86"/>
        <w:ind w:left="1377" w:right="1384"/>
        <w:jc w:val="center"/>
      </w:pPr>
      <w:r>
        <w:t>供应商须知前附表</w:t>
      </w:r>
    </w:p>
    <w:tbl>
      <w:tblPr>
        <w:tblStyle w:val="11"/>
        <w:tblW w:w="0" w:type="auto"/>
        <w:tblInd w:w="3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0"/>
        <w:gridCol w:w="1826"/>
        <w:gridCol w:w="7316"/>
      </w:tblGrid>
      <w:tr w14:paraId="0BF03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820" w:type="dxa"/>
          </w:tcPr>
          <w:p w14:paraId="0F800C28">
            <w:pPr>
              <w:pStyle w:val="15"/>
              <w:spacing w:before="150"/>
              <w:ind w:left="169" w:right="159"/>
              <w:jc w:val="center"/>
              <w:rPr>
                <w:b/>
                <w:sz w:val="24"/>
                <w:szCs w:val="24"/>
              </w:rPr>
            </w:pPr>
            <w:r>
              <w:rPr>
                <w:b/>
                <w:sz w:val="24"/>
                <w:szCs w:val="24"/>
              </w:rPr>
              <w:t>序号</w:t>
            </w:r>
          </w:p>
        </w:tc>
        <w:tc>
          <w:tcPr>
            <w:tcW w:w="1826" w:type="dxa"/>
          </w:tcPr>
          <w:p w14:paraId="316CC307">
            <w:pPr>
              <w:pStyle w:val="15"/>
              <w:spacing w:before="150"/>
              <w:ind w:left="122" w:right="113"/>
              <w:jc w:val="center"/>
              <w:rPr>
                <w:b/>
                <w:sz w:val="24"/>
                <w:szCs w:val="24"/>
              </w:rPr>
            </w:pPr>
            <w:r>
              <w:rPr>
                <w:b/>
                <w:sz w:val="24"/>
                <w:szCs w:val="24"/>
              </w:rPr>
              <w:t>名称</w:t>
            </w:r>
          </w:p>
        </w:tc>
        <w:tc>
          <w:tcPr>
            <w:tcW w:w="7316" w:type="dxa"/>
          </w:tcPr>
          <w:p w14:paraId="23B87EA1">
            <w:pPr>
              <w:pStyle w:val="15"/>
              <w:spacing w:before="150"/>
              <w:ind w:left="3194" w:right="3188"/>
              <w:jc w:val="center"/>
              <w:rPr>
                <w:b/>
                <w:sz w:val="24"/>
                <w:szCs w:val="24"/>
              </w:rPr>
            </w:pPr>
            <w:r>
              <w:rPr>
                <w:b/>
                <w:sz w:val="24"/>
                <w:szCs w:val="24"/>
              </w:rPr>
              <w:t>编列内容</w:t>
            </w:r>
          </w:p>
        </w:tc>
      </w:tr>
      <w:tr w14:paraId="258D1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20" w:type="dxa"/>
          </w:tcPr>
          <w:p w14:paraId="4D511E62">
            <w:pPr>
              <w:pStyle w:val="15"/>
              <w:spacing w:before="7"/>
              <w:rPr>
                <w:b/>
                <w:sz w:val="24"/>
                <w:szCs w:val="24"/>
              </w:rPr>
            </w:pPr>
          </w:p>
          <w:p w14:paraId="5342B3CD">
            <w:pPr>
              <w:pStyle w:val="15"/>
              <w:ind w:left="9"/>
              <w:jc w:val="center"/>
              <w:rPr>
                <w:sz w:val="24"/>
                <w:szCs w:val="24"/>
              </w:rPr>
            </w:pPr>
            <w:r>
              <w:rPr>
                <w:w w:val="99"/>
                <w:sz w:val="24"/>
                <w:szCs w:val="24"/>
              </w:rPr>
              <w:t>1</w:t>
            </w:r>
          </w:p>
        </w:tc>
        <w:tc>
          <w:tcPr>
            <w:tcW w:w="1826" w:type="dxa"/>
          </w:tcPr>
          <w:p w14:paraId="06182447">
            <w:pPr>
              <w:pStyle w:val="15"/>
              <w:spacing w:before="95"/>
              <w:ind w:left="122" w:right="111"/>
              <w:jc w:val="center"/>
              <w:rPr>
                <w:sz w:val="24"/>
                <w:szCs w:val="24"/>
              </w:rPr>
            </w:pPr>
            <w:r>
              <w:rPr>
                <w:sz w:val="24"/>
                <w:szCs w:val="24"/>
              </w:rPr>
              <w:t>项目名称及</w:t>
            </w:r>
          </w:p>
          <w:p w14:paraId="6937ACF6">
            <w:pPr>
              <w:pStyle w:val="15"/>
              <w:spacing w:before="186"/>
              <w:ind w:left="122" w:right="113"/>
              <w:jc w:val="center"/>
              <w:rPr>
                <w:sz w:val="24"/>
                <w:szCs w:val="24"/>
              </w:rPr>
            </w:pPr>
            <w:r>
              <w:rPr>
                <w:sz w:val="24"/>
                <w:szCs w:val="24"/>
              </w:rPr>
              <w:t>编号</w:t>
            </w:r>
          </w:p>
        </w:tc>
        <w:tc>
          <w:tcPr>
            <w:tcW w:w="7316" w:type="dxa"/>
          </w:tcPr>
          <w:p w14:paraId="53C5E601">
            <w:pPr>
              <w:pStyle w:val="15"/>
              <w:spacing w:before="95"/>
              <w:ind w:left="106"/>
              <w:rPr>
                <w:sz w:val="24"/>
                <w:szCs w:val="24"/>
              </w:rPr>
            </w:pPr>
            <w:r>
              <w:rPr>
                <w:sz w:val="24"/>
                <w:szCs w:val="24"/>
              </w:rPr>
              <w:t>项目名称:喀拉希力克乡食用油生产加工厂建设项目</w:t>
            </w:r>
          </w:p>
          <w:p w14:paraId="7434A2BB">
            <w:pPr>
              <w:pStyle w:val="15"/>
              <w:spacing w:before="186"/>
              <w:ind w:left="106"/>
              <w:rPr>
                <w:sz w:val="24"/>
                <w:szCs w:val="24"/>
              </w:rPr>
            </w:pPr>
            <w:r>
              <w:rPr>
                <w:sz w:val="24"/>
                <w:szCs w:val="24"/>
              </w:rPr>
              <w:t>项目编号：ZFCG-HZBY2025</w:t>
            </w:r>
            <w:r>
              <w:rPr>
                <w:rFonts w:hint="eastAsia"/>
                <w:sz w:val="24"/>
                <w:szCs w:val="24"/>
                <w:lang w:val="en-US" w:eastAsia="zh-CN"/>
              </w:rPr>
              <w:t>-</w:t>
            </w:r>
            <w:r>
              <w:rPr>
                <w:sz w:val="24"/>
                <w:szCs w:val="24"/>
              </w:rPr>
              <w:t>033</w:t>
            </w:r>
          </w:p>
        </w:tc>
      </w:tr>
      <w:tr w14:paraId="0F3E8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20" w:type="dxa"/>
          </w:tcPr>
          <w:p w14:paraId="4C8CBEDA">
            <w:pPr>
              <w:pStyle w:val="15"/>
              <w:spacing w:before="6"/>
              <w:rPr>
                <w:b/>
                <w:sz w:val="24"/>
                <w:szCs w:val="24"/>
              </w:rPr>
            </w:pPr>
          </w:p>
          <w:p w14:paraId="4EED4377">
            <w:pPr>
              <w:pStyle w:val="15"/>
              <w:spacing w:before="1"/>
              <w:ind w:left="9"/>
              <w:jc w:val="center"/>
              <w:rPr>
                <w:sz w:val="24"/>
                <w:szCs w:val="24"/>
              </w:rPr>
            </w:pPr>
            <w:r>
              <w:rPr>
                <w:w w:val="99"/>
                <w:sz w:val="24"/>
                <w:szCs w:val="24"/>
              </w:rPr>
              <w:t>2</w:t>
            </w:r>
          </w:p>
        </w:tc>
        <w:tc>
          <w:tcPr>
            <w:tcW w:w="1826" w:type="dxa"/>
          </w:tcPr>
          <w:p w14:paraId="5374E6A8">
            <w:pPr>
              <w:pStyle w:val="15"/>
              <w:spacing w:before="6"/>
              <w:rPr>
                <w:b/>
                <w:sz w:val="24"/>
                <w:szCs w:val="24"/>
              </w:rPr>
            </w:pPr>
          </w:p>
          <w:p w14:paraId="24D630CC">
            <w:pPr>
              <w:pStyle w:val="15"/>
              <w:spacing w:before="1"/>
              <w:ind w:left="473"/>
              <w:rPr>
                <w:sz w:val="24"/>
                <w:szCs w:val="24"/>
              </w:rPr>
            </w:pPr>
            <w:r>
              <w:rPr>
                <w:sz w:val="24"/>
                <w:szCs w:val="24"/>
              </w:rPr>
              <w:t>采购内容</w:t>
            </w:r>
          </w:p>
        </w:tc>
        <w:tc>
          <w:tcPr>
            <w:tcW w:w="7316" w:type="dxa"/>
          </w:tcPr>
          <w:p w14:paraId="18F2B986">
            <w:pPr>
              <w:pStyle w:val="15"/>
              <w:spacing w:before="94"/>
              <w:ind w:left="106"/>
              <w:rPr>
                <w:sz w:val="24"/>
                <w:szCs w:val="24"/>
              </w:rPr>
            </w:pPr>
            <w:r>
              <w:rPr>
                <w:sz w:val="24"/>
                <w:szCs w:val="24"/>
              </w:rPr>
              <w:t>购置日产 20 吨食用油压榨机、精炼机、冷却、仓储等相关设施。(详见第四章采购清单）</w:t>
            </w:r>
          </w:p>
        </w:tc>
      </w:tr>
      <w:tr w14:paraId="48D22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820" w:type="dxa"/>
          </w:tcPr>
          <w:p w14:paraId="0E7D0E05">
            <w:pPr>
              <w:pStyle w:val="15"/>
              <w:rPr>
                <w:b/>
                <w:sz w:val="24"/>
                <w:szCs w:val="24"/>
              </w:rPr>
            </w:pPr>
          </w:p>
          <w:p w14:paraId="563D0412">
            <w:pPr>
              <w:pStyle w:val="15"/>
              <w:rPr>
                <w:b/>
                <w:sz w:val="24"/>
                <w:szCs w:val="24"/>
              </w:rPr>
            </w:pPr>
          </w:p>
          <w:p w14:paraId="1DE13823">
            <w:pPr>
              <w:pStyle w:val="15"/>
              <w:rPr>
                <w:b/>
                <w:sz w:val="24"/>
                <w:szCs w:val="24"/>
              </w:rPr>
            </w:pPr>
          </w:p>
          <w:p w14:paraId="5511A18C">
            <w:pPr>
              <w:pStyle w:val="15"/>
              <w:ind w:left="9"/>
              <w:jc w:val="center"/>
              <w:rPr>
                <w:sz w:val="24"/>
                <w:szCs w:val="24"/>
              </w:rPr>
            </w:pPr>
            <w:r>
              <w:rPr>
                <w:w w:val="99"/>
                <w:sz w:val="24"/>
                <w:szCs w:val="24"/>
              </w:rPr>
              <w:t>3</w:t>
            </w:r>
          </w:p>
        </w:tc>
        <w:tc>
          <w:tcPr>
            <w:tcW w:w="1826" w:type="dxa"/>
          </w:tcPr>
          <w:p w14:paraId="1E06C000">
            <w:pPr>
              <w:pStyle w:val="15"/>
              <w:rPr>
                <w:b/>
                <w:sz w:val="24"/>
                <w:szCs w:val="24"/>
              </w:rPr>
            </w:pPr>
          </w:p>
          <w:p w14:paraId="050924DC">
            <w:pPr>
              <w:pStyle w:val="15"/>
              <w:rPr>
                <w:b/>
                <w:sz w:val="24"/>
                <w:szCs w:val="24"/>
              </w:rPr>
            </w:pPr>
          </w:p>
          <w:p w14:paraId="486EC052">
            <w:pPr>
              <w:pStyle w:val="15"/>
              <w:spacing w:before="2"/>
              <w:rPr>
                <w:b/>
                <w:sz w:val="24"/>
                <w:szCs w:val="24"/>
              </w:rPr>
            </w:pPr>
          </w:p>
          <w:p w14:paraId="7EB29E61">
            <w:pPr>
              <w:pStyle w:val="15"/>
              <w:spacing w:before="1"/>
              <w:ind w:left="583"/>
              <w:rPr>
                <w:sz w:val="24"/>
                <w:szCs w:val="24"/>
              </w:rPr>
            </w:pPr>
            <w:r>
              <w:rPr>
                <w:sz w:val="24"/>
                <w:szCs w:val="24"/>
              </w:rPr>
              <w:t>采购人</w:t>
            </w:r>
          </w:p>
        </w:tc>
        <w:tc>
          <w:tcPr>
            <w:tcW w:w="7316" w:type="dxa"/>
          </w:tcPr>
          <w:p w14:paraId="00ACC18C">
            <w:pPr>
              <w:pStyle w:val="15"/>
              <w:tabs>
                <w:tab w:val="left" w:pos="548"/>
              </w:tabs>
              <w:spacing w:before="94" w:line="398" w:lineRule="auto"/>
              <w:ind w:left="106" w:right="2200" w:rightChars="1000"/>
              <w:rPr>
                <w:rFonts w:hint="eastAsia" w:eastAsia="仿宋"/>
                <w:sz w:val="24"/>
                <w:szCs w:val="24"/>
                <w:lang w:val="en-US" w:eastAsia="zh-CN"/>
              </w:rPr>
            </w:pPr>
            <w:r>
              <w:rPr>
                <w:sz w:val="24"/>
                <w:szCs w:val="24"/>
              </w:rPr>
              <w:t>名</w:t>
            </w:r>
            <w:r>
              <w:rPr>
                <w:sz w:val="24"/>
                <w:szCs w:val="24"/>
              </w:rPr>
              <w:tab/>
            </w:r>
            <w:r>
              <w:rPr>
                <w:sz w:val="24"/>
                <w:szCs w:val="24"/>
              </w:rPr>
              <w:t>称</w:t>
            </w:r>
            <w:r>
              <w:rPr>
                <w:spacing w:val="-3"/>
                <w:sz w:val="24"/>
                <w:szCs w:val="24"/>
              </w:rPr>
              <w:t>：</w:t>
            </w:r>
            <w:r>
              <w:rPr>
                <w:sz w:val="24"/>
                <w:szCs w:val="24"/>
              </w:rPr>
              <w:t>阿</w:t>
            </w:r>
            <w:r>
              <w:rPr>
                <w:spacing w:val="-3"/>
                <w:sz w:val="24"/>
                <w:szCs w:val="24"/>
              </w:rPr>
              <w:t>勒</w:t>
            </w:r>
            <w:r>
              <w:rPr>
                <w:sz w:val="24"/>
                <w:szCs w:val="24"/>
              </w:rPr>
              <w:t>泰市</w:t>
            </w:r>
            <w:r>
              <w:rPr>
                <w:spacing w:val="-3"/>
                <w:sz w:val="24"/>
                <w:szCs w:val="24"/>
              </w:rPr>
              <w:t>喀</w:t>
            </w:r>
            <w:r>
              <w:rPr>
                <w:sz w:val="24"/>
                <w:szCs w:val="24"/>
              </w:rPr>
              <w:t>拉希</w:t>
            </w:r>
            <w:r>
              <w:rPr>
                <w:spacing w:val="-3"/>
                <w:sz w:val="24"/>
                <w:szCs w:val="24"/>
              </w:rPr>
              <w:t>力</w:t>
            </w:r>
            <w:r>
              <w:rPr>
                <w:sz w:val="24"/>
                <w:szCs w:val="24"/>
              </w:rPr>
              <w:t>克乡</w:t>
            </w:r>
            <w:r>
              <w:rPr>
                <w:spacing w:val="-3"/>
                <w:sz w:val="24"/>
                <w:szCs w:val="24"/>
              </w:rPr>
              <w:t>人</w:t>
            </w:r>
            <w:r>
              <w:rPr>
                <w:sz w:val="24"/>
                <w:szCs w:val="24"/>
              </w:rPr>
              <w:t>民</w:t>
            </w:r>
            <w:r>
              <w:rPr>
                <w:rFonts w:hint="eastAsia"/>
                <w:sz w:val="24"/>
                <w:szCs w:val="24"/>
                <w:lang w:val="en-US" w:eastAsia="zh-CN"/>
              </w:rPr>
              <w:t>政府</w:t>
            </w:r>
          </w:p>
          <w:p w14:paraId="190DCA52">
            <w:pPr>
              <w:pStyle w:val="15"/>
              <w:tabs>
                <w:tab w:val="left" w:pos="548"/>
              </w:tabs>
              <w:spacing w:before="94" w:line="398" w:lineRule="auto"/>
              <w:ind w:left="106" w:right="1891" w:rightChars="0"/>
              <w:rPr>
                <w:sz w:val="24"/>
                <w:szCs w:val="24"/>
              </w:rPr>
            </w:pPr>
            <w:r>
              <w:rPr>
                <w:sz w:val="24"/>
                <w:szCs w:val="24"/>
              </w:rPr>
              <w:t>地</w:t>
            </w:r>
            <w:r>
              <w:rPr>
                <w:sz w:val="24"/>
                <w:szCs w:val="24"/>
              </w:rPr>
              <w:tab/>
            </w:r>
            <w:r>
              <w:rPr>
                <w:sz w:val="24"/>
                <w:szCs w:val="24"/>
              </w:rPr>
              <w:t>址</w:t>
            </w:r>
            <w:r>
              <w:rPr>
                <w:spacing w:val="-3"/>
                <w:sz w:val="24"/>
                <w:szCs w:val="24"/>
              </w:rPr>
              <w:t>：</w:t>
            </w:r>
            <w:r>
              <w:rPr>
                <w:sz w:val="24"/>
                <w:szCs w:val="24"/>
              </w:rPr>
              <w:t>阿</w:t>
            </w:r>
            <w:r>
              <w:rPr>
                <w:spacing w:val="-3"/>
                <w:sz w:val="24"/>
                <w:szCs w:val="24"/>
              </w:rPr>
              <w:t>勒</w:t>
            </w:r>
            <w:r>
              <w:rPr>
                <w:sz w:val="24"/>
                <w:szCs w:val="24"/>
              </w:rPr>
              <w:t>泰市</w:t>
            </w:r>
            <w:r>
              <w:rPr>
                <w:spacing w:val="-3"/>
                <w:sz w:val="24"/>
                <w:szCs w:val="24"/>
              </w:rPr>
              <w:t>喀</w:t>
            </w:r>
            <w:r>
              <w:rPr>
                <w:sz w:val="24"/>
                <w:szCs w:val="24"/>
              </w:rPr>
              <w:t>拉希</w:t>
            </w:r>
            <w:r>
              <w:rPr>
                <w:spacing w:val="-3"/>
                <w:sz w:val="24"/>
                <w:szCs w:val="24"/>
              </w:rPr>
              <w:t>力</w:t>
            </w:r>
            <w:r>
              <w:rPr>
                <w:sz w:val="24"/>
                <w:szCs w:val="24"/>
              </w:rPr>
              <w:t>克乡</w:t>
            </w:r>
            <w:r>
              <w:rPr>
                <w:spacing w:val="-3"/>
                <w:sz w:val="24"/>
                <w:szCs w:val="24"/>
              </w:rPr>
              <w:t>青</w:t>
            </w:r>
            <w:r>
              <w:rPr>
                <w:sz w:val="24"/>
                <w:szCs w:val="24"/>
              </w:rPr>
              <w:t>路</w:t>
            </w:r>
            <w:r>
              <w:rPr>
                <w:spacing w:val="-52"/>
                <w:sz w:val="24"/>
                <w:szCs w:val="24"/>
              </w:rPr>
              <w:t xml:space="preserve"> </w:t>
            </w:r>
            <w:r>
              <w:rPr>
                <w:sz w:val="24"/>
                <w:szCs w:val="24"/>
              </w:rPr>
              <w:t>6号</w:t>
            </w:r>
          </w:p>
          <w:p w14:paraId="638A44EB">
            <w:pPr>
              <w:pStyle w:val="15"/>
              <w:tabs>
                <w:tab w:val="left" w:pos="548"/>
              </w:tabs>
              <w:spacing w:before="94" w:line="398" w:lineRule="auto"/>
              <w:ind w:left="106" w:right="1891" w:rightChars="0"/>
              <w:rPr>
                <w:rFonts w:hint="eastAsia" w:eastAsia="仿宋"/>
                <w:sz w:val="24"/>
                <w:szCs w:val="24"/>
                <w:lang w:eastAsia="zh-CN"/>
              </w:rPr>
            </w:pPr>
            <w:r>
              <w:rPr>
                <w:sz w:val="24"/>
                <w:szCs w:val="24"/>
              </w:rPr>
              <w:t>联</w:t>
            </w:r>
            <w:r>
              <w:rPr>
                <w:spacing w:val="-3"/>
                <w:sz w:val="24"/>
                <w:szCs w:val="24"/>
              </w:rPr>
              <w:t>系</w:t>
            </w:r>
            <w:r>
              <w:rPr>
                <w:sz w:val="24"/>
                <w:szCs w:val="24"/>
              </w:rPr>
              <w:t>人：</w:t>
            </w:r>
            <w:r>
              <w:rPr>
                <w:rFonts w:hint="eastAsia"/>
                <w:sz w:val="24"/>
                <w:szCs w:val="24"/>
                <w:lang w:eastAsia="zh-CN"/>
              </w:rPr>
              <w:t>刘国梁</w:t>
            </w:r>
          </w:p>
          <w:p w14:paraId="53B318E0">
            <w:pPr>
              <w:pStyle w:val="15"/>
              <w:tabs>
                <w:tab w:val="left" w:pos="548"/>
              </w:tabs>
              <w:ind w:left="106"/>
              <w:rPr>
                <w:sz w:val="24"/>
                <w:szCs w:val="24"/>
              </w:rPr>
            </w:pPr>
            <w:r>
              <w:rPr>
                <w:sz w:val="24"/>
                <w:szCs w:val="24"/>
              </w:rPr>
              <w:t>电</w:t>
            </w:r>
            <w:r>
              <w:rPr>
                <w:sz w:val="24"/>
                <w:szCs w:val="24"/>
              </w:rPr>
              <w:tab/>
            </w:r>
            <w:r>
              <w:rPr>
                <w:sz w:val="24"/>
                <w:szCs w:val="24"/>
              </w:rPr>
              <w:t>话：</w:t>
            </w:r>
            <w:r>
              <w:rPr>
                <w:rFonts w:hint="eastAsia"/>
                <w:sz w:val="24"/>
                <w:szCs w:val="24"/>
              </w:rPr>
              <w:t>13399060065</w:t>
            </w:r>
          </w:p>
        </w:tc>
      </w:tr>
      <w:tr w14:paraId="6A308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820" w:type="dxa"/>
          </w:tcPr>
          <w:p w14:paraId="7B435AA1">
            <w:pPr>
              <w:pStyle w:val="15"/>
              <w:rPr>
                <w:b/>
                <w:sz w:val="24"/>
                <w:szCs w:val="24"/>
              </w:rPr>
            </w:pPr>
          </w:p>
          <w:p w14:paraId="676D9EC9">
            <w:pPr>
              <w:pStyle w:val="15"/>
              <w:rPr>
                <w:b/>
                <w:sz w:val="24"/>
                <w:szCs w:val="24"/>
              </w:rPr>
            </w:pPr>
          </w:p>
          <w:p w14:paraId="33ED06F2">
            <w:pPr>
              <w:pStyle w:val="15"/>
              <w:rPr>
                <w:b/>
                <w:sz w:val="24"/>
                <w:szCs w:val="24"/>
              </w:rPr>
            </w:pPr>
          </w:p>
          <w:p w14:paraId="678CC38B">
            <w:pPr>
              <w:pStyle w:val="15"/>
              <w:ind w:left="9"/>
              <w:jc w:val="center"/>
              <w:rPr>
                <w:sz w:val="24"/>
                <w:szCs w:val="24"/>
              </w:rPr>
            </w:pPr>
            <w:r>
              <w:rPr>
                <w:w w:val="99"/>
                <w:sz w:val="24"/>
                <w:szCs w:val="24"/>
              </w:rPr>
              <w:t>4</w:t>
            </w:r>
          </w:p>
        </w:tc>
        <w:tc>
          <w:tcPr>
            <w:tcW w:w="1826" w:type="dxa"/>
          </w:tcPr>
          <w:p w14:paraId="136208C8">
            <w:pPr>
              <w:pStyle w:val="15"/>
              <w:rPr>
                <w:b/>
                <w:sz w:val="24"/>
                <w:szCs w:val="24"/>
              </w:rPr>
            </w:pPr>
          </w:p>
          <w:p w14:paraId="75316B2C">
            <w:pPr>
              <w:pStyle w:val="15"/>
              <w:rPr>
                <w:b/>
                <w:sz w:val="24"/>
                <w:szCs w:val="24"/>
              </w:rPr>
            </w:pPr>
          </w:p>
          <w:p w14:paraId="46489CF7">
            <w:pPr>
              <w:pStyle w:val="15"/>
              <w:spacing w:before="2"/>
              <w:rPr>
                <w:b/>
                <w:sz w:val="24"/>
                <w:szCs w:val="24"/>
              </w:rPr>
            </w:pPr>
          </w:p>
          <w:p w14:paraId="3A2D2AA7">
            <w:pPr>
              <w:pStyle w:val="15"/>
              <w:ind w:left="252"/>
              <w:rPr>
                <w:sz w:val="24"/>
                <w:szCs w:val="24"/>
              </w:rPr>
            </w:pPr>
            <w:r>
              <w:rPr>
                <w:sz w:val="24"/>
                <w:szCs w:val="24"/>
              </w:rPr>
              <w:t>采购代理机构</w:t>
            </w:r>
          </w:p>
        </w:tc>
        <w:tc>
          <w:tcPr>
            <w:tcW w:w="7316" w:type="dxa"/>
          </w:tcPr>
          <w:p w14:paraId="6289DC28">
            <w:pPr>
              <w:pStyle w:val="15"/>
              <w:tabs>
                <w:tab w:val="left" w:pos="548"/>
              </w:tabs>
              <w:spacing w:before="93"/>
              <w:ind w:left="106"/>
              <w:rPr>
                <w:sz w:val="24"/>
                <w:szCs w:val="24"/>
              </w:rPr>
            </w:pPr>
            <w:r>
              <w:rPr>
                <w:sz w:val="24"/>
                <w:szCs w:val="24"/>
              </w:rPr>
              <w:t>名</w:t>
            </w:r>
            <w:r>
              <w:rPr>
                <w:sz w:val="24"/>
                <w:szCs w:val="24"/>
              </w:rPr>
              <w:tab/>
            </w:r>
            <w:r>
              <w:rPr>
                <w:sz w:val="24"/>
                <w:szCs w:val="24"/>
              </w:rPr>
              <w:t>称</w:t>
            </w:r>
            <w:r>
              <w:rPr>
                <w:spacing w:val="-3"/>
                <w:sz w:val="24"/>
                <w:szCs w:val="24"/>
              </w:rPr>
              <w:t>：</w:t>
            </w:r>
            <w:r>
              <w:rPr>
                <w:sz w:val="24"/>
                <w:szCs w:val="24"/>
              </w:rPr>
              <w:t>新疆</w:t>
            </w:r>
            <w:r>
              <w:rPr>
                <w:spacing w:val="-3"/>
                <w:sz w:val="24"/>
                <w:szCs w:val="24"/>
              </w:rPr>
              <w:t>瀚</w:t>
            </w:r>
            <w:r>
              <w:rPr>
                <w:sz w:val="24"/>
                <w:szCs w:val="24"/>
              </w:rPr>
              <w:t>展博</w:t>
            </w:r>
            <w:r>
              <w:rPr>
                <w:spacing w:val="-3"/>
                <w:sz w:val="24"/>
                <w:szCs w:val="24"/>
              </w:rPr>
              <w:t>源</w:t>
            </w:r>
            <w:r>
              <w:rPr>
                <w:sz w:val="24"/>
                <w:szCs w:val="24"/>
              </w:rPr>
              <w:t>项目</w:t>
            </w:r>
            <w:r>
              <w:rPr>
                <w:spacing w:val="-3"/>
                <w:sz w:val="24"/>
                <w:szCs w:val="24"/>
              </w:rPr>
              <w:t>管</w:t>
            </w:r>
            <w:r>
              <w:rPr>
                <w:sz w:val="24"/>
                <w:szCs w:val="24"/>
              </w:rPr>
              <w:t>理有</w:t>
            </w:r>
            <w:r>
              <w:rPr>
                <w:spacing w:val="-3"/>
                <w:sz w:val="24"/>
                <w:szCs w:val="24"/>
              </w:rPr>
              <w:t>限</w:t>
            </w:r>
            <w:r>
              <w:rPr>
                <w:sz w:val="24"/>
                <w:szCs w:val="24"/>
              </w:rPr>
              <w:t>公司</w:t>
            </w:r>
          </w:p>
          <w:p w14:paraId="0FE49E0F">
            <w:pPr>
              <w:pStyle w:val="15"/>
              <w:tabs>
                <w:tab w:val="left" w:pos="548"/>
              </w:tabs>
              <w:spacing w:before="186" w:line="398" w:lineRule="auto"/>
              <w:ind w:left="106" w:right="0" w:rightChars="0"/>
              <w:rPr>
                <w:sz w:val="24"/>
                <w:szCs w:val="24"/>
              </w:rPr>
            </w:pPr>
            <w:r>
              <w:rPr>
                <w:sz w:val="24"/>
                <w:szCs w:val="24"/>
              </w:rPr>
              <w:t>地</w:t>
            </w:r>
            <w:r>
              <w:rPr>
                <w:sz w:val="24"/>
                <w:szCs w:val="24"/>
              </w:rPr>
              <w:tab/>
            </w:r>
            <w:r>
              <w:rPr>
                <w:sz w:val="24"/>
                <w:szCs w:val="24"/>
              </w:rPr>
              <w:t>址</w:t>
            </w:r>
            <w:r>
              <w:rPr>
                <w:spacing w:val="-3"/>
                <w:sz w:val="24"/>
                <w:szCs w:val="24"/>
              </w:rPr>
              <w:t>：</w:t>
            </w:r>
            <w:r>
              <w:rPr>
                <w:sz w:val="24"/>
                <w:szCs w:val="24"/>
              </w:rPr>
              <w:t>新疆</w:t>
            </w:r>
            <w:r>
              <w:rPr>
                <w:spacing w:val="-3"/>
                <w:sz w:val="24"/>
                <w:szCs w:val="24"/>
              </w:rPr>
              <w:t>阿</w:t>
            </w:r>
            <w:r>
              <w:rPr>
                <w:sz w:val="24"/>
                <w:szCs w:val="24"/>
              </w:rPr>
              <w:t>勒泰</w:t>
            </w:r>
            <w:r>
              <w:rPr>
                <w:spacing w:val="-3"/>
                <w:sz w:val="24"/>
                <w:szCs w:val="24"/>
              </w:rPr>
              <w:t>地</w:t>
            </w:r>
            <w:r>
              <w:rPr>
                <w:sz w:val="24"/>
                <w:szCs w:val="24"/>
              </w:rPr>
              <w:t>区阿</w:t>
            </w:r>
            <w:r>
              <w:rPr>
                <w:spacing w:val="-3"/>
                <w:sz w:val="24"/>
                <w:szCs w:val="24"/>
              </w:rPr>
              <w:t>勒</w:t>
            </w:r>
            <w:r>
              <w:rPr>
                <w:sz w:val="24"/>
                <w:szCs w:val="24"/>
              </w:rPr>
              <w:t>泰市</w:t>
            </w:r>
            <w:r>
              <w:rPr>
                <w:spacing w:val="-3"/>
                <w:sz w:val="24"/>
                <w:szCs w:val="24"/>
              </w:rPr>
              <w:t>迎</w:t>
            </w:r>
            <w:r>
              <w:rPr>
                <w:sz w:val="24"/>
                <w:szCs w:val="24"/>
              </w:rPr>
              <w:t>宾路</w:t>
            </w:r>
            <w:r>
              <w:rPr>
                <w:spacing w:val="-3"/>
                <w:sz w:val="24"/>
                <w:szCs w:val="24"/>
              </w:rPr>
              <w:t>克</w:t>
            </w:r>
            <w:r>
              <w:rPr>
                <w:sz w:val="24"/>
                <w:szCs w:val="24"/>
              </w:rPr>
              <w:t>兰区</w:t>
            </w:r>
            <w:r>
              <w:rPr>
                <w:spacing w:val="-56"/>
                <w:sz w:val="24"/>
                <w:szCs w:val="24"/>
              </w:rPr>
              <w:t xml:space="preserve"> </w:t>
            </w:r>
            <w:r>
              <w:rPr>
                <w:sz w:val="24"/>
                <w:szCs w:val="24"/>
              </w:rPr>
              <w:t>99</w:t>
            </w:r>
            <w:r>
              <w:rPr>
                <w:spacing w:val="-53"/>
                <w:sz w:val="24"/>
                <w:szCs w:val="24"/>
              </w:rPr>
              <w:t xml:space="preserve"> </w:t>
            </w:r>
            <w:r>
              <w:rPr>
                <w:sz w:val="24"/>
                <w:szCs w:val="24"/>
              </w:rPr>
              <w:t>号</w:t>
            </w:r>
            <w:r>
              <w:rPr>
                <w:spacing w:val="-3"/>
                <w:sz w:val="24"/>
                <w:szCs w:val="24"/>
              </w:rPr>
              <w:t>万</w:t>
            </w:r>
            <w:r>
              <w:rPr>
                <w:sz w:val="24"/>
                <w:szCs w:val="24"/>
              </w:rPr>
              <w:t>驰广场</w:t>
            </w:r>
            <w:r>
              <w:rPr>
                <w:spacing w:val="-55"/>
                <w:sz w:val="24"/>
                <w:szCs w:val="24"/>
              </w:rPr>
              <w:t xml:space="preserve"> </w:t>
            </w:r>
            <w:r>
              <w:rPr>
                <w:sz w:val="24"/>
                <w:szCs w:val="24"/>
              </w:rPr>
              <w:t>1</w:t>
            </w:r>
            <w:r>
              <w:rPr>
                <w:spacing w:val="-53"/>
                <w:sz w:val="24"/>
                <w:szCs w:val="24"/>
              </w:rPr>
              <w:t xml:space="preserve"> </w:t>
            </w:r>
            <w:r>
              <w:rPr>
                <w:sz w:val="24"/>
                <w:szCs w:val="24"/>
              </w:rPr>
              <w:t>栋</w:t>
            </w:r>
          </w:p>
          <w:p w14:paraId="7B49A790">
            <w:pPr>
              <w:pStyle w:val="15"/>
              <w:tabs>
                <w:tab w:val="left" w:pos="548"/>
              </w:tabs>
              <w:spacing w:before="186" w:line="398" w:lineRule="auto"/>
              <w:ind w:left="106" w:right="705"/>
              <w:rPr>
                <w:rFonts w:hint="default" w:eastAsia="仿宋"/>
                <w:sz w:val="24"/>
                <w:szCs w:val="24"/>
                <w:lang w:val="en-US" w:eastAsia="zh-CN"/>
              </w:rPr>
            </w:pPr>
            <w:r>
              <w:rPr>
                <w:sz w:val="24"/>
                <w:szCs w:val="24"/>
              </w:rPr>
              <w:t>联</w:t>
            </w:r>
            <w:r>
              <w:rPr>
                <w:spacing w:val="-3"/>
                <w:sz w:val="24"/>
                <w:szCs w:val="24"/>
              </w:rPr>
              <w:t>系</w:t>
            </w:r>
            <w:r>
              <w:rPr>
                <w:sz w:val="24"/>
                <w:szCs w:val="24"/>
              </w:rPr>
              <w:t>人：</w:t>
            </w:r>
            <w:r>
              <w:rPr>
                <w:rFonts w:hint="eastAsia"/>
                <w:sz w:val="24"/>
                <w:szCs w:val="24"/>
                <w:lang w:val="en-US" w:eastAsia="zh-CN"/>
              </w:rPr>
              <w:t>高国青</w:t>
            </w:r>
          </w:p>
          <w:p w14:paraId="2694846B">
            <w:pPr>
              <w:pStyle w:val="15"/>
              <w:tabs>
                <w:tab w:val="left" w:pos="548"/>
              </w:tabs>
              <w:spacing w:before="1"/>
              <w:ind w:left="106"/>
              <w:rPr>
                <w:rFonts w:hint="default" w:eastAsia="仿宋"/>
                <w:sz w:val="24"/>
                <w:szCs w:val="24"/>
                <w:lang w:val="en-US" w:eastAsia="zh-CN"/>
              </w:rPr>
            </w:pPr>
            <w:r>
              <w:rPr>
                <w:sz w:val="24"/>
                <w:szCs w:val="24"/>
              </w:rPr>
              <w:t>电</w:t>
            </w:r>
            <w:r>
              <w:rPr>
                <w:sz w:val="24"/>
                <w:szCs w:val="24"/>
              </w:rPr>
              <w:tab/>
            </w:r>
            <w:r>
              <w:rPr>
                <w:sz w:val="24"/>
                <w:szCs w:val="24"/>
              </w:rPr>
              <w:t>话：</w:t>
            </w:r>
            <w:r>
              <w:rPr>
                <w:rFonts w:hint="eastAsia"/>
                <w:sz w:val="24"/>
                <w:szCs w:val="24"/>
                <w:lang w:val="en-US" w:eastAsia="zh-CN"/>
              </w:rPr>
              <w:t>15109063442</w:t>
            </w:r>
          </w:p>
        </w:tc>
      </w:tr>
      <w:tr w14:paraId="6D954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820" w:type="dxa"/>
          </w:tcPr>
          <w:p w14:paraId="722A4F5B">
            <w:pPr>
              <w:pStyle w:val="15"/>
              <w:spacing w:before="161"/>
              <w:ind w:left="9"/>
              <w:jc w:val="center"/>
              <w:rPr>
                <w:sz w:val="24"/>
                <w:szCs w:val="24"/>
              </w:rPr>
            </w:pPr>
            <w:r>
              <w:rPr>
                <w:w w:val="99"/>
                <w:sz w:val="24"/>
                <w:szCs w:val="24"/>
              </w:rPr>
              <w:t>5</w:t>
            </w:r>
          </w:p>
        </w:tc>
        <w:tc>
          <w:tcPr>
            <w:tcW w:w="1826" w:type="dxa"/>
          </w:tcPr>
          <w:p w14:paraId="3D15C158">
            <w:pPr>
              <w:pStyle w:val="15"/>
              <w:spacing w:before="181"/>
              <w:ind w:left="312"/>
              <w:rPr>
                <w:sz w:val="24"/>
                <w:szCs w:val="24"/>
              </w:rPr>
            </w:pPr>
            <w:r>
              <w:rPr>
                <w:sz w:val="24"/>
                <w:szCs w:val="24"/>
              </w:rPr>
              <w:t>计划投资额</w:t>
            </w:r>
          </w:p>
        </w:tc>
        <w:tc>
          <w:tcPr>
            <w:tcW w:w="7316" w:type="dxa"/>
          </w:tcPr>
          <w:p w14:paraId="6BBB1986">
            <w:pPr>
              <w:pStyle w:val="15"/>
              <w:spacing w:before="181"/>
              <w:ind w:left="106"/>
              <w:rPr>
                <w:sz w:val="24"/>
                <w:szCs w:val="24"/>
              </w:rPr>
            </w:pPr>
            <w:r>
              <w:rPr>
                <w:sz w:val="24"/>
                <w:szCs w:val="24"/>
              </w:rPr>
              <w:t>500 万元</w:t>
            </w:r>
          </w:p>
        </w:tc>
      </w:tr>
      <w:tr w14:paraId="02907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820" w:type="dxa"/>
          </w:tcPr>
          <w:p w14:paraId="69D0AA6D">
            <w:pPr>
              <w:pStyle w:val="15"/>
              <w:spacing w:before="161"/>
              <w:ind w:left="9"/>
              <w:jc w:val="center"/>
              <w:rPr>
                <w:sz w:val="24"/>
                <w:szCs w:val="24"/>
              </w:rPr>
            </w:pPr>
            <w:r>
              <w:rPr>
                <w:w w:val="99"/>
                <w:sz w:val="24"/>
                <w:szCs w:val="24"/>
              </w:rPr>
              <w:t>6</w:t>
            </w:r>
          </w:p>
        </w:tc>
        <w:tc>
          <w:tcPr>
            <w:tcW w:w="1826" w:type="dxa"/>
          </w:tcPr>
          <w:p w14:paraId="019EB415">
            <w:pPr>
              <w:pStyle w:val="15"/>
              <w:spacing w:before="148"/>
              <w:ind w:left="473"/>
              <w:rPr>
                <w:sz w:val="24"/>
                <w:szCs w:val="24"/>
              </w:rPr>
            </w:pPr>
            <w:r>
              <w:rPr>
                <w:sz w:val="24"/>
                <w:szCs w:val="24"/>
              </w:rPr>
              <w:t>资金来源</w:t>
            </w:r>
          </w:p>
        </w:tc>
        <w:tc>
          <w:tcPr>
            <w:tcW w:w="7316" w:type="dxa"/>
          </w:tcPr>
          <w:p w14:paraId="30DBF43D">
            <w:pPr>
              <w:pStyle w:val="15"/>
              <w:spacing w:before="148"/>
              <w:ind w:left="106"/>
              <w:rPr>
                <w:sz w:val="24"/>
                <w:szCs w:val="24"/>
              </w:rPr>
            </w:pPr>
            <w:r>
              <w:rPr>
                <w:sz w:val="24"/>
                <w:szCs w:val="24"/>
              </w:rPr>
              <w:t>中央衔接资金</w:t>
            </w:r>
          </w:p>
        </w:tc>
      </w:tr>
      <w:tr w14:paraId="24FC1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820" w:type="dxa"/>
          </w:tcPr>
          <w:p w14:paraId="6AABF47F">
            <w:pPr>
              <w:pStyle w:val="15"/>
              <w:spacing w:before="161"/>
              <w:ind w:left="9"/>
              <w:jc w:val="center"/>
              <w:rPr>
                <w:sz w:val="24"/>
                <w:szCs w:val="24"/>
              </w:rPr>
            </w:pPr>
            <w:r>
              <w:rPr>
                <w:w w:val="99"/>
                <w:sz w:val="24"/>
                <w:szCs w:val="24"/>
              </w:rPr>
              <w:t>7</w:t>
            </w:r>
          </w:p>
        </w:tc>
        <w:tc>
          <w:tcPr>
            <w:tcW w:w="1826" w:type="dxa"/>
          </w:tcPr>
          <w:p w14:paraId="64A51B23">
            <w:pPr>
              <w:pStyle w:val="15"/>
              <w:spacing w:before="181"/>
              <w:ind w:left="432"/>
              <w:rPr>
                <w:sz w:val="24"/>
                <w:szCs w:val="24"/>
              </w:rPr>
            </w:pPr>
            <w:r>
              <w:rPr>
                <w:sz w:val="24"/>
                <w:szCs w:val="24"/>
              </w:rPr>
              <w:t>落实情况</w:t>
            </w:r>
          </w:p>
        </w:tc>
        <w:tc>
          <w:tcPr>
            <w:tcW w:w="7316" w:type="dxa"/>
          </w:tcPr>
          <w:p w14:paraId="7968D79D">
            <w:pPr>
              <w:pStyle w:val="15"/>
              <w:spacing w:before="181"/>
              <w:ind w:left="106"/>
              <w:rPr>
                <w:sz w:val="24"/>
                <w:szCs w:val="24"/>
              </w:rPr>
            </w:pPr>
            <w:r>
              <w:rPr>
                <w:sz w:val="24"/>
                <w:szCs w:val="24"/>
              </w:rPr>
              <w:t>已落实</w:t>
            </w:r>
          </w:p>
        </w:tc>
      </w:tr>
      <w:tr w14:paraId="05C3F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820" w:type="dxa"/>
          </w:tcPr>
          <w:p w14:paraId="20971113">
            <w:pPr>
              <w:pStyle w:val="15"/>
              <w:spacing w:before="161"/>
              <w:ind w:left="9"/>
              <w:jc w:val="center"/>
              <w:rPr>
                <w:sz w:val="24"/>
                <w:szCs w:val="24"/>
              </w:rPr>
            </w:pPr>
            <w:r>
              <w:rPr>
                <w:w w:val="99"/>
                <w:sz w:val="24"/>
                <w:szCs w:val="24"/>
              </w:rPr>
              <w:t>8</w:t>
            </w:r>
          </w:p>
        </w:tc>
        <w:tc>
          <w:tcPr>
            <w:tcW w:w="1826" w:type="dxa"/>
          </w:tcPr>
          <w:p w14:paraId="515AAF4A">
            <w:pPr>
              <w:pStyle w:val="15"/>
              <w:spacing w:before="148"/>
              <w:ind w:left="473"/>
              <w:rPr>
                <w:sz w:val="24"/>
                <w:szCs w:val="24"/>
              </w:rPr>
            </w:pPr>
            <w:r>
              <w:rPr>
                <w:sz w:val="24"/>
                <w:szCs w:val="24"/>
              </w:rPr>
              <w:t>供货日期</w:t>
            </w:r>
          </w:p>
        </w:tc>
        <w:tc>
          <w:tcPr>
            <w:tcW w:w="7316" w:type="dxa"/>
          </w:tcPr>
          <w:p w14:paraId="0C6E8A87">
            <w:pPr>
              <w:pStyle w:val="15"/>
              <w:spacing w:before="135"/>
              <w:ind w:left="106"/>
              <w:rPr>
                <w:sz w:val="24"/>
                <w:szCs w:val="24"/>
              </w:rPr>
            </w:pPr>
            <w:r>
              <w:rPr>
                <w:sz w:val="24"/>
                <w:szCs w:val="24"/>
              </w:rPr>
              <w:t>合同签订后 40 天日历天内完成。</w:t>
            </w:r>
          </w:p>
        </w:tc>
      </w:tr>
      <w:tr w14:paraId="6D91E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820" w:type="dxa"/>
          </w:tcPr>
          <w:p w14:paraId="1B1E88C2">
            <w:pPr>
              <w:pStyle w:val="15"/>
              <w:spacing w:before="142"/>
              <w:ind w:left="9"/>
              <w:jc w:val="center"/>
              <w:rPr>
                <w:sz w:val="24"/>
                <w:szCs w:val="24"/>
              </w:rPr>
            </w:pPr>
            <w:r>
              <w:rPr>
                <w:w w:val="99"/>
                <w:sz w:val="24"/>
                <w:szCs w:val="24"/>
              </w:rPr>
              <w:t>9</w:t>
            </w:r>
          </w:p>
        </w:tc>
        <w:tc>
          <w:tcPr>
            <w:tcW w:w="1826" w:type="dxa"/>
          </w:tcPr>
          <w:p w14:paraId="7B409B48">
            <w:pPr>
              <w:pStyle w:val="15"/>
              <w:spacing w:before="131"/>
              <w:ind w:left="473"/>
              <w:rPr>
                <w:sz w:val="24"/>
                <w:szCs w:val="24"/>
              </w:rPr>
            </w:pPr>
            <w:r>
              <w:rPr>
                <w:sz w:val="24"/>
                <w:szCs w:val="24"/>
              </w:rPr>
              <w:t>供货地点</w:t>
            </w:r>
          </w:p>
        </w:tc>
        <w:tc>
          <w:tcPr>
            <w:tcW w:w="7316" w:type="dxa"/>
          </w:tcPr>
          <w:p w14:paraId="5B1C7FE0">
            <w:pPr>
              <w:pStyle w:val="15"/>
              <w:spacing w:before="131"/>
              <w:ind w:left="106"/>
              <w:rPr>
                <w:sz w:val="24"/>
                <w:szCs w:val="24"/>
              </w:rPr>
            </w:pPr>
            <w:r>
              <w:rPr>
                <w:sz w:val="24"/>
                <w:szCs w:val="24"/>
              </w:rPr>
              <w:t>采购人指定地点</w:t>
            </w:r>
          </w:p>
        </w:tc>
      </w:tr>
      <w:tr w14:paraId="56594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20" w:type="dxa"/>
          </w:tcPr>
          <w:p w14:paraId="7882CA25">
            <w:pPr>
              <w:pStyle w:val="15"/>
              <w:spacing w:before="155"/>
              <w:ind w:left="168" w:right="159"/>
              <w:jc w:val="center"/>
              <w:rPr>
                <w:sz w:val="24"/>
                <w:szCs w:val="24"/>
              </w:rPr>
            </w:pPr>
            <w:r>
              <w:rPr>
                <w:sz w:val="24"/>
                <w:szCs w:val="24"/>
              </w:rPr>
              <w:t>10</w:t>
            </w:r>
          </w:p>
        </w:tc>
        <w:tc>
          <w:tcPr>
            <w:tcW w:w="1826" w:type="dxa"/>
          </w:tcPr>
          <w:p w14:paraId="3BDA6208">
            <w:pPr>
              <w:pStyle w:val="15"/>
              <w:spacing w:before="145"/>
              <w:ind w:left="583"/>
              <w:rPr>
                <w:sz w:val="24"/>
                <w:szCs w:val="24"/>
              </w:rPr>
            </w:pPr>
            <w:r>
              <w:rPr>
                <w:sz w:val="24"/>
                <w:szCs w:val="24"/>
              </w:rPr>
              <w:t>保修期</w:t>
            </w:r>
          </w:p>
        </w:tc>
        <w:tc>
          <w:tcPr>
            <w:tcW w:w="7316" w:type="dxa"/>
          </w:tcPr>
          <w:p w14:paraId="79C653E4">
            <w:pPr>
              <w:pStyle w:val="15"/>
              <w:spacing w:before="145"/>
              <w:ind w:left="106" w:right="-15"/>
              <w:rPr>
                <w:sz w:val="24"/>
                <w:szCs w:val="24"/>
              </w:rPr>
            </w:pPr>
            <w:r>
              <w:rPr>
                <w:spacing w:val="-14"/>
                <w:sz w:val="24"/>
                <w:szCs w:val="24"/>
              </w:rPr>
              <w:t xml:space="preserve">质保期 </w:t>
            </w:r>
            <w:r>
              <w:rPr>
                <w:sz w:val="24"/>
                <w:szCs w:val="24"/>
              </w:rPr>
              <w:t>3</w:t>
            </w:r>
            <w:r>
              <w:rPr>
                <w:spacing w:val="-11"/>
                <w:sz w:val="24"/>
                <w:szCs w:val="24"/>
              </w:rPr>
              <w:t xml:space="preserve"> 年，质保期内对设备提供全免费保修，保修期外提供配件成本费。</w:t>
            </w:r>
          </w:p>
        </w:tc>
      </w:tr>
      <w:tr w14:paraId="6DE15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820" w:type="dxa"/>
          </w:tcPr>
          <w:p w14:paraId="1EEA34D3">
            <w:pPr>
              <w:pStyle w:val="15"/>
              <w:rPr>
                <w:b/>
                <w:sz w:val="24"/>
                <w:szCs w:val="24"/>
              </w:rPr>
            </w:pPr>
          </w:p>
          <w:p w14:paraId="5C5AEA6E">
            <w:pPr>
              <w:pStyle w:val="15"/>
              <w:spacing w:before="9"/>
              <w:rPr>
                <w:b/>
                <w:sz w:val="24"/>
                <w:szCs w:val="24"/>
              </w:rPr>
            </w:pPr>
          </w:p>
          <w:p w14:paraId="4D7915CB">
            <w:pPr>
              <w:pStyle w:val="15"/>
              <w:ind w:left="168" w:right="159"/>
              <w:jc w:val="center"/>
              <w:rPr>
                <w:sz w:val="24"/>
                <w:szCs w:val="24"/>
              </w:rPr>
            </w:pPr>
            <w:r>
              <w:rPr>
                <w:sz w:val="24"/>
                <w:szCs w:val="24"/>
              </w:rPr>
              <w:t>11</w:t>
            </w:r>
          </w:p>
        </w:tc>
        <w:tc>
          <w:tcPr>
            <w:tcW w:w="1826" w:type="dxa"/>
          </w:tcPr>
          <w:p w14:paraId="14D5C2F0">
            <w:pPr>
              <w:pStyle w:val="15"/>
              <w:rPr>
                <w:b/>
                <w:sz w:val="24"/>
                <w:szCs w:val="24"/>
              </w:rPr>
            </w:pPr>
          </w:p>
          <w:p w14:paraId="44121718">
            <w:pPr>
              <w:pStyle w:val="15"/>
              <w:spacing w:before="12"/>
              <w:rPr>
                <w:b/>
                <w:sz w:val="24"/>
                <w:szCs w:val="24"/>
              </w:rPr>
            </w:pPr>
          </w:p>
          <w:p w14:paraId="13E9B720">
            <w:pPr>
              <w:pStyle w:val="15"/>
              <w:ind w:left="473"/>
              <w:rPr>
                <w:sz w:val="24"/>
                <w:szCs w:val="24"/>
              </w:rPr>
            </w:pPr>
            <w:r>
              <w:rPr>
                <w:sz w:val="24"/>
                <w:szCs w:val="24"/>
              </w:rPr>
              <w:t>付款方式</w:t>
            </w:r>
          </w:p>
        </w:tc>
        <w:tc>
          <w:tcPr>
            <w:tcW w:w="7316" w:type="dxa"/>
          </w:tcPr>
          <w:p w14:paraId="7B3B69FB">
            <w:pPr>
              <w:pStyle w:val="15"/>
              <w:spacing w:before="95"/>
              <w:ind w:left="106" w:right="-15"/>
              <w:rPr>
                <w:sz w:val="24"/>
                <w:szCs w:val="24"/>
              </w:rPr>
            </w:pPr>
            <w:r>
              <w:rPr>
                <w:spacing w:val="-11"/>
                <w:sz w:val="24"/>
                <w:szCs w:val="24"/>
              </w:rPr>
              <w:t xml:space="preserve">第一期：支付合同总金额 </w:t>
            </w:r>
            <w:r>
              <w:rPr>
                <w:sz w:val="24"/>
                <w:szCs w:val="24"/>
              </w:rPr>
              <w:t>30%</w:t>
            </w:r>
            <w:r>
              <w:rPr>
                <w:spacing w:val="-11"/>
                <w:sz w:val="24"/>
                <w:szCs w:val="24"/>
              </w:rPr>
              <w:t>的预付款；第二期：所有设备进场后，支付合</w:t>
            </w:r>
            <w:r>
              <w:rPr>
                <w:spacing w:val="-12"/>
                <w:sz w:val="24"/>
                <w:szCs w:val="24"/>
              </w:rPr>
              <w:t xml:space="preserve">同总金额 </w:t>
            </w:r>
            <w:r>
              <w:rPr>
                <w:sz w:val="24"/>
                <w:szCs w:val="24"/>
              </w:rPr>
              <w:t>50%</w:t>
            </w:r>
            <w:r>
              <w:rPr>
                <w:spacing w:val="-3"/>
                <w:sz w:val="24"/>
                <w:szCs w:val="24"/>
              </w:rPr>
              <w:t xml:space="preserve">的进度款；第三期：安装验收合格后，使用一周无质量问题； </w:t>
            </w:r>
            <w:r>
              <w:rPr>
                <w:spacing w:val="-10"/>
                <w:sz w:val="24"/>
                <w:szCs w:val="24"/>
              </w:rPr>
              <w:t xml:space="preserve">支付合同总金额 </w:t>
            </w:r>
            <w:r>
              <w:rPr>
                <w:sz w:val="24"/>
                <w:szCs w:val="24"/>
              </w:rPr>
              <w:t>20%</w:t>
            </w:r>
            <w:r>
              <w:rPr>
                <w:spacing w:val="-2"/>
                <w:sz w:val="24"/>
                <w:szCs w:val="24"/>
              </w:rPr>
              <w:t>的尾款。</w:t>
            </w:r>
            <w:r>
              <w:rPr>
                <w:spacing w:val="-3"/>
                <w:sz w:val="24"/>
                <w:szCs w:val="24"/>
              </w:rPr>
              <w:t>（具体以甲乙双方签订合同为准</w:t>
            </w:r>
            <w:r>
              <w:rPr>
                <w:sz w:val="24"/>
                <w:szCs w:val="24"/>
              </w:rPr>
              <w:t>）</w:t>
            </w:r>
          </w:p>
        </w:tc>
      </w:tr>
      <w:tr w14:paraId="01A02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trPr>
        <w:tc>
          <w:tcPr>
            <w:tcW w:w="820" w:type="dxa"/>
          </w:tcPr>
          <w:p w14:paraId="48DD46D8">
            <w:pPr>
              <w:pStyle w:val="15"/>
              <w:rPr>
                <w:b/>
                <w:sz w:val="24"/>
                <w:szCs w:val="24"/>
              </w:rPr>
            </w:pPr>
          </w:p>
          <w:p w14:paraId="6D876725">
            <w:pPr>
              <w:pStyle w:val="15"/>
              <w:rPr>
                <w:b/>
                <w:sz w:val="24"/>
                <w:szCs w:val="24"/>
              </w:rPr>
            </w:pPr>
          </w:p>
          <w:p w14:paraId="589D16A2">
            <w:pPr>
              <w:pStyle w:val="15"/>
              <w:spacing w:before="1"/>
              <w:rPr>
                <w:b/>
                <w:sz w:val="24"/>
                <w:szCs w:val="24"/>
              </w:rPr>
            </w:pPr>
          </w:p>
          <w:p w14:paraId="2EDBB987">
            <w:pPr>
              <w:pStyle w:val="15"/>
              <w:ind w:left="168" w:right="159"/>
              <w:jc w:val="center"/>
              <w:rPr>
                <w:sz w:val="24"/>
                <w:szCs w:val="24"/>
              </w:rPr>
            </w:pPr>
            <w:r>
              <w:rPr>
                <w:sz w:val="24"/>
                <w:szCs w:val="24"/>
              </w:rPr>
              <w:t>12</w:t>
            </w:r>
          </w:p>
        </w:tc>
        <w:tc>
          <w:tcPr>
            <w:tcW w:w="1826" w:type="dxa"/>
          </w:tcPr>
          <w:p w14:paraId="743D9BD4">
            <w:pPr>
              <w:pStyle w:val="15"/>
              <w:rPr>
                <w:b/>
                <w:sz w:val="24"/>
                <w:szCs w:val="24"/>
              </w:rPr>
            </w:pPr>
          </w:p>
          <w:p w14:paraId="4D5E1D7E">
            <w:pPr>
              <w:pStyle w:val="15"/>
              <w:rPr>
                <w:b/>
                <w:sz w:val="24"/>
                <w:szCs w:val="24"/>
              </w:rPr>
            </w:pPr>
          </w:p>
          <w:p w14:paraId="7EEC4F63">
            <w:pPr>
              <w:pStyle w:val="15"/>
              <w:spacing w:before="1"/>
              <w:rPr>
                <w:b/>
                <w:sz w:val="24"/>
                <w:szCs w:val="24"/>
              </w:rPr>
            </w:pPr>
          </w:p>
          <w:p w14:paraId="5A8D1271">
            <w:pPr>
              <w:pStyle w:val="15"/>
              <w:ind w:left="473"/>
              <w:rPr>
                <w:sz w:val="24"/>
                <w:szCs w:val="24"/>
              </w:rPr>
            </w:pPr>
            <w:r>
              <w:rPr>
                <w:sz w:val="24"/>
                <w:szCs w:val="24"/>
              </w:rPr>
              <w:t>资格要求</w:t>
            </w:r>
          </w:p>
        </w:tc>
        <w:tc>
          <w:tcPr>
            <w:tcW w:w="7316" w:type="dxa"/>
          </w:tcPr>
          <w:p w14:paraId="5F6C7211">
            <w:pPr>
              <w:pStyle w:val="14"/>
              <w:numPr>
                <w:ilvl w:val="0"/>
                <w:numId w:val="0"/>
              </w:numPr>
              <w:tabs>
                <w:tab w:val="left" w:pos="1141"/>
              </w:tabs>
              <w:spacing w:before="0" w:after="0" w:line="240" w:lineRule="auto"/>
              <w:ind w:right="0" w:rightChars="0"/>
              <w:jc w:val="left"/>
              <w:rPr>
                <w:color w:val="auto"/>
                <w:sz w:val="24"/>
                <w:szCs w:val="24"/>
              </w:rPr>
            </w:pPr>
            <w:r>
              <w:rPr>
                <w:rFonts w:hint="eastAsia"/>
                <w:color w:val="auto"/>
                <w:sz w:val="24"/>
                <w:szCs w:val="24"/>
                <w:lang w:val="en-US" w:eastAsia="zh-CN"/>
              </w:rPr>
              <w:t>1.</w:t>
            </w:r>
            <w:r>
              <w:rPr>
                <w:color w:val="auto"/>
                <w:sz w:val="24"/>
                <w:szCs w:val="24"/>
              </w:rPr>
              <w:t>满足《中华人民共和国政府采购法》第二十二条规定；</w:t>
            </w:r>
          </w:p>
          <w:p w14:paraId="5EFE68FB">
            <w:pPr>
              <w:spacing w:after="0" w:line="240" w:lineRule="auto"/>
              <w:jc w:val="left"/>
              <w:rPr>
                <w:color w:val="auto"/>
                <w:sz w:val="24"/>
                <w:szCs w:val="24"/>
              </w:rPr>
            </w:pPr>
          </w:p>
          <w:p w14:paraId="5D23E7BF">
            <w:pPr>
              <w:pStyle w:val="14"/>
              <w:numPr>
                <w:ilvl w:val="0"/>
                <w:numId w:val="0"/>
              </w:numPr>
              <w:tabs>
                <w:tab w:val="left" w:pos="1141"/>
              </w:tabs>
              <w:spacing w:before="38" w:after="0" w:line="240" w:lineRule="auto"/>
              <w:ind w:right="0" w:rightChars="0"/>
              <w:jc w:val="left"/>
              <w:rPr>
                <w:color w:val="auto"/>
                <w:sz w:val="24"/>
                <w:szCs w:val="24"/>
              </w:rPr>
            </w:pPr>
            <w:r>
              <w:rPr>
                <w:rFonts w:hint="eastAsia"/>
                <w:color w:val="auto"/>
                <w:sz w:val="24"/>
                <w:szCs w:val="24"/>
                <w:lang w:val="en-US" w:eastAsia="zh-CN"/>
              </w:rPr>
              <w:t>2.</w:t>
            </w:r>
            <w:r>
              <w:rPr>
                <w:color w:val="auto"/>
                <w:sz w:val="24"/>
                <w:szCs w:val="24"/>
              </w:rPr>
              <w:t>落实政府采购政策需满足的资格要求：供应商为中小企业(含中型、小型、微型企业)；</w:t>
            </w:r>
          </w:p>
          <w:p w14:paraId="68E1DFCB">
            <w:pPr>
              <w:pStyle w:val="14"/>
              <w:numPr>
                <w:ilvl w:val="0"/>
                <w:numId w:val="0"/>
              </w:numPr>
              <w:tabs>
                <w:tab w:val="left" w:pos="1206"/>
              </w:tabs>
              <w:spacing w:before="213" w:after="0" w:line="240" w:lineRule="auto"/>
              <w:ind w:right="0" w:rightChars="0"/>
              <w:jc w:val="left"/>
              <w:rPr>
                <w:color w:val="auto"/>
                <w:sz w:val="24"/>
                <w:szCs w:val="24"/>
                <w:highlight w:val="none"/>
              </w:rPr>
            </w:pPr>
            <w:r>
              <w:rPr>
                <w:rFonts w:hint="eastAsia"/>
                <w:color w:val="auto"/>
                <w:sz w:val="24"/>
                <w:szCs w:val="24"/>
                <w:lang w:val="en-US" w:eastAsia="zh-CN"/>
              </w:rPr>
              <w:t>3.</w:t>
            </w:r>
            <w:r>
              <w:rPr>
                <w:color w:val="auto"/>
                <w:sz w:val="24"/>
                <w:szCs w:val="24"/>
              </w:rPr>
              <w:t>本项</w:t>
            </w:r>
            <w:r>
              <w:rPr>
                <w:color w:val="auto"/>
                <w:sz w:val="24"/>
                <w:szCs w:val="24"/>
                <w:highlight w:val="none"/>
              </w:rPr>
              <w:t>目的特定资格要求：</w:t>
            </w:r>
          </w:p>
          <w:p w14:paraId="489811D7">
            <w:pPr>
              <w:pStyle w:val="14"/>
              <w:numPr>
                <w:ilvl w:val="0"/>
                <w:numId w:val="0"/>
              </w:numPr>
              <w:tabs>
                <w:tab w:val="left" w:pos="1501"/>
              </w:tabs>
              <w:spacing w:before="214" w:after="0" w:line="240" w:lineRule="auto"/>
              <w:ind w:right="0" w:rightChars="0"/>
              <w:jc w:val="left"/>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color w:val="auto"/>
                <w:sz w:val="24"/>
                <w:szCs w:val="24"/>
                <w:highlight w:val="none"/>
              </w:rPr>
              <w:t>具有有效的企业法人营业执照及开户许可证；</w:t>
            </w:r>
          </w:p>
          <w:p w14:paraId="4505EF73">
            <w:pPr>
              <w:pStyle w:val="14"/>
              <w:numPr>
                <w:ilvl w:val="0"/>
                <w:numId w:val="0"/>
              </w:numPr>
              <w:tabs>
                <w:tab w:val="left" w:pos="1501"/>
              </w:tabs>
              <w:spacing w:before="211" w:after="0" w:line="240" w:lineRule="auto"/>
              <w:ind w:right="0" w:rightChars="0"/>
              <w:jc w:val="left"/>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）提供2024年财务状况报告</w:t>
            </w:r>
            <w:r>
              <w:rPr>
                <w:color w:val="auto"/>
                <w:sz w:val="24"/>
                <w:szCs w:val="24"/>
                <w:highlight w:val="none"/>
              </w:rPr>
              <w:t>或银行出具的资信证明材料（新成立的公司可不提供）；</w:t>
            </w:r>
          </w:p>
          <w:p w14:paraId="22C8D3EC">
            <w:pPr>
              <w:pStyle w:val="14"/>
              <w:numPr>
                <w:ilvl w:val="0"/>
                <w:numId w:val="0"/>
              </w:numPr>
              <w:tabs>
                <w:tab w:val="left" w:pos="1501"/>
              </w:tabs>
              <w:spacing w:before="213" w:after="0" w:line="240" w:lineRule="auto"/>
              <w:ind w:right="0" w:rightChars="0"/>
              <w:jc w:val="left"/>
              <w:rPr>
                <w:color w:val="auto"/>
                <w:sz w:val="24"/>
                <w:szCs w:val="24"/>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color w:val="auto"/>
                <w:sz w:val="24"/>
                <w:szCs w:val="24"/>
                <w:highlight w:val="none"/>
              </w:rPr>
              <w:t>具有履行合同所必需的设备和专业技术能力（提</w:t>
            </w:r>
            <w:r>
              <w:rPr>
                <w:color w:val="auto"/>
                <w:sz w:val="24"/>
                <w:szCs w:val="24"/>
              </w:rPr>
              <w:t>供书面明）；</w:t>
            </w:r>
          </w:p>
          <w:p w14:paraId="155DB5B3">
            <w:pPr>
              <w:pStyle w:val="14"/>
              <w:numPr>
                <w:ilvl w:val="0"/>
                <w:numId w:val="0"/>
              </w:numPr>
              <w:tabs>
                <w:tab w:val="left" w:pos="1501"/>
              </w:tabs>
              <w:spacing w:before="213" w:after="0" w:line="405" w:lineRule="auto"/>
              <w:ind w:right="417" w:rightChars="0"/>
              <w:jc w:val="left"/>
              <w:rPr>
                <w:color w:val="auto"/>
                <w:sz w:val="24"/>
                <w:szCs w:val="24"/>
              </w:rPr>
            </w:pPr>
            <w:r>
              <w:rPr>
                <w:rFonts w:hint="eastAsia"/>
                <w:color w:val="auto"/>
                <w:sz w:val="24"/>
                <w:szCs w:val="24"/>
                <w:lang w:eastAsia="zh-CN"/>
              </w:rPr>
              <w:t>（</w:t>
            </w:r>
            <w:r>
              <w:rPr>
                <w:rFonts w:hint="eastAsia"/>
                <w:color w:val="auto"/>
                <w:sz w:val="24"/>
                <w:szCs w:val="24"/>
                <w:lang w:val="en-US" w:eastAsia="zh-CN"/>
              </w:rPr>
              <w:t>4</w:t>
            </w:r>
            <w:r>
              <w:rPr>
                <w:rFonts w:hint="eastAsia"/>
                <w:color w:val="auto"/>
                <w:sz w:val="24"/>
                <w:szCs w:val="24"/>
                <w:lang w:eastAsia="zh-CN"/>
              </w:rPr>
              <w:t>）</w:t>
            </w:r>
            <w:r>
              <w:rPr>
                <w:color w:val="auto"/>
                <w:spacing w:val="-2"/>
                <w:sz w:val="24"/>
                <w:szCs w:val="24"/>
              </w:rPr>
              <w:t>近半年依法缴纳税收证明</w:t>
            </w:r>
            <w:r>
              <w:rPr>
                <w:color w:val="auto"/>
                <w:spacing w:val="-3"/>
                <w:sz w:val="24"/>
                <w:szCs w:val="24"/>
              </w:rPr>
              <w:t>（</w:t>
            </w:r>
            <w:r>
              <w:rPr>
                <w:color w:val="auto"/>
                <w:sz w:val="24"/>
                <w:szCs w:val="24"/>
              </w:rPr>
              <w:t>纳税凭证</w:t>
            </w:r>
            <w:r>
              <w:rPr>
                <w:color w:val="auto"/>
                <w:spacing w:val="-20"/>
                <w:sz w:val="24"/>
                <w:szCs w:val="24"/>
              </w:rPr>
              <w:t>）</w:t>
            </w:r>
            <w:r>
              <w:rPr>
                <w:color w:val="auto"/>
                <w:spacing w:val="-2"/>
                <w:sz w:val="24"/>
                <w:szCs w:val="24"/>
              </w:rPr>
              <w:t>和缴纳社会保险的证明</w:t>
            </w:r>
            <w:r>
              <w:rPr>
                <w:color w:val="auto"/>
                <w:spacing w:val="-3"/>
                <w:sz w:val="24"/>
                <w:szCs w:val="24"/>
              </w:rPr>
              <w:t>（</w:t>
            </w:r>
            <w:r>
              <w:rPr>
                <w:color w:val="auto"/>
                <w:sz w:val="24"/>
                <w:szCs w:val="24"/>
              </w:rPr>
              <w:t>缴费凭证</w:t>
            </w:r>
            <w:r>
              <w:rPr>
                <w:color w:val="auto"/>
                <w:spacing w:val="-9"/>
                <w:sz w:val="24"/>
                <w:szCs w:val="24"/>
              </w:rPr>
              <w:t>）</w:t>
            </w:r>
            <w:r>
              <w:rPr>
                <w:color w:val="auto"/>
                <w:spacing w:val="-7"/>
                <w:sz w:val="24"/>
                <w:szCs w:val="24"/>
              </w:rPr>
              <w:t>,如依法</w:t>
            </w:r>
            <w:r>
              <w:rPr>
                <w:color w:val="auto"/>
                <w:sz w:val="24"/>
                <w:szCs w:val="24"/>
              </w:rPr>
              <w:t>不需要缴纳的，应提供相应证明文件证明无需缴纳；</w:t>
            </w:r>
          </w:p>
          <w:p w14:paraId="6A3695A0">
            <w:pPr>
              <w:pStyle w:val="14"/>
              <w:numPr>
                <w:ilvl w:val="0"/>
                <w:numId w:val="0"/>
              </w:numPr>
              <w:tabs>
                <w:tab w:val="left" w:pos="1501"/>
              </w:tabs>
              <w:spacing w:before="0" w:after="0" w:line="240" w:lineRule="auto"/>
              <w:ind w:right="0" w:rightChars="0"/>
              <w:jc w:val="left"/>
              <w:rPr>
                <w:color w:val="auto"/>
                <w:sz w:val="24"/>
                <w:szCs w:val="24"/>
              </w:rPr>
            </w:pPr>
            <w:r>
              <w:rPr>
                <w:rFonts w:hint="eastAsia"/>
                <w:color w:val="auto"/>
                <w:sz w:val="24"/>
                <w:szCs w:val="24"/>
                <w:lang w:eastAsia="zh-CN"/>
              </w:rPr>
              <w:t>（</w:t>
            </w:r>
            <w:r>
              <w:rPr>
                <w:rFonts w:hint="eastAsia"/>
                <w:color w:val="auto"/>
                <w:sz w:val="24"/>
                <w:szCs w:val="24"/>
                <w:lang w:val="en-US" w:eastAsia="zh-CN"/>
              </w:rPr>
              <w:t>5</w:t>
            </w:r>
            <w:r>
              <w:rPr>
                <w:rFonts w:hint="eastAsia"/>
                <w:color w:val="auto"/>
                <w:sz w:val="24"/>
                <w:szCs w:val="24"/>
                <w:lang w:eastAsia="zh-CN"/>
              </w:rPr>
              <w:t>）</w:t>
            </w:r>
            <w:r>
              <w:rPr>
                <w:color w:val="auto"/>
                <w:sz w:val="24"/>
                <w:szCs w:val="24"/>
              </w:rPr>
              <w:t>参加政府采购活动前三年内在经营活动中没有重大违法记录的书面声明；</w:t>
            </w:r>
          </w:p>
          <w:p w14:paraId="436C2E37">
            <w:pPr>
              <w:pStyle w:val="14"/>
              <w:numPr>
                <w:ilvl w:val="0"/>
                <w:numId w:val="0"/>
              </w:numPr>
              <w:tabs>
                <w:tab w:val="left" w:pos="1501"/>
              </w:tabs>
              <w:spacing w:before="213" w:after="0" w:line="360" w:lineRule="auto"/>
              <w:ind w:right="0" w:rightChars="0"/>
              <w:jc w:val="left"/>
              <w:rPr>
                <w:sz w:val="24"/>
                <w:szCs w:val="24"/>
              </w:rPr>
            </w:pPr>
            <w:r>
              <w:rPr>
                <w:rFonts w:hint="eastAsia"/>
                <w:color w:val="auto"/>
                <w:sz w:val="24"/>
                <w:szCs w:val="24"/>
                <w:lang w:eastAsia="zh-CN"/>
              </w:rPr>
              <w:t>（</w:t>
            </w:r>
            <w:r>
              <w:rPr>
                <w:rFonts w:hint="eastAsia"/>
                <w:color w:val="auto"/>
                <w:sz w:val="24"/>
                <w:szCs w:val="24"/>
                <w:lang w:val="en-US" w:eastAsia="zh-CN"/>
              </w:rPr>
              <w:t>6</w:t>
            </w:r>
            <w:r>
              <w:rPr>
                <w:rFonts w:hint="eastAsia"/>
                <w:color w:val="auto"/>
                <w:sz w:val="24"/>
                <w:szCs w:val="24"/>
                <w:lang w:eastAsia="zh-CN"/>
              </w:rPr>
              <w:t>）</w:t>
            </w:r>
            <w:r>
              <w:rPr>
                <w:color w:val="auto"/>
                <w:sz w:val="24"/>
                <w:szCs w:val="24"/>
              </w:rPr>
              <w:t>法律、行政法规规定的其他条件。</w:t>
            </w:r>
          </w:p>
          <w:p w14:paraId="34D96655">
            <w:pPr>
              <w:pStyle w:val="14"/>
              <w:numPr>
                <w:ilvl w:val="0"/>
                <w:numId w:val="0"/>
              </w:numPr>
              <w:tabs>
                <w:tab w:val="left" w:pos="1501"/>
              </w:tabs>
              <w:spacing w:before="213" w:after="0" w:line="360" w:lineRule="auto"/>
              <w:ind w:right="0" w:rightChars="0" w:firstLine="436" w:firstLineChars="200"/>
              <w:jc w:val="left"/>
              <w:rPr>
                <w:sz w:val="24"/>
                <w:szCs w:val="24"/>
              </w:rPr>
            </w:pPr>
            <w:r>
              <w:rPr>
                <w:color w:val="auto"/>
                <w:spacing w:val="-11"/>
                <w:sz w:val="24"/>
                <w:szCs w:val="24"/>
              </w:rPr>
              <w:t>按照《财政部关于在政府采购活动中查询及使用信用记录有关问题的通知》</w:t>
            </w:r>
            <w:r>
              <w:rPr>
                <w:color w:val="auto"/>
                <w:sz w:val="24"/>
                <w:szCs w:val="24"/>
              </w:rPr>
              <w:t>（</w:t>
            </w:r>
            <w:r>
              <w:rPr>
                <w:color w:val="auto"/>
                <w:spacing w:val="-27"/>
                <w:sz w:val="24"/>
                <w:szCs w:val="24"/>
              </w:rPr>
              <w:t>财库</w:t>
            </w:r>
            <w:r>
              <w:rPr>
                <w:color w:val="auto"/>
                <w:spacing w:val="-3"/>
                <w:sz w:val="24"/>
                <w:szCs w:val="24"/>
              </w:rPr>
              <w:t xml:space="preserve">（2016） </w:t>
            </w:r>
            <w:r>
              <w:rPr>
                <w:color w:val="auto"/>
                <w:sz w:val="24"/>
                <w:szCs w:val="24"/>
              </w:rPr>
              <w:t>125</w:t>
            </w:r>
            <w:r>
              <w:rPr>
                <w:color w:val="auto"/>
                <w:spacing w:val="-30"/>
                <w:sz w:val="24"/>
                <w:szCs w:val="24"/>
              </w:rPr>
              <w:t xml:space="preserve"> 号</w:t>
            </w:r>
            <w:r>
              <w:rPr>
                <w:color w:val="auto"/>
                <w:spacing w:val="-5"/>
                <w:sz w:val="24"/>
                <w:szCs w:val="24"/>
              </w:rPr>
              <w:t xml:space="preserve">）的要求，被“信用中国”网站、“中国政府采购网”网站列入失信被执行人、政府采购严重违法失信行为记录名单的，不得参与本项目的政府采购活动；除单一来源采购项目外， </w:t>
            </w:r>
            <w:r>
              <w:rPr>
                <w:color w:val="auto"/>
                <w:spacing w:val="-10"/>
                <w:sz w:val="24"/>
                <w:szCs w:val="24"/>
              </w:rPr>
              <w:t>为采购项目提供整体设计、规范编制或者项目管理、监理、检测等服务的供应商，不得再参加</w:t>
            </w:r>
            <w:r>
              <w:rPr>
                <w:color w:val="auto"/>
                <w:spacing w:val="-18"/>
                <w:sz w:val="24"/>
                <w:szCs w:val="24"/>
              </w:rPr>
              <w:t xml:space="preserve">该采购项目的其他采购活动；单位负责人为同一人或者存在直接控股、管理关系的不同投标人， </w:t>
            </w:r>
            <w:r>
              <w:rPr>
                <w:color w:val="auto"/>
                <w:sz w:val="24"/>
                <w:szCs w:val="24"/>
              </w:rPr>
              <w:t>不得参加</w:t>
            </w:r>
            <w:r>
              <w:rPr>
                <w:sz w:val="24"/>
                <w:szCs w:val="24"/>
              </w:rPr>
              <w:t>同一合同项下的政府采购活动。</w:t>
            </w:r>
          </w:p>
        </w:tc>
      </w:tr>
      <w:tr w14:paraId="3A77D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820" w:type="dxa"/>
            <w:vAlign w:val="top"/>
          </w:tcPr>
          <w:p w14:paraId="0ECE4CE2">
            <w:pPr>
              <w:pStyle w:val="15"/>
              <w:spacing w:before="143"/>
              <w:ind w:left="0" w:leftChars="0" w:right="298" w:rightChars="0"/>
              <w:jc w:val="right"/>
              <w:rPr>
                <w:rFonts w:ascii="仿宋" w:hAnsi="仿宋" w:eastAsia="仿宋" w:cs="仿宋"/>
                <w:sz w:val="24"/>
                <w:szCs w:val="24"/>
                <w:lang w:val="en-US" w:eastAsia="zh-CN" w:bidi="ar-SA"/>
              </w:rPr>
            </w:pPr>
            <w:r>
              <w:rPr>
                <w:sz w:val="24"/>
                <w:szCs w:val="24"/>
              </w:rPr>
              <w:t>13</w:t>
            </w:r>
          </w:p>
        </w:tc>
        <w:tc>
          <w:tcPr>
            <w:tcW w:w="1826" w:type="dxa"/>
            <w:vAlign w:val="top"/>
          </w:tcPr>
          <w:p w14:paraId="7D41DE71">
            <w:pPr>
              <w:pStyle w:val="15"/>
              <w:spacing w:before="130"/>
              <w:ind w:left="122" w:leftChars="0" w:right="111" w:rightChars="0"/>
              <w:jc w:val="center"/>
              <w:rPr>
                <w:rFonts w:ascii="仿宋" w:hAnsi="仿宋" w:eastAsia="仿宋" w:cs="仿宋"/>
                <w:sz w:val="24"/>
                <w:szCs w:val="24"/>
                <w:lang w:val="en-US" w:eastAsia="zh-CN" w:bidi="ar-SA"/>
              </w:rPr>
            </w:pPr>
            <w:r>
              <w:rPr>
                <w:sz w:val="24"/>
                <w:szCs w:val="24"/>
              </w:rPr>
              <w:t>招标方式</w:t>
            </w:r>
          </w:p>
        </w:tc>
        <w:tc>
          <w:tcPr>
            <w:tcW w:w="7316" w:type="dxa"/>
            <w:vAlign w:val="top"/>
          </w:tcPr>
          <w:p w14:paraId="1F6089FB">
            <w:pPr>
              <w:pStyle w:val="15"/>
              <w:spacing w:before="130"/>
              <w:ind w:left="106" w:leftChars="0" w:right="0" w:rightChars="0"/>
              <w:rPr>
                <w:rFonts w:ascii="仿宋" w:hAnsi="仿宋" w:eastAsia="仿宋" w:cs="仿宋"/>
                <w:sz w:val="24"/>
                <w:szCs w:val="24"/>
                <w:lang w:val="en-US" w:eastAsia="zh-CN" w:bidi="ar-SA"/>
              </w:rPr>
            </w:pPr>
            <w:r>
              <w:rPr>
                <w:sz w:val="24"/>
                <w:szCs w:val="24"/>
              </w:rPr>
              <w:t>公开招标(本项目采用网上电子招投标)</w:t>
            </w:r>
          </w:p>
        </w:tc>
      </w:tr>
      <w:tr w14:paraId="02E84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820" w:type="dxa"/>
            <w:vAlign w:val="top"/>
          </w:tcPr>
          <w:p w14:paraId="2DBE5AF2">
            <w:pPr>
              <w:pStyle w:val="15"/>
              <w:rPr>
                <w:b/>
                <w:sz w:val="24"/>
                <w:szCs w:val="24"/>
              </w:rPr>
            </w:pPr>
          </w:p>
          <w:p w14:paraId="1D855F9C">
            <w:pPr>
              <w:pStyle w:val="15"/>
              <w:rPr>
                <w:b/>
                <w:sz w:val="24"/>
                <w:szCs w:val="24"/>
              </w:rPr>
            </w:pPr>
          </w:p>
          <w:p w14:paraId="4C8BBB64">
            <w:pPr>
              <w:pStyle w:val="15"/>
              <w:rPr>
                <w:b/>
                <w:sz w:val="24"/>
                <w:szCs w:val="24"/>
              </w:rPr>
            </w:pPr>
          </w:p>
          <w:p w14:paraId="1BD9C36D">
            <w:pPr>
              <w:pStyle w:val="15"/>
              <w:rPr>
                <w:b/>
                <w:sz w:val="24"/>
                <w:szCs w:val="24"/>
              </w:rPr>
            </w:pPr>
          </w:p>
          <w:p w14:paraId="7B5430B5">
            <w:pPr>
              <w:pStyle w:val="15"/>
              <w:rPr>
                <w:b/>
                <w:sz w:val="24"/>
                <w:szCs w:val="24"/>
              </w:rPr>
            </w:pPr>
          </w:p>
          <w:p w14:paraId="026767F7">
            <w:pPr>
              <w:pStyle w:val="15"/>
              <w:rPr>
                <w:b/>
                <w:sz w:val="24"/>
                <w:szCs w:val="24"/>
              </w:rPr>
            </w:pPr>
          </w:p>
          <w:p w14:paraId="72F4B458">
            <w:pPr>
              <w:pStyle w:val="15"/>
              <w:rPr>
                <w:b/>
                <w:sz w:val="24"/>
                <w:szCs w:val="24"/>
              </w:rPr>
            </w:pPr>
          </w:p>
          <w:p w14:paraId="4CD4F9C5">
            <w:pPr>
              <w:pStyle w:val="15"/>
              <w:spacing w:before="5"/>
              <w:rPr>
                <w:b/>
                <w:sz w:val="24"/>
                <w:szCs w:val="24"/>
              </w:rPr>
            </w:pPr>
          </w:p>
          <w:p w14:paraId="517DCB44">
            <w:pPr>
              <w:pStyle w:val="15"/>
              <w:ind w:left="0" w:leftChars="0" w:right="298" w:rightChars="0"/>
              <w:jc w:val="right"/>
              <w:rPr>
                <w:rFonts w:ascii="仿宋" w:hAnsi="仿宋" w:eastAsia="仿宋" w:cs="仿宋"/>
                <w:sz w:val="24"/>
                <w:szCs w:val="24"/>
                <w:lang w:val="en-US" w:eastAsia="zh-CN" w:bidi="ar-SA"/>
              </w:rPr>
            </w:pPr>
            <w:r>
              <w:rPr>
                <w:sz w:val="24"/>
                <w:szCs w:val="24"/>
              </w:rPr>
              <w:t>14</w:t>
            </w:r>
          </w:p>
        </w:tc>
        <w:tc>
          <w:tcPr>
            <w:tcW w:w="1826" w:type="dxa"/>
            <w:vAlign w:val="top"/>
          </w:tcPr>
          <w:p w14:paraId="544218C4">
            <w:pPr>
              <w:pStyle w:val="15"/>
              <w:rPr>
                <w:b/>
                <w:sz w:val="24"/>
                <w:szCs w:val="24"/>
              </w:rPr>
            </w:pPr>
          </w:p>
          <w:p w14:paraId="4B8F097B">
            <w:pPr>
              <w:pStyle w:val="15"/>
              <w:spacing w:line="398" w:lineRule="auto"/>
              <w:ind w:left="691" w:leftChars="0" w:right="349" w:rightChars="0" w:hanging="329" w:firstLineChars="0"/>
              <w:rPr>
                <w:rFonts w:ascii="仿宋" w:hAnsi="仿宋" w:eastAsia="仿宋" w:cs="仿宋"/>
                <w:sz w:val="24"/>
                <w:szCs w:val="24"/>
                <w:lang w:val="en-US" w:eastAsia="zh-CN" w:bidi="ar-SA"/>
              </w:rPr>
            </w:pPr>
            <w:r>
              <w:rPr>
                <w:sz w:val="24"/>
                <w:szCs w:val="24"/>
              </w:rPr>
              <w:t>供应商信用查询</w:t>
            </w:r>
          </w:p>
        </w:tc>
        <w:tc>
          <w:tcPr>
            <w:tcW w:w="7316" w:type="dxa"/>
            <w:vAlign w:val="top"/>
          </w:tcPr>
          <w:p w14:paraId="5F3EB0D2">
            <w:pPr>
              <w:pStyle w:val="15"/>
              <w:spacing w:before="93" w:line="398" w:lineRule="auto"/>
              <w:ind w:left="106" w:right="155"/>
              <w:rPr>
                <w:sz w:val="24"/>
                <w:szCs w:val="24"/>
              </w:rPr>
            </w:pPr>
            <w:r>
              <w:rPr>
                <w:sz w:val="24"/>
                <w:szCs w:val="24"/>
              </w:rPr>
              <w:t>1、查询渠道：信用中国（网址：</w:t>
            </w:r>
            <w:r>
              <w:rPr>
                <w:sz w:val="24"/>
                <w:szCs w:val="24"/>
              </w:rPr>
              <w:fldChar w:fldCharType="begin"/>
            </w:r>
            <w:r>
              <w:rPr>
                <w:sz w:val="24"/>
                <w:szCs w:val="24"/>
              </w:rPr>
              <w:instrText xml:space="preserve"> HYPERLINK "http://www.creditchina.gov.cn/" \h </w:instrText>
            </w:r>
            <w:r>
              <w:rPr>
                <w:sz w:val="24"/>
                <w:szCs w:val="24"/>
              </w:rPr>
              <w:fldChar w:fldCharType="separate"/>
            </w:r>
            <w:r>
              <w:rPr>
                <w:sz w:val="24"/>
                <w:szCs w:val="24"/>
              </w:rPr>
              <w:t>http://www.creditchina.gov.cn</w:t>
            </w:r>
            <w:r>
              <w:rPr>
                <w:sz w:val="24"/>
                <w:szCs w:val="24"/>
              </w:rPr>
              <w:fldChar w:fldCharType="end"/>
            </w:r>
            <w:r>
              <w:rPr>
                <w:sz w:val="24"/>
                <w:szCs w:val="24"/>
              </w:rPr>
              <w:t>）、中国政府采购网(网址：</w:t>
            </w:r>
            <w:r>
              <w:rPr>
                <w:sz w:val="24"/>
                <w:szCs w:val="24"/>
              </w:rPr>
              <w:fldChar w:fldCharType="begin"/>
            </w:r>
            <w:r>
              <w:rPr>
                <w:sz w:val="24"/>
                <w:szCs w:val="24"/>
              </w:rPr>
              <w:instrText xml:space="preserve"> HYPERLINK "http://www.ccgp.gov.cn/" \h </w:instrText>
            </w:r>
            <w:r>
              <w:rPr>
                <w:sz w:val="24"/>
                <w:szCs w:val="24"/>
              </w:rPr>
              <w:fldChar w:fldCharType="separate"/>
            </w:r>
            <w:r>
              <w:rPr>
                <w:sz w:val="24"/>
                <w:szCs w:val="24"/>
              </w:rPr>
              <w:t>http://www.ccgp.gov.cn</w:t>
            </w:r>
            <w:r>
              <w:rPr>
                <w:sz w:val="24"/>
                <w:szCs w:val="24"/>
              </w:rPr>
              <w:fldChar w:fldCharType="end"/>
            </w:r>
            <w:r>
              <w:rPr>
                <w:sz w:val="24"/>
                <w:szCs w:val="24"/>
              </w:rPr>
              <w:t>）。</w:t>
            </w:r>
          </w:p>
          <w:p w14:paraId="6DD1CC79">
            <w:pPr>
              <w:pStyle w:val="15"/>
              <w:spacing w:before="1"/>
              <w:ind w:left="106"/>
              <w:rPr>
                <w:sz w:val="24"/>
                <w:szCs w:val="24"/>
              </w:rPr>
            </w:pPr>
            <w:r>
              <w:rPr>
                <w:sz w:val="24"/>
                <w:szCs w:val="24"/>
              </w:rPr>
              <w:t>2、截止时点：开标后评标前。</w:t>
            </w:r>
          </w:p>
          <w:p w14:paraId="5CD524A4">
            <w:pPr>
              <w:pStyle w:val="15"/>
              <w:spacing w:before="186" w:line="398" w:lineRule="auto"/>
              <w:ind w:left="106" w:right="95"/>
              <w:rPr>
                <w:sz w:val="24"/>
                <w:szCs w:val="24"/>
              </w:rPr>
            </w:pPr>
            <w:r>
              <w:rPr>
                <w:spacing w:val="-1"/>
                <w:sz w:val="24"/>
                <w:szCs w:val="24"/>
              </w:rPr>
              <w:t>3</w:t>
            </w:r>
            <w:r>
              <w:rPr>
                <w:spacing w:val="-8"/>
                <w:sz w:val="24"/>
                <w:szCs w:val="24"/>
              </w:rPr>
              <w:t>、信用信息查询记录和证据留存的具体方式：由采购组织机构在规定查询</w:t>
            </w:r>
            <w:r>
              <w:rPr>
                <w:spacing w:val="-3"/>
                <w:sz w:val="24"/>
                <w:szCs w:val="24"/>
              </w:rPr>
              <w:t>时间内打印信用信息查询记录并归入项目档案。</w:t>
            </w:r>
          </w:p>
          <w:p w14:paraId="375F4E6E">
            <w:pPr>
              <w:pStyle w:val="15"/>
              <w:spacing w:line="398" w:lineRule="auto"/>
              <w:ind w:left="106" w:right="-15"/>
              <w:rPr>
                <w:rFonts w:ascii="仿宋" w:hAnsi="仿宋" w:eastAsia="仿宋" w:cs="仿宋"/>
                <w:sz w:val="24"/>
                <w:szCs w:val="24"/>
                <w:lang w:val="en-US" w:eastAsia="zh-CN" w:bidi="ar-SA"/>
              </w:rPr>
            </w:pPr>
            <w:r>
              <w:rPr>
                <w:sz w:val="24"/>
                <w:szCs w:val="24"/>
              </w:rPr>
              <w:t>4</w:t>
            </w:r>
            <w:r>
              <w:rPr>
                <w:spacing w:val="-8"/>
                <w:sz w:val="24"/>
                <w:szCs w:val="24"/>
              </w:rPr>
              <w:t>、使用规则：对列入失信被执行人、重大税收违法失信主体名单、政府采</w:t>
            </w:r>
            <w:r>
              <w:rPr>
                <w:spacing w:val="-6"/>
                <w:sz w:val="24"/>
                <w:szCs w:val="24"/>
              </w:rPr>
              <w:t>购严重违法失信行为记录名单及其他不符合《中华人民共和国政府采购法》</w:t>
            </w:r>
            <w:r>
              <w:rPr>
                <w:spacing w:val="-3"/>
                <w:sz w:val="24"/>
                <w:szCs w:val="24"/>
              </w:rPr>
              <w:t>第二十二条规定条件的供应商，将被拒绝其参与政府采购活动。联合体成</w:t>
            </w:r>
            <w:r>
              <w:rPr>
                <w:sz w:val="24"/>
                <w:szCs w:val="24"/>
              </w:rPr>
              <w:t>员任意一方存在不良信用记录的，视同联合体存在不良信用记录。</w:t>
            </w:r>
          </w:p>
        </w:tc>
      </w:tr>
      <w:tr w14:paraId="34F27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820" w:type="dxa"/>
            <w:vAlign w:val="top"/>
          </w:tcPr>
          <w:p w14:paraId="01A64824">
            <w:pPr>
              <w:pStyle w:val="15"/>
              <w:spacing w:before="5"/>
              <w:rPr>
                <w:b/>
                <w:sz w:val="24"/>
                <w:szCs w:val="24"/>
              </w:rPr>
            </w:pPr>
          </w:p>
          <w:p w14:paraId="46DCCEF5">
            <w:pPr>
              <w:pStyle w:val="15"/>
              <w:ind w:left="0" w:leftChars="0" w:right="298" w:rightChars="0"/>
              <w:jc w:val="right"/>
              <w:rPr>
                <w:rFonts w:ascii="仿宋" w:hAnsi="仿宋" w:eastAsia="仿宋" w:cs="仿宋"/>
                <w:sz w:val="24"/>
                <w:szCs w:val="24"/>
                <w:lang w:val="en-US" w:eastAsia="zh-CN" w:bidi="ar-SA"/>
              </w:rPr>
            </w:pPr>
            <w:r>
              <w:rPr>
                <w:sz w:val="24"/>
                <w:szCs w:val="24"/>
              </w:rPr>
              <w:t>15</w:t>
            </w:r>
          </w:p>
        </w:tc>
        <w:tc>
          <w:tcPr>
            <w:tcW w:w="1826" w:type="dxa"/>
            <w:vAlign w:val="top"/>
          </w:tcPr>
          <w:p w14:paraId="1629DCA6">
            <w:pPr>
              <w:pStyle w:val="15"/>
              <w:spacing w:before="2" w:line="440" w:lineRule="exact"/>
              <w:ind w:left="552" w:leftChars="0" w:right="181" w:rightChars="0" w:hanging="360" w:firstLineChars="0"/>
              <w:rPr>
                <w:rFonts w:ascii="仿宋" w:hAnsi="仿宋" w:eastAsia="仿宋" w:cs="仿宋"/>
                <w:sz w:val="24"/>
                <w:szCs w:val="24"/>
                <w:lang w:val="en-US" w:eastAsia="zh-CN" w:bidi="ar-SA"/>
              </w:rPr>
            </w:pPr>
            <w:r>
              <w:rPr>
                <w:color w:val="0B0B0B"/>
                <w:sz w:val="24"/>
                <w:szCs w:val="24"/>
              </w:rPr>
              <w:t>是否允许联合体投标</w:t>
            </w:r>
          </w:p>
        </w:tc>
        <w:tc>
          <w:tcPr>
            <w:tcW w:w="7316" w:type="dxa"/>
            <w:vAlign w:val="top"/>
          </w:tcPr>
          <w:p w14:paraId="27359B5C">
            <w:pPr>
              <w:pStyle w:val="15"/>
              <w:spacing w:before="12"/>
              <w:rPr>
                <w:b/>
                <w:sz w:val="24"/>
                <w:szCs w:val="24"/>
              </w:rPr>
            </w:pPr>
          </w:p>
          <w:p w14:paraId="4B3565C2">
            <w:pPr>
              <w:pStyle w:val="15"/>
              <w:tabs>
                <w:tab w:val="left" w:pos="2026"/>
              </w:tabs>
              <w:ind w:left="106" w:leftChars="0" w:right="0" w:rightChars="0"/>
              <w:rPr>
                <w:rFonts w:ascii="仿宋" w:hAnsi="仿宋" w:eastAsia="仿宋" w:cs="仿宋"/>
                <w:sz w:val="24"/>
                <w:szCs w:val="24"/>
                <w:lang w:val="en-US" w:eastAsia="zh-CN" w:bidi="ar-SA"/>
              </w:rPr>
            </w:pPr>
            <w:r>
              <w:rPr>
                <w:color w:val="0B0B0B"/>
                <w:sz w:val="24"/>
                <w:szCs w:val="24"/>
              </w:rPr>
              <w:t>□是</w:t>
            </w:r>
            <w:r>
              <w:rPr>
                <w:color w:val="0B0B0B"/>
                <w:sz w:val="24"/>
                <w:szCs w:val="24"/>
              </w:rPr>
              <w:tab/>
            </w:r>
            <w:r>
              <w:rPr>
                <w:rFonts w:hint="eastAsia" w:ascii="MS UI Gothic" w:hAnsi="MS UI Gothic" w:eastAsia="MS UI Gothic"/>
                <w:color w:val="0B0B0B"/>
                <w:sz w:val="24"/>
                <w:szCs w:val="24"/>
              </w:rPr>
              <w:t>☑</w:t>
            </w:r>
            <w:r>
              <w:rPr>
                <w:color w:val="0B0B0B"/>
                <w:sz w:val="24"/>
                <w:szCs w:val="24"/>
              </w:rPr>
              <w:t>否</w:t>
            </w:r>
          </w:p>
        </w:tc>
      </w:tr>
      <w:tr w14:paraId="745C2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820" w:type="dxa"/>
            <w:vAlign w:val="top"/>
          </w:tcPr>
          <w:p w14:paraId="1810154B">
            <w:pPr>
              <w:pStyle w:val="15"/>
              <w:spacing w:before="179"/>
              <w:ind w:left="0" w:leftChars="0" w:right="298" w:rightChars="0"/>
              <w:jc w:val="right"/>
              <w:rPr>
                <w:rFonts w:ascii="仿宋" w:hAnsi="仿宋" w:eastAsia="仿宋" w:cs="仿宋"/>
                <w:sz w:val="24"/>
                <w:szCs w:val="24"/>
                <w:lang w:val="en-US" w:eastAsia="zh-CN" w:bidi="ar-SA"/>
              </w:rPr>
            </w:pPr>
            <w:r>
              <w:rPr>
                <w:sz w:val="24"/>
                <w:szCs w:val="24"/>
              </w:rPr>
              <w:t>16</w:t>
            </w:r>
          </w:p>
        </w:tc>
        <w:tc>
          <w:tcPr>
            <w:tcW w:w="1826" w:type="dxa"/>
            <w:vAlign w:val="top"/>
          </w:tcPr>
          <w:p w14:paraId="2C54176A">
            <w:pPr>
              <w:pStyle w:val="15"/>
              <w:spacing w:before="106"/>
              <w:ind w:left="122" w:leftChars="0" w:right="113" w:rightChars="0"/>
              <w:jc w:val="center"/>
              <w:rPr>
                <w:rFonts w:ascii="仿宋" w:hAnsi="仿宋" w:eastAsia="仿宋" w:cs="仿宋"/>
                <w:sz w:val="24"/>
                <w:szCs w:val="24"/>
                <w:lang w:val="en-US" w:eastAsia="zh-CN" w:bidi="ar-SA"/>
              </w:rPr>
            </w:pPr>
            <w:r>
              <w:rPr>
                <w:sz w:val="24"/>
                <w:szCs w:val="24"/>
              </w:rPr>
              <w:t>偏离</w:t>
            </w:r>
          </w:p>
        </w:tc>
        <w:tc>
          <w:tcPr>
            <w:tcW w:w="7316" w:type="dxa"/>
            <w:vAlign w:val="top"/>
          </w:tcPr>
          <w:p w14:paraId="6BE7FA9A">
            <w:pPr>
              <w:pStyle w:val="15"/>
              <w:tabs>
                <w:tab w:val="left" w:pos="2026"/>
              </w:tabs>
              <w:spacing w:before="93"/>
              <w:ind w:left="106" w:leftChars="0" w:right="0" w:rightChars="0"/>
              <w:rPr>
                <w:rFonts w:ascii="仿宋" w:hAnsi="仿宋" w:eastAsia="仿宋" w:cs="仿宋"/>
                <w:sz w:val="24"/>
                <w:szCs w:val="24"/>
                <w:lang w:val="en-US" w:eastAsia="zh-CN" w:bidi="ar-SA"/>
              </w:rPr>
            </w:pPr>
            <w:r>
              <w:rPr>
                <w:color w:val="0B0B0B"/>
                <w:sz w:val="24"/>
                <w:szCs w:val="24"/>
              </w:rPr>
              <w:t>□</w:t>
            </w:r>
            <w:r>
              <w:rPr>
                <w:sz w:val="24"/>
                <w:szCs w:val="24"/>
              </w:rPr>
              <w:t>允许</w:t>
            </w:r>
            <w:r>
              <w:rPr>
                <w:sz w:val="24"/>
                <w:szCs w:val="24"/>
              </w:rPr>
              <w:tab/>
            </w:r>
            <w:r>
              <w:rPr>
                <w:rFonts w:hint="eastAsia" w:ascii="MS UI Gothic" w:hAnsi="MS UI Gothic" w:eastAsia="MS UI Gothic"/>
                <w:color w:val="0B0B0B"/>
                <w:sz w:val="24"/>
                <w:szCs w:val="24"/>
              </w:rPr>
              <w:t>☑</w:t>
            </w:r>
            <w:r>
              <w:rPr>
                <w:sz w:val="24"/>
                <w:szCs w:val="24"/>
              </w:rPr>
              <w:t>不允许</w:t>
            </w:r>
          </w:p>
        </w:tc>
      </w:tr>
      <w:tr w14:paraId="4554F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820" w:type="dxa"/>
            <w:vAlign w:val="top"/>
          </w:tcPr>
          <w:p w14:paraId="2B7531A6">
            <w:pPr>
              <w:pStyle w:val="15"/>
              <w:spacing w:before="163"/>
              <w:ind w:left="0" w:leftChars="0" w:right="298" w:rightChars="0"/>
              <w:jc w:val="right"/>
              <w:rPr>
                <w:rFonts w:ascii="仿宋" w:hAnsi="仿宋" w:eastAsia="仿宋" w:cs="仿宋"/>
                <w:sz w:val="24"/>
                <w:szCs w:val="24"/>
                <w:lang w:val="en-US" w:eastAsia="zh-CN" w:bidi="ar-SA"/>
              </w:rPr>
            </w:pPr>
            <w:r>
              <w:rPr>
                <w:sz w:val="24"/>
                <w:szCs w:val="24"/>
              </w:rPr>
              <w:t>17</w:t>
            </w:r>
          </w:p>
        </w:tc>
        <w:tc>
          <w:tcPr>
            <w:tcW w:w="1826" w:type="dxa"/>
            <w:vAlign w:val="top"/>
          </w:tcPr>
          <w:p w14:paraId="28BC4595">
            <w:pPr>
              <w:pStyle w:val="15"/>
              <w:spacing w:before="10"/>
              <w:rPr>
                <w:b/>
                <w:sz w:val="24"/>
                <w:szCs w:val="24"/>
              </w:rPr>
            </w:pPr>
          </w:p>
          <w:p w14:paraId="795CF430">
            <w:pPr>
              <w:pStyle w:val="15"/>
              <w:spacing w:before="1"/>
              <w:ind w:left="79" w:leftChars="0" w:right="113" w:rightChars="0"/>
              <w:jc w:val="center"/>
              <w:rPr>
                <w:rFonts w:ascii="仿宋" w:hAnsi="仿宋" w:eastAsia="仿宋" w:cs="仿宋"/>
                <w:sz w:val="24"/>
                <w:szCs w:val="24"/>
                <w:lang w:val="en-US" w:eastAsia="zh-CN" w:bidi="ar-SA"/>
              </w:rPr>
            </w:pPr>
            <w:r>
              <w:rPr>
                <w:sz w:val="24"/>
                <w:szCs w:val="24"/>
              </w:rPr>
              <w:t>踏勘现场</w:t>
            </w:r>
          </w:p>
        </w:tc>
        <w:tc>
          <w:tcPr>
            <w:tcW w:w="7316" w:type="dxa"/>
            <w:vAlign w:val="top"/>
          </w:tcPr>
          <w:p w14:paraId="713E889E">
            <w:pPr>
              <w:pStyle w:val="15"/>
              <w:spacing w:before="3"/>
              <w:rPr>
                <w:b/>
                <w:sz w:val="24"/>
                <w:szCs w:val="24"/>
              </w:rPr>
            </w:pPr>
          </w:p>
          <w:p w14:paraId="1BD4155E">
            <w:pPr>
              <w:pStyle w:val="15"/>
              <w:tabs>
                <w:tab w:val="left" w:pos="2026"/>
              </w:tabs>
              <w:ind w:left="106" w:leftChars="0" w:right="0" w:rightChars="0"/>
              <w:rPr>
                <w:rFonts w:ascii="仿宋" w:hAnsi="仿宋" w:eastAsia="仿宋" w:cs="仿宋"/>
                <w:sz w:val="24"/>
                <w:szCs w:val="24"/>
                <w:lang w:val="en-US" w:eastAsia="zh-CN" w:bidi="ar-SA"/>
              </w:rPr>
            </w:pPr>
            <w:r>
              <w:rPr>
                <w:sz w:val="24"/>
                <w:szCs w:val="24"/>
              </w:rPr>
              <w:t>□组织</w:t>
            </w:r>
            <w:r>
              <w:rPr>
                <w:sz w:val="24"/>
                <w:szCs w:val="24"/>
              </w:rPr>
              <w:tab/>
            </w:r>
            <w:r>
              <w:rPr>
                <w:rFonts w:hint="eastAsia" w:ascii="MS UI Gothic" w:hAnsi="MS UI Gothic" w:eastAsia="MS UI Gothic"/>
                <w:sz w:val="24"/>
                <w:szCs w:val="24"/>
              </w:rPr>
              <w:t>☑</w:t>
            </w:r>
            <w:r>
              <w:rPr>
                <w:sz w:val="24"/>
                <w:szCs w:val="24"/>
              </w:rPr>
              <w:t>不组织</w:t>
            </w:r>
          </w:p>
        </w:tc>
      </w:tr>
      <w:tr w14:paraId="7C7BE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820" w:type="dxa"/>
            <w:vAlign w:val="top"/>
          </w:tcPr>
          <w:p w14:paraId="6D48400A">
            <w:pPr>
              <w:pStyle w:val="15"/>
              <w:spacing w:before="172"/>
              <w:ind w:left="0" w:leftChars="0" w:right="298" w:rightChars="0"/>
              <w:jc w:val="right"/>
              <w:rPr>
                <w:rFonts w:ascii="仿宋" w:hAnsi="仿宋" w:eastAsia="仿宋" w:cs="仿宋"/>
                <w:sz w:val="24"/>
                <w:szCs w:val="24"/>
                <w:lang w:val="en-US" w:eastAsia="zh-CN" w:bidi="ar-SA"/>
              </w:rPr>
            </w:pPr>
            <w:r>
              <w:rPr>
                <w:sz w:val="24"/>
                <w:szCs w:val="24"/>
              </w:rPr>
              <w:t>18</w:t>
            </w:r>
          </w:p>
        </w:tc>
        <w:tc>
          <w:tcPr>
            <w:tcW w:w="1826" w:type="dxa"/>
            <w:vAlign w:val="top"/>
          </w:tcPr>
          <w:p w14:paraId="56A58335">
            <w:pPr>
              <w:pStyle w:val="15"/>
              <w:spacing w:before="7"/>
              <w:rPr>
                <w:b/>
                <w:sz w:val="24"/>
                <w:szCs w:val="24"/>
              </w:rPr>
            </w:pPr>
          </w:p>
          <w:p w14:paraId="585AA030">
            <w:pPr>
              <w:pStyle w:val="15"/>
              <w:ind w:left="79" w:leftChars="0" w:right="113" w:rightChars="0"/>
              <w:jc w:val="center"/>
              <w:rPr>
                <w:rFonts w:ascii="仿宋" w:hAnsi="仿宋" w:eastAsia="仿宋" w:cs="仿宋"/>
                <w:sz w:val="24"/>
                <w:szCs w:val="24"/>
                <w:lang w:val="en-US" w:eastAsia="zh-CN" w:bidi="ar-SA"/>
              </w:rPr>
            </w:pPr>
            <w:r>
              <w:rPr>
                <w:sz w:val="24"/>
                <w:szCs w:val="24"/>
              </w:rPr>
              <w:t>分包转包</w:t>
            </w:r>
          </w:p>
        </w:tc>
        <w:tc>
          <w:tcPr>
            <w:tcW w:w="7316" w:type="dxa"/>
            <w:vAlign w:val="top"/>
          </w:tcPr>
          <w:p w14:paraId="0CA64445">
            <w:pPr>
              <w:pStyle w:val="15"/>
              <w:rPr>
                <w:b/>
                <w:sz w:val="24"/>
                <w:szCs w:val="24"/>
              </w:rPr>
            </w:pPr>
          </w:p>
          <w:p w14:paraId="64901FA0">
            <w:pPr>
              <w:pStyle w:val="15"/>
              <w:ind w:left="154" w:leftChars="0" w:right="0" w:rightChars="0"/>
              <w:rPr>
                <w:rFonts w:ascii="仿宋" w:hAnsi="仿宋" w:eastAsia="仿宋" w:cs="仿宋"/>
                <w:sz w:val="24"/>
                <w:szCs w:val="24"/>
                <w:lang w:val="en-US" w:eastAsia="zh-CN" w:bidi="ar-SA"/>
              </w:rPr>
            </w:pPr>
            <w:r>
              <w:rPr>
                <w:sz w:val="24"/>
                <w:szCs w:val="24"/>
              </w:rPr>
              <w:t>不允许</w:t>
            </w:r>
          </w:p>
        </w:tc>
      </w:tr>
      <w:tr w14:paraId="061E4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820" w:type="dxa"/>
            <w:vAlign w:val="top"/>
          </w:tcPr>
          <w:p w14:paraId="02AA19D1">
            <w:pPr>
              <w:pStyle w:val="15"/>
              <w:spacing w:before="180"/>
              <w:ind w:left="0" w:leftChars="0" w:right="298" w:rightChars="0"/>
              <w:jc w:val="right"/>
              <w:rPr>
                <w:rFonts w:ascii="仿宋" w:hAnsi="仿宋" w:eastAsia="仿宋" w:cs="仿宋"/>
                <w:sz w:val="24"/>
                <w:szCs w:val="24"/>
                <w:lang w:val="en-US" w:eastAsia="zh-CN" w:bidi="ar-SA"/>
              </w:rPr>
            </w:pPr>
            <w:r>
              <w:rPr>
                <w:sz w:val="24"/>
                <w:szCs w:val="24"/>
              </w:rPr>
              <w:t>19</w:t>
            </w:r>
          </w:p>
        </w:tc>
        <w:tc>
          <w:tcPr>
            <w:tcW w:w="1826" w:type="dxa"/>
            <w:vAlign w:val="top"/>
          </w:tcPr>
          <w:p w14:paraId="1E745F40">
            <w:pPr>
              <w:pStyle w:val="15"/>
              <w:spacing w:before="167"/>
              <w:ind w:left="122" w:leftChars="0" w:right="111" w:rightChars="0"/>
              <w:jc w:val="center"/>
              <w:rPr>
                <w:rFonts w:ascii="仿宋" w:hAnsi="仿宋" w:eastAsia="仿宋" w:cs="仿宋"/>
                <w:sz w:val="24"/>
                <w:szCs w:val="24"/>
                <w:lang w:val="en-US" w:eastAsia="zh-CN" w:bidi="ar-SA"/>
              </w:rPr>
            </w:pPr>
            <w:r>
              <w:rPr>
                <w:sz w:val="24"/>
                <w:szCs w:val="24"/>
              </w:rPr>
              <w:t>投标有效期</w:t>
            </w:r>
          </w:p>
        </w:tc>
        <w:tc>
          <w:tcPr>
            <w:tcW w:w="7316" w:type="dxa"/>
            <w:vAlign w:val="top"/>
          </w:tcPr>
          <w:p w14:paraId="503594B2">
            <w:pPr>
              <w:pStyle w:val="15"/>
              <w:spacing w:before="167"/>
              <w:ind w:left="216" w:leftChars="0" w:right="0" w:rightChars="0"/>
              <w:rPr>
                <w:rFonts w:ascii="仿宋" w:hAnsi="仿宋" w:eastAsia="仿宋" w:cs="仿宋"/>
                <w:sz w:val="24"/>
                <w:szCs w:val="24"/>
                <w:lang w:val="en-US" w:eastAsia="zh-CN" w:bidi="ar-SA"/>
              </w:rPr>
            </w:pPr>
            <w:r>
              <w:rPr>
                <w:sz w:val="24"/>
                <w:szCs w:val="24"/>
              </w:rPr>
              <w:t>60 日历天（从投标截止之日算起）。</w:t>
            </w:r>
          </w:p>
        </w:tc>
      </w:tr>
      <w:tr w14:paraId="57B78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820" w:type="dxa"/>
            <w:vAlign w:val="top"/>
          </w:tcPr>
          <w:p w14:paraId="20382E94">
            <w:pPr>
              <w:pStyle w:val="15"/>
              <w:rPr>
                <w:b/>
                <w:sz w:val="24"/>
                <w:szCs w:val="24"/>
              </w:rPr>
            </w:pPr>
          </w:p>
          <w:p w14:paraId="6D59C9ED">
            <w:pPr>
              <w:pStyle w:val="15"/>
              <w:spacing w:before="170"/>
              <w:ind w:left="0" w:leftChars="0" w:right="298" w:rightChars="0"/>
              <w:jc w:val="right"/>
              <w:rPr>
                <w:rFonts w:ascii="仿宋" w:hAnsi="仿宋" w:eastAsia="仿宋" w:cs="仿宋"/>
                <w:sz w:val="24"/>
                <w:szCs w:val="24"/>
                <w:lang w:val="en-US" w:eastAsia="zh-CN" w:bidi="ar-SA"/>
              </w:rPr>
            </w:pPr>
            <w:r>
              <w:rPr>
                <w:sz w:val="24"/>
                <w:szCs w:val="24"/>
              </w:rPr>
              <w:t>20</w:t>
            </w:r>
          </w:p>
        </w:tc>
        <w:tc>
          <w:tcPr>
            <w:tcW w:w="1826" w:type="dxa"/>
            <w:vAlign w:val="top"/>
          </w:tcPr>
          <w:p w14:paraId="2CAE5457">
            <w:pPr>
              <w:pStyle w:val="15"/>
              <w:spacing w:before="4"/>
              <w:rPr>
                <w:b/>
                <w:sz w:val="24"/>
                <w:szCs w:val="24"/>
              </w:rPr>
            </w:pPr>
          </w:p>
          <w:p w14:paraId="4F11FD00">
            <w:pPr>
              <w:pStyle w:val="15"/>
              <w:ind w:left="122" w:leftChars="0" w:right="113" w:rightChars="0"/>
              <w:jc w:val="center"/>
              <w:rPr>
                <w:rFonts w:ascii="仿宋" w:hAnsi="仿宋" w:eastAsia="仿宋" w:cs="仿宋"/>
                <w:sz w:val="24"/>
                <w:szCs w:val="24"/>
                <w:lang w:val="en-US" w:eastAsia="zh-CN" w:bidi="ar-SA"/>
              </w:rPr>
            </w:pPr>
            <w:r>
              <w:rPr>
                <w:color w:val="0B0B0B"/>
                <w:sz w:val="24"/>
                <w:szCs w:val="24"/>
              </w:rPr>
              <w:t>最高限价</w:t>
            </w:r>
          </w:p>
        </w:tc>
        <w:tc>
          <w:tcPr>
            <w:tcW w:w="7316" w:type="dxa"/>
            <w:vAlign w:val="top"/>
          </w:tcPr>
          <w:p w14:paraId="40B790AA">
            <w:pPr>
              <w:pStyle w:val="15"/>
              <w:spacing w:before="187" w:line="398" w:lineRule="auto"/>
              <w:ind w:left="106" w:right="155"/>
              <w:jc w:val="both"/>
              <w:rPr>
                <w:sz w:val="24"/>
                <w:szCs w:val="24"/>
                <w:lang w:val="en-US" w:eastAsia="zh-CN"/>
              </w:rPr>
            </w:pPr>
            <w:r>
              <w:rPr>
                <w:sz w:val="24"/>
                <w:szCs w:val="24"/>
              </w:rPr>
              <w:t>本次招标控制价：492 万元（肆佰玖拾贰万元整） 投标总报价超过采购控制价的按废标处理。</w:t>
            </w:r>
          </w:p>
        </w:tc>
      </w:tr>
      <w:tr w14:paraId="53928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820" w:type="dxa"/>
            <w:vAlign w:val="top"/>
          </w:tcPr>
          <w:p w14:paraId="1A4405EE">
            <w:pPr>
              <w:pStyle w:val="15"/>
              <w:rPr>
                <w:b/>
                <w:sz w:val="24"/>
                <w:szCs w:val="24"/>
              </w:rPr>
            </w:pPr>
          </w:p>
          <w:p w14:paraId="52C51509">
            <w:pPr>
              <w:pStyle w:val="15"/>
              <w:rPr>
                <w:b/>
                <w:sz w:val="24"/>
                <w:szCs w:val="24"/>
              </w:rPr>
            </w:pPr>
          </w:p>
          <w:p w14:paraId="2E88B224">
            <w:pPr>
              <w:pStyle w:val="15"/>
              <w:spacing w:before="1"/>
              <w:rPr>
                <w:b/>
                <w:sz w:val="24"/>
                <w:szCs w:val="24"/>
              </w:rPr>
            </w:pPr>
          </w:p>
          <w:p w14:paraId="5B8D457D">
            <w:pPr>
              <w:pStyle w:val="15"/>
              <w:spacing w:before="1"/>
              <w:ind w:left="0" w:leftChars="0" w:right="298" w:rightChars="0"/>
              <w:jc w:val="right"/>
              <w:rPr>
                <w:rFonts w:ascii="仿宋" w:hAnsi="仿宋" w:eastAsia="仿宋" w:cs="仿宋"/>
                <w:sz w:val="24"/>
                <w:szCs w:val="24"/>
                <w:lang w:val="en-US" w:eastAsia="zh-CN" w:bidi="ar-SA"/>
              </w:rPr>
            </w:pPr>
            <w:r>
              <w:rPr>
                <w:sz w:val="24"/>
                <w:szCs w:val="24"/>
              </w:rPr>
              <w:t>21</w:t>
            </w:r>
          </w:p>
        </w:tc>
        <w:tc>
          <w:tcPr>
            <w:tcW w:w="1826" w:type="dxa"/>
            <w:vAlign w:val="top"/>
          </w:tcPr>
          <w:p w14:paraId="6707F04A">
            <w:pPr>
              <w:pStyle w:val="15"/>
              <w:rPr>
                <w:b/>
                <w:sz w:val="24"/>
                <w:szCs w:val="24"/>
              </w:rPr>
            </w:pPr>
          </w:p>
          <w:p w14:paraId="153AA6AE">
            <w:pPr>
              <w:pStyle w:val="15"/>
              <w:spacing w:before="12"/>
              <w:rPr>
                <w:b/>
                <w:sz w:val="24"/>
                <w:szCs w:val="24"/>
              </w:rPr>
            </w:pPr>
          </w:p>
          <w:p w14:paraId="2CF6DD9B">
            <w:pPr>
              <w:pStyle w:val="15"/>
              <w:ind w:left="252"/>
              <w:rPr>
                <w:sz w:val="24"/>
                <w:szCs w:val="24"/>
              </w:rPr>
            </w:pPr>
            <w:r>
              <w:rPr>
                <w:spacing w:val="-3"/>
                <w:sz w:val="24"/>
                <w:szCs w:val="24"/>
              </w:rPr>
              <w:t>投标截止时间</w:t>
            </w:r>
          </w:p>
          <w:p w14:paraId="78E0B0E9">
            <w:pPr>
              <w:pStyle w:val="15"/>
              <w:spacing w:before="186"/>
              <w:ind w:left="252" w:leftChars="0" w:right="0" w:rightChars="0"/>
              <w:rPr>
                <w:rFonts w:ascii="仿宋" w:hAnsi="仿宋" w:eastAsia="仿宋" w:cs="仿宋"/>
                <w:sz w:val="24"/>
                <w:szCs w:val="24"/>
                <w:lang w:val="en-US" w:eastAsia="zh-CN" w:bidi="ar-SA"/>
              </w:rPr>
            </w:pPr>
            <w:r>
              <w:rPr>
                <w:spacing w:val="-1"/>
                <w:sz w:val="24"/>
                <w:szCs w:val="24"/>
              </w:rPr>
              <w:t>（</w:t>
            </w:r>
            <w:r>
              <w:rPr>
                <w:spacing w:val="-3"/>
                <w:sz w:val="24"/>
                <w:szCs w:val="24"/>
              </w:rPr>
              <w:t>开标时间</w:t>
            </w:r>
            <w:r>
              <w:rPr>
                <w:sz w:val="24"/>
                <w:szCs w:val="24"/>
              </w:rPr>
              <w:t>）</w:t>
            </w:r>
          </w:p>
        </w:tc>
        <w:tc>
          <w:tcPr>
            <w:tcW w:w="7316" w:type="dxa"/>
            <w:vAlign w:val="top"/>
          </w:tcPr>
          <w:p w14:paraId="3AE5AB1E">
            <w:pPr>
              <w:pStyle w:val="15"/>
              <w:spacing w:before="187" w:line="398" w:lineRule="auto"/>
              <w:ind w:left="106" w:right="155"/>
              <w:jc w:val="both"/>
              <w:rPr>
                <w:sz w:val="24"/>
                <w:szCs w:val="24"/>
              </w:rPr>
            </w:pPr>
            <w:r>
              <w:rPr>
                <w:sz w:val="24"/>
                <w:szCs w:val="24"/>
              </w:rPr>
              <w:t>截止时间：</w:t>
            </w:r>
            <w:r>
              <w:rPr>
                <w:rFonts w:hint="eastAsia"/>
                <w:sz w:val="24"/>
                <w:szCs w:val="24"/>
                <w:lang w:eastAsia="zh-CN"/>
              </w:rPr>
              <w:t xml:space="preserve"> 2025年07月11日16：30</w:t>
            </w:r>
            <w:r>
              <w:rPr>
                <w:sz w:val="24"/>
                <w:szCs w:val="24"/>
              </w:rPr>
              <w:t>（北京时间） 本招标文件如截止时间出现前后不一致处以本截止时间为准</w:t>
            </w:r>
          </w:p>
          <w:p w14:paraId="2201B6F1">
            <w:pPr>
              <w:pStyle w:val="15"/>
              <w:spacing w:before="187" w:line="398" w:lineRule="auto"/>
              <w:ind w:left="106" w:right="155"/>
              <w:jc w:val="both"/>
              <w:rPr>
                <w:sz w:val="24"/>
                <w:szCs w:val="24"/>
                <w:lang w:val="en-US" w:eastAsia="zh-CN"/>
              </w:rPr>
            </w:pPr>
            <w:r>
              <w:rPr>
                <w:sz w:val="24"/>
                <w:szCs w:val="24"/>
              </w:rPr>
              <w:t xml:space="preserve">投标文件递交至:政采云平台 </w:t>
            </w:r>
            <w:r>
              <w:rPr>
                <w:sz w:val="24"/>
                <w:szCs w:val="24"/>
              </w:rPr>
              <w:fldChar w:fldCharType="begin"/>
            </w:r>
            <w:r>
              <w:rPr>
                <w:sz w:val="24"/>
                <w:szCs w:val="24"/>
              </w:rPr>
              <w:instrText xml:space="preserve"> HYPERLINK "http://www.zcygov.cn/" \h </w:instrText>
            </w:r>
            <w:r>
              <w:rPr>
                <w:sz w:val="24"/>
                <w:szCs w:val="24"/>
              </w:rPr>
              <w:fldChar w:fldCharType="separate"/>
            </w:r>
            <w:r>
              <w:rPr>
                <w:sz w:val="24"/>
                <w:szCs w:val="24"/>
              </w:rPr>
              <w:t>http://www.zcygov.cn</w:t>
            </w:r>
            <w:r>
              <w:rPr>
                <w:sz w:val="24"/>
                <w:szCs w:val="24"/>
              </w:rPr>
              <w:fldChar w:fldCharType="end"/>
            </w:r>
            <w:r>
              <w:rPr>
                <w:sz w:val="24"/>
                <w:szCs w:val="24"/>
              </w:rPr>
              <w:t>，逾期上传的投标文件将被拒收。</w:t>
            </w:r>
          </w:p>
        </w:tc>
      </w:tr>
      <w:tr w14:paraId="1FEA7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820" w:type="dxa"/>
            <w:vAlign w:val="top"/>
          </w:tcPr>
          <w:p w14:paraId="1A5FC6ED">
            <w:pPr>
              <w:pStyle w:val="15"/>
              <w:rPr>
                <w:b/>
                <w:sz w:val="24"/>
                <w:szCs w:val="24"/>
              </w:rPr>
            </w:pPr>
          </w:p>
          <w:p w14:paraId="2DD914A0">
            <w:pPr>
              <w:pStyle w:val="15"/>
              <w:rPr>
                <w:b/>
                <w:sz w:val="24"/>
                <w:szCs w:val="24"/>
              </w:rPr>
            </w:pPr>
          </w:p>
          <w:p w14:paraId="6E4CD956">
            <w:pPr>
              <w:pStyle w:val="15"/>
              <w:rPr>
                <w:b/>
                <w:sz w:val="24"/>
                <w:szCs w:val="24"/>
              </w:rPr>
            </w:pPr>
          </w:p>
          <w:p w14:paraId="0BB628DC">
            <w:pPr>
              <w:pStyle w:val="15"/>
              <w:rPr>
                <w:b/>
                <w:sz w:val="24"/>
                <w:szCs w:val="24"/>
              </w:rPr>
            </w:pPr>
          </w:p>
          <w:p w14:paraId="124DEBFC">
            <w:pPr>
              <w:pStyle w:val="15"/>
              <w:rPr>
                <w:b/>
                <w:sz w:val="24"/>
                <w:szCs w:val="24"/>
              </w:rPr>
            </w:pPr>
          </w:p>
          <w:p w14:paraId="0C6DAC99">
            <w:pPr>
              <w:pStyle w:val="15"/>
              <w:rPr>
                <w:b/>
                <w:sz w:val="24"/>
                <w:szCs w:val="24"/>
              </w:rPr>
            </w:pPr>
          </w:p>
          <w:p w14:paraId="5AE879DE">
            <w:pPr>
              <w:pStyle w:val="15"/>
              <w:rPr>
                <w:b/>
                <w:sz w:val="24"/>
                <w:szCs w:val="24"/>
              </w:rPr>
            </w:pPr>
          </w:p>
          <w:p w14:paraId="3CE1414A">
            <w:pPr>
              <w:pStyle w:val="15"/>
              <w:rPr>
                <w:b/>
                <w:sz w:val="24"/>
                <w:szCs w:val="24"/>
              </w:rPr>
            </w:pPr>
          </w:p>
          <w:p w14:paraId="43B373FB">
            <w:pPr>
              <w:pStyle w:val="15"/>
              <w:rPr>
                <w:b/>
                <w:sz w:val="24"/>
                <w:szCs w:val="24"/>
              </w:rPr>
            </w:pPr>
          </w:p>
          <w:p w14:paraId="4387E78E">
            <w:pPr>
              <w:pStyle w:val="15"/>
              <w:rPr>
                <w:b/>
                <w:sz w:val="24"/>
                <w:szCs w:val="24"/>
              </w:rPr>
            </w:pPr>
          </w:p>
          <w:p w14:paraId="2DB8CCC6">
            <w:pPr>
              <w:pStyle w:val="15"/>
              <w:rPr>
                <w:b/>
                <w:sz w:val="24"/>
                <w:szCs w:val="24"/>
              </w:rPr>
            </w:pPr>
          </w:p>
          <w:p w14:paraId="04DD9CB5">
            <w:pPr>
              <w:pStyle w:val="15"/>
              <w:spacing w:before="9"/>
              <w:rPr>
                <w:b/>
                <w:sz w:val="24"/>
                <w:szCs w:val="24"/>
              </w:rPr>
            </w:pPr>
          </w:p>
          <w:p w14:paraId="2DD8D098">
            <w:pPr>
              <w:pStyle w:val="15"/>
              <w:ind w:left="0" w:leftChars="0" w:right="298" w:rightChars="0"/>
              <w:jc w:val="right"/>
              <w:rPr>
                <w:rFonts w:ascii="仿宋" w:hAnsi="仿宋" w:eastAsia="仿宋" w:cs="仿宋"/>
                <w:sz w:val="24"/>
                <w:szCs w:val="24"/>
                <w:lang w:val="en-US" w:eastAsia="zh-CN" w:bidi="ar-SA"/>
              </w:rPr>
            </w:pPr>
            <w:r>
              <w:rPr>
                <w:sz w:val="24"/>
                <w:szCs w:val="24"/>
              </w:rPr>
              <w:t>22</w:t>
            </w:r>
          </w:p>
        </w:tc>
        <w:tc>
          <w:tcPr>
            <w:tcW w:w="1826" w:type="dxa"/>
            <w:vAlign w:val="top"/>
          </w:tcPr>
          <w:p w14:paraId="75121199">
            <w:pPr>
              <w:pStyle w:val="15"/>
              <w:rPr>
                <w:b/>
                <w:sz w:val="24"/>
                <w:szCs w:val="24"/>
              </w:rPr>
            </w:pPr>
          </w:p>
          <w:p w14:paraId="73C4804F">
            <w:pPr>
              <w:pStyle w:val="15"/>
              <w:rPr>
                <w:b/>
                <w:sz w:val="24"/>
                <w:szCs w:val="24"/>
              </w:rPr>
            </w:pPr>
          </w:p>
          <w:p w14:paraId="449446C5">
            <w:pPr>
              <w:pStyle w:val="15"/>
              <w:rPr>
                <w:b/>
                <w:sz w:val="24"/>
                <w:szCs w:val="24"/>
              </w:rPr>
            </w:pPr>
          </w:p>
          <w:p w14:paraId="023AED90">
            <w:pPr>
              <w:pStyle w:val="15"/>
              <w:rPr>
                <w:b/>
                <w:sz w:val="24"/>
                <w:szCs w:val="24"/>
              </w:rPr>
            </w:pPr>
          </w:p>
          <w:p w14:paraId="17B4E2A6">
            <w:pPr>
              <w:pStyle w:val="15"/>
              <w:rPr>
                <w:b/>
                <w:sz w:val="24"/>
                <w:szCs w:val="24"/>
              </w:rPr>
            </w:pPr>
          </w:p>
          <w:p w14:paraId="644A97CA">
            <w:pPr>
              <w:pStyle w:val="15"/>
              <w:rPr>
                <w:b/>
                <w:sz w:val="24"/>
                <w:szCs w:val="24"/>
              </w:rPr>
            </w:pPr>
          </w:p>
          <w:p w14:paraId="0E36764D">
            <w:pPr>
              <w:pStyle w:val="15"/>
              <w:rPr>
                <w:b/>
                <w:sz w:val="24"/>
                <w:szCs w:val="24"/>
              </w:rPr>
            </w:pPr>
          </w:p>
          <w:p w14:paraId="5B996F92">
            <w:pPr>
              <w:pStyle w:val="15"/>
              <w:spacing w:line="398" w:lineRule="auto"/>
              <w:ind w:right="570" w:rightChars="0"/>
              <w:jc w:val="center"/>
              <w:rPr>
                <w:rFonts w:ascii="仿宋" w:hAnsi="仿宋" w:eastAsia="仿宋" w:cs="仿宋"/>
                <w:sz w:val="24"/>
                <w:szCs w:val="24"/>
                <w:lang w:val="en-US" w:eastAsia="zh-CN" w:bidi="ar-SA"/>
              </w:rPr>
            </w:pPr>
            <w:r>
              <w:rPr>
                <w:sz w:val="24"/>
                <w:szCs w:val="24"/>
              </w:rPr>
              <w:t>投标保证金</w:t>
            </w:r>
          </w:p>
        </w:tc>
        <w:tc>
          <w:tcPr>
            <w:tcW w:w="7316" w:type="dxa"/>
            <w:vAlign w:val="top"/>
          </w:tcPr>
          <w:p w14:paraId="71F286E6">
            <w:pPr>
              <w:pStyle w:val="15"/>
              <w:spacing w:before="7"/>
              <w:rPr>
                <w:b/>
                <w:sz w:val="24"/>
                <w:szCs w:val="24"/>
              </w:rPr>
            </w:pPr>
          </w:p>
          <w:p w14:paraId="16D78F7F">
            <w:pPr>
              <w:pStyle w:val="15"/>
              <w:ind w:left="106"/>
              <w:jc w:val="both"/>
              <w:rPr>
                <w:sz w:val="24"/>
                <w:szCs w:val="24"/>
              </w:rPr>
            </w:pPr>
            <w:r>
              <w:rPr>
                <w:sz w:val="24"/>
                <w:szCs w:val="24"/>
              </w:rPr>
              <w:t>投标保证金的金额：60000 元（陆万元整）</w:t>
            </w:r>
          </w:p>
          <w:p w14:paraId="4FF1D910">
            <w:pPr>
              <w:pStyle w:val="15"/>
              <w:spacing w:before="186"/>
              <w:ind w:left="106"/>
              <w:jc w:val="both"/>
              <w:rPr>
                <w:sz w:val="24"/>
                <w:szCs w:val="24"/>
              </w:rPr>
            </w:pPr>
            <w:r>
              <w:rPr>
                <w:sz w:val="24"/>
                <w:szCs w:val="24"/>
              </w:rPr>
              <w:t>到账截止时间：</w:t>
            </w:r>
            <w:r>
              <w:rPr>
                <w:rFonts w:hint="eastAsia"/>
                <w:sz w:val="24"/>
                <w:szCs w:val="24"/>
                <w:lang w:eastAsia="zh-CN"/>
              </w:rPr>
              <w:t xml:space="preserve"> 2025年07月11日16：30</w:t>
            </w:r>
            <w:r>
              <w:rPr>
                <w:sz w:val="24"/>
                <w:szCs w:val="24"/>
              </w:rPr>
              <w:t>（北京时间）</w:t>
            </w:r>
          </w:p>
          <w:p w14:paraId="1EFC78C0">
            <w:pPr>
              <w:pStyle w:val="15"/>
              <w:spacing w:before="187" w:line="398" w:lineRule="auto"/>
              <w:ind w:left="106" w:right="155"/>
              <w:jc w:val="both"/>
              <w:rPr>
                <w:sz w:val="24"/>
                <w:szCs w:val="24"/>
              </w:rPr>
            </w:pPr>
            <w:r>
              <w:rPr>
                <w:sz w:val="24"/>
                <w:szCs w:val="24"/>
              </w:rPr>
              <w:t>保证金的提交：投标保证金的形式：支票、汇票、本票、网上银行支付或者金融机构、银行出具的保函、保证保险等非现金形式，转账汇款需从基本账户办理缴纳。投标保证金于投标截止时间（开标时间）之前缴纳（或开具），必须从投标人基本账户支出。</w:t>
            </w:r>
          </w:p>
          <w:p w14:paraId="6B280267">
            <w:pPr>
              <w:pStyle w:val="15"/>
              <w:ind w:left="106"/>
              <w:rPr>
                <w:sz w:val="24"/>
                <w:szCs w:val="24"/>
              </w:rPr>
            </w:pPr>
            <w:r>
              <w:rPr>
                <w:sz w:val="24"/>
                <w:szCs w:val="24"/>
              </w:rPr>
              <w:t>账户信息：</w:t>
            </w:r>
          </w:p>
          <w:p w14:paraId="28C70DC5">
            <w:pPr>
              <w:pStyle w:val="15"/>
              <w:spacing w:before="186"/>
              <w:ind w:left="106"/>
              <w:rPr>
                <w:sz w:val="24"/>
                <w:szCs w:val="24"/>
              </w:rPr>
            </w:pPr>
            <w:r>
              <w:rPr>
                <w:sz w:val="24"/>
                <w:szCs w:val="24"/>
              </w:rPr>
              <w:t>开户名称：新疆瀚展博源项目管理有限公司</w:t>
            </w:r>
          </w:p>
          <w:p w14:paraId="2FDBF7C0">
            <w:pPr>
              <w:pStyle w:val="15"/>
              <w:spacing w:before="186" w:line="398" w:lineRule="auto"/>
              <w:ind w:left="106" w:right="2135"/>
              <w:rPr>
                <w:sz w:val="24"/>
                <w:szCs w:val="24"/>
              </w:rPr>
            </w:pPr>
            <w:r>
              <w:rPr>
                <w:sz w:val="24"/>
                <w:szCs w:val="24"/>
              </w:rPr>
              <w:t>开户银行：中国农业发展银行阿勒泰地区分行营业部账 号 ：20365439900100000876741</w:t>
            </w:r>
          </w:p>
          <w:p w14:paraId="37439F7F">
            <w:pPr>
              <w:pStyle w:val="15"/>
              <w:spacing w:line="381" w:lineRule="auto"/>
              <w:ind w:left="106" w:leftChars="0" w:right="155" w:rightChars="0"/>
              <w:jc w:val="both"/>
              <w:rPr>
                <w:rFonts w:ascii="仿宋" w:hAnsi="仿宋" w:eastAsia="仿宋" w:cs="仿宋"/>
                <w:sz w:val="24"/>
                <w:szCs w:val="24"/>
                <w:lang w:val="en-US" w:eastAsia="zh-CN" w:bidi="ar-SA"/>
              </w:rPr>
            </w:pPr>
            <w:r>
              <w:rPr>
                <w:sz w:val="24"/>
                <w:szCs w:val="24"/>
              </w:rPr>
              <w:t>注：1、投标保证金的缴纳：投标保证金须在投标文件接收截止时间前办理完成，否则其投标文件将被拒绝评审，投标人提交投标保证金应充分考虑相关时间。2、汇款单上请注明项目名称及编号以便核对。</w:t>
            </w:r>
          </w:p>
        </w:tc>
      </w:tr>
      <w:tr w14:paraId="39B1A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820" w:type="dxa"/>
            <w:vAlign w:val="top"/>
          </w:tcPr>
          <w:p w14:paraId="5B938C9B">
            <w:pPr>
              <w:pStyle w:val="15"/>
              <w:spacing w:before="6"/>
              <w:rPr>
                <w:b/>
                <w:sz w:val="24"/>
                <w:szCs w:val="24"/>
              </w:rPr>
            </w:pPr>
          </w:p>
          <w:p w14:paraId="15EAB5C8">
            <w:pPr>
              <w:pStyle w:val="15"/>
              <w:ind w:left="0" w:leftChars="0" w:right="287" w:rightChars="0"/>
              <w:jc w:val="right"/>
              <w:rPr>
                <w:rFonts w:ascii="仿宋" w:hAnsi="仿宋" w:eastAsia="仿宋" w:cs="仿宋"/>
                <w:sz w:val="24"/>
                <w:szCs w:val="24"/>
                <w:lang w:val="en-US" w:eastAsia="zh-CN" w:bidi="ar-SA"/>
              </w:rPr>
            </w:pPr>
            <w:r>
              <w:rPr>
                <w:sz w:val="24"/>
                <w:szCs w:val="24"/>
              </w:rPr>
              <w:t>23</w:t>
            </w:r>
          </w:p>
        </w:tc>
        <w:tc>
          <w:tcPr>
            <w:tcW w:w="1826" w:type="dxa"/>
            <w:vAlign w:val="top"/>
          </w:tcPr>
          <w:p w14:paraId="3013DE42">
            <w:pPr>
              <w:pStyle w:val="15"/>
              <w:spacing w:before="94"/>
              <w:ind w:left="122" w:right="113"/>
              <w:jc w:val="center"/>
              <w:rPr>
                <w:sz w:val="24"/>
                <w:szCs w:val="24"/>
              </w:rPr>
            </w:pPr>
            <w:r>
              <w:rPr>
                <w:sz w:val="24"/>
                <w:szCs w:val="24"/>
              </w:rPr>
              <w:t>是否允许递交备</w:t>
            </w:r>
          </w:p>
          <w:p w14:paraId="68DB880D">
            <w:pPr>
              <w:pStyle w:val="15"/>
              <w:spacing w:before="186"/>
              <w:ind w:left="122" w:leftChars="0" w:right="111" w:rightChars="0"/>
              <w:jc w:val="center"/>
              <w:rPr>
                <w:rFonts w:ascii="仿宋" w:hAnsi="仿宋" w:eastAsia="仿宋" w:cs="仿宋"/>
                <w:sz w:val="24"/>
                <w:szCs w:val="24"/>
                <w:lang w:val="en-US" w:eastAsia="zh-CN" w:bidi="ar-SA"/>
              </w:rPr>
            </w:pPr>
            <w:r>
              <w:rPr>
                <w:sz w:val="24"/>
                <w:szCs w:val="24"/>
              </w:rPr>
              <w:t>选投标方案</w:t>
            </w:r>
          </w:p>
        </w:tc>
        <w:tc>
          <w:tcPr>
            <w:tcW w:w="7316" w:type="dxa"/>
            <w:vAlign w:val="top"/>
          </w:tcPr>
          <w:p w14:paraId="12F077B5">
            <w:pPr>
              <w:pStyle w:val="15"/>
              <w:spacing w:before="81"/>
              <w:ind w:left="106"/>
              <w:rPr>
                <w:sz w:val="24"/>
                <w:szCs w:val="24"/>
              </w:rPr>
            </w:pPr>
            <w:r>
              <w:rPr>
                <w:rFonts w:hint="eastAsia" w:ascii="MS UI Gothic" w:hAnsi="MS UI Gothic" w:eastAsia="MS UI Gothic"/>
                <w:spacing w:val="-1"/>
                <w:sz w:val="24"/>
                <w:szCs w:val="24"/>
              </w:rPr>
              <w:t>☑</w:t>
            </w:r>
            <w:r>
              <w:rPr>
                <w:spacing w:val="-2"/>
                <w:sz w:val="24"/>
                <w:szCs w:val="24"/>
              </w:rPr>
              <w:t>不允许</w:t>
            </w:r>
          </w:p>
          <w:p w14:paraId="0FEA8728">
            <w:pPr>
              <w:pStyle w:val="15"/>
              <w:tabs>
                <w:tab w:val="left" w:pos="766"/>
              </w:tabs>
              <w:spacing w:before="173"/>
              <w:ind w:left="106" w:leftChars="0" w:right="0" w:rightChars="0"/>
              <w:rPr>
                <w:rFonts w:ascii="仿宋" w:hAnsi="仿宋" w:eastAsia="仿宋" w:cs="仿宋"/>
                <w:sz w:val="24"/>
                <w:szCs w:val="24"/>
                <w:lang w:val="en-US" w:eastAsia="zh-CN" w:bidi="ar-SA"/>
              </w:rPr>
            </w:pPr>
            <w:r>
              <w:rPr>
                <w:sz w:val="24"/>
                <w:szCs w:val="24"/>
              </w:rPr>
              <w:t>□允</w:t>
            </w:r>
            <w:r>
              <w:rPr>
                <w:sz w:val="24"/>
                <w:szCs w:val="24"/>
              </w:rPr>
              <w:tab/>
            </w:r>
            <w:r>
              <w:rPr>
                <w:sz w:val="24"/>
                <w:szCs w:val="24"/>
              </w:rPr>
              <w:t>许</w:t>
            </w:r>
          </w:p>
        </w:tc>
      </w:tr>
      <w:tr w14:paraId="39194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820" w:type="dxa"/>
            <w:vAlign w:val="top"/>
          </w:tcPr>
          <w:p w14:paraId="5D0CB4E5">
            <w:pPr>
              <w:pStyle w:val="15"/>
              <w:spacing w:before="8"/>
              <w:rPr>
                <w:b/>
                <w:sz w:val="24"/>
                <w:szCs w:val="24"/>
              </w:rPr>
            </w:pPr>
          </w:p>
          <w:p w14:paraId="604591B3">
            <w:pPr>
              <w:pStyle w:val="15"/>
              <w:ind w:left="0" w:leftChars="0" w:right="287" w:rightChars="0"/>
              <w:jc w:val="right"/>
              <w:rPr>
                <w:rFonts w:ascii="仿宋" w:hAnsi="仿宋" w:eastAsia="仿宋" w:cs="仿宋"/>
                <w:sz w:val="24"/>
                <w:szCs w:val="24"/>
                <w:lang w:val="en-US" w:eastAsia="zh-CN" w:bidi="ar-SA"/>
              </w:rPr>
            </w:pPr>
            <w:r>
              <w:rPr>
                <w:sz w:val="24"/>
                <w:szCs w:val="24"/>
              </w:rPr>
              <w:t>24</w:t>
            </w:r>
          </w:p>
        </w:tc>
        <w:tc>
          <w:tcPr>
            <w:tcW w:w="1826" w:type="dxa"/>
            <w:vAlign w:val="top"/>
          </w:tcPr>
          <w:p w14:paraId="54EF4F0E">
            <w:pPr>
              <w:pStyle w:val="15"/>
              <w:spacing w:before="93"/>
              <w:ind w:left="122" w:right="113"/>
              <w:jc w:val="center"/>
              <w:rPr>
                <w:sz w:val="24"/>
                <w:szCs w:val="24"/>
              </w:rPr>
            </w:pPr>
            <w:r>
              <w:rPr>
                <w:sz w:val="24"/>
                <w:szCs w:val="24"/>
              </w:rPr>
              <w:t>递交投标文件</w:t>
            </w:r>
          </w:p>
          <w:p w14:paraId="482BF812">
            <w:pPr>
              <w:pStyle w:val="15"/>
              <w:spacing w:before="187"/>
              <w:ind w:left="122" w:leftChars="0" w:right="113" w:rightChars="0"/>
              <w:jc w:val="center"/>
              <w:rPr>
                <w:rFonts w:ascii="仿宋" w:hAnsi="仿宋" w:eastAsia="仿宋" w:cs="仿宋"/>
                <w:sz w:val="24"/>
                <w:szCs w:val="24"/>
                <w:lang w:val="en-US" w:eastAsia="zh-CN" w:bidi="ar-SA"/>
              </w:rPr>
            </w:pPr>
            <w:r>
              <w:rPr>
                <w:sz w:val="24"/>
                <w:szCs w:val="24"/>
              </w:rPr>
              <w:t>地点</w:t>
            </w:r>
          </w:p>
        </w:tc>
        <w:tc>
          <w:tcPr>
            <w:tcW w:w="7316" w:type="dxa"/>
            <w:vAlign w:val="top"/>
          </w:tcPr>
          <w:p w14:paraId="60795ACA">
            <w:pPr>
              <w:pStyle w:val="15"/>
              <w:spacing w:before="8"/>
              <w:rPr>
                <w:b/>
                <w:sz w:val="24"/>
                <w:szCs w:val="24"/>
              </w:rPr>
            </w:pPr>
          </w:p>
          <w:p w14:paraId="07CEF0D3">
            <w:pPr>
              <w:pStyle w:val="15"/>
              <w:ind w:left="106" w:leftChars="0" w:right="0" w:rightChars="0"/>
              <w:rPr>
                <w:rFonts w:ascii="仿宋" w:hAnsi="仿宋" w:eastAsia="仿宋" w:cs="仿宋"/>
                <w:sz w:val="24"/>
                <w:szCs w:val="24"/>
                <w:lang w:val="en-US" w:eastAsia="zh-CN" w:bidi="ar-SA"/>
              </w:rPr>
            </w:pPr>
            <w:r>
              <w:rPr>
                <w:sz w:val="24"/>
                <w:szCs w:val="24"/>
              </w:rPr>
              <w:t>投标地点：政采云平台</w:t>
            </w:r>
            <w:r>
              <w:rPr>
                <w:sz w:val="24"/>
                <w:szCs w:val="24"/>
              </w:rPr>
              <w:fldChar w:fldCharType="begin"/>
            </w:r>
            <w:r>
              <w:rPr>
                <w:sz w:val="24"/>
                <w:szCs w:val="24"/>
              </w:rPr>
              <w:instrText xml:space="preserve"> HYPERLINK "http://www.zcygov.cn/" \h </w:instrText>
            </w:r>
            <w:r>
              <w:rPr>
                <w:sz w:val="24"/>
                <w:szCs w:val="24"/>
              </w:rPr>
              <w:fldChar w:fldCharType="separate"/>
            </w:r>
            <w:r>
              <w:rPr>
                <w:sz w:val="24"/>
                <w:szCs w:val="24"/>
              </w:rPr>
              <w:t>http://www.zcygov.cn</w:t>
            </w:r>
            <w:r>
              <w:rPr>
                <w:sz w:val="24"/>
                <w:szCs w:val="24"/>
              </w:rPr>
              <w:fldChar w:fldCharType="end"/>
            </w:r>
          </w:p>
        </w:tc>
      </w:tr>
      <w:tr w14:paraId="71067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0" w:hRule="atLeast"/>
        </w:trPr>
        <w:tc>
          <w:tcPr>
            <w:tcW w:w="820" w:type="dxa"/>
          </w:tcPr>
          <w:p w14:paraId="29C5FEC7">
            <w:pPr>
              <w:pStyle w:val="15"/>
              <w:rPr>
                <w:b/>
                <w:sz w:val="24"/>
                <w:szCs w:val="24"/>
              </w:rPr>
            </w:pPr>
          </w:p>
          <w:p w14:paraId="67BAEE02">
            <w:pPr>
              <w:pStyle w:val="15"/>
              <w:rPr>
                <w:b/>
                <w:sz w:val="24"/>
                <w:szCs w:val="24"/>
              </w:rPr>
            </w:pPr>
          </w:p>
          <w:p w14:paraId="583182F4">
            <w:pPr>
              <w:pStyle w:val="15"/>
              <w:rPr>
                <w:b/>
                <w:sz w:val="24"/>
                <w:szCs w:val="24"/>
              </w:rPr>
            </w:pPr>
          </w:p>
          <w:p w14:paraId="1DC1F301">
            <w:pPr>
              <w:pStyle w:val="15"/>
              <w:rPr>
                <w:b/>
                <w:sz w:val="24"/>
                <w:szCs w:val="24"/>
              </w:rPr>
            </w:pPr>
          </w:p>
          <w:p w14:paraId="745C450C">
            <w:pPr>
              <w:pStyle w:val="15"/>
              <w:rPr>
                <w:b/>
                <w:sz w:val="24"/>
                <w:szCs w:val="24"/>
              </w:rPr>
            </w:pPr>
          </w:p>
          <w:p w14:paraId="7EC0A00F">
            <w:pPr>
              <w:pStyle w:val="15"/>
              <w:ind w:right="287"/>
              <w:jc w:val="right"/>
              <w:rPr>
                <w:sz w:val="24"/>
                <w:szCs w:val="24"/>
              </w:rPr>
            </w:pPr>
            <w:r>
              <w:rPr>
                <w:sz w:val="24"/>
                <w:szCs w:val="24"/>
              </w:rPr>
              <w:t>25</w:t>
            </w:r>
          </w:p>
        </w:tc>
        <w:tc>
          <w:tcPr>
            <w:tcW w:w="1826" w:type="dxa"/>
          </w:tcPr>
          <w:p w14:paraId="4CC9BB75">
            <w:pPr>
              <w:pStyle w:val="15"/>
              <w:rPr>
                <w:b/>
                <w:sz w:val="24"/>
                <w:szCs w:val="24"/>
              </w:rPr>
            </w:pPr>
          </w:p>
          <w:p w14:paraId="75C68153">
            <w:pPr>
              <w:pStyle w:val="15"/>
              <w:rPr>
                <w:b/>
                <w:sz w:val="24"/>
                <w:szCs w:val="24"/>
              </w:rPr>
            </w:pPr>
          </w:p>
          <w:p w14:paraId="4CF31796">
            <w:pPr>
              <w:pStyle w:val="15"/>
              <w:rPr>
                <w:b/>
                <w:sz w:val="24"/>
                <w:szCs w:val="24"/>
              </w:rPr>
            </w:pPr>
          </w:p>
          <w:p w14:paraId="3E2F9F5C">
            <w:pPr>
              <w:pStyle w:val="15"/>
              <w:rPr>
                <w:b/>
                <w:sz w:val="24"/>
                <w:szCs w:val="24"/>
              </w:rPr>
            </w:pPr>
          </w:p>
          <w:p w14:paraId="2DAF2E91">
            <w:pPr>
              <w:pStyle w:val="15"/>
              <w:rPr>
                <w:b/>
                <w:sz w:val="24"/>
                <w:szCs w:val="24"/>
              </w:rPr>
            </w:pPr>
          </w:p>
          <w:p w14:paraId="75F4B983">
            <w:pPr>
              <w:pStyle w:val="15"/>
              <w:ind w:left="252"/>
              <w:rPr>
                <w:sz w:val="24"/>
                <w:szCs w:val="24"/>
              </w:rPr>
            </w:pPr>
            <w:r>
              <w:rPr>
                <w:sz w:val="24"/>
                <w:szCs w:val="24"/>
              </w:rPr>
              <w:t>投标文件形式</w:t>
            </w:r>
          </w:p>
        </w:tc>
        <w:tc>
          <w:tcPr>
            <w:tcW w:w="7316" w:type="dxa"/>
          </w:tcPr>
          <w:p w14:paraId="075734C8">
            <w:pPr>
              <w:pStyle w:val="15"/>
              <w:spacing w:before="95" w:line="398" w:lineRule="auto"/>
              <w:ind w:left="106" w:right="155"/>
              <w:rPr>
                <w:sz w:val="24"/>
                <w:szCs w:val="24"/>
              </w:rPr>
            </w:pPr>
            <w:r>
              <w:rPr>
                <w:sz w:val="24"/>
                <w:szCs w:val="24"/>
              </w:rPr>
              <w:t>电子投标文件包括“电子加密投标文件”和“备份投标文件”，在投标文件编制完成后同时生成。</w:t>
            </w:r>
          </w:p>
          <w:p w14:paraId="013999A2">
            <w:pPr>
              <w:pStyle w:val="15"/>
              <w:spacing w:line="398" w:lineRule="auto"/>
              <w:ind w:left="106" w:right="95"/>
              <w:rPr>
                <w:sz w:val="24"/>
                <w:szCs w:val="24"/>
              </w:rPr>
            </w:pPr>
            <w:r>
              <w:rPr>
                <w:spacing w:val="-1"/>
                <w:sz w:val="24"/>
                <w:szCs w:val="24"/>
              </w:rPr>
              <w:t>1</w:t>
            </w:r>
            <w:r>
              <w:rPr>
                <w:spacing w:val="-9"/>
                <w:sz w:val="24"/>
                <w:szCs w:val="24"/>
              </w:rPr>
              <w:t>、“电子加密投标文件”是指通过“政采云电子交易客户端”完成投标文</w:t>
            </w:r>
            <w:r>
              <w:rPr>
                <w:spacing w:val="-3"/>
                <w:sz w:val="24"/>
                <w:szCs w:val="24"/>
              </w:rPr>
              <w:t>件编制后生成并加密的数据电文形式的投标文件。</w:t>
            </w:r>
          </w:p>
          <w:p w14:paraId="730D1A15">
            <w:pPr>
              <w:pStyle w:val="15"/>
              <w:spacing w:line="398" w:lineRule="auto"/>
              <w:ind w:left="106" w:right="95"/>
              <w:rPr>
                <w:sz w:val="24"/>
                <w:szCs w:val="24"/>
              </w:rPr>
            </w:pPr>
            <w:r>
              <w:rPr>
                <w:spacing w:val="-1"/>
                <w:sz w:val="24"/>
                <w:szCs w:val="24"/>
              </w:rPr>
              <w:t>2</w:t>
            </w:r>
            <w:r>
              <w:rPr>
                <w:spacing w:val="-9"/>
                <w:sz w:val="24"/>
                <w:szCs w:val="24"/>
              </w:rPr>
              <w:t>、“备份投标文件”是指与“电子加密投标文件”同时生成的数据电文形</w:t>
            </w:r>
            <w:r>
              <w:rPr>
                <w:spacing w:val="-3"/>
                <w:sz w:val="24"/>
                <w:szCs w:val="24"/>
              </w:rPr>
              <w:t>式的电子文件</w:t>
            </w:r>
            <w:r>
              <w:rPr>
                <w:sz w:val="24"/>
                <w:szCs w:val="24"/>
              </w:rPr>
              <w:t>（</w:t>
            </w:r>
            <w:r>
              <w:rPr>
                <w:spacing w:val="-3"/>
                <w:sz w:val="24"/>
                <w:szCs w:val="24"/>
              </w:rPr>
              <w:t>备份标书，用于供应商标书解密异常时应急使用</w:t>
            </w:r>
            <w:r>
              <w:rPr>
                <w:sz w:val="24"/>
                <w:szCs w:val="24"/>
              </w:rPr>
              <w:t>），其他</w:t>
            </w:r>
          </w:p>
          <w:p w14:paraId="3ADC1122">
            <w:pPr>
              <w:pStyle w:val="15"/>
              <w:ind w:left="106"/>
              <w:rPr>
                <w:sz w:val="24"/>
                <w:szCs w:val="24"/>
              </w:rPr>
            </w:pPr>
            <w:r>
              <w:rPr>
                <w:sz w:val="24"/>
                <w:szCs w:val="24"/>
              </w:rPr>
              <w:t>方式编制的备份投标文件视为无效备份投标文件。</w:t>
            </w:r>
          </w:p>
        </w:tc>
      </w:tr>
      <w:tr w14:paraId="488A3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4" w:hRule="atLeast"/>
        </w:trPr>
        <w:tc>
          <w:tcPr>
            <w:tcW w:w="820" w:type="dxa"/>
          </w:tcPr>
          <w:p w14:paraId="7964C2AE">
            <w:pPr>
              <w:pStyle w:val="15"/>
              <w:rPr>
                <w:b/>
                <w:sz w:val="24"/>
                <w:szCs w:val="24"/>
              </w:rPr>
            </w:pPr>
          </w:p>
          <w:p w14:paraId="1FC1CDD3">
            <w:pPr>
              <w:pStyle w:val="15"/>
              <w:rPr>
                <w:b/>
                <w:sz w:val="24"/>
                <w:szCs w:val="24"/>
              </w:rPr>
            </w:pPr>
          </w:p>
          <w:p w14:paraId="621614CE">
            <w:pPr>
              <w:pStyle w:val="15"/>
              <w:rPr>
                <w:b/>
                <w:sz w:val="24"/>
                <w:szCs w:val="24"/>
              </w:rPr>
            </w:pPr>
          </w:p>
          <w:p w14:paraId="77F3F9BB">
            <w:pPr>
              <w:pStyle w:val="15"/>
              <w:rPr>
                <w:b/>
                <w:sz w:val="24"/>
                <w:szCs w:val="24"/>
              </w:rPr>
            </w:pPr>
          </w:p>
          <w:p w14:paraId="304F41A3">
            <w:pPr>
              <w:pStyle w:val="15"/>
              <w:rPr>
                <w:b/>
                <w:sz w:val="24"/>
                <w:szCs w:val="24"/>
              </w:rPr>
            </w:pPr>
          </w:p>
          <w:p w14:paraId="7F4024B7">
            <w:pPr>
              <w:pStyle w:val="15"/>
              <w:spacing w:before="1"/>
              <w:rPr>
                <w:b/>
                <w:sz w:val="24"/>
                <w:szCs w:val="24"/>
              </w:rPr>
            </w:pPr>
          </w:p>
          <w:p w14:paraId="72CA0C36">
            <w:pPr>
              <w:pStyle w:val="15"/>
              <w:ind w:right="287"/>
              <w:jc w:val="right"/>
              <w:rPr>
                <w:sz w:val="24"/>
                <w:szCs w:val="24"/>
              </w:rPr>
            </w:pPr>
            <w:r>
              <w:rPr>
                <w:sz w:val="24"/>
                <w:szCs w:val="24"/>
              </w:rPr>
              <w:t>26</w:t>
            </w:r>
          </w:p>
        </w:tc>
        <w:tc>
          <w:tcPr>
            <w:tcW w:w="1826" w:type="dxa"/>
          </w:tcPr>
          <w:p w14:paraId="1F9B3DE1">
            <w:pPr>
              <w:pStyle w:val="15"/>
              <w:rPr>
                <w:b/>
                <w:sz w:val="24"/>
                <w:szCs w:val="24"/>
              </w:rPr>
            </w:pPr>
          </w:p>
          <w:p w14:paraId="78F42F7D">
            <w:pPr>
              <w:pStyle w:val="15"/>
              <w:rPr>
                <w:b/>
                <w:sz w:val="24"/>
                <w:szCs w:val="24"/>
              </w:rPr>
            </w:pPr>
          </w:p>
          <w:p w14:paraId="3BCFCB5B">
            <w:pPr>
              <w:pStyle w:val="15"/>
              <w:rPr>
                <w:b/>
                <w:sz w:val="24"/>
                <w:szCs w:val="24"/>
              </w:rPr>
            </w:pPr>
          </w:p>
          <w:p w14:paraId="017AAA00">
            <w:pPr>
              <w:pStyle w:val="15"/>
              <w:rPr>
                <w:b/>
                <w:sz w:val="24"/>
                <w:szCs w:val="24"/>
              </w:rPr>
            </w:pPr>
          </w:p>
          <w:p w14:paraId="762C761D">
            <w:pPr>
              <w:pStyle w:val="15"/>
              <w:spacing w:before="12"/>
              <w:rPr>
                <w:b/>
                <w:sz w:val="24"/>
                <w:szCs w:val="24"/>
              </w:rPr>
            </w:pPr>
          </w:p>
          <w:p w14:paraId="3904E923">
            <w:pPr>
              <w:pStyle w:val="15"/>
              <w:spacing w:line="398" w:lineRule="auto"/>
              <w:ind w:left="691" w:right="130" w:hanging="550"/>
              <w:rPr>
                <w:sz w:val="24"/>
                <w:szCs w:val="24"/>
              </w:rPr>
            </w:pPr>
            <w:r>
              <w:rPr>
                <w:sz w:val="24"/>
                <w:szCs w:val="24"/>
              </w:rPr>
              <w:t>投标文件份数及要求</w:t>
            </w:r>
          </w:p>
        </w:tc>
        <w:tc>
          <w:tcPr>
            <w:tcW w:w="7316" w:type="dxa"/>
          </w:tcPr>
          <w:p w14:paraId="20F89E34">
            <w:pPr>
              <w:pStyle w:val="15"/>
              <w:spacing w:before="94" w:line="398" w:lineRule="auto"/>
              <w:ind w:left="106" w:right="155"/>
              <w:rPr>
                <w:sz w:val="24"/>
                <w:szCs w:val="24"/>
              </w:rPr>
            </w:pPr>
            <w:r>
              <w:rPr>
                <w:sz w:val="24"/>
                <w:szCs w:val="24"/>
              </w:rPr>
              <w:t>本项目采用不见面电子评标，投标文件在政采云平台线上递交，以下要求部分只针对开标后提供的纸质文件：</w:t>
            </w:r>
          </w:p>
          <w:p w14:paraId="7033D2F8">
            <w:pPr>
              <w:pStyle w:val="15"/>
              <w:spacing w:line="398" w:lineRule="auto"/>
              <w:ind w:left="106" w:right="3662"/>
              <w:rPr>
                <w:b/>
                <w:sz w:val="24"/>
                <w:szCs w:val="24"/>
              </w:rPr>
            </w:pPr>
            <w:r>
              <w:rPr>
                <w:b/>
                <w:sz w:val="24"/>
                <w:szCs w:val="24"/>
              </w:rPr>
              <w:t>正本一份，并标明“正本”字样。， 投标文件电子版（U 盘或光盘）一份</w:t>
            </w:r>
          </w:p>
          <w:p w14:paraId="182B70DC">
            <w:pPr>
              <w:pStyle w:val="15"/>
              <w:spacing w:before="1"/>
              <w:ind w:left="106"/>
              <w:rPr>
                <w:b/>
                <w:sz w:val="24"/>
                <w:szCs w:val="24"/>
              </w:rPr>
            </w:pPr>
            <w:r>
              <w:rPr>
                <w:b/>
                <w:sz w:val="24"/>
                <w:szCs w:val="24"/>
              </w:rPr>
              <w:t>副本二份，并标明“副本”字样（纸质版投标文件无需密封）</w:t>
            </w:r>
          </w:p>
          <w:p w14:paraId="2534859B">
            <w:pPr>
              <w:pStyle w:val="15"/>
              <w:spacing w:before="8" w:line="460" w:lineRule="atLeast"/>
              <w:ind w:left="106" w:right="-15"/>
              <w:rPr>
                <w:sz w:val="24"/>
                <w:szCs w:val="24"/>
              </w:rPr>
            </w:pPr>
            <w:r>
              <w:rPr>
                <w:spacing w:val="-19"/>
                <w:w w:val="100"/>
                <w:sz w:val="24"/>
                <w:szCs w:val="24"/>
              </w:rPr>
              <w:t>(本项目采用“电子开评标”，开标结束后提供纸制标书，送达至</w:t>
            </w:r>
            <w:r>
              <w:rPr>
                <w:spacing w:val="-1"/>
                <w:w w:val="100"/>
                <w:sz w:val="24"/>
                <w:szCs w:val="24"/>
              </w:rPr>
              <w:t>（</w:t>
            </w:r>
            <w:r>
              <w:rPr>
                <w:spacing w:val="-2"/>
                <w:w w:val="100"/>
                <w:sz w:val="24"/>
                <w:szCs w:val="24"/>
              </w:rPr>
              <w:t>或邮寄</w:t>
            </w:r>
            <w:r>
              <w:rPr>
                <w:spacing w:val="-111"/>
                <w:w w:val="100"/>
                <w:sz w:val="24"/>
                <w:szCs w:val="24"/>
              </w:rPr>
              <w:t>）</w:t>
            </w:r>
            <w:r>
              <w:rPr>
                <w:w w:val="100"/>
                <w:sz w:val="24"/>
                <w:szCs w:val="24"/>
              </w:rPr>
              <w:t>：</w:t>
            </w:r>
            <w:r>
              <w:rPr>
                <w:spacing w:val="-2"/>
                <w:sz w:val="24"/>
                <w:szCs w:val="24"/>
              </w:rPr>
              <w:t>新疆新疆阿勒泰地区阿勒泰市迎宾路克兰区</w:t>
            </w:r>
            <w:r>
              <w:rPr>
                <w:sz w:val="24"/>
                <w:szCs w:val="24"/>
              </w:rPr>
              <w:t>99</w:t>
            </w:r>
            <w:r>
              <w:rPr>
                <w:spacing w:val="-9"/>
                <w:sz w:val="24"/>
                <w:szCs w:val="24"/>
              </w:rPr>
              <w:t xml:space="preserve"> 号万驰广场</w:t>
            </w:r>
            <w:r>
              <w:rPr>
                <w:sz w:val="24"/>
                <w:szCs w:val="24"/>
              </w:rPr>
              <w:t>1</w:t>
            </w:r>
            <w:r>
              <w:rPr>
                <w:spacing w:val="-11"/>
                <w:sz w:val="24"/>
                <w:szCs w:val="24"/>
              </w:rPr>
              <w:t xml:space="preserve"> 栋十四层</w:t>
            </w:r>
            <w:r>
              <w:rPr>
                <w:sz w:val="24"/>
                <w:szCs w:val="24"/>
              </w:rPr>
              <w:t xml:space="preserve">1404 </w:t>
            </w:r>
            <w:r>
              <w:rPr>
                <w:spacing w:val="-3"/>
                <w:sz w:val="24"/>
                <w:szCs w:val="24"/>
              </w:rPr>
              <w:t>号，</w:t>
            </w:r>
            <w:r>
              <w:rPr>
                <w:rFonts w:hint="eastAsia"/>
                <w:spacing w:val="-3"/>
                <w:sz w:val="24"/>
                <w:szCs w:val="24"/>
                <w:lang w:val="en-US" w:eastAsia="zh-CN"/>
              </w:rPr>
              <w:t>高国青</w:t>
            </w:r>
            <w:r>
              <w:rPr>
                <w:spacing w:val="-3"/>
                <w:sz w:val="24"/>
                <w:szCs w:val="24"/>
              </w:rPr>
              <w:t>收</w:t>
            </w:r>
            <w:r>
              <w:rPr>
                <w:sz w:val="24"/>
                <w:szCs w:val="24"/>
              </w:rPr>
              <w:t>，</w:t>
            </w:r>
            <w:r>
              <w:rPr>
                <w:rFonts w:hint="eastAsia"/>
                <w:sz w:val="24"/>
                <w:szCs w:val="24"/>
                <w:lang w:val="en-US" w:eastAsia="zh-CN"/>
              </w:rPr>
              <w:t>15109063442</w:t>
            </w:r>
            <w:r>
              <w:rPr>
                <w:sz w:val="24"/>
                <w:szCs w:val="24"/>
              </w:rPr>
              <w:t>)</w:t>
            </w:r>
          </w:p>
        </w:tc>
      </w:tr>
      <w:tr w14:paraId="39978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820" w:type="dxa"/>
          </w:tcPr>
          <w:p w14:paraId="0003E614">
            <w:pPr>
              <w:pStyle w:val="15"/>
              <w:rPr>
                <w:b/>
                <w:sz w:val="24"/>
                <w:szCs w:val="24"/>
              </w:rPr>
            </w:pPr>
          </w:p>
          <w:p w14:paraId="6ECC7EE0">
            <w:pPr>
              <w:pStyle w:val="15"/>
              <w:rPr>
                <w:b/>
                <w:sz w:val="24"/>
                <w:szCs w:val="24"/>
              </w:rPr>
            </w:pPr>
          </w:p>
          <w:p w14:paraId="0C9881FE">
            <w:pPr>
              <w:pStyle w:val="15"/>
              <w:rPr>
                <w:b/>
                <w:sz w:val="24"/>
                <w:szCs w:val="24"/>
              </w:rPr>
            </w:pPr>
          </w:p>
          <w:p w14:paraId="385609EB">
            <w:pPr>
              <w:pStyle w:val="15"/>
              <w:spacing w:before="7"/>
              <w:rPr>
                <w:b/>
                <w:sz w:val="24"/>
                <w:szCs w:val="24"/>
              </w:rPr>
            </w:pPr>
          </w:p>
          <w:p w14:paraId="3CFAC639">
            <w:pPr>
              <w:pStyle w:val="15"/>
              <w:ind w:right="287"/>
              <w:jc w:val="right"/>
              <w:rPr>
                <w:sz w:val="24"/>
                <w:szCs w:val="24"/>
              </w:rPr>
            </w:pPr>
            <w:r>
              <w:rPr>
                <w:sz w:val="24"/>
                <w:szCs w:val="24"/>
              </w:rPr>
              <w:t>27</w:t>
            </w:r>
          </w:p>
        </w:tc>
        <w:tc>
          <w:tcPr>
            <w:tcW w:w="1826" w:type="dxa"/>
          </w:tcPr>
          <w:p w14:paraId="6AD285EF">
            <w:pPr>
              <w:pStyle w:val="15"/>
              <w:rPr>
                <w:b/>
                <w:sz w:val="24"/>
                <w:szCs w:val="24"/>
              </w:rPr>
            </w:pPr>
          </w:p>
          <w:p w14:paraId="2729F92E">
            <w:pPr>
              <w:pStyle w:val="15"/>
              <w:rPr>
                <w:b/>
                <w:sz w:val="24"/>
                <w:szCs w:val="24"/>
              </w:rPr>
            </w:pPr>
          </w:p>
          <w:p w14:paraId="39E12D52">
            <w:pPr>
              <w:pStyle w:val="15"/>
              <w:rPr>
                <w:b/>
                <w:sz w:val="24"/>
                <w:szCs w:val="24"/>
              </w:rPr>
            </w:pPr>
          </w:p>
          <w:p w14:paraId="6948311F">
            <w:pPr>
              <w:pStyle w:val="15"/>
              <w:spacing w:before="184" w:line="398" w:lineRule="auto"/>
              <w:ind w:left="362" w:right="349"/>
              <w:rPr>
                <w:sz w:val="24"/>
                <w:szCs w:val="24"/>
              </w:rPr>
            </w:pPr>
            <w:r>
              <w:rPr>
                <w:sz w:val="24"/>
                <w:szCs w:val="24"/>
              </w:rPr>
              <w:t>投标文件的上传和递交</w:t>
            </w:r>
          </w:p>
        </w:tc>
        <w:tc>
          <w:tcPr>
            <w:tcW w:w="7316" w:type="dxa"/>
          </w:tcPr>
          <w:p w14:paraId="090D02A5">
            <w:pPr>
              <w:pStyle w:val="15"/>
              <w:spacing w:before="94" w:line="398" w:lineRule="auto"/>
              <w:ind w:left="106" w:right="-15"/>
              <w:rPr>
                <w:sz w:val="24"/>
                <w:szCs w:val="24"/>
              </w:rPr>
            </w:pPr>
            <w:r>
              <w:rPr>
                <w:sz w:val="24"/>
                <w:szCs w:val="24"/>
              </w:rPr>
              <w:t>1</w:t>
            </w:r>
            <w:r>
              <w:rPr>
                <w:spacing w:val="-3"/>
                <w:sz w:val="24"/>
                <w:szCs w:val="24"/>
              </w:rPr>
              <w:t>.电子加密投标文件：投标文件制作完成并生成加密标书，在投标截止时</w:t>
            </w:r>
            <w:r>
              <w:rPr>
                <w:spacing w:val="-7"/>
                <w:sz w:val="24"/>
                <w:szCs w:val="24"/>
              </w:rPr>
              <w:t xml:space="preserve">间前，供应商需将加密的投标文件上传至政采云平台，在开标时间开始后， 待采购代理机构发出解密通知后 </w:t>
            </w:r>
            <w:r>
              <w:rPr>
                <w:sz w:val="24"/>
                <w:szCs w:val="24"/>
              </w:rPr>
              <w:t>30</w:t>
            </w:r>
            <w:r>
              <w:rPr>
                <w:spacing w:val="-12"/>
                <w:sz w:val="24"/>
                <w:szCs w:val="24"/>
              </w:rPr>
              <w:t xml:space="preserve"> 分钟内解密投标文件，出现一下情形投</w:t>
            </w:r>
            <w:r>
              <w:rPr>
                <w:spacing w:val="-5"/>
                <w:sz w:val="24"/>
                <w:szCs w:val="24"/>
              </w:rPr>
              <w:t>标无效：</w:t>
            </w:r>
          </w:p>
          <w:p w14:paraId="2584EC82">
            <w:pPr>
              <w:pStyle w:val="15"/>
              <w:numPr>
                <w:ilvl w:val="0"/>
                <w:numId w:val="4"/>
              </w:numPr>
              <w:tabs>
                <w:tab w:val="left" w:pos="329"/>
              </w:tabs>
              <w:spacing w:before="0" w:after="0" w:line="240" w:lineRule="auto"/>
              <w:ind w:left="328" w:right="0" w:hanging="223"/>
              <w:jc w:val="left"/>
              <w:rPr>
                <w:sz w:val="24"/>
                <w:szCs w:val="24"/>
              </w:rPr>
            </w:pPr>
            <w:r>
              <w:rPr>
                <w:spacing w:val="-3"/>
                <w:sz w:val="24"/>
                <w:szCs w:val="24"/>
              </w:rPr>
              <w:t>供应商未能在投标截止时间前成功上传电子加密投标文件的投标无效。</w:t>
            </w:r>
          </w:p>
          <w:p w14:paraId="66A64C77">
            <w:pPr>
              <w:pStyle w:val="15"/>
              <w:numPr>
                <w:ilvl w:val="0"/>
                <w:numId w:val="4"/>
              </w:numPr>
              <w:tabs>
                <w:tab w:val="left" w:pos="329"/>
              </w:tabs>
              <w:spacing w:before="186" w:after="0" w:line="240" w:lineRule="auto"/>
              <w:ind w:left="328" w:right="0" w:hanging="223"/>
              <w:jc w:val="left"/>
              <w:rPr>
                <w:sz w:val="24"/>
                <w:szCs w:val="24"/>
              </w:rPr>
            </w:pPr>
            <w:r>
              <w:rPr>
                <w:spacing w:val="-3"/>
                <w:sz w:val="24"/>
                <w:szCs w:val="24"/>
              </w:rPr>
              <w:t>供应商成功上传电子加密投标文件后，未能在规定的时间解密成功。</w:t>
            </w:r>
          </w:p>
        </w:tc>
      </w:tr>
      <w:tr w14:paraId="0E6D4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820" w:type="dxa"/>
          </w:tcPr>
          <w:p w14:paraId="60DE4394">
            <w:pPr>
              <w:pStyle w:val="15"/>
              <w:spacing w:before="8"/>
              <w:rPr>
                <w:b/>
                <w:sz w:val="24"/>
                <w:szCs w:val="24"/>
              </w:rPr>
            </w:pPr>
          </w:p>
          <w:p w14:paraId="339DEACA">
            <w:pPr>
              <w:pStyle w:val="15"/>
              <w:ind w:right="287"/>
              <w:jc w:val="right"/>
              <w:rPr>
                <w:sz w:val="24"/>
                <w:szCs w:val="24"/>
              </w:rPr>
            </w:pPr>
            <w:r>
              <w:rPr>
                <w:sz w:val="24"/>
                <w:szCs w:val="24"/>
              </w:rPr>
              <w:t>28</w:t>
            </w:r>
          </w:p>
        </w:tc>
        <w:tc>
          <w:tcPr>
            <w:tcW w:w="1826" w:type="dxa"/>
          </w:tcPr>
          <w:p w14:paraId="6BB269F8">
            <w:pPr>
              <w:pStyle w:val="15"/>
              <w:spacing w:before="11" w:line="440" w:lineRule="atLeast"/>
              <w:ind w:left="432" w:right="421"/>
              <w:rPr>
                <w:sz w:val="24"/>
                <w:szCs w:val="24"/>
              </w:rPr>
            </w:pPr>
            <w:r>
              <w:rPr>
                <w:sz w:val="24"/>
                <w:szCs w:val="24"/>
              </w:rPr>
              <w:t>是否退还投标文件</w:t>
            </w:r>
          </w:p>
        </w:tc>
        <w:tc>
          <w:tcPr>
            <w:tcW w:w="7316" w:type="dxa"/>
          </w:tcPr>
          <w:p w14:paraId="4F12A68A">
            <w:pPr>
              <w:pStyle w:val="15"/>
              <w:spacing w:before="12"/>
              <w:rPr>
                <w:b/>
                <w:sz w:val="24"/>
                <w:szCs w:val="24"/>
              </w:rPr>
            </w:pPr>
          </w:p>
          <w:p w14:paraId="635D1479">
            <w:pPr>
              <w:pStyle w:val="15"/>
              <w:tabs>
                <w:tab w:val="left" w:pos="1666"/>
              </w:tabs>
              <w:ind w:left="106"/>
              <w:rPr>
                <w:sz w:val="24"/>
                <w:szCs w:val="24"/>
              </w:rPr>
            </w:pPr>
            <w:r>
              <w:rPr>
                <w:sz w:val="24"/>
                <w:szCs w:val="24"/>
              </w:rPr>
              <w:t>□是</w:t>
            </w:r>
            <w:r>
              <w:rPr>
                <w:sz w:val="24"/>
                <w:szCs w:val="24"/>
              </w:rPr>
              <w:tab/>
            </w:r>
            <w:r>
              <w:rPr>
                <w:rFonts w:hint="eastAsia" w:ascii="MS UI Gothic" w:hAnsi="MS UI Gothic" w:eastAsia="MS UI Gothic"/>
                <w:sz w:val="24"/>
                <w:szCs w:val="24"/>
              </w:rPr>
              <w:t>☑</w:t>
            </w:r>
            <w:r>
              <w:rPr>
                <w:sz w:val="24"/>
                <w:szCs w:val="24"/>
              </w:rPr>
              <w:t>否</w:t>
            </w:r>
          </w:p>
        </w:tc>
      </w:tr>
      <w:tr w14:paraId="60215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820" w:type="dxa"/>
          </w:tcPr>
          <w:p w14:paraId="49873C88">
            <w:pPr>
              <w:pStyle w:val="15"/>
              <w:rPr>
                <w:b/>
                <w:sz w:val="24"/>
                <w:szCs w:val="24"/>
              </w:rPr>
            </w:pPr>
          </w:p>
          <w:p w14:paraId="01D4CEAD">
            <w:pPr>
              <w:pStyle w:val="15"/>
              <w:spacing w:before="10"/>
              <w:rPr>
                <w:b/>
                <w:sz w:val="24"/>
                <w:szCs w:val="24"/>
              </w:rPr>
            </w:pPr>
          </w:p>
          <w:p w14:paraId="3A3C9C35">
            <w:pPr>
              <w:pStyle w:val="15"/>
              <w:ind w:right="287"/>
              <w:jc w:val="right"/>
              <w:rPr>
                <w:sz w:val="24"/>
                <w:szCs w:val="24"/>
              </w:rPr>
            </w:pPr>
            <w:r>
              <w:rPr>
                <w:sz w:val="24"/>
                <w:szCs w:val="24"/>
              </w:rPr>
              <w:t>29</w:t>
            </w:r>
          </w:p>
        </w:tc>
        <w:tc>
          <w:tcPr>
            <w:tcW w:w="1826" w:type="dxa"/>
          </w:tcPr>
          <w:p w14:paraId="5096BEEB">
            <w:pPr>
              <w:pStyle w:val="15"/>
              <w:spacing w:before="8"/>
              <w:rPr>
                <w:b/>
                <w:sz w:val="24"/>
                <w:szCs w:val="24"/>
              </w:rPr>
            </w:pPr>
          </w:p>
          <w:p w14:paraId="39EFFB21">
            <w:pPr>
              <w:pStyle w:val="15"/>
              <w:spacing w:line="398" w:lineRule="auto"/>
              <w:ind w:left="583" w:right="349" w:hanging="221"/>
              <w:rPr>
                <w:sz w:val="24"/>
                <w:szCs w:val="24"/>
              </w:rPr>
            </w:pPr>
            <w:r>
              <w:rPr>
                <w:sz w:val="24"/>
                <w:szCs w:val="24"/>
              </w:rPr>
              <w:t>评标委员会的组建</w:t>
            </w:r>
          </w:p>
        </w:tc>
        <w:tc>
          <w:tcPr>
            <w:tcW w:w="7316" w:type="dxa"/>
          </w:tcPr>
          <w:p w14:paraId="48FFEEFF">
            <w:pPr>
              <w:pStyle w:val="15"/>
              <w:spacing w:before="93"/>
              <w:ind w:left="106"/>
              <w:rPr>
                <w:sz w:val="24"/>
                <w:szCs w:val="24"/>
              </w:rPr>
            </w:pPr>
            <w:r>
              <w:rPr>
                <w:sz w:val="24"/>
                <w:szCs w:val="24"/>
              </w:rPr>
              <w:t>评标委员会由采购人依法组建；</w:t>
            </w:r>
          </w:p>
          <w:p w14:paraId="7C732759">
            <w:pPr>
              <w:pStyle w:val="15"/>
              <w:spacing w:before="8" w:line="460" w:lineRule="atLeast"/>
              <w:ind w:left="106" w:right="155"/>
              <w:rPr>
                <w:sz w:val="24"/>
                <w:szCs w:val="24"/>
              </w:rPr>
            </w:pPr>
            <w:r>
              <w:rPr>
                <w:sz w:val="24"/>
                <w:szCs w:val="24"/>
              </w:rPr>
              <w:t>评标专家确定方式：专家评委由采购代理机构在开标前从阿勒泰地区政采云专家库中随机抽取。</w:t>
            </w:r>
          </w:p>
        </w:tc>
      </w:tr>
      <w:tr w14:paraId="76A98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820" w:type="dxa"/>
          </w:tcPr>
          <w:p w14:paraId="02FAF994">
            <w:pPr>
              <w:pStyle w:val="15"/>
              <w:spacing w:before="7"/>
              <w:rPr>
                <w:b/>
                <w:sz w:val="24"/>
                <w:szCs w:val="24"/>
              </w:rPr>
            </w:pPr>
          </w:p>
          <w:p w14:paraId="7FA4AF66">
            <w:pPr>
              <w:pStyle w:val="15"/>
              <w:ind w:right="287"/>
              <w:jc w:val="right"/>
              <w:rPr>
                <w:sz w:val="24"/>
                <w:szCs w:val="24"/>
              </w:rPr>
            </w:pPr>
            <w:r>
              <w:rPr>
                <w:sz w:val="24"/>
                <w:szCs w:val="24"/>
              </w:rPr>
              <w:t>30</w:t>
            </w:r>
          </w:p>
        </w:tc>
        <w:tc>
          <w:tcPr>
            <w:tcW w:w="1826" w:type="dxa"/>
          </w:tcPr>
          <w:p w14:paraId="648DF20C">
            <w:pPr>
              <w:pStyle w:val="15"/>
              <w:spacing w:before="95"/>
              <w:ind w:left="108"/>
              <w:rPr>
                <w:sz w:val="24"/>
                <w:szCs w:val="24"/>
              </w:rPr>
            </w:pPr>
            <w:r>
              <w:rPr>
                <w:sz w:val="24"/>
                <w:szCs w:val="24"/>
              </w:rPr>
              <w:t>是否授权评标委</w:t>
            </w:r>
          </w:p>
          <w:p w14:paraId="4C1CF09E">
            <w:pPr>
              <w:pStyle w:val="15"/>
              <w:spacing w:before="186"/>
              <w:ind w:left="108"/>
              <w:rPr>
                <w:sz w:val="24"/>
                <w:szCs w:val="24"/>
              </w:rPr>
            </w:pPr>
            <w:r>
              <w:rPr>
                <w:sz w:val="24"/>
                <w:szCs w:val="24"/>
              </w:rPr>
              <w:t>员会确定中标人</w:t>
            </w:r>
          </w:p>
        </w:tc>
        <w:tc>
          <w:tcPr>
            <w:tcW w:w="7316" w:type="dxa"/>
          </w:tcPr>
          <w:p w14:paraId="2367274B">
            <w:pPr>
              <w:pStyle w:val="15"/>
              <w:spacing w:before="7"/>
              <w:rPr>
                <w:b/>
                <w:sz w:val="24"/>
                <w:szCs w:val="24"/>
              </w:rPr>
            </w:pPr>
          </w:p>
          <w:p w14:paraId="503E1A43">
            <w:pPr>
              <w:pStyle w:val="15"/>
              <w:ind w:left="106"/>
              <w:rPr>
                <w:sz w:val="24"/>
                <w:szCs w:val="24"/>
              </w:rPr>
            </w:pPr>
            <w:r>
              <w:rPr>
                <w:sz w:val="24"/>
                <w:szCs w:val="24"/>
              </w:rPr>
              <w:t>否，评标委员会推荐 3 名中标候选人。</w:t>
            </w:r>
          </w:p>
        </w:tc>
      </w:tr>
      <w:tr w14:paraId="18C4D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820" w:type="dxa"/>
            <w:vAlign w:val="top"/>
          </w:tcPr>
          <w:p w14:paraId="342B011E">
            <w:pPr>
              <w:pStyle w:val="15"/>
              <w:spacing w:before="4"/>
              <w:rPr>
                <w:b/>
                <w:sz w:val="24"/>
                <w:szCs w:val="24"/>
              </w:rPr>
            </w:pPr>
          </w:p>
          <w:p w14:paraId="289F9690">
            <w:pPr>
              <w:pStyle w:val="15"/>
              <w:ind w:left="0" w:leftChars="0" w:right="287" w:rightChars="0"/>
              <w:jc w:val="right"/>
              <w:rPr>
                <w:rFonts w:ascii="仿宋" w:hAnsi="仿宋" w:eastAsia="仿宋" w:cs="仿宋"/>
                <w:sz w:val="24"/>
                <w:szCs w:val="24"/>
                <w:lang w:val="en-US" w:eastAsia="zh-CN" w:bidi="ar-SA"/>
              </w:rPr>
            </w:pPr>
            <w:r>
              <w:rPr>
                <w:sz w:val="24"/>
                <w:szCs w:val="24"/>
              </w:rPr>
              <w:t>31</w:t>
            </w:r>
          </w:p>
        </w:tc>
        <w:tc>
          <w:tcPr>
            <w:tcW w:w="1826" w:type="dxa"/>
            <w:vAlign w:val="top"/>
          </w:tcPr>
          <w:p w14:paraId="526ECCE7">
            <w:pPr>
              <w:pStyle w:val="15"/>
              <w:spacing w:before="105"/>
              <w:ind w:left="473"/>
              <w:rPr>
                <w:sz w:val="24"/>
                <w:szCs w:val="24"/>
              </w:rPr>
            </w:pPr>
            <w:r>
              <w:rPr>
                <w:sz w:val="24"/>
                <w:szCs w:val="24"/>
              </w:rPr>
              <w:t>开标时间</w:t>
            </w:r>
          </w:p>
          <w:p w14:paraId="4E634B7F">
            <w:pPr>
              <w:pStyle w:val="15"/>
              <w:spacing w:before="186"/>
              <w:ind w:left="583" w:leftChars="0" w:right="0" w:rightChars="0"/>
              <w:rPr>
                <w:rFonts w:ascii="仿宋" w:hAnsi="仿宋" w:eastAsia="仿宋" w:cs="仿宋"/>
                <w:sz w:val="24"/>
                <w:szCs w:val="24"/>
                <w:lang w:val="en-US" w:eastAsia="zh-CN" w:bidi="ar-SA"/>
              </w:rPr>
            </w:pPr>
            <w:r>
              <w:rPr>
                <w:sz w:val="24"/>
                <w:szCs w:val="24"/>
              </w:rPr>
              <w:t>和地点</w:t>
            </w:r>
          </w:p>
        </w:tc>
        <w:tc>
          <w:tcPr>
            <w:tcW w:w="7316" w:type="dxa"/>
            <w:vAlign w:val="top"/>
          </w:tcPr>
          <w:p w14:paraId="5A8C9D5D">
            <w:pPr>
              <w:pStyle w:val="15"/>
              <w:spacing w:before="105"/>
              <w:ind w:left="106"/>
              <w:rPr>
                <w:sz w:val="24"/>
                <w:szCs w:val="24"/>
              </w:rPr>
            </w:pPr>
            <w:r>
              <w:rPr>
                <w:sz w:val="24"/>
                <w:szCs w:val="24"/>
              </w:rPr>
              <w:t>开标时间：同投标截止时间</w:t>
            </w:r>
          </w:p>
          <w:p w14:paraId="45B0E047">
            <w:pPr>
              <w:pStyle w:val="15"/>
              <w:spacing w:before="186"/>
              <w:ind w:left="106" w:leftChars="0" w:right="0" w:rightChars="0"/>
              <w:rPr>
                <w:rFonts w:ascii="仿宋" w:hAnsi="仿宋" w:eastAsia="仿宋" w:cs="仿宋"/>
                <w:sz w:val="24"/>
                <w:szCs w:val="24"/>
                <w:lang w:val="en-US" w:eastAsia="zh-CN" w:bidi="ar-SA"/>
              </w:rPr>
            </w:pPr>
            <w:r>
              <w:rPr>
                <w:sz w:val="24"/>
                <w:szCs w:val="24"/>
              </w:rPr>
              <w:t>开标地点：政采云平台</w:t>
            </w:r>
            <w:r>
              <w:rPr>
                <w:sz w:val="24"/>
                <w:szCs w:val="24"/>
              </w:rPr>
              <w:fldChar w:fldCharType="begin"/>
            </w:r>
            <w:r>
              <w:rPr>
                <w:sz w:val="24"/>
                <w:szCs w:val="24"/>
              </w:rPr>
              <w:instrText xml:space="preserve"> HYPERLINK "http://www.zcygov.cn/" \h </w:instrText>
            </w:r>
            <w:r>
              <w:rPr>
                <w:sz w:val="24"/>
                <w:szCs w:val="24"/>
              </w:rPr>
              <w:fldChar w:fldCharType="separate"/>
            </w:r>
            <w:r>
              <w:rPr>
                <w:sz w:val="24"/>
                <w:szCs w:val="24"/>
              </w:rPr>
              <w:t>http://www.zcygov.cn</w:t>
            </w:r>
            <w:r>
              <w:rPr>
                <w:sz w:val="24"/>
                <w:szCs w:val="24"/>
              </w:rPr>
              <w:fldChar w:fldCharType="end"/>
            </w:r>
          </w:p>
        </w:tc>
      </w:tr>
      <w:tr w14:paraId="16A12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0" w:type="auto"/>
            <w:vAlign w:val="top"/>
          </w:tcPr>
          <w:p w14:paraId="5A9F0ECB">
            <w:pPr>
              <w:pStyle w:val="15"/>
              <w:spacing w:before="149"/>
              <w:ind w:left="0" w:leftChars="0" w:right="287" w:rightChars="0"/>
              <w:jc w:val="right"/>
              <w:rPr>
                <w:rFonts w:ascii="仿宋" w:hAnsi="仿宋" w:eastAsia="仿宋" w:cs="仿宋"/>
                <w:sz w:val="24"/>
                <w:szCs w:val="24"/>
                <w:lang w:val="en-US" w:eastAsia="zh-CN" w:bidi="ar-SA"/>
              </w:rPr>
            </w:pPr>
            <w:r>
              <w:rPr>
                <w:sz w:val="24"/>
                <w:szCs w:val="24"/>
              </w:rPr>
              <w:t>32</w:t>
            </w:r>
          </w:p>
        </w:tc>
        <w:tc>
          <w:tcPr>
            <w:tcW w:w="0" w:type="auto"/>
            <w:vAlign w:val="top"/>
          </w:tcPr>
          <w:p w14:paraId="488748B8">
            <w:pPr>
              <w:pStyle w:val="15"/>
              <w:spacing w:before="182"/>
              <w:ind w:left="432" w:leftChars="0" w:right="0" w:rightChars="0"/>
              <w:rPr>
                <w:rFonts w:ascii="仿宋" w:hAnsi="仿宋" w:eastAsia="仿宋" w:cs="仿宋"/>
                <w:sz w:val="24"/>
                <w:szCs w:val="24"/>
                <w:lang w:val="en-US" w:eastAsia="zh-CN" w:bidi="ar-SA"/>
              </w:rPr>
            </w:pPr>
            <w:r>
              <w:rPr>
                <w:sz w:val="24"/>
                <w:szCs w:val="24"/>
              </w:rPr>
              <w:t>评标办法</w:t>
            </w:r>
          </w:p>
        </w:tc>
        <w:tc>
          <w:tcPr>
            <w:tcW w:w="0" w:type="auto"/>
            <w:vAlign w:val="top"/>
          </w:tcPr>
          <w:p w14:paraId="00DFCEC1">
            <w:pPr>
              <w:pStyle w:val="15"/>
              <w:spacing w:before="182"/>
              <w:ind w:left="106" w:leftChars="0" w:right="0" w:rightChars="0"/>
              <w:rPr>
                <w:rFonts w:ascii="仿宋" w:hAnsi="仿宋" w:eastAsia="仿宋" w:cs="仿宋"/>
                <w:sz w:val="24"/>
                <w:szCs w:val="24"/>
                <w:lang w:val="en-US" w:eastAsia="zh-CN" w:bidi="ar-SA"/>
              </w:rPr>
            </w:pPr>
            <w:r>
              <w:rPr>
                <w:sz w:val="24"/>
                <w:szCs w:val="24"/>
              </w:rPr>
              <w:t>本项目采用综合评分法</w:t>
            </w:r>
          </w:p>
        </w:tc>
      </w:tr>
      <w:tr w14:paraId="21373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0" w:type="auto"/>
            <w:vAlign w:val="top"/>
          </w:tcPr>
          <w:p w14:paraId="48055970">
            <w:pPr>
              <w:pStyle w:val="15"/>
              <w:rPr>
                <w:b/>
                <w:sz w:val="24"/>
                <w:szCs w:val="24"/>
              </w:rPr>
            </w:pPr>
          </w:p>
          <w:p w14:paraId="306467A9">
            <w:pPr>
              <w:pStyle w:val="15"/>
              <w:rPr>
                <w:b/>
                <w:sz w:val="24"/>
                <w:szCs w:val="24"/>
              </w:rPr>
            </w:pPr>
          </w:p>
          <w:p w14:paraId="638DC154">
            <w:pPr>
              <w:pStyle w:val="15"/>
              <w:rPr>
                <w:b/>
                <w:sz w:val="24"/>
                <w:szCs w:val="24"/>
              </w:rPr>
            </w:pPr>
          </w:p>
          <w:p w14:paraId="197DA856">
            <w:pPr>
              <w:pStyle w:val="15"/>
              <w:rPr>
                <w:b/>
                <w:sz w:val="24"/>
                <w:szCs w:val="24"/>
              </w:rPr>
            </w:pPr>
          </w:p>
          <w:p w14:paraId="6FF87012">
            <w:pPr>
              <w:pStyle w:val="15"/>
              <w:rPr>
                <w:b/>
                <w:sz w:val="24"/>
                <w:szCs w:val="24"/>
              </w:rPr>
            </w:pPr>
          </w:p>
          <w:p w14:paraId="586F5F44">
            <w:pPr>
              <w:pStyle w:val="15"/>
              <w:rPr>
                <w:b/>
                <w:sz w:val="24"/>
                <w:szCs w:val="24"/>
              </w:rPr>
            </w:pPr>
          </w:p>
          <w:p w14:paraId="4B31EA10">
            <w:pPr>
              <w:pStyle w:val="15"/>
              <w:spacing w:before="5"/>
              <w:rPr>
                <w:b/>
                <w:sz w:val="24"/>
                <w:szCs w:val="24"/>
              </w:rPr>
            </w:pPr>
          </w:p>
          <w:p w14:paraId="15D8B2A7">
            <w:pPr>
              <w:pStyle w:val="15"/>
              <w:ind w:left="0" w:leftChars="0" w:right="287" w:rightChars="0"/>
              <w:jc w:val="right"/>
              <w:rPr>
                <w:rFonts w:ascii="仿宋" w:hAnsi="仿宋" w:eastAsia="仿宋" w:cs="仿宋"/>
                <w:sz w:val="24"/>
                <w:szCs w:val="24"/>
                <w:lang w:val="en-US" w:eastAsia="zh-CN" w:bidi="ar-SA"/>
              </w:rPr>
            </w:pPr>
            <w:r>
              <w:rPr>
                <w:sz w:val="24"/>
                <w:szCs w:val="24"/>
              </w:rPr>
              <w:t>33</w:t>
            </w:r>
          </w:p>
        </w:tc>
        <w:tc>
          <w:tcPr>
            <w:tcW w:w="0" w:type="auto"/>
            <w:vAlign w:val="top"/>
          </w:tcPr>
          <w:p w14:paraId="1F9A7310">
            <w:pPr>
              <w:pStyle w:val="15"/>
              <w:rPr>
                <w:b/>
                <w:sz w:val="24"/>
                <w:szCs w:val="24"/>
              </w:rPr>
            </w:pPr>
          </w:p>
          <w:p w14:paraId="5BC5046A">
            <w:pPr>
              <w:pStyle w:val="15"/>
              <w:rPr>
                <w:b/>
                <w:sz w:val="24"/>
                <w:szCs w:val="24"/>
              </w:rPr>
            </w:pPr>
          </w:p>
          <w:p w14:paraId="02EE0682">
            <w:pPr>
              <w:pStyle w:val="15"/>
              <w:rPr>
                <w:b/>
                <w:sz w:val="24"/>
                <w:szCs w:val="24"/>
              </w:rPr>
            </w:pPr>
          </w:p>
          <w:p w14:paraId="52760786">
            <w:pPr>
              <w:pStyle w:val="15"/>
              <w:rPr>
                <w:b/>
                <w:sz w:val="24"/>
                <w:szCs w:val="24"/>
              </w:rPr>
            </w:pPr>
          </w:p>
          <w:p w14:paraId="3277ABA6">
            <w:pPr>
              <w:pStyle w:val="15"/>
              <w:spacing w:before="176" w:line="242" w:lineRule="auto"/>
              <w:ind w:left="211" w:leftChars="0" w:right="162" w:rightChars="0"/>
              <w:jc w:val="center"/>
              <w:rPr>
                <w:rFonts w:ascii="仿宋" w:hAnsi="仿宋" w:eastAsia="仿宋" w:cs="仿宋"/>
                <w:sz w:val="24"/>
                <w:szCs w:val="24"/>
                <w:lang w:val="en-US" w:eastAsia="zh-CN" w:bidi="ar-SA"/>
              </w:rPr>
            </w:pPr>
            <w:r>
              <w:rPr>
                <w:sz w:val="24"/>
                <w:szCs w:val="24"/>
              </w:rPr>
              <w:t>低于成本价不正当竞争预防措施</w:t>
            </w:r>
          </w:p>
        </w:tc>
        <w:tc>
          <w:tcPr>
            <w:tcW w:w="0" w:type="auto"/>
            <w:vAlign w:val="top"/>
          </w:tcPr>
          <w:p w14:paraId="504D3CEC">
            <w:pPr>
              <w:pStyle w:val="15"/>
              <w:numPr>
                <w:ilvl w:val="0"/>
                <w:numId w:val="5"/>
              </w:numPr>
              <w:tabs>
                <w:tab w:val="left" w:pos="348"/>
              </w:tabs>
              <w:spacing w:before="81" w:after="0" w:line="364" w:lineRule="auto"/>
              <w:ind w:left="106" w:right="95" w:firstLine="0"/>
              <w:jc w:val="left"/>
              <w:rPr>
                <w:sz w:val="24"/>
                <w:szCs w:val="24"/>
              </w:rPr>
            </w:pPr>
            <w:r>
              <w:rPr>
                <w:sz w:val="24"/>
                <w:szCs w:val="24"/>
              </w:rPr>
              <w:t>评标委员会认为投标人的报价明显低于其他通过符合性审查投标</w:t>
            </w:r>
            <w:r>
              <w:rPr>
                <w:spacing w:val="-10"/>
                <w:sz w:val="24"/>
                <w:szCs w:val="24"/>
              </w:rPr>
              <w:t>人的报价，有可能影响产品质量或者不能诚信履约的，应当要求其在</w:t>
            </w:r>
            <w:r>
              <w:rPr>
                <w:spacing w:val="-6"/>
                <w:sz w:val="24"/>
                <w:szCs w:val="24"/>
              </w:rPr>
              <w:t>评标现场合理的时间内提供书面说明，必要时提交相关证明材料；投</w:t>
            </w:r>
            <w:r>
              <w:rPr>
                <w:spacing w:val="-9"/>
                <w:sz w:val="24"/>
                <w:szCs w:val="24"/>
              </w:rPr>
              <w:t>标人不能证明其报价合理性的，评标委员会应当将其作为无效投标处</w:t>
            </w:r>
            <w:r>
              <w:rPr>
                <w:sz w:val="24"/>
                <w:szCs w:val="24"/>
              </w:rPr>
              <w:t>理。</w:t>
            </w:r>
          </w:p>
          <w:p w14:paraId="5E9E7C9A">
            <w:pPr>
              <w:pStyle w:val="15"/>
              <w:numPr>
                <w:ilvl w:val="0"/>
                <w:numId w:val="5"/>
              </w:numPr>
              <w:tabs>
                <w:tab w:val="left" w:pos="348"/>
              </w:tabs>
              <w:spacing w:before="3" w:after="0" w:line="364" w:lineRule="auto"/>
              <w:ind w:left="106" w:right="-29" w:firstLine="0"/>
              <w:jc w:val="left"/>
              <w:rPr>
                <w:sz w:val="24"/>
                <w:szCs w:val="24"/>
              </w:rPr>
            </w:pPr>
            <w:r>
              <w:rPr>
                <w:spacing w:val="-5"/>
                <w:sz w:val="24"/>
                <w:szCs w:val="24"/>
              </w:rPr>
              <w:t>供应商书面说明应当签字确认或者加盖公章，否则无效。书面说明</w:t>
            </w:r>
            <w:r>
              <w:rPr>
                <w:spacing w:val="-17"/>
                <w:sz w:val="24"/>
                <w:szCs w:val="24"/>
              </w:rPr>
              <w:t xml:space="preserve">的签字确认，供应商为法人的，由其法定代表人或者代理人签字确认； </w:t>
            </w:r>
            <w:r>
              <w:rPr>
                <w:spacing w:val="-7"/>
                <w:sz w:val="24"/>
                <w:szCs w:val="24"/>
              </w:rPr>
              <w:t>供应商为其他组织的，由其主要负责人或者代理人签字确认；供应商</w:t>
            </w:r>
          </w:p>
          <w:p w14:paraId="218D42A6">
            <w:pPr>
              <w:pStyle w:val="15"/>
              <w:spacing w:before="2"/>
              <w:ind w:left="106" w:leftChars="0" w:right="0" w:rightChars="0"/>
              <w:rPr>
                <w:rFonts w:ascii="仿宋" w:hAnsi="仿宋" w:eastAsia="仿宋" w:cs="仿宋"/>
                <w:sz w:val="24"/>
                <w:szCs w:val="24"/>
                <w:lang w:val="en-US" w:eastAsia="zh-CN" w:bidi="ar-SA"/>
              </w:rPr>
            </w:pPr>
            <w:r>
              <w:rPr>
                <w:sz w:val="24"/>
                <w:szCs w:val="24"/>
              </w:rPr>
              <w:t>为自然人的，由其本人或者代理人签字确认。</w:t>
            </w:r>
          </w:p>
        </w:tc>
      </w:tr>
    </w:tbl>
    <w:p w14:paraId="65F2624D">
      <w:pPr>
        <w:spacing w:after="0"/>
        <w:rPr>
          <w:sz w:val="24"/>
          <w:szCs w:val="24"/>
        </w:rPr>
        <w:sectPr>
          <w:pgSz w:w="11910" w:h="16840"/>
          <w:pgMar w:top="1420" w:right="660" w:bottom="1100" w:left="660" w:header="0" w:footer="909" w:gutter="0"/>
          <w:cols w:space="720" w:num="1"/>
        </w:sectPr>
      </w:pPr>
    </w:p>
    <w:tbl>
      <w:tblPr>
        <w:tblStyle w:val="11"/>
        <w:tblW w:w="0" w:type="auto"/>
        <w:tblInd w:w="3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0"/>
        <w:gridCol w:w="1826"/>
        <w:gridCol w:w="7316"/>
      </w:tblGrid>
      <w:tr w14:paraId="0DF12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20" w:type="dxa"/>
          </w:tcPr>
          <w:p w14:paraId="63F7B894">
            <w:pPr>
              <w:pStyle w:val="15"/>
              <w:spacing w:before="8"/>
              <w:rPr>
                <w:b/>
                <w:sz w:val="24"/>
                <w:szCs w:val="24"/>
              </w:rPr>
            </w:pPr>
          </w:p>
          <w:p w14:paraId="7238CDD7">
            <w:pPr>
              <w:pStyle w:val="15"/>
              <w:ind w:right="287"/>
              <w:jc w:val="right"/>
              <w:rPr>
                <w:sz w:val="24"/>
                <w:szCs w:val="24"/>
              </w:rPr>
            </w:pPr>
            <w:r>
              <w:rPr>
                <w:sz w:val="24"/>
                <w:szCs w:val="24"/>
              </w:rPr>
              <w:t>34</w:t>
            </w:r>
          </w:p>
        </w:tc>
        <w:tc>
          <w:tcPr>
            <w:tcW w:w="1826" w:type="dxa"/>
          </w:tcPr>
          <w:p w14:paraId="11B1EACE">
            <w:pPr>
              <w:pStyle w:val="15"/>
              <w:spacing w:before="93"/>
              <w:ind w:left="122" w:right="113"/>
              <w:jc w:val="center"/>
              <w:rPr>
                <w:sz w:val="24"/>
                <w:szCs w:val="24"/>
              </w:rPr>
            </w:pPr>
            <w:r>
              <w:rPr>
                <w:sz w:val="24"/>
                <w:szCs w:val="24"/>
              </w:rPr>
              <w:t>中标候选人公示媒介</w:t>
            </w:r>
          </w:p>
        </w:tc>
        <w:tc>
          <w:tcPr>
            <w:tcW w:w="7316" w:type="dxa"/>
          </w:tcPr>
          <w:p w14:paraId="5D766556">
            <w:pPr>
              <w:pStyle w:val="15"/>
              <w:spacing w:before="8"/>
              <w:rPr>
                <w:b/>
                <w:sz w:val="24"/>
                <w:szCs w:val="24"/>
              </w:rPr>
            </w:pPr>
          </w:p>
          <w:p w14:paraId="108811C1">
            <w:pPr>
              <w:pStyle w:val="15"/>
              <w:ind w:left="106"/>
              <w:rPr>
                <w:sz w:val="24"/>
                <w:szCs w:val="24"/>
              </w:rPr>
            </w:pPr>
            <w:r>
              <w:rPr>
                <w:sz w:val="24"/>
                <w:szCs w:val="24"/>
              </w:rPr>
              <w:t>新疆政府采购网，公示期为一个工作日。</w:t>
            </w:r>
          </w:p>
        </w:tc>
      </w:tr>
      <w:tr w14:paraId="2516F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820" w:type="dxa"/>
          </w:tcPr>
          <w:p w14:paraId="48AD699A">
            <w:pPr>
              <w:pStyle w:val="15"/>
              <w:rPr>
                <w:b/>
                <w:sz w:val="24"/>
                <w:szCs w:val="24"/>
              </w:rPr>
            </w:pPr>
          </w:p>
          <w:p w14:paraId="0F662A00">
            <w:pPr>
              <w:pStyle w:val="15"/>
              <w:spacing w:before="10"/>
              <w:rPr>
                <w:b/>
                <w:sz w:val="24"/>
                <w:szCs w:val="24"/>
              </w:rPr>
            </w:pPr>
          </w:p>
          <w:p w14:paraId="45C56883">
            <w:pPr>
              <w:pStyle w:val="15"/>
              <w:ind w:right="287"/>
              <w:jc w:val="right"/>
              <w:rPr>
                <w:sz w:val="24"/>
                <w:szCs w:val="24"/>
              </w:rPr>
            </w:pPr>
            <w:r>
              <w:rPr>
                <w:sz w:val="24"/>
                <w:szCs w:val="24"/>
              </w:rPr>
              <w:t>35</w:t>
            </w:r>
          </w:p>
        </w:tc>
        <w:tc>
          <w:tcPr>
            <w:tcW w:w="1826" w:type="dxa"/>
          </w:tcPr>
          <w:p w14:paraId="72FAC112">
            <w:pPr>
              <w:pStyle w:val="15"/>
              <w:spacing w:before="4"/>
              <w:rPr>
                <w:b/>
                <w:sz w:val="24"/>
                <w:szCs w:val="24"/>
              </w:rPr>
            </w:pPr>
          </w:p>
          <w:p w14:paraId="286A4E87">
            <w:pPr>
              <w:pStyle w:val="15"/>
              <w:spacing w:line="343" w:lineRule="auto"/>
              <w:ind w:left="552" w:right="421" w:hanging="120"/>
              <w:rPr>
                <w:sz w:val="24"/>
                <w:szCs w:val="24"/>
              </w:rPr>
            </w:pPr>
            <w:r>
              <w:rPr>
                <w:sz w:val="24"/>
                <w:szCs w:val="24"/>
              </w:rPr>
              <w:t>招标代理服务费</w:t>
            </w:r>
          </w:p>
        </w:tc>
        <w:tc>
          <w:tcPr>
            <w:tcW w:w="7316" w:type="dxa"/>
          </w:tcPr>
          <w:p w14:paraId="4BF15BEA">
            <w:pPr>
              <w:pStyle w:val="15"/>
              <w:spacing w:before="93" w:line="398" w:lineRule="auto"/>
              <w:ind w:left="106" w:right="95"/>
              <w:rPr>
                <w:sz w:val="24"/>
                <w:szCs w:val="24"/>
              </w:rPr>
            </w:pPr>
            <w:r>
              <w:rPr>
                <w:spacing w:val="-3"/>
                <w:sz w:val="24"/>
                <w:szCs w:val="24"/>
              </w:rPr>
              <w:t>由中标供应商支付，中标单位在领取本项目中标通知书时一次性支付给招</w:t>
            </w:r>
            <w:r>
              <w:rPr>
                <w:spacing w:val="-10"/>
                <w:sz w:val="24"/>
                <w:szCs w:val="24"/>
              </w:rPr>
              <w:t>标代理机构；按新建招协〔</w:t>
            </w:r>
            <w:r>
              <w:rPr>
                <w:sz w:val="24"/>
                <w:szCs w:val="24"/>
              </w:rPr>
              <w:t>2024</w:t>
            </w:r>
            <w:r>
              <w:rPr>
                <w:spacing w:val="-37"/>
                <w:sz w:val="24"/>
                <w:szCs w:val="24"/>
              </w:rPr>
              <w:t>〕</w:t>
            </w:r>
            <w:r>
              <w:rPr>
                <w:sz w:val="24"/>
                <w:szCs w:val="24"/>
              </w:rPr>
              <w:t>4</w:t>
            </w:r>
            <w:r>
              <w:rPr>
                <w:spacing w:val="-9"/>
                <w:sz w:val="24"/>
                <w:szCs w:val="24"/>
              </w:rPr>
              <w:t xml:space="preserve"> 号文规定由中标单位向招标代理机构支</w:t>
            </w:r>
            <w:r>
              <w:rPr>
                <w:sz w:val="24"/>
                <w:szCs w:val="24"/>
              </w:rPr>
              <w:t>付本项目代理费。此费由投标人综合考虑到投标报价中，不再单独列项。</w:t>
            </w:r>
          </w:p>
        </w:tc>
      </w:tr>
      <w:tr w14:paraId="11B84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8" w:hRule="atLeast"/>
        </w:trPr>
        <w:tc>
          <w:tcPr>
            <w:tcW w:w="820" w:type="dxa"/>
          </w:tcPr>
          <w:p w14:paraId="1B06E62C">
            <w:pPr>
              <w:pStyle w:val="15"/>
              <w:rPr>
                <w:b/>
                <w:sz w:val="24"/>
                <w:szCs w:val="24"/>
              </w:rPr>
            </w:pPr>
          </w:p>
          <w:p w14:paraId="6E8DDCC3">
            <w:pPr>
              <w:pStyle w:val="15"/>
              <w:rPr>
                <w:b/>
                <w:sz w:val="24"/>
                <w:szCs w:val="24"/>
              </w:rPr>
            </w:pPr>
          </w:p>
          <w:p w14:paraId="4AFBEC7A">
            <w:pPr>
              <w:pStyle w:val="15"/>
              <w:rPr>
                <w:b/>
                <w:sz w:val="24"/>
                <w:szCs w:val="24"/>
              </w:rPr>
            </w:pPr>
          </w:p>
          <w:p w14:paraId="05C9D3DD">
            <w:pPr>
              <w:pStyle w:val="15"/>
              <w:rPr>
                <w:b/>
                <w:sz w:val="24"/>
                <w:szCs w:val="24"/>
              </w:rPr>
            </w:pPr>
          </w:p>
          <w:p w14:paraId="70903E3B">
            <w:pPr>
              <w:pStyle w:val="15"/>
              <w:rPr>
                <w:b/>
                <w:sz w:val="24"/>
                <w:szCs w:val="24"/>
              </w:rPr>
            </w:pPr>
          </w:p>
          <w:p w14:paraId="66DC99DA">
            <w:pPr>
              <w:pStyle w:val="15"/>
              <w:rPr>
                <w:b/>
                <w:sz w:val="24"/>
                <w:szCs w:val="24"/>
              </w:rPr>
            </w:pPr>
          </w:p>
          <w:p w14:paraId="62DC5BF6">
            <w:pPr>
              <w:pStyle w:val="15"/>
              <w:rPr>
                <w:b/>
                <w:sz w:val="24"/>
                <w:szCs w:val="24"/>
              </w:rPr>
            </w:pPr>
          </w:p>
          <w:p w14:paraId="0DF749AF">
            <w:pPr>
              <w:pStyle w:val="15"/>
              <w:rPr>
                <w:b/>
                <w:sz w:val="24"/>
                <w:szCs w:val="24"/>
              </w:rPr>
            </w:pPr>
          </w:p>
          <w:p w14:paraId="6503EBE0">
            <w:pPr>
              <w:pStyle w:val="15"/>
              <w:rPr>
                <w:b/>
                <w:sz w:val="24"/>
                <w:szCs w:val="24"/>
              </w:rPr>
            </w:pPr>
          </w:p>
          <w:p w14:paraId="0E95DEAE">
            <w:pPr>
              <w:pStyle w:val="15"/>
              <w:spacing w:before="184"/>
              <w:ind w:right="287"/>
              <w:jc w:val="right"/>
              <w:rPr>
                <w:sz w:val="24"/>
                <w:szCs w:val="24"/>
              </w:rPr>
            </w:pPr>
            <w:r>
              <w:rPr>
                <w:sz w:val="24"/>
                <w:szCs w:val="24"/>
              </w:rPr>
              <w:t>36</w:t>
            </w:r>
          </w:p>
        </w:tc>
        <w:tc>
          <w:tcPr>
            <w:tcW w:w="1826" w:type="dxa"/>
          </w:tcPr>
          <w:p w14:paraId="7679A70A">
            <w:pPr>
              <w:pStyle w:val="15"/>
              <w:rPr>
                <w:b/>
                <w:sz w:val="24"/>
                <w:szCs w:val="24"/>
              </w:rPr>
            </w:pPr>
          </w:p>
          <w:p w14:paraId="29BB265D">
            <w:pPr>
              <w:pStyle w:val="15"/>
              <w:rPr>
                <w:b/>
                <w:sz w:val="24"/>
                <w:szCs w:val="24"/>
              </w:rPr>
            </w:pPr>
          </w:p>
          <w:p w14:paraId="7037D7AF">
            <w:pPr>
              <w:pStyle w:val="15"/>
              <w:rPr>
                <w:b/>
                <w:sz w:val="24"/>
                <w:szCs w:val="24"/>
              </w:rPr>
            </w:pPr>
          </w:p>
          <w:p w14:paraId="38D18585">
            <w:pPr>
              <w:pStyle w:val="15"/>
              <w:rPr>
                <w:b/>
                <w:sz w:val="24"/>
                <w:szCs w:val="24"/>
              </w:rPr>
            </w:pPr>
          </w:p>
          <w:p w14:paraId="08A9FCEC">
            <w:pPr>
              <w:pStyle w:val="15"/>
              <w:rPr>
                <w:b/>
                <w:sz w:val="24"/>
                <w:szCs w:val="24"/>
              </w:rPr>
            </w:pPr>
          </w:p>
          <w:p w14:paraId="05BC79EA">
            <w:pPr>
              <w:pStyle w:val="15"/>
              <w:rPr>
                <w:b/>
                <w:sz w:val="24"/>
                <w:szCs w:val="24"/>
              </w:rPr>
            </w:pPr>
          </w:p>
          <w:p w14:paraId="2C64399D">
            <w:pPr>
              <w:pStyle w:val="15"/>
              <w:rPr>
                <w:b/>
                <w:sz w:val="24"/>
                <w:szCs w:val="24"/>
              </w:rPr>
            </w:pPr>
          </w:p>
          <w:p w14:paraId="49AD6CDE">
            <w:pPr>
              <w:pStyle w:val="15"/>
              <w:spacing w:before="8"/>
              <w:rPr>
                <w:b/>
                <w:sz w:val="24"/>
                <w:szCs w:val="24"/>
              </w:rPr>
            </w:pPr>
          </w:p>
          <w:p w14:paraId="77C89DC0">
            <w:pPr>
              <w:pStyle w:val="15"/>
              <w:spacing w:line="343" w:lineRule="auto"/>
              <w:ind w:left="552" w:right="181" w:hanging="360"/>
              <w:rPr>
                <w:sz w:val="24"/>
                <w:szCs w:val="24"/>
              </w:rPr>
            </w:pPr>
            <w:r>
              <w:rPr>
                <w:sz w:val="24"/>
                <w:szCs w:val="24"/>
              </w:rPr>
              <w:t>中小微企业政策文件</w:t>
            </w:r>
          </w:p>
        </w:tc>
        <w:tc>
          <w:tcPr>
            <w:tcW w:w="7316" w:type="dxa"/>
          </w:tcPr>
          <w:p w14:paraId="6A303447">
            <w:pPr>
              <w:pStyle w:val="15"/>
              <w:numPr>
                <w:ilvl w:val="0"/>
                <w:numId w:val="6"/>
              </w:numPr>
              <w:tabs>
                <w:tab w:val="left" w:pos="710"/>
              </w:tabs>
              <w:spacing w:before="113" w:after="0" w:line="343" w:lineRule="auto"/>
              <w:ind w:left="106" w:right="-130" w:firstLine="0"/>
              <w:jc w:val="left"/>
              <w:rPr>
                <w:sz w:val="24"/>
                <w:szCs w:val="24"/>
              </w:rPr>
            </w:pPr>
            <w:r>
              <w:rPr>
                <w:sz w:val="24"/>
                <w:szCs w:val="24"/>
              </w:rPr>
              <w:t xml:space="preserve">根据财政部、工业和信息化部关于印发《政府采购促进中小企 </w:t>
            </w:r>
            <w:r>
              <w:rPr>
                <w:spacing w:val="-5"/>
                <w:sz w:val="24"/>
                <w:szCs w:val="24"/>
              </w:rPr>
              <w:t>业发展管理办法》的通知</w:t>
            </w:r>
            <w:r>
              <w:rPr>
                <w:sz w:val="24"/>
                <w:szCs w:val="24"/>
              </w:rPr>
              <w:t>（财库[2020]46号</w:t>
            </w:r>
            <w:r>
              <w:rPr>
                <w:spacing w:val="-24"/>
                <w:sz w:val="24"/>
                <w:szCs w:val="24"/>
              </w:rPr>
              <w:t>）和</w:t>
            </w:r>
            <w:r>
              <w:rPr>
                <w:sz w:val="24"/>
                <w:szCs w:val="24"/>
              </w:rPr>
              <w:t>（财库[2020]19号</w:t>
            </w:r>
            <w:r>
              <w:rPr>
                <w:spacing w:val="-17"/>
                <w:sz w:val="24"/>
                <w:szCs w:val="24"/>
              </w:rPr>
              <w:t xml:space="preserve">）， </w:t>
            </w:r>
            <w:r>
              <w:rPr>
                <w:spacing w:val="-12"/>
                <w:sz w:val="24"/>
                <w:szCs w:val="24"/>
              </w:rPr>
              <w:t>投标人及其所投产品的制造商均属于《工业和信息化部、国家统计局、</w:t>
            </w:r>
            <w:r>
              <w:rPr>
                <w:spacing w:val="-15"/>
                <w:sz w:val="24"/>
                <w:szCs w:val="24"/>
              </w:rPr>
              <w:t>国家发展和改革委员会、财政部关于印发中小企业划型标准规定的通</w:t>
            </w:r>
            <w:r>
              <w:rPr>
                <w:spacing w:val="-32"/>
                <w:sz w:val="24"/>
                <w:szCs w:val="24"/>
              </w:rPr>
              <w:t>知》</w:t>
            </w:r>
            <w:r>
              <w:rPr>
                <w:sz w:val="24"/>
                <w:szCs w:val="24"/>
              </w:rPr>
              <w:t>（工信部联企业[2011]300号</w:t>
            </w:r>
            <w:r>
              <w:rPr>
                <w:spacing w:val="-27"/>
                <w:sz w:val="24"/>
                <w:szCs w:val="24"/>
              </w:rPr>
              <w:t>）</w:t>
            </w:r>
            <w:r>
              <w:rPr>
                <w:spacing w:val="-4"/>
                <w:sz w:val="24"/>
                <w:szCs w:val="24"/>
              </w:rPr>
              <w:t>中规定的小型、微型企业标准的， 按招标文件格式提供《中小企业声明函》。</w:t>
            </w:r>
          </w:p>
          <w:p w14:paraId="23DA6B51">
            <w:pPr>
              <w:pStyle w:val="15"/>
              <w:numPr>
                <w:ilvl w:val="0"/>
                <w:numId w:val="6"/>
              </w:numPr>
              <w:tabs>
                <w:tab w:val="left" w:pos="710"/>
              </w:tabs>
              <w:spacing w:before="2" w:after="0" w:line="343" w:lineRule="auto"/>
              <w:ind w:left="106" w:right="95" w:firstLine="0"/>
              <w:jc w:val="both"/>
              <w:rPr>
                <w:sz w:val="24"/>
                <w:szCs w:val="24"/>
              </w:rPr>
            </w:pPr>
            <w:r>
              <w:rPr>
                <w:spacing w:val="-1"/>
                <w:sz w:val="24"/>
                <w:szCs w:val="24"/>
              </w:rPr>
              <w:t>根据财政部、司令部《关于政府采购支持监狱企业发展有关问</w:t>
            </w:r>
            <w:r>
              <w:rPr>
                <w:spacing w:val="-6"/>
                <w:sz w:val="24"/>
                <w:szCs w:val="24"/>
              </w:rPr>
              <w:t>题》的通知财库</w:t>
            </w:r>
            <w:r>
              <w:rPr>
                <w:sz w:val="24"/>
                <w:szCs w:val="24"/>
              </w:rPr>
              <w:t>[2014]68</w:t>
            </w:r>
            <w:r>
              <w:rPr>
                <w:spacing w:val="-9"/>
                <w:sz w:val="24"/>
                <w:szCs w:val="24"/>
              </w:rPr>
              <w:t>号，监狱企业参加本项目投标时，应当提供</w:t>
            </w:r>
            <w:r>
              <w:rPr>
                <w:spacing w:val="-6"/>
                <w:sz w:val="24"/>
                <w:szCs w:val="24"/>
              </w:rPr>
              <w:t>由省级以上监狱管理局、戒毒管理局</w:t>
            </w:r>
            <w:r>
              <w:rPr>
                <w:sz w:val="24"/>
                <w:szCs w:val="24"/>
              </w:rPr>
              <w:t>（新疆生产建设兵团</w:t>
            </w:r>
            <w:r>
              <w:rPr>
                <w:spacing w:val="-34"/>
                <w:sz w:val="24"/>
                <w:szCs w:val="24"/>
              </w:rPr>
              <w:t>）</w:t>
            </w:r>
            <w:r>
              <w:rPr>
                <w:spacing w:val="-4"/>
                <w:sz w:val="24"/>
                <w:szCs w:val="24"/>
              </w:rPr>
              <w:t>出具的属</w:t>
            </w:r>
            <w:r>
              <w:rPr>
                <w:sz w:val="24"/>
                <w:szCs w:val="24"/>
              </w:rPr>
              <w:t>于监狱企业的证明文件。监狱企业视同小型、微型企业。</w:t>
            </w:r>
          </w:p>
          <w:p w14:paraId="5C5A0325">
            <w:pPr>
              <w:pStyle w:val="15"/>
              <w:numPr>
                <w:ilvl w:val="0"/>
                <w:numId w:val="6"/>
              </w:numPr>
              <w:tabs>
                <w:tab w:val="left" w:pos="710"/>
              </w:tabs>
              <w:spacing w:before="0" w:after="0" w:line="343" w:lineRule="auto"/>
              <w:ind w:left="106" w:right="-29" w:firstLine="0"/>
              <w:jc w:val="left"/>
              <w:rPr>
                <w:sz w:val="24"/>
                <w:szCs w:val="24"/>
              </w:rPr>
            </w:pPr>
            <w:r>
              <w:rPr>
                <w:sz w:val="24"/>
                <w:szCs w:val="24"/>
              </w:rPr>
              <w:t>根据财政部、民政部、中国残疾人联合会《关于促进残疾人就</w:t>
            </w:r>
            <w:r>
              <w:rPr>
                <w:spacing w:val="-5"/>
                <w:sz w:val="24"/>
                <w:szCs w:val="24"/>
              </w:rPr>
              <w:t>业政府采购政策的通知》</w:t>
            </w:r>
            <w:r>
              <w:rPr>
                <w:sz w:val="24"/>
                <w:szCs w:val="24"/>
              </w:rPr>
              <w:t>（财库[2017]141号</w:t>
            </w:r>
            <w:r>
              <w:rPr>
                <w:spacing w:val="-26"/>
                <w:sz w:val="24"/>
                <w:szCs w:val="24"/>
              </w:rPr>
              <w:t>）</w:t>
            </w:r>
            <w:r>
              <w:rPr>
                <w:spacing w:val="-6"/>
                <w:sz w:val="24"/>
                <w:szCs w:val="24"/>
              </w:rPr>
              <w:t>，在政府采购活动中，</w:t>
            </w:r>
          </w:p>
          <w:p w14:paraId="41DC1A4A">
            <w:pPr>
              <w:pStyle w:val="15"/>
              <w:spacing w:before="2" w:line="304" w:lineRule="exact"/>
              <w:ind w:left="106"/>
              <w:rPr>
                <w:sz w:val="24"/>
                <w:szCs w:val="24"/>
              </w:rPr>
            </w:pPr>
            <w:r>
              <w:rPr>
                <w:sz w:val="24"/>
                <w:szCs w:val="24"/>
              </w:rPr>
              <w:t>残疾人福利性单位视同小型、微型企业。投标人属于残疾人福利性单位的，按照招标文件格式提供残疾人福利性单位声明函。</w:t>
            </w:r>
          </w:p>
        </w:tc>
      </w:tr>
    </w:tbl>
    <w:p w14:paraId="4616989B">
      <w:pPr>
        <w:spacing w:after="0" w:line="304" w:lineRule="exact"/>
        <w:rPr>
          <w:sz w:val="24"/>
          <w:szCs w:val="24"/>
        </w:rPr>
        <w:sectPr>
          <w:pgSz w:w="11910" w:h="16840"/>
          <w:pgMar w:top="1420" w:right="660" w:bottom="1100" w:left="660" w:header="0" w:footer="909" w:gutter="0"/>
          <w:cols w:space="720" w:num="1"/>
        </w:sectPr>
      </w:pPr>
    </w:p>
    <w:tbl>
      <w:tblPr>
        <w:tblStyle w:val="11"/>
        <w:tblW w:w="0" w:type="auto"/>
        <w:tblInd w:w="3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46"/>
        <w:gridCol w:w="7316"/>
      </w:tblGrid>
      <w:tr w14:paraId="45456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3" w:hRule="atLeast"/>
        </w:trPr>
        <w:tc>
          <w:tcPr>
            <w:tcW w:w="2646" w:type="dxa"/>
          </w:tcPr>
          <w:p w14:paraId="73D78AB5">
            <w:pPr>
              <w:pStyle w:val="15"/>
              <w:rPr>
                <w:b/>
                <w:sz w:val="24"/>
                <w:szCs w:val="24"/>
              </w:rPr>
            </w:pPr>
          </w:p>
          <w:p w14:paraId="61FB0DCF">
            <w:pPr>
              <w:pStyle w:val="15"/>
              <w:rPr>
                <w:b/>
                <w:sz w:val="24"/>
                <w:szCs w:val="24"/>
              </w:rPr>
            </w:pPr>
          </w:p>
          <w:p w14:paraId="154F5049">
            <w:pPr>
              <w:pStyle w:val="15"/>
              <w:rPr>
                <w:b/>
                <w:sz w:val="24"/>
                <w:szCs w:val="24"/>
              </w:rPr>
            </w:pPr>
          </w:p>
          <w:p w14:paraId="13361191">
            <w:pPr>
              <w:pStyle w:val="15"/>
              <w:rPr>
                <w:b/>
                <w:sz w:val="24"/>
                <w:szCs w:val="24"/>
              </w:rPr>
            </w:pPr>
          </w:p>
          <w:p w14:paraId="5A86DE46">
            <w:pPr>
              <w:pStyle w:val="15"/>
              <w:rPr>
                <w:b/>
                <w:sz w:val="24"/>
                <w:szCs w:val="24"/>
              </w:rPr>
            </w:pPr>
          </w:p>
          <w:p w14:paraId="5FE597E0">
            <w:pPr>
              <w:pStyle w:val="15"/>
              <w:rPr>
                <w:b/>
                <w:sz w:val="24"/>
                <w:szCs w:val="24"/>
              </w:rPr>
            </w:pPr>
          </w:p>
          <w:p w14:paraId="40C8D072">
            <w:pPr>
              <w:pStyle w:val="15"/>
              <w:rPr>
                <w:b/>
                <w:sz w:val="24"/>
                <w:szCs w:val="24"/>
              </w:rPr>
            </w:pPr>
          </w:p>
          <w:p w14:paraId="005E893F">
            <w:pPr>
              <w:pStyle w:val="15"/>
              <w:rPr>
                <w:b/>
                <w:sz w:val="24"/>
                <w:szCs w:val="24"/>
              </w:rPr>
            </w:pPr>
          </w:p>
          <w:p w14:paraId="510B76DB">
            <w:pPr>
              <w:pStyle w:val="15"/>
              <w:rPr>
                <w:b/>
                <w:sz w:val="24"/>
                <w:szCs w:val="24"/>
              </w:rPr>
            </w:pPr>
          </w:p>
          <w:p w14:paraId="1D308465">
            <w:pPr>
              <w:pStyle w:val="15"/>
              <w:rPr>
                <w:b/>
                <w:sz w:val="24"/>
                <w:szCs w:val="24"/>
              </w:rPr>
            </w:pPr>
          </w:p>
          <w:p w14:paraId="0062FE75">
            <w:pPr>
              <w:pStyle w:val="15"/>
              <w:rPr>
                <w:b/>
                <w:sz w:val="24"/>
                <w:szCs w:val="24"/>
              </w:rPr>
            </w:pPr>
          </w:p>
          <w:p w14:paraId="219D0511">
            <w:pPr>
              <w:pStyle w:val="15"/>
              <w:rPr>
                <w:b/>
                <w:sz w:val="24"/>
                <w:szCs w:val="24"/>
              </w:rPr>
            </w:pPr>
          </w:p>
          <w:p w14:paraId="53AC136A">
            <w:pPr>
              <w:pStyle w:val="15"/>
              <w:rPr>
                <w:b/>
                <w:sz w:val="24"/>
                <w:szCs w:val="24"/>
              </w:rPr>
            </w:pPr>
          </w:p>
          <w:p w14:paraId="70A7E34B">
            <w:pPr>
              <w:pStyle w:val="15"/>
              <w:rPr>
                <w:b/>
                <w:sz w:val="24"/>
                <w:szCs w:val="24"/>
              </w:rPr>
            </w:pPr>
          </w:p>
          <w:p w14:paraId="44F52994">
            <w:pPr>
              <w:pStyle w:val="15"/>
              <w:rPr>
                <w:b/>
                <w:sz w:val="24"/>
                <w:szCs w:val="24"/>
              </w:rPr>
            </w:pPr>
          </w:p>
          <w:p w14:paraId="252DDCFC">
            <w:pPr>
              <w:pStyle w:val="15"/>
              <w:rPr>
                <w:b/>
                <w:sz w:val="24"/>
                <w:szCs w:val="24"/>
              </w:rPr>
            </w:pPr>
          </w:p>
          <w:p w14:paraId="238F7BEA">
            <w:pPr>
              <w:pStyle w:val="15"/>
              <w:rPr>
                <w:b/>
                <w:sz w:val="24"/>
                <w:szCs w:val="24"/>
              </w:rPr>
            </w:pPr>
          </w:p>
          <w:p w14:paraId="54395021">
            <w:pPr>
              <w:pStyle w:val="15"/>
              <w:rPr>
                <w:b/>
                <w:sz w:val="24"/>
                <w:szCs w:val="24"/>
              </w:rPr>
            </w:pPr>
          </w:p>
          <w:p w14:paraId="53FD16E7">
            <w:pPr>
              <w:pStyle w:val="15"/>
              <w:rPr>
                <w:b/>
                <w:sz w:val="24"/>
                <w:szCs w:val="24"/>
              </w:rPr>
            </w:pPr>
          </w:p>
          <w:p w14:paraId="50887C32">
            <w:pPr>
              <w:pStyle w:val="15"/>
              <w:rPr>
                <w:b/>
                <w:sz w:val="24"/>
                <w:szCs w:val="24"/>
              </w:rPr>
            </w:pPr>
          </w:p>
          <w:p w14:paraId="65A34078">
            <w:pPr>
              <w:pStyle w:val="15"/>
              <w:rPr>
                <w:b/>
                <w:sz w:val="24"/>
                <w:szCs w:val="24"/>
              </w:rPr>
            </w:pPr>
          </w:p>
          <w:p w14:paraId="7CA5C79E">
            <w:pPr>
              <w:pStyle w:val="15"/>
              <w:rPr>
                <w:b/>
                <w:sz w:val="24"/>
                <w:szCs w:val="24"/>
              </w:rPr>
            </w:pPr>
          </w:p>
          <w:p w14:paraId="5A6E351B">
            <w:pPr>
              <w:pStyle w:val="15"/>
              <w:spacing w:before="5"/>
              <w:rPr>
                <w:b/>
                <w:sz w:val="24"/>
                <w:szCs w:val="24"/>
              </w:rPr>
            </w:pPr>
          </w:p>
          <w:p w14:paraId="556DFB5F">
            <w:pPr>
              <w:pStyle w:val="15"/>
              <w:ind w:left="880"/>
              <w:rPr>
                <w:b/>
                <w:sz w:val="24"/>
                <w:szCs w:val="24"/>
              </w:rPr>
            </w:pPr>
            <w:r>
              <w:rPr>
                <w:b/>
                <w:sz w:val="24"/>
                <w:szCs w:val="24"/>
              </w:rPr>
              <w:t>重要提醒</w:t>
            </w:r>
          </w:p>
        </w:tc>
        <w:tc>
          <w:tcPr>
            <w:tcW w:w="7316" w:type="dxa"/>
          </w:tcPr>
          <w:p w14:paraId="16E9FB2F">
            <w:pPr>
              <w:pStyle w:val="15"/>
              <w:spacing w:before="94"/>
              <w:ind w:left="106"/>
              <w:rPr>
                <w:sz w:val="24"/>
                <w:szCs w:val="24"/>
              </w:rPr>
            </w:pPr>
            <w:r>
              <w:rPr>
                <w:sz w:val="24"/>
                <w:szCs w:val="24"/>
              </w:rPr>
              <w:t>1、电子招投标情况说明：</w:t>
            </w:r>
          </w:p>
          <w:p w14:paraId="5EBD7DE2">
            <w:pPr>
              <w:pStyle w:val="15"/>
              <w:numPr>
                <w:ilvl w:val="0"/>
                <w:numId w:val="7"/>
              </w:numPr>
              <w:tabs>
                <w:tab w:val="left" w:pos="660"/>
              </w:tabs>
              <w:spacing w:before="186" w:after="0" w:line="240" w:lineRule="auto"/>
              <w:ind w:left="659" w:right="0" w:hanging="554"/>
              <w:jc w:val="left"/>
              <w:rPr>
                <w:sz w:val="24"/>
                <w:szCs w:val="24"/>
              </w:rPr>
            </w:pPr>
            <w:r>
              <w:rPr>
                <w:spacing w:val="-3"/>
                <w:sz w:val="24"/>
                <w:szCs w:val="24"/>
              </w:rPr>
              <w:t>电子招投标：本项目以数据电文形式，依托“政府采购云平台</w:t>
            </w:r>
          </w:p>
          <w:p w14:paraId="6447E6DF">
            <w:pPr>
              <w:pStyle w:val="15"/>
              <w:spacing w:before="187"/>
              <w:ind w:left="106"/>
              <w:rPr>
                <w:sz w:val="24"/>
                <w:szCs w:val="24"/>
              </w:rPr>
            </w:pPr>
            <w:r>
              <w:rPr>
                <w:sz w:val="24"/>
                <w:szCs w:val="24"/>
              </w:rPr>
              <w:t>（</w:t>
            </w:r>
            <w:r>
              <w:rPr>
                <w:sz w:val="24"/>
                <w:szCs w:val="24"/>
              </w:rPr>
              <w:fldChar w:fldCharType="begin"/>
            </w:r>
            <w:r>
              <w:rPr>
                <w:sz w:val="24"/>
                <w:szCs w:val="24"/>
              </w:rPr>
              <w:instrText xml:space="preserve"> HYPERLINK "http://www.zcygov.cn/" \h </w:instrText>
            </w:r>
            <w:r>
              <w:rPr>
                <w:sz w:val="24"/>
                <w:szCs w:val="24"/>
              </w:rPr>
              <w:fldChar w:fldCharType="separate"/>
            </w:r>
            <w:r>
              <w:rPr>
                <w:sz w:val="24"/>
                <w:szCs w:val="24"/>
              </w:rPr>
              <w:t>www.zcygov.cn</w:t>
            </w:r>
            <w:r>
              <w:rPr>
                <w:sz w:val="24"/>
                <w:szCs w:val="24"/>
              </w:rPr>
              <w:fldChar w:fldCharType="end"/>
            </w:r>
            <w:r>
              <w:rPr>
                <w:sz w:val="24"/>
                <w:szCs w:val="24"/>
              </w:rPr>
              <w:t>）”进行招投标活动。</w:t>
            </w:r>
          </w:p>
          <w:p w14:paraId="619D8168">
            <w:pPr>
              <w:pStyle w:val="15"/>
              <w:numPr>
                <w:ilvl w:val="0"/>
                <w:numId w:val="7"/>
              </w:numPr>
              <w:tabs>
                <w:tab w:val="left" w:pos="660"/>
              </w:tabs>
              <w:spacing w:before="186" w:after="0" w:line="398" w:lineRule="auto"/>
              <w:ind w:left="106" w:right="95" w:firstLine="0"/>
              <w:jc w:val="both"/>
              <w:rPr>
                <w:sz w:val="24"/>
                <w:szCs w:val="24"/>
              </w:rPr>
            </w:pPr>
            <w:r>
              <w:rPr>
                <w:spacing w:val="-7"/>
                <w:sz w:val="24"/>
                <w:szCs w:val="24"/>
              </w:rPr>
              <w:t>投标准备：注册账号--点击“商家入驻”，进行政府采购供应商资料</w:t>
            </w:r>
            <w:r>
              <w:rPr>
                <w:spacing w:val="8"/>
                <w:sz w:val="24"/>
                <w:szCs w:val="24"/>
              </w:rPr>
              <w:t>填写；申领</w:t>
            </w:r>
            <w:r>
              <w:rPr>
                <w:sz w:val="24"/>
                <w:szCs w:val="24"/>
              </w:rPr>
              <w:t>CA</w:t>
            </w:r>
            <w:r>
              <w:rPr>
                <w:spacing w:val="-8"/>
                <w:sz w:val="24"/>
                <w:szCs w:val="24"/>
              </w:rPr>
              <w:t xml:space="preserve"> 数字证书---申领流程详见“新疆政府采购网-下载专区-电</w:t>
            </w:r>
            <w:r>
              <w:rPr>
                <w:spacing w:val="-3"/>
                <w:sz w:val="24"/>
                <w:szCs w:val="24"/>
              </w:rPr>
              <w:t>子交易客户端-</w:t>
            </w:r>
            <w:r>
              <w:rPr>
                <w:sz w:val="24"/>
                <w:szCs w:val="24"/>
              </w:rPr>
              <w:t>CA</w:t>
            </w:r>
            <w:r>
              <w:rPr>
                <w:spacing w:val="-13"/>
                <w:sz w:val="24"/>
                <w:szCs w:val="24"/>
              </w:rPr>
              <w:t xml:space="preserve"> 驱动和申领流程”；安装“政采云电子交易客户端”---</w:t>
            </w:r>
            <w:r>
              <w:rPr>
                <w:sz w:val="24"/>
                <w:szCs w:val="24"/>
              </w:rPr>
              <w:t>前往“新疆政府采购网-下载专区-电子交易客户端”进行下载并安装。</w:t>
            </w:r>
          </w:p>
          <w:p w14:paraId="4DF146A9">
            <w:pPr>
              <w:pStyle w:val="15"/>
              <w:numPr>
                <w:ilvl w:val="0"/>
                <w:numId w:val="7"/>
              </w:numPr>
              <w:tabs>
                <w:tab w:val="left" w:pos="660"/>
              </w:tabs>
              <w:spacing w:before="186" w:after="0" w:line="398" w:lineRule="auto"/>
              <w:ind w:left="106" w:right="95" w:firstLine="0"/>
              <w:jc w:val="both"/>
              <w:rPr>
                <w:sz w:val="24"/>
                <w:szCs w:val="24"/>
              </w:rPr>
            </w:pPr>
            <w:r>
              <w:rPr>
                <w:spacing w:val="-1"/>
                <w:sz w:val="24"/>
                <w:szCs w:val="24"/>
              </w:rPr>
              <w:t>招标文件的获取：使用账号登录或者短信验证码或者使用</w:t>
            </w:r>
            <w:r>
              <w:rPr>
                <w:sz w:val="24"/>
                <w:szCs w:val="24"/>
              </w:rPr>
              <w:t>CA</w:t>
            </w:r>
            <w:r>
              <w:rPr>
                <w:spacing w:val="-15"/>
                <w:sz w:val="24"/>
                <w:szCs w:val="24"/>
              </w:rPr>
              <w:t xml:space="preserve"> 登录政</w:t>
            </w:r>
            <w:r>
              <w:rPr>
                <w:spacing w:val="-10"/>
                <w:sz w:val="24"/>
                <w:szCs w:val="24"/>
              </w:rPr>
              <w:t>采云平台；进入“项目采购”应用，在获取招标文件 菜单中选择项目，获</w:t>
            </w:r>
            <w:r>
              <w:rPr>
                <w:spacing w:val="-4"/>
                <w:sz w:val="24"/>
                <w:szCs w:val="24"/>
              </w:rPr>
              <w:t>取招标文件</w:t>
            </w:r>
          </w:p>
          <w:p w14:paraId="6DED5AF1">
            <w:pPr>
              <w:pStyle w:val="15"/>
              <w:numPr>
                <w:ilvl w:val="0"/>
                <w:numId w:val="7"/>
              </w:numPr>
              <w:tabs>
                <w:tab w:val="left" w:pos="660"/>
              </w:tabs>
              <w:spacing w:before="0" w:after="0" w:line="398" w:lineRule="auto"/>
              <w:ind w:left="106" w:right="155" w:firstLine="0"/>
              <w:jc w:val="both"/>
              <w:rPr>
                <w:sz w:val="24"/>
                <w:szCs w:val="24"/>
              </w:rPr>
            </w:pPr>
            <w:r>
              <w:rPr>
                <w:spacing w:val="-3"/>
                <w:sz w:val="24"/>
                <w:szCs w:val="24"/>
              </w:rPr>
              <w:t>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39E7BA35">
            <w:pPr>
              <w:pStyle w:val="15"/>
              <w:numPr>
                <w:ilvl w:val="0"/>
                <w:numId w:val="7"/>
              </w:numPr>
              <w:tabs>
                <w:tab w:val="left" w:pos="660"/>
              </w:tabs>
              <w:spacing w:before="1" w:after="0" w:line="398" w:lineRule="auto"/>
              <w:ind w:left="106" w:right="155" w:firstLine="0"/>
              <w:jc w:val="left"/>
              <w:rPr>
                <w:sz w:val="24"/>
                <w:szCs w:val="24"/>
              </w:rPr>
            </w:pPr>
            <w:r>
              <w:rPr>
                <w:spacing w:val="-3"/>
                <w:sz w:val="24"/>
                <w:szCs w:val="24"/>
              </w:rPr>
              <w:t>具体操作指南：详见政采云平台“服务中心-帮助文档-项目采购-操作流程-电子招投标-政府采购项目电子交易管理操作指南-供应商”。</w:t>
            </w:r>
          </w:p>
          <w:p w14:paraId="6D7791EE">
            <w:pPr>
              <w:pStyle w:val="15"/>
              <w:numPr>
                <w:ilvl w:val="0"/>
                <w:numId w:val="7"/>
              </w:numPr>
              <w:tabs>
                <w:tab w:val="left" w:pos="660"/>
              </w:tabs>
              <w:spacing w:before="0" w:after="0" w:line="240" w:lineRule="auto"/>
              <w:ind w:left="659" w:right="0" w:hanging="554"/>
              <w:jc w:val="left"/>
              <w:rPr>
                <w:sz w:val="24"/>
                <w:szCs w:val="24"/>
              </w:rPr>
            </w:pPr>
            <w:r>
              <w:rPr>
                <w:spacing w:val="-3"/>
                <w:sz w:val="24"/>
                <w:szCs w:val="24"/>
              </w:rPr>
              <w:t>供应商在进行上述操作时，如遇技术问题可登录政采云</w:t>
            </w:r>
          </w:p>
          <w:p w14:paraId="2DFF49D4">
            <w:pPr>
              <w:pStyle w:val="15"/>
              <w:spacing w:before="186" w:line="398" w:lineRule="auto"/>
              <w:ind w:left="106" w:right="155"/>
              <w:rPr>
                <w:sz w:val="24"/>
                <w:szCs w:val="24"/>
              </w:rPr>
            </w:pPr>
            <w:r>
              <w:rPr>
                <w:sz w:val="24"/>
                <w:szCs w:val="24"/>
              </w:rPr>
              <w:t>（https://</w:t>
            </w:r>
            <w:r>
              <w:rPr>
                <w:sz w:val="24"/>
                <w:szCs w:val="24"/>
              </w:rPr>
              <w:fldChar w:fldCharType="begin"/>
            </w:r>
            <w:r>
              <w:rPr>
                <w:sz w:val="24"/>
                <w:szCs w:val="24"/>
              </w:rPr>
              <w:instrText xml:space="preserve"> HYPERLINK "http://www.zcygov.cn/" \h </w:instrText>
            </w:r>
            <w:r>
              <w:rPr>
                <w:sz w:val="24"/>
                <w:szCs w:val="24"/>
              </w:rPr>
              <w:fldChar w:fldCharType="separate"/>
            </w:r>
            <w:r>
              <w:rPr>
                <w:sz w:val="24"/>
                <w:szCs w:val="24"/>
              </w:rPr>
              <w:t>www.zcygov.cn/</w:t>
            </w:r>
            <w:r>
              <w:rPr>
                <w:sz w:val="24"/>
                <w:szCs w:val="24"/>
              </w:rPr>
              <w:fldChar w:fldCharType="end"/>
            </w:r>
            <w:r>
              <w:rPr>
                <w:sz w:val="24"/>
                <w:szCs w:val="24"/>
              </w:rPr>
              <w:t>），点击右侧咨询小采，获取采小蜜智能服务管家帮助，或拨打政采云服务热线 95763 获取热线服务帮助。</w:t>
            </w:r>
          </w:p>
          <w:p w14:paraId="231592D6">
            <w:pPr>
              <w:pStyle w:val="15"/>
              <w:spacing w:line="398" w:lineRule="auto"/>
              <w:ind w:left="106" w:right="155"/>
              <w:rPr>
                <w:sz w:val="24"/>
                <w:szCs w:val="24"/>
              </w:rPr>
            </w:pPr>
            <w:r>
              <w:rPr>
                <w:sz w:val="24"/>
                <w:szCs w:val="24"/>
              </w:rPr>
              <w:t>温馨提醒：供应商应提前上传，以便在上传时遇到技术问题，有充足的时间请教平台的技术人员。</w:t>
            </w:r>
          </w:p>
          <w:p w14:paraId="41956A42">
            <w:pPr>
              <w:pStyle w:val="15"/>
              <w:spacing w:before="1" w:line="398" w:lineRule="auto"/>
              <w:ind w:left="106" w:right="95"/>
              <w:jc w:val="both"/>
              <w:rPr>
                <w:sz w:val="24"/>
                <w:szCs w:val="24"/>
              </w:rPr>
            </w:pPr>
            <w:r>
              <w:rPr>
                <w:spacing w:val="-1"/>
                <w:sz w:val="24"/>
                <w:szCs w:val="24"/>
              </w:rPr>
              <w:t>2</w:t>
            </w:r>
            <w:r>
              <w:rPr>
                <w:spacing w:val="-7"/>
                <w:sz w:val="24"/>
                <w:szCs w:val="24"/>
              </w:rPr>
              <w:t>、供应商认为招标文件使自己的权益受到损害的，可以自收到招标文件之日</w:t>
            </w:r>
            <w:r>
              <w:rPr>
                <w:spacing w:val="-3"/>
                <w:sz w:val="24"/>
                <w:szCs w:val="24"/>
              </w:rPr>
              <w:t>（招标文件公告期限届满之前收到招标文件的，以完成获取招标文件申请后下载招标文件的时间为准）或者招标文件公告期限届满之日（</w:t>
            </w:r>
            <w:r>
              <w:rPr>
                <w:sz w:val="24"/>
                <w:szCs w:val="24"/>
              </w:rPr>
              <w:t>公告发</w:t>
            </w:r>
            <w:r>
              <w:rPr>
                <w:spacing w:val="-13"/>
                <w:sz w:val="24"/>
                <w:szCs w:val="24"/>
              </w:rPr>
              <w:t xml:space="preserve">布后的第 </w:t>
            </w:r>
            <w:r>
              <w:rPr>
                <w:sz w:val="24"/>
                <w:szCs w:val="24"/>
              </w:rPr>
              <w:t>6</w:t>
            </w:r>
            <w:r>
              <w:rPr>
                <w:spacing w:val="-12"/>
                <w:sz w:val="24"/>
                <w:szCs w:val="24"/>
              </w:rPr>
              <w:t xml:space="preserve"> 个工作日</w:t>
            </w:r>
            <w:r>
              <w:rPr>
                <w:spacing w:val="-3"/>
                <w:sz w:val="24"/>
                <w:szCs w:val="24"/>
              </w:rPr>
              <w:t>）</w:t>
            </w:r>
            <w:r>
              <w:rPr>
                <w:spacing w:val="-26"/>
                <w:sz w:val="24"/>
                <w:szCs w:val="24"/>
              </w:rPr>
              <w:t xml:space="preserve">起 </w:t>
            </w:r>
            <w:r>
              <w:rPr>
                <w:sz w:val="24"/>
                <w:szCs w:val="24"/>
              </w:rPr>
              <w:t>7</w:t>
            </w:r>
            <w:r>
              <w:rPr>
                <w:spacing w:val="-9"/>
                <w:sz w:val="24"/>
                <w:szCs w:val="24"/>
              </w:rPr>
              <w:t xml:space="preserve"> 个工作日内且应当在采购响应截止时间之前，</w:t>
            </w:r>
            <w:r>
              <w:rPr>
                <w:spacing w:val="-3"/>
                <w:sz w:val="24"/>
                <w:szCs w:val="24"/>
              </w:rPr>
              <w:t>以书面形式一次性向采购人和采购代理机构提出同一环节的质疑。否则，</w:t>
            </w:r>
            <w:r>
              <w:rPr>
                <w:sz w:val="24"/>
                <w:szCs w:val="24"/>
              </w:rPr>
              <w:t>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或逾期提出的不予受理、答复。</w:t>
            </w:r>
          </w:p>
        </w:tc>
      </w:tr>
      <w:tr w14:paraId="5D54D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7" w:hRule="atLeast"/>
        </w:trPr>
        <w:tc>
          <w:tcPr>
            <w:tcW w:w="2646" w:type="dxa"/>
            <w:vAlign w:val="top"/>
          </w:tcPr>
          <w:p w14:paraId="6CE084DC">
            <w:pPr>
              <w:pStyle w:val="15"/>
              <w:rPr>
                <w:b/>
                <w:sz w:val="24"/>
                <w:szCs w:val="24"/>
              </w:rPr>
            </w:pPr>
          </w:p>
          <w:p w14:paraId="2F29333F">
            <w:pPr>
              <w:pStyle w:val="15"/>
              <w:rPr>
                <w:b/>
                <w:sz w:val="24"/>
                <w:szCs w:val="24"/>
              </w:rPr>
            </w:pPr>
          </w:p>
          <w:p w14:paraId="596F98FC">
            <w:pPr>
              <w:pStyle w:val="15"/>
              <w:rPr>
                <w:b/>
                <w:sz w:val="24"/>
                <w:szCs w:val="24"/>
              </w:rPr>
            </w:pPr>
          </w:p>
          <w:p w14:paraId="544E155F">
            <w:pPr>
              <w:pStyle w:val="15"/>
              <w:rPr>
                <w:b/>
                <w:sz w:val="24"/>
                <w:szCs w:val="24"/>
              </w:rPr>
            </w:pPr>
          </w:p>
          <w:p w14:paraId="38BDD861">
            <w:pPr>
              <w:pStyle w:val="15"/>
              <w:rPr>
                <w:b/>
                <w:sz w:val="24"/>
                <w:szCs w:val="24"/>
              </w:rPr>
            </w:pPr>
          </w:p>
          <w:p w14:paraId="683FABE9">
            <w:pPr>
              <w:pStyle w:val="15"/>
              <w:rPr>
                <w:b/>
                <w:sz w:val="24"/>
                <w:szCs w:val="24"/>
              </w:rPr>
            </w:pPr>
          </w:p>
          <w:p w14:paraId="1DD618B0">
            <w:pPr>
              <w:pStyle w:val="15"/>
              <w:rPr>
                <w:b/>
                <w:sz w:val="24"/>
                <w:szCs w:val="24"/>
              </w:rPr>
            </w:pPr>
          </w:p>
          <w:p w14:paraId="3AE00251">
            <w:pPr>
              <w:pStyle w:val="15"/>
              <w:rPr>
                <w:b/>
                <w:sz w:val="24"/>
                <w:szCs w:val="24"/>
              </w:rPr>
            </w:pPr>
          </w:p>
          <w:p w14:paraId="7601639A">
            <w:pPr>
              <w:pStyle w:val="15"/>
              <w:rPr>
                <w:b/>
                <w:sz w:val="24"/>
                <w:szCs w:val="24"/>
              </w:rPr>
            </w:pPr>
          </w:p>
          <w:p w14:paraId="57776B24">
            <w:pPr>
              <w:pStyle w:val="15"/>
              <w:rPr>
                <w:b/>
                <w:sz w:val="24"/>
                <w:szCs w:val="24"/>
              </w:rPr>
            </w:pPr>
          </w:p>
          <w:p w14:paraId="1AEBB6D4">
            <w:pPr>
              <w:pStyle w:val="15"/>
              <w:rPr>
                <w:b/>
                <w:sz w:val="24"/>
                <w:szCs w:val="24"/>
              </w:rPr>
            </w:pPr>
          </w:p>
          <w:p w14:paraId="76D16463">
            <w:pPr>
              <w:pStyle w:val="15"/>
              <w:rPr>
                <w:b/>
                <w:sz w:val="24"/>
                <w:szCs w:val="24"/>
              </w:rPr>
            </w:pPr>
          </w:p>
          <w:p w14:paraId="3AFED293">
            <w:pPr>
              <w:pStyle w:val="15"/>
              <w:rPr>
                <w:b/>
                <w:sz w:val="24"/>
                <w:szCs w:val="24"/>
              </w:rPr>
            </w:pPr>
          </w:p>
          <w:p w14:paraId="50C12086">
            <w:pPr>
              <w:pStyle w:val="15"/>
              <w:rPr>
                <w:b/>
                <w:sz w:val="24"/>
                <w:szCs w:val="24"/>
              </w:rPr>
            </w:pPr>
          </w:p>
          <w:p w14:paraId="29E0D963">
            <w:pPr>
              <w:pStyle w:val="15"/>
              <w:rPr>
                <w:b/>
                <w:sz w:val="24"/>
                <w:szCs w:val="24"/>
              </w:rPr>
            </w:pPr>
          </w:p>
          <w:p w14:paraId="3FC03D11">
            <w:pPr>
              <w:pStyle w:val="15"/>
              <w:spacing w:before="9"/>
              <w:rPr>
                <w:b/>
                <w:sz w:val="24"/>
                <w:szCs w:val="24"/>
              </w:rPr>
            </w:pPr>
          </w:p>
          <w:p w14:paraId="218E9CEF">
            <w:pPr>
              <w:pStyle w:val="15"/>
              <w:ind w:left="1081" w:leftChars="0" w:right="1073" w:rightChars="0"/>
              <w:jc w:val="center"/>
              <w:rPr>
                <w:rFonts w:ascii="仿宋" w:hAnsi="仿宋" w:eastAsia="仿宋" w:cs="仿宋"/>
                <w:b/>
                <w:sz w:val="24"/>
                <w:szCs w:val="24"/>
                <w:lang w:val="en-US" w:eastAsia="zh-CN" w:bidi="ar-SA"/>
              </w:rPr>
            </w:pPr>
            <w:r>
              <w:rPr>
                <w:b/>
                <w:sz w:val="24"/>
                <w:szCs w:val="24"/>
              </w:rPr>
              <w:t>备注</w:t>
            </w:r>
          </w:p>
        </w:tc>
        <w:tc>
          <w:tcPr>
            <w:tcW w:w="7316" w:type="dxa"/>
            <w:vAlign w:val="top"/>
          </w:tcPr>
          <w:p w14:paraId="631CD191">
            <w:pPr>
              <w:pStyle w:val="15"/>
              <w:spacing w:before="102" w:line="338" w:lineRule="auto"/>
              <w:ind w:left="106" w:right="45"/>
              <w:rPr>
                <w:sz w:val="24"/>
                <w:szCs w:val="24"/>
              </w:rPr>
            </w:pPr>
            <w:r>
              <w:rPr>
                <w:sz w:val="24"/>
                <w:szCs w:val="24"/>
              </w:rPr>
              <w:t>1、着重提醒各投标人注意，并认真查看招标文件中的每一个条款及要求， 因误读招标文件而造成的后果，招标人概不负责。</w:t>
            </w:r>
          </w:p>
          <w:p w14:paraId="0D600A7B">
            <w:pPr>
              <w:pStyle w:val="15"/>
              <w:spacing w:line="398" w:lineRule="auto"/>
              <w:ind w:left="106" w:right="155"/>
              <w:rPr>
                <w:sz w:val="24"/>
                <w:szCs w:val="24"/>
              </w:rPr>
            </w:pPr>
            <w:r>
              <w:rPr>
                <w:sz w:val="24"/>
                <w:szCs w:val="24"/>
              </w:rPr>
              <w:t>2</w:t>
            </w:r>
            <w:r>
              <w:rPr>
                <w:spacing w:val="-9"/>
                <w:sz w:val="24"/>
                <w:szCs w:val="24"/>
              </w:rPr>
              <w:t xml:space="preserve">、投标人使用相同 </w:t>
            </w:r>
            <w:r>
              <w:rPr>
                <w:sz w:val="24"/>
                <w:szCs w:val="24"/>
              </w:rPr>
              <w:t>IP</w:t>
            </w:r>
            <w:r>
              <w:rPr>
                <w:spacing w:val="-9"/>
                <w:sz w:val="24"/>
                <w:szCs w:val="24"/>
              </w:rPr>
              <w:t xml:space="preserve"> 地址的，一经发现，相关部门将进一步核实，查实</w:t>
            </w:r>
            <w:r>
              <w:rPr>
                <w:spacing w:val="-3"/>
                <w:sz w:val="24"/>
                <w:szCs w:val="24"/>
              </w:rPr>
              <w:t>后按串通投标处理。</w:t>
            </w:r>
          </w:p>
          <w:p w14:paraId="2BA45EC1">
            <w:pPr>
              <w:pStyle w:val="15"/>
              <w:ind w:left="106" w:right="-15"/>
              <w:rPr>
                <w:sz w:val="24"/>
                <w:szCs w:val="24"/>
              </w:rPr>
            </w:pPr>
            <w:r>
              <w:rPr>
                <w:spacing w:val="-1"/>
                <w:sz w:val="24"/>
                <w:szCs w:val="24"/>
              </w:rPr>
              <w:t>3</w:t>
            </w:r>
            <w:r>
              <w:rPr>
                <w:spacing w:val="-15"/>
                <w:sz w:val="24"/>
                <w:szCs w:val="24"/>
              </w:rPr>
              <w:t>、为保证本项目质量，良好的售后服务，最低报价不作为中标的唯一依据。</w:t>
            </w:r>
          </w:p>
          <w:p w14:paraId="11B25DF8">
            <w:pPr>
              <w:pStyle w:val="15"/>
              <w:spacing w:before="183" w:line="398" w:lineRule="auto"/>
              <w:ind w:left="106" w:right="95"/>
              <w:jc w:val="both"/>
              <w:rPr>
                <w:sz w:val="24"/>
                <w:szCs w:val="24"/>
              </w:rPr>
            </w:pPr>
            <w:r>
              <w:rPr>
                <w:spacing w:val="-1"/>
                <w:sz w:val="24"/>
                <w:szCs w:val="24"/>
              </w:rPr>
              <w:t>4</w:t>
            </w:r>
            <w:r>
              <w:rPr>
                <w:spacing w:val="-7"/>
                <w:sz w:val="24"/>
                <w:szCs w:val="24"/>
              </w:rPr>
              <w:t>、采购人若发现成交候选供应商在投标过程中提供虚假证明文件，故意隐</w:t>
            </w:r>
            <w:r>
              <w:rPr>
                <w:spacing w:val="-3"/>
                <w:sz w:val="24"/>
                <w:szCs w:val="24"/>
              </w:rPr>
              <w:t>瞒公司不良信誉和财务状况，以及其他可能对合同圆满履行造成风险的因素等，则按规定取消其成交资格，监管部门依法进行处理。</w:t>
            </w:r>
          </w:p>
          <w:p w14:paraId="5782F306">
            <w:pPr>
              <w:pStyle w:val="15"/>
              <w:ind w:left="106"/>
              <w:rPr>
                <w:sz w:val="24"/>
                <w:szCs w:val="24"/>
              </w:rPr>
            </w:pPr>
            <w:r>
              <w:rPr>
                <w:sz w:val="24"/>
                <w:szCs w:val="24"/>
              </w:rPr>
              <w:t>5、其它：</w:t>
            </w:r>
          </w:p>
          <w:p w14:paraId="401435E7">
            <w:pPr>
              <w:pStyle w:val="15"/>
              <w:numPr>
                <w:ilvl w:val="0"/>
                <w:numId w:val="8"/>
              </w:numPr>
              <w:tabs>
                <w:tab w:val="left" w:pos="660"/>
              </w:tabs>
              <w:spacing w:before="186" w:after="0" w:line="398" w:lineRule="auto"/>
              <w:ind w:left="106" w:right="95" w:firstLine="0"/>
              <w:jc w:val="left"/>
              <w:rPr>
                <w:sz w:val="24"/>
                <w:szCs w:val="24"/>
              </w:rPr>
            </w:pPr>
            <w:r>
              <w:rPr>
                <w:spacing w:val="-5"/>
                <w:sz w:val="24"/>
                <w:szCs w:val="24"/>
              </w:rPr>
              <w:t xml:space="preserve">投标企业严格遵守国家的法律法规及招标纪律，无违法违纪及商业 </w:t>
            </w:r>
            <w:r>
              <w:rPr>
                <w:spacing w:val="-1"/>
                <w:sz w:val="24"/>
                <w:szCs w:val="24"/>
              </w:rPr>
              <w:t>贿赂行为。</w:t>
            </w:r>
          </w:p>
          <w:p w14:paraId="231C6837">
            <w:pPr>
              <w:pStyle w:val="15"/>
              <w:numPr>
                <w:ilvl w:val="0"/>
                <w:numId w:val="8"/>
              </w:numPr>
              <w:tabs>
                <w:tab w:val="left" w:pos="660"/>
              </w:tabs>
              <w:spacing w:before="1" w:after="0" w:line="240" w:lineRule="auto"/>
              <w:ind w:left="659" w:right="0" w:hanging="554"/>
              <w:jc w:val="left"/>
              <w:rPr>
                <w:sz w:val="24"/>
                <w:szCs w:val="24"/>
              </w:rPr>
            </w:pPr>
            <w:r>
              <w:rPr>
                <w:spacing w:val="-3"/>
                <w:sz w:val="24"/>
                <w:szCs w:val="24"/>
              </w:rPr>
              <w:t>不管投标结果如何，供应商均应自行承担投标所需一切费用。</w:t>
            </w:r>
          </w:p>
          <w:p w14:paraId="32967764">
            <w:pPr>
              <w:pStyle w:val="15"/>
              <w:numPr>
                <w:ilvl w:val="0"/>
                <w:numId w:val="8"/>
              </w:numPr>
              <w:tabs>
                <w:tab w:val="left" w:pos="660"/>
              </w:tabs>
              <w:spacing w:before="186" w:after="0" w:line="398" w:lineRule="auto"/>
              <w:ind w:left="106" w:right="95" w:firstLine="0"/>
              <w:jc w:val="left"/>
              <w:rPr>
                <w:sz w:val="24"/>
                <w:szCs w:val="24"/>
              </w:rPr>
            </w:pPr>
            <w:r>
              <w:rPr>
                <w:spacing w:val="-5"/>
                <w:sz w:val="24"/>
                <w:szCs w:val="24"/>
              </w:rPr>
              <w:t xml:space="preserve">供应商应以书面形式保证中标后由本公司组织实施，不得以任何理 </w:t>
            </w:r>
            <w:r>
              <w:rPr>
                <w:spacing w:val="-4"/>
                <w:sz w:val="24"/>
                <w:szCs w:val="24"/>
              </w:rPr>
              <w:t>由将项目转包给其他机构。</w:t>
            </w:r>
          </w:p>
          <w:p w14:paraId="5F4D6A52">
            <w:pPr>
              <w:pStyle w:val="15"/>
              <w:numPr>
                <w:ilvl w:val="0"/>
                <w:numId w:val="8"/>
              </w:numPr>
              <w:tabs>
                <w:tab w:val="left" w:pos="660"/>
              </w:tabs>
              <w:spacing w:before="0" w:after="0" w:line="240" w:lineRule="auto"/>
              <w:ind w:left="659" w:right="0" w:hanging="554"/>
              <w:jc w:val="left"/>
              <w:rPr>
                <w:sz w:val="24"/>
                <w:szCs w:val="24"/>
              </w:rPr>
            </w:pPr>
            <w:r>
              <w:rPr>
                <w:spacing w:val="-3"/>
                <w:sz w:val="24"/>
                <w:szCs w:val="24"/>
              </w:rPr>
              <w:t>招标文件中如出现前后不一致情况，均以前附表内容为准。</w:t>
            </w:r>
          </w:p>
          <w:p w14:paraId="574E5B24">
            <w:pPr>
              <w:pStyle w:val="15"/>
              <w:spacing w:before="155" w:line="345" w:lineRule="auto"/>
              <w:ind w:left="106" w:right="44"/>
              <w:rPr>
                <w:sz w:val="24"/>
                <w:szCs w:val="24"/>
              </w:rPr>
            </w:pPr>
            <w:r>
              <w:rPr>
                <w:sz w:val="24"/>
                <w:szCs w:val="24"/>
              </w:rPr>
              <w:t>6、特别提示：提供相同品牌（特指核心产品）产品且通过资格审查、符合性审查的不同投标人参加同一合同项下投标的，按一家投标人计算，评审后得分最高的同品牌投标人获得中标人推荐资格；评审得分相同的，由采购人或者采购人委托评标委员会采 取随机抽取的方式确定一个投标人获得中标人推荐资格，其他同品牌投标人不作为中标候人。</w:t>
            </w:r>
          </w:p>
          <w:p w14:paraId="06C0A3EB">
            <w:pPr>
              <w:pStyle w:val="15"/>
              <w:spacing w:line="235" w:lineRule="exact"/>
              <w:ind w:left="106" w:leftChars="0" w:right="0" w:rightChars="0"/>
              <w:rPr>
                <w:rFonts w:ascii="仿宋" w:hAnsi="仿宋" w:eastAsia="仿宋" w:cs="仿宋"/>
                <w:sz w:val="24"/>
                <w:szCs w:val="24"/>
                <w:lang w:val="en-US" w:eastAsia="zh-CN" w:bidi="ar-SA"/>
              </w:rPr>
            </w:pPr>
            <w:r>
              <w:rPr>
                <w:sz w:val="24"/>
                <w:szCs w:val="24"/>
              </w:rPr>
              <w:t>7、本项目所属行业为：工业。</w:t>
            </w:r>
          </w:p>
        </w:tc>
      </w:tr>
    </w:tbl>
    <w:p w14:paraId="13937533">
      <w:pPr>
        <w:spacing w:after="0"/>
        <w:rPr>
          <w:sz w:val="24"/>
          <w:szCs w:val="24"/>
        </w:rPr>
        <w:sectPr>
          <w:pgSz w:w="11910" w:h="16840"/>
          <w:pgMar w:top="1420" w:right="660" w:bottom="1100" w:left="660" w:header="0" w:footer="909" w:gutter="0"/>
          <w:cols w:space="720" w:num="1"/>
        </w:sectPr>
      </w:pPr>
    </w:p>
    <w:p w14:paraId="7606A292">
      <w:pPr>
        <w:pStyle w:val="5"/>
        <w:spacing w:before="35"/>
        <w:ind w:right="1616"/>
        <w:jc w:val="center"/>
      </w:pPr>
      <w:bookmarkStart w:id="4" w:name="二、投标人须知"/>
      <w:bookmarkEnd w:id="4"/>
      <w:r>
        <w:t>二、投标人须知</w:t>
      </w:r>
    </w:p>
    <w:p w14:paraId="41192022">
      <w:pPr>
        <w:pStyle w:val="5"/>
        <w:tabs>
          <w:tab w:val="left" w:pos="1403"/>
        </w:tabs>
        <w:spacing w:before="81"/>
        <w:ind w:left="0" w:right="143"/>
        <w:jc w:val="center"/>
      </w:pPr>
      <w:bookmarkStart w:id="5" w:name="（一）总  则"/>
      <w:bookmarkEnd w:id="5"/>
      <w:r>
        <w:t>（一）总</w:t>
      </w:r>
      <w:r>
        <w:tab/>
      </w:r>
      <w:r>
        <w:t>则</w:t>
      </w:r>
    </w:p>
    <w:p w14:paraId="25AA1A33">
      <w:pPr>
        <w:pStyle w:val="7"/>
        <w:numPr>
          <w:ilvl w:val="0"/>
          <w:numId w:val="9"/>
        </w:numPr>
        <w:tabs>
          <w:tab w:val="left" w:pos="1144"/>
        </w:tabs>
        <w:spacing w:before="120" w:after="0" w:line="240" w:lineRule="auto"/>
        <w:ind w:left="1143" w:right="7581" w:hanging="1144"/>
        <w:jc w:val="left"/>
        <w:rPr>
          <w:sz w:val="22"/>
        </w:rPr>
      </w:pPr>
      <w:r>
        <w:t>项目概况</w:t>
      </w:r>
    </w:p>
    <w:p w14:paraId="0DCE233A">
      <w:pPr>
        <w:pStyle w:val="14"/>
        <w:numPr>
          <w:ilvl w:val="1"/>
          <w:numId w:val="9"/>
        </w:numPr>
        <w:tabs>
          <w:tab w:val="left" w:pos="1320"/>
        </w:tabs>
        <w:spacing w:before="134" w:after="0" w:line="240" w:lineRule="auto"/>
        <w:ind w:left="1320" w:right="0" w:hanging="420"/>
        <w:jc w:val="left"/>
        <w:rPr>
          <w:sz w:val="24"/>
        </w:rPr>
      </w:pPr>
      <w:r>
        <w:rPr>
          <w:sz w:val="24"/>
        </w:rPr>
        <w:t>本次招标采购项目名称：见投标人须知前附表。</w:t>
      </w:r>
    </w:p>
    <w:p w14:paraId="5F6E3D19">
      <w:pPr>
        <w:pStyle w:val="8"/>
        <w:spacing w:before="132" w:line="343" w:lineRule="auto"/>
        <w:ind w:left="2940" w:right="4045"/>
      </w:pPr>
      <w:r>
        <w:rPr>
          <w:spacing w:val="-2"/>
        </w:rPr>
        <w:t>项目编号：见投标人须知前附表。</w:t>
      </w:r>
      <w:r>
        <w:t xml:space="preserve">招标人：见投标人须知前附表。 </w:t>
      </w:r>
      <w:r>
        <w:rPr>
          <w:spacing w:val="-2"/>
        </w:rPr>
        <w:t>供货期限：见投标人须知前附表。服务地点：见投标人须知前附表。</w:t>
      </w:r>
    </w:p>
    <w:p w14:paraId="292E8AB4">
      <w:pPr>
        <w:pStyle w:val="14"/>
        <w:numPr>
          <w:ilvl w:val="1"/>
          <w:numId w:val="9"/>
        </w:numPr>
        <w:tabs>
          <w:tab w:val="left" w:pos="1320"/>
        </w:tabs>
        <w:spacing w:before="0" w:after="0" w:line="345" w:lineRule="auto"/>
        <w:ind w:left="1260" w:right="4765" w:hanging="360"/>
        <w:jc w:val="left"/>
        <w:rPr>
          <w:sz w:val="24"/>
        </w:rPr>
      </w:pPr>
      <w:r>
        <w:rPr>
          <w:sz w:val="24"/>
        </w:rPr>
        <w:t>招标人及联系人: 见投标人须知前附表。</w:t>
      </w:r>
      <w:r>
        <w:rPr>
          <w:spacing w:val="-1"/>
          <w:sz w:val="24"/>
        </w:rPr>
        <w:t>代理机构及联系人: 见投标人须知前附表。</w:t>
      </w:r>
    </w:p>
    <w:p w14:paraId="46B435C9">
      <w:pPr>
        <w:pStyle w:val="14"/>
        <w:numPr>
          <w:ilvl w:val="1"/>
          <w:numId w:val="9"/>
        </w:numPr>
        <w:tabs>
          <w:tab w:val="left" w:pos="1320"/>
        </w:tabs>
        <w:spacing w:before="0" w:after="0" w:line="303" w:lineRule="exact"/>
        <w:ind w:left="1320" w:right="0" w:hanging="420"/>
        <w:jc w:val="left"/>
        <w:rPr>
          <w:sz w:val="24"/>
        </w:rPr>
      </w:pPr>
      <w:r>
        <w:rPr>
          <w:sz w:val="24"/>
        </w:rPr>
        <w:t>资金来源：见投标人须知前附表。</w:t>
      </w:r>
    </w:p>
    <w:p w14:paraId="5A0B915A">
      <w:pPr>
        <w:pStyle w:val="14"/>
        <w:numPr>
          <w:ilvl w:val="1"/>
          <w:numId w:val="9"/>
        </w:numPr>
        <w:tabs>
          <w:tab w:val="left" w:pos="1320"/>
        </w:tabs>
        <w:spacing w:before="132" w:after="0" w:line="240" w:lineRule="auto"/>
        <w:ind w:left="1320" w:right="0" w:hanging="420"/>
        <w:jc w:val="left"/>
        <w:rPr>
          <w:sz w:val="24"/>
        </w:rPr>
      </w:pPr>
      <w:r>
        <w:rPr>
          <w:sz w:val="24"/>
        </w:rPr>
        <w:t>本项目预算：见投标人须知前附表。</w:t>
      </w:r>
    </w:p>
    <w:p w14:paraId="166AEEC1">
      <w:pPr>
        <w:pStyle w:val="14"/>
        <w:numPr>
          <w:ilvl w:val="1"/>
          <w:numId w:val="9"/>
        </w:numPr>
        <w:tabs>
          <w:tab w:val="left" w:pos="1320"/>
        </w:tabs>
        <w:spacing w:before="134" w:after="0" w:line="343" w:lineRule="auto"/>
        <w:ind w:left="900" w:right="5185" w:firstLine="0"/>
        <w:jc w:val="left"/>
        <w:rPr>
          <w:b/>
          <w:sz w:val="24"/>
        </w:rPr>
      </w:pPr>
      <w:r>
        <w:rPr>
          <w:spacing w:val="-2"/>
          <w:sz w:val="24"/>
        </w:rPr>
        <w:t>本项目控制价：见投标人须知前附表。</w:t>
      </w:r>
      <w:r>
        <w:rPr>
          <w:b/>
          <w:sz w:val="24"/>
        </w:rPr>
        <w:t>2.招标范围：</w:t>
      </w:r>
    </w:p>
    <w:p w14:paraId="1236A93F">
      <w:pPr>
        <w:pStyle w:val="14"/>
        <w:numPr>
          <w:ilvl w:val="1"/>
          <w:numId w:val="10"/>
        </w:numPr>
        <w:tabs>
          <w:tab w:val="left" w:pos="1380"/>
        </w:tabs>
        <w:spacing w:before="0" w:after="0" w:line="306" w:lineRule="exact"/>
        <w:ind w:left="1380" w:right="0" w:hanging="480"/>
        <w:jc w:val="left"/>
        <w:rPr>
          <w:sz w:val="24"/>
        </w:rPr>
      </w:pPr>
      <w:r>
        <w:rPr>
          <w:sz w:val="24"/>
        </w:rPr>
        <w:t>采购内容：见投标人须知前附表。</w:t>
      </w:r>
    </w:p>
    <w:p w14:paraId="3D3AAE21">
      <w:pPr>
        <w:pStyle w:val="14"/>
        <w:numPr>
          <w:ilvl w:val="1"/>
          <w:numId w:val="10"/>
        </w:numPr>
        <w:tabs>
          <w:tab w:val="left" w:pos="1380"/>
        </w:tabs>
        <w:spacing w:before="134" w:after="0" w:line="343" w:lineRule="auto"/>
        <w:ind w:left="900" w:right="3445" w:firstLine="0"/>
        <w:jc w:val="left"/>
        <w:rPr>
          <w:b/>
          <w:sz w:val="24"/>
        </w:rPr>
      </w:pPr>
      <w:r>
        <w:rPr>
          <w:spacing w:val="-1"/>
          <w:sz w:val="24"/>
        </w:rPr>
        <w:t>技术要求：详见采购文件第四章采购内容及技术要求。</w:t>
      </w:r>
      <w:r>
        <w:rPr>
          <w:b/>
          <w:sz w:val="24"/>
        </w:rPr>
        <w:t>3.标包划分：</w:t>
      </w:r>
    </w:p>
    <w:p w14:paraId="0B110319">
      <w:pPr>
        <w:spacing w:before="0" w:line="345" w:lineRule="auto"/>
        <w:ind w:left="900" w:right="6745" w:firstLine="0"/>
        <w:jc w:val="left"/>
        <w:rPr>
          <w:b/>
          <w:sz w:val="24"/>
        </w:rPr>
      </w:pPr>
      <w:r>
        <w:rPr>
          <w:sz w:val="24"/>
        </w:rPr>
        <w:t>3.1</w:t>
      </w:r>
      <w:r>
        <w:rPr>
          <w:spacing w:val="-9"/>
          <w:sz w:val="24"/>
        </w:rPr>
        <w:t xml:space="preserve"> 本项目划分：</w:t>
      </w:r>
      <w:r>
        <w:rPr>
          <w:sz w:val="24"/>
          <w:u w:val="single"/>
        </w:rPr>
        <w:t xml:space="preserve"> 1</w:t>
      </w:r>
      <w:r>
        <w:rPr>
          <w:spacing w:val="-5"/>
          <w:sz w:val="24"/>
        </w:rPr>
        <w:t xml:space="preserve"> 个包。</w:t>
      </w:r>
      <w:r>
        <w:rPr>
          <w:b/>
          <w:sz w:val="24"/>
        </w:rPr>
        <w:t>4.招标方式：</w:t>
      </w:r>
    </w:p>
    <w:p w14:paraId="4CB1AA23">
      <w:pPr>
        <w:spacing w:before="0" w:line="343" w:lineRule="auto"/>
        <w:ind w:left="900" w:right="4945" w:firstLine="0"/>
        <w:jc w:val="left"/>
        <w:rPr>
          <w:rFonts w:hint="default" w:eastAsia="仿宋"/>
          <w:b/>
          <w:sz w:val="24"/>
          <w:lang w:val="en-US" w:eastAsia="zh-CN"/>
        </w:rPr>
      </w:pPr>
      <w:r>
        <w:rPr>
          <w:sz w:val="24"/>
        </w:rPr>
        <w:t>4.1</w:t>
      </w:r>
      <w:r>
        <w:rPr>
          <w:spacing w:val="-9"/>
          <w:sz w:val="24"/>
        </w:rPr>
        <w:t xml:space="preserve"> 本项目招标方式：见投标人须知前附表。</w:t>
      </w:r>
      <w:r>
        <w:rPr>
          <w:b/>
          <w:sz w:val="24"/>
        </w:rPr>
        <w:t>5.计价方式：</w:t>
      </w:r>
      <w:r>
        <w:rPr>
          <w:rFonts w:hint="eastAsia"/>
          <w:b/>
          <w:sz w:val="24"/>
          <w:lang w:val="en-US" w:eastAsia="zh-CN"/>
        </w:rPr>
        <w:t>固定价格</w:t>
      </w:r>
    </w:p>
    <w:p w14:paraId="22C5A20A">
      <w:pPr>
        <w:pStyle w:val="7"/>
        <w:numPr>
          <w:ilvl w:val="0"/>
          <w:numId w:val="11"/>
        </w:numPr>
        <w:tabs>
          <w:tab w:val="left" w:pos="1144"/>
        </w:tabs>
        <w:spacing w:before="0" w:after="0" w:line="240" w:lineRule="auto"/>
        <w:ind w:left="1143" w:right="0" w:hanging="244"/>
        <w:jc w:val="left"/>
      </w:pPr>
      <w:r>
        <w:t>评标办法：</w:t>
      </w:r>
    </w:p>
    <w:p w14:paraId="4F64EF0C">
      <w:pPr>
        <w:pStyle w:val="14"/>
        <w:numPr>
          <w:ilvl w:val="1"/>
          <w:numId w:val="11"/>
        </w:numPr>
        <w:tabs>
          <w:tab w:val="left" w:pos="1320"/>
        </w:tabs>
        <w:spacing w:before="128" w:after="0" w:line="343" w:lineRule="auto"/>
        <w:ind w:left="900" w:right="3145" w:firstLine="0"/>
        <w:jc w:val="left"/>
        <w:rPr>
          <w:b/>
          <w:sz w:val="24"/>
        </w:rPr>
      </w:pPr>
      <w:r>
        <w:rPr>
          <w:sz w:val="24"/>
        </w:rPr>
        <w:t>本次招标评标采用</w:t>
      </w:r>
      <w:r>
        <w:rPr>
          <w:sz w:val="24"/>
          <w:u w:val="single"/>
        </w:rPr>
        <w:t xml:space="preserve"> 综合评分法</w:t>
      </w:r>
      <w:r>
        <w:rPr>
          <w:sz w:val="24"/>
        </w:rPr>
        <w:t xml:space="preserve"> （详见第三章评标办法</w:t>
      </w:r>
      <w:r>
        <w:rPr>
          <w:spacing w:val="-19"/>
          <w:sz w:val="24"/>
        </w:rPr>
        <w:t xml:space="preserve">） </w:t>
      </w:r>
      <w:r>
        <w:rPr>
          <w:b/>
          <w:sz w:val="24"/>
        </w:rPr>
        <w:t>7.投标人资格：</w:t>
      </w:r>
    </w:p>
    <w:p w14:paraId="47991CCC">
      <w:pPr>
        <w:pStyle w:val="14"/>
        <w:numPr>
          <w:ilvl w:val="1"/>
          <w:numId w:val="12"/>
        </w:numPr>
        <w:tabs>
          <w:tab w:val="left" w:pos="1320"/>
        </w:tabs>
        <w:spacing w:before="1" w:after="0" w:line="343" w:lineRule="auto"/>
        <w:ind w:left="420" w:right="445" w:firstLine="480"/>
        <w:jc w:val="left"/>
        <w:rPr>
          <w:sz w:val="24"/>
        </w:rPr>
      </w:pPr>
      <w:r>
        <w:rPr>
          <w:spacing w:val="-5"/>
          <w:sz w:val="24"/>
        </w:rPr>
        <w:t>参与采购活动的投标人必须是满足《中华人民共和国政府采购法》规定条件的法人、</w:t>
      </w:r>
      <w:r>
        <w:rPr>
          <w:sz w:val="24"/>
        </w:rPr>
        <w:t>其他组织或者自然人：</w:t>
      </w:r>
    </w:p>
    <w:p w14:paraId="6025E45F">
      <w:pPr>
        <w:pStyle w:val="14"/>
        <w:numPr>
          <w:ilvl w:val="1"/>
          <w:numId w:val="12"/>
        </w:numPr>
        <w:tabs>
          <w:tab w:val="left" w:pos="1320"/>
        </w:tabs>
        <w:spacing w:before="0" w:after="0" w:line="345" w:lineRule="auto"/>
        <w:ind w:left="420" w:right="625" w:firstLine="480"/>
        <w:jc w:val="left"/>
        <w:rPr>
          <w:sz w:val="24"/>
        </w:rPr>
      </w:pPr>
      <w:r>
        <w:rPr>
          <w:spacing w:val="-1"/>
          <w:sz w:val="24"/>
        </w:rPr>
        <w:t>由于政府采购项目的差异性，投标人在参与具体政府采购项目活动时，应仔细阅读</w:t>
      </w:r>
      <w:r>
        <w:rPr>
          <w:sz w:val="24"/>
        </w:rPr>
        <w:t>该项目的资质要求,具体见投标人资格。</w:t>
      </w:r>
    </w:p>
    <w:p w14:paraId="3ACBF856">
      <w:pPr>
        <w:pStyle w:val="14"/>
        <w:numPr>
          <w:ilvl w:val="1"/>
          <w:numId w:val="12"/>
        </w:numPr>
        <w:tabs>
          <w:tab w:val="left" w:pos="1320"/>
        </w:tabs>
        <w:spacing w:before="0" w:after="0" w:line="272" w:lineRule="exact"/>
        <w:ind w:left="1320" w:right="0" w:hanging="420"/>
        <w:jc w:val="left"/>
        <w:rPr>
          <w:sz w:val="24"/>
        </w:rPr>
      </w:pPr>
      <w:r>
        <w:rPr>
          <w:sz w:val="24"/>
        </w:rPr>
        <w:t>满足《中华人民共和国政府采购法》第二十二条规定；</w:t>
      </w:r>
    </w:p>
    <w:p w14:paraId="32D53D0B">
      <w:pPr>
        <w:pStyle w:val="14"/>
        <w:numPr>
          <w:ilvl w:val="1"/>
          <w:numId w:val="12"/>
        </w:numPr>
        <w:tabs>
          <w:tab w:val="left" w:pos="1320"/>
        </w:tabs>
        <w:spacing w:before="161" w:after="0" w:line="364" w:lineRule="auto"/>
        <w:ind w:left="420" w:right="565" w:firstLine="480"/>
        <w:jc w:val="left"/>
        <w:rPr>
          <w:sz w:val="24"/>
        </w:rPr>
      </w:pPr>
      <w:r>
        <w:rPr>
          <w:spacing w:val="-5"/>
          <w:sz w:val="24"/>
        </w:rPr>
        <w:t>落实政府采购政策需满足的资格要求：本项目专门面向中小企业(含中型、小型、微</w:t>
      </w:r>
      <w:r>
        <w:rPr>
          <w:sz w:val="24"/>
        </w:rPr>
        <w:t>型企业)</w:t>
      </w:r>
    </w:p>
    <w:p w14:paraId="0706636F">
      <w:pPr>
        <w:pStyle w:val="14"/>
        <w:numPr>
          <w:ilvl w:val="1"/>
          <w:numId w:val="12"/>
        </w:numPr>
        <w:tabs>
          <w:tab w:val="left" w:pos="1320"/>
        </w:tabs>
        <w:spacing w:before="1" w:after="0" w:line="240" w:lineRule="auto"/>
        <w:ind w:left="1320" w:right="0" w:hanging="420"/>
        <w:jc w:val="left"/>
        <w:rPr>
          <w:color w:val="auto"/>
          <w:sz w:val="24"/>
        </w:rPr>
      </w:pPr>
      <w:r>
        <w:rPr>
          <w:sz w:val="24"/>
        </w:rPr>
        <w:t>本项</w:t>
      </w:r>
      <w:r>
        <w:rPr>
          <w:color w:val="auto"/>
          <w:sz w:val="24"/>
        </w:rPr>
        <w:t>目的特定资格要求：</w:t>
      </w:r>
    </w:p>
    <w:p w14:paraId="2BACA8D3">
      <w:pPr>
        <w:pStyle w:val="15"/>
        <w:numPr>
          <w:ilvl w:val="0"/>
          <w:numId w:val="0"/>
        </w:numPr>
        <w:tabs>
          <w:tab w:val="left" w:pos="660"/>
        </w:tabs>
        <w:spacing w:before="186" w:after="0" w:line="240" w:lineRule="auto"/>
        <w:ind w:right="0" w:rightChars="0"/>
        <w:jc w:val="left"/>
        <w:rPr>
          <w:color w:val="auto"/>
          <w:sz w:val="24"/>
        </w:rPr>
      </w:pPr>
      <w:r>
        <w:rPr>
          <w:rFonts w:hint="eastAsia"/>
          <w:color w:val="auto"/>
          <w:sz w:val="24"/>
          <w:lang w:val="en-US" w:eastAsia="zh-CN"/>
        </w:rPr>
        <w:t>（1）</w:t>
      </w:r>
      <w:r>
        <w:rPr>
          <w:color w:val="auto"/>
          <w:sz w:val="24"/>
        </w:rPr>
        <w:t>具有有效的企业法人营业执照及开户许可证；</w:t>
      </w:r>
    </w:p>
    <w:p w14:paraId="3EA67DB6">
      <w:pPr>
        <w:pStyle w:val="14"/>
        <w:numPr>
          <w:ilvl w:val="0"/>
          <w:numId w:val="0"/>
        </w:numPr>
        <w:tabs>
          <w:tab w:val="left" w:pos="1741"/>
        </w:tabs>
        <w:spacing w:before="42" w:after="0" w:line="240" w:lineRule="auto"/>
        <w:ind w:right="0" w:rightChars="0"/>
        <w:jc w:val="left"/>
        <w:rPr>
          <w:color w:val="auto"/>
          <w:sz w:val="24"/>
        </w:rPr>
      </w:pPr>
      <w:r>
        <w:rPr>
          <w:rFonts w:hint="eastAsia"/>
          <w:color w:val="auto"/>
          <w:spacing w:val="-20"/>
          <w:sz w:val="24"/>
          <w:lang w:eastAsia="zh-CN"/>
        </w:rPr>
        <w:t>（</w:t>
      </w:r>
      <w:r>
        <w:rPr>
          <w:rFonts w:hint="eastAsia"/>
          <w:color w:val="auto"/>
          <w:spacing w:val="-20"/>
          <w:sz w:val="24"/>
          <w:lang w:val="en-US" w:eastAsia="zh-CN"/>
        </w:rPr>
        <w:t>2</w:t>
      </w:r>
      <w:r>
        <w:rPr>
          <w:rFonts w:hint="eastAsia"/>
          <w:color w:val="auto"/>
          <w:spacing w:val="-20"/>
          <w:sz w:val="24"/>
          <w:lang w:eastAsia="zh-CN"/>
        </w:rPr>
        <w:t>）</w:t>
      </w:r>
      <w:r>
        <w:rPr>
          <w:color w:val="auto"/>
          <w:spacing w:val="-20"/>
          <w:sz w:val="24"/>
        </w:rPr>
        <w:t xml:space="preserve">提供 </w:t>
      </w:r>
      <w:r>
        <w:rPr>
          <w:color w:val="auto"/>
          <w:sz w:val="24"/>
        </w:rPr>
        <w:t>202</w:t>
      </w:r>
      <w:r>
        <w:rPr>
          <w:rFonts w:hint="eastAsia"/>
          <w:color w:val="auto"/>
          <w:sz w:val="24"/>
          <w:lang w:val="en-US" w:eastAsia="zh-CN"/>
        </w:rPr>
        <w:t>4</w:t>
      </w:r>
      <w:r>
        <w:rPr>
          <w:color w:val="auto"/>
          <w:spacing w:val="-14"/>
          <w:sz w:val="24"/>
        </w:rPr>
        <w:t>年财务状况报告或银行出具的资信证明材料</w:t>
      </w:r>
      <w:r>
        <w:rPr>
          <w:color w:val="auto"/>
          <w:sz w:val="24"/>
        </w:rPr>
        <w:t>（新成立的公司可不提供</w:t>
      </w:r>
      <w:r>
        <w:rPr>
          <w:color w:val="auto"/>
          <w:spacing w:val="-120"/>
          <w:sz w:val="24"/>
        </w:rPr>
        <w:t>）</w:t>
      </w:r>
      <w:r>
        <w:rPr>
          <w:color w:val="auto"/>
          <w:sz w:val="24"/>
        </w:rPr>
        <w:t>；</w:t>
      </w:r>
    </w:p>
    <w:p w14:paraId="37307AEF">
      <w:pPr>
        <w:pStyle w:val="14"/>
        <w:numPr>
          <w:ilvl w:val="0"/>
          <w:numId w:val="0"/>
        </w:numPr>
        <w:tabs>
          <w:tab w:val="left" w:pos="1741"/>
        </w:tabs>
        <w:spacing w:before="42" w:after="0" w:line="240" w:lineRule="auto"/>
        <w:ind w:right="0" w:rightChars="0"/>
        <w:jc w:val="left"/>
        <w:rPr>
          <w:color w:val="auto"/>
          <w:sz w:val="24"/>
        </w:rPr>
      </w:pPr>
      <w:r>
        <w:rPr>
          <w:rFonts w:hint="eastAsia"/>
          <w:color w:val="auto"/>
          <w:sz w:val="24"/>
          <w:lang w:eastAsia="zh-CN"/>
        </w:rPr>
        <w:t>（</w:t>
      </w:r>
      <w:r>
        <w:rPr>
          <w:rFonts w:hint="eastAsia"/>
          <w:color w:val="auto"/>
          <w:sz w:val="24"/>
          <w:lang w:val="en-US" w:eastAsia="zh-CN"/>
        </w:rPr>
        <w:t>3</w:t>
      </w:r>
      <w:r>
        <w:rPr>
          <w:rFonts w:hint="eastAsia"/>
          <w:color w:val="auto"/>
          <w:sz w:val="24"/>
          <w:lang w:eastAsia="zh-CN"/>
        </w:rPr>
        <w:t>）</w:t>
      </w:r>
      <w:r>
        <w:rPr>
          <w:color w:val="auto"/>
          <w:sz w:val="24"/>
        </w:rPr>
        <w:t>具有履行合同所必须的设备和专业技术能力（提供书面说明）；</w:t>
      </w:r>
    </w:p>
    <w:p w14:paraId="14F63B83">
      <w:pPr>
        <w:pStyle w:val="14"/>
        <w:numPr>
          <w:ilvl w:val="0"/>
          <w:numId w:val="0"/>
        </w:numPr>
        <w:tabs>
          <w:tab w:val="left" w:pos="1741"/>
        </w:tabs>
        <w:spacing w:before="42" w:after="0" w:line="240" w:lineRule="auto"/>
        <w:ind w:right="0" w:rightChars="0"/>
        <w:jc w:val="left"/>
        <w:rPr>
          <w:rFonts w:hint="eastAsia"/>
          <w:sz w:val="24"/>
          <w:lang w:eastAsia="zh-CN"/>
        </w:rPr>
      </w:pPr>
      <w:r>
        <w:rPr>
          <w:rFonts w:hint="eastAsia"/>
          <w:color w:val="auto"/>
          <w:sz w:val="24"/>
          <w:lang w:eastAsia="zh-CN"/>
        </w:rPr>
        <w:t>（</w:t>
      </w:r>
      <w:r>
        <w:rPr>
          <w:rFonts w:hint="eastAsia"/>
          <w:color w:val="auto"/>
          <w:sz w:val="24"/>
          <w:lang w:val="en-US" w:eastAsia="zh-CN"/>
        </w:rPr>
        <w:t>4</w:t>
      </w:r>
      <w:r>
        <w:rPr>
          <w:rFonts w:hint="eastAsia"/>
          <w:color w:val="auto"/>
          <w:sz w:val="24"/>
          <w:lang w:eastAsia="zh-CN"/>
        </w:rPr>
        <w:t>）近半年依法缴纳税收证明（纳税凭证）和缴纳社会保险的证明（缴费凭证），如依法不需要缴纳的，应提供相应证明文件证</w:t>
      </w:r>
      <w:r>
        <w:rPr>
          <w:rFonts w:hint="eastAsia"/>
          <w:sz w:val="24"/>
          <w:lang w:eastAsia="zh-CN"/>
        </w:rPr>
        <w:t>明无需缴纳；</w:t>
      </w:r>
    </w:p>
    <w:p w14:paraId="1CF2DD95">
      <w:pPr>
        <w:pStyle w:val="14"/>
        <w:numPr>
          <w:ilvl w:val="0"/>
          <w:numId w:val="0"/>
        </w:numPr>
        <w:tabs>
          <w:tab w:val="left" w:pos="1741"/>
        </w:tabs>
        <w:spacing w:before="42" w:after="0" w:line="240" w:lineRule="auto"/>
        <w:ind w:right="0" w:rightChars="0"/>
        <w:jc w:val="left"/>
        <w:rPr>
          <w:rFonts w:hint="eastAsia"/>
          <w:sz w:val="24"/>
          <w:lang w:eastAsia="zh-CN"/>
        </w:rPr>
      </w:pPr>
      <w:r>
        <w:rPr>
          <w:rFonts w:hint="eastAsia"/>
          <w:sz w:val="24"/>
          <w:lang w:eastAsia="zh-CN"/>
        </w:rPr>
        <w:t>（</w:t>
      </w:r>
      <w:r>
        <w:rPr>
          <w:rFonts w:hint="eastAsia"/>
          <w:sz w:val="24"/>
          <w:lang w:val="en-US" w:eastAsia="zh-CN"/>
        </w:rPr>
        <w:t>5</w:t>
      </w:r>
      <w:r>
        <w:rPr>
          <w:rFonts w:hint="eastAsia"/>
          <w:sz w:val="24"/>
          <w:lang w:eastAsia="zh-CN"/>
        </w:rPr>
        <w:t>）参加政府采购活动前三年内在经营活动中没有重大违法记录的书面声明；</w:t>
      </w:r>
    </w:p>
    <w:p w14:paraId="42A96F9E">
      <w:pPr>
        <w:pStyle w:val="14"/>
        <w:numPr>
          <w:ilvl w:val="0"/>
          <w:numId w:val="0"/>
        </w:numPr>
        <w:tabs>
          <w:tab w:val="left" w:pos="1741"/>
        </w:tabs>
        <w:spacing w:before="42" w:after="0" w:line="240" w:lineRule="auto"/>
        <w:ind w:right="0" w:rightChars="0"/>
        <w:jc w:val="left"/>
        <w:rPr>
          <w:sz w:val="24"/>
        </w:rPr>
      </w:pPr>
      <w:r>
        <w:rPr>
          <w:rFonts w:hint="eastAsia"/>
          <w:sz w:val="24"/>
          <w:lang w:eastAsia="zh-CN"/>
        </w:rPr>
        <w:t>（</w:t>
      </w:r>
      <w:r>
        <w:rPr>
          <w:rFonts w:hint="eastAsia"/>
          <w:sz w:val="24"/>
          <w:lang w:val="en-US" w:eastAsia="zh-CN"/>
        </w:rPr>
        <w:t>6</w:t>
      </w:r>
      <w:r>
        <w:rPr>
          <w:rFonts w:hint="eastAsia"/>
          <w:sz w:val="24"/>
          <w:lang w:eastAsia="zh-CN"/>
        </w:rPr>
        <w:t>）法</w:t>
      </w:r>
      <w:r>
        <w:rPr>
          <w:sz w:val="24"/>
        </w:rPr>
        <w:t>律、行政法规规定的其他条件。</w:t>
      </w:r>
    </w:p>
    <w:p w14:paraId="055780DC">
      <w:pPr>
        <w:pStyle w:val="8"/>
        <w:spacing w:before="160" w:line="364" w:lineRule="auto"/>
        <w:ind w:left="420" w:right="445" w:firstLine="480"/>
      </w:pPr>
      <w:r>
        <w:rPr>
          <w:spacing w:val="-11"/>
        </w:rPr>
        <w:t>按照《财政部关于在政府采购活动中查询及使用信用记录有关问题的通知</w:t>
      </w:r>
      <w:r>
        <w:rPr>
          <w:spacing w:val="-178"/>
        </w:rPr>
        <w:t>》</w:t>
      </w:r>
      <w:r>
        <w:rPr>
          <w:spacing w:val="-3"/>
        </w:rPr>
        <w:t>（</w:t>
      </w:r>
      <w:r>
        <w:rPr>
          <w:spacing w:val="-45"/>
        </w:rPr>
        <w:t>财库</w:t>
      </w:r>
      <w:r>
        <w:rPr>
          <w:spacing w:val="-3"/>
        </w:rPr>
        <w:t xml:space="preserve">（2016） </w:t>
      </w:r>
      <w:r>
        <w:t>125</w:t>
      </w:r>
      <w:r>
        <w:rPr>
          <w:spacing w:val="-30"/>
        </w:rPr>
        <w:t xml:space="preserve"> 号</w:t>
      </w:r>
      <w:r>
        <w:t>）的要求，被“信用中国”网站、“中国政府采购网”网站列入失信被执行人、政府采购严重违法失信行为记录名单的，不得参与本项目的政府采购活动；除单一来源采购项目外，为采购项目提供整体设计、规范编制或者项目管理、监理、检测等服务的供应商，不得再参加该采购项目的其他采购活动；单位负责人为同一人或者存在直接控股、管理关系的不同投标人，不得参加同一合同项下的政府采购活动。</w:t>
      </w:r>
    </w:p>
    <w:p w14:paraId="6D76539A">
      <w:pPr>
        <w:pStyle w:val="14"/>
        <w:numPr>
          <w:ilvl w:val="1"/>
          <w:numId w:val="12"/>
        </w:numPr>
        <w:tabs>
          <w:tab w:val="left" w:pos="1320"/>
        </w:tabs>
        <w:spacing w:before="4" w:after="0" w:line="240" w:lineRule="auto"/>
        <w:ind w:left="1320" w:right="0" w:hanging="420"/>
        <w:jc w:val="left"/>
        <w:rPr>
          <w:sz w:val="24"/>
        </w:rPr>
      </w:pPr>
      <w:r>
        <w:rPr>
          <w:spacing w:val="-7"/>
          <w:sz w:val="24"/>
        </w:rPr>
        <w:t>为保证政府采购活动提供货物及参数应真实有效，投标文件内须提供诚信投标承诺书。</w:t>
      </w:r>
    </w:p>
    <w:p w14:paraId="33857F99">
      <w:pPr>
        <w:pStyle w:val="14"/>
        <w:numPr>
          <w:ilvl w:val="1"/>
          <w:numId w:val="12"/>
        </w:numPr>
        <w:tabs>
          <w:tab w:val="left" w:pos="1320"/>
        </w:tabs>
        <w:spacing w:before="160" w:after="0" w:line="364" w:lineRule="auto"/>
        <w:ind w:left="420" w:right="559" w:firstLine="480"/>
        <w:jc w:val="both"/>
        <w:rPr>
          <w:sz w:val="24"/>
        </w:rPr>
      </w:pPr>
      <w:r>
        <w:rPr>
          <w:spacing w:val="-8"/>
          <w:sz w:val="24"/>
        </w:rPr>
        <w:t>为保证本次招标活动公平竞争，杜绝任何形式的商业贿赂行为，投标文件内须提供反</w:t>
      </w:r>
      <w:r>
        <w:rPr>
          <w:spacing w:val="-5"/>
          <w:sz w:val="24"/>
        </w:rPr>
        <w:t>商业贿赂承诺书。</w:t>
      </w:r>
    </w:p>
    <w:p w14:paraId="3E147342">
      <w:pPr>
        <w:pStyle w:val="14"/>
        <w:numPr>
          <w:ilvl w:val="1"/>
          <w:numId w:val="12"/>
        </w:numPr>
        <w:tabs>
          <w:tab w:val="left" w:pos="1320"/>
        </w:tabs>
        <w:spacing w:before="35" w:after="0" w:line="343" w:lineRule="auto"/>
        <w:ind w:left="420" w:right="565" w:firstLine="480"/>
        <w:jc w:val="both"/>
        <w:rPr>
          <w:sz w:val="24"/>
        </w:rPr>
      </w:pPr>
      <w:r>
        <w:rPr>
          <w:sz w:val="24"/>
        </w:rPr>
        <w:t>根据电子化政府采购的特点，各供应商在开标前应确保成为新疆维吾尔自治区政府采购网正式注册入库供应商（已在政采云平台其他省份入驻的供应商无须重复注册），</w:t>
      </w:r>
      <w:r>
        <w:rPr>
          <w:spacing w:val="-10"/>
          <w:sz w:val="24"/>
        </w:rPr>
        <w:t>并完</w:t>
      </w:r>
      <w:r>
        <w:rPr>
          <w:spacing w:val="-30"/>
          <w:sz w:val="24"/>
        </w:rPr>
        <w:t xml:space="preserve">成 </w:t>
      </w:r>
      <w:r>
        <w:rPr>
          <w:sz w:val="24"/>
        </w:rPr>
        <w:t>CA</w:t>
      </w:r>
      <w:r>
        <w:rPr>
          <w:spacing w:val="-11"/>
          <w:sz w:val="24"/>
        </w:rPr>
        <w:t xml:space="preserve"> 数字证书申领。因未注册入库、未办理 </w:t>
      </w:r>
      <w:r>
        <w:rPr>
          <w:sz w:val="24"/>
        </w:rPr>
        <w:t>CA</w:t>
      </w:r>
      <w:r>
        <w:rPr>
          <w:spacing w:val="-9"/>
          <w:sz w:val="24"/>
        </w:rPr>
        <w:t xml:space="preserve"> 数字证书等原因造成无法投标或投标失败等</w:t>
      </w:r>
      <w:r>
        <w:rPr>
          <w:sz w:val="24"/>
        </w:rPr>
        <w:t>后果由供应商自行承担。</w:t>
      </w:r>
    </w:p>
    <w:p w14:paraId="7C82A629">
      <w:pPr>
        <w:pStyle w:val="14"/>
        <w:numPr>
          <w:ilvl w:val="1"/>
          <w:numId w:val="12"/>
        </w:numPr>
        <w:tabs>
          <w:tab w:val="left" w:pos="1320"/>
        </w:tabs>
        <w:spacing w:before="0" w:after="0" w:line="343" w:lineRule="auto"/>
        <w:ind w:left="420" w:right="625" w:firstLine="480"/>
        <w:jc w:val="both"/>
        <w:rPr>
          <w:sz w:val="24"/>
        </w:rPr>
      </w:pPr>
      <w:r>
        <w:rPr>
          <w:spacing w:val="-1"/>
          <w:sz w:val="24"/>
        </w:rPr>
        <w:t>投标人必须确保自己在信息库中注册的信息真实、准确，并保证投标文件中的有关</w:t>
      </w:r>
      <w:r>
        <w:rPr>
          <w:sz w:val="24"/>
        </w:rPr>
        <w:t>信息与库中的信息相一致。否则，投标人因此蒙受损失，招标人概不负责。</w:t>
      </w:r>
    </w:p>
    <w:p w14:paraId="183567B1">
      <w:pPr>
        <w:pStyle w:val="7"/>
        <w:numPr>
          <w:ilvl w:val="0"/>
          <w:numId w:val="13"/>
        </w:numPr>
        <w:tabs>
          <w:tab w:val="left" w:pos="1263"/>
        </w:tabs>
        <w:spacing w:before="2" w:after="0" w:line="240" w:lineRule="auto"/>
        <w:ind w:left="1262" w:right="0" w:hanging="363"/>
        <w:jc w:val="left"/>
      </w:pPr>
      <w:r>
        <w:t>投标费用</w:t>
      </w:r>
    </w:p>
    <w:p w14:paraId="7B7DEC87">
      <w:pPr>
        <w:pStyle w:val="14"/>
        <w:numPr>
          <w:ilvl w:val="1"/>
          <w:numId w:val="13"/>
        </w:numPr>
        <w:tabs>
          <w:tab w:val="left" w:pos="1320"/>
        </w:tabs>
        <w:spacing w:before="132" w:after="0" w:line="240" w:lineRule="auto"/>
        <w:ind w:left="1320" w:right="0" w:hanging="420"/>
        <w:jc w:val="left"/>
        <w:rPr>
          <w:sz w:val="24"/>
        </w:rPr>
      </w:pPr>
      <w:r>
        <w:rPr>
          <w:sz w:val="24"/>
        </w:rPr>
        <w:t>投标人准备和参加投标活动发生的费用自理。</w:t>
      </w:r>
    </w:p>
    <w:p w14:paraId="6AADCE8C">
      <w:pPr>
        <w:pStyle w:val="7"/>
        <w:numPr>
          <w:ilvl w:val="0"/>
          <w:numId w:val="13"/>
        </w:numPr>
        <w:tabs>
          <w:tab w:val="left" w:pos="1263"/>
        </w:tabs>
        <w:spacing w:before="131" w:after="0" w:line="240" w:lineRule="auto"/>
        <w:ind w:left="1262" w:right="0" w:hanging="363"/>
        <w:jc w:val="left"/>
      </w:pPr>
      <w:r>
        <w:t>踏勘现场</w:t>
      </w:r>
    </w:p>
    <w:p w14:paraId="3702990D">
      <w:pPr>
        <w:pStyle w:val="14"/>
        <w:numPr>
          <w:ilvl w:val="1"/>
          <w:numId w:val="13"/>
        </w:numPr>
        <w:tabs>
          <w:tab w:val="left" w:pos="1368"/>
        </w:tabs>
        <w:spacing w:before="134" w:after="0" w:line="343" w:lineRule="auto"/>
        <w:ind w:left="420" w:right="565" w:firstLine="468"/>
        <w:jc w:val="both"/>
        <w:rPr>
          <w:sz w:val="24"/>
        </w:rPr>
      </w:pPr>
      <w:r>
        <w:rPr>
          <w:sz w:val="24"/>
        </w:rPr>
        <w:t>投标人须知前附表规定组织踏勘现场的，招标人按投标人须知前附表规定的时间、</w:t>
      </w:r>
      <w:r>
        <w:rPr>
          <w:spacing w:val="-1"/>
          <w:sz w:val="24"/>
        </w:rPr>
        <w:t>地点组织投标人踏勘项目现场。如需踏勘现场，投标人自行踏勘现场的，可咨询本项目采购</w:t>
      </w:r>
      <w:r>
        <w:rPr>
          <w:sz w:val="24"/>
        </w:rPr>
        <w:t>人或采购代理机构联系人。</w:t>
      </w:r>
    </w:p>
    <w:p w14:paraId="57804BC9">
      <w:pPr>
        <w:pStyle w:val="14"/>
        <w:numPr>
          <w:ilvl w:val="1"/>
          <w:numId w:val="13"/>
        </w:numPr>
        <w:tabs>
          <w:tab w:val="left" w:pos="1368"/>
        </w:tabs>
        <w:spacing w:before="1" w:after="0" w:line="240" w:lineRule="auto"/>
        <w:ind w:left="1368" w:right="0" w:hanging="480"/>
        <w:jc w:val="both"/>
        <w:rPr>
          <w:sz w:val="24"/>
        </w:rPr>
      </w:pPr>
      <w:r>
        <w:rPr>
          <w:sz w:val="24"/>
        </w:rPr>
        <w:t>投标人踏勘现场发生的费用自理。</w:t>
      </w:r>
    </w:p>
    <w:p w14:paraId="38995F2E">
      <w:pPr>
        <w:pStyle w:val="14"/>
        <w:numPr>
          <w:ilvl w:val="1"/>
          <w:numId w:val="13"/>
        </w:numPr>
        <w:tabs>
          <w:tab w:val="left" w:pos="1368"/>
        </w:tabs>
        <w:spacing w:before="55" w:after="0" w:line="240" w:lineRule="auto"/>
        <w:ind w:left="1368" w:right="0" w:hanging="480"/>
        <w:jc w:val="both"/>
        <w:rPr>
          <w:sz w:val="24"/>
        </w:rPr>
      </w:pPr>
      <w:r>
        <w:rPr>
          <w:sz w:val="24"/>
        </w:rPr>
        <w:t>除招标人的原因外，投标人自行负责在踏勘现场中所发生的人员伤亡和财产损失。</w:t>
      </w:r>
    </w:p>
    <w:p w14:paraId="2E239FA4">
      <w:pPr>
        <w:pStyle w:val="14"/>
        <w:numPr>
          <w:ilvl w:val="1"/>
          <w:numId w:val="13"/>
        </w:numPr>
        <w:tabs>
          <w:tab w:val="left" w:pos="1368"/>
        </w:tabs>
        <w:spacing w:before="132" w:after="0" w:line="343" w:lineRule="auto"/>
        <w:ind w:left="420" w:right="577" w:firstLine="468"/>
        <w:jc w:val="both"/>
        <w:rPr>
          <w:sz w:val="24"/>
        </w:rPr>
      </w:pPr>
      <w:r>
        <w:rPr>
          <w:spacing w:val="-1"/>
          <w:sz w:val="24"/>
        </w:rPr>
        <w:t>招标人在踏勘现场中介绍的场地和相关的周边环境情况，供投标人在编制投标文件</w:t>
      </w:r>
      <w:r>
        <w:rPr>
          <w:sz w:val="24"/>
        </w:rPr>
        <w:t>时参考，招标人不对投标人据此作出的判断和决策负责。</w:t>
      </w:r>
    </w:p>
    <w:p w14:paraId="22ED5E3F">
      <w:pPr>
        <w:pStyle w:val="7"/>
        <w:numPr>
          <w:ilvl w:val="0"/>
          <w:numId w:val="13"/>
        </w:numPr>
        <w:tabs>
          <w:tab w:val="left" w:pos="1383"/>
        </w:tabs>
        <w:spacing w:before="2" w:after="0" w:line="240" w:lineRule="auto"/>
        <w:ind w:left="1382" w:right="0" w:hanging="483"/>
        <w:jc w:val="both"/>
      </w:pPr>
      <w:r>
        <w:t>联合体投标</w:t>
      </w:r>
    </w:p>
    <w:p w14:paraId="7452B683">
      <w:pPr>
        <w:pStyle w:val="14"/>
        <w:numPr>
          <w:ilvl w:val="1"/>
          <w:numId w:val="13"/>
        </w:numPr>
        <w:tabs>
          <w:tab w:val="left" w:pos="1488"/>
        </w:tabs>
        <w:spacing w:before="131" w:after="0" w:line="343" w:lineRule="auto"/>
        <w:ind w:left="420" w:right="565" w:firstLine="468"/>
        <w:jc w:val="both"/>
        <w:rPr>
          <w:sz w:val="24"/>
        </w:rPr>
      </w:pPr>
      <w:r>
        <w:rPr>
          <w:spacing w:val="-6"/>
          <w:sz w:val="24"/>
        </w:rPr>
        <w:t>两个以上投标人可以组成一个投标联合体，以一个投标人的身份投标。以联合体形</w:t>
      </w:r>
      <w:r>
        <w:rPr>
          <w:spacing w:val="-1"/>
          <w:sz w:val="24"/>
        </w:rPr>
        <w:t>式参加投标的，联合体各方均应当符合《政府采购法》第二十二条规定的条件。招标人根据采购项目的特殊要求规定投标人特定条件的，联合体各方中至少应当有一方符合招标人规定</w:t>
      </w:r>
      <w:r>
        <w:rPr>
          <w:sz w:val="24"/>
        </w:rPr>
        <w:t>的特定条件。</w:t>
      </w:r>
    </w:p>
    <w:p w14:paraId="1A1B4B41">
      <w:pPr>
        <w:pStyle w:val="14"/>
        <w:numPr>
          <w:ilvl w:val="1"/>
          <w:numId w:val="13"/>
        </w:numPr>
        <w:tabs>
          <w:tab w:val="left" w:pos="1428"/>
        </w:tabs>
        <w:spacing w:before="0" w:after="0" w:line="277" w:lineRule="exact"/>
        <w:ind w:left="1428" w:right="0" w:hanging="540"/>
        <w:jc w:val="both"/>
        <w:rPr>
          <w:sz w:val="24"/>
        </w:rPr>
      </w:pPr>
      <w:r>
        <w:rPr>
          <w:spacing w:val="-3"/>
          <w:sz w:val="24"/>
        </w:rPr>
        <w:t>联合体各方之间应当签订共同投标协议，明确约定联合体各方承担的工作和相应的</w:t>
      </w:r>
    </w:p>
    <w:p w14:paraId="3E9F1B68">
      <w:pPr>
        <w:pStyle w:val="8"/>
        <w:spacing w:before="94" w:line="312" w:lineRule="auto"/>
        <w:ind w:left="420" w:right="565"/>
      </w:pPr>
      <w:r>
        <w:t>责任，并将共同投标协议连同投标文件一并提交招标人。联合体各方签订共同投标协议后， 不得再以自己名义单独在同一项目中投标，也不得组成新的联合体参加同一项目投标。</w:t>
      </w:r>
    </w:p>
    <w:p w14:paraId="245A9728">
      <w:pPr>
        <w:pStyle w:val="14"/>
        <w:numPr>
          <w:ilvl w:val="1"/>
          <w:numId w:val="13"/>
        </w:numPr>
        <w:tabs>
          <w:tab w:val="left" w:pos="1491"/>
        </w:tabs>
        <w:spacing w:before="0" w:after="0" w:line="312" w:lineRule="auto"/>
        <w:ind w:left="420" w:right="565" w:firstLine="470"/>
        <w:jc w:val="left"/>
        <w:rPr>
          <w:sz w:val="24"/>
        </w:rPr>
      </w:pPr>
      <w:r>
        <w:rPr>
          <w:spacing w:val="-6"/>
          <w:sz w:val="24"/>
        </w:rPr>
        <w:t>联合体应当确定其中一个单位为投标的全权代表，负责参加投标的一切事务，并承</w:t>
      </w:r>
      <w:r>
        <w:rPr>
          <w:sz w:val="24"/>
        </w:rPr>
        <w:t>担投标及履约中应承担的全部责任与义务。</w:t>
      </w:r>
    </w:p>
    <w:p w14:paraId="3C5426C7">
      <w:pPr>
        <w:pStyle w:val="14"/>
        <w:numPr>
          <w:ilvl w:val="1"/>
          <w:numId w:val="13"/>
        </w:numPr>
        <w:tabs>
          <w:tab w:val="left" w:pos="1505"/>
        </w:tabs>
        <w:spacing w:before="0" w:after="0" w:line="312" w:lineRule="auto"/>
        <w:ind w:left="420" w:right="679" w:firstLine="484"/>
        <w:jc w:val="left"/>
        <w:rPr>
          <w:sz w:val="24"/>
        </w:rPr>
      </w:pPr>
      <w:r>
        <w:rPr>
          <w:spacing w:val="-1"/>
          <w:sz w:val="24"/>
        </w:rPr>
        <w:t>联合体各方应当共同与招标人签订采购合同，就采购合同约定的事项对招标人承</w:t>
      </w:r>
      <w:r>
        <w:rPr>
          <w:sz w:val="24"/>
        </w:rPr>
        <w:t>担连带责任。</w:t>
      </w:r>
    </w:p>
    <w:p w14:paraId="014C257A">
      <w:pPr>
        <w:pStyle w:val="7"/>
        <w:numPr>
          <w:ilvl w:val="0"/>
          <w:numId w:val="13"/>
        </w:numPr>
        <w:tabs>
          <w:tab w:val="left" w:pos="1253"/>
        </w:tabs>
        <w:spacing w:before="32" w:after="0" w:line="240" w:lineRule="auto"/>
        <w:ind w:left="1252" w:right="0" w:hanging="363"/>
        <w:jc w:val="left"/>
      </w:pPr>
      <w:r>
        <w:t>招标代理费</w:t>
      </w:r>
    </w:p>
    <w:p w14:paraId="4D9242BF">
      <w:pPr>
        <w:pStyle w:val="14"/>
        <w:numPr>
          <w:ilvl w:val="1"/>
          <w:numId w:val="13"/>
        </w:numPr>
        <w:tabs>
          <w:tab w:val="left" w:pos="1560"/>
        </w:tabs>
        <w:spacing w:before="132" w:after="0" w:line="345" w:lineRule="auto"/>
        <w:ind w:left="660" w:right="625" w:firstLine="360"/>
        <w:jc w:val="left"/>
        <w:rPr>
          <w:sz w:val="24"/>
        </w:rPr>
      </w:pPr>
      <w:r>
        <w:rPr>
          <w:spacing w:val="-1"/>
          <w:sz w:val="24"/>
        </w:rPr>
        <w:t>由中标供应商支付，中标单位在领取本项目中标通知书时一次性支付给招标代理</w:t>
      </w:r>
      <w:r>
        <w:rPr>
          <w:sz w:val="24"/>
        </w:rPr>
        <w:t>机构；收费标准按新建招协〔2024〕4</w:t>
      </w:r>
      <w:r>
        <w:rPr>
          <w:spacing w:val="-8"/>
          <w:sz w:val="24"/>
        </w:rPr>
        <w:t xml:space="preserve"> 号文规定收费标准执行。</w:t>
      </w:r>
    </w:p>
    <w:p w14:paraId="0D32F039">
      <w:pPr>
        <w:pStyle w:val="7"/>
        <w:numPr>
          <w:ilvl w:val="0"/>
          <w:numId w:val="13"/>
        </w:numPr>
        <w:tabs>
          <w:tab w:val="left" w:pos="1263"/>
        </w:tabs>
        <w:spacing w:before="0" w:after="0" w:line="303" w:lineRule="exact"/>
        <w:ind w:left="1262" w:right="0" w:hanging="363"/>
        <w:jc w:val="left"/>
      </w:pPr>
      <w:r>
        <w:t>投标人应注意的事项</w:t>
      </w:r>
    </w:p>
    <w:p w14:paraId="1C890E5B">
      <w:pPr>
        <w:pStyle w:val="14"/>
        <w:numPr>
          <w:ilvl w:val="1"/>
          <w:numId w:val="13"/>
        </w:numPr>
        <w:tabs>
          <w:tab w:val="left" w:pos="1440"/>
        </w:tabs>
        <w:spacing w:before="132" w:after="0" w:line="343" w:lineRule="auto"/>
        <w:ind w:left="420" w:right="565" w:firstLine="480"/>
        <w:jc w:val="both"/>
        <w:rPr>
          <w:sz w:val="24"/>
        </w:rPr>
      </w:pPr>
      <w:r>
        <w:rPr>
          <w:spacing w:val="-4"/>
          <w:sz w:val="24"/>
        </w:rPr>
        <w:t>投标人一旦按规定缴纳了投标保证金并参加投标，即被认为接受了本采购文件中的</w:t>
      </w:r>
      <w:r>
        <w:rPr>
          <w:spacing w:val="-1"/>
          <w:sz w:val="24"/>
        </w:rPr>
        <w:t>所有条件和规定。投标人必须严格按采购文件的要求编制投标文件，投标文件宜编制页码和</w:t>
      </w:r>
      <w:r>
        <w:rPr>
          <w:sz w:val="24"/>
        </w:rPr>
        <w:t>目录，以便评委审核。否则，由此产生的一切后果由投标人承担。</w:t>
      </w:r>
    </w:p>
    <w:p w14:paraId="7E21C6E0">
      <w:pPr>
        <w:pStyle w:val="14"/>
        <w:numPr>
          <w:ilvl w:val="1"/>
          <w:numId w:val="13"/>
        </w:numPr>
        <w:tabs>
          <w:tab w:val="left" w:pos="1500"/>
        </w:tabs>
        <w:spacing w:before="0" w:after="0" w:line="345" w:lineRule="auto"/>
        <w:ind w:left="420" w:right="565" w:firstLine="480"/>
        <w:jc w:val="both"/>
        <w:rPr>
          <w:sz w:val="24"/>
        </w:rPr>
      </w:pPr>
      <w:r>
        <w:rPr>
          <w:spacing w:val="-9"/>
          <w:sz w:val="24"/>
        </w:rPr>
        <w:t>投标人对采购内容中规定的技术参数、规格等要求必须完全响应或优于采购文件中</w:t>
      </w:r>
      <w:r>
        <w:rPr>
          <w:sz w:val="24"/>
        </w:rPr>
        <w:t>的要求。</w:t>
      </w:r>
    </w:p>
    <w:p w14:paraId="69763A67">
      <w:pPr>
        <w:pStyle w:val="14"/>
        <w:numPr>
          <w:ilvl w:val="1"/>
          <w:numId w:val="13"/>
        </w:numPr>
        <w:tabs>
          <w:tab w:val="left" w:pos="1431"/>
        </w:tabs>
        <w:spacing w:before="0" w:after="0" w:line="303" w:lineRule="exact"/>
        <w:ind w:left="1430" w:right="0" w:hanging="541"/>
        <w:jc w:val="both"/>
        <w:rPr>
          <w:sz w:val="24"/>
        </w:rPr>
      </w:pPr>
      <w:r>
        <w:rPr>
          <w:sz w:val="24"/>
        </w:rPr>
        <w:t>所有投标人的投标保证金都应在采购文件规定的投标保证金缴纳截止日期前缴纳。</w:t>
      </w:r>
    </w:p>
    <w:p w14:paraId="4B7524F1">
      <w:pPr>
        <w:pStyle w:val="14"/>
        <w:numPr>
          <w:ilvl w:val="1"/>
          <w:numId w:val="13"/>
        </w:numPr>
        <w:tabs>
          <w:tab w:val="left" w:pos="1431"/>
        </w:tabs>
        <w:spacing w:before="132" w:after="0" w:line="343" w:lineRule="auto"/>
        <w:ind w:left="420" w:right="565" w:firstLine="470"/>
        <w:jc w:val="both"/>
        <w:rPr>
          <w:sz w:val="24"/>
        </w:rPr>
      </w:pPr>
      <w:r>
        <w:rPr>
          <w:spacing w:val="-4"/>
          <w:sz w:val="24"/>
        </w:rPr>
        <w:t>单位负责人为同一人或者存在直接控股、管理关系的不同供应商，不得参加同一合</w:t>
      </w:r>
      <w:r>
        <w:rPr>
          <w:spacing w:val="-1"/>
          <w:sz w:val="24"/>
        </w:rPr>
        <w:t>同项下的政府采购活动。为采购项目提供整体设计、规范编制或者项目管理、监理、检测等</w:t>
      </w:r>
      <w:r>
        <w:rPr>
          <w:sz w:val="24"/>
        </w:rPr>
        <w:t>服务的供应商，不得再参加该采购项目的其他采购活动。</w:t>
      </w:r>
    </w:p>
    <w:p w14:paraId="781849D9">
      <w:pPr>
        <w:pStyle w:val="14"/>
        <w:numPr>
          <w:ilvl w:val="1"/>
          <w:numId w:val="13"/>
        </w:numPr>
        <w:tabs>
          <w:tab w:val="left" w:pos="1440"/>
        </w:tabs>
        <w:spacing w:before="1" w:after="0" w:line="343" w:lineRule="auto"/>
        <w:ind w:left="420" w:right="445" w:firstLine="480"/>
        <w:jc w:val="left"/>
        <w:rPr>
          <w:sz w:val="24"/>
        </w:rPr>
      </w:pPr>
      <w:r>
        <w:rPr>
          <w:spacing w:val="-3"/>
          <w:sz w:val="24"/>
        </w:rPr>
        <w:t>本项目只接受成为新疆维吾尔自治区政府采购网正式注册入库</w:t>
      </w:r>
      <w:r>
        <w:rPr>
          <w:sz w:val="24"/>
        </w:rPr>
        <w:t>（已在政采云平台其他省份入驻的供应商无须重复注册</w:t>
      </w:r>
      <w:r>
        <w:rPr>
          <w:spacing w:val="-120"/>
          <w:sz w:val="24"/>
        </w:rPr>
        <w:t>）</w:t>
      </w:r>
      <w:r>
        <w:rPr>
          <w:spacing w:val="-15"/>
          <w:sz w:val="24"/>
        </w:rPr>
        <w:t xml:space="preserve">并完成 </w:t>
      </w:r>
      <w:r>
        <w:rPr>
          <w:sz w:val="24"/>
        </w:rPr>
        <w:t>CA</w:t>
      </w:r>
      <w:r>
        <w:rPr>
          <w:spacing w:val="-16"/>
          <w:sz w:val="24"/>
        </w:rPr>
        <w:t xml:space="preserve"> 数字证书申领供应商参与投标。因未注册入库、</w:t>
      </w:r>
      <w:r>
        <w:rPr>
          <w:spacing w:val="-15"/>
          <w:sz w:val="24"/>
        </w:rPr>
        <w:t xml:space="preserve">未办理 </w:t>
      </w:r>
      <w:r>
        <w:rPr>
          <w:sz w:val="24"/>
        </w:rPr>
        <w:t>CA</w:t>
      </w:r>
      <w:r>
        <w:rPr>
          <w:spacing w:val="-8"/>
          <w:sz w:val="24"/>
        </w:rPr>
        <w:t xml:space="preserve"> 数字证书等原因造成无法投标或投标失败等后果由供应商自行承担。</w:t>
      </w:r>
    </w:p>
    <w:p w14:paraId="463B6814">
      <w:pPr>
        <w:pStyle w:val="14"/>
        <w:numPr>
          <w:ilvl w:val="1"/>
          <w:numId w:val="13"/>
        </w:numPr>
        <w:tabs>
          <w:tab w:val="left" w:pos="1619"/>
          <w:tab w:val="left" w:pos="1620"/>
        </w:tabs>
        <w:spacing w:before="1" w:after="0" w:line="240" w:lineRule="auto"/>
        <w:ind w:left="1620" w:right="0" w:hanging="720"/>
        <w:jc w:val="left"/>
        <w:rPr>
          <w:sz w:val="24"/>
        </w:rPr>
      </w:pPr>
      <w:r>
        <w:rPr>
          <w:sz w:val="24"/>
        </w:rPr>
        <w:t>投标人被视为充分熟悉本招标项目所在地的与履行合同有关的各种情况，包括但</w:t>
      </w:r>
    </w:p>
    <w:p w14:paraId="0E96FAD0">
      <w:pPr>
        <w:spacing w:after="0" w:line="240" w:lineRule="auto"/>
        <w:jc w:val="left"/>
        <w:rPr>
          <w:sz w:val="24"/>
        </w:rPr>
        <w:sectPr>
          <w:pgSz w:w="11910" w:h="16840"/>
          <w:pgMar w:top="1480" w:right="660" w:bottom="1180" w:left="660" w:header="0" w:footer="909" w:gutter="0"/>
          <w:cols w:space="720" w:num="1"/>
        </w:sectPr>
      </w:pPr>
    </w:p>
    <w:p w14:paraId="5C898E33">
      <w:pPr>
        <w:pStyle w:val="8"/>
        <w:spacing w:before="55"/>
        <w:ind w:left="420"/>
      </w:pPr>
      <w:r>
        <w:t>不限于：</w:t>
      </w:r>
    </w:p>
    <w:p w14:paraId="0D8EFB81">
      <w:pPr>
        <w:pStyle w:val="14"/>
        <w:numPr>
          <w:ilvl w:val="0"/>
          <w:numId w:val="14"/>
        </w:numPr>
        <w:tabs>
          <w:tab w:val="left" w:pos="1381"/>
        </w:tabs>
        <w:spacing w:before="101" w:after="0" w:line="312" w:lineRule="auto"/>
        <w:ind w:left="420" w:right="565" w:firstLine="360"/>
        <w:jc w:val="left"/>
        <w:rPr>
          <w:sz w:val="24"/>
        </w:rPr>
      </w:pPr>
      <w:r>
        <w:rPr>
          <w:spacing w:val="-1"/>
          <w:sz w:val="24"/>
        </w:rPr>
        <w:t>国家对本次投标货物和服务的生产、安装调试、验收、维修等有关法律、法规及行</w:t>
      </w:r>
      <w:r>
        <w:rPr>
          <w:sz w:val="24"/>
        </w:rPr>
        <w:t>业管理标准；</w:t>
      </w:r>
    </w:p>
    <w:p w14:paraId="43AD67E3">
      <w:pPr>
        <w:pStyle w:val="14"/>
        <w:numPr>
          <w:ilvl w:val="0"/>
          <w:numId w:val="14"/>
        </w:numPr>
        <w:tabs>
          <w:tab w:val="left" w:pos="1381"/>
        </w:tabs>
        <w:spacing w:before="0" w:after="0" w:line="312" w:lineRule="auto"/>
        <w:ind w:left="780" w:right="5605" w:firstLine="0"/>
        <w:jc w:val="left"/>
      </w:pPr>
      <w:r>
        <w:rPr>
          <w:spacing w:val="-2"/>
          <w:sz w:val="24"/>
        </w:rPr>
        <w:t xml:space="preserve">本地区有关管理部门的相关规定； </w:t>
      </w:r>
      <w:r>
        <w:rPr>
          <w:sz w:val="24"/>
        </w:rPr>
        <w:t>本采购文件不再对上述情况进行描述。</w:t>
      </w:r>
    </w:p>
    <w:p w14:paraId="5A51EEE7">
      <w:pPr>
        <w:pStyle w:val="8"/>
        <w:spacing w:before="2"/>
      </w:pPr>
    </w:p>
    <w:p w14:paraId="09C47CD6">
      <w:pPr>
        <w:pStyle w:val="5"/>
        <w:ind w:right="1523"/>
        <w:jc w:val="center"/>
      </w:pPr>
      <w:bookmarkStart w:id="6" w:name="（二）招标文件"/>
      <w:bookmarkEnd w:id="6"/>
      <w:r>
        <w:t>（二）招标文件</w:t>
      </w:r>
    </w:p>
    <w:p w14:paraId="0E97F235">
      <w:pPr>
        <w:pStyle w:val="8"/>
        <w:spacing w:before="9"/>
        <w:rPr>
          <w:b/>
          <w:sz w:val="33"/>
        </w:rPr>
      </w:pPr>
    </w:p>
    <w:p w14:paraId="1E3796DE">
      <w:pPr>
        <w:pStyle w:val="7"/>
        <w:numPr>
          <w:ilvl w:val="0"/>
          <w:numId w:val="13"/>
        </w:numPr>
        <w:tabs>
          <w:tab w:val="left" w:pos="1383"/>
        </w:tabs>
        <w:spacing w:before="1" w:after="0" w:line="240" w:lineRule="auto"/>
        <w:ind w:left="1382" w:right="0" w:hanging="483"/>
        <w:jc w:val="left"/>
      </w:pPr>
      <w:r>
        <w:t>采购文件的编制依据</w:t>
      </w:r>
    </w:p>
    <w:p w14:paraId="5F5C99EE">
      <w:pPr>
        <w:pStyle w:val="8"/>
        <w:spacing w:before="131" w:line="343" w:lineRule="auto"/>
        <w:ind w:left="420" w:right="441" w:firstLine="480"/>
      </w:pPr>
      <w:r>
        <w:rPr>
          <w:spacing w:val="-16"/>
        </w:rPr>
        <w:t>根据《中华人民共和国政府采购法》、《政府采购货物和服务招标投标管理办法》和《中华人民共和国民法典》</w:t>
      </w:r>
      <w:r>
        <w:t>（合同编</w:t>
      </w:r>
      <w:r>
        <w:rPr>
          <w:spacing w:val="-5"/>
        </w:rPr>
        <w:t>）</w:t>
      </w:r>
      <w:r>
        <w:rPr>
          <w:spacing w:val="-7"/>
        </w:rPr>
        <w:t xml:space="preserve">等相关法律法规和规章及部、省、市级规范性文件的规定， </w:t>
      </w:r>
      <w:r>
        <w:rPr>
          <w:spacing w:val="-5"/>
        </w:rPr>
        <w:t>编制本采购文件。</w:t>
      </w:r>
    </w:p>
    <w:p w14:paraId="690A171C">
      <w:pPr>
        <w:pStyle w:val="7"/>
        <w:numPr>
          <w:ilvl w:val="0"/>
          <w:numId w:val="13"/>
        </w:numPr>
        <w:tabs>
          <w:tab w:val="left" w:pos="1383"/>
        </w:tabs>
        <w:spacing w:before="1" w:after="0" w:line="240" w:lineRule="auto"/>
        <w:ind w:left="1382" w:right="0" w:hanging="483"/>
        <w:jc w:val="left"/>
      </w:pPr>
      <w:r>
        <w:t>采购文件的组成</w:t>
      </w:r>
    </w:p>
    <w:p w14:paraId="21B609C8">
      <w:pPr>
        <w:pStyle w:val="14"/>
        <w:numPr>
          <w:ilvl w:val="1"/>
          <w:numId w:val="13"/>
        </w:numPr>
        <w:tabs>
          <w:tab w:val="left" w:pos="1500"/>
        </w:tabs>
        <w:spacing w:before="134" w:after="0" w:line="240" w:lineRule="auto"/>
        <w:ind w:left="1500" w:right="0" w:hanging="600"/>
        <w:jc w:val="left"/>
        <w:rPr>
          <w:sz w:val="24"/>
        </w:rPr>
      </w:pPr>
      <w:r>
        <w:rPr>
          <w:sz w:val="24"/>
        </w:rPr>
        <w:t>采购文件包括内容：</w:t>
      </w:r>
    </w:p>
    <w:p w14:paraId="127C7AFA">
      <w:pPr>
        <w:pStyle w:val="8"/>
        <w:spacing w:before="132" w:line="343" w:lineRule="auto"/>
        <w:ind w:left="2100" w:right="6565"/>
        <w:jc w:val="both"/>
      </w:pPr>
      <w:r>
        <w:t>第一章 招标公告第二章 投标须知第三章 评标办法</w:t>
      </w:r>
    </w:p>
    <w:p w14:paraId="6FD8CA2F">
      <w:pPr>
        <w:pStyle w:val="8"/>
        <w:tabs>
          <w:tab w:val="left" w:pos="3059"/>
        </w:tabs>
        <w:spacing w:before="1" w:line="343" w:lineRule="auto"/>
        <w:ind w:left="2100" w:right="5845"/>
      </w:pPr>
      <w:r>
        <w:t>第四章</w:t>
      </w:r>
      <w:r>
        <w:tab/>
      </w:r>
      <w:r>
        <w:t>采购货物清单 第五章</w:t>
      </w:r>
      <w:r>
        <w:tab/>
      </w:r>
      <w:r>
        <w:t>合同条款及格</w:t>
      </w:r>
      <w:r>
        <w:rPr>
          <w:spacing w:val="-18"/>
        </w:rPr>
        <w:t>式</w:t>
      </w:r>
      <w:r>
        <w:t>第六章</w:t>
      </w:r>
      <w:r>
        <w:tab/>
      </w:r>
      <w:r>
        <w:t>投标文件格式</w:t>
      </w:r>
    </w:p>
    <w:p w14:paraId="6B907984">
      <w:pPr>
        <w:pStyle w:val="8"/>
        <w:tabs>
          <w:tab w:val="left" w:pos="3059"/>
        </w:tabs>
        <w:spacing w:before="1"/>
        <w:ind w:left="2100"/>
      </w:pPr>
      <w:r>
        <w:t>第七章</w:t>
      </w:r>
      <w:r>
        <w:tab/>
      </w:r>
      <w:r>
        <w:t>招标单位、招标代理机构对本文件的确认</w:t>
      </w:r>
    </w:p>
    <w:p w14:paraId="22CED5D5">
      <w:pPr>
        <w:pStyle w:val="14"/>
        <w:numPr>
          <w:ilvl w:val="1"/>
          <w:numId w:val="13"/>
        </w:numPr>
        <w:tabs>
          <w:tab w:val="left" w:pos="1380"/>
        </w:tabs>
        <w:spacing w:before="131" w:after="0" w:line="240" w:lineRule="auto"/>
        <w:ind w:left="1380" w:right="0" w:hanging="600"/>
        <w:jc w:val="both"/>
        <w:rPr>
          <w:sz w:val="24"/>
        </w:rPr>
      </w:pPr>
      <w:r>
        <w:rPr>
          <w:spacing w:val="-30"/>
          <w:sz w:val="24"/>
        </w:rPr>
        <w:t xml:space="preserve">除 </w:t>
      </w:r>
      <w:r>
        <w:rPr>
          <w:sz w:val="24"/>
        </w:rPr>
        <w:t>14.1</w:t>
      </w:r>
      <w:r>
        <w:rPr>
          <w:spacing w:val="-20"/>
          <w:sz w:val="24"/>
        </w:rPr>
        <w:t xml:space="preserve"> 内容外，招标答疑亦为采购文件的组成部分，对招标人和投标人起约束作用。</w:t>
      </w:r>
    </w:p>
    <w:p w14:paraId="24828D74">
      <w:pPr>
        <w:pStyle w:val="14"/>
        <w:numPr>
          <w:ilvl w:val="1"/>
          <w:numId w:val="13"/>
        </w:numPr>
        <w:tabs>
          <w:tab w:val="left" w:pos="1320"/>
        </w:tabs>
        <w:spacing w:before="101" w:after="0" w:line="312" w:lineRule="auto"/>
        <w:ind w:left="420" w:right="565" w:firstLine="360"/>
        <w:jc w:val="both"/>
        <w:rPr>
          <w:sz w:val="24"/>
        </w:rPr>
      </w:pPr>
      <w:r>
        <w:rPr>
          <w:sz w:val="24"/>
        </w:rPr>
        <w:t>投标人应仔细阅读和检查采购文件的全部内容。如发现缺页或附件不全，应及时向</w:t>
      </w:r>
      <w:r>
        <w:rPr>
          <w:spacing w:val="-1"/>
          <w:sz w:val="24"/>
        </w:rPr>
        <w:t>招标人提出，以便补齐。如有疑问，投标人应在以书面形式一次性向采购人和采购代理机构</w:t>
      </w:r>
      <w:r>
        <w:rPr>
          <w:sz w:val="24"/>
        </w:rPr>
        <w:t>提出同一环节的质疑。</w:t>
      </w:r>
    </w:p>
    <w:p w14:paraId="75CC1145">
      <w:pPr>
        <w:pStyle w:val="14"/>
        <w:numPr>
          <w:ilvl w:val="1"/>
          <w:numId w:val="13"/>
        </w:numPr>
        <w:tabs>
          <w:tab w:val="left" w:pos="1320"/>
        </w:tabs>
        <w:spacing w:before="34" w:after="0" w:line="343" w:lineRule="auto"/>
        <w:ind w:left="420" w:right="445" w:firstLine="360"/>
        <w:jc w:val="left"/>
        <w:rPr>
          <w:sz w:val="24"/>
        </w:rPr>
      </w:pPr>
      <w:r>
        <w:rPr>
          <w:sz w:val="24"/>
        </w:rPr>
        <w:t>供应商认为采购文件使自己的权益受到损害的，可以自收到采购文件之日（采购文</w:t>
      </w:r>
      <w:r>
        <w:rPr>
          <w:spacing w:val="-8"/>
          <w:sz w:val="24"/>
        </w:rPr>
        <w:t>件公告期限届满之前收到采购文件的，以完成获取采购文件申请后下载采购文件的时间为准</w:t>
      </w:r>
      <w:r>
        <w:rPr>
          <w:spacing w:val="-19"/>
          <w:sz w:val="24"/>
        </w:rPr>
        <w:t xml:space="preserve">） </w:t>
      </w:r>
      <w:r>
        <w:rPr>
          <w:sz w:val="24"/>
        </w:rPr>
        <w:t>或者采购文件公告期限届满之日（</w:t>
      </w:r>
      <w:r>
        <w:rPr>
          <w:spacing w:val="-8"/>
          <w:sz w:val="24"/>
        </w:rPr>
        <w:t xml:space="preserve">公告发布后的第 </w:t>
      </w:r>
      <w:r>
        <w:rPr>
          <w:sz w:val="24"/>
        </w:rPr>
        <w:t>6</w:t>
      </w:r>
      <w:r>
        <w:rPr>
          <w:spacing w:val="-12"/>
          <w:sz w:val="24"/>
        </w:rPr>
        <w:t xml:space="preserve"> 个工作日</w:t>
      </w:r>
      <w:r>
        <w:rPr>
          <w:sz w:val="24"/>
        </w:rPr>
        <w:t>）</w:t>
      </w:r>
      <w:r>
        <w:rPr>
          <w:spacing w:val="-30"/>
          <w:sz w:val="24"/>
        </w:rPr>
        <w:t xml:space="preserve">起 </w:t>
      </w:r>
      <w:r>
        <w:rPr>
          <w:sz w:val="24"/>
        </w:rPr>
        <w:t>7</w:t>
      </w:r>
      <w:r>
        <w:rPr>
          <w:spacing w:val="-8"/>
          <w:sz w:val="24"/>
        </w:rPr>
        <w:t xml:space="preserve"> 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采购</w:t>
      </w:r>
    </w:p>
    <w:p w14:paraId="22411254">
      <w:pPr>
        <w:spacing w:after="0" w:line="343" w:lineRule="auto"/>
        <w:jc w:val="left"/>
        <w:rPr>
          <w:sz w:val="24"/>
        </w:rPr>
        <w:sectPr>
          <w:pgSz w:w="11910" w:h="16840"/>
          <w:pgMar w:top="1480" w:right="660" w:bottom="1180" w:left="660" w:header="0" w:footer="909" w:gutter="0"/>
          <w:cols w:space="720" w:num="1"/>
        </w:sectPr>
      </w:pPr>
    </w:p>
    <w:p w14:paraId="4268F664">
      <w:pPr>
        <w:pStyle w:val="8"/>
        <w:spacing w:before="55" w:line="343" w:lineRule="auto"/>
        <w:ind w:left="420" w:right="565"/>
      </w:pPr>
      <w:r>
        <w:t>文件的澄清将在政采云平台“更正公告”栏目予以公告，但不指明澄清问题的来源。如果澄清内容影响投标文件编制的，将相应延长投标截止时间。</w:t>
      </w:r>
    </w:p>
    <w:p w14:paraId="794EB5ED">
      <w:pPr>
        <w:pStyle w:val="7"/>
        <w:numPr>
          <w:ilvl w:val="0"/>
          <w:numId w:val="13"/>
        </w:numPr>
        <w:tabs>
          <w:tab w:val="left" w:pos="1143"/>
        </w:tabs>
        <w:spacing w:before="0" w:after="0" w:line="306" w:lineRule="exact"/>
        <w:ind w:left="1142" w:right="0" w:hanging="483"/>
        <w:jc w:val="both"/>
      </w:pPr>
      <w:r>
        <w:t>采购文件的修改、补充、解释</w:t>
      </w:r>
    </w:p>
    <w:p w14:paraId="28E58FEA">
      <w:pPr>
        <w:pStyle w:val="14"/>
        <w:numPr>
          <w:ilvl w:val="1"/>
          <w:numId w:val="13"/>
        </w:numPr>
        <w:tabs>
          <w:tab w:val="left" w:pos="1320"/>
        </w:tabs>
        <w:spacing w:before="101" w:after="0" w:line="312" w:lineRule="auto"/>
        <w:ind w:left="420" w:right="565" w:firstLine="360"/>
        <w:jc w:val="both"/>
        <w:rPr>
          <w:sz w:val="24"/>
        </w:rPr>
      </w:pPr>
      <w:r>
        <w:rPr>
          <w:sz w:val="24"/>
        </w:rPr>
        <w:t>采购文件发出后，招标人在规定的投标截止时间前可对采购文件进行必要的修改和</w:t>
      </w:r>
      <w:r>
        <w:rPr>
          <w:spacing w:val="-11"/>
          <w:sz w:val="24"/>
        </w:rPr>
        <w:t>补充，并以更正公告形式在政采云平台 “更正公告”栏目予以公告，请各位投标人注意查看</w:t>
      </w:r>
      <w:r>
        <w:rPr>
          <w:spacing w:val="-1"/>
          <w:sz w:val="24"/>
        </w:rPr>
        <w:t>有关澄清内容，如不及时查看造成后果由投标人自负。采购文件的修改、补充等内容作为采</w:t>
      </w:r>
      <w:r>
        <w:rPr>
          <w:sz w:val="24"/>
        </w:rPr>
        <w:t>购文件的组成部分，具有约束作用。</w:t>
      </w:r>
    </w:p>
    <w:p w14:paraId="2E4B6195">
      <w:pPr>
        <w:pStyle w:val="14"/>
        <w:numPr>
          <w:ilvl w:val="1"/>
          <w:numId w:val="13"/>
        </w:numPr>
        <w:tabs>
          <w:tab w:val="left" w:pos="1380"/>
        </w:tabs>
        <w:spacing w:before="2" w:after="0" w:line="312" w:lineRule="auto"/>
        <w:ind w:left="420" w:right="445" w:firstLine="360"/>
        <w:jc w:val="left"/>
        <w:rPr>
          <w:sz w:val="24"/>
        </w:rPr>
      </w:pPr>
      <w:r>
        <w:rPr>
          <w:sz w:val="24"/>
        </w:rPr>
        <w:t>采购代理机构可视采购具体情况对已发出的采购文件进行必要的澄清、修改或者补</w:t>
      </w:r>
      <w:r>
        <w:rPr>
          <w:spacing w:val="-19"/>
          <w:sz w:val="24"/>
        </w:rPr>
        <w:t xml:space="preserve">充。澄清、修改或者补充的内容可能影响投标文件编制的，应当在投标截止时间至少 </w:t>
      </w:r>
      <w:r>
        <w:rPr>
          <w:sz w:val="24"/>
        </w:rPr>
        <w:t>15</w:t>
      </w:r>
      <w:r>
        <w:rPr>
          <w:spacing w:val="-20"/>
          <w:sz w:val="24"/>
        </w:rPr>
        <w:t xml:space="preserve"> 日前， </w:t>
      </w:r>
      <w:r>
        <w:rPr>
          <w:sz w:val="24"/>
        </w:rPr>
        <w:t>在原公告发布媒体上发布澄清公告，澄清或者修改的内容为采购文件的组成部分；不足 15 日的，应当顺延提交投标文件的截止时间。</w:t>
      </w:r>
    </w:p>
    <w:p w14:paraId="2997D1F1">
      <w:pPr>
        <w:pStyle w:val="14"/>
        <w:numPr>
          <w:ilvl w:val="1"/>
          <w:numId w:val="13"/>
        </w:numPr>
        <w:tabs>
          <w:tab w:val="left" w:pos="1380"/>
        </w:tabs>
        <w:spacing w:before="2" w:after="0" w:line="312" w:lineRule="auto"/>
        <w:ind w:left="420" w:right="565" w:firstLine="360"/>
        <w:jc w:val="left"/>
        <w:rPr>
          <w:sz w:val="24"/>
        </w:rPr>
      </w:pPr>
      <w:r>
        <w:rPr>
          <w:spacing w:val="-1"/>
          <w:sz w:val="24"/>
        </w:rPr>
        <w:t>供应商在规定的时间内未对采购文件提出疑问、质疑或要求澄清的，将视其为无异</w:t>
      </w:r>
      <w:r>
        <w:rPr>
          <w:sz w:val="24"/>
        </w:rPr>
        <w:t>议。</w:t>
      </w:r>
    </w:p>
    <w:p w14:paraId="191B456E">
      <w:pPr>
        <w:pStyle w:val="14"/>
        <w:numPr>
          <w:ilvl w:val="1"/>
          <w:numId w:val="13"/>
        </w:numPr>
        <w:tabs>
          <w:tab w:val="left" w:pos="1500"/>
        </w:tabs>
        <w:spacing w:before="0" w:after="0" w:line="307" w:lineRule="exact"/>
        <w:ind w:left="1500" w:right="0" w:hanging="600"/>
        <w:jc w:val="left"/>
        <w:rPr>
          <w:sz w:val="24"/>
        </w:rPr>
      </w:pPr>
      <w:r>
        <w:rPr>
          <w:sz w:val="24"/>
        </w:rPr>
        <w:t>采购文件的解释</w:t>
      </w:r>
    </w:p>
    <w:p w14:paraId="1BA23CE4">
      <w:pPr>
        <w:pStyle w:val="8"/>
        <w:spacing w:before="93"/>
        <w:ind w:left="900"/>
      </w:pPr>
      <w:r>
        <w:t>本采购文件由招标人（或其委托的招标代理机构）负责解释。</w:t>
      </w:r>
    </w:p>
    <w:p w14:paraId="509F57B6">
      <w:pPr>
        <w:pStyle w:val="7"/>
        <w:numPr>
          <w:ilvl w:val="0"/>
          <w:numId w:val="13"/>
        </w:numPr>
        <w:tabs>
          <w:tab w:val="left" w:pos="1265"/>
        </w:tabs>
        <w:spacing w:before="91" w:after="0" w:line="240" w:lineRule="auto"/>
        <w:ind w:left="1264" w:right="0" w:hanging="485"/>
        <w:jc w:val="left"/>
      </w:pPr>
      <w:r>
        <w:t>采购文件的发出</w:t>
      </w:r>
    </w:p>
    <w:p w14:paraId="3DB04C5D">
      <w:pPr>
        <w:pStyle w:val="14"/>
        <w:numPr>
          <w:ilvl w:val="1"/>
          <w:numId w:val="13"/>
        </w:numPr>
        <w:tabs>
          <w:tab w:val="left" w:pos="1499"/>
          <w:tab w:val="left" w:pos="1500"/>
        </w:tabs>
        <w:spacing w:before="93" w:after="0" w:line="312" w:lineRule="auto"/>
        <w:ind w:left="420" w:right="565" w:firstLine="360"/>
        <w:jc w:val="left"/>
        <w:rPr>
          <w:sz w:val="24"/>
        </w:rPr>
      </w:pPr>
      <w:r>
        <w:rPr>
          <w:spacing w:val="-12"/>
          <w:sz w:val="24"/>
        </w:rPr>
        <w:t>采购文件、采购文件的澄清、修改、补充及招标答疑等均应报相关部门备案后，方</w:t>
      </w:r>
      <w:r>
        <w:rPr>
          <w:sz w:val="24"/>
        </w:rPr>
        <w:t>可发出。</w:t>
      </w:r>
    </w:p>
    <w:p w14:paraId="6D0A4396">
      <w:pPr>
        <w:pStyle w:val="14"/>
        <w:numPr>
          <w:ilvl w:val="0"/>
          <w:numId w:val="13"/>
        </w:numPr>
        <w:tabs>
          <w:tab w:val="left" w:pos="1222"/>
        </w:tabs>
        <w:spacing w:before="33" w:after="0" w:line="343" w:lineRule="auto"/>
        <w:ind w:left="420" w:right="445" w:firstLine="319"/>
        <w:jc w:val="left"/>
        <w:rPr>
          <w:sz w:val="24"/>
        </w:rPr>
      </w:pPr>
      <w:r>
        <w:rPr>
          <w:spacing w:val="-6"/>
          <w:sz w:val="24"/>
        </w:rPr>
        <w:t xml:space="preserve">凡需要设置样品情形时，必须明确是否需要随样品提交检测报告，并明确检测机构的要求、检测内容、中标样品封存等事项。（评标委员会无法判断样品是否合格且样品需要提供给第三方权威检测机构检测的,在投标人提供招标人认可的第三方权威检测机构检测报告 </w:t>
      </w:r>
      <w:r>
        <w:rPr>
          <w:spacing w:val="-10"/>
          <w:sz w:val="24"/>
        </w:rPr>
        <w:t>后，评标委员会推荐的中标候选人方可生效，采购人或代理机构发布中标</w:t>
      </w:r>
      <w:r>
        <w:rPr>
          <w:spacing w:val="-3"/>
          <w:sz w:val="24"/>
        </w:rPr>
        <w:t>（</w:t>
      </w:r>
      <w:r>
        <w:rPr>
          <w:sz w:val="24"/>
        </w:rPr>
        <w:t>成交</w:t>
      </w:r>
      <w:r>
        <w:rPr>
          <w:spacing w:val="-29"/>
          <w:sz w:val="24"/>
        </w:rPr>
        <w:t>）</w:t>
      </w:r>
      <w:r>
        <w:rPr>
          <w:spacing w:val="-4"/>
          <w:sz w:val="24"/>
        </w:rPr>
        <w:t>结果公告。</w:t>
      </w:r>
    </w:p>
    <w:p w14:paraId="322DA830">
      <w:pPr>
        <w:pStyle w:val="8"/>
        <w:spacing w:line="277" w:lineRule="exact"/>
        <w:ind w:left="840"/>
      </w:pPr>
      <w:r>
        <w:t>采购文件中应明确样品送检方式、检测费用支付方法、投标人在规定时间内无法提供第</w:t>
      </w:r>
    </w:p>
    <w:p w14:paraId="2F85E322">
      <w:pPr>
        <w:pStyle w:val="8"/>
        <w:spacing w:before="91"/>
        <w:ind w:left="420"/>
      </w:pPr>
      <w:r>
        <w:t>三方权威检测机构检测报告的处理方式。（采购人根据项目需求按上述要求自行描述）</w:t>
      </w:r>
    </w:p>
    <w:p w14:paraId="1467F6DD">
      <w:pPr>
        <w:pStyle w:val="8"/>
      </w:pPr>
    </w:p>
    <w:p w14:paraId="27C03153">
      <w:pPr>
        <w:pStyle w:val="8"/>
      </w:pPr>
    </w:p>
    <w:p w14:paraId="0043F66C">
      <w:pPr>
        <w:pStyle w:val="8"/>
        <w:spacing w:before="10"/>
        <w:rPr>
          <w:sz w:val="17"/>
        </w:rPr>
      </w:pPr>
    </w:p>
    <w:p w14:paraId="47E4175D">
      <w:pPr>
        <w:pStyle w:val="5"/>
        <w:ind w:right="1518"/>
        <w:jc w:val="center"/>
      </w:pPr>
      <w:bookmarkStart w:id="7" w:name="（三）投标文件的编制"/>
      <w:bookmarkEnd w:id="7"/>
      <w:r>
        <w:t>（三）投标文件的编制</w:t>
      </w:r>
    </w:p>
    <w:p w14:paraId="3E167F86">
      <w:pPr>
        <w:pStyle w:val="8"/>
        <w:spacing w:before="10"/>
        <w:rPr>
          <w:b/>
          <w:sz w:val="33"/>
        </w:rPr>
      </w:pPr>
    </w:p>
    <w:p w14:paraId="527716D8">
      <w:pPr>
        <w:pStyle w:val="7"/>
        <w:numPr>
          <w:ilvl w:val="0"/>
          <w:numId w:val="13"/>
        </w:numPr>
        <w:tabs>
          <w:tab w:val="left" w:pos="1251"/>
        </w:tabs>
        <w:spacing w:before="0" w:after="0" w:line="240" w:lineRule="auto"/>
        <w:ind w:left="1250" w:right="0" w:hanging="483"/>
        <w:jc w:val="left"/>
      </w:pPr>
      <w:r>
        <w:t>投标的语言及度量衡单位</w:t>
      </w:r>
    </w:p>
    <w:p w14:paraId="48AE05AF">
      <w:pPr>
        <w:pStyle w:val="14"/>
        <w:numPr>
          <w:ilvl w:val="1"/>
          <w:numId w:val="13"/>
        </w:numPr>
        <w:tabs>
          <w:tab w:val="left" w:pos="1284"/>
        </w:tabs>
        <w:spacing w:before="131" w:after="0" w:line="343" w:lineRule="auto"/>
        <w:ind w:left="420" w:right="565" w:firstLine="324"/>
        <w:jc w:val="left"/>
        <w:rPr>
          <w:sz w:val="24"/>
        </w:rPr>
      </w:pPr>
      <w:r>
        <w:rPr>
          <w:sz w:val="24"/>
        </w:rPr>
        <w:t>投标人提交的投标文件、技术文件和资料，以及投标人与招标人就有关投标的所有</w:t>
      </w:r>
      <w:r>
        <w:rPr>
          <w:spacing w:val="-1"/>
          <w:sz w:val="24"/>
        </w:rPr>
        <w:t>来往函电均应使用中文。投标文件中若有英文或其他语言文字的资料，应提供相应的中文翻</w:t>
      </w:r>
      <w:r>
        <w:rPr>
          <w:sz w:val="24"/>
        </w:rPr>
        <w:t>译资料。对不同文本投标文件的解释发生异议的，以中文文本为准。</w:t>
      </w:r>
    </w:p>
    <w:p w14:paraId="0642020D">
      <w:pPr>
        <w:pStyle w:val="14"/>
        <w:numPr>
          <w:ilvl w:val="1"/>
          <w:numId w:val="13"/>
        </w:numPr>
        <w:tabs>
          <w:tab w:val="left" w:pos="1404"/>
        </w:tabs>
        <w:spacing w:before="1" w:after="0" w:line="240" w:lineRule="auto"/>
        <w:ind w:left="1404" w:right="0" w:hanging="540"/>
        <w:jc w:val="left"/>
        <w:rPr>
          <w:sz w:val="24"/>
        </w:rPr>
      </w:pPr>
      <w:r>
        <w:rPr>
          <w:sz w:val="24"/>
        </w:rPr>
        <w:t>除采购文件中另有规定外，投标书所使用的度量衡均须采用法定计量单位。</w:t>
      </w:r>
    </w:p>
    <w:p w14:paraId="0999835B">
      <w:pPr>
        <w:spacing w:after="0" w:line="240" w:lineRule="auto"/>
        <w:jc w:val="left"/>
        <w:rPr>
          <w:sz w:val="24"/>
        </w:rPr>
        <w:sectPr>
          <w:pgSz w:w="11910" w:h="16840"/>
          <w:pgMar w:top="1480" w:right="660" w:bottom="1180" w:left="660" w:header="0" w:footer="909" w:gutter="0"/>
          <w:cols w:space="720" w:num="1"/>
        </w:sectPr>
      </w:pPr>
    </w:p>
    <w:p w14:paraId="07909B44">
      <w:pPr>
        <w:pStyle w:val="7"/>
        <w:numPr>
          <w:ilvl w:val="0"/>
          <w:numId w:val="13"/>
        </w:numPr>
        <w:tabs>
          <w:tab w:val="left" w:pos="1138"/>
        </w:tabs>
        <w:spacing w:before="42" w:after="0" w:line="240" w:lineRule="auto"/>
        <w:ind w:left="1137" w:right="0" w:hanging="483"/>
        <w:jc w:val="left"/>
      </w:pPr>
      <w:r>
        <w:t>投标文件的组成</w:t>
      </w:r>
    </w:p>
    <w:p w14:paraId="624A215B">
      <w:pPr>
        <w:pStyle w:val="8"/>
        <w:spacing w:before="93"/>
        <w:ind w:left="900"/>
      </w:pPr>
      <w:r>
        <w:t>报价、商务及技术文件三部分。</w:t>
      </w:r>
    </w:p>
    <w:p w14:paraId="71B7B369">
      <w:pPr>
        <w:pStyle w:val="14"/>
        <w:numPr>
          <w:ilvl w:val="1"/>
          <w:numId w:val="13"/>
        </w:numPr>
        <w:tabs>
          <w:tab w:val="left" w:pos="1316"/>
          <w:tab w:val="left" w:pos="2097"/>
        </w:tabs>
        <w:spacing w:before="125" w:after="0" w:line="319" w:lineRule="auto"/>
        <w:ind w:left="897" w:right="5654" w:hanging="125"/>
        <w:jc w:val="left"/>
        <w:rPr>
          <w:sz w:val="24"/>
        </w:rPr>
      </w:pPr>
      <w:r>
        <w:rPr>
          <w:b/>
          <w:sz w:val="24"/>
        </w:rPr>
        <w:t>商务及技术文件（包括但不限于</w:t>
      </w:r>
      <w:r>
        <w:rPr>
          <w:b/>
          <w:spacing w:val="-13"/>
          <w:sz w:val="24"/>
        </w:rPr>
        <w:t xml:space="preserve">） </w:t>
      </w:r>
      <w:r>
        <w:rPr>
          <w:sz w:val="24"/>
        </w:rPr>
        <w:t>第一部分</w:t>
      </w:r>
      <w:r>
        <w:rPr>
          <w:sz w:val="24"/>
        </w:rPr>
        <w:tab/>
      </w:r>
      <w:r>
        <w:rPr>
          <w:sz w:val="24"/>
        </w:rPr>
        <w:t>商务部分</w:t>
      </w:r>
    </w:p>
    <w:p w14:paraId="59DA44D3">
      <w:pPr>
        <w:pStyle w:val="8"/>
        <w:spacing w:line="298" w:lineRule="exact"/>
        <w:ind w:left="897"/>
      </w:pPr>
      <w:r>
        <w:t>一、投标函(格式附后)</w:t>
      </w:r>
    </w:p>
    <w:p w14:paraId="6854DDBE">
      <w:pPr>
        <w:pStyle w:val="8"/>
        <w:tabs>
          <w:tab w:val="left" w:pos="2157"/>
        </w:tabs>
        <w:spacing w:before="91" w:line="312" w:lineRule="auto"/>
        <w:ind w:left="897" w:right="3146"/>
      </w:pPr>
      <w:r>
        <w:t>附件</w:t>
      </w:r>
      <w:r>
        <w:rPr>
          <w:spacing w:val="-60"/>
        </w:rPr>
        <w:t xml:space="preserve"> </w:t>
      </w:r>
      <w:r>
        <w:t>1－1</w:t>
      </w:r>
      <w:r>
        <w:tab/>
      </w:r>
      <w:r>
        <w:t>法定代表人身份证明复印件(法定代表人参加投标</w:t>
      </w:r>
      <w:r>
        <w:rPr>
          <w:spacing w:val="-17"/>
        </w:rPr>
        <w:t xml:space="preserve">) </w:t>
      </w:r>
      <w:r>
        <w:t>附件</w:t>
      </w:r>
      <w:r>
        <w:rPr>
          <w:spacing w:val="-60"/>
        </w:rPr>
        <w:t xml:space="preserve"> </w:t>
      </w:r>
      <w:r>
        <w:t>1－2</w:t>
      </w:r>
      <w:r>
        <w:tab/>
      </w:r>
      <w:r>
        <w:t>法定代表人授权书(授权代表参加投标)</w:t>
      </w:r>
    </w:p>
    <w:p w14:paraId="04D157E6">
      <w:pPr>
        <w:pStyle w:val="8"/>
        <w:spacing w:before="2" w:line="312" w:lineRule="auto"/>
        <w:ind w:left="897" w:right="4646"/>
      </w:pPr>
      <w:r>
        <w:t>二、开标一览表（包含报价明细表）(格式附后) 三、商务条款偏离表(格式附后)</w:t>
      </w:r>
    </w:p>
    <w:p w14:paraId="7376D8AD">
      <w:pPr>
        <w:pStyle w:val="8"/>
        <w:spacing w:line="312" w:lineRule="auto"/>
        <w:ind w:left="897" w:right="6806"/>
      </w:pPr>
      <w:r>
        <w:t>四、投标保证金(格式附后) 五、供应商的资格证明材料</w:t>
      </w:r>
    </w:p>
    <w:p w14:paraId="60F2AA98">
      <w:pPr>
        <w:pStyle w:val="8"/>
        <w:spacing w:line="307" w:lineRule="exact"/>
        <w:ind w:left="897"/>
      </w:pPr>
      <w:r>
        <w:t>(一)供应商基本情况表(附件 5－1)</w:t>
      </w:r>
    </w:p>
    <w:p w14:paraId="4CB7844F">
      <w:pPr>
        <w:pStyle w:val="8"/>
        <w:spacing w:before="93" w:line="312" w:lineRule="auto"/>
        <w:ind w:left="420" w:right="445" w:firstLine="477"/>
      </w:pPr>
      <w:r>
        <w:rPr>
          <w:spacing w:val="-8"/>
        </w:rPr>
        <w:t xml:space="preserve">(二)参加政府采购活动的供应商应当具备《政府采购法》第二十二条第一款规定的条件， </w:t>
      </w:r>
      <w:r>
        <w:t>提供下列材料：</w:t>
      </w:r>
    </w:p>
    <w:p w14:paraId="1BE16E75">
      <w:pPr>
        <w:pStyle w:val="8"/>
        <w:tabs>
          <w:tab w:val="left" w:pos="2517"/>
        </w:tabs>
        <w:spacing w:line="307" w:lineRule="exact"/>
        <w:ind w:left="897"/>
      </w:pPr>
      <w:r>
        <w:t>附件</w:t>
      </w:r>
      <w:r>
        <w:rPr>
          <w:spacing w:val="-60"/>
        </w:rPr>
        <w:t xml:space="preserve"> </w:t>
      </w:r>
      <w:r>
        <w:t>5－1－1</w:t>
      </w:r>
      <w:r>
        <w:tab/>
      </w:r>
      <w:r>
        <w:t>法人或者其他组织的营业执照副本复印件或自然人的身份证明复印件；</w:t>
      </w:r>
    </w:p>
    <w:p w14:paraId="7738E845">
      <w:pPr>
        <w:pStyle w:val="8"/>
        <w:tabs>
          <w:tab w:val="left" w:pos="2459"/>
          <w:tab w:val="left" w:pos="2517"/>
        </w:tabs>
        <w:spacing w:before="189" w:line="331" w:lineRule="auto"/>
        <w:ind w:left="897" w:right="177" w:firstLine="2"/>
      </w:pPr>
      <w:r>
        <w:t>附件5－1－2</w:t>
      </w:r>
      <w:r>
        <w:tab/>
      </w:r>
      <w:r>
        <w:t>202</w:t>
      </w:r>
      <w:r>
        <w:rPr>
          <w:rFonts w:hint="eastAsia"/>
          <w:lang w:val="en-US" w:eastAsia="zh-CN"/>
        </w:rPr>
        <w:t>4</w:t>
      </w:r>
      <w:r>
        <w:t>年财务状况报告或银行出具的资信证明材</w:t>
      </w:r>
      <w:r>
        <w:rPr>
          <w:spacing w:val="-94"/>
        </w:rPr>
        <w:t>料</w:t>
      </w:r>
      <w:r>
        <w:t>（新成立的公司可不提供</w:t>
      </w:r>
      <w:r>
        <w:rPr>
          <w:spacing w:val="-128"/>
        </w:rPr>
        <w:t>）</w:t>
      </w:r>
      <w:r>
        <w:rPr>
          <w:spacing w:val="-8"/>
        </w:rPr>
        <w:t>；</w:t>
      </w:r>
      <w:r>
        <w:t>附件</w:t>
      </w:r>
      <w:r>
        <w:rPr>
          <w:spacing w:val="-60"/>
        </w:rPr>
        <w:t xml:space="preserve"> </w:t>
      </w:r>
      <w:r>
        <w:t>5－1－3</w:t>
      </w:r>
      <w:r>
        <w:tab/>
      </w:r>
      <w:r>
        <w:tab/>
      </w:r>
      <w:r>
        <w:t>具有履行合同所必需的设备和专业技术能力(声明函格式自拟)即具有完</w:t>
      </w:r>
    </w:p>
    <w:p w14:paraId="331A22A9">
      <w:pPr>
        <w:pStyle w:val="8"/>
        <w:spacing w:line="282" w:lineRule="exact"/>
        <w:ind w:left="420"/>
      </w:pPr>
      <w:r>
        <w:t>成本项目采购能力；</w:t>
      </w:r>
    </w:p>
    <w:p w14:paraId="6F44B235">
      <w:pPr>
        <w:pStyle w:val="8"/>
        <w:tabs>
          <w:tab w:val="left" w:pos="2517"/>
        </w:tabs>
        <w:spacing w:before="93" w:line="312" w:lineRule="auto"/>
        <w:ind w:left="420" w:right="746" w:firstLine="477"/>
      </w:pPr>
      <w:r>
        <w:t>附件</w:t>
      </w:r>
      <w:r>
        <w:rPr>
          <w:spacing w:val="-60"/>
        </w:rPr>
        <w:t xml:space="preserve"> </w:t>
      </w:r>
      <w:r>
        <w:t>5－1－4</w:t>
      </w:r>
      <w:r>
        <w:tab/>
      </w:r>
      <w:r>
        <w:t>具有依法缴纳税收和社会保障资金的良好记录(提供相应证明材料或</w:t>
      </w:r>
      <w:r>
        <w:rPr>
          <w:spacing w:val="-17"/>
        </w:rPr>
        <w:t>声</w:t>
      </w:r>
      <w:r>
        <w:t>明函格式自拟)；</w:t>
      </w:r>
    </w:p>
    <w:p w14:paraId="329F1F5D">
      <w:pPr>
        <w:pStyle w:val="8"/>
        <w:tabs>
          <w:tab w:val="left" w:pos="2517"/>
        </w:tabs>
        <w:spacing w:line="312" w:lineRule="auto"/>
        <w:ind w:left="420" w:right="626" w:firstLine="477"/>
      </w:pPr>
      <w:r>
        <w:t>附件</w:t>
      </w:r>
      <w:r>
        <w:rPr>
          <w:spacing w:val="-60"/>
        </w:rPr>
        <w:t xml:space="preserve"> </w:t>
      </w:r>
      <w:r>
        <w:t>5－1－5</w:t>
      </w:r>
      <w:r>
        <w:tab/>
      </w:r>
      <w:r>
        <w:t>单位负责人为同一人或者存在直接控股、管理关系的不同供应商，不</w:t>
      </w:r>
      <w:r>
        <w:rPr>
          <w:spacing w:val="-17"/>
        </w:rPr>
        <w:t>得</w:t>
      </w:r>
      <w:r>
        <w:t>参加同一合同项下的政府采购活动(提供声明函格式自拟)；</w:t>
      </w:r>
    </w:p>
    <w:p w14:paraId="6140EBDD">
      <w:pPr>
        <w:pStyle w:val="8"/>
        <w:tabs>
          <w:tab w:val="left" w:pos="2519"/>
        </w:tabs>
        <w:spacing w:before="2" w:line="312" w:lineRule="auto"/>
        <w:ind w:left="900" w:right="625"/>
      </w:pPr>
      <w:r>
        <w:t>附件</w:t>
      </w:r>
      <w:r>
        <w:rPr>
          <w:spacing w:val="-60"/>
        </w:rPr>
        <w:t xml:space="preserve"> </w:t>
      </w:r>
      <w:r>
        <w:t>5－1－6</w:t>
      </w:r>
      <w:r>
        <w:tab/>
      </w:r>
      <w:r>
        <w:t>参加政府采购活动前三年内在经营活动中没有重大违法记录书面声明</w:t>
      </w:r>
      <w:r>
        <w:rPr>
          <w:spacing w:val="-18"/>
        </w:rPr>
        <w:t xml:space="preserve">； </w:t>
      </w:r>
      <w:r>
        <w:t>附件</w:t>
      </w:r>
      <w:r>
        <w:rPr>
          <w:spacing w:val="-60"/>
        </w:rPr>
        <w:t xml:space="preserve"> </w:t>
      </w:r>
      <w:r>
        <w:t>5－1－7</w:t>
      </w:r>
      <w:r>
        <w:tab/>
      </w:r>
      <w:r>
        <w:t>无不良信用记录承诺函；</w:t>
      </w:r>
    </w:p>
    <w:p w14:paraId="35206B78">
      <w:pPr>
        <w:pStyle w:val="8"/>
        <w:spacing w:line="312" w:lineRule="auto"/>
        <w:ind w:left="420" w:right="565" w:firstLine="477"/>
        <w:jc w:val="both"/>
      </w:pPr>
      <w:r>
        <w:rPr>
          <w:spacing w:val="-20"/>
        </w:rPr>
        <w:t xml:space="preserve">附件 </w:t>
      </w:r>
      <w:r>
        <w:t>5－1－8</w:t>
      </w:r>
      <w:r>
        <w:rPr>
          <w:spacing w:val="-4"/>
        </w:rPr>
        <w:t xml:space="preserve"> 供应商参加政府采购活动前三年内，在经营活动中没有重大违法记录，在</w:t>
      </w:r>
      <w:r>
        <w:rPr>
          <w:spacing w:val="-7"/>
        </w:rPr>
        <w:t>“信用中国”网站</w:t>
      </w:r>
      <w:r>
        <w:rPr>
          <w:spacing w:val="-1"/>
        </w:rPr>
        <w:t>（</w:t>
      </w:r>
      <w:r>
        <w:fldChar w:fldCharType="begin"/>
      </w:r>
      <w:r>
        <w:instrText xml:space="preserve"> HYPERLINK "http://www.creditchina.gov.cn/" \h </w:instrText>
      </w:r>
      <w:r>
        <w:fldChar w:fldCharType="separate"/>
      </w:r>
      <w:r>
        <w:rPr>
          <w:spacing w:val="-1"/>
        </w:rPr>
        <w:t>www.creditchina.gov.cn</w:t>
      </w:r>
      <w:r>
        <w:rPr>
          <w:spacing w:val="-1"/>
        </w:rPr>
        <w:fldChar w:fldCharType="end"/>
      </w:r>
      <w:r>
        <w:rPr>
          <w:spacing w:val="-1"/>
        </w:rPr>
        <w:t>）</w:t>
      </w:r>
      <w:r>
        <w:rPr>
          <w:spacing w:val="-7"/>
        </w:rPr>
        <w:t>、中国政府采购网</w:t>
      </w:r>
      <w:r>
        <w:t>（</w:t>
      </w:r>
      <w:r>
        <w:fldChar w:fldCharType="begin"/>
      </w:r>
      <w:r>
        <w:instrText xml:space="preserve"> HYPERLINK "http://www.ccgp.gov.cn/" \h </w:instrText>
      </w:r>
      <w:r>
        <w:fldChar w:fldCharType="separate"/>
      </w:r>
      <w:r>
        <w:t>www.ccgp.gov.cn</w:t>
      </w:r>
      <w:r>
        <w:fldChar w:fldCharType="end"/>
      </w:r>
      <w:r>
        <w:t>）</w:t>
      </w:r>
      <w:r>
        <w:rPr>
          <w:spacing w:val="-7"/>
        </w:rPr>
        <w:t>没有</w:t>
      </w:r>
      <w:r>
        <w:rPr>
          <w:spacing w:val="-1"/>
        </w:rPr>
        <w:t>被列入失信被执行人、重大税收违法失信主体名单、政府采购严重违法失信行为记录名单及</w:t>
      </w:r>
      <w:r>
        <w:t>其他不符合规定条件。（提供查询结果网页截图并加盖供应商公章）。</w:t>
      </w:r>
    </w:p>
    <w:p w14:paraId="0EDE3EC5">
      <w:pPr>
        <w:pStyle w:val="8"/>
        <w:tabs>
          <w:tab w:val="left" w:pos="2157"/>
        </w:tabs>
        <w:spacing w:before="2" w:line="312" w:lineRule="auto"/>
        <w:ind w:left="897" w:right="5546"/>
      </w:pPr>
      <w:r>
        <w:t>六、提供符合政府采购政策的证明材料附件</w:t>
      </w:r>
      <w:r>
        <w:rPr>
          <w:spacing w:val="-60"/>
        </w:rPr>
        <w:t xml:space="preserve"> </w:t>
      </w:r>
      <w:r>
        <w:t>6－1</w:t>
      </w:r>
      <w:r>
        <w:tab/>
      </w:r>
      <w:r>
        <w:t>中小企业声明函(格式附后</w:t>
      </w:r>
      <w:r>
        <w:rPr>
          <w:spacing w:val="-17"/>
        </w:rPr>
        <w:t>)</w:t>
      </w:r>
    </w:p>
    <w:p w14:paraId="6BBF3D5C">
      <w:pPr>
        <w:pStyle w:val="8"/>
        <w:spacing w:line="312" w:lineRule="auto"/>
        <w:ind w:left="897" w:right="5126"/>
      </w:pPr>
      <w:r>
        <w:t>七、供应商须知前附表要求的其他投标资料八、供应商须提供类似业绩</w:t>
      </w:r>
    </w:p>
    <w:p w14:paraId="50CBDE3E">
      <w:pPr>
        <w:pStyle w:val="8"/>
        <w:tabs>
          <w:tab w:val="left" w:pos="2097"/>
        </w:tabs>
        <w:spacing w:line="312" w:lineRule="auto"/>
        <w:ind w:left="897" w:right="6086"/>
      </w:pPr>
      <w:r>
        <w:t>九、供应商认为需提供的其他资</w:t>
      </w:r>
      <w:r>
        <w:rPr>
          <w:spacing w:val="-17"/>
        </w:rPr>
        <w:t>料</w:t>
      </w:r>
      <w:r>
        <w:t>第二部分</w:t>
      </w:r>
      <w:r>
        <w:tab/>
      </w:r>
      <w:r>
        <w:t>技术部分</w:t>
      </w:r>
    </w:p>
    <w:p w14:paraId="3576A061">
      <w:pPr>
        <w:spacing w:after="0" w:line="312" w:lineRule="auto"/>
        <w:sectPr>
          <w:pgSz w:w="11910" w:h="16840"/>
          <w:pgMar w:top="1460" w:right="660" w:bottom="1180" w:left="660" w:header="0" w:footer="909" w:gutter="0"/>
          <w:cols w:space="720" w:num="1"/>
        </w:sectPr>
      </w:pPr>
    </w:p>
    <w:p w14:paraId="6E56C680">
      <w:pPr>
        <w:pStyle w:val="8"/>
        <w:spacing w:before="42" w:line="312" w:lineRule="auto"/>
        <w:ind w:left="420" w:right="566" w:firstLine="477"/>
      </w:pPr>
      <w:r>
        <w:t>投标人应根据项目采购需求、评标办法及评审内容和实际情况增加内容，但不得擅自减少有关内容，所有不完整的投标将可能被否决其参选，格式自拟，包括但不限于：</w:t>
      </w:r>
    </w:p>
    <w:p w14:paraId="7E8AD964">
      <w:pPr>
        <w:pStyle w:val="8"/>
        <w:spacing w:before="2"/>
        <w:ind w:left="897"/>
      </w:pPr>
      <w:r>
        <w:t>投标人应提交完整的组织方案至少应包括以下内容：</w:t>
      </w:r>
    </w:p>
    <w:p w14:paraId="7FACB308">
      <w:pPr>
        <w:pStyle w:val="8"/>
        <w:spacing w:before="91" w:line="312" w:lineRule="auto"/>
        <w:ind w:left="897" w:right="3806"/>
      </w:pPr>
      <w:r>
        <w:rPr>
          <w:spacing w:val="-1"/>
        </w:rPr>
        <w:t xml:space="preserve">一、 项目实施方案、技术方案、服务方案或供货方案； </w:t>
      </w:r>
      <w:r>
        <w:t>二、 投标供应商必须提供投标货物的详细参数说明； 三、 投标产品性能和质量；</w:t>
      </w:r>
    </w:p>
    <w:p w14:paraId="0D2256A7">
      <w:pPr>
        <w:pStyle w:val="8"/>
        <w:spacing w:before="1" w:line="312" w:lineRule="auto"/>
        <w:ind w:left="900" w:right="7885"/>
      </w:pPr>
      <w:r>
        <w:t>四、 配送方案； 五、 到货要求；</w:t>
      </w:r>
    </w:p>
    <w:p w14:paraId="78C66B34">
      <w:pPr>
        <w:pStyle w:val="8"/>
        <w:spacing w:before="2" w:line="312" w:lineRule="auto"/>
        <w:ind w:left="897" w:right="7166"/>
      </w:pPr>
      <w:r>
        <w:t xml:space="preserve">六、 质量保证措施； </w:t>
      </w:r>
      <w:r>
        <w:rPr>
          <w:spacing w:val="-2"/>
        </w:rPr>
        <w:t>七、 技术条款偏离表；</w:t>
      </w:r>
    </w:p>
    <w:p w14:paraId="3916E6CD">
      <w:pPr>
        <w:pStyle w:val="8"/>
        <w:spacing w:line="312" w:lineRule="auto"/>
        <w:ind w:left="897" w:right="3566"/>
      </w:pPr>
      <w:r>
        <w:t>八、 使用说明书、产品图册等证明材料须附彩色复印件； 九、 投标人售后服务承诺；</w:t>
      </w:r>
    </w:p>
    <w:p w14:paraId="5DE379D6">
      <w:pPr>
        <w:pStyle w:val="8"/>
        <w:spacing w:line="307" w:lineRule="exact"/>
        <w:ind w:left="897"/>
      </w:pPr>
      <w:r>
        <w:t>十、 优惠条件；</w:t>
      </w:r>
    </w:p>
    <w:p w14:paraId="3C94A19F">
      <w:pPr>
        <w:pStyle w:val="8"/>
        <w:spacing w:before="93"/>
        <w:ind w:left="897"/>
      </w:pPr>
      <w:r>
        <w:t>十一、投标供应商认为有必要提供的声明及文件资料；</w:t>
      </w:r>
    </w:p>
    <w:p w14:paraId="33FCD102">
      <w:pPr>
        <w:pStyle w:val="7"/>
        <w:numPr>
          <w:ilvl w:val="1"/>
          <w:numId w:val="13"/>
        </w:numPr>
        <w:tabs>
          <w:tab w:val="left" w:pos="1440"/>
        </w:tabs>
        <w:spacing w:before="93" w:after="0" w:line="240" w:lineRule="auto"/>
        <w:ind w:left="1440" w:right="0" w:hanging="543"/>
        <w:jc w:val="left"/>
      </w:pPr>
      <w:r>
        <w:t>投标文件的要求</w:t>
      </w:r>
    </w:p>
    <w:p w14:paraId="1801F3A1">
      <w:pPr>
        <w:pStyle w:val="14"/>
        <w:numPr>
          <w:ilvl w:val="0"/>
          <w:numId w:val="15"/>
        </w:numPr>
        <w:tabs>
          <w:tab w:val="left" w:pos="1499"/>
        </w:tabs>
        <w:spacing w:before="91" w:after="0" w:line="312" w:lineRule="auto"/>
        <w:ind w:left="420" w:right="446" w:firstLine="477"/>
        <w:jc w:val="left"/>
        <w:rPr>
          <w:sz w:val="24"/>
        </w:rPr>
      </w:pPr>
      <w:r>
        <w:rPr>
          <w:spacing w:val="-1"/>
          <w:sz w:val="24"/>
        </w:rPr>
        <w:t xml:space="preserve">供应商应仔细阅读采购文件的所有内容，按照采购文件的要求详细编制投标文件， </w:t>
      </w:r>
      <w:r>
        <w:rPr>
          <w:sz w:val="24"/>
        </w:rPr>
        <w:t>所提交的全部资料必须真实有效，并且要保证字迹清晰易于辨认。投标文件应对采购文件实质性内容作出响应，否则按无效标处理。</w:t>
      </w:r>
    </w:p>
    <w:p w14:paraId="6228142C">
      <w:pPr>
        <w:pStyle w:val="14"/>
        <w:numPr>
          <w:ilvl w:val="0"/>
          <w:numId w:val="15"/>
        </w:numPr>
        <w:tabs>
          <w:tab w:val="left" w:pos="1499"/>
        </w:tabs>
        <w:spacing w:before="1" w:after="0" w:line="312" w:lineRule="auto"/>
        <w:ind w:left="420" w:right="565" w:firstLine="477"/>
        <w:jc w:val="left"/>
        <w:rPr>
          <w:sz w:val="24"/>
        </w:rPr>
      </w:pPr>
      <w:r>
        <w:rPr>
          <w:spacing w:val="-3"/>
          <w:sz w:val="24"/>
        </w:rPr>
        <w:t>投标文件格式应按本采购文件第六章投标文件格式要求编制，不得对采购文件格</w:t>
      </w:r>
      <w:r>
        <w:rPr>
          <w:spacing w:val="-5"/>
          <w:sz w:val="24"/>
        </w:rPr>
        <w:t>式进行增删更改，否则按无效标处理。</w:t>
      </w:r>
    </w:p>
    <w:p w14:paraId="1B255727">
      <w:pPr>
        <w:pStyle w:val="14"/>
        <w:numPr>
          <w:ilvl w:val="0"/>
          <w:numId w:val="15"/>
        </w:numPr>
        <w:tabs>
          <w:tab w:val="left" w:pos="1499"/>
        </w:tabs>
        <w:spacing w:before="2" w:after="0" w:line="312" w:lineRule="auto"/>
        <w:ind w:left="420" w:right="565" w:firstLine="477"/>
        <w:jc w:val="left"/>
        <w:rPr>
          <w:sz w:val="24"/>
        </w:rPr>
      </w:pPr>
      <w:r>
        <w:rPr>
          <w:spacing w:val="-4"/>
          <w:sz w:val="24"/>
        </w:rPr>
        <w:t>对采购文件格式可更改的例外情况：采购文件第六章投标文件格式要求中明确规</w:t>
      </w:r>
      <w:r>
        <w:rPr>
          <w:spacing w:val="-5"/>
          <w:sz w:val="24"/>
        </w:rPr>
        <w:t>定表格中行数不够用时可按相同格式增加行数，其他一切内容和格式不得更改。</w:t>
      </w:r>
    </w:p>
    <w:p w14:paraId="75C68959">
      <w:pPr>
        <w:pStyle w:val="14"/>
        <w:numPr>
          <w:ilvl w:val="0"/>
          <w:numId w:val="15"/>
        </w:numPr>
        <w:tabs>
          <w:tab w:val="left" w:pos="1499"/>
        </w:tabs>
        <w:spacing w:before="0" w:after="0" w:line="312" w:lineRule="auto"/>
        <w:ind w:left="420" w:right="565" w:firstLine="477"/>
        <w:jc w:val="left"/>
        <w:rPr>
          <w:sz w:val="24"/>
        </w:rPr>
      </w:pPr>
      <w:r>
        <w:rPr>
          <w:spacing w:val="-7"/>
          <w:sz w:val="24"/>
        </w:rPr>
        <w:t>投标文件签署和盖章：投标文件的书写要求、标记要求、签署，未按要求编制，投</w:t>
      </w:r>
      <w:r>
        <w:rPr>
          <w:sz w:val="24"/>
        </w:rPr>
        <w:t>标文件将不能通过审查；法人或授权委托人在文件右下角须逐页签字加盖公章。</w:t>
      </w:r>
    </w:p>
    <w:p w14:paraId="2CD50244">
      <w:pPr>
        <w:pStyle w:val="14"/>
        <w:numPr>
          <w:ilvl w:val="0"/>
          <w:numId w:val="15"/>
        </w:numPr>
        <w:tabs>
          <w:tab w:val="left" w:pos="1499"/>
        </w:tabs>
        <w:spacing w:before="0" w:after="0" w:line="312" w:lineRule="auto"/>
        <w:ind w:left="420" w:right="565" w:firstLine="477"/>
        <w:jc w:val="left"/>
        <w:rPr>
          <w:sz w:val="24"/>
        </w:rPr>
      </w:pPr>
      <w:r>
        <w:rPr>
          <w:spacing w:val="-6"/>
          <w:sz w:val="24"/>
        </w:rPr>
        <w:t>投标文件中营业执照、授权委托书、法定代表人资格证明、法人及授权委托人身</w:t>
      </w:r>
      <w:r>
        <w:rPr>
          <w:spacing w:val="-4"/>
          <w:sz w:val="24"/>
        </w:rPr>
        <w:t>份证复印件均需加盖复印无效的章子。</w:t>
      </w:r>
    </w:p>
    <w:p w14:paraId="6F5D9447">
      <w:pPr>
        <w:pStyle w:val="14"/>
        <w:numPr>
          <w:ilvl w:val="0"/>
          <w:numId w:val="15"/>
        </w:numPr>
        <w:tabs>
          <w:tab w:val="left" w:pos="1499"/>
        </w:tabs>
        <w:spacing w:before="1" w:after="0" w:line="312" w:lineRule="auto"/>
        <w:ind w:left="420" w:right="566" w:firstLine="477"/>
        <w:jc w:val="left"/>
        <w:rPr>
          <w:sz w:val="24"/>
        </w:rPr>
      </w:pPr>
      <w:r>
        <w:rPr>
          <w:spacing w:val="-1"/>
          <w:sz w:val="24"/>
        </w:rPr>
        <w:t>投标文件为电子投标文件，电子投标文件按“政采云供应商项目采购-电子招投标</w:t>
      </w:r>
      <w:r>
        <w:rPr>
          <w:sz w:val="24"/>
        </w:rPr>
        <w:t>操作指南”及本采购文件要求制作、加密传输。</w:t>
      </w:r>
    </w:p>
    <w:p w14:paraId="3EFA24C0">
      <w:pPr>
        <w:pStyle w:val="14"/>
        <w:numPr>
          <w:ilvl w:val="0"/>
          <w:numId w:val="15"/>
        </w:numPr>
        <w:tabs>
          <w:tab w:val="left" w:pos="1499"/>
        </w:tabs>
        <w:spacing w:before="0" w:after="0" w:line="312" w:lineRule="auto"/>
        <w:ind w:left="420" w:right="565" w:firstLine="477"/>
        <w:jc w:val="left"/>
        <w:rPr>
          <w:sz w:val="24"/>
        </w:rPr>
      </w:pPr>
      <w:r>
        <w:rPr>
          <w:spacing w:val="-5"/>
          <w:sz w:val="24"/>
        </w:rPr>
        <w:t>投标文件未在投标截止时间前完成传输的，视为投标文件撤回；投标文件未按时</w:t>
      </w:r>
      <w:r>
        <w:rPr>
          <w:spacing w:val="-4"/>
          <w:sz w:val="24"/>
        </w:rPr>
        <w:t>解密也未提供备份投标文件的，亦视为投标文件撤回。</w:t>
      </w:r>
    </w:p>
    <w:p w14:paraId="0D375476">
      <w:pPr>
        <w:pStyle w:val="14"/>
        <w:numPr>
          <w:ilvl w:val="0"/>
          <w:numId w:val="15"/>
        </w:numPr>
        <w:tabs>
          <w:tab w:val="left" w:pos="1499"/>
        </w:tabs>
        <w:spacing w:before="0" w:after="0" w:line="312" w:lineRule="auto"/>
        <w:ind w:left="420" w:right="565" w:firstLine="477"/>
        <w:jc w:val="both"/>
        <w:rPr>
          <w:sz w:val="24"/>
        </w:rPr>
      </w:pPr>
      <w:r>
        <w:rPr>
          <w:spacing w:val="-8"/>
          <w:sz w:val="24"/>
        </w:rPr>
        <w:t>中标公示期内，采购单位如需查验中标供应商投标文件中的相关证明材料</w:t>
      </w:r>
      <w:r>
        <w:rPr>
          <w:sz w:val="24"/>
        </w:rPr>
        <w:t>（包括</w:t>
      </w:r>
      <w:r>
        <w:rPr>
          <w:spacing w:val="-4"/>
          <w:sz w:val="24"/>
        </w:rPr>
        <w:t>证书、检测报告等</w:t>
      </w:r>
      <w:r>
        <w:rPr>
          <w:sz w:val="24"/>
        </w:rPr>
        <w:t>），中标供应商需按要求将相关证明材料原件交予采购人核查，如存在弄</w:t>
      </w:r>
      <w:r>
        <w:rPr>
          <w:spacing w:val="-5"/>
          <w:sz w:val="24"/>
        </w:rPr>
        <w:t>虚作假，虚假响应，将不予签订合同，同时取消中标人的中标资格并追究中标人虚假应标的</w:t>
      </w:r>
      <w:r>
        <w:rPr>
          <w:spacing w:val="-9"/>
          <w:sz w:val="24"/>
        </w:rPr>
        <w:t xml:space="preserve">相应法律责任 </w:t>
      </w:r>
      <w:r>
        <w:rPr>
          <w:spacing w:val="-3"/>
          <w:sz w:val="24"/>
        </w:rPr>
        <w:t>（单独在投标文件中提供书面承诺</w:t>
      </w:r>
      <w:r>
        <w:rPr>
          <w:sz w:val="24"/>
        </w:rPr>
        <w:t>（格式自拟</w:t>
      </w:r>
      <w:r>
        <w:rPr>
          <w:spacing w:val="-31"/>
          <w:sz w:val="24"/>
        </w:rPr>
        <w:t>）</w:t>
      </w:r>
      <w:r>
        <w:rPr>
          <w:spacing w:val="-6"/>
          <w:sz w:val="24"/>
        </w:rPr>
        <w:t>，未单独提供书面承诺视为不</w:t>
      </w:r>
      <w:r>
        <w:rPr>
          <w:spacing w:val="-17"/>
          <w:sz w:val="24"/>
        </w:rPr>
        <w:t>响</w:t>
      </w:r>
    </w:p>
    <w:p w14:paraId="6A25DF99">
      <w:pPr>
        <w:spacing w:after="0" w:line="312" w:lineRule="auto"/>
        <w:jc w:val="both"/>
        <w:rPr>
          <w:sz w:val="24"/>
        </w:rPr>
        <w:sectPr>
          <w:pgSz w:w="11910" w:h="16840"/>
          <w:pgMar w:top="1460" w:right="660" w:bottom="1180" w:left="660" w:header="0" w:footer="909" w:gutter="0"/>
          <w:cols w:space="720" w:num="1"/>
        </w:sectPr>
      </w:pPr>
    </w:p>
    <w:p w14:paraId="6D3D4426">
      <w:pPr>
        <w:spacing w:before="42" w:line="336" w:lineRule="auto"/>
        <w:ind w:left="900" w:right="6805" w:hanging="480"/>
        <w:jc w:val="left"/>
        <w:rPr>
          <w:b/>
          <w:sz w:val="24"/>
        </w:rPr>
      </w:pPr>
      <w:r>
        <w:rPr>
          <w:sz w:val="24"/>
        </w:rPr>
        <w:t>应商务要求做无效投标处理）。</w:t>
      </w:r>
      <w:r>
        <w:rPr>
          <w:b/>
          <w:sz w:val="24"/>
        </w:rPr>
        <w:t>20</w:t>
      </w:r>
      <w:r>
        <w:rPr>
          <w:sz w:val="24"/>
        </w:rPr>
        <w:t>.</w:t>
      </w:r>
      <w:r>
        <w:rPr>
          <w:b/>
          <w:sz w:val="24"/>
        </w:rPr>
        <w:t>投标报价</w:t>
      </w:r>
    </w:p>
    <w:p w14:paraId="5D05D1C8">
      <w:pPr>
        <w:pStyle w:val="14"/>
        <w:numPr>
          <w:ilvl w:val="1"/>
          <w:numId w:val="16"/>
        </w:numPr>
        <w:tabs>
          <w:tab w:val="left" w:pos="1440"/>
        </w:tabs>
        <w:spacing w:before="12" w:after="0" w:line="240" w:lineRule="auto"/>
        <w:ind w:left="1440" w:right="0" w:hanging="540"/>
        <w:jc w:val="left"/>
        <w:rPr>
          <w:sz w:val="24"/>
        </w:rPr>
      </w:pPr>
      <w:r>
        <w:rPr>
          <w:sz w:val="24"/>
        </w:rPr>
        <w:t>投标报价文件中的单价和总价全部采用人民币表示。</w:t>
      </w:r>
    </w:p>
    <w:p w14:paraId="64868FEE">
      <w:pPr>
        <w:pStyle w:val="7"/>
        <w:numPr>
          <w:ilvl w:val="1"/>
          <w:numId w:val="16"/>
        </w:numPr>
        <w:tabs>
          <w:tab w:val="left" w:pos="1440"/>
        </w:tabs>
        <w:spacing w:before="132" w:after="0" w:line="240" w:lineRule="auto"/>
        <w:ind w:left="1440" w:right="0" w:hanging="540"/>
        <w:jc w:val="left"/>
      </w:pPr>
      <w:r>
        <w:rPr>
          <w:spacing w:val="-14"/>
        </w:rPr>
        <w:t>投标人投标总报价，不得高于本次招标设置的最高限价，否则将作为无效投标处理。</w:t>
      </w:r>
    </w:p>
    <w:p w14:paraId="32D7D048">
      <w:pPr>
        <w:pStyle w:val="14"/>
        <w:numPr>
          <w:ilvl w:val="1"/>
          <w:numId w:val="16"/>
        </w:numPr>
        <w:tabs>
          <w:tab w:val="left" w:pos="1440"/>
        </w:tabs>
        <w:spacing w:before="132" w:after="0" w:line="345" w:lineRule="auto"/>
        <w:ind w:left="420" w:right="565" w:firstLine="480"/>
        <w:jc w:val="left"/>
        <w:rPr>
          <w:sz w:val="24"/>
        </w:rPr>
      </w:pPr>
      <w:r>
        <w:rPr>
          <w:spacing w:val="-4"/>
          <w:sz w:val="24"/>
        </w:rPr>
        <w:t>总投标价中不得包含采购文件要求以外的内容，否则，在评标时不予核减，但在授</w:t>
      </w:r>
      <w:r>
        <w:rPr>
          <w:sz w:val="24"/>
        </w:rPr>
        <w:t>予合同时，招标人有权将这部分价格从其中标价格中扣除。</w:t>
      </w:r>
    </w:p>
    <w:p w14:paraId="118BEE1E">
      <w:pPr>
        <w:pStyle w:val="14"/>
        <w:numPr>
          <w:ilvl w:val="1"/>
          <w:numId w:val="16"/>
        </w:numPr>
        <w:tabs>
          <w:tab w:val="left" w:pos="1421"/>
        </w:tabs>
        <w:spacing w:before="0" w:after="0" w:line="343" w:lineRule="auto"/>
        <w:ind w:left="420" w:right="445" w:firstLine="460"/>
        <w:jc w:val="left"/>
        <w:rPr>
          <w:sz w:val="24"/>
        </w:rPr>
      </w:pPr>
      <w:r>
        <w:rPr>
          <w:spacing w:val="-2"/>
          <w:sz w:val="24"/>
        </w:rPr>
        <w:t>总投标价中不得缺漏采购文件所要求的内容，否则，评标时将有效投标中该项内容</w:t>
      </w:r>
      <w:r>
        <w:rPr>
          <w:spacing w:val="-11"/>
          <w:sz w:val="24"/>
        </w:rPr>
        <w:t xml:space="preserve">的最高价计入其评标总价，但在授予合同时，缺漏项目的报价视作已含在其他项目的报价中， </w:t>
      </w:r>
      <w:r>
        <w:rPr>
          <w:sz w:val="24"/>
        </w:rPr>
        <w:t>这些项目将作为免费赠送而包含在合同内。</w:t>
      </w:r>
    </w:p>
    <w:p w14:paraId="06BD5FC4">
      <w:pPr>
        <w:pStyle w:val="7"/>
        <w:numPr>
          <w:ilvl w:val="0"/>
          <w:numId w:val="17"/>
        </w:numPr>
        <w:tabs>
          <w:tab w:val="left" w:pos="1383"/>
        </w:tabs>
        <w:spacing w:before="0" w:after="0" w:line="240" w:lineRule="auto"/>
        <w:ind w:left="1382" w:right="0" w:hanging="483"/>
        <w:jc w:val="left"/>
      </w:pPr>
      <w:r>
        <w:t>投标有效期</w:t>
      </w:r>
    </w:p>
    <w:p w14:paraId="60DED16A">
      <w:pPr>
        <w:pStyle w:val="14"/>
        <w:numPr>
          <w:ilvl w:val="1"/>
          <w:numId w:val="17"/>
        </w:numPr>
        <w:tabs>
          <w:tab w:val="left" w:pos="1500"/>
        </w:tabs>
        <w:spacing w:before="128" w:after="0" w:line="240" w:lineRule="auto"/>
        <w:ind w:left="1500" w:right="0" w:hanging="600"/>
        <w:jc w:val="left"/>
        <w:rPr>
          <w:sz w:val="24"/>
        </w:rPr>
      </w:pPr>
      <w:r>
        <w:rPr>
          <w:spacing w:val="-3"/>
          <w:sz w:val="24"/>
        </w:rPr>
        <w:t xml:space="preserve">除投标人须知前附表另有规定外，投标有效期为 </w:t>
      </w:r>
      <w:r>
        <w:rPr>
          <w:sz w:val="24"/>
        </w:rPr>
        <w:t>60</w:t>
      </w:r>
      <w:r>
        <w:rPr>
          <w:spacing w:val="-20"/>
          <w:sz w:val="24"/>
        </w:rPr>
        <w:t xml:space="preserve"> 天。</w:t>
      </w:r>
    </w:p>
    <w:p w14:paraId="44B7688E">
      <w:pPr>
        <w:pStyle w:val="14"/>
        <w:numPr>
          <w:ilvl w:val="1"/>
          <w:numId w:val="17"/>
        </w:numPr>
        <w:tabs>
          <w:tab w:val="left" w:pos="1440"/>
        </w:tabs>
        <w:spacing w:before="134" w:after="0" w:line="343" w:lineRule="auto"/>
        <w:ind w:left="420" w:right="565" w:firstLine="480"/>
        <w:jc w:val="both"/>
        <w:rPr>
          <w:sz w:val="24"/>
        </w:rPr>
      </w:pPr>
      <w:r>
        <w:rPr>
          <w:spacing w:val="-7"/>
          <w:sz w:val="24"/>
        </w:rPr>
        <w:t>在投标有效期内，投标人撤销或修改其投标文件的，应承担采购文件和法律规定的</w:t>
      </w:r>
      <w:r>
        <w:rPr>
          <w:sz w:val="24"/>
        </w:rPr>
        <w:t>责任。</w:t>
      </w:r>
    </w:p>
    <w:p w14:paraId="204E4FDE">
      <w:pPr>
        <w:pStyle w:val="14"/>
        <w:numPr>
          <w:ilvl w:val="1"/>
          <w:numId w:val="17"/>
        </w:numPr>
        <w:tabs>
          <w:tab w:val="left" w:pos="1440"/>
        </w:tabs>
        <w:spacing w:before="0" w:after="0" w:line="343" w:lineRule="auto"/>
        <w:ind w:left="420" w:right="565" w:firstLine="480"/>
        <w:jc w:val="both"/>
        <w:rPr>
          <w:sz w:val="24"/>
        </w:rPr>
      </w:pPr>
      <w:r>
        <w:rPr>
          <w:spacing w:val="-5"/>
          <w:sz w:val="24"/>
        </w:rPr>
        <w:t>出现特殊情况需要延长投标有效期的，招标人以书面形式通知所有投标人延长投标</w:t>
      </w:r>
      <w:r>
        <w:rPr>
          <w:spacing w:val="-1"/>
          <w:sz w:val="24"/>
        </w:rPr>
        <w:t>有效期。投标人同意延长的，应相应延长其投标保证金的有效期，但不得要求或被允许修改</w:t>
      </w:r>
      <w:r>
        <w:rPr>
          <w:sz w:val="24"/>
        </w:rPr>
        <w:t>或撤销其投标文件；投标人拒绝延长的，其投标失效，但投标人有权收回其投标保证金。</w:t>
      </w:r>
    </w:p>
    <w:p w14:paraId="060D92BC">
      <w:pPr>
        <w:pStyle w:val="7"/>
        <w:numPr>
          <w:ilvl w:val="0"/>
          <w:numId w:val="17"/>
        </w:numPr>
        <w:tabs>
          <w:tab w:val="left" w:pos="1364"/>
        </w:tabs>
        <w:spacing w:before="0" w:after="0" w:line="240" w:lineRule="auto"/>
        <w:ind w:left="1363" w:right="0" w:hanging="484"/>
        <w:jc w:val="both"/>
      </w:pPr>
      <w:r>
        <w:t>投标保证金</w:t>
      </w:r>
    </w:p>
    <w:p w14:paraId="54BA1157">
      <w:pPr>
        <w:pStyle w:val="14"/>
        <w:numPr>
          <w:ilvl w:val="1"/>
          <w:numId w:val="17"/>
        </w:numPr>
        <w:tabs>
          <w:tab w:val="left" w:pos="1440"/>
        </w:tabs>
        <w:spacing w:before="100" w:after="0" w:line="312" w:lineRule="auto"/>
        <w:ind w:left="420" w:right="565" w:firstLine="480"/>
        <w:jc w:val="both"/>
        <w:rPr>
          <w:sz w:val="24"/>
        </w:rPr>
      </w:pPr>
      <w:r>
        <w:rPr>
          <w:spacing w:val="-4"/>
          <w:sz w:val="24"/>
        </w:rPr>
        <w:t>投标人须知前附表规定递交投标保证金的，投标人在递交投标文件的同时，应按投</w:t>
      </w:r>
      <w:r>
        <w:rPr>
          <w:spacing w:val="-1"/>
          <w:sz w:val="24"/>
        </w:rPr>
        <w:t>标人须知前附表规定的金额、担保形式和第六章“投标文件格式”规定的投标保证金格式递交投标保证金，并作为其投标文件的组成部分。投标人不按要求提交投标保证金的，评标委</w:t>
      </w:r>
      <w:r>
        <w:rPr>
          <w:sz w:val="24"/>
        </w:rPr>
        <w:t>员会将否决其投标。</w:t>
      </w:r>
    </w:p>
    <w:p w14:paraId="0791A025">
      <w:pPr>
        <w:pStyle w:val="14"/>
        <w:numPr>
          <w:ilvl w:val="1"/>
          <w:numId w:val="17"/>
        </w:numPr>
        <w:tabs>
          <w:tab w:val="left" w:pos="1440"/>
        </w:tabs>
        <w:spacing w:before="2" w:after="0" w:line="312" w:lineRule="auto"/>
        <w:ind w:left="420" w:right="565" w:firstLine="480"/>
        <w:jc w:val="both"/>
        <w:rPr>
          <w:sz w:val="24"/>
        </w:rPr>
      </w:pPr>
      <w:r>
        <w:rPr>
          <w:spacing w:val="-5"/>
          <w:sz w:val="24"/>
        </w:rPr>
        <w:t xml:space="preserve">自中标通知书发出之日起 </w:t>
      </w:r>
      <w:r>
        <w:rPr>
          <w:sz w:val="24"/>
        </w:rPr>
        <w:t>5</w:t>
      </w:r>
      <w:r>
        <w:rPr>
          <w:spacing w:val="-12"/>
          <w:sz w:val="24"/>
        </w:rPr>
        <w:t xml:space="preserve"> 个工作日内退还未中标投标人的投标保证金，自政府采</w:t>
      </w:r>
      <w:r>
        <w:rPr>
          <w:spacing w:val="-7"/>
          <w:sz w:val="24"/>
        </w:rPr>
        <w:t xml:space="preserve">购合同签订之日起 </w:t>
      </w:r>
      <w:r>
        <w:rPr>
          <w:sz w:val="24"/>
        </w:rPr>
        <w:t>5</w:t>
      </w:r>
      <w:r>
        <w:rPr>
          <w:spacing w:val="-8"/>
          <w:sz w:val="24"/>
        </w:rPr>
        <w:t xml:space="preserve"> 个工作日内退还中标人的投标保证金。</w:t>
      </w:r>
    </w:p>
    <w:p w14:paraId="34656A6E">
      <w:pPr>
        <w:pStyle w:val="14"/>
        <w:numPr>
          <w:ilvl w:val="1"/>
          <w:numId w:val="17"/>
        </w:numPr>
        <w:tabs>
          <w:tab w:val="left" w:pos="1440"/>
        </w:tabs>
        <w:spacing w:before="0" w:after="0" w:line="307" w:lineRule="exact"/>
        <w:ind w:left="1440" w:right="0" w:hanging="540"/>
        <w:jc w:val="both"/>
        <w:rPr>
          <w:sz w:val="24"/>
        </w:rPr>
      </w:pPr>
      <w:r>
        <w:rPr>
          <w:sz w:val="24"/>
        </w:rPr>
        <w:t>有下列情形之一的，投标保证金将不予退还：</w:t>
      </w:r>
    </w:p>
    <w:p w14:paraId="0D71C726">
      <w:pPr>
        <w:pStyle w:val="14"/>
        <w:numPr>
          <w:ilvl w:val="0"/>
          <w:numId w:val="18"/>
        </w:numPr>
        <w:tabs>
          <w:tab w:val="left" w:pos="1501"/>
        </w:tabs>
        <w:spacing w:before="93" w:after="0" w:line="240" w:lineRule="auto"/>
        <w:ind w:left="1501" w:right="0" w:hanging="601"/>
        <w:jc w:val="left"/>
        <w:rPr>
          <w:sz w:val="24"/>
        </w:rPr>
      </w:pPr>
      <w:r>
        <w:rPr>
          <w:sz w:val="24"/>
        </w:rPr>
        <w:t>投标人在规定的投标有效期内撤回或修改其投标文件；</w:t>
      </w:r>
    </w:p>
    <w:p w14:paraId="50BDA5AF">
      <w:pPr>
        <w:pStyle w:val="14"/>
        <w:numPr>
          <w:ilvl w:val="0"/>
          <w:numId w:val="18"/>
        </w:numPr>
        <w:tabs>
          <w:tab w:val="left" w:pos="1501"/>
        </w:tabs>
        <w:spacing w:before="93" w:after="0" w:line="240" w:lineRule="auto"/>
        <w:ind w:left="1501" w:right="0" w:hanging="601"/>
        <w:jc w:val="left"/>
        <w:rPr>
          <w:sz w:val="24"/>
        </w:rPr>
      </w:pPr>
      <w:r>
        <w:rPr>
          <w:sz w:val="24"/>
        </w:rPr>
        <w:t>中标通知书发出后三十天内，中标人无正当理由拒签合同协议书。</w:t>
      </w:r>
    </w:p>
    <w:p w14:paraId="18B972B7">
      <w:pPr>
        <w:pStyle w:val="14"/>
        <w:numPr>
          <w:ilvl w:val="0"/>
          <w:numId w:val="18"/>
        </w:numPr>
        <w:tabs>
          <w:tab w:val="left" w:pos="1501"/>
        </w:tabs>
        <w:spacing w:before="91" w:after="0" w:line="240" w:lineRule="auto"/>
        <w:ind w:left="1501" w:right="0" w:hanging="601"/>
        <w:jc w:val="left"/>
        <w:rPr>
          <w:sz w:val="24"/>
        </w:rPr>
      </w:pPr>
      <w:r>
        <w:rPr>
          <w:sz w:val="24"/>
        </w:rPr>
        <w:t>提供虚假材料谋取中标的；</w:t>
      </w:r>
    </w:p>
    <w:p w14:paraId="6E4847B4">
      <w:pPr>
        <w:pStyle w:val="14"/>
        <w:numPr>
          <w:ilvl w:val="0"/>
          <w:numId w:val="18"/>
        </w:numPr>
        <w:tabs>
          <w:tab w:val="left" w:pos="1501"/>
        </w:tabs>
        <w:spacing w:before="94" w:after="0" w:line="240" w:lineRule="auto"/>
        <w:ind w:left="1501" w:right="0" w:hanging="601"/>
        <w:jc w:val="left"/>
        <w:rPr>
          <w:sz w:val="24"/>
        </w:rPr>
      </w:pPr>
      <w:r>
        <w:rPr>
          <w:sz w:val="24"/>
        </w:rPr>
        <w:t>经查实属于陪标、串通投标的等。</w:t>
      </w:r>
    </w:p>
    <w:p w14:paraId="3DAADFC2">
      <w:pPr>
        <w:pStyle w:val="14"/>
        <w:numPr>
          <w:ilvl w:val="1"/>
          <w:numId w:val="17"/>
        </w:numPr>
        <w:tabs>
          <w:tab w:val="left" w:pos="1440"/>
        </w:tabs>
        <w:spacing w:before="93" w:after="0" w:line="240" w:lineRule="auto"/>
        <w:ind w:left="1440" w:right="0" w:hanging="540"/>
        <w:jc w:val="left"/>
        <w:rPr>
          <w:sz w:val="24"/>
        </w:rPr>
      </w:pPr>
      <w:r>
        <w:rPr>
          <w:spacing w:val="-4"/>
          <w:sz w:val="24"/>
        </w:rPr>
        <w:t xml:space="preserve">投标保证金按投标人须知前附表第 </w:t>
      </w:r>
      <w:r>
        <w:rPr>
          <w:sz w:val="24"/>
        </w:rPr>
        <w:t>22</w:t>
      </w:r>
      <w:r>
        <w:rPr>
          <w:spacing w:val="-9"/>
          <w:sz w:val="24"/>
        </w:rPr>
        <w:t xml:space="preserve"> 条规定执行。</w:t>
      </w:r>
    </w:p>
    <w:p w14:paraId="12B99C28">
      <w:pPr>
        <w:spacing w:after="0" w:line="240" w:lineRule="auto"/>
        <w:jc w:val="left"/>
        <w:rPr>
          <w:sz w:val="24"/>
        </w:rPr>
        <w:sectPr>
          <w:pgSz w:w="11910" w:h="16840"/>
          <w:pgMar w:top="1460" w:right="660" w:bottom="1180" w:left="660" w:header="0" w:footer="909" w:gutter="0"/>
          <w:cols w:space="720" w:num="1"/>
        </w:sectPr>
      </w:pPr>
    </w:p>
    <w:p w14:paraId="36E45C57">
      <w:pPr>
        <w:pStyle w:val="5"/>
        <w:spacing w:before="35"/>
        <w:ind w:left="3" w:right="146"/>
        <w:jc w:val="center"/>
      </w:pPr>
      <w:bookmarkStart w:id="8" w:name="（四）投标文件的制作、上传及递交要求"/>
      <w:bookmarkEnd w:id="8"/>
      <w:r>
        <w:t>（四）投标文件的制作、上传及递交要求</w:t>
      </w:r>
    </w:p>
    <w:p w14:paraId="6DB59F59">
      <w:pPr>
        <w:pStyle w:val="8"/>
        <w:spacing w:before="2"/>
        <w:rPr>
          <w:b/>
          <w:sz w:val="25"/>
        </w:rPr>
      </w:pPr>
    </w:p>
    <w:p w14:paraId="60822DFA">
      <w:pPr>
        <w:pStyle w:val="7"/>
        <w:numPr>
          <w:ilvl w:val="0"/>
          <w:numId w:val="17"/>
        </w:numPr>
        <w:tabs>
          <w:tab w:val="left" w:pos="1264"/>
        </w:tabs>
        <w:spacing w:before="0" w:after="0" w:line="240" w:lineRule="auto"/>
        <w:ind w:left="1263" w:right="0" w:hanging="364"/>
        <w:jc w:val="left"/>
      </w:pPr>
      <w:r>
        <w:t>投标文件的制作要求</w:t>
      </w:r>
    </w:p>
    <w:p w14:paraId="1EC7F7ED">
      <w:pPr>
        <w:pStyle w:val="14"/>
        <w:numPr>
          <w:ilvl w:val="0"/>
          <w:numId w:val="19"/>
        </w:numPr>
        <w:tabs>
          <w:tab w:val="left" w:pos="1441"/>
        </w:tabs>
        <w:spacing w:before="158" w:after="0" w:line="364" w:lineRule="auto"/>
        <w:ind w:left="420" w:right="325" w:firstLine="420"/>
        <w:jc w:val="left"/>
        <w:rPr>
          <w:sz w:val="24"/>
        </w:rPr>
      </w:pPr>
      <w:r>
        <w:rPr>
          <w:sz w:val="24"/>
        </w:rPr>
        <w:t>供应商应按照投标文件组成内容及项目招标需求和新疆政府采购云平台要求制作投标文件，不按采购文件和新疆政府采购云平台要求制作投标文件的将视情况处理（拒收等</w:t>
      </w:r>
      <w:r>
        <w:rPr>
          <w:spacing w:val="-10"/>
          <w:sz w:val="24"/>
        </w:rPr>
        <w:t xml:space="preserve">）， </w:t>
      </w:r>
      <w:r>
        <w:rPr>
          <w:sz w:val="24"/>
        </w:rPr>
        <w:t>由此产生的责任由供应商自行承担。</w:t>
      </w:r>
    </w:p>
    <w:p w14:paraId="14BF1E9B">
      <w:pPr>
        <w:pStyle w:val="8"/>
        <w:spacing w:line="364" w:lineRule="auto"/>
        <w:ind w:left="420" w:right="417" w:firstLine="480"/>
        <w:jc w:val="both"/>
      </w:pPr>
      <w:r>
        <w:t>电子投标文件部分：供应商应根据“政采云供应商项目采购-电子招投标操作指南”及本</w:t>
      </w:r>
      <w:r>
        <w:rPr>
          <w:spacing w:val="-5"/>
        </w:rPr>
        <w:t>采购文件规定的格式和顺序编制电子投标文件并进行关联定位。本招标文件《第六章投标文件</w:t>
      </w:r>
      <w:r>
        <w:rPr>
          <w:spacing w:val="-10"/>
        </w:rPr>
        <w:t>格式》中有提供格式的，供应商应按照格式进行编制</w:t>
      </w:r>
      <w:r>
        <w:rPr>
          <w:spacing w:val="-3"/>
        </w:rPr>
        <w:t>（</w:t>
      </w:r>
      <w:r>
        <w:rPr>
          <w:spacing w:val="-1"/>
        </w:rPr>
        <w:t>格式中要求提供相关证明材料的还需后</w:t>
      </w:r>
      <w:r>
        <w:t>附相关证明材料</w:t>
      </w:r>
      <w:r>
        <w:rPr>
          <w:spacing w:val="-24"/>
        </w:rPr>
        <w:t>），</w:t>
      </w:r>
      <w:r>
        <w:rPr>
          <w:spacing w:val="-4"/>
        </w:rPr>
        <w:t>并按格式要求在指定位置根据要求进行签章，否则视为未提供；本招标文</w:t>
      </w:r>
      <w:r>
        <w:rPr>
          <w:spacing w:val="-11"/>
        </w:rPr>
        <w:t>件《第六章投标文件格式》未提供格式的，请供应商自行拟定格式，并加盖单位公章，否则视</w:t>
      </w:r>
      <w:r>
        <w:t>为未提供。</w:t>
      </w:r>
    </w:p>
    <w:p w14:paraId="414FD2A4">
      <w:pPr>
        <w:pStyle w:val="8"/>
        <w:spacing w:line="304" w:lineRule="exact"/>
        <w:ind w:left="900"/>
      </w:pPr>
      <w:r>
        <w:t>备份电子投标文件：通过“政采云”平台电子投标工具制作投标文件所产生的备份文件。</w:t>
      </w:r>
    </w:p>
    <w:p w14:paraId="57E1BEB2">
      <w:pPr>
        <w:pStyle w:val="14"/>
        <w:numPr>
          <w:ilvl w:val="0"/>
          <w:numId w:val="19"/>
        </w:numPr>
        <w:tabs>
          <w:tab w:val="left" w:pos="1441"/>
        </w:tabs>
        <w:spacing w:before="158" w:after="0" w:line="364" w:lineRule="auto"/>
        <w:ind w:left="420" w:right="505" w:firstLine="420"/>
        <w:jc w:val="left"/>
        <w:rPr>
          <w:sz w:val="24"/>
        </w:rPr>
      </w:pPr>
      <w:r>
        <w:rPr>
          <w:spacing w:val="-1"/>
          <w:sz w:val="24"/>
        </w:rPr>
        <w:t>供应商应对所提供的全部资料的真实性、有效性承担法律责任，电子投标文件中所</w:t>
      </w:r>
      <w:r>
        <w:rPr>
          <w:sz w:val="24"/>
        </w:rPr>
        <w:t>须加盖公章部分均采用CA签章。</w:t>
      </w:r>
    </w:p>
    <w:p w14:paraId="1A6F890C">
      <w:pPr>
        <w:pStyle w:val="14"/>
        <w:numPr>
          <w:ilvl w:val="0"/>
          <w:numId w:val="19"/>
        </w:numPr>
        <w:tabs>
          <w:tab w:val="left" w:pos="1441"/>
        </w:tabs>
        <w:spacing w:before="0" w:after="0" w:line="364" w:lineRule="auto"/>
        <w:ind w:left="420" w:right="417" w:firstLine="420"/>
        <w:jc w:val="left"/>
        <w:rPr>
          <w:sz w:val="24"/>
        </w:rPr>
      </w:pPr>
      <w:r>
        <w:rPr>
          <w:sz w:val="24"/>
        </w:rPr>
        <w:t>投标文件以及供应商与采购组织机构就有关投标事宜的所有来往函电，均应以中文</w:t>
      </w:r>
      <w:r>
        <w:rPr>
          <w:spacing w:val="-12"/>
          <w:sz w:val="24"/>
        </w:rPr>
        <w:t>汉语书写。除签章、盖章、专用名称等特殊情形外，以中文汉语以外的文字表述的投标文件视</w:t>
      </w:r>
      <w:r>
        <w:rPr>
          <w:sz w:val="24"/>
        </w:rPr>
        <w:t>同未提供。</w:t>
      </w:r>
    </w:p>
    <w:p w14:paraId="463C956F">
      <w:pPr>
        <w:pStyle w:val="14"/>
        <w:numPr>
          <w:ilvl w:val="0"/>
          <w:numId w:val="19"/>
        </w:numPr>
        <w:tabs>
          <w:tab w:val="left" w:pos="1441"/>
        </w:tabs>
        <w:spacing w:before="0" w:after="0" w:line="362" w:lineRule="auto"/>
        <w:ind w:left="420" w:right="505" w:firstLine="420"/>
        <w:jc w:val="left"/>
        <w:rPr>
          <w:sz w:val="24"/>
        </w:rPr>
      </w:pPr>
      <w:r>
        <w:rPr>
          <w:spacing w:val="-1"/>
          <w:sz w:val="24"/>
        </w:rPr>
        <w:t>投标计量单位，采购文件已有明确规定的，使用采购文件规定的计量单位；采购文</w:t>
      </w:r>
      <w:r>
        <w:rPr>
          <w:sz w:val="24"/>
        </w:rPr>
        <w:t>件没有规定的，应采用中华人民共和国法定计量单位（货币单位：人民币元）。</w:t>
      </w:r>
    </w:p>
    <w:p w14:paraId="22308764">
      <w:pPr>
        <w:pStyle w:val="14"/>
        <w:numPr>
          <w:ilvl w:val="0"/>
          <w:numId w:val="19"/>
        </w:numPr>
        <w:tabs>
          <w:tab w:val="left" w:pos="1441"/>
        </w:tabs>
        <w:spacing w:before="3" w:after="0" w:line="240" w:lineRule="auto"/>
        <w:ind w:left="1441" w:right="0" w:hanging="601"/>
        <w:jc w:val="left"/>
        <w:rPr>
          <w:sz w:val="24"/>
        </w:rPr>
      </w:pPr>
      <w:r>
        <w:rPr>
          <w:sz w:val="24"/>
        </w:rPr>
        <w:t>若供应商不按采购文件的要求提供资格审查材料，其风险由供应商自行承担。</w:t>
      </w:r>
    </w:p>
    <w:p w14:paraId="1F849A4F">
      <w:pPr>
        <w:pStyle w:val="14"/>
        <w:numPr>
          <w:ilvl w:val="0"/>
          <w:numId w:val="19"/>
        </w:numPr>
        <w:tabs>
          <w:tab w:val="left" w:pos="1441"/>
        </w:tabs>
        <w:spacing w:before="160" w:after="0" w:line="362" w:lineRule="auto"/>
        <w:ind w:left="900" w:right="985" w:hanging="60"/>
        <w:jc w:val="left"/>
        <w:rPr>
          <w:b/>
          <w:sz w:val="24"/>
        </w:rPr>
      </w:pPr>
      <w:r>
        <w:rPr>
          <w:spacing w:val="-1"/>
          <w:sz w:val="24"/>
        </w:rPr>
        <w:t>与本次投标无关的内容请不要制作在内，确保投标文件有针对性、简洁明了。</w:t>
      </w:r>
      <w:r>
        <w:rPr>
          <w:b/>
          <w:sz w:val="24"/>
        </w:rPr>
        <w:t>24.投标文件的上传</w:t>
      </w:r>
    </w:p>
    <w:p w14:paraId="44AE1498">
      <w:pPr>
        <w:pStyle w:val="7"/>
        <w:numPr>
          <w:ilvl w:val="0"/>
          <w:numId w:val="20"/>
        </w:numPr>
        <w:tabs>
          <w:tab w:val="left" w:pos="1443"/>
        </w:tabs>
        <w:spacing w:before="5" w:after="0" w:line="240" w:lineRule="auto"/>
        <w:ind w:left="1442" w:right="0" w:hanging="603"/>
        <w:jc w:val="left"/>
      </w:pPr>
      <w:r>
        <w:t>电子加密投标文件（“.jmbs”格式）：</w:t>
      </w:r>
    </w:p>
    <w:p w14:paraId="2179354A">
      <w:pPr>
        <w:pStyle w:val="14"/>
        <w:numPr>
          <w:ilvl w:val="1"/>
          <w:numId w:val="20"/>
        </w:numPr>
        <w:tabs>
          <w:tab w:val="left" w:pos="1380"/>
        </w:tabs>
        <w:spacing w:before="159" w:after="0" w:line="364" w:lineRule="auto"/>
        <w:ind w:left="420" w:right="565" w:firstLine="600"/>
        <w:jc w:val="left"/>
        <w:rPr>
          <w:sz w:val="24"/>
        </w:rPr>
      </w:pPr>
      <w:r>
        <w:rPr>
          <w:spacing w:val="-1"/>
          <w:sz w:val="24"/>
        </w:rPr>
        <w:t>供应商应在投标截止时间前将电子加密投标文件成功上传递交至新疆政府采购云平</w:t>
      </w:r>
      <w:r>
        <w:rPr>
          <w:sz w:val="24"/>
        </w:rPr>
        <w:t>台，否则投标无效；</w:t>
      </w:r>
    </w:p>
    <w:p w14:paraId="7E239442">
      <w:pPr>
        <w:pStyle w:val="14"/>
        <w:numPr>
          <w:ilvl w:val="1"/>
          <w:numId w:val="20"/>
        </w:numPr>
        <w:tabs>
          <w:tab w:val="left" w:pos="1261"/>
        </w:tabs>
        <w:spacing w:before="0" w:after="0" w:line="364" w:lineRule="auto"/>
        <w:ind w:left="900" w:right="1885" w:firstLine="120"/>
        <w:jc w:val="left"/>
        <w:rPr>
          <w:b/>
          <w:sz w:val="24"/>
        </w:rPr>
      </w:pPr>
      <w:r>
        <w:rPr>
          <w:spacing w:val="-1"/>
          <w:sz w:val="24"/>
        </w:rPr>
        <w:t>供应商成功上传电子加密投标文件后，可自行打印投标文件接收回执。</w:t>
      </w:r>
      <w:r>
        <w:rPr>
          <w:b/>
          <w:sz w:val="24"/>
        </w:rPr>
        <w:t>25.投标文件的递交要求</w:t>
      </w:r>
    </w:p>
    <w:p w14:paraId="2BBA8852">
      <w:pPr>
        <w:pStyle w:val="14"/>
        <w:numPr>
          <w:ilvl w:val="0"/>
          <w:numId w:val="21"/>
        </w:numPr>
        <w:tabs>
          <w:tab w:val="left" w:pos="1501"/>
        </w:tabs>
        <w:spacing w:before="0" w:after="0" w:line="364" w:lineRule="auto"/>
        <w:ind w:left="420" w:right="565" w:firstLine="480"/>
        <w:jc w:val="left"/>
        <w:rPr>
          <w:sz w:val="24"/>
        </w:rPr>
      </w:pPr>
      <w:r>
        <w:rPr>
          <w:spacing w:val="-3"/>
          <w:sz w:val="24"/>
        </w:rPr>
        <w:t>供应商须按照采购文件和政采云平台的要求编制并加密投标文件。在投标文件递</w:t>
      </w:r>
      <w:r>
        <w:rPr>
          <w:spacing w:val="-5"/>
          <w:sz w:val="24"/>
        </w:rPr>
        <w:t>交截止时间以前完成投标文件的传输递交，截止时间后递交的投标文件，将被拒收。</w:t>
      </w:r>
    </w:p>
    <w:p w14:paraId="1E9EE582">
      <w:pPr>
        <w:spacing w:after="0" w:line="364" w:lineRule="auto"/>
        <w:jc w:val="left"/>
        <w:rPr>
          <w:sz w:val="24"/>
        </w:rPr>
        <w:sectPr>
          <w:pgSz w:w="11910" w:h="16840"/>
          <w:pgMar w:top="1460" w:right="660" w:bottom="1180" w:left="660" w:header="0" w:footer="909" w:gutter="0"/>
          <w:cols w:space="720" w:num="1"/>
        </w:sectPr>
      </w:pPr>
    </w:p>
    <w:p w14:paraId="1BF99C84">
      <w:pPr>
        <w:pStyle w:val="14"/>
        <w:numPr>
          <w:ilvl w:val="0"/>
          <w:numId w:val="21"/>
        </w:numPr>
        <w:tabs>
          <w:tab w:val="left" w:pos="1501"/>
        </w:tabs>
        <w:spacing w:before="43" w:after="0" w:line="364" w:lineRule="auto"/>
        <w:ind w:left="420" w:right="445" w:firstLine="480"/>
        <w:jc w:val="left"/>
        <w:rPr>
          <w:sz w:val="24"/>
        </w:rPr>
      </w:pPr>
      <w:r>
        <w:rPr>
          <w:spacing w:val="-1"/>
          <w:sz w:val="24"/>
        </w:rPr>
        <w:t>备份电子投标文件必须在投标截止时间前送达指定的投标地点。备份电子投标文件</w:t>
      </w:r>
      <w:r>
        <w:rPr>
          <w:sz w:val="24"/>
        </w:rPr>
        <w:t>在截止时间后提交，采购组织机构将拒绝接收。</w:t>
      </w:r>
    </w:p>
    <w:p w14:paraId="569C0CC8">
      <w:pPr>
        <w:pStyle w:val="14"/>
        <w:numPr>
          <w:ilvl w:val="0"/>
          <w:numId w:val="21"/>
        </w:numPr>
        <w:tabs>
          <w:tab w:val="left" w:pos="1501"/>
        </w:tabs>
        <w:spacing w:before="0" w:after="0" w:line="364" w:lineRule="auto"/>
        <w:ind w:left="420" w:right="445" w:firstLine="480"/>
        <w:jc w:val="left"/>
        <w:rPr>
          <w:sz w:val="24"/>
        </w:rPr>
      </w:pPr>
      <w:r>
        <w:rPr>
          <w:spacing w:val="-1"/>
          <w:sz w:val="24"/>
        </w:rPr>
        <w:t>如有特殊情况，采购组织机构延长截止时间和开标时间，采购组织机构和供应商的</w:t>
      </w:r>
      <w:r>
        <w:rPr>
          <w:sz w:val="24"/>
        </w:rPr>
        <w:t>权利和义务将受到新的截止时间和开标时间的约束。</w:t>
      </w:r>
    </w:p>
    <w:p w14:paraId="3545E4F5">
      <w:pPr>
        <w:pStyle w:val="7"/>
        <w:numPr>
          <w:ilvl w:val="0"/>
          <w:numId w:val="22"/>
        </w:numPr>
        <w:tabs>
          <w:tab w:val="left" w:pos="1381"/>
        </w:tabs>
        <w:spacing w:before="0" w:after="0" w:line="306" w:lineRule="exact"/>
        <w:ind w:left="1381" w:right="0" w:hanging="481"/>
        <w:jc w:val="left"/>
      </w:pPr>
      <w:r>
        <w:t>投标文件的补充、修改与撤回</w:t>
      </w:r>
    </w:p>
    <w:p w14:paraId="47118EC7">
      <w:pPr>
        <w:pStyle w:val="8"/>
        <w:spacing w:before="159" w:line="364" w:lineRule="auto"/>
        <w:ind w:left="420" w:right="297" w:firstLine="480"/>
      </w:pPr>
      <w:r>
        <w:t>供应商应当在投标截止时间前完成电子交易文件的传输递交，投标截止时间前可以补充、</w:t>
      </w:r>
      <w:r>
        <w:rPr>
          <w:spacing w:val="-5"/>
        </w:rPr>
        <w:t>修改或者撤回电子交易文件。补充或者修改电子交易文件的，应当先行撤回原文件，补充、修</w:t>
      </w:r>
      <w:r>
        <w:rPr>
          <w:spacing w:val="-11"/>
        </w:rPr>
        <w:t>改后重新传输递交。投标截止时间前未完成传输的，视为投标文件撤回。投标截止时间后传输</w:t>
      </w:r>
      <w:r>
        <w:rPr>
          <w:spacing w:val="-18"/>
        </w:rPr>
        <w:t>递交的投标文件，“政府采购云平台”将予以拒收。投标截止时间后，供应商不得修改</w:t>
      </w:r>
      <w:r>
        <w:t>（补充</w:t>
      </w:r>
      <w:r>
        <w:rPr>
          <w:spacing w:val="-17"/>
        </w:rPr>
        <w:t xml:space="preserve">） </w:t>
      </w:r>
      <w:r>
        <w:t>或撤回其投标文件。</w:t>
      </w:r>
    </w:p>
    <w:p w14:paraId="0AD4A3DC">
      <w:pPr>
        <w:pStyle w:val="8"/>
      </w:pPr>
    </w:p>
    <w:p w14:paraId="5CB46AED">
      <w:pPr>
        <w:pStyle w:val="8"/>
        <w:spacing w:before="6"/>
        <w:rPr>
          <w:sz w:val="18"/>
        </w:rPr>
      </w:pPr>
    </w:p>
    <w:p w14:paraId="26E74383">
      <w:pPr>
        <w:pStyle w:val="5"/>
        <w:ind w:right="1378"/>
        <w:jc w:val="center"/>
      </w:pPr>
      <w:r>
        <w:t>（五）开标、评标和定标</w:t>
      </w:r>
    </w:p>
    <w:p w14:paraId="280E9DAA">
      <w:pPr>
        <w:pStyle w:val="7"/>
        <w:numPr>
          <w:ilvl w:val="0"/>
          <w:numId w:val="22"/>
        </w:numPr>
        <w:tabs>
          <w:tab w:val="left" w:pos="1383"/>
        </w:tabs>
        <w:spacing w:before="185" w:after="0" w:line="240" w:lineRule="auto"/>
        <w:ind w:left="1382" w:right="0" w:hanging="483"/>
        <w:jc w:val="left"/>
      </w:pPr>
      <w:r>
        <w:t>开标</w:t>
      </w:r>
    </w:p>
    <w:p w14:paraId="1EEDAC14">
      <w:pPr>
        <w:pStyle w:val="7"/>
        <w:numPr>
          <w:ilvl w:val="0"/>
          <w:numId w:val="22"/>
        </w:numPr>
        <w:tabs>
          <w:tab w:val="left" w:pos="1264"/>
        </w:tabs>
        <w:spacing w:before="158" w:after="0" w:line="240" w:lineRule="auto"/>
        <w:ind w:left="1263" w:right="0" w:hanging="364"/>
        <w:jc w:val="left"/>
      </w:pPr>
      <w:bookmarkStart w:id="9" w:name="28.开标程序（先商务技术后报价）"/>
      <w:bookmarkEnd w:id="9"/>
      <w:bookmarkStart w:id="10" w:name="28.开标程序（先商务技术后报价）"/>
      <w:bookmarkEnd w:id="10"/>
      <w:r>
        <w:t>开标程序（先商务技术后报价）</w:t>
      </w:r>
    </w:p>
    <w:p w14:paraId="426EE550">
      <w:pPr>
        <w:pStyle w:val="14"/>
        <w:numPr>
          <w:ilvl w:val="0"/>
          <w:numId w:val="23"/>
        </w:numPr>
        <w:tabs>
          <w:tab w:val="left" w:pos="1501"/>
        </w:tabs>
        <w:spacing w:before="158" w:after="0" w:line="240" w:lineRule="auto"/>
        <w:ind w:left="1501" w:right="0" w:hanging="601"/>
        <w:jc w:val="left"/>
        <w:rPr>
          <w:sz w:val="24"/>
        </w:rPr>
      </w:pPr>
      <w:r>
        <w:rPr>
          <w:sz w:val="24"/>
        </w:rPr>
        <w:t>开标时间到后，主持人宣布开标会议开始。</w:t>
      </w:r>
    </w:p>
    <w:p w14:paraId="1DDEB368">
      <w:pPr>
        <w:pStyle w:val="14"/>
        <w:numPr>
          <w:ilvl w:val="0"/>
          <w:numId w:val="23"/>
        </w:numPr>
        <w:tabs>
          <w:tab w:val="left" w:pos="1501"/>
        </w:tabs>
        <w:spacing w:before="161" w:after="0" w:line="240" w:lineRule="auto"/>
        <w:ind w:left="1501" w:right="0" w:hanging="601"/>
        <w:jc w:val="left"/>
        <w:rPr>
          <w:sz w:val="24"/>
        </w:rPr>
      </w:pPr>
      <w:r>
        <w:rPr>
          <w:sz w:val="24"/>
        </w:rPr>
        <w:t>投标文件解密（解密规定见《供应商须知前附表》）。</w:t>
      </w:r>
    </w:p>
    <w:p w14:paraId="328F40CE">
      <w:pPr>
        <w:pStyle w:val="14"/>
        <w:numPr>
          <w:ilvl w:val="0"/>
          <w:numId w:val="23"/>
        </w:numPr>
        <w:tabs>
          <w:tab w:val="left" w:pos="1501"/>
        </w:tabs>
        <w:spacing w:before="158" w:after="0" w:line="240" w:lineRule="auto"/>
        <w:ind w:left="1501" w:right="0" w:hanging="601"/>
        <w:jc w:val="left"/>
        <w:rPr>
          <w:sz w:val="24"/>
        </w:rPr>
      </w:pPr>
      <w:r>
        <w:rPr>
          <w:sz w:val="24"/>
        </w:rPr>
        <w:t>投标文件解密异常情况处理（处理办法见《供应商须知前附表》）。</w:t>
      </w:r>
    </w:p>
    <w:p w14:paraId="46F417E2">
      <w:pPr>
        <w:pStyle w:val="14"/>
        <w:numPr>
          <w:ilvl w:val="0"/>
          <w:numId w:val="23"/>
        </w:numPr>
        <w:tabs>
          <w:tab w:val="left" w:pos="1501"/>
        </w:tabs>
        <w:spacing w:before="160" w:after="0" w:line="240" w:lineRule="auto"/>
        <w:ind w:left="1501" w:right="0" w:hanging="601"/>
        <w:jc w:val="left"/>
        <w:rPr>
          <w:sz w:val="24"/>
        </w:rPr>
      </w:pPr>
      <w:r>
        <w:rPr>
          <w:sz w:val="24"/>
        </w:rPr>
        <w:t>公布投标文件解密情况。</w:t>
      </w:r>
    </w:p>
    <w:p w14:paraId="44D3BCAD">
      <w:pPr>
        <w:pStyle w:val="14"/>
        <w:numPr>
          <w:ilvl w:val="0"/>
          <w:numId w:val="23"/>
        </w:numPr>
        <w:tabs>
          <w:tab w:val="left" w:pos="1501"/>
        </w:tabs>
        <w:spacing w:before="161" w:after="0" w:line="364" w:lineRule="auto"/>
        <w:ind w:left="420" w:right="565" w:firstLine="480"/>
        <w:jc w:val="both"/>
        <w:rPr>
          <w:sz w:val="24"/>
        </w:rPr>
      </w:pPr>
      <w:r>
        <w:rPr>
          <w:spacing w:val="-7"/>
          <w:sz w:val="24"/>
        </w:rPr>
        <w:t>开启有效投标供应商的报价，公布开标一览表有关内容，并【开启签章时段】，供</w:t>
      </w:r>
      <w:r>
        <w:rPr>
          <w:sz w:val="24"/>
        </w:rPr>
        <w:t>应商对开标记录进行在线签章确认（不予确认的应说明理由，否则视为无异议）</w:t>
      </w:r>
      <w:r>
        <w:rPr>
          <w:spacing w:val="-4"/>
          <w:sz w:val="24"/>
        </w:rPr>
        <w:t>。开标结束</w:t>
      </w:r>
      <w:r>
        <w:rPr>
          <w:sz w:val="24"/>
        </w:rPr>
        <w:t>后，由评标委员会对报价的合理性、准确性等进行审查核实。</w:t>
      </w:r>
    </w:p>
    <w:p w14:paraId="0BE35807">
      <w:pPr>
        <w:pStyle w:val="14"/>
        <w:numPr>
          <w:ilvl w:val="0"/>
          <w:numId w:val="23"/>
        </w:numPr>
        <w:tabs>
          <w:tab w:val="left" w:pos="1501"/>
        </w:tabs>
        <w:spacing w:before="0" w:after="0" w:line="364" w:lineRule="auto"/>
        <w:ind w:left="420" w:right="565" w:firstLine="480"/>
        <w:jc w:val="both"/>
        <w:rPr>
          <w:sz w:val="24"/>
        </w:rPr>
      </w:pPr>
      <w:r>
        <w:rPr>
          <w:spacing w:val="-4"/>
          <w:sz w:val="24"/>
        </w:rPr>
        <w:t>开启标书信息</w:t>
      </w:r>
      <w:r>
        <w:rPr>
          <w:spacing w:val="-3"/>
          <w:sz w:val="24"/>
        </w:rPr>
        <w:t>（资格证明文件、商务技术文件</w:t>
      </w:r>
      <w:r>
        <w:rPr>
          <w:spacing w:val="-20"/>
          <w:sz w:val="24"/>
        </w:rPr>
        <w:t>）</w:t>
      </w:r>
      <w:r>
        <w:rPr>
          <w:spacing w:val="-8"/>
          <w:sz w:val="24"/>
        </w:rPr>
        <w:t>。标书信息开启后，首先由采购人</w:t>
      </w:r>
      <w:r>
        <w:rPr>
          <w:sz w:val="24"/>
        </w:rPr>
        <w:t>或采购代理机构或评审小组依法对投标供应商的资格证明文件进行审查（具体见本章</w:t>
      </w:r>
      <w:r>
        <w:rPr>
          <w:spacing w:val="-4"/>
          <w:sz w:val="24"/>
        </w:rPr>
        <w:t xml:space="preserve">“29.3 </w:t>
      </w:r>
      <w:r>
        <w:rPr>
          <w:spacing w:val="-3"/>
          <w:sz w:val="24"/>
        </w:rPr>
        <w:t>投标供应商资格审查”</w:t>
      </w:r>
      <w:r>
        <w:rPr>
          <w:spacing w:val="-21"/>
          <w:sz w:val="24"/>
        </w:rPr>
        <w:t>）</w:t>
      </w:r>
      <w:r>
        <w:rPr>
          <w:spacing w:val="-10"/>
          <w:sz w:val="24"/>
        </w:rPr>
        <w:t>， 审查结束公布投标供应商的资格符合情况。资格审查未获通过的</w:t>
      </w:r>
      <w:r>
        <w:rPr>
          <w:sz w:val="24"/>
        </w:rPr>
        <w:t>供应商，其商务技术文件不再进入评审。</w:t>
      </w:r>
    </w:p>
    <w:p w14:paraId="15117909">
      <w:pPr>
        <w:pStyle w:val="14"/>
        <w:numPr>
          <w:ilvl w:val="0"/>
          <w:numId w:val="23"/>
        </w:numPr>
        <w:tabs>
          <w:tab w:val="left" w:pos="1501"/>
        </w:tabs>
        <w:spacing w:before="0" w:after="0" w:line="364" w:lineRule="auto"/>
        <w:ind w:left="420" w:right="565" w:firstLine="480"/>
        <w:jc w:val="both"/>
        <w:rPr>
          <w:sz w:val="24"/>
        </w:rPr>
      </w:pPr>
      <w:r>
        <w:rPr>
          <w:spacing w:val="-6"/>
          <w:sz w:val="24"/>
        </w:rPr>
        <w:t>商务技术评审结束后，主持人公布商务技术评审无效投标供应商名单和商务技术</w:t>
      </w:r>
      <w:r>
        <w:rPr>
          <w:spacing w:val="-5"/>
          <w:sz w:val="24"/>
        </w:rPr>
        <w:t>评审有效投标供应商名单及其商务技术得分情况。商务技术评审无效的供应商，将不再进入后期评审。</w:t>
      </w:r>
    </w:p>
    <w:p w14:paraId="549C827C">
      <w:pPr>
        <w:pStyle w:val="14"/>
        <w:numPr>
          <w:ilvl w:val="0"/>
          <w:numId w:val="23"/>
        </w:numPr>
        <w:tabs>
          <w:tab w:val="left" w:pos="1501"/>
        </w:tabs>
        <w:spacing w:before="0" w:after="0" w:line="307" w:lineRule="exact"/>
        <w:ind w:left="1501" w:right="0" w:hanging="601"/>
        <w:jc w:val="left"/>
        <w:rPr>
          <w:sz w:val="24"/>
        </w:rPr>
      </w:pPr>
      <w:r>
        <w:rPr>
          <w:sz w:val="24"/>
        </w:rPr>
        <w:t>评审结束后，采购代理机构在系统上公布评审结果。</w:t>
      </w:r>
    </w:p>
    <w:p w14:paraId="45A415C9">
      <w:pPr>
        <w:spacing w:after="0" w:line="307" w:lineRule="exact"/>
        <w:jc w:val="left"/>
        <w:rPr>
          <w:sz w:val="24"/>
        </w:rPr>
        <w:sectPr>
          <w:pgSz w:w="11910" w:h="16840"/>
          <w:pgMar w:top="1380" w:right="660" w:bottom="1180" w:left="660" w:header="0" w:footer="909" w:gutter="0"/>
          <w:cols w:space="720" w:num="1"/>
        </w:sectPr>
      </w:pPr>
    </w:p>
    <w:p w14:paraId="0160BAB4">
      <w:pPr>
        <w:pStyle w:val="7"/>
        <w:numPr>
          <w:ilvl w:val="0"/>
          <w:numId w:val="22"/>
        </w:numPr>
        <w:tabs>
          <w:tab w:val="left" w:pos="1264"/>
        </w:tabs>
        <w:spacing w:before="43" w:after="0" w:line="240" w:lineRule="auto"/>
        <w:ind w:left="1263" w:right="0" w:hanging="364"/>
        <w:jc w:val="left"/>
      </w:pPr>
      <w:r>
        <w:t>投标供应商资格审查：</w:t>
      </w:r>
    </w:p>
    <w:p w14:paraId="4802F385">
      <w:pPr>
        <w:pStyle w:val="14"/>
        <w:numPr>
          <w:ilvl w:val="0"/>
          <w:numId w:val="24"/>
        </w:numPr>
        <w:tabs>
          <w:tab w:val="left" w:pos="1501"/>
        </w:tabs>
        <w:spacing w:before="160" w:after="0" w:line="364" w:lineRule="auto"/>
        <w:ind w:left="420" w:right="565" w:firstLine="480"/>
        <w:jc w:val="both"/>
        <w:rPr>
          <w:sz w:val="24"/>
        </w:rPr>
      </w:pPr>
      <w:r>
        <w:rPr>
          <w:spacing w:val="-15"/>
          <w:sz w:val="24"/>
        </w:rPr>
        <w:t>开标</w:t>
      </w:r>
      <w:r>
        <w:rPr>
          <w:sz w:val="24"/>
        </w:rPr>
        <w:t>（标书信息开启</w:t>
      </w:r>
      <w:r>
        <w:rPr>
          <w:spacing w:val="-32"/>
          <w:sz w:val="24"/>
        </w:rPr>
        <w:t>）</w:t>
      </w:r>
      <w:r>
        <w:rPr>
          <w:spacing w:val="-6"/>
          <w:sz w:val="24"/>
        </w:rPr>
        <w:t>后，采购人或采购代理机构或评审小组首先依法对投标供</w:t>
      </w:r>
      <w:r>
        <w:rPr>
          <w:spacing w:val="-4"/>
          <w:sz w:val="24"/>
        </w:rPr>
        <w:t>应商的资格文件进行审查，审查各投标供应商的资格符合情况。采购人或采购代理机构或评</w:t>
      </w:r>
      <w:r>
        <w:rPr>
          <w:spacing w:val="-5"/>
          <w:sz w:val="24"/>
        </w:rPr>
        <w:t>审小组对投标供应商所提交的资格证明材料仅负审核的责任。如发现投标供应商所提交的资格证明材料不合法或与事实不符，采购人可取消其中标资格并追究投标供应商的法律责任。</w:t>
      </w:r>
    </w:p>
    <w:p w14:paraId="0E8FDFCE">
      <w:pPr>
        <w:pStyle w:val="14"/>
        <w:numPr>
          <w:ilvl w:val="0"/>
          <w:numId w:val="24"/>
        </w:numPr>
        <w:tabs>
          <w:tab w:val="left" w:pos="1441"/>
        </w:tabs>
        <w:spacing w:before="0" w:after="0" w:line="364" w:lineRule="auto"/>
        <w:ind w:left="420" w:right="421" w:firstLine="420"/>
        <w:jc w:val="left"/>
        <w:rPr>
          <w:sz w:val="24"/>
        </w:rPr>
      </w:pPr>
      <w:r>
        <w:rPr>
          <w:sz w:val="24"/>
        </w:rPr>
        <w:t>投标供应商提交的资格证明材料无法证明其符合采购文件规定的“投标供应商资格</w:t>
      </w:r>
      <w:r>
        <w:rPr>
          <w:spacing w:val="-8"/>
          <w:sz w:val="24"/>
        </w:rPr>
        <w:t>要求”的，采购人或采购代理机构将对其作“资格审查不合格”处理</w:t>
      </w:r>
      <w:r>
        <w:rPr>
          <w:sz w:val="24"/>
        </w:rPr>
        <w:t>（无效投标</w:t>
      </w:r>
      <w:r>
        <w:rPr>
          <w:spacing w:val="-15"/>
          <w:sz w:val="24"/>
        </w:rPr>
        <w:t>）</w:t>
      </w:r>
      <w:r>
        <w:rPr>
          <w:spacing w:val="-8"/>
          <w:sz w:val="24"/>
        </w:rPr>
        <w:t>，并不再将</w:t>
      </w:r>
      <w:r>
        <w:rPr>
          <w:sz w:val="24"/>
        </w:rPr>
        <w:t>其投标提交评标委员会进行后续评审。</w:t>
      </w:r>
    </w:p>
    <w:p w14:paraId="7CC814AC">
      <w:pPr>
        <w:pStyle w:val="14"/>
        <w:numPr>
          <w:ilvl w:val="0"/>
          <w:numId w:val="24"/>
        </w:numPr>
        <w:tabs>
          <w:tab w:val="left" w:pos="1441"/>
        </w:tabs>
        <w:spacing w:before="0" w:after="0" w:line="307" w:lineRule="exact"/>
        <w:ind w:left="1441" w:right="0" w:hanging="601"/>
        <w:jc w:val="left"/>
        <w:rPr>
          <w:sz w:val="24"/>
        </w:rPr>
      </w:pPr>
      <w:r>
        <w:rPr>
          <w:sz w:val="24"/>
        </w:rPr>
        <w:t>供应商信用记录查询与使用：见《供应商须知前附表》。</w:t>
      </w:r>
    </w:p>
    <w:p w14:paraId="60FF8D97">
      <w:pPr>
        <w:pStyle w:val="8"/>
        <w:spacing w:before="10"/>
        <w:rPr>
          <w:sz w:val="20"/>
        </w:rPr>
      </w:pPr>
    </w:p>
    <w:p w14:paraId="1FD29CBD">
      <w:pPr>
        <w:pStyle w:val="7"/>
        <w:numPr>
          <w:ilvl w:val="0"/>
          <w:numId w:val="22"/>
        </w:numPr>
        <w:tabs>
          <w:tab w:val="left" w:pos="1024"/>
        </w:tabs>
        <w:spacing w:before="0" w:after="0" w:line="240" w:lineRule="auto"/>
        <w:ind w:left="1023" w:right="0" w:hanging="364"/>
        <w:jc w:val="left"/>
      </w:pPr>
      <w:r>
        <w:t>评审工作的组织</w:t>
      </w:r>
    </w:p>
    <w:p w14:paraId="27BF7E6C">
      <w:pPr>
        <w:pStyle w:val="8"/>
        <w:spacing w:before="132" w:line="345" w:lineRule="auto"/>
        <w:ind w:left="420" w:right="565" w:firstLine="240"/>
      </w:pPr>
      <w:r>
        <w:t>采购人或采购代理机构负责组织本项目的评审工作，并依据《政府采购货物和服务招标投标管理办法（财政部第 87 号令）》第四十五条的相关规定履行职责。</w:t>
      </w:r>
    </w:p>
    <w:p w14:paraId="4ED4110E">
      <w:pPr>
        <w:pStyle w:val="7"/>
        <w:numPr>
          <w:ilvl w:val="0"/>
          <w:numId w:val="22"/>
        </w:numPr>
        <w:tabs>
          <w:tab w:val="left" w:pos="1143"/>
        </w:tabs>
        <w:spacing w:before="0" w:after="0" w:line="303" w:lineRule="exact"/>
        <w:ind w:left="1142" w:right="0" w:hanging="483"/>
        <w:jc w:val="left"/>
      </w:pPr>
      <w:r>
        <w:t>评标委员会的组建</w:t>
      </w:r>
    </w:p>
    <w:p w14:paraId="5E799A77">
      <w:pPr>
        <w:pStyle w:val="14"/>
        <w:numPr>
          <w:ilvl w:val="1"/>
          <w:numId w:val="22"/>
        </w:numPr>
        <w:tabs>
          <w:tab w:val="left" w:pos="1200"/>
        </w:tabs>
        <w:spacing w:before="131" w:after="0" w:line="345" w:lineRule="auto"/>
        <w:ind w:left="420" w:right="505" w:firstLine="240"/>
        <w:jc w:val="left"/>
        <w:rPr>
          <w:sz w:val="24"/>
        </w:rPr>
      </w:pPr>
      <w:r>
        <w:rPr>
          <w:spacing w:val="-1"/>
          <w:sz w:val="24"/>
        </w:rPr>
        <w:t xml:space="preserve">评标委员会由采购人或采购代理机构依法组建，成员由采购人代表和评审专家组成， </w:t>
      </w:r>
      <w:r>
        <w:rPr>
          <w:sz w:val="24"/>
        </w:rPr>
        <w:t>成员人数为五人或以上单数，其中评审专家不少于成员总数的三分之二。</w:t>
      </w:r>
    </w:p>
    <w:p w14:paraId="453439E0">
      <w:pPr>
        <w:pStyle w:val="14"/>
        <w:numPr>
          <w:ilvl w:val="1"/>
          <w:numId w:val="22"/>
        </w:numPr>
        <w:tabs>
          <w:tab w:val="left" w:pos="1200"/>
        </w:tabs>
        <w:spacing w:before="0" w:after="0" w:line="343" w:lineRule="auto"/>
        <w:ind w:left="420" w:right="565" w:firstLine="240"/>
        <w:jc w:val="left"/>
        <w:rPr>
          <w:sz w:val="24"/>
        </w:rPr>
      </w:pPr>
      <w:r>
        <w:rPr>
          <w:spacing w:val="-4"/>
          <w:sz w:val="24"/>
        </w:rPr>
        <w:t>评审专家从新疆政府采购云平台专家库中通过随机方式抽取产生。评标委员会成员名</w:t>
      </w:r>
      <w:r>
        <w:rPr>
          <w:sz w:val="24"/>
        </w:rPr>
        <w:t>单在采购结果公告前保密。</w:t>
      </w:r>
    </w:p>
    <w:p w14:paraId="63E27F4C">
      <w:pPr>
        <w:pStyle w:val="7"/>
        <w:numPr>
          <w:ilvl w:val="0"/>
          <w:numId w:val="22"/>
        </w:numPr>
        <w:tabs>
          <w:tab w:val="left" w:pos="1023"/>
        </w:tabs>
        <w:spacing w:before="0" w:after="0" w:line="240" w:lineRule="auto"/>
        <w:ind w:left="1022" w:right="0" w:hanging="363"/>
        <w:jc w:val="left"/>
      </w:pPr>
      <w:r>
        <w:t>评标委员会的职责</w:t>
      </w:r>
    </w:p>
    <w:p w14:paraId="794395E2">
      <w:pPr>
        <w:pStyle w:val="14"/>
        <w:numPr>
          <w:ilvl w:val="1"/>
          <w:numId w:val="22"/>
        </w:numPr>
        <w:tabs>
          <w:tab w:val="left" w:pos="1200"/>
        </w:tabs>
        <w:spacing w:before="129" w:after="0" w:line="240" w:lineRule="auto"/>
        <w:ind w:left="1200" w:right="0" w:hanging="540"/>
        <w:jc w:val="left"/>
        <w:rPr>
          <w:sz w:val="24"/>
        </w:rPr>
      </w:pPr>
      <w:r>
        <w:rPr>
          <w:sz w:val="24"/>
        </w:rPr>
        <w:t>审查、评价投标文件是否符合采购文件的商务、技术等实质性要求。</w:t>
      </w:r>
    </w:p>
    <w:p w14:paraId="1E432AD0">
      <w:pPr>
        <w:pStyle w:val="14"/>
        <w:numPr>
          <w:ilvl w:val="1"/>
          <w:numId w:val="22"/>
        </w:numPr>
        <w:tabs>
          <w:tab w:val="left" w:pos="1200"/>
        </w:tabs>
        <w:spacing w:before="131" w:after="0" w:line="240" w:lineRule="auto"/>
        <w:ind w:left="1200" w:right="0" w:hanging="540"/>
        <w:jc w:val="left"/>
        <w:rPr>
          <w:sz w:val="24"/>
        </w:rPr>
      </w:pPr>
      <w:r>
        <w:rPr>
          <w:sz w:val="24"/>
        </w:rPr>
        <w:t>要求供应商对投标文件有关事项作出澄清或者说明。</w:t>
      </w:r>
    </w:p>
    <w:p w14:paraId="539B783F">
      <w:pPr>
        <w:pStyle w:val="14"/>
        <w:numPr>
          <w:ilvl w:val="1"/>
          <w:numId w:val="22"/>
        </w:numPr>
        <w:tabs>
          <w:tab w:val="left" w:pos="1200"/>
        </w:tabs>
        <w:spacing w:before="134" w:after="0" w:line="240" w:lineRule="auto"/>
        <w:ind w:left="1200" w:right="0" w:hanging="540"/>
        <w:jc w:val="left"/>
        <w:rPr>
          <w:sz w:val="24"/>
        </w:rPr>
      </w:pPr>
      <w:r>
        <w:rPr>
          <w:sz w:val="24"/>
        </w:rPr>
        <w:t>对投标文件进行比较和评价。</w:t>
      </w:r>
    </w:p>
    <w:p w14:paraId="1AE4A869">
      <w:pPr>
        <w:pStyle w:val="14"/>
        <w:numPr>
          <w:ilvl w:val="1"/>
          <w:numId w:val="22"/>
        </w:numPr>
        <w:tabs>
          <w:tab w:val="left" w:pos="1200"/>
        </w:tabs>
        <w:spacing w:before="132" w:after="0" w:line="240" w:lineRule="auto"/>
        <w:ind w:left="1200" w:right="0" w:hanging="540"/>
        <w:jc w:val="left"/>
        <w:rPr>
          <w:sz w:val="24"/>
        </w:rPr>
      </w:pPr>
      <w:r>
        <w:rPr>
          <w:sz w:val="24"/>
        </w:rPr>
        <w:t>确定中标候选人名单，以及根据采购人委托直接确定中标人。</w:t>
      </w:r>
    </w:p>
    <w:p w14:paraId="22732258">
      <w:pPr>
        <w:pStyle w:val="14"/>
        <w:numPr>
          <w:ilvl w:val="1"/>
          <w:numId w:val="22"/>
        </w:numPr>
        <w:tabs>
          <w:tab w:val="left" w:pos="1200"/>
        </w:tabs>
        <w:spacing w:before="132" w:after="0" w:line="240" w:lineRule="auto"/>
        <w:ind w:left="1200" w:right="0" w:hanging="540"/>
        <w:jc w:val="left"/>
        <w:rPr>
          <w:sz w:val="24"/>
        </w:rPr>
      </w:pPr>
      <w:r>
        <w:rPr>
          <w:sz w:val="24"/>
        </w:rPr>
        <w:t>向采购人、采购代理机构或者有关部门报告评审中发现的违法行为。</w:t>
      </w:r>
    </w:p>
    <w:p w14:paraId="5A00639E">
      <w:pPr>
        <w:pStyle w:val="7"/>
        <w:numPr>
          <w:ilvl w:val="0"/>
          <w:numId w:val="22"/>
        </w:numPr>
        <w:tabs>
          <w:tab w:val="left" w:pos="1143"/>
        </w:tabs>
        <w:spacing w:before="134" w:after="0" w:line="240" w:lineRule="auto"/>
        <w:ind w:left="1142" w:right="0" w:hanging="483"/>
        <w:jc w:val="left"/>
      </w:pPr>
      <w:r>
        <w:t>评标原则</w:t>
      </w:r>
    </w:p>
    <w:p w14:paraId="04362A10">
      <w:pPr>
        <w:pStyle w:val="14"/>
        <w:numPr>
          <w:ilvl w:val="1"/>
          <w:numId w:val="22"/>
        </w:numPr>
        <w:tabs>
          <w:tab w:val="left" w:pos="1200"/>
        </w:tabs>
        <w:spacing w:before="132" w:after="0" w:line="343" w:lineRule="auto"/>
        <w:ind w:left="420" w:right="445" w:firstLine="240"/>
        <w:jc w:val="both"/>
        <w:rPr>
          <w:sz w:val="24"/>
        </w:rPr>
      </w:pPr>
      <w:r>
        <w:rPr>
          <w:spacing w:val="-14"/>
          <w:sz w:val="24"/>
        </w:rPr>
        <w:t xml:space="preserve">评标委员会将遵循公平、公正、科学的原则，对供应商提交的投标文件进行综合评审， </w:t>
      </w:r>
      <w:r>
        <w:rPr>
          <w:sz w:val="24"/>
        </w:rPr>
        <w:t>评标委员会按照采购文件规定的评标细则进行评分。</w:t>
      </w:r>
    </w:p>
    <w:p w14:paraId="0135162C">
      <w:pPr>
        <w:pStyle w:val="14"/>
        <w:numPr>
          <w:ilvl w:val="1"/>
          <w:numId w:val="22"/>
        </w:numPr>
        <w:tabs>
          <w:tab w:val="left" w:pos="1200"/>
        </w:tabs>
        <w:spacing w:before="1" w:after="0" w:line="240" w:lineRule="auto"/>
        <w:ind w:left="1200" w:right="0" w:hanging="540"/>
        <w:jc w:val="both"/>
        <w:rPr>
          <w:sz w:val="24"/>
        </w:rPr>
      </w:pPr>
      <w:r>
        <w:rPr>
          <w:sz w:val="24"/>
        </w:rPr>
        <w:t>客观公正对待所有供应商，对所有投标评价均采用相同的程序和标准。</w:t>
      </w:r>
    </w:p>
    <w:p w14:paraId="14610646">
      <w:pPr>
        <w:pStyle w:val="14"/>
        <w:numPr>
          <w:ilvl w:val="1"/>
          <w:numId w:val="22"/>
        </w:numPr>
        <w:tabs>
          <w:tab w:val="left" w:pos="1200"/>
        </w:tabs>
        <w:spacing w:before="132" w:after="0" w:line="343" w:lineRule="auto"/>
        <w:ind w:left="420" w:right="565" w:firstLine="240"/>
        <w:jc w:val="both"/>
        <w:rPr>
          <w:sz w:val="24"/>
        </w:rPr>
      </w:pPr>
      <w:r>
        <w:rPr>
          <w:spacing w:val="-4"/>
          <w:sz w:val="24"/>
        </w:rPr>
        <w:t>评标委员会成员对需要共同认定的事项存在争议的，按照少数服从多数的原则作出结</w:t>
      </w:r>
      <w:r>
        <w:rPr>
          <w:spacing w:val="-1"/>
          <w:sz w:val="24"/>
        </w:rPr>
        <w:t>论。持不同意见的评标委员会成员应当在评审报告上签署不同意见及理由，否则视为同意评</w:t>
      </w:r>
      <w:r>
        <w:rPr>
          <w:sz w:val="24"/>
        </w:rPr>
        <w:t>审报告。</w:t>
      </w:r>
    </w:p>
    <w:p w14:paraId="279F39BC">
      <w:pPr>
        <w:pStyle w:val="14"/>
        <w:numPr>
          <w:ilvl w:val="1"/>
          <w:numId w:val="22"/>
        </w:numPr>
        <w:tabs>
          <w:tab w:val="left" w:pos="1260"/>
        </w:tabs>
        <w:spacing w:before="1" w:after="0" w:line="240" w:lineRule="auto"/>
        <w:ind w:left="1260" w:right="0" w:hanging="600"/>
        <w:jc w:val="both"/>
        <w:rPr>
          <w:sz w:val="24"/>
        </w:rPr>
      </w:pPr>
      <w:r>
        <w:rPr>
          <w:spacing w:val="-10"/>
          <w:sz w:val="24"/>
        </w:rPr>
        <w:t xml:space="preserve">财政部令第 </w:t>
      </w:r>
      <w:r>
        <w:rPr>
          <w:sz w:val="24"/>
        </w:rPr>
        <w:t>87</w:t>
      </w:r>
      <w:r>
        <w:rPr>
          <w:spacing w:val="-8"/>
          <w:sz w:val="24"/>
        </w:rPr>
        <w:t xml:space="preserve"> 号《政府采购货物和服务招标投标管理办法》第三十一条规定。</w:t>
      </w:r>
    </w:p>
    <w:p w14:paraId="0DA8A63F">
      <w:pPr>
        <w:spacing w:after="0" w:line="240" w:lineRule="auto"/>
        <w:jc w:val="both"/>
        <w:rPr>
          <w:sz w:val="24"/>
        </w:rPr>
        <w:sectPr>
          <w:pgSz w:w="11910" w:h="16840"/>
          <w:pgMar w:top="1380" w:right="660" w:bottom="1180" w:left="660" w:header="0" w:footer="909" w:gutter="0"/>
          <w:cols w:space="720" w:num="1"/>
        </w:sectPr>
      </w:pPr>
    </w:p>
    <w:p w14:paraId="5411F22A">
      <w:pPr>
        <w:pStyle w:val="7"/>
        <w:numPr>
          <w:ilvl w:val="0"/>
          <w:numId w:val="22"/>
        </w:numPr>
        <w:tabs>
          <w:tab w:val="left" w:pos="1143"/>
        </w:tabs>
        <w:spacing w:before="55" w:after="0" w:line="240" w:lineRule="auto"/>
        <w:ind w:left="1142" w:right="0" w:hanging="483"/>
        <w:jc w:val="both"/>
      </w:pPr>
      <w:r>
        <w:t>评委纪律</w:t>
      </w:r>
    </w:p>
    <w:p w14:paraId="706F53F8">
      <w:pPr>
        <w:pStyle w:val="8"/>
        <w:spacing w:before="132" w:line="343" w:lineRule="auto"/>
        <w:ind w:left="420" w:right="565" w:firstLine="240"/>
        <w:jc w:val="both"/>
      </w:pPr>
      <w:r>
        <w:t>评标委员会成员必须严格遵守保密规定，不得泄露评审的有关情况，任何单位和个人不得干扰、影响评标的正常进行，评标委员会成员不得私下与投标供应商接触，不得出现新疆政府采购活动现场组织管理办法中规定的其他禁止行为。</w:t>
      </w:r>
    </w:p>
    <w:p w14:paraId="5ECAA93F">
      <w:pPr>
        <w:pStyle w:val="7"/>
        <w:numPr>
          <w:ilvl w:val="0"/>
          <w:numId w:val="22"/>
        </w:numPr>
        <w:tabs>
          <w:tab w:val="left" w:pos="1024"/>
        </w:tabs>
        <w:spacing w:before="1" w:after="0" w:line="240" w:lineRule="auto"/>
        <w:ind w:left="1023" w:right="0" w:hanging="364"/>
        <w:jc w:val="left"/>
      </w:pPr>
      <w:r>
        <w:t>评标程序</w:t>
      </w:r>
    </w:p>
    <w:p w14:paraId="43B26972">
      <w:pPr>
        <w:pStyle w:val="14"/>
        <w:numPr>
          <w:ilvl w:val="1"/>
          <w:numId w:val="22"/>
        </w:numPr>
        <w:tabs>
          <w:tab w:val="left" w:pos="1260"/>
        </w:tabs>
        <w:spacing w:before="132" w:after="0" w:line="240" w:lineRule="auto"/>
        <w:ind w:left="1260" w:right="0" w:hanging="600"/>
        <w:jc w:val="both"/>
        <w:rPr>
          <w:sz w:val="24"/>
        </w:rPr>
      </w:pPr>
      <w:r>
        <w:rPr>
          <w:sz w:val="24"/>
        </w:rPr>
        <w:t>在评审专家中推选评标委员会组长，采购人代表不得担任评标委员会组长。</w:t>
      </w:r>
    </w:p>
    <w:p w14:paraId="6FBBBF13">
      <w:pPr>
        <w:pStyle w:val="14"/>
        <w:numPr>
          <w:ilvl w:val="1"/>
          <w:numId w:val="22"/>
        </w:numPr>
        <w:tabs>
          <w:tab w:val="left" w:pos="1260"/>
        </w:tabs>
        <w:spacing w:before="134" w:after="0" w:line="343" w:lineRule="auto"/>
        <w:ind w:left="420" w:right="565" w:firstLine="240"/>
        <w:jc w:val="both"/>
        <w:rPr>
          <w:sz w:val="24"/>
        </w:rPr>
      </w:pPr>
      <w:r>
        <w:rPr>
          <w:spacing w:val="-7"/>
          <w:sz w:val="24"/>
        </w:rPr>
        <w:t>评标委员会组长召集成员认真阅读采购文件以及相关补充、质疑、答复文件、项目书</w:t>
      </w:r>
      <w:r>
        <w:rPr>
          <w:spacing w:val="-1"/>
          <w:sz w:val="24"/>
        </w:rPr>
        <w:t>面说明等材料，熟悉采购项目的基本概况，采购项目的质量要求、数量、主要技术标准或服</w:t>
      </w:r>
      <w:r>
        <w:rPr>
          <w:sz w:val="24"/>
        </w:rPr>
        <w:t>务需求，采购合同主要条款，投标文件无效情形，评审方法、评审依据、评审标准等。</w:t>
      </w:r>
    </w:p>
    <w:p w14:paraId="162E22BF">
      <w:pPr>
        <w:pStyle w:val="14"/>
        <w:numPr>
          <w:ilvl w:val="1"/>
          <w:numId w:val="22"/>
        </w:numPr>
        <w:tabs>
          <w:tab w:val="left" w:pos="1260"/>
        </w:tabs>
        <w:spacing w:before="1" w:after="0" w:line="343" w:lineRule="auto"/>
        <w:ind w:left="420" w:right="565" w:firstLine="240"/>
        <w:jc w:val="both"/>
        <w:rPr>
          <w:sz w:val="24"/>
        </w:rPr>
      </w:pPr>
      <w:r>
        <w:rPr>
          <w:spacing w:val="-7"/>
          <w:sz w:val="24"/>
        </w:rPr>
        <w:t>评审人员对符合资格的供应商的投标文件的有效性、符合性、完整性和响应程度进行</w:t>
      </w:r>
      <w:r>
        <w:rPr>
          <w:sz w:val="24"/>
        </w:rPr>
        <w:t>审查，确定是否对采购文件作出实质性响应。</w:t>
      </w:r>
    </w:p>
    <w:p w14:paraId="23C8A9FF">
      <w:pPr>
        <w:pStyle w:val="14"/>
        <w:numPr>
          <w:ilvl w:val="1"/>
          <w:numId w:val="22"/>
        </w:numPr>
        <w:tabs>
          <w:tab w:val="left" w:pos="1260"/>
        </w:tabs>
        <w:spacing w:before="0" w:after="0" w:line="345" w:lineRule="auto"/>
        <w:ind w:left="420" w:right="565" w:firstLine="240"/>
        <w:jc w:val="both"/>
        <w:rPr>
          <w:sz w:val="24"/>
        </w:rPr>
      </w:pPr>
      <w:r>
        <w:rPr>
          <w:spacing w:val="-7"/>
          <w:sz w:val="24"/>
        </w:rPr>
        <w:t>评审人员按采购文件规定的评审方法和评审标准，依法独立对供应商投标文件进行评</w:t>
      </w:r>
      <w:r>
        <w:rPr>
          <w:sz w:val="24"/>
        </w:rPr>
        <w:t>估、比较，并给予评价或打分，不受任何单位和个人的干预。</w:t>
      </w:r>
    </w:p>
    <w:p w14:paraId="134F4207">
      <w:pPr>
        <w:pStyle w:val="8"/>
        <w:spacing w:line="343" w:lineRule="auto"/>
        <w:ind w:left="420" w:right="565" w:firstLine="480"/>
        <w:jc w:val="both"/>
      </w:pPr>
      <w:r>
        <w:t>综合评分法中的价格分统一采用低价优先法计算，即满足招标文件要求且最后报价最低的供应商的价格为评标基准价，其价格分为满分。其他供应商的价格分统一按照下列公式计算：</w:t>
      </w:r>
    </w:p>
    <w:p w14:paraId="6D307D32">
      <w:pPr>
        <w:pStyle w:val="8"/>
        <w:ind w:left="900"/>
      </w:pPr>
      <w:r>
        <w:t>投标报价得分=（评标基准价/投标报价）×价格权值×100</w:t>
      </w:r>
    </w:p>
    <w:p w14:paraId="75E4209D">
      <w:pPr>
        <w:pStyle w:val="14"/>
        <w:numPr>
          <w:ilvl w:val="1"/>
          <w:numId w:val="22"/>
        </w:numPr>
        <w:tabs>
          <w:tab w:val="left" w:pos="1260"/>
        </w:tabs>
        <w:spacing w:before="126" w:after="0" w:line="343" w:lineRule="auto"/>
        <w:ind w:left="420" w:right="565" w:firstLine="240"/>
        <w:jc w:val="both"/>
        <w:rPr>
          <w:sz w:val="24"/>
        </w:rPr>
      </w:pPr>
      <w:r>
        <w:rPr>
          <w:spacing w:val="-6"/>
          <w:sz w:val="24"/>
        </w:rPr>
        <w:t>评审人员对各供应商投标文件非实质性内容有疑议或异议，或者审查发现明显的文字</w:t>
      </w:r>
      <w:r>
        <w:rPr>
          <w:spacing w:val="-1"/>
          <w:sz w:val="24"/>
        </w:rPr>
        <w:t>或计算错误等，及时向评标委员会组长提出。经评标委员会商议认为需要供应商作出必要澄清、说明或者补正的，应当以在线询标形式要求供应商作出必要的澄清、说明或者补正。澄</w:t>
      </w:r>
      <w:r>
        <w:rPr>
          <w:sz w:val="24"/>
        </w:rPr>
        <w:t>清、说明或者补正的内容应作为政府采购项目档案归档留存。</w:t>
      </w:r>
    </w:p>
    <w:p w14:paraId="3A42108F">
      <w:pPr>
        <w:pStyle w:val="14"/>
        <w:numPr>
          <w:ilvl w:val="1"/>
          <w:numId w:val="22"/>
        </w:numPr>
        <w:tabs>
          <w:tab w:val="left" w:pos="1260"/>
        </w:tabs>
        <w:spacing w:before="3" w:after="0" w:line="343" w:lineRule="auto"/>
        <w:ind w:left="420" w:right="565" w:firstLine="240"/>
        <w:jc w:val="both"/>
        <w:rPr>
          <w:sz w:val="24"/>
        </w:rPr>
      </w:pPr>
      <w:r>
        <w:rPr>
          <w:spacing w:val="-6"/>
          <w:sz w:val="24"/>
        </w:rPr>
        <w:t>评审人员需对采购方工作人员唱标或统计的评审结果进行确认，现场监督员应对评审</w:t>
      </w:r>
      <w:r>
        <w:rPr>
          <w:spacing w:val="-1"/>
          <w:sz w:val="24"/>
        </w:rPr>
        <w:t>结果签署监督意见。如发现分值汇总计算错误、分项评分超出评分标准范围、客观评分不一</w:t>
      </w:r>
      <w:r>
        <w:rPr>
          <w:sz w:val="24"/>
        </w:rPr>
        <w:t>致以及存在评分畸高、畸低（</w:t>
      </w:r>
      <w:r>
        <w:rPr>
          <w:spacing w:val="-6"/>
          <w:sz w:val="24"/>
        </w:rPr>
        <w:t xml:space="preserve">其总评分偏离平均分 </w:t>
      </w:r>
      <w:r>
        <w:rPr>
          <w:sz w:val="24"/>
        </w:rPr>
        <w:t>30%以上的）情形的，应由相关人员当场</w:t>
      </w:r>
      <w:r>
        <w:rPr>
          <w:spacing w:val="-1"/>
          <w:sz w:val="24"/>
        </w:rPr>
        <w:t>改正或作出书面说明；拒不改正又不作书面说明的，由现场监督员如实记载后存入项目档案</w:t>
      </w:r>
      <w:r>
        <w:rPr>
          <w:sz w:val="24"/>
        </w:rPr>
        <w:t>资料。</w:t>
      </w:r>
    </w:p>
    <w:p w14:paraId="77F25D11">
      <w:pPr>
        <w:pStyle w:val="14"/>
        <w:numPr>
          <w:ilvl w:val="1"/>
          <w:numId w:val="22"/>
        </w:numPr>
        <w:tabs>
          <w:tab w:val="left" w:pos="1260"/>
        </w:tabs>
        <w:spacing w:before="0" w:after="0" w:line="307" w:lineRule="exact"/>
        <w:ind w:left="1260" w:right="0" w:hanging="600"/>
        <w:jc w:val="both"/>
        <w:rPr>
          <w:sz w:val="24"/>
        </w:rPr>
      </w:pPr>
      <w:r>
        <w:rPr>
          <w:sz w:val="24"/>
        </w:rPr>
        <w:t>评标委员会根据评审汇总情况和采购文件规定确定中标候选供应商排序名单。</w:t>
      </w:r>
    </w:p>
    <w:p w14:paraId="2FC7B6A4">
      <w:pPr>
        <w:pStyle w:val="14"/>
        <w:numPr>
          <w:ilvl w:val="1"/>
          <w:numId w:val="22"/>
        </w:numPr>
        <w:tabs>
          <w:tab w:val="left" w:pos="1260"/>
        </w:tabs>
        <w:spacing w:before="134" w:after="0" w:line="343" w:lineRule="auto"/>
        <w:ind w:left="420" w:right="565" w:firstLine="240"/>
        <w:jc w:val="both"/>
        <w:rPr>
          <w:sz w:val="24"/>
        </w:rPr>
      </w:pPr>
      <w:r>
        <w:rPr>
          <w:spacing w:val="-12"/>
          <w:sz w:val="24"/>
        </w:rPr>
        <w:t>起草评审报告，所有评审人员须在评审报告上签章确认，对自己的评审意见承担法律</w:t>
      </w:r>
      <w:r>
        <w:rPr>
          <w:sz w:val="24"/>
        </w:rPr>
        <w:t>责任。</w:t>
      </w:r>
    </w:p>
    <w:p w14:paraId="298BD78B">
      <w:pPr>
        <w:pStyle w:val="14"/>
        <w:numPr>
          <w:ilvl w:val="1"/>
          <w:numId w:val="22"/>
        </w:numPr>
        <w:tabs>
          <w:tab w:val="left" w:pos="1260"/>
        </w:tabs>
        <w:spacing w:before="0" w:after="0" w:line="306" w:lineRule="exact"/>
        <w:ind w:left="1260" w:right="0" w:hanging="600"/>
        <w:jc w:val="both"/>
        <w:rPr>
          <w:sz w:val="24"/>
        </w:rPr>
      </w:pPr>
      <w:r>
        <w:rPr>
          <w:sz w:val="24"/>
        </w:rPr>
        <w:t>采购组织机构对评标委员会评审专家进行评价。</w:t>
      </w:r>
    </w:p>
    <w:p w14:paraId="49476458">
      <w:pPr>
        <w:pStyle w:val="14"/>
        <w:numPr>
          <w:ilvl w:val="1"/>
          <w:numId w:val="22"/>
        </w:numPr>
        <w:tabs>
          <w:tab w:val="left" w:pos="1380"/>
        </w:tabs>
        <w:spacing w:before="134" w:after="0" w:line="240" w:lineRule="auto"/>
        <w:ind w:left="1380" w:right="0" w:hanging="720"/>
        <w:jc w:val="both"/>
        <w:rPr>
          <w:sz w:val="24"/>
        </w:rPr>
      </w:pPr>
      <w:r>
        <w:rPr>
          <w:sz w:val="24"/>
        </w:rPr>
        <w:t>修改评审结果</w:t>
      </w:r>
    </w:p>
    <w:p w14:paraId="73A559D6">
      <w:pPr>
        <w:spacing w:after="0" w:line="240" w:lineRule="auto"/>
        <w:jc w:val="both"/>
        <w:rPr>
          <w:sz w:val="24"/>
        </w:rPr>
        <w:sectPr>
          <w:pgSz w:w="11910" w:h="16840"/>
          <w:pgMar w:top="1480" w:right="660" w:bottom="1180" w:left="660" w:header="0" w:footer="909" w:gutter="0"/>
          <w:cols w:space="720" w:num="1"/>
        </w:sectPr>
      </w:pPr>
    </w:p>
    <w:p w14:paraId="04CACAA8">
      <w:pPr>
        <w:pStyle w:val="8"/>
        <w:spacing w:before="55"/>
        <w:ind w:left="660"/>
      </w:pPr>
      <w:r>
        <w:t>评标结果汇总完成后，除下列情形外，任何人不得修改评审结果：</w:t>
      </w:r>
    </w:p>
    <w:p w14:paraId="000312AF">
      <w:pPr>
        <w:pStyle w:val="14"/>
        <w:numPr>
          <w:ilvl w:val="0"/>
          <w:numId w:val="25"/>
        </w:numPr>
        <w:tabs>
          <w:tab w:val="left" w:pos="1261"/>
        </w:tabs>
        <w:spacing w:before="132" w:after="0" w:line="240" w:lineRule="auto"/>
        <w:ind w:left="1261" w:right="0" w:hanging="601"/>
        <w:jc w:val="left"/>
        <w:rPr>
          <w:sz w:val="24"/>
        </w:rPr>
      </w:pPr>
      <w:r>
        <w:rPr>
          <w:sz w:val="24"/>
        </w:rPr>
        <w:t>分值汇总计算错误的；</w:t>
      </w:r>
    </w:p>
    <w:p w14:paraId="6755C7F2">
      <w:pPr>
        <w:pStyle w:val="14"/>
        <w:numPr>
          <w:ilvl w:val="0"/>
          <w:numId w:val="25"/>
        </w:numPr>
        <w:tabs>
          <w:tab w:val="left" w:pos="1261"/>
        </w:tabs>
        <w:spacing w:before="132" w:after="0" w:line="240" w:lineRule="auto"/>
        <w:ind w:left="1261" w:right="0" w:hanging="601"/>
        <w:jc w:val="left"/>
        <w:rPr>
          <w:sz w:val="24"/>
        </w:rPr>
      </w:pPr>
      <w:r>
        <w:rPr>
          <w:sz w:val="24"/>
        </w:rPr>
        <w:t>分项评分超出评分标准范围的；</w:t>
      </w:r>
    </w:p>
    <w:p w14:paraId="4EDFC92E">
      <w:pPr>
        <w:pStyle w:val="14"/>
        <w:numPr>
          <w:ilvl w:val="0"/>
          <w:numId w:val="25"/>
        </w:numPr>
        <w:tabs>
          <w:tab w:val="left" w:pos="1261"/>
        </w:tabs>
        <w:spacing w:before="134" w:after="0" w:line="240" w:lineRule="auto"/>
        <w:ind w:left="1261" w:right="0" w:hanging="601"/>
        <w:jc w:val="left"/>
        <w:rPr>
          <w:sz w:val="24"/>
        </w:rPr>
      </w:pPr>
      <w:r>
        <w:rPr>
          <w:sz w:val="24"/>
        </w:rPr>
        <w:t>评标委员会成员对客观评审因素评分不一致的；</w:t>
      </w:r>
    </w:p>
    <w:p w14:paraId="0885052E">
      <w:pPr>
        <w:pStyle w:val="14"/>
        <w:numPr>
          <w:ilvl w:val="0"/>
          <w:numId w:val="25"/>
        </w:numPr>
        <w:tabs>
          <w:tab w:val="left" w:pos="1261"/>
        </w:tabs>
        <w:spacing w:before="132" w:after="0" w:line="240" w:lineRule="auto"/>
        <w:ind w:left="1261" w:right="0" w:hanging="601"/>
        <w:jc w:val="left"/>
        <w:rPr>
          <w:sz w:val="24"/>
        </w:rPr>
      </w:pPr>
      <w:r>
        <w:rPr>
          <w:sz w:val="24"/>
        </w:rPr>
        <w:t>经评标委员会认定评分畸高、畸低的。</w:t>
      </w:r>
    </w:p>
    <w:p w14:paraId="045E8173">
      <w:pPr>
        <w:pStyle w:val="8"/>
        <w:spacing w:before="131" w:line="343" w:lineRule="auto"/>
        <w:ind w:left="420" w:right="445" w:firstLine="240"/>
      </w:pPr>
      <w:r>
        <w:t xml:space="preserve">评审报告签署前，经复核发现存在以上情形之一的，评标委员会应当当场修改评审结果， </w:t>
      </w:r>
      <w:r>
        <w:rPr>
          <w:spacing w:val="-10"/>
        </w:rPr>
        <w:t xml:space="preserve">并在评审报告中记载；评审报告签署后，采购人或者采购代理机构发现存在以上情形之一的， </w:t>
      </w:r>
      <w:r>
        <w:t>应当组织原评标委员会进行重新评审，重新评审改变评审结果的，书面报告本级财政部门。</w:t>
      </w:r>
    </w:p>
    <w:p w14:paraId="16CB2578">
      <w:pPr>
        <w:pStyle w:val="7"/>
        <w:numPr>
          <w:ilvl w:val="0"/>
          <w:numId w:val="22"/>
        </w:numPr>
        <w:tabs>
          <w:tab w:val="left" w:pos="1141"/>
        </w:tabs>
        <w:spacing w:before="1" w:after="0" w:line="240" w:lineRule="auto"/>
        <w:ind w:left="1141" w:right="0" w:hanging="481"/>
        <w:jc w:val="left"/>
      </w:pPr>
      <w:r>
        <w:t>澄清、说明或补正的形式</w:t>
      </w:r>
    </w:p>
    <w:p w14:paraId="1ED97A35">
      <w:pPr>
        <w:pStyle w:val="14"/>
        <w:numPr>
          <w:ilvl w:val="1"/>
          <w:numId w:val="22"/>
        </w:numPr>
        <w:tabs>
          <w:tab w:val="left" w:pos="1200"/>
        </w:tabs>
        <w:spacing w:before="134" w:after="0" w:line="343" w:lineRule="auto"/>
        <w:ind w:left="420" w:right="325" w:firstLine="240"/>
        <w:jc w:val="left"/>
        <w:rPr>
          <w:sz w:val="24"/>
        </w:rPr>
      </w:pPr>
      <w:r>
        <w:rPr>
          <w:spacing w:val="-6"/>
          <w:sz w:val="24"/>
        </w:rPr>
        <w:t xml:space="preserve">对于投标文件中含义不明确、同类问题表述不一致或者有明显文字和计算错误的内容， </w:t>
      </w:r>
      <w:r>
        <w:rPr>
          <w:sz w:val="24"/>
        </w:rPr>
        <w:t>评标委员会将通过“政府采购云平台”在线询标的方式要求投标供应商在规定的时间内作出 必要的澄清、说明或者补正，</w:t>
      </w:r>
      <w:r>
        <w:rPr>
          <w:b/>
          <w:spacing w:val="-4"/>
          <w:sz w:val="24"/>
        </w:rPr>
        <w:t xml:space="preserve">投标供应商澄清、说明或补正时间为 </w:t>
      </w:r>
      <w:r>
        <w:rPr>
          <w:b/>
          <w:sz w:val="24"/>
        </w:rPr>
        <w:t>20</w:t>
      </w:r>
      <w:r>
        <w:rPr>
          <w:b/>
          <w:spacing w:val="-21"/>
          <w:sz w:val="24"/>
        </w:rPr>
        <w:t xml:space="preserve"> 分钟</w:t>
      </w:r>
      <w:r>
        <w:rPr>
          <w:sz w:val="24"/>
        </w:rPr>
        <w:t>。</w:t>
      </w:r>
    </w:p>
    <w:p w14:paraId="0E596F90">
      <w:pPr>
        <w:pStyle w:val="14"/>
        <w:numPr>
          <w:ilvl w:val="1"/>
          <w:numId w:val="22"/>
        </w:numPr>
        <w:tabs>
          <w:tab w:val="left" w:pos="1200"/>
        </w:tabs>
        <w:spacing w:before="1" w:after="0" w:line="343" w:lineRule="auto"/>
        <w:ind w:left="420" w:right="445" w:firstLine="240"/>
        <w:jc w:val="left"/>
        <w:rPr>
          <w:sz w:val="24"/>
        </w:rPr>
      </w:pPr>
      <w:r>
        <w:rPr>
          <w:spacing w:val="-13"/>
          <w:sz w:val="24"/>
        </w:rPr>
        <w:t xml:space="preserve">投标供应商的澄清、说明或者补正应当通过“政府采购云平台”在线答复的方式提交， </w:t>
      </w:r>
      <w:r>
        <w:rPr>
          <w:sz w:val="24"/>
        </w:rPr>
        <w:t>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341346BD">
      <w:pPr>
        <w:pStyle w:val="14"/>
        <w:numPr>
          <w:ilvl w:val="1"/>
          <w:numId w:val="22"/>
        </w:numPr>
        <w:tabs>
          <w:tab w:val="left" w:pos="1200"/>
        </w:tabs>
        <w:spacing w:before="0" w:after="0" w:line="343" w:lineRule="auto"/>
        <w:ind w:left="420" w:right="565" w:firstLine="240"/>
        <w:jc w:val="both"/>
        <w:rPr>
          <w:sz w:val="24"/>
        </w:rPr>
      </w:pPr>
      <w:r>
        <w:rPr>
          <w:spacing w:val="-8"/>
          <w:sz w:val="24"/>
        </w:rPr>
        <w:t>上述询标、澄清、说明和补正工作如因客观原因无法通过“政府采购云平台”在线进</w:t>
      </w:r>
      <w:r>
        <w:rPr>
          <w:spacing w:val="-1"/>
          <w:sz w:val="24"/>
        </w:rPr>
        <w:t>行的，将采用电子邮件等形式进行，请供应商保证办理投标事宜人员电话畅通、网络在线。</w:t>
      </w:r>
      <w:r>
        <w:rPr>
          <w:sz w:val="24"/>
        </w:rPr>
        <w:t>如未及时进行澄清、说明或者补正的，视为放弃澄清、说明或者补正的权利。</w:t>
      </w:r>
    </w:p>
    <w:p w14:paraId="1E3B00EF">
      <w:pPr>
        <w:pStyle w:val="7"/>
        <w:numPr>
          <w:ilvl w:val="0"/>
          <w:numId w:val="22"/>
        </w:numPr>
        <w:tabs>
          <w:tab w:val="left" w:pos="1141"/>
        </w:tabs>
        <w:spacing w:before="1" w:after="0" w:line="240" w:lineRule="auto"/>
        <w:ind w:left="1141" w:right="0" w:hanging="481"/>
        <w:jc w:val="left"/>
      </w:pPr>
      <w:r>
        <w:t>错误修正的原则</w:t>
      </w:r>
    </w:p>
    <w:p w14:paraId="1738065F">
      <w:pPr>
        <w:pStyle w:val="8"/>
        <w:spacing w:before="132" w:line="345" w:lineRule="auto"/>
        <w:ind w:left="420" w:right="565" w:firstLine="240"/>
      </w:pPr>
      <w:r>
        <w:t>电子交易平台客户端里开标一览表录入的投标报价或优惠率与扫描上传的报价文件信息不一致的，以扫描上传的报价文件信息为准进行修正。</w:t>
      </w:r>
    </w:p>
    <w:p w14:paraId="7A80C220">
      <w:pPr>
        <w:pStyle w:val="8"/>
        <w:spacing w:line="303" w:lineRule="exact"/>
        <w:ind w:left="660"/>
      </w:pPr>
      <w:r>
        <w:t>投标文件报价出现前后不一致的，除采购文件另有规定外，按照下列规定修正：</w:t>
      </w:r>
    </w:p>
    <w:p w14:paraId="14540A76">
      <w:pPr>
        <w:pStyle w:val="14"/>
        <w:numPr>
          <w:ilvl w:val="1"/>
          <w:numId w:val="22"/>
        </w:numPr>
        <w:tabs>
          <w:tab w:val="left" w:pos="1260"/>
        </w:tabs>
        <w:spacing w:before="132" w:after="0" w:line="345" w:lineRule="auto"/>
        <w:ind w:left="420" w:right="565" w:firstLine="240"/>
        <w:jc w:val="left"/>
        <w:rPr>
          <w:sz w:val="24"/>
        </w:rPr>
      </w:pPr>
      <w:r>
        <w:rPr>
          <w:spacing w:val="-8"/>
          <w:sz w:val="24"/>
        </w:rPr>
        <w:t>投标函中表述的内容与报价表中不一致的，以报价表为准；报价表中的内容与报价明</w:t>
      </w:r>
      <w:r>
        <w:rPr>
          <w:sz w:val="24"/>
        </w:rPr>
        <w:t>细表不一致的，以报价表为准；</w:t>
      </w:r>
    </w:p>
    <w:p w14:paraId="4E84FFE0">
      <w:pPr>
        <w:pStyle w:val="14"/>
        <w:numPr>
          <w:ilvl w:val="1"/>
          <w:numId w:val="22"/>
        </w:numPr>
        <w:tabs>
          <w:tab w:val="left" w:pos="1260"/>
        </w:tabs>
        <w:spacing w:before="0" w:after="0" w:line="303" w:lineRule="exact"/>
        <w:ind w:left="1260" w:right="0" w:hanging="600"/>
        <w:jc w:val="left"/>
        <w:rPr>
          <w:sz w:val="24"/>
        </w:rPr>
      </w:pPr>
      <w:r>
        <w:rPr>
          <w:sz w:val="24"/>
        </w:rPr>
        <w:t>投标文件中的大写金额和小写金额不一致的，以大写金额为准；</w:t>
      </w:r>
    </w:p>
    <w:p w14:paraId="4437E017">
      <w:pPr>
        <w:pStyle w:val="14"/>
        <w:numPr>
          <w:ilvl w:val="1"/>
          <w:numId w:val="22"/>
        </w:numPr>
        <w:tabs>
          <w:tab w:val="left" w:pos="1260"/>
        </w:tabs>
        <w:spacing w:before="131" w:after="0" w:line="240" w:lineRule="auto"/>
        <w:ind w:left="1260" w:right="0" w:hanging="600"/>
        <w:jc w:val="left"/>
        <w:rPr>
          <w:sz w:val="24"/>
        </w:rPr>
      </w:pPr>
      <w:r>
        <w:rPr>
          <w:sz w:val="24"/>
        </w:rPr>
        <w:t>单价金额小数点或者百分比有明显错位的，以开标一览表的总价为准，并修改单价；</w:t>
      </w:r>
    </w:p>
    <w:p w14:paraId="4B562D82">
      <w:pPr>
        <w:pStyle w:val="14"/>
        <w:numPr>
          <w:ilvl w:val="1"/>
          <w:numId w:val="22"/>
        </w:numPr>
        <w:tabs>
          <w:tab w:val="left" w:pos="1260"/>
        </w:tabs>
        <w:spacing w:before="134" w:after="0" w:line="240" w:lineRule="auto"/>
        <w:ind w:left="1260" w:right="0" w:hanging="600"/>
        <w:jc w:val="left"/>
        <w:rPr>
          <w:sz w:val="24"/>
        </w:rPr>
      </w:pPr>
      <w:r>
        <w:rPr>
          <w:sz w:val="24"/>
        </w:rPr>
        <w:t>总价金额与按单价汇总金额不一致的，以单价金额计算结果为准；</w:t>
      </w:r>
    </w:p>
    <w:p w14:paraId="79DC35A6">
      <w:pPr>
        <w:pStyle w:val="14"/>
        <w:numPr>
          <w:ilvl w:val="1"/>
          <w:numId w:val="22"/>
        </w:numPr>
        <w:tabs>
          <w:tab w:val="left" w:pos="1260"/>
        </w:tabs>
        <w:spacing w:before="132" w:after="0" w:line="240" w:lineRule="auto"/>
        <w:ind w:left="1260" w:right="0" w:hanging="600"/>
        <w:jc w:val="left"/>
        <w:rPr>
          <w:sz w:val="24"/>
        </w:rPr>
      </w:pPr>
      <w:r>
        <w:rPr>
          <w:sz w:val="24"/>
        </w:rPr>
        <w:t>若用文字表示的数值与用数字表示的数值不一致，以文字表示的数值为准；</w:t>
      </w:r>
    </w:p>
    <w:p w14:paraId="1427A8EE">
      <w:pPr>
        <w:pStyle w:val="14"/>
        <w:numPr>
          <w:ilvl w:val="1"/>
          <w:numId w:val="22"/>
        </w:numPr>
        <w:tabs>
          <w:tab w:val="left" w:pos="1260"/>
        </w:tabs>
        <w:spacing w:before="132" w:after="0" w:line="345" w:lineRule="auto"/>
        <w:ind w:left="420" w:right="565" w:firstLine="240"/>
        <w:jc w:val="left"/>
        <w:rPr>
          <w:sz w:val="24"/>
        </w:rPr>
      </w:pPr>
      <w:r>
        <w:rPr>
          <w:spacing w:val="-5"/>
          <w:sz w:val="24"/>
        </w:rPr>
        <w:t>如有多报</w:t>
      </w:r>
      <w:r>
        <w:rPr>
          <w:sz w:val="24"/>
        </w:rPr>
        <w:t>（指数量超出采购文件需求</w:t>
      </w:r>
      <w:r>
        <w:rPr>
          <w:spacing w:val="-22"/>
          <w:sz w:val="24"/>
        </w:rPr>
        <w:t>）</w:t>
      </w:r>
      <w:r>
        <w:rPr>
          <w:spacing w:val="-14"/>
          <w:sz w:val="24"/>
        </w:rPr>
        <w:t>、重报</w:t>
      </w:r>
      <w:r>
        <w:rPr>
          <w:sz w:val="24"/>
        </w:rPr>
        <w:t>（指同一货物重复报价</w:t>
      </w:r>
      <w:r>
        <w:rPr>
          <w:spacing w:val="-21"/>
          <w:sz w:val="24"/>
        </w:rPr>
        <w:t>）</w:t>
      </w:r>
      <w:r>
        <w:rPr>
          <w:spacing w:val="-7"/>
          <w:sz w:val="24"/>
        </w:rPr>
        <w:t>，其投标总价</w:t>
      </w:r>
      <w:r>
        <w:rPr>
          <w:sz w:val="24"/>
        </w:rPr>
        <w:t>在评标过程中不予调整，如其中标，其合同价按其投标单价予以调整；</w:t>
      </w:r>
    </w:p>
    <w:p w14:paraId="3D54817D">
      <w:pPr>
        <w:spacing w:after="0" w:line="345" w:lineRule="auto"/>
        <w:jc w:val="left"/>
        <w:rPr>
          <w:sz w:val="24"/>
        </w:rPr>
        <w:sectPr>
          <w:pgSz w:w="11910" w:h="16840"/>
          <w:pgMar w:top="1480" w:right="660" w:bottom="1180" w:left="660" w:header="0" w:footer="909" w:gutter="0"/>
          <w:cols w:space="720" w:num="1"/>
        </w:sectPr>
      </w:pPr>
    </w:p>
    <w:p w14:paraId="39E3896A">
      <w:pPr>
        <w:pStyle w:val="14"/>
        <w:numPr>
          <w:ilvl w:val="1"/>
          <w:numId w:val="22"/>
        </w:numPr>
        <w:tabs>
          <w:tab w:val="left" w:pos="1260"/>
        </w:tabs>
        <w:spacing w:before="55" w:after="0" w:line="240" w:lineRule="auto"/>
        <w:ind w:left="1260" w:right="0" w:hanging="600"/>
        <w:jc w:val="both"/>
        <w:rPr>
          <w:sz w:val="24"/>
        </w:rPr>
      </w:pPr>
      <w:r>
        <w:rPr>
          <w:sz w:val="24"/>
        </w:rPr>
        <w:t>对不同文字文本投标文件的解释发生异议的，以中文文本为准；</w:t>
      </w:r>
    </w:p>
    <w:p w14:paraId="20CDE187">
      <w:pPr>
        <w:pStyle w:val="8"/>
        <w:spacing w:before="132" w:line="343" w:lineRule="auto"/>
        <w:ind w:left="420" w:right="565" w:firstLine="240"/>
        <w:jc w:val="both"/>
        <w:rPr>
          <w:b/>
        </w:rPr>
      </w:pPr>
      <w:r>
        <w:rPr>
          <w:spacing w:val="-1"/>
        </w:rPr>
        <w:t>同时出现两种以上不一致的，按照前款规定的顺序修正。按上述修正错误的原则及方法调整或修正投标文件的投标报价，供应商确认后，以调整或修正后的投标报价为准。如供应商</w:t>
      </w:r>
      <w:r>
        <w:rPr>
          <w:spacing w:val="-2"/>
        </w:rPr>
        <w:t>拒绝调整或修正的，其投标文件按无效标处理。</w:t>
      </w:r>
      <w:r>
        <w:rPr>
          <w:b/>
          <w:spacing w:val="-2"/>
        </w:rPr>
        <w:t>修正应当采用电子询标的形式，并加盖公章</w:t>
      </w:r>
    </w:p>
    <w:p w14:paraId="52E9E600">
      <w:pPr>
        <w:pStyle w:val="7"/>
        <w:spacing w:before="1"/>
      </w:pPr>
      <w:r>
        <w:t>（电子印章）。</w:t>
      </w:r>
    </w:p>
    <w:p w14:paraId="61AF2645">
      <w:pPr>
        <w:pStyle w:val="7"/>
        <w:numPr>
          <w:ilvl w:val="0"/>
          <w:numId w:val="22"/>
        </w:numPr>
        <w:tabs>
          <w:tab w:val="left" w:pos="1141"/>
        </w:tabs>
        <w:spacing w:before="132" w:after="0" w:line="240" w:lineRule="auto"/>
        <w:ind w:left="1141" w:right="0" w:hanging="481"/>
        <w:jc w:val="left"/>
      </w:pPr>
      <w:r>
        <w:t>无效投标文件有下列情形之一的，投标文件按无效标处理：</w:t>
      </w:r>
    </w:p>
    <w:p w14:paraId="39B93A2D">
      <w:pPr>
        <w:pStyle w:val="14"/>
        <w:numPr>
          <w:ilvl w:val="1"/>
          <w:numId w:val="22"/>
        </w:numPr>
        <w:tabs>
          <w:tab w:val="left" w:pos="1260"/>
        </w:tabs>
        <w:spacing w:before="134" w:after="0" w:line="240" w:lineRule="auto"/>
        <w:ind w:left="1260" w:right="0" w:hanging="600"/>
        <w:jc w:val="left"/>
        <w:rPr>
          <w:sz w:val="24"/>
        </w:rPr>
      </w:pPr>
      <w:r>
        <w:rPr>
          <w:sz w:val="24"/>
        </w:rPr>
        <w:t>报名的投标人与参加投标的投标人发生实质性变更的且未提供有效证明的；</w:t>
      </w:r>
    </w:p>
    <w:p w14:paraId="59492142">
      <w:pPr>
        <w:pStyle w:val="14"/>
        <w:numPr>
          <w:ilvl w:val="1"/>
          <w:numId w:val="22"/>
        </w:numPr>
        <w:tabs>
          <w:tab w:val="left" w:pos="1200"/>
        </w:tabs>
        <w:spacing w:before="132" w:after="0" w:line="240" w:lineRule="auto"/>
        <w:ind w:left="1200" w:right="0" w:hanging="540"/>
        <w:jc w:val="left"/>
        <w:rPr>
          <w:sz w:val="24"/>
        </w:rPr>
      </w:pPr>
      <w:r>
        <w:rPr>
          <w:sz w:val="24"/>
        </w:rPr>
        <w:t>投标人提交两份或两份以上内容不同的投标文件，未声明哪一份有效的；</w:t>
      </w:r>
    </w:p>
    <w:p w14:paraId="55BC40F4">
      <w:pPr>
        <w:pStyle w:val="14"/>
        <w:numPr>
          <w:ilvl w:val="1"/>
          <w:numId w:val="22"/>
        </w:numPr>
        <w:tabs>
          <w:tab w:val="left" w:pos="1260"/>
        </w:tabs>
        <w:spacing w:before="131" w:after="0" w:line="240" w:lineRule="auto"/>
        <w:ind w:left="1260" w:right="0" w:hanging="600"/>
        <w:jc w:val="left"/>
        <w:rPr>
          <w:sz w:val="24"/>
        </w:rPr>
      </w:pPr>
      <w:r>
        <w:rPr>
          <w:sz w:val="24"/>
        </w:rPr>
        <w:t>投标文件非投标人法定代表人签署的，未提供或提供无效的法定代表人授权书；</w:t>
      </w:r>
    </w:p>
    <w:p w14:paraId="75388F9E">
      <w:pPr>
        <w:pStyle w:val="14"/>
        <w:numPr>
          <w:ilvl w:val="1"/>
          <w:numId w:val="22"/>
        </w:numPr>
        <w:tabs>
          <w:tab w:val="left" w:pos="1260"/>
        </w:tabs>
        <w:spacing w:before="134" w:after="0" w:line="240" w:lineRule="auto"/>
        <w:ind w:left="1260" w:right="0" w:hanging="600"/>
        <w:jc w:val="left"/>
        <w:rPr>
          <w:sz w:val="24"/>
        </w:rPr>
      </w:pPr>
      <w:r>
        <w:rPr>
          <w:sz w:val="24"/>
        </w:rPr>
        <w:t>未按招标文件规定装订；</w:t>
      </w:r>
    </w:p>
    <w:p w14:paraId="2C3ABE75">
      <w:pPr>
        <w:pStyle w:val="14"/>
        <w:numPr>
          <w:ilvl w:val="1"/>
          <w:numId w:val="22"/>
        </w:numPr>
        <w:tabs>
          <w:tab w:val="left" w:pos="1260"/>
        </w:tabs>
        <w:spacing w:before="132" w:after="0" w:line="240" w:lineRule="auto"/>
        <w:ind w:left="1260" w:right="0" w:hanging="600"/>
        <w:jc w:val="left"/>
        <w:rPr>
          <w:sz w:val="24"/>
        </w:rPr>
      </w:pPr>
      <w:r>
        <w:rPr>
          <w:sz w:val="24"/>
        </w:rPr>
        <w:t>投标文件内容未按招标文件规定签章或盖章的；</w:t>
      </w:r>
    </w:p>
    <w:p w14:paraId="0FB03583">
      <w:pPr>
        <w:pStyle w:val="14"/>
        <w:numPr>
          <w:ilvl w:val="1"/>
          <w:numId w:val="22"/>
        </w:numPr>
        <w:tabs>
          <w:tab w:val="left" w:pos="1260"/>
        </w:tabs>
        <w:spacing w:before="132" w:after="0" w:line="345" w:lineRule="auto"/>
        <w:ind w:left="420" w:right="565" w:firstLine="240"/>
        <w:jc w:val="left"/>
        <w:rPr>
          <w:sz w:val="24"/>
        </w:rPr>
      </w:pPr>
      <w:r>
        <w:rPr>
          <w:spacing w:val="-6"/>
          <w:sz w:val="24"/>
        </w:rPr>
        <w:t>投标文件组成漏项或未按规定的格式编制或投标文件正、副本份数不足或内容不全或</w:t>
      </w:r>
      <w:r>
        <w:rPr>
          <w:sz w:val="24"/>
        </w:rPr>
        <w:t>内容字迹模糊辨认不清的等而导致评标活动无法正常进行；</w:t>
      </w:r>
    </w:p>
    <w:p w14:paraId="47762839">
      <w:pPr>
        <w:pStyle w:val="14"/>
        <w:numPr>
          <w:ilvl w:val="1"/>
          <w:numId w:val="22"/>
        </w:numPr>
        <w:tabs>
          <w:tab w:val="left" w:pos="1260"/>
        </w:tabs>
        <w:spacing w:before="0" w:after="0" w:line="303" w:lineRule="exact"/>
        <w:ind w:left="1260" w:right="0" w:hanging="600"/>
        <w:jc w:val="left"/>
        <w:rPr>
          <w:sz w:val="24"/>
        </w:rPr>
      </w:pPr>
      <w:r>
        <w:rPr>
          <w:sz w:val="24"/>
        </w:rPr>
        <w:t>投标人未按招标文件变更通知更改投标文件的；</w:t>
      </w:r>
    </w:p>
    <w:p w14:paraId="34A31903">
      <w:pPr>
        <w:pStyle w:val="14"/>
        <w:numPr>
          <w:ilvl w:val="1"/>
          <w:numId w:val="22"/>
        </w:numPr>
        <w:tabs>
          <w:tab w:val="left" w:pos="1232"/>
        </w:tabs>
        <w:spacing w:before="131" w:after="0" w:line="345" w:lineRule="auto"/>
        <w:ind w:left="420" w:right="565" w:firstLine="240"/>
        <w:jc w:val="left"/>
        <w:rPr>
          <w:sz w:val="24"/>
        </w:rPr>
      </w:pPr>
      <w:r>
        <w:rPr>
          <w:spacing w:val="-12"/>
          <w:sz w:val="24"/>
        </w:rPr>
        <w:t>《开标一览表》和《报价明细表》内容不完整且不接受修正意见或字迹不能辨认的或</w:t>
      </w:r>
      <w:r>
        <w:rPr>
          <w:sz w:val="24"/>
        </w:rPr>
        <w:t>未提供；</w:t>
      </w:r>
    </w:p>
    <w:p w14:paraId="41BB648A">
      <w:pPr>
        <w:pStyle w:val="14"/>
        <w:numPr>
          <w:ilvl w:val="1"/>
          <w:numId w:val="22"/>
        </w:numPr>
        <w:tabs>
          <w:tab w:val="left" w:pos="1260"/>
        </w:tabs>
        <w:spacing w:before="0" w:after="0" w:line="303" w:lineRule="exact"/>
        <w:ind w:left="1260" w:right="0" w:hanging="600"/>
        <w:jc w:val="left"/>
        <w:rPr>
          <w:sz w:val="24"/>
        </w:rPr>
      </w:pPr>
      <w:r>
        <w:rPr>
          <w:sz w:val="24"/>
        </w:rPr>
        <w:t>标项投标报价超过招标文件规定的预算金额或最高限价；</w:t>
      </w:r>
    </w:p>
    <w:p w14:paraId="7DBD2323">
      <w:pPr>
        <w:pStyle w:val="14"/>
        <w:numPr>
          <w:ilvl w:val="1"/>
          <w:numId w:val="22"/>
        </w:numPr>
        <w:tabs>
          <w:tab w:val="left" w:pos="1380"/>
        </w:tabs>
        <w:spacing w:before="132" w:after="0" w:line="345" w:lineRule="auto"/>
        <w:ind w:left="420" w:right="1045" w:firstLine="240"/>
        <w:jc w:val="left"/>
        <w:rPr>
          <w:sz w:val="24"/>
        </w:rPr>
      </w:pPr>
      <w:r>
        <w:rPr>
          <w:spacing w:val="-1"/>
          <w:sz w:val="24"/>
        </w:rPr>
        <w:t>因投标人原因编制错误造成经评标委员会修正后的报价达到或超过投标报价的</w:t>
      </w:r>
      <w:r>
        <w:rPr>
          <w:sz w:val="24"/>
        </w:rPr>
        <w:t>0.5%；</w:t>
      </w:r>
    </w:p>
    <w:p w14:paraId="1528CF8D">
      <w:pPr>
        <w:pStyle w:val="14"/>
        <w:numPr>
          <w:ilvl w:val="1"/>
          <w:numId w:val="22"/>
        </w:numPr>
        <w:tabs>
          <w:tab w:val="left" w:pos="1380"/>
        </w:tabs>
        <w:spacing w:before="0" w:after="0" w:line="343" w:lineRule="auto"/>
        <w:ind w:left="420" w:right="565" w:firstLine="240"/>
        <w:jc w:val="left"/>
        <w:rPr>
          <w:sz w:val="24"/>
        </w:rPr>
      </w:pPr>
      <w:r>
        <w:rPr>
          <w:spacing w:val="-1"/>
          <w:sz w:val="24"/>
        </w:rPr>
        <w:t>投标人的报价明显低于其他通过符合性审查投标人的报价，有可能影响产品质量或</w:t>
      </w:r>
      <w:r>
        <w:rPr>
          <w:sz w:val="24"/>
        </w:rPr>
        <w:t>者不能诚信履约的，且在规定时间内不能合理说明原因并提供证明材料的；</w:t>
      </w:r>
    </w:p>
    <w:p w14:paraId="6499D04E">
      <w:pPr>
        <w:pStyle w:val="14"/>
        <w:numPr>
          <w:ilvl w:val="1"/>
          <w:numId w:val="22"/>
        </w:numPr>
        <w:tabs>
          <w:tab w:val="left" w:pos="1380"/>
        </w:tabs>
        <w:spacing w:before="0" w:after="0" w:line="240" w:lineRule="auto"/>
        <w:ind w:left="1380" w:right="0" w:hanging="720"/>
        <w:jc w:val="left"/>
        <w:rPr>
          <w:sz w:val="24"/>
        </w:rPr>
      </w:pPr>
      <w:r>
        <w:rPr>
          <w:sz w:val="24"/>
        </w:rPr>
        <w:t>未实质性响应招标文件中条款要求的投标文件；</w:t>
      </w:r>
    </w:p>
    <w:p w14:paraId="25E9FC6B">
      <w:pPr>
        <w:pStyle w:val="14"/>
        <w:numPr>
          <w:ilvl w:val="1"/>
          <w:numId w:val="22"/>
        </w:numPr>
        <w:tabs>
          <w:tab w:val="left" w:pos="1380"/>
        </w:tabs>
        <w:spacing w:before="128" w:after="0" w:line="240" w:lineRule="auto"/>
        <w:ind w:left="1380" w:right="0" w:hanging="720"/>
        <w:jc w:val="left"/>
        <w:rPr>
          <w:sz w:val="24"/>
        </w:rPr>
      </w:pPr>
      <w:r>
        <w:rPr>
          <w:sz w:val="24"/>
        </w:rPr>
        <w:t>不符合招标范围、技术规格、技术标准的要求无法满足采购人使用要求；</w:t>
      </w:r>
    </w:p>
    <w:p w14:paraId="77383FA4">
      <w:pPr>
        <w:pStyle w:val="14"/>
        <w:numPr>
          <w:ilvl w:val="1"/>
          <w:numId w:val="22"/>
        </w:numPr>
        <w:tabs>
          <w:tab w:val="left" w:pos="1380"/>
        </w:tabs>
        <w:spacing w:before="132" w:after="0" w:line="240" w:lineRule="auto"/>
        <w:ind w:left="1380" w:right="0" w:hanging="720"/>
        <w:jc w:val="left"/>
        <w:rPr>
          <w:sz w:val="24"/>
        </w:rPr>
      </w:pPr>
      <w:r>
        <w:rPr>
          <w:sz w:val="24"/>
        </w:rPr>
        <w:t>投标文件附有采购人不能接受的条款；</w:t>
      </w:r>
    </w:p>
    <w:p w14:paraId="40619BB2">
      <w:pPr>
        <w:pStyle w:val="14"/>
        <w:numPr>
          <w:ilvl w:val="1"/>
          <w:numId w:val="22"/>
        </w:numPr>
        <w:tabs>
          <w:tab w:val="left" w:pos="1380"/>
        </w:tabs>
        <w:spacing w:before="134" w:after="0" w:line="240" w:lineRule="auto"/>
        <w:ind w:left="1380" w:right="0" w:hanging="720"/>
        <w:jc w:val="left"/>
        <w:rPr>
          <w:sz w:val="24"/>
        </w:rPr>
      </w:pPr>
      <w:r>
        <w:rPr>
          <w:sz w:val="24"/>
        </w:rPr>
        <w:t>投标文件中提供了赠品或者与本项目采购无关的其他商品、服务；</w:t>
      </w:r>
    </w:p>
    <w:p w14:paraId="4BF62C88">
      <w:pPr>
        <w:pStyle w:val="14"/>
        <w:numPr>
          <w:ilvl w:val="1"/>
          <w:numId w:val="22"/>
        </w:numPr>
        <w:tabs>
          <w:tab w:val="left" w:pos="1380"/>
        </w:tabs>
        <w:spacing w:before="132" w:after="0" w:line="240" w:lineRule="auto"/>
        <w:ind w:left="1380" w:right="0" w:hanging="720"/>
        <w:jc w:val="left"/>
        <w:rPr>
          <w:sz w:val="24"/>
        </w:rPr>
      </w:pPr>
      <w:r>
        <w:rPr>
          <w:sz w:val="24"/>
        </w:rPr>
        <w:t>投标文件中承诺的投标有效期少于招标文件中载明的投标有效期；</w:t>
      </w:r>
    </w:p>
    <w:p w14:paraId="115241CB">
      <w:pPr>
        <w:pStyle w:val="14"/>
        <w:numPr>
          <w:ilvl w:val="1"/>
          <w:numId w:val="22"/>
        </w:numPr>
        <w:tabs>
          <w:tab w:val="left" w:pos="1320"/>
        </w:tabs>
        <w:spacing w:before="132" w:after="0" w:line="345" w:lineRule="auto"/>
        <w:ind w:left="420" w:right="625" w:firstLine="240"/>
        <w:jc w:val="left"/>
        <w:rPr>
          <w:sz w:val="24"/>
        </w:rPr>
      </w:pPr>
      <w:r>
        <w:rPr>
          <w:spacing w:val="-1"/>
          <w:sz w:val="24"/>
        </w:rPr>
        <w:t>投标人串通投标，妨碍其他投标人的竞争行为，损害采购人或者其他投标人的合法</w:t>
      </w:r>
      <w:r>
        <w:rPr>
          <w:sz w:val="24"/>
        </w:rPr>
        <w:t>权益；</w:t>
      </w:r>
    </w:p>
    <w:p w14:paraId="38ACABD2">
      <w:pPr>
        <w:pStyle w:val="14"/>
        <w:numPr>
          <w:ilvl w:val="1"/>
          <w:numId w:val="22"/>
        </w:numPr>
        <w:tabs>
          <w:tab w:val="left" w:pos="1320"/>
        </w:tabs>
        <w:spacing w:before="0" w:after="0" w:line="343" w:lineRule="auto"/>
        <w:ind w:left="420" w:right="625" w:firstLine="240"/>
        <w:jc w:val="left"/>
        <w:rPr>
          <w:sz w:val="24"/>
        </w:rPr>
      </w:pPr>
      <w:r>
        <w:rPr>
          <w:spacing w:val="-1"/>
          <w:sz w:val="24"/>
        </w:rPr>
        <w:t>违反国家及政府部门相关法律、法规、文件规定或经评标委员会认定的其他属于重</w:t>
      </w:r>
      <w:r>
        <w:rPr>
          <w:sz w:val="24"/>
        </w:rPr>
        <w:t>大偏离；</w:t>
      </w:r>
    </w:p>
    <w:p w14:paraId="36DB3416">
      <w:pPr>
        <w:pStyle w:val="7"/>
        <w:numPr>
          <w:ilvl w:val="0"/>
          <w:numId w:val="22"/>
        </w:numPr>
        <w:tabs>
          <w:tab w:val="left" w:pos="1141"/>
        </w:tabs>
        <w:spacing w:before="0" w:after="0" w:line="240" w:lineRule="auto"/>
        <w:ind w:left="1141" w:right="0" w:hanging="481"/>
        <w:jc w:val="left"/>
      </w:pPr>
      <w:r>
        <w:t>废标</w:t>
      </w:r>
    </w:p>
    <w:p w14:paraId="320C275D">
      <w:pPr>
        <w:spacing w:after="0" w:line="240" w:lineRule="auto"/>
        <w:jc w:val="left"/>
        <w:sectPr>
          <w:pgSz w:w="11910" w:h="16840"/>
          <w:pgMar w:top="1480" w:right="660" w:bottom="1180" w:left="660" w:header="0" w:footer="909" w:gutter="0"/>
          <w:cols w:space="720" w:num="1"/>
        </w:sectPr>
      </w:pPr>
    </w:p>
    <w:p w14:paraId="57993791">
      <w:pPr>
        <w:pStyle w:val="14"/>
        <w:numPr>
          <w:ilvl w:val="1"/>
          <w:numId w:val="22"/>
        </w:numPr>
        <w:tabs>
          <w:tab w:val="left" w:pos="1260"/>
        </w:tabs>
        <w:spacing w:before="55" w:after="0" w:line="240" w:lineRule="auto"/>
        <w:ind w:left="1260" w:right="0" w:hanging="600"/>
        <w:jc w:val="left"/>
        <w:rPr>
          <w:sz w:val="24"/>
        </w:rPr>
      </w:pPr>
      <w:r>
        <w:rPr>
          <w:sz w:val="24"/>
        </w:rPr>
        <w:t>符合招标文件规定废标情形的；</w:t>
      </w:r>
    </w:p>
    <w:p w14:paraId="598F6D9E">
      <w:pPr>
        <w:pStyle w:val="14"/>
        <w:numPr>
          <w:ilvl w:val="1"/>
          <w:numId w:val="22"/>
        </w:numPr>
        <w:tabs>
          <w:tab w:val="left" w:pos="1260"/>
        </w:tabs>
        <w:spacing w:before="132" w:after="0" w:line="240" w:lineRule="auto"/>
        <w:ind w:left="1260" w:right="0" w:hanging="600"/>
        <w:jc w:val="left"/>
        <w:rPr>
          <w:sz w:val="24"/>
        </w:rPr>
      </w:pPr>
      <w:r>
        <w:rPr>
          <w:sz w:val="24"/>
        </w:rPr>
        <w:t>出现影响采购公正的违法、违规行为的；</w:t>
      </w:r>
    </w:p>
    <w:p w14:paraId="699C3012">
      <w:pPr>
        <w:pStyle w:val="14"/>
        <w:numPr>
          <w:ilvl w:val="1"/>
          <w:numId w:val="22"/>
        </w:numPr>
        <w:tabs>
          <w:tab w:val="left" w:pos="1260"/>
        </w:tabs>
        <w:spacing w:before="132" w:after="0" w:line="240" w:lineRule="auto"/>
        <w:ind w:left="1260" w:right="0" w:hanging="600"/>
        <w:jc w:val="left"/>
        <w:rPr>
          <w:sz w:val="24"/>
        </w:rPr>
      </w:pPr>
      <w:r>
        <w:rPr>
          <w:sz w:val="24"/>
        </w:rPr>
        <w:t>供应商的报价均超过了采购预算（或最高限价），采购人不能支付的;</w:t>
      </w:r>
    </w:p>
    <w:p w14:paraId="515F9085">
      <w:pPr>
        <w:pStyle w:val="14"/>
        <w:numPr>
          <w:ilvl w:val="1"/>
          <w:numId w:val="22"/>
        </w:numPr>
        <w:tabs>
          <w:tab w:val="left" w:pos="1260"/>
        </w:tabs>
        <w:spacing w:before="134" w:after="0" w:line="343" w:lineRule="auto"/>
        <w:ind w:left="660" w:right="5965" w:firstLine="0"/>
        <w:jc w:val="left"/>
        <w:rPr>
          <w:b/>
          <w:sz w:val="24"/>
        </w:rPr>
      </w:pPr>
      <w:r>
        <w:rPr>
          <w:spacing w:val="-2"/>
          <w:sz w:val="24"/>
        </w:rPr>
        <w:t>因重大变故，采购任务取消的。</w:t>
      </w:r>
      <w:r>
        <w:rPr>
          <w:b/>
          <w:sz w:val="24"/>
        </w:rPr>
        <w:t>40．突发情况处理</w:t>
      </w:r>
    </w:p>
    <w:p w14:paraId="31DBF7E5">
      <w:pPr>
        <w:pStyle w:val="14"/>
        <w:numPr>
          <w:ilvl w:val="1"/>
          <w:numId w:val="26"/>
        </w:numPr>
        <w:tabs>
          <w:tab w:val="left" w:pos="1260"/>
        </w:tabs>
        <w:spacing w:before="0" w:after="0" w:line="345" w:lineRule="auto"/>
        <w:ind w:left="420" w:right="565" w:firstLine="240"/>
        <w:jc w:val="left"/>
        <w:rPr>
          <w:sz w:val="24"/>
        </w:rPr>
      </w:pPr>
      <w:r>
        <w:rPr>
          <w:spacing w:val="-9"/>
          <w:sz w:val="24"/>
        </w:rPr>
        <w:t>采购过程中出现以下情形，导致电子交易平台无法正常运行，或者无法保证电子交易</w:t>
      </w:r>
      <w:r>
        <w:rPr>
          <w:sz w:val="24"/>
        </w:rPr>
        <w:t>的公平、公正和安全时，采购组织机构可中止电子交易活动：</w:t>
      </w:r>
    </w:p>
    <w:p w14:paraId="63CF1548">
      <w:pPr>
        <w:pStyle w:val="14"/>
        <w:numPr>
          <w:ilvl w:val="0"/>
          <w:numId w:val="27"/>
        </w:numPr>
        <w:tabs>
          <w:tab w:val="left" w:pos="1261"/>
        </w:tabs>
        <w:spacing w:before="0" w:after="0" w:line="303" w:lineRule="exact"/>
        <w:ind w:left="1261" w:right="0" w:hanging="601"/>
        <w:jc w:val="left"/>
        <w:rPr>
          <w:sz w:val="24"/>
        </w:rPr>
      </w:pPr>
      <w:r>
        <w:rPr>
          <w:sz w:val="24"/>
        </w:rPr>
        <w:t>电子交易平台发生故障而无法登录访问的；</w:t>
      </w:r>
    </w:p>
    <w:p w14:paraId="56A21D5C">
      <w:pPr>
        <w:pStyle w:val="14"/>
        <w:numPr>
          <w:ilvl w:val="0"/>
          <w:numId w:val="27"/>
        </w:numPr>
        <w:tabs>
          <w:tab w:val="left" w:pos="1261"/>
        </w:tabs>
        <w:spacing w:before="131" w:after="0" w:line="240" w:lineRule="auto"/>
        <w:ind w:left="1261" w:right="0" w:hanging="601"/>
        <w:jc w:val="left"/>
        <w:rPr>
          <w:sz w:val="24"/>
        </w:rPr>
      </w:pPr>
      <w:r>
        <w:rPr>
          <w:sz w:val="24"/>
        </w:rPr>
        <w:t>电子交易平台应用或数据库出现错误，不能进行正常操作的；</w:t>
      </w:r>
    </w:p>
    <w:p w14:paraId="10208B03">
      <w:pPr>
        <w:pStyle w:val="14"/>
        <w:numPr>
          <w:ilvl w:val="0"/>
          <w:numId w:val="27"/>
        </w:numPr>
        <w:tabs>
          <w:tab w:val="left" w:pos="1261"/>
        </w:tabs>
        <w:spacing w:before="134" w:after="0" w:line="240" w:lineRule="auto"/>
        <w:ind w:left="1261" w:right="0" w:hanging="601"/>
        <w:jc w:val="left"/>
        <w:rPr>
          <w:sz w:val="24"/>
        </w:rPr>
      </w:pPr>
      <w:r>
        <w:rPr>
          <w:sz w:val="24"/>
        </w:rPr>
        <w:t>电子交易平台发现严重安全漏洞，有潜在泄密危险的；</w:t>
      </w:r>
    </w:p>
    <w:p w14:paraId="704D1DE5">
      <w:pPr>
        <w:pStyle w:val="14"/>
        <w:numPr>
          <w:ilvl w:val="0"/>
          <w:numId w:val="27"/>
        </w:numPr>
        <w:tabs>
          <w:tab w:val="left" w:pos="1261"/>
        </w:tabs>
        <w:spacing w:before="131" w:after="0" w:line="240" w:lineRule="auto"/>
        <w:ind w:left="1261" w:right="0" w:hanging="601"/>
        <w:jc w:val="left"/>
        <w:rPr>
          <w:sz w:val="24"/>
        </w:rPr>
      </w:pPr>
      <w:r>
        <w:rPr>
          <w:sz w:val="24"/>
        </w:rPr>
        <w:t>病毒发作导致不能进行正常操作的；</w:t>
      </w:r>
    </w:p>
    <w:p w14:paraId="1F65D99B">
      <w:pPr>
        <w:pStyle w:val="14"/>
        <w:numPr>
          <w:ilvl w:val="0"/>
          <w:numId w:val="27"/>
        </w:numPr>
        <w:tabs>
          <w:tab w:val="left" w:pos="1261"/>
        </w:tabs>
        <w:spacing w:before="132" w:after="0" w:line="240" w:lineRule="auto"/>
        <w:ind w:left="1261" w:right="0" w:hanging="601"/>
        <w:jc w:val="left"/>
        <w:rPr>
          <w:sz w:val="24"/>
        </w:rPr>
      </w:pPr>
      <w:r>
        <w:rPr>
          <w:sz w:val="24"/>
        </w:rPr>
        <w:t>其他无法保证电子交易的公平、公正和安全的情况。</w:t>
      </w:r>
    </w:p>
    <w:p w14:paraId="6D3FBA87">
      <w:pPr>
        <w:pStyle w:val="8"/>
        <w:spacing w:before="134" w:line="343" w:lineRule="auto"/>
        <w:ind w:left="420" w:right="565" w:firstLine="240"/>
        <w:jc w:val="both"/>
      </w:pPr>
      <w:r>
        <w:t>出现前款规定情形，不影响采购公平、公正性的，采购组织机构可以待上述情形消除后继续组织电子交易活动，也可以决定某些环节以纸质形式进行；影响或可能影响采购公平、公正性的，应当重新采购。</w:t>
      </w:r>
    </w:p>
    <w:p w14:paraId="0F14D6EC">
      <w:pPr>
        <w:pStyle w:val="14"/>
        <w:numPr>
          <w:ilvl w:val="1"/>
          <w:numId w:val="26"/>
        </w:numPr>
        <w:tabs>
          <w:tab w:val="left" w:pos="1260"/>
        </w:tabs>
        <w:spacing w:before="1" w:after="0" w:line="343" w:lineRule="auto"/>
        <w:ind w:left="420" w:right="565" w:firstLine="240"/>
        <w:jc w:val="both"/>
        <w:rPr>
          <w:sz w:val="24"/>
        </w:rPr>
      </w:pPr>
      <w:r>
        <w:rPr>
          <w:spacing w:val="-3"/>
          <w:sz w:val="24"/>
        </w:rPr>
        <w:t>采购代理机构或评审小组因不可抗力（</w:t>
      </w:r>
      <w:r>
        <w:rPr>
          <w:spacing w:val="-7"/>
          <w:sz w:val="24"/>
        </w:rPr>
        <w:t>不可抗力包括但不限于自然灾害、断电、传播</w:t>
      </w:r>
      <w:r>
        <w:rPr>
          <w:sz w:val="24"/>
        </w:rPr>
        <w:t>疫病等）原因造成电子交易活动无法正常运行的，将采取以下措施：</w:t>
      </w:r>
    </w:p>
    <w:p w14:paraId="4F50FB8B">
      <w:pPr>
        <w:pStyle w:val="14"/>
        <w:numPr>
          <w:ilvl w:val="0"/>
          <w:numId w:val="28"/>
        </w:numPr>
        <w:tabs>
          <w:tab w:val="left" w:pos="1261"/>
        </w:tabs>
        <w:spacing w:before="0" w:after="0" w:line="345" w:lineRule="auto"/>
        <w:ind w:left="420" w:right="565" w:firstLine="240"/>
        <w:jc w:val="left"/>
        <w:rPr>
          <w:sz w:val="24"/>
        </w:rPr>
      </w:pPr>
      <w:r>
        <w:rPr>
          <w:spacing w:val="-4"/>
          <w:sz w:val="24"/>
        </w:rPr>
        <w:t>短时间内能消除不可抗力因素的，采购代理机构或评审小组在消除不可抗力因素后</w:t>
      </w:r>
      <w:r>
        <w:rPr>
          <w:spacing w:val="-5"/>
          <w:sz w:val="24"/>
        </w:rPr>
        <w:t>继续组织电子交易活动；</w:t>
      </w:r>
    </w:p>
    <w:p w14:paraId="78ED58D1">
      <w:pPr>
        <w:pStyle w:val="14"/>
        <w:numPr>
          <w:ilvl w:val="0"/>
          <w:numId w:val="28"/>
        </w:numPr>
        <w:tabs>
          <w:tab w:val="left" w:pos="1261"/>
        </w:tabs>
        <w:spacing w:before="0" w:after="0" w:line="343" w:lineRule="auto"/>
        <w:ind w:left="420" w:right="445" w:firstLine="240"/>
        <w:jc w:val="left"/>
        <w:rPr>
          <w:sz w:val="24"/>
        </w:rPr>
      </w:pPr>
      <w:r>
        <w:rPr>
          <w:spacing w:val="-1"/>
          <w:sz w:val="24"/>
        </w:rPr>
        <w:t>长时间内无法消除不可抗力因素的，采购代理机构或评审小组将中止电子交易活动。</w:t>
      </w:r>
      <w:r>
        <w:rPr>
          <w:sz w:val="24"/>
        </w:rPr>
        <w:t>中止电子交易活动的，采购人应当重新组织政府采购活动。</w:t>
      </w:r>
    </w:p>
    <w:p w14:paraId="4CC57B6D">
      <w:pPr>
        <w:pStyle w:val="7"/>
        <w:numPr>
          <w:ilvl w:val="0"/>
          <w:numId w:val="29"/>
        </w:numPr>
        <w:tabs>
          <w:tab w:val="left" w:pos="1325"/>
        </w:tabs>
        <w:spacing w:before="0" w:after="0" w:line="244" w:lineRule="exact"/>
        <w:ind w:left="1324" w:right="0" w:hanging="485"/>
        <w:jc w:val="left"/>
      </w:pPr>
      <w:r>
        <w:t>定标</w:t>
      </w:r>
    </w:p>
    <w:p w14:paraId="6958805D">
      <w:pPr>
        <w:pStyle w:val="14"/>
        <w:numPr>
          <w:ilvl w:val="1"/>
          <w:numId w:val="29"/>
        </w:numPr>
        <w:tabs>
          <w:tab w:val="left" w:pos="1320"/>
        </w:tabs>
        <w:spacing w:before="112" w:after="0" w:line="240" w:lineRule="auto"/>
        <w:ind w:left="1320" w:right="0" w:hanging="540"/>
        <w:jc w:val="left"/>
        <w:rPr>
          <w:sz w:val="24"/>
        </w:rPr>
      </w:pPr>
      <w:r>
        <w:rPr>
          <w:sz w:val="24"/>
        </w:rPr>
        <w:t>采购结果确认（确定中标供应商）</w:t>
      </w:r>
    </w:p>
    <w:p w14:paraId="39826F42">
      <w:pPr>
        <w:pStyle w:val="8"/>
        <w:spacing w:before="131" w:line="343" w:lineRule="auto"/>
        <w:ind w:left="420" w:right="445" w:firstLine="240"/>
      </w:pPr>
      <w:r>
        <w:rPr>
          <w:spacing w:val="-4"/>
        </w:rPr>
        <w:t>采购结果确认</w:t>
      </w:r>
      <w:r>
        <w:t>（确定中标供应商</w:t>
      </w:r>
      <w:r>
        <w:rPr>
          <w:spacing w:val="-24"/>
        </w:rPr>
        <w:t>）：</w:t>
      </w:r>
      <w:r>
        <w:rPr>
          <w:spacing w:val="-4"/>
        </w:rPr>
        <w:t xml:space="preserve">本项目由采购人根据评标委员会提交的《评审报告》， </w:t>
      </w:r>
      <w:r>
        <w:t>通过“政府采购云平台”依法确认采购结果、确定中标供应商。具体流程如下：</w:t>
      </w:r>
    </w:p>
    <w:p w14:paraId="53C927C5">
      <w:pPr>
        <w:pStyle w:val="14"/>
        <w:numPr>
          <w:ilvl w:val="0"/>
          <w:numId w:val="30"/>
        </w:numPr>
        <w:tabs>
          <w:tab w:val="left" w:pos="1261"/>
        </w:tabs>
        <w:spacing w:before="2" w:after="0" w:line="240" w:lineRule="auto"/>
        <w:ind w:left="1261" w:right="0" w:hanging="601"/>
        <w:jc w:val="left"/>
        <w:rPr>
          <w:sz w:val="24"/>
        </w:rPr>
      </w:pPr>
      <w:r>
        <w:rPr>
          <w:spacing w:val="-5"/>
          <w:sz w:val="24"/>
        </w:rPr>
        <w:t xml:space="preserve">采购代理机构将在评审结束后 </w:t>
      </w:r>
      <w:r>
        <w:rPr>
          <w:sz w:val="24"/>
        </w:rPr>
        <w:t>2</w:t>
      </w:r>
      <w:r>
        <w:rPr>
          <w:spacing w:val="-8"/>
          <w:sz w:val="24"/>
        </w:rPr>
        <w:t xml:space="preserve"> 个工作日内将评审报告送采购人。</w:t>
      </w:r>
    </w:p>
    <w:p w14:paraId="10E26BBF">
      <w:pPr>
        <w:pStyle w:val="14"/>
        <w:numPr>
          <w:ilvl w:val="0"/>
          <w:numId w:val="30"/>
        </w:numPr>
        <w:tabs>
          <w:tab w:val="left" w:pos="1261"/>
        </w:tabs>
        <w:spacing w:before="131" w:after="0" w:line="343" w:lineRule="auto"/>
        <w:ind w:left="420" w:right="565" w:firstLine="240"/>
        <w:jc w:val="left"/>
        <w:rPr>
          <w:sz w:val="24"/>
        </w:rPr>
      </w:pPr>
      <w:r>
        <w:rPr>
          <w:spacing w:val="-4"/>
          <w:sz w:val="24"/>
        </w:rPr>
        <w:t xml:space="preserve">采购人将在收到评审报告之日起 </w:t>
      </w:r>
      <w:r>
        <w:rPr>
          <w:sz w:val="24"/>
        </w:rPr>
        <w:t>5</w:t>
      </w:r>
      <w:r>
        <w:rPr>
          <w:spacing w:val="-12"/>
          <w:sz w:val="24"/>
        </w:rPr>
        <w:t xml:space="preserve"> 个工作日内，在评审报告推荐的中标候选供应商</w:t>
      </w:r>
      <w:r>
        <w:rPr>
          <w:spacing w:val="-5"/>
          <w:sz w:val="24"/>
        </w:rPr>
        <w:t>名单中按顺序确定中标供应商，并将确认意见以书面形式回复采购代理机构。</w:t>
      </w:r>
    </w:p>
    <w:p w14:paraId="67934FD6">
      <w:pPr>
        <w:pStyle w:val="14"/>
        <w:numPr>
          <w:ilvl w:val="1"/>
          <w:numId w:val="29"/>
        </w:numPr>
        <w:tabs>
          <w:tab w:val="left" w:pos="1200"/>
        </w:tabs>
        <w:spacing w:before="2" w:after="0" w:line="343" w:lineRule="auto"/>
        <w:ind w:left="420" w:right="565" w:firstLine="240"/>
        <w:jc w:val="left"/>
        <w:rPr>
          <w:sz w:val="24"/>
        </w:rPr>
      </w:pPr>
      <w:r>
        <w:rPr>
          <w:spacing w:val="-5"/>
          <w:sz w:val="24"/>
        </w:rPr>
        <w:t xml:space="preserve">采购结果经采购人确认后 </w:t>
      </w:r>
      <w:r>
        <w:rPr>
          <w:sz w:val="24"/>
        </w:rPr>
        <w:t>2</w:t>
      </w:r>
      <w:r>
        <w:rPr>
          <w:spacing w:val="-13"/>
          <w:sz w:val="24"/>
        </w:rPr>
        <w:t xml:space="preserve"> 个工作日内，采购代理机构将在新疆政府采购网公告采购</w:t>
      </w:r>
      <w:r>
        <w:rPr>
          <w:spacing w:val="-6"/>
          <w:sz w:val="24"/>
        </w:rPr>
        <w:t xml:space="preserve">结果，中标公告期限为 </w:t>
      </w:r>
      <w:r>
        <w:rPr>
          <w:sz w:val="24"/>
        </w:rPr>
        <w:t>1</w:t>
      </w:r>
      <w:r>
        <w:rPr>
          <w:spacing w:val="-10"/>
          <w:sz w:val="24"/>
        </w:rPr>
        <w:t xml:space="preserve"> 个工作日。</w:t>
      </w:r>
    </w:p>
    <w:p w14:paraId="6E53C9E9">
      <w:pPr>
        <w:pStyle w:val="7"/>
        <w:numPr>
          <w:ilvl w:val="0"/>
          <w:numId w:val="29"/>
        </w:numPr>
        <w:tabs>
          <w:tab w:val="left" w:pos="1143"/>
        </w:tabs>
        <w:spacing w:before="0" w:after="0" w:line="306" w:lineRule="exact"/>
        <w:ind w:left="1142" w:right="0" w:hanging="483"/>
        <w:jc w:val="left"/>
      </w:pPr>
      <w:r>
        <w:t>中标通知书</w:t>
      </w:r>
    </w:p>
    <w:p w14:paraId="5720F38C">
      <w:pPr>
        <w:spacing w:after="0" w:line="306" w:lineRule="exact"/>
        <w:jc w:val="left"/>
        <w:sectPr>
          <w:pgSz w:w="11910" w:h="16840"/>
          <w:pgMar w:top="1480" w:right="660" w:bottom="1180" w:left="660" w:header="0" w:footer="909" w:gutter="0"/>
          <w:cols w:space="720" w:num="1"/>
        </w:sectPr>
      </w:pPr>
    </w:p>
    <w:p w14:paraId="3154FCFC">
      <w:pPr>
        <w:pStyle w:val="14"/>
        <w:numPr>
          <w:ilvl w:val="1"/>
          <w:numId w:val="29"/>
        </w:numPr>
        <w:tabs>
          <w:tab w:val="left" w:pos="1200"/>
        </w:tabs>
        <w:spacing w:before="55" w:after="0" w:line="343" w:lineRule="auto"/>
        <w:ind w:left="420" w:right="565" w:firstLine="240"/>
        <w:jc w:val="both"/>
        <w:rPr>
          <w:sz w:val="24"/>
        </w:rPr>
      </w:pPr>
      <w:r>
        <w:rPr>
          <w:spacing w:val="-6"/>
          <w:sz w:val="24"/>
        </w:rPr>
        <w:t>在中标通知书发出前，招标人将中标侯选人的情况在新疆政府采购网予以公示，公示</w:t>
      </w:r>
      <w:r>
        <w:rPr>
          <w:sz w:val="24"/>
        </w:rPr>
        <w:t>期为三个工作日。待公示期结束后，采购组织机构向中标人发出中标通知书。</w:t>
      </w:r>
    </w:p>
    <w:p w14:paraId="55A4B4BC">
      <w:pPr>
        <w:pStyle w:val="14"/>
        <w:numPr>
          <w:ilvl w:val="1"/>
          <w:numId w:val="29"/>
        </w:numPr>
        <w:tabs>
          <w:tab w:val="left" w:pos="1200"/>
        </w:tabs>
        <w:spacing w:before="0" w:after="0" w:line="343" w:lineRule="auto"/>
        <w:ind w:left="420" w:right="565" w:firstLine="240"/>
        <w:jc w:val="both"/>
        <w:rPr>
          <w:sz w:val="24"/>
        </w:rPr>
      </w:pPr>
      <w:r>
        <w:rPr>
          <w:spacing w:val="-4"/>
          <w:sz w:val="24"/>
        </w:rPr>
        <w:t>中标通知书作为签订合同的重要依据，对采购人和中标供应商均具有法律效力。采购</w:t>
      </w:r>
      <w:r>
        <w:rPr>
          <w:spacing w:val="-1"/>
          <w:sz w:val="24"/>
        </w:rPr>
        <w:t>人改变中标结果或者中标供应商放弃中标项目的都应承担法律责任。中标供应商不得向他人</w:t>
      </w:r>
      <w:r>
        <w:rPr>
          <w:sz w:val="24"/>
        </w:rPr>
        <w:t>转让中标项目，也不得将中标项目肢解后分别向他人转让。</w:t>
      </w:r>
    </w:p>
    <w:p w14:paraId="485D747A">
      <w:pPr>
        <w:pStyle w:val="8"/>
        <w:rPr>
          <w:sz w:val="20"/>
        </w:rPr>
      </w:pPr>
    </w:p>
    <w:p w14:paraId="02054AC7">
      <w:pPr>
        <w:pStyle w:val="8"/>
        <w:spacing w:before="9"/>
        <w:rPr>
          <w:sz w:val="18"/>
        </w:rPr>
      </w:pPr>
    </w:p>
    <w:p w14:paraId="4E7DEBA6">
      <w:pPr>
        <w:spacing w:after="0"/>
        <w:rPr>
          <w:sz w:val="18"/>
        </w:rPr>
        <w:sectPr>
          <w:pgSz w:w="11910" w:h="16840"/>
          <w:pgMar w:top="1480" w:right="660" w:bottom="1180" w:left="660" w:header="0" w:footer="909" w:gutter="0"/>
          <w:cols w:space="720" w:num="1"/>
        </w:sectPr>
      </w:pPr>
    </w:p>
    <w:p w14:paraId="3C58B12E">
      <w:pPr>
        <w:pStyle w:val="8"/>
      </w:pPr>
    </w:p>
    <w:p w14:paraId="01436E83">
      <w:pPr>
        <w:pStyle w:val="8"/>
        <w:spacing w:before="3"/>
        <w:rPr>
          <w:sz w:val="18"/>
        </w:rPr>
      </w:pPr>
    </w:p>
    <w:p w14:paraId="2944778F">
      <w:pPr>
        <w:pStyle w:val="7"/>
        <w:numPr>
          <w:ilvl w:val="0"/>
          <w:numId w:val="29"/>
        </w:numPr>
        <w:tabs>
          <w:tab w:val="left" w:pos="1141"/>
        </w:tabs>
        <w:spacing w:before="0" w:after="0" w:line="240" w:lineRule="auto"/>
        <w:ind w:left="1141" w:right="0" w:hanging="481"/>
        <w:jc w:val="left"/>
      </w:pPr>
      <w:r>
        <w:t>履约保证金</w:t>
      </w:r>
    </w:p>
    <w:p w14:paraId="00EE61D1">
      <w:pPr>
        <w:pStyle w:val="5"/>
        <w:spacing w:before="62"/>
        <w:ind w:left="660"/>
      </w:pPr>
      <w:r>
        <w:rPr>
          <w:b w:val="0"/>
        </w:rPr>
        <w:br w:type="column"/>
      </w:r>
      <w:bookmarkStart w:id="11" w:name="（六）合同的授予"/>
      <w:bookmarkEnd w:id="11"/>
      <w:r>
        <w:t>（六）合同的授予</w:t>
      </w:r>
    </w:p>
    <w:p w14:paraId="3F225318">
      <w:pPr>
        <w:spacing w:after="0"/>
        <w:sectPr>
          <w:type w:val="continuous"/>
          <w:pgSz w:w="11910" w:h="16840"/>
          <w:pgMar w:top="1580" w:right="660" w:bottom="280" w:left="660" w:header="720" w:footer="720" w:gutter="0"/>
          <w:cols w:equalWidth="0" w:num="2">
            <w:col w:w="2385" w:space="1052"/>
            <w:col w:w="7153"/>
          </w:cols>
        </w:sectPr>
      </w:pPr>
    </w:p>
    <w:p w14:paraId="638E20FB">
      <w:pPr>
        <w:pStyle w:val="14"/>
        <w:numPr>
          <w:ilvl w:val="1"/>
          <w:numId w:val="29"/>
        </w:numPr>
        <w:tabs>
          <w:tab w:val="left" w:pos="1260"/>
        </w:tabs>
        <w:spacing w:before="132" w:after="0" w:line="343" w:lineRule="auto"/>
        <w:ind w:left="420" w:right="565" w:firstLine="240"/>
        <w:jc w:val="both"/>
        <w:rPr>
          <w:sz w:val="24"/>
        </w:rPr>
      </w:pPr>
      <w:r>
        <w:rPr>
          <w:sz w:val="24"/>
        </w:rPr>
        <w:t>中标供应商在签订合同后十个工作日内向采购人交纳不超过中标价</w:t>
      </w:r>
      <w:r>
        <w:rPr>
          <w:sz w:val="24"/>
          <w:u w:val="single"/>
        </w:rPr>
        <w:t xml:space="preserve"> / </w:t>
      </w:r>
      <w:r>
        <w:rPr>
          <w:spacing w:val="-4"/>
          <w:sz w:val="24"/>
        </w:rPr>
        <w:t xml:space="preserve"> 的履约保证</w:t>
      </w:r>
      <w:r>
        <w:rPr>
          <w:sz w:val="24"/>
        </w:rPr>
        <w:t>金（</w:t>
      </w:r>
      <w:r>
        <w:rPr>
          <w:spacing w:val="-1"/>
          <w:sz w:val="24"/>
        </w:rPr>
        <w:t>鼓励以银行、保险公司出具的履约保函形式提交；若以电汇、银行转账方式提交的，必</w:t>
      </w:r>
      <w:r>
        <w:rPr>
          <w:sz w:val="24"/>
        </w:rPr>
        <w:t>须转到采购人的指定账户）。</w:t>
      </w:r>
    </w:p>
    <w:p w14:paraId="34C1736E">
      <w:pPr>
        <w:pStyle w:val="14"/>
        <w:numPr>
          <w:ilvl w:val="1"/>
          <w:numId w:val="29"/>
        </w:numPr>
        <w:tabs>
          <w:tab w:val="left" w:pos="1260"/>
        </w:tabs>
        <w:spacing w:before="1" w:after="0" w:line="345" w:lineRule="auto"/>
        <w:ind w:left="420" w:right="565" w:firstLine="240"/>
        <w:jc w:val="both"/>
        <w:rPr>
          <w:sz w:val="24"/>
        </w:rPr>
      </w:pPr>
      <w:r>
        <w:rPr>
          <w:spacing w:val="-11"/>
          <w:sz w:val="24"/>
        </w:rPr>
        <w:t>签订合同后，如中标供应商不按合同约定履约的，履约保证金不予退还，履约保证金</w:t>
      </w:r>
      <w:r>
        <w:rPr>
          <w:sz w:val="24"/>
        </w:rPr>
        <w:t>不足以赔偿损失的，按实际损失赔偿。</w:t>
      </w:r>
    </w:p>
    <w:p w14:paraId="1529475E">
      <w:pPr>
        <w:pStyle w:val="14"/>
        <w:numPr>
          <w:ilvl w:val="1"/>
          <w:numId w:val="29"/>
        </w:numPr>
        <w:tabs>
          <w:tab w:val="left" w:pos="1260"/>
        </w:tabs>
        <w:spacing w:before="0" w:after="0" w:line="343" w:lineRule="auto"/>
        <w:ind w:left="420" w:right="565" w:firstLine="240"/>
        <w:jc w:val="both"/>
        <w:rPr>
          <w:sz w:val="24"/>
        </w:rPr>
      </w:pPr>
      <w:r>
        <w:rPr>
          <w:spacing w:val="-5"/>
          <w:sz w:val="24"/>
        </w:rPr>
        <w:t>如果中标供应商在建设期内没有涉及采购人的应付而未付金额或违约行为，采购人在</w:t>
      </w:r>
      <w:r>
        <w:rPr>
          <w:sz w:val="24"/>
        </w:rPr>
        <w:t>项目验收合格后或提前终止合同后全额无息退还履约保证金。</w:t>
      </w:r>
    </w:p>
    <w:p w14:paraId="52D0EAEF">
      <w:pPr>
        <w:pStyle w:val="7"/>
        <w:numPr>
          <w:ilvl w:val="0"/>
          <w:numId w:val="29"/>
        </w:numPr>
        <w:tabs>
          <w:tab w:val="left" w:pos="1141"/>
        </w:tabs>
        <w:spacing w:before="0" w:after="0" w:line="240" w:lineRule="auto"/>
        <w:ind w:left="1141" w:right="0" w:hanging="481"/>
        <w:jc w:val="left"/>
      </w:pPr>
      <w:r>
        <w:t>签订合同及公告</w:t>
      </w:r>
    </w:p>
    <w:p w14:paraId="0F4144DE">
      <w:pPr>
        <w:pStyle w:val="14"/>
        <w:numPr>
          <w:ilvl w:val="1"/>
          <w:numId w:val="29"/>
        </w:numPr>
        <w:tabs>
          <w:tab w:val="left" w:pos="1200"/>
        </w:tabs>
        <w:spacing w:before="128" w:after="0" w:line="240" w:lineRule="auto"/>
        <w:ind w:left="1200" w:right="0" w:hanging="540"/>
        <w:jc w:val="left"/>
        <w:rPr>
          <w:sz w:val="24"/>
        </w:rPr>
      </w:pPr>
      <w:r>
        <w:rPr>
          <w:spacing w:val="-4"/>
          <w:sz w:val="24"/>
        </w:rPr>
        <w:t xml:space="preserve">采购人在中标通知书发出之日起 </w:t>
      </w:r>
      <w:r>
        <w:rPr>
          <w:sz w:val="24"/>
        </w:rPr>
        <w:t>30</w:t>
      </w:r>
      <w:r>
        <w:rPr>
          <w:spacing w:val="-8"/>
          <w:sz w:val="24"/>
        </w:rPr>
        <w:t xml:space="preserve"> 日内与中标供应商签订合同。</w:t>
      </w:r>
    </w:p>
    <w:p w14:paraId="1F06D159">
      <w:pPr>
        <w:pStyle w:val="14"/>
        <w:numPr>
          <w:ilvl w:val="1"/>
          <w:numId w:val="29"/>
        </w:numPr>
        <w:tabs>
          <w:tab w:val="left" w:pos="1200"/>
        </w:tabs>
        <w:spacing w:before="132" w:after="0" w:line="240" w:lineRule="auto"/>
        <w:ind w:left="1200" w:right="0" w:hanging="540"/>
        <w:jc w:val="left"/>
        <w:rPr>
          <w:sz w:val="24"/>
        </w:rPr>
      </w:pPr>
      <w:r>
        <w:rPr>
          <w:sz w:val="24"/>
        </w:rPr>
        <w:t>中标供应商拖延、拒签合同的,取消中标资格。</w:t>
      </w:r>
    </w:p>
    <w:p w14:paraId="50C85608">
      <w:pPr>
        <w:pStyle w:val="14"/>
        <w:numPr>
          <w:ilvl w:val="1"/>
          <w:numId w:val="29"/>
        </w:numPr>
        <w:tabs>
          <w:tab w:val="left" w:pos="1260"/>
        </w:tabs>
        <w:spacing w:before="134" w:after="0" w:line="343" w:lineRule="auto"/>
        <w:ind w:left="420" w:right="565" w:firstLine="240"/>
        <w:jc w:val="left"/>
        <w:rPr>
          <w:sz w:val="24"/>
        </w:rPr>
      </w:pPr>
      <w:r>
        <w:rPr>
          <w:spacing w:val="-13"/>
          <w:sz w:val="24"/>
        </w:rPr>
        <w:t>采购文件、中标供应商的投标文件及评标过程中有关澄清文件等均作为签订合同的依</w:t>
      </w:r>
      <w:r>
        <w:rPr>
          <w:sz w:val="24"/>
        </w:rPr>
        <w:t>据。所签订的合同不得对采购文件和中标供应商的投标文件的内容作实质性修改。</w:t>
      </w:r>
    </w:p>
    <w:p w14:paraId="479172BF">
      <w:pPr>
        <w:pStyle w:val="14"/>
        <w:numPr>
          <w:ilvl w:val="1"/>
          <w:numId w:val="29"/>
        </w:numPr>
        <w:tabs>
          <w:tab w:val="left" w:pos="1200"/>
        </w:tabs>
        <w:spacing w:before="0" w:after="0" w:line="345" w:lineRule="auto"/>
        <w:ind w:left="420" w:right="565" w:firstLine="240"/>
        <w:jc w:val="left"/>
        <w:rPr>
          <w:sz w:val="24"/>
        </w:rPr>
      </w:pPr>
      <w:r>
        <w:rPr>
          <w:spacing w:val="-4"/>
          <w:sz w:val="24"/>
        </w:rPr>
        <w:t xml:space="preserve">采购人应当自政府采购合同签订之日起 </w:t>
      </w:r>
      <w:r>
        <w:rPr>
          <w:sz w:val="24"/>
        </w:rPr>
        <w:t>2</w:t>
      </w:r>
      <w:r>
        <w:rPr>
          <w:spacing w:val="-13"/>
          <w:sz w:val="24"/>
        </w:rPr>
        <w:t xml:space="preserve"> 个工作日内，在省级以上财政部门指定的政</w:t>
      </w:r>
      <w:r>
        <w:rPr>
          <w:sz w:val="24"/>
        </w:rPr>
        <w:t>府采购信息发布媒体及相关网站上公告。</w:t>
      </w:r>
    </w:p>
    <w:p w14:paraId="1C9EDD77">
      <w:pPr>
        <w:pStyle w:val="14"/>
        <w:numPr>
          <w:ilvl w:val="1"/>
          <w:numId w:val="29"/>
        </w:numPr>
        <w:tabs>
          <w:tab w:val="left" w:pos="1200"/>
        </w:tabs>
        <w:spacing w:before="0" w:after="0" w:line="343" w:lineRule="auto"/>
        <w:ind w:left="420" w:right="565" w:firstLine="240"/>
        <w:jc w:val="left"/>
        <w:rPr>
          <w:sz w:val="24"/>
        </w:rPr>
      </w:pPr>
      <w:r>
        <w:rPr>
          <w:spacing w:val="-4"/>
          <w:sz w:val="24"/>
        </w:rPr>
        <w:t xml:space="preserve">采购人应当自政府采购合同签订之日起 </w:t>
      </w:r>
      <w:r>
        <w:rPr>
          <w:sz w:val="24"/>
        </w:rPr>
        <w:t>7</w:t>
      </w:r>
      <w:r>
        <w:rPr>
          <w:spacing w:val="-13"/>
          <w:sz w:val="24"/>
        </w:rPr>
        <w:t xml:space="preserve"> 个工作日内，将政府采购合同副本报同级人</w:t>
      </w:r>
      <w:r>
        <w:rPr>
          <w:sz w:val="24"/>
        </w:rPr>
        <w:t>民政府财政部门备案以及采购代理机构存档。</w:t>
      </w:r>
    </w:p>
    <w:p w14:paraId="2FD611F7">
      <w:pPr>
        <w:spacing w:after="0" w:line="343" w:lineRule="auto"/>
        <w:jc w:val="left"/>
        <w:rPr>
          <w:sz w:val="24"/>
        </w:rPr>
        <w:sectPr>
          <w:type w:val="continuous"/>
          <w:pgSz w:w="11910" w:h="16840"/>
          <w:pgMar w:top="1580" w:right="660" w:bottom="280" w:left="660" w:header="720" w:footer="720" w:gutter="0"/>
          <w:cols w:space="720" w:num="1"/>
        </w:sectPr>
      </w:pPr>
    </w:p>
    <w:p w14:paraId="6546D8F0">
      <w:pPr>
        <w:pStyle w:val="8"/>
      </w:pPr>
    </w:p>
    <w:p w14:paraId="2E701619">
      <w:pPr>
        <w:pStyle w:val="7"/>
        <w:numPr>
          <w:ilvl w:val="0"/>
          <w:numId w:val="29"/>
        </w:numPr>
        <w:tabs>
          <w:tab w:val="left" w:pos="1256"/>
        </w:tabs>
        <w:spacing w:before="207" w:after="0" w:line="240" w:lineRule="auto"/>
        <w:ind w:left="1255" w:right="0" w:hanging="484"/>
        <w:jc w:val="left"/>
      </w:pPr>
      <w:r>
        <w:rPr>
          <w:spacing w:val="-2"/>
        </w:rPr>
        <w:t>对招标人的纪律要求</w:t>
      </w:r>
    </w:p>
    <w:p w14:paraId="6B845AD4">
      <w:pPr>
        <w:pStyle w:val="5"/>
        <w:spacing w:before="35"/>
        <w:ind w:left="706"/>
      </w:pPr>
      <w:r>
        <w:rPr>
          <w:b w:val="0"/>
        </w:rPr>
        <w:br w:type="column"/>
      </w:r>
      <w:bookmarkStart w:id="12" w:name="（七）纪律和监督"/>
      <w:bookmarkEnd w:id="12"/>
      <w:r>
        <w:t>（七）纪律和监督</w:t>
      </w:r>
    </w:p>
    <w:p w14:paraId="7C57B3F4">
      <w:pPr>
        <w:spacing w:after="0"/>
        <w:sectPr>
          <w:pgSz w:w="11910" w:h="16840"/>
          <w:pgMar w:top="1460" w:right="660" w:bottom="1180" w:left="660" w:header="0" w:footer="909" w:gutter="0"/>
          <w:cols w:equalWidth="0" w:num="2">
            <w:col w:w="3423" w:space="40"/>
            <w:col w:w="7127"/>
          </w:cols>
        </w:sectPr>
      </w:pPr>
    </w:p>
    <w:p w14:paraId="349179E4">
      <w:pPr>
        <w:pStyle w:val="14"/>
        <w:numPr>
          <w:ilvl w:val="1"/>
          <w:numId w:val="29"/>
        </w:numPr>
        <w:tabs>
          <w:tab w:val="left" w:pos="1320"/>
        </w:tabs>
        <w:spacing w:before="132" w:after="0" w:line="345" w:lineRule="auto"/>
        <w:ind w:left="420" w:right="417" w:firstLine="360"/>
        <w:jc w:val="both"/>
        <w:rPr>
          <w:sz w:val="24"/>
        </w:rPr>
      </w:pPr>
      <w:r>
        <w:rPr>
          <w:spacing w:val="-3"/>
          <w:sz w:val="24"/>
        </w:rPr>
        <w:t>招标人不得泄漏招标投标活动中应当保密的情况和资料，不得与投标人串通损害国家</w:t>
      </w:r>
      <w:r>
        <w:rPr>
          <w:sz w:val="24"/>
        </w:rPr>
        <w:t>利益，社会公共利益或者他人合法权益。</w:t>
      </w:r>
    </w:p>
    <w:p w14:paraId="54FD4D0A">
      <w:pPr>
        <w:pStyle w:val="7"/>
        <w:numPr>
          <w:ilvl w:val="0"/>
          <w:numId w:val="29"/>
        </w:numPr>
        <w:tabs>
          <w:tab w:val="left" w:pos="1256"/>
        </w:tabs>
        <w:spacing w:before="0" w:after="0" w:line="303" w:lineRule="exact"/>
        <w:ind w:left="1255" w:right="0" w:hanging="484"/>
        <w:jc w:val="both"/>
      </w:pPr>
      <w:r>
        <w:t>对投标人的纪律要求</w:t>
      </w:r>
    </w:p>
    <w:p w14:paraId="277754FD">
      <w:pPr>
        <w:pStyle w:val="14"/>
        <w:numPr>
          <w:ilvl w:val="1"/>
          <w:numId w:val="29"/>
        </w:numPr>
        <w:tabs>
          <w:tab w:val="left" w:pos="1320"/>
        </w:tabs>
        <w:spacing w:before="132" w:after="0" w:line="343" w:lineRule="auto"/>
        <w:ind w:left="420" w:right="417" w:firstLine="360"/>
        <w:jc w:val="both"/>
        <w:rPr>
          <w:sz w:val="24"/>
        </w:rPr>
      </w:pPr>
      <w:r>
        <w:rPr>
          <w:spacing w:val="-3"/>
          <w:sz w:val="24"/>
        </w:rPr>
        <w:t>投标人不得相互串通投标或者与招标人串通投标，不得向招标人或者评标委员会成员</w:t>
      </w:r>
      <w:r>
        <w:rPr>
          <w:spacing w:val="-10"/>
          <w:sz w:val="24"/>
        </w:rPr>
        <w:t>行贿谋取中标，不得以他人名义投标或者以其他方式弄虚作假骗取中标；投标人不得以任何方</w:t>
      </w:r>
      <w:r>
        <w:rPr>
          <w:sz w:val="24"/>
        </w:rPr>
        <w:t>式干扰、影响评标工作。</w:t>
      </w:r>
    </w:p>
    <w:p w14:paraId="55C31A21">
      <w:pPr>
        <w:pStyle w:val="7"/>
        <w:numPr>
          <w:ilvl w:val="0"/>
          <w:numId w:val="29"/>
        </w:numPr>
        <w:tabs>
          <w:tab w:val="left" w:pos="1256"/>
        </w:tabs>
        <w:spacing w:before="0" w:after="0" w:line="240" w:lineRule="auto"/>
        <w:ind w:left="1255" w:right="0" w:hanging="484"/>
        <w:jc w:val="both"/>
      </w:pPr>
      <w:r>
        <w:t>对评标委员会成员的纪律要求</w:t>
      </w:r>
    </w:p>
    <w:p w14:paraId="061E8C9F">
      <w:pPr>
        <w:pStyle w:val="14"/>
        <w:numPr>
          <w:ilvl w:val="1"/>
          <w:numId w:val="29"/>
        </w:numPr>
        <w:tabs>
          <w:tab w:val="left" w:pos="1320"/>
        </w:tabs>
        <w:spacing w:before="135" w:after="0" w:line="343" w:lineRule="auto"/>
        <w:ind w:left="420" w:right="417" w:firstLine="360"/>
        <w:jc w:val="both"/>
        <w:rPr>
          <w:sz w:val="24"/>
        </w:rPr>
      </w:pPr>
      <w:r>
        <w:rPr>
          <w:spacing w:val="-3"/>
          <w:sz w:val="24"/>
        </w:rPr>
        <w:t>评标委员会成员不得收受他人的财物或者其他好处，不得向他人透漏对投标文件的评</w:t>
      </w:r>
      <w:r>
        <w:rPr>
          <w:sz w:val="24"/>
        </w:rPr>
        <w:t>审和比较、中标候选人的推荐情况以及评标有关的其他情况。</w:t>
      </w:r>
    </w:p>
    <w:p w14:paraId="143DCA6D">
      <w:pPr>
        <w:pStyle w:val="14"/>
        <w:numPr>
          <w:ilvl w:val="1"/>
          <w:numId w:val="29"/>
        </w:numPr>
        <w:tabs>
          <w:tab w:val="left" w:pos="1320"/>
        </w:tabs>
        <w:spacing w:before="0" w:after="0" w:line="345" w:lineRule="auto"/>
        <w:ind w:left="420" w:right="417" w:firstLine="360"/>
        <w:jc w:val="both"/>
        <w:rPr>
          <w:sz w:val="24"/>
        </w:rPr>
      </w:pPr>
      <w:r>
        <w:rPr>
          <w:spacing w:val="-5"/>
          <w:sz w:val="24"/>
        </w:rPr>
        <w:t>在评标活动中，评标委员会成员不得擅离职守，影响评标程序正常进行，不得使用第</w:t>
      </w:r>
      <w:r>
        <w:rPr>
          <w:sz w:val="24"/>
        </w:rPr>
        <w:t>三章“评标办法”没有规定的评审因素和标准进行评标。</w:t>
      </w:r>
    </w:p>
    <w:p w14:paraId="26FB04F7">
      <w:pPr>
        <w:pStyle w:val="7"/>
        <w:numPr>
          <w:ilvl w:val="0"/>
          <w:numId w:val="29"/>
        </w:numPr>
        <w:tabs>
          <w:tab w:val="left" w:pos="1256"/>
        </w:tabs>
        <w:spacing w:before="0" w:after="0" w:line="303" w:lineRule="exact"/>
        <w:ind w:left="1255" w:right="0" w:hanging="484"/>
        <w:jc w:val="both"/>
      </w:pPr>
      <w:r>
        <w:t>对与评标活动有关的工作人员的纪律要求</w:t>
      </w:r>
    </w:p>
    <w:p w14:paraId="22F5CFC2">
      <w:pPr>
        <w:pStyle w:val="14"/>
        <w:numPr>
          <w:ilvl w:val="1"/>
          <w:numId w:val="29"/>
        </w:numPr>
        <w:tabs>
          <w:tab w:val="left" w:pos="1320"/>
        </w:tabs>
        <w:spacing w:before="130" w:after="0" w:line="343" w:lineRule="auto"/>
        <w:ind w:left="420" w:right="417" w:firstLine="360"/>
        <w:jc w:val="both"/>
        <w:rPr>
          <w:sz w:val="24"/>
        </w:rPr>
      </w:pPr>
      <w:r>
        <w:rPr>
          <w:spacing w:val="-3"/>
          <w:sz w:val="24"/>
        </w:rPr>
        <w:t>与评标活动有关的工作人员不得收受他人的财物或者其他好处，不得向他人透漏对投</w:t>
      </w:r>
      <w:r>
        <w:rPr>
          <w:spacing w:val="-7"/>
          <w:sz w:val="24"/>
        </w:rPr>
        <w:t>标文件的评审和比较、中标候选人的推荐情况以及评标有关的其他情况。在评标活动中，与评</w:t>
      </w:r>
      <w:r>
        <w:rPr>
          <w:sz w:val="24"/>
        </w:rPr>
        <w:t>标活动有关的工作人员不得擅离职守，影响评标程序正常进行。</w:t>
      </w:r>
    </w:p>
    <w:p w14:paraId="46DB1DF0">
      <w:pPr>
        <w:pStyle w:val="8"/>
      </w:pPr>
    </w:p>
    <w:p w14:paraId="3C7EEB56">
      <w:pPr>
        <w:pStyle w:val="8"/>
        <w:spacing w:before="8"/>
        <w:rPr>
          <w:sz w:val="21"/>
        </w:rPr>
      </w:pPr>
    </w:p>
    <w:p w14:paraId="3CD1F76E">
      <w:pPr>
        <w:pStyle w:val="5"/>
        <w:ind w:right="1518"/>
        <w:jc w:val="center"/>
      </w:pPr>
      <w:bookmarkStart w:id="13" w:name="（八）质疑与投诉"/>
      <w:bookmarkEnd w:id="13"/>
      <w:r>
        <w:t>（八）质疑与投诉</w:t>
      </w:r>
    </w:p>
    <w:p w14:paraId="69D5B0B7">
      <w:pPr>
        <w:pStyle w:val="8"/>
        <w:spacing w:before="12"/>
        <w:rPr>
          <w:b/>
          <w:sz w:val="33"/>
        </w:rPr>
      </w:pPr>
    </w:p>
    <w:p w14:paraId="4521A4CF">
      <w:pPr>
        <w:pStyle w:val="7"/>
        <w:numPr>
          <w:ilvl w:val="0"/>
          <w:numId w:val="29"/>
        </w:numPr>
        <w:tabs>
          <w:tab w:val="left" w:pos="1141"/>
        </w:tabs>
        <w:spacing w:before="0" w:after="0" w:line="240" w:lineRule="auto"/>
        <w:ind w:left="1141" w:right="0" w:hanging="481"/>
        <w:jc w:val="left"/>
      </w:pPr>
      <w:r>
        <w:t>质疑和投诉</w:t>
      </w:r>
    </w:p>
    <w:p w14:paraId="6F3BC69C">
      <w:pPr>
        <w:pStyle w:val="8"/>
        <w:spacing w:before="132" w:line="343" w:lineRule="auto"/>
        <w:ind w:left="420" w:right="565" w:firstLine="240"/>
        <w:jc w:val="both"/>
      </w:pPr>
      <w:r>
        <w:t>49.1.</w:t>
      </w:r>
      <w:r>
        <w:rPr>
          <w:spacing w:val="-9"/>
        </w:rPr>
        <w:t>供应商认为采购文件、采购过程和中标、成交结果使自己的权益受到损害的，可以在</w:t>
      </w:r>
      <w:r>
        <w:rPr>
          <w:spacing w:val="-1"/>
        </w:rPr>
        <w:t>知道或者应知其权益受到损害之日起七个工作日内，以书面形式向采购人提出质疑。供应商应当在法定质疑期内一次性提出针对同一采购程序环节的质疑。供应商应知其权益受到损害</w:t>
      </w:r>
      <w:r>
        <w:t>之日，是指：</w:t>
      </w:r>
    </w:p>
    <w:p w14:paraId="289590D4">
      <w:pPr>
        <w:pStyle w:val="8"/>
        <w:spacing w:line="345" w:lineRule="auto"/>
        <w:ind w:left="420" w:right="565" w:firstLine="240"/>
      </w:pPr>
      <w:r>
        <w:t>（一）对可以质疑的采购文件提出质疑的，为收到采购文件之日或者采购文件公告期限届满之日；</w:t>
      </w:r>
    </w:p>
    <w:p w14:paraId="23813C17">
      <w:pPr>
        <w:pStyle w:val="8"/>
        <w:spacing w:line="303" w:lineRule="exact"/>
        <w:ind w:left="660"/>
      </w:pPr>
      <w:r>
        <w:t>（二）对采购过程提出质疑的，为各采购程序环节结束之日；</w:t>
      </w:r>
    </w:p>
    <w:p w14:paraId="12EADAB7">
      <w:pPr>
        <w:pStyle w:val="8"/>
        <w:spacing w:before="132"/>
        <w:ind w:left="660"/>
      </w:pPr>
      <w:r>
        <w:t>（三）对中标或者成交结果提出质疑的，为中标或者成交结果公告期限届满之日。</w:t>
      </w:r>
    </w:p>
    <w:p w14:paraId="4C16BFFF">
      <w:pPr>
        <w:pStyle w:val="14"/>
        <w:numPr>
          <w:ilvl w:val="1"/>
          <w:numId w:val="31"/>
        </w:numPr>
        <w:tabs>
          <w:tab w:val="left" w:pos="1200"/>
        </w:tabs>
        <w:spacing w:before="134" w:after="0" w:line="343" w:lineRule="auto"/>
        <w:ind w:left="420" w:right="565" w:firstLine="240"/>
        <w:jc w:val="left"/>
        <w:rPr>
          <w:sz w:val="24"/>
        </w:rPr>
      </w:pPr>
      <w:r>
        <w:rPr>
          <w:spacing w:val="-4"/>
          <w:sz w:val="24"/>
        </w:rPr>
        <w:t>供应商提出质疑应当提交质疑函和必要的证明材料。质疑函应当包括下列内容：供应</w:t>
      </w:r>
      <w:r>
        <w:rPr>
          <w:spacing w:val="-1"/>
          <w:sz w:val="24"/>
        </w:rPr>
        <w:t>商的姓名或者名称、地址、邮编、联系人及联系电话；质疑项目的名称、编号；具体、明确</w:t>
      </w:r>
    </w:p>
    <w:p w14:paraId="5F01BE5F">
      <w:pPr>
        <w:spacing w:after="0" w:line="343" w:lineRule="auto"/>
        <w:jc w:val="left"/>
        <w:rPr>
          <w:sz w:val="24"/>
        </w:rPr>
        <w:sectPr>
          <w:type w:val="continuous"/>
          <w:pgSz w:w="11910" w:h="16840"/>
          <w:pgMar w:top="1580" w:right="660" w:bottom="280" w:left="660" w:header="720" w:footer="720" w:gutter="0"/>
          <w:cols w:space="720" w:num="1"/>
        </w:sectPr>
      </w:pPr>
    </w:p>
    <w:p w14:paraId="43C146BD">
      <w:pPr>
        <w:pStyle w:val="8"/>
        <w:spacing w:before="55" w:line="343" w:lineRule="auto"/>
        <w:ind w:left="420" w:right="565"/>
      </w:pPr>
      <w:r>
        <w:t>的质疑事项和与质疑事项相关的请求；事实依据；必要的法律依据；提出质疑的日期。（具体格式详见附件）</w:t>
      </w:r>
    </w:p>
    <w:p w14:paraId="03530234">
      <w:pPr>
        <w:pStyle w:val="8"/>
        <w:spacing w:line="345" w:lineRule="auto"/>
        <w:ind w:left="420" w:right="445" w:firstLine="240"/>
      </w:pPr>
      <w:r>
        <w:rPr>
          <w:spacing w:val="-10"/>
        </w:rPr>
        <w:t>供应商为自然人的，应当由本人签章；供应商为法人或者其他组织的，应当由法定代表人、</w:t>
      </w:r>
      <w:r>
        <w:t>主要负责人，或者其授权代表签章或者盖章，并加盖公章。</w:t>
      </w:r>
    </w:p>
    <w:p w14:paraId="060FEE96">
      <w:pPr>
        <w:pStyle w:val="14"/>
        <w:numPr>
          <w:ilvl w:val="1"/>
          <w:numId w:val="31"/>
        </w:numPr>
        <w:tabs>
          <w:tab w:val="left" w:pos="1200"/>
        </w:tabs>
        <w:spacing w:before="0" w:after="0" w:line="343" w:lineRule="auto"/>
        <w:ind w:left="420" w:right="565" w:firstLine="240"/>
        <w:jc w:val="both"/>
        <w:rPr>
          <w:sz w:val="24"/>
        </w:rPr>
      </w:pPr>
      <w:r>
        <w:rPr>
          <w:spacing w:val="-8"/>
          <w:sz w:val="24"/>
        </w:rPr>
        <w:t>供应商质疑、投诉应当有明确的请求和必要的证明材料。供应商投诉的事项不得超出</w:t>
      </w:r>
      <w:r>
        <w:rPr>
          <w:spacing w:val="-1"/>
          <w:sz w:val="24"/>
        </w:rPr>
        <w:t>已质疑事项的范围。采购人及采购代理机构按《政府采购质疑和投诉办法》进行处理供应商</w:t>
      </w:r>
      <w:r>
        <w:rPr>
          <w:sz w:val="24"/>
        </w:rPr>
        <w:t>质疑事项。</w:t>
      </w:r>
    </w:p>
    <w:p w14:paraId="2C4725D3">
      <w:pPr>
        <w:pStyle w:val="14"/>
        <w:numPr>
          <w:ilvl w:val="1"/>
          <w:numId w:val="31"/>
        </w:numPr>
        <w:tabs>
          <w:tab w:val="left" w:pos="1200"/>
        </w:tabs>
        <w:spacing w:before="0" w:after="0" w:line="343" w:lineRule="auto"/>
        <w:ind w:left="420" w:right="565" w:firstLine="240"/>
        <w:jc w:val="both"/>
        <w:rPr>
          <w:sz w:val="24"/>
        </w:rPr>
      </w:pPr>
      <w:r>
        <w:rPr>
          <w:spacing w:val="-5"/>
          <w:sz w:val="24"/>
        </w:rPr>
        <w:t>质疑供应商对采购人、采购代理机构的质疑答复不满意，或者采购人、采购代理机构</w:t>
      </w:r>
      <w:r>
        <w:rPr>
          <w:spacing w:val="-12"/>
          <w:sz w:val="24"/>
        </w:rPr>
        <w:t xml:space="preserve">未在规定期限内作出答复的，供应商可以在答复期满后 </w:t>
      </w:r>
      <w:r>
        <w:rPr>
          <w:sz w:val="24"/>
        </w:rPr>
        <w:t>15</w:t>
      </w:r>
      <w:r>
        <w:rPr>
          <w:spacing w:val="-9"/>
          <w:sz w:val="24"/>
        </w:rPr>
        <w:t xml:space="preserve"> 个工作日内向同级财政部门提起投</w:t>
      </w:r>
      <w:r>
        <w:rPr>
          <w:sz w:val="24"/>
        </w:rPr>
        <w:t>诉。</w:t>
      </w:r>
    </w:p>
    <w:p w14:paraId="0D6DCEF0">
      <w:pPr>
        <w:pStyle w:val="14"/>
        <w:numPr>
          <w:ilvl w:val="1"/>
          <w:numId w:val="31"/>
        </w:numPr>
        <w:tabs>
          <w:tab w:val="left" w:pos="1200"/>
        </w:tabs>
        <w:spacing w:before="0" w:after="0" w:line="343" w:lineRule="auto"/>
        <w:ind w:left="420" w:right="565" w:firstLine="240"/>
        <w:jc w:val="both"/>
        <w:rPr>
          <w:sz w:val="24"/>
        </w:rPr>
      </w:pPr>
      <w:r>
        <w:rPr>
          <w:spacing w:val="-5"/>
          <w:sz w:val="24"/>
        </w:rPr>
        <w:t>供应商有下列情形之一的，采购代理机构和</w:t>
      </w:r>
      <w:r>
        <w:rPr>
          <w:rFonts w:hint="eastAsia"/>
          <w:spacing w:val="-5"/>
          <w:sz w:val="24"/>
          <w:lang w:eastAsia="zh-CN"/>
        </w:rPr>
        <w:t>采购单位所在地财政局采购办</w:t>
      </w:r>
      <w:r>
        <w:rPr>
          <w:spacing w:val="-5"/>
          <w:sz w:val="24"/>
        </w:rPr>
        <w:t>，将其列入不良行为记录</w:t>
      </w:r>
      <w:r>
        <w:rPr>
          <w:sz w:val="24"/>
        </w:rPr>
        <w:t>名单：</w:t>
      </w:r>
    </w:p>
    <w:p w14:paraId="17112B7F">
      <w:pPr>
        <w:pStyle w:val="8"/>
        <w:ind w:left="660"/>
      </w:pPr>
      <w:r>
        <w:t>（一）一年内三次以上质疑均查无实据的；</w:t>
      </w:r>
    </w:p>
    <w:p w14:paraId="348A8D70">
      <w:pPr>
        <w:pStyle w:val="8"/>
        <w:spacing w:before="129"/>
        <w:ind w:left="660"/>
      </w:pPr>
      <w:r>
        <w:t>（二）捏造事实或者提供虚假质疑材料的。</w:t>
      </w:r>
    </w:p>
    <w:p w14:paraId="512BAA5E">
      <w:pPr>
        <w:pStyle w:val="8"/>
        <w:spacing w:before="132" w:line="345" w:lineRule="auto"/>
        <w:ind w:left="420" w:right="565" w:firstLine="240"/>
      </w:pPr>
      <w:r>
        <w:t>（三）以非法手段取得证明材料。证据来源的合法性存在明显疑问，质疑人无法证明其取得方式合法的，视为以非法手段取得证明材料。</w:t>
      </w:r>
    </w:p>
    <w:p w14:paraId="7F7537C9">
      <w:pPr>
        <w:spacing w:after="0" w:line="345" w:lineRule="auto"/>
        <w:sectPr>
          <w:pgSz w:w="11910" w:h="16840"/>
          <w:pgMar w:top="1480" w:right="660" w:bottom="1180" w:left="660" w:header="0" w:footer="909" w:gutter="0"/>
          <w:cols w:space="720" w:num="1"/>
        </w:sectPr>
      </w:pPr>
    </w:p>
    <w:p w14:paraId="36DC9DE6">
      <w:pPr>
        <w:pStyle w:val="2"/>
        <w:tabs>
          <w:tab w:val="left" w:pos="1444"/>
        </w:tabs>
      </w:pPr>
      <w:bookmarkStart w:id="14" w:name="第三章  评标办法"/>
      <w:bookmarkEnd w:id="14"/>
      <w:bookmarkStart w:id="15" w:name="_bookmark2"/>
      <w:bookmarkEnd w:id="15"/>
      <w:r>
        <w:t>第三章</w:t>
      </w:r>
      <w:r>
        <w:tab/>
      </w:r>
      <w:r>
        <w:t>评标办法</w:t>
      </w:r>
    </w:p>
    <w:p w14:paraId="4E16650A">
      <w:pPr>
        <w:pStyle w:val="5"/>
        <w:tabs>
          <w:tab w:val="left" w:pos="563"/>
          <w:tab w:val="left" w:pos="1125"/>
        </w:tabs>
        <w:spacing w:before="216"/>
        <w:ind w:left="0" w:right="143"/>
        <w:jc w:val="center"/>
      </w:pPr>
      <w:bookmarkStart w:id="16" w:name="一  总  则"/>
      <w:bookmarkEnd w:id="16"/>
      <w:r>
        <w:t>一</w:t>
      </w:r>
      <w:r>
        <w:tab/>
      </w:r>
      <w:r>
        <w:t>总</w:t>
      </w:r>
      <w:r>
        <w:tab/>
      </w:r>
      <w:r>
        <w:t>则</w:t>
      </w:r>
    </w:p>
    <w:p w14:paraId="76A5AA06">
      <w:pPr>
        <w:pStyle w:val="8"/>
        <w:spacing w:before="246"/>
        <w:ind w:left="1031"/>
      </w:pPr>
      <w:r>
        <w:t>1、一般规定</w:t>
      </w:r>
    </w:p>
    <w:p w14:paraId="5FDC770C">
      <w:pPr>
        <w:pStyle w:val="14"/>
        <w:numPr>
          <w:ilvl w:val="1"/>
          <w:numId w:val="32"/>
        </w:numPr>
        <w:tabs>
          <w:tab w:val="left" w:pos="1452"/>
        </w:tabs>
        <w:spacing w:before="131" w:after="0" w:line="343" w:lineRule="auto"/>
        <w:ind w:left="420" w:right="565" w:firstLine="612"/>
        <w:jc w:val="left"/>
        <w:rPr>
          <w:sz w:val="24"/>
        </w:rPr>
      </w:pPr>
      <w:r>
        <w:rPr>
          <w:spacing w:val="-7"/>
          <w:sz w:val="24"/>
        </w:rPr>
        <w:t>本项目的招标按照《中华人民共和国政府采购法》、《政府采购货物和服务招标投</w:t>
      </w:r>
      <w:r>
        <w:rPr>
          <w:sz w:val="24"/>
        </w:rPr>
        <w:t>标管理办法》及政府采购的有关规定进行。</w:t>
      </w:r>
    </w:p>
    <w:p w14:paraId="3B438553">
      <w:pPr>
        <w:pStyle w:val="14"/>
        <w:numPr>
          <w:ilvl w:val="1"/>
          <w:numId w:val="32"/>
        </w:numPr>
        <w:tabs>
          <w:tab w:val="left" w:pos="1452"/>
        </w:tabs>
        <w:spacing w:before="2" w:after="0" w:line="240" w:lineRule="auto"/>
        <w:ind w:left="1452" w:right="0" w:hanging="421"/>
        <w:jc w:val="left"/>
        <w:rPr>
          <w:sz w:val="24"/>
        </w:rPr>
      </w:pPr>
      <w:r>
        <w:rPr>
          <w:sz w:val="24"/>
        </w:rPr>
        <w:t>评标必须遵循邀请、公平、公正、诚实信用的原则。</w:t>
      </w:r>
    </w:p>
    <w:p w14:paraId="11554750">
      <w:pPr>
        <w:pStyle w:val="14"/>
        <w:numPr>
          <w:ilvl w:val="1"/>
          <w:numId w:val="32"/>
        </w:numPr>
        <w:tabs>
          <w:tab w:val="left" w:pos="1452"/>
        </w:tabs>
        <w:spacing w:before="131" w:after="0" w:line="343" w:lineRule="auto"/>
        <w:ind w:left="420" w:right="493" w:firstLine="612"/>
        <w:jc w:val="left"/>
        <w:rPr>
          <w:sz w:val="24"/>
        </w:rPr>
      </w:pPr>
      <w:r>
        <w:rPr>
          <w:spacing w:val="-1"/>
          <w:sz w:val="24"/>
        </w:rPr>
        <w:t>招标代理机构组织招标、开标、评标工作，全过程接受政府采购有关部门的监督、</w:t>
      </w:r>
      <w:r>
        <w:rPr>
          <w:sz w:val="24"/>
        </w:rPr>
        <w:t>管理和指导。</w:t>
      </w:r>
    </w:p>
    <w:p w14:paraId="4F046870">
      <w:pPr>
        <w:pStyle w:val="14"/>
        <w:numPr>
          <w:ilvl w:val="1"/>
          <w:numId w:val="32"/>
        </w:numPr>
        <w:tabs>
          <w:tab w:val="left" w:pos="1452"/>
        </w:tabs>
        <w:spacing w:before="2" w:after="0" w:line="240" w:lineRule="auto"/>
        <w:ind w:left="1452" w:right="0" w:hanging="421"/>
        <w:jc w:val="left"/>
        <w:rPr>
          <w:sz w:val="24"/>
        </w:rPr>
      </w:pPr>
      <w:r>
        <w:rPr>
          <w:sz w:val="24"/>
        </w:rPr>
        <w:t>评标按照招标文件规定的内容进行，采取符合招标文件要求的最低评标价法；</w:t>
      </w:r>
    </w:p>
    <w:p w14:paraId="330C08E3">
      <w:pPr>
        <w:pStyle w:val="14"/>
        <w:numPr>
          <w:ilvl w:val="1"/>
          <w:numId w:val="32"/>
        </w:numPr>
        <w:tabs>
          <w:tab w:val="left" w:pos="1452"/>
        </w:tabs>
        <w:spacing w:before="131" w:after="0" w:line="343" w:lineRule="auto"/>
        <w:ind w:left="420" w:right="565" w:firstLine="612"/>
        <w:jc w:val="left"/>
        <w:rPr>
          <w:sz w:val="24"/>
        </w:rPr>
      </w:pPr>
      <w:r>
        <w:rPr>
          <w:spacing w:val="-4"/>
          <w:sz w:val="24"/>
        </w:rPr>
        <w:t>本办法的评标对象是指投标人按照招标文件要求提供的有效投标文件，包括投标人</w:t>
      </w:r>
      <w:r>
        <w:rPr>
          <w:sz w:val="24"/>
        </w:rPr>
        <w:t>应评标委员会要求对原投标文件作出的正式书面澄清文件。</w:t>
      </w:r>
    </w:p>
    <w:p w14:paraId="000608AE">
      <w:pPr>
        <w:pStyle w:val="8"/>
        <w:spacing w:before="2"/>
        <w:ind w:left="1031"/>
      </w:pPr>
      <w:r>
        <w:t>2、评标组织机构的组成</w:t>
      </w:r>
    </w:p>
    <w:p w14:paraId="0B4BE2A6">
      <w:pPr>
        <w:pStyle w:val="14"/>
        <w:numPr>
          <w:ilvl w:val="1"/>
          <w:numId w:val="33"/>
        </w:numPr>
        <w:tabs>
          <w:tab w:val="left" w:pos="1378"/>
        </w:tabs>
        <w:spacing w:before="131" w:after="0" w:line="343" w:lineRule="auto"/>
        <w:ind w:left="420" w:right="565" w:firstLine="480"/>
        <w:jc w:val="both"/>
        <w:rPr>
          <w:sz w:val="24"/>
        </w:rPr>
      </w:pPr>
      <w:r>
        <w:rPr>
          <w:spacing w:val="-2"/>
          <w:sz w:val="24"/>
        </w:rPr>
        <w:t xml:space="preserve">评标委员会由采购人代表和有关技术、经济等方面的专家组成，成员人数应当为 </w:t>
      </w:r>
      <w:r>
        <w:rPr>
          <w:sz w:val="24"/>
        </w:rPr>
        <w:t xml:space="preserve">5 </w:t>
      </w:r>
      <w:r>
        <w:rPr>
          <w:spacing w:val="-20"/>
          <w:sz w:val="24"/>
        </w:rPr>
        <w:t xml:space="preserve">人或 </w:t>
      </w:r>
      <w:r>
        <w:rPr>
          <w:sz w:val="24"/>
        </w:rPr>
        <w:t>5</w:t>
      </w:r>
      <w:r>
        <w:rPr>
          <w:spacing w:val="-9"/>
          <w:sz w:val="24"/>
        </w:rPr>
        <w:t xml:space="preserve"> 人以上单数。其中，技术、经济等方面的专家不得少于成员总数的三分之二。采购数</w:t>
      </w:r>
      <w:r>
        <w:rPr>
          <w:spacing w:val="-20"/>
          <w:sz w:val="24"/>
        </w:rPr>
        <w:t xml:space="preserve">额在 </w:t>
      </w:r>
      <w:r>
        <w:rPr>
          <w:sz w:val="24"/>
        </w:rPr>
        <w:t>1000</w:t>
      </w:r>
      <w:r>
        <w:rPr>
          <w:spacing w:val="-16"/>
          <w:sz w:val="24"/>
        </w:rPr>
        <w:t xml:space="preserve"> 万元以上、技术复杂的项目，评标委员会中技术、经济方面的专家人数应当为七人</w:t>
      </w:r>
      <w:r>
        <w:rPr>
          <w:spacing w:val="-1"/>
          <w:sz w:val="24"/>
        </w:rPr>
        <w:t>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w:t>
      </w:r>
      <w:r>
        <w:rPr>
          <w:sz w:val="24"/>
        </w:rPr>
        <w:t>标专家。</w:t>
      </w:r>
    </w:p>
    <w:p w14:paraId="1725F132">
      <w:pPr>
        <w:pStyle w:val="14"/>
        <w:numPr>
          <w:ilvl w:val="1"/>
          <w:numId w:val="33"/>
        </w:numPr>
        <w:tabs>
          <w:tab w:val="left" w:pos="1452"/>
        </w:tabs>
        <w:spacing w:before="1" w:after="0" w:line="240" w:lineRule="auto"/>
        <w:ind w:left="1452" w:right="0" w:hanging="421"/>
        <w:jc w:val="left"/>
        <w:rPr>
          <w:sz w:val="24"/>
        </w:rPr>
      </w:pPr>
      <w:r>
        <w:rPr>
          <w:sz w:val="24"/>
        </w:rPr>
        <w:t>评标工作组由招标人及有关专家组成，由评标委员会确认，并接受其领导。</w:t>
      </w:r>
    </w:p>
    <w:p w14:paraId="25CC4099">
      <w:pPr>
        <w:pStyle w:val="14"/>
        <w:numPr>
          <w:ilvl w:val="1"/>
          <w:numId w:val="33"/>
        </w:numPr>
        <w:tabs>
          <w:tab w:val="left" w:pos="1452"/>
        </w:tabs>
        <w:spacing w:before="135" w:after="0" w:line="343" w:lineRule="auto"/>
        <w:ind w:left="420" w:right="565" w:firstLine="612"/>
        <w:jc w:val="left"/>
        <w:rPr>
          <w:sz w:val="24"/>
        </w:rPr>
      </w:pPr>
      <w:r>
        <w:rPr>
          <w:spacing w:val="-6"/>
          <w:sz w:val="24"/>
        </w:rPr>
        <w:t>评标委员会应相对独立工作，负责评标、撰写技术、商务评标报告。采购代理机构</w:t>
      </w:r>
      <w:r>
        <w:rPr>
          <w:sz w:val="24"/>
        </w:rPr>
        <w:t>负责评标过程中资料的保管、发放、回收，整理、汇总评标资料。</w:t>
      </w:r>
    </w:p>
    <w:p w14:paraId="6EB42F9F">
      <w:pPr>
        <w:pStyle w:val="8"/>
        <w:spacing w:line="306" w:lineRule="exact"/>
        <w:ind w:left="1031"/>
      </w:pPr>
      <w:r>
        <w:t>3、评标委员会职责</w:t>
      </w:r>
    </w:p>
    <w:p w14:paraId="4B5E9E1E">
      <w:pPr>
        <w:pStyle w:val="14"/>
        <w:numPr>
          <w:ilvl w:val="1"/>
          <w:numId w:val="34"/>
        </w:numPr>
        <w:tabs>
          <w:tab w:val="left" w:pos="1452"/>
        </w:tabs>
        <w:spacing w:before="134" w:after="0" w:line="240" w:lineRule="auto"/>
        <w:ind w:left="1452" w:right="0" w:hanging="421"/>
        <w:jc w:val="left"/>
        <w:rPr>
          <w:sz w:val="24"/>
        </w:rPr>
      </w:pPr>
      <w:r>
        <w:rPr>
          <w:sz w:val="24"/>
        </w:rPr>
        <w:t>审查投标文件是否符合招标文件要求，并作出评价；</w:t>
      </w:r>
    </w:p>
    <w:p w14:paraId="6BBB86FC">
      <w:pPr>
        <w:pStyle w:val="14"/>
        <w:numPr>
          <w:ilvl w:val="1"/>
          <w:numId w:val="34"/>
        </w:numPr>
        <w:tabs>
          <w:tab w:val="left" w:pos="1452"/>
        </w:tabs>
        <w:spacing w:before="131" w:after="0" w:line="240" w:lineRule="auto"/>
        <w:ind w:left="1452" w:right="0" w:hanging="421"/>
        <w:jc w:val="left"/>
        <w:rPr>
          <w:sz w:val="24"/>
        </w:rPr>
      </w:pPr>
      <w:r>
        <w:rPr>
          <w:sz w:val="24"/>
        </w:rPr>
        <w:t>要求投标人对投标文件有关事项作出解释或者澄清；</w:t>
      </w:r>
    </w:p>
    <w:p w14:paraId="2F6CA8B8">
      <w:pPr>
        <w:pStyle w:val="14"/>
        <w:numPr>
          <w:ilvl w:val="1"/>
          <w:numId w:val="34"/>
        </w:numPr>
        <w:tabs>
          <w:tab w:val="left" w:pos="1452"/>
        </w:tabs>
        <w:spacing w:before="132" w:after="0" w:line="240" w:lineRule="auto"/>
        <w:ind w:left="1452" w:right="0" w:hanging="421"/>
        <w:jc w:val="left"/>
        <w:rPr>
          <w:sz w:val="24"/>
        </w:rPr>
      </w:pPr>
      <w:r>
        <w:rPr>
          <w:sz w:val="24"/>
        </w:rPr>
        <w:t>推荐中标候选人名单；</w:t>
      </w:r>
    </w:p>
    <w:p w14:paraId="22CC360C">
      <w:pPr>
        <w:pStyle w:val="14"/>
        <w:numPr>
          <w:ilvl w:val="1"/>
          <w:numId w:val="34"/>
        </w:numPr>
        <w:tabs>
          <w:tab w:val="left" w:pos="1452"/>
        </w:tabs>
        <w:spacing w:before="134" w:after="0" w:line="343" w:lineRule="auto"/>
        <w:ind w:left="1031" w:right="1693" w:firstLine="0"/>
        <w:jc w:val="left"/>
        <w:rPr>
          <w:sz w:val="24"/>
        </w:rPr>
      </w:pPr>
      <w:r>
        <w:rPr>
          <w:spacing w:val="-1"/>
          <w:sz w:val="24"/>
        </w:rPr>
        <w:t>向招标人、招标代理机构或者有关部门报告非法干预评标工作的行为。</w:t>
      </w:r>
      <w:r>
        <w:rPr>
          <w:sz w:val="24"/>
        </w:rPr>
        <w:t>4、评标委员会义务</w:t>
      </w:r>
    </w:p>
    <w:p w14:paraId="5138A3AA">
      <w:pPr>
        <w:pStyle w:val="14"/>
        <w:numPr>
          <w:ilvl w:val="1"/>
          <w:numId w:val="35"/>
        </w:numPr>
        <w:tabs>
          <w:tab w:val="left" w:pos="1452"/>
        </w:tabs>
        <w:spacing w:before="0" w:after="0" w:line="306" w:lineRule="exact"/>
        <w:ind w:left="1452" w:right="0" w:hanging="421"/>
        <w:jc w:val="left"/>
        <w:rPr>
          <w:sz w:val="24"/>
        </w:rPr>
      </w:pPr>
      <w:r>
        <w:rPr>
          <w:sz w:val="24"/>
        </w:rPr>
        <w:t>遵纪守法，客观、公正、廉洁地履行职责；</w:t>
      </w:r>
    </w:p>
    <w:p w14:paraId="3A9C2122">
      <w:pPr>
        <w:pStyle w:val="14"/>
        <w:numPr>
          <w:ilvl w:val="1"/>
          <w:numId w:val="35"/>
        </w:numPr>
        <w:tabs>
          <w:tab w:val="left" w:pos="1452"/>
        </w:tabs>
        <w:spacing w:before="134" w:after="0" w:line="240" w:lineRule="auto"/>
        <w:ind w:left="1452" w:right="0" w:hanging="421"/>
        <w:jc w:val="left"/>
        <w:rPr>
          <w:sz w:val="24"/>
        </w:rPr>
      </w:pPr>
      <w:r>
        <w:rPr>
          <w:sz w:val="24"/>
        </w:rPr>
        <w:t>按照招标文件规定的评标方法和评标标准进行评标，对评审意见承担个人责任；</w:t>
      </w:r>
    </w:p>
    <w:p w14:paraId="44BBF352">
      <w:pPr>
        <w:spacing w:after="0" w:line="240" w:lineRule="auto"/>
        <w:jc w:val="left"/>
        <w:rPr>
          <w:sz w:val="24"/>
        </w:rPr>
        <w:sectPr>
          <w:pgSz w:w="11910" w:h="16840"/>
          <w:pgMar w:top="1480" w:right="660" w:bottom="1180" w:left="660" w:header="0" w:footer="909" w:gutter="0"/>
          <w:cols w:space="720" w:num="1"/>
        </w:sectPr>
      </w:pPr>
    </w:p>
    <w:p w14:paraId="7A3B57C0">
      <w:pPr>
        <w:pStyle w:val="14"/>
        <w:numPr>
          <w:ilvl w:val="1"/>
          <w:numId w:val="35"/>
        </w:numPr>
        <w:tabs>
          <w:tab w:val="left" w:pos="1452"/>
        </w:tabs>
        <w:spacing w:before="55" w:after="0" w:line="240" w:lineRule="auto"/>
        <w:ind w:left="1452" w:right="0" w:hanging="421"/>
        <w:jc w:val="left"/>
        <w:rPr>
          <w:sz w:val="24"/>
        </w:rPr>
      </w:pPr>
      <w:r>
        <w:rPr>
          <w:sz w:val="24"/>
        </w:rPr>
        <w:t>对评标过程和结果，以及投标人的商业秘密保密；</w:t>
      </w:r>
    </w:p>
    <w:p w14:paraId="7F266943">
      <w:pPr>
        <w:pStyle w:val="14"/>
        <w:numPr>
          <w:ilvl w:val="1"/>
          <w:numId w:val="35"/>
        </w:numPr>
        <w:tabs>
          <w:tab w:val="left" w:pos="1452"/>
        </w:tabs>
        <w:spacing w:before="132" w:after="0" w:line="240" w:lineRule="auto"/>
        <w:ind w:left="1452" w:right="0" w:hanging="421"/>
        <w:jc w:val="left"/>
        <w:rPr>
          <w:sz w:val="24"/>
        </w:rPr>
      </w:pPr>
      <w:r>
        <w:rPr>
          <w:sz w:val="24"/>
        </w:rPr>
        <w:t>参与评审报告的起草；</w:t>
      </w:r>
    </w:p>
    <w:p w14:paraId="3E3EC650">
      <w:pPr>
        <w:pStyle w:val="14"/>
        <w:numPr>
          <w:ilvl w:val="1"/>
          <w:numId w:val="35"/>
        </w:numPr>
        <w:tabs>
          <w:tab w:val="left" w:pos="1452"/>
        </w:tabs>
        <w:spacing w:before="132" w:after="0" w:line="240" w:lineRule="auto"/>
        <w:ind w:left="1452" w:right="0" w:hanging="421"/>
        <w:jc w:val="left"/>
        <w:rPr>
          <w:sz w:val="24"/>
        </w:rPr>
      </w:pPr>
      <w:r>
        <w:rPr>
          <w:sz w:val="24"/>
        </w:rPr>
        <w:t>配合有关部门的投诉处理工作；</w:t>
      </w:r>
    </w:p>
    <w:p w14:paraId="2DCDCB41">
      <w:pPr>
        <w:pStyle w:val="14"/>
        <w:numPr>
          <w:ilvl w:val="1"/>
          <w:numId w:val="35"/>
        </w:numPr>
        <w:tabs>
          <w:tab w:val="left" w:pos="1452"/>
        </w:tabs>
        <w:spacing w:before="134" w:after="0" w:line="343" w:lineRule="auto"/>
        <w:ind w:left="1031" w:right="3133" w:firstLine="0"/>
        <w:jc w:val="left"/>
        <w:rPr>
          <w:sz w:val="24"/>
        </w:rPr>
      </w:pPr>
      <w:r>
        <w:rPr>
          <w:spacing w:val="-1"/>
          <w:sz w:val="24"/>
        </w:rPr>
        <w:t>配合招标人、招标代理机构答复投标供应商提出的质疑。</w:t>
      </w:r>
      <w:r>
        <w:rPr>
          <w:sz w:val="24"/>
        </w:rPr>
        <w:t>5、评标程序</w:t>
      </w:r>
    </w:p>
    <w:p w14:paraId="383863D2">
      <w:pPr>
        <w:pStyle w:val="14"/>
        <w:numPr>
          <w:ilvl w:val="1"/>
          <w:numId w:val="36"/>
        </w:numPr>
        <w:tabs>
          <w:tab w:val="left" w:pos="1452"/>
        </w:tabs>
        <w:spacing w:before="0" w:after="0" w:line="345" w:lineRule="auto"/>
        <w:ind w:left="420" w:right="565" w:firstLine="612"/>
        <w:jc w:val="left"/>
        <w:rPr>
          <w:sz w:val="24"/>
        </w:rPr>
      </w:pPr>
      <w:r>
        <w:rPr>
          <w:spacing w:val="-4"/>
          <w:sz w:val="24"/>
        </w:rPr>
        <w:t>本次评标首先由评标委员会对投标人的投标文件进行初审，对未能通过初审的投标</w:t>
      </w:r>
      <w:r>
        <w:rPr>
          <w:sz w:val="24"/>
        </w:rPr>
        <w:t>文件作无效标处理；</w:t>
      </w:r>
    </w:p>
    <w:p w14:paraId="73909E28">
      <w:pPr>
        <w:pStyle w:val="14"/>
        <w:numPr>
          <w:ilvl w:val="1"/>
          <w:numId w:val="36"/>
        </w:numPr>
        <w:tabs>
          <w:tab w:val="left" w:pos="1452"/>
        </w:tabs>
        <w:spacing w:before="0" w:after="0" w:line="343" w:lineRule="auto"/>
        <w:ind w:left="420" w:right="565" w:firstLine="612"/>
        <w:jc w:val="left"/>
        <w:rPr>
          <w:sz w:val="24"/>
        </w:rPr>
      </w:pPr>
      <w:r>
        <w:rPr>
          <w:spacing w:val="-5"/>
          <w:sz w:val="24"/>
        </w:rPr>
        <w:t>对通过初审的投标人的投标文件进行详细的比较和评价。如需要，进行必要的澄清</w:t>
      </w:r>
      <w:r>
        <w:rPr>
          <w:sz w:val="24"/>
        </w:rPr>
        <w:t>工作；</w:t>
      </w:r>
    </w:p>
    <w:p w14:paraId="229A0C02">
      <w:pPr>
        <w:pStyle w:val="14"/>
        <w:numPr>
          <w:ilvl w:val="1"/>
          <w:numId w:val="36"/>
        </w:numPr>
        <w:tabs>
          <w:tab w:val="left" w:pos="1323"/>
        </w:tabs>
        <w:spacing w:before="0" w:after="0" w:line="244" w:lineRule="exact"/>
        <w:ind w:left="1322" w:right="0" w:hanging="421"/>
        <w:jc w:val="both"/>
        <w:rPr>
          <w:sz w:val="24"/>
        </w:rPr>
      </w:pPr>
      <w:r>
        <w:rPr>
          <w:sz w:val="24"/>
        </w:rPr>
        <w:t>依据评分标准以及各项权值，各位评委单独就每个投标人的投标文件进行价格、技</w:t>
      </w:r>
    </w:p>
    <w:p w14:paraId="3277A066">
      <w:pPr>
        <w:pStyle w:val="8"/>
        <w:spacing w:before="47" w:line="280" w:lineRule="auto"/>
        <w:ind w:left="420" w:right="565"/>
        <w:jc w:val="both"/>
      </w:pPr>
      <w:r>
        <w:fldChar w:fldCharType="begin"/>
      </w:r>
      <w:r>
        <w:instrText xml:space="preserve"> HYPERLINK "http://zhidao.baidu.com/search?word=%E8%B4%A2%E5%8A%A1%E7%8A%B6%E5%86%B5&amp;fr=qb_search_exp&amp;ie=utf8&amp;eid_gfrom=151" \h </w:instrText>
      </w:r>
      <w:r>
        <w:fldChar w:fldCharType="separate"/>
      </w:r>
      <w:r>
        <w:t>术、财务状况</w:t>
      </w:r>
      <w:r>
        <w:fldChar w:fldCharType="end"/>
      </w:r>
      <w:r>
        <w:t>、信誉、业绩、服务、对招标文件的响应程度，以及相应的比重或者权值等各项因素进行综合评审后，按最终综合得分由高向低排序，由评标委员会推荐综合得分最高的投标人为第一中标候选人，综合得分第二名的投标人为第二中标候选人，综合得分第三名的投标人为第三中标候选人。</w:t>
      </w:r>
    </w:p>
    <w:p w14:paraId="54187054">
      <w:pPr>
        <w:spacing w:after="0" w:line="280" w:lineRule="auto"/>
        <w:jc w:val="both"/>
        <w:sectPr>
          <w:pgSz w:w="11910" w:h="16840"/>
          <w:pgMar w:top="1480" w:right="660" w:bottom="1180" w:left="660" w:header="0" w:footer="909" w:gutter="0"/>
          <w:cols w:space="720" w:num="1"/>
        </w:sectPr>
      </w:pPr>
    </w:p>
    <w:p w14:paraId="426AB5D3">
      <w:pPr>
        <w:pStyle w:val="7"/>
        <w:tabs>
          <w:tab w:val="left" w:pos="4737"/>
        </w:tabs>
        <w:spacing w:before="45"/>
        <w:ind w:left="4255"/>
      </w:pPr>
      <w:bookmarkStart w:id="17" w:name="二  投标文件初审"/>
      <w:bookmarkEnd w:id="17"/>
      <w:r>
        <w:t>二</w:t>
      </w:r>
      <w:r>
        <w:tab/>
      </w:r>
      <w:r>
        <w:t>投标文件初审</w:t>
      </w:r>
    </w:p>
    <w:p w14:paraId="642A312F">
      <w:pPr>
        <w:pStyle w:val="7"/>
        <w:numPr>
          <w:ilvl w:val="0"/>
          <w:numId w:val="37"/>
        </w:numPr>
        <w:tabs>
          <w:tab w:val="left" w:pos="1014"/>
        </w:tabs>
        <w:spacing w:before="81" w:after="0" w:line="240" w:lineRule="auto"/>
        <w:ind w:left="1013" w:right="0" w:hanging="242"/>
        <w:jc w:val="left"/>
        <w:rPr>
          <w:sz w:val="22"/>
        </w:rPr>
      </w:pPr>
      <w:r>
        <w:t>资格性审查:</w:t>
      </w:r>
    </w:p>
    <w:p w14:paraId="7B76967B">
      <w:pPr>
        <w:pStyle w:val="14"/>
        <w:numPr>
          <w:ilvl w:val="1"/>
          <w:numId w:val="37"/>
        </w:numPr>
        <w:tabs>
          <w:tab w:val="left" w:pos="1193"/>
        </w:tabs>
        <w:spacing w:before="94" w:after="12" w:line="240" w:lineRule="auto"/>
        <w:ind w:left="1192" w:right="0" w:hanging="421"/>
        <w:jc w:val="left"/>
        <w:rPr>
          <w:sz w:val="24"/>
        </w:rPr>
      </w:pPr>
      <w:r>
        <w:rPr>
          <w:sz w:val="24"/>
        </w:rPr>
        <w:t>评审细则</w:t>
      </w:r>
    </w:p>
    <w:tbl>
      <w:tblPr>
        <w:tblStyle w:val="11"/>
        <w:tblW w:w="0" w:type="auto"/>
        <w:tblInd w:w="6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1"/>
        <w:gridCol w:w="547"/>
        <w:gridCol w:w="6649"/>
        <w:gridCol w:w="555"/>
        <w:gridCol w:w="654"/>
      </w:tblGrid>
      <w:tr w14:paraId="156A9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881" w:type="dxa"/>
            <w:vMerge w:val="restart"/>
          </w:tcPr>
          <w:p w14:paraId="767AEA57">
            <w:pPr>
              <w:pStyle w:val="15"/>
              <w:spacing w:before="204"/>
              <w:ind w:left="199"/>
              <w:rPr>
                <w:b/>
                <w:sz w:val="24"/>
              </w:rPr>
            </w:pPr>
            <w:r>
              <w:rPr>
                <w:b/>
                <w:sz w:val="24"/>
              </w:rPr>
              <w:t>项目</w:t>
            </w:r>
          </w:p>
        </w:tc>
        <w:tc>
          <w:tcPr>
            <w:tcW w:w="7196" w:type="dxa"/>
            <w:gridSpan w:val="2"/>
            <w:vMerge w:val="restart"/>
          </w:tcPr>
          <w:p w14:paraId="35A87614">
            <w:pPr>
              <w:pStyle w:val="15"/>
              <w:spacing w:before="204"/>
              <w:ind w:left="3094" w:right="3088"/>
              <w:jc w:val="center"/>
              <w:rPr>
                <w:b/>
                <w:sz w:val="24"/>
              </w:rPr>
            </w:pPr>
            <w:r>
              <w:rPr>
                <w:b/>
                <w:sz w:val="24"/>
              </w:rPr>
              <w:t>评审内容</w:t>
            </w:r>
          </w:p>
        </w:tc>
        <w:tc>
          <w:tcPr>
            <w:tcW w:w="1209" w:type="dxa"/>
            <w:gridSpan w:val="2"/>
          </w:tcPr>
          <w:p w14:paraId="40C6E348">
            <w:pPr>
              <w:pStyle w:val="15"/>
              <w:spacing w:before="43"/>
              <w:ind w:left="121"/>
              <w:rPr>
                <w:b/>
                <w:sz w:val="24"/>
              </w:rPr>
            </w:pPr>
            <w:r>
              <w:rPr>
                <w:b/>
                <w:sz w:val="24"/>
              </w:rPr>
              <w:t>评审意见</w:t>
            </w:r>
          </w:p>
        </w:tc>
      </w:tr>
      <w:tr w14:paraId="1CE83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81" w:type="dxa"/>
            <w:vMerge w:val="continue"/>
            <w:tcBorders>
              <w:top w:val="nil"/>
            </w:tcBorders>
          </w:tcPr>
          <w:p w14:paraId="488FCFD5">
            <w:pPr>
              <w:rPr>
                <w:sz w:val="2"/>
                <w:szCs w:val="2"/>
              </w:rPr>
            </w:pPr>
          </w:p>
        </w:tc>
        <w:tc>
          <w:tcPr>
            <w:tcW w:w="7196" w:type="dxa"/>
            <w:gridSpan w:val="2"/>
            <w:vMerge w:val="continue"/>
            <w:tcBorders>
              <w:top w:val="nil"/>
            </w:tcBorders>
          </w:tcPr>
          <w:p w14:paraId="698B932C">
            <w:pPr>
              <w:rPr>
                <w:sz w:val="2"/>
                <w:szCs w:val="2"/>
              </w:rPr>
            </w:pPr>
          </w:p>
        </w:tc>
        <w:tc>
          <w:tcPr>
            <w:tcW w:w="555" w:type="dxa"/>
          </w:tcPr>
          <w:p w14:paraId="00747698">
            <w:pPr>
              <w:pStyle w:val="15"/>
              <w:spacing w:before="3" w:line="288" w:lineRule="exact"/>
              <w:ind w:left="157"/>
              <w:rPr>
                <w:b/>
                <w:sz w:val="24"/>
              </w:rPr>
            </w:pPr>
            <w:r>
              <w:rPr>
                <w:b/>
                <w:w w:val="99"/>
                <w:sz w:val="24"/>
              </w:rPr>
              <w:t>是</w:t>
            </w:r>
          </w:p>
        </w:tc>
        <w:tc>
          <w:tcPr>
            <w:tcW w:w="654" w:type="dxa"/>
          </w:tcPr>
          <w:p w14:paraId="7E3C0F79">
            <w:pPr>
              <w:pStyle w:val="15"/>
              <w:spacing w:before="3" w:line="288" w:lineRule="exact"/>
              <w:ind w:left="204"/>
              <w:rPr>
                <w:b/>
                <w:sz w:val="24"/>
              </w:rPr>
            </w:pPr>
            <w:r>
              <w:rPr>
                <w:b/>
                <w:w w:val="99"/>
                <w:sz w:val="24"/>
              </w:rPr>
              <w:t>否</w:t>
            </w:r>
          </w:p>
        </w:tc>
      </w:tr>
      <w:tr w14:paraId="7902C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81" w:type="dxa"/>
            <w:vMerge w:val="restart"/>
          </w:tcPr>
          <w:p w14:paraId="0F712964">
            <w:pPr>
              <w:pStyle w:val="15"/>
              <w:rPr>
                <w:sz w:val="24"/>
              </w:rPr>
            </w:pPr>
          </w:p>
          <w:p w14:paraId="4F9C76AF">
            <w:pPr>
              <w:pStyle w:val="15"/>
              <w:rPr>
                <w:sz w:val="24"/>
              </w:rPr>
            </w:pPr>
          </w:p>
          <w:p w14:paraId="1806B023">
            <w:pPr>
              <w:pStyle w:val="15"/>
              <w:rPr>
                <w:sz w:val="24"/>
              </w:rPr>
            </w:pPr>
          </w:p>
          <w:p w14:paraId="5D052254">
            <w:pPr>
              <w:pStyle w:val="15"/>
              <w:rPr>
                <w:sz w:val="24"/>
              </w:rPr>
            </w:pPr>
          </w:p>
          <w:p w14:paraId="0B727705">
            <w:pPr>
              <w:pStyle w:val="15"/>
              <w:rPr>
                <w:sz w:val="24"/>
              </w:rPr>
            </w:pPr>
          </w:p>
          <w:p w14:paraId="4468999E">
            <w:pPr>
              <w:pStyle w:val="15"/>
              <w:rPr>
                <w:sz w:val="24"/>
              </w:rPr>
            </w:pPr>
          </w:p>
          <w:p w14:paraId="132557B4">
            <w:pPr>
              <w:pStyle w:val="15"/>
              <w:rPr>
                <w:sz w:val="24"/>
              </w:rPr>
            </w:pPr>
          </w:p>
          <w:p w14:paraId="35AA38C6">
            <w:pPr>
              <w:pStyle w:val="15"/>
              <w:rPr>
                <w:sz w:val="24"/>
              </w:rPr>
            </w:pPr>
          </w:p>
          <w:p w14:paraId="042B091C">
            <w:pPr>
              <w:pStyle w:val="15"/>
              <w:rPr>
                <w:sz w:val="24"/>
              </w:rPr>
            </w:pPr>
          </w:p>
          <w:p w14:paraId="47F9B93A">
            <w:pPr>
              <w:pStyle w:val="15"/>
              <w:rPr>
                <w:sz w:val="24"/>
              </w:rPr>
            </w:pPr>
          </w:p>
          <w:p w14:paraId="43B72F8C">
            <w:pPr>
              <w:pStyle w:val="15"/>
              <w:rPr>
                <w:sz w:val="24"/>
              </w:rPr>
            </w:pPr>
          </w:p>
          <w:p w14:paraId="63895C20">
            <w:pPr>
              <w:pStyle w:val="15"/>
              <w:rPr>
                <w:sz w:val="24"/>
              </w:rPr>
            </w:pPr>
          </w:p>
          <w:p w14:paraId="33E76AA4">
            <w:pPr>
              <w:pStyle w:val="15"/>
              <w:rPr>
                <w:sz w:val="24"/>
              </w:rPr>
            </w:pPr>
          </w:p>
          <w:p w14:paraId="20CB2543">
            <w:pPr>
              <w:pStyle w:val="15"/>
              <w:rPr>
                <w:sz w:val="24"/>
              </w:rPr>
            </w:pPr>
          </w:p>
          <w:p w14:paraId="5B56B644">
            <w:pPr>
              <w:pStyle w:val="15"/>
              <w:rPr>
                <w:sz w:val="24"/>
              </w:rPr>
            </w:pPr>
          </w:p>
          <w:p w14:paraId="01F8B916">
            <w:pPr>
              <w:pStyle w:val="15"/>
              <w:rPr>
                <w:sz w:val="24"/>
              </w:rPr>
            </w:pPr>
          </w:p>
          <w:p w14:paraId="2E04A1A6">
            <w:pPr>
              <w:pStyle w:val="15"/>
              <w:rPr>
                <w:sz w:val="24"/>
              </w:rPr>
            </w:pPr>
          </w:p>
          <w:p w14:paraId="42BE9CFC">
            <w:pPr>
              <w:pStyle w:val="15"/>
              <w:rPr>
                <w:sz w:val="24"/>
              </w:rPr>
            </w:pPr>
          </w:p>
          <w:p w14:paraId="3ED2B9C3">
            <w:pPr>
              <w:pStyle w:val="15"/>
              <w:rPr>
                <w:sz w:val="24"/>
              </w:rPr>
            </w:pPr>
          </w:p>
          <w:p w14:paraId="75936209">
            <w:pPr>
              <w:pStyle w:val="15"/>
              <w:spacing w:before="9"/>
              <w:rPr>
                <w:sz w:val="30"/>
              </w:rPr>
            </w:pPr>
          </w:p>
          <w:p w14:paraId="71E280D0">
            <w:pPr>
              <w:pStyle w:val="15"/>
              <w:spacing w:line="242" w:lineRule="auto"/>
              <w:ind w:left="319" w:right="309"/>
              <w:jc w:val="both"/>
              <w:rPr>
                <w:sz w:val="24"/>
              </w:rPr>
            </w:pPr>
            <w:r>
              <w:rPr>
                <w:sz w:val="24"/>
              </w:rPr>
              <w:t>审查标准</w:t>
            </w:r>
          </w:p>
        </w:tc>
        <w:tc>
          <w:tcPr>
            <w:tcW w:w="547" w:type="dxa"/>
          </w:tcPr>
          <w:p w14:paraId="021261EB">
            <w:pPr>
              <w:pStyle w:val="15"/>
              <w:spacing w:before="104"/>
              <w:ind w:left="10"/>
              <w:jc w:val="center"/>
              <w:rPr>
                <w:sz w:val="24"/>
              </w:rPr>
            </w:pPr>
            <w:r>
              <w:rPr>
                <w:sz w:val="24"/>
              </w:rPr>
              <w:t>1</w:t>
            </w:r>
          </w:p>
        </w:tc>
        <w:tc>
          <w:tcPr>
            <w:tcW w:w="6649" w:type="dxa"/>
          </w:tcPr>
          <w:p w14:paraId="3C9F68AD">
            <w:pPr>
              <w:pStyle w:val="15"/>
              <w:spacing w:before="104"/>
              <w:ind w:left="108" w:right="-29"/>
              <w:rPr>
                <w:sz w:val="24"/>
              </w:rPr>
            </w:pPr>
            <w:r>
              <w:rPr>
                <w:spacing w:val="-15"/>
                <w:sz w:val="24"/>
              </w:rPr>
              <w:t>满足《中华人民共和国政府采购法》第二十二条规定书面说明。</w:t>
            </w:r>
          </w:p>
        </w:tc>
        <w:tc>
          <w:tcPr>
            <w:tcW w:w="555" w:type="dxa"/>
          </w:tcPr>
          <w:p w14:paraId="3FC0C0FA">
            <w:pPr>
              <w:pStyle w:val="15"/>
              <w:rPr>
                <w:rFonts w:ascii="Times New Roman"/>
                <w:sz w:val="22"/>
              </w:rPr>
            </w:pPr>
          </w:p>
        </w:tc>
        <w:tc>
          <w:tcPr>
            <w:tcW w:w="654" w:type="dxa"/>
          </w:tcPr>
          <w:p w14:paraId="09ED7955">
            <w:pPr>
              <w:pStyle w:val="15"/>
              <w:rPr>
                <w:rFonts w:ascii="Times New Roman"/>
                <w:sz w:val="22"/>
              </w:rPr>
            </w:pPr>
          </w:p>
        </w:tc>
      </w:tr>
      <w:tr w14:paraId="1B26C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1" w:type="dxa"/>
            <w:vMerge w:val="continue"/>
            <w:tcBorders>
              <w:top w:val="nil"/>
            </w:tcBorders>
          </w:tcPr>
          <w:p w14:paraId="49C8A8E1">
            <w:pPr>
              <w:rPr>
                <w:sz w:val="2"/>
                <w:szCs w:val="2"/>
              </w:rPr>
            </w:pPr>
          </w:p>
        </w:tc>
        <w:tc>
          <w:tcPr>
            <w:tcW w:w="547" w:type="dxa"/>
          </w:tcPr>
          <w:p w14:paraId="4E02D37E">
            <w:pPr>
              <w:pStyle w:val="15"/>
              <w:spacing w:before="2"/>
              <w:rPr>
                <w:sz w:val="19"/>
              </w:rPr>
            </w:pPr>
          </w:p>
          <w:p w14:paraId="2B550173">
            <w:pPr>
              <w:pStyle w:val="15"/>
              <w:ind w:left="10"/>
              <w:jc w:val="center"/>
              <w:rPr>
                <w:sz w:val="24"/>
              </w:rPr>
            </w:pPr>
            <w:r>
              <w:rPr>
                <w:sz w:val="24"/>
              </w:rPr>
              <w:t>2</w:t>
            </w:r>
          </w:p>
        </w:tc>
        <w:tc>
          <w:tcPr>
            <w:tcW w:w="6649" w:type="dxa"/>
          </w:tcPr>
          <w:p w14:paraId="1561A49A">
            <w:pPr>
              <w:pStyle w:val="15"/>
              <w:spacing w:before="90" w:line="242" w:lineRule="auto"/>
              <w:ind w:left="108" w:right="33"/>
              <w:rPr>
                <w:sz w:val="24"/>
              </w:rPr>
            </w:pPr>
            <w:r>
              <w:rPr>
                <w:sz w:val="24"/>
              </w:rPr>
              <w:t>必须为在中华人民共和国境内，依法成立、具有独立法人资格的供应商。</w:t>
            </w:r>
          </w:p>
        </w:tc>
        <w:tc>
          <w:tcPr>
            <w:tcW w:w="555" w:type="dxa"/>
          </w:tcPr>
          <w:p w14:paraId="0CEF6A7B">
            <w:pPr>
              <w:pStyle w:val="15"/>
              <w:rPr>
                <w:rFonts w:ascii="Times New Roman"/>
                <w:sz w:val="22"/>
              </w:rPr>
            </w:pPr>
          </w:p>
        </w:tc>
        <w:tc>
          <w:tcPr>
            <w:tcW w:w="654" w:type="dxa"/>
          </w:tcPr>
          <w:p w14:paraId="7E4BACF7">
            <w:pPr>
              <w:pStyle w:val="15"/>
              <w:rPr>
                <w:rFonts w:ascii="Times New Roman"/>
                <w:sz w:val="22"/>
              </w:rPr>
            </w:pPr>
          </w:p>
        </w:tc>
      </w:tr>
      <w:tr w14:paraId="4AD17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881" w:type="dxa"/>
            <w:vMerge w:val="continue"/>
            <w:tcBorders>
              <w:top w:val="nil"/>
            </w:tcBorders>
          </w:tcPr>
          <w:p w14:paraId="3C10BE28">
            <w:pPr>
              <w:rPr>
                <w:sz w:val="2"/>
                <w:szCs w:val="2"/>
              </w:rPr>
            </w:pPr>
          </w:p>
        </w:tc>
        <w:tc>
          <w:tcPr>
            <w:tcW w:w="547" w:type="dxa"/>
          </w:tcPr>
          <w:p w14:paraId="3A2BD08F">
            <w:pPr>
              <w:pStyle w:val="15"/>
              <w:spacing w:before="1"/>
              <w:rPr>
                <w:sz w:val="20"/>
              </w:rPr>
            </w:pPr>
          </w:p>
          <w:p w14:paraId="32837C8F">
            <w:pPr>
              <w:pStyle w:val="15"/>
              <w:ind w:left="10"/>
              <w:jc w:val="center"/>
              <w:rPr>
                <w:sz w:val="24"/>
              </w:rPr>
            </w:pPr>
            <w:r>
              <w:rPr>
                <w:sz w:val="24"/>
              </w:rPr>
              <w:t>3</w:t>
            </w:r>
          </w:p>
        </w:tc>
        <w:tc>
          <w:tcPr>
            <w:tcW w:w="6649" w:type="dxa"/>
          </w:tcPr>
          <w:p w14:paraId="0DE1ACB2">
            <w:pPr>
              <w:pStyle w:val="15"/>
              <w:spacing w:before="102" w:line="242" w:lineRule="auto"/>
              <w:ind w:left="108" w:right="33"/>
              <w:rPr>
                <w:sz w:val="24"/>
              </w:rPr>
            </w:pPr>
            <w:r>
              <w:rPr>
                <w:sz w:val="24"/>
              </w:rPr>
              <w:t>法定代表人投标需提供法定代表人资格证明书，委托代理人投标需提供法定代表人授权委托书。</w:t>
            </w:r>
          </w:p>
        </w:tc>
        <w:tc>
          <w:tcPr>
            <w:tcW w:w="555" w:type="dxa"/>
          </w:tcPr>
          <w:p w14:paraId="087A2407">
            <w:pPr>
              <w:pStyle w:val="15"/>
              <w:rPr>
                <w:rFonts w:ascii="Times New Roman"/>
                <w:sz w:val="22"/>
              </w:rPr>
            </w:pPr>
          </w:p>
        </w:tc>
        <w:tc>
          <w:tcPr>
            <w:tcW w:w="654" w:type="dxa"/>
          </w:tcPr>
          <w:p w14:paraId="44E2E09B">
            <w:pPr>
              <w:pStyle w:val="15"/>
              <w:rPr>
                <w:rFonts w:ascii="Times New Roman"/>
                <w:sz w:val="22"/>
              </w:rPr>
            </w:pPr>
          </w:p>
        </w:tc>
      </w:tr>
      <w:tr w14:paraId="63525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881" w:type="dxa"/>
            <w:vMerge w:val="continue"/>
            <w:tcBorders>
              <w:top w:val="nil"/>
            </w:tcBorders>
          </w:tcPr>
          <w:p w14:paraId="11070C07">
            <w:pPr>
              <w:rPr>
                <w:sz w:val="2"/>
                <w:szCs w:val="2"/>
              </w:rPr>
            </w:pPr>
          </w:p>
        </w:tc>
        <w:tc>
          <w:tcPr>
            <w:tcW w:w="547" w:type="dxa"/>
          </w:tcPr>
          <w:p w14:paraId="0CEC08AD">
            <w:pPr>
              <w:pStyle w:val="15"/>
              <w:spacing w:before="4"/>
              <w:rPr>
                <w:sz w:val="18"/>
              </w:rPr>
            </w:pPr>
          </w:p>
          <w:p w14:paraId="303B179F">
            <w:pPr>
              <w:pStyle w:val="15"/>
              <w:ind w:left="10"/>
              <w:jc w:val="center"/>
              <w:rPr>
                <w:sz w:val="24"/>
              </w:rPr>
            </w:pPr>
            <w:r>
              <w:rPr>
                <w:sz w:val="24"/>
              </w:rPr>
              <w:t>4</w:t>
            </w:r>
          </w:p>
        </w:tc>
        <w:tc>
          <w:tcPr>
            <w:tcW w:w="6649" w:type="dxa"/>
          </w:tcPr>
          <w:p w14:paraId="058C4DC8">
            <w:pPr>
              <w:pStyle w:val="15"/>
              <w:spacing w:before="79" w:line="242" w:lineRule="auto"/>
              <w:ind w:left="108" w:right="96"/>
              <w:rPr>
                <w:sz w:val="24"/>
              </w:rPr>
            </w:pPr>
            <w:r>
              <w:rPr>
                <w:sz w:val="24"/>
              </w:rPr>
              <w:t>202</w:t>
            </w:r>
            <w:r>
              <w:rPr>
                <w:rFonts w:hint="eastAsia"/>
                <w:sz w:val="24"/>
                <w:lang w:val="en-US" w:eastAsia="zh-CN"/>
              </w:rPr>
              <w:t>4</w:t>
            </w:r>
            <w:r>
              <w:rPr>
                <w:spacing w:val="-14"/>
                <w:sz w:val="24"/>
              </w:rPr>
              <w:t>年财务状况报告或银行出具的资信证明材料</w:t>
            </w:r>
            <w:r>
              <w:rPr>
                <w:sz w:val="24"/>
              </w:rPr>
              <w:t>（</w:t>
            </w:r>
            <w:r>
              <w:rPr>
                <w:spacing w:val="-4"/>
                <w:sz w:val="24"/>
              </w:rPr>
              <w:t>新成立的公</w:t>
            </w:r>
            <w:r>
              <w:rPr>
                <w:sz w:val="24"/>
              </w:rPr>
              <w:t>司可不提供）。</w:t>
            </w:r>
          </w:p>
        </w:tc>
        <w:tc>
          <w:tcPr>
            <w:tcW w:w="555" w:type="dxa"/>
          </w:tcPr>
          <w:p w14:paraId="15935859">
            <w:pPr>
              <w:pStyle w:val="15"/>
              <w:rPr>
                <w:rFonts w:ascii="Times New Roman"/>
                <w:sz w:val="22"/>
              </w:rPr>
            </w:pPr>
          </w:p>
        </w:tc>
        <w:tc>
          <w:tcPr>
            <w:tcW w:w="654" w:type="dxa"/>
          </w:tcPr>
          <w:p w14:paraId="3FAF12E5">
            <w:pPr>
              <w:pStyle w:val="15"/>
              <w:rPr>
                <w:rFonts w:ascii="Times New Roman"/>
                <w:sz w:val="22"/>
              </w:rPr>
            </w:pPr>
          </w:p>
        </w:tc>
      </w:tr>
      <w:tr w14:paraId="63426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881" w:type="dxa"/>
            <w:vMerge w:val="continue"/>
            <w:tcBorders>
              <w:top w:val="nil"/>
            </w:tcBorders>
          </w:tcPr>
          <w:p w14:paraId="726D7F5A">
            <w:pPr>
              <w:rPr>
                <w:sz w:val="2"/>
                <w:szCs w:val="2"/>
              </w:rPr>
            </w:pPr>
          </w:p>
        </w:tc>
        <w:tc>
          <w:tcPr>
            <w:tcW w:w="547" w:type="dxa"/>
          </w:tcPr>
          <w:p w14:paraId="1D7E0969">
            <w:pPr>
              <w:pStyle w:val="15"/>
              <w:spacing w:before="11"/>
              <w:rPr>
                <w:sz w:val="18"/>
              </w:rPr>
            </w:pPr>
          </w:p>
          <w:p w14:paraId="38B85DBB">
            <w:pPr>
              <w:pStyle w:val="15"/>
              <w:ind w:left="10"/>
              <w:jc w:val="center"/>
              <w:rPr>
                <w:sz w:val="24"/>
              </w:rPr>
            </w:pPr>
            <w:r>
              <w:rPr>
                <w:sz w:val="24"/>
              </w:rPr>
              <w:t>5</w:t>
            </w:r>
          </w:p>
        </w:tc>
        <w:tc>
          <w:tcPr>
            <w:tcW w:w="6649" w:type="dxa"/>
          </w:tcPr>
          <w:p w14:paraId="58E57317">
            <w:pPr>
              <w:pStyle w:val="15"/>
              <w:spacing w:before="86" w:line="242" w:lineRule="auto"/>
              <w:ind w:left="108" w:right="408"/>
              <w:rPr>
                <w:sz w:val="24"/>
              </w:rPr>
            </w:pPr>
            <w:r>
              <w:rPr>
                <w:sz w:val="24"/>
              </w:rPr>
              <w:t>具有履行合同所必需的设备和专业技术能力(声明函格式自拟)即具有完成本项目采购能力。</w:t>
            </w:r>
          </w:p>
        </w:tc>
        <w:tc>
          <w:tcPr>
            <w:tcW w:w="555" w:type="dxa"/>
          </w:tcPr>
          <w:p w14:paraId="4FFBAF11">
            <w:pPr>
              <w:pStyle w:val="15"/>
              <w:rPr>
                <w:rFonts w:ascii="Times New Roman"/>
                <w:sz w:val="22"/>
              </w:rPr>
            </w:pPr>
          </w:p>
        </w:tc>
        <w:tc>
          <w:tcPr>
            <w:tcW w:w="654" w:type="dxa"/>
          </w:tcPr>
          <w:p w14:paraId="29FD532F">
            <w:pPr>
              <w:pStyle w:val="15"/>
              <w:rPr>
                <w:rFonts w:ascii="Times New Roman"/>
                <w:sz w:val="22"/>
              </w:rPr>
            </w:pPr>
          </w:p>
        </w:tc>
      </w:tr>
      <w:tr w14:paraId="5AF21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881" w:type="dxa"/>
            <w:vMerge w:val="continue"/>
            <w:tcBorders>
              <w:top w:val="nil"/>
            </w:tcBorders>
          </w:tcPr>
          <w:p w14:paraId="3D7B7FB1">
            <w:pPr>
              <w:rPr>
                <w:sz w:val="2"/>
                <w:szCs w:val="2"/>
              </w:rPr>
            </w:pPr>
          </w:p>
        </w:tc>
        <w:tc>
          <w:tcPr>
            <w:tcW w:w="547" w:type="dxa"/>
          </w:tcPr>
          <w:p w14:paraId="3562BCCB">
            <w:pPr>
              <w:pStyle w:val="15"/>
              <w:rPr>
                <w:sz w:val="22"/>
              </w:rPr>
            </w:pPr>
          </w:p>
          <w:p w14:paraId="16AC6C78">
            <w:pPr>
              <w:pStyle w:val="15"/>
              <w:ind w:left="10"/>
              <w:jc w:val="center"/>
              <w:rPr>
                <w:sz w:val="24"/>
              </w:rPr>
            </w:pPr>
            <w:r>
              <w:rPr>
                <w:sz w:val="24"/>
              </w:rPr>
              <w:t>6</w:t>
            </w:r>
          </w:p>
        </w:tc>
        <w:tc>
          <w:tcPr>
            <w:tcW w:w="6649" w:type="dxa"/>
          </w:tcPr>
          <w:p w14:paraId="5CBAA544">
            <w:pPr>
              <w:pStyle w:val="15"/>
              <w:spacing w:before="126" w:line="242" w:lineRule="auto"/>
              <w:ind w:left="108" w:right="168"/>
              <w:rPr>
                <w:sz w:val="24"/>
              </w:rPr>
            </w:pPr>
            <w:r>
              <w:rPr>
                <w:sz w:val="24"/>
              </w:rPr>
              <w:t>具有依法缴纳税收和社会保障资金的良好记录(提供相应证明材料)。</w:t>
            </w:r>
          </w:p>
        </w:tc>
        <w:tc>
          <w:tcPr>
            <w:tcW w:w="555" w:type="dxa"/>
          </w:tcPr>
          <w:p w14:paraId="5CCE6A00">
            <w:pPr>
              <w:pStyle w:val="15"/>
              <w:rPr>
                <w:rFonts w:ascii="Times New Roman"/>
                <w:sz w:val="22"/>
              </w:rPr>
            </w:pPr>
          </w:p>
        </w:tc>
        <w:tc>
          <w:tcPr>
            <w:tcW w:w="654" w:type="dxa"/>
          </w:tcPr>
          <w:p w14:paraId="06FDEC3A">
            <w:pPr>
              <w:pStyle w:val="15"/>
              <w:rPr>
                <w:rFonts w:ascii="Times New Roman"/>
                <w:sz w:val="22"/>
              </w:rPr>
            </w:pPr>
          </w:p>
        </w:tc>
      </w:tr>
      <w:tr w14:paraId="5F95B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trPr>
        <w:tc>
          <w:tcPr>
            <w:tcW w:w="881" w:type="dxa"/>
            <w:vMerge w:val="continue"/>
            <w:tcBorders>
              <w:top w:val="nil"/>
            </w:tcBorders>
          </w:tcPr>
          <w:p w14:paraId="298D5D16">
            <w:pPr>
              <w:rPr>
                <w:sz w:val="2"/>
                <w:szCs w:val="2"/>
              </w:rPr>
            </w:pPr>
          </w:p>
        </w:tc>
        <w:tc>
          <w:tcPr>
            <w:tcW w:w="547" w:type="dxa"/>
          </w:tcPr>
          <w:p w14:paraId="134277F1">
            <w:pPr>
              <w:pStyle w:val="15"/>
              <w:spacing w:before="6"/>
              <w:rPr>
                <w:sz w:val="28"/>
              </w:rPr>
            </w:pPr>
          </w:p>
          <w:p w14:paraId="23031BF6">
            <w:pPr>
              <w:pStyle w:val="15"/>
              <w:spacing w:before="1"/>
              <w:ind w:left="10"/>
              <w:jc w:val="center"/>
              <w:rPr>
                <w:sz w:val="24"/>
              </w:rPr>
            </w:pPr>
            <w:r>
              <w:rPr>
                <w:sz w:val="24"/>
              </w:rPr>
              <w:t>7</w:t>
            </w:r>
          </w:p>
        </w:tc>
        <w:tc>
          <w:tcPr>
            <w:tcW w:w="6649" w:type="dxa"/>
          </w:tcPr>
          <w:p w14:paraId="25E623DE">
            <w:pPr>
              <w:pStyle w:val="15"/>
              <w:spacing w:before="53" w:line="242" w:lineRule="auto"/>
              <w:ind w:left="108" w:right="96"/>
              <w:jc w:val="both"/>
              <w:rPr>
                <w:sz w:val="24"/>
              </w:rPr>
            </w:pPr>
            <w:r>
              <w:rPr>
                <w:spacing w:val="-4"/>
                <w:sz w:val="24"/>
              </w:rPr>
              <w:t>单位负责人为同一人或者存在直接控股、管理关系的不同供应</w:t>
            </w:r>
            <w:r>
              <w:rPr>
                <w:sz w:val="24"/>
              </w:rPr>
              <w:t>商，不得参加同一合同项下的政府采购活动(提供声明函格式自拟)。</w:t>
            </w:r>
          </w:p>
        </w:tc>
        <w:tc>
          <w:tcPr>
            <w:tcW w:w="555" w:type="dxa"/>
          </w:tcPr>
          <w:p w14:paraId="371259F8">
            <w:pPr>
              <w:pStyle w:val="15"/>
              <w:rPr>
                <w:rFonts w:ascii="Times New Roman"/>
                <w:sz w:val="22"/>
              </w:rPr>
            </w:pPr>
          </w:p>
        </w:tc>
        <w:tc>
          <w:tcPr>
            <w:tcW w:w="654" w:type="dxa"/>
          </w:tcPr>
          <w:p w14:paraId="0348D3EA">
            <w:pPr>
              <w:pStyle w:val="15"/>
              <w:rPr>
                <w:rFonts w:ascii="Times New Roman"/>
                <w:sz w:val="22"/>
              </w:rPr>
            </w:pPr>
          </w:p>
        </w:tc>
      </w:tr>
      <w:tr w14:paraId="7A226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881" w:type="dxa"/>
            <w:vMerge w:val="continue"/>
            <w:tcBorders>
              <w:top w:val="nil"/>
            </w:tcBorders>
          </w:tcPr>
          <w:p w14:paraId="59B84177">
            <w:pPr>
              <w:rPr>
                <w:sz w:val="2"/>
                <w:szCs w:val="2"/>
              </w:rPr>
            </w:pPr>
          </w:p>
        </w:tc>
        <w:tc>
          <w:tcPr>
            <w:tcW w:w="547" w:type="dxa"/>
          </w:tcPr>
          <w:p w14:paraId="5DE1E82D">
            <w:pPr>
              <w:pStyle w:val="15"/>
              <w:spacing w:before="151"/>
              <w:ind w:left="10"/>
              <w:jc w:val="center"/>
              <w:rPr>
                <w:sz w:val="24"/>
              </w:rPr>
            </w:pPr>
            <w:r>
              <w:rPr>
                <w:sz w:val="24"/>
              </w:rPr>
              <w:t>8</w:t>
            </w:r>
          </w:p>
        </w:tc>
        <w:tc>
          <w:tcPr>
            <w:tcW w:w="6649" w:type="dxa"/>
          </w:tcPr>
          <w:p w14:paraId="1575A1CA">
            <w:pPr>
              <w:pStyle w:val="15"/>
              <w:spacing w:before="151"/>
              <w:ind w:left="108"/>
              <w:rPr>
                <w:sz w:val="24"/>
              </w:rPr>
            </w:pPr>
            <w:r>
              <w:rPr>
                <w:sz w:val="24"/>
              </w:rPr>
              <w:t>供应商为中小企业(提供供应商为中小企业的声明函)。</w:t>
            </w:r>
          </w:p>
        </w:tc>
        <w:tc>
          <w:tcPr>
            <w:tcW w:w="555" w:type="dxa"/>
          </w:tcPr>
          <w:p w14:paraId="0D3B7CAA">
            <w:pPr>
              <w:pStyle w:val="15"/>
              <w:rPr>
                <w:rFonts w:ascii="Times New Roman"/>
                <w:sz w:val="22"/>
              </w:rPr>
            </w:pPr>
          </w:p>
        </w:tc>
        <w:tc>
          <w:tcPr>
            <w:tcW w:w="654" w:type="dxa"/>
          </w:tcPr>
          <w:p w14:paraId="157F0672">
            <w:pPr>
              <w:pStyle w:val="15"/>
              <w:rPr>
                <w:rFonts w:ascii="Times New Roman"/>
                <w:sz w:val="22"/>
              </w:rPr>
            </w:pPr>
          </w:p>
        </w:tc>
      </w:tr>
      <w:tr w14:paraId="567CE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881" w:type="dxa"/>
            <w:vMerge w:val="continue"/>
            <w:tcBorders>
              <w:top w:val="nil"/>
            </w:tcBorders>
          </w:tcPr>
          <w:p w14:paraId="2F7A04CB">
            <w:pPr>
              <w:rPr>
                <w:sz w:val="2"/>
                <w:szCs w:val="2"/>
              </w:rPr>
            </w:pPr>
          </w:p>
        </w:tc>
        <w:tc>
          <w:tcPr>
            <w:tcW w:w="547" w:type="dxa"/>
          </w:tcPr>
          <w:p w14:paraId="61EA6155">
            <w:pPr>
              <w:pStyle w:val="15"/>
              <w:spacing w:before="11"/>
              <w:rPr>
                <w:sz w:val="20"/>
              </w:rPr>
            </w:pPr>
          </w:p>
          <w:p w14:paraId="2409C52A">
            <w:pPr>
              <w:pStyle w:val="15"/>
              <w:spacing w:before="1"/>
              <w:ind w:left="10"/>
              <w:jc w:val="center"/>
              <w:rPr>
                <w:sz w:val="24"/>
              </w:rPr>
            </w:pPr>
            <w:r>
              <w:rPr>
                <w:sz w:val="24"/>
              </w:rPr>
              <w:t>9</w:t>
            </w:r>
          </w:p>
        </w:tc>
        <w:tc>
          <w:tcPr>
            <w:tcW w:w="6649" w:type="dxa"/>
          </w:tcPr>
          <w:p w14:paraId="1AD4C208">
            <w:pPr>
              <w:pStyle w:val="15"/>
              <w:spacing w:before="112" w:line="242" w:lineRule="auto"/>
              <w:ind w:left="108" w:right="33"/>
              <w:rPr>
                <w:sz w:val="24"/>
              </w:rPr>
            </w:pPr>
            <w:r>
              <w:rPr>
                <w:sz w:val="24"/>
              </w:rPr>
              <w:t>投标保证金缴纳凭证（保函、保证保险等非现金形式的提供基本户打款凭证及保单）。</w:t>
            </w:r>
          </w:p>
        </w:tc>
        <w:tc>
          <w:tcPr>
            <w:tcW w:w="555" w:type="dxa"/>
          </w:tcPr>
          <w:p w14:paraId="6C032946">
            <w:pPr>
              <w:pStyle w:val="15"/>
              <w:rPr>
                <w:rFonts w:ascii="Times New Roman"/>
                <w:sz w:val="22"/>
              </w:rPr>
            </w:pPr>
          </w:p>
        </w:tc>
        <w:tc>
          <w:tcPr>
            <w:tcW w:w="654" w:type="dxa"/>
          </w:tcPr>
          <w:p w14:paraId="6E23BC0B">
            <w:pPr>
              <w:pStyle w:val="15"/>
              <w:rPr>
                <w:rFonts w:ascii="Times New Roman"/>
                <w:sz w:val="22"/>
              </w:rPr>
            </w:pPr>
          </w:p>
        </w:tc>
      </w:tr>
      <w:tr w14:paraId="4DD44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0" w:hRule="atLeast"/>
        </w:trPr>
        <w:tc>
          <w:tcPr>
            <w:tcW w:w="881" w:type="dxa"/>
            <w:vMerge w:val="continue"/>
            <w:tcBorders>
              <w:top w:val="nil"/>
            </w:tcBorders>
          </w:tcPr>
          <w:p w14:paraId="5BFCBF2E">
            <w:pPr>
              <w:rPr>
                <w:sz w:val="2"/>
                <w:szCs w:val="2"/>
              </w:rPr>
            </w:pPr>
          </w:p>
        </w:tc>
        <w:tc>
          <w:tcPr>
            <w:tcW w:w="547" w:type="dxa"/>
          </w:tcPr>
          <w:p w14:paraId="7AC0E590">
            <w:pPr>
              <w:pStyle w:val="15"/>
              <w:rPr>
                <w:sz w:val="24"/>
              </w:rPr>
            </w:pPr>
          </w:p>
          <w:p w14:paraId="11D7A25E">
            <w:pPr>
              <w:pStyle w:val="15"/>
              <w:rPr>
                <w:sz w:val="24"/>
              </w:rPr>
            </w:pPr>
          </w:p>
          <w:p w14:paraId="6EC0360F">
            <w:pPr>
              <w:pStyle w:val="15"/>
              <w:rPr>
                <w:sz w:val="24"/>
              </w:rPr>
            </w:pPr>
          </w:p>
          <w:p w14:paraId="74C460E3">
            <w:pPr>
              <w:pStyle w:val="15"/>
              <w:spacing w:before="195"/>
              <w:ind w:left="133" w:right="123"/>
              <w:jc w:val="center"/>
              <w:rPr>
                <w:sz w:val="24"/>
              </w:rPr>
            </w:pPr>
            <w:r>
              <w:rPr>
                <w:sz w:val="24"/>
              </w:rPr>
              <w:t>10</w:t>
            </w:r>
          </w:p>
        </w:tc>
        <w:tc>
          <w:tcPr>
            <w:tcW w:w="6649" w:type="dxa"/>
          </w:tcPr>
          <w:p w14:paraId="53CDF197">
            <w:pPr>
              <w:pStyle w:val="15"/>
              <w:spacing w:before="160" w:line="312" w:lineRule="auto"/>
              <w:ind w:left="108" w:right="48"/>
              <w:rPr>
                <w:sz w:val="24"/>
              </w:rPr>
            </w:pPr>
            <w:r>
              <w:rPr>
                <w:sz w:val="24"/>
              </w:rPr>
              <w:t>供应商参加政府采购活动前三年内，在经营活动中没有重大违</w:t>
            </w:r>
            <w:r>
              <w:fldChar w:fldCharType="begin"/>
            </w:r>
            <w:r>
              <w:instrText xml:space="preserve"> HYPERLINK "http://www.creditchina.gov.cn/" \h </w:instrText>
            </w:r>
            <w:r>
              <w:fldChar w:fldCharType="separate"/>
            </w:r>
            <w:r>
              <w:rPr>
                <w:sz w:val="24"/>
              </w:rPr>
              <w:t>法记录，在“信用中国”网站（www.creditchina.gov.cn</w:t>
            </w:r>
            <w:r>
              <w:rPr>
                <w:sz w:val="24"/>
              </w:rPr>
              <w:fldChar w:fldCharType="end"/>
            </w:r>
            <w:r>
              <w:rPr>
                <w:sz w:val="24"/>
              </w:rPr>
              <w:t>）、中国政府采购网（</w:t>
            </w:r>
            <w:r>
              <w:fldChar w:fldCharType="begin"/>
            </w:r>
            <w:r>
              <w:instrText xml:space="preserve"> HYPERLINK "http://www.ccgp.gov.cn/" \h </w:instrText>
            </w:r>
            <w:r>
              <w:fldChar w:fldCharType="separate"/>
            </w:r>
            <w:r>
              <w:rPr>
                <w:sz w:val="24"/>
              </w:rPr>
              <w:t>www.ccgp.gov.cn</w:t>
            </w:r>
            <w:r>
              <w:rPr>
                <w:sz w:val="24"/>
              </w:rPr>
              <w:fldChar w:fldCharType="end"/>
            </w:r>
            <w:r>
              <w:rPr>
                <w:sz w:val="24"/>
              </w:rPr>
              <w:t>）没有被列入失信被执行人、重大税收违法失信主体名单、政府采购严重违法失信行为记录名单及其他不符合规定条件。（提供查询结果网页截图并</w:t>
            </w:r>
          </w:p>
          <w:p w14:paraId="1AEA0CC8">
            <w:pPr>
              <w:pStyle w:val="15"/>
              <w:spacing w:before="3"/>
              <w:ind w:left="108"/>
              <w:rPr>
                <w:sz w:val="24"/>
              </w:rPr>
            </w:pPr>
            <w:r>
              <w:rPr>
                <w:sz w:val="24"/>
              </w:rPr>
              <w:t>加盖供应商公章）。</w:t>
            </w:r>
          </w:p>
        </w:tc>
        <w:tc>
          <w:tcPr>
            <w:tcW w:w="555" w:type="dxa"/>
          </w:tcPr>
          <w:p w14:paraId="52F9835A">
            <w:pPr>
              <w:pStyle w:val="15"/>
              <w:rPr>
                <w:rFonts w:ascii="Times New Roman"/>
                <w:sz w:val="22"/>
              </w:rPr>
            </w:pPr>
          </w:p>
        </w:tc>
        <w:tc>
          <w:tcPr>
            <w:tcW w:w="654" w:type="dxa"/>
          </w:tcPr>
          <w:p w14:paraId="7E650CBF">
            <w:pPr>
              <w:pStyle w:val="15"/>
              <w:rPr>
                <w:rFonts w:ascii="Times New Roman"/>
                <w:sz w:val="22"/>
              </w:rPr>
            </w:pPr>
          </w:p>
        </w:tc>
      </w:tr>
      <w:tr w14:paraId="360C8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881" w:type="dxa"/>
            <w:vMerge w:val="continue"/>
            <w:tcBorders>
              <w:top w:val="nil"/>
            </w:tcBorders>
          </w:tcPr>
          <w:p w14:paraId="1FB62794">
            <w:pPr>
              <w:rPr>
                <w:sz w:val="2"/>
                <w:szCs w:val="2"/>
              </w:rPr>
            </w:pPr>
          </w:p>
        </w:tc>
        <w:tc>
          <w:tcPr>
            <w:tcW w:w="7196" w:type="dxa"/>
            <w:gridSpan w:val="2"/>
          </w:tcPr>
          <w:p w14:paraId="6B693EC0">
            <w:pPr>
              <w:pStyle w:val="15"/>
              <w:spacing w:before="80"/>
              <w:ind w:left="107"/>
              <w:rPr>
                <w:sz w:val="24"/>
              </w:rPr>
            </w:pPr>
            <w:r>
              <w:rPr>
                <w:sz w:val="24"/>
              </w:rPr>
              <w:t>结论：是否通过评审（须填写是或否）</w:t>
            </w:r>
          </w:p>
          <w:p w14:paraId="63D4ADE3">
            <w:pPr>
              <w:pStyle w:val="15"/>
              <w:spacing w:before="93"/>
              <w:ind w:left="107"/>
              <w:rPr>
                <w:sz w:val="24"/>
              </w:rPr>
            </w:pPr>
            <w:r>
              <w:rPr>
                <w:sz w:val="24"/>
              </w:rPr>
              <w:t>注：如有一项不合格，作废标处理。</w:t>
            </w:r>
          </w:p>
        </w:tc>
        <w:tc>
          <w:tcPr>
            <w:tcW w:w="1209" w:type="dxa"/>
            <w:gridSpan w:val="2"/>
          </w:tcPr>
          <w:p w14:paraId="436959FB">
            <w:pPr>
              <w:pStyle w:val="15"/>
              <w:rPr>
                <w:rFonts w:ascii="Times New Roman"/>
                <w:sz w:val="22"/>
              </w:rPr>
            </w:pPr>
          </w:p>
        </w:tc>
      </w:tr>
    </w:tbl>
    <w:p w14:paraId="6F6B0DD1">
      <w:pPr>
        <w:pStyle w:val="7"/>
        <w:numPr>
          <w:ilvl w:val="1"/>
          <w:numId w:val="37"/>
        </w:numPr>
        <w:tabs>
          <w:tab w:val="left" w:pos="1421"/>
        </w:tabs>
        <w:spacing w:before="80" w:after="0" w:line="312" w:lineRule="auto"/>
        <w:ind w:left="420" w:right="565" w:firstLine="578"/>
        <w:jc w:val="both"/>
      </w:pPr>
      <w:r>
        <w:rPr>
          <w:spacing w:val="-6"/>
        </w:rPr>
        <w:t>如评标专家在检验电子标书过程中，如果由于投标人自身原因导致评标专家无法查</w:t>
      </w:r>
      <w:r>
        <w:rPr>
          <w:spacing w:val="-4"/>
        </w:rPr>
        <w:t>看并检验电子标书中以上相关资料的，否决其投标。即使投标单位将原件携带至现场的，同</w:t>
      </w:r>
      <w:r>
        <w:t>样按无效投标处理。</w:t>
      </w:r>
    </w:p>
    <w:p w14:paraId="27031C18">
      <w:pPr>
        <w:spacing w:after="0" w:line="312" w:lineRule="auto"/>
        <w:jc w:val="both"/>
        <w:sectPr>
          <w:pgSz w:w="11910" w:h="16840"/>
          <w:pgMar w:top="1380" w:right="660" w:bottom="1180" w:left="660" w:header="0" w:footer="909" w:gutter="0"/>
          <w:cols w:space="720" w:num="1"/>
        </w:sectPr>
      </w:pPr>
    </w:p>
    <w:p w14:paraId="0C5FC708">
      <w:pPr>
        <w:pStyle w:val="8"/>
        <w:spacing w:before="11"/>
        <w:rPr>
          <w:b/>
          <w:sz w:val="27"/>
        </w:rPr>
      </w:pPr>
    </w:p>
    <w:p w14:paraId="321DC65C">
      <w:pPr>
        <w:pStyle w:val="7"/>
        <w:numPr>
          <w:ilvl w:val="0"/>
          <w:numId w:val="37"/>
        </w:numPr>
        <w:tabs>
          <w:tab w:val="left" w:pos="901"/>
        </w:tabs>
        <w:spacing w:before="67" w:after="0" w:line="240" w:lineRule="auto"/>
        <w:ind w:left="901" w:right="0" w:hanging="241"/>
        <w:jc w:val="left"/>
        <w:rPr>
          <w:sz w:val="22"/>
        </w:rPr>
      </w:pPr>
      <w:r>
        <w:t>符合性审查</w:t>
      </w:r>
    </w:p>
    <w:p w14:paraId="6A2A5E24">
      <w:pPr>
        <w:pStyle w:val="14"/>
        <w:numPr>
          <w:ilvl w:val="1"/>
          <w:numId w:val="37"/>
        </w:numPr>
        <w:tabs>
          <w:tab w:val="left" w:pos="1320"/>
        </w:tabs>
        <w:spacing w:before="131" w:after="0" w:line="240" w:lineRule="auto"/>
        <w:ind w:left="1320" w:right="0" w:hanging="540"/>
        <w:jc w:val="left"/>
        <w:rPr>
          <w:sz w:val="24"/>
        </w:rPr>
      </w:pPr>
      <w:r>
        <w:rPr>
          <w:sz w:val="24"/>
        </w:rPr>
        <w:t>评审细则</w:t>
      </w:r>
    </w:p>
    <w:p w14:paraId="2077D690">
      <w:pPr>
        <w:pStyle w:val="8"/>
        <w:rPr>
          <w:sz w:val="20"/>
        </w:rPr>
      </w:pPr>
    </w:p>
    <w:p w14:paraId="5A5AD620">
      <w:pPr>
        <w:pStyle w:val="8"/>
      </w:pPr>
    </w:p>
    <w:tbl>
      <w:tblPr>
        <w:tblStyle w:val="11"/>
        <w:tblW w:w="0" w:type="auto"/>
        <w:tblInd w:w="5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7"/>
        <w:gridCol w:w="561"/>
        <w:gridCol w:w="6271"/>
        <w:gridCol w:w="678"/>
        <w:gridCol w:w="688"/>
      </w:tblGrid>
      <w:tr w14:paraId="4EE0C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237" w:type="dxa"/>
            <w:vMerge w:val="restart"/>
          </w:tcPr>
          <w:p w14:paraId="70EFBD49">
            <w:pPr>
              <w:pStyle w:val="15"/>
              <w:spacing w:before="187"/>
              <w:ind w:left="375"/>
              <w:rPr>
                <w:b/>
                <w:sz w:val="24"/>
              </w:rPr>
            </w:pPr>
            <w:r>
              <w:rPr>
                <w:b/>
                <w:sz w:val="24"/>
              </w:rPr>
              <w:t>项目</w:t>
            </w:r>
          </w:p>
        </w:tc>
        <w:tc>
          <w:tcPr>
            <w:tcW w:w="6832" w:type="dxa"/>
            <w:gridSpan w:val="2"/>
            <w:vMerge w:val="restart"/>
          </w:tcPr>
          <w:p w14:paraId="36BA8B28">
            <w:pPr>
              <w:pStyle w:val="15"/>
              <w:spacing w:before="187"/>
              <w:ind w:left="2912" w:right="2906"/>
              <w:jc w:val="center"/>
              <w:rPr>
                <w:b/>
                <w:sz w:val="24"/>
              </w:rPr>
            </w:pPr>
            <w:r>
              <w:rPr>
                <w:b/>
                <w:sz w:val="24"/>
              </w:rPr>
              <w:t>评审内容</w:t>
            </w:r>
          </w:p>
        </w:tc>
        <w:tc>
          <w:tcPr>
            <w:tcW w:w="1366" w:type="dxa"/>
            <w:gridSpan w:val="2"/>
          </w:tcPr>
          <w:p w14:paraId="32C93E75">
            <w:pPr>
              <w:pStyle w:val="15"/>
              <w:spacing w:before="19" w:line="304" w:lineRule="exact"/>
              <w:ind w:left="200"/>
              <w:rPr>
                <w:b/>
                <w:sz w:val="24"/>
              </w:rPr>
            </w:pPr>
            <w:r>
              <w:rPr>
                <w:b/>
                <w:sz w:val="24"/>
              </w:rPr>
              <w:t>评审意见</w:t>
            </w:r>
          </w:p>
        </w:tc>
      </w:tr>
      <w:tr w14:paraId="3EF15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237" w:type="dxa"/>
            <w:vMerge w:val="continue"/>
            <w:tcBorders>
              <w:top w:val="nil"/>
            </w:tcBorders>
          </w:tcPr>
          <w:p w14:paraId="2253FEB7">
            <w:pPr>
              <w:rPr>
                <w:sz w:val="2"/>
                <w:szCs w:val="2"/>
              </w:rPr>
            </w:pPr>
          </w:p>
        </w:tc>
        <w:tc>
          <w:tcPr>
            <w:tcW w:w="6832" w:type="dxa"/>
            <w:gridSpan w:val="2"/>
            <w:vMerge w:val="continue"/>
            <w:tcBorders>
              <w:top w:val="nil"/>
            </w:tcBorders>
          </w:tcPr>
          <w:p w14:paraId="7B3AB41D">
            <w:pPr>
              <w:rPr>
                <w:sz w:val="2"/>
                <w:szCs w:val="2"/>
              </w:rPr>
            </w:pPr>
          </w:p>
        </w:tc>
        <w:tc>
          <w:tcPr>
            <w:tcW w:w="678" w:type="dxa"/>
          </w:tcPr>
          <w:p w14:paraId="01709A91">
            <w:pPr>
              <w:pStyle w:val="15"/>
              <w:spacing w:before="9" w:line="296" w:lineRule="exact"/>
              <w:ind w:left="217"/>
              <w:rPr>
                <w:b/>
                <w:sz w:val="24"/>
              </w:rPr>
            </w:pPr>
            <w:r>
              <w:rPr>
                <w:b/>
                <w:w w:val="99"/>
                <w:sz w:val="24"/>
              </w:rPr>
              <w:t>是</w:t>
            </w:r>
          </w:p>
        </w:tc>
        <w:tc>
          <w:tcPr>
            <w:tcW w:w="688" w:type="dxa"/>
          </w:tcPr>
          <w:p w14:paraId="50400CF4">
            <w:pPr>
              <w:pStyle w:val="15"/>
              <w:spacing w:before="9" w:line="296" w:lineRule="exact"/>
              <w:ind w:left="223"/>
              <w:rPr>
                <w:b/>
                <w:sz w:val="24"/>
              </w:rPr>
            </w:pPr>
            <w:r>
              <w:rPr>
                <w:b/>
                <w:w w:val="99"/>
                <w:sz w:val="24"/>
              </w:rPr>
              <w:t>否</w:t>
            </w:r>
          </w:p>
        </w:tc>
      </w:tr>
      <w:tr w14:paraId="1EBE5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1237" w:type="dxa"/>
            <w:vMerge w:val="restart"/>
          </w:tcPr>
          <w:p w14:paraId="4BBA4EAD">
            <w:pPr>
              <w:pStyle w:val="15"/>
              <w:rPr>
                <w:sz w:val="24"/>
              </w:rPr>
            </w:pPr>
          </w:p>
          <w:p w14:paraId="1BFDB072">
            <w:pPr>
              <w:pStyle w:val="15"/>
              <w:rPr>
                <w:sz w:val="24"/>
              </w:rPr>
            </w:pPr>
          </w:p>
          <w:p w14:paraId="742B15E0">
            <w:pPr>
              <w:pStyle w:val="15"/>
              <w:rPr>
                <w:sz w:val="24"/>
              </w:rPr>
            </w:pPr>
          </w:p>
          <w:p w14:paraId="47397D5F">
            <w:pPr>
              <w:pStyle w:val="15"/>
              <w:rPr>
                <w:sz w:val="24"/>
              </w:rPr>
            </w:pPr>
          </w:p>
          <w:p w14:paraId="4D7C4669">
            <w:pPr>
              <w:pStyle w:val="15"/>
              <w:rPr>
                <w:sz w:val="24"/>
              </w:rPr>
            </w:pPr>
          </w:p>
          <w:p w14:paraId="426DF352">
            <w:pPr>
              <w:pStyle w:val="15"/>
              <w:rPr>
                <w:sz w:val="24"/>
              </w:rPr>
            </w:pPr>
          </w:p>
          <w:p w14:paraId="766B4270">
            <w:pPr>
              <w:pStyle w:val="15"/>
              <w:rPr>
                <w:sz w:val="24"/>
              </w:rPr>
            </w:pPr>
          </w:p>
          <w:p w14:paraId="3AD7B881">
            <w:pPr>
              <w:pStyle w:val="15"/>
              <w:spacing w:before="1"/>
              <w:rPr>
                <w:sz w:val="29"/>
              </w:rPr>
            </w:pPr>
          </w:p>
          <w:p w14:paraId="03FDE1D5">
            <w:pPr>
              <w:pStyle w:val="15"/>
              <w:spacing w:line="242" w:lineRule="auto"/>
              <w:ind w:left="498" w:right="486"/>
              <w:jc w:val="both"/>
              <w:rPr>
                <w:sz w:val="24"/>
              </w:rPr>
            </w:pPr>
            <w:r>
              <w:rPr>
                <w:sz w:val="24"/>
              </w:rPr>
              <w:t>审查标准</w:t>
            </w:r>
          </w:p>
        </w:tc>
        <w:tc>
          <w:tcPr>
            <w:tcW w:w="561" w:type="dxa"/>
          </w:tcPr>
          <w:p w14:paraId="0DCC4C50">
            <w:pPr>
              <w:pStyle w:val="15"/>
              <w:spacing w:before="6"/>
              <w:rPr>
                <w:sz w:val="23"/>
              </w:rPr>
            </w:pPr>
          </w:p>
          <w:p w14:paraId="173402E4">
            <w:pPr>
              <w:pStyle w:val="15"/>
              <w:ind w:left="6"/>
              <w:jc w:val="center"/>
              <w:rPr>
                <w:sz w:val="24"/>
              </w:rPr>
            </w:pPr>
            <w:r>
              <w:rPr>
                <w:sz w:val="24"/>
              </w:rPr>
              <w:t>1</w:t>
            </w:r>
          </w:p>
        </w:tc>
        <w:tc>
          <w:tcPr>
            <w:tcW w:w="6271" w:type="dxa"/>
          </w:tcPr>
          <w:p w14:paraId="6F83E112">
            <w:pPr>
              <w:pStyle w:val="15"/>
              <w:spacing w:before="145" w:line="242" w:lineRule="auto"/>
              <w:ind w:left="106" w:right="152"/>
              <w:rPr>
                <w:sz w:val="24"/>
              </w:rPr>
            </w:pPr>
            <w:r>
              <w:rPr>
                <w:sz w:val="24"/>
              </w:rPr>
              <w:t>其报价未超过采购预算金额，且只有一个有效报价，不得提交选择性报价。</w:t>
            </w:r>
          </w:p>
        </w:tc>
        <w:tc>
          <w:tcPr>
            <w:tcW w:w="678" w:type="dxa"/>
          </w:tcPr>
          <w:p w14:paraId="10B7B483">
            <w:pPr>
              <w:pStyle w:val="15"/>
              <w:rPr>
                <w:rFonts w:ascii="Times New Roman"/>
                <w:sz w:val="22"/>
              </w:rPr>
            </w:pPr>
          </w:p>
        </w:tc>
        <w:tc>
          <w:tcPr>
            <w:tcW w:w="688" w:type="dxa"/>
          </w:tcPr>
          <w:p w14:paraId="72476F04">
            <w:pPr>
              <w:pStyle w:val="15"/>
              <w:rPr>
                <w:rFonts w:ascii="Times New Roman"/>
                <w:sz w:val="22"/>
              </w:rPr>
            </w:pPr>
          </w:p>
        </w:tc>
      </w:tr>
      <w:tr w14:paraId="6304E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1237" w:type="dxa"/>
            <w:vMerge w:val="continue"/>
            <w:tcBorders>
              <w:top w:val="nil"/>
            </w:tcBorders>
          </w:tcPr>
          <w:p w14:paraId="1F591AE3">
            <w:pPr>
              <w:rPr>
                <w:sz w:val="2"/>
                <w:szCs w:val="2"/>
              </w:rPr>
            </w:pPr>
          </w:p>
        </w:tc>
        <w:tc>
          <w:tcPr>
            <w:tcW w:w="561" w:type="dxa"/>
          </w:tcPr>
          <w:p w14:paraId="156F30FA">
            <w:pPr>
              <w:pStyle w:val="15"/>
              <w:spacing w:before="2"/>
              <w:rPr>
                <w:sz w:val="19"/>
              </w:rPr>
            </w:pPr>
          </w:p>
          <w:p w14:paraId="733F483F">
            <w:pPr>
              <w:pStyle w:val="15"/>
              <w:ind w:left="6"/>
              <w:jc w:val="center"/>
              <w:rPr>
                <w:sz w:val="24"/>
              </w:rPr>
            </w:pPr>
            <w:r>
              <w:rPr>
                <w:sz w:val="24"/>
              </w:rPr>
              <w:t>2</w:t>
            </w:r>
          </w:p>
        </w:tc>
        <w:tc>
          <w:tcPr>
            <w:tcW w:w="6271" w:type="dxa"/>
          </w:tcPr>
          <w:p w14:paraId="12930497">
            <w:pPr>
              <w:pStyle w:val="15"/>
              <w:spacing w:before="90" w:line="242" w:lineRule="auto"/>
              <w:ind w:left="106" w:right="152"/>
              <w:rPr>
                <w:sz w:val="24"/>
              </w:rPr>
            </w:pPr>
            <w:r>
              <w:rPr>
                <w:sz w:val="24"/>
              </w:rPr>
              <w:t>法定代表人身份证明及授权委托书有效，且符合招标文件规定的格式。</w:t>
            </w:r>
          </w:p>
        </w:tc>
        <w:tc>
          <w:tcPr>
            <w:tcW w:w="678" w:type="dxa"/>
          </w:tcPr>
          <w:p w14:paraId="02862798">
            <w:pPr>
              <w:pStyle w:val="15"/>
              <w:rPr>
                <w:rFonts w:ascii="Times New Roman"/>
                <w:sz w:val="22"/>
              </w:rPr>
            </w:pPr>
          </w:p>
        </w:tc>
        <w:tc>
          <w:tcPr>
            <w:tcW w:w="688" w:type="dxa"/>
          </w:tcPr>
          <w:p w14:paraId="0F73B820">
            <w:pPr>
              <w:pStyle w:val="15"/>
              <w:rPr>
                <w:rFonts w:ascii="Times New Roman"/>
                <w:sz w:val="22"/>
              </w:rPr>
            </w:pPr>
          </w:p>
        </w:tc>
      </w:tr>
      <w:tr w14:paraId="20A55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1237" w:type="dxa"/>
            <w:vMerge w:val="continue"/>
            <w:tcBorders>
              <w:top w:val="nil"/>
            </w:tcBorders>
          </w:tcPr>
          <w:p w14:paraId="76A6E687">
            <w:pPr>
              <w:rPr>
                <w:sz w:val="2"/>
                <w:szCs w:val="2"/>
              </w:rPr>
            </w:pPr>
          </w:p>
        </w:tc>
        <w:tc>
          <w:tcPr>
            <w:tcW w:w="561" w:type="dxa"/>
          </w:tcPr>
          <w:p w14:paraId="7E0A437F">
            <w:pPr>
              <w:pStyle w:val="15"/>
              <w:spacing w:before="111"/>
              <w:ind w:left="6"/>
              <w:jc w:val="center"/>
              <w:rPr>
                <w:sz w:val="24"/>
              </w:rPr>
            </w:pPr>
            <w:r>
              <w:rPr>
                <w:sz w:val="24"/>
              </w:rPr>
              <w:t>3</w:t>
            </w:r>
          </w:p>
        </w:tc>
        <w:tc>
          <w:tcPr>
            <w:tcW w:w="6271" w:type="dxa"/>
          </w:tcPr>
          <w:p w14:paraId="67529C88">
            <w:pPr>
              <w:pStyle w:val="15"/>
              <w:spacing w:before="111"/>
              <w:ind w:left="106"/>
              <w:rPr>
                <w:sz w:val="24"/>
              </w:rPr>
            </w:pPr>
            <w:r>
              <w:rPr>
                <w:sz w:val="24"/>
              </w:rPr>
              <w:t>满足招标文件规定的供货期限。</w:t>
            </w:r>
          </w:p>
        </w:tc>
        <w:tc>
          <w:tcPr>
            <w:tcW w:w="678" w:type="dxa"/>
          </w:tcPr>
          <w:p w14:paraId="143B2BC8">
            <w:pPr>
              <w:pStyle w:val="15"/>
              <w:rPr>
                <w:rFonts w:ascii="Times New Roman"/>
                <w:sz w:val="22"/>
              </w:rPr>
            </w:pPr>
          </w:p>
        </w:tc>
        <w:tc>
          <w:tcPr>
            <w:tcW w:w="688" w:type="dxa"/>
          </w:tcPr>
          <w:p w14:paraId="581A5365">
            <w:pPr>
              <w:pStyle w:val="15"/>
              <w:rPr>
                <w:rFonts w:ascii="Times New Roman"/>
                <w:sz w:val="22"/>
              </w:rPr>
            </w:pPr>
          </w:p>
        </w:tc>
      </w:tr>
      <w:tr w14:paraId="2D97F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237" w:type="dxa"/>
            <w:vMerge w:val="continue"/>
            <w:tcBorders>
              <w:top w:val="nil"/>
            </w:tcBorders>
          </w:tcPr>
          <w:p w14:paraId="40BE2EA9">
            <w:pPr>
              <w:rPr>
                <w:sz w:val="2"/>
                <w:szCs w:val="2"/>
              </w:rPr>
            </w:pPr>
          </w:p>
        </w:tc>
        <w:tc>
          <w:tcPr>
            <w:tcW w:w="561" w:type="dxa"/>
          </w:tcPr>
          <w:p w14:paraId="6BE91C54">
            <w:pPr>
              <w:pStyle w:val="15"/>
              <w:spacing w:before="91"/>
              <w:ind w:left="6"/>
              <w:jc w:val="center"/>
              <w:rPr>
                <w:sz w:val="24"/>
              </w:rPr>
            </w:pPr>
            <w:r>
              <w:rPr>
                <w:sz w:val="24"/>
              </w:rPr>
              <w:t>4</w:t>
            </w:r>
          </w:p>
        </w:tc>
        <w:tc>
          <w:tcPr>
            <w:tcW w:w="6271" w:type="dxa"/>
          </w:tcPr>
          <w:p w14:paraId="12BBE50A">
            <w:pPr>
              <w:pStyle w:val="15"/>
              <w:spacing w:before="91"/>
              <w:ind w:left="106"/>
              <w:rPr>
                <w:sz w:val="24"/>
              </w:rPr>
            </w:pPr>
            <w:r>
              <w:rPr>
                <w:sz w:val="24"/>
              </w:rPr>
              <w:t>投标文件内容齐全、无遗漏。</w:t>
            </w:r>
          </w:p>
        </w:tc>
        <w:tc>
          <w:tcPr>
            <w:tcW w:w="678" w:type="dxa"/>
          </w:tcPr>
          <w:p w14:paraId="3E727CA6">
            <w:pPr>
              <w:pStyle w:val="15"/>
              <w:rPr>
                <w:rFonts w:ascii="Times New Roman"/>
                <w:sz w:val="22"/>
              </w:rPr>
            </w:pPr>
          </w:p>
        </w:tc>
        <w:tc>
          <w:tcPr>
            <w:tcW w:w="688" w:type="dxa"/>
          </w:tcPr>
          <w:p w14:paraId="7B8D4EC8">
            <w:pPr>
              <w:pStyle w:val="15"/>
              <w:rPr>
                <w:rFonts w:ascii="Times New Roman"/>
                <w:sz w:val="22"/>
              </w:rPr>
            </w:pPr>
          </w:p>
        </w:tc>
      </w:tr>
      <w:tr w14:paraId="5EA2F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1237" w:type="dxa"/>
            <w:vMerge w:val="continue"/>
            <w:tcBorders>
              <w:top w:val="nil"/>
            </w:tcBorders>
          </w:tcPr>
          <w:p w14:paraId="322C91E8">
            <w:pPr>
              <w:rPr>
                <w:sz w:val="2"/>
                <w:szCs w:val="2"/>
              </w:rPr>
            </w:pPr>
          </w:p>
        </w:tc>
        <w:tc>
          <w:tcPr>
            <w:tcW w:w="561" w:type="dxa"/>
          </w:tcPr>
          <w:p w14:paraId="4C27659D">
            <w:pPr>
              <w:pStyle w:val="15"/>
              <w:spacing w:before="112"/>
              <w:ind w:left="6"/>
              <w:jc w:val="center"/>
              <w:rPr>
                <w:sz w:val="24"/>
              </w:rPr>
            </w:pPr>
            <w:r>
              <w:rPr>
                <w:sz w:val="24"/>
              </w:rPr>
              <w:t>5</w:t>
            </w:r>
          </w:p>
        </w:tc>
        <w:tc>
          <w:tcPr>
            <w:tcW w:w="6271" w:type="dxa"/>
          </w:tcPr>
          <w:p w14:paraId="3D0F83FE">
            <w:pPr>
              <w:pStyle w:val="15"/>
              <w:spacing w:before="112"/>
              <w:ind w:left="106"/>
              <w:rPr>
                <w:sz w:val="24"/>
              </w:rPr>
            </w:pPr>
            <w:r>
              <w:rPr>
                <w:sz w:val="24"/>
              </w:rPr>
              <w:t>对招标文件规定的招标内容全部作出响应。</w:t>
            </w:r>
          </w:p>
        </w:tc>
        <w:tc>
          <w:tcPr>
            <w:tcW w:w="678" w:type="dxa"/>
          </w:tcPr>
          <w:p w14:paraId="5967BBD7">
            <w:pPr>
              <w:pStyle w:val="15"/>
              <w:rPr>
                <w:rFonts w:ascii="Times New Roman"/>
                <w:sz w:val="22"/>
              </w:rPr>
            </w:pPr>
          </w:p>
        </w:tc>
        <w:tc>
          <w:tcPr>
            <w:tcW w:w="688" w:type="dxa"/>
          </w:tcPr>
          <w:p w14:paraId="410EBE7B">
            <w:pPr>
              <w:pStyle w:val="15"/>
              <w:rPr>
                <w:rFonts w:ascii="Times New Roman"/>
                <w:sz w:val="22"/>
              </w:rPr>
            </w:pPr>
          </w:p>
        </w:tc>
      </w:tr>
      <w:tr w14:paraId="5AAB3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1237" w:type="dxa"/>
            <w:vMerge w:val="continue"/>
            <w:tcBorders>
              <w:top w:val="nil"/>
            </w:tcBorders>
          </w:tcPr>
          <w:p w14:paraId="7C05FE78">
            <w:pPr>
              <w:rPr>
                <w:sz w:val="2"/>
                <w:szCs w:val="2"/>
              </w:rPr>
            </w:pPr>
          </w:p>
        </w:tc>
        <w:tc>
          <w:tcPr>
            <w:tcW w:w="561" w:type="dxa"/>
          </w:tcPr>
          <w:p w14:paraId="1381C31D">
            <w:pPr>
              <w:pStyle w:val="15"/>
              <w:spacing w:before="91"/>
              <w:ind w:left="6"/>
              <w:jc w:val="center"/>
              <w:rPr>
                <w:sz w:val="24"/>
              </w:rPr>
            </w:pPr>
            <w:r>
              <w:rPr>
                <w:sz w:val="24"/>
              </w:rPr>
              <w:t>6</w:t>
            </w:r>
          </w:p>
        </w:tc>
        <w:tc>
          <w:tcPr>
            <w:tcW w:w="6271" w:type="dxa"/>
          </w:tcPr>
          <w:p w14:paraId="735F78DF">
            <w:pPr>
              <w:pStyle w:val="15"/>
              <w:spacing w:before="113"/>
              <w:ind w:left="106"/>
              <w:rPr>
                <w:sz w:val="24"/>
              </w:rPr>
            </w:pPr>
            <w:r>
              <w:rPr>
                <w:sz w:val="24"/>
              </w:rPr>
              <w:t>按照招标文件规定要求签署、盖章的。</w:t>
            </w:r>
          </w:p>
        </w:tc>
        <w:tc>
          <w:tcPr>
            <w:tcW w:w="678" w:type="dxa"/>
          </w:tcPr>
          <w:p w14:paraId="3A9C218A">
            <w:pPr>
              <w:pStyle w:val="15"/>
              <w:rPr>
                <w:rFonts w:ascii="Times New Roman"/>
                <w:sz w:val="22"/>
              </w:rPr>
            </w:pPr>
          </w:p>
        </w:tc>
        <w:tc>
          <w:tcPr>
            <w:tcW w:w="688" w:type="dxa"/>
          </w:tcPr>
          <w:p w14:paraId="3D198992">
            <w:pPr>
              <w:pStyle w:val="15"/>
              <w:rPr>
                <w:rFonts w:ascii="Times New Roman"/>
                <w:sz w:val="22"/>
              </w:rPr>
            </w:pPr>
          </w:p>
        </w:tc>
      </w:tr>
      <w:tr w14:paraId="6465A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237" w:type="dxa"/>
            <w:vMerge w:val="continue"/>
            <w:tcBorders>
              <w:top w:val="nil"/>
            </w:tcBorders>
          </w:tcPr>
          <w:p w14:paraId="64505B8B">
            <w:pPr>
              <w:rPr>
                <w:sz w:val="2"/>
                <w:szCs w:val="2"/>
              </w:rPr>
            </w:pPr>
          </w:p>
        </w:tc>
        <w:tc>
          <w:tcPr>
            <w:tcW w:w="561" w:type="dxa"/>
          </w:tcPr>
          <w:p w14:paraId="251F3A38">
            <w:pPr>
              <w:pStyle w:val="15"/>
              <w:spacing w:before="113"/>
              <w:ind w:left="6"/>
              <w:jc w:val="center"/>
              <w:rPr>
                <w:sz w:val="24"/>
              </w:rPr>
            </w:pPr>
            <w:r>
              <w:rPr>
                <w:sz w:val="24"/>
              </w:rPr>
              <w:t>7</w:t>
            </w:r>
          </w:p>
        </w:tc>
        <w:tc>
          <w:tcPr>
            <w:tcW w:w="6271" w:type="dxa"/>
          </w:tcPr>
          <w:p w14:paraId="039AD65F">
            <w:pPr>
              <w:pStyle w:val="15"/>
              <w:spacing w:before="127"/>
              <w:ind w:left="106"/>
              <w:rPr>
                <w:sz w:val="24"/>
              </w:rPr>
            </w:pPr>
            <w:r>
              <w:rPr>
                <w:sz w:val="24"/>
              </w:rPr>
              <w:t>投标有效期满足招标文件要求。</w:t>
            </w:r>
          </w:p>
        </w:tc>
        <w:tc>
          <w:tcPr>
            <w:tcW w:w="678" w:type="dxa"/>
          </w:tcPr>
          <w:p w14:paraId="55B9F2B7">
            <w:pPr>
              <w:pStyle w:val="15"/>
              <w:rPr>
                <w:rFonts w:ascii="Times New Roman"/>
                <w:sz w:val="22"/>
              </w:rPr>
            </w:pPr>
          </w:p>
        </w:tc>
        <w:tc>
          <w:tcPr>
            <w:tcW w:w="688" w:type="dxa"/>
          </w:tcPr>
          <w:p w14:paraId="661DA556">
            <w:pPr>
              <w:pStyle w:val="15"/>
              <w:rPr>
                <w:rFonts w:ascii="Times New Roman"/>
                <w:sz w:val="22"/>
              </w:rPr>
            </w:pPr>
          </w:p>
        </w:tc>
      </w:tr>
      <w:tr w14:paraId="10663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237" w:type="dxa"/>
            <w:vMerge w:val="continue"/>
            <w:tcBorders>
              <w:top w:val="nil"/>
            </w:tcBorders>
          </w:tcPr>
          <w:p w14:paraId="2B687CFC">
            <w:pPr>
              <w:rPr>
                <w:sz w:val="2"/>
                <w:szCs w:val="2"/>
              </w:rPr>
            </w:pPr>
          </w:p>
        </w:tc>
        <w:tc>
          <w:tcPr>
            <w:tcW w:w="561" w:type="dxa"/>
          </w:tcPr>
          <w:p w14:paraId="61E22EB2">
            <w:pPr>
              <w:pStyle w:val="15"/>
              <w:spacing w:before="127"/>
              <w:ind w:left="6"/>
              <w:jc w:val="center"/>
              <w:rPr>
                <w:sz w:val="24"/>
              </w:rPr>
            </w:pPr>
            <w:r>
              <w:rPr>
                <w:sz w:val="24"/>
              </w:rPr>
              <w:t>8</w:t>
            </w:r>
          </w:p>
        </w:tc>
        <w:tc>
          <w:tcPr>
            <w:tcW w:w="6271" w:type="dxa"/>
          </w:tcPr>
          <w:p w14:paraId="0BEF6093">
            <w:pPr>
              <w:pStyle w:val="15"/>
              <w:spacing w:before="93" w:line="242" w:lineRule="auto"/>
              <w:ind w:left="106" w:right="152"/>
              <w:rPr>
                <w:sz w:val="24"/>
              </w:rPr>
            </w:pPr>
            <w:r>
              <w:rPr>
                <w:sz w:val="24"/>
              </w:rPr>
              <w:t>响应文件未附有采购人不能接受的附加条件及法律、法规和招标文件规定的其他无效情形。</w:t>
            </w:r>
          </w:p>
        </w:tc>
        <w:tc>
          <w:tcPr>
            <w:tcW w:w="678" w:type="dxa"/>
          </w:tcPr>
          <w:p w14:paraId="1449D8DC">
            <w:pPr>
              <w:pStyle w:val="15"/>
              <w:rPr>
                <w:rFonts w:ascii="Times New Roman"/>
                <w:sz w:val="22"/>
              </w:rPr>
            </w:pPr>
          </w:p>
        </w:tc>
        <w:tc>
          <w:tcPr>
            <w:tcW w:w="688" w:type="dxa"/>
          </w:tcPr>
          <w:p w14:paraId="3D37E5FB">
            <w:pPr>
              <w:pStyle w:val="15"/>
              <w:rPr>
                <w:rFonts w:ascii="Times New Roman"/>
                <w:sz w:val="22"/>
              </w:rPr>
            </w:pPr>
          </w:p>
        </w:tc>
      </w:tr>
      <w:tr w14:paraId="154F9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237" w:type="dxa"/>
            <w:vMerge w:val="continue"/>
            <w:tcBorders>
              <w:top w:val="nil"/>
            </w:tcBorders>
          </w:tcPr>
          <w:p w14:paraId="60CF222F">
            <w:pPr>
              <w:rPr>
                <w:sz w:val="2"/>
                <w:szCs w:val="2"/>
              </w:rPr>
            </w:pPr>
          </w:p>
        </w:tc>
        <w:tc>
          <w:tcPr>
            <w:tcW w:w="561" w:type="dxa"/>
          </w:tcPr>
          <w:p w14:paraId="7EA10E50">
            <w:pPr>
              <w:pStyle w:val="15"/>
              <w:spacing w:before="5"/>
              <w:rPr>
                <w:sz w:val="19"/>
              </w:rPr>
            </w:pPr>
          </w:p>
          <w:p w14:paraId="3056AEA0">
            <w:pPr>
              <w:pStyle w:val="15"/>
              <w:ind w:left="6"/>
              <w:jc w:val="center"/>
              <w:rPr>
                <w:sz w:val="24"/>
              </w:rPr>
            </w:pPr>
            <w:r>
              <w:rPr>
                <w:sz w:val="24"/>
              </w:rPr>
              <w:t>9</w:t>
            </w:r>
          </w:p>
        </w:tc>
        <w:tc>
          <w:tcPr>
            <w:tcW w:w="6271" w:type="dxa"/>
          </w:tcPr>
          <w:p w14:paraId="67167C73">
            <w:pPr>
              <w:pStyle w:val="15"/>
              <w:spacing w:before="125"/>
              <w:ind w:left="106"/>
              <w:rPr>
                <w:sz w:val="24"/>
              </w:rPr>
            </w:pPr>
            <w:r>
              <w:rPr>
                <w:sz w:val="24"/>
              </w:rPr>
              <w:t>供应商认为需提供的其他资料。</w:t>
            </w:r>
          </w:p>
        </w:tc>
        <w:tc>
          <w:tcPr>
            <w:tcW w:w="678" w:type="dxa"/>
          </w:tcPr>
          <w:p w14:paraId="1F34D783">
            <w:pPr>
              <w:pStyle w:val="15"/>
              <w:rPr>
                <w:rFonts w:ascii="Times New Roman"/>
                <w:sz w:val="22"/>
              </w:rPr>
            </w:pPr>
          </w:p>
        </w:tc>
        <w:tc>
          <w:tcPr>
            <w:tcW w:w="688" w:type="dxa"/>
          </w:tcPr>
          <w:p w14:paraId="75366C78">
            <w:pPr>
              <w:pStyle w:val="15"/>
              <w:rPr>
                <w:rFonts w:ascii="Times New Roman"/>
                <w:sz w:val="22"/>
              </w:rPr>
            </w:pPr>
          </w:p>
        </w:tc>
      </w:tr>
      <w:tr w14:paraId="01CDF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1237" w:type="dxa"/>
          </w:tcPr>
          <w:p w14:paraId="3BB00AE4">
            <w:pPr>
              <w:pStyle w:val="15"/>
              <w:rPr>
                <w:rFonts w:ascii="Times New Roman"/>
                <w:sz w:val="22"/>
              </w:rPr>
            </w:pPr>
          </w:p>
        </w:tc>
        <w:tc>
          <w:tcPr>
            <w:tcW w:w="6832" w:type="dxa"/>
            <w:gridSpan w:val="2"/>
          </w:tcPr>
          <w:p w14:paraId="7F018824">
            <w:pPr>
              <w:pStyle w:val="15"/>
              <w:spacing w:before="56" w:line="242" w:lineRule="auto"/>
              <w:ind w:left="108" w:right="2631"/>
              <w:rPr>
                <w:sz w:val="24"/>
              </w:rPr>
            </w:pPr>
            <w:r>
              <w:rPr>
                <w:sz w:val="24"/>
              </w:rPr>
              <w:t>结论：是否通过评审（须填写是或否） 注：如有一项不合格，作废标处理。</w:t>
            </w:r>
          </w:p>
        </w:tc>
        <w:tc>
          <w:tcPr>
            <w:tcW w:w="1366" w:type="dxa"/>
            <w:gridSpan w:val="2"/>
          </w:tcPr>
          <w:p w14:paraId="6221C4E3">
            <w:pPr>
              <w:pStyle w:val="15"/>
              <w:rPr>
                <w:rFonts w:ascii="Times New Roman"/>
                <w:sz w:val="22"/>
              </w:rPr>
            </w:pPr>
          </w:p>
        </w:tc>
      </w:tr>
    </w:tbl>
    <w:p w14:paraId="705E6C8C">
      <w:pPr>
        <w:pStyle w:val="14"/>
        <w:numPr>
          <w:ilvl w:val="1"/>
          <w:numId w:val="37"/>
        </w:numPr>
        <w:tabs>
          <w:tab w:val="left" w:pos="1419"/>
        </w:tabs>
        <w:spacing w:before="81" w:after="0" w:line="312" w:lineRule="auto"/>
        <w:ind w:left="420" w:right="525" w:firstLine="578"/>
        <w:jc w:val="left"/>
        <w:rPr>
          <w:sz w:val="24"/>
        </w:rPr>
      </w:pPr>
      <w:r>
        <w:rPr>
          <w:spacing w:val="-1"/>
          <w:sz w:val="24"/>
        </w:rPr>
        <w:t xml:space="preserve">评委会判定投标文件的响应性只根据投标文件本身的内容，而不寻求外部的证据， </w:t>
      </w:r>
      <w:r>
        <w:rPr>
          <w:sz w:val="24"/>
        </w:rPr>
        <w:t>但投标有不真实不正确的内容时除外。</w:t>
      </w:r>
    </w:p>
    <w:p w14:paraId="10BF34DB">
      <w:pPr>
        <w:pStyle w:val="14"/>
        <w:numPr>
          <w:ilvl w:val="1"/>
          <w:numId w:val="37"/>
        </w:numPr>
        <w:tabs>
          <w:tab w:val="left" w:pos="1419"/>
        </w:tabs>
        <w:spacing w:before="2" w:after="0" w:line="312" w:lineRule="auto"/>
        <w:ind w:left="420" w:right="565" w:firstLine="578"/>
        <w:jc w:val="left"/>
        <w:rPr>
          <w:sz w:val="24"/>
        </w:rPr>
      </w:pPr>
      <w:r>
        <w:rPr>
          <w:spacing w:val="-3"/>
          <w:sz w:val="24"/>
        </w:rPr>
        <w:t>如果投标文件实质上没有响应采购文件的要求，评委会将予以拒绝，投标人不得通</w:t>
      </w:r>
      <w:r>
        <w:rPr>
          <w:sz w:val="24"/>
        </w:rPr>
        <w:t>过修正或撤销不符合要求的偏离或保留，而使其投标成为实质上响应的投标。</w:t>
      </w:r>
    </w:p>
    <w:p w14:paraId="3AE4EA65">
      <w:pPr>
        <w:pStyle w:val="14"/>
        <w:numPr>
          <w:ilvl w:val="1"/>
          <w:numId w:val="37"/>
        </w:numPr>
        <w:tabs>
          <w:tab w:val="left" w:pos="1440"/>
        </w:tabs>
        <w:spacing w:before="0" w:after="0" w:line="312" w:lineRule="auto"/>
        <w:ind w:left="420" w:right="625" w:firstLine="600"/>
        <w:jc w:val="left"/>
        <w:rPr>
          <w:sz w:val="24"/>
        </w:rPr>
      </w:pPr>
      <w:r>
        <w:rPr>
          <w:spacing w:val="-8"/>
          <w:sz w:val="24"/>
        </w:rPr>
        <w:t xml:space="preserve">投标人可在现场 </w:t>
      </w:r>
      <w:r>
        <w:rPr>
          <w:sz w:val="24"/>
        </w:rPr>
        <w:t>20</w:t>
      </w:r>
      <w:r>
        <w:rPr>
          <w:spacing w:val="-9"/>
          <w:sz w:val="24"/>
        </w:rPr>
        <w:t xml:space="preserve"> 分钟内对评标委员会的评审结论提出异议，评标委员会根据采</w:t>
      </w:r>
      <w:r>
        <w:rPr>
          <w:sz w:val="24"/>
        </w:rPr>
        <w:t>购文件及有关规定对投标人的异议进行复议</w:t>
      </w:r>
    </w:p>
    <w:p w14:paraId="60ED4A69">
      <w:pPr>
        <w:pStyle w:val="14"/>
        <w:numPr>
          <w:ilvl w:val="1"/>
          <w:numId w:val="37"/>
        </w:numPr>
        <w:tabs>
          <w:tab w:val="left" w:pos="1440"/>
        </w:tabs>
        <w:spacing w:before="0" w:after="0" w:line="307" w:lineRule="exact"/>
        <w:ind w:left="1440" w:right="0" w:hanging="420"/>
        <w:jc w:val="left"/>
        <w:rPr>
          <w:sz w:val="24"/>
        </w:rPr>
      </w:pPr>
      <w:r>
        <w:rPr>
          <w:sz w:val="24"/>
        </w:rPr>
        <w:t>只有通过初审的投标人才能进入下一步评标程序。</w:t>
      </w:r>
    </w:p>
    <w:p w14:paraId="26B54735">
      <w:pPr>
        <w:pStyle w:val="7"/>
        <w:spacing w:before="93" w:line="312" w:lineRule="auto"/>
        <w:ind w:right="508" w:firstLine="480"/>
      </w:pPr>
      <w: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3482618F">
      <w:pPr>
        <w:spacing w:after="0" w:line="312" w:lineRule="auto"/>
        <w:sectPr>
          <w:pgSz w:w="11910" w:h="16840"/>
          <w:pgMar w:top="1580" w:right="660" w:bottom="1180" w:left="660" w:header="0" w:footer="909" w:gutter="0"/>
          <w:cols w:space="720" w:num="1"/>
        </w:sectPr>
      </w:pPr>
    </w:p>
    <w:p w14:paraId="245D388E">
      <w:pPr>
        <w:pStyle w:val="8"/>
        <w:spacing w:before="5"/>
        <w:rPr>
          <w:b/>
          <w:sz w:val="29"/>
        </w:rPr>
      </w:pPr>
    </w:p>
    <w:p w14:paraId="71E637C4">
      <w:pPr>
        <w:spacing w:after="0"/>
        <w:rPr>
          <w:sz w:val="29"/>
        </w:rPr>
        <w:sectPr>
          <w:pgSz w:w="11910" w:h="16840"/>
          <w:pgMar w:top="1580" w:right="660" w:bottom="1180" w:left="660" w:header="0" w:footer="909" w:gutter="0"/>
          <w:cols w:space="720" w:num="1"/>
        </w:sectPr>
      </w:pPr>
    </w:p>
    <w:p w14:paraId="3E614006">
      <w:pPr>
        <w:pStyle w:val="8"/>
        <w:rPr>
          <w:b/>
        </w:rPr>
      </w:pPr>
    </w:p>
    <w:p w14:paraId="50E56500">
      <w:pPr>
        <w:pStyle w:val="8"/>
        <w:spacing w:before="9"/>
        <w:rPr>
          <w:b/>
          <w:sz w:val="17"/>
        </w:rPr>
      </w:pPr>
    </w:p>
    <w:p w14:paraId="2E6E898A">
      <w:pPr>
        <w:pStyle w:val="14"/>
        <w:numPr>
          <w:ilvl w:val="0"/>
          <w:numId w:val="37"/>
        </w:numPr>
        <w:tabs>
          <w:tab w:val="left" w:pos="1021"/>
        </w:tabs>
        <w:spacing w:before="0" w:after="0" w:line="240" w:lineRule="auto"/>
        <w:ind w:left="1021" w:right="0" w:hanging="361"/>
        <w:jc w:val="left"/>
        <w:rPr>
          <w:sz w:val="22"/>
        </w:rPr>
      </w:pPr>
      <w:r>
        <w:rPr>
          <w:spacing w:val="-2"/>
          <w:sz w:val="24"/>
        </w:rPr>
        <w:t>澄清、说明或补正的形式</w:t>
      </w:r>
    </w:p>
    <w:p w14:paraId="349AD7E4">
      <w:pPr>
        <w:tabs>
          <w:tab w:val="left" w:pos="595"/>
        </w:tabs>
        <w:spacing w:before="62"/>
        <w:ind w:left="34" w:right="0" w:firstLine="0"/>
        <w:jc w:val="left"/>
        <w:rPr>
          <w:b/>
          <w:sz w:val="24"/>
        </w:rPr>
      </w:pPr>
      <w:r>
        <w:br w:type="column"/>
      </w:r>
      <w:bookmarkStart w:id="18" w:name="三  投标文件的澄清和补正"/>
      <w:bookmarkEnd w:id="18"/>
      <w:r>
        <w:rPr>
          <w:b/>
          <w:sz w:val="28"/>
        </w:rPr>
        <w:t>三</w:t>
      </w:r>
      <w:r>
        <w:rPr>
          <w:b/>
          <w:sz w:val="28"/>
        </w:rPr>
        <w:tab/>
      </w:r>
      <w:r>
        <w:rPr>
          <w:b/>
          <w:sz w:val="24"/>
        </w:rPr>
        <w:t>投标文件的澄清和补正</w:t>
      </w:r>
    </w:p>
    <w:p w14:paraId="7C9E4620">
      <w:pPr>
        <w:spacing w:after="0"/>
        <w:jc w:val="left"/>
        <w:rPr>
          <w:sz w:val="24"/>
        </w:rPr>
        <w:sectPr>
          <w:type w:val="continuous"/>
          <w:pgSz w:w="11910" w:h="16840"/>
          <w:pgMar w:top="1580" w:right="660" w:bottom="280" w:left="660" w:header="720" w:footer="720" w:gutter="0"/>
          <w:cols w:equalWidth="0" w:num="2">
            <w:col w:w="3661" w:space="40"/>
            <w:col w:w="6889"/>
          </w:cols>
        </w:sectPr>
      </w:pPr>
    </w:p>
    <w:p w14:paraId="1AE15EC8">
      <w:pPr>
        <w:pStyle w:val="14"/>
        <w:numPr>
          <w:ilvl w:val="1"/>
          <w:numId w:val="37"/>
        </w:numPr>
        <w:tabs>
          <w:tab w:val="left" w:pos="1080"/>
        </w:tabs>
        <w:spacing w:before="132" w:after="0" w:line="343" w:lineRule="auto"/>
        <w:ind w:left="420" w:right="445" w:firstLine="240"/>
        <w:jc w:val="left"/>
        <w:rPr>
          <w:sz w:val="24"/>
        </w:rPr>
      </w:pPr>
      <w:r>
        <w:rPr>
          <w:spacing w:val="-6"/>
          <w:sz w:val="24"/>
        </w:rPr>
        <w:t xml:space="preserve">对于投标文件中含义不明确、同类问题表述不一致或者有明显文字和计算错误的内容， </w:t>
      </w:r>
      <w:r>
        <w:rPr>
          <w:sz w:val="24"/>
        </w:rPr>
        <w:t>评标委员会将通过“政府采购云平台”在线询标的方式要求投标供应商在规定的时间内作出</w:t>
      </w:r>
      <w:r>
        <w:rPr>
          <w:spacing w:val="-2"/>
          <w:sz w:val="24"/>
        </w:rPr>
        <w:t xml:space="preserve">必要的澄清、说明或者补正，投标供应商澄清、说明或补正时间为 </w:t>
      </w:r>
      <w:r>
        <w:rPr>
          <w:sz w:val="24"/>
        </w:rPr>
        <w:t>20</w:t>
      </w:r>
      <w:r>
        <w:rPr>
          <w:spacing w:val="-15"/>
          <w:sz w:val="24"/>
        </w:rPr>
        <w:t xml:space="preserve"> 分钟。</w:t>
      </w:r>
    </w:p>
    <w:p w14:paraId="38D40A8C">
      <w:pPr>
        <w:pStyle w:val="14"/>
        <w:numPr>
          <w:ilvl w:val="1"/>
          <w:numId w:val="37"/>
        </w:numPr>
        <w:tabs>
          <w:tab w:val="left" w:pos="1080"/>
        </w:tabs>
        <w:spacing w:before="0" w:after="0" w:line="343" w:lineRule="auto"/>
        <w:ind w:left="420" w:right="445" w:firstLine="240"/>
        <w:jc w:val="left"/>
        <w:rPr>
          <w:sz w:val="24"/>
        </w:rPr>
      </w:pPr>
      <w:r>
        <w:rPr>
          <w:spacing w:val="-6"/>
          <w:sz w:val="24"/>
        </w:rPr>
        <w:t xml:space="preserve">投标供应商的澄清、说明或者补正应当通过“政府采购云平台”在线答复的方式提交， </w:t>
      </w:r>
      <w:r>
        <w:rPr>
          <w:sz w:val="24"/>
        </w:rPr>
        <w:t>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42286F4C">
      <w:pPr>
        <w:pStyle w:val="14"/>
        <w:numPr>
          <w:ilvl w:val="1"/>
          <w:numId w:val="37"/>
        </w:numPr>
        <w:tabs>
          <w:tab w:val="left" w:pos="1080"/>
        </w:tabs>
        <w:spacing w:before="3" w:after="0" w:line="343" w:lineRule="auto"/>
        <w:ind w:left="420" w:right="565" w:firstLine="240"/>
        <w:jc w:val="both"/>
        <w:rPr>
          <w:sz w:val="24"/>
        </w:rPr>
      </w:pPr>
      <w:r>
        <w:rPr>
          <w:sz w:val="24"/>
        </w:rPr>
        <w:t>上述询标、澄清、说明和补正工作如因客观原因无法通过“政府采购云平台”在线进</w:t>
      </w:r>
      <w:r>
        <w:rPr>
          <w:spacing w:val="-1"/>
          <w:sz w:val="24"/>
        </w:rPr>
        <w:t>行的，将采用电子邮件等形式进行，请供应商保证办理投标事宜人员电话畅通、网络在线。</w:t>
      </w:r>
      <w:r>
        <w:rPr>
          <w:sz w:val="24"/>
        </w:rPr>
        <w:t>如未及时进行澄清、说明或者补正的，视为放弃澄清、说明或者补正的权利。</w:t>
      </w:r>
    </w:p>
    <w:p w14:paraId="063A8B89">
      <w:pPr>
        <w:pStyle w:val="14"/>
        <w:numPr>
          <w:ilvl w:val="0"/>
          <w:numId w:val="37"/>
        </w:numPr>
        <w:tabs>
          <w:tab w:val="left" w:pos="1021"/>
        </w:tabs>
        <w:spacing w:before="1" w:after="0" w:line="240" w:lineRule="auto"/>
        <w:ind w:left="1021" w:right="0" w:hanging="361"/>
        <w:jc w:val="left"/>
        <w:rPr>
          <w:sz w:val="22"/>
        </w:rPr>
      </w:pPr>
      <w:r>
        <w:rPr>
          <w:sz w:val="24"/>
        </w:rPr>
        <w:t>错误修正的原则</w:t>
      </w:r>
    </w:p>
    <w:p w14:paraId="3AC163E0">
      <w:pPr>
        <w:pStyle w:val="8"/>
        <w:spacing w:before="132" w:line="343" w:lineRule="auto"/>
        <w:ind w:left="420" w:right="565" w:firstLine="240"/>
      </w:pPr>
      <w:r>
        <w:t>电子交易平台客户端里开标一览表录入的投标报价或优惠率与扫描上传的报价文件信息不一致的，以扫描上传的报价文件信息为准进行修正。</w:t>
      </w:r>
    </w:p>
    <w:p w14:paraId="7566783F">
      <w:pPr>
        <w:pStyle w:val="8"/>
        <w:spacing w:before="1"/>
        <w:ind w:left="660"/>
      </w:pPr>
      <w:r>
        <w:t>投标文件报价出现前后不一致的，除采购文件另有规定外，按照下列规定修正：</w:t>
      </w:r>
    </w:p>
    <w:p w14:paraId="77EAD413">
      <w:pPr>
        <w:pStyle w:val="14"/>
        <w:numPr>
          <w:ilvl w:val="1"/>
          <w:numId w:val="37"/>
        </w:numPr>
        <w:tabs>
          <w:tab w:val="left" w:pos="1140"/>
        </w:tabs>
        <w:spacing w:before="132" w:after="0" w:line="343" w:lineRule="auto"/>
        <w:ind w:left="420" w:right="565" w:firstLine="240"/>
        <w:jc w:val="left"/>
        <w:rPr>
          <w:sz w:val="24"/>
        </w:rPr>
      </w:pPr>
      <w:r>
        <w:rPr>
          <w:spacing w:val="-1"/>
          <w:sz w:val="24"/>
        </w:rPr>
        <w:t>投标函中表述的内容与报价表中不一致的，以报价表为准；报价表中的内容与报价明</w:t>
      </w:r>
      <w:r>
        <w:rPr>
          <w:sz w:val="24"/>
        </w:rPr>
        <w:t>细表不一致的，以报价表为准；</w:t>
      </w:r>
    </w:p>
    <w:p w14:paraId="188CB265">
      <w:pPr>
        <w:pStyle w:val="14"/>
        <w:numPr>
          <w:ilvl w:val="1"/>
          <w:numId w:val="37"/>
        </w:numPr>
        <w:tabs>
          <w:tab w:val="left" w:pos="1140"/>
        </w:tabs>
        <w:spacing w:before="1" w:after="0" w:line="240" w:lineRule="auto"/>
        <w:ind w:left="1140" w:right="0" w:hanging="480"/>
        <w:jc w:val="left"/>
        <w:rPr>
          <w:sz w:val="24"/>
        </w:rPr>
      </w:pPr>
      <w:r>
        <w:rPr>
          <w:sz w:val="24"/>
        </w:rPr>
        <w:t>投标文件中的大写金额和小写金额不一致的，以大写金额为准；</w:t>
      </w:r>
    </w:p>
    <w:p w14:paraId="2FC1A248">
      <w:pPr>
        <w:pStyle w:val="14"/>
        <w:numPr>
          <w:ilvl w:val="1"/>
          <w:numId w:val="37"/>
        </w:numPr>
        <w:tabs>
          <w:tab w:val="left" w:pos="1140"/>
        </w:tabs>
        <w:spacing w:before="132" w:after="0" w:line="240" w:lineRule="auto"/>
        <w:ind w:left="1140" w:right="0" w:hanging="480"/>
        <w:jc w:val="left"/>
        <w:rPr>
          <w:sz w:val="24"/>
        </w:rPr>
      </w:pPr>
      <w:r>
        <w:rPr>
          <w:sz w:val="24"/>
        </w:rPr>
        <w:t>单价金额小数点或者百分比有明显错位的，以开标一览表的总价为准，并修改单价；</w:t>
      </w:r>
    </w:p>
    <w:p w14:paraId="0B3ED2AC">
      <w:pPr>
        <w:pStyle w:val="14"/>
        <w:numPr>
          <w:ilvl w:val="1"/>
          <w:numId w:val="37"/>
        </w:numPr>
        <w:tabs>
          <w:tab w:val="left" w:pos="1140"/>
        </w:tabs>
        <w:spacing w:before="131" w:after="0" w:line="240" w:lineRule="auto"/>
        <w:ind w:left="1140" w:right="0" w:hanging="480"/>
        <w:jc w:val="left"/>
        <w:rPr>
          <w:sz w:val="24"/>
        </w:rPr>
      </w:pPr>
      <w:r>
        <w:rPr>
          <w:sz w:val="24"/>
        </w:rPr>
        <w:t>总价金额与按单价汇总金额不一致的，以单价金额计算结果为准；</w:t>
      </w:r>
    </w:p>
    <w:p w14:paraId="2EFD2317">
      <w:pPr>
        <w:pStyle w:val="14"/>
        <w:numPr>
          <w:ilvl w:val="1"/>
          <w:numId w:val="37"/>
        </w:numPr>
        <w:tabs>
          <w:tab w:val="left" w:pos="1140"/>
        </w:tabs>
        <w:spacing w:before="134" w:after="0" w:line="240" w:lineRule="auto"/>
        <w:ind w:left="1140" w:right="0" w:hanging="480"/>
        <w:jc w:val="left"/>
        <w:rPr>
          <w:sz w:val="24"/>
        </w:rPr>
      </w:pPr>
      <w:r>
        <w:rPr>
          <w:sz w:val="24"/>
        </w:rPr>
        <w:t>若用文字表示的数值与用数字表示的数值不一致，以文字表示的数值为准；</w:t>
      </w:r>
    </w:p>
    <w:p w14:paraId="305AF10A">
      <w:pPr>
        <w:pStyle w:val="14"/>
        <w:numPr>
          <w:ilvl w:val="1"/>
          <w:numId w:val="37"/>
        </w:numPr>
        <w:tabs>
          <w:tab w:val="left" w:pos="1140"/>
        </w:tabs>
        <w:spacing w:before="132" w:after="0" w:line="343" w:lineRule="auto"/>
        <w:ind w:left="420" w:right="565" w:firstLine="240"/>
        <w:jc w:val="left"/>
        <w:rPr>
          <w:sz w:val="24"/>
        </w:rPr>
      </w:pPr>
      <w:r>
        <w:rPr>
          <w:sz w:val="24"/>
        </w:rPr>
        <w:t>如有多报（指数量超出采购文件需求）、重报（指同一货物重复报价），</w:t>
      </w:r>
      <w:r>
        <w:rPr>
          <w:spacing w:val="-4"/>
          <w:sz w:val="24"/>
        </w:rPr>
        <w:t>其投标总价</w:t>
      </w:r>
      <w:r>
        <w:rPr>
          <w:sz w:val="24"/>
        </w:rPr>
        <w:t>在评标过程中不予调整，如其中标，其合同价按其投标单价予以调整；</w:t>
      </w:r>
    </w:p>
    <w:p w14:paraId="1C623325">
      <w:pPr>
        <w:pStyle w:val="14"/>
        <w:numPr>
          <w:ilvl w:val="1"/>
          <w:numId w:val="37"/>
        </w:numPr>
        <w:tabs>
          <w:tab w:val="left" w:pos="1140"/>
        </w:tabs>
        <w:spacing w:before="2" w:after="0" w:line="240" w:lineRule="auto"/>
        <w:ind w:left="1140" w:right="0" w:hanging="480"/>
        <w:jc w:val="left"/>
        <w:rPr>
          <w:sz w:val="24"/>
        </w:rPr>
      </w:pPr>
      <w:r>
        <w:rPr>
          <w:sz w:val="24"/>
        </w:rPr>
        <w:t>对不同文字文本投标文件的解释发生异议的，以中文文本为准；</w:t>
      </w:r>
    </w:p>
    <w:p w14:paraId="4BF17DF3">
      <w:pPr>
        <w:pStyle w:val="8"/>
        <w:spacing w:before="131" w:line="343" w:lineRule="auto"/>
        <w:ind w:left="420" w:right="565" w:firstLine="240"/>
        <w:jc w:val="both"/>
      </w:pPr>
      <w: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w:t>
      </w:r>
    </w:p>
    <w:p w14:paraId="27497E10">
      <w:pPr>
        <w:pStyle w:val="8"/>
        <w:spacing w:before="1"/>
        <w:ind w:left="420"/>
      </w:pPr>
      <w:r>
        <w:t>（电子印章）。</w:t>
      </w:r>
    </w:p>
    <w:p w14:paraId="658E08E0">
      <w:pPr>
        <w:spacing w:after="0"/>
        <w:sectPr>
          <w:type w:val="continuous"/>
          <w:pgSz w:w="11910" w:h="16840"/>
          <w:pgMar w:top="1580" w:right="660" w:bottom="280" w:left="660" w:header="720" w:footer="720" w:gutter="0"/>
          <w:cols w:space="720" w:num="1"/>
        </w:sectPr>
      </w:pPr>
    </w:p>
    <w:p w14:paraId="345BC5BD">
      <w:pPr>
        <w:pStyle w:val="8"/>
        <w:spacing w:before="2"/>
        <w:rPr>
          <w:sz w:val="23"/>
        </w:rPr>
      </w:pPr>
    </w:p>
    <w:p w14:paraId="156D8133">
      <w:pPr>
        <w:pStyle w:val="7"/>
        <w:spacing w:before="67"/>
        <w:ind w:left="4437"/>
        <w:jc w:val="both"/>
      </w:pPr>
      <w:bookmarkStart w:id="19" w:name="四 比较与评价"/>
      <w:bookmarkEnd w:id="19"/>
      <w:r>
        <w:t>四 比较与评价</w:t>
      </w:r>
    </w:p>
    <w:p w14:paraId="3BBC019C">
      <w:pPr>
        <w:pStyle w:val="14"/>
        <w:numPr>
          <w:ilvl w:val="1"/>
          <w:numId w:val="38"/>
        </w:numPr>
        <w:tabs>
          <w:tab w:val="left" w:pos="1572"/>
        </w:tabs>
        <w:spacing w:before="124" w:after="0" w:line="343" w:lineRule="auto"/>
        <w:ind w:left="420" w:right="613" w:firstLine="612"/>
        <w:jc w:val="both"/>
        <w:rPr>
          <w:sz w:val="24"/>
        </w:rPr>
      </w:pPr>
      <w:r>
        <w:rPr>
          <w:spacing w:val="-1"/>
          <w:sz w:val="24"/>
        </w:rPr>
        <w:t>评标委员会按招标文件中规定的评标方法和标准，对资格性检查和符合性检查合</w:t>
      </w:r>
      <w:r>
        <w:rPr>
          <w:sz w:val="24"/>
        </w:rPr>
        <w:t>格的投标文件进行商务和技术评估、综合比较与评价。</w:t>
      </w:r>
    </w:p>
    <w:p w14:paraId="0583910D">
      <w:pPr>
        <w:pStyle w:val="14"/>
        <w:numPr>
          <w:ilvl w:val="1"/>
          <w:numId w:val="38"/>
        </w:numPr>
        <w:tabs>
          <w:tab w:val="left" w:pos="1577"/>
        </w:tabs>
        <w:spacing w:before="0" w:after="0" w:line="343" w:lineRule="auto"/>
        <w:ind w:left="420" w:right="565" w:firstLine="616"/>
        <w:jc w:val="both"/>
        <w:rPr>
          <w:sz w:val="24"/>
        </w:rPr>
      </w:pPr>
      <w:r>
        <w:rPr>
          <w:sz w:val="24"/>
        </w:rPr>
        <w:t>评标委员会根据商务和技术评估的结果，采用综合评分法，分别对投标文件的商务、技术、价格等内容进行打分。其中，商务评估、技术评估、价格评估的评分权值（</w:t>
      </w:r>
      <w:r>
        <w:rPr>
          <w:spacing w:val="-10"/>
          <w:sz w:val="24"/>
        </w:rPr>
        <w:t>详见</w:t>
      </w:r>
      <w:r>
        <w:rPr>
          <w:spacing w:val="-20"/>
          <w:sz w:val="24"/>
        </w:rPr>
        <w:t xml:space="preserve">附近 </w:t>
      </w:r>
      <w:r>
        <w:rPr>
          <w:sz w:val="24"/>
        </w:rPr>
        <w:t>1）。</w:t>
      </w:r>
    </w:p>
    <w:p w14:paraId="6E7181C9">
      <w:pPr>
        <w:pStyle w:val="14"/>
        <w:numPr>
          <w:ilvl w:val="2"/>
          <w:numId w:val="38"/>
        </w:numPr>
        <w:tabs>
          <w:tab w:val="left" w:pos="1817"/>
        </w:tabs>
        <w:spacing w:before="0" w:after="0" w:line="240" w:lineRule="auto"/>
        <w:ind w:left="1816" w:right="0" w:hanging="781"/>
        <w:jc w:val="both"/>
        <w:rPr>
          <w:sz w:val="24"/>
        </w:rPr>
      </w:pPr>
      <w:r>
        <w:rPr>
          <w:sz w:val="24"/>
        </w:rPr>
        <w:t>评委打分办法</w:t>
      </w:r>
    </w:p>
    <w:p w14:paraId="73A3D7B8">
      <w:pPr>
        <w:pStyle w:val="14"/>
        <w:numPr>
          <w:ilvl w:val="0"/>
          <w:numId w:val="39"/>
        </w:numPr>
        <w:tabs>
          <w:tab w:val="left" w:pos="1638"/>
        </w:tabs>
        <w:spacing w:before="134" w:after="0" w:line="240" w:lineRule="auto"/>
        <w:ind w:left="1637" w:right="0" w:hanging="602"/>
        <w:jc w:val="left"/>
        <w:rPr>
          <w:sz w:val="24"/>
        </w:rPr>
      </w:pPr>
      <w:r>
        <w:rPr>
          <w:sz w:val="24"/>
        </w:rPr>
        <w:t>参加评分的评委应尽力体现客观、实事求是，避免学派偏见和个人偏好。</w:t>
      </w:r>
    </w:p>
    <w:p w14:paraId="5A942045">
      <w:pPr>
        <w:pStyle w:val="14"/>
        <w:numPr>
          <w:ilvl w:val="0"/>
          <w:numId w:val="39"/>
        </w:numPr>
        <w:tabs>
          <w:tab w:val="left" w:pos="1638"/>
        </w:tabs>
        <w:spacing w:before="132" w:after="0" w:line="343" w:lineRule="auto"/>
        <w:ind w:left="420" w:right="565" w:firstLine="616"/>
        <w:jc w:val="left"/>
        <w:rPr>
          <w:sz w:val="24"/>
        </w:rPr>
      </w:pPr>
      <w:r>
        <w:rPr>
          <w:spacing w:val="-4"/>
          <w:sz w:val="24"/>
        </w:rPr>
        <w:t>衡量、对比的依据，应以招标文件、投标文件、提供的正式试验数据、质询澄清</w:t>
      </w:r>
      <w:r>
        <w:rPr>
          <w:sz w:val="24"/>
        </w:rPr>
        <w:t>中的文字为准，口头回答和收集的资料只作为参考。</w:t>
      </w:r>
    </w:p>
    <w:p w14:paraId="33270C8C">
      <w:pPr>
        <w:pStyle w:val="14"/>
        <w:numPr>
          <w:ilvl w:val="0"/>
          <w:numId w:val="39"/>
        </w:numPr>
        <w:tabs>
          <w:tab w:val="left" w:pos="1638"/>
        </w:tabs>
        <w:spacing w:before="1" w:after="0" w:line="240" w:lineRule="auto"/>
        <w:ind w:left="1637" w:right="0" w:hanging="602"/>
        <w:jc w:val="left"/>
        <w:rPr>
          <w:sz w:val="24"/>
        </w:rPr>
      </w:pPr>
      <w:r>
        <w:rPr>
          <w:sz w:val="24"/>
        </w:rPr>
        <w:t>评分主要是为比较各投标人的价格、商务和技术综合排序。</w:t>
      </w:r>
    </w:p>
    <w:p w14:paraId="6CC85283">
      <w:pPr>
        <w:pStyle w:val="14"/>
        <w:numPr>
          <w:ilvl w:val="0"/>
          <w:numId w:val="39"/>
        </w:numPr>
        <w:tabs>
          <w:tab w:val="left" w:pos="1638"/>
        </w:tabs>
        <w:spacing w:before="132" w:after="0" w:line="240" w:lineRule="auto"/>
        <w:ind w:left="1637" w:right="0" w:hanging="602"/>
        <w:jc w:val="left"/>
        <w:rPr>
          <w:sz w:val="24"/>
        </w:rPr>
      </w:pPr>
      <w:r>
        <w:rPr>
          <w:sz w:val="24"/>
        </w:rPr>
        <w:t>评委打分采取记名形式。</w:t>
      </w:r>
    </w:p>
    <w:p w14:paraId="240C8A1A">
      <w:pPr>
        <w:pStyle w:val="14"/>
        <w:numPr>
          <w:ilvl w:val="0"/>
          <w:numId w:val="39"/>
        </w:numPr>
        <w:tabs>
          <w:tab w:val="left" w:pos="1638"/>
        </w:tabs>
        <w:spacing w:before="132" w:after="0" w:line="345" w:lineRule="auto"/>
        <w:ind w:left="420" w:right="565" w:firstLine="616"/>
        <w:jc w:val="left"/>
        <w:rPr>
          <w:sz w:val="24"/>
        </w:rPr>
      </w:pPr>
      <w:r>
        <w:rPr>
          <w:spacing w:val="-2"/>
          <w:sz w:val="24"/>
        </w:rPr>
        <w:t>各评委根据提供的技术打分表独立自主打分，任何人不得要求评委统一打分或统</w:t>
      </w:r>
      <w:r>
        <w:rPr>
          <w:sz w:val="24"/>
        </w:rPr>
        <w:t>一确定等次顺序。</w:t>
      </w:r>
    </w:p>
    <w:p w14:paraId="2AB8556F">
      <w:pPr>
        <w:pStyle w:val="14"/>
        <w:numPr>
          <w:ilvl w:val="0"/>
          <w:numId w:val="39"/>
        </w:numPr>
        <w:tabs>
          <w:tab w:val="left" w:pos="1638"/>
        </w:tabs>
        <w:spacing w:before="0" w:after="0" w:line="343" w:lineRule="auto"/>
        <w:ind w:left="420" w:right="565" w:firstLine="616"/>
        <w:jc w:val="left"/>
        <w:rPr>
          <w:sz w:val="24"/>
        </w:rPr>
      </w:pPr>
      <w:r>
        <w:rPr>
          <w:spacing w:val="-5"/>
          <w:sz w:val="24"/>
        </w:rPr>
        <w:t>对打分表中的每项条款，各评委应根据投标文件、澄清材料、招标文件要求，按</w:t>
      </w:r>
      <w:r>
        <w:rPr>
          <w:sz w:val="24"/>
        </w:rPr>
        <w:t>满足的程度给投标人打分。</w:t>
      </w:r>
    </w:p>
    <w:p w14:paraId="74F0D876">
      <w:pPr>
        <w:pStyle w:val="14"/>
        <w:numPr>
          <w:ilvl w:val="0"/>
          <w:numId w:val="39"/>
        </w:numPr>
        <w:tabs>
          <w:tab w:val="left" w:pos="1638"/>
        </w:tabs>
        <w:spacing w:before="0" w:after="0" w:line="240" w:lineRule="auto"/>
        <w:ind w:left="1637" w:right="0" w:hanging="602"/>
        <w:jc w:val="left"/>
        <w:rPr>
          <w:sz w:val="24"/>
        </w:rPr>
      </w:pPr>
      <w:r>
        <w:rPr>
          <w:sz w:val="24"/>
        </w:rPr>
        <w:t>评分程序</w:t>
      </w:r>
    </w:p>
    <w:p w14:paraId="780EF24F">
      <w:pPr>
        <w:pStyle w:val="14"/>
        <w:numPr>
          <w:ilvl w:val="0"/>
          <w:numId w:val="40"/>
        </w:numPr>
        <w:tabs>
          <w:tab w:val="left" w:pos="1278"/>
        </w:tabs>
        <w:spacing w:before="128" w:after="0" w:line="343" w:lineRule="auto"/>
        <w:ind w:left="420" w:right="667" w:firstLine="616"/>
        <w:jc w:val="left"/>
        <w:rPr>
          <w:sz w:val="24"/>
        </w:rPr>
      </w:pPr>
      <w:r>
        <w:rPr>
          <w:spacing w:val="-1"/>
          <w:sz w:val="24"/>
        </w:rPr>
        <w:t>就投标人的投标文件对照整理出商务、技术评标因素对比表、偏差表，并在经过校</w:t>
      </w:r>
      <w:r>
        <w:rPr>
          <w:sz w:val="24"/>
        </w:rPr>
        <w:t>核的基础上逐项打分。</w:t>
      </w:r>
    </w:p>
    <w:p w14:paraId="37E5AF0C">
      <w:pPr>
        <w:pStyle w:val="14"/>
        <w:numPr>
          <w:ilvl w:val="0"/>
          <w:numId w:val="40"/>
        </w:numPr>
        <w:tabs>
          <w:tab w:val="left" w:pos="1278"/>
        </w:tabs>
        <w:spacing w:before="1" w:after="0" w:line="240" w:lineRule="auto"/>
        <w:ind w:left="1277" w:right="0" w:hanging="242"/>
        <w:jc w:val="left"/>
        <w:rPr>
          <w:sz w:val="24"/>
        </w:rPr>
      </w:pPr>
      <w:r>
        <w:rPr>
          <w:sz w:val="24"/>
        </w:rPr>
        <w:t>各评委独立完成打分后，将评分表交给代理机构，由代理机构组织进行分数统计。</w:t>
      </w:r>
    </w:p>
    <w:p w14:paraId="3A9C3EF1">
      <w:pPr>
        <w:pStyle w:val="14"/>
        <w:numPr>
          <w:ilvl w:val="0"/>
          <w:numId w:val="40"/>
        </w:numPr>
        <w:tabs>
          <w:tab w:val="left" w:pos="1278"/>
        </w:tabs>
        <w:spacing w:before="132" w:after="0" w:line="240" w:lineRule="auto"/>
        <w:ind w:left="1277" w:right="0" w:hanging="242"/>
        <w:jc w:val="left"/>
        <w:rPr>
          <w:sz w:val="24"/>
        </w:rPr>
      </w:pPr>
      <w:r>
        <w:rPr>
          <w:sz w:val="24"/>
        </w:rPr>
        <w:t>最终汇总表中各投标人得分应为评委打分的算术平均值。</w:t>
      </w:r>
    </w:p>
    <w:p w14:paraId="3A89A53B">
      <w:pPr>
        <w:pStyle w:val="14"/>
        <w:numPr>
          <w:ilvl w:val="0"/>
          <w:numId w:val="39"/>
        </w:numPr>
        <w:tabs>
          <w:tab w:val="left" w:pos="1501"/>
        </w:tabs>
        <w:spacing w:before="180" w:after="0" w:line="240" w:lineRule="auto"/>
        <w:ind w:left="1501" w:right="0" w:hanging="601"/>
        <w:jc w:val="left"/>
        <w:rPr>
          <w:sz w:val="24"/>
        </w:rPr>
      </w:pPr>
      <w:r>
        <w:rPr>
          <w:sz w:val="24"/>
        </w:rPr>
        <w:t>评分标准和细则（综合评分法评分标准）</w:t>
      </w:r>
    </w:p>
    <w:p w14:paraId="41953CBC">
      <w:pPr>
        <w:spacing w:after="0" w:line="240" w:lineRule="auto"/>
        <w:jc w:val="left"/>
        <w:rPr>
          <w:sz w:val="24"/>
        </w:rPr>
        <w:sectPr>
          <w:pgSz w:w="11910" w:h="16840"/>
          <w:pgMar w:top="1580" w:right="660" w:bottom="1180" w:left="660" w:header="0" w:footer="909" w:gutter="0"/>
          <w:cols w:space="720" w:num="1"/>
        </w:sectPr>
      </w:pPr>
    </w:p>
    <w:p w14:paraId="6F017F74">
      <w:pPr>
        <w:pStyle w:val="8"/>
        <w:spacing w:before="6"/>
        <w:rPr>
          <w:sz w:val="19"/>
        </w:rPr>
      </w:pPr>
    </w:p>
    <w:p w14:paraId="602540C8">
      <w:pPr>
        <w:pStyle w:val="8"/>
        <w:tabs>
          <w:tab w:val="left" w:pos="1799"/>
        </w:tabs>
        <w:spacing w:before="66" w:after="31"/>
        <w:ind w:left="900"/>
      </w:pPr>
      <w:r>
        <w:t>附件</w:t>
      </w:r>
      <w:r>
        <w:rPr>
          <w:spacing w:val="-60"/>
        </w:rPr>
        <w:t xml:space="preserve"> </w:t>
      </w:r>
      <w:r>
        <w:t>1</w:t>
      </w:r>
      <w:r>
        <w:tab/>
      </w:r>
      <w:r>
        <w:t>评分标准和细则</w:t>
      </w:r>
    </w:p>
    <w:p w14:paraId="66238017">
      <w:pPr>
        <w:spacing w:after="0"/>
        <w:rPr>
          <w:rFonts w:ascii="Times New Roman"/>
          <w:sz w:val="22"/>
        </w:rPr>
      </w:pPr>
    </w:p>
    <w:tbl>
      <w:tblPr>
        <w:tblStyle w:val="11"/>
        <w:tblW w:w="10355"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6"/>
        <w:gridCol w:w="862"/>
        <w:gridCol w:w="1168"/>
        <w:gridCol w:w="7183"/>
        <w:gridCol w:w="606"/>
      </w:tblGrid>
      <w:tr w14:paraId="6301C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536" w:type="dxa"/>
            <w:noWrap w:val="0"/>
            <w:vAlign w:val="top"/>
          </w:tcPr>
          <w:p w14:paraId="4D122322">
            <w:pPr>
              <w:pStyle w:val="15"/>
              <w:spacing w:before="45"/>
              <w:ind w:left="107"/>
              <w:rPr>
                <w:sz w:val="24"/>
              </w:rPr>
            </w:pPr>
            <w:r>
              <w:rPr>
                <w:sz w:val="24"/>
              </w:rPr>
              <w:t>序</w:t>
            </w:r>
          </w:p>
          <w:p w14:paraId="72E05DBF">
            <w:pPr>
              <w:pStyle w:val="15"/>
              <w:spacing w:before="84"/>
              <w:ind w:left="107"/>
              <w:rPr>
                <w:sz w:val="24"/>
              </w:rPr>
            </w:pPr>
            <w:r>
              <w:rPr>
                <w:sz w:val="24"/>
              </w:rPr>
              <w:t>号</w:t>
            </w:r>
          </w:p>
        </w:tc>
        <w:tc>
          <w:tcPr>
            <w:tcW w:w="2030" w:type="dxa"/>
            <w:gridSpan w:val="2"/>
            <w:noWrap w:val="0"/>
            <w:vAlign w:val="top"/>
          </w:tcPr>
          <w:p w14:paraId="0CF966EA">
            <w:pPr>
              <w:pStyle w:val="15"/>
              <w:spacing w:before="9"/>
              <w:rPr>
                <w:sz w:val="18"/>
              </w:rPr>
            </w:pPr>
          </w:p>
          <w:p w14:paraId="10574ACE">
            <w:pPr>
              <w:pStyle w:val="15"/>
              <w:ind w:left="709"/>
              <w:rPr>
                <w:sz w:val="24"/>
              </w:rPr>
            </w:pPr>
            <w:r>
              <w:rPr>
                <w:sz w:val="24"/>
              </w:rPr>
              <w:t>评审因素</w:t>
            </w:r>
          </w:p>
        </w:tc>
        <w:tc>
          <w:tcPr>
            <w:tcW w:w="7183" w:type="dxa"/>
            <w:noWrap w:val="0"/>
            <w:vAlign w:val="top"/>
          </w:tcPr>
          <w:p w14:paraId="1D900F45">
            <w:pPr>
              <w:pStyle w:val="15"/>
              <w:spacing w:before="9"/>
              <w:rPr>
                <w:sz w:val="18"/>
              </w:rPr>
            </w:pPr>
          </w:p>
          <w:p w14:paraId="7330AD0E">
            <w:pPr>
              <w:pStyle w:val="15"/>
              <w:ind w:left="2686" w:right="2673"/>
              <w:jc w:val="center"/>
              <w:rPr>
                <w:sz w:val="24"/>
              </w:rPr>
            </w:pPr>
            <w:r>
              <w:rPr>
                <w:sz w:val="24"/>
              </w:rPr>
              <w:t>评分标准说明</w:t>
            </w:r>
          </w:p>
        </w:tc>
        <w:tc>
          <w:tcPr>
            <w:tcW w:w="606" w:type="dxa"/>
            <w:noWrap w:val="0"/>
            <w:vAlign w:val="top"/>
          </w:tcPr>
          <w:p w14:paraId="68B70F3C">
            <w:pPr>
              <w:pStyle w:val="15"/>
              <w:spacing w:before="45"/>
              <w:ind w:left="107"/>
              <w:rPr>
                <w:sz w:val="24"/>
              </w:rPr>
            </w:pPr>
            <w:r>
              <w:rPr>
                <w:sz w:val="24"/>
              </w:rPr>
              <w:t>分</w:t>
            </w:r>
          </w:p>
          <w:p w14:paraId="20CD09A4">
            <w:pPr>
              <w:pStyle w:val="15"/>
              <w:spacing w:before="84"/>
              <w:ind w:left="107"/>
              <w:rPr>
                <w:sz w:val="24"/>
              </w:rPr>
            </w:pPr>
            <w:r>
              <w:rPr>
                <w:sz w:val="24"/>
              </w:rPr>
              <w:t>值</w:t>
            </w:r>
          </w:p>
        </w:tc>
      </w:tr>
      <w:tr w14:paraId="3281B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2" w:hRule="atLeast"/>
        </w:trPr>
        <w:tc>
          <w:tcPr>
            <w:tcW w:w="536" w:type="dxa"/>
            <w:noWrap w:val="0"/>
            <w:vAlign w:val="top"/>
          </w:tcPr>
          <w:p w14:paraId="2FB017A2">
            <w:pPr>
              <w:pStyle w:val="15"/>
              <w:rPr>
                <w:sz w:val="24"/>
              </w:rPr>
            </w:pPr>
          </w:p>
          <w:p w14:paraId="0DDE1D36">
            <w:pPr>
              <w:pStyle w:val="15"/>
              <w:spacing w:before="9"/>
              <w:rPr>
                <w:sz w:val="18"/>
              </w:rPr>
            </w:pPr>
          </w:p>
          <w:p w14:paraId="3500B328">
            <w:pPr>
              <w:pStyle w:val="15"/>
              <w:ind w:left="11"/>
              <w:jc w:val="center"/>
              <w:rPr>
                <w:sz w:val="24"/>
              </w:rPr>
            </w:pPr>
            <w:r>
              <w:rPr>
                <w:sz w:val="24"/>
              </w:rPr>
              <w:t>1</w:t>
            </w:r>
          </w:p>
        </w:tc>
        <w:tc>
          <w:tcPr>
            <w:tcW w:w="2030" w:type="dxa"/>
            <w:gridSpan w:val="2"/>
            <w:noWrap w:val="0"/>
            <w:vAlign w:val="top"/>
          </w:tcPr>
          <w:p w14:paraId="36D7C54E">
            <w:pPr>
              <w:pStyle w:val="15"/>
              <w:rPr>
                <w:sz w:val="24"/>
              </w:rPr>
            </w:pPr>
          </w:p>
          <w:p w14:paraId="76B5AA96">
            <w:pPr>
              <w:pStyle w:val="15"/>
              <w:spacing w:before="9"/>
              <w:rPr>
                <w:sz w:val="18"/>
              </w:rPr>
            </w:pPr>
          </w:p>
          <w:p w14:paraId="1B1F5D36">
            <w:pPr>
              <w:pStyle w:val="15"/>
              <w:ind w:left="207"/>
              <w:rPr>
                <w:sz w:val="24"/>
              </w:rPr>
            </w:pPr>
            <w:r>
              <w:rPr>
                <w:sz w:val="24"/>
              </w:rPr>
              <w:t>投标报价（30 分）</w:t>
            </w:r>
          </w:p>
        </w:tc>
        <w:tc>
          <w:tcPr>
            <w:tcW w:w="7183" w:type="dxa"/>
            <w:noWrap w:val="0"/>
            <w:vAlign w:val="top"/>
          </w:tcPr>
          <w:p w14:paraId="7166C90C">
            <w:pPr>
              <w:pStyle w:val="15"/>
              <w:spacing w:before="158"/>
              <w:ind w:left="107"/>
              <w:rPr>
                <w:sz w:val="24"/>
              </w:rPr>
            </w:pPr>
            <w:r>
              <w:rPr>
                <w:spacing w:val="-9"/>
                <w:sz w:val="24"/>
              </w:rPr>
              <w:t>评标价格分数=</w:t>
            </w:r>
            <w:r>
              <w:rPr>
                <w:spacing w:val="-29"/>
                <w:sz w:val="24"/>
              </w:rPr>
              <w:t>（</w:t>
            </w:r>
            <w:r>
              <w:rPr>
                <w:spacing w:val="-5"/>
                <w:sz w:val="24"/>
              </w:rPr>
              <w:t>评标基准价</w:t>
            </w:r>
            <w:r>
              <w:rPr>
                <w:spacing w:val="-3"/>
                <w:sz w:val="24"/>
              </w:rPr>
              <w:t>/</w:t>
            </w:r>
            <w:r>
              <w:rPr>
                <w:spacing w:val="-5"/>
                <w:sz w:val="24"/>
              </w:rPr>
              <w:t>投标报价</w:t>
            </w:r>
            <w:r>
              <w:rPr>
                <w:spacing w:val="-32"/>
                <w:sz w:val="24"/>
              </w:rPr>
              <w:t>）</w:t>
            </w:r>
            <w:r>
              <w:rPr>
                <w:spacing w:val="-21"/>
                <w:sz w:val="24"/>
              </w:rPr>
              <w:t>×价格权重</w:t>
            </w:r>
            <w:r>
              <w:rPr>
                <w:spacing w:val="-9"/>
                <w:sz w:val="24"/>
              </w:rPr>
              <w:t>（30%）×100</w:t>
            </w:r>
          </w:p>
          <w:p w14:paraId="1C9C0658">
            <w:pPr>
              <w:pStyle w:val="15"/>
              <w:spacing w:before="82" w:line="304" w:lineRule="auto"/>
              <w:ind w:left="107" w:right="118"/>
              <w:rPr>
                <w:sz w:val="24"/>
              </w:rPr>
            </w:pPr>
            <w:r>
              <w:rPr>
                <w:spacing w:val="-5"/>
                <w:sz w:val="24"/>
              </w:rPr>
              <w:t>（注：实质性响应招标文件要求且价格最低的投标报价为评标基</w:t>
            </w:r>
            <w:r>
              <w:rPr>
                <w:spacing w:val="-4"/>
                <w:sz w:val="24"/>
              </w:rPr>
              <w:t>准价</w:t>
            </w:r>
            <w:r>
              <w:rPr>
                <w:sz w:val="24"/>
              </w:rPr>
              <w:t>）</w:t>
            </w:r>
          </w:p>
        </w:tc>
        <w:tc>
          <w:tcPr>
            <w:tcW w:w="606" w:type="dxa"/>
            <w:noWrap w:val="0"/>
            <w:vAlign w:val="top"/>
          </w:tcPr>
          <w:p w14:paraId="51F280F0">
            <w:pPr>
              <w:pStyle w:val="15"/>
              <w:rPr>
                <w:sz w:val="24"/>
              </w:rPr>
            </w:pPr>
          </w:p>
          <w:p w14:paraId="0E5D2FA7">
            <w:pPr>
              <w:pStyle w:val="15"/>
              <w:spacing w:before="9"/>
              <w:rPr>
                <w:sz w:val="18"/>
              </w:rPr>
            </w:pPr>
          </w:p>
          <w:p w14:paraId="3D27134D">
            <w:pPr>
              <w:pStyle w:val="15"/>
              <w:ind w:right="169"/>
              <w:jc w:val="right"/>
              <w:rPr>
                <w:sz w:val="24"/>
              </w:rPr>
            </w:pPr>
            <w:r>
              <w:rPr>
                <w:sz w:val="24"/>
              </w:rPr>
              <w:t>30</w:t>
            </w:r>
          </w:p>
        </w:tc>
      </w:tr>
      <w:tr w14:paraId="63088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536" w:type="dxa"/>
            <w:vMerge w:val="restart"/>
            <w:noWrap w:val="0"/>
            <w:vAlign w:val="top"/>
          </w:tcPr>
          <w:p w14:paraId="175A7B45">
            <w:pPr>
              <w:pStyle w:val="15"/>
              <w:spacing w:before="1"/>
              <w:rPr>
                <w:sz w:val="25"/>
              </w:rPr>
            </w:pPr>
          </w:p>
          <w:p w14:paraId="294DF78D">
            <w:pPr>
              <w:pStyle w:val="15"/>
              <w:ind w:left="11"/>
              <w:jc w:val="center"/>
              <w:rPr>
                <w:sz w:val="24"/>
              </w:rPr>
            </w:pPr>
          </w:p>
          <w:p w14:paraId="7CF32A20">
            <w:pPr>
              <w:pStyle w:val="15"/>
              <w:ind w:left="11"/>
              <w:jc w:val="center"/>
              <w:rPr>
                <w:sz w:val="24"/>
              </w:rPr>
            </w:pPr>
          </w:p>
          <w:p w14:paraId="3A5E65AF">
            <w:pPr>
              <w:pStyle w:val="15"/>
              <w:ind w:left="11"/>
              <w:jc w:val="center"/>
              <w:rPr>
                <w:sz w:val="24"/>
              </w:rPr>
            </w:pPr>
          </w:p>
          <w:p w14:paraId="762ED4C5">
            <w:pPr>
              <w:pStyle w:val="15"/>
              <w:ind w:left="11"/>
              <w:jc w:val="center"/>
              <w:rPr>
                <w:sz w:val="24"/>
              </w:rPr>
            </w:pPr>
          </w:p>
          <w:p w14:paraId="4CC44B8B">
            <w:pPr>
              <w:pStyle w:val="15"/>
              <w:ind w:left="11"/>
              <w:jc w:val="center"/>
              <w:rPr>
                <w:sz w:val="24"/>
              </w:rPr>
            </w:pPr>
          </w:p>
          <w:p w14:paraId="0146075A">
            <w:pPr>
              <w:pStyle w:val="15"/>
              <w:ind w:left="11"/>
              <w:jc w:val="center"/>
              <w:rPr>
                <w:sz w:val="24"/>
              </w:rPr>
            </w:pPr>
            <w:r>
              <w:rPr>
                <w:sz w:val="24"/>
              </w:rPr>
              <w:t>2</w:t>
            </w:r>
          </w:p>
        </w:tc>
        <w:tc>
          <w:tcPr>
            <w:tcW w:w="862" w:type="dxa"/>
            <w:vMerge w:val="restart"/>
            <w:noWrap w:val="0"/>
            <w:vAlign w:val="top"/>
          </w:tcPr>
          <w:p w14:paraId="0A497595">
            <w:pPr>
              <w:pStyle w:val="15"/>
              <w:spacing w:before="44" w:line="390" w:lineRule="atLeast"/>
              <w:ind w:left="107" w:right="39"/>
              <w:rPr>
                <w:sz w:val="24"/>
              </w:rPr>
            </w:pPr>
          </w:p>
          <w:p w14:paraId="6C395E7D">
            <w:pPr>
              <w:pStyle w:val="15"/>
              <w:spacing w:before="44" w:line="390" w:lineRule="atLeast"/>
              <w:ind w:left="107" w:right="39"/>
              <w:rPr>
                <w:sz w:val="24"/>
              </w:rPr>
            </w:pPr>
          </w:p>
          <w:p w14:paraId="57CE096D">
            <w:pPr>
              <w:pStyle w:val="15"/>
              <w:spacing w:before="44" w:line="390" w:lineRule="atLeast"/>
              <w:ind w:left="107" w:right="39"/>
              <w:rPr>
                <w:sz w:val="24"/>
              </w:rPr>
            </w:pPr>
          </w:p>
          <w:p w14:paraId="14763635">
            <w:pPr>
              <w:pStyle w:val="15"/>
              <w:spacing w:before="44" w:line="390" w:lineRule="atLeast"/>
              <w:ind w:left="107" w:right="39"/>
              <w:rPr>
                <w:sz w:val="24"/>
              </w:rPr>
            </w:pPr>
          </w:p>
          <w:p w14:paraId="2B4F48CB">
            <w:pPr>
              <w:pStyle w:val="15"/>
              <w:spacing w:before="44" w:line="390" w:lineRule="atLeast"/>
              <w:ind w:left="107" w:right="39"/>
              <w:rPr>
                <w:sz w:val="24"/>
              </w:rPr>
            </w:pPr>
          </w:p>
          <w:p w14:paraId="3B4DBBF6">
            <w:pPr>
              <w:pStyle w:val="15"/>
              <w:spacing w:before="44" w:line="390" w:lineRule="atLeast"/>
              <w:ind w:left="107" w:right="39"/>
              <w:rPr>
                <w:sz w:val="24"/>
              </w:rPr>
            </w:pPr>
            <w:r>
              <w:rPr>
                <w:sz w:val="24"/>
              </w:rPr>
              <w:t>商 务 部 分（</w:t>
            </w:r>
            <w:r>
              <w:rPr>
                <w:rFonts w:hint="eastAsia"/>
                <w:sz w:val="24"/>
                <w:lang w:val="en-US" w:eastAsia="zh-CN"/>
              </w:rPr>
              <w:t>30</w:t>
            </w:r>
            <w:r>
              <w:rPr>
                <w:sz w:val="24"/>
              </w:rPr>
              <w:t>）</w:t>
            </w:r>
          </w:p>
        </w:tc>
        <w:tc>
          <w:tcPr>
            <w:tcW w:w="1168" w:type="dxa"/>
            <w:noWrap w:val="0"/>
            <w:vAlign w:val="top"/>
          </w:tcPr>
          <w:p w14:paraId="2C66E10D">
            <w:pPr>
              <w:pStyle w:val="15"/>
              <w:spacing w:line="302" w:lineRule="auto"/>
              <w:ind w:right="74"/>
              <w:jc w:val="center"/>
              <w:rPr>
                <w:sz w:val="24"/>
              </w:rPr>
            </w:pPr>
            <w:r>
              <w:rPr>
                <w:sz w:val="24"/>
              </w:rPr>
              <w:t>投标文件制作</w:t>
            </w:r>
          </w:p>
        </w:tc>
        <w:tc>
          <w:tcPr>
            <w:tcW w:w="7183" w:type="dxa"/>
            <w:noWrap w:val="0"/>
            <w:vAlign w:val="top"/>
          </w:tcPr>
          <w:p w14:paraId="63E597C9">
            <w:pPr>
              <w:pStyle w:val="15"/>
              <w:spacing w:before="136" w:line="304" w:lineRule="auto"/>
              <w:ind w:left="107" w:right="96"/>
              <w:jc w:val="both"/>
              <w:rPr>
                <w:sz w:val="24"/>
              </w:rPr>
            </w:pPr>
            <w:r>
              <w:rPr>
                <w:spacing w:val="-6"/>
                <w:sz w:val="24"/>
              </w:rPr>
              <w:t>投标文件按招标文件规定的格式，顺序编制精美，有目录、编页</w:t>
            </w:r>
            <w:r>
              <w:rPr>
                <w:spacing w:val="-10"/>
                <w:sz w:val="24"/>
              </w:rPr>
              <w:t>码、内容完整，书面整洁无涂改，没有缺漏项，价格数量等计算</w:t>
            </w:r>
            <w:r>
              <w:rPr>
                <w:spacing w:val="-12"/>
                <w:sz w:val="24"/>
              </w:rPr>
              <w:t xml:space="preserve">准确的计 </w:t>
            </w:r>
            <w:r>
              <w:rPr>
                <w:rFonts w:hint="eastAsia"/>
                <w:sz w:val="24"/>
                <w:lang w:val="en-US" w:eastAsia="zh-CN"/>
              </w:rPr>
              <w:t>6</w:t>
            </w:r>
            <w:r>
              <w:rPr>
                <w:spacing w:val="-12"/>
                <w:sz w:val="24"/>
              </w:rPr>
              <w:t xml:space="preserve"> 分。不符合要求的，每处扣 </w:t>
            </w:r>
            <w:r>
              <w:rPr>
                <w:sz w:val="24"/>
              </w:rPr>
              <w:t>0.5</w:t>
            </w:r>
            <w:r>
              <w:rPr>
                <w:spacing w:val="-8"/>
                <w:sz w:val="24"/>
              </w:rPr>
              <w:t xml:space="preserve"> 分，扣完为止。</w:t>
            </w:r>
          </w:p>
        </w:tc>
        <w:tc>
          <w:tcPr>
            <w:tcW w:w="606" w:type="dxa"/>
            <w:noWrap w:val="0"/>
            <w:vAlign w:val="top"/>
          </w:tcPr>
          <w:p w14:paraId="72BABAA7">
            <w:pPr>
              <w:pStyle w:val="15"/>
              <w:rPr>
                <w:sz w:val="24"/>
              </w:rPr>
            </w:pPr>
          </w:p>
          <w:p w14:paraId="548D8484">
            <w:pPr>
              <w:pStyle w:val="15"/>
              <w:spacing w:before="2"/>
              <w:rPr>
                <w:sz w:val="17"/>
              </w:rPr>
            </w:pPr>
          </w:p>
          <w:p w14:paraId="3D3BF0DA">
            <w:pPr>
              <w:pStyle w:val="15"/>
              <w:ind w:right="229"/>
              <w:jc w:val="right"/>
              <w:rPr>
                <w:rFonts w:hint="eastAsia" w:eastAsia="仿宋"/>
                <w:sz w:val="24"/>
                <w:lang w:eastAsia="zh-CN"/>
              </w:rPr>
            </w:pPr>
            <w:r>
              <w:rPr>
                <w:rFonts w:hint="eastAsia"/>
                <w:sz w:val="24"/>
                <w:lang w:val="en-US" w:eastAsia="zh-CN"/>
              </w:rPr>
              <w:t>6</w:t>
            </w:r>
          </w:p>
        </w:tc>
      </w:tr>
      <w:tr w14:paraId="190B2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536" w:type="dxa"/>
            <w:vMerge w:val="continue"/>
            <w:noWrap w:val="0"/>
            <w:vAlign w:val="top"/>
          </w:tcPr>
          <w:p w14:paraId="58AFC39F">
            <w:pPr>
              <w:pStyle w:val="15"/>
              <w:rPr>
                <w:rFonts w:ascii="Times New Roman"/>
                <w:sz w:val="22"/>
              </w:rPr>
            </w:pPr>
          </w:p>
        </w:tc>
        <w:tc>
          <w:tcPr>
            <w:tcW w:w="862" w:type="dxa"/>
            <w:vMerge w:val="continue"/>
            <w:noWrap w:val="0"/>
            <w:vAlign w:val="top"/>
          </w:tcPr>
          <w:p w14:paraId="3ECAF1E6">
            <w:pPr>
              <w:pStyle w:val="15"/>
              <w:rPr>
                <w:rFonts w:ascii="Times New Roman"/>
                <w:sz w:val="22"/>
              </w:rPr>
            </w:pPr>
          </w:p>
        </w:tc>
        <w:tc>
          <w:tcPr>
            <w:tcW w:w="1168" w:type="dxa"/>
            <w:noWrap w:val="0"/>
            <w:vAlign w:val="top"/>
          </w:tcPr>
          <w:p w14:paraId="2975E40F">
            <w:pPr>
              <w:pStyle w:val="15"/>
              <w:spacing w:before="5"/>
              <w:jc w:val="center"/>
              <w:rPr>
                <w:color w:val="auto"/>
                <w:sz w:val="23"/>
                <w:highlight w:val="none"/>
              </w:rPr>
            </w:pPr>
          </w:p>
          <w:p w14:paraId="7C13D5C3">
            <w:pPr>
              <w:pStyle w:val="15"/>
              <w:ind w:left="133"/>
              <w:jc w:val="center"/>
              <w:rPr>
                <w:color w:val="auto"/>
                <w:sz w:val="24"/>
                <w:highlight w:val="none"/>
              </w:rPr>
            </w:pPr>
            <w:r>
              <w:rPr>
                <w:color w:val="auto"/>
                <w:sz w:val="24"/>
                <w:highlight w:val="none"/>
              </w:rPr>
              <w:t>项目业绩</w:t>
            </w:r>
          </w:p>
        </w:tc>
        <w:tc>
          <w:tcPr>
            <w:tcW w:w="7183" w:type="dxa"/>
            <w:noWrap w:val="0"/>
            <w:vAlign w:val="top"/>
          </w:tcPr>
          <w:p w14:paraId="5C451B85">
            <w:pPr>
              <w:pStyle w:val="15"/>
              <w:spacing w:before="141" w:line="280" w:lineRule="auto"/>
              <w:ind w:left="107" w:right="91"/>
              <w:rPr>
                <w:color w:val="auto"/>
                <w:sz w:val="24"/>
                <w:highlight w:val="none"/>
              </w:rPr>
            </w:pPr>
            <w:r>
              <w:rPr>
                <w:color w:val="auto"/>
                <w:spacing w:val="-11"/>
                <w:sz w:val="24"/>
                <w:highlight w:val="none"/>
              </w:rPr>
              <w:t>提供投标人或</w:t>
            </w:r>
            <w:r>
              <w:rPr>
                <w:rFonts w:hint="eastAsia"/>
                <w:color w:val="auto"/>
                <w:spacing w:val="-11"/>
                <w:sz w:val="24"/>
                <w:highlight w:val="none"/>
                <w:lang w:val="en-US" w:eastAsia="zh-CN"/>
              </w:rPr>
              <w:t>制造商</w:t>
            </w:r>
            <w:r>
              <w:rPr>
                <w:color w:val="auto"/>
                <w:spacing w:val="-11"/>
                <w:sz w:val="24"/>
                <w:highlight w:val="none"/>
              </w:rPr>
              <w:t>近</w:t>
            </w:r>
            <w:r>
              <w:rPr>
                <w:rFonts w:hint="eastAsia"/>
                <w:color w:val="auto"/>
                <w:spacing w:val="-11"/>
                <w:sz w:val="24"/>
                <w:highlight w:val="none"/>
                <w:lang w:val="en-US" w:eastAsia="zh-CN"/>
              </w:rPr>
              <w:t>三</w:t>
            </w:r>
            <w:r>
              <w:rPr>
                <w:color w:val="auto"/>
                <w:spacing w:val="-11"/>
                <w:sz w:val="24"/>
                <w:highlight w:val="none"/>
              </w:rPr>
              <w:t>年</w:t>
            </w:r>
            <w:r>
              <w:rPr>
                <w:rFonts w:hint="eastAsia"/>
                <w:color w:val="auto"/>
                <w:spacing w:val="-11"/>
                <w:sz w:val="24"/>
                <w:highlight w:val="none"/>
                <w:lang w:val="en-US" w:eastAsia="zh-CN"/>
              </w:rPr>
              <w:t>含招标范围内的</w:t>
            </w:r>
            <w:r>
              <w:rPr>
                <w:color w:val="auto"/>
                <w:spacing w:val="-11"/>
                <w:sz w:val="24"/>
                <w:highlight w:val="none"/>
              </w:rPr>
              <w:t>类似业绩，中标通知书</w:t>
            </w:r>
            <w:r>
              <w:rPr>
                <w:rFonts w:hint="eastAsia"/>
                <w:color w:val="auto"/>
                <w:spacing w:val="-11"/>
                <w:sz w:val="24"/>
                <w:highlight w:val="none"/>
                <w:lang w:eastAsia="zh-CN"/>
              </w:rPr>
              <w:t>或者合同</w:t>
            </w:r>
            <w:r>
              <w:rPr>
                <w:color w:val="auto"/>
                <w:spacing w:val="-11"/>
                <w:sz w:val="24"/>
                <w:highlight w:val="none"/>
              </w:rPr>
              <w:t>(以签订</w:t>
            </w:r>
            <w:r>
              <w:rPr>
                <w:color w:val="auto"/>
                <w:spacing w:val="-9"/>
                <w:sz w:val="24"/>
                <w:highlight w:val="none"/>
              </w:rPr>
              <w:t xml:space="preserve">合同日期为准)，每提供一个得 </w:t>
            </w:r>
            <w:r>
              <w:rPr>
                <w:rFonts w:hint="eastAsia"/>
                <w:color w:val="auto"/>
                <w:sz w:val="24"/>
                <w:highlight w:val="none"/>
                <w:lang w:val="en-US" w:eastAsia="zh-CN"/>
              </w:rPr>
              <w:t>2</w:t>
            </w:r>
            <w:r>
              <w:rPr>
                <w:color w:val="auto"/>
                <w:spacing w:val="-25"/>
                <w:sz w:val="24"/>
                <w:highlight w:val="none"/>
              </w:rPr>
              <w:t xml:space="preserve"> 分，满分 </w:t>
            </w:r>
            <w:r>
              <w:rPr>
                <w:rFonts w:hint="eastAsia"/>
                <w:color w:val="auto"/>
                <w:sz w:val="24"/>
                <w:highlight w:val="none"/>
                <w:lang w:val="en-US" w:eastAsia="zh-CN"/>
              </w:rPr>
              <w:t>10</w:t>
            </w:r>
            <w:r>
              <w:rPr>
                <w:color w:val="auto"/>
                <w:spacing w:val="-23"/>
                <w:sz w:val="24"/>
                <w:highlight w:val="none"/>
              </w:rPr>
              <w:t>分。</w:t>
            </w:r>
          </w:p>
        </w:tc>
        <w:tc>
          <w:tcPr>
            <w:tcW w:w="606" w:type="dxa"/>
            <w:noWrap w:val="0"/>
            <w:vAlign w:val="top"/>
          </w:tcPr>
          <w:p w14:paraId="22FD468B">
            <w:pPr>
              <w:pStyle w:val="15"/>
              <w:spacing w:before="5"/>
              <w:rPr>
                <w:sz w:val="23"/>
              </w:rPr>
            </w:pPr>
          </w:p>
          <w:p w14:paraId="4F8FD54C">
            <w:pPr>
              <w:pStyle w:val="15"/>
              <w:ind w:right="229"/>
              <w:jc w:val="right"/>
              <w:rPr>
                <w:rFonts w:hint="default" w:eastAsia="仿宋"/>
                <w:sz w:val="24"/>
                <w:lang w:val="en-US" w:eastAsia="zh-CN"/>
              </w:rPr>
            </w:pPr>
            <w:r>
              <w:rPr>
                <w:rFonts w:hint="eastAsia"/>
                <w:sz w:val="24"/>
                <w:lang w:val="en-US" w:eastAsia="zh-CN"/>
              </w:rPr>
              <w:t>10</w:t>
            </w:r>
          </w:p>
        </w:tc>
      </w:tr>
      <w:tr w14:paraId="04997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7" w:hRule="atLeast"/>
        </w:trPr>
        <w:tc>
          <w:tcPr>
            <w:tcW w:w="536" w:type="dxa"/>
            <w:vMerge w:val="continue"/>
            <w:noWrap w:val="0"/>
            <w:vAlign w:val="top"/>
          </w:tcPr>
          <w:p w14:paraId="3A70892B">
            <w:pPr>
              <w:pStyle w:val="15"/>
              <w:rPr>
                <w:rFonts w:ascii="Times New Roman"/>
                <w:sz w:val="22"/>
              </w:rPr>
            </w:pPr>
          </w:p>
        </w:tc>
        <w:tc>
          <w:tcPr>
            <w:tcW w:w="862" w:type="dxa"/>
            <w:vMerge w:val="continue"/>
            <w:noWrap w:val="0"/>
            <w:vAlign w:val="top"/>
          </w:tcPr>
          <w:p w14:paraId="61F4F356">
            <w:pPr>
              <w:pStyle w:val="15"/>
              <w:rPr>
                <w:rFonts w:ascii="Times New Roman"/>
                <w:sz w:val="22"/>
              </w:rPr>
            </w:pPr>
          </w:p>
        </w:tc>
        <w:tc>
          <w:tcPr>
            <w:tcW w:w="1168" w:type="dxa"/>
            <w:noWrap w:val="0"/>
            <w:vAlign w:val="top"/>
          </w:tcPr>
          <w:p w14:paraId="705C91F2">
            <w:pPr>
              <w:pStyle w:val="15"/>
              <w:spacing w:before="7"/>
              <w:ind w:left="133"/>
              <w:jc w:val="center"/>
              <w:rPr>
                <w:sz w:val="24"/>
              </w:rPr>
            </w:pPr>
            <w:r>
              <w:rPr>
                <w:spacing w:val="-4"/>
                <w:sz w:val="24"/>
              </w:rPr>
              <w:t>产品质量</w:t>
            </w:r>
          </w:p>
          <w:p w14:paraId="016FB34F">
            <w:pPr>
              <w:pStyle w:val="15"/>
              <w:spacing w:before="83"/>
              <w:ind w:left="133"/>
              <w:jc w:val="center"/>
              <w:rPr>
                <w:sz w:val="24"/>
              </w:rPr>
            </w:pPr>
            <w:r>
              <w:rPr>
                <w:spacing w:val="-4"/>
                <w:sz w:val="24"/>
              </w:rPr>
              <w:t>方案证明</w:t>
            </w:r>
          </w:p>
        </w:tc>
        <w:tc>
          <w:tcPr>
            <w:tcW w:w="7183" w:type="dxa"/>
            <w:noWrap w:val="0"/>
            <w:vAlign w:val="top"/>
          </w:tcPr>
          <w:p w14:paraId="52927D59">
            <w:pPr>
              <w:pStyle w:val="15"/>
              <w:spacing w:before="136"/>
              <w:ind w:left="107"/>
              <w:rPr>
                <w:sz w:val="24"/>
              </w:rPr>
            </w:pPr>
            <w:r>
              <w:rPr>
                <w:sz w:val="24"/>
              </w:rPr>
              <w:t>①投标人提供制作榨油机核心部件榨螺的热处理设备为箱式多用炉，此部分实施方案为提供实物彩色图片，图片内容：地面上带轨道式的三座立式；②投标人提供制造榨油机传动部分固定齿轮轴的齿轮箱箱体的打孔设备为加工中心设备，此部分实施方案为</w:t>
            </w:r>
            <w:r>
              <w:rPr>
                <w:spacing w:val="-5"/>
                <w:sz w:val="24"/>
              </w:rPr>
              <w:t>提供实物彩色图片；③制油设备的核心设备：制油设备的核心设备：榨油机和精炼脱蜡一级油精炼设备制作为投标人或制造商企</w:t>
            </w:r>
            <w:r>
              <w:rPr>
                <w:sz w:val="24"/>
              </w:rPr>
              <w:t>业制作，此部分实施方案为提供彩色图片，图片内容：投标人提供的生产车间的制作场景。</w:t>
            </w:r>
          </w:p>
          <w:p w14:paraId="2229A459">
            <w:pPr>
              <w:pStyle w:val="15"/>
              <w:spacing w:before="26"/>
              <w:ind w:left="107"/>
              <w:rPr>
                <w:sz w:val="24"/>
              </w:rPr>
            </w:pPr>
            <w:r>
              <w:rPr>
                <w:spacing w:val="-9"/>
                <w:sz w:val="24"/>
              </w:rPr>
              <w:t>上述三项投标人每实质性响应一项得</w:t>
            </w:r>
            <w:r>
              <w:rPr>
                <w:rFonts w:hint="eastAsia"/>
                <w:spacing w:val="-9"/>
                <w:sz w:val="24"/>
                <w:lang w:val="en-US" w:eastAsia="zh-CN"/>
              </w:rPr>
              <w:t>2</w:t>
            </w:r>
            <w:r>
              <w:rPr>
                <w:spacing w:val="-25"/>
                <w:sz w:val="24"/>
              </w:rPr>
              <w:t>分，满分</w:t>
            </w:r>
            <w:r>
              <w:rPr>
                <w:rFonts w:hint="eastAsia"/>
                <w:spacing w:val="-25"/>
                <w:sz w:val="24"/>
                <w:lang w:val="en-US" w:eastAsia="zh-CN"/>
              </w:rPr>
              <w:t xml:space="preserve"> 6</w:t>
            </w:r>
            <w:r>
              <w:rPr>
                <w:spacing w:val="-24"/>
                <w:sz w:val="24"/>
              </w:rPr>
              <w:t xml:space="preserve"> 分。</w:t>
            </w:r>
            <w:r>
              <w:rPr>
                <w:spacing w:val="-5"/>
                <w:sz w:val="24"/>
              </w:rPr>
              <w:t>（</w:t>
            </w:r>
            <w:r>
              <w:rPr>
                <w:spacing w:val="-3"/>
                <w:sz w:val="24"/>
              </w:rPr>
              <w:t>未提供</w:t>
            </w:r>
            <w:r>
              <w:rPr>
                <w:sz w:val="24"/>
              </w:rPr>
              <w:t>或内容不全或内容模糊不清的不得分)</w:t>
            </w:r>
          </w:p>
        </w:tc>
        <w:tc>
          <w:tcPr>
            <w:tcW w:w="606" w:type="dxa"/>
            <w:noWrap w:val="0"/>
            <w:vAlign w:val="top"/>
          </w:tcPr>
          <w:p w14:paraId="03C286A1">
            <w:pPr>
              <w:pStyle w:val="15"/>
              <w:spacing w:before="204"/>
              <w:ind w:right="229"/>
              <w:jc w:val="right"/>
              <w:rPr>
                <w:rFonts w:hint="eastAsia" w:eastAsia="仿宋"/>
                <w:sz w:val="24"/>
                <w:lang w:eastAsia="zh-CN"/>
              </w:rPr>
            </w:pPr>
            <w:r>
              <w:rPr>
                <w:rFonts w:hint="eastAsia"/>
                <w:sz w:val="24"/>
                <w:lang w:val="en-US" w:eastAsia="zh-CN"/>
              </w:rPr>
              <w:t>6</w:t>
            </w:r>
          </w:p>
        </w:tc>
      </w:tr>
      <w:tr w14:paraId="271AB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3" w:hRule="atLeast"/>
        </w:trPr>
        <w:tc>
          <w:tcPr>
            <w:tcW w:w="536" w:type="dxa"/>
            <w:vMerge w:val="continue"/>
            <w:noWrap w:val="0"/>
            <w:vAlign w:val="top"/>
          </w:tcPr>
          <w:p w14:paraId="4EB89160">
            <w:pPr>
              <w:pStyle w:val="15"/>
              <w:rPr>
                <w:rFonts w:ascii="Times New Roman"/>
                <w:sz w:val="22"/>
              </w:rPr>
            </w:pPr>
          </w:p>
        </w:tc>
        <w:tc>
          <w:tcPr>
            <w:tcW w:w="862" w:type="dxa"/>
            <w:vMerge w:val="continue"/>
            <w:noWrap w:val="0"/>
            <w:vAlign w:val="top"/>
          </w:tcPr>
          <w:p w14:paraId="40CD9AF9">
            <w:pPr>
              <w:pStyle w:val="15"/>
              <w:rPr>
                <w:rFonts w:ascii="Times New Roman"/>
                <w:sz w:val="22"/>
              </w:rPr>
            </w:pPr>
          </w:p>
        </w:tc>
        <w:tc>
          <w:tcPr>
            <w:tcW w:w="1168" w:type="dxa"/>
            <w:noWrap w:val="0"/>
            <w:vAlign w:val="top"/>
          </w:tcPr>
          <w:p w14:paraId="04AAD487">
            <w:pPr>
              <w:pStyle w:val="15"/>
              <w:spacing w:before="54"/>
              <w:ind w:right="137"/>
              <w:jc w:val="center"/>
              <w:rPr>
                <w:color w:val="auto"/>
                <w:sz w:val="22"/>
              </w:rPr>
            </w:pPr>
            <w:r>
              <w:rPr>
                <w:color w:val="auto"/>
                <w:sz w:val="22"/>
              </w:rPr>
              <w:t>产品质量认证</w:t>
            </w:r>
          </w:p>
        </w:tc>
        <w:tc>
          <w:tcPr>
            <w:tcW w:w="7183" w:type="dxa"/>
            <w:noWrap w:val="0"/>
            <w:vAlign w:val="top"/>
          </w:tcPr>
          <w:p w14:paraId="06A31003">
            <w:pPr>
              <w:pStyle w:val="15"/>
              <w:spacing w:before="130"/>
              <w:ind w:left="107"/>
              <w:rPr>
                <w:rFonts w:hint="eastAsia" w:eastAsia="仿宋"/>
                <w:color w:val="auto"/>
                <w:sz w:val="24"/>
                <w:lang w:val="en-US" w:eastAsia="zh-CN"/>
              </w:rPr>
            </w:pPr>
            <w:r>
              <w:rPr>
                <w:sz w:val="24"/>
              </w:rPr>
              <w:t>①提供投标人《质量管理体系认证证书》，②提供投标人获得国家或省级的高新技术企业证书，③提供投标人</w:t>
            </w:r>
            <w:r>
              <w:rPr>
                <w:rFonts w:hint="eastAsia"/>
                <w:color w:val="auto"/>
                <w:sz w:val="24"/>
                <w:lang w:eastAsia="zh-CN"/>
              </w:rPr>
              <w:t>榨油机专利证书</w:t>
            </w:r>
            <w:r>
              <w:rPr>
                <w:color w:val="auto"/>
                <w:sz w:val="24"/>
              </w:rPr>
              <w:t>。</w:t>
            </w:r>
            <w:r>
              <w:rPr>
                <w:rFonts w:hint="eastAsia"/>
                <w:color w:val="auto"/>
                <w:sz w:val="24"/>
                <w:lang w:eastAsia="zh-CN"/>
              </w:rPr>
              <w:t>④提供投标人的特种设备生产许可证</w:t>
            </w:r>
          </w:p>
          <w:p w14:paraId="3A787E86">
            <w:pPr>
              <w:pStyle w:val="15"/>
              <w:spacing w:before="81"/>
              <w:rPr>
                <w:sz w:val="24"/>
              </w:rPr>
            </w:pPr>
            <w:r>
              <w:rPr>
                <w:color w:val="auto"/>
                <w:spacing w:val="-7"/>
                <w:sz w:val="24"/>
              </w:rPr>
              <w:t xml:space="preserve">上述实质性响应得 </w:t>
            </w:r>
            <w:r>
              <w:rPr>
                <w:rFonts w:hint="eastAsia"/>
                <w:color w:val="auto"/>
                <w:sz w:val="24"/>
                <w:lang w:val="en-US" w:eastAsia="zh-CN"/>
              </w:rPr>
              <w:t>2</w:t>
            </w:r>
            <w:r>
              <w:rPr>
                <w:color w:val="auto"/>
                <w:spacing w:val="-24"/>
                <w:sz w:val="24"/>
              </w:rPr>
              <w:t xml:space="preserve"> 分，满分 </w:t>
            </w:r>
            <w:r>
              <w:rPr>
                <w:rFonts w:hint="eastAsia"/>
                <w:color w:val="auto"/>
                <w:sz w:val="24"/>
                <w:lang w:val="en-US" w:eastAsia="zh-CN"/>
              </w:rPr>
              <w:t>8</w:t>
            </w:r>
            <w:r>
              <w:rPr>
                <w:color w:val="auto"/>
                <w:spacing w:val="-13"/>
                <w:sz w:val="24"/>
              </w:rPr>
              <w:t>分，未提供不得分。</w:t>
            </w:r>
            <w:r>
              <w:rPr>
                <w:color w:val="auto"/>
                <w:sz w:val="24"/>
              </w:rPr>
              <w:t>（</w:t>
            </w:r>
            <w:r>
              <w:rPr>
                <w:color w:val="auto"/>
                <w:spacing w:val="-5"/>
                <w:sz w:val="24"/>
              </w:rPr>
              <w:t>说明：提</w:t>
            </w:r>
            <w:r>
              <w:rPr>
                <w:color w:val="auto"/>
                <w:sz w:val="24"/>
              </w:rPr>
              <w:t>供的相关证书需为投标人的企业且真实可信，无伪造、编造、变</w:t>
            </w:r>
            <w:r>
              <w:rPr>
                <w:sz w:val="24"/>
              </w:rPr>
              <w:t>造、篡改等情况，否则追究投标人的法律及经济责任）</w:t>
            </w:r>
          </w:p>
        </w:tc>
        <w:tc>
          <w:tcPr>
            <w:tcW w:w="606" w:type="dxa"/>
            <w:noWrap w:val="0"/>
            <w:vAlign w:val="top"/>
          </w:tcPr>
          <w:p w14:paraId="6CFA1903">
            <w:pPr>
              <w:pStyle w:val="15"/>
              <w:spacing w:before="5"/>
              <w:rPr>
                <w:sz w:val="18"/>
              </w:rPr>
            </w:pPr>
          </w:p>
          <w:p w14:paraId="40AA1516">
            <w:pPr>
              <w:pStyle w:val="15"/>
              <w:ind w:right="229"/>
              <w:jc w:val="right"/>
              <w:rPr>
                <w:rFonts w:hint="eastAsia" w:eastAsia="仿宋"/>
                <w:sz w:val="24"/>
                <w:lang w:eastAsia="zh-CN"/>
              </w:rPr>
            </w:pPr>
            <w:r>
              <w:rPr>
                <w:rFonts w:hint="eastAsia"/>
                <w:sz w:val="24"/>
                <w:lang w:val="en-US" w:eastAsia="zh-CN"/>
              </w:rPr>
              <w:t>8</w:t>
            </w:r>
          </w:p>
        </w:tc>
      </w:tr>
      <w:tr w14:paraId="22266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536" w:type="dxa"/>
            <w:vMerge w:val="restart"/>
            <w:noWrap w:val="0"/>
            <w:vAlign w:val="top"/>
          </w:tcPr>
          <w:p w14:paraId="5FBA6C37">
            <w:pPr>
              <w:pStyle w:val="15"/>
              <w:spacing w:before="20"/>
              <w:ind w:left="11" w:leftChars="0" w:right="0" w:rightChars="0"/>
              <w:jc w:val="center"/>
              <w:rPr>
                <w:sz w:val="24"/>
              </w:rPr>
            </w:pPr>
          </w:p>
          <w:p w14:paraId="03B88D11">
            <w:pPr>
              <w:pStyle w:val="15"/>
              <w:spacing w:before="20"/>
              <w:ind w:left="11" w:leftChars="0" w:right="0" w:rightChars="0"/>
              <w:jc w:val="center"/>
              <w:rPr>
                <w:sz w:val="24"/>
              </w:rPr>
            </w:pPr>
          </w:p>
          <w:p w14:paraId="170CCFC8">
            <w:pPr>
              <w:pStyle w:val="15"/>
              <w:spacing w:before="20"/>
              <w:ind w:left="11" w:leftChars="0" w:right="0" w:rightChars="0"/>
              <w:jc w:val="center"/>
              <w:rPr>
                <w:rFonts w:ascii="仿宋" w:hAnsi="仿宋" w:eastAsia="仿宋" w:cs="仿宋"/>
                <w:sz w:val="24"/>
                <w:szCs w:val="22"/>
                <w:lang w:val="en-US" w:eastAsia="zh-CN" w:bidi="ar-SA"/>
              </w:rPr>
            </w:pPr>
            <w:r>
              <w:rPr>
                <w:sz w:val="24"/>
              </w:rPr>
              <w:t>3</w:t>
            </w:r>
          </w:p>
        </w:tc>
        <w:tc>
          <w:tcPr>
            <w:tcW w:w="862" w:type="dxa"/>
            <w:vMerge w:val="restart"/>
            <w:noWrap w:val="0"/>
            <w:vAlign w:val="top"/>
          </w:tcPr>
          <w:p w14:paraId="18C91A73">
            <w:pPr>
              <w:pStyle w:val="15"/>
              <w:rPr>
                <w:sz w:val="24"/>
              </w:rPr>
            </w:pPr>
          </w:p>
          <w:p w14:paraId="68CE15AB">
            <w:pPr>
              <w:pStyle w:val="15"/>
              <w:spacing w:before="6"/>
              <w:rPr>
                <w:sz w:val="17"/>
              </w:rPr>
            </w:pPr>
          </w:p>
          <w:p w14:paraId="04AD6554">
            <w:pPr>
              <w:pStyle w:val="15"/>
              <w:ind w:left="107"/>
              <w:rPr>
                <w:sz w:val="24"/>
              </w:rPr>
            </w:pPr>
            <w:r>
              <w:rPr>
                <w:sz w:val="24"/>
              </w:rPr>
              <w:t>技术部</w:t>
            </w:r>
          </w:p>
          <w:p w14:paraId="02C9F22D">
            <w:pPr>
              <w:pStyle w:val="15"/>
              <w:spacing w:before="33"/>
              <w:ind w:left="107"/>
              <w:rPr>
                <w:rFonts w:hint="default" w:eastAsia="仿宋"/>
                <w:sz w:val="24"/>
                <w:lang w:val="en-US" w:eastAsia="zh-CN"/>
              </w:rPr>
            </w:pPr>
            <w:r>
              <w:rPr>
                <w:sz w:val="24"/>
              </w:rPr>
              <w:t>分（</w:t>
            </w:r>
            <w:r>
              <w:rPr>
                <w:rFonts w:hint="eastAsia"/>
                <w:sz w:val="24"/>
                <w:lang w:val="en-US" w:eastAsia="zh-CN"/>
              </w:rPr>
              <w:t>40</w:t>
            </w:r>
          </w:p>
          <w:p w14:paraId="46ACA5CD">
            <w:pPr>
              <w:pStyle w:val="15"/>
              <w:spacing w:line="301" w:lineRule="exact"/>
              <w:ind w:left="107" w:leftChars="0" w:right="0" w:rightChars="0"/>
              <w:rPr>
                <w:rFonts w:ascii="仿宋" w:hAnsi="仿宋" w:eastAsia="仿宋" w:cs="仿宋"/>
                <w:sz w:val="24"/>
                <w:szCs w:val="22"/>
                <w:lang w:val="en-US" w:eastAsia="zh-CN" w:bidi="ar-SA"/>
              </w:rPr>
            </w:pPr>
            <w:r>
              <w:rPr>
                <w:sz w:val="24"/>
              </w:rPr>
              <w:t>分）</w:t>
            </w:r>
          </w:p>
        </w:tc>
        <w:tc>
          <w:tcPr>
            <w:tcW w:w="1168" w:type="dxa"/>
            <w:noWrap w:val="0"/>
            <w:vAlign w:val="top"/>
          </w:tcPr>
          <w:p w14:paraId="5D28F249">
            <w:pPr>
              <w:pStyle w:val="15"/>
              <w:spacing w:before="106" w:line="242" w:lineRule="auto"/>
              <w:ind w:right="74" w:rightChars="0"/>
              <w:jc w:val="center"/>
              <w:rPr>
                <w:rFonts w:ascii="仿宋" w:hAnsi="仿宋" w:eastAsia="仿宋" w:cs="仿宋"/>
                <w:sz w:val="24"/>
                <w:szCs w:val="22"/>
                <w:lang w:val="en-US" w:eastAsia="zh-CN" w:bidi="ar-SA"/>
              </w:rPr>
            </w:pPr>
            <w:r>
              <w:rPr>
                <w:sz w:val="24"/>
              </w:rPr>
              <w:t>产品质量保证</w:t>
            </w:r>
          </w:p>
        </w:tc>
        <w:tc>
          <w:tcPr>
            <w:tcW w:w="7183" w:type="dxa"/>
            <w:noWrap w:val="0"/>
            <w:vAlign w:val="top"/>
          </w:tcPr>
          <w:p w14:paraId="37C2D785">
            <w:pPr>
              <w:pStyle w:val="15"/>
              <w:spacing w:before="128" w:line="310" w:lineRule="atLeast"/>
              <w:ind w:left="107" w:right="79"/>
              <w:rPr>
                <w:color w:val="auto"/>
                <w:spacing w:val="-17"/>
                <w:sz w:val="24"/>
              </w:rPr>
            </w:pPr>
            <w:r>
              <w:rPr>
                <w:color w:val="auto"/>
                <w:spacing w:val="-17"/>
                <w:sz w:val="24"/>
              </w:rPr>
              <w:t xml:space="preserve">为了保障采购的关键设备质量，如榨油机、精炼流水线、灌装机， </w:t>
            </w:r>
            <w:r>
              <w:rPr>
                <w:color w:val="auto"/>
                <w:spacing w:val="-5"/>
                <w:sz w:val="24"/>
              </w:rPr>
              <w:t>投标人需提供有效证明。</w:t>
            </w:r>
          </w:p>
          <w:p w14:paraId="26282657">
            <w:pPr>
              <w:pStyle w:val="15"/>
              <w:spacing w:before="193"/>
              <w:ind w:left="107"/>
              <w:rPr>
                <w:color w:val="auto"/>
                <w:sz w:val="24"/>
              </w:rPr>
            </w:pPr>
            <w:r>
              <w:rPr>
                <w:color w:val="auto"/>
                <w:sz w:val="24"/>
              </w:rPr>
              <w:t>①榨油机的第三方检测报告；②一级油精炼检测报告（此项有工艺相同，不同产量的检测报告同等有效）；③灌装机的检测报告；④干饼残油率 4.1%-6.5%（粗脂肪），此项报告适合所有植物油料压榨后的饼粕。</w:t>
            </w:r>
          </w:p>
          <w:p w14:paraId="0EB282C9">
            <w:pPr>
              <w:pStyle w:val="15"/>
              <w:spacing w:before="127" w:line="281" w:lineRule="exact"/>
              <w:ind w:left="107"/>
              <w:rPr>
                <w:color w:val="auto"/>
                <w:sz w:val="24"/>
              </w:rPr>
            </w:pPr>
            <w:r>
              <w:rPr>
                <w:color w:val="auto"/>
                <w:spacing w:val="-9"/>
                <w:sz w:val="24"/>
              </w:rPr>
              <w:t xml:space="preserve">以上检测报告投标人每实质性响应一件得 </w:t>
            </w:r>
            <w:r>
              <w:rPr>
                <w:rFonts w:hint="eastAsia"/>
                <w:color w:val="auto"/>
                <w:sz w:val="24"/>
                <w:lang w:val="en-US" w:eastAsia="zh-CN"/>
              </w:rPr>
              <w:t>2</w:t>
            </w:r>
            <w:r>
              <w:rPr>
                <w:color w:val="auto"/>
                <w:spacing w:val="-25"/>
                <w:sz w:val="24"/>
              </w:rPr>
              <w:t xml:space="preserve">分，满分 </w:t>
            </w:r>
            <w:r>
              <w:rPr>
                <w:rFonts w:hint="eastAsia"/>
                <w:color w:val="auto"/>
                <w:sz w:val="24"/>
                <w:lang w:val="en-US" w:eastAsia="zh-CN"/>
              </w:rPr>
              <w:t>8</w:t>
            </w:r>
            <w:r>
              <w:rPr>
                <w:color w:val="auto"/>
                <w:spacing w:val="-16"/>
                <w:sz w:val="24"/>
              </w:rPr>
              <w:t>分，未实</w:t>
            </w:r>
            <w:r>
              <w:rPr>
                <w:color w:val="auto"/>
                <w:sz w:val="24"/>
              </w:rPr>
              <w:t>质性响应得 0 分。</w:t>
            </w:r>
          </w:p>
          <w:p w14:paraId="73B2F70E">
            <w:pPr>
              <w:pStyle w:val="15"/>
              <w:spacing w:before="60"/>
              <w:ind w:left="107"/>
              <w:rPr>
                <w:rFonts w:hint="eastAsia" w:ascii="仿宋" w:hAnsi="仿宋" w:eastAsia="仿宋" w:cs="仿宋"/>
                <w:color w:val="auto"/>
                <w:sz w:val="24"/>
                <w:szCs w:val="22"/>
                <w:lang w:val="en-US" w:eastAsia="zh-CN" w:bidi="ar-SA"/>
              </w:rPr>
            </w:pPr>
            <w:r>
              <w:rPr>
                <w:color w:val="auto"/>
                <w:sz w:val="24"/>
              </w:rPr>
              <w:t>说明：提供的相关证书需为投标人的企业且真实可信，无伪造、编造、变造、篡改等情况，否则追究投标人的法律及经济责任。</w:t>
            </w:r>
          </w:p>
        </w:tc>
        <w:tc>
          <w:tcPr>
            <w:tcW w:w="606" w:type="dxa"/>
            <w:noWrap w:val="0"/>
            <w:vAlign w:val="top"/>
          </w:tcPr>
          <w:p w14:paraId="5FE26D78">
            <w:pPr>
              <w:pStyle w:val="15"/>
              <w:spacing w:before="6"/>
              <w:rPr>
                <w:color w:val="auto"/>
                <w:sz w:val="20"/>
              </w:rPr>
            </w:pPr>
          </w:p>
          <w:p w14:paraId="5A890280">
            <w:pPr>
              <w:pStyle w:val="15"/>
              <w:ind w:left="0" w:leftChars="0" w:right="229" w:rightChars="0"/>
              <w:jc w:val="right"/>
              <w:rPr>
                <w:rFonts w:hint="eastAsia" w:ascii="仿宋" w:hAnsi="仿宋" w:eastAsia="仿宋" w:cs="仿宋"/>
                <w:color w:val="auto"/>
                <w:sz w:val="24"/>
                <w:szCs w:val="22"/>
                <w:lang w:val="en-US" w:eastAsia="zh-CN" w:bidi="ar-SA"/>
              </w:rPr>
            </w:pPr>
            <w:r>
              <w:rPr>
                <w:rFonts w:hint="eastAsia"/>
                <w:color w:val="auto"/>
                <w:sz w:val="24"/>
                <w:lang w:val="en-US" w:eastAsia="zh-CN"/>
              </w:rPr>
              <w:t>8</w:t>
            </w:r>
          </w:p>
        </w:tc>
      </w:tr>
      <w:tr w14:paraId="0809B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2" w:hRule="atLeast"/>
        </w:trPr>
        <w:tc>
          <w:tcPr>
            <w:tcW w:w="536" w:type="dxa"/>
            <w:vMerge w:val="continue"/>
            <w:noWrap w:val="0"/>
            <w:vAlign w:val="top"/>
          </w:tcPr>
          <w:p w14:paraId="5937C30E">
            <w:pPr>
              <w:pStyle w:val="15"/>
              <w:spacing w:before="20"/>
              <w:ind w:left="11" w:leftChars="0" w:right="0" w:rightChars="0"/>
              <w:jc w:val="center"/>
              <w:rPr>
                <w:sz w:val="24"/>
              </w:rPr>
            </w:pPr>
          </w:p>
        </w:tc>
        <w:tc>
          <w:tcPr>
            <w:tcW w:w="862" w:type="dxa"/>
            <w:vMerge w:val="continue"/>
            <w:noWrap w:val="0"/>
            <w:vAlign w:val="top"/>
          </w:tcPr>
          <w:p w14:paraId="623AB8CF">
            <w:pPr>
              <w:pStyle w:val="15"/>
              <w:spacing w:line="301" w:lineRule="exact"/>
              <w:ind w:left="107" w:leftChars="0" w:right="0" w:rightChars="0"/>
              <w:rPr>
                <w:sz w:val="24"/>
              </w:rPr>
            </w:pPr>
          </w:p>
        </w:tc>
        <w:tc>
          <w:tcPr>
            <w:tcW w:w="1168" w:type="dxa"/>
            <w:noWrap w:val="0"/>
            <w:vAlign w:val="top"/>
          </w:tcPr>
          <w:p w14:paraId="2342862D">
            <w:pPr>
              <w:pStyle w:val="15"/>
              <w:spacing w:line="304" w:lineRule="auto"/>
              <w:ind w:left="0" w:leftChars="0" w:right="74" w:rightChars="0"/>
              <w:jc w:val="center"/>
              <w:rPr>
                <w:rFonts w:ascii="仿宋" w:hAnsi="仿宋" w:eastAsia="仿宋" w:cs="仿宋"/>
                <w:sz w:val="24"/>
                <w:szCs w:val="22"/>
                <w:lang w:val="en-US" w:eastAsia="zh-CN" w:bidi="ar-SA"/>
              </w:rPr>
            </w:pPr>
            <w:r>
              <w:rPr>
                <w:sz w:val="24"/>
              </w:rPr>
              <w:t>售后质量保障</w:t>
            </w:r>
          </w:p>
        </w:tc>
        <w:tc>
          <w:tcPr>
            <w:tcW w:w="7183" w:type="dxa"/>
            <w:noWrap w:val="0"/>
            <w:vAlign w:val="top"/>
          </w:tcPr>
          <w:p w14:paraId="53E3E220">
            <w:pPr>
              <w:pStyle w:val="15"/>
              <w:spacing w:before="41" w:line="304" w:lineRule="auto"/>
              <w:ind w:left="107" w:right="129"/>
              <w:rPr>
                <w:sz w:val="24"/>
              </w:rPr>
            </w:pPr>
            <w:r>
              <w:rPr>
                <w:sz w:val="24"/>
              </w:rPr>
              <w:t>售后服务方案的针对性、完整性及可行性(包括响应时间、服务负责人等情况)：</w:t>
            </w:r>
          </w:p>
          <w:p w14:paraId="03504984">
            <w:pPr>
              <w:pStyle w:val="15"/>
              <w:numPr>
                <w:ilvl w:val="0"/>
                <w:numId w:val="0"/>
              </w:numPr>
              <w:tabs>
                <w:tab w:val="left" w:pos="709"/>
              </w:tabs>
              <w:spacing w:before="0" w:after="0" w:line="304" w:lineRule="auto"/>
              <w:ind w:left="107" w:leftChars="0" w:right="96" w:rightChars="0"/>
              <w:jc w:val="both"/>
              <w:rPr>
                <w:sz w:val="24"/>
              </w:rPr>
            </w:pPr>
            <w:r>
              <w:rPr>
                <w:rFonts w:hint="eastAsia"/>
                <w:sz w:val="24"/>
                <w:lang w:val="en-US" w:eastAsia="zh-CN"/>
              </w:rPr>
              <w:t>①</w:t>
            </w:r>
            <w:r>
              <w:rPr>
                <w:sz w:val="24"/>
              </w:rPr>
              <w:t>能够结合使用特征，提出全面详细的售后方案，特征，提</w:t>
            </w:r>
            <w:r>
              <w:rPr>
                <w:spacing w:val="-7"/>
                <w:sz w:val="24"/>
              </w:rPr>
              <w:t>出有一定针针对性强，可行性高；响应时间客观且及时，负责人</w:t>
            </w:r>
            <w:r>
              <w:rPr>
                <w:sz w:val="24"/>
              </w:rPr>
              <w:t>明确且具备丰富类似工作经验：</w:t>
            </w:r>
            <w:r>
              <w:rPr>
                <w:rFonts w:hint="eastAsia"/>
                <w:sz w:val="24"/>
                <w:lang w:val="en-US" w:eastAsia="zh-CN"/>
              </w:rPr>
              <w:t>10</w:t>
            </w:r>
            <w:r>
              <w:rPr>
                <w:spacing w:val="-20"/>
                <w:sz w:val="24"/>
              </w:rPr>
              <w:t>分；</w:t>
            </w:r>
          </w:p>
          <w:p w14:paraId="1A2E03B2">
            <w:pPr>
              <w:pStyle w:val="15"/>
              <w:numPr>
                <w:ilvl w:val="0"/>
                <w:numId w:val="0"/>
              </w:numPr>
              <w:tabs>
                <w:tab w:val="left" w:pos="709"/>
              </w:tabs>
              <w:spacing w:before="0" w:after="0" w:line="304" w:lineRule="auto"/>
              <w:ind w:left="107" w:leftChars="0" w:right="96" w:rightChars="0"/>
              <w:jc w:val="both"/>
              <w:rPr>
                <w:sz w:val="24"/>
              </w:rPr>
            </w:pPr>
            <w:r>
              <w:rPr>
                <w:rFonts w:hint="eastAsia"/>
                <w:sz w:val="24"/>
                <w:lang w:val="en-US" w:eastAsia="zh-CN"/>
              </w:rPr>
              <w:t>②</w:t>
            </w:r>
            <w:r>
              <w:rPr>
                <w:sz w:val="24"/>
              </w:rPr>
              <w:t>能够基本结合使用特征，提出较为全面的售后方案，有一</w:t>
            </w:r>
            <w:r>
              <w:rPr>
                <w:spacing w:val="-10"/>
                <w:sz w:val="24"/>
              </w:rPr>
              <w:t>定针对性，可行性较高；响应时间基本客观合理，负责人明确且</w:t>
            </w:r>
            <w:r>
              <w:rPr>
                <w:sz w:val="24"/>
              </w:rPr>
              <w:t>具备类似工作经验：</w:t>
            </w:r>
            <w:r>
              <w:rPr>
                <w:rFonts w:hint="eastAsia"/>
                <w:sz w:val="24"/>
                <w:lang w:val="en-US" w:eastAsia="zh-CN"/>
              </w:rPr>
              <w:t>8</w:t>
            </w:r>
            <w:r>
              <w:rPr>
                <w:spacing w:val="-20"/>
                <w:sz w:val="24"/>
              </w:rPr>
              <w:t>分；</w:t>
            </w:r>
          </w:p>
          <w:p w14:paraId="4069010F">
            <w:pPr>
              <w:pStyle w:val="15"/>
              <w:numPr>
                <w:ilvl w:val="0"/>
                <w:numId w:val="0"/>
              </w:numPr>
              <w:tabs>
                <w:tab w:val="left" w:pos="709"/>
              </w:tabs>
              <w:spacing w:before="0" w:after="0" w:line="304" w:lineRule="auto"/>
              <w:ind w:left="107" w:leftChars="0" w:right="129" w:rightChars="0"/>
              <w:jc w:val="both"/>
              <w:rPr>
                <w:sz w:val="24"/>
              </w:rPr>
            </w:pPr>
            <w:r>
              <w:rPr>
                <w:rFonts w:hint="eastAsia"/>
                <w:spacing w:val="-1"/>
                <w:sz w:val="24"/>
                <w:lang w:val="en-US" w:eastAsia="zh-CN"/>
              </w:rPr>
              <w:t>③</w:t>
            </w:r>
            <w:r>
              <w:rPr>
                <w:spacing w:val="-1"/>
                <w:sz w:val="24"/>
              </w:rPr>
              <w:t>能够结合部分使用对性的售后方案，具备可行性；响应时</w:t>
            </w:r>
            <w:r>
              <w:rPr>
                <w:sz w:val="24"/>
              </w:rPr>
              <w:t>间基本客观合理，负责人明确：</w:t>
            </w:r>
            <w:r>
              <w:rPr>
                <w:rFonts w:hint="eastAsia"/>
                <w:sz w:val="24"/>
                <w:lang w:val="en-US" w:eastAsia="zh-CN"/>
              </w:rPr>
              <w:t>6</w:t>
            </w:r>
            <w:r>
              <w:rPr>
                <w:spacing w:val="-20"/>
                <w:sz w:val="24"/>
              </w:rPr>
              <w:t>分；</w:t>
            </w:r>
          </w:p>
          <w:p w14:paraId="7A29C20E">
            <w:pPr>
              <w:pStyle w:val="15"/>
              <w:numPr>
                <w:ilvl w:val="0"/>
                <w:numId w:val="0"/>
              </w:numPr>
              <w:tabs>
                <w:tab w:val="left" w:pos="709"/>
              </w:tabs>
              <w:spacing w:before="0" w:after="0" w:line="304" w:lineRule="auto"/>
              <w:ind w:left="107" w:leftChars="0" w:right="129" w:rightChars="0"/>
              <w:jc w:val="both"/>
              <w:rPr>
                <w:sz w:val="24"/>
              </w:rPr>
            </w:pPr>
            <w:r>
              <w:rPr>
                <w:rFonts w:hint="eastAsia"/>
                <w:spacing w:val="-1"/>
                <w:sz w:val="24"/>
                <w:lang w:val="en-US" w:eastAsia="zh-CN"/>
              </w:rPr>
              <w:t>④</w:t>
            </w:r>
            <w:r>
              <w:rPr>
                <w:spacing w:val="-1"/>
                <w:sz w:val="24"/>
              </w:rPr>
              <w:t>不能基本结合使用特征，或方案有遗漏，较为简略，可行</w:t>
            </w:r>
            <w:r>
              <w:rPr>
                <w:sz w:val="24"/>
              </w:rPr>
              <w:t>性较弱；响应时间基本合理，负责人明确：</w:t>
            </w:r>
            <w:r>
              <w:rPr>
                <w:rFonts w:hint="eastAsia"/>
                <w:sz w:val="24"/>
                <w:lang w:val="en-US" w:eastAsia="zh-CN"/>
              </w:rPr>
              <w:t>4</w:t>
            </w:r>
            <w:r>
              <w:rPr>
                <w:spacing w:val="-20"/>
                <w:sz w:val="24"/>
              </w:rPr>
              <w:t xml:space="preserve"> 分；</w:t>
            </w:r>
          </w:p>
          <w:p w14:paraId="4909B5A8">
            <w:pPr>
              <w:pStyle w:val="15"/>
              <w:numPr>
                <w:ilvl w:val="0"/>
                <w:numId w:val="0"/>
              </w:numPr>
              <w:tabs>
                <w:tab w:val="left" w:pos="709"/>
              </w:tabs>
              <w:spacing w:before="0" w:after="0" w:line="304" w:lineRule="auto"/>
              <w:ind w:left="107" w:leftChars="0" w:right="129" w:rightChars="0"/>
              <w:jc w:val="both"/>
              <w:rPr>
                <w:sz w:val="24"/>
              </w:rPr>
            </w:pPr>
            <w:r>
              <w:rPr>
                <w:rFonts w:hint="eastAsia"/>
                <w:spacing w:val="-1"/>
                <w:sz w:val="24"/>
                <w:lang w:val="en-US" w:eastAsia="zh-CN"/>
              </w:rPr>
              <w:t>⑤</w:t>
            </w:r>
            <w:r>
              <w:rPr>
                <w:spacing w:val="-1"/>
                <w:sz w:val="24"/>
              </w:rPr>
              <w:t>不能基本结合使用特征且方案有重大遗漏，可行性差；响</w:t>
            </w:r>
            <w:r>
              <w:rPr>
                <w:sz w:val="24"/>
              </w:rPr>
              <w:t>应时间合理性较差或较长；或负责人不明确：</w:t>
            </w:r>
            <w:r>
              <w:rPr>
                <w:rFonts w:hint="eastAsia"/>
                <w:sz w:val="24"/>
                <w:lang w:val="en-US" w:eastAsia="zh-CN"/>
              </w:rPr>
              <w:t>2</w:t>
            </w:r>
            <w:r>
              <w:rPr>
                <w:spacing w:val="-20"/>
                <w:sz w:val="24"/>
              </w:rPr>
              <w:t>分；</w:t>
            </w:r>
          </w:p>
          <w:p w14:paraId="4946C901">
            <w:pPr>
              <w:pStyle w:val="15"/>
              <w:numPr>
                <w:ilvl w:val="0"/>
                <w:numId w:val="0"/>
              </w:numPr>
              <w:tabs>
                <w:tab w:val="left" w:pos="709"/>
              </w:tabs>
              <w:spacing w:before="0" w:after="0" w:line="306" w:lineRule="exact"/>
              <w:ind w:left="106" w:leftChars="0" w:right="0" w:rightChars="0" w:firstLine="0" w:firstLineChars="0"/>
              <w:jc w:val="both"/>
              <w:rPr>
                <w:rFonts w:ascii="仿宋" w:hAnsi="仿宋" w:eastAsia="仿宋" w:cs="仿宋"/>
                <w:sz w:val="24"/>
                <w:szCs w:val="22"/>
                <w:lang w:val="en-US" w:eastAsia="zh-CN" w:bidi="ar-SA"/>
              </w:rPr>
            </w:pPr>
            <w:r>
              <w:rPr>
                <w:rFonts w:hint="eastAsia"/>
                <w:sz w:val="24"/>
                <w:lang w:val="en-US" w:eastAsia="zh-CN"/>
              </w:rPr>
              <w:t>⑥</w:t>
            </w:r>
            <w:r>
              <w:rPr>
                <w:sz w:val="24"/>
              </w:rPr>
              <w:t>未提供具体售后服务方案的：0</w:t>
            </w:r>
            <w:r>
              <w:rPr>
                <w:spacing w:val="-20"/>
                <w:sz w:val="24"/>
              </w:rPr>
              <w:t xml:space="preserve"> 分；</w:t>
            </w:r>
          </w:p>
        </w:tc>
        <w:tc>
          <w:tcPr>
            <w:tcW w:w="606" w:type="dxa"/>
            <w:noWrap w:val="0"/>
            <w:vAlign w:val="top"/>
          </w:tcPr>
          <w:p w14:paraId="156E879F">
            <w:pPr>
              <w:pStyle w:val="15"/>
              <w:rPr>
                <w:sz w:val="24"/>
              </w:rPr>
            </w:pPr>
          </w:p>
          <w:p w14:paraId="333D65AD">
            <w:pPr>
              <w:pStyle w:val="15"/>
              <w:rPr>
                <w:sz w:val="24"/>
              </w:rPr>
            </w:pPr>
          </w:p>
          <w:p w14:paraId="7502F078">
            <w:pPr>
              <w:pStyle w:val="15"/>
              <w:rPr>
                <w:sz w:val="24"/>
              </w:rPr>
            </w:pPr>
          </w:p>
          <w:p w14:paraId="25CA37BA">
            <w:pPr>
              <w:pStyle w:val="15"/>
              <w:rPr>
                <w:sz w:val="24"/>
              </w:rPr>
            </w:pPr>
          </w:p>
          <w:p w14:paraId="1EF2C2D6">
            <w:pPr>
              <w:pStyle w:val="15"/>
              <w:rPr>
                <w:sz w:val="24"/>
              </w:rPr>
            </w:pPr>
          </w:p>
          <w:p w14:paraId="08AB9D31">
            <w:pPr>
              <w:pStyle w:val="15"/>
              <w:rPr>
                <w:sz w:val="24"/>
              </w:rPr>
            </w:pPr>
          </w:p>
          <w:p w14:paraId="1A0FF012">
            <w:pPr>
              <w:pStyle w:val="15"/>
              <w:rPr>
                <w:sz w:val="24"/>
              </w:rPr>
            </w:pPr>
          </w:p>
          <w:p w14:paraId="37DA96AE">
            <w:pPr>
              <w:pStyle w:val="15"/>
              <w:rPr>
                <w:sz w:val="24"/>
              </w:rPr>
            </w:pPr>
          </w:p>
          <w:p w14:paraId="0373867B">
            <w:pPr>
              <w:pStyle w:val="15"/>
              <w:spacing w:before="5"/>
              <w:rPr>
                <w:sz w:val="24"/>
              </w:rPr>
            </w:pPr>
          </w:p>
          <w:p w14:paraId="276FA6B7">
            <w:pPr>
              <w:pStyle w:val="15"/>
              <w:ind w:left="0" w:leftChars="0" w:right="229" w:rightChars="0"/>
              <w:jc w:val="right"/>
              <w:rPr>
                <w:rFonts w:hint="eastAsia" w:ascii="仿宋" w:hAnsi="仿宋" w:eastAsia="仿宋" w:cs="仿宋"/>
                <w:sz w:val="24"/>
                <w:szCs w:val="22"/>
                <w:lang w:val="en-US" w:eastAsia="zh-CN" w:bidi="ar-SA"/>
              </w:rPr>
            </w:pPr>
            <w:r>
              <w:rPr>
                <w:rFonts w:hint="eastAsia"/>
                <w:sz w:val="24"/>
                <w:lang w:val="en-US" w:eastAsia="zh-CN"/>
              </w:rPr>
              <w:t>10</w:t>
            </w:r>
          </w:p>
        </w:tc>
      </w:tr>
      <w:tr w14:paraId="35F44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2" w:hRule="atLeast"/>
        </w:trPr>
        <w:tc>
          <w:tcPr>
            <w:tcW w:w="536" w:type="dxa"/>
            <w:vMerge w:val="continue"/>
            <w:noWrap w:val="0"/>
            <w:vAlign w:val="top"/>
          </w:tcPr>
          <w:p w14:paraId="41DB6F0D">
            <w:pPr>
              <w:pStyle w:val="15"/>
              <w:spacing w:before="20"/>
              <w:ind w:left="11" w:leftChars="0" w:right="0" w:rightChars="0"/>
              <w:jc w:val="center"/>
              <w:rPr>
                <w:sz w:val="24"/>
              </w:rPr>
            </w:pPr>
          </w:p>
        </w:tc>
        <w:tc>
          <w:tcPr>
            <w:tcW w:w="862" w:type="dxa"/>
            <w:vMerge w:val="continue"/>
            <w:noWrap w:val="0"/>
            <w:vAlign w:val="top"/>
          </w:tcPr>
          <w:p w14:paraId="116FEBCD">
            <w:pPr>
              <w:pStyle w:val="15"/>
              <w:spacing w:line="301" w:lineRule="exact"/>
              <w:ind w:left="107" w:leftChars="0" w:right="0" w:rightChars="0"/>
              <w:rPr>
                <w:sz w:val="24"/>
              </w:rPr>
            </w:pPr>
          </w:p>
        </w:tc>
        <w:tc>
          <w:tcPr>
            <w:tcW w:w="1168" w:type="dxa"/>
            <w:noWrap w:val="0"/>
            <w:vAlign w:val="top"/>
          </w:tcPr>
          <w:p w14:paraId="0E75FCCD">
            <w:pPr>
              <w:pStyle w:val="15"/>
              <w:spacing w:line="302" w:lineRule="auto"/>
              <w:ind w:right="74" w:rightChars="0"/>
              <w:jc w:val="center"/>
              <w:rPr>
                <w:rFonts w:ascii="仿宋" w:hAnsi="仿宋" w:eastAsia="仿宋" w:cs="仿宋"/>
                <w:sz w:val="24"/>
                <w:szCs w:val="22"/>
                <w:lang w:val="en-US" w:eastAsia="zh-CN" w:bidi="ar-SA"/>
              </w:rPr>
            </w:pPr>
            <w:r>
              <w:rPr>
                <w:sz w:val="24"/>
              </w:rPr>
              <w:t>项目实施方案</w:t>
            </w:r>
          </w:p>
        </w:tc>
        <w:tc>
          <w:tcPr>
            <w:tcW w:w="7183" w:type="dxa"/>
            <w:noWrap w:val="0"/>
            <w:vAlign w:val="top"/>
          </w:tcPr>
          <w:p w14:paraId="5A59F120">
            <w:pPr>
              <w:pStyle w:val="15"/>
              <w:spacing w:before="41"/>
              <w:ind w:left="107"/>
              <w:rPr>
                <w:sz w:val="24"/>
              </w:rPr>
            </w:pPr>
            <w:r>
              <w:rPr>
                <w:sz w:val="24"/>
              </w:rPr>
              <w:t>投标人根据项目要求提供项目实施方案，对方案的完整性、科学</w:t>
            </w:r>
          </w:p>
          <w:p w14:paraId="6EEEACE4">
            <w:pPr>
              <w:pStyle w:val="15"/>
              <w:spacing w:before="37"/>
              <w:ind w:left="107"/>
              <w:rPr>
                <w:sz w:val="24"/>
              </w:rPr>
            </w:pPr>
            <w:r>
              <w:rPr>
                <w:sz w:val="24"/>
              </w:rPr>
              <w:t>性、可行性等综合评定，包含：①实施计划；②安全保障措施；</w:t>
            </w:r>
            <w:r>
              <w:rPr>
                <w:spacing w:val="-10"/>
                <w:sz w:val="24"/>
              </w:rPr>
              <w:t xml:space="preserve">上述每实质性响应一项得 </w:t>
            </w:r>
            <w:r>
              <w:rPr>
                <w:sz w:val="24"/>
              </w:rPr>
              <w:t>3</w:t>
            </w:r>
            <w:r>
              <w:rPr>
                <w:spacing w:val="-25"/>
                <w:sz w:val="24"/>
              </w:rPr>
              <w:t xml:space="preserve"> 分，满分 </w:t>
            </w:r>
            <w:r>
              <w:rPr>
                <w:sz w:val="24"/>
              </w:rPr>
              <w:t>6</w:t>
            </w:r>
            <w:r>
              <w:rPr>
                <w:spacing w:val="-11"/>
                <w:sz w:val="24"/>
              </w:rPr>
              <w:t xml:space="preserve"> 分。在此基础上，方案中</w:t>
            </w:r>
            <w:r>
              <w:rPr>
                <w:spacing w:val="-9"/>
                <w:sz w:val="24"/>
              </w:rPr>
              <w:t xml:space="preserve">存在缺陷或不足的，每有一处扣 </w:t>
            </w:r>
            <w:r>
              <w:rPr>
                <w:sz w:val="24"/>
              </w:rPr>
              <w:t>1</w:t>
            </w:r>
            <w:r>
              <w:rPr>
                <w:spacing w:val="-13"/>
                <w:sz w:val="24"/>
              </w:rPr>
              <w:t xml:space="preserve"> 分，扣完为止。</w:t>
            </w:r>
            <w:r>
              <w:rPr>
                <w:spacing w:val="-3"/>
                <w:sz w:val="24"/>
              </w:rPr>
              <w:t>（</w:t>
            </w:r>
            <w:r>
              <w:rPr>
                <w:spacing w:val="-4"/>
                <w:sz w:val="24"/>
              </w:rPr>
              <w:t>注：缺陷是</w:t>
            </w:r>
            <w:r>
              <w:rPr>
                <w:spacing w:val="-14"/>
                <w:sz w:val="24"/>
              </w:rPr>
              <w:t>指：存在项目名称错误、地点区域错误、内容与本项目需求无关、</w:t>
            </w:r>
          </w:p>
          <w:p w14:paraId="371C96CC">
            <w:pPr>
              <w:pStyle w:val="15"/>
              <w:spacing w:before="5"/>
              <w:ind w:left="107"/>
              <w:rPr>
                <w:sz w:val="24"/>
              </w:rPr>
            </w:pPr>
            <w:r>
              <w:rPr>
                <w:sz w:val="24"/>
              </w:rPr>
              <w:t>方案内容矛盾或表述前后不一致、仅有框架或标题、适用的标准</w:t>
            </w:r>
          </w:p>
          <w:p w14:paraId="675912CA">
            <w:pPr>
              <w:pStyle w:val="15"/>
              <w:spacing w:before="35"/>
              <w:ind w:left="107" w:right="-29"/>
              <w:rPr>
                <w:sz w:val="24"/>
              </w:rPr>
            </w:pPr>
            <w:r>
              <w:rPr>
                <w:spacing w:val="-5"/>
                <w:sz w:val="24"/>
              </w:rPr>
              <w:t>（</w:t>
            </w:r>
            <w:r>
              <w:rPr>
                <w:spacing w:val="-4"/>
                <w:sz w:val="24"/>
              </w:rPr>
              <w:t>方法</w:t>
            </w:r>
            <w:r>
              <w:rPr>
                <w:spacing w:val="-34"/>
                <w:sz w:val="24"/>
              </w:rPr>
              <w:t>）</w:t>
            </w:r>
            <w:r>
              <w:rPr>
                <w:spacing w:val="-11"/>
                <w:sz w:val="24"/>
              </w:rPr>
              <w:t>错误、明显复制其他项目内容等情况的任意一种情形。</w:t>
            </w:r>
            <w:r>
              <w:rPr>
                <w:sz w:val="24"/>
              </w:rPr>
              <w:t>）</w:t>
            </w:r>
          </w:p>
          <w:p w14:paraId="0676590F">
            <w:pPr>
              <w:pStyle w:val="15"/>
              <w:spacing w:before="37"/>
              <w:ind w:left="107" w:leftChars="0" w:right="0" w:rightChars="0"/>
              <w:rPr>
                <w:rFonts w:ascii="仿宋" w:hAnsi="仿宋" w:eastAsia="仿宋" w:cs="仿宋"/>
                <w:sz w:val="24"/>
                <w:szCs w:val="22"/>
                <w:lang w:val="en-US" w:eastAsia="zh-CN" w:bidi="ar-SA"/>
              </w:rPr>
            </w:pPr>
            <w:r>
              <w:rPr>
                <w:sz w:val="24"/>
              </w:rPr>
              <w:t>未提供的不得分。</w:t>
            </w:r>
          </w:p>
        </w:tc>
        <w:tc>
          <w:tcPr>
            <w:tcW w:w="606" w:type="dxa"/>
            <w:noWrap w:val="0"/>
            <w:vAlign w:val="top"/>
          </w:tcPr>
          <w:p w14:paraId="615CB501">
            <w:pPr>
              <w:pStyle w:val="15"/>
              <w:rPr>
                <w:sz w:val="18"/>
              </w:rPr>
            </w:pPr>
          </w:p>
          <w:p w14:paraId="60648213">
            <w:pPr>
              <w:pStyle w:val="15"/>
              <w:ind w:left="13" w:leftChars="0" w:right="0" w:rightChars="0"/>
              <w:jc w:val="center"/>
              <w:rPr>
                <w:rFonts w:hint="eastAsia" w:ascii="仿宋" w:hAnsi="仿宋" w:eastAsia="仿宋" w:cs="仿宋"/>
                <w:sz w:val="24"/>
                <w:szCs w:val="22"/>
                <w:lang w:val="en-US" w:eastAsia="zh-CN" w:bidi="ar-SA"/>
              </w:rPr>
            </w:pPr>
            <w:r>
              <w:rPr>
                <w:sz w:val="24"/>
              </w:rPr>
              <w:t>6</w:t>
            </w:r>
          </w:p>
        </w:tc>
      </w:tr>
      <w:tr w14:paraId="3BDAD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36" w:type="dxa"/>
            <w:vMerge w:val="continue"/>
            <w:noWrap w:val="0"/>
            <w:vAlign w:val="top"/>
          </w:tcPr>
          <w:p w14:paraId="38FD547C">
            <w:pPr>
              <w:pStyle w:val="15"/>
              <w:spacing w:before="20"/>
              <w:ind w:left="11" w:leftChars="0" w:right="0" w:rightChars="0"/>
              <w:jc w:val="center"/>
              <w:rPr>
                <w:sz w:val="24"/>
              </w:rPr>
            </w:pPr>
          </w:p>
        </w:tc>
        <w:tc>
          <w:tcPr>
            <w:tcW w:w="862" w:type="dxa"/>
            <w:vMerge w:val="continue"/>
            <w:noWrap w:val="0"/>
            <w:vAlign w:val="top"/>
          </w:tcPr>
          <w:p w14:paraId="5FBEE031">
            <w:pPr>
              <w:pStyle w:val="15"/>
              <w:spacing w:line="301" w:lineRule="exact"/>
              <w:ind w:left="107" w:leftChars="0" w:right="0" w:rightChars="0"/>
              <w:rPr>
                <w:sz w:val="24"/>
              </w:rPr>
            </w:pPr>
          </w:p>
        </w:tc>
        <w:tc>
          <w:tcPr>
            <w:tcW w:w="1168" w:type="dxa"/>
            <w:noWrap w:val="0"/>
            <w:vAlign w:val="top"/>
          </w:tcPr>
          <w:p w14:paraId="286BAE82">
            <w:pPr>
              <w:pStyle w:val="15"/>
              <w:spacing w:before="201"/>
              <w:ind w:right="0" w:rightChars="0"/>
              <w:jc w:val="center"/>
              <w:rPr>
                <w:rFonts w:ascii="仿宋" w:hAnsi="仿宋" w:eastAsia="仿宋" w:cs="仿宋"/>
                <w:sz w:val="24"/>
                <w:szCs w:val="22"/>
                <w:lang w:val="en-US" w:eastAsia="zh-CN" w:bidi="ar-SA"/>
              </w:rPr>
            </w:pPr>
            <w:r>
              <w:rPr>
                <w:sz w:val="24"/>
              </w:rPr>
              <w:t>配送方案</w:t>
            </w:r>
          </w:p>
        </w:tc>
        <w:tc>
          <w:tcPr>
            <w:tcW w:w="7183" w:type="dxa"/>
            <w:noWrap w:val="0"/>
            <w:vAlign w:val="top"/>
          </w:tcPr>
          <w:p w14:paraId="19F15865">
            <w:pPr>
              <w:pStyle w:val="15"/>
              <w:spacing w:before="156"/>
              <w:ind w:left="107"/>
              <w:rPr>
                <w:rFonts w:ascii="仿宋" w:hAnsi="仿宋" w:eastAsia="仿宋" w:cs="仿宋"/>
                <w:sz w:val="24"/>
                <w:szCs w:val="22"/>
                <w:lang w:val="en-US" w:eastAsia="zh-CN" w:bidi="ar-SA"/>
              </w:rPr>
            </w:pPr>
            <w:r>
              <w:rPr>
                <w:sz w:val="24"/>
              </w:rPr>
              <w:t>根据投标人的配送方案进行评分。内容具体包括：①配送进度计</w:t>
            </w:r>
            <w:r>
              <w:rPr>
                <w:spacing w:val="-11"/>
                <w:sz w:val="24"/>
              </w:rPr>
              <w:t>划；②包装、运输、配送方案；③配送过程中突发事件的应急预</w:t>
            </w:r>
            <w:r>
              <w:rPr>
                <w:spacing w:val="-14"/>
                <w:sz w:val="24"/>
              </w:rPr>
              <w:t xml:space="preserve">案；④安全运输措施。上述四项每实质性响应一项得 </w:t>
            </w:r>
            <w:r>
              <w:rPr>
                <w:rFonts w:hint="eastAsia"/>
                <w:sz w:val="24"/>
                <w:lang w:val="en-US" w:eastAsia="zh-CN"/>
              </w:rPr>
              <w:t>1.5</w:t>
            </w:r>
            <w:r>
              <w:rPr>
                <w:spacing w:val="-24"/>
                <w:sz w:val="24"/>
              </w:rPr>
              <w:t xml:space="preserve"> 分，满</w:t>
            </w:r>
            <w:r>
              <w:rPr>
                <w:sz w:val="24"/>
              </w:rPr>
              <w:t xml:space="preserve">分 </w:t>
            </w:r>
            <w:r>
              <w:rPr>
                <w:rFonts w:hint="eastAsia"/>
                <w:sz w:val="24"/>
                <w:lang w:val="en-US" w:eastAsia="zh-CN"/>
              </w:rPr>
              <w:t>6</w:t>
            </w:r>
            <w:r>
              <w:rPr>
                <w:sz w:val="24"/>
              </w:rPr>
              <w:t>分，未实质性响应不得分。</w:t>
            </w:r>
          </w:p>
        </w:tc>
        <w:tc>
          <w:tcPr>
            <w:tcW w:w="0" w:type="auto"/>
            <w:noWrap w:val="0"/>
            <w:vAlign w:val="top"/>
          </w:tcPr>
          <w:p w14:paraId="103CCA6B">
            <w:pPr>
              <w:pStyle w:val="15"/>
              <w:spacing w:before="179"/>
              <w:ind w:left="13" w:leftChars="0" w:right="0" w:rightChars="0"/>
              <w:jc w:val="center"/>
              <w:rPr>
                <w:rFonts w:hint="eastAsia" w:ascii="仿宋" w:hAnsi="仿宋" w:eastAsia="仿宋" w:cs="仿宋"/>
                <w:sz w:val="24"/>
                <w:szCs w:val="22"/>
                <w:lang w:val="en-US" w:eastAsia="zh-CN" w:bidi="ar-SA"/>
              </w:rPr>
            </w:pPr>
            <w:r>
              <w:rPr>
                <w:rFonts w:hint="eastAsia"/>
                <w:sz w:val="24"/>
                <w:lang w:val="en-US" w:eastAsia="zh-CN"/>
              </w:rPr>
              <w:t>6</w:t>
            </w:r>
          </w:p>
        </w:tc>
      </w:tr>
      <w:tr w14:paraId="41AB3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536" w:type="dxa"/>
            <w:vMerge w:val="continue"/>
            <w:noWrap w:val="0"/>
            <w:vAlign w:val="top"/>
          </w:tcPr>
          <w:p w14:paraId="3B2B3EDB">
            <w:pPr>
              <w:pStyle w:val="15"/>
              <w:spacing w:before="20"/>
              <w:ind w:left="11" w:leftChars="0" w:right="0" w:rightChars="0"/>
              <w:jc w:val="center"/>
              <w:rPr>
                <w:sz w:val="24"/>
              </w:rPr>
            </w:pPr>
          </w:p>
        </w:tc>
        <w:tc>
          <w:tcPr>
            <w:tcW w:w="862" w:type="dxa"/>
            <w:vMerge w:val="continue"/>
            <w:noWrap w:val="0"/>
            <w:vAlign w:val="top"/>
          </w:tcPr>
          <w:p w14:paraId="66ADE537">
            <w:pPr>
              <w:pStyle w:val="15"/>
              <w:spacing w:line="301" w:lineRule="exact"/>
              <w:ind w:left="107" w:leftChars="0" w:right="0" w:rightChars="0"/>
              <w:rPr>
                <w:sz w:val="24"/>
              </w:rPr>
            </w:pPr>
          </w:p>
        </w:tc>
        <w:tc>
          <w:tcPr>
            <w:tcW w:w="1168" w:type="dxa"/>
            <w:noWrap w:val="0"/>
            <w:vAlign w:val="top"/>
          </w:tcPr>
          <w:p w14:paraId="24C0B901">
            <w:pPr>
              <w:pStyle w:val="15"/>
              <w:spacing w:before="1" w:line="302" w:lineRule="auto"/>
              <w:ind w:right="113" w:rightChars="0"/>
              <w:jc w:val="center"/>
              <w:rPr>
                <w:rFonts w:ascii="仿宋" w:hAnsi="仿宋" w:eastAsia="仿宋" w:cs="仿宋"/>
                <w:sz w:val="24"/>
                <w:szCs w:val="22"/>
                <w:lang w:val="en-US" w:eastAsia="zh-CN" w:bidi="ar-SA"/>
              </w:rPr>
            </w:pPr>
            <w:r>
              <w:rPr>
                <w:sz w:val="24"/>
              </w:rPr>
              <w:t>技术培训方案</w:t>
            </w:r>
          </w:p>
        </w:tc>
        <w:tc>
          <w:tcPr>
            <w:tcW w:w="7183" w:type="dxa"/>
            <w:noWrap w:val="0"/>
            <w:vAlign w:val="top"/>
          </w:tcPr>
          <w:p w14:paraId="563C8715">
            <w:pPr>
              <w:pStyle w:val="15"/>
              <w:spacing w:before="156" w:line="304" w:lineRule="auto"/>
              <w:ind w:left="107" w:leftChars="0" w:right="91" w:rightChars="0"/>
              <w:jc w:val="both"/>
              <w:rPr>
                <w:rFonts w:ascii="仿宋" w:hAnsi="仿宋" w:eastAsia="仿宋" w:cs="仿宋"/>
                <w:sz w:val="24"/>
                <w:szCs w:val="22"/>
                <w:lang w:val="en-US" w:eastAsia="zh-CN" w:bidi="ar-SA"/>
              </w:rPr>
            </w:pPr>
            <w:r>
              <w:rPr>
                <w:spacing w:val="-14"/>
                <w:sz w:val="24"/>
              </w:rPr>
              <w:t>技术培训方案：明确 ①培训批次、培训时长；②培训内容；③培</w:t>
            </w:r>
            <w:r>
              <w:rPr>
                <w:spacing w:val="-9"/>
                <w:sz w:val="24"/>
              </w:rPr>
              <w:t xml:space="preserve">训讲师团队。上述每实质性响应一项得 </w:t>
            </w:r>
            <w:r>
              <w:rPr>
                <w:sz w:val="24"/>
              </w:rPr>
              <w:t>2</w:t>
            </w:r>
            <w:r>
              <w:rPr>
                <w:spacing w:val="-25"/>
                <w:sz w:val="24"/>
              </w:rPr>
              <w:t xml:space="preserve"> 分，满分 </w:t>
            </w:r>
            <w:r>
              <w:rPr>
                <w:sz w:val="24"/>
              </w:rPr>
              <w:t>6</w:t>
            </w:r>
            <w:r>
              <w:rPr>
                <w:spacing w:val="-15"/>
                <w:sz w:val="24"/>
              </w:rPr>
              <w:t xml:space="preserve"> 分，未实质</w:t>
            </w:r>
            <w:r>
              <w:rPr>
                <w:spacing w:val="-5"/>
                <w:sz w:val="24"/>
              </w:rPr>
              <w:t>性响应不得分。</w:t>
            </w:r>
          </w:p>
        </w:tc>
        <w:tc>
          <w:tcPr>
            <w:tcW w:w="0" w:type="auto"/>
            <w:noWrap w:val="0"/>
            <w:vAlign w:val="top"/>
          </w:tcPr>
          <w:p w14:paraId="1CFC86C2">
            <w:pPr>
              <w:pStyle w:val="15"/>
              <w:rPr>
                <w:sz w:val="24"/>
              </w:rPr>
            </w:pPr>
          </w:p>
          <w:p w14:paraId="03F4F654">
            <w:pPr>
              <w:pStyle w:val="15"/>
              <w:spacing w:before="9"/>
              <w:rPr>
                <w:sz w:val="18"/>
              </w:rPr>
            </w:pPr>
          </w:p>
          <w:p w14:paraId="1466B794">
            <w:pPr>
              <w:pStyle w:val="15"/>
              <w:ind w:left="13" w:leftChars="0" w:right="0" w:rightChars="0"/>
              <w:jc w:val="center"/>
              <w:rPr>
                <w:rFonts w:hint="eastAsia" w:ascii="仿宋" w:hAnsi="仿宋" w:eastAsia="仿宋" w:cs="仿宋"/>
                <w:sz w:val="24"/>
                <w:szCs w:val="22"/>
                <w:lang w:val="en-US" w:eastAsia="zh-CN" w:bidi="ar-SA"/>
              </w:rPr>
            </w:pPr>
            <w:r>
              <w:rPr>
                <w:sz w:val="24"/>
              </w:rPr>
              <w:t>6</w:t>
            </w:r>
          </w:p>
        </w:tc>
      </w:tr>
      <w:tr w14:paraId="38378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536" w:type="dxa"/>
            <w:vMerge w:val="continue"/>
            <w:noWrap w:val="0"/>
            <w:vAlign w:val="top"/>
          </w:tcPr>
          <w:p w14:paraId="4BAE6EBF">
            <w:pPr>
              <w:pStyle w:val="15"/>
              <w:spacing w:before="20"/>
              <w:ind w:left="11" w:leftChars="0" w:right="0" w:rightChars="0"/>
              <w:jc w:val="center"/>
              <w:rPr>
                <w:sz w:val="24"/>
              </w:rPr>
            </w:pPr>
          </w:p>
        </w:tc>
        <w:tc>
          <w:tcPr>
            <w:tcW w:w="862" w:type="dxa"/>
            <w:vMerge w:val="continue"/>
            <w:noWrap w:val="0"/>
            <w:vAlign w:val="top"/>
          </w:tcPr>
          <w:p w14:paraId="56434181">
            <w:pPr>
              <w:pStyle w:val="15"/>
              <w:spacing w:line="301" w:lineRule="exact"/>
              <w:ind w:left="107" w:leftChars="0" w:right="0" w:rightChars="0"/>
              <w:rPr>
                <w:sz w:val="24"/>
              </w:rPr>
            </w:pPr>
          </w:p>
        </w:tc>
        <w:tc>
          <w:tcPr>
            <w:tcW w:w="1168" w:type="dxa"/>
            <w:noWrap w:val="0"/>
            <w:vAlign w:val="top"/>
          </w:tcPr>
          <w:p w14:paraId="182E991B">
            <w:pPr>
              <w:pStyle w:val="15"/>
              <w:spacing w:line="304" w:lineRule="auto"/>
              <w:ind w:right="73" w:rightChars="0"/>
              <w:jc w:val="center"/>
              <w:rPr>
                <w:rFonts w:ascii="仿宋" w:hAnsi="仿宋" w:eastAsia="仿宋" w:cs="仿宋"/>
                <w:sz w:val="24"/>
                <w:szCs w:val="22"/>
                <w:lang w:val="en-US" w:eastAsia="zh-CN" w:bidi="ar-SA"/>
              </w:rPr>
            </w:pPr>
            <w:r>
              <w:rPr>
                <w:sz w:val="24"/>
              </w:rPr>
              <w:t>售后服务应急措施</w:t>
            </w:r>
          </w:p>
        </w:tc>
        <w:tc>
          <w:tcPr>
            <w:tcW w:w="7183" w:type="dxa"/>
            <w:noWrap w:val="0"/>
            <w:vAlign w:val="top"/>
          </w:tcPr>
          <w:p w14:paraId="5906EBCD">
            <w:pPr>
              <w:pStyle w:val="15"/>
              <w:spacing w:before="157" w:line="302" w:lineRule="auto"/>
              <w:ind w:left="107" w:right="-29"/>
              <w:rPr>
                <w:color w:val="auto"/>
                <w:sz w:val="24"/>
              </w:rPr>
            </w:pPr>
            <w:r>
              <w:rPr>
                <w:color w:val="auto"/>
                <w:spacing w:val="-6"/>
                <w:sz w:val="24"/>
              </w:rPr>
              <w:t>针对项目特点及后期的服务，提供服务承诺及应急措施：提供详</w:t>
            </w:r>
            <w:r>
              <w:rPr>
                <w:color w:val="auto"/>
                <w:spacing w:val="-18"/>
                <w:sz w:val="24"/>
              </w:rPr>
              <w:t xml:space="preserve">细有效的应对和快速处置应急处理方案，切实、合理的，得 </w:t>
            </w:r>
            <w:r>
              <w:rPr>
                <w:rFonts w:hint="eastAsia"/>
                <w:color w:val="auto"/>
                <w:sz w:val="24"/>
                <w:lang w:val="en-US" w:eastAsia="zh-CN"/>
              </w:rPr>
              <w:t>4</w:t>
            </w:r>
            <w:r>
              <w:rPr>
                <w:color w:val="auto"/>
                <w:spacing w:val="-24"/>
                <w:sz w:val="24"/>
              </w:rPr>
              <w:t>分；</w:t>
            </w:r>
          </w:p>
          <w:p w14:paraId="7079D06F">
            <w:pPr>
              <w:pStyle w:val="15"/>
              <w:spacing w:before="5"/>
              <w:ind w:left="107" w:leftChars="0" w:right="0" w:rightChars="0"/>
              <w:rPr>
                <w:rFonts w:ascii="仿宋" w:hAnsi="仿宋" w:eastAsia="仿宋" w:cs="仿宋"/>
                <w:color w:val="auto"/>
                <w:sz w:val="24"/>
                <w:szCs w:val="22"/>
                <w:lang w:val="en-US" w:eastAsia="zh-CN" w:bidi="ar-SA"/>
              </w:rPr>
            </w:pPr>
            <w:r>
              <w:rPr>
                <w:color w:val="auto"/>
                <w:sz w:val="24"/>
              </w:rPr>
              <w:t>不符合实际情况，不太合理的，得</w:t>
            </w:r>
            <w:r>
              <w:rPr>
                <w:rFonts w:hint="eastAsia"/>
                <w:color w:val="auto"/>
                <w:sz w:val="24"/>
                <w:lang w:val="en-US" w:eastAsia="zh-CN"/>
              </w:rPr>
              <w:t>2</w:t>
            </w:r>
            <w:r>
              <w:rPr>
                <w:color w:val="auto"/>
                <w:sz w:val="24"/>
              </w:rPr>
              <w:t>分；不提供不得分。</w:t>
            </w:r>
          </w:p>
        </w:tc>
        <w:tc>
          <w:tcPr>
            <w:tcW w:w="0" w:type="auto"/>
            <w:noWrap w:val="0"/>
            <w:vAlign w:val="top"/>
          </w:tcPr>
          <w:p w14:paraId="1FE9EE0E">
            <w:pPr>
              <w:pStyle w:val="15"/>
              <w:rPr>
                <w:color w:val="auto"/>
                <w:sz w:val="24"/>
              </w:rPr>
            </w:pPr>
          </w:p>
          <w:p w14:paraId="4264F173">
            <w:pPr>
              <w:pStyle w:val="15"/>
              <w:spacing w:before="7"/>
              <w:rPr>
                <w:color w:val="auto"/>
                <w:sz w:val="18"/>
              </w:rPr>
            </w:pPr>
          </w:p>
          <w:p w14:paraId="00B79A05">
            <w:pPr>
              <w:pStyle w:val="15"/>
              <w:spacing w:before="1"/>
              <w:ind w:left="13" w:leftChars="0" w:right="0" w:rightChars="0"/>
              <w:jc w:val="center"/>
              <w:rPr>
                <w:rFonts w:hint="eastAsia" w:ascii="仿宋" w:hAnsi="仿宋" w:eastAsia="仿宋" w:cs="仿宋"/>
                <w:color w:val="auto"/>
                <w:sz w:val="24"/>
                <w:szCs w:val="22"/>
                <w:lang w:val="en-US" w:eastAsia="zh-CN" w:bidi="ar-SA"/>
              </w:rPr>
            </w:pPr>
            <w:r>
              <w:rPr>
                <w:rFonts w:hint="eastAsia"/>
                <w:color w:val="auto"/>
                <w:sz w:val="24"/>
                <w:lang w:val="en-US" w:eastAsia="zh-CN"/>
              </w:rPr>
              <w:t>4</w:t>
            </w:r>
          </w:p>
        </w:tc>
      </w:tr>
    </w:tbl>
    <w:p w14:paraId="21EEEFC4">
      <w:pPr>
        <w:spacing w:after="0"/>
        <w:rPr>
          <w:rFonts w:ascii="Times New Roman"/>
          <w:sz w:val="22"/>
        </w:rPr>
        <w:sectPr>
          <w:pgSz w:w="11910" w:h="16840"/>
          <w:pgMar w:top="1580" w:right="660" w:bottom="1180" w:left="660" w:header="0" w:footer="909" w:gutter="0"/>
          <w:cols w:space="720" w:num="1"/>
        </w:sectPr>
      </w:pPr>
    </w:p>
    <w:p w14:paraId="00E947AF">
      <w:pPr>
        <w:pStyle w:val="8"/>
        <w:spacing w:before="11"/>
        <w:rPr>
          <w:sz w:val="17"/>
        </w:rPr>
      </w:pPr>
    </w:p>
    <w:p w14:paraId="0E7AD1C1">
      <w:pPr>
        <w:pStyle w:val="14"/>
        <w:numPr>
          <w:ilvl w:val="2"/>
          <w:numId w:val="38"/>
        </w:numPr>
        <w:tabs>
          <w:tab w:val="left" w:pos="1200"/>
        </w:tabs>
        <w:spacing w:before="67" w:after="0" w:line="240" w:lineRule="auto"/>
        <w:ind w:left="1200" w:right="0" w:hanging="780"/>
        <w:jc w:val="left"/>
        <w:rPr>
          <w:sz w:val="24"/>
        </w:rPr>
      </w:pPr>
      <w:r>
        <w:rPr>
          <w:sz w:val="24"/>
        </w:rPr>
        <w:t>价格评分方法</w:t>
      </w:r>
    </w:p>
    <w:p w14:paraId="077B7825">
      <w:pPr>
        <w:pStyle w:val="8"/>
        <w:spacing w:before="134" w:line="343" w:lineRule="auto"/>
        <w:ind w:left="420" w:right="445" w:firstLine="240"/>
      </w:pPr>
      <w:r>
        <w:t>满足招标文件技术要求且投标价格最低的投标报价为评标基准价，其价格分为满分。其他</w:t>
      </w:r>
      <w:r>
        <w:rPr>
          <w:spacing w:val="-7"/>
        </w:rPr>
        <w:t>投标人的价格分别按照下列公式计算： 投标报价得分=</w:t>
      </w:r>
      <w:r>
        <w:rPr>
          <w:spacing w:val="-42"/>
        </w:rPr>
        <w:t>（</w:t>
      </w:r>
      <w:r>
        <w:t>评标基准价/投标报价</w:t>
      </w:r>
      <w:r>
        <w:rPr>
          <w:spacing w:val="-40"/>
        </w:rPr>
        <w:t>）</w:t>
      </w:r>
      <w:r>
        <w:rPr>
          <w:spacing w:val="-11"/>
        </w:rPr>
        <w:t>×价格权重。</w:t>
      </w:r>
    </w:p>
    <w:p w14:paraId="61BE14B8">
      <w:pPr>
        <w:pStyle w:val="8"/>
        <w:spacing w:line="343" w:lineRule="auto"/>
        <w:ind w:left="420" w:right="565" w:firstLine="480"/>
      </w:pPr>
      <w:r>
        <w:rPr>
          <w:b/>
        </w:rPr>
        <w:t>注：</w:t>
      </w:r>
      <w:r>
        <w:t>1、为保证所供产品质量，防止以次充好，需要提供生产厂家针对本项目的质量售后承诺书；未提供以上资料视为未实质性响应采购要求，报价文件无效。 2、投标文件中有弄虚作假的内容，投标人需承担不利后果。（如假证书、假业绩、隐瞒不良行为记录、夸大荣誉、使用非本单位在职员工的相关证件及不符合招标文件规定的条款等）；在签订合同之前，招标人如发现投标人的投标文件有弄虚作假内容，招标人可拒绝与其签订合同，投标保证金不予退还，并将其列入政府采购黑名单库。</w:t>
      </w:r>
    </w:p>
    <w:p w14:paraId="3597655E">
      <w:pPr>
        <w:pStyle w:val="8"/>
        <w:spacing w:before="5"/>
        <w:rPr>
          <w:sz w:val="31"/>
        </w:rPr>
      </w:pPr>
    </w:p>
    <w:p w14:paraId="19DA5F4B">
      <w:pPr>
        <w:pStyle w:val="5"/>
        <w:tabs>
          <w:tab w:val="left" w:pos="4797"/>
        </w:tabs>
        <w:ind w:left="4236"/>
      </w:pPr>
      <w:r>
        <w:t>五</w:t>
      </w:r>
      <w:r>
        <w:tab/>
      </w:r>
      <w:r>
        <w:t>推荐中标候选人</w:t>
      </w:r>
    </w:p>
    <w:p w14:paraId="0D1F411F">
      <w:pPr>
        <w:pStyle w:val="14"/>
        <w:numPr>
          <w:ilvl w:val="1"/>
          <w:numId w:val="41"/>
        </w:numPr>
        <w:tabs>
          <w:tab w:val="left" w:pos="1440"/>
        </w:tabs>
        <w:spacing w:before="89" w:after="0" w:line="240" w:lineRule="auto"/>
        <w:ind w:left="1440" w:right="0" w:hanging="540"/>
        <w:jc w:val="left"/>
        <w:rPr>
          <w:sz w:val="24"/>
        </w:rPr>
      </w:pPr>
      <w:r>
        <w:rPr>
          <w:spacing w:val="-8"/>
          <w:sz w:val="24"/>
        </w:rPr>
        <w:t xml:space="preserve">评标委员会推荐 </w:t>
      </w:r>
      <w:r>
        <w:rPr>
          <w:sz w:val="24"/>
        </w:rPr>
        <w:t>3</w:t>
      </w:r>
      <w:r>
        <w:rPr>
          <w:spacing w:val="-8"/>
          <w:sz w:val="24"/>
        </w:rPr>
        <w:t xml:space="preserve"> 名中标候选人，并标明排序。</w:t>
      </w:r>
    </w:p>
    <w:p w14:paraId="7BB9C390">
      <w:pPr>
        <w:pStyle w:val="14"/>
        <w:numPr>
          <w:ilvl w:val="1"/>
          <w:numId w:val="41"/>
        </w:numPr>
        <w:tabs>
          <w:tab w:val="left" w:pos="1431"/>
        </w:tabs>
        <w:spacing w:before="91" w:after="0" w:line="240" w:lineRule="auto"/>
        <w:ind w:left="1430" w:right="0" w:hanging="541"/>
        <w:jc w:val="left"/>
      </w:pPr>
      <w:r>
        <w:rPr>
          <w:sz w:val="24"/>
        </w:rPr>
        <w:t>如出现报价相同情况，则由招标人现场抽签确定中标候选人排名顺序。</w:t>
      </w:r>
    </w:p>
    <w:p w14:paraId="27221F58">
      <w:pPr>
        <w:pStyle w:val="14"/>
        <w:numPr>
          <w:ilvl w:val="0"/>
          <w:numId w:val="0"/>
        </w:numPr>
        <w:tabs>
          <w:tab w:val="left" w:pos="1431"/>
        </w:tabs>
        <w:spacing w:before="91" w:after="0" w:line="240" w:lineRule="auto"/>
        <w:ind w:right="0" w:rightChars="0"/>
        <w:jc w:val="left"/>
      </w:pPr>
      <w:r>
        <w:rPr>
          <w:rFonts w:hint="eastAsia"/>
          <w:sz w:val="24"/>
          <w:lang w:val="en-US" w:eastAsia="zh-CN"/>
        </w:rPr>
        <w:t>12.</w:t>
      </w:r>
      <w:r>
        <w:t>无效投标条款</w:t>
      </w:r>
    </w:p>
    <w:p w14:paraId="7F28F21A">
      <w:pPr>
        <w:pStyle w:val="14"/>
        <w:numPr>
          <w:ilvl w:val="1"/>
          <w:numId w:val="42"/>
        </w:numPr>
        <w:tabs>
          <w:tab w:val="left" w:pos="1440"/>
        </w:tabs>
        <w:spacing w:before="93" w:after="0" w:line="240" w:lineRule="auto"/>
        <w:ind w:left="1440" w:right="0" w:hanging="540"/>
        <w:jc w:val="left"/>
        <w:rPr>
          <w:sz w:val="24"/>
        </w:rPr>
      </w:pPr>
      <w:r>
        <w:rPr>
          <w:sz w:val="24"/>
        </w:rPr>
        <w:t>投标文件有下列情形之一的,其投标文件拒收:</w:t>
      </w:r>
    </w:p>
    <w:p w14:paraId="2F0ED02B">
      <w:pPr>
        <w:pStyle w:val="7"/>
        <w:spacing w:before="94" w:line="312" w:lineRule="auto"/>
        <w:ind w:right="522" w:firstLine="480"/>
      </w:pPr>
      <w:r>
        <w:t>(1) 未在开标截止时间前通过网上招标投标系统递交有效电子投标文件的，开标系统不予接收。</w:t>
      </w:r>
    </w:p>
    <w:p w14:paraId="739F688B">
      <w:pPr>
        <w:pStyle w:val="7"/>
        <w:spacing w:line="307" w:lineRule="exact"/>
        <w:ind w:left="900"/>
      </w:pPr>
      <w:r>
        <w:t>（2）所有投标人应在规定时间里完成投标文件的解密工作【投标人使用其有效加密锁</w:t>
      </w:r>
    </w:p>
    <w:p w14:paraId="48EDD28E">
      <w:pPr>
        <w:pStyle w:val="7"/>
        <w:spacing w:before="93" w:line="312" w:lineRule="auto"/>
        <w:ind w:right="564"/>
        <w:jc w:val="both"/>
      </w:pPr>
      <w:r>
        <w:t>（CA</w:t>
      </w:r>
      <w:r>
        <w:rPr>
          <w:spacing w:val="-32"/>
        </w:rPr>
        <w:t xml:space="preserve"> 锁</w:t>
      </w:r>
      <w:r>
        <w:t>）进行解密（</w:t>
      </w:r>
      <w:r>
        <w:rPr>
          <w:spacing w:val="-5"/>
        </w:rPr>
        <w:t xml:space="preserve">因投标人原因未能提供有效 </w:t>
      </w:r>
      <w:r>
        <w:t>CA</w:t>
      </w:r>
      <w:r>
        <w:rPr>
          <w:spacing w:val="-9"/>
        </w:rPr>
        <w:t xml:space="preserve"> 锁对其投标文件进行解密的，其投标文件按无效标处理</w:t>
      </w:r>
      <w:r>
        <w:rPr>
          <w:spacing w:val="-8"/>
        </w:rPr>
        <w:t>），</w:t>
      </w:r>
      <w:r>
        <w:rPr>
          <w:spacing w:val="-3"/>
        </w:rPr>
        <w:t>以网上招投标系统解密倒计时为准】，因系统原因未能成功解密的投标</w:t>
      </w:r>
      <w:r>
        <w:t>文件，可导入备份投标文件。备份投标文件也无法导入的，则投标文件被否决。</w:t>
      </w:r>
    </w:p>
    <w:p w14:paraId="630CAF25">
      <w:pPr>
        <w:pStyle w:val="14"/>
        <w:numPr>
          <w:ilvl w:val="1"/>
          <w:numId w:val="42"/>
        </w:numPr>
        <w:tabs>
          <w:tab w:val="left" w:pos="1200"/>
        </w:tabs>
        <w:spacing w:before="1" w:after="0" w:line="240" w:lineRule="auto"/>
        <w:ind w:left="1200" w:right="0" w:hanging="540"/>
        <w:jc w:val="both"/>
        <w:rPr>
          <w:sz w:val="24"/>
        </w:rPr>
      </w:pPr>
      <w:r>
        <w:rPr>
          <w:sz w:val="24"/>
        </w:rPr>
        <w:t>投标人有下列情形之一的,资格审查后其投标作无效投标处理：</w:t>
      </w:r>
    </w:p>
    <w:p w14:paraId="1197EA86">
      <w:pPr>
        <w:pStyle w:val="14"/>
        <w:numPr>
          <w:ilvl w:val="0"/>
          <w:numId w:val="0"/>
        </w:numPr>
        <w:tabs>
          <w:tab w:val="left" w:pos="1261"/>
        </w:tabs>
        <w:spacing w:before="90" w:after="0" w:line="312" w:lineRule="auto"/>
        <w:ind w:left="900" w:leftChars="0" w:right="565" w:rightChars="0"/>
        <w:jc w:val="left"/>
        <w:rPr>
          <w:sz w:val="24"/>
        </w:rPr>
      </w:pPr>
      <w:r>
        <w:rPr>
          <w:sz w:val="24"/>
        </w:rPr>
        <w:t>(</w:t>
      </w:r>
      <w:r>
        <w:rPr>
          <w:rFonts w:hint="eastAsia"/>
          <w:sz w:val="24"/>
          <w:lang w:val="en-US" w:eastAsia="zh-CN"/>
        </w:rPr>
        <w:t>1</w:t>
      </w:r>
      <w:r>
        <w:rPr>
          <w:sz w:val="24"/>
        </w:rPr>
        <w:t>)</w:t>
      </w:r>
      <w:r>
        <w:rPr>
          <w:spacing w:val="-5"/>
          <w:sz w:val="24"/>
        </w:rPr>
        <w:t>法定代表人参加开标会议未携带有效的法定代表人身份证明原件和本人身份证的；委</w:t>
      </w:r>
      <w:r>
        <w:rPr>
          <w:sz w:val="24"/>
        </w:rPr>
        <w:t>托代理人参加开标会议未携带有效的法定代表人授权书和本人身份证；</w:t>
      </w:r>
    </w:p>
    <w:p w14:paraId="04D4C144">
      <w:pPr>
        <w:pStyle w:val="14"/>
        <w:numPr>
          <w:ilvl w:val="0"/>
          <w:numId w:val="0"/>
        </w:numPr>
        <w:tabs>
          <w:tab w:val="left" w:pos="1261"/>
        </w:tabs>
        <w:spacing w:before="3" w:after="0" w:line="240" w:lineRule="auto"/>
        <w:ind w:left="900" w:leftChars="0" w:right="0" w:rightChars="0"/>
        <w:jc w:val="left"/>
        <w:rPr>
          <w:sz w:val="24"/>
        </w:rPr>
      </w:pPr>
      <w:r>
        <w:rPr>
          <w:sz w:val="24"/>
        </w:rPr>
        <w:t>(</w:t>
      </w:r>
      <w:r>
        <w:rPr>
          <w:rFonts w:hint="eastAsia"/>
          <w:sz w:val="24"/>
          <w:lang w:val="en-US" w:eastAsia="zh-CN"/>
        </w:rPr>
        <w:t>2</w:t>
      </w:r>
      <w:r>
        <w:rPr>
          <w:sz w:val="24"/>
        </w:rPr>
        <w:t>)投标人为本项目提供招标代理服务的；</w:t>
      </w:r>
    </w:p>
    <w:p w14:paraId="1D8852D1">
      <w:pPr>
        <w:pStyle w:val="14"/>
        <w:numPr>
          <w:ilvl w:val="0"/>
          <w:numId w:val="0"/>
        </w:numPr>
        <w:tabs>
          <w:tab w:val="left" w:pos="1261"/>
        </w:tabs>
        <w:spacing w:before="90" w:after="0" w:line="312" w:lineRule="auto"/>
        <w:ind w:left="900" w:leftChars="0" w:right="3805" w:rightChars="0"/>
        <w:jc w:val="left"/>
        <w:rPr>
          <w:sz w:val="24"/>
        </w:rPr>
      </w:pPr>
      <w:r>
        <w:rPr>
          <w:sz w:val="24"/>
        </w:rPr>
        <w:t>(</w:t>
      </w:r>
      <w:r>
        <w:rPr>
          <w:rFonts w:hint="eastAsia"/>
          <w:sz w:val="24"/>
          <w:lang w:val="en-US" w:eastAsia="zh-CN"/>
        </w:rPr>
        <w:t>3</w:t>
      </w:r>
      <w:r>
        <w:rPr>
          <w:sz w:val="24"/>
        </w:rPr>
        <w:t>)</w:t>
      </w:r>
      <w:r>
        <w:rPr>
          <w:spacing w:val="-1"/>
          <w:sz w:val="24"/>
        </w:rPr>
        <w:t xml:space="preserve">投标人与在本项目代理机构存在相互任职或工作的； </w:t>
      </w:r>
      <w:r>
        <w:rPr>
          <w:sz w:val="24"/>
        </w:rPr>
        <w:t>(4)投标保证金未按规定要求缴纳的；</w:t>
      </w:r>
    </w:p>
    <w:p w14:paraId="3398DCCA">
      <w:pPr>
        <w:pStyle w:val="8"/>
        <w:spacing w:before="3" w:line="312" w:lineRule="auto"/>
        <w:ind w:left="900" w:right="4030"/>
      </w:pPr>
      <w:r>
        <w:t>(5)评标专家无法查看并检验电子标书中相关资料的； (6)投标人超出营业范围投标的；</w:t>
      </w:r>
    </w:p>
    <w:p w14:paraId="6EC091CD">
      <w:pPr>
        <w:pStyle w:val="8"/>
        <w:spacing w:line="312" w:lineRule="auto"/>
        <w:ind w:left="900" w:right="5710"/>
      </w:pPr>
      <w:r>
        <w:t>(7)联合体投标未提交联合体协议的； (8)被暂停营业的；</w:t>
      </w:r>
    </w:p>
    <w:p w14:paraId="6AB10B97">
      <w:pPr>
        <w:pStyle w:val="8"/>
        <w:spacing w:line="312" w:lineRule="auto"/>
        <w:ind w:left="900" w:right="6430"/>
      </w:pPr>
      <w:r>
        <w:t>(9)被暂停或取消投标资格的； (10)财产被接管或冻结的；</w:t>
      </w:r>
    </w:p>
    <w:p w14:paraId="7890BD02">
      <w:pPr>
        <w:pStyle w:val="8"/>
        <w:spacing w:before="1"/>
        <w:ind w:left="900"/>
      </w:pPr>
      <w:r>
        <w:t>(11)投标人单位负责人为同一人或者存在控股、管理关系的不同单位的；</w:t>
      </w:r>
    </w:p>
    <w:p w14:paraId="76E69577">
      <w:pPr>
        <w:pStyle w:val="14"/>
        <w:numPr>
          <w:ilvl w:val="0"/>
          <w:numId w:val="43"/>
        </w:numPr>
        <w:tabs>
          <w:tab w:val="left" w:pos="1501"/>
        </w:tabs>
        <w:spacing w:before="91" w:after="0" w:line="240" w:lineRule="auto"/>
        <w:ind w:left="1501" w:right="0" w:hanging="721"/>
        <w:jc w:val="left"/>
        <w:rPr>
          <w:sz w:val="24"/>
        </w:rPr>
      </w:pPr>
      <w:r>
        <w:rPr>
          <w:sz w:val="24"/>
        </w:rPr>
        <w:t>投标人基本资格条件和特定资格条件中有一项及以上不符合要求的；</w:t>
      </w:r>
    </w:p>
    <w:p w14:paraId="19B0BB0D">
      <w:pPr>
        <w:pStyle w:val="14"/>
        <w:numPr>
          <w:ilvl w:val="0"/>
          <w:numId w:val="43"/>
        </w:numPr>
        <w:tabs>
          <w:tab w:val="left" w:pos="1501"/>
        </w:tabs>
        <w:spacing w:before="93" w:after="0" w:line="240" w:lineRule="auto"/>
        <w:ind w:left="1501" w:right="0" w:hanging="721"/>
        <w:jc w:val="left"/>
        <w:rPr>
          <w:sz w:val="24"/>
        </w:rPr>
      </w:pPr>
      <w:r>
        <w:rPr>
          <w:spacing w:val="-7"/>
          <w:sz w:val="24"/>
        </w:rPr>
        <w:t xml:space="preserve">投标人使用相同的 </w:t>
      </w:r>
      <w:r>
        <w:rPr>
          <w:sz w:val="24"/>
        </w:rPr>
        <w:t>MAC</w:t>
      </w:r>
      <w:r>
        <w:rPr>
          <w:spacing w:val="-8"/>
          <w:sz w:val="24"/>
        </w:rPr>
        <w:t xml:space="preserve"> 地址进行报名的；</w:t>
      </w:r>
    </w:p>
    <w:p w14:paraId="3951530A">
      <w:pPr>
        <w:pStyle w:val="14"/>
        <w:numPr>
          <w:ilvl w:val="0"/>
          <w:numId w:val="43"/>
        </w:numPr>
        <w:tabs>
          <w:tab w:val="left" w:pos="1501"/>
        </w:tabs>
        <w:spacing w:before="94" w:after="0" w:line="240" w:lineRule="auto"/>
        <w:ind w:left="1501" w:right="0" w:hanging="721"/>
        <w:jc w:val="left"/>
        <w:rPr>
          <w:sz w:val="24"/>
        </w:rPr>
      </w:pPr>
      <w:r>
        <w:rPr>
          <w:spacing w:val="-14"/>
          <w:sz w:val="24"/>
        </w:rPr>
        <w:t>其它情形，经评标委员会提出按无效投标处理，并经公共资源交易监督部门核准的；</w:t>
      </w:r>
    </w:p>
    <w:p w14:paraId="4DC105BA">
      <w:pPr>
        <w:pStyle w:val="14"/>
        <w:numPr>
          <w:ilvl w:val="0"/>
          <w:numId w:val="43"/>
        </w:numPr>
        <w:tabs>
          <w:tab w:val="left" w:pos="1501"/>
        </w:tabs>
        <w:spacing w:before="90" w:after="0" w:line="312" w:lineRule="auto"/>
        <w:ind w:left="420" w:right="565" w:firstLine="360"/>
        <w:jc w:val="left"/>
        <w:rPr>
          <w:sz w:val="24"/>
        </w:rPr>
      </w:pPr>
      <w:r>
        <w:rPr>
          <w:spacing w:val="-8"/>
          <w:sz w:val="24"/>
        </w:rPr>
        <w:t xml:space="preserve">投标人使用相同 </w:t>
      </w:r>
      <w:r>
        <w:rPr>
          <w:sz w:val="24"/>
        </w:rPr>
        <w:t>IP</w:t>
      </w:r>
      <w:r>
        <w:rPr>
          <w:spacing w:val="-9"/>
          <w:sz w:val="24"/>
        </w:rPr>
        <w:t xml:space="preserve"> 地址报名的，一经发现，监管部门将进一步核实，查实后按串</w:t>
      </w:r>
      <w:r>
        <w:rPr>
          <w:sz w:val="24"/>
        </w:rPr>
        <w:t>通投标处理；</w:t>
      </w:r>
    </w:p>
    <w:p w14:paraId="55B5E375">
      <w:pPr>
        <w:pStyle w:val="14"/>
        <w:numPr>
          <w:ilvl w:val="0"/>
          <w:numId w:val="43"/>
        </w:numPr>
        <w:tabs>
          <w:tab w:val="left" w:pos="1501"/>
        </w:tabs>
        <w:spacing w:before="3" w:after="0" w:line="240" w:lineRule="auto"/>
        <w:ind w:left="1501" w:right="0" w:hanging="721"/>
        <w:jc w:val="left"/>
        <w:rPr>
          <w:sz w:val="24"/>
        </w:rPr>
      </w:pPr>
      <w:r>
        <w:rPr>
          <w:sz w:val="24"/>
        </w:rPr>
        <w:t>采购文件规定的其它无效投标情形。</w:t>
      </w:r>
    </w:p>
    <w:p w14:paraId="42B1AF2C">
      <w:pPr>
        <w:pStyle w:val="14"/>
        <w:numPr>
          <w:ilvl w:val="1"/>
          <w:numId w:val="42"/>
        </w:numPr>
        <w:tabs>
          <w:tab w:val="left" w:pos="1380"/>
        </w:tabs>
        <w:spacing w:before="90" w:after="0" w:line="240" w:lineRule="auto"/>
        <w:ind w:left="1380" w:right="0" w:hanging="600"/>
        <w:jc w:val="left"/>
        <w:rPr>
          <w:sz w:val="24"/>
        </w:rPr>
      </w:pPr>
      <w:r>
        <w:rPr>
          <w:sz w:val="24"/>
        </w:rPr>
        <w:t>投标人有下列情形之一的,符合性审查后其投标按无效投标处理：</w:t>
      </w:r>
    </w:p>
    <w:p w14:paraId="35AEB840">
      <w:pPr>
        <w:pStyle w:val="14"/>
        <w:numPr>
          <w:ilvl w:val="0"/>
          <w:numId w:val="0"/>
        </w:numPr>
        <w:tabs>
          <w:tab w:val="left" w:pos="1380"/>
        </w:tabs>
        <w:spacing w:before="94" w:after="0" w:line="312" w:lineRule="auto"/>
        <w:ind w:left="900" w:leftChars="0" w:right="565" w:rightChars="0"/>
        <w:jc w:val="left"/>
        <w:rPr>
          <w:sz w:val="24"/>
        </w:rPr>
      </w:pPr>
      <w:r>
        <w:rPr>
          <w:rFonts w:hint="eastAsia"/>
          <w:spacing w:val="-1"/>
          <w:sz w:val="24"/>
          <w:lang w:val="en-US" w:eastAsia="zh-CN"/>
        </w:rPr>
        <w:t>①</w:t>
      </w:r>
      <w:r>
        <w:rPr>
          <w:spacing w:val="-1"/>
          <w:sz w:val="24"/>
        </w:rPr>
        <w:t>投标文件签章、盖章不全，经评标委员会一致认定对开评标内容有实质性影响并经</w:t>
      </w:r>
      <w:r>
        <w:rPr>
          <w:sz w:val="24"/>
        </w:rPr>
        <w:t>监督部门核准的；</w:t>
      </w:r>
    </w:p>
    <w:p w14:paraId="733B106F">
      <w:pPr>
        <w:pStyle w:val="14"/>
        <w:numPr>
          <w:ilvl w:val="0"/>
          <w:numId w:val="0"/>
        </w:numPr>
        <w:tabs>
          <w:tab w:val="left" w:pos="1261"/>
        </w:tabs>
        <w:spacing w:before="0" w:after="0" w:line="312" w:lineRule="auto"/>
        <w:ind w:left="900" w:leftChars="0" w:right="565" w:rightChars="0"/>
        <w:jc w:val="left"/>
        <w:rPr>
          <w:sz w:val="24"/>
        </w:rPr>
      </w:pPr>
      <w:r>
        <w:rPr>
          <w:rFonts w:hint="eastAsia"/>
          <w:spacing w:val="-10"/>
          <w:sz w:val="24"/>
          <w:lang w:val="en-US" w:eastAsia="zh-CN"/>
        </w:rPr>
        <w:t>②</w:t>
      </w:r>
      <w:r>
        <w:rPr>
          <w:spacing w:val="-10"/>
          <w:sz w:val="24"/>
        </w:rPr>
        <w:t>未按规定的格式填写，实质性内容不全或关键字迹模糊、无法辨认; 经监督部门核准</w:t>
      </w:r>
      <w:r>
        <w:rPr>
          <w:sz w:val="24"/>
        </w:rPr>
        <w:t>的；</w:t>
      </w:r>
    </w:p>
    <w:p w14:paraId="48F7B953">
      <w:pPr>
        <w:pStyle w:val="14"/>
        <w:numPr>
          <w:ilvl w:val="0"/>
          <w:numId w:val="0"/>
        </w:numPr>
        <w:tabs>
          <w:tab w:val="left" w:pos="1261"/>
        </w:tabs>
        <w:spacing w:before="2" w:after="0" w:line="312" w:lineRule="auto"/>
        <w:ind w:left="900" w:leftChars="0" w:right="565" w:rightChars="0"/>
        <w:jc w:val="left"/>
        <w:rPr>
          <w:sz w:val="24"/>
        </w:rPr>
      </w:pPr>
      <w:r>
        <w:rPr>
          <w:rFonts w:hint="eastAsia"/>
          <w:spacing w:val="-6"/>
          <w:sz w:val="24"/>
          <w:lang w:val="en-US" w:eastAsia="zh-CN"/>
        </w:rPr>
        <w:t>③</w:t>
      </w:r>
      <w:r>
        <w:rPr>
          <w:spacing w:val="-6"/>
          <w:sz w:val="24"/>
        </w:rPr>
        <w:t>同一投标人提交两个以上不同的投标文件或者投标报价，但采购文件规定提交备选方</w:t>
      </w:r>
      <w:r>
        <w:rPr>
          <w:sz w:val="24"/>
        </w:rPr>
        <w:t>案的除外；</w:t>
      </w:r>
    </w:p>
    <w:p w14:paraId="378D00B2">
      <w:pPr>
        <w:pStyle w:val="14"/>
        <w:numPr>
          <w:ilvl w:val="0"/>
          <w:numId w:val="0"/>
        </w:numPr>
        <w:tabs>
          <w:tab w:val="left" w:pos="1261"/>
        </w:tabs>
        <w:spacing w:before="42" w:after="0" w:line="240" w:lineRule="auto"/>
        <w:ind w:left="900" w:leftChars="0" w:right="0" w:rightChars="0"/>
        <w:jc w:val="left"/>
        <w:rPr>
          <w:sz w:val="24"/>
        </w:rPr>
      </w:pPr>
      <w:r>
        <w:rPr>
          <w:rFonts w:hint="eastAsia"/>
          <w:sz w:val="24"/>
          <w:lang w:val="en-US" w:eastAsia="zh-CN"/>
        </w:rPr>
        <w:t>④</w:t>
      </w:r>
      <w:r>
        <w:rPr>
          <w:sz w:val="24"/>
        </w:rPr>
        <w:t>投标文件没有对采购文件的实质性要求和条件作出响应;</w:t>
      </w:r>
    </w:p>
    <w:p w14:paraId="425A31F2">
      <w:pPr>
        <w:pStyle w:val="14"/>
        <w:numPr>
          <w:ilvl w:val="0"/>
          <w:numId w:val="0"/>
        </w:numPr>
        <w:tabs>
          <w:tab w:val="left" w:pos="1261"/>
        </w:tabs>
        <w:spacing w:before="93" w:after="0" w:line="312" w:lineRule="auto"/>
        <w:ind w:left="900" w:leftChars="0" w:right="565" w:rightChars="0"/>
        <w:jc w:val="left"/>
        <w:rPr>
          <w:sz w:val="24"/>
        </w:rPr>
      </w:pPr>
      <w:r>
        <w:rPr>
          <w:rFonts w:hint="eastAsia"/>
          <w:spacing w:val="-7"/>
          <w:sz w:val="24"/>
          <w:lang w:val="en-US" w:eastAsia="zh-CN"/>
        </w:rPr>
        <w:t>⑤</w:t>
      </w:r>
      <w:r>
        <w:rPr>
          <w:spacing w:val="-7"/>
          <w:sz w:val="24"/>
        </w:rPr>
        <w:t>投标报价超出规定的投标限价或公布的采购预算的；注：投标人的投标报价各项单价</w:t>
      </w:r>
      <w:r>
        <w:rPr>
          <w:sz w:val="24"/>
        </w:rPr>
        <w:t>均</w:t>
      </w:r>
      <w:r>
        <w:rPr>
          <w:rFonts w:hint="eastAsia"/>
          <w:sz w:val="24"/>
          <w:lang w:val="en-US" w:eastAsia="zh-CN"/>
        </w:rPr>
        <w:t>⑥</w:t>
      </w:r>
      <w:r>
        <w:rPr>
          <w:sz w:val="24"/>
        </w:rPr>
        <w:t>不得高于招标文件给定的单价最高限价，否则，其投标文件将按无效投标处理。</w:t>
      </w:r>
    </w:p>
    <w:p w14:paraId="29EFEAE1">
      <w:pPr>
        <w:pStyle w:val="14"/>
        <w:numPr>
          <w:ilvl w:val="0"/>
          <w:numId w:val="0"/>
        </w:numPr>
        <w:tabs>
          <w:tab w:val="left" w:pos="1261"/>
        </w:tabs>
        <w:spacing w:before="0" w:after="0" w:line="312" w:lineRule="auto"/>
        <w:ind w:left="900" w:leftChars="0" w:right="565" w:rightChars="0"/>
        <w:jc w:val="left"/>
        <w:rPr>
          <w:sz w:val="24"/>
        </w:rPr>
      </w:pPr>
      <w:r>
        <w:rPr>
          <w:rFonts w:hint="eastAsia"/>
          <w:spacing w:val="-9"/>
          <w:sz w:val="24"/>
          <w:lang w:val="en-US" w:eastAsia="zh-CN"/>
        </w:rPr>
        <w:t>⑦</w:t>
      </w:r>
      <w:r>
        <w:rPr>
          <w:spacing w:val="-9"/>
          <w:sz w:val="24"/>
        </w:rPr>
        <w:t>不按评标委员会要求澄清、说明或补正的，或者评标委员会根据采购文件的规定对采</w:t>
      </w:r>
      <w:r>
        <w:rPr>
          <w:sz w:val="24"/>
        </w:rPr>
        <w:t>购文件的计算错误进行修正后，投标人不接受修正的投标报价的。</w:t>
      </w:r>
    </w:p>
    <w:p w14:paraId="211D9471">
      <w:pPr>
        <w:pStyle w:val="14"/>
        <w:numPr>
          <w:ilvl w:val="0"/>
          <w:numId w:val="0"/>
        </w:numPr>
        <w:tabs>
          <w:tab w:val="left" w:pos="1501"/>
        </w:tabs>
        <w:spacing w:before="2" w:after="0" w:line="240" w:lineRule="auto"/>
        <w:ind w:left="900" w:leftChars="0" w:right="0" w:rightChars="0"/>
        <w:jc w:val="left"/>
        <w:rPr>
          <w:sz w:val="24"/>
        </w:rPr>
      </w:pPr>
      <w:r>
        <w:rPr>
          <w:rFonts w:hint="eastAsia"/>
          <w:spacing w:val="-14"/>
          <w:sz w:val="24"/>
          <w:lang w:val="en-US" w:eastAsia="zh-CN"/>
        </w:rPr>
        <w:t>⑧</w:t>
      </w:r>
      <w:r>
        <w:rPr>
          <w:spacing w:val="-14"/>
          <w:sz w:val="24"/>
        </w:rPr>
        <w:t>其它情形，经评标委员会提出按无效投标处理，并经公共资源交易监督部门核准的；</w:t>
      </w:r>
    </w:p>
    <w:p w14:paraId="4CE32967">
      <w:pPr>
        <w:pStyle w:val="14"/>
        <w:numPr>
          <w:ilvl w:val="0"/>
          <w:numId w:val="0"/>
        </w:numPr>
        <w:tabs>
          <w:tab w:val="left" w:pos="1501"/>
        </w:tabs>
        <w:spacing w:before="173" w:after="0" w:line="240" w:lineRule="auto"/>
        <w:ind w:left="900" w:leftChars="0" w:right="0" w:rightChars="0"/>
        <w:jc w:val="left"/>
        <w:rPr>
          <w:sz w:val="24"/>
        </w:rPr>
      </w:pPr>
      <w:r>
        <w:rPr>
          <w:rFonts w:hint="eastAsia"/>
          <w:sz w:val="24"/>
          <w:lang w:val="en-US" w:eastAsia="zh-CN"/>
        </w:rPr>
        <w:t>⑨</w:t>
      </w:r>
      <w:r>
        <w:rPr>
          <w:sz w:val="24"/>
        </w:rPr>
        <w:t>未按照招标文件的规定提交投标保证金的；</w:t>
      </w:r>
    </w:p>
    <w:p w14:paraId="25BDECA8">
      <w:pPr>
        <w:pStyle w:val="14"/>
        <w:numPr>
          <w:ilvl w:val="0"/>
          <w:numId w:val="0"/>
        </w:numPr>
        <w:tabs>
          <w:tab w:val="left" w:pos="1501"/>
        </w:tabs>
        <w:spacing w:before="191" w:after="0" w:line="240" w:lineRule="auto"/>
        <w:ind w:left="900" w:leftChars="0" w:right="0" w:rightChars="0"/>
        <w:jc w:val="left"/>
        <w:rPr>
          <w:sz w:val="24"/>
        </w:rPr>
      </w:pPr>
      <w:r>
        <w:rPr>
          <w:rFonts w:hint="eastAsia"/>
          <w:sz w:val="24"/>
          <w:lang w:val="en-US" w:eastAsia="zh-CN"/>
        </w:rPr>
        <w:t>⑩</w:t>
      </w:r>
      <w:r>
        <w:rPr>
          <w:sz w:val="24"/>
        </w:rPr>
        <w:t>投标文件含有采购人不能接受的附加条件的;</w:t>
      </w:r>
    </w:p>
    <w:p w14:paraId="57F8E1D0">
      <w:pPr>
        <w:pStyle w:val="14"/>
        <w:numPr>
          <w:ilvl w:val="0"/>
          <w:numId w:val="0"/>
        </w:numPr>
        <w:tabs>
          <w:tab w:val="left" w:pos="1621"/>
        </w:tabs>
        <w:spacing w:before="192" w:after="0" w:line="240" w:lineRule="auto"/>
        <w:ind w:left="900" w:leftChars="0" w:right="0" w:rightChars="0"/>
        <w:jc w:val="left"/>
        <w:rPr>
          <w:sz w:val="24"/>
        </w:rPr>
      </w:pPr>
      <w:r>
        <w:rPr>
          <w:sz w:val="24"/>
        </w:rPr>
        <w:t>采购文件规定的其它无效投标情形。</w:t>
      </w:r>
    </w:p>
    <w:p w14:paraId="72524FB1">
      <w:pPr>
        <w:pStyle w:val="14"/>
        <w:numPr>
          <w:ilvl w:val="1"/>
          <w:numId w:val="42"/>
        </w:numPr>
        <w:tabs>
          <w:tab w:val="left" w:pos="1500"/>
        </w:tabs>
        <w:spacing w:before="112" w:after="0" w:line="312" w:lineRule="auto"/>
        <w:ind w:left="900" w:right="2365" w:firstLine="0"/>
        <w:jc w:val="left"/>
        <w:rPr>
          <w:sz w:val="24"/>
        </w:rPr>
      </w:pPr>
      <w:r>
        <w:rPr>
          <w:spacing w:val="-1"/>
          <w:sz w:val="24"/>
        </w:rPr>
        <w:t xml:space="preserve">投标人有下列情形之一的, 详细评审后其投标按无效投标处理： </w:t>
      </w:r>
      <w:r>
        <w:rPr>
          <w:sz w:val="24"/>
        </w:rPr>
        <w:t>(1)投标产品不符合必须强制执行的国家标准的；</w:t>
      </w:r>
    </w:p>
    <w:p w14:paraId="61BAFF57">
      <w:pPr>
        <w:pStyle w:val="14"/>
        <w:numPr>
          <w:ilvl w:val="0"/>
          <w:numId w:val="44"/>
        </w:numPr>
        <w:tabs>
          <w:tab w:val="left" w:pos="1261"/>
        </w:tabs>
        <w:spacing w:before="3" w:after="0" w:line="240" w:lineRule="auto"/>
        <w:ind w:left="1261" w:right="0" w:hanging="361"/>
        <w:jc w:val="left"/>
        <w:rPr>
          <w:sz w:val="24"/>
        </w:rPr>
      </w:pPr>
      <w:r>
        <w:rPr>
          <w:sz w:val="24"/>
        </w:rPr>
        <w:t>投标人有串通投标、弄虚作假、行贿等违法行为；</w:t>
      </w:r>
    </w:p>
    <w:p w14:paraId="49E63F7A">
      <w:pPr>
        <w:pStyle w:val="14"/>
        <w:numPr>
          <w:ilvl w:val="0"/>
          <w:numId w:val="44"/>
        </w:numPr>
        <w:tabs>
          <w:tab w:val="left" w:pos="1261"/>
        </w:tabs>
        <w:spacing w:before="90" w:after="0" w:line="240" w:lineRule="auto"/>
        <w:ind w:left="1261" w:right="0" w:hanging="361"/>
        <w:jc w:val="left"/>
        <w:rPr>
          <w:sz w:val="24"/>
        </w:rPr>
      </w:pPr>
      <w:r>
        <w:rPr>
          <w:sz w:val="24"/>
        </w:rPr>
        <w:t>投标文件含有违反国家法律、法规的内容，或附有招标人不能接受的条件的；</w:t>
      </w:r>
    </w:p>
    <w:p w14:paraId="765C4038">
      <w:pPr>
        <w:pStyle w:val="14"/>
        <w:numPr>
          <w:ilvl w:val="0"/>
          <w:numId w:val="45"/>
        </w:numPr>
        <w:tabs>
          <w:tab w:val="left" w:pos="1381"/>
        </w:tabs>
        <w:spacing w:before="94" w:after="0" w:line="364" w:lineRule="auto"/>
        <w:ind w:left="420" w:right="565" w:firstLine="360"/>
        <w:jc w:val="left"/>
        <w:rPr>
          <w:sz w:val="24"/>
        </w:rPr>
      </w:pPr>
      <w:r>
        <w:rPr>
          <w:sz w:val="24"/>
        </w:rPr>
        <w:t>在同一项目（或同一标段）</w:t>
      </w:r>
      <w:r>
        <w:rPr>
          <w:spacing w:val="-1"/>
          <w:sz w:val="24"/>
        </w:rPr>
        <w:t>中有多个投标人有效投标报价接近最高限价，且评标委</w:t>
      </w:r>
      <w:r>
        <w:rPr>
          <w:sz w:val="24"/>
        </w:rPr>
        <w:t>员会认为报价出现异常的，可以宣布其投标无效；</w:t>
      </w:r>
    </w:p>
    <w:p w14:paraId="54DEC4E4">
      <w:pPr>
        <w:pStyle w:val="14"/>
        <w:numPr>
          <w:ilvl w:val="0"/>
          <w:numId w:val="45"/>
        </w:numPr>
        <w:tabs>
          <w:tab w:val="left" w:pos="1381"/>
        </w:tabs>
        <w:spacing w:before="1" w:after="0" w:line="240" w:lineRule="auto"/>
        <w:ind w:left="1381" w:right="0" w:hanging="601"/>
        <w:jc w:val="left"/>
        <w:rPr>
          <w:sz w:val="24"/>
        </w:rPr>
      </w:pPr>
      <w:r>
        <w:rPr>
          <w:sz w:val="24"/>
        </w:rPr>
        <w:t>报价明显低于其他投标人，且不能证明报价合理性的投标无效；</w:t>
      </w:r>
    </w:p>
    <w:p w14:paraId="6070AEC8">
      <w:pPr>
        <w:pStyle w:val="14"/>
        <w:numPr>
          <w:ilvl w:val="0"/>
          <w:numId w:val="45"/>
        </w:numPr>
        <w:tabs>
          <w:tab w:val="left" w:pos="1381"/>
        </w:tabs>
        <w:spacing w:before="160" w:after="0" w:line="240" w:lineRule="auto"/>
        <w:ind w:left="1381" w:right="0" w:hanging="601"/>
        <w:jc w:val="left"/>
        <w:rPr>
          <w:sz w:val="24"/>
        </w:rPr>
      </w:pPr>
      <w:r>
        <w:rPr>
          <w:sz w:val="24"/>
        </w:rPr>
        <w:t>拒不确认评标委员会评审修正的投标无效；</w:t>
      </w:r>
    </w:p>
    <w:p w14:paraId="0A843C6F">
      <w:pPr>
        <w:pStyle w:val="14"/>
        <w:numPr>
          <w:ilvl w:val="0"/>
          <w:numId w:val="45"/>
        </w:numPr>
        <w:tabs>
          <w:tab w:val="left" w:pos="1381"/>
        </w:tabs>
        <w:spacing w:before="161" w:after="0" w:line="240" w:lineRule="auto"/>
        <w:ind w:left="1381" w:right="0" w:hanging="601"/>
        <w:jc w:val="left"/>
        <w:rPr>
          <w:sz w:val="24"/>
        </w:rPr>
      </w:pPr>
      <w:r>
        <w:rPr>
          <w:spacing w:val="-8"/>
          <w:sz w:val="24"/>
        </w:rPr>
        <w:t>其它情形，经评标委员会提出按无效投标处理，并经公共资源交易监督部门核准的；</w:t>
      </w:r>
    </w:p>
    <w:p w14:paraId="045DAA93">
      <w:pPr>
        <w:pStyle w:val="14"/>
        <w:numPr>
          <w:ilvl w:val="0"/>
          <w:numId w:val="45"/>
        </w:numPr>
        <w:tabs>
          <w:tab w:val="left" w:pos="1381"/>
        </w:tabs>
        <w:spacing w:before="160" w:after="0" w:line="240" w:lineRule="auto"/>
        <w:ind w:left="1381" w:right="0" w:hanging="601"/>
        <w:jc w:val="left"/>
        <w:rPr>
          <w:sz w:val="24"/>
        </w:rPr>
      </w:pPr>
      <w:r>
        <w:rPr>
          <w:sz w:val="24"/>
        </w:rPr>
        <w:t>采购文件规定的其它无效投标情形。</w:t>
      </w:r>
    </w:p>
    <w:p w14:paraId="35B8667D">
      <w:pPr>
        <w:spacing w:after="0" w:line="240" w:lineRule="auto"/>
        <w:jc w:val="left"/>
        <w:rPr>
          <w:sz w:val="24"/>
        </w:rPr>
        <w:sectPr>
          <w:pgSz w:w="11910" w:h="16840"/>
          <w:pgMar w:top="1460" w:right="660" w:bottom="1180" w:left="660" w:header="0" w:footer="909" w:gutter="0"/>
          <w:cols w:space="720" w:num="1"/>
        </w:sectPr>
      </w:pPr>
    </w:p>
    <w:p w14:paraId="46DE07B6">
      <w:pPr>
        <w:tabs>
          <w:tab w:val="left" w:pos="1603"/>
        </w:tabs>
        <w:spacing w:before="16"/>
        <w:ind w:left="0" w:right="1" w:firstLine="0"/>
        <w:jc w:val="center"/>
        <w:rPr>
          <w:rFonts w:hint="eastAsia" w:ascii="宋体" w:eastAsia="宋体"/>
          <w:b/>
          <w:sz w:val="40"/>
        </w:rPr>
      </w:pPr>
      <w:bookmarkStart w:id="20" w:name="第四章  采购需求清单"/>
      <w:bookmarkEnd w:id="20"/>
      <w:bookmarkStart w:id="21" w:name="_bookmark3"/>
      <w:bookmarkEnd w:id="21"/>
      <w:r>
        <w:rPr>
          <w:rFonts w:hint="eastAsia" w:ascii="宋体" w:eastAsia="宋体"/>
          <w:b/>
          <w:sz w:val="40"/>
        </w:rPr>
        <w:t>第四章</w:t>
      </w:r>
      <w:r>
        <w:rPr>
          <w:rFonts w:hint="eastAsia" w:ascii="宋体" w:eastAsia="宋体"/>
          <w:b/>
          <w:sz w:val="40"/>
        </w:rPr>
        <w:tab/>
      </w:r>
      <w:r>
        <w:rPr>
          <w:rFonts w:hint="eastAsia" w:ascii="宋体" w:eastAsia="宋体"/>
          <w:b/>
          <w:sz w:val="40"/>
        </w:rPr>
        <w:t>采购需求清单</w:t>
      </w:r>
    </w:p>
    <w:p w14:paraId="688B13E0">
      <w:pPr>
        <w:pStyle w:val="8"/>
        <w:spacing w:before="1"/>
        <w:rPr>
          <w:rFonts w:ascii="宋体"/>
          <w:b/>
          <w:sz w:val="41"/>
        </w:rPr>
      </w:pPr>
    </w:p>
    <w:p w14:paraId="5834F414">
      <w:pPr>
        <w:pStyle w:val="7"/>
        <w:ind w:left="1029"/>
      </w:pPr>
      <w:r>
        <w:t>清单及具体要求（另卷）</w:t>
      </w:r>
    </w:p>
    <w:p w14:paraId="5C0A4F1E">
      <w:pPr>
        <w:spacing w:after="0"/>
        <w:sectPr>
          <w:pgSz w:w="11910" w:h="16840"/>
          <w:pgMar w:top="1460" w:right="660" w:bottom="1180" w:left="660" w:header="0" w:footer="909" w:gutter="0"/>
          <w:cols w:space="720" w:num="1"/>
        </w:sectPr>
      </w:pPr>
    </w:p>
    <w:p w14:paraId="316DDB4E">
      <w:pPr>
        <w:tabs>
          <w:tab w:val="left" w:pos="1802"/>
        </w:tabs>
        <w:spacing w:before="16"/>
        <w:ind w:left="0" w:right="1" w:firstLine="0"/>
        <w:jc w:val="center"/>
        <w:rPr>
          <w:rFonts w:hint="eastAsia" w:ascii="宋体" w:eastAsia="宋体"/>
          <w:b/>
          <w:sz w:val="40"/>
        </w:rPr>
      </w:pPr>
      <w:bookmarkStart w:id="22" w:name="_bookmark4"/>
      <w:bookmarkEnd w:id="22"/>
      <w:bookmarkStart w:id="23" w:name="第五章   合同条款及格式"/>
      <w:bookmarkEnd w:id="23"/>
      <w:r>
        <w:rPr>
          <w:rFonts w:hint="eastAsia" w:ascii="宋体" w:eastAsia="宋体"/>
          <w:b/>
          <w:sz w:val="40"/>
        </w:rPr>
        <w:t>第五章</w:t>
      </w:r>
      <w:r>
        <w:rPr>
          <w:rFonts w:hint="eastAsia" w:ascii="宋体" w:eastAsia="宋体"/>
          <w:b/>
          <w:sz w:val="40"/>
        </w:rPr>
        <w:tab/>
      </w:r>
      <w:r>
        <w:rPr>
          <w:rFonts w:hint="eastAsia" w:ascii="宋体" w:eastAsia="宋体"/>
          <w:b/>
          <w:sz w:val="40"/>
        </w:rPr>
        <w:t>合同条款及格式</w:t>
      </w:r>
    </w:p>
    <w:p w14:paraId="4FEEC382">
      <w:pPr>
        <w:pStyle w:val="7"/>
        <w:spacing w:before="344"/>
        <w:ind w:left="144" w:right="146"/>
        <w:jc w:val="center"/>
      </w:pPr>
      <w:r>
        <w:t>（本合同为合同样稿，最终稿由供需双方协商后确定）</w:t>
      </w:r>
    </w:p>
    <w:p w14:paraId="35E20D68">
      <w:pPr>
        <w:pStyle w:val="8"/>
        <w:rPr>
          <w:b/>
          <w:sz w:val="20"/>
        </w:rPr>
      </w:pPr>
    </w:p>
    <w:p w14:paraId="2A82F8F3">
      <w:pPr>
        <w:pStyle w:val="8"/>
        <w:rPr>
          <w:b/>
          <w:sz w:val="20"/>
        </w:rPr>
      </w:pPr>
    </w:p>
    <w:p w14:paraId="673882F9">
      <w:pPr>
        <w:pStyle w:val="8"/>
        <w:spacing w:before="4"/>
        <w:rPr>
          <w:b/>
          <w:sz w:val="15"/>
        </w:rPr>
      </w:pPr>
    </w:p>
    <w:p w14:paraId="5B742DC7">
      <w:pPr>
        <w:pStyle w:val="8"/>
        <w:spacing w:before="66"/>
        <w:ind w:left="1029"/>
        <w:rPr>
          <w:rFonts w:hint="eastAsia" w:ascii="宋体" w:eastAsia="宋体"/>
        </w:rPr>
      </w:pPr>
      <w:r>
        <w:rPr>
          <w:rFonts w:hint="eastAsia" w:ascii="宋体" w:eastAsia="宋体"/>
        </w:rPr>
        <w:t>合同编号：</w:t>
      </w:r>
    </w:p>
    <w:p w14:paraId="1E83B485">
      <w:pPr>
        <w:pStyle w:val="8"/>
        <w:spacing w:before="1"/>
        <w:rPr>
          <w:rFonts w:ascii="宋体"/>
          <w:sz w:val="29"/>
        </w:rPr>
      </w:pPr>
    </w:p>
    <w:p w14:paraId="38573481">
      <w:pPr>
        <w:pStyle w:val="5"/>
        <w:ind w:left="1588" w:right="6746"/>
      </w:pPr>
      <w:r>
        <w:t>采购人（甲方）： 中标人（乙方）：</w:t>
      </w:r>
    </w:p>
    <w:p w14:paraId="71FD728B">
      <w:pPr>
        <w:pStyle w:val="8"/>
        <w:spacing w:before="12"/>
        <w:rPr>
          <w:b/>
          <w:sz w:val="27"/>
        </w:rPr>
      </w:pPr>
    </w:p>
    <w:p w14:paraId="26C23E5C">
      <w:pPr>
        <w:pStyle w:val="6"/>
        <w:ind w:left="1588" w:firstLine="0"/>
      </w:pPr>
      <w:r>
        <w:t>根据《中华人民共和国政府采购法》、《中华人民共和国民法典》</w:t>
      </w:r>
    </w:p>
    <w:p w14:paraId="0348ECEE">
      <w:pPr>
        <w:pStyle w:val="6"/>
        <w:spacing w:before="186" w:line="364" w:lineRule="auto"/>
        <w:ind w:right="859" w:firstLine="0"/>
      </w:pPr>
      <w:r>
        <w:t>（合同编），通过阿勒泰市喀拉希力克乡人民政府委托</w:t>
      </w:r>
      <w:r>
        <w:rPr>
          <w:u w:val="single"/>
        </w:rPr>
        <w:t xml:space="preserve"> 新疆瀚展博源项目管理有限公司</w:t>
      </w:r>
      <w:r>
        <w:t xml:space="preserve"> 已公开招标的方式进行</w:t>
      </w:r>
      <w:r>
        <w:rPr>
          <w:u w:val="single"/>
        </w:rPr>
        <w:t xml:space="preserve"> 喀拉希力克乡食用油生产加工厂建设项目</w:t>
      </w:r>
      <w:r>
        <w:t>，[项目编号：</w:t>
      </w:r>
      <w:r>
        <w:rPr>
          <w:u w:val="single"/>
        </w:rPr>
        <w:t>ZFCG-HZBY2025</w:t>
      </w:r>
      <w:r>
        <w:rPr>
          <w:rFonts w:hint="eastAsia"/>
          <w:u w:val="single"/>
          <w:lang w:val="en-US" w:eastAsia="zh-CN"/>
        </w:rPr>
        <w:t>-</w:t>
      </w:r>
      <w:r>
        <w:rPr>
          <w:u w:val="single"/>
        </w:rPr>
        <w:t>033</w:t>
      </w:r>
      <w:r>
        <w:t>]，乙方取得该项目 的中标资格，双方在平等互利、协商一致的基础上，坚持公平、公开、公正、诚实信用的原则订立本合同。详细技术说明及其他有关合同项 目的特定信息由合同附件予以说明，合同附件及本项目的招标文件、 投标文件、《成交通知书》等均为本合同不可分割的部分。</w:t>
      </w:r>
    </w:p>
    <w:p w14:paraId="5487E8A7">
      <w:pPr>
        <w:pStyle w:val="5"/>
        <w:spacing w:before="126"/>
        <w:ind w:left="1588"/>
      </w:pPr>
      <w:r>
        <w:t>一、货币种类：人民币（元）</w:t>
      </w:r>
    </w:p>
    <w:p w14:paraId="5657E302">
      <w:pPr>
        <w:pStyle w:val="8"/>
        <w:rPr>
          <w:b/>
          <w:sz w:val="20"/>
        </w:rPr>
      </w:pPr>
    </w:p>
    <w:p w14:paraId="4FE9645A">
      <w:pPr>
        <w:pStyle w:val="8"/>
        <w:rPr>
          <w:b/>
          <w:sz w:val="20"/>
        </w:rPr>
      </w:pPr>
    </w:p>
    <w:p w14:paraId="012DF7BF">
      <w:pPr>
        <w:pStyle w:val="8"/>
        <w:spacing w:before="4"/>
        <w:rPr>
          <w:b/>
          <w:sz w:val="10"/>
        </w:rPr>
      </w:pPr>
    </w:p>
    <w:tbl>
      <w:tblPr>
        <w:tblStyle w:val="11"/>
        <w:tblW w:w="0" w:type="auto"/>
        <w:tblInd w:w="2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5"/>
        <w:gridCol w:w="1595"/>
        <w:gridCol w:w="1261"/>
        <w:gridCol w:w="1521"/>
        <w:gridCol w:w="904"/>
        <w:gridCol w:w="1600"/>
        <w:gridCol w:w="1537"/>
      </w:tblGrid>
      <w:tr w14:paraId="3ED75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825" w:type="dxa"/>
          </w:tcPr>
          <w:p w14:paraId="39BDAAFE">
            <w:pPr>
              <w:pStyle w:val="15"/>
              <w:spacing w:before="133"/>
              <w:ind w:right="168"/>
              <w:jc w:val="right"/>
              <w:rPr>
                <w:sz w:val="28"/>
              </w:rPr>
            </w:pPr>
            <w:r>
              <w:rPr>
                <w:sz w:val="28"/>
              </w:rPr>
              <w:t>序号</w:t>
            </w:r>
          </w:p>
        </w:tc>
        <w:tc>
          <w:tcPr>
            <w:tcW w:w="1595" w:type="dxa"/>
          </w:tcPr>
          <w:p w14:paraId="4F57CCA1">
            <w:pPr>
              <w:pStyle w:val="15"/>
              <w:spacing w:before="133"/>
              <w:ind w:left="236"/>
              <w:rPr>
                <w:sz w:val="28"/>
              </w:rPr>
            </w:pPr>
            <w:r>
              <w:rPr>
                <w:sz w:val="28"/>
              </w:rPr>
              <w:t>产品名称</w:t>
            </w:r>
          </w:p>
        </w:tc>
        <w:tc>
          <w:tcPr>
            <w:tcW w:w="1261" w:type="dxa"/>
          </w:tcPr>
          <w:p w14:paraId="65D66B3C">
            <w:pPr>
              <w:pStyle w:val="15"/>
              <w:spacing w:before="133"/>
              <w:ind w:left="108"/>
              <w:rPr>
                <w:sz w:val="28"/>
              </w:rPr>
            </w:pPr>
            <w:r>
              <w:rPr>
                <w:sz w:val="28"/>
              </w:rPr>
              <w:t>品牌、型</w:t>
            </w:r>
          </w:p>
        </w:tc>
        <w:tc>
          <w:tcPr>
            <w:tcW w:w="1521" w:type="dxa"/>
          </w:tcPr>
          <w:p w14:paraId="1FB28E33">
            <w:pPr>
              <w:pStyle w:val="15"/>
              <w:spacing w:before="195"/>
              <w:ind w:left="500" w:right="491"/>
              <w:jc w:val="center"/>
              <w:rPr>
                <w:rFonts w:hint="eastAsia" w:ascii="宋体" w:eastAsia="宋体"/>
                <w:sz w:val="24"/>
              </w:rPr>
            </w:pPr>
            <w:r>
              <w:rPr>
                <w:rFonts w:hint="eastAsia" w:ascii="宋体" w:eastAsia="宋体"/>
                <w:sz w:val="24"/>
              </w:rPr>
              <w:t>数量</w:t>
            </w:r>
          </w:p>
        </w:tc>
        <w:tc>
          <w:tcPr>
            <w:tcW w:w="904" w:type="dxa"/>
          </w:tcPr>
          <w:p w14:paraId="70C62382">
            <w:pPr>
              <w:pStyle w:val="15"/>
              <w:spacing w:before="144"/>
              <w:ind w:left="211"/>
              <w:rPr>
                <w:rFonts w:hint="eastAsia" w:ascii="宋体" w:eastAsia="宋体"/>
                <w:sz w:val="24"/>
              </w:rPr>
            </w:pPr>
            <w:r>
              <w:rPr>
                <w:rFonts w:hint="eastAsia" w:ascii="宋体" w:eastAsia="宋体"/>
                <w:sz w:val="24"/>
              </w:rPr>
              <w:t>单价</w:t>
            </w:r>
          </w:p>
        </w:tc>
        <w:tc>
          <w:tcPr>
            <w:tcW w:w="1600" w:type="dxa"/>
          </w:tcPr>
          <w:p w14:paraId="76EDA07E">
            <w:pPr>
              <w:pStyle w:val="15"/>
              <w:spacing w:before="195"/>
              <w:ind w:left="199"/>
              <w:rPr>
                <w:rFonts w:hint="eastAsia" w:ascii="宋体" w:eastAsia="宋体"/>
                <w:sz w:val="24"/>
              </w:rPr>
            </w:pPr>
            <w:r>
              <w:rPr>
                <w:rFonts w:hint="eastAsia" w:ascii="宋体" w:eastAsia="宋体"/>
                <w:sz w:val="24"/>
              </w:rPr>
              <w:t>合计（元）</w:t>
            </w:r>
          </w:p>
        </w:tc>
        <w:tc>
          <w:tcPr>
            <w:tcW w:w="1537" w:type="dxa"/>
          </w:tcPr>
          <w:p w14:paraId="5355FF6A">
            <w:pPr>
              <w:pStyle w:val="15"/>
              <w:spacing w:before="104"/>
              <w:ind w:left="107"/>
              <w:rPr>
                <w:sz w:val="28"/>
              </w:rPr>
            </w:pPr>
            <w:r>
              <w:rPr>
                <w:sz w:val="28"/>
              </w:rPr>
              <w:t>投标产品</w:t>
            </w:r>
          </w:p>
        </w:tc>
      </w:tr>
      <w:tr w14:paraId="021C3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825" w:type="dxa"/>
          </w:tcPr>
          <w:p w14:paraId="284A8E11">
            <w:pPr>
              <w:pStyle w:val="15"/>
              <w:spacing w:before="232"/>
              <w:ind w:left="9"/>
              <w:jc w:val="center"/>
              <w:rPr>
                <w:sz w:val="28"/>
              </w:rPr>
            </w:pPr>
            <w:r>
              <w:rPr>
                <w:w w:val="100"/>
                <w:sz w:val="28"/>
              </w:rPr>
              <w:t>1</w:t>
            </w:r>
          </w:p>
        </w:tc>
        <w:tc>
          <w:tcPr>
            <w:tcW w:w="1595" w:type="dxa"/>
          </w:tcPr>
          <w:p w14:paraId="1DE7E168">
            <w:pPr>
              <w:pStyle w:val="15"/>
              <w:rPr>
                <w:rFonts w:ascii="Times New Roman"/>
                <w:sz w:val="26"/>
              </w:rPr>
            </w:pPr>
          </w:p>
        </w:tc>
        <w:tc>
          <w:tcPr>
            <w:tcW w:w="1261" w:type="dxa"/>
          </w:tcPr>
          <w:p w14:paraId="4533B96F">
            <w:pPr>
              <w:pStyle w:val="15"/>
              <w:rPr>
                <w:rFonts w:ascii="Times New Roman"/>
                <w:sz w:val="26"/>
              </w:rPr>
            </w:pPr>
          </w:p>
        </w:tc>
        <w:tc>
          <w:tcPr>
            <w:tcW w:w="1521" w:type="dxa"/>
          </w:tcPr>
          <w:p w14:paraId="7BA92658">
            <w:pPr>
              <w:pStyle w:val="15"/>
              <w:rPr>
                <w:rFonts w:ascii="Times New Roman"/>
                <w:sz w:val="26"/>
              </w:rPr>
            </w:pPr>
          </w:p>
        </w:tc>
        <w:tc>
          <w:tcPr>
            <w:tcW w:w="904" w:type="dxa"/>
          </w:tcPr>
          <w:p w14:paraId="479FA511">
            <w:pPr>
              <w:pStyle w:val="15"/>
              <w:rPr>
                <w:rFonts w:ascii="Times New Roman"/>
                <w:sz w:val="26"/>
              </w:rPr>
            </w:pPr>
          </w:p>
        </w:tc>
        <w:tc>
          <w:tcPr>
            <w:tcW w:w="1600" w:type="dxa"/>
          </w:tcPr>
          <w:p w14:paraId="4B4A1849">
            <w:pPr>
              <w:pStyle w:val="15"/>
              <w:rPr>
                <w:rFonts w:ascii="Times New Roman"/>
                <w:sz w:val="26"/>
              </w:rPr>
            </w:pPr>
          </w:p>
        </w:tc>
        <w:tc>
          <w:tcPr>
            <w:tcW w:w="1537" w:type="dxa"/>
          </w:tcPr>
          <w:p w14:paraId="29A10D52">
            <w:pPr>
              <w:pStyle w:val="15"/>
              <w:rPr>
                <w:rFonts w:ascii="Times New Roman"/>
                <w:sz w:val="26"/>
              </w:rPr>
            </w:pPr>
          </w:p>
        </w:tc>
      </w:tr>
      <w:tr w14:paraId="064FD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825" w:type="dxa"/>
          </w:tcPr>
          <w:p w14:paraId="14FC0CDC">
            <w:pPr>
              <w:pStyle w:val="15"/>
              <w:spacing w:before="231"/>
              <w:ind w:left="9"/>
              <w:jc w:val="center"/>
              <w:rPr>
                <w:sz w:val="28"/>
              </w:rPr>
            </w:pPr>
            <w:r>
              <w:rPr>
                <w:w w:val="100"/>
                <w:sz w:val="28"/>
              </w:rPr>
              <w:t>2</w:t>
            </w:r>
          </w:p>
        </w:tc>
        <w:tc>
          <w:tcPr>
            <w:tcW w:w="1595" w:type="dxa"/>
          </w:tcPr>
          <w:p w14:paraId="40DEE2D4">
            <w:pPr>
              <w:pStyle w:val="15"/>
              <w:rPr>
                <w:rFonts w:ascii="Times New Roman"/>
                <w:sz w:val="26"/>
              </w:rPr>
            </w:pPr>
          </w:p>
        </w:tc>
        <w:tc>
          <w:tcPr>
            <w:tcW w:w="1261" w:type="dxa"/>
          </w:tcPr>
          <w:p w14:paraId="1FA3DAAD">
            <w:pPr>
              <w:pStyle w:val="15"/>
              <w:rPr>
                <w:rFonts w:ascii="Times New Roman"/>
                <w:sz w:val="26"/>
              </w:rPr>
            </w:pPr>
          </w:p>
        </w:tc>
        <w:tc>
          <w:tcPr>
            <w:tcW w:w="1521" w:type="dxa"/>
          </w:tcPr>
          <w:p w14:paraId="797BDA31">
            <w:pPr>
              <w:pStyle w:val="15"/>
              <w:rPr>
                <w:rFonts w:ascii="Times New Roman"/>
                <w:sz w:val="26"/>
              </w:rPr>
            </w:pPr>
          </w:p>
        </w:tc>
        <w:tc>
          <w:tcPr>
            <w:tcW w:w="904" w:type="dxa"/>
          </w:tcPr>
          <w:p w14:paraId="096ABFA6">
            <w:pPr>
              <w:pStyle w:val="15"/>
              <w:rPr>
                <w:rFonts w:ascii="Times New Roman"/>
                <w:sz w:val="26"/>
              </w:rPr>
            </w:pPr>
          </w:p>
        </w:tc>
        <w:tc>
          <w:tcPr>
            <w:tcW w:w="1600" w:type="dxa"/>
          </w:tcPr>
          <w:p w14:paraId="20AFFF62">
            <w:pPr>
              <w:pStyle w:val="15"/>
              <w:rPr>
                <w:rFonts w:ascii="Times New Roman"/>
                <w:sz w:val="26"/>
              </w:rPr>
            </w:pPr>
          </w:p>
        </w:tc>
        <w:tc>
          <w:tcPr>
            <w:tcW w:w="1537" w:type="dxa"/>
          </w:tcPr>
          <w:p w14:paraId="29A4572D">
            <w:pPr>
              <w:pStyle w:val="15"/>
              <w:rPr>
                <w:rFonts w:ascii="Times New Roman"/>
                <w:sz w:val="26"/>
              </w:rPr>
            </w:pPr>
          </w:p>
        </w:tc>
      </w:tr>
      <w:tr w14:paraId="5BC25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825" w:type="dxa"/>
          </w:tcPr>
          <w:p w14:paraId="7AE94100">
            <w:pPr>
              <w:pStyle w:val="15"/>
              <w:spacing w:before="231"/>
              <w:ind w:right="188"/>
              <w:jc w:val="right"/>
              <w:rPr>
                <w:sz w:val="28"/>
              </w:rPr>
            </w:pPr>
            <w:r>
              <w:rPr>
                <w:sz w:val="28"/>
              </w:rPr>
              <w:t>...</w:t>
            </w:r>
          </w:p>
        </w:tc>
        <w:tc>
          <w:tcPr>
            <w:tcW w:w="1595" w:type="dxa"/>
          </w:tcPr>
          <w:p w14:paraId="0642EE1E">
            <w:pPr>
              <w:pStyle w:val="15"/>
              <w:rPr>
                <w:rFonts w:ascii="Times New Roman"/>
                <w:sz w:val="26"/>
              </w:rPr>
            </w:pPr>
          </w:p>
        </w:tc>
        <w:tc>
          <w:tcPr>
            <w:tcW w:w="1261" w:type="dxa"/>
          </w:tcPr>
          <w:p w14:paraId="6C2D3B52">
            <w:pPr>
              <w:pStyle w:val="15"/>
              <w:rPr>
                <w:rFonts w:ascii="Times New Roman"/>
                <w:sz w:val="26"/>
              </w:rPr>
            </w:pPr>
          </w:p>
        </w:tc>
        <w:tc>
          <w:tcPr>
            <w:tcW w:w="1521" w:type="dxa"/>
          </w:tcPr>
          <w:p w14:paraId="38FFC3C0">
            <w:pPr>
              <w:pStyle w:val="15"/>
              <w:rPr>
                <w:rFonts w:ascii="Times New Roman"/>
                <w:sz w:val="26"/>
              </w:rPr>
            </w:pPr>
          </w:p>
        </w:tc>
        <w:tc>
          <w:tcPr>
            <w:tcW w:w="904" w:type="dxa"/>
          </w:tcPr>
          <w:p w14:paraId="5A655A62">
            <w:pPr>
              <w:pStyle w:val="15"/>
              <w:rPr>
                <w:rFonts w:ascii="Times New Roman"/>
                <w:sz w:val="26"/>
              </w:rPr>
            </w:pPr>
          </w:p>
        </w:tc>
        <w:tc>
          <w:tcPr>
            <w:tcW w:w="1600" w:type="dxa"/>
          </w:tcPr>
          <w:p w14:paraId="72E74942">
            <w:pPr>
              <w:pStyle w:val="15"/>
              <w:rPr>
                <w:rFonts w:ascii="Times New Roman"/>
                <w:sz w:val="26"/>
              </w:rPr>
            </w:pPr>
          </w:p>
        </w:tc>
        <w:tc>
          <w:tcPr>
            <w:tcW w:w="1537" w:type="dxa"/>
          </w:tcPr>
          <w:p w14:paraId="5A2C7D13">
            <w:pPr>
              <w:pStyle w:val="15"/>
              <w:rPr>
                <w:rFonts w:ascii="Times New Roman"/>
                <w:sz w:val="26"/>
              </w:rPr>
            </w:pPr>
          </w:p>
        </w:tc>
      </w:tr>
      <w:tr w14:paraId="1928A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7" w:hRule="atLeast"/>
        </w:trPr>
        <w:tc>
          <w:tcPr>
            <w:tcW w:w="9243" w:type="dxa"/>
            <w:gridSpan w:val="7"/>
          </w:tcPr>
          <w:p w14:paraId="1DD15813">
            <w:pPr>
              <w:pStyle w:val="15"/>
              <w:spacing w:before="13" w:line="624" w:lineRule="exact"/>
              <w:ind w:left="106" w:right="6604"/>
              <w:rPr>
                <w:sz w:val="28"/>
              </w:rPr>
            </w:pPr>
            <w:r>
              <w:rPr>
                <w:sz w:val="28"/>
              </w:rPr>
              <w:t>成交总价（大写）： 总计（小写）：</w:t>
            </w:r>
          </w:p>
        </w:tc>
      </w:tr>
    </w:tbl>
    <w:p w14:paraId="2FF336AF">
      <w:pPr>
        <w:spacing w:after="0" w:line="624" w:lineRule="exact"/>
        <w:rPr>
          <w:sz w:val="28"/>
        </w:rPr>
        <w:sectPr>
          <w:pgSz w:w="11910" w:h="16840"/>
          <w:pgMar w:top="1460" w:right="660" w:bottom="1180" w:left="660" w:header="0" w:footer="909" w:gutter="0"/>
          <w:cols w:space="720" w:num="1"/>
        </w:sectPr>
      </w:pPr>
    </w:p>
    <w:tbl>
      <w:tblPr>
        <w:tblStyle w:val="11"/>
        <w:tblW w:w="0" w:type="auto"/>
        <w:tblInd w:w="2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57"/>
        <w:gridCol w:w="2686"/>
      </w:tblGrid>
      <w:tr w14:paraId="0F504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9243" w:type="dxa"/>
            <w:gridSpan w:val="2"/>
            <w:tcBorders>
              <w:bottom w:val="nil"/>
            </w:tcBorders>
          </w:tcPr>
          <w:p w14:paraId="394152D6">
            <w:pPr>
              <w:pStyle w:val="15"/>
              <w:spacing w:before="150"/>
              <w:ind w:left="106"/>
              <w:rPr>
                <w:sz w:val="28"/>
              </w:rPr>
            </w:pPr>
            <w:r>
              <w:rPr>
                <w:sz w:val="28"/>
              </w:rPr>
              <w:t>备注：该合同总价已包括货物设计、材料、制造、包装、运输、安装、调</w:t>
            </w:r>
          </w:p>
        </w:tc>
      </w:tr>
      <w:tr w14:paraId="6D207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243" w:type="dxa"/>
            <w:gridSpan w:val="2"/>
            <w:tcBorders>
              <w:top w:val="nil"/>
              <w:bottom w:val="nil"/>
            </w:tcBorders>
          </w:tcPr>
          <w:p w14:paraId="3D71F693">
            <w:pPr>
              <w:pStyle w:val="15"/>
              <w:spacing w:before="133"/>
              <w:ind w:left="106"/>
              <w:rPr>
                <w:sz w:val="28"/>
              </w:rPr>
            </w:pPr>
            <w:r>
              <w:rPr>
                <w:sz w:val="28"/>
              </w:rPr>
              <w:t>试、检测及验收合格交付使用之前及保修期内保修服务与备用物件等等所</w:t>
            </w:r>
          </w:p>
        </w:tc>
      </w:tr>
      <w:tr w14:paraId="2A397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243" w:type="dxa"/>
            <w:gridSpan w:val="2"/>
            <w:tcBorders>
              <w:top w:val="nil"/>
              <w:bottom w:val="nil"/>
            </w:tcBorders>
          </w:tcPr>
          <w:p w14:paraId="2C018261">
            <w:pPr>
              <w:pStyle w:val="15"/>
              <w:spacing w:before="133"/>
              <w:ind w:left="106"/>
              <w:rPr>
                <w:sz w:val="28"/>
              </w:rPr>
            </w:pPr>
            <w:r>
              <w:rPr>
                <w:sz w:val="28"/>
              </w:rPr>
              <w:t>有其他有关各项的含税费用。本合同执行期间合同总价不变，甲方无须另</w:t>
            </w:r>
          </w:p>
        </w:tc>
      </w:tr>
      <w:tr w14:paraId="3AFF5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9243" w:type="dxa"/>
            <w:gridSpan w:val="2"/>
            <w:tcBorders>
              <w:top w:val="nil"/>
            </w:tcBorders>
          </w:tcPr>
          <w:p w14:paraId="3E113350">
            <w:pPr>
              <w:pStyle w:val="15"/>
              <w:spacing w:before="133"/>
              <w:ind w:left="106"/>
              <w:rPr>
                <w:sz w:val="28"/>
              </w:rPr>
            </w:pPr>
            <w:r>
              <w:rPr>
                <w:sz w:val="28"/>
              </w:rPr>
              <w:t>向乙方支付本合同规定之外的其他任何费用。</w:t>
            </w:r>
          </w:p>
        </w:tc>
      </w:tr>
      <w:tr w14:paraId="54867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7" w:hRule="atLeast"/>
        </w:trPr>
        <w:tc>
          <w:tcPr>
            <w:tcW w:w="6557" w:type="dxa"/>
            <w:tcBorders>
              <w:right w:val="nil"/>
            </w:tcBorders>
          </w:tcPr>
          <w:p w14:paraId="6F287081">
            <w:pPr>
              <w:pStyle w:val="15"/>
              <w:spacing w:before="38" w:line="624" w:lineRule="exact"/>
              <w:ind w:left="106" w:right="134"/>
              <w:rPr>
                <w:sz w:val="28"/>
              </w:rPr>
            </w:pPr>
            <w:r>
              <w:rPr>
                <w:sz w:val="28"/>
              </w:rPr>
              <w:t>设备附件及备品备件（耗材）清单：（见附页） 共可的配置为准。</w:t>
            </w:r>
          </w:p>
        </w:tc>
        <w:tc>
          <w:tcPr>
            <w:tcW w:w="2686" w:type="dxa"/>
            <w:tcBorders>
              <w:left w:val="nil"/>
            </w:tcBorders>
          </w:tcPr>
          <w:p w14:paraId="6BC9E62F">
            <w:pPr>
              <w:pStyle w:val="15"/>
              <w:spacing w:before="1"/>
              <w:rPr>
                <w:b/>
                <w:sz w:val="20"/>
              </w:rPr>
            </w:pPr>
          </w:p>
          <w:p w14:paraId="36B81447">
            <w:pPr>
              <w:pStyle w:val="15"/>
              <w:ind w:left="214"/>
              <w:rPr>
                <w:sz w:val="28"/>
              </w:rPr>
            </w:pPr>
            <w:r>
              <w:rPr>
                <w:sz w:val="28"/>
              </w:rPr>
              <w:t>页 ，以验收签字认</w:t>
            </w:r>
          </w:p>
        </w:tc>
      </w:tr>
    </w:tbl>
    <w:p w14:paraId="5495F9A7">
      <w:pPr>
        <w:pStyle w:val="8"/>
        <w:spacing w:before="9"/>
        <w:rPr>
          <w:b/>
          <w:sz w:val="5"/>
        </w:rPr>
      </w:pPr>
    </w:p>
    <w:p w14:paraId="32A8F0C2">
      <w:pPr>
        <w:pStyle w:val="6"/>
        <w:spacing w:before="61" w:line="417" w:lineRule="auto"/>
        <w:ind w:right="998" w:firstLine="979"/>
      </w:pPr>
      <w:r>
        <w:t>注：产品名称、型号、生产国应与注册证中注册相同；属于法定商检的需进行商检；乙方保证成交价格不高于市场成交价，若高于市场成交价乙方应承担超出部分。属于计量器具的需提交计量检定证书或进口型式批准证书，乙方提供的产品应能保证计量合格，乙方应承担初次计量检测费用。若不能达到上述要求，一切相关违约责任由乙方承担。</w:t>
      </w:r>
    </w:p>
    <w:p w14:paraId="3C55E84C">
      <w:pPr>
        <w:pStyle w:val="6"/>
        <w:spacing w:line="417" w:lineRule="auto"/>
        <w:ind w:right="1144"/>
        <w:jc w:val="both"/>
      </w:pPr>
      <w:r>
        <w:rPr>
          <w:b/>
          <w:spacing w:val="-1"/>
        </w:rPr>
        <w:t xml:space="preserve">二、 设备的交付期: </w:t>
      </w:r>
      <w:r>
        <w:rPr>
          <w:spacing w:val="-14"/>
        </w:rPr>
        <w:t xml:space="preserve">签订合同后 </w:t>
      </w:r>
      <w:r>
        <w:t>40</w:t>
      </w:r>
      <w:r>
        <w:rPr>
          <w:spacing w:val="-10"/>
        </w:rPr>
        <w:t xml:space="preserve"> 日历天完成设备的安装、调</w:t>
      </w:r>
      <w:r>
        <w:rPr>
          <w:spacing w:val="-7"/>
        </w:rPr>
        <w:t>试等</w:t>
      </w:r>
      <w:r>
        <w:t>（</w:t>
      </w:r>
      <w:r>
        <w:rPr>
          <w:spacing w:val="-3"/>
        </w:rPr>
        <w:t>部分设备受场地限制，需按甲方要求时间延期交付</w:t>
      </w:r>
      <w:r>
        <w:t>），</w:t>
      </w:r>
      <w:r>
        <w:rPr>
          <w:spacing w:val="-2"/>
        </w:rPr>
        <w:t>逾期将</w:t>
      </w:r>
      <w:r>
        <w:rPr>
          <w:spacing w:val="-20"/>
        </w:rPr>
        <w:t xml:space="preserve">按照第 </w:t>
      </w:r>
      <w:r>
        <w:t>6</w:t>
      </w:r>
      <w:r>
        <w:rPr>
          <w:spacing w:val="-12"/>
        </w:rPr>
        <w:t xml:space="preserve"> 条规定执行。</w:t>
      </w:r>
    </w:p>
    <w:p w14:paraId="104C43D0">
      <w:pPr>
        <w:pStyle w:val="5"/>
        <w:spacing w:line="358" w:lineRule="exact"/>
        <w:ind w:left="1588"/>
        <w:jc w:val="both"/>
      </w:pPr>
      <w:r>
        <w:t>三、 设备运输、安装和验收</w:t>
      </w:r>
    </w:p>
    <w:p w14:paraId="330E28B4">
      <w:pPr>
        <w:pStyle w:val="8"/>
        <w:spacing w:before="8"/>
        <w:rPr>
          <w:b/>
          <w:sz w:val="20"/>
        </w:rPr>
      </w:pPr>
    </w:p>
    <w:p w14:paraId="19E7223F">
      <w:pPr>
        <w:pStyle w:val="6"/>
        <w:numPr>
          <w:ilvl w:val="1"/>
          <w:numId w:val="46"/>
        </w:numPr>
        <w:tabs>
          <w:tab w:val="left" w:pos="2079"/>
        </w:tabs>
        <w:spacing w:before="0" w:after="0" w:line="417" w:lineRule="auto"/>
        <w:ind w:left="1029" w:right="885" w:firstLine="559"/>
        <w:jc w:val="both"/>
      </w:pPr>
      <w:r>
        <w:rPr>
          <w:spacing w:val="-7"/>
        </w:rPr>
        <w:t>乙方按甲方约定的时间将货物送到甲方指定地点。乙方确保设</w:t>
      </w:r>
      <w:r>
        <w:rPr>
          <w:spacing w:val="-5"/>
        </w:rPr>
        <w:t>备安全无损地运抵甲方指定现场,并承担设备的运费、保险费、装卸费</w:t>
      </w:r>
      <w:r>
        <w:rPr>
          <w:spacing w:val="-15"/>
        </w:rPr>
        <w:t xml:space="preserve">等费用。超期承担甲方业务损失，每晚到 </w:t>
      </w:r>
      <w:r>
        <w:t>1</w:t>
      </w:r>
      <w:r>
        <w:rPr>
          <w:spacing w:val="-20"/>
        </w:rPr>
        <w:t xml:space="preserve"> 天扣合同总价 </w:t>
      </w:r>
      <w:r>
        <w:t>0.2</w:t>
      </w:r>
      <w:r>
        <w:rPr>
          <w:spacing w:val="-1"/>
        </w:rPr>
        <w:t>%违约金。</w:t>
      </w:r>
    </w:p>
    <w:p w14:paraId="7905C141">
      <w:pPr>
        <w:pStyle w:val="6"/>
        <w:numPr>
          <w:ilvl w:val="1"/>
          <w:numId w:val="46"/>
        </w:numPr>
        <w:tabs>
          <w:tab w:val="left" w:pos="2079"/>
        </w:tabs>
        <w:spacing w:before="0" w:after="0" w:line="417" w:lineRule="auto"/>
        <w:ind w:left="1029" w:right="885" w:firstLine="559"/>
        <w:jc w:val="left"/>
      </w:pPr>
      <w:r>
        <w:rPr>
          <w:spacing w:val="-8"/>
        </w:rPr>
        <w:t>甲乙双方对设备进行开箱清点检查验收，如果发现数量不足或</w:t>
      </w:r>
      <w:r>
        <w:rPr>
          <w:spacing w:val="-15"/>
        </w:rPr>
        <w:t xml:space="preserve">有质量、技术等问题，乙方应在 </w:t>
      </w:r>
      <w:r>
        <w:t>10</w:t>
      </w:r>
      <w:r>
        <w:rPr>
          <w:spacing w:val="-14"/>
        </w:rPr>
        <w:t xml:space="preserve"> 天内，按照甲方的要求，采取补足、</w:t>
      </w:r>
      <w:r>
        <w:rPr>
          <w:spacing w:val="-5"/>
        </w:rPr>
        <w:t>更换或退货等处理措施，并承担由此发生的一切损失和费用。</w:t>
      </w:r>
    </w:p>
    <w:p w14:paraId="7B1822E8">
      <w:pPr>
        <w:spacing w:after="0" w:line="417" w:lineRule="auto"/>
        <w:jc w:val="left"/>
        <w:sectPr>
          <w:pgSz w:w="11910" w:h="16840"/>
          <w:pgMar w:top="1420" w:right="660" w:bottom="1180" w:left="660" w:header="0" w:footer="909" w:gutter="0"/>
          <w:cols w:space="720" w:num="1"/>
        </w:sectPr>
      </w:pPr>
    </w:p>
    <w:p w14:paraId="5B014256">
      <w:pPr>
        <w:pStyle w:val="6"/>
        <w:numPr>
          <w:ilvl w:val="1"/>
          <w:numId w:val="46"/>
        </w:numPr>
        <w:tabs>
          <w:tab w:val="left" w:pos="2079"/>
        </w:tabs>
        <w:spacing w:before="35" w:after="0" w:line="417" w:lineRule="auto"/>
        <w:ind w:left="1029" w:right="885" w:firstLine="559"/>
        <w:jc w:val="left"/>
      </w:pPr>
      <w:r>
        <w:rPr>
          <w:spacing w:val="-3"/>
        </w:rPr>
        <w:t xml:space="preserve">设备到货后，甲、乙双方在符合国家相关技术标准的基础上， 根据招标的技术文件及合同约定的内容进行设备验收，验收合格后， </w:t>
      </w:r>
      <w:r>
        <w:rPr>
          <w:spacing w:val="-4"/>
        </w:rPr>
        <w:t xml:space="preserve">双方在验收合格单上签字确认。如果提供产品不能满足招标技术要求， </w:t>
      </w:r>
      <w:r>
        <w:rPr>
          <w:spacing w:val="-3"/>
        </w:rPr>
        <w:t>甲方无条件退货。并追究乙方责任。</w:t>
      </w:r>
    </w:p>
    <w:p w14:paraId="1F2847A5">
      <w:pPr>
        <w:pStyle w:val="6"/>
        <w:numPr>
          <w:ilvl w:val="1"/>
          <w:numId w:val="46"/>
        </w:numPr>
        <w:tabs>
          <w:tab w:val="left" w:pos="2079"/>
        </w:tabs>
        <w:spacing w:before="0" w:after="0" w:line="417" w:lineRule="auto"/>
        <w:ind w:left="1029" w:right="1028" w:firstLine="559"/>
        <w:jc w:val="left"/>
      </w:pPr>
      <w:r>
        <w:rPr>
          <w:spacing w:val="-8"/>
        </w:rPr>
        <w:t>乙方应在接到甲方通知后安装调试设备，安装完成组织人员培</w:t>
      </w:r>
      <w:r>
        <w:rPr>
          <w:spacing w:val="-13"/>
        </w:rPr>
        <w:t xml:space="preserve">训。正常使用 </w:t>
      </w:r>
      <w:r>
        <w:t>1</w:t>
      </w:r>
      <w:r>
        <w:rPr>
          <w:spacing w:val="-10"/>
        </w:rPr>
        <w:t xml:space="preserve"> 周以上，得到使用科室的认可签字后办理入库手续。</w:t>
      </w:r>
    </w:p>
    <w:p w14:paraId="525E2FCC">
      <w:pPr>
        <w:pStyle w:val="5"/>
        <w:spacing w:line="358" w:lineRule="exact"/>
        <w:ind w:left="1588"/>
      </w:pPr>
      <w:r>
        <w:t>4、付款方式</w:t>
      </w:r>
    </w:p>
    <w:p w14:paraId="46849B81">
      <w:pPr>
        <w:pStyle w:val="6"/>
        <w:spacing w:before="133" w:line="364" w:lineRule="auto"/>
        <w:ind w:right="1027" w:firstLine="840"/>
        <w:jc w:val="both"/>
      </w:pPr>
      <w:r>
        <w:rPr>
          <w:spacing w:val="-12"/>
        </w:rPr>
        <w:t xml:space="preserve">第一期：支付合同总金额 </w:t>
      </w:r>
      <w:r>
        <w:t>30</w:t>
      </w:r>
      <w:r>
        <w:rPr>
          <w:spacing w:val="-9"/>
        </w:rPr>
        <w:t>%的预付款；第二期：所有设备进场</w:t>
      </w:r>
      <w:r>
        <w:rPr>
          <w:spacing w:val="-12"/>
        </w:rPr>
        <w:t xml:space="preserve">后，支付合同总金额 </w:t>
      </w:r>
      <w:r>
        <w:t>50%</w:t>
      </w:r>
      <w:r>
        <w:rPr>
          <w:spacing w:val="-8"/>
        </w:rPr>
        <w:t>的进度款；第三期：安装验收合格后，使用一</w:t>
      </w:r>
      <w:r>
        <w:rPr>
          <w:spacing w:val="-11"/>
        </w:rPr>
        <w:t xml:space="preserve">周无质量问题；支付合同总金额 </w:t>
      </w:r>
      <w:r>
        <w:t>20</w:t>
      </w:r>
      <w:r>
        <w:rPr>
          <w:spacing w:val="-12"/>
        </w:rPr>
        <w:t>%的尾款。</w:t>
      </w:r>
      <w:r>
        <w:rPr>
          <w:spacing w:val="-3"/>
        </w:rPr>
        <w:t>（具体以甲乙双方签订合</w:t>
      </w:r>
      <w:r>
        <w:rPr>
          <w:spacing w:val="-2"/>
        </w:rPr>
        <w:t>同为准</w:t>
      </w:r>
      <w:r>
        <w:t>）</w:t>
      </w:r>
    </w:p>
    <w:p w14:paraId="59C32D4B">
      <w:pPr>
        <w:pStyle w:val="5"/>
        <w:spacing w:before="127"/>
        <w:ind w:left="1586"/>
      </w:pPr>
      <w:r>
        <w:t>5、质量保证及售后服务</w:t>
      </w:r>
    </w:p>
    <w:p w14:paraId="5C551ED3">
      <w:pPr>
        <w:pStyle w:val="8"/>
        <w:spacing w:before="9"/>
        <w:rPr>
          <w:b/>
          <w:sz w:val="20"/>
        </w:rPr>
      </w:pPr>
    </w:p>
    <w:p w14:paraId="1DC93D44">
      <w:pPr>
        <w:pStyle w:val="6"/>
        <w:numPr>
          <w:ilvl w:val="1"/>
          <w:numId w:val="47"/>
        </w:numPr>
        <w:tabs>
          <w:tab w:val="left" w:pos="2079"/>
        </w:tabs>
        <w:spacing w:before="0" w:after="0" w:line="417" w:lineRule="auto"/>
        <w:ind w:left="1029" w:right="1027" w:firstLine="559"/>
        <w:jc w:val="both"/>
      </w:pPr>
      <w:r>
        <w:rPr>
          <w:spacing w:val="-9"/>
        </w:rPr>
        <w:t xml:space="preserve">乙方应提供免费保修期为 </w:t>
      </w:r>
      <w:r>
        <w:t>24</w:t>
      </w:r>
      <w:r>
        <w:rPr>
          <w:spacing w:val="-10"/>
        </w:rPr>
        <w:t xml:space="preserve"> 个月，保修期的期限应以甲乙双</w:t>
      </w:r>
      <w:r>
        <w:rPr>
          <w:spacing w:val="-4"/>
        </w:rPr>
        <w:t>方的验收合格之日起计算，保修期内免费更换零配件及工时费，若因</w:t>
      </w:r>
      <w:r>
        <w:rPr>
          <w:spacing w:val="-3"/>
        </w:rPr>
        <w:t>机器本身的质量而不能正常使用，乙方应免费更换货物。设备合格使用率≥98</w:t>
      </w:r>
      <w:r>
        <w:rPr>
          <w:spacing w:val="-4"/>
        </w:rPr>
        <w:t>%，乙方需要在当地设有售后服务机构，并配备受过专业培训</w:t>
      </w:r>
      <w:r>
        <w:rPr>
          <w:spacing w:val="-3"/>
        </w:rPr>
        <w:t>的售后服务人员。</w:t>
      </w:r>
    </w:p>
    <w:p w14:paraId="55BC03BD">
      <w:pPr>
        <w:pStyle w:val="6"/>
        <w:numPr>
          <w:ilvl w:val="1"/>
          <w:numId w:val="47"/>
        </w:numPr>
        <w:tabs>
          <w:tab w:val="left" w:pos="2079"/>
        </w:tabs>
        <w:spacing w:before="0" w:after="0" w:line="417" w:lineRule="auto"/>
        <w:ind w:left="1029" w:right="1084" w:firstLine="559"/>
        <w:jc w:val="both"/>
      </w:pPr>
      <w:r>
        <w:rPr>
          <w:spacing w:val="-3"/>
        </w:rPr>
        <w:t>报修响应时间</w:t>
      </w:r>
      <w:r>
        <w:rPr>
          <w:spacing w:val="3"/>
          <w:u w:val="single"/>
        </w:rPr>
        <w:t xml:space="preserve"> </w:t>
      </w:r>
      <w:r>
        <w:rPr>
          <w:u w:val="single"/>
        </w:rPr>
        <w:t>2</w:t>
      </w:r>
      <w:r>
        <w:rPr>
          <w:spacing w:val="-2"/>
        </w:rPr>
        <w:t xml:space="preserve"> 小时，到场时间</w:t>
      </w:r>
      <w:r>
        <w:rPr>
          <w:spacing w:val="2"/>
          <w:u w:val="single"/>
        </w:rPr>
        <w:t xml:space="preserve"> </w:t>
      </w:r>
      <w:r>
        <w:rPr>
          <w:u w:val="single"/>
        </w:rPr>
        <w:t>24</w:t>
      </w:r>
      <w:r>
        <w:rPr>
          <w:spacing w:val="-2"/>
        </w:rPr>
        <w:t xml:space="preserve"> 小时</w:t>
      </w:r>
      <w:r>
        <w:t>（</w:t>
      </w:r>
      <w:r>
        <w:rPr>
          <w:spacing w:val="-3"/>
        </w:rPr>
        <w:t>不可抗拒力量下除外</w:t>
      </w:r>
      <w:r>
        <w:t>）。</w:t>
      </w:r>
    </w:p>
    <w:p w14:paraId="37D1ADA9">
      <w:pPr>
        <w:pStyle w:val="6"/>
        <w:numPr>
          <w:ilvl w:val="1"/>
          <w:numId w:val="47"/>
        </w:numPr>
        <w:tabs>
          <w:tab w:val="left" w:pos="2079"/>
        </w:tabs>
        <w:spacing w:before="0" w:after="0" w:line="417" w:lineRule="auto"/>
        <w:ind w:left="1029" w:right="1027" w:firstLine="559"/>
        <w:jc w:val="both"/>
      </w:pPr>
      <w:r>
        <w:rPr>
          <w:spacing w:val="-7"/>
        </w:rPr>
        <w:t>乙方负责设备的终身维修并应继续提供优质的服务，储备足够</w:t>
      </w:r>
      <w:r>
        <w:rPr>
          <w:spacing w:val="-3"/>
        </w:rPr>
        <w:t>的零配件备库，维修期间只收取零配件费用。</w:t>
      </w:r>
    </w:p>
    <w:p w14:paraId="46CC2EF8">
      <w:pPr>
        <w:pStyle w:val="5"/>
        <w:spacing w:line="358" w:lineRule="exact"/>
        <w:ind w:left="1588"/>
      </w:pPr>
      <w:r>
        <w:t>6、索赔条款</w:t>
      </w:r>
    </w:p>
    <w:p w14:paraId="0D1DBB17">
      <w:pPr>
        <w:spacing w:after="0" w:line="358" w:lineRule="exact"/>
        <w:sectPr>
          <w:pgSz w:w="11910" w:h="16840"/>
          <w:pgMar w:top="1520" w:right="660" w:bottom="1180" w:left="660" w:header="0" w:footer="909" w:gutter="0"/>
          <w:cols w:space="720" w:num="1"/>
        </w:sectPr>
      </w:pPr>
    </w:p>
    <w:p w14:paraId="611E0EBA">
      <w:pPr>
        <w:pStyle w:val="6"/>
        <w:numPr>
          <w:ilvl w:val="1"/>
          <w:numId w:val="48"/>
        </w:numPr>
        <w:tabs>
          <w:tab w:val="left" w:pos="2148"/>
        </w:tabs>
        <w:spacing w:before="35" w:after="0" w:line="417" w:lineRule="auto"/>
        <w:ind w:left="1029" w:right="885" w:firstLine="559"/>
        <w:jc w:val="left"/>
      </w:pPr>
      <w:r>
        <w:rPr>
          <w:spacing w:val="-3"/>
        </w:rPr>
        <w:t xml:space="preserve">乙方应在规定时间内向甲方提供以上产品并符合招标技术文 </w:t>
      </w:r>
      <w:r>
        <w:rPr>
          <w:spacing w:val="-5"/>
        </w:rPr>
        <w:t xml:space="preserve">件。如需换货，换货必须全新并符合本合同规定的规格，质量和性能， </w:t>
      </w:r>
      <w:r>
        <w:rPr>
          <w:spacing w:val="-3"/>
        </w:rPr>
        <w:t>卖方并负责因此而产生的一切费用和买方的一切直接损失。</w:t>
      </w:r>
    </w:p>
    <w:p w14:paraId="1247CB7C">
      <w:pPr>
        <w:pStyle w:val="6"/>
        <w:numPr>
          <w:ilvl w:val="1"/>
          <w:numId w:val="48"/>
        </w:numPr>
        <w:tabs>
          <w:tab w:val="left" w:pos="2079"/>
        </w:tabs>
        <w:spacing w:before="0" w:after="0" w:line="417" w:lineRule="auto"/>
        <w:ind w:left="1029" w:right="1223" w:firstLine="559"/>
        <w:jc w:val="left"/>
      </w:pPr>
      <w:r>
        <w:rPr>
          <w:spacing w:val="-3"/>
        </w:rPr>
        <w:t>乙方应保证甲方和使用单位在使用该设备或其任何一部分时免受第三方提出侵犯其专利权、商标权或工业产权的起诉。</w:t>
      </w:r>
    </w:p>
    <w:p w14:paraId="78D02EA4">
      <w:pPr>
        <w:pStyle w:val="5"/>
        <w:spacing w:line="358" w:lineRule="exact"/>
        <w:ind w:left="1588"/>
      </w:pPr>
      <w:r>
        <w:t>7、培训</w:t>
      </w:r>
    </w:p>
    <w:p w14:paraId="11E2E65E">
      <w:pPr>
        <w:pStyle w:val="8"/>
        <w:spacing w:before="9"/>
        <w:rPr>
          <w:b/>
          <w:sz w:val="20"/>
        </w:rPr>
      </w:pPr>
    </w:p>
    <w:p w14:paraId="7176A777">
      <w:pPr>
        <w:spacing w:before="0" w:line="417" w:lineRule="auto"/>
        <w:ind w:left="1588" w:right="2624" w:firstLine="0"/>
        <w:jc w:val="left"/>
        <w:rPr>
          <w:b/>
          <w:sz w:val="28"/>
        </w:rPr>
      </w:pPr>
      <w:r>
        <w:rPr>
          <w:sz w:val="28"/>
        </w:rPr>
        <w:t>7.1</w:t>
      </w:r>
      <w:r>
        <w:rPr>
          <w:spacing w:val="-10"/>
          <w:sz w:val="28"/>
        </w:rPr>
        <w:t xml:space="preserve"> 乙方负责对甲方使用人员现场培训，学会为止； </w:t>
      </w:r>
      <w:r>
        <w:rPr>
          <w:b/>
          <w:spacing w:val="-10"/>
          <w:sz w:val="28"/>
        </w:rPr>
        <w:t>8、争端的解决</w:t>
      </w:r>
    </w:p>
    <w:p w14:paraId="7ACCC6D7">
      <w:pPr>
        <w:pStyle w:val="6"/>
        <w:numPr>
          <w:ilvl w:val="1"/>
          <w:numId w:val="49"/>
        </w:numPr>
        <w:tabs>
          <w:tab w:val="left" w:pos="2079"/>
        </w:tabs>
        <w:spacing w:before="0" w:after="0" w:line="417" w:lineRule="auto"/>
        <w:ind w:left="1029" w:right="1223" w:firstLine="559"/>
        <w:jc w:val="left"/>
      </w:pPr>
      <w:r>
        <w:rPr>
          <w:spacing w:val="-3"/>
        </w:rPr>
        <w:t>合同双方如有一方不履行合同义务或者履行合同义务不符合合同约定给对方造成损失,则全部损失及责任由违约方承担。</w:t>
      </w:r>
    </w:p>
    <w:p w14:paraId="3168D262">
      <w:pPr>
        <w:pStyle w:val="6"/>
        <w:numPr>
          <w:ilvl w:val="1"/>
          <w:numId w:val="49"/>
        </w:numPr>
        <w:tabs>
          <w:tab w:val="left" w:pos="2079"/>
        </w:tabs>
        <w:spacing w:before="0" w:after="0" w:line="417" w:lineRule="auto"/>
        <w:ind w:left="1029" w:right="944" w:firstLine="559"/>
        <w:jc w:val="left"/>
      </w:pPr>
      <w:r>
        <w:rPr>
          <w:spacing w:val="-3"/>
        </w:rPr>
        <w:t>双方如在履行合同中发生纠纷，首先应友好协商，协商不成， 双方均应向合同签订地法院起诉。</w:t>
      </w:r>
    </w:p>
    <w:p w14:paraId="140B9B64">
      <w:pPr>
        <w:pStyle w:val="5"/>
        <w:spacing w:line="358" w:lineRule="exact"/>
        <w:ind w:left="1588"/>
      </w:pPr>
      <w:r>
        <w:t>9、合同生效</w:t>
      </w:r>
    </w:p>
    <w:p w14:paraId="7E4D79F2">
      <w:pPr>
        <w:pStyle w:val="8"/>
        <w:spacing w:before="8"/>
        <w:rPr>
          <w:b/>
          <w:sz w:val="20"/>
        </w:rPr>
      </w:pPr>
    </w:p>
    <w:p w14:paraId="4A6701D2">
      <w:pPr>
        <w:pStyle w:val="6"/>
        <w:numPr>
          <w:ilvl w:val="1"/>
          <w:numId w:val="50"/>
        </w:numPr>
        <w:tabs>
          <w:tab w:val="left" w:pos="2148"/>
        </w:tabs>
        <w:spacing w:before="0" w:after="0" w:line="240" w:lineRule="auto"/>
        <w:ind w:left="2148" w:right="0" w:hanging="560"/>
        <w:jc w:val="left"/>
      </w:pPr>
      <w:r>
        <w:rPr>
          <w:spacing w:val="-3"/>
        </w:rPr>
        <w:t>本合同在甲、乙双方签字盖章后生效。</w:t>
      </w:r>
    </w:p>
    <w:p w14:paraId="4904D1EF">
      <w:pPr>
        <w:pStyle w:val="8"/>
        <w:spacing w:before="9"/>
        <w:rPr>
          <w:sz w:val="20"/>
        </w:rPr>
      </w:pPr>
    </w:p>
    <w:p w14:paraId="40ECD852">
      <w:pPr>
        <w:pStyle w:val="6"/>
        <w:numPr>
          <w:ilvl w:val="1"/>
          <w:numId w:val="50"/>
        </w:numPr>
        <w:tabs>
          <w:tab w:val="left" w:pos="2148"/>
        </w:tabs>
        <w:spacing w:before="0" w:after="0" w:line="417" w:lineRule="auto"/>
        <w:ind w:left="1029" w:right="1154" w:firstLine="559"/>
        <w:jc w:val="left"/>
      </w:pPr>
      <w:r>
        <w:rPr>
          <w:spacing w:val="-14"/>
        </w:rPr>
        <w:t xml:space="preserve">本合同一式 </w:t>
      </w:r>
      <w:r>
        <w:t>4</w:t>
      </w:r>
      <w:r>
        <w:rPr>
          <w:spacing w:val="-22"/>
        </w:rPr>
        <w:t xml:space="preserve"> 份，甲方执 </w:t>
      </w:r>
      <w:r>
        <w:t>2</w:t>
      </w:r>
      <w:r>
        <w:rPr>
          <w:spacing w:val="-22"/>
        </w:rPr>
        <w:t xml:space="preserve"> 份、乙方执 </w:t>
      </w:r>
      <w:r>
        <w:t>2</w:t>
      </w:r>
      <w:r>
        <w:rPr>
          <w:spacing w:val="-10"/>
        </w:rPr>
        <w:t xml:space="preserve"> 份，具有相同的法</w:t>
      </w:r>
      <w:r>
        <w:rPr>
          <w:spacing w:val="-4"/>
        </w:rPr>
        <w:t>律效应。</w:t>
      </w:r>
    </w:p>
    <w:p w14:paraId="6FDD5B12">
      <w:pPr>
        <w:spacing w:after="0" w:line="417" w:lineRule="auto"/>
        <w:jc w:val="left"/>
        <w:sectPr>
          <w:pgSz w:w="11910" w:h="16840"/>
          <w:pgMar w:top="1520" w:right="660" w:bottom="1180" w:left="660" w:header="0" w:footer="909" w:gutter="0"/>
          <w:cols w:space="720" w:num="1"/>
        </w:sectPr>
      </w:pPr>
    </w:p>
    <w:p w14:paraId="3223A581">
      <w:pPr>
        <w:pStyle w:val="6"/>
        <w:spacing w:before="35"/>
        <w:ind w:left="1250" w:firstLine="0"/>
      </w:pPr>
      <w:r>
        <w:t>甲方：</w:t>
      </w:r>
    </w:p>
    <w:p w14:paraId="1E96355B">
      <w:pPr>
        <w:pStyle w:val="8"/>
        <w:spacing w:before="9"/>
        <w:rPr>
          <w:sz w:val="20"/>
        </w:rPr>
      </w:pPr>
    </w:p>
    <w:p w14:paraId="70A301A7">
      <w:pPr>
        <w:pStyle w:val="6"/>
        <w:spacing w:line="417" w:lineRule="auto"/>
        <w:ind w:left="1250" w:right="738" w:firstLine="0"/>
      </w:pPr>
      <w:r>
        <w:t>（</w:t>
      </w:r>
      <w:r>
        <w:rPr>
          <w:spacing w:val="-2"/>
        </w:rPr>
        <w:t>盖章</w:t>
      </w:r>
      <w:r>
        <w:t xml:space="preserve">） </w:t>
      </w:r>
      <w:r>
        <w:rPr>
          <w:spacing w:val="-5"/>
        </w:rPr>
        <w:t>单位地址 :</w:t>
      </w:r>
    </w:p>
    <w:p w14:paraId="43C3724D">
      <w:pPr>
        <w:pStyle w:val="6"/>
        <w:spacing w:line="417" w:lineRule="auto"/>
        <w:ind w:left="1250" w:right="38" w:firstLine="0"/>
      </w:pPr>
      <w:r>
        <w:rPr>
          <w:spacing w:val="-3"/>
        </w:rPr>
        <w:t xml:space="preserve">法人代表签字: </w:t>
      </w:r>
      <w:r>
        <w:rPr>
          <w:spacing w:val="-5"/>
        </w:rPr>
        <w:t xml:space="preserve">法人委托人签字: </w:t>
      </w:r>
      <w:r>
        <w:rPr>
          <w:spacing w:val="-2"/>
        </w:rPr>
        <w:t>邮政编码:</w:t>
      </w:r>
    </w:p>
    <w:p w14:paraId="233EC550">
      <w:pPr>
        <w:pStyle w:val="6"/>
        <w:spacing w:line="358" w:lineRule="exact"/>
        <w:ind w:left="1250" w:firstLine="0"/>
      </w:pPr>
      <w:r>
        <w:t>电话号码 :</w:t>
      </w:r>
    </w:p>
    <w:p w14:paraId="1404EBD3">
      <w:pPr>
        <w:pStyle w:val="8"/>
        <w:spacing w:before="9"/>
        <w:rPr>
          <w:sz w:val="20"/>
        </w:rPr>
      </w:pPr>
    </w:p>
    <w:p w14:paraId="1F749EFB">
      <w:pPr>
        <w:pStyle w:val="6"/>
        <w:tabs>
          <w:tab w:val="left" w:pos="1951"/>
          <w:tab w:val="left" w:pos="2930"/>
        </w:tabs>
        <w:ind w:left="1250" w:firstLine="0"/>
      </w:pPr>
      <w:r>
        <w:t>年</w:t>
      </w:r>
      <w:r>
        <w:tab/>
      </w:r>
      <w:r>
        <w:t>月</w:t>
      </w:r>
      <w:r>
        <w:tab/>
      </w:r>
      <w:r>
        <w:t>日</w:t>
      </w:r>
    </w:p>
    <w:p w14:paraId="04C666E2">
      <w:pPr>
        <w:spacing w:before="35"/>
        <w:ind w:left="1250" w:right="0" w:firstLine="0"/>
        <w:jc w:val="left"/>
        <w:rPr>
          <w:sz w:val="28"/>
        </w:rPr>
      </w:pPr>
      <w:r>
        <w:br w:type="column"/>
      </w:r>
      <w:r>
        <w:rPr>
          <w:sz w:val="28"/>
        </w:rPr>
        <w:t>乙方：</w:t>
      </w:r>
    </w:p>
    <w:p w14:paraId="6A162B48">
      <w:pPr>
        <w:pStyle w:val="8"/>
        <w:spacing w:before="9"/>
        <w:rPr>
          <w:sz w:val="20"/>
        </w:rPr>
      </w:pPr>
    </w:p>
    <w:p w14:paraId="2855319F">
      <w:pPr>
        <w:pStyle w:val="6"/>
        <w:spacing w:line="417" w:lineRule="auto"/>
        <w:ind w:left="1334" w:right="3010" w:hanging="41"/>
      </w:pPr>
      <w:r>
        <w:t>（</w:t>
      </w:r>
      <w:r>
        <w:rPr>
          <w:spacing w:val="-2"/>
        </w:rPr>
        <w:t>盖章</w:t>
      </w:r>
      <w:r>
        <w:t xml:space="preserve">） </w:t>
      </w:r>
      <w:r>
        <w:rPr>
          <w:spacing w:val="-5"/>
        </w:rPr>
        <w:t>单位地址:</w:t>
      </w:r>
    </w:p>
    <w:p w14:paraId="649172BD">
      <w:pPr>
        <w:pStyle w:val="6"/>
        <w:spacing w:line="417" w:lineRule="auto"/>
        <w:ind w:left="1255" w:right="2252" w:firstLine="0"/>
      </w:pPr>
      <w:r>
        <w:rPr>
          <w:spacing w:val="-3"/>
        </w:rPr>
        <w:t xml:space="preserve">法人代表签字: </w:t>
      </w:r>
      <w:r>
        <w:rPr>
          <w:spacing w:val="-5"/>
        </w:rPr>
        <w:t xml:space="preserve">法人委托人签字: </w:t>
      </w:r>
      <w:r>
        <w:rPr>
          <w:spacing w:val="-2"/>
        </w:rPr>
        <w:t>邮政编码 :</w:t>
      </w:r>
    </w:p>
    <w:p w14:paraId="60763113">
      <w:pPr>
        <w:pStyle w:val="6"/>
        <w:tabs>
          <w:tab w:val="left" w:pos="1953"/>
          <w:tab w:val="left" w:pos="2935"/>
        </w:tabs>
        <w:spacing w:line="417" w:lineRule="auto"/>
        <w:ind w:left="1255" w:right="2390" w:firstLine="0"/>
      </w:pPr>
      <w:r>
        <w:t>电</w:t>
      </w:r>
      <w:r>
        <w:rPr>
          <w:spacing w:val="-3"/>
        </w:rPr>
        <w:t>话</w:t>
      </w:r>
      <w:r>
        <w:t>及传</w:t>
      </w:r>
      <w:r>
        <w:rPr>
          <w:spacing w:val="-3"/>
        </w:rPr>
        <w:t>真</w:t>
      </w:r>
      <w:r>
        <w:t>:  年</w:t>
      </w:r>
      <w:r>
        <w:tab/>
      </w:r>
      <w:r>
        <w:t>月</w:t>
      </w:r>
      <w:r>
        <w:tab/>
      </w:r>
      <w:r>
        <w:rPr>
          <w:spacing w:val="-18"/>
        </w:rPr>
        <w:t>日</w:t>
      </w:r>
    </w:p>
    <w:p w14:paraId="02B47DAD">
      <w:pPr>
        <w:spacing w:after="0" w:line="417" w:lineRule="auto"/>
        <w:sectPr>
          <w:pgSz w:w="11910" w:h="16840"/>
          <w:pgMar w:top="1520" w:right="660" w:bottom="1180" w:left="660" w:header="0" w:footer="909" w:gutter="0"/>
          <w:cols w:equalWidth="0" w:num="2">
            <w:col w:w="3392" w:space="1585"/>
            <w:col w:w="5613"/>
          </w:cols>
        </w:sectPr>
      </w:pPr>
    </w:p>
    <w:p w14:paraId="0E908ECD">
      <w:pPr>
        <w:pStyle w:val="5"/>
        <w:spacing w:before="42"/>
        <w:ind w:right="1494"/>
        <w:jc w:val="center"/>
      </w:pPr>
      <w:r>
        <w:t>售后服务承诺</w:t>
      </w:r>
    </w:p>
    <w:p w14:paraId="36C296D4">
      <w:pPr>
        <w:pStyle w:val="8"/>
        <w:rPr>
          <w:b/>
          <w:sz w:val="28"/>
        </w:rPr>
      </w:pPr>
    </w:p>
    <w:p w14:paraId="5D1FAD8C">
      <w:pPr>
        <w:pStyle w:val="6"/>
        <w:spacing w:before="211" w:line="374" w:lineRule="auto"/>
        <w:ind w:right="1024"/>
        <w:jc w:val="both"/>
      </w:pPr>
      <w:r>
        <w:t>在交付使用后，卖方应对保修期及其以后的服务做出承诺，并具有切实可行的服务措施。不能及时兑现服务承诺内容而影响买方使用时，卖方应给予补偿的承诺，在投标书中均应明确说明。</w:t>
      </w:r>
    </w:p>
    <w:p w14:paraId="0C3DC910">
      <w:pPr>
        <w:pStyle w:val="6"/>
        <w:spacing w:before="1"/>
        <w:ind w:left="1588" w:firstLine="0"/>
      </w:pPr>
      <w:r>
        <w:t>1、相关培训方案，确保甲方可正常使用；</w:t>
      </w:r>
    </w:p>
    <w:p w14:paraId="14EE9FAB">
      <w:pPr>
        <w:pStyle w:val="6"/>
        <w:spacing w:before="201"/>
        <w:ind w:left="1588" w:firstLine="0"/>
      </w:pPr>
      <w:r>
        <w:t>2、保修期及其以后的服务做出承诺并附详细方案；</w:t>
      </w:r>
    </w:p>
    <w:p w14:paraId="2A327F30">
      <w:pPr>
        <w:pStyle w:val="6"/>
        <w:spacing w:before="203" w:line="374" w:lineRule="auto"/>
        <w:ind w:right="984"/>
      </w:pPr>
      <w:r>
        <w:t>3、不能及时兑现服务承诺内容而影响买方使用时，卖方应给予补偿的承诺，在投标书中均应明确说明。</w:t>
      </w:r>
    </w:p>
    <w:p w14:paraId="67A299DF">
      <w:pPr>
        <w:pStyle w:val="6"/>
        <w:spacing w:line="358" w:lineRule="exact"/>
        <w:ind w:left="1588" w:firstLine="0"/>
      </w:pPr>
      <w:r>
        <w:t>4、提供详细的设备升级方案。</w:t>
      </w:r>
    </w:p>
    <w:p w14:paraId="307DFD34">
      <w:pPr>
        <w:spacing w:after="0" w:line="358" w:lineRule="exact"/>
        <w:sectPr>
          <w:pgSz w:w="11910" w:h="16840"/>
          <w:pgMar w:top="1420" w:right="660" w:bottom="1180" w:left="660" w:header="0" w:footer="909" w:gutter="0"/>
          <w:cols w:space="720" w:num="1"/>
        </w:sectPr>
      </w:pPr>
    </w:p>
    <w:p w14:paraId="3FBCA0A3">
      <w:pPr>
        <w:tabs>
          <w:tab w:val="left" w:pos="1804"/>
        </w:tabs>
        <w:spacing w:before="16"/>
        <w:ind w:left="0" w:right="1" w:firstLine="0"/>
        <w:jc w:val="center"/>
        <w:rPr>
          <w:rFonts w:hint="eastAsia" w:ascii="宋体" w:eastAsia="宋体"/>
          <w:b/>
          <w:sz w:val="40"/>
        </w:rPr>
      </w:pPr>
      <w:bookmarkStart w:id="24" w:name="第六章   投标文件格式"/>
      <w:bookmarkEnd w:id="24"/>
      <w:bookmarkStart w:id="25" w:name="_bookmark5"/>
      <w:bookmarkEnd w:id="25"/>
      <w:r>
        <w:rPr>
          <w:rFonts w:hint="eastAsia" w:ascii="宋体" w:eastAsia="宋体"/>
          <w:b/>
          <w:sz w:val="40"/>
        </w:rPr>
        <w:t>第六章</w:t>
      </w:r>
      <w:r>
        <w:rPr>
          <w:rFonts w:hint="eastAsia" w:ascii="宋体" w:eastAsia="宋体"/>
          <w:b/>
          <w:sz w:val="40"/>
        </w:rPr>
        <w:tab/>
      </w:r>
      <w:r>
        <w:rPr>
          <w:rFonts w:hint="eastAsia" w:ascii="宋体" w:eastAsia="宋体"/>
          <w:b/>
          <w:sz w:val="40"/>
        </w:rPr>
        <w:t>投标文件格式</w:t>
      </w:r>
    </w:p>
    <w:p w14:paraId="71221964">
      <w:pPr>
        <w:pStyle w:val="8"/>
        <w:rPr>
          <w:rFonts w:ascii="宋体"/>
          <w:b/>
          <w:sz w:val="40"/>
        </w:rPr>
      </w:pPr>
    </w:p>
    <w:p w14:paraId="44F21B64">
      <w:pPr>
        <w:pStyle w:val="8"/>
        <w:rPr>
          <w:rFonts w:ascii="宋体"/>
          <w:b/>
          <w:sz w:val="40"/>
        </w:rPr>
      </w:pPr>
    </w:p>
    <w:p w14:paraId="6D6C4D90">
      <w:pPr>
        <w:pStyle w:val="8"/>
        <w:spacing w:before="3"/>
        <w:rPr>
          <w:rFonts w:ascii="宋体"/>
          <w:b/>
          <w:sz w:val="58"/>
        </w:rPr>
      </w:pPr>
    </w:p>
    <w:p w14:paraId="271ABBBD">
      <w:pPr>
        <w:pStyle w:val="3"/>
        <w:ind w:right="1379"/>
      </w:pPr>
      <w:r>
        <w:t>（项目名称+编号）</w:t>
      </w:r>
    </w:p>
    <w:p w14:paraId="67562B25">
      <w:pPr>
        <w:pStyle w:val="8"/>
        <w:rPr>
          <w:b/>
          <w:sz w:val="32"/>
        </w:rPr>
      </w:pPr>
    </w:p>
    <w:p w14:paraId="3A667868">
      <w:pPr>
        <w:pStyle w:val="8"/>
        <w:rPr>
          <w:b/>
          <w:sz w:val="32"/>
        </w:rPr>
      </w:pPr>
    </w:p>
    <w:p w14:paraId="430ACA64">
      <w:pPr>
        <w:spacing w:before="248"/>
        <w:ind w:left="1377" w:right="1379" w:firstLine="0"/>
        <w:jc w:val="center"/>
        <w:rPr>
          <w:b/>
          <w:sz w:val="44"/>
        </w:rPr>
      </w:pPr>
      <w:r>
        <w:rPr>
          <w:b/>
          <w:sz w:val="44"/>
        </w:rPr>
        <w:t>投标文件</w:t>
      </w:r>
    </w:p>
    <w:p w14:paraId="380B6F7A">
      <w:pPr>
        <w:pStyle w:val="8"/>
        <w:rPr>
          <w:b/>
          <w:sz w:val="44"/>
        </w:rPr>
      </w:pPr>
    </w:p>
    <w:p w14:paraId="06FD7EB2">
      <w:pPr>
        <w:pStyle w:val="8"/>
        <w:rPr>
          <w:b/>
          <w:sz w:val="44"/>
        </w:rPr>
      </w:pPr>
    </w:p>
    <w:p w14:paraId="3F58B794">
      <w:pPr>
        <w:pStyle w:val="8"/>
        <w:rPr>
          <w:b/>
          <w:sz w:val="44"/>
        </w:rPr>
      </w:pPr>
    </w:p>
    <w:p w14:paraId="73EA868C">
      <w:pPr>
        <w:pStyle w:val="8"/>
        <w:rPr>
          <w:b/>
          <w:sz w:val="44"/>
        </w:rPr>
      </w:pPr>
    </w:p>
    <w:p w14:paraId="512C634C">
      <w:pPr>
        <w:pStyle w:val="8"/>
        <w:spacing w:before="3"/>
        <w:rPr>
          <w:b/>
          <w:sz w:val="33"/>
        </w:rPr>
      </w:pPr>
    </w:p>
    <w:p w14:paraId="7BF5A1AF">
      <w:pPr>
        <w:pStyle w:val="3"/>
        <w:spacing w:before="1" w:after="42" w:line="487" w:lineRule="auto"/>
        <w:ind w:left="1029" w:right="6746"/>
        <w:jc w:val="left"/>
      </w:pPr>
      <w:r>
        <w:rPr>
          <w:w w:val="85"/>
        </w:rPr>
        <w:t xml:space="preserve">供应商名称（公章）： </w:t>
      </w:r>
      <w:r>
        <w:rPr>
          <w:w w:val="65"/>
        </w:rPr>
        <w:t>法定代表人（签字或盖章）：</w:t>
      </w:r>
    </w:p>
    <w:tbl>
      <w:tblPr>
        <w:tblStyle w:val="11"/>
        <w:tblW w:w="0" w:type="auto"/>
        <w:tblInd w:w="9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59"/>
        <w:gridCol w:w="1994"/>
        <w:gridCol w:w="3032"/>
      </w:tblGrid>
      <w:tr w14:paraId="217C1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4" w:hRule="atLeast"/>
        </w:trPr>
        <w:tc>
          <w:tcPr>
            <w:tcW w:w="459" w:type="dxa"/>
          </w:tcPr>
          <w:p w14:paraId="1B375AD0">
            <w:pPr>
              <w:pStyle w:val="15"/>
              <w:spacing w:line="364" w:lineRule="exact"/>
              <w:ind w:right="39"/>
              <w:jc w:val="center"/>
              <w:rPr>
                <w:b/>
                <w:sz w:val="32"/>
              </w:rPr>
            </w:pPr>
            <w:r>
              <w:rPr>
                <w:b/>
                <w:w w:val="99"/>
                <w:sz w:val="32"/>
              </w:rPr>
              <w:t>供</w:t>
            </w:r>
          </w:p>
        </w:tc>
        <w:tc>
          <w:tcPr>
            <w:tcW w:w="1994" w:type="dxa"/>
          </w:tcPr>
          <w:p w14:paraId="12111354">
            <w:pPr>
              <w:pStyle w:val="15"/>
              <w:spacing w:line="364" w:lineRule="exact"/>
              <w:ind w:left="2"/>
              <w:jc w:val="center"/>
              <w:rPr>
                <w:b/>
                <w:sz w:val="32"/>
              </w:rPr>
            </w:pPr>
            <w:r>
              <w:rPr>
                <w:b/>
                <w:sz w:val="32"/>
              </w:rPr>
              <w:t>应 商 地 址</w:t>
            </w:r>
          </w:p>
        </w:tc>
        <w:tc>
          <w:tcPr>
            <w:tcW w:w="3032" w:type="dxa"/>
          </w:tcPr>
          <w:p w14:paraId="57A14CD8">
            <w:pPr>
              <w:pStyle w:val="15"/>
              <w:spacing w:line="364" w:lineRule="exact"/>
              <w:ind w:left="93"/>
              <w:rPr>
                <w:b/>
                <w:sz w:val="32"/>
              </w:rPr>
            </w:pPr>
            <w:r>
              <w:rPr>
                <w:b/>
                <w:w w:val="99"/>
                <w:sz w:val="32"/>
              </w:rPr>
              <w:t>：</w:t>
            </w:r>
          </w:p>
        </w:tc>
      </w:tr>
      <w:tr w14:paraId="4566C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0" w:hRule="atLeast"/>
        </w:trPr>
        <w:tc>
          <w:tcPr>
            <w:tcW w:w="459" w:type="dxa"/>
          </w:tcPr>
          <w:p w14:paraId="6DB76375">
            <w:pPr>
              <w:pStyle w:val="15"/>
              <w:spacing w:before="210"/>
              <w:ind w:right="39"/>
              <w:jc w:val="center"/>
              <w:rPr>
                <w:b/>
                <w:sz w:val="32"/>
              </w:rPr>
            </w:pPr>
            <w:r>
              <w:rPr>
                <w:b/>
                <w:w w:val="99"/>
                <w:sz w:val="32"/>
              </w:rPr>
              <w:t>联</w:t>
            </w:r>
          </w:p>
        </w:tc>
        <w:tc>
          <w:tcPr>
            <w:tcW w:w="1994" w:type="dxa"/>
          </w:tcPr>
          <w:p w14:paraId="0CE755B9">
            <w:pPr>
              <w:pStyle w:val="15"/>
              <w:tabs>
                <w:tab w:val="left" w:pos="833"/>
              </w:tabs>
              <w:spacing w:before="210"/>
              <w:jc w:val="center"/>
              <w:rPr>
                <w:b/>
                <w:sz w:val="32"/>
              </w:rPr>
            </w:pPr>
            <w:r>
              <w:rPr>
                <w:b/>
                <w:sz w:val="32"/>
              </w:rPr>
              <w:t>系</w:t>
            </w:r>
            <w:r>
              <w:rPr>
                <w:b/>
                <w:sz w:val="32"/>
              </w:rPr>
              <w:tab/>
            </w:r>
            <w:r>
              <w:rPr>
                <w:b/>
                <w:sz w:val="32"/>
              </w:rPr>
              <w:t>人</w:t>
            </w:r>
          </w:p>
        </w:tc>
        <w:tc>
          <w:tcPr>
            <w:tcW w:w="3032" w:type="dxa"/>
          </w:tcPr>
          <w:p w14:paraId="7715FE97">
            <w:pPr>
              <w:pStyle w:val="15"/>
              <w:spacing w:before="210"/>
              <w:ind w:left="88"/>
              <w:rPr>
                <w:b/>
                <w:sz w:val="32"/>
              </w:rPr>
            </w:pPr>
            <w:r>
              <w:rPr>
                <w:b/>
                <w:w w:val="99"/>
                <w:sz w:val="32"/>
              </w:rPr>
              <w:t>：</w:t>
            </w:r>
          </w:p>
        </w:tc>
      </w:tr>
      <w:tr w14:paraId="60ACD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7" w:hRule="atLeast"/>
        </w:trPr>
        <w:tc>
          <w:tcPr>
            <w:tcW w:w="459" w:type="dxa"/>
          </w:tcPr>
          <w:p w14:paraId="62AEB4F0">
            <w:pPr>
              <w:pStyle w:val="15"/>
              <w:spacing w:before="210"/>
              <w:ind w:right="39"/>
              <w:jc w:val="center"/>
              <w:rPr>
                <w:b/>
                <w:sz w:val="32"/>
              </w:rPr>
            </w:pPr>
            <w:r>
              <w:rPr>
                <w:b/>
                <w:w w:val="99"/>
                <w:sz w:val="32"/>
              </w:rPr>
              <w:t>联</w:t>
            </w:r>
          </w:p>
        </w:tc>
        <w:tc>
          <w:tcPr>
            <w:tcW w:w="1994" w:type="dxa"/>
          </w:tcPr>
          <w:p w14:paraId="361D0EE0">
            <w:pPr>
              <w:pStyle w:val="15"/>
              <w:tabs>
                <w:tab w:val="left" w:pos="622"/>
                <w:tab w:val="left" w:pos="1246"/>
              </w:tabs>
              <w:spacing w:before="210"/>
              <w:jc w:val="center"/>
              <w:rPr>
                <w:b/>
                <w:sz w:val="32"/>
              </w:rPr>
            </w:pPr>
            <w:r>
              <w:rPr>
                <w:b/>
                <w:sz w:val="32"/>
              </w:rPr>
              <w:t>系</w:t>
            </w:r>
            <w:r>
              <w:rPr>
                <w:b/>
                <w:sz w:val="32"/>
              </w:rPr>
              <w:tab/>
            </w:r>
            <w:r>
              <w:rPr>
                <w:b/>
                <w:sz w:val="32"/>
              </w:rPr>
              <w:t>电</w:t>
            </w:r>
            <w:r>
              <w:rPr>
                <w:b/>
                <w:sz w:val="32"/>
              </w:rPr>
              <w:tab/>
            </w:r>
            <w:r>
              <w:rPr>
                <w:b/>
                <w:sz w:val="32"/>
              </w:rPr>
              <w:t>话</w:t>
            </w:r>
          </w:p>
        </w:tc>
        <w:tc>
          <w:tcPr>
            <w:tcW w:w="3032" w:type="dxa"/>
          </w:tcPr>
          <w:p w14:paraId="6117628C">
            <w:pPr>
              <w:pStyle w:val="15"/>
              <w:spacing w:before="210"/>
              <w:ind w:left="88"/>
              <w:rPr>
                <w:b/>
                <w:sz w:val="32"/>
              </w:rPr>
            </w:pPr>
            <w:r>
              <w:rPr>
                <w:b/>
                <w:w w:val="99"/>
                <w:sz w:val="32"/>
              </w:rPr>
              <w:t>：</w:t>
            </w:r>
          </w:p>
          <w:p w14:paraId="27027542">
            <w:pPr>
              <w:pStyle w:val="15"/>
              <w:rPr>
                <w:b/>
                <w:sz w:val="32"/>
              </w:rPr>
            </w:pPr>
          </w:p>
          <w:p w14:paraId="6563D6B5">
            <w:pPr>
              <w:pStyle w:val="15"/>
              <w:rPr>
                <w:b/>
                <w:sz w:val="33"/>
              </w:rPr>
            </w:pPr>
          </w:p>
          <w:p w14:paraId="1A309D1B">
            <w:pPr>
              <w:pStyle w:val="15"/>
              <w:tabs>
                <w:tab w:val="left" w:pos="1698"/>
                <w:tab w:val="left" w:pos="2663"/>
              </w:tabs>
              <w:spacing w:line="345" w:lineRule="exact"/>
              <w:ind w:left="736"/>
              <w:rPr>
                <w:b/>
                <w:sz w:val="32"/>
              </w:rPr>
            </w:pPr>
            <w:r>
              <w:rPr>
                <w:b/>
                <w:sz w:val="32"/>
              </w:rPr>
              <w:t>年</w:t>
            </w:r>
            <w:r>
              <w:rPr>
                <w:b/>
                <w:sz w:val="32"/>
              </w:rPr>
              <w:tab/>
            </w:r>
            <w:r>
              <w:rPr>
                <w:b/>
                <w:sz w:val="32"/>
              </w:rPr>
              <w:t>月</w:t>
            </w:r>
            <w:r>
              <w:rPr>
                <w:b/>
                <w:sz w:val="32"/>
              </w:rPr>
              <w:tab/>
            </w:r>
            <w:r>
              <w:rPr>
                <w:b/>
                <w:sz w:val="32"/>
              </w:rPr>
              <w:t>日</w:t>
            </w:r>
          </w:p>
        </w:tc>
      </w:tr>
    </w:tbl>
    <w:p w14:paraId="51C0F0DA">
      <w:pPr>
        <w:spacing w:after="0" w:line="345" w:lineRule="exact"/>
        <w:rPr>
          <w:sz w:val="32"/>
        </w:rPr>
        <w:sectPr>
          <w:pgSz w:w="11910" w:h="16840"/>
          <w:pgMar w:top="1460" w:right="660" w:bottom="1180" w:left="660" w:header="0" w:footer="909" w:gutter="0"/>
          <w:cols w:space="720" w:num="1"/>
        </w:sectPr>
      </w:pPr>
    </w:p>
    <w:p w14:paraId="6C43EAA7">
      <w:pPr>
        <w:pStyle w:val="8"/>
        <w:tabs>
          <w:tab w:val="left" w:pos="2229"/>
        </w:tabs>
        <w:spacing w:before="44" w:line="388" w:lineRule="auto"/>
        <w:ind w:left="1029" w:right="7154"/>
        <w:rPr>
          <w:rFonts w:hint="eastAsia" w:ascii="宋体" w:eastAsia="宋体"/>
        </w:rPr>
      </w:pPr>
      <w:r>
        <w:rPr>
          <w:rFonts w:hint="eastAsia" w:ascii="宋体" w:eastAsia="宋体"/>
        </w:rPr>
        <w:t>第一部分</w:t>
      </w:r>
      <w:r>
        <w:rPr>
          <w:rFonts w:hint="eastAsia" w:ascii="宋体" w:eastAsia="宋体"/>
        </w:rPr>
        <w:tab/>
      </w:r>
      <w:r>
        <w:rPr>
          <w:rFonts w:hint="eastAsia" w:ascii="宋体" w:eastAsia="宋体"/>
        </w:rPr>
        <w:t>商务部分 一、投标函(格式附后</w:t>
      </w:r>
      <w:r>
        <w:rPr>
          <w:rFonts w:hint="eastAsia" w:ascii="宋体" w:eastAsia="宋体"/>
          <w:spacing w:val="-17"/>
        </w:rPr>
        <w:t>)</w:t>
      </w:r>
    </w:p>
    <w:p w14:paraId="266E56B7">
      <w:pPr>
        <w:pStyle w:val="8"/>
        <w:tabs>
          <w:tab w:val="left" w:pos="2289"/>
        </w:tabs>
        <w:spacing w:before="2" w:line="391" w:lineRule="auto"/>
        <w:ind w:left="1029" w:right="3014"/>
        <w:rPr>
          <w:rFonts w:hint="eastAsia" w:ascii="宋体" w:eastAsia="宋体"/>
        </w:rPr>
      </w:pPr>
      <w:r>
        <w:rPr>
          <w:rFonts w:hint="eastAsia" w:ascii="宋体" w:eastAsia="宋体"/>
        </w:rPr>
        <w:t>附件</w:t>
      </w:r>
      <w:r>
        <w:rPr>
          <w:rFonts w:hint="eastAsia" w:ascii="宋体" w:eastAsia="宋体"/>
          <w:spacing w:val="-60"/>
        </w:rPr>
        <w:t xml:space="preserve"> </w:t>
      </w:r>
      <w:r>
        <w:rPr>
          <w:rFonts w:hint="eastAsia" w:ascii="宋体" w:eastAsia="宋体"/>
        </w:rPr>
        <w:t>1－1</w:t>
      </w:r>
      <w:r>
        <w:rPr>
          <w:rFonts w:hint="eastAsia" w:ascii="宋体" w:eastAsia="宋体"/>
        </w:rPr>
        <w:tab/>
      </w:r>
      <w:r>
        <w:rPr>
          <w:rFonts w:hint="eastAsia" w:ascii="宋体" w:eastAsia="宋体"/>
        </w:rPr>
        <w:t>法定代表人身份证明复印件(法定代表人参加投标</w:t>
      </w:r>
      <w:r>
        <w:rPr>
          <w:rFonts w:hint="eastAsia" w:ascii="宋体" w:eastAsia="宋体"/>
          <w:spacing w:val="-17"/>
        </w:rPr>
        <w:t xml:space="preserve">) </w:t>
      </w:r>
      <w:r>
        <w:rPr>
          <w:rFonts w:hint="eastAsia" w:ascii="宋体" w:eastAsia="宋体"/>
        </w:rPr>
        <w:t>附件</w:t>
      </w:r>
      <w:r>
        <w:rPr>
          <w:rFonts w:hint="eastAsia" w:ascii="宋体" w:eastAsia="宋体"/>
          <w:spacing w:val="-60"/>
        </w:rPr>
        <w:t xml:space="preserve"> </w:t>
      </w:r>
      <w:r>
        <w:rPr>
          <w:rFonts w:hint="eastAsia" w:ascii="宋体" w:eastAsia="宋体"/>
        </w:rPr>
        <w:t>1－2</w:t>
      </w:r>
      <w:r>
        <w:rPr>
          <w:rFonts w:hint="eastAsia" w:ascii="宋体" w:eastAsia="宋体"/>
        </w:rPr>
        <w:tab/>
      </w:r>
      <w:r>
        <w:rPr>
          <w:rFonts w:hint="eastAsia" w:ascii="宋体" w:eastAsia="宋体"/>
        </w:rPr>
        <w:t>法定代表人授权书(授权代表参加投标)</w:t>
      </w:r>
    </w:p>
    <w:p w14:paraId="54394C55">
      <w:pPr>
        <w:pStyle w:val="8"/>
        <w:spacing w:line="388" w:lineRule="auto"/>
        <w:ind w:left="1029" w:right="4514"/>
        <w:rPr>
          <w:rFonts w:hint="eastAsia" w:ascii="宋体" w:eastAsia="宋体"/>
        </w:rPr>
      </w:pPr>
      <w:r>
        <w:rPr>
          <w:rFonts w:hint="eastAsia" w:ascii="宋体" w:eastAsia="宋体"/>
        </w:rPr>
        <w:t>二、开标一览表（包含报价明细表）(格式附后) 三、商务条款偏离表(格式附后)</w:t>
      </w:r>
    </w:p>
    <w:p w14:paraId="3D8CD53A">
      <w:pPr>
        <w:pStyle w:val="8"/>
        <w:spacing w:before="2" w:line="388" w:lineRule="auto"/>
        <w:ind w:left="1029" w:right="6674"/>
        <w:rPr>
          <w:rFonts w:hint="eastAsia" w:ascii="宋体" w:eastAsia="宋体"/>
        </w:rPr>
      </w:pPr>
      <w:r>
        <w:rPr>
          <w:rFonts w:hint="eastAsia" w:ascii="宋体" w:eastAsia="宋体"/>
        </w:rPr>
        <w:t>四、投标保证金(格式附后) 五、供应商的资格证明材料</w:t>
      </w:r>
    </w:p>
    <w:p w14:paraId="2FA6A3F6">
      <w:pPr>
        <w:pStyle w:val="8"/>
        <w:spacing w:before="3"/>
        <w:ind w:left="1029"/>
        <w:rPr>
          <w:rFonts w:hint="eastAsia" w:ascii="宋体" w:eastAsia="宋体"/>
        </w:rPr>
      </w:pPr>
      <w:r>
        <w:rPr>
          <w:rFonts w:hint="eastAsia" w:ascii="宋体" w:eastAsia="宋体"/>
        </w:rPr>
        <w:t>(一)供应商基本情况表(附件 5－1)</w:t>
      </w:r>
    </w:p>
    <w:p w14:paraId="5140D973">
      <w:pPr>
        <w:pStyle w:val="8"/>
        <w:spacing w:before="194" w:line="388" w:lineRule="auto"/>
        <w:ind w:left="1029" w:right="1027"/>
        <w:rPr>
          <w:rFonts w:hint="eastAsia" w:ascii="宋体" w:eastAsia="宋体"/>
        </w:rPr>
      </w:pPr>
      <w:r>
        <w:rPr>
          <w:rFonts w:hint="eastAsia" w:ascii="宋体" w:eastAsia="宋体"/>
          <w:spacing w:val="-7"/>
        </w:rPr>
        <w:t>(二)参加政府采购活动的供应商应当具备《政府采购法》第二十二条第一款规定的</w:t>
      </w:r>
      <w:r>
        <w:rPr>
          <w:rFonts w:hint="eastAsia" w:ascii="宋体" w:eastAsia="宋体"/>
        </w:rPr>
        <w:t>条件，提供下列材料：</w:t>
      </w:r>
    </w:p>
    <w:p w14:paraId="4AD2D698">
      <w:pPr>
        <w:pStyle w:val="8"/>
        <w:tabs>
          <w:tab w:val="left" w:pos="2649"/>
        </w:tabs>
        <w:spacing w:before="2" w:line="391" w:lineRule="auto"/>
        <w:ind w:left="1029" w:right="1214"/>
        <w:rPr>
          <w:rFonts w:hint="eastAsia" w:ascii="宋体" w:eastAsia="宋体"/>
        </w:rPr>
      </w:pPr>
      <w:r>
        <w:rPr>
          <w:rFonts w:hint="eastAsia" w:ascii="宋体" w:eastAsia="宋体"/>
        </w:rPr>
        <w:t>附件</w:t>
      </w:r>
      <w:r>
        <w:rPr>
          <w:rFonts w:hint="eastAsia" w:ascii="宋体" w:eastAsia="宋体"/>
          <w:spacing w:val="-60"/>
        </w:rPr>
        <w:t xml:space="preserve"> </w:t>
      </w:r>
      <w:r>
        <w:rPr>
          <w:rFonts w:hint="eastAsia" w:ascii="宋体" w:eastAsia="宋体"/>
        </w:rPr>
        <w:t>5－1－1</w:t>
      </w:r>
      <w:r>
        <w:rPr>
          <w:rFonts w:hint="eastAsia" w:ascii="宋体" w:eastAsia="宋体"/>
        </w:rPr>
        <w:tab/>
      </w:r>
      <w:r>
        <w:rPr>
          <w:rFonts w:hint="eastAsia" w:ascii="宋体" w:eastAsia="宋体"/>
        </w:rPr>
        <w:t>法人或者其他组织的营业执照副本复印件或自然人的身份证明</w:t>
      </w:r>
      <w:r>
        <w:rPr>
          <w:rFonts w:hint="eastAsia" w:ascii="宋体" w:eastAsia="宋体"/>
          <w:spacing w:val="-17"/>
        </w:rPr>
        <w:t>复</w:t>
      </w:r>
      <w:r>
        <w:rPr>
          <w:rFonts w:hint="eastAsia" w:ascii="宋体" w:eastAsia="宋体"/>
        </w:rPr>
        <w:t>印件；</w:t>
      </w:r>
    </w:p>
    <w:p w14:paraId="1C89C72A">
      <w:pPr>
        <w:pStyle w:val="8"/>
        <w:tabs>
          <w:tab w:val="left" w:pos="2649"/>
        </w:tabs>
        <w:spacing w:line="388" w:lineRule="auto"/>
        <w:ind w:left="1029" w:right="1027"/>
        <w:rPr>
          <w:rFonts w:hint="eastAsia" w:ascii="宋体" w:eastAsia="宋体"/>
        </w:rPr>
      </w:pPr>
      <w:r>
        <w:rPr>
          <w:rFonts w:hint="eastAsia" w:ascii="宋体" w:eastAsia="宋体"/>
        </w:rPr>
        <w:t>附件</w:t>
      </w:r>
      <w:r>
        <w:rPr>
          <w:rFonts w:hint="eastAsia" w:ascii="宋体" w:eastAsia="宋体"/>
          <w:spacing w:val="-60"/>
        </w:rPr>
        <w:t xml:space="preserve"> </w:t>
      </w:r>
      <w:r>
        <w:rPr>
          <w:rFonts w:hint="eastAsia" w:ascii="宋体" w:eastAsia="宋体"/>
        </w:rPr>
        <w:t>5－1－2</w:t>
      </w:r>
      <w:r>
        <w:rPr>
          <w:rFonts w:hint="eastAsia" w:ascii="宋体" w:eastAsia="宋体"/>
        </w:rPr>
        <w:tab/>
      </w:r>
      <w:r>
        <w:rPr>
          <w:rFonts w:hint="eastAsia" w:ascii="宋体" w:eastAsia="宋体"/>
        </w:rPr>
        <w:t>202</w:t>
      </w:r>
      <w:r>
        <w:rPr>
          <w:rFonts w:hint="eastAsia" w:ascii="宋体" w:eastAsia="宋体"/>
          <w:lang w:val="en-US" w:eastAsia="zh-CN"/>
        </w:rPr>
        <w:t>4</w:t>
      </w:r>
      <w:r>
        <w:rPr>
          <w:rFonts w:hint="eastAsia" w:ascii="宋体" w:eastAsia="宋体"/>
        </w:rPr>
        <w:t>年财务状况报告或银行出具的资信证明材</w:t>
      </w:r>
      <w:r>
        <w:rPr>
          <w:rFonts w:hint="eastAsia" w:ascii="宋体" w:eastAsia="宋体"/>
          <w:spacing w:val="-113"/>
        </w:rPr>
        <w:t>料</w:t>
      </w:r>
      <w:r>
        <w:rPr>
          <w:rFonts w:hint="eastAsia" w:ascii="宋体" w:eastAsia="宋体"/>
        </w:rPr>
        <w:t>（新成立的公司</w:t>
      </w:r>
      <w:r>
        <w:rPr>
          <w:rFonts w:hint="eastAsia" w:ascii="宋体" w:eastAsia="宋体"/>
          <w:spacing w:val="-17"/>
        </w:rPr>
        <w:t>可</w:t>
      </w:r>
      <w:r>
        <w:rPr>
          <w:rFonts w:hint="eastAsia" w:ascii="宋体" w:eastAsia="宋体"/>
        </w:rPr>
        <w:t>不提供）；</w:t>
      </w:r>
    </w:p>
    <w:p w14:paraId="4E869828">
      <w:pPr>
        <w:pStyle w:val="8"/>
        <w:tabs>
          <w:tab w:val="left" w:pos="2649"/>
        </w:tabs>
        <w:spacing w:before="3" w:line="388" w:lineRule="auto"/>
        <w:ind w:left="1029" w:right="1214"/>
        <w:rPr>
          <w:rFonts w:hint="eastAsia" w:ascii="宋体" w:eastAsia="宋体"/>
        </w:rPr>
      </w:pPr>
      <w:r>
        <w:rPr>
          <w:rFonts w:hint="eastAsia" w:ascii="宋体" w:eastAsia="宋体"/>
        </w:rPr>
        <w:t>附件</w:t>
      </w:r>
      <w:r>
        <w:rPr>
          <w:rFonts w:hint="eastAsia" w:ascii="宋体" w:eastAsia="宋体"/>
          <w:spacing w:val="-60"/>
        </w:rPr>
        <w:t xml:space="preserve"> </w:t>
      </w:r>
      <w:r>
        <w:rPr>
          <w:rFonts w:hint="eastAsia" w:ascii="宋体" w:eastAsia="宋体"/>
        </w:rPr>
        <w:t>5－1－3</w:t>
      </w:r>
      <w:r>
        <w:rPr>
          <w:rFonts w:hint="eastAsia" w:ascii="宋体" w:eastAsia="宋体"/>
        </w:rPr>
        <w:tab/>
      </w:r>
      <w:r>
        <w:rPr>
          <w:rFonts w:hint="eastAsia" w:ascii="宋体" w:eastAsia="宋体"/>
        </w:rPr>
        <w:t>具有履行合同所必需的设备和专业技术能力(声明函格式自拟)</w:t>
      </w:r>
      <w:r>
        <w:rPr>
          <w:rFonts w:hint="eastAsia" w:ascii="宋体" w:eastAsia="宋体"/>
          <w:spacing w:val="-17"/>
        </w:rPr>
        <w:t>即</w:t>
      </w:r>
      <w:r>
        <w:rPr>
          <w:rFonts w:hint="eastAsia" w:ascii="宋体" w:eastAsia="宋体"/>
        </w:rPr>
        <w:t>具有完成本项目采购能力；</w:t>
      </w:r>
    </w:p>
    <w:p w14:paraId="421F7393">
      <w:pPr>
        <w:pStyle w:val="8"/>
        <w:tabs>
          <w:tab w:val="left" w:pos="2649"/>
        </w:tabs>
        <w:spacing w:before="2" w:line="391" w:lineRule="auto"/>
        <w:ind w:left="1029" w:right="1094"/>
        <w:rPr>
          <w:rFonts w:hint="eastAsia" w:ascii="宋体" w:eastAsia="宋体"/>
        </w:rPr>
      </w:pPr>
      <w:r>
        <w:rPr>
          <w:rFonts w:hint="eastAsia" w:ascii="宋体" w:eastAsia="宋体"/>
        </w:rPr>
        <w:t>附件</w:t>
      </w:r>
      <w:r>
        <w:rPr>
          <w:rFonts w:hint="eastAsia" w:ascii="宋体" w:eastAsia="宋体"/>
          <w:spacing w:val="-60"/>
        </w:rPr>
        <w:t xml:space="preserve"> </w:t>
      </w:r>
      <w:r>
        <w:rPr>
          <w:rFonts w:hint="eastAsia" w:ascii="宋体" w:eastAsia="宋体"/>
        </w:rPr>
        <w:t>5－1－4</w:t>
      </w:r>
      <w:r>
        <w:rPr>
          <w:rFonts w:hint="eastAsia" w:ascii="宋体" w:eastAsia="宋体"/>
        </w:rPr>
        <w:tab/>
      </w:r>
      <w:r>
        <w:rPr>
          <w:rFonts w:hint="eastAsia" w:ascii="宋体" w:eastAsia="宋体"/>
        </w:rPr>
        <w:t>具有依法缴纳税收和社会保障资金的良好记录(提供相应证明材</w:t>
      </w:r>
      <w:r>
        <w:rPr>
          <w:rFonts w:hint="eastAsia" w:ascii="宋体" w:eastAsia="宋体"/>
          <w:spacing w:val="-17"/>
        </w:rPr>
        <w:t>料</w:t>
      </w:r>
      <w:r>
        <w:rPr>
          <w:rFonts w:hint="eastAsia" w:ascii="宋体" w:eastAsia="宋体"/>
        </w:rPr>
        <w:t>或声明函格式自拟)；</w:t>
      </w:r>
    </w:p>
    <w:p w14:paraId="12806930">
      <w:pPr>
        <w:pStyle w:val="8"/>
        <w:tabs>
          <w:tab w:val="left" w:pos="2649"/>
        </w:tabs>
        <w:spacing w:line="388" w:lineRule="auto"/>
        <w:ind w:left="1029" w:right="974"/>
        <w:rPr>
          <w:rFonts w:hint="eastAsia" w:ascii="宋体" w:eastAsia="宋体"/>
        </w:rPr>
      </w:pPr>
      <w:r>
        <w:rPr>
          <w:rFonts w:hint="eastAsia" w:ascii="宋体" w:eastAsia="宋体"/>
        </w:rPr>
        <w:t>附件</w:t>
      </w:r>
      <w:r>
        <w:rPr>
          <w:rFonts w:hint="eastAsia" w:ascii="宋体" w:eastAsia="宋体"/>
          <w:spacing w:val="-60"/>
        </w:rPr>
        <w:t xml:space="preserve"> </w:t>
      </w:r>
      <w:r>
        <w:rPr>
          <w:rFonts w:hint="eastAsia" w:ascii="宋体" w:eastAsia="宋体"/>
        </w:rPr>
        <w:t>5－1－5</w:t>
      </w:r>
      <w:r>
        <w:rPr>
          <w:rFonts w:hint="eastAsia" w:ascii="宋体" w:eastAsia="宋体"/>
        </w:rPr>
        <w:tab/>
      </w:r>
      <w:r>
        <w:rPr>
          <w:rFonts w:hint="eastAsia" w:ascii="宋体" w:eastAsia="宋体"/>
        </w:rPr>
        <w:t>单位负责人为同一人或者存在直接控股、管理关系的不同供应商</w:t>
      </w:r>
      <w:r>
        <w:rPr>
          <w:rFonts w:hint="eastAsia" w:ascii="宋体" w:eastAsia="宋体"/>
          <w:spacing w:val="-17"/>
        </w:rPr>
        <w:t xml:space="preserve">， </w:t>
      </w:r>
      <w:r>
        <w:rPr>
          <w:rFonts w:hint="eastAsia" w:ascii="宋体" w:eastAsia="宋体"/>
        </w:rPr>
        <w:t>不得参加同一合同项下的政府采购活动(提供声明函格式自拟)；</w:t>
      </w:r>
    </w:p>
    <w:p w14:paraId="4AA228FC">
      <w:pPr>
        <w:pStyle w:val="8"/>
        <w:tabs>
          <w:tab w:val="left" w:pos="2649"/>
        </w:tabs>
        <w:spacing w:before="3" w:line="388" w:lineRule="auto"/>
        <w:ind w:left="1029" w:right="1214"/>
        <w:rPr>
          <w:rFonts w:hint="eastAsia" w:ascii="宋体" w:eastAsia="宋体"/>
        </w:rPr>
      </w:pPr>
      <w:r>
        <w:rPr>
          <w:rFonts w:hint="eastAsia" w:ascii="宋体" w:eastAsia="宋体"/>
        </w:rPr>
        <w:t>附件</w:t>
      </w:r>
      <w:r>
        <w:rPr>
          <w:rFonts w:hint="eastAsia" w:ascii="宋体" w:eastAsia="宋体"/>
          <w:spacing w:val="-60"/>
        </w:rPr>
        <w:t xml:space="preserve"> </w:t>
      </w:r>
      <w:r>
        <w:rPr>
          <w:rFonts w:hint="eastAsia" w:ascii="宋体" w:eastAsia="宋体"/>
        </w:rPr>
        <w:t>5－1－6</w:t>
      </w:r>
      <w:r>
        <w:rPr>
          <w:rFonts w:hint="eastAsia" w:ascii="宋体" w:eastAsia="宋体"/>
        </w:rPr>
        <w:tab/>
      </w:r>
      <w:r>
        <w:rPr>
          <w:rFonts w:hint="eastAsia" w:ascii="宋体" w:eastAsia="宋体"/>
        </w:rPr>
        <w:t>参加政府采购活动前三年内在经营活动中没有重大违法记录的</w:t>
      </w:r>
      <w:r>
        <w:rPr>
          <w:rFonts w:hint="eastAsia" w:ascii="宋体" w:eastAsia="宋体"/>
          <w:spacing w:val="-17"/>
        </w:rPr>
        <w:t>书</w:t>
      </w:r>
      <w:r>
        <w:rPr>
          <w:rFonts w:hint="eastAsia" w:ascii="宋体" w:eastAsia="宋体"/>
        </w:rPr>
        <w:t>面声明；</w:t>
      </w:r>
    </w:p>
    <w:p w14:paraId="74F9F421">
      <w:pPr>
        <w:pStyle w:val="8"/>
        <w:tabs>
          <w:tab w:val="left" w:pos="2649"/>
        </w:tabs>
        <w:spacing w:before="2"/>
        <w:ind w:left="1029"/>
        <w:rPr>
          <w:rFonts w:hint="eastAsia" w:ascii="宋体" w:eastAsia="宋体"/>
        </w:rPr>
      </w:pPr>
      <w:r>
        <w:rPr>
          <w:rFonts w:hint="eastAsia" w:ascii="宋体" w:eastAsia="宋体"/>
        </w:rPr>
        <w:t>附件</w:t>
      </w:r>
      <w:r>
        <w:rPr>
          <w:rFonts w:hint="eastAsia" w:ascii="宋体" w:eastAsia="宋体"/>
          <w:spacing w:val="-60"/>
        </w:rPr>
        <w:t xml:space="preserve"> </w:t>
      </w:r>
      <w:r>
        <w:rPr>
          <w:rFonts w:hint="eastAsia" w:ascii="宋体" w:eastAsia="宋体"/>
        </w:rPr>
        <w:t>5－1－7</w:t>
      </w:r>
      <w:r>
        <w:rPr>
          <w:rFonts w:hint="eastAsia" w:ascii="宋体" w:eastAsia="宋体"/>
        </w:rPr>
        <w:tab/>
      </w:r>
      <w:r>
        <w:rPr>
          <w:rFonts w:hint="eastAsia" w:ascii="宋体" w:eastAsia="宋体"/>
        </w:rPr>
        <w:t>无不良信用记录承诺函；</w:t>
      </w:r>
    </w:p>
    <w:p w14:paraId="466CD1DF">
      <w:pPr>
        <w:pStyle w:val="8"/>
        <w:spacing w:before="194" w:line="388" w:lineRule="auto"/>
        <w:ind w:left="1029" w:right="1027"/>
        <w:rPr>
          <w:rFonts w:hint="eastAsia" w:ascii="宋体" w:hAnsi="宋体" w:eastAsia="宋体"/>
        </w:rPr>
      </w:pPr>
      <w:r>
        <w:rPr>
          <w:rFonts w:hint="eastAsia" w:ascii="宋体" w:hAnsi="宋体" w:eastAsia="宋体"/>
        </w:rPr>
        <w:t>附件 5－1－8 供应商参加政府采购活动前三年内，在经营活动中没有重大违法记</w:t>
      </w:r>
      <w:r>
        <w:fldChar w:fldCharType="begin"/>
      </w:r>
      <w:r>
        <w:instrText xml:space="preserve"> HYPERLINK "http://www.creditchina.gov.cn/" \h </w:instrText>
      </w:r>
      <w:r>
        <w:fldChar w:fldCharType="separate"/>
      </w:r>
      <w:r>
        <w:rPr>
          <w:rFonts w:hint="eastAsia" w:ascii="宋体" w:hAnsi="宋体" w:eastAsia="宋体"/>
        </w:rPr>
        <w:t>录，在“信用中国”网站（www.creditchina.gov.cn</w:t>
      </w:r>
      <w:r>
        <w:rPr>
          <w:rFonts w:hint="eastAsia" w:ascii="宋体" w:hAnsi="宋体" w:eastAsia="宋体"/>
        </w:rPr>
        <w:fldChar w:fldCharType="end"/>
      </w:r>
      <w:r>
        <w:rPr>
          <w:rFonts w:hint="eastAsia" w:ascii="宋体" w:hAnsi="宋体" w:eastAsia="宋体"/>
        </w:rPr>
        <w:t>）、中国政府采购网</w:t>
      </w:r>
    </w:p>
    <w:p w14:paraId="3121BD1D">
      <w:pPr>
        <w:pStyle w:val="8"/>
        <w:spacing w:before="2"/>
        <w:ind w:left="1029"/>
        <w:rPr>
          <w:rFonts w:hint="eastAsia" w:ascii="宋体" w:eastAsia="宋体"/>
        </w:rPr>
      </w:pPr>
      <w:r>
        <w:fldChar w:fldCharType="begin"/>
      </w:r>
      <w:r>
        <w:instrText xml:space="preserve"> HYPERLINK "http://www.ccgp.gov.cn/" \h </w:instrText>
      </w:r>
      <w:r>
        <w:fldChar w:fldCharType="separate"/>
      </w:r>
      <w:r>
        <w:rPr>
          <w:rFonts w:hint="eastAsia" w:ascii="宋体" w:eastAsia="宋体"/>
        </w:rPr>
        <w:t>（www.ccgp.gov.cn</w:t>
      </w:r>
      <w:r>
        <w:rPr>
          <w:rFonts w:hint="eastAsia" w:ascii="宋体" w:eastAsia="宋体"/>
        </w:rPr>
        <w:fldChar w:fldCharType="end"/>
      </w:r>
      <w:r>
        <w:rPr>
          <w:rFonts w:hint="eastAsia" w:ascii="宋体" w:eastAsia="宋体"/>
        </w:rPr>
        <w:t>）没有被列入失信被执行人、重大税收违法失信主体名单、政</w:t>
      </w:r>
    </w:p>
    <w:p w14:paraId="64461D75">
      <w:pPr>
        <w:spacing w:after="0"/>
        <w:rPr>
          <w:rFonts w:hint="eastAsia" w:ascii="宋体" w:eastAsia="宋体"/>
        </w:rPr>
        <w:sectPr>
          <w:pgSz w:w="11910" w:h="16840"/>
          <w:pgMar w:top="1540" w:right="660" w:bottom="1180" w:left="660" w:header="0" w:footer="909" w:gutter="0"/>
          <w:cols w:space="720" w:num="1"/>
        </w:sectPr>
      </w:pPr>
    </w:p>
    <w:p w14:paraId="5BECD40D">
      <w:pPr>
        <w:pStyle w:val="8"/>
        <w:spacing w:before="44" w:line="388" w:lineRule="auto"/>
        <w:ind w:left="1029" w:right="1027"/>
        <w:rPr>
          <w:rFonts w:hint="eastAsia" w:ascii="宋体" w:eastAsia="宋体"/>
        </w:rPr>
      </w:pPr>
      <w:r>
        <w:rPr>
          <w:rFonts w:hint="eastAsia" w:ascii="宋体" w:eastAsia="宋体"/>
          <w:spacing w:val="-5"/>
        </w:rPr>
        <w:t>府采购严重违法失信行为记录名单及其他不符合规定条件。</w:t>
      </w:r>
      <w:r>
        <w:rPr>
          <w:rFonts w:hint="eastAsia" w:ascii="宋体" w:eastAsia="宋体"/>
        </w:rPr>
        <w:t>（</w:t>
      </w:r>
      <w:r>
        <w:rPr>
          <w:rFonts w:hint="eastAsia" w:ascii="宋体" w:eastAsia="宋体"/>
          <w:spacing w:val="-2"/>
        </w:rPr>
        <w:t>提供查询结果网页截</w:t>
      </w:r>
      <w:r>
        <w:rPr>
          <w:rFonts w:hint="eastAsia" w:ascii="宋体" w:eastAsia="宋体"/>
        </w:rPr>
        <w:t>图并加盖供应商公章）。</w:t>
      </w:r>
    </w:p>
    <w:p w14:paraId="3E8A4358">
      <w:pPr>
        <w:pStyle w:val="8"/>
        <w:tabs>
          <w:tab w:val="left" w:pos="2289"/>
        </w:tabs>
        <w:spacing w:before="2" w:line="391" w:lineRule="auto"/>
        <w:ind w:left="1029" w:right="5414"/>
        <w:rPr>
          <w:rFonts w:hint="eastAsia" w:ascii="宋体" w:eastAsia="宋体"/>
        </w:rPr>
      </w:pPr>
      <w:r>
        <w:rPr>
          <w:rFonts w:hint="eastAsia" w:ascii="宋体" w:eastAsia="宋体"/>
        </w:rPr>
        <w:t>六、提供符合政府采购政策的证明材料附件</w:t>
      </w:r>
      <w:r>
        <w:rPr>
          <w:rFonts w:hint="eastAsia" w:ascii="宋体" w:eastAsia="宋体"/>
          <w:spacing w:val="-60"/>
        </w:rPr>
        <w:t xml:space="preserve"> </w:t>
      </w:r>
      <w:r>
        <w:rPr>
          <w:rFonts w:hint="eastAsia" w:ascii="宋体" w:eastAsia="宋体"/>
        </w:rPr>
        <w:t>6－1</w:t>
      </w:r>
      <w:r>
        <w:rPr>
          <w:rFonts w:hint="eastAsia" w:ascii="宋体" w:eastAsia="宋体"/>
        </w:rPr>
        <w:tab/>
      </w:r>
      <w:r>
        <w:rPr>
          <w:rFonts w:hint="eastAsia" w:ascii="宋体" w:eastAsia="宋体"/>
        </w:rPr>
        <w:t>中小企业声明函(格式附后</w:t>
      </w:r>
      <w:r>
        <w:rPr>
          <w:rFonts w:hint="eastAsia" w:ascii="宋体" w:eastAsia="宋体"/>
          <w:spacing w:val="-17"/>
        </w:rPr>
        <w:t>)</w:t>
      </w:r>
    </w:p>
    <w:p w14:paraId="2AA9C795">
      <w:pPr>
        <w:pStyle w:val="8"/>
        <w:spacing w:line="388" w:lineRule="auto"/>
        <w:ind w:left="1029" w:right="4994"/>
        <w:rPr>
          <w:rFonts w:hint="eastAsia" w:ascii="宋体" w:eastAsia="宋体"/>
        </w:rPr>
      </w:pPr>
      <w:r>
        <w:rPr>
          <w:rFonts w:hint="eastAsia" w:ascii="宋体" w:eastAsia="宋体"/>
        </w:rPr>
        <w:t>七、供应商须知前附表要求的其他投标资料八、供应商须提供类似业绩</w:t>
      </w:r>
    </w:p>
    <w:p w14:paraId="4871C515">
      <w:pPr>
        <w:pStyle w:val="8"/>
        <w:spacing w:before="2"/>
        <w:ind w:left="1029"/>
        <w:rPr>
          <w:rFonts w:hint="eastAsia" w:ascii="宋体" w:eastAsia="宋体"/>
        </w:rPr>
      </w:pPr>
      <w:r>
        <w:rPr>
          <w:rFonts w:hint="eastAsia" w:ascii="宋体" w:eastAsia="宋体"/>
        </w:rPr>
        <w:t>九、供应商认为需提供的其他资料</w:t>
      </w:r>
    </w:p>
    <w:p w14:paraId="51D125B0">
      <w:pPr>
        <w:spacing w:after="0"/>
        <w:rPr>
          <w:rFonts w:hint="eastAsia" w:ascii="宋体" w:eastAsia="宋体"/>
        </w:rPr>
        <w:sectPr>
          <w:pgSz w:w="11910" w:h="16840"/>
          <w:pgMar w:top="1540" w:right="660" w:bottom="1180" w:left="660" w:header="0" w:footer="909" w:gutter="0"/>
          <w:cols w:space="720" w:num="1"/>
        </w:sectPr>
      </w:pPr>
    </w:p>
    <w:p w14:paraId="02B0F3CA">
      <w:pPr>
        <w:pStyle w:val="8"/>
        <w:spacing w:before="44"/>
        <w:ind w:left="1029"/>
        <w:jc w:val="both"/>
        <w:rPr>
          <w:rFonts w:hint="eastAsia" w:ascii="宋体" w:eastAsia="宋体"/>
        </w:rPr>
      </w:pPr>
      <w:r>
        <w:rPr>
          <w:rFonts w:hint="eastAsia" w:ascii="宋体" w:eastAsia="宋体"/>
        </w:rPr>
        <w:t>第二部分 技术部分</w:t>
      </w:r>
    </w:p>
    <w:p w14:paraId="4D24B21F">
      <w:pPr>
        <w:pStyle w:val="8"/>
        <w:spacing w:before="112" w:line="312" w:lineRule="auto"/>
        <w:ind w:left="1029" w:right="1024" w:firstLine="480"/>
        <w:jc w:val="both"/>
        <w:rPr>
          <w:rFonts w:hint="eastAsia" w:ascii="宋体" w:eastAsia="宋体"/>
        </w:rPr>
      </w:pPr>
      <w:r>
        <w:rPr>
          <w:rFonts w:hint="eastAsia" w:ascii="宋体" w:eastAsia="宋体"/>
          <w:spacing w:val="-7"/>
        </w:rPr>
        <w:t>投标人应根据项目采购需求、评标办法及评审内容和实际情况增加内容，但不</w:t>
      </w:r>
      <w:r>
        <w:rPr>
          <w:rFonts w:hint="eastAsia" w:ascii="宋体" w:eastAsia="宋体"/>
          <w:spacing w:val="-6"/>
        </w:rPr>
        <w:t>得擅自减少有关内容，所有不完整的投标将可能被否决其参选，格式自拟，包括但不限于：</w:t>
      </w:r>
    </w:p>
    <w:p w14:paraId="338D978F">
      <w:pPr>
        <w:pStyle w:val="8"/>
        <w:spacing w:before="1" w:line="381" w:lineRule="auto"/>
        <w:ind w:left="1029" w:right="3554" w:firstLine="480"/>
        <w:rPr>
          <w:rFonts w:hint="eastAsia" w:ascii="宋体" w:eastAsia="宋体"/>
        </w:rPr>
      </w:pPr>
      <w:r>
        <w:rPr>
          <w:rFonts w:hint="eastAsia" w:ascii="宋体" w:eastAsia="宋体"/>
        </w:rPr>
        <w:t>投标人应提交完整的组织方案至少应包括以下内容： 一、 项目实施方案、技术方案、服务方案或供货方案； 二、 投标供应商必须提供投标货物的详细参数说明；</w:t>
      </w:r>
    </w:p>
    <w:p w14:paraId="222D4B1A">
      <w:pPr>
        <w:pStyle w:val="8"/>
        <w:spacing w:before="11" w:line="391" w:lineRule="auto"/>
        <w:ind w:left="1029" w:right="6554"/>
        <w:rPr>
          <w:rFonts w:hint="eastAsia" w:ascii="宋体" w:eastAsia="宋体"/>
        </w:rPr>
      </w:pPr>
      <w:r>
        <w:rPr>
          <w:rFonts w:hint="eastAsia" w:ascii="宋体" w:eastAsia="宋体"/>
          <w:spacing w:val="-2"/>
        </w:rPr>
        <w:t xml:space="preserve">三、 投标产品性能和质量； </w:t>
      </w:r>
      <w:r>
        <w:rPr>
          <w:rFonts w:hint="eastAsia" w:ascii="宋体" w:eastAsia="宋体"/>
        </w:rPr>
        <w:t>四、 配送方案；</w:t>
      </w:r>
    </w:p>
    <w:p w14:paraId="332CD0CB">
      <w:pPr>
        <w:pStyle w:val="8"/>
        <w:spacing w:line="306" w:lineRule="exact"/>
        <w:ind w:left="1029"/>
        <w:rPr>
          <w:rFonts w:hint="eastAsia" w:ascii="宋体" w:eastAsia="宋体"/>
        </w:rPr>
      </w:pPr>
      <w:r>
        <w:rPr>
          <w:rFonts w:hint="eastAsia" w:ascii="宋体" w:eastAsia="宋体"/>
        </w:rPr>
        <w:t>五、 到货要求；</w:t>
      </w:r>
    </w:p>
    <w:p w14:paraId="2A43ECD7">
      <w:pPr>
        <w:pStyle w:val="8"/>
        <w:spacing w:before="192" w:line="391" w:lineRule="auto"/>
        <w:ind w:left="1029" w:right="7034"/>
        <w:rPr>
          <w:rFonts w:hint="eastAsia" w:ascii="宋体" w:eastAsia="宋体"/>
        </w:rPr>
      </w:pPr>
      <w:r>
        <w:rPr>
          <w:rFonts w:hint="eastAsia" w:ascii="宋体" w:eastAsia="宋体"/>
        </w:rPr>
        <w:t xml:space="preserve">六、 质量保证措施； </w:t>
      </w:r>
      <w:r>
        <w:rPr>
          <w:rFonts w:hint="eastAsia" w:ascii="宋体" w:eastAsia="宋体"/>
          <w:spacing w:val="-2"/>
        </w:rPr>
        <w:t>七、 技术条款偏离表；</w:t>
      </w:r>
    </w:p>
    <w:p w14:paraId="2168F2D7">
      <w:pPr>
        <w:pStyle w:val="8"/>
        <w:spacing w:line="388" w:lineRule="auto"/>
        <w:ind w:left="1029" w:right="3434"/>
        <w:rPr>
          <w:rFonts w:hint="eastAsia" w:ascii="宋体" w:eastAsia="宋体"/>
        </w:rPr>
      </w:pPr>
      <w:r>
        <w:rPr>
          <w:rFonts w:hint="eastAsia" w:ascii="宋体" w:eastAsia="宋体"/>
        </w:rPr>
        <w:t>八、 使用说明书、产品图册等证明材料须附彩色复印件； 九、 投标人售后服务承诺；</w:t>
      </w:r>
    </w:p>
    <w:p w14:paraId="7174E184">
      <w:pPr>
        <w:pStyle w:val="8"/>
        <w:spacing w:line="274" w:lineRule="exact"/>
        <w:ind w:left="1029"/>
        <w:rPr>
          <w:rFonts w:hint="eastAsia" w:ascii="宋体" w:eastAsia="宋体"/>
        </w:rPr>
      </w:pPr>
      <w:r>
        <w:rPr>
          <w:rFonts w:hint="eastAsia" w:ascii="宋体" w:eastAsia="宋体"/>
        </w:rPr>
        <w:t>十、 优惠条件；</w:t>
      </w:r>
    </w:p>
    <w:p w14:paraId="0038BBF5">
      <w:pPr>
        <w:pStyle w:val="8"/>
        <w:spacing w:before="161"/>
        <w:ind w:left="1029"/>
        <w:rPr>
          <w:rFonts w:hint="eastAsia" w:ascii="宋体" w:eastAsia="宋体"/>
        </w:rPr>
      </w:pPr>
      <w:r>
        <w:rPr>
          <w:rFonts w:hint="eastAsia" w:ascii="宋体" w:eastAsia="宋体"/>
        </w:rPr>
        <w:t>十一、投标供应商认为有必要提供的声明及文件资料</w:t>
      </w:r>
    </w:p>
    <w:p w14:paraId="0BA7F7B1">
      <w:pPr>
        <w:spacing w:after="0"/>
        <w:rPr>
          <w:rFonts w:hint="eastAsia" w:ascii="宋体" w:eastAsia="宋体"/>
        </w:rPr>
        <w:sectPr>
          <w:pgSz w:w="11910" w:h="16840"/>
          <w:pgMar w:top="1540" w:right="660" w:bottom="1180" w:left="660" w:header="0" w:footer="909" w:gutter="0"/>
          <w:cols w:space="720" w:num="1"/>
        </w:sectPr>
      </w:pPr>
    </w:p>
    <w:p w14:paraId="4B2024C4">
      <w:pPr>
        <w:pStyle w:val="8"/>
        <w:tabs>
          <w:tab w:val="left" w:pos="2229"/>
        </w:tabs>
        <w:spacing w:before="44"/>
        <w:ind w:left="1029"/>
        <w:rPr>
          <w:rFonts w:hint="eastAsia" w:ascii="宋体" w:eastAsia="宋体"/>
        </w:rPr>
      </w:pPr>
      <w:r>
        <w:rPr>
          <w:rFonts w:hint="eastAsia" w:ascii="宋体" w:eastAsia="宋体"/>
        </w:rPr>
        <w:t>第一部分</w:t>
      </w:r>
      <w:r>
        <w:rPr>
          <w:rFonts w:hint="eastAsia" w:ascii="宋体" w:eastAsia="宋体"/>
        </w:rPr>
        <w:tab/>
      </w:r>
      <w:r>
        <w:rPr>
          <w:rFonts w:hint="eastAsia" w:ascii="宋体" w:eastAsia="宋体"/>
        </w:rPr>
        <w:t>商务部分</w:t>
      </w:r>
    </w:p>
    <w:p w14:paraId="3D4D4D2C">
      <w:pPr>
        <w:pStyle w:val="8"/>
        <w:rPr>
          <w:rFonts w:ascii="宋体"/>
          <w:sz w:val="20"/>
        </w:rPr>
      </w:pPr>
    </w:p>
    <w:p w14:paraId="4454B928">
      <w:pPr>
        <w:pStyle w:val="5"/>
        <w:spacing w:before="207"/>
        <w:ind w:right="1379"/>
        <w:jc w:val="center"/>
        <w:rPr>
          <w:rFonts w:hint="eastAsia" w:ascii="宋体" w:eastAsia="宋体"/>
        </w:rPr>
      </w:pPr>
      <w:r>
        <w:rPr>
          <w:rFonts w:hint="eastAsia" w:ascii="宋体" w:eastAsia="宋体"/>
        </w:rPr>
        <w:t>一、投标函</w:t>
      </w:r>
    </w:p>
    <w:p w14:paraId="5216C8B8">
      <w:pPr>
        <w:pStyle w:val="8"/>
        <w:tabs>
          <w:tab w:val="left" w:pos="2709"/>
        </w:tabs>
        <w:spacing w:before="180"/>
        <w:ind w:left="1029"/>
        <w:rPr>
          <w:rFonts w:hint="eastAsia" w:ascii="宋体" w:eastAsia="宋体"/>
        </w:rPr>
      </w:pPr>
      <w:r>
        <w:rPr>
          <w:rFonts w:hint="eastAsia" w:ascii="宋体" w:eastAsia="宋体"/>
        </w:rPr>
        <w:t>致</w:t>
      </w:r>
      <w:r>
        <w:rPr>
          <w:rFonts w:hint="eastAsia" w:ascii="宋体" w:eastAsia="宋体"/>
          <w:u w:val="single"/>
        </w:rPr>
        <w:t xml:space="preserve"> </w:t>
      </w:r>
      <w:r>
        <w:rPr>
          <w:rFonts w:hint="eastAsia" w:ascii="宋体" w:eastAsia="宋体"/>
          <w:u w:val="single"/>
        </w:rPr>
        <w:tab/>
      </w:r>
      <w:r>
        <w:rPr>
          <w:rFonts w:hint="eastAsia" w:ascii="宋体" w:eastAsia="宋体"/>
        </w:rPr>
        <w:t>(采购人或采购代理机构)：</w:t>
      </w:r>
    </w:p>
    <w:p w14:paraId="7EA135D0">
      <w:pPr>
        <w:pStyle w:val="8"/>
        <w:tabs>
          <w:tab w:val="left" w:pos="2469"/>
          <w:tab w:val="left" w:pos="3789"/>
          <w:tab w:val="left" w:pos="6431"/>
          <w:tab w:val="left" w:pos="8836"/>
        </w:tabs>
        <w:spacing w:before="194" w:line="388" w:lineRule="auto"/>
        <w:ind w:left="1029" w:right="907"/>
        <w:rPr>
          <w:rFonts w:hint="eastAsia" w:ascii="宋体" w:eastAsia="宋体"/>
        </w:rPr>
      </w:pPr>
      <w:r>
        <w:rPr>
          <w:rFonts w:hint="eastAsia" w:ascii="宋体" w:eastAsia="宋体"/>
        </w:rPr>
        <w:t>根据</w:t>
      </w:r>
      <w:r>
        <w:rPr>
          <w:rFonts w:hint="eastAsia" w:ascii="宋体" w:eastAsia="宋体"/>
          <w:u w:val="single"/>
        </w:rPr>
        <w:t xml:space="preserve"> </w:t>
      </w:r>
      <w:r>
        <w:rPr>
          <w:rFonts w:hint="eastAsia" w:ascii="宋体" w:eastAsia="宋体"/>
          <w:u w:val="single"/>
        </w:rPr>
        <w:tab/>
      </w:r>
      <w:r>
        <w:rPr>
          <w:rFonts w:hint="eastAsia" w:ascii="宋体" w:eastAsia="宋体"/>
        </w:rPr>
        <w:t>(项目名称+标段)(项目编号</w:t>
      </w:r>
      <w:r>
        <w:rPr>
          <w:rFonts w:hint="eastAsia" w:ascii="宋体" w:eastAsia="宋体"/>
          <w:spacing w:val="-118"/>
        </w:rPr>
        <w:t>：</w:t>
      </w:r>
      <w:r>
        <w:rPr>
          <w:rFonts w:hint="eastAsia" w:ascii="宋体" w:eastAsia="宋体"/>
          <w:spacing w:val="-118"/>
          <w:u w:val="single"/>
        </w:rPr>
        <w:t xml:space="preserve"> </w:t>
      </w:r>
      <w:r>
        <w:rPr>
          <w:rFonts w:hint="eastAsia" w:ascii="宋体" w:eastAsia="宋体"/>
          <w:spacing w:val="-118"/>
          <w:u w:val="single"/>
        </w:rPr>
        <w:tab/>
      </w:r>
      <w:r>
        <w:rPr>
          <w:rFonts w:hint="eastAsia" w:ascii="宋体" w:eastAsia="宋体"/>
        </w:rPr>
        <w:t>)的投标邀请</w:t>
      </w:r>
      <w:r>
        <w:rPr>
          <w:rFonts w:hint="eastAsia" w:ascii="宋体" w:eastAsia="宋体"/>
          <w:spacing w:val="-116"/>
        </w:rPr>
        <w:t>，</w:t>
      </w:r>
      <w:r>
        <w:rPr>
          <w:rFonts w:hint="eastAsia" w:ascii="宋体" w:eastAsia="宋体"/>
          <w:spacing w:val="-116"/>
          <w:u w:val="single"/>
        </w:rPr>
        <w:t xml:space="preserve"> </w:t>
      </w:r>
      <w:r>
        <w:rPr>
          <w:rFonts w:hint="eastAsia" w:ascii="宋体" w:eastAsia="宋体"/>
          <w:spacing w:val="-116"/>
          <w:u w:val="single"/>
        </w:rPr>
        <w:tab/>
      </w:r>
      <w:r>
        <w:rPr>
          <w:rFonts w:hint="eastAsia" w:ascii="宋体" w:eastAsia="宋体"/>
        </w:rPr>
        <w:t>(姓名</w:t>
      </w:r>
      <w:r>
        <w:rPr>
          <w:rFonts w:hint="eastAsia" w:ascii="宋体" w:eastAsia="宋体"/>
          <w:spacing w:val="-17"/>
        </w:rPr>
        <w:t>、</w:t>
      </w:r>
      <w:r>
        <w:rPr>
          <w:rFonts w:hint="eastAsia" w:ascii="宋体" w:eastAsia="宋体"/>
        </w:rPr>
        <w:t>职务)代表供应商</w:t>
      </w:r>
      <w:r>
        <w:rPr>
          <w:rFonts w:hint="eastAsia" w:ascii="宋体" w:eastAsia="宋体"/>
          <w:u w:val="single"/>
        </w:rPr>
        <w:t xml:space="preserve"> </w:t>
      </w:r>
      <w:r>
        <w:rPr>
          <w:rFonts w:hint="eastAsia" w:ascii="宋体" w:eastAsia="宋体"/>
          <w:u w:val="single"/>
        </w:rPr>
        <w:tab/>
      </w:r>
      <w:r>
        <w:rPr>
          <w:rFonts w:hint="eastAsia" w:ascii="宋体" w:eastAsia="宋体"/>
        </w:rPr>
        <w:t>(供应商名称、地址)参加本项目招标的有关活动。据此函，作如下承诺：</w:t>
      </w:r>
    </w:p>
    <w:p w14:paraId="574A1F1E">
      <w:pPr>
        <w:pStyle w:val="14"/>
        <w:numPr>
          <w:ilvl w:val="1"/>
          <w:numId w:val="45"/>
        </w:numPr>
        <w:tabs>
          <w:tab w:val="left" w:pos="1271"/>
          <w:tab w:val="left" w:pos="3429"/>
        </w:tabs>
        <w:spacing w:before="6" w:after="0" w:line="388" w:lineRule="auto"/>
        <w:ind w:left="1029" w:right="2114" w:firstLine="0"/>
        <w:jc w:val="left"/>
        <w:rPr>
          <w:rFonts w:hint="eastAsia" w:ascii="宋体" w:eastAsia="宋体"/>
          <w:sz w:val="24"/>
        </w:rPr>
      </w:pPr>
      <w:r>
        <w:rPr>
          <w:rFonts w:hint="eastAsia" w:ascii="宋体" w:eastAsia="宋体"/>
          <w:sz w:val="24"/>
        </w:rPr>
        <w:t>愿意按照招标文件的一切要求，提供和交付的货物和服务投标总价</w:t>
      </w:r>
      <w:r>
        <w:rPr>
          <w:rFonts w:hint="eastAsia" w:ascii="宋体" w:eastAsia="宋体"/>
          <w:spacing w:val="-17"/>
          <w:sz w:val="24"/>
        </w:rPr>
        <w:t>为</w:t>
      </w:r>
      <w:r>
        <w:rPr>
          <w:rFonts w:hint="eastAsia" w:ascii="宋体" w:eastAsia="宋体"/>
          <w:sz w:val="24"/>
        </w:rPr>
        <w:t>元（小写）；</w:t>
      </w:r>
      <w:r>
        <w:rPr>
          <w:rFonts w:hint="eastAsia" w:ascii="宋体" w:eastAsia="宋体"/>
          <w:sz w:val="24"/>
          <w:u w:val="single"/>
        </w:rPr>
        <w:tab/>
      </w:r>
      <w:r>
        <w:rPr>
          <w:rFonts w:hint="eastAsia" w:ascii="宋体" w:eastAsia="宋体"/>
          <w:sz w:val="24"/>
        </w:rPr>
        <w:t>元（大写，注明币种）；</w:t>
      </w:r>
    </w:p>
    <w:p w14:paraId="1381FA86">
      <w:pPr>
        <w:pStyle w:val="14"/>
        <w:numPr>
          <w:ilvl w:val="1"/>
          <w:numId w:val="45"/>
        </w:numPr>
        <w:tabs>
          <w:tab w:val="left" w:pos="1271"/>
          <w:tab w:val="left" w:pos="6309"/>
        </w:tabs>
        <w:spacing w:before="2" w:after="0" w:line="391" w:lineRule="auto"/>
        <w:ind w:left="1029" w:right="1027" w:firstLine="0"/>
        <w:jc w:val="left"/>
        <w:rPr>
          <w:rFonts w:hint="eastAsia" w:ascii="宋体" w:eastAsia="宋体"/>
          <w:sz w:val="24"/>
        </w:rPr>
      </w:pPr>
      <w:r>
        <w:rPr>
          <w:rFonts w:hint="eastAsia" w:ascii="宋体" w:eastAsia="宋体"/>
          <w:sz w:val="24"/>
        </w:rPr>
        <w:t>同意在本项目招标文件中规定的开标日</w:t>
      </w:r>
      <w:r>
        <w:rPr>
          <w:rFonts w:hint="eastAsia" w:ascii="宋体" w:eastAsia="宋体"/>
          <w:sz w:val="24"/>
          <w:u w:val="none"/>
        </w:rPr>
        <w:t xml:space="preserve">起 </w:t>
      </w:r>
      <w:r>
        <w:rPr>
          <w:rFonts w:hint="eastAsia" w:ascii="宋体" w:eastAsia="宋体"/>
          <w:sz w:val="24"/>
          <w:u w:val="single"/>
        </w:rPr>
        <w:tab/>
      </w:r>
      <w:r>
        <w:rPr>
          <w:rFonts w:hint="eastAsia" w:ascii="宋体" w:eastAsia="宋体"/>
          <w:sz w:val="24"/>
        </w:rPr>
        <w:t>天遵守本投标文件中的承诺</w:t>
      </w:r>
      <w:r>
        <w:rPr>
          <w:rFonts w:hint="eastAsia" w:ascii="宋体" w:eastAsia="宋体"/>
          <w:spacing w:val="-113"/>
          <w:sz w:val="24"/>
        </w:rPr>
        <w:t>，</w:t>
      </w:r>
      <w:r>
        <w:rPr>
          <w:rFonts w:hint="eastAsia" w:ascii="宋体" w:eastAsia="宋体"/>
          <w:spacing w:val="-17"/>
          <w:sz w:val="24"/>
        </w:rPr>
        <w:t>且</w:t>
      </w:r>
      <w:r>
        <w:rPr>
          <w:rFonts w:hint="eastAsia" w:ascii="宋体" w:eastAsia="宋体"/>
          <w:sz w:val="24"/>
        </w:rPr>
        <w:t>在期满之前均具有约束力。</w:t>
      </w:r>
    </w:p>
    <w:p w14:paraId="2AAD67A2">
      <w:pPr>
        <w:pStyle w:val="14"/>
        <w:numPr>
          <w:ilvl w:val="1"/>
          <w:numId w:val="45"/>
        </w:numPr>
        <w:tabs>
          <w:tab w:val="left" w:pos="1271"/>
        </w:tabs>
        <w:spacing w:before="0" w:after="0" w:line="388" w:lineRule="auto"/>
        <w:ind w:left="1029" w:right="914" w:firstLine="0"/>
        <w:jc w:val="left"/>
        <w:rPr>
          <w:rFonts w:hint="eastAsia" w:ascii="宋体" w:eastAsia="宋体"/>
          <w:sz w:val="24"/>
        </w:rPr>
      </w:pPr>
      <w:r>
        <w:rPr>
          <w:rFonts w:hint="eastAsia" w:ascii="宋体" w:eastAsia="宋体"/>
          <w:spacing w:val="-1"/>
          <w:sz w:val="24"/>
        </w:rPr>
        <w:t xml:space="preserve">具备政府采购相关法律法规规定的参加政府采购活动的供应商应当具备的条件： </w:t>
      </w:r>
      <w:r>
        <w:rPr>
          <w:rFonts w:hint="eastAsia" w:ascii="宋体" w:eastAsia="宋体"/>
          <w:sz w:val="24"/>
        </w:rPr>
        <w:t>(1)具有独立承担民事责任的能力；</w:t>
      </w:r>
    </w:p>
    <w:p w14:paraId="269E32D8">
      <w:pPr>
        <w:pStyle w:val="8"/>
        <w:spacing w:before="3" w:line="388" w:lineRule="auto"/>
        <w:ind w:left="1029" w:right="4394"/>
        <w:jc w:val="both"/>
        <w:rPr>
          <w:rFonts w:hint="eastAsia" w:ascii="宋体" w:eastAsia="宋体"/>
        </w:rPr>
      </w:pPr>
      <w:r>
        <w:rPr>
          <w:rFonts w:hint="eastAsia" w:ascii="宋体" w:eastAsia="宋体"/>
        </w:rPr>
        <w:t>(2)</w:t>
      </w:r>
      <w:r>
        <w:rPr>
          <w:rFonts w:hint="eastAsia" w:ascii="宋体" w:eastAsia="宋体"/>
          <w:spacing w:val="-1"/>
        </w:rPr>
        <w:t xml:space="preserve">具有良好的商业信誉和健全的财务会计制度； </w:t>
      </w:r>
      <w:r>
        <w:rPr>
          <w:rFonts w:hint="eastAsia" w:ascii="宋体" w:eastAsia="宋体"/>
        </w:rPr>
        <w:t>(3)</w:t>
      </w:r>
      <w:r>
        <w:rPr>
          <w:rFonts w:hint="eastAsia" w:ascii="宋体" w:eastAsia="宋体"/>
          <w:spacing w:val="-1"/>
        </w:rPr>
        <w:t xml:space="preserve">具有履行合同所必需的设备和专业技术能力； </w:t>
      </w:r>
      <w:r>
        <w:rPr>
          <w:rFonts w:hint="eastAsia" w:ascii="宋体" w:eastAsia="宋体"/>
        </w:rPr>
        <w:t>(4)</w:t>
      </w:r>
      <w:r>
        <w:rPr>
          <w:rFonts w:hint="eastAsia" w:ascii="宋体" w:eastAsia="宋体"/>
          <w:spacing w:val="-1"/>
        </w:rPr>
        <w:t>有依法缴纳税收和社会保障资金的良好记录；</w:t>
      </w:r>
    </w:p>
    <w:p w14:paraId="04C88457">
      <w:pPr>
        <w:pStyle w:val="8"/>
        <w:spacing w:before="6" w:line="388" w:lineRule="auto"/>
        <w:ind w:left="1029" w:right="2474"/>
        <w:rPr>
          <w:rFonts w:hint="eastAsia" w:ascii="宋体" w:eastAsia="宋体"/>
        </w:rPr>
      </w:pPr>
      <w:r>
        <w:rPr>
          <w:rFonts w:hint="eastAsia" w:ascii="宋体" w:eastAsia="宋体"/>
        </w:rPr>
        <w:t>(5)</w:t>
      </w:r>
      <w:r>
        <w:rPr>
          <w:rFonts w:hint="eastAsia" w:ascii="宋体" w:eastAsia="宋体"/>
          <w:spacing w:val="-6"/>
        </w:rPr>
        <w:t xml:space="preserve">参加此项采购活动前 </w:t>
      </w:r>
      <w:r>
        <w:rPr>
          <w:rFonts w:hint="eastAsia" w:ascii="宋体" w:eastAsia="宋体"/>
        </w:rPr>
        <w:t>3</w:t>
      </w:r>
      <w:r>
        <w:rPr>
          <w:rFonts w:hint="eastAsia" w:ascii="宋体" w:eastAsia="宋体"/>
          <w:spacing w:val="-9"/>
        </w:rPr>
        <w:t xml:space="preserve"> 年内，在经营活动中没有重大违法记录。</w:t>
      </w:r>
      <w:r>
        <w:rPr>
          <w:rFonts w:hint="eastAsia" w:ascii="宋体" w:eastAsia="宋体"/>
        </w:rPr>
        <w:t>4.具备本项目招标文件中规定的其他资格条件。</w:t>
      </w:r>
    </w:p>
    <w:p w14:paraId="02AAF3F3">
      <w:pPr>
        <w:pStyle w:val="14"/>
        <w:numPr>
          <w:ilvl w:val="0"/>
          <w:numId w:val="51"/>
        </w:numPr>
        <w:tabs>
          <w:tab w:val="left" w:pos="1271"/>
        </w:tabs>
        <w:spacing w:before="2" w:after="0" w:line="240" w:lineRule="auto"/>
        <w:ind w:left="1270" w:right="0" w:hanging="242"/>
        <w:jc w:val="left"/>
        <w:rPr>
          <w:rFonts w:hint="eastAsia" w:ascii="宋体" w:eastAsia="宋体"/>
          <w:sz w:val="24"/>
        </w:rPr>
      </w:pPr>
      <w:r>
        <w:rPr>
          <w:rFonts w:hint="eastAsia" w:ascii="宋体" w:eastAsia="宋体"/>
          <w:sz w:val="24"/>
        </w:rPr>
        <w:t>提供供应商须知规定的全部投标文件。</w:t>
      </w:r>
    </w:p>
    <w:p w14:paraId="1F512845">
      <w:pPr>
        <w:pStyle w:val="14"/>
        <w:numPr>
          <w:ilvl w:val="0"/>
          <w:numId w:val="51"/>
        </w:numPr>
        <w:tabs>
          <w:tab w:val="left" w:pos="1271"/>
        </w:tabs>
        <w:spacing w:before="194" w:after="0" w:line="240" w:lineRule="auto"/>
        <w:ind w:left="1270" w:right="0" w:hanging="242"/>
        <w:jc w:val="left"/>
        <w:rPr>
          <w:rFonts w:hint="eastAsia" w:ascii="宋体" w:eastAsia="宋体"/>
          <w:sz w:val="24"/>
        </w:rPr>
      </w:pPr>
      <w:r>
        <w:rPr>
          <w:rFonts w:hint="eastAsia" w:ascii="宋体" w:eastAsia="宋体"/>
          <w:sz w:val="24"/>
        </w:rPr>
        <w:t>已详细审阅全部招标文件(包括招标文件澄清函)，理解供应商须知的所有条款。</w:t>
      </w:r>
    </w:p>
    <w:p w14:paraId="19CF6770">
      <w:pPr>
        <w:pStyle w:val="14"/>
        <w:numPr>
          <w:ilvl w:val="0"/>
          <w:numId w:val="51"/>
        </w:numPr>
        <w:tabs>
          <w:tab w:val="left" w:pos="1271"/>
        </w:tabs>
        <w:spacing w:before="191" w:after="0" w:line="240" w:lineRule="auto"/>
        <w:ind w:left="1270" w:right="0" w:hanging="242"/>
        <w:jc w:val="left"/>
        <w:rPr>
          <w:rFonts w:hint="eastAsia" w:ascii="宋体" w:hAnsi="宋体" w:eastAsia="宋体"/>
          <w:sz w:val="24"/>
        </w:rPr>
      </w:pPr>
      <w:r>
        <w:rPr>
          <w:rFonts w:hint="eastAsia" w:ascii="宋体" w:hAnsi="宋体" w:eastAsia="宋体"/>
          <w:sz w:val="24"/>
        </w:rPr>
        <w:t>完全理解综合评分法不以“最高报价不能作为中标的保证”的规定。</w:t>
      </w:r>
    </w:p>
    <w:p w14:paraId="68A08D18">
      <w:pPr>
        <w:pStyle w:val="14"/>
        <w:numPr>
          <w:ilvl w:val="0"/>
          <w:numId w:val="51"/>
        </w:numPr>
        <w:tabs>
          <w:tab w:val="left" w:pos="1271"/>
        </w:tabs>
        <w:spacing w:before="192" w:after="0" w:line="391" w:lineRule="auto"/>
        <w:ind w:left="1029" w:right="1027" w:firstLine="0"/>
        <w:jc w:val="left"/>
        <w:rPr>
          <w:rFonts w:hint="eastAsia" w:ascii="宋体" w:eastAsia="宋体"/>
          <w:sz w:val="24"/>
        </w:rPr>
      </w:pPr>
      <w:r>
        <w:rPr>
          <w:rFonts w:hint="eastAsia" w:ascii="宋体" w:eastAsia="宋体"/>
          <w:spacing w:val="-9"/>
          <w:sz w:val="24"/>
        </w:rPr>
        <w:t>接受招标文件中全部合同条款，且无任何异议；保证忠实地执行双方所签订的合</w:t>
      </w:r>
      <w:r>
        <w:rPr>
          <w:rFonts w:hint="eastAsia" w:ascii="宋体" w:eastAsia="宋体"/>
          <w:sz w:val="24"/>
        </w:rPr>
        <w:t>同，并承担合同规定的责任和义务。</w:t>
      </w:r>
    </w:p>
    <w:p w14:paraId="71B9607C">
      <w:pPr>
        <w:pStyle w:val="14"/>
        <w:numPr>
          <w:ilvl w:val="0"/>
          <w:numId w:val="51"/>
        </w:numPr>
        <w:tabs>
          <w:tab w:val="left" w:pos="1271"/>
        </w:tabs>
        <w:spacing w:before="0" w:after="0" w:line="388" w:lineRule="auto"/>
        <w:ind w:left="1029" w:right="1027" w:firstLine="0"/>
        <w:jc w:val="left"/>
        <w:rPr>
          <w:rFonts w:hint="eastAsia" w:ascii="宋体" w:eastAsia="宋体"/>
          <w:sz w:val="24"/>
        </w:rPr>
      </w:pPr>
      <w:r>
        <w:rPr>
          <w:rFonts w:hint="eastAsia" w:ascii="宋体" w:eastAsia="宋体"/>
          <w:spacing w:val="-6"/>
          <w:sz w:val="24"/>
        </w:rPr>
        <w:t>完全满足和响应招标文件中的各项商务和技术要求，若有偏差，已在投标文件中</w:t>
      </w:r>
      <w:r>
        <w:rPr>
          <w:rFonts w:hint="eastAsia" w:ascii="宋体" w:eastAsia="宋体"/>
          <w:sz w:val="24"/>
        </w:rPr>
        <w:t>明确说明。</w:t>
      </w:r>
    </w:p>
    <w:p w14:paraId="318C006B">
      <w:pPr>
        <w:pStyle w:val="14"/>
        <w:numPr>
          <w:ilvl w:val="0"/>
          <w:numId w:val="51"/>
        </w:numPr>
        <w:tabs>
          <w:tab w:val="left" w:pos="1391"/>
        </w:tabs>
        <w:spacing w:before="3" w:after="0" w:line="388" w:lineRule="auto"/>
        <w:ind w:left="1029" w:right="1034" w:firstLine="0"/>
        <w:jc w:val="left"/>
        <w:rPr>
          <w:rFonts w:hint="eastAsia" w:ascii="宋体" w:eastAsia="宋体"/>
          <w:sz w:val="24"/>
        </w:rPr>
      </w:pPr>
      <w:r>
        <w:rPr>
          <w:rFonts w:hint="eastAsia" w:ascii="宋体" w:eastAsia="宋体"/>
          <w:spacing w:val="-1"/>
          <w:sz w:val="24"/>
        </w:rPr>
        <w:t>如果在开标后规定的投标有效期内撤回投标，贵方可不予退还我方的投标保证</w:t>
      </w:r>
      <w:r>
        <w:rPr>
          <w:rFonts w:hint="eastAsia" w:ascii="宋体" w:eastAsia="宋体"/>
          <w:sz w:val="24"/>
        </w:rPr>
        <w:t>金。</w:t>
      </w:r>
    </w:p>
    <w:p w14:paraId="3B6DFD46">
      <w:pPr>
        <w:pStyle w:val="14"/>
        <w:numPr>
          <w:ilvl w:val="0"/>
          <w:numId w:val="51"/>
        </w:numPr>
        <w:tabs>
          <w:tab w:val="left" w:pos="1391"/>
        </w:tabs>
        <w:spacing w:before="2" w:after="0" w:line="240" w:lineRule="auto"/>
        <w:ind w:left="1390" w:right="0" w:hanging="362"/>
        <w:jc w:val="left"/>
        <w:rPr>
          <w:rFonts w:hint="eastAsia" w:ascii="宋体" w:eastAsia="宋体"/>
          <w:sz w:val="24"/>
        </w:rPr>
      </w:pPr>
      <w:r>
        <w:rPr>
          <w:rFonts w:hint="eastAsia" w:ascii="宋体" w:eastAsia="宋体"/>
          <w:sz w:val="24"/>
        </w:rPr>
        <w:t>愿意提供任何与投标有关的数据、情况和技术资料等。</w:t>
      </w:r>
    </w:p>
    <w:p w14:paraId="22593711">
      <w:pPr>
        <w:spacing w:after="0" w:line="240" w:lineRule="auto"/>
        <w:jc w:val="left"/>
        <w:rPr>
          <w:rFonts w:hint="eastAsia" w:ascii="宋体" w:eastAsia="宋体"/>
          <w:sz w:val="24"/>
        </w:rPr>
        <w:sectPr>
          <w:pgSz w:w="11910" w:h="16840"/>
          <w:pgMar w:top="1540" w:right="660" w:bottom="1180" w:left="660" w:header="0" w:footer="909" w:gutter="0"/>
          <w:cols w:space="720" w:num="1"/>
        </w:sectPr>
      </w:pPr>
    </w:p>
    <w:p w14:paraId="67AC0E00">
      <w:pPr>
        <w:pStyle w:val="14"/>
        <w:numPr>
          <w:ilvl w:val="0"/>
          <w:numId w:val="51"/>
        </w:numPr>
        <w:tabs>
          <w:tab w:val="left" w:pos="1391"/>
        </w:tabs>
        <w:spacing w:before="44" w:after="0" w:line="240" w:lineRule="auto"/>
        <w:ind w:left="1390" w:right="0" w:hanging="362"/>
        <w:jc w:val="left"/>
        <w:rPr>
          <w:rFonts w:hint="eastAsia" w:ascii="宋体" w:eastAsia="宋体"/>
          <w:sz w:val="24"/>
        </w:rPr>
      </w:pPr>
      <w:r>
        <w:rPr>
          <w:rFonts w:hint="eastAsia" w:ascii="宋体" w:eastAsia="宋体"/>
          <w:sz w:val="24"/>
        </w:rPr>
        <w:t>我方已详细审核全部投标文件、参考资料及有关附件，确认无误。</w:t>
      </w:r>
    </w:p>
    <w:p w14:paraId="0C9A69EC">
      <w:pPr>
        <w:pStyle w:val="14"/>
        <w:numPr>
          <w:ilvl w:val="0"/>
          <w:numId w:val="51"/>
        </w:numPr>
        <w:tabs>
          <w:tab w:val="left" w:pos="1391"/>
        </w:tabs>
        <w:spacing w:before="191" w:after="0" w:line="388" w:lineRule="auto"/>
        <w:ind w:left="1029" w:right="1034" w:firstLine="0"/>
        <w:jc w:val="left"/>
        <w:rPr>
          <w:rFonts w:hint="eastAsia" w:ascii="宋体" w:eastAsia="宋体"/>
          <w:sz w:val="24"/>
        </w:rPr>
      </w:pPr>
      <w:r>
        <w:rPr>
          <w:rFonts w:hint="eastAsia" w:ascii="宋体" w:eastAsia="宋体"/>
          <w:spacing w:val="-1"/>
          <w:sz w:val="24"/>
        </w:rPr>
        <w:t>对本次招标内容及与本项目有关的知识产权、技术资料、商业秘密及相关信息</w:t>
      </w:r>
      <w:r>
        <w:rPr>
          <w:rFonts w:hint="eastAsia" w:ascii="宋体" w:eastAsia="宋体"/>
          <w:sz w:val="24"/>
        </w:rPr>
        <w:t>保密。</w:t>
      </w:r>
    </w:p>
    <w:p w14:paraId="1879250E">
      <w:pPr>
        <w:pStyle w:val="14"/>
        <w:numPr>
          <w:ilvl w:val="0"/>
          <w:numId w:val="51"/>
        </w:numPr>
        <w:tabs>
          <w:tab w:val="left" w:pos="1391"/>
        </w:tabs>
        <w:spacing w:before="5" w:after="0" w:line="240" w:lineRule="auto"/>
        <w:ind w:left="1390" w:right="0" w:hanging="362"/>
        <w:jc w:val="left"/>
        <w:rPr>
          <w:rFonts w:hint="eastAsia" w:ascii="宋体" w:eastAsia="宋体"/>
          <w:sz w:val="24"/>
        </w:rPr>
      </w:pPr>
      <w:r>
        <w:rPr>
          <w:rFonts w:hint="eastAsia" w:ascii="宋体" w:eastAsia="宋体"/>
          <w:sz w:val="24"/>
        </w:rPr>
        <w:t>与采购人和采购代理机构无任何的隶属关系或者其他利害关系。</w:t>
      </w:r>
    </w:p>
    <w:p w14:paraId="09D4A60A">
      <w:pPr>
        <w:pStyle w:val="8"/>
        <w:spacing w:before="10"/>
        <w:rPr>
          <w:rFonts w:ascii="宋体"/>
          <w:sz w:val="30"/>
        </w:rPr>
      </w:pPr>
    </w:p>
    <w:p w14:paraId="0DEABF2C">
      <w:pPr>
        <w:pStyle w:val="8"/>
        <w:tabs>
          <w:tab w:val="left" w:pos="3909"/>
          <w:tab w:val="left" w:pos="6849"/>
        </w:tabs>
        <w:ind w:left="1029"/>
        <w:rPr>
          <w:rFonts w:ascii="Times New Roman" w:eastAsia="Times New Roman"/>
        </w:rPr>
      </w:pPr>
      <w:r>
        <w:rPr>
          <w:rFonts w:hint="eastAsia" w:ascii="宋体" w:eastAsia="宋体"/>
        </w:rPr>
        <w:t>供应商名称：</w:t>
      </w:r>
      <w:r>
        <w:rPr>
          <w:rFonts w:hint="eastAsia" w:ascii="宋体" w:eastAsia="宋体"/>
          <w:u w:val="single"/>
        </w:rPr>
        <w:t xml:space="preserve"> </w:t>
      </w:r>
      <w:r>
        <w:rPr>
          <w:rFonts w:hint="eastAsia" w:ascii="宋体" w:eastAsia="宋体"/>
          <w:u w:val="single"/>
        </w:rPr>
        <w:tab/>
      </w:r>
      <w:r>
        <w:rPr>
          <w:rFonts w:hint="eastAsia" w:ascii="宋体" w:eastAsia="宋体"/>
        </w:rPr>
        <w:t>供应商公章：</w:t>
      </w:r>
      <w:r>
        <w:rPr>
          <w:rFonts w:ascii="Times New Roman" w:eastAsia="Times New Roman"/>
          <w:u w:val="single"/>
        </w:rPr>
        <w:t xml:space="preserve"> </w:t>
      </w:r>
      <w:r>
        <w:rPr>
          <w:rFonts w:ascii="Times New Roman" w:eastAsia="Times New Roman"/>
          <w:u w:val="single"/>
        </w:rPr>
        <w:tab/>
      </w:r>
    </w:p>
    <w:p w14:paraId="37052D2C">
      <w:pPr>
        <w:pStyle w:val="8"/>
        <w:spacing w:before="2"/>
        <w:rPr>
          <w:rFonts w:ascii="Times New Roman"/>
          <w:sz w:val="10"/>
        </w:rPr>
      </w:pPr>
    </w:p>
    <w:p w14:paraId="2466B75F">
      <w:pPr>
        <w:pStyle w:val="8"/>
        <w:tabs>
          <w:tab w:val="left" w:pos="3909"/>
          <w:tab w:val="left" w:pos="6129"/>
        </w:tabs>
        <w:spacing w:before="75"/>
        <w:ind w:left="1029"/>
        <w:rPr>
          <w:rFonts w:ascii="Times New Roman" w:eastAsia="Times New Roman"/>
        </w:rPr>
      </w:pPr>
      <w:r>
        <w:rPr>
          <w:rFonts w:hint="eastAsia" w:ascii="宋体" w:eastAsia="宋体"/>
        </w:rPr>
        <w:t>供应商地址：</w:t>
      </w:r>
      <w:r>
        <w:rPr>
          <w:rFonts w:hint="eastAsia" w:ascii="宋体" w:eastAsia="宋体"/>
          <w:u w:val="single"/>
        </w:rPr>
        <w:t xml:space="preserve"> </w:t>
      </w:r>
      <w:r>
        <w:rPr>
          <w:rFonts w:hint="eastAsia" w:ascii="宋体" w:eastAsia="宋体"/>
          <w:u w:val="single"/>
        </w:rPr>
        <w:tab/>
      </w:r>
      <w:r>
        <w:rPr>
          <w:rFonts w:hint="eastAsia" w:ascii="宋体" w:eastAsia="宋体"/>
        </w:rPr>
        <w:t>邮编：</w:t>
      </w:r>
      <w:r>
        <w:rPr>
          <w:rFonts w:ascii="Times New Roman" w:eastAsia="Times New Roman"/>
          <w:u w:val="single"/>
        </w:rPr>
        <w:t xml:space="preserve"> </w:t>
      </w:r>
      <w:r>
        <w:rPr>
          <w:rFonts w:ascii="Times New Roman" w:eastAsia="Times New Roman"/>
          <w:u w:val="single"/>
        </w:rPr>
        <w:tab/>
      </w:r>
    </w:p>
    <w:p w14:paraId="568DC334">
      <w:pPr>
        <w:pStyle w:val="8"/>
        <w:spacing w:before="2"/>
        <w:rPr>
          <w:rFonts w:ascii="Times New Roman"/>
          <w:sz w:val="10"/>
        </w:rPr>
      </w:pPr>
    </w:p>
    <w:p w14:paraId="3FE7E305">
      <w:pPr>
        <w:pStyle w:val="8"/>
        <w:tabs>
          <w:tab w:val="left" w:pos="3189"/>
          <w:tab w:val="left" w:pos="5409"/>
        </w:tabs>
        <w:spacing w:before="74"/>
        <w:ind w:left="1029"/>
        <w:rPr>
          <w:rFonts w:ascii="Times New Roman" w:eastAsia="Times New Roman"/>
        </w:rPr>
      </w:pPr>
      <w:r>
        <w:rPr>
          <w:rFonts w:hint="eastAsia" w:ascii="宋体" w:eastAsia="宋体"/>
        </w:rPr>
        <w:t>电话：</w:t>
      </w:r>
      <w:r>
        <w:rPr>
          <w:rFonts w:hint="eastAsia" w:ascii="宋体" w:eastAsia="宋体"/>
          <w:u w:val="single"/>
        </w:rPr>
        <w:t xml:space="preserve"> </w:t>
      </w:r>
      <w:r>
        <w:rPr>
          <w:rFonts w:hint="eastAsia" w:ascii="宋体" w:eastAsia="宋体"/>
          <w:u w:val="single"/>
        </w:rPr>
        <w:tab/>
      </w:r>
      <w:r>
        <w:rPr>
          <w:rFonts w:hint="eastAsia" w:ascii="宋体" w:eastAsia="宋体"/>
        </w:rPr>
        <w:t>传真：</w:t>
      </w:r>
      <w:r>
        <w:rPr>
          <w:rFonts w:ascii="Times New Roman" w:eastAsia="Times New Roman"/>
          <w:u w:val="single"/>
        </w:rPr>
        <w:t xml:space="preserve"> </w:t>
      </w:r>
      <w:r>
        <w:rPr>
          <w:rFonts w:ascii="Times New Roman" w:eastAsia="Times New Roman"/>
          <w:u w:val="single"/>
        </w:rPr>
        <w:tab/>
      </w:r>
    </w:p>
    <w:p w14:paraId="5CC2A983">
      <w:pPr>
        <w:pStyle w:val="8"/>
        <w:spacing w:before="5"/>
        <w:rPr>
          <w:rFonts w:ascii="Times New Roman"/>
          <w:sz w:val="10"/>
        </w:rPr>
      </w:pPr>
    </w:p>
    <w:p w14:paraId="6767873D">
      <w:pPr>
        <w:pStyle w:val="8"/>
        <w:tabs>
          <w:tab w:val="left" w:pos="6849"/>
        </w:tabs>
        <w:spacing w:before="74"/>
        <w:ind w:left="1029"/>
        <w:rPr>
          <w:rFonts w:ascii="Times New Roman" w:eastAsia="Times New Roman"/>
        </w:rPr>
      </w:pPr>
      <w:r>
        <w:rPr>
          <w:rFonts w:hint="eastAsia" w:ascii="宋体" w:eastAsia="宋体"/>
        </w:rPr>
        <w:t>法定代表人或供应商代表(签字或盖章)：</w:t>
      </w:r>
      <w:r>
        <w:rPr>
          <w:rFonts w:ascii="Times New Roman" w:eastAsia="Times New Roman"/>
          <w:u w:val="single"/>
        </w:rPr>
        <w:t xml:space="preserve"> </w:t>
      </w:r>
      <w:r>
        <w:rPr>
          <w:rFonts w:ascii="Times New Roman" w:eastAsia="Times New Roman"/>
          <w:u w:val="single"/>
        </w:rPr>
        <w:tab/>
      </w:r>
    </w:p>
    <w:p w14:paraId="3180FA95">
      <w:pPr>
        <w:pStyle w:val="8"/>
        <w:spacing w:before="3"/>
        <w:rPr>
          <w:rFonts w:ascii="Times New Roman"/>
          <w:sz w:val="10"/>
        </w:rPr>
      </w:pPr>
    </w:p>
    <w:p w14:paraId="7550CCA0">
      <w:pPr>
        <w:pStyle w:val="8"/>
        <w:tabs>
          <w:tab w:val="left" w:pos="3729"/>
        </w:tabs>
        <w:spacing w:before="74"/>
        <w:ind w:left="1029"/>
        <w:rPr>
          <w:rFonts w:ascii="Times New Roman" w:eastAsia="Times New Roman"/>
        </w:rPr>
      </w:pPr>
      <w:r>
        <w:rPr>
          <w:rFonts w:hint="eastAsia" w:ascii="宋体" w:eastAsia="宋体"/>
        </w:rPr>
        <w:t>联系电话：</w:t>
      </w:r>
      <w:r>
        <w:rPr>
          <w:rFonts w:ascii="Times New Roman" w:eastAsia="Times New Roman"/>
          <w:u w:val="single"/>
        </w:rPr>
        <w:t xml:space="preserve"> </w:t>
      </w:r>
      <w:r>
        <w:rPr>
          <w:rFonts w:ascii="Times New Roman" w:eastAsia="Times New Roman"/>
          <w:u w:val="single"/>
        </w:rPr>
        <w:tab/>
      </w:r>
    </w:p>
    <w:p w14:paraId="16071182">
      <w:pPr>
        <w:pStyle w:val="8"/>
        <w:spacing w:before="10"/>
        <w:rPr>
          <w:rFonts w:ascii="Times New Roman"/>
          <w:sz w:val="10"/>
        </w:rPr>
      </w:pPr>
    </w:p>
    <w:p w14:paraId="641C05AE">
      <w:pPr>
        <w:pStyle w:val="8"/>
        <w:tabs>
          <w:tab w:val="left" w:pos="3249"/>
        </w:tabs>
        <w:spacing w:before="67"/>
        <w:ind w:left="1029"/>
        <w:rPr>
          <w:rFonts w:ascii="Times New Roman" w:eastAsia="Times New Roman"/>
        </w:rPr>
      </w:pPr>
      <w:r>
        <w:rPr>
          <w:rFonts w:hint="eastAsia" w:ascii="宋体" w:eastAsia="宋体"/>
        </w:rPr>
        <w:t>日期：</w:t>
      </w:r>
      <w:r>
        <w:rPr>
          <w:rFonts w:ascii="Times New Roman" w:eastAsia="Times New Roman"/>
          <w:u w:val="single"/>
        </w:rPr>
        <w:t xml:space="preserve"> </w:t>
      </w:r>
      <w:r>
        <w:rPr>
          <w:rFonts w:ascii="Times New Roman" w:eastAsia="Times New Roman"/>
          <w:u w:val="single"/>
        </w:rPr>
        <w:tab/>
      </w:r>
    </w:p>
    <w:p w14:paraId="434C5BED">
      <w:pPr>
        <w:spacing w:after="0"/>
        <w:rPr>
          <w:rFonts w:ascii="Times New Roman" w:eastAsia="Times New Roman"/>
        </w:rPr>
        <w:sectPr>
          <w:pgSz w:w="11910" w:h="16840"/>
          <w:pgMar w:top="1540" w:right="660" w:bottom="1180" w:left="660" w:header="0" w:footer="909" w:gutter="0"/>
          <w:cols w:space="720" w:num="1"/>
        </w:sectPr>
      </w:pPr>
    </w:p>
    <w:p w14:paraId="51273545">
      <w:pPr>
        <w:pStyle w:val="8"/>
        <w:tabs>
          <w:tab w:val="left" w:pos="2289"/>
        </w:tabs>
        <w:spacing w:before="44"/>
        <w:ind w:left="1029"/>
        <w:rPr>
          <w:rFonts w:hint="eastAsia" w:ascii="宋体" w:eastAsia="宋体"/>
        </w:rPr>
      </w:pPr>
      <w:r>
        <w:rPr>
          <w:rFonts w:hint="eastAsia" w:ascii="宋体" w:eastAsia="宋体"/>
        </w:rPr>
        <w:t>附件</w:t>
      </w:r>
      <w:r>
        <w:rPr>
          <w:rFonts w:hint="eastAsia" w:ascii="宋体" w:eastAsia="宋体"/>
          <w:spacing w:val="-60"/>
        </w:rPr>
        <w:t xml:space="preserve"> </w:t>
      </w:r>
      <w:r>
        <w:rPr>
          <w:rFonts w:hint="eastAsia" w:ascii="宋体" w:eastAsia="宋体"/>
        </w:rPr>
        <w:t>1－1</w:t>
      </w:r>
      <w:r>
        <w:rPr>
          <w:rFonts w:hint="eastAsia" w:ascii="宋体" w:eastAsia="宋体"/>
        </w:rPr>
        <w:tab/>
      </w:r>
      <w:r>
        <w:rPr>
          <w:rFonts w:hint="eastAsia" w:ascii="宋体" w:eastAsia="宋体"/>
        </w:rPr>
        <w:t>法定代表人身份证明复印件(法定代表人参加投标)</w:t>
      </w:r>
    </w:p>
    <w:p w14:paraId="6C69017A">
      <w:pPr>
        <w:pStyle w:val="8"/>
        <w:rPr>
          <w:rFonts w:ascii="宋体"/>
          <w:sz w:val="20"/>
        </w:rPr>
      </w:pPr>
    </w:p>
    <w:p w14:paraId="055FAEB6">
      <w:pPr>
        <w:pStyle w:val="8"/>
        <w:spacing w:before="4"/>
        <w:rPr>
          <w:rFonts w:ascii="宋体"/>
          <w:sz w:val="18"/>
        </w:rPr>
      </w:pPr>
      <w:r>
        <mc:AlternateContent>
          <mc:Choice Requires="wps">
            <w:drawing>
              <wp:anchor distT="0" distB="0" distL="114300" distR="114300" simplePos="0" relativeHeight="251665408" behindDoc="1" locked="0" layoutInCell="1" allowOverlap="1">
                <wp:simplePos x="0" y="0"/>
                <wp:positionH relativeFrom="page">
                  <wp:posOffset>2154555</wp:posOffset>
                </wp:positionH>
                <wp:positionV relativeFrom="paragraph">
                  <wp:posOffset>177165</wp:posOffset>
                </wp:positionV>
                <wp:extent cx="3249930" cy="1165225"/>
                <wp:effectExtent l="4445" t="4445" r="22225" b="11430"/>
                <wp:wrapTopAndBottom/>
                <wp:docPr id="6" name="文本框 3"/>
                <wp:cNvGraphicFramePr/>
                <a:graphic xmlns:a="http://schemas.openxmlformats.org/drawingml/2006/main">
                  <a:graphicData uri="http://schemas.microsoft.com/office/word/2010/wordprocessingShape">
                    <wps:wsp>
                      <wps:cNvSpPr txBox="1"/>
                      <wps:spPr>
                        <a:xfrm>
                          <a:off x="0" y="0"/>
                          <a:ext cx="3249930" cy="1165225"/>
                        </a:xfrm>
                        <a:prstGeom prst="rect">
                          <a:avLst/>
                        </a:prstGeom>
                        <a:noFill/>
                        <a:ln w="6096" cap="flat" cmpd="sng">
                          <a:solidFill>
                            <a:srgbClr val="000000"/>
                          </a:solidFill>
                          <a:prstDash val="solid"/>
                          <a:miter/>
                          <a:headEnd type="none" w="med" len="med"/>
                          <a:tailEnd type="none" w="med" len="med"/>
                        </a:ln>
                      </wps:spPr>
                      <wps:txbx>
                        <w:txbxContent>
                          <w:p w14:paraId="1DBAC336">
                            <w:pPr>
                              <w:pStyle w:val="8"/>
                              <w:rPr>
                                <w:rFonts w:ascii="宋体"/>
                              </w:rPr>
                            </w:pPr>
                          </w:p>
                          <w:p w14:paraId="5802F760">
                            <w:pPr>
                              <w:pStyle w:val="8"/>
                              <w:spacing w:before="9"/>
                              <w:rPr>
                                <w:rFonts w:ascii="宋体"/>
                                <w:sz w:val="20"/>
                              </w:rPr>
                            </w:pPr>
                          </w:p>
                          <w:p w14:paraId="18EE9B54">
                            <w:pPr>
                              <w:pStyle w:val="8"/>
                              <w:spacing w:line="388" w:lineRule="auto"/>
                              <w:ind w:left="2193" w:right="1113" w:hanging="1080"/>
                              <w:rPr>
                                <w:rFonts w:hint="eastAsia" w:ascii="宋体" w:eastAsia="宋体"/>
                              </w:rPr>
                            </w:pPr>
                            <w:r>
                              <w:rPr>
                                <w:rFonts w:hint="eastAsia" w:ascii="宋体" w:eastAsia="宋体"/>
                              </w:rPr>
                              <w:t>法定代表人身份证明复印件正反面</w:t>
                            </w:r>
                          </w:p>
                        </w:txbxContent>
                      </wps:txbx>
                      <wps:bodyPr lIns="0" tIns="0" rIns="0" bIns="0" upright="1"/>
                    </wps:wsp>
                  </a:graphicData>
                </a:graphic>
              </wp:anchor>
            </w:drawing>
          </mc:Choice>
          <mc:Fallback>
            <w:pict>
              <v:shape id="文本框 3" o:spid="_x0000_s1026" o:spt="202" type="#_x0000_t202" style="position:absolute;left:0pt;margin-left:169.65pt;margin-top:13.95pt;height:91.75pt;width:255.9pt;mso-position-horizontal-relative:page;mso-wrap-distance-bottom:0pt;mso-wrap-distance-top:0pt;z-index:-251651072;mso-width-relative:page;mso-height-relative:page;" filled="f" stroked="t" coordsize="21600,21600" o:gfxdata="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s1gytgAAAAKAQAADwAAAAAA&#10;AAABACAAAAAiAAAAZHJzL2Rvd25yZXYueG1sUEsBAhQAFAAAAAgAh07iQLpOg7oTAgAAMgQAAA4A&#10;AAAAAAAAAQAgAAAAJwEAAGRycy9lMm9Eb2MueG1sUEsFBgAAAAAGAAYAWQEAAKwFAAAAAA==&#10;">
                <v:fill on="f" focussize="0,0"/>
                <v:stroke weight="0.48pt" color="#000000" joinstyle="miter"/>
                <v:imagedata o:title=""/>
                <o:lock v:ext="edit" aspectratio="f"/>
                <v:textbox inset="0mm,0mm,0mm,0mm">
                  <w:txbxContent>
                    <w:p w14:paraId="1DBAC336">
                      <w:pPr>
                        <w:pStyle w:val="8"/>
                        <w:rPr>
                          <w:rFonts w:ascii="宋体"/>
                        </w:rPr>
                      </w:pPr>
                    </w:p>
                    <w:p w14:paraId="5802F760">
                      <w:pPr>
                        <w:pStyle w:val="8"/>
                        <w:spacing w:before="9"/>
                        <w:rPr>
                          <w:rFonts w:ascii="宋体"/>
                          <w:sz w:val="20"/>
                        </w:rPr>
                      </w:pPr>
                    </w:p>
                    <w:p w14:paraId="18EE9B54">
                      <w:pPr>
                        <w:pStyle w:val="8"/>
                        <w:spacing w:line="388" w:lineRule="auto"/>
                        <w:ind w:left="2193" w:right="1113" w:hanging="1080"/>
                        <w:rPr>
                          <w:rFonts w:hint="eastAsia" w:ascii="宋体" w:eastAsia="宋体"/>
                        </w:rPr>
                      </w:pPr>
                      <w:r>
                        <w:rPr>
                          <w:rFonts w:hint="eastAsia" w:ascii="宋体" w:eastAsia="宋体"/>
                        </w:rPr>
                        <w:t>法定代表人身份证明复印件正反面</w:t>
                      </w:r>
                    </w:p>
                  </w:txbxContent>
                </v:textbox>
                <w10:wrap type="topAndBottom"/>
              </v:shape>
            </w:pict>
          </mc:Fallback>
        </mc:AlternateContent>
      </w:r>
    </w:p>
    <w:p w14:paraId="2356F50D">
      <w:pPr>
        <w:pStyle w:val="8"/>
        <w:rPr>
          <w:rFonts w:ascii="宋体"/>
          <w:sz w:val="20"/>
        </w:rPr>
      </w:pPr>
    </w:p>
    <w:p w14:paraId="5C315E13">
      <w:pPr>
        <w:pStyle w:val="8"/>
        <w:spacing w:before="1"/>
        <w:rPr>
          <w:rFonts w:ascii="宋体"/>
        </w:rPr>
      </w:pPr>
    </w:p>
    <w:p w14:paraId="71975E04">
      <w:pPr>
        <w:pStyle w:val="8"/>
        <w:tabs>
          <w:tab w:val="left" w:pos="2289"/>
        </w:tabs>
        <w:spacing w:before="66"/>
        <w:ind w:left="1029"/>
        <w:rPr>
          <w:rFonts w:hint="eastAsia" w:ascii="宋体" w:eastAsia="宋体"/>
        </w:rPr>
      </w:pPr>
      <w:r>
        <w:rPr>
          <w:rFonts w:hint="eastAsia" w:ascii="宋体" w:eastAsia="宋体"/>
        </w:rPr>
        <w:t>附件</w:t>
      </w:r>
      <w:r>
        <w:rPr>
          <w:rFonts w:hint="eastAsia" w:ascii="宋体" w:eastAsia="宋体"/>
          <w:spacing w:val="-60"/>
        </w:rPr>
        <w:t xml:space="preserve"> </w:t>
      </w:r>
      <w:r>
        <w:rPr>
          <w:rFonts w:hint="eastAsia" w:ascii="宋体" w:eastAsia="宋体"/>
        </w:rPr>
        <w:t>1－2</w:t>
      </w:r>
      <w:r>
        <w:rPr>
          <w:rFonts w:hint="eastAsia" w:ascii="宋体" w:eastAsia="宋体"/>
        </w:rPr>
        <w:tab/>
      </w:r>
      <w:r>
        <w:rPr>
          <w:rFonts w:hint="eastAsia" w:ascii="宋体" w:eastAsia="宋体"/>
        </w:rPr>
        <w:t>法定代表人授权委托书(授权代表参加投标)</w:t>
      </w:r>
    </w:p>
    <w:p w14:paraId="03444C3B">
      <w:pPr>
        <w:pStyle w:val="8"/>
        <w:spacing w:before="194"/>
        <w:ind w:left="1377" w:right="1378"/>
        <w:jc w:val="center"/>
        <w:rPr>
          <w:rFonts w:hint="eastAsia" w:ascii="宋体" w:eastAsia="宋体"/>
        </w:rPr>
      </w:pPr>
      <w:r>
        <w:rPr>
          <w:rFonts w:hint="eastAsia" w:ascii="宋体" w:eastAsia="宋体"/>
        </w:rPr>
        <w:t>法定代表人授权委托书</w:t>
      </w:r>
    </w:p>
    <w:p w14:paraId="5BC90B83">
      <w:pPr>
        <w:pStyle w:val="8"/>
        <w:spacing w:before="3"/>
        <w:rPr>
          <w:rFonts w:ascii="宋体"/>
          <w:sz w:val="9"/>
        </w:rPr>
      </w:pPr>
    </w:p>
    <w:p w14:paraId="1C2BA43F">
      <w:pPr>
        <w:pStyle w:val="8"/>
        <w:tabs>
          <w:tab w:val="left" w:pos="1439"/>
          <w:tab w:val="left" w:pos="5279"/>
        </w:tabs>
        <w:spacing w:before="74"/>
        <w:ind w:right="364"/>
        <w:jc w:val="center"/>
        <w:rPr>
          <w:rFonts w:hint="eastAsia" w:ascii="宋体" w:eastAsia="宋体"/>
        </w:rPr>
      </w:pPr>
      <w:r>
        <w:rPr>
          <w:rFonts w:ascii="Times New Roman" w:eastAsia="Times New Roman"/>
          <w:u w:val="single"/>
        </w:rPr>
        <w:t xml:space="preserve"> </w:t>
      </w:r>
      <w:r>
        <w:rPr>
          <w:rFonts w:ascii="Times New Roman" w:eastAsia="Times New Roman"/>
          <w:u w:val="single"/>
        </w:rPr>
        <w:tab/>
      </w:r>
      <w:r>
        <w:rPr>
          <w:rFonts w:hint="eastAsia" w:ascii="宋体" w:eastAsia="宋体"/>
        </w:rPr>
        <w:t>(供应商名称)的法定代表人</w:t>
      </w:r>
      <w:r>
        <w:rPr>
          <w:rFonts w:hint="eastAsia" w:ascii="宋体" w:eastAsia="宋体"/>
          <w:u w:val="single"/>
        </w:rPr>
        <w:t xml:space="preserve"> </w:t>
      </w:r>
      <w:r>
        <w:rPr>
          <w:rFonts w:hint="eastAsia" w:ascii="宋体" w:eastAsia="宋体"/>
          <w:u w:val="single"/>
        </w:rPr>
        <w:tab/>
      </w:r>
      <w:r>
        <w:rPr>
          <w:rFonts w:hint="eastAsia" w:ascii="宋体" w:eastAsia="宋体"/>
        </w:rPr>
        <w:t>(姓名、职务)授权</w:t>
      </w:r>
    </w:p>
    <w:p w14:paraId="18D23402">
      <w:pPr>
        <w:pStyle w:val="8"/>
        <w:spacing w:before="2"/>
        <w:rPr>
          <w:rFonts w:ascii="宋体"/>
          <w:sz w:val="9"/>
        </w:rPr>
      </w:pPr>
    </w:p>
    <w:p w14:paraId="582F8342">
      <w:pPr>
        <w:pStyle w:val="8"/>
        <w:tabs>
          <w:tab w:val="left" w:pos="1989"/>
          <w:tab w:val="left" w:pos="8356"/>
        </w:tabs>
        <w:spacing w:before="74" w:line="391" w:lineRule="auto"/>
        <w:ind w:left="1029" w:right="1027"/>
        <w:rPr>
          <w:rFonts w:hint="eastAsia" w:ascii="宋体" w:eastAsia="宋体"/>
        </w:rPr>
      </w:pPr>
      <w:r>
        <w:rPr>
          <w:rFonts w:ascii="Times New Roman" w:eastAsia="Times New Roman"/>
          <w:u w:val="single"/>
        </w:rPr>
        <w:t xml:space="preserve"> </w:t>
      </w:r>
      <w:r>
        <w:rPr>
          <w:rFonts w:ascii="Times New Roman" w:eastAsia="Times New Roman"/>
          <w:u w:val="single"/>
        </w:rPr>
        <w:tab/>
      </w:r>
      <w:r>
        <w:rPr>
          <w:rFonts w:hint="eastAsia" w:ascii="宋体" w:eastAsia="宋体"/>
        </w:rPr>
        <w:t>(供应商代表姓名</w:t>
      </w:r>
      <w:r>
        <w:rPr>
          <w:rFonts w:hint="eastAsia" w:ascii="宋体" w:eastAsia="宋体"/>
          <w:spacing w:val="-58"/>
        </w:rPr>
        <w:t>、</w:t>
      </w:r>
      <w:r>
        <w:rPr>
          <w:rFonts w:hint="eastAsia" w:ascii="宋体" w:eastAsia="宋体"/>
        </w:rPr>
        <w:t>职务)为本公司的供应商代表</w:t>
      </w:r>
      <w:r>
        <w:rPr>
          <w:rFonts w:hint="eastAsia" w:ascii="宋体" w:eastAsia="宋体"/>
          <w:spacing w:val="-56"/>
        </w:rPr>
        <w:t>，</w:t>
      </w:r>
      <w:r>
        <w:rPr>
          <w:rFonts w:hint="eastAsia" w:ascii="宋体" w:eastAsia="宋体"/>
        </w:rPr>
        <w:t>就</w:t>
      </w:r>
      <w:r>
        <w:rPr>
          <w:rFonts w:hint="eastAsia" w:ascii="宋体" w:eastAsia="宋体"/>
          <w:u w:val="single"/>
        </w:rPr>
        <w:t xml:space="preserve"> </w:t>
      </w:r>
      <w:r>
        <w:rPr>
          <w:rFonts w:hint="eastAsia" w:ascii="宋体" w:eastAsia="宋体"/>
          <w:u w:val="single"/>
        </w:rPr>
        <w:tab/>
      </w:r>
      <w:r>
        <w:rPr>
          <w:rFonts w:hint="eastAsia" w:ascii="宋体" w:eastAsia="宋体"/>
        </w:rPr>
        <w:t>(项目名称</w:t>
      </w:r>
      <w:r>
        <w:rPr>
          <w:rFonts w:hint="eastAsia" w:ascii="宋体" w:eastAsia="宋体"/>
          <w:spacing w:val="-17"/>
        </w:rPr>
        <w:t xml:space="preserve">) </w:t>
      </w:r>
      <w:r>
        <w:rPr>
          <w:rFonts w:hint="eastAsia" w:ascii="宋体" w:eastAsia="宋体"/>
        </w:rPr>
        <w:t>投标及相关事务代表本公司处理与之有关的一切事务。</w:t>
      </w:r>
    </w:p>
    <w:p w14:paraId="7F62D7BE">
      <w:pPr>
        <w:pStyle w:val="8"/>
        <w:tabs>
          <w:tab w:val="left" w:pos="4629"/>
        </w:tabs>
        <w:spacing w:line="306" w:lineRule="exact"/>
        <w:ind w:left="1029"/>
        <w:rPr>
          <w:rFonts w:hint="eastAsia" w:ascii="宋体" w:eastAsia="宋体"/>
        </w:rPr>
      </w:pPr>
      <w:r>
        <mc:AlternateContent>
          <mc:Choice Requires="wps">
            <w:drawing>
              <wp:anchor distT="0" distB="0" distL="114300" distR="114300" simplePos="0" relativeHeight="251660288" behindDoc="0" locked="0" layoutInCell="1" allowOverlap="1">
                <wp:simplePos x="0" y="0"/>
                <wp:positionH relativeFrom="page">
                  <wp:posOffset>1834515</wp:posOffset>
                </wp:positionH>
                <wp:positionV relativeFrom="paragraph">
                  <wp:posOffset>170180</wp:posOffset>
                </wp:positionV>
                <wp:extent cx="1524000" cy="0"/>
                <wp:effectExtent l="0" t="4445" r="0" b="5080"/>
                <wp:wrapNone/>
                <wp:docPr id="2" name="直线 4"/>
                <wp:cNvGraphicFramePr/>
                <a:graphic xmlns:a="http://schemas.openxmlformats.org/drawingml/2006/main">
                  <a:graphicData uri="http://schemas.microsoft.com/office/word/2010/wordprocessingShape">
                    <wps:wsp>
                      <wps:cNvCnPr/>
                      <wps:spPr>
                        <a:xfrm>
                          <a:off x="0" y="0"/>
                          <a:ext cx="1524000" cy="0"/>
                        </a:xfrm>
                        <a:prstGeom prst="line">
                          <a:avLst/>
                        </a:prstGeom>
                        <a:ln w="3581"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44.45pt;margin-top:13.4pt;height:0pt;width:120pt;mso-position-horizontal-relative:page;z-index:251660288;mso-width-relative:page;mso-height-relative:page;" filled="f" stroked="t" coordsize="21600,21600" o:gfxdata="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WmgN3X&#10;AAAACQEAAA8AAAAAAAAAAQAgAAAAIgAAAGRycy9kb3ducmV2LnhtbFBLAQIUABQAAAAIAIdO4kCN&#10;PT3R6AEAANsDAAAOAAAAAAAAAAEAIAAAACYBAABkcnMvZTJvRG9jLnhtbFBLBQYAAAAABgAGAFkB&#10;AACABQAAAAA=&#10;">
                <v:fill on="f" focussize="0,0"/>
                <v:stroke weight="0.281968503937008pt" color="#000000" joinstyle="round"/>
                <v:imagedata o:title=""/>
                <o:lock v:ext="edit" aspectratio="f"/>
              </v:line>
            </w:pict>
          </mc:Fallback>
        </mc:AlternateContent>
      </w:r>
      <w:r>
        <w:rPr>
          <w:rFonts w:hint="eastAsia" w:ascii="宋体" w:eastAsia="宋体"/>
        </w:rPr>
        <w:t>委托期限：</w:t>
      </w:r>
      <w:r>
        <w:rPr>
          <w:rFonts w:hint="eastAsia" w:ascii="宋体" w:eastAsia="宋体"/>
        </w:rPr>
        <w:tab/>
      </w:r>
      <w:r>
        <w:rPr>
          <w:rFonts w:hint="eastAsia" w:ascii="宋体" w:eastAsia="宋体"/>
        </w:rPr>
        <w:t>。</w:t>
      </w:r>
    </w:p>
    <w:p w14:paraId="2D0BB6CD">
      <w:pPr>
        <w:pStyle w:val="8"/>
        <w:spacing w:before="10"/>
        <w:rPr>
          <w:rFonts w:ascii="宋体"/>
          <w:sz w:val="9"/>
        </w:rPr>
      </w:pPr>
    </w:p>
    <w:p w14:paraId="00FAD999">
      <w:pPr>
        <w:pStyle w:val="8"/>
        <w:spacing w:before="66"/>
        <w:ind w:left="1029"/>
        <w:rPr>
          <w:rFonts w:hint="eastAsia" w:ascii="宋体" w:eastAsia="宋体"/>
        </w:rPr>
      </w:pPr>
      <w:r>
        <w:rPr>
          <w:rFonts w:hint="eastAsia" w:ascii="宋体" w:eastAsia="宋体"/>
        </w:rPr>
        <w:t>代理人无转委托权。</w:t>
      </w:r>
    </w:p>
    <w:p w14:paraId="18C2E0D4">
      <w:pPr>
        <w:pStyle w:val="8"/>
        <w:tabs>
          <w:tab w:val="left" w:pos="2949"/>
          <w:tab w:val="left" w:pos="3669"/>
          <w:tab w:val="left" w:pos="4389"/>
        </w:tabs>
        <w:spacing w:before="194"/>
        <w:ind w:left="1029"/>
        <w:rPr>
          <w:rFonts w:hint="eastAsia" w:ascii="宋体" w:eastAsia="宋体"/>
        </w:rPr>
      </w:pPr>
      <w:r>
        <w:rPr>
          <w:rFonts w:hint="eastAsia" w:ascii="宋体" w:eastAsia="宋体"/>
        </w:rPr>
        <w:t>本授权书于</w:t>
      </w:r>
      <w:r>
        <w:rPr>
          <w:rFonts w:hint="eastAsia" w:ascii="宋体" w:eastAsia="宋体"/>
          <w:u w:val="single"/>
        </w:rPr>
        <w:t xml:space="preserve"> </w:t>
      </w:r>
      <w:r>
        <w:rPr>
          <w:rFonts w:hint="eastAsia" w:ascii="宋体" w:eastAsia="宋体"/>
          <w:u w:val="single"/>
        </w:rPr>
        <w:tab/>
      </w:r>
      <w:r>
        <w:rPr>
          <w:rFonts w:hint="eastAsia" w:ascii="宋体" w:eastAsia="宋体"/>
        </w:rPr>
        <w:t>年</w:t>
      </w:r>
      <w:r>
        <w:rPr>
          <w:rFonts w:hint="eastAsia" w:ascii="宋体" w:eastAsia="宋体"/>
          <w:u w:val="single"/>
        </w:rPr>
        <w:t xml:space="preserve"> </w:t>
      </w:r>
      <w:r>
        <w:rPr>
          <w:rFonts w:hint="eastAsia" w:ascii="宋体" w:eastAsia="宋体"/>
          <w:u w:val="single"/>
        </w:rPr>
        <w:tab/>
      </w:r>
      <w:r>
        <w:rPr>
          <w:rFonts w:hint="eastAsia" w:ascii="宋体" w:eastAsia="宋体"/>
        </w:rPr>
        <w:t>月</w:t>
      </w:r>
      <w:r>
        <w:rPr>
          <w:rFonts w:hint="eastAsia" w:ascii="宋体" w:eastAsia="宋体"/>
          <w:u w:val="single"/>
        </w:rPr>
        <w:t xml:space="preserve"> </w:t>
      </w:r>
      <w:r>
        <w:rPr>
          <w:rFonts w:hint="eastAsia" w:ascii="宋体" w:eastAsia="宋体"/>
          <w:u w:val="single"/>
        </w:rPr>
        <w:tab/>
      </w:r>
      <w:r>
        <w:rPr>
          <w:rFonts w:hint="eastAsia" w:ascii="宋体" w:eastAsia="宋体"/>
        </w:rPr>
        <w:t>日签字生效，特此声明。</w:t>
      </w:r>
    </w:p>
    <w:p w14:paraId="4CC6D9BF">
      <w:pPr>
        <w:pStyle w:val="8"/>
        <w:rPr>
          <w:rFonts w:ascii="宋体"/>
          <w:sz w:val="27"/>
        </w:rPr>
      </w:pPr>
      <w:r>
        <mc:AlternateContent>
          <mc:Choice Requires="wps">
            <w:drawing>
              <wp:anchor distT="0" distB="0" distL="114300" distR="114300" simplePos="0" relativeHeight="251666432" behindDoc="1" locked="0" layoutInCell="1" allowOverlap="1">
                <wp:simplePos x="0" y="0"/>
                <wp:positionH relativeFrom="page">
                  <wp:posOffset>1394460</wp:posOffset>
                </wp:positionH>
                <wp:positionV relativeFrom="paragraph">
                  <wp:posOffset>291465</wp:posOffset>
                </wp:positionV>
                <wp:extent cx="1993900" cy="1132205"/>
                <wp:effectExtent l="4445" t="4445" r="20955" b="6350"/>
                <wp:wrapTopAndBottom/>
                <wp:docPr id="7" name="文本框 5"/>
                <wp:cNvGraphicFramePr/>
                <a:graphic xmlns:a="http://schemas.openxmlformats.org/drawingml/2006/main">
                  <a:graphicData uri="http://schemas.microsoft.com/office/word/2010/wordprocessingShape">
                    <wps:wsp>
                      <wps:cNvSpPr txBox="1"/>
                      <wps:spPr>
                        <a:xfrm>
                          <a:off x="0" y="0"/>
                          <a:ext cx="1993900" cy="1132205"/>
                        </a:xfrm>
                        <a:prstGeom prst="rect">
                          <a:avLst/>
                        </a:prstGeom>
                        <a:noFill/>
                        <a:ln w="6096" cap="flat" cmpd="sng">
                          <a:solidFill>
                            <a:srgbClr val="000000"/>
                          </a:solidFill>
                          <a:prstDash val="solid"/>
                          <a:miter/>
                          <a:headEnd type="none" w="med" len="med"/>
                          <a:tailEnd type="none" w="med" len="med"/>
                        </a:ln>
                      </wps:spPr>
                      <wps:txbx>
                        <w:txbxContent>
                          <w:p w14:paraId="7503E698">
                            <w:pPr>
                              <w:pStyle w:val="8"/>
                              <w:rPr>
                                <w:rFonts w:ascii="宋体"/>
                              </w:rPr>
                            </w:pPr>
                          </w:p>
                          <w:p w14:paraId="7DC97576">
                            <w:pPr>
                              <w:pStyle w:val="8"/>
                              <w:spacing w:before="8"/>
                              <w:rPr>
                                <w:rFonts w:ascii="宋体"/>
                                <w:sz w:val="18"/>
                              </w:rPr>
                            </w:pPr>
                          </w:p>
                          <w:p w14:paraId="53A9EACB">
                            <w:pPr>
                              <w:pStyle w:val="8"/>
                              <w:spacing w:line="391" w:lineRule="auto"/>
                              <w:ind w:left="1204" w:right="145" w:hanging="1102"/>
                              <w:rPr>
                                <w:rFonts w:hint="eastAsia" w:ascii="宋体" w:eastAsia="宋体"/>
                              </w:rPr>
                            </w:pPr>
                            <w:r>
                              <w:rPr>
                                <w:rFonts w:hint="eastAsia" w:ascii="宋体" w:eastAsia="宋体"/>
                              </w:rPr>
                              <w:t>法定代表人身份证明复印件正反面</w:t>
                            </w:r>
                          </w:p>
                        </w:txbxContent>
                      </wps:txbx>
                      <wps:bodyPr lIns="0" tIns="0" rIns="0" bIns="0" upright="1"/>
                    </wps:wsp>
                  </a:graphicData>
                </a:graphic>
              </wp:anchor>
            </w:drawing>
          </mc:Choice>
          <mc:Fallback>
            <w:pict>
              <v:shape id="文本框 5" o:spid="_x0000_s1026" o:spt="202" type="#_x0000_t202" style="position:absolute;left:0pt;margin-left:109.8pt;margin-top:22.95pt;height:89.15pt;width:157pt;mso-position-horizontal-relative:page;mso-wrap-distance-bottom:0pt;mso-wrap-distance-top:0pt;z-index:-251650048;mso-width-relative:page;mso-height-relative:page;" filled="f" stroked="t" coordsize="21600,21600" o:gfxdata="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MKRId1wAAAAoBAAAPAAAAAAAA&#10;AAEAIAAAACIAAABkcnMvZG93bnJldi54bWxQSwECFAAUAAAACACHTuJAdeZrORMCAAAyBAAADgAA&#10;AAAAAAABACAAAAAmAQAAZHJzL2Uyb0RvYy54bWxQSwUGAAAAAAYABgBZAQAAqwUAAAAA&#10;">
                <v:fill on="f" focussize="0,0"/>
                <v:stroke weight="0.48pt" color="#000000" joinstyle="miter"/>
                <v:imagedata o:title=""/>
                <o:lock v:ext="edit" aspectratio="f"/>
                <v:textbox inset="0mm,0mm,0mm,0mm">
                  <w:txbxContent>
                    <w:p w14:paraId="7503E698">
                      <w:pPr>
                        <w:pStyle w:val="8"/>
                        <w:rPr>
                          <w:rFonts w:ascii="宋体"/>
                        </w:rPr>
                      </w:pPr>
                    </w:p>
                    <w:p w14:paraId="7DC97576">
                      <w:pPr>
                        <w:pStyle w:val="8"/>
                        <w:spacing w:before="8"/>
                        <w:rPr>
                          <w:rFonts w:ascii="宋体"/>
                          <w:sz w:val="18"/>
                        </w:rPr>
                      </w:pPr>
                    </w:p>
                    <w:p w14:paraId="53A9EACB">
                      <w:pPr>
                        <w:pStyle w:val="8"/>
                        <w:spacing w:line="391" w:lineRule="auto"/>
                        <w:ind w:left="1204" w:right="145" w:hanging="1102"/>
                        <w:rPr>
                          <w:rFonts w:hint="eastAsia" w:ascii="宋体" w:eastAsia="宋体"/>
                        </w:rPr>
                      </w:pPr>
                      <w:r>
                        <w:rPr>
                          <w:rFonts w:hint="eastAsia" w:ascii="宋体" w:eastAsia="宋体"/>
                        </w:rPr>
                        <w:t>法定代表人身份证明复印件正反面</w:t>
                      </w:r>
                    </w:p>
                  </w:txbxContent>
                </v:textbox>
                <w10:wrap type="topAndBottom"/>
              </v:shape>
            </w:pict>
          </mc:Fallback>
        </mc:AlternateContent>
      </w:r>
      <w:r>
        <mc:AlternateContent>
          <mc:Choice Requires="wps">
            <w:drawing>
              <wp:anchor distT="0" distB="0" distL="114300" distR="114300" simplePos="0" relativeHeight="251666432" behindDoc="1" locked="0" layoutInCell="1" allowOverlap="1">
                <wp:simplePos x="0" y="0"/>
                <wp:positionH relativeFrom="page">
                  <wp:posOffset>4023995</wp:posOffset>
                </wp:positionH>
                <wp:positionV relativeFrom="paragraph">
                  <wp:posOffset>247650</wp:posOffset>
                </wp:positionV>
                <wp:extent cx="2029460" cy="1165225"/>
                <wp:effectExtent l="4445" t="5080" r="23495" b="10795"/>
                <wp:wrapTopAndBottom/>
                <wp:docPr id="8" name="文本框 6"/>
                <wp:cNvGraphicFramePr/>
                <a:graphic xmlns:a="http://schemas.openxmlformats.org/drawingml/2006/main">
                  <a:graphicData uri="http://schemas.microsoft.com/office/word/2010/wordprocessingShape">
                    <wps:wsp>
                      <wps:cNvSpPr txBox="1"/>
                      <wps:spPr>
                        <a:xfrm>
                          <a:off x="0" y="0"/>
                          <a:ext cx="2029460" cy="1165225"/>
                        </a:xfrm>
                        <a:prstGeom prst="rect">
                          <a:avLst/>
                        </a:prstGeom>
                        <a:noFill/>
                        <a:ln w="6096" cap="flat" cmpd="sng">
                          <a:solidFill>
                            <a:srgbClr val="000000"/>
                          </a:solidFill>
                          <a:prstDash val="solid"/>
                          <a:miter/>
                          <a:headEnd type="none" w="med" len="med"/>
                          <a:tailEnd type="none" w="med" len="med"/>
                        </a:ln>
                      </wps:spPr>
                      <wps:txbx>
                        <w:txbxContent>
                          <w:p w14:paraId="110FE5E9">
                            <w:pPr>
                              <w:pStyle w:val="8"/>
                              <w:rPr>
                                <w:rFonts w:ascii="宋体"/>
                              </w:rPr>
                            </w:pPr>
                          </w:p>
                          <w:p w14:paraId="0A09A167">
                            <w:pPr>
                              <w:pStyle w:val="8"/>
                              <w:spacing w:before="8"/>
                              <w:rPr>
                                <w:rFonts w:ascii="宋体"/>
                                <w:sz w:val="20"/>
                              </w:rPr>
                            </w:pPr>
                          </w:p>
                          <w:p w14:paraId="5478315A">
                            <w:pPr>
                              <w:pStyle w:val="8"/>
                              <w:spacing w:line="391" w:lineRule="auto"/>
                              <w:ind w:left="1233" w:right="200" w:hanging="891"/>
                              <w:rPr>
                                <w:rFonts w:hint="eastAsia" w:ascii="宋体" w:eastAsia="宋体"/>
                              </w:rPr>
                            </w:pPr>
                            <w:r>
                              <w:rPr>
                                <w:rFonts w:hint="eastAsia" w:ascii="宋体" w:eastAsia="宋体"/>
                              </w:rPr>
                              <w:t>授权代表身份证明复印件正反面</w:t>
                            </w:r>
                          </w:p>
                        </w:txbxContent>
                      </wps:txbx>
                      <wps:bodyPr lIns="0" tIns="0" rIns="0" bIns="0" upright="1"/>
                    </wps:wsp>
                  </a:graphicData>
                </a:graphic>
              </wp:anchor>
            </w:drawing>
          </mc:Choice>
          <mc:Fallback>
            <w:pict>
              <v:shape id="文本框 6" o:spid="_x0000_s1026" o:spt="202" type="#_x0000_t202" style="position:absolute;left:0pt;margin-left:316.85pt;margin-top:19.5pt;height:91.75pt;width:159.8pt;mso-position-horizontal-relative:page;mso-wrap-distance-bottom:0pt;mso-wrap-distance-top:0pt;z-index:-251650048;mso-width-relative:page;mso-height-relative:page;" filled="f" stroked="t" coordsize="21600,21600" o:gfxdata="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velij2AAAAAoBAAAPAAAAAAAA&#10;AAEAIAAAACIAAABkcnMvZG93bnJldi54bWxQSwECFAAUAAAACACHTuJAeqp8OhICAAAyBAAADgAA&#10;AAAAAAABACAAAAAnAQAAZHJzL2Uyb0RvYy54bWxQSwUGAAAAAAYABgBZAQAAqwUAAAAA&#10;">
                <v:fill on="f" focussize="0,0"/>
                <v:stroke weight="0.48pt" color="#000000" joinstyle="miter"/>
                <v:imagedata o:title=""/>
                <o:lock v:ext="edit" aspectratio="f"/>
                <v:textbox inset="0mm,0mm,0mm,0mm">
                  <w:txbxContent>
                    <w:p w14:paraId="110FE5E9">
                      <w:pPr>
                        <w:pStyle w:val="8"/>
                        <w:rPr>
                          <w:rFonts w:ascii="宋体"/>
                        </w:rPr>
                      </w:pPr>
                    </w:p>
                    <w:p w14:paraId="0A09A167">
                      <w:pPr>
                        <w:pStyle w:val="8"/>
                        <w:spacing w:before="8"/>
                        <w:rPr>
                          <w:rFonts w:ascii="宋体"/>
                          <w:sz w:val="20"/>
                        </w:rPr>
                      </w:pPr>
                    </w:p>
                    <w:p w14:paraId="5478315A">
                      <w:pPr>
                        <w:pStyle w:val="8"/>
                        <w:spacing w:line="391" w:lineRule="auto"/>
                        <w:ind w:left="1233" w:right="200" w:hanging="891"/>
                        <w:rPr>
                          <w:rFonts w:hint="eastAsia" w:ascii="宋体" w:eastAsia="宋体"/>
                        </w:rPr>
                      </w:pPr>
                      <w:r>
                        <w:rPr>
                          <w:rFonts w:hint="eastAsia" w:ascii="宋体" w:eastAsia="宋体"/>
                        </w:rPr>
                        <w:t>授权代表身份证明复印件正反面</w:t>
                      </w:r>
                    </w:p>
                  </w:txbxContent>
                </v:textbox>
                <w10:wrap type="topAndBottom"/>
              </v:shape>
            </w:pict>
          </mc:Fallback>
        </mc:AlternateContent>
      </w:r>
    </w:p>
    <w:p w14:paraId="635BF8FC">
      <w:pPr>
        <w:pStyle w:val="8"/>
        <w:rPr>
          <w:rFonts w:ascii="宋体"/>
          <w:sz w:val="26"/>
        </w:rPr>
      </w:pPr>
    </w:p>
    <w:p w14:paraId="312BB3A0">
      <w:pPr>
        <w:pStyle w:val="8"/>
        <w:rPr>
          <w:rFonts w:ascii="宋体"/>
          <w:sz w:val="26"/>
        </w:rPr>
      </w:pPr>
    </w:p>
    <w:p w14:paraId="7603AB55">
      <w:pPr>
        <w:pStyle w:val="8"/>
        <w:spacing w:before="6"/>
        <w:rPr>
          <w:rFonts w:ascii="宋体"/>
          <w:sz w:val="19"/>
        </w:rPr>
      </w:pPr>
    </w:p>
    <w:p w14:paraId="6D7D7948">
      <w:pPr>
        <w:pStyle w:val="8"/>
        <w:tabs>
          <w:tab w:val="left" w:pos="5649"/>
        </w:tabs>
        <w:ind w:left="1029"/>
        <w:rPr>
          <w:rFonts w:ascii="Times New Roman" w:eastAsia="Times New Roman"/>
        </w:rPr>
      </w:pPr>
      <w:r>
        <w:rPr>
          <w:rFonts w:hint="eastAsia" w:ascii="宋体" w:eastAsia="宋体"/>
        </w:rPr>
        <w:t>供应商名称(公章)：</w:t>
      </w:r>
      <w:r>
        <w:rPr>
          <w:rFonts w:ascii="Times New Roman" w:eastAsia="Times New Roman"/>
          <w:u w:val="single"/>
        </w:rPr>
        <w:t xml:space="preserve"> </w:t>
      </w:r>
      <w:r>
        <w:rPr>
          <w:rFonts w:ascii="Times New Roman" w:eastAsia="Times New Roman"/>
          <w:u w:val="single"/>
        </w:rPr>
        <w:tab/>
      </w:r>
    </w:p>
    <w:p w14:paraId="620D3A47">
      <w:pPr>
        <w:pStyle w:val="8"/>
        <w:spacing w:before="3"/>
        <w:rPr>
          <w:rFonts w:ascii="Times New Roman"/>
          <w:sz w:val="10"/>
        </w:rPr>
      </w:pPr>
    </w:p>
    <w:p w14:paraId="45A05A4B">
      <w:pPr>
        <w:pStyle w:val="8"/>
        <w:tabs>
          <w:tab w:val="left" w:pos="6369"/>
        </w:tabs>
        <w:spacing w:before="74"/>
        <w:ind w:left="1029"/>
        <w:rPr>
          <w:rFonts w:ascii="Times New Roman" w:eastAsia="Times New Roman"/>
        </w:rPr>
      </w:pPr>
      <w:r>
        <w:rPr>
          <w:rFonts w:hint="eastAsia" w:ascii="宋体" w:eastAsia="宋体"/>
        </w:rPr>
        <w:t>法定代表人(签字或盖章)：</w:t>
      </w:r>
      <w:r>
        <w:rPr>
          <w:rFonts w:ascii="Times New Roman" w:eastAsia="Times New Roman"/>
          <w:u w:val="single"/>
        </w:rPr>
        <w:t xml:space="preserve"> </w:t>
      </w:r>
      <w:r>
        <w:rPr>
          <w:rFonts w:ascii="Times New Roman" w:eastAsia="Times New Roman"/>
          <w:u w:val="single"/>
        </w:rPr>
        <w:tab/>
      </w:r>
    </w:p>
    <w:p w14:paraId="3CDD1B9E">
      <w:pPr>
        <w:pStyle w:val="8"/>
        <w:spacing w:before="5"/>
        <w:rPr>
          <w:rFonts w:ascii="Times New Roman"/>
          <w:sz w:val="10"/>
        </w:rPr>
      </w:pPr>
    </w:p>
    <w:p w14:paraId="71EADECC">
      <w:pPr>
        <w:pStyle w:val="8"/>
        <w:tabs>
          <w:tab w:val="left" w:pos="6129"/>
        </w:tabs>
        <w:spacing w:before="74"/>
        <w:ind w:left="1029"/>
        <w:rPr>
          <w:rFonts w:ascii="Times New Roman" w:eastAsia="Times New Roman"/>
        </w:rPr>
      </w:pPr>
      <w:r>
        <w:rPr>
          <w:rFonts w:hint="eastAsia" w:ascii="宋体" w:eastAsia="宋体"/>
        </w:rPr>
        <w:t>授权代表(签字或盖章)：</w:t>
      </w:r>
      <w:r>
        <w:rPr>
          <w:rFonts w:ascii="Times New Roman" w:eastAsia="Times New Roman"/>
          <w:u w:val="single"/>
        </w:rPr>
        <w:t xml:space="preserve"> </w:t>
      </w:r>
      <w:r>
        <w:rPr>
          <w:rFonts w:ascii="Times New Roman" w:eastAsia="Times New Roman"/>
          <w:u w:val="single"/>
        </w:rPr>
        <w:tab/>
      </w:r>
    </w:p>
    <w:p w14:paraId="7570CDE7">
      <w:pPr>
        <w:pStyle w:val="8"/>
        <w:spacing w:before="10"/>
        <w:rPr>
          <w:rFonts w:ascii="Times New Roman"/>
          <w:sz w:val="10"/>
        </w:rPr>
      </w:pPr>
    </w:p>
    <w:p w14:paraId="540B8A57">
      <w:pPr>
        <w:pStyle w:val="8"/>
        <w:tabs>
          <w:tab w:val="left" w:pos="1749"/>
          <w:tab w:val="left" w:pos="2469"/>
          <w:tab w:val="left" w:pos="3189"/>
        </w:tabs>
        <w:spacing w:before="67"/>
        <w:ind w:left="1029"/>
        <w:rPr>
          <w:rFonts w:hint="eastAsia" w:ascii="宋体" w:eastAsia="宋体"/>
        </w:rPr>
      </w:pPr>
      <w:r>
        <w:rPr>
          <w:rFonts w:ascii="Times New Roman" w:eastAsia="Times New Roman"/>
          <w:u w:val="single"/>
        </w:rPr>
        <w:t xml:space="preserve"> </w:t>
      </w:r>
      <w:r>
        <w:rPr>
          <w:rFonts w:ascii="Times New Roman" w:eastAsia="Times New Roman"/>
          <w:u w:val="single"/>
        </w:rPr>
        <w:tab/>
      </w:r>
      <w:r>
        <w:rPr>
          <w:rFonts w:hint="eastAsia" w:ascii="宋体" w:eastAsia="宋体"/>
        </w:rPr>
        <w:t>年</w:t>
      </w:r>
      <w:r>
        <w:rPr>
          <w:rFonts w:hint="eastAsia" w:ascii="宋体" w:eastAsia="宋体"/>
          <w:u w:val="single"/>
        </w:rPr>
        <w:t xml:space="preserve"> </w:t>
      </w:r>
      <w:r>
        <w:rPr>
          <w:rFonts w:hint="eastAsia" w:ascii="宋体" w:eastAsia="宋体"/>
          <w:u w:val="single"/>
        </w:rPr>
        <w:tab/>
      </w:r>
      <w:r>
        <w:rPr>
          <w:rFonts w:hint="eastAsia" w:ascii="宋体" w:eastAsia="宋体"/>
        </w:rPr>
        <w:t>月</w:t>
      </w:r>
      <w:r>
        <w:rPr>
          <w:rFonts w:hint="eastAsia" w:ascii="宋体" w:eastAsia="宋体"/>
          <w:u w:val="single"/>
        </w:rPr>
        <w:t xml:space="preserve"> </w:t>
      </w:r>
      <w:r>
        <w:rPr>
          <w:rFonts w:hint="eastAsia" w:ascii="宋体" w:eastAsia="宋体"/>
          <w:u w:val="single"/>
        </w:rPr>
        <w:tab/>
      </w:r>
      <w:r>
        <w:rPr>
          <w:rFonts w:hint="eastAsia" w:ascii="宋体" w:eastAsia="宋体"/>
        </w:rPr>
        <w:t>日</w:t>
      </w:r>
    </w:p>
    <w:p w14:paraId="6D1B9E78">
      <w:pPr>
        <w:spacing w:after="0"/>
        <w:rPr>
          <w:rFonts w:hint="eastAsia" w:ascii="宋体" w:eastAsia="宋体"/>
        </w:rPr>
        <w:sectPr>
          <w:pgSz w:w="11910" w:h="16840"/>
          <w:pgMar w:top="1540" w:right="660" w:bottom="1180" w:left="660" w:header="0" w:footer="909" w:gutter="0"/>
          <w:cols w:space="720" w:num="1"/>
        </w:sectPr>
      </w:pPr>
    </w:p>
    <w:p w14:paraId="7FCB1298">
      <w:pPr>
        <w:pStyle w:val="7"/>
        <w:spacing w:before="44"/>
        <w:ind w:left="1377" w:right="900"/>
        <w:jc w:val="center"/>
        <w:rPr>
          <w:rFonts w:hint="eastAsia" w:ascii="宋体" w:eastAsia="宋体"/>
        </w:rPr>
      </w:pPr>
      <w:r>
        <w:rPr>
          <w:rFonts w:hint="eastAsia" w:ascii="宋体" w:eastAsia="宋体"/>
        </w:rPr>
        <w:t>二、开标一览表</w:t>
      </w:r>
    </w:p>
    <w:p w14:paraId="34018966">
      <w:pPr>
        <w:pStyle w:val="8"/>
        <w:spacing w:before="9"/>
        <w:rPr>
          <w:rFonts w:ascii="宋体"/>
          <w:b/>
          <w:sz w:val="26"/>
        </w:rPr>
      </w:pPr>
    </w:p>
    <w:tbl>
      <w:tblPr>
        <w:tblStyle w:val="11"/>
        <w:tblW w:w="0" w:type="auto"/>
        <w:tblInd w:w="9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2563"/>
        <w:gridCol w:w="5094"/>
      </w:tblGrid>
      <w:tr w14:paraId="3E38C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959" w:type="dxa"/>
          </w:tcPr>
          <w:p w14:paraId="76378B2E">
            <w:pPr>
              <w:pStyle w:val="15"/>
              <w:spacing w:before="184"/>
              <w:ind w:left="218" w:right="210"/>
              <w:jc w:val="center"/>
              <w:rPr>
                <w:rFonts w:hint="eastAsia" w:ascii="宋体" w:eastAsia="宋体"/>
                <w:sz w:val="24"/>
              </w:rPr>
            </w:pPr>
            <w:r>
              <w:rPr>
                <w:rFonts w:hint="eastAsia" w:ascii="宋体" w:eastAsia="宋体"/>
                <w:sz w:val="24"/>
              </w:rPr>
              <w:t>序号</w:t>
            </w:r>
          </w:p>
        </w:tc>
        <w:tc>
          <w:tcPr>
            <w:tcW w:w="7657" w:type="dxa"/>
            <w:gridSpan w:val="2"/>
          </w:tcPr>
          <w:p w14:paraId="2548C2DE">
            <w:pPr>
              <w:pStyle w:val="15"/>
              <w:tabs>
                <w:tab w:val="left" w:pos="488"/>
              </w:tabs>
              <w:spacing w:before="184"/>
              <w:ind w:left="8"/>
              <w:jc w:val="center"/>
              <w:rPr>
                <w:rFonts w:hint="eastAsia" w:ascii="宋体" w:eastAsia="宋体"/>
                <w:sz w:val="24"/>
              </w:rPr>
            </w:pPr>
            <w:r>
              <w:rPr>
                <w:rFonts w:hint="eastAsia" w:ascii="宋体" w:eastAsia="宋体"/>
                <w:sz w:val="24"/>
              </w:rPr>
              <w:t>内</w:t>
            </w:r>
            <w:r>
              <w:rPr>
                <w:rFonts w:hint="eastAsia" w:ascii="宋体" w:eastAsia="宋体"/>
                <w:sz w:val="24"/>
              </w:rPr>
              <w:tab/>
            </w:r>
            <w:r>
              <w:rPr>
                <w:rFonts w:hint="eastAsia" w:ascii="宋体" w:eastAsia="宋体"/>
                <w:sz w:val="24"/>
              </w:rPr>
              <w:t>容</w:t>
            </w:r>
          </w:p>
        </w:tc>
      </w:tr>
      <w:tr w14:paraId="24D98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59" w:type="dxa"/>
          </w:tcPr>
          <w:p w14:paraId="3F8DBAF2">
            <w:pPr>
              <w:pStyle w:val="15"/>
              <w:spacing w:before="174"/>
              <w:ind w:left="8"/>
              <w:jc w:val="center"/>
              <w:rPr>
                <w:rFonts w:ascii="Times New Roman"/>
                <w:sz w:val="24"/>
              </w:rPr>
            </w:pPr>
            <w:r>
              <w:rPr>
                <w:rFonts w:ascii="Times New Roman"/>
                <w:sz w:val="24"/>
              </w:rPr>
              <w:t>1</w:t>
            </w:r>
          </w:p>
        </w:tc>
        <w:tc>
          <w:tcPr>
            <w:tcW w:w="2563" w:type="dxa"/>
          </w:tcPr>
          <w:p w14:paraId="499A7F1D">
            <w:pPr>
              <w:pStyle w:val="15"/>
              <w:spacing w:before="158"/>
              <w:ind w:left="661" w:right="652"/>
              <w:jc w:val="center"/>
              <w:rPr>
                <w:rFonts w:hint="eastAsia" w:ascii="宋体" w:eastAsia="宋体"/>
                <w:sz w:val="24"/>
              </w:rPr>
            </w:pPr>
            <w:r>
              <w:rPr>
                <w:rFonts w:hint="eastAsia" w:ascii="宋体" w:eastAsia="宋体"/>
                <w:sz w:val="24"/>
              </w:rPr>
              <w:t>项目名称</w:t>
            </w:r>
          </w:p>
        </w:tc>
        <w:tc>
          <w:tcPr>
            <w:tcW w:w="5094" w:type="dxa"/>
          </w:tcPr>
          <w:p w14:paraId="5F95411B">
            <w:pPr>
              <w:pStyle w:val="15"/>
              <w:rPr>
                <w:rFonts w:ascii="Times New Roman"/>
                <w:sz w:val="22"/>
              </w:rPr>
            </w:pPr>
          </w:p>
        </w:tc>
      </w:tr>
      <w:tr w14:paraId="13B2A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959" w:type="dxa"/>
          </w:tcPr>
          <w:p w14:paraId="59634184">
            <w:pPr>
              <w:pStyle w:val="15"/>
              <w:spacing w:before="169"/>
              <w:ind w:left="8"/>
              <w:jc w:val="center"/>
              <w:rPr>
                <w:rFonts w:ascii="Times New Roman"/>
                <w:sz w:val="24"/>
              </w:rPr>
            </w:pPr>
            <w:r>
              <w:rPr>
                <w:rFonts w:ascii="Times New Roman"/>
                <w:sz w:val="24"/>
              </w:rPr>
              <w:t>2</w:t>
            </w:r>
          </w:p>
        </w:tc>
        <w:tc>
          <w:tcPr>
            <w:tcW w:w="2563" w:type="dxa"/>
          </w:tcPr>
          <w:p w14:paraId="31A9923A">
            <w:pPr>
              <w:pStyle w:val="15"/>
              <w:spacing w:before="153"/>
              <w:ind w:left="661" w:right="652"/>
              <w:jc w:val="center"/>
              <w:rPr>
                <w:rFonts w:hint="eastAsia" w:ascii="宋体" w:eastAsia="宋体"/>
                <w:sz w:val="24"/>
              </w:rPr>
            </w:pPr>
            <w:r>
              <w:rPr>
                <w:rFonts w:hint="eastAsia" w:ascii="宋体" w:eastAsia="宋体"/>
                <w:sz w:val="24"/>
              </w:rPr>
              <w:t>项目编号</w:t>
            </w:r>
          </w:p>
        </w:tc>
        <w:tc>
          <w:tcPr>
            <w:tcW w:w="5094" w:type="dxa"/>
          </w:tcPr>
          <w:p w14:paraId="14564197">
            <w:pPr>
              <w:pStyle w:val="15"/>
              <w:rPr>
                <w:rFonts w:ascii="Times New Roman"/>
                <w:sz w:val="22"/>
              </w:rPr>
            </w:pPr>
          </w:p>
        </w:tc>
      </w:tr>
      <w:tr w14:paraId="48401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7" w:hRule="atLeast"/>
        </w:trPr>
        <w:tc>
          <w:tcPr>
            <w:tcW w:w="959" w:type="dxa"/>
          </w:tcPr>
          <w:p w14:paraId="0B438FFE">
            <w:pPr>
              <w:pStyle w:val="15"/>
              <w:spacing w:before="9"/>
              <w:rPr>
                <w:rFonts w:ascii="宋体"/>
                <w:b/>
                <w:sz w:val="29"/>
              </w:rPr>
            </w:pPr>
          </w:p>
          <w:p w14:paraId="7D22ED90">
            <w:pPr>
              <w:pStyle w:val="15"/>
              <w:ind w:left="8"/>
              <w:jc w:val="center"/>
              <w:rPr>
                <w:rFonts w:ascii="Times New Roman"/>
                <w:sz w:val="24"/>
              </w:rPr>
            </w:pPr>
            <w:r>
              <w:rPr>
                <w:rFonts w:ascii="Times New Roman"/>
                <w:sz w:val="24"/>
              </w:rPr>
              <w:t>3</w:t>
            </w:r>
          </w:p>
        </w:tc>
        <w:tc>
          <w:tcPr>
            <w:tcW w:w="2563" w:type="dxa"/>
          </w:tcPr>
          <w:p w14:paraId="29CEDA13">
            <w:pPr>
              <w:pStyle w:val="15"/>
              <w:spacing w:before="211"/>
              <w:ind w:left="661" w:right="652"/>
              <w:jc w:val="center"/>
              <w:rPr>
                <w:rFonts w:hint="eastAsia" w:ascii="宋体" w:eastAsia="宋体"/>
                <w:sz w:val="24"/>
              </w:rPr>
            </w:pPr>
            <w:r>
              <w:rPr>
                <w:rFonts w:hint="eastAsia" w:ascii="宋体" w:eastAsia="宋体"/>
                <w:sz w:val="24"/>
              </w:rPr>
              <w:t>投标总报价</w:t>
            </w:r>
          </w:p>
          <w:p w14:paraId="12DA4438">
            <w:pPr>
              <w:pStyle w:val="15"/>
              <w:spacing w:before="4"/>
              <w:ind w:left="661" w:right="652"/>
              <w:jc w:val="center"/>
              <w:rPr>
                <w:rFonts w:hint="eastAsia" w:ascii="宋体" w:eastAsia="宋体"/>
                <w:sz w:val="24"/>
              </w:rPr>
            </w:pPr>
            <w:r>
              <w:rPr>
                <w:rFonts w:hint="eastAsia" w:ascii="宋体" w:eastAsia="宋体"/>
                <w:sz w:val="24"/>
              </w:rPr>
              <w:t>（元）</w:t>
            </w:r>
          </w:p>
        </w:tc>
        <w:tc>
          <w:tcPr>
            <w:tcW w:w="5094" w:type="dxa"/>
          </w:tcPr>
          <w:p w14:paraId="6985AED2">
            <w:pPr>
              <w:pStyle w:val="15"/>
              <w:tabs>
                <w:tab w:val="left" w:pos="2747"/>
              </w:tabs>
              <w:spacing w:before="199" w:line="312" w:lineRule="auto"/>
              <w:ind w:left="107" w:right="2094"/>
              <w:rPr>
                <w:rFonts w:hint="eastAsia" w:ascii="宋体" w:eastAsia="宋体"/>
                <w:sz w:val="24"/>
              </w:rPr>
            </w:pPr>
            <w:r>
              <w:rPr>
                <w:rFonts w:hint="eastAsia" w:ascii="宋体" w:eastAsia="宋体"/>
                <w:sz w:val="24"/>
              </w:rPr>
              <w:t>小写：</w:t>
            </w:r>
            <w:r>
              <w:rPr>
                <w:rFonts w:hint="eastAsia" w:ascii="宋体" w:eastAsia="宋体"/>
                <w:sz w:val="24"/>
                <w:u w:val="single"/>
              </w:rPr>
              <w:t xml:space="preserve"> </w:t>
            </w:r>
            <w:r>
              <w:rPr>
                <w:rFonts w:hint="eastAsia" w:ascii="宋体" w:eastAsia="宋体"/>
                <w:sz w:val="24"/>
                <w:u w:val="single"/>
              </w:rPr>
              <w:tab/>
            </w:r>
            <w:r>
              <w:rPr>
                <w:rFonts w:hint="eastAsia" w:ascii="宋体" w:eastAsia="宋体"/>
                <w:spacing w:val="-17"/>
                <w:sz w:val="24"/>
              </w:rPr>
              <w:t xml:space="preserve">； </w:t>
            </w:r>
            <w:r>
              <w:rPr>
                <w:rFonts w:hint="eastAsia" w:ascii="宋体" w:eastAsia="宋体"/>
                <w:sz w:val="24"/>
              </w:rPr>
              <w:t>大写：</w:t>
            </w:r>
            <w:r>
              <w:rPr>
                <w:rFonts w:hint="eastAsia" w:ascii="宋体" w:eastAsia="宋体"/>
                <w:sz w:val="24"/>
                <w:u w:val="single"/>
              </w:rPr>
              <w:t xml:space="preserve"> </w:t>
            </w:r>
            <w:r>
              <w:rPr>
                <w:rFonts w:hint="eastAsia" w:ascii="宋体" w:eastAsia="宋体"/>
                <w:sz w:val="24"/>
                <w:u w:val="single"/>
              </w:rPr>
              <w:tab/>
            </w:r>
            <w:r>
              <w:rPr>
                <w:rFonts w:hint="eastAsia" w:ascii="宋体" w:eastAsia="宋体"/>
                <w:spacing w:val="-17"/>
                <w:sz w:val="24"/>
              </w:rPr>
              <w:t>；</w:t>
            </w:r>
          </w:p>
        </w:tc>
      </w:tr>
      <w:tr w14:paraId="1A70F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59" w:type="dxa"/>
          </w:tcPr>
          <w:p w14:paraId="2FE796FD">
            <w:pPr>
              <w:pStyle w:val="15"/>
              <w:spacing w:before="144"/>
              <w:ind w:left="8"/>
              <w:jc w:val="center"/>
              <w:rPr>
                <w:rFonts w:ascii="Times New Roman"/>
                <w:sz w:val="24"/>
              </w:rPr>
            </w:pPr>
            <w:r>
              <w:rPr>
                <w:rFonts w:ascii="Times New Roman"/>
                <w:sz w:val="24"/>
              </w:rPr>
              <w:t>4</w:t>
            </w:r>
          </w:p>
        </w:tc>
        <w:tc>
          <w:tcPr>
            <w:tcW w:w="2563" w:type="dxa"/>
          </w:tcPr>
          <w:p w14:paraId="335CC095">
            <w:pPr>
              <w:pStyle w:val="15"/>
              <w:spacing w:before="128"/>
              <w:ind w:left="661" w:right="652"/>
              <w:jc w:val="center"/>
              <w:rPr>
                <w:rFonts w:hint="eastAsia" w:ascii="宋体" w:eastAsia="宋体"/>
                <w:sz w:val="24"/>
              </w:rPr>
            </w:pPr>
            <w:r>
              <w:rPr>
                <w:rFonts w:hint="eastAsia" w:ascii="宋体" w:eastAsia="宋体"/>
                <w:sz w:val="24"/>
              </w:rPr>
              <w:t>供货期限</w:t>
            </w:r>
          </w:p>
        </w:tc>
        <w:tc>
          <w:tcPr>
            <w:tcW w:w="5094" w:type="dxa"/>
          </w:tcPr>
          <w:p w14:paraId="178F03C3">
            <w:pPr>
              <w:pStyle w:val="15"/>
              <w:rPr>
                <w:rFonts w:ascii="Times New Roman"/>
                <w:sz w:val="22"/>
              </w:rPr>
            </w:pPr>
          </w:p>
        </w:tc>
      </w:tr>
      <w:tr w14:paraId="433C4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59" w:type="dxa"/>
          </w:tcPr>
          <w:p w14:paraId="25614F68">
            <w:pPr>
              <w:pStyle w:val="15"/>
              <w:spacing w:before="174"/>
              <w:ind w:left="8"/>
              <w:jc w:val="center"/>
              <w:rPr>
                <w:rFonts w:ascii="Times New Roman"/>
                <w:sz w:val="24"/>
              </w:rPr>
            </w:pPr>
            <w:r>
              <w:rPr>
                <w:rFonts w:ascii="Times New Roman"/>
                <w:sz w:val="24"/>
              </w:rPr>
              <w:t>5</w:t>
            </w:r>
          </w:p>
        </w:tc>
        <w:tc>
          <w:tcPr>
            <w:tcW w:w="2563" w:type="dxa"/>
          </w:tcPr>
          <w:p w14:paraId="17CBA689">
            <w:pPr>
              <w:pStyle w:val="15"/>
              <w:spacing w:before="158"/>
              <w:ind w:left="661" w:right="652"/>
              <w:jc w:val="center"/>
              <w:rPr>
                <w:rFonts w:hint="eastAsia" w:ascii="宋体" w:eastAsia="宋体"/>
                <w:sz w:val="24"/>
              </w:rPr>
            </w:pPr>
            <w:r>
              <w:rPr>
                <w:rFonts w:hint="eastAsia" w:ascii="宋体" w:eastAsia="宋体"/>
                <w:sz w:val="24"/>
              </w:rPr>
              <w:t>备注</w:t>
            </w:r>
          </w:p>
        </w:tc>
        <w:tc>
          <w:tcPr>
            <w:tcW w:w="5094" w:type="dxa"/>
          </w:tcPr>
          <w:p w14:paraId="42B08FC7">
            <w:pPr>
              <w:pStyle w:val="15"/>
              <w:rPr>
                <w:rFonts w:ascii="Times New Roman"/>
                <w:sz w:val="22"/>
              </w:rPr>
            </w:pPr>
          </w:p>
        </w:tc>
      </w:tr>
    </w:tbl>
    <w:p w14:paraId="72E64431">
      <w:pPr>
        <w:pStyle w:val="8"/>
        <w:spacing w:before="7"/>
        <w:rPr>
          <w:rFonts w:ascii="宋体"/>
          <w:b/>
        </w:rPr>
      </w:pPr>
    </w:p>
    <w:p w14:paraId="467CB8DD">
      <w:pPr>
        <w:pStyle w:val="7"/>
        <w:ind w:left="1029"/>
        <w:rPr>
          <w:rFonts w:hint="eastAsia" w:ascii="宋体" w:eastAsia="宋体"/>
        </w:rPr>
      </w:pPr>
      <w:r>
        <w:rPr>
          <w:rFonts w:hint="eastAsia" w:ascii="宋体" w:eastAsia="宋体"/>
        </w:rPr>
        <w:t>注：1.表中大小写不一致时，以大写为准。</w:t>
      </w:r>
    </w:p>
    <w:p w14:paraId="0592A881">
      <w:pPr>
        <w:pStyle w:val="7"/>
        <w:numPr>
          <w:ilvl w:val="1"/>
          <w:numId w:val="51"/>
        </w:numPr>
        <w:tabs>
          <w:tab w:val="left" w:pos="1753"/>
        </w:tabs>
        <w:spacing w:before="4" w:after="0" w:line="240" w:lineRule="auto"/>
        <w:ind w:left="1753" w:right="0" w:hanging="244"/>
        <w:jc w:val="left"/>
        <w:rPr>
          <w:rFonts w:hint="eastAsia" w:ascii="宋体" w:eastAsia="宋体"/>
        </w:rPr>
      </w:pPr>
      <w:r>
        <w:rPr>
          <w:rFonts w:hint="eastAsia" w:ascii="宋体" w:eastAsia="宋体"/>
        </w:rPr>
        <w:t>投标报价为完成本次采购项目的供货、配送等一切相关费用。</w:t>
      </w:r>
    </w:p>
    <w:p w14:paraId="523191A4">
      <w:pPr>
        <w:pStyle w:val="7"/>
        <w:numPr>
          <w:ilvl w:val="1"/>
          <w:numId w:val="51"/>
        </w:numPr>
        <w:tabs>
          <w:tab w:val="left" w:pos="1753"/>
        </w:tabs>
        <w:spacing w:before="5" w:after="0" w:line="242" w:lineRule="auto"/>
        <w:ind w:left="1029" w:right="1125" w:firstLine="480"/>
        <w:jc w:val="left"/>
        <w:rPr>
          <w:rFonts w:hint="eastAsia" w:ascii="宋体" w:hAnsi="宋体" w:eastAsia="宋体"/>
        </w:rPr>
      </w:pPr>
      <w:r>
        <w:rPr>
          <w:rFonts w:hint="eastAsia" w:ascii="宋体" w:hAnsi="宋体" w:eastAsia="宋体"/>
        </w:rPr>
        <w:t>本表中</w:t>
      </w:r>
      <w:r>
        <w:rPr>
          <w:rFonts w:ascii="Times New Roman" w:hAnsi="Times New Roman" w:eastAsia="Times New Roman"/>
        </w:rPr>
        <w:t>“</w:t>
      </w:r>
      <w:r>
        <w:rPr>
          <w:rFonts w:hint="eastAsia" w:ascii="宋体" w:hAnsi="宋体" w:eastAsia="宋体"/>
        </w:rPr>
        <w:t>投标总报价</w:t>
      </w:r>
      <w:r>
        <w:rPr>
          <w:rFonts w:ascii="Times New Roman" w:hAnsi="Times New Roman" w:eastAsia="Times New Roman"/>
        </w:rPr>
        <w:t>”</w:t>
      </w:r>
      <w:r>
        <w:rPr>
          <w:rFonts w:hint="eastAsia" w:ascii="宋体" w:hAnsi="宋体" w:eastAsia="宋体"/>
        </w:rPr>
        <w:t>必须与《投标函》中的</w:t>
      </w:r>
      <w:r>
        <w:rPr>
          <w:rFonts w:ascii="Times New Roman" w:hAnsi="Times New Roman" w:eastAsia="Times New Roman"/>
        </w:rPr>
        <w:t>“</w:t>
      </w:r>
      <w:r>
        <w:rPr>
          <w:rFonts w:hint="eastAsia" w:ascii="宋体" w:hAnsi="宋体" w:eastAsia="宋体"/>
        </w:rPr>
        <w:t>投标总价</w:t>
      </w:r>
      <w:r>
        <w:rPr>
          <w:rFonts w:ascii="Times New Roman" w:hAnsi="Times New Roman" w:eastAsia="Times New Roman"/>
        </w:rPr>
        <w:t>”</w:t>
      </w:r>
      <w:r>
        <w:rPr>
          <w:rFonts w:hint="eastAsia" w:ascii="宋体" w:hAnsi="宋体" w:eastAsia="宋体"/>
          <w:spacing w:val="-2"/>
        </w:rPr>
        <w:t>及《报价明细表》</w:t>
      </w:r>
      <w:r>
        <w:rPr>
          <w:rFonts w:hint="eastAsia" w:ascii="宋体" w:hAnsi="宋体" w:eastAsia="宋体"/>
        </w:rPr>
        <w:t>中的</w:t>
      </w:r>
      <w:r>
        <w:rPr>
          <w:rFonts w:ascii="Times New Roman" w:hAnsi="Times New Roman" w:eastAsia="Times New Roman"/>
        </w:rPr>
        <w:t>“</w:t>
      </w:r>
      <w:r>
        <w:rPr>
          <w:rFonts w:hint="eastAsia" w:ascii="宋体" w:hAnsi="宋体" w:eastAsia="宋体"/>
        </w:rPr>
        <w:t>投标总报价</w:t>
      </w:r>
      <w:r>
        <w:rPr>
          <w:rFonts w:ascii="Times New Roman" w:hAnsi="Times New Roman" w:eastAsia="Times New Roman"/>
        </w:rPr>
        <w:t>”</w:t>
      </w:r>
      <w:r>
        <w:rPr>
          <w:rFonts w:hint="eastAsia" w:ascii="宋体" w:hAnsi="宋体" w:eastAsia="宋体"/>
        </w:rPr>
        <w:t>均保持一致，如不一致，以《开标一览表》为准。</w:t>
      </w:r>
    </w:p>
    <w:p w14:paraId="7F382813">
      <w:pPr>
        <w:pStyle w:val="8"/>
        <w:rPr>
          <w:rFonts w:ascii="宋体"/>
          <w:b/>
          <w:sz w:val="26"/>
        </w:rPr>
      </w:pPr>
    </w:p>
    <w:p w14:paraId="29242CB3">
      <w:pPr>
        <w:pStyle w:val="8"/>
        <w:rPr>
          <w:rFonts w:ascii="宋体"/>
          <w:b/>
          <w:sz w:val="26"/>
        </w:rPr>
      </w:pPr>
    </w:p>
    <w:p w14:paraId="30BA035B">
      <w:pPr>
        <w:pStyle w:val="8"/>
        <w:rPr>
          <w:rFonts w:ascii="宋体"/>
          <w:b/>
          <w:sz w:val="26"/>
        </w:rPr>
      </w:pPr>
    </w:p>
    <w:p w14:paraId="43E59C43">
      <w:pPr>
        <w:pStyle w:val="8"/>
        <w:spacing w:before="7"/>
        <w:rPr>
          <w:rFonts w:ascii="宋体"/>
          <w:b/>
          <w:sz w:val="31"/>
        </w:rPr>
      </w:pPr>
    </w:p>
    <w:p w14:paraId="20C2FF98">
      <w:pPr>
        <w:pStyle w:val="8"/>
        <w:spacing w:before="1"/>
        <w:ind w:left="1029"/>
        <w:rPr>
          <w:rFonts w:hint="eastAsia" w:ascii="宋体" w:eastAsia="宋体"/>
        </w:rPr>
      </w:pPr>
      <w:r>
        <mc:AlternateContent>
          <mc:Choice Requires="wps">
            <w:drawing>
              <wp:anchor distT="0" distB="0" distL="114300" distR="114300" simplePos="0" relativeHeight="251661312" behindDoc="0" locked="0" layoutInCell="1" allowOverlap="1">
                <wp:simplePos x="0" y="0"/>
                <wp:positionH relativeFrom="page">
                  <wp:posOffset>2444115</wp:posOffset>
                </wp:positionH>
                <wp:positionV relativeFrom="paragraph">
                  <wp:posOffset>172085</wp:posOffset>
                </wp:positionV>
                <wp:extent cx="1524000" cy="0"/>
                <wp:effectExtent l="0" t="4445" r="0" b="5080"/>
                <wp:wrapNone/>
                <wp:docPr id="3" name="直线 7"/>
                <wp:cNvGraphicFramePr/>
                <a:graphic xmlns:a="http://schemas.openxmlformats.org/drawingml/2006/main">
                  <a:graphicData uri="http://schemas.microsoft.com/office/word/2010/wordprocessingShape">
                    <wps:wsp>
                      <wps:cNvCnPr/>
                      <wps:spPr>
                        <a:xfrm>
                          <a:off x="0" y="0"/>
                          <a:ext cx="1524000" cy="0"/>
                        </a:xfrm>
                        <a:prstGeom prst="line">
                          <a:avLst/>
                        </a:prstGeom>
                        <a:ln w="3581"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192.45pt;margin-top:13.55pt;height:0pt;width:120pt;mso-position-horizontal-relative:page;z-index:251661312;mso-width-relative:page;mso-height-relative:page;" filled="f" stroked="t" coordsize="21600,21600" o:gfxdata="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ugna&#10;2AAAAAkBAAAPAAAAAAAAAAEAIAAAACIAAABkcnMvZG93bnJldi54bWxQSwECFAAUAAAACACHTuJA&#10;eGY5jOgBAADbAwAADgAAAAAAAAABACAAAAAnAQAAZHJzL2Uyb0RvYy54bWxQSwUGAAAAAAYABgBZ&#10;AQAAgQUAAAAA&#10;">
                <v:fill on="f" focussize="0,0"/>
                <v:stroke weight="0.281968503937008pt" color="#000000" joinstyle="round"/>
                <v:imagedata o:title=""/>
                <o:lock v:ext="edit" aspectratio="f"/>
              </v:line>
            </w:pict>
          </mc:Fallback>
        </mc:AlternateContent>
      </w:r>
      <w:r>
        <w:rPr>
          <w:rFonts w:hint="eastAsia" w:ascii="宋体" w:eastAsia="宋体"/>
        </w:rPr>
        <w:t>供应商名称(公章)：</w:t>
      </w:r>
    </w:p>
    <w:p w14:paraId="402B84F9">
      <w:pPr>
        <w:pStyle w:val="8"/>
        <w:spacing w:before="12"/>
        <w:rPr>
          <w:rFonts w:ascii="宋体"/>
          <w:sz w:val="9"/>
        </w:rPr>
      </w:pPr>
    </w:p>
    <w:p w14:paraId="0E4A285F">
      <w:pPr>
        <w:pStyle w:val="8"/>
        <w:spacing w:before="66"/>
        <w:ind w:left="1029"/>
        <w:rPr>
          <w:rFonts w:hint="eastAsia" w:ascii="宋体" w:eastAsia="宋体"/>
        </w:rPr>
      </w:pPr>
      <w:r>
        <mc:AlternateContent>
          <mc:Choice Requires="wps">
            <w:drawing>
              <wp:anchor distT="0" distB="0" distL="114300" distR="114300" simplePos="0" relativeHeight="251661312" behindDoc="0" locked="0" layoutInCell="1" allowOverlap="1">
                <wp:simplePos x="0" y="0"/>
                <wp:positionH relativeFrom="page">
                  <wp:posOffset>3968115</wp:posOffset>
                </wp:positionH>
                <wp:positionV relativeFrom="paragraph">
                  <wp:posOffset>213360</wp:posOffset>
                </wp:positionV>
                <wp:extent cx="1524000" cy="0"/>
                <wp:effectExtent l="0" t="4445" r="0" b="5080"/>
                <wp:wrapNone/>
                <wp:docPr id="4" name="直线 8"/>
                <wp:cNvGraphicFramePr/>
                <a:graphic xmlns:a="http://schemas.openxmlformats.org/drawingml/2006/main">
                  <a:graphicData uri="http://schemas.microsoft.com/office/word/2010/wordprocessingShape">
                    <wps:wsp>
                      <wps:cNvCnPr/>
                      <wps:spPr>
                        <a:xfrm>
                          <a:off x="0" y="0"/>
                          <a:ext cx="1524000" cy="0"/>
                        </a:xfrm>
                        <a:prstGeom prst="line">
                          <a:avLst/>
                        </a:prstGeom>
                        <a:ln w="3581"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312.45pt;margin-top:16.8pt;height:0pt;width:120pt;mso-position-horizontal-relative:page;z-index:251661312;mso-width-relative:page;mso-height-relative:page;" filled="f" stroked="t" coordsize="21600,21600" o:gfxdata="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rIOC4&#10;2AAAAAkBAAAPAAAAAAAAAAEAIAAAACIAAABkcnMvZG93bnJldi54bWxQSwECFAAUAAAACACHTuJA&#10;9mTCiugBAADbAwAADgAAAAAAAAABACAAAAAnAQAAZHJzL2Uyb0RvYy54bWxQSwUGAAAAAAYABgBZ&#10;AQAAgQUAAAAA&#10;">
                <v:fill on="f" focussize="0,0"/>
                <v:stroke weight="0.281968503937008pt" color="#000000" joinstyle="round"/>
                <v:imagedata o:title=""/>
                <o:lock v:ext="edit" aspectratio="f"/>
              </v:line>
            </w:pict>
          </mc:Fallback>
        </mc:AlternateContent>
      </w:r>
      <w:r>
        <w:rPr>
          <w:rFonts w:hint="eastAsia" w:ascii="宋体" w:eastAsia="宋体"/>
        </w:rPr>
        <w:t>法定代表人或其授权代表（签字或盖章）：</w:t>
      </w:r>
    </w:p>
    <w:p w14:paraId="076E98EE">
      <w:pPr>
        <w:pStyle w:val="8"/>
        <w:spacing w:before="10"/>
        <w:rPr>
          <w:rFonts w:ascii="宋体"/>
          <w:sz w:val="9"/>
        </w:rPr>
      </w:pPr>
    </w:p>
    <w:p w14:paraId="3E1E61AA">
      <w:pPr>
        <w:pStyle w:val="8"/>
        <w:tabs>
          <w:tab w:val="left" w:pos="2469"/>
          <w:tab w:val="left" w:pos="3189"/>
          <w:tab w:val="left" w:pos="3909"/>
        </w:tabs>
        <w:spacing w:before="67"/>
        <w:ind w:left="1029"/>
        <w:rPr>
          <w:rFonts w:hint="eastAsia" w:ascii="宋体" w:eastAsia="宋体"/>
        </w:rPr>
      </w:pPr>
      <w:r>
        <w:rPr>
          <w:rFonts w:hint="eastAsia" w:ascii="宋体" w:eastAsia="宋体"/>
        </w:rPr>
        <w:t>日期：</w:t>
      </w:r>
      <w:r>
        <w:rPr>
          <w:rFonts w:hint="eastAsia" w:ascii="宋体" w:eastAsia="宋体"/>
          <w:u w:val="single"/>
        </w:rPr>
        <w:t xml:space="preserve"> </w:t>
      </w:r>
      <w:r>
        <w:rPr>
          <w:rFonts w:hint="eastAsia" w:ascii="宋体" w:eastAsia="宋体"/>
          <w:u w:val="single"/>
        </w:rPr>
        <w:tab/>
      </w:r>
      <w:r>
        <w:rPr>
          <w:rFonts w:hint="eastAsia" w:ascii="宋体" w:eastAsia="宋体"/>
        </w:rPr>
        <w:t>年</w:t>
      </w:r>
      <w:r>
        <w:rPr>
          <w:rFonts w:hint="eastAsia" w:ascii="宋体" w:eastAsia="宋体"/>
          <w:u w:val="single"/>
        </w:rPr>
        <w:t xml:space="preserve"> </w:t>
      </w:r>
      <w:r>
        <w:rPr>
          <w:rFonts w:hint="eastAsia" w:ascii="宋体" w:eastAsia="宋体"/>
          <w:u w:val="single"/>
        </w:rPr>
        <w:tab/>
      </w:r>
      <w:r>
        <w:rPr>
          <w:rFonts w:hint="eastAsia" w:ascii="宋体" w:eastAsia="宋体"/>
        </w:rPr>
        <w:t>月</w:t>
      </w:r>
      <w:r>
        <w:rPr>
          <w:rFonts w:hint="eastAsia" w:ascii="宋体" w:eastAsia="宋体"/>
          <w:u w:val="single"/>
        </w:rPr>
        <w:t xml:space="preserve"> </w:t>
      </w:r>
      <w:r>
        <w:rPr>
          <w:rFonts w:hint="eastAsia" w:ascii="宋体" w:eastAsia="宋体"/>
          <w:u w:val="single"/>
        </w:rPr>
        <w:tab/>
      </w:r>
      <w:r>
        <w:rPr>
          <w:rFonts w:hint="eastAsia" w:ascii="宋体" w:eastAsia="宋体"/>
        </w:rPr>
        <w:t>日</w:t>
      </w:r>
    </w:p>
    <w:p w14:paraId="7483751D">
      <w:pPr>
        <w:spacing w:after="0"/>
        <w:rPr>
          <w:rFonts w:hint="eastAsia" w:ascii="宋体" w:eastAsia="宋体"/>
        </w:rPr>
        <w:sectPr>
          <w:pgSz w:w="11910" w:h="16840"/>
          <w:pgMar w:top="1540" w:right="660" w:bottom="1180" w:left="660" w:header="0" w:footer="909" w:gutter="0"/>
          <w:cols w:space="720" w:num="1"/>
        </w:sectPr>
      </w:pPr>
    </w:p>
    <w:p w14:paraId="32150B36">
      <w:pPr>
        <w:pStyle w:val="8"/>
        <w:spacing w:before="3"/>
        <w:rPr>
          <w:rFonts w:ascii="宋体"/>
          <w:sz w:val="8"/>
        </w:rPr>
      </w:pPr>
    </w:p>
    <w:p w14:paraId="405F3563">
      <w:pPr>
        <w:pStyle w:val="5"/>
        <w:spacing w:before="62"/>
        <w:ind w:left="5395"/>
        <w:rPr>
          <w:rFonts w:hint="eastAsia" w:ascii="宋体" w:eastAsia="宋体"/>
        </w:rPr>
      </w:pPr>
      <w:r>
        <w:rPr>
          <w:rFonts w:hint="eastAsia" w:ascii="宋体" w:eastAsia="宋体"/>
        </w:rPr>
        <w:t>产品名称、数量、规格及报价明细表</w:t>
      </w:r>
    </w:p>
    <w:p w14:paraId="1833DBBE">
      <w:pPr>
        <w:pStyle w:val="8"/>
        <w:spacing w:before="178" w:line="374" w:lineRule="auto"/>
        <w:ind w:left="283" w:right="372" w:firstLine="480"/>
        <w:rPr>
          <w:rFonts w:hint="eastAsia" w:ascii="宋体" w:eastAsia="宋体"/>
        </w:rPr>
      </w:pPr>
      <w:r>
        <mc:AlternateContent>
          <mc:Choice Requires="wps">
            <w:drawing>
              <wp:anchor distT="0" distB="0" distL="114300" distR="114300" simplePos="0" relativeHeight="251662336" behindDoc="0" locked="0" layoutInCell="1" allowOverlap="1">
                <wp:simplePos x="0" y="0"/>
                <wp:positionH relativeFrom="page">
                  <wp:posOffset>712470</wp:posOffset>
                </wp:positionH>
                <wp:positionV relativeFrom="paragraph">
                  <wp:posOffset>630555</wp:posOffset>
                </wp:positionV>
                <wp:extent cx="9270365" cy="2354580"/>
                <wp:effectExtent l="0" t="0" r="0" b="0"/>
                <wp:wrapNone/>
                <wp:docPr id="5" name="文本框 9"/>
                <wp:cNvGraphicFramePr/>
                <a:graphic xmlns:a="http://schemas.openxmlformats.org/drawingml/2006/main">
                  <a:graphicData uri="http://schemas.microsoft.com/office/word/2010/wordprocessingShape">
                    <wps:wsp>
                      <wps:cNvSpPr txBox="1"/>
                      <wps:spPr>
                        <a:xfrm>
                          <a:off x="0" y="0"/>
                          <a:ext cx="9270365" cy="2354580"/>
                        </a:xfrm>
                        <a:prstGeom prst="rect">
                          <a:avLst/>
                        </a:prstGeom>
                        <a:noFill/>
                        <a:ln>
                          <a:noFill/>
                        </a:ln>
                      </wps:spPr>
                      <wps:txbx>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3371"/>
                              <w:gridCol w:w="1933"/>
                              <w:gridCol w:w="1438"/>
                              <w:gridCol w:w="1701"/>
                              <w:gridCol w:w="1786"/>
                              <w:gridCol w:w="1437"/>
                              <w:gridCol w:w="2163"/>
                            </w:tblGrid>
                            <w:tr w14:paraId="67425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55" w:type="dxa"/>
                                </w:tcPr>
                                <w:p w14:paraId="3A98DA07">
                                  <w:pPr>
                                    <w:pStyle w:val="15"/>
                                    <w:spacing w:before="98"/>
                                    <w:ind w:left="117" w:right="107"/>
                                    <w:jc w:val="center"/>
                                    <w:rPr>
                                      <w:rFonts w:hint="eastAsia" w:ascii="宋体" w:eastAsia="宋体"/>
                                      <w:sz w:val="24"/>
                                    </w:rPr>
                                  </w:pPr>
                                  <w:r>
                                    <w:rPr>
                                      <w:rFonts w:hint="eastAsia" w:ascii="宋体" w:eastAsia="宋体"/>
                                      <w:sz w:val="24"/>
                                    </w:rPr>
                                    <w:t>序号</w:t>
                                  </w:r>
                                </w:p>
                              </w:tc>
                              <w:tc>
                                <w:tcPr>
                                  <w:tcW w:w="3371" w:type="dxa"/>
                                </w:tcPr>
                                <w:p w14:paraId="5A3F29D0">
                                  <w:pPr>
                                    <w:pStyle w:val="15"/>
                                    <w:spacing w:before="98"/>
                                    <w:ind w:left="344" w:right="337"/>
                                    <w:jc w:val="center"/>
                                    <w:rPr>
                                      <w:rFonts w:hint="eastAsia" w:ascii="宋体" w:eastAsia="宋体"/>
                                      <w:sz w:val="24"/>
                                    </w:rPr>
                                  </w:pPr>
                                  <w:r>
                                    <w:rPr>
                                      <w:rFonts w:hint="eastAsia" w:ascii="宋体" w:eastAsia="宋体"/>
                                      <w:sz w:val="24"/>
                                    </w:rPr>
                                    <w:t>品名</w:t>
                                  </w:r>
                                </w:p>
                              </w:tc>
                              <w:tc>
                                <w:tcPr>
                                  <w:tcW w:w="1933" w:type="dxa"/>
                                </w:tcPr>
                                <w:p w14:paraId="2FC7DBDC">
                                  <w:pPr>
                                    <w:pStyle w:val="15"/>
                                    <w:tabs>
                                      <w:tab w:val="left" w:pos="1540"/>
                                    </w:tabs>
                                    <w:spacing w:before="98"/>
                                    <w:ind w:left="0" w:leftChars="0" w:right="698" w:firstLine="439" w:firstLineChars="183"/>
                                    <w:jc w:val="both"/>
                                    <w:rPr>
                                      <w:rFonts w:hint="eastAsia" w:ascii="宋体" w:eastAsia="宋体"/>
                                      <w:sz w:val="24"/>
                                      <w:lang w:val="en-US" w:eastAsia="zh-CN"/>
                                    </w:rPr>
                                  </w:pPr>
                                  <w:r>
                                    <w:rPr>
                                      <w:rFonts w:hint="eastAsia" w:ascii="宋体" w:eastAsia="宋体"/>
                                      <w:sz w:val="24"/>
                                    </w:rPr>
                                    <w:t>规格</w:t>
                                  </w:r>
                                  <w:r>
                                    <w:rPr>
                                      <w:rFonts w:hint="eastAsia" w:ascii="宋体" w:eastAsia="宋体"/>
                                      <w:sz w:val="24"/>
                                      <w:lang w:eastAsia="zh-CN"/>
                                    </w:rPr>
                                    <w:t>、</w:t>
                                  </w:r>
                                  <w:r>
                                    <w:rPr>
                                      <w:rFonts w:hint="eastAsia" w:ascii="宋体" w:eastAsia="宋体"/>
                                      <w:sz w:val="24"/>
                                    </w:rPr>
                                    <w:t>品牌、型号</w:t>
                                  </w:r>
                                </w:p>
                              </w:tc>
                              <w:tc>
                                <w:tcPr>
                                  <w:tcW w:w="1438" w:type="dxa"/>
                                </w:tcPr>
                                <w:p w14:paraId="7FAD852C">
                                  <w:pPr>
                                    <w:pStyle w:val="15"/>
                                    <w:spacing w:before="98"/>
                                    <w:ind w:left="479"/>
                                    <w:rPr>
                                      <w:rFonts w:hint="eastAsia" w:ascii="宋体" w:eastAsia="宋体"/>
                                      <w:sz w:val="24"/>
                                    </w:rPr>
                                  </w:pPr>
                                  <w:r>
                                    <w:rPr>
                                      <w:rFonts w:hint="eastAsia" w:ascii="宋体" w:eastAsia="宋体"/>
                                      <w:sz w:val="24"/>
                                    </w:rPr>
                                    <w:t>数量</w:t>
                                  </w:r>
                                </w:p>
                              </w:tc>
                              <w:tc>
                                <w:tcPr>
                                  <w:tcW w:w="1701" w:type="dxa"/>
                                </w:tcPr>
                                <w:p w14:paraId="3FABFE74">
                                  <w:pPr>
                                    <w:pStyle w:val="15"/>
                                    <w:spacing w:before="98"/>
                                    <w:ind w:left="588" w:right="582"/>
                                    <w:jc w:val="center"/>
                                    <w:rPr>
                                      <w:rFonts w:hint="eastAsia" w:ascii="宋体" w:eastAsia="宋体"/>
                                      <w:sz w:val="24"/>
                                    </w:rPr>
                                  </w:pPr>
                                  <w:r>
                                    <w:rPr>
                                      <w:rFonts w:hint="eastAsia" w:ascii="宋体" w:eastAsia="宋体"/>
                                      <w:sz w:val="24"/>
                                    </w:rPr>
                                    <w:t>单位</w:t>
                                  </w:r>
                                </w:p>
                              </w:tc>
                              <w:tc>
                                <w:tcPr>
                                  <w:tcW w:w="1786" w:type="dxa"/>
                                </w:tcPr>
                                <w:p w14:paraId="3B384EA7">
                                  <w:pPr>
                                    <w:pStyle w:val="15"/>
                                    <w:spacing w:before="98"/>
                                    <w:ind w:left="292"/>
                                    <w:rPr>
                                      <w:rFonts w:hint="eastAsia" w:ascii="宋体" w:eastAsia="宋体"/>
                                      <w:sz w:val="24"/>
                                    </w:rPr>
                                  </w:pPr>
                                  <w:r>
                                    <w:rPr>
                                      <w:rFonts w:hint="eastAsia" w:ascii="宋体" w:eastAsia="宋体"/>
                                      <w:sz w:val="24"/>
                                    </w:rPr>
                                    <w:t>单价（元）</w:t>
                                  </w:r>
                                </w:p>
                              </w:tc>
                              <w:tc>
                                <w:tcPr>
                                  <w:tcW w:w="1437" w:type="dxa"/>
                                </w:tcPr>
                                <w:p w14:paraId="0F8B692B">
                                  <w:pPr>
                                    <w:pStyle w:val="15"/>
                                    <w:spacing w:before="98"/>
                                    <w:ind w:left="116"/>
                                    <w:rPr>
                                      <w:rFonts w:hint="eastAsia" w:ascii="宋体" w:eastAsia="宋体"/>
                                      <w:sz w:val="24"/>
                                      <w:lang w:val="en-US" w:eastAsia="zh-CN"/>
                                    </w:rPr>
                                  </w:pPr>
                                  <w:r>
                                    <w:rPr>
                                      <w:rFonts w:hint="eastAsia" w:ascii="宋体" w:eastAsia="宋体"/>
                                      <w:sz w:val="24"/>
                                      <w:lang w:val="en-US" w:eastAsia="zh-CN"/>
                                    </w:rPr>
                                    <w:t>总价（元）</w:t>
                                  </w:r>
                                </w:p>
                              </w:tc>
                              <w:tc>
                                <w:tcPr>
                                  <w:tcW w:w="2163" w:type="dxa"/>
                                </w:tcPr>
                                <w:p w14:paraId="4C950B69">
                                  <w:pPr>
                                    <w:pStyle w:val="15"/>
                                    <w:spacing w:before="98"/>
                                    <w:ind w:left="819" w:right="813"/>
                                    <w:jc w:val="center"/>
                                    <w:rPr>
                                      <w:rFonts w:hint="eastAsia" w:ascii="宋体" w:eastAsia="宋体"/>
                                      <w:sz w:val="24"/>
                                    </w:rPr>
                                  </w:pPr>
                                  <w:r>
                                    <w:rPr>
                                      <w:rFonts w:hint="eastAsia" w:ascii="宋体" w:eastAsia="宋体"/>
                                      <w:sz w:val="24"/>
                                    </w:rPr>
                                    <w:t>备注</w:t>
                                  </w:r>
                                </w:p>
                              </w:tc>
                            </w:tr>
                            <w:tr w14:paraId="0FD1C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55" w:type="dxa"/>
                                </w:tcPr>
                                <w:p w14:paraId="421C03EF">
                                  <w:pPr>
                                    <w:pStyle w:val="15"/>
                                    <w:spacing w:before="100"/>
                                    <w:ind w:left="10"/>
                                    <w:jc w:val="center"/>
                                    <w:rPr>
                                      <w:rFonts w:ascii="宋体"/>
                                      <w:sz w:val="24"/>
                                    </w:rPr>
                                  </w:pPr>
                                  <w:r>
                                    <w:rPr>
                                      <w:rFonts w:ascii="宋体"/>
                                      <w:sz w:val="24"/>
                                    </w:rPr>
                                    <w:t>1</w:t>
                                  </w:r>
                                </w:p>
                              </w:tc>
                              <w:tc>
                                <w:tcPr>
                                  <w:tcW w:w="3371" w:type="dxa"/>
                                </w:tcPr>
                                <w:p w14:paraId="11028A5F">
                                  <w:pPr>
                                    <w:pStyle w:val="15"/>
                                    <w:spacing w:before="100"/>
                                    <w:ind w:left="344" w:right="337"/>
                                    <w:jc w:val="center"/>
                                    <w:rPr>
                                      <w:rFonts w:hint="eastAsia" w:ascii="宋体" w:eastAsia="宋体"/>
                                      <w:sz w:val="24"/>
                                    </w:rPr>
                                  </w:pPr>
                                  <w:r>
                                    <w:rPr>
                                      <w:rFonts w:hint="eastAsia" w:ascii="宋体" w:eastAsia="宋体"/>
                                      <w:sz w:val="24"/>
                                    </w:rPr>
                                    <w:t>（所投的全部货物内容）</w:t>
                                  </w:r>
                                </w:p>
                              </w:tc>
                              <w:tc>
                                <w:tcPr>
                                  <w:tcW w:w="1933" w:type="dxa"/>
                                </w:tcPr>
                                <w:p w14:paraId="69FD3856">
                                  <w:pPr>
                                    <w:pStyle w:val="15"/>
                                    <w:rPr>
                                      <w:rFonts w:ascii="Times New Roman"/>
                                      <w:sz w:val="24"/>
                                    </w:rPr>
                                  </w:pPr>
                                </w:p>
                              </w:tc>
                              <w:tc>
                                <w:tcPr>
                                  <w:tcW w:w="1438" w:type="dxa"/>
                                </w:tcPr>
                                <w:p w14:paraId="30938D2B">
                                  <w:pPr>
                                    <w:pStyle w:val="15"/>
                                    <w:rPr>
                                      <w:rFonts w:ascii="Times New Roman"/>
                                      <w:sz w:val="24"/>
                                    </w:rPr>
                                  </w:pPr>
                                </w:p>
                              </w:tc>
                              <w:tc>
                                <w:tcPr>
                                  <w:tcW w:w="1701" w:type="dxa"/>
                                </w:tcPr>
                                <w:p w14:paraId="21D26898">
                                  <w:pPr>
                                    <w:pStyle w:val="15"/>
                                    <w:rPr>
                                      <w:rFonts w:ascii="Times New Roman"/>
                                      <w:sz w:val="24"/>
                                    </w:rPr>
                                  </w:pPr>
                                </w:p>
                              </w:tc>
                              <w:tc>
                                <w:tcPr>
                                  <w:tcW w:w="1786" w:type="dxa"/>
                                </w:tcPr>
                                <w:p w14:paraId="45D10B05">
                                  <w:pPr>
                                    <w:pStyle w:val="15"/>
                                    <w:rPr>
                                      <w:rFonts w:ascii="Times New Roman"/>
                                      <w:sz w:val="24"/>
                                    </w:rPr>
                                  </w:pPr>
                                </w:p>
                              </w:tc>
                              <w:tc>
                                <w:tcPr>
                                  <w:tcW w:w="1437" w:type="dxa"/>
                                </w:tcPr>
                                <w:p w14:paraId="53B6F0CE">
                                  <w:pPr>
                                    <w:pStyle w:val="15"/>
                                    <w:rPr>
                                      <w:rFonts w:ascii="Times New Roman"/>
                                      <w:sz w:val="24"/>
                                    </w:rPr>
                                  </w:pPr>
                                </w:p>
                              </w:tc>
                              <w:tc>
                                <w:tcPr>
                                  <w:tcW w:w="2163" w:type="dxa"/>
                                </w:tcPr>
                                <w:p w14:paraId="5F2FA0CB">
                                  <w:pPr>
                                    <w:pStyle w:val="15"/>
                                    <w:rPr>
                                      <w:rFonts w:ascii="Times New Roman"/>
                                      <w:sz w:val="24"/>
                                    </w:rPr>
                                  </w:pPr>
                                </w:p>
                              </w:tc>
                            </w:tr>
                            <w:tr w14:paraId="0E20C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55" w:type="dxa"/>
                                </w:tcPr>
                                <w:p w14:paraId="7D5C8432">
                                  <w:pPr>
                                    <w:pStyle w:val="15"/>
                                    <w:spacing w:before="98"/>
                                    <w:ind w:left="10"/>
                                    <w:jc w:val="center"/>
                                    <w:rPr>
                                      <w:rFonts w:ascii="宋体"/>
                                      <w:sz w:val="24"/>
                                    </w:rPr>
                                  </w:pPr>
                                  <w:r>
                                    <w:rPr>
                                      <w:rFonts w:ascii="宋体"/>
                                      <w:sz w:val="24"/>
                                    </w:rPr>
                                    <w:t>2</w:t>
                                  </w:r>
                                </w:p>
                              </w:tc>
                              <w:tc>
                                <w:tcPr>
                                  <w:tcW w:w="3371" w:type="dxa"/>
                                </w:tcPr>
                                <w:p w14:paraId="48D18388">
                                  <w:pPr>
                                    <w:pStyle w:val="15"/>
                                    <w:spacing w:before="98"/>
                                    <w:ind w:left="7"/>
                                    <w:jc w:val="center"/>
                                    <w:rPr>
                                      <w:rFonts w:ascii="宋体" w:hAnsi="宋体"/>
                                      <w:sz w:val="24"/>
                                    </w:rPr>
                                  </w:pPr>
                                  <w:r>
                                    <w:rPr>
                                      <w:rFonts w:ascii="宋体" w:hAnsi="宋体"/>
                                      <w:sz w:val="24"/>
                                    </w:rPr>
                                    <w:t>…</w:t>
                                  </w:r>
                                </w:p>
                              </w:tc>
                              <w:tc>
                                <w:tcPr>
                                  <w:tcW w:w="1933" w:type="dxa"/>
                                </w:tcPr>
                                <w:p w14:paraId="6738BE39">
                                  <w:pPr>
                                    <w:pStyle w:val="15"/>
                                    <w:rPr>
                                      <w:rFonts w:ascii="Times New Roman"/>
                                      <w:sz w:val="24"/>
                                    </w:rPr>
                                  </w:pPr>
                                </w:p>
                              </w:tc>
                              <w:tc>
                                <w:tcPr>
                                  <w:tcW w:w="1438" w:type="dxa"/>
                                </w:tcPr>
                                <w:p w14:paraId="6D22D9FA">
                                  <w:pPr>
                                    <w:pStyle w:val="15"/>
                                    <w:rPr>
                                      <w:rFonts w:ascii="Times New Roman"/>
                                      <w:sz w:val="24"/>
                                    </w:rPr>
                                  </w:pPr>
                                </w:p>
                              </w:tc>
                              <w:tc>
                                <w:tcPr>
                                  <w:tcW w:w="1701" w:type="dxa"/>
                                </w:tcPr>
                                <w:p w14:paraId="4A682DDF">
                                  <w:pPr>
                                    <w:pStyle w:val="15"/>
                                    <w:rPr>
                                      <w:rFonts w:ascii="Times New Roman"/>
                                      <w:sz w:val="24"/>
                                    </w:rPr>
                                  </w:pPr>
                                </w:p>
                              </w:tc>
                              <w:tc>
                                <w:tcPr>
                                  <w:tcW w:w="1786" w:type="dxa"/>
                                </w:tcPr>
                                <w:p w14:paraId="359C8DF5">
                                  <w:pPr>
                                    <w:pStyle w:val="15"/>
                                    <w:rPr>
                                      <w:rFonts w:ascii="Times New Roman"/>
                                      <w:sz w:val="24"/>
                                    </w:rPr>
                                  </w:pPr>
                                </w:p>
                              </w:tc>
                              <w:tc>
                                <w:tcPr>
                                  <w:tcW w:w="1437" w:type="dxa"/>
                                </w:tcPr>
                                <w:p w14:paraId="3C8B85D8">
                                  <w:pPr>
                                    <w:pStyle w:val="15"/>
                                    <w:rPr>
                                      <w:rFonts w:ascii="Times New Roman"/>
                                      <w:sz w:val="24"/>
                                    </w:rPr>
                                  </w:pPr>
                                </w:p>
                              </w:tc>
                              <w:tc>
                                <w:tcPr>
                                  <w:tcW w:w="2163" w:type="dxa"/>
                                </w:tcPr>
                                <w:p w14:paraId="50C5FF8F">
                                  <w:pPr>
                                    <w:pStyle w:val="15"/>
                                    <w:rPr>
                                      <w:rFonts w:ascii="Times New Roman"/>
                                      <w:sz w:val="24"/>
                                    </w:rPr>
                                  </w:pPr>
                                </w:p>
                              </w:tc>
                            </w:tr>
                            <w:tr w14:paraId="1F379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55" w:type="dxa"/>
                                </w:tcPr>
                                <w:p w14:paraId="5DB60C40">
                                  <w:pPr>
                                    <w:pStyle w:val="15"/>
                                    <w:spacing w:before="99"/>
                                    <w:ind w:left="10"/>
                                    <w:jc w:val="center"/>
                                    <w:rPr>
                                      <w:rFonts w:ascii="宋体"/>
                                      <w:sz w:val="24"/>
                                    </w:rPr>
                                  </w:pPr>
                                  <w:r>
                                    <w:rPr>
                                      <w:rFonts w:ascii="宋体"/>
                                      <w:sz w:val="24"/>
                                    </w:rPr>
                                    <w:t>3</w:t>
                                  </w:r>
                                </w:p>
                              </w:tc>
                              <w:tc>
                                <w:tcPr>
                                  <w:tcW w:w="3371" w:type="dxa"/>
                                </w:tcPr>
                                <w:p w14:paraId="640E5A39">
                                  <w:pPr>
                                    <w:pStyle w:val="15"/>
                                    <w:spacing w:before="99"/>
                                    <w:ind w:left="344" w:right="337"/>
                                    <w:jc w:val="center"/>
                                    <w:rPr>
                                      <w:rFonts w:hint="eastAsia" w:ascii="宋体" w:eastAsia="宋体"/>
                                      <w:sz w:val="24"/>
                                    </w:rPr>
                                  </w:pPr>
                                  <w:r>
                                    <w:rPr>
                                      <w:rFonts w:hint="eastAsia" w:ascii="宋体" w:eastAsia="宋体"/>
                                      <w:sz w:val="24"/>
                                    </w:rPr>
                                    <w:t>备品备件</w:t>
                                  </w:r>
                                </w:p>
                              </w:tc>
                              <w:tc>
                                <w:tcPr>
                                  <w:tcW w:w="1933" w:type="dxa"/>
                                </w:tcPr>
                                <w:p w14:paraId="57E7C138">
                                  <w:pPr>
                                    <w:pStyle w:val="15"/>
                                    <w:rPr>
                                      <w:rFonts w:ascii="Times New Roman"/>
                                      <w:sz w:val="24"/>
                                    </w:rPr>
                                  </w:pPr>
                                </w:p>
                              </w:tc>
                              <w:tc>
                                <w:tcPr>
                                  <w:tcW w:w="1438" w:type="dxa"/>
                                </w:tcPr>
                                <w:p w14:paraId="524B9EFF">
                                  <w:pPr>
                                    <w:pStyle w:val="15"/>
                                    <w:rPr>
                                      <w:rFonts w:ascii="Times New Roman"/>
                                      <w:sz w:val="24"/>
                                    </w:rPr>
                                  </w:pPr>
                                </w:p>
                              </w:tc>
                              <w:tc>
                                <w:tcPr>
                                  <w:tcW w:w="1701" w:type="dxa"/>
                                </w:tcPr>
                                <w:p w14:paraId="2099E193">
                                  <w:pPr>
                                    <w:pStyle w:val="15"/>
                                    <w:rPr>
                                      <w:rFonts w:ascii="Times New Roman"/>
                                      <w:sz w:val="24"/>
                                    </w:rPr>
                                  </w:pPr>
                                </w:p>
                              </w:tc>
                              <w:tc>
                                <w:tcPr>
                                  <w:tcW w:w="1786" w:type="dxa"/>
                                </w:tcPr>
                                <w:p w14:paraId="7755F72B">
                                  <w:pPr>
                                    <w:pStyle w:val="15"/>
                                    <w:rPr>
                                      <w:rFonts w:ascii="Times New Roman"/>
                                      <w:sz w:val="24"/>
                                    </w:rPr>
                                  </w:pPr>
                                </w:p>
                              </w:tc>
                              <w:tc>
                                <w:tcPr>
                                  <w:tcW w:w="1437" w:type="dxa"/>
                                </w:tcPr>
                                <w:p w14:paraId="6AAAD982">
                                  <w:pPr>
                                    <w:pStyle w:val="15"/>
                                    <w:rPr>
                                      <w:rFonts w:ascii="Times New Roman"/>
                                      <w:sz w:val="24"/>
                                    </w:rPr>
                                  </w:pPr>
                                </w:p>
                              </w:tc>
                              <w:tc>
                                <w:tcPr>
                                  <w:tcW w:w="2163" w:type="dxa"/>
                                </w:tcPr>
                                <w:p w14:paraId="0B1E4480">
                                  <w:pPr>
                                    <w:pStyle w:val="15"/>
                                    <w:rPr>
                                      <w:rFonts w:ascii="Times New Roman"/>
                                      <w:sz w:val="24"/>
                                    </w:rPr>
                                  </w:pPr>
                                </w:p>
                              </w:tc>
                            </w:tr>
                            <w:tr w14:paraId="1F238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755" w:type="dxa"/>
                                </w:tcPr>
                                <w:p w14:paraId="684670DA">
                                  <w:pPr>
                                    <w:pStyle w:val="15"/>
                                    <w:spacing w:before="117"/>
                                    <w:ind w:left="10"/>
                                    <w:jc w:val="center"/>
                                    <w:rPr>
                                      <w:rFonts w:ascii="宋体"/>
                                      <w:sz w:val="24"/>
                                    </w:rPr>
                                  </w:pPr>
                                  <w:r>
                                    <w:rPr>
                                      <w:rFonts w:ascii="宋体"/>
                                      <w:sz w:val="24"/>
                                    </w:rPr>
                                    <w:t>4</w:t>
                                  </w:r>
                                </w:p>
                              </w:tc>
                              <w:tc>
                                <w:tcPr>
                                  <w:tcW w:w="3371" w:type="dxa"/>
                                </w:tcPr>
                                <w:p w14:paraId="4249B9B0">
                                  <w:pPr>
                                    <w:pStyle w:val="15"/>
                                    <w:spacing w:before="117"/>
                                    <w:ind w:left="344" w:right="337"/>
                                    <w:jc w:val="center"/>
                                    <w:rPr>
                                      <w:rFonts w:hint="eastAsia" w:ascii="宋体" w:eastAsia="宋体"/>
                                      <w:sz w:val="24"/>
                                    </w:rPr>
                                  </w:pPr>
                                  <w:r>
                                    <w:rPr>
                                      <w:rFonts w:hint="eastAsia" w:ascii="宋体" w:eastAsia="宋体"/>
                                      <w:sz w:val="24"/>
                                    </w:rPr>
                                    <w:t>运杂费</w:t>
                                  </w:r>
                                </w:p>
                              </w:tc>
                              <w:tc>
                                <w:tcPr>
                                  <w:tcW w:w="10458" w:type="dxa"/>
                                  <w:gridSpan w:val="6"/>
                                </w:tcPr>
                                <w:p w14:paraId="58CC793A">
                                  <w:pPr>
                                    <w:pStyle w:val="15"/>
                                    <w:rPr>
                                      <w:rFonts w:ascii="Times New Roman"/>
                                      <w:sz w:val="24"/>
                                    </w:rPr>
                                  </w:pPr>
                                </w:p>
                              </w:tc>
                            </w:tr>
                            <w:tr w14:paraId="70B0E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55" w:type="dxa"/>
                                </w:tcPr>
                                <w:p w14:paraId="580BF117">
                                  <w:pPr>
                                    <w:pStyle w:val="15"/>
                                    <w:rPr>
                                      <w:rFonts w:ascii="Times New Roman"/>
                                      <w:sz w:val="24"/>
                                    </w:rPr>
                                  </w:pPr>
                                </w:p>
                              </w:tc>
                              <w:tc>
                                <w:tcPr>
                                  <w:tcW w:w="3371" w:type="dxa"/>
                                </w:tcPr>
                                <w:p w14:paraId="06BFF383">
                                  <w:pPr>
                                    <w:pStyle w:val="15"/>
                                    <w:spacing w:before="99"/>
                                    <w:ind w:left="344" w:right="337"/>
                                    <w:jc w:val="center"/>
                                    <w:rPr>
                                      <w:rFonts w:ascii="宋体"/>
                                      <w:sz w:val="24"/>
                                    </w:rPr>
                                  </w:pPr>
                                  <w:r>
                                    <w:rPr>
                                      <w:rFonts w:ascii="宋体"/>
                                      <w:sz w:val="24"/>
                                    </w:rPr>
                                    <w:t>... ...</w:t>
                                  </w:r>
                                </w:p>
                              </w:tc>
                              <w:tc>
                                <w:tcPr>
                                  <w:tcW w:w="10458" w:type="dxa"/>
                                  <w:gridSpan w:val="6"/>
                                </w:tcPr>
                                <w:p w14:paraId="08796DDD">
                                  <w:pPr>
                                    <w:pStyle w:val="15"/>
                                    <w:rPr>
                                      <w:rFonts w:ascii="Times New Roman"/>
                                      <w:sz w:val="24"/>
                                    </w:rPr>
                                  </w:pPr>
                                </w:p>
                              </w:tc>
                            </w:tr>
                            <w:tr w14:paraId="14861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4126" w:type="dxa"/>
                                  <w:gridSpan w:val="2"/>
                                </w:tcPr>
                                <w:p w14:paraId="7AC1EE75">
                                  <w:pPr>
                                    <w:pStyle w:val="15"/>
                                    <w:spacing w:before="129"/>
                                    <w:ind w:left="1222"/>
                                    <w:rPr>
                                      <w:rFonts w:hint="eastAsia" w:ascii="宋体" w:eastAsia="宋体"/>
                                      <w:sz w:val="24"/>
                                    </w:rPr>
                                  </w:pPr>
                                  <w:r>
                                    <w:rPr>
                                      <w:rFonts w:hint="eastAsia" w:ascii="宋体" w:eastAsia="宋体"/>
                                      <w:sz w:val="24"/>
                                    </w:rPr>
                                    <w:t>合计总价（元）</w:t>
                                  </w:r>
                                </w:p>
                              </w:tc>
                              <w:tc>
                                <w:tcPr>
                                  <w:tcW w:w="10458" w:type="dxa"/>
                                  <w:gridSpan w:val="6"/>
                                </w:tcPr>
                                <w:p w14:paraId="06E6F5DB">
                                  <w:pPr>
                                    <w:pStyle w:val="15"/>
                                    <w:rPr>
                                      <w:rFonts w:ascii="Times New Roman"/>
                                      <w:sz w:val="24"/>
                                    </w:rPr>
                                  </w:pPr>
                                </w:p>
                              </w:tc>
                            </w:tr>
                          </w:tbl>
                          <w:p w14:paraId="0496F6F8">
                            <w:pPr>
                              <w:pStyle w:val="8"/>
                            </w:pPr>
                          </w:p>
                        </w:txbxContent>
                      </wps:txbx>
                      <wps:bodyPr lIns="0" tIns="0" rIns="0" bIns="0" upright="1"/>
                    </wps:wsp>
                  </a:graphicData>
                </a:graphic>
              </wp:anchor>
            </w:drawing>
          </mc:Choice>
          <mc:Fallback>
            <w:pict>
              <v:shape id="文本框 9" o:spid="_x0000_s1026" o:spt="202" type="#_x0000_t202" style="position:absolute;left:0pt;margin-left:56.1pt;margin-top:49.65pt;height:185.4pt;width:729.95pt;mso-position-horizontal-relative:page;z-index:251662336;mso-width-relative:page;mso-height-relative:page;" filled="f" stroked="f" coordsize="21600,21600" o:gfxdata="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7T+Qx2QAAAAsBAAAPAAAAAAAAAAEAIAAAACIAAABkcnMvZG93bnJldi54bWxQ&#10;SwECFAAUAAAACACHTuJADH1SuL0BAABzAwAADgAAAAAAAAABACAAAAAoAQAAZHJzL2Uyb0RvYy54&#10;bWxQSwUGAAAAAAYABgBZAQAAVwUAAAAA&#10;">
                <v:fill on="f" focussize="0,0"/>
                <v:stroke on="f"/>
                <v:imagedata o:title=""/>
                <o:lock v:ext="edit" aspectratio="f"/>
                <v:textbox inset="0mm,0mm,0mm,0mm">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3371"/>
                        <w:gridCol w:w="1933"/>
                        <w:gridCol w:w="1438"/>
                        <w:gridCol w:w="1701"/>
                        <w:gridCol w:w="1786"/>
                        <w:gridCol w:w="1437"/>
                        <w:gridCol w:w="2163"/>
                      </w:tblGrid>
                      <w:tr w14:paraId="67425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55" w:type="dxa"/>
                          </w:tcPr>
                          <w:p w14:paraId="3A98DA07">
                            <w:pPr>
                              <w:pStyle w:val="15"/>
                              <w:spacing w:before="98"/>
                              <w:ind w:left="117" w:right="107"/>
                              <w:jc w:val="center"/>
                              <w:rPr>
                                <w:rFonts w:hint="eastAsia" w:ascii="宋体" w:eastAsia="宋体"/>
                                <w:sz w:val="24"/>
                              </w:rPr>
                            </w:pPr>
                            <w:r>
                              <w:rPr>
                                <w:rFonts w:hint="eastAsia" w:ascii="宋体" w:eastAsia="宋体"/>
                                <w:sz w:val="24"/>
                              </w:rPr>
                              <w:t>序号</w:t>
                            </w:r>
                          </w:p>
                        </w:tc>
                        <w:tc>
                          <w:tcPr>
                            <w:tcW w:w="3371" w:type="dxa"/>
                          </w:tcPr>
                          <w:p w14:paraId="5A3F29D0">
                            <w:pPr>
                              <w:pStyle w:val="15"/>
                              <w:spacing w:before="98"/>
                              <w:ind w:left="344" w:right="337"/>
                              <w:jc w:val="center"/>
                              <w:rPr>
                                <w:rFonts w:hint="eastAsia" w:ascii="宋体" w:eastAsia="宋体"/>
                                <w:sz w:val="24"/>
                              </w:rPr>
                            </w:pPr>
                            <w:r>
                              <w:rPr>
                                <w:rFonts w:hint="eastAsia" w:ascii="宋体" w:eastAsia="宋体"/>
                                <w:sz w:val="24"/>
                              </w:rPr>
                              <w:t>品名</w:t>
                            </w:r>
                          </w:p>
                        </w:tc>
                        <w:tc>
                          <w:tcPr>
                            <w:tcW w:w="1933" w:type="dxa"/>
                          </w:tcPr>
                          <w:p w14:paraId="2FC7DBDC">
                            <w:pPr>
                              <w:pStyle w:val="15"/>
                              <w:tabs>
                                <w:tab w:val="left" w:pos="1540"/>
                              </w:tabs>
                              <w:spacing w:before="98"/>
                              <w:ind w:left="0" w:leftChars="0" w:right="698" w:firstLine="439" w:firstLineChars="183"/>
                              <w:jc w:val="both"/>
                              <w:rPr>
                                <w:rFonts w:hint="eastAsia" w:ascii="宋体" w:eastAsia="宋体"/>
                                <w:sz w:val="24"/>
                                <w:lang w:val="en-US" w:eastAsia="zh-CN"/>
                              </w:rPr>
                            </w:pPr>
                            <w:r>
                              <w:rPr>
                                <w:rFonts w:hint="eastAsia" w:ascii="宋体" w:eastAsia="宋体"/>
                                <w:sz w:val="24"/>
                              </w:rPr>
                              <w:t>规格</w:t>
                            </w:r>
                            <w:r>
                              <w:rPr>
                                <w:rFonts w:hint="eastAsia" w:ascii="宋体" w:eastAsia="宋体"/>
                                <w:sz w:val="24"/>
                                <w:lang w:eastAsia="zh-CN"/>
                              </w:rPr>
                              <w:t>、</w:t>
                            </w:r>
                            <w:r>
                              <w:rPr>
                                <w:rFonts w:hint="eastAsia" w:ascii="宋体" w:eastAsia="宋体"/>
                                <w:sz w:val="24"/>
                              </w:rPr>
                              <w:t>品牌、型号</w:t>
                            </w:r>
                          </w:p>
                        </w:tc>
                        <w:tc>
                          <w:tcPr>
                            <w:tcW w:w="1438" w:type="dxa"/>
                          </w:tcPr>
                          <w:p w14:paraId="7FAD852C">
                            <w:pPr>
                              <w:pStyle w:val="15"/>
                              <w:spacing w:before="98"/>
                              <w:ind w:left="479"/>
                              <w:rPr>
                                <w:rFonts w:hint="eastAsia" w:ascii="宋体" w:eastAsia="宋体"/>
                                <w:sz w:val="24"/>
                              </w:rPr>
                            </w:pPr>
                            <w:r>
                              <w:rPr>
                                <w:rFonts w:hint="eastAsia" w:ascii="宋体" w:eastAsia="宋体"/>
                                <w:sz w:val="24"/>
                              </w:rPr>
                              <w:t>数量</w:t>
                            </w:r>
                          </w:p>
                        </w:tc>
                        <w:tc>
                          <w:tcPr>
                            <w:tcW w:w="1701" w:type="dxa"/>
                          </w:tcPr>
                          <w:p w14:paraId="3FABFE74">
                            <w:pPr>
                              <w:pStyle w:val="15"/>
                              <w:spacing w:before="98"/>
                              <w:ind w:left="588" w:right="582"/>
                              <w:jc w:val="center"/>
                              <w:rPr>
                                <w:rFonts w:hint="eastAsia" w:ascii="宋体" w:eastAsia="宋体"/>
                                <w:sz w:val="24"/>
                              </w:rPr>
                            </w:pPr>
                            <w:r>
                              <w:rPr>
                                <w:rFonts w:hint="eastAsia" w:ascii="宋体" w:eastAsia="宋体"/>
                                <w:sz w:val="24"/>
                              </w:rPr>
                              <w:t>单位</w:t>
                            </w:r>
                          </w:p>
                        </w:tc>
                        <w:tc>
                          <w:tcPr>
                            <w:tcW w:w="1786" w:type="dxa"/>
                          </w:tcPr>
                          <w:p w14:paraId="3B384EA7">
                            <w:pPr>
                              <w:pStyle w:val="15"/>
                              <w:spacing w:before="98"/>
                              <w:ind w:left="292"/>
                              <w:rPr>
                                <w:rFonts w:hint="eastAsia" w:ascii="宋体" w:eastAsia="宋体"/>
                                <w:sz w:val="24"/>
                              </w:rPr>
                            </w:pPr>
                            <w:r>
                              <w:rPr>
                                <w:rFonts w:hint="eastAsia" w:ascii="宋体" w:eastAsia="宋体"/>
                                <w:sz w:val="24"/>
                              </w:rPr>
                              <w:t>单价（元）</w:t>
                            </w:r>
                          </w:p>
                        </w:tc>
                        <w:tc>
                          <w:tcPr>
                            <w:tcW w:w="1437" w:type="dxa"/>
                          </w:tcPr>
                          <w:p w14:paraId="0F8B692B">
                            <w:pPr>
                              <w:pStyle w:val="15"/>
                              <w:spacing w:before="98"/>
                              <w:ind w:left="116"/>
                              <w:rPr>
                                <w:rFonts w:hint="eastAsia" w:ascii="宋体" w:eastAsia="宋体"/>
                                <w:sz w:val="24"/>
                                <w:lang w:val="en-US" w:eastAsia="zh-CN"/>
                              </w:rPr>
                            </w:pPr>
                            <w:r>
                              <w:rPr>
                                <w:rFonts w:hint="eastAsia" w:ascii="宋体" w:eastAsia="宋体"/>
                                <w:sz w:val="24"/>
                                <w:lang w:val="en-US" w:eastAsia="zh-CN"/>
                              </w:rPr>
                              <w:t>总价（元）</w:t>
                            </w:r>
                          </w:p>
                        </w:tc>
                        <w:tc>
                          <w:tcPr>
                            <w:tcW w:w="2163" w:type="dxa"/>
                          </w:tcPr>
                          <w:p w14:paraId="4C950B69">
                            <w:pPr>
                              <w:pStyle w:val="15"/>
                              <w:spacing w:before="98"/>
                              <w:ind w:left="819" w:right="813"/>
                              <w:jc w:val="center"/>
                              <w:rPr>
                                <w:rFonts w:hint="eastAsia" w:ascii="宋体" w:eastAsia="宋体"/>
                                <w:sz w:val="24"/>
                              </w:rPr>
                            </w:pPr>
                            <w:r>
                              <w:rPr>
                                <w:rFonts w:hint="eastAsia" w:ascii="宋体" w:eastAsia="宋体"/>
                                <w:sz w:val="24"/>
                              </w:rPr>
                              <w:t>备注</w:t>
                            </w:r>
                          </w:p>
                        </w:tc>
                      </w:tr>
                      <w:tr w14:paraId="0FD1C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55" w:type="dxa"/>
                          </w:tcPr>
                          <w:p w14:paraId="421C03EF">
                            <w:pPr>
                              <w:pStyle w:val="15"/>
                              <w:spacing w:before="100"/>
                              <w:ind w:left="10"/>
                              <w:jc w:val="center"/>
                              <w:rPr>
                                <w:rFonts w:ascii="宋体"/>
                                <w:sz w:val="24"/>
                              </w:rPr>
                            </w:pPr>
                            <w:r>
                              <w:rPr>
                                <w:rFonts w:ascii="宋体"/>
                                <w:sz w:val="24"/>
                              </w:rPr>
                              <w:t>1</w:t>
                            </w:r>
                          </w:p>
                        </w:tc>
                        <w:tc>
                          <w:tcPr>
                            <w:tcW w:w="3371" w:type="dxa"/>
                          </w:tcPr>
                          <w:p w14:paraId="11028A5F">
                            <w:pPr>
                              <w:pStyle w:val="15"/>
                              <w:spacing w:before="100"/>
                              <w:ind w:left="344" w:right="337"/>
                              <w:jc w:val="center"/>
                              <w:rPr>
                                <w:rFonts w:hint="eastAsia" w:ascii="宋体" w:eastAsia="宋体"/>
                                <w:sz w:val="24"/>
                              </w:rPr>
                            </w:pPr>
                            <w:r>
                              <w:rPr>
                                <w:rFonts w:hint="eastAsia" w:ascii="宋体" w:eastAsia="宋体"/>
                                <w:sz w:val="24"/>
                              </w:rPr>
                              <w:t>（所投的全部货物内容）</w:t>
                            </w:r>
                          </w:p>
                        </w:tc>
                        <w:tc>
                          <w:tcPr>
                            <w:tcW w:w="1933" w:type="dxa"/>
                          </w:tcPr>
                          <w:p w14:paraId="69FD3856">
                            <w:pPr>
                              <w:pStyle w:val="15"/>
                              <w:rPr>
                                <w:rFonts w:ascii="Times New Roman"/>
                                <w:sz w:val="24"/>
                              </w:rPr>
                            </w:pPr>
                          </w:p>
                        </w:tc>
                        <w:tc>
                          <w:tcPr>
                            <w:tcW w:w="1438" w:type="dxa"/>
                          </w:tcPr>
                          <w:p w14:paraId="30938D2B">
                            <w:pPr>
                              <w:pStyle w:val="15"/>
                              <w:rPr>
                                <w:rFonts w:ascii="Times New Roman"/>
                                <w:sz w:val="24"/>
                              </w:rPr>
                            </w:pPr>
                          </w:p>
                        </w:tc>
                        <w:tc>
                          <w:tcPr>
                            <w:tcW w:w="1701" w:type="dxa"/>
                          </w:tcPr>
                          <w:p w14:paraId="21D26898">
                            <w:pPr>
                              <w:pStyle w:val="15"/>
                              <w:rPr>
                                <w:rFonts w:ascii="Times New Roman"/>
                                <w:sz w:val="24"/>
                              </w:rPr>
                            </w:pPr>
                          </w:p>
                        </w:tc>
                        <w:tc>
                          <w:tcPr>
                            <w:tcW w:w="1786" w:type="dxa"/>
                          </w:tcPr>
                          <w:p w14:paraId="45D10B05">
                            <w:pPr>
                              <w:pStyle w:val="15"/>
                              <w:rPr>
                                <w:rFonts w:ascii="Times New Roman"/>
                                <w:sz w:val="24"/>
                              </w:rPr>
                            </w:pPr>
                          </w:p>
                        </w:tc>
                        <w:tc>
                          <w:tcPr>
                            <w:tcW w:w="1437" w:type="dxa"/>
                          </w:tcPr>
                          <w:p w14:paraId="53B6F0CE">
                            <w:pPr>
                              <w:pStyle w:val="15"/>
                              <w:rPr>
                                <w:rFonts w:ascii="Times New Roman"/>
                                <w:sz w:val="24"/>
                              </w:rPr>
                            </w:pPr>
                          </w:p>
                        </w:tc>
                        <w:tc>
                          <w:tcPr>
                            <w:tcW w:w="2163" w:type="dxa"/>
                          </w:tcPr>
                          <w:p w14:paraId="5F2FA0CB">
                            <w:pPr>
                              <w:pStyle w:val="15"/>
                              <w:rPr>
                                <w:rFonts w:ascii="Times New Roman"/>
                                <w:sz w:val="24"/>
                              </w:rPr>
                            </w:pPr>
                          </w:p>
                        </w:tc>
                      </w:tr>
                      <w:tr w14:paraId="0E20C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55" w:type="dxa"/>
                          </w:tcPr>
                          <w:p w14:paraId="7D5C8432">
                            <w:pPr>
                              <w:pStyle w:val="15"/>
                              <w:spacing w:before="98"/>
                              <w:ind w:left="10"/>
                              <w:jc w:val="center"/>
                              <w:rPr>
                                <w:rFonts w:ascii="宋体"/>
                                <w:sz w:val="24"/>
                              </w:rPr>
                            </w:pPr>
                            <w:r>
                              <w:rPr>
                                <w:rFonts w:ascii="宋体"/>
                                <w:sz w:val="24"/>
                              </w:rPr>
                              <w:t>2</w:t>
                            </w:r>
                          </w:p>
                        </w:tc>
                        <w:tc>
                          <w:tcPr>
                            <w:tcW w:w="3371" w:type="dxa"/>
                          </w:tcPr>
                          <w:p w14:paraId="48D18388">
                            <w:pPr>
                              <w:pStyle w:val="15"/>
                              <w:spacing w:before="98"/>
                              <w:ind w:left="7"/>
                              <w:jc w:val="center"/>
                              <w:rPr>
                                <w:rFonts w:ascii="宋体" w:hAnsi="宋体"/>
                                <w:sz w:val="24"/>
                              </w:rPr>
                            </w:pPr>
                            <w:r>
                              <w:rPr>
                                <w:rFonts w:ascii="宋体" w:hAnsi="宋体"/>
                                <w:sz w:val="24"/>
                              </w:rPr>
                              <w:t>…</w:t>
                            </w:r>
                          </w:p>
                        </w:tc>
                        <w:tc>
                          <w:tcPr>
                            <w:tcW w:w="1933" w:type="dxa"/>
                          </w:tcPr>
                          <w:p w14:paraId="6738BE39">
                            <w:pPr>
                              <w:pStyle w:val="15"/>
                              <w:rPr>
                                <w:rFonts w:ascii="Times New Roman"/>
                                <w:sz w:val="24"/>
                              </w:rPr>
                            </w:pPr>
                          </w:p>
                        </w:tc>
                        <w:tc>
                          <w:tcPr>
                            <w:tcW w:w="1438" w:type="dxa"/>
                          </w:tcPr>
                          <w:p w14:paraId="6D22D9FA">
                            <w:pPr>
                              <w:pStyle w:val="15"/>
                              <w:rPr>
                                <w:rFonts w:ascii="Times New Roman"/>
                                <w:sz w:val="24"/>
                              </w:rPr>
                            </w:pPr>
                          </w:p>
                        </w:tc>
                        <w:tc>
                          <w:tcPr>
                            <w:tcW w:w="1701" w:type="dxa"/>
                          </w:tcPr>
                          <w:p w14:paraId="4A682DDF">
                            <w:pPr>
                              <w:pStyle w:val="15"/>
                              <w:rPr>
                                <w:rFonts w:ascii="Times New Roman"/>
                                <w:sz w:val="24"/>
                              </w:rPr>
                            </w:pPr>
                          </w:p>
                        </w:tc>
                        <w:tc>
                          <w:tcPr>
                            <w:tcW w:w="1786" w:type="dxa"/>
                          </w:tcPr>
                          <w:p w14:paraId="359C8DF5">
                            <w:pPr>
                              <w:pStyle w:val="15"/>
                              <w:rPr>
                                <w:rFonts w:ascii="Times New Roman"/>
                                <w:sz w:val="24"/>
                              </w:rPr>
                            </w:pPr>
                          </w:p>
                        </w:tc>
                        <w:tc>
                          <w:tcPr>
                            <w:tcW w:w="1437" w:type="dxa"/>
                          </w:tcPr>
                          <w:p w14:paraId="3C8B85D8">
                            <w:pPr>
                              <w:pStyle w:val="15"/>
                              <w:rPr>
                                <w:rFonts w:ascii="Times New Roman"/>
                                <w:sz w:val="24"/>
                              </w:rPr>
                            </w:pPr>
                          </w:p>
                        </w:tc>
                        <w:tc>
                          <w:tcPr>
                            <w:tcW w:w="2163" w:type="dxa"/>
                          </w:tcPr>
                          <w:p w14:paraId="50C5FF8F">
                            <w:pPr>
                              <w:pStyle w:val="15"/>
                              <w:rPr>
                                <w:rFonts w:ascii="Times New Roman"/>
                                <w:sz w:val="24"/>
                              </w:rPr>
                            </w:pPr>
                          </w:p>
                        </w:tc>
                      </w:tr>
                      <w:tr w14:paraId="1F379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55" w:type="dxa"/>
                          </w:tcPr>
                          <w:p w14:paraId="5DB60C40">
                            <w:pPr>
                              <w:pStyle w:val="15"/>
                              <w:spacing w:before="99"/>
                              <w:ind w:left="10"/>
                              <w:jc w:val="center"/>
                              <w:rPr>
                                <w:rFonts w:ascii="宋体"/>
                                <w:sz w:val="24"/>
                              </w:rPr>
                            </w:pPr>
                            <w:r>
                              <w:rPr>
                                <w:rFonts w:ascii="宋体"/>
                                <w:sz w:val="24"/>
                              </w:rPr>
                              <w:t>3</w:t>
                            </w:r>
                          </w:p>
                        </w:tc>
                        <w:tc>
                          <w:tcPr>
                            <w:tcW w:w="3371" w:type="dxa"/>
                          </w:tcPr>
                          <w:p w14:paraId="640E5A39">
                            <w:pPr>
                              <w:pStyle w:val="15"/>
                              <w:spacing w:before="99"/>
                              <w:ind w:left="344" w:right="337"/>
                              <w:jc w:val="center"/>
                              <w:rPr>
                                <w:rFonts w:hint="eastAsia" w:ascii="宋体" w:eastAsia="宋体"/>
                                <w:sz w:val="24"/>
                              </w:rPr>
                            </w:pPr>
                            <w:r>
                              <w:rPr>
                                <w:rFonts w:hint="eastAsia" w:ascii="宋体" w:eastAsia="宋体"/>
                                <w:sz w:val="24"/>
                              </w:rPr>
                              <w:t>备品备件</w:t>
                            </w:r>
                          </w:p>
                        </w:tc>
                        <w:tc>
                          <w:tcPr>
                            <w:tcW w:w="1933" w:type="dxa"/>
                          </w:tcPr>
                          <w:p w14:paraId="57E7C138">
                            <w:pPr>
                              <w:pStyle w:val="15"/>
                              <w:rPr>
                                <w:rFonts w:ascii="Times New Roman"/>
                                <w:sz w:val="24"/>
                              </w:rPr>
                            </w:pPr>
                          </w:p>
                        </w:tc>
                        <w:tc>
                          <w:tcPr>
                            <w:tcW w:w="1438" w:type="dxa"/>
                          </w:tcPr>
                          <w:p w14:paraId="524B9EFF">
                            <w:pPr>
                              <w:pStyle w:val="15"/>
                              <w:rPr>
                                <w:rFonts w:ascii="Times New Roman"/>
                                <w:sz w:val="24"/>
                              </w:rPr>
                            </w:pPr>
                          </w:p>
                        </w:tc>
                        <w:tc>
                          <w:tcPr>
                            <w:tcW w:w="1701" w:type="dxa"/>
                          </w:tcPr>
                          <w:p w14:paraId="2099E193">
                            <w:pPr>
                              <w:pStyle w:val="15"/>
                              <w:rPr>
                                <w:rFonts w:ascii="Times New Roman"/>
                                <w:sz w:val="24"/>
                              </w:rPr>
                            </w:pPr>
                          </w:p>
                        </w:tc>
                        <w:tc>
                          <w:tcPr>
                            <w:tcW w:w="1786" w:type="dxa"/>
                          </w:tcPr>
                          <w:p w14:paraId="7755F72B">
                            <w:pPr>
                              <w:pStyle w:val="15"/>
                              <w:rPr>
                                <w:rFonts w:ascii="Times New Roman"/>
                                <w:sz w:val="24"/>
                              </w:rPr>
                            </w:pPr>
                          </w:p>
                        </w:tc>
                        <w:tc>
                          <w:tcPr>
                            <w:tcW w:w="1437" w:type="dxa"/>
                          </w:tcPr>
                          <w:p w14:paraId="6AAAD982">
                            <w:pPr>
                              <w:pStyle w:val="15"/>
                              <w:rPr>
                                <w:rFonts w:ascii="Times New Roman"/>
                                <w:sz w:val="24"/>
                              </w:rPr>
                            </w:pPr>
                          </w:p>
                        </w:tc>
                        <w:tc>
                          <w:tcPr>
                            <w:tcW w:w="2163" w:type="dxa"/>
                          </w:tcPr>
                          <w:p w14:paraId="0B1E4480">
                            <w:pPr>
                              <w:pStyle w:val="15"/>
                              <w:rPr>
                                <w:rFonts w:ascii="Times New Roman"/>
                                <w:sz w:val="24"/>
                              </w:rPr>
                            </w:pPr>
                          </w:p>
                        </w:tc>
                      </w:tr>
                      <w:tr w14:paraId="1F238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755" w:type="dxa"/>
                          </w:tcPr>
                          <w:p w14:paraId="684670DA">
                            <w:pPr>
                              <w:pStyle w:val="15"/>
                              <w:spacing w:before="117"/>
                              <w:ind w:left="10"/>
                              <w:jc w:val="center"/>
                              <w:rPr>
                                <w:rFonts w:ascii="宋体"/>
                                <w:sz w:val="24"/>
                              </w:rPr>
                            </w:pPr>
                            <w:r>
                              <w:rPr>
                                <w:rFonts w:ascii="宋体"/>
                                <w:sz w:val="24"/>
                              </w:rPr>
                              <w:t>4</w:t>
                            </w:r>
                          </w:p>
                        </w:tc>
                        <w:tc>
                          <w:tcPr>
                            <w:tcW w:w="3371" w:type="dxa"/>
                          </w:tcPr>
                          <w:p w14:paraId="4249B9B0">
                            <w:pPr>
                              <w:pStyle w:val="15"/>
                              <w:spacing w:before="117"/>
                              <w:ind w:left="344" w:right="337"/>
                              <w:jc w:val="center"/>
                              <w:rPr>
                                <w:rFonts w:hint="eastAsia" w:ascii="宋体" w:eastAsia="宋体"/>
                                <w:sz w:val="24"/>
                              </w:rPr>
                            </w:pPr>
                            <w:r>
                              <w:rPr>
                                <w:rFonts w:hint="eastAsia" w:ascii="宋体" w:eastAsia="宋体"/>
                                <w:sz w:val="24"/>
                              </w:rPr>
                              <w:t>运杂费</w:t>
                            </w:r>
                          </w:p>
                        </w:tc>
                        <w:tc>
                          <w:tcPr>
                            <w:tcW w:w="10458" w:type="dxa"/>
                            <w:gridSpan w:val="6"/>
                          </w:tcPr>
                          <w:p w14:paraId="58CC793A">
                            <w:pPr>
                              <w:pStyle w:val="15"/>
                              <w:rPr>
                                <w:rFonts w:ascii="Times New Roman"/>
                                <w:sz w:val="24"/>
                              </w:rPr>
                            </w:pPr>
                          </w:p>
                        </w:tc>
                      </w:tr>
                      <w:tr w14:paraId="70B0E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55" w:type="dxa"/>
                          </w:tcPr>
                          <w:p w14:paraId="580BF117">
                            <w:pPr>
                              <w:pStyle w:val="15"/>
                              <w:rPr>
                                <w:rFonts w:ascii="Times New Roman"/>
                                <w:sz w:val="24"/>
                              </w:rPr>
                            </w:pPr>
                          </w:p>
                        </w:tc>
                        <w:tc>
                          <w:tcPr>
                            <w:tcW w:w="3371" w:type="dxa"/>
                          </w:tcPr>
                          <w:p w14:paraId="06BFF383">
                            <w:pPr>
                              <w:pStyle w:val="15"/>
                              <w:spacing w:before="99"/>
                              <w:ind w:left="344" w:right="337"/>
                              <w:jc w:val="center"/>
                              <w:rPr>
                                <w:rFonts w:ascii="宋体"/>
                                <w:sz w:val="24"/>
                              </w:rPr>
                            </w:pPr>
                            <w:r>
                              <w:rPr>
                                <w:rFonts w:ascii="宋体"/>
                                <w:sz w:val="24"/>
                              </w:rPr>
                              <w:t>... ...</w:t>
                            </w:r>
                          </w:p>
                        </w:tc>
                        <w:tc>
                          <w:tcPr>
                            <w:tcW w:w="10458" w:type="dxa"/>
                            <w:gridSpan w:val="6"/>
                          </w:tcPr>
                          <w:p w14:paraId="08796DDD">
                            <w:pPr>
                              <w:pStyle w:val="15"/>
                              <w:rPr>
                                <w:rFonts w:ascii="Times New Roman"/>
                                <w:sz w:val="24"/>
                              </w:rPr>
                            </w:pPr>
                          </w:p>
                        </w:tc>
                      </w:tr>
                      <w:tr w14:paraId="14861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4126" w:type="dxa"/>
                            <w:gridSpan w:val="2"/>
                          </w:tcPr>
                          <w:p w14:paraId="7AC1EE75">
                            <w:pPr>
                              <w:pStyle w:val="15"/>
                              <w:spacing w:before="129"/>
                              <w:ind w:left="1222"/>
                              <w:rPr>
                                <w:rFonts w:hint="eastAsia" w:ascii="宋体" w:eastAsia="宋体"/>
                                <w:sz w:val="24"/>
                              </w:rPr>
                            </w:pPr>
                            <w:r>
                              <w:rPr>
                                <w:rFonts w:hint="eastAsia" w:ascii="宋体" w:eastAsia="宋体"/>
                                <w:sz w:val="24"/>
                              </w:rPr>
                              <w:t>合计总价（元）</w:t>
                            </w:r>
                          </w:p>
                        </w:tc>
                        <w:tc>
                          <w:tcPr>
                            <w:tcW w:w="10458" w:type="dxa"/>
                            <w:gridSpan w:val="6"/>
                          </w:tcPr>
                          <w:p w14:paraId="06E6F5DB">
                            <w:pPr>
                              <w:pStyle w:val="15"/>
                              <w:rPr>
                                <w:rFonts w:ascii="Times New Roman"/>
                                <w:sz w:val="24"/>
                              </w:rPr>
                            </w:pPr>
                          </w:p>
                        </w:tc>
                      </w:tr>
                    </w:tbl>
                    <w:p w14:paraId="0496F6F8">
                      <w:pPr>
                        <w:pStyle w:val="8"/>
                      </w:pPr>
                    </w:p>
                  </w:txbxContent>
                </v:textbox>
              </v:shape>
            </w:pict>
          </mc:Fallback>
        </mc:AlternateContent>
      </w:r>
      <w:r>
        <w:rPr>
          <w:rFonts w:hint="eastAsia" w:ascii="宋体" w:eastAsia="宋体"/>
        </w:rPr>
        <w:t>（此表参照下表或者由各投标人自行编制填写，须包括详细的产品清单、价格、供货范围、名称、规格、技术参数、主要货物的品牌及供货厂家等。）</w:t>
      </w:r>
    </w:p>
    <w:p w14:paraId="1873F769">
      <w:pPr>
        <w:pStyle w:val="8"/>
        <w:rPr>
          <w:rFonts w:ascii="宋体"/>
          <w:sz w:val="20"/>
        </w:rPr>
      </w:pPr>
    </w:p>
    <w:p w14:paraId="14697CDE">
      <w:pPr>
        <w:pStyle w:val="8"/>
        <w:rPr>
          <w:rFonts w:ascii="宋体"/>
          <w:sz w:val="20"/>
        </w:rPr>
      </w:pPr>
    </w:p>
    <w:p w14:paraId="5F2E3475">
      <w:pPr>
        <w:pStyle w:val="8"/>
        <w:rPr>
          <w:rFonts w:ascii="宋体"/>
          <w:sz w:val="20"/>
        </w:rPr>
      </w:pPr>
    </w:p>
    <w:p w14:paraId="4AF2C45F">
      <w:pPr>
        <w:pStyle w:val="8"/>
        <w:rPr>
          <w:rFonts w:ascii="宋体"/>
          <w:sz w:val="20"/>
        </w:rPr>
      </w:pPr>
    </w:p>
    <w:p w14:paraId="38D7A589">
      <w:pPr>
        <w:pStyle w:val="8"/>
        <w:rPr>
          <w:rFonts w:ascii="宋体"/>
          <w:sz w:val="20"/>
        </w:rPr>
      </w:pPr>
    </w:p>
    <w:p w14:paraId="1CC1AA0D">
      <w:pPr>
        <w:pStyle w:val="8"/>
        <w:rPr>
          <w:rFonts w:ascii="宋体"/>
          <w:sz w:val="20"/>
        </w:rPr>
      </w:pPr>
    </w:p>
    <w:p w14:paraId="477D5F3A">
      <w:pPr>
        <w:pStyle w:val="8"/>
        <w:rPr>
          <w:rFonts w:ascii="宋体"/>
          <w:sz w:val="20"/>
        </w:rPr>
      </w:pPr>
    </w:p>
    <w:p w14:paraId="5568C3F9">
      <w:pPr>
        <w:pStyle w:val="8"/>
        <w:rPr>
          <w:rFonts w:ascii="宋体"/>
          <w:sz w:val="20"/>
        </w:rPr>
      </w:pPr>
    </w:p>
    <w:p w14:paraId="2AEFD8CC">
      <w:pPr>
        <w:pStyle w:val="8"/>
        <w:rPr>
          <w:rFonts w:ascii="宋体"/>
          <w:sz w:val="20"/>
        </w:rPr>
      </w:pPr>
    </w:p>
    <w:p w14:paraId="55262353">
      <w:pPr>
        <w:pStyle w:val="8"/>
        <w:rPr>
          <w:rFonts w:ascii="宋体"/>
          <w:sz w:val="20"/>
        </w:rPr>
      </w:pPr>
    </w:p>
    <w:p w14:paraId="54365ECE">
      <w:pPr>
        <w:pStyle w:val="8"/>
        <w:rPr>
          <w:rFonts w:ascii="宋体"/>
          <w:sz w:val="20"/>
        </w:rPr>
      </w:pPr>
    </w:p>
    <w:p w14:paraId="52F766AC">
      <w:pPr>
        <w:pStyle w:val="8"/>
        <w:rPr>
          <w:rFonts w:ascii="宋体"/>
          <w:sz w:val="20"/>
        </w:rPr>
      </w:pPr>
    </w:p>
    <w:p w14:paraId="613FF97B">
      <w:pPr>
        <w:pStyle w:val="8"/>
        <w:rPr>
          <w:rFonts w:ascii="宋体"/>
          <w:sz w:val="20"/>
        </w:rPr>
      </w:pPr>
    </w:p>
    <w:p w14:paraId="6F3942B5">
      <w:pPr>
        <w:pStyle w:val="8"/>
        <w:spacing w:before="10"/>
        <w:rPr>
          <w:rFonts w:ascii="宋体"/>
          <w:sz w:val="25"/>
        </w:rPr>
      </w:pPr>
    </w:p>
    <w:p w14:paraId="12497210">
      <w:pPr>
        <w:spacing w:after="0"/>
        <w:rPr>
          <w:rFonts w:ascii="宋体"/>
          <w:sz w:val="25"/>
        </w:rPr>
        <w:sectPr>
          <w:footerReference r:id="rId6" w:type="default"/>
          <w:pgSz w:w="16840" w:h="11910" w:orient="landscape"/>
          <w:pgMar w:top="1100" w:right="1000" w:bottom="280" w:left="1020" w:header="0" w:footer="0" w:gutter="0"/>
          <w:cols w:space="720" w:num="1"/>
        </w:sectPr>
      </w:pPr>
    </w:p>
    <w:p w14:paraId="27A74FA3">
      <w:pPr>
        <w:spacing w:before="66"/>
        <w:ind w:left="283" w:right="0" w:firstLine="0"/>
        <w:jc w:val="left"/>
        <w:rPr>
          <w:rFonts w:hint="eastAsia" w:ascii="宋体" w:eastAsia="宋体"/>
          <w:sz w:val="24"/>
        </w:rPr>
      </w:pPr>
      <w:r>
        <w:rPr>
          <w:rFonts w:hint="eastAsia" w:ascii="宋体" w:eastAsia="宋体"/>
          <w:b/>
          <w:sz w:val="24"/>
        </w:rPr>
        <w:t>注</w:t>
      </w:r>
      <w:r>
        <w:rPr>
          <w:rFonts w:hint="eastAsia" w:ascii="宋体" w:eastAsia="宋体"/>
          <w:sz w:val="24"/>
        </w:rPr>
        <w:t>：</w:t>
      </w:r>
    </w:p>
    <w:p w14:paraId="087F2A19">
      <w:pPr>
        <w:pStyle w:val="8"/>
        <w:spacing w:before="84"/>
        <w:ind w:left="590"/>
        <w:rPr>
          <w:rFonts w:hint="eastAsia" w:ascii="宋体" w:eastAsia="宋体"/>
        </w:rPr>
      </w:pPr>
      <w:r>
        <w:rPr>
          <w:rFonts w:hint="eastAsia" w:ascii="宋体" w:eastAsia="宋体"/>
        </w:rPr>
        <w:t>1、如果按单价计算的结果与总价不一致，以单价为准修正总价。</w:t>
      </w:r>
    </w:p>
    <w:p w14:paraId="3297CE85">
      <w:pPr>
        <w:pStyle w:val="8"/>
        <w:spacing w:before="93"/>
        <w:ind w:left="590"/>
        <w:rPr>
          <w:rFonts w:hint="eastAsia" w:ascii="宋体" w:eastAsia="宋体"/>
        </w:rPr>
      </w:pPr>
      <w:r>
        <w:rPr>
          <w:rFonts w:hint="eastAsia" w:ascii="宋体" w:eastAsia="宋体"/>
        </w:rPr>
        <w:t>2、投标人应详细报出所供货物、材料的规格，并注明生产厂家。</w:t>
      </w:r>
    </w:p>
    <w:p w14:paraId="0A0610B5">
      <w:pPr>
        <w:pStyle w:val="8"/>
        <w:spacing w:before="91"/>
        <w:ind w:left="590"/>
        <w:rPr>
          <w:rFonts w:hint="eastAsia" w:ascii="宋体" w:eastAsia="宋体"/>
        </w:rPr>
      </w:pPr>
      <w:r>
        <w:rPr>
          <w:rFonts w:hint="eastAsia" w:ascii="宋体" w:eastAsia="宋体"/>
        </w:rPr>
        <w:t>3、如果不提供详细分项报价将视为没有实质性响应招标文件。</w:t>
      </w:r>
    </w:p>
    <w:p w14:paraId="57AF0AAA">
      <w:pPr>
        <w:pStyle w:val="7"/>
        <w:spacing w:before="93"/>
        <w:ind w:left="590"/>
        <w:rPr>
          <w:rFonts w:hint="eastAsia" w:ascii="宋体" w:eastAsia="宋体"/>
        </w:rPr>
      </w:pPr>
      <w:r>
        <w:rPr>
          <w:rFonts w:hint="eastAsia" w:ascii="宋体" w:eastAsia="宋体"/>
        </w:rPr>
        <w:t>4</w:t>
      </w:r>
      <w:r>
        <w:rPr>
          <w:rFonts w:hint="eastAsia" w:ascii="宋体" w:eastAsia="宋体"/>
          <w:spacing w:val="-1"/>
        </w:rPr>
        <w:t>、所报单价与总价均不能超过招标文件规定的限价，超过限价按废标处理。</w:t>
      </w:r>
    </w:p>
    <w:p w14:paraId="5D9CB812">
      <w:pPr>
        <w:pStyle w:val="8"/>
        <w:rPr>
          <w:rFonts w:ascii="宋体"/>
          <w:b/>
          <w:sz w:val="26"/>
        </w:rPr>
      </w:pPr>
      <w:r>
        <w:br w:type="column"/>
      </w:r>
    </w:p>
    <w:p w14:paraId="2C6AA0C2">
      <w:pPr>
        <w:pStyle w:val="8"/>
        <w:rPr>
          <w:rFonts w:ascii="宋体"/>
          <w:b/>
          <w:sz w:val="26"/>
        </w:rPr>
      </w:pPr>
    </w:p>
    <w:p w14:paraId="74175E67">
      <w:pPr>
        <w:pStyle w:val="8"/>
        <w:rPr>
          <w:rFonts w:ascii="宋体"/>
          <w:b/>
          <w:sz w:val="26"/>
        </w:rPr>
      </w:pPr>
    </w:p>
    <w:p w14:paraId="41F51914">
      <w:pPr>
        <w:pStyle w:val="8"/>
        <w:rPr>
          <w:rFonts w:ascii="宋体"/>
          <w:b/>
          <w:sz w:val="26"/>
        </w:rPr>
      </w:pPr>
    </w:p>
    <w:p w14:paraId="399EE100">
      <w:pPr>
        <w:pStyle w:val="8"/>
        <w:rPr>
          <w:rFonts w:ascii="宋体"/>
          <w:b/>
          <w:sz w:val="26"/>
        </w:rPr>
      </w:pPr>
    </w:p>
    <w:p w14:paraId="1A47DA42">
      <w:pPr>
        <w:pStyle w:val="8"/>
        <w:spacing w:before="6"/>
        <w:rPr>
          <w:rFonts w:ascii="宋体"/>
          <w:b/>
        </w:rPr>
      </w:pPr>
    </w:p>
    <w:p w14:paraId="673F27DC">
      <w:pPr>
        <w:pStyle w:val="8"/>
        <w:tabs>
          <w:tab w:val="left" w:pos="1423"/>
          <w:tab w:val="left" w:pos="2143"/>
          <w:tab w:val="left" w:pos="3103"/>
          <w:tab w:val="left" w:pos="5323"/>
          <w:tab w:val="left" w:pos="5563"/>
        </w:tabs>
        <w:spacing w:line="362" w:lineRule="auto"/>
        <w:ind w:left="-16" w:right="553"/>
        <w:rPr>
          <w:rFonts w:hint="eastAsia" w:ascii="宋体" w:eastAsia="宋体"/>
        </w:rPr>
      </w:pPr>
      <w:r>
        <w:rPr>
          <w:rFonts w:hint="eastAsia" w:ascii="宋体" w:eastAsia="宋体"/>
          <w:spacing w:val="-1"/>
        </w:rPr>
        <w:t>供</w:t>
      </w:r>
      <w:r>
        <w:rPr>
          <w:rFonts w:hint="eastAsia" w:ascii="宋体" w:eastAsia="宋体"/>
        </w:rPr>
        <w:t>应商名称(公章)：</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hint="eastAsia" w:ascii="宋体" w:eastAsia="宋体"/>
        </w:rPr>
        <w:t xml:space="preserve"> 法定代表人或其授权代表（签字或盖章）：</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rPr>
          <w:rFonts w:hint="eastAsia" w:ascii="宋体" w:eastAsia="宋体"/>
        </w:rPr>
        <w:t>日期：</w:t>
      </w:r>
      <w:r>
        <w:rPr>
          <w:rFonts w:hint="eastAsia" w:ascii="宋体" w:eastAsia="宋体"/>
          <w:u w:val="single"/>
        </w:rPr>
        <w:t xml:space="preserve"> </w:t>
      </w:r>
      <w:r>
        <w:rPr>
          <w:rFonts w:hint="eastAsia" w:ascii="宋体" w:eastAsia="宋体"/>
          <w:u w:val="single"/>
        </w:rPr>
        <w:tab/>
      </w:r>
      <w:r>
        <w:rPr>
          <w:rFonts w:hint="eastAsia" w:ascii="宋体" w:eastAsia="宋体"/>
        </w:rPr>
        <w:t>年</w:t>
      </w:r>
      <w:r>
        <w:rPr>
          <w:rFonts w:hint="eastAsia" w:ascii="宋体" w:eastAsia="宋体"/>
          <w:u w:val="single"/>
        </w:rPr>
        <w:t xml:space="preserve"> </w:t>
      </w:r>
      <w:r>
        <w:rPr>
          <w:rFonts w:hint="eastAsia" w:ascii="宋体" w:eastAsia="宋体"/>
          <w:u w:val="single"/>
        </w:rPr>
        <w:tab/>
      </w:r>
      <w:r>
        <w:rPr>
          <w:rFonts w:hint="eastAsia" w:ascii="宋体" w:eastAsia="宋体"/>
        </w:rPr>
        <w:t>月</w:t>
      </w:r>
      <w:r>
        <w:rPr>
          <w:rFonts w:hint="eastAsia" w:ascii="宋体" w:eastAsia="宋体"/>
          <w:u w:val="single"/>
        </w:rPr>
        <w:t xml:space="preserve"> </w:t>
      </w:r>
      <w:r>
        <w:rPr>
          <w:rFonts w:hint="eastAsia" w:ascii="宋体" w:eastAsia="宋体"/>
          <w:u w:val="single"/>
        </w:rPr>
        <w:tab/>
      </w:r>
      <w:r>
        <w:rPr>
          <w:rFonts w:hint="eastAsia" w:ascii="宋体" w:eastAsia="宋体"/>
        </w:rPr>
        <w:t>日</w:t>
      </w:r>
    </w:p>
    <w:p w14:paraId="3E8D495E">
      <w:pPr>
        <w:spacing w:after="0" w:line="362" w:lineRule="auto"/>
        <w:rPr>
          <w:rFonts w:hint="eastAsia" w:ascii="宋体" w:eastAsia="宋体"/>
        </w:rPr>
        <w:sectPr>
          <w:type w:val="continuous"/>
          <w:pgSz w:w="16840" w:h="11910" w:orient="landscape"/>
          <w:pgMar w:top="1580" w:right="1000" w:bottom="280" w:left="1020" w:header="720" w:footer="720" w:gutter="0"/>
          <w:cols w:equalWidth="0" w:num="2">
            <w:col w:w="8660" w:space="40"/>
            <w:col w:w="6120"/>
          </w:cols>
        </w:sectPr>
      </w:pPr>
    </w:p>
    <w:p w14:paraId="2E48B339">
      <w:pPr>
        <w:pStyle w:val="7"/>
        <w:spacing w:before="44"/>
        <w:ind w:left="2687" w:right="2687"/>
        <w:jc w:val="center"/>
        <w:rPr>
          <w:rFonts w:hint="eastAsia" w:ascii="宋体" w:eastAsia="宋体"/>
        </w:rPr>
      </w:pPr>
      <w:r>
        <w:rPr>
          <w:rFonts w:hint="eastAsia" w:ascii="宋体" w:eastAsia="宋体"/>
        </w:rPr>
        <w:t>三、商务条款偏离表</w:t>
      </w:r>
    </w:p>
    <w:p w14:paraId="78A50D90">
      <w:pPr>
        <w:pStyle w:val="8"/>
        <w:tabs>
          <w:tab w:val="left" w:pos="6362"/>
        </w:tabs>
        <w:spacing w:before="191"/>
        <w:ind w:left="722"/>
        <w:rPr>
          <w:rFonts w:hint="eastAsia" w:ascii="宋体" w:eastAsia="宋体"/>
        </w:rPr>
      </w:pPr>
      <w:r>
        <w:rPr>
          <w:rFonts w:hint="eastAsia" w:ascii="宋体" w:eastAsia="宋体"/>
        </w:rPr>
        <w:t>项目名称：</w:t>
      </w:r>
      <w:r>
        <w:rPr>
          <w:rFonts w:hint="eastAsia" w:ascii="宋体" w:eastAsia="宋体"/>
        </w:rPr>
        <w:tab/>
      </w:r>
      <w:r>
        <w:rPr>
          <w:rFonts w:hint="eastAsia" w:ascii="宋体" w:eastAsia="宋体"/>
        </w:rPr>
        <w:t>项目编号：</w:t>
      </w:r>
    </w:p>
    <w:p w14:paraId="76425123">
      <w:pPr>
        <w:pStyle w:val="8"/>
        <w:spacing w:before="192" w:after="33"/>
        <w:ind w:left="722"/>
        <w:rPr>
          <w:rFonts w:hint="eastAsia" w:ascii="宋体" w:eastAsia="宋体"/>
        </w:rPr>
      </w:pPr>
      <w:r>
        <w:rPr>
          <w:rFonts w:hint="eastAsia" w:ascii="宋体" w:eastAsia="宋体"/>
        </w:rPr>
        <w:t>标段：</w:t>
      </w:r>
    </w:p>
    <w:tbl>
      <w:tblPr>
        <w:tblStyle w:val="11"/>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959"/>
        <w:gridCol w:w="2454"/>
        <w:gridCol w:w="2400"/>
        <w:gridCol w:w="800"/>
        <w:gridCol w:w="725"/>
      </w:tblGrid>
      <w:tr w14:paraId="28D25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01" w:type="dxa"/>
          </w:tcPr>
          <w:p w14:paraId="5C015F40">
            <w:pPr>
              <w:pStyle w:val="15"/>
              <w:spacing w:before="161"/>
              <w:ind w:left="107"/>
              <w:rPr>
                <w:rFonts w:hint="eastAsia" w:ascii="宋体" w:eastAsia="宋体"/>
                <w:sz w:val="24"/>
              </w:rPr>
            </w:pPr>
            <w:r>
              <w:rPr>
                <w:rFonts w:hint="eastAsia" w:ascii="宋体" w:eastAsia="宋体"/>
                <w:sz w:val="24"/>
              </w:rPr>
              <w:t>序号</w:t>
            </w:r>
          </w:p>
        </w:tc>
        <w:tc>
          <w:tcPr>
            <w:tcW w:w="1959" w:type="dxa"/>
          </w:tcPr>
          <w:p w14:paraId="3A8FB0E4">
            <w:pPr>
              <w:pStyle w:val="15"/>
              <w:spacing w:before="161"/>
              <w:ind w:left="138"/>
              <w:rPr>
                <w:rFonts w:hint="eastAsia" w:ascii="宋体" w:eastAsia="宋体"/>
                <w:sz w:val="24"/>
              </w:rPr>
            </w:pPr>
            <w:r>
              <w:rPr>
                <w:rFonts w:hint="eastAsia" w:ascii="宋体" w:eastAsia="宋体"/>
                <w:sz w:val="24"/>
              </w:rPr>
              <w:t>招标文件条目号</w:t>
            </w:r>
          </w:p>
        </w:tc>
        <w:tc>
          <w:tcPr>
            <w:tcW w:w="2454" w:type="dxa"/>
          </w:tcPr>
          <w:p w14:paraId="37BD10DE">
            <w:pPr>
              <w:pStyle w:val="15"/>
              <w:spacing w:before="161"/>
              <w:ind w:left="147"/>
              <w:rPr>
                <w:rFonts w:hint="eastAsia" w:ascii="宋体" w:eastAsia="宋体"/>
                <w:sz w:val="24"/>
              </w:rPr>
            </w:pPr>
            <w:r>
              <w:rPr>
                <w:rFonts w:hint="eastAsia" w:ascii="宋体" w:eastAsia="宋体"/>
                <w:sz w:val="24"/>
              </w:rPr>
              <w:t>招标文件的商务条款</w:t>
            </w:r>
          </w:p>
        </w:tc>
        <w:tc>
          <w:tcPr>
            <w:tcW w:w="2400" w:type="dxa"/>
          </w:tcPr>
          <w:p w14:paraId="57DDC3DC">
            <w:pPr>
              <w:pStyle w:val="15"/>
              <w:spacing w:before="161"/>
              <w:ind w:left="119"/>
              <w:rPr>
                <w:rFonts w:hint="eastAsia" w:ascii="宋体" w:eastAsia="宋体"/>
                <w:sz w:val="24"/>
              </w:rPr>
            </w:pPr>
            <w:r>
              <w:rPr>
                <w:rFonts w:hint="eastAsia" w:ascii="宋体" w:eastAsia="宋体"/>
                <w:sz w:val="24"/>
              </w:rPr>
              <w:t>投标文件的商务条款</w:t>
            </w:r>
          </w:p>
        </w:tc>
        <w:tc>
          <w:tcPr>
            <w:tcW w:w="800" w:type="dxa"/>
          </w:tcPr>
          <w:p w14:paraId="33969CAB">
            <w:pPr>
              <w:pStyle w:val="15"/>
              <w:spacing w:before="161"/>
              <w:ind w:left="160"/>
              <w:rPr>
                <w:rFonts w:hint="eastAsia" w:ascii="宋体" w:eastAsia="宋体"/>
                <w:sz w:val="24"/>
              </w:rPr>
            </w:pPr>
            <w:r>
              <w:rPr>
                <w:rFonts w:hint="eastAsia" w:ascii="宋体" w:eastAsia="宋体"/>
                <w:sz w:val="24"/>
              </w:rPr>
              <w:t>偏离</w:t>
            </w:r>
          </w:p>
        </w:tc>
        <w:tc>
          <w:tcPr>
            <w:tcW w:w="725" w:type="dxa"/>
          </w:tcPr>
          <w:p w14:paraId="417F6421">
            <w:pPr>
              <w:pStyle w:val="15"/>
              <w:spacing w:before="161"/>
              <w:ind w:left="107"/>
              <w:rPr>
                <w:rFonts w:hint="eastAsia" w:ascii="宋体" w:eastAsia="宋体"/>
                <w:sz w:val="24"/>
              </w:rPr>
            </w:pPr>
            <w:r>
              <w:rPr>
                <w:rFonts w:hint="eastAsia" w:ascii="宋体" w:eastAsia="宋体"/>
                <w:sz w:val="24"/>
              </w:rPr>
              <w:t>说明</w:t>
            </w:r>
          </w:p>
        </w:tc>
      </w:tr>
      <w:tr w14:paraId="08590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01" w:type="dxa"/>
          </w:tcPr>
          <w:p w14:paraId="664D9ACD">
            <w:pPr>
              <w:pStyle w:val="15"/>
              <w:rPr>
                <w:rFonts w:ascii="Times New Roman"/>
                <w:sz w:val="22"/>
              </w:rPr>
            </w:pPr>
          </w:p>
        </w:tc>
        <w:tc>
          <w:tcPr>
            <w:tcW w:w="1959" w:type="dxa"/>
          </w:tcPr>
          <w:p w14:paraId="37BFBD98">
            <w:pPr>
              <w:pStyle w:val="15"/>
              <w:rPr>
                <w:rFonts w:ascii="Times New Roman"/>
                <w:sz w:val="22"/>
              </w:rPr>
            </w:pPr>
          </w:p>
        </w:tc>
        <w:tc>
          <w:tcPr>
            <w:tcW w:w="2454" w:type="dxa"/>
          </w:tcPr>
          <w:p w14:paraId="4CE1B7CE">
            <w:pPr>
              <w:pStyle w:val="15"/>
              <w:rPr>
                <w:rFonts w:ascii="Times New Roman"/>
                <w:sz w:val="22"/>
              </w:rPr>
            </w:pPr>
          </w:p>
        </w:tc>
        <w:tc>
          <w:tcPr>
            <w:tcW w:w="2400" w:type="dxa"/>
          </w:tcPr>
          <w:p w14:paraId="75436029">
            <w:pPr>
              <w:pStyle w:val="15"/>
              <w:rPr>
                <w:rFonts w:ascii="Times New Roman"/>
                <w:sz w:val="22"/>
              </w:rPr>
            </w:pPr>
          </w:p>
        </w:tc>
        <w:tc>
          <w:tcPr>
            <w:tcW w:w="800" w:type="dxa"/>
          </w:tcPr>
          <w:p w14:paraId="7167517E">
            <w:pPr>
              <w:pStyle w:val="15"/>
              <w:rPr>
                <w:rFonts w:ascii="Times New Roman"/>
                <w:sz w:val="22"/>
              </w:rPr>
            </w:pPr>
          </w:p>
        </w:tc>
        <w:tc>
          <w:tcPr>
            <w:tcW w:w="725" w:type="dxa"/>
          </w:tcPr>
          <w:p w14:paraId="51BE8DAB">
            <w:pPr>
              <w:pStyle w:val="15"/>
              <w:rPr>
                <w:rFonts w:ascii="Times New Roman"/>
                <w:sz w:val="22"/>
              </w:rPr>
            </w:pPr>
          </w:p>
        </w:tc>
      </w:tr>
      <w:tr w14:paraId="6B69A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01" w:type="dxa"/>
          </w:tcPr>
          <w:p w14:paraId="536191D3">
            <w:pPr>
              <w:pStyle w:val="15"/>
              <w:rPr>
                <w:rFonts w:ascii="Times New Roman"/>
                <w:sz w:val="22"/>
              </w:rPr>
            </w:pPr>
          </w:p>
        </w:tc>
        <w:tc>
          <w:tcPr>
            <w:tcW w:w="1959" w:type="dxa"/>
          </w:tcPr>
          <w:p w14:paraId="6BC0CE13">
            <w:pPr>
              <w:pStyle w:val="15"/>
              <w:rPr>
                <w:rFonts w:ascii="Times New Roman"/>
                <w:sz w:val="22"/>
              </w:rPr>
            </w:pPr>
          </w:p>
        </w:tc>
        <w:tc>
          <w:tcPr>
            <w:tcW w:w="2454" w:type="dxa"/>
          </w:tcPr>
          <w:p w14:paraId="74A126D1">
            <w:pPr>
              <w:pStyle w:val="15"/>
              <w:rPr>
                <w:rFonts w:ascii="Times New Roman"/>
                <w:sz w:val="22"/>
              </w:rPr>
            </w:pPr>
          </w:p>
        </w:tc>
        <w:tc>
          <w:tcPr>
            <w:tcW w:w="2400" w:type="dxa"/>
          </w:tcPr>
          <w:p w14:paraId="163E97A7">
            <w:pPr>
              <w:pStyle w:val="15"/>
              <w:rPr>
                <w:rFonts w:ascii="Times New Roman"/>
                <w:sz w:val="22"/>
              </w:rPr>
            </w:pPr>
          </w:p>
        </w:tc>
        <w:tc>
          <w:tcPr>
            <w:tcW w:w="800" w:type="dxa"/>
          </w:tcPr>
          <w:p w14:paraId="4E4000EF">
            <w:pPr>
              <w:pStyle w:val="15"/>
              <w:rPr>
                <w:rFonts w:ascii="Times New Roman"/>
                <w:sz w:val="22"/>
              </w:rPr>
            </w:pPr>
          </w:p>
        </w:tc>
        <w:tc>
          <w:tcPr>
            <w:tcW w:w="725" w:type="dxa"/>
          </w:tcPr>
          <w:p w14:paraId="56B5581E">
            <w:pPr>
              <w:pStyle w:val="15"/>
              <w:rPr>
                <w:rFonts w:ascii="Times New Roman"/>
                <w:sz w:val="22"/>
              </w:rPr>
            </w:pPr>
          </w:p>
        </w:tc>
      </w:tr>
      <w:tr w14:paraId="5611D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01" w:type="dxa"/>
          </w:tcPr>
          <w:p w14:paraId="66D8B338">
            <w:pPr>
              <w:pStyle w:val="15"/>
              <w:rPr>
                <w:rFonts w:ascii="Times New Roman"/>
                <w:sz w:val="22"/>
              </w:rPr>
            </w:pPr>
          </w:p>
        </w:tc>
        <w:tc>
          <w:tcPr>
            <w:tcW w:w="1959" w:type="dxa"/>
          </w:tcPr>
          <w:p w14:paraId="0DBB862E">
            <w:pPr>
              <w:pStyle w:val="15"/>
              <w:rPr>
                <w:rFonts w:ascii="Times New Roman"/>
                <w:sz w:val="22"/>
              </w:rPr>
            </w:pPr>
          </w:p>
        </w:tc>
        <w:tc>
          <w:tcPr>
            <w:tcW w:w="2454" w:type="dxa"/>
          </w:tcPr>
          <w:p w14:paraId="5C6DFCF9">
            <w:pPr>
              <w:pStyle w:val="15"/>
              <w:rPr>
                <w:rFonts w:ascii="Times New Roman"/>
                <w:sz w:val="22"/>
              </w:rPr>
            </w:pPr>
          </w:p>
        </w:tc>
        <w:tc>
          <w:tcPr>
            <w:tcW w:w="2400" w:type="dxa"/>
          </w:tcPr>
          <w:p w14:paraId="602E2581">
            <w:pPr>
              <w:pStyle w:val="15"/>
              <w:rPr>
                <w:rFonts w:ascii="Times New Roman"/>
                <w:sz w:val="22"/>
              </w:rPr>
            </w:pPr>
          </w:p>
        </w:tc>
        <w:tc>
          <w:tcPr>
            <w:tcW w:w="800" w:type="dxa"/>
          </w:tcPr>
          <w:p w14:paraId="757712D3">
            <w:pPr>
              <w:pStyle w:val="15"/>
              <w:rPr>
                <w:rFonts w:ascii="Times New Roman"/>
                <w:sz w:val="22"/>
              </w:rPr>
            </w:pPr>
          </w:p>
        </w:tc>
        <w:tc>
          <w:tcPr>
            <w:tcW w:w="725" w:type="dxa"/>
          </w:tcPr>
          <w:p w14:paraId="4FD60B82">
            <w:pPr>
              <w:pStyle w:val="15"/>
              <w:rPr>
                <w:rFonts w:ascii="Times New Roman"/>
                <w:sz w:val="22"/>
              </w:rPr>
            </w:pPr>
          </w:p>
        </w:tc>
      </w:tr>
      <w:tr w14:paraId="3E186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01" w:type="dxa"/>
          </w:tcPr>
          <w:p w14:paraId="00463BFC">
            <w:pPr>
              <w:pStyle w:val="15"/>
              <w:rPr>
                <w:rFonts w:ascii="Times New Roman"/>
                <w:sz w:val="22"/>
              </w:rPr>
            </w:pPr>
          </w:p>
        </w:tc>
        <w:tc>
          <w:tcPr>
            <w:tcW w:w="1959" w:type="dxa"/>
          </w:tcPr>
          <w:p w14:paraId="677CC0EF">
            <w:pPr>
              <w:pStyle w:val="15"/>
              <w:rPr>
                <w:rFonts w:ascii="Times New Roman"/>
                <w:sz w:val="22"/>
              </w:rPr>
            </w:pPr>
          </w:p>
        </w:tc>
        <w:tc>
          <w:tcPr>
            <w:tcW w:w="2454" w:type="dxa"/>
          </w:tcPr>
          <w:p w14:paraId="4DF5817D">
            <w:pPr>
              <w:pStyle w:val="15"/>
              <w:rPr>
                <w:rFonts w:ascii="Times New Roman"/>
                <w:sz w:val="22"/>
              </w:rPr>
            </w:pPr>
          </w:p>
        </w:tc>
        <w:tc>
          <w:tcPr>
            <w:tcW w:w="2400" w:type="dxa"/>
          </w:tcPr>
          <w:p w14:paraId="77146960">
            <w:pPr>
              <w:pStyle w:val="15"/>
              <w:rPr>
                <w:rFonts w:ascii="Times New Roman"/>
                <w:sz w:val="22"/>
              </w:rPr>
            </w:pPr>
          </w:p>
        </w:tc>
        <w:tc>
          <w:tcPr>
            <w:tcW w:w="800" w:type="dxa"/>
          </w:tcPr>
          <w:p w14:paraId="1F3CC70B">
            <w:pPr>
              <w:pStyle w:val="15"/>
              <w:rPr>
                <w:rFonts w:ascii="Times New Roman"/>
                <w:sz w:val="22"/>
              </w:rPr>
            </w:pPr>
          </w:p>
        </w:tc>
        <w:tc>
          <w:tcPr>
            <w:tcW w:w="725" w:type="dxa"/>
          </w:tcPr>
          <w:p w14:paraId="44CA9ACA">
            <w:pPr>
              <w:pStyle w:val="15"/>
              <w:rPr>
                <w:rFonts w:ascii="Times New Roman"/>
                <w:sz w:val="22"/>
              </w:rPr>
            </w:pPr>
          </w:p>
        </w:tc>
      </w:tr>
      <w:tr w14:paraId="366E3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01" w:type="dxa"/>
          </w:tcPr>
          <w:p w14:paraId="3CE95118">
            <w:pPr>
              <w:pStyle w:val="15"/>
              <w:rPr>
                <w:rFonts w:ascii="Times New Roman"/>
                <w:sz w:val="22"/>
              </w:rPr>
            </w:pPr>
          </w:p>
        </w:tc>
        <w:tc>
          <w:tcPr>
            <w:tcW w:w="1959" w:type="dxa"/>
          </w:tcPr>
          <w:p w14:paraId="2BA23B67">
            <w:pPr>
              <w:pStyle w:val="15"/>
              <w:rPr>
                <w:rFonts w:ascii="Times New Roman"/>
                <w:sz w:val="22"/>
              </w:rPr>
            </w:pPr>
          </w:p>
        </w:tc>
        <w:tc>
          <w:tcPr>
            <w:tcW w:w="2454" w:type="dxa"/>
          </w:tcPr>
          <w:p w14:paraId="54CA198A">
            <w:pPr>
              <w:pStyle w:val="15"/>
              <w:rPr>
                <w:rFonts w:ascii="Times New Roman"/>
                <w:sz w:val="22"/>
              </w:rPr>
            </w:pPr>
          </w:p>
        </w:tc>
        <w:tc>
          <w:tcPr>
            <w:tcW w:w="2400" w:type="dxa"/>
          </w:tcPr>
          <w:p w14:paraId="25D252FE">
            <w:pPr>
              <w:pStyle w:val="15"/>
              <w:rPr>
                <w:rFonts w:ascii="Times New Roman"/>
                <w:sz w:val="22"/>
              </w:rPr>
            </w:pPr>
          </w:p>
        </w:tc>
        <w:tc>
          <w:tcPr>
            <w:tcW w:w="800" w:type="dxa"/>
          </w:tcPr>
          <w:p w14:paraId="2F4D711C">
            <w:pPr>
              <w:pStyle w:val="15"/>
              <w:rPr>
                <w:rFonts w:ascii="Times New Roman"/>
                <w:sz w:val="22"/>
              </w:rPr>
            </w:pPr>
          </w:p>
        </w:tc>
        <w:tc>
          <w:tcPr>
            <w:tcW w:w="725" w:type="dxa"/>
          </w:tcPr>
          <w:p w14:paraId="5249F54F">
            <w:pPr>
              <w:pStyle w:val="15"/>
              <w:rPr>
                <w:rFonts w:ascii="Times New Roman"/>
                <w:sz w:val="22"/>
              </w:rPr>
            </w:pPr>
          </w:p>
        </w:tc>
      </w:tr>
      <w:tr w14:paraId="0957C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01" w:type="dxa"/>
          </w:tcPr>
          <w:p w14:paraId="34B89338">
            <w:pPr>
              <w:pStyle w:val="15"/>
              <w:rPr>
                <w:rFonts w:ascii="Times New Roman"/>
                <w:sz w:val="22"/>
              </w:rPr>
            </w:pPr>
          </w:p>
        </w:tc>
        <w:tc>
          <w:tcPr>
            <w:tcW w:w="1959" w:type="dxa"/>
          </w:tcPr>
          <w:p w14:paraId="6DB3ADA6">
            <w:pPr>
              <w:pStyle w:val="15"/>
              <w:rPr>
                <w:rFonts w:ascii="Times New Roman"/>
                <w:sz w:val="22"/>
              </w:rPr>
            </w:pPr>
          </w:p>
        </w:tc>
        <w:tc>
          <w:tcPr>
            <w:tcW w:w="2454" w:type="dxa"/>
          </w:tcPr>
          <w:p w14:paraId="775EE063">
            <w:pPr>
              <w:pStyle w:val="15"/>
              <w:rPr>
                <w:rFonts w:ascii="Times New Roman"/>
                <w:sz w:val="22"/>
              </w:rPr>
            </w:pPr>
          </w:p>
        </w:tc>
        <w:tc>
          <w:tcPr>
            <w:tcW w:w="2400" w:type="dxa"/>
          </w:tcPr>
          <w:p w14:paraId="4CF2D34E">
            <w:pPr>
              <w:pStyle w:val="15"/>
              <w:rPr>
                <w:rFonts w:ascii="Times New Roman"/>
                <w:sz w:val="22"/>
              </w:rPr>
            </w:pPr>
          </w:p>
        </w:tc>
        <w:tc>
          <w:tcPr>
            <w:tcW w:w="800" w:type="dxa"/>
          </w:tcPr>
          <w:p w14:paraId="005295C0">
            <w:pPr>
              <w:pStyle w:val="15"/>
              <w:rPr>
                <w:rFonts w:ascii="Times New Roman"/>
                <w:sz w:val="22"/>
              </w:rPr>
            </w:pPr>
          </w:p>
        </w:tc>
        <w:tc>
          <w:tcPr>
            <w:tcW w:w="725" w:type="dxa"/>
          </w:tcPr>
          <w:p w14:paraId="3E38227C">
            <w:pPr>
              <w:pStyle w:val="15"/>
              <w:rPr>
                <w:rFonts w:ascii="Times New Roman"/>
                <w:sz w:val="22"/>
              </w:rPr>
            </w:pPr>
          </w:p>
        </w:tc>
      </w:tr>
    </w:tbl>
    <w:p w14:paraId="14CCFF21">
      <w:pPr>
        <w:pStyle w:val="8"/>
        <w:spacing w:before="160"/>
        <w:ind w:left="482"/>
        <w:rPr>
          <w:rFonts w:hint="eastAsia" w:ascii="宋体" w:eastAsia="宋体"/>
        </w:rPr>
      </w:pPr>
      <w:r>
        <w:rPr>
          <w:rFonts w:hint="eastAsia" w:ascii="宋体" w:eastAsia="宋体"/>
        </w:rPr>
        <w:t>说明：</w:t>
      </w:r>
    </w:p>
    <w:p w14:paraId="2D7DD7D5">
      <w:pPr>
        <w:pStyle w:val="14"/>
        <w:numPr>
          <w:ilvl w:val="0"/>
          <w:numId w:val="52"/>
        </w:numPr>
        <w:tabs>
          <w:tab w:val="left" w:pos="1084"/>
        </w:tabs>
        <w:spacing w:before="194" w:after="0" w:line="388" w:lineRule="auto"/>
        <w:ind w:left="482" w:right="501" w:firstLine="0"/>
        <w:jc w:val="left"/>
        <w:rPr>
          <w:rFonts w:hint="eastAsia" w:ascii="宋体" w:hAnsi="宋体" w:eastAsia="宋体"/>
          <w:sz w:val="24"/>
        </w:rPr>
      </w:pPr>
      <w:r>
        <w:rPr>
          <w:rFonts w:hint="eastAsia" w:ascii="宋体" w:hAnsi="宋体" w:eastAsia="宋体"/>
          <w:spacing w:val="-1"/>
          <w:sz w:val="24"/>
        </w:rPr>
        <w:t>如有偏离，则必须注明“偏离”；未注明偏离的，视为完全响应；每出现</w:t>
      </w:r>
      <w:r>
        <w:rPr>
          <w:rFonts w:hint="eastAsia" w:ascii="宋体" w:hAnsi="宋体" w:eastAsia="宋体"/>
          <w:spacing w:val="-4"/>
          <w:sz w:val="24"/>
        </w:rPr>
        <w:t xml:space="preserve">一处不响应格式要求的扣商务响应总分 </w:t>
      </w:r>
      <w:r>
        <w:rPr>
          <w:rFonts w:hint="eastAsia" w:ascii="宋体" w:hAnsi="宋体" w:eastAsia="宋体"/>
          <w:sz w:val="24"/>
        </w:rPr>
        <w:t>1</w:t>
      </w:r>
      <w:r>
        <w:rPr>
          <w:rFonts w:hint="eastAsia" w:ascii="宋体" w:hAnsi="宋体" w:eastAsia="宋体"/>
          <w:spacing w:val="-20"/>
          <w:sz w:val="24"/>
        </w:rPr>
        <w:t xml:space="preserve"> 分；</w:t>
      </w:r>
    </w:p>
    <w:p w14:paraId="45E14A0F">
      <w:pPr>
        <w:pStyle w:val="14"/>
        <w:numPr>
          <w:ilvl w:val="0"/>
          <w:numId w:val="52"/>
        </w:numPr>
        <w:tabs>
          <w:tab w:val="left" w:pos="1084"/>
        </w:tabs>
        <w:spacing w:before="2" w:after="0" w:line="391" w:lineRule="auto"/>
        <w:ind w:left="482" w:right="501" w:firstLine="0"/>
        <w:jc w:val="left"/>
        <w:rPr>
          <w:rFonts w:hint="eastAsia" w:ascii="宋体" w:eastAsia="宋体"/>
          <w:sz w:val="24"/>
        </w:rPr>
      </w:pPr>
      <w:r>
        <w:rPr>
          <w:rFonts w:hint="eastAsia" w:ascii="宋体" w:eastAsia="宋体"/>
          <w:spacing w:val="-1"/>
          <w:sz w:val="24"/>
        </w:rPr>
        <w:t>投标人如果对招标文件采购需求的响应有偏离，应将偏离条款逐条如实应</w:t>
      </w:r>
      <w:r>
        <w:rPr>
          <w:rFonts w:hint="eastAsia" w:ascii="宋体" w:eastAsia="宋体"/>
          <w:sz w:val="24"/>
        </w:rPr>
        <w:t>答，并作出说明；</w:t>
      </w:r>
    </w:p>
    <w:p w14:paraId="6A6DB8DB">
      <w:pPr>
        <w:pStyle w:val="14"/>
        <w:numPr>
          <w:ilvl w:val="0"/>
          <w:numId w:val="52"/>
        </w:numPr>
        <w:tabs>
          <w:tab w:val="left" w:pos="1084"/>
        </w:tabs>
        <w:spacing w:before="0" w:after="0" w:line="388" w:lineRule="auto"/>
        <w:ind w:left="482" w:right="501" w:firstLine="0"/>
        <w:jc w:val="left"/>
        <w:rPr>
          <w:rFonts w:hint="eastAsia" w:ascii="宋体" w:eastAsia="宋体"/>
          <w:sz w:val="24"/>
        </w:rPr>
      </w:pPr>
      <w:r>
        <w:rPr>
          <w:rFonts w:hint="eastAsia" w:ascii="宋体" w:eastAsia="宋体"/>
          <w:spacing w:val="-1"/>
          <w:sz w:val="24"/>
        </w:rPr>
        <w:t>如不提供此表，则视为投标人不满足招标文件商务部分所有条款要求，其</w:t>
      </w:r>
      <w:r>
        <w:rPr>
          <w:rFonts w:hint="eastAsia" w:ascii="宋体" w:eastAsia="宋体"/>
          <w:sz w:val="24"/>
        </w:rPr>
        <w:t>投标无效。</w:t>
      </w:r>
    </w:p>
    <w:p w14:paraId="00FC864D">
      <w:pPr>
        <w:pStyle w:val="14"/>
        <w:numPr>
          <w:ilvl w:val="0"/>
          <w:numId w:val="52"/>
        </w:numPr>
        <w:tabs>
          <w:tab w:val="left" w:pos="1084"/>
        </w:tabs>
        <w:spacing w:before="3" w:after="0" w:line="391" w:lineRule="auto"/>
        <w:ind w:left="482" w:right="361" w:firstLine="0"/>
        <w:jc w:val="left"/>
        <w:rPr>
          <w:rFonts w:hint="eastAsia" w:ascii="宋体" w:hAnsi="宋体" w:eastAsia="宋体"/>
          <w:sz w:val="24"/>
        </w:rPr>
      </w:pPr>
      <w:r>
        <w:rPr>
          <w:rFonts w:hint="eastAsia" w:ascii="宋体" w:hAnsi="宋体" w:eastAsia="宋体"/>
          <w:spacing w:val="-5"/>
          <w:sz w:val="24"/>
        </w:rPr>
        <w:t>在招标人与中标人签订合同时，如中标人未在投标文件“招标需求偏离表</w:t>
      </w:r>
      <w:r>
        <w:rPr>
          <w:rFonts w:hint="eastAsia" w:ascii="宋体" w:hAnsi="宋体" w:eastAsia="宋体"/>
          <w:spacing w:val="-11"/>
          <w:sz w:val="24"/>
        </w:rPr>
        <w:t>”中列出偏离说明，无论已发生或即将发生任何情形，均视为完全符合招标文件</w:t>
      </w:r>
      <w:r>
        <w:rPr>
          <w:rFonts w:hint="eastAsia" w:ascii="宋体" w:hAnsi="宋体" w:eastAsia="宋体"/>
          <w:spacing w:val="-12"/>
          <w:sz w:val="24"/>
        </w:rPr>
        <w:t>要求，并写入合同。若中标人在合同签订前，以上述事项为借口而不履行合同签订手续及执行合同，则视作拒绝与招标人签订合同。</w:t>
      </w:r>
    </w:p>
    <w:p w14:paraId="5D407890">
      <w:pPr>
        <w:pStyle w:val="8"/>
        <w:rPr>
          <w:rFonts w:ascii="宋体"/>
        </w:rPr>
      </w:pPr>
    </w:p>
    <w:p w14:paraId="29125F1C">
      <w:pPr>
        <w:pStyle w:val="8"/>
        <w:rPr>
          <w:rFonts w:ascii="宋体"/>
        </w:rPr>
      </w:pPr>
    </w:p>
    <w:p w14:paraId="32B3F6B0">
      <w:pPr>
        <w:pStyle w:val="8"/>
        <w:tabs>
          <w:tab w:val="left" w:pos="6302"/>
        </w:tabs>
        <w:spacing w:before="198"/>
        <w:ind w:left="1682"/>
        <w:rPr>
          <w:rFonts w:ascii="Times New Roman" w:eastAsia="Times New Roman"/>
        </w:rPr>
      </w:pPr>
      <w:r>
        <w:rPr>
          <w:rFonts w:hint="eastAsia" w:ascii="宋体" w:eastAsia="宋体"/>
        </w:rPr>
        <w:t>供应商名称(公章)：</w:t>
      </w:r>
      <w:r>
        <w:rPr>
          <w:rFonts w:ascii="Times New Roman" w:eastAsia="Times New Roman"/>
          <w:u w:val="single"/>
        </w:rPr>
        <w:t xml:space="preserve"> </w:t>
      </w:r>
      <w:r>
        <w:rPr>
          <w:rFonts w:ascii="Times New Roman" w:eastAsia="Times New Roman"/>
          <w:u w:val="single"/>
        </w:rPr>
        <w:tab/>
      </w:r>
    </w:p>
    <w:p w14:paraId="13294BC2">
      <w:pPr>
        <w:pStyle w:val="8"/>
        <w:spacing w:before="5"/>
        <w:rPr>
          <w:rFonts w:ascii="Times New Roman"/>
          <w:sz w:val="10"/>
        </w:rPr>
      </w:pPr>
    </w:p>
    <w:p w14:paraId="5C4E083E">
      <w:pPr>
        <w:pStyle w:val="8"/>
        <w:tabs>
          <w:tab w:val="left" w:pos="8462"/>
        </w:tabs>
        <w:spacing w:before="74"/>
        <w:ind w:left="1682"/>
        <w:rPr>
          <w:rFonts w:ascii="Times New Roman" w:eastAsia="Times New Roman"/>
        </w:rPr>
      </w:pPr>
      <w:r>
        <w:rPr>
          <w:rFonts w:hint="eastAsia" w:ascii="宋体" w:eastAsia="宋体"/>
        </w:rPr>
        <w:t>法定代表人或其授权代表(签字或盖章)：</w:t>
      </w:r>
      <w:r>
        <w:rPr>
          <w:rFonts w:ascii="Times New Roman" w:eastAsia="Times New Roman"/>
          <w:u w:val="single"/>
        </w:rPr>
        <w:t xml:space="preserve"> </w:t>
      </w:r>
      <w:r>
        <w:rPr>
          <w:rFonts w:ascii="Times New Roman" w:eastAsia="Times New Roman"/>
          <w:u w:val="single"/>
        </w:rPr>
        <w:tab/>
      </w:r>
    </w:p>
    <w:p w14:paraId="392A9CE1">
      <w:pPr>
        <w:pStyle w:val="8"/>
        <w:spacing w:before="10"/>
        <w:rPr>
          <w:rFonts w:ascii="Times New Roman"/>
          <w:sz w:val="10"/>
        </w:rPr>
      </w:pPr>
    </w:p>
    <w:p w14:paraId="6539976F">
      <w:pPr>
        <w:pStyle w:val="8"/>
        <w:tabs>
          <w:tab w:val="left" w:pos="3122"/>
          <w:tab w:val="left" w:pos="3842"/>
          <w:tab w:val="left" w:pos="4562"/>
        </w:tabs>
        <w:spacing w:before="67"/>
        <w:ind w:left="1682"/>
        <w:rPr>
          <w:rFonts w:hint="eastAsia" w:ascii="宋体" w:eastAsia="宋体"/>
        </w:rPr>
      </w:pPr>
      <w:r>
        <w:rPr>
          <w:rFonts w:hint="eastAsia" w:ascii="宋体" w:eastAsia="宋体"/>
        </w:rPr>
        <w:t>日期：</w:t>
      </w:r>
      <w:r>
        <w:rPr>
          <w:rFonts w:hint="eastAsia" w:ascii="宋体" w:eastAsia="宋体"/>
          <w:u w:val="single"/>
        </w:rPr>
        <w:t xml:space="preserve"> </w:t>
      </w:r>
      <w:r>
        <w:rPr>
          <w:rFonts w:hint="eastAsia" w:ascii="宋体" w:eastAsia="宋体"/>
          <w:u w:val="single"/>
        </w:rPr>
        <w:tab/>
      </w:r>
      <w:r>
        <w:rPr>
          <w:rFonts w:hint="eastAsia" w:ascii="宋体" w:eastAsia="宋体"/>
        </w:rPr>
        <w:t>年</w:t>
      </w:r>
      <w:r>
        <w:rPr>
          <w:rFonts w:hint="eastAsia" w:ascii="宋体" w:eastAsia="宋体"/>
          <w:u w:val="single"/>
        </w:rPr>
        <w:t xml:space="preserve"> </w:t>
      </w:r>
      <w:r>
        <w:rPr>
          <w:rFonts w:hint="eastAsia" w:ascii="宋体" w:eastAsia="宋体"/>
          <w:u w:val="single"/>
        </w:rPr>
        <w:tab/>
      </w:r>
      <w:r>
        <w:rPr>
          <w:rFonts w:hint="eastAsia" w:ascii="宋体" w:eastAsia="宋体"/>
        </w:rPr>
        <w:t>月</w:t>
      </w:r>
      <w:r>
        <w:rPr>
          <w:rFonts w:hint="eastAsia" w:ascii="宋体" w:eastAsia="宋体"/>
          <w:u w:val="single"/>
        </w:rPr>
        <w:t xml:space="preserve"> </w:t>
      </w:r>
      <w:r>
        <w:rPr>
          <w:rFonts w:hint="eastAsia" w:ascii="宋体" w:eastAsia="宋体"/>
          <w:u w:val="single"/>
        </w:rPr>
        <w:tab/>
      </w:r>
      <w:r>
        <w:rPr>
          <w:rFonts w:hint="eastAsia" w:ascii="宋体" w:eastAsia="宋体"/>
        </w:rPr>
        <w:t>日</w:t>
      </w:r>
    </w:p>
    <w:p w14:paraId="1F02F0FA">
      <w:pPr>
        <w:spacing w:after="0"/>
        <w:rPr>
          <w:rFonts w:hint="eastAsia" w:ascii="宋体" w:eastAsia="宋体"/>
        </w:rPr>
        <w:sectPr>
          <w:footerReference r:id="rId7" w:type="default"/>
          <w:pgSz w:w="11910" w:h="16840"/>
          <w:pgMar w:top="1540" w:right="1320" w:bottom="1180" w:left="1320" w:header="0" w:footer="989" w:gutter="0"/>
          <w:pgNumType w:start="57"/>
          <w:cols w:space="720" w:num="1"/>
        </w:sectPr>
      </w:pPr>
    </w:p>
    <w:p w14:paraId="52AFFA77">
      <w:pPr>
        <w:pStyle w:val="7"/>
        <w:spacing w:before="44"/>
        <w:ind w:left="2687" w:right="2687"/>
        <w:jc w:val="center"/>
        <w:rPr>
          <w:rFonts w:hint="eastAsia" w:ascii="宋体" w:eastAsia="宋体"/>
        </w:rPr>
      </w:pPr>
      <w:r>
        <w:rPr>
          <w:rFonts w:hint="eastAsia" w:ascii="宋体" w:eastAsia="宋体"/>
        </w:rPr>
        <w:t>四、投标保证金</w:t>
      </w:r>
    </w:p>
    <w:p w14:paraId="0974B3A2">
      <w:pPr>
        <w:pStyle w:val="8"/>
        <w:spacing w:before="191"/>
        <w:ind w:left="482"/>
        <w:rPr>
          <w:rFonts w:hint="eastAsia" w:ascii="宋体" w:eastAsia="宋体"/>
        </w:rPr>
      </w:pPr>
      <w:r>
        <w:rPr>
          <w:rFonts w:hint="eastAsia" w:ascii="宋体" w:eastAsia="宋体"/>
        </w:rPr>
        <w:t>说明：可提供付款凭证或金融机构、担保机构出具的保函。</w:t>
      </w:r>
    </w:p>
    <w:p w14:paraId="21632496">
      <w:pPr>
        <w:pStyle w:val="8"/>
        <w:tabs>
          <w:tab w:val="left" w:pos="2882"/>
        </w:tabs>
        <w:spacing w:before="192" w:line="391" w:lineRule="auto"/>
        <w:ind w:left="962" w:right="2833" w:firstLine="1869"/>
        <w:rPr>
          <w:rFonts w:hint="eastAsia" w:ascii="宋体" w:eastAsia="宋体"/>
        </w:rPr>
      </w:pPr>
      <w:r>
        <w:rPr>
          <w:rFonts w:hint="eastAsia" w:ascii="宋体" w:eastAsia="宋体"/>
        </w:rPr>
        <w:t>保证金汇款声明函(适用银行转账</w:t>
      </w:r>
      <w:r>
        <w:rPr>
          <w:rFonts w:hint="eastAsia" w:ascii="宋体" w:eastAsia="宋体"/>
          <w:spacing w:val="-18"/>
        </w:rPr>
        <w:t xml:space="preserve">) </w:t>
      </w:r>
      <w:r>
        <w:rPr>
          <w:rFonts w:hint="eastAsia" w:ascii="宋体" w:eastAsia="宋体"/>
        </w:rPr>
        <w:t>致：</w:t>
      </w:r>
      <w:r>
        <w:rPr>
          <w:rFonts w:hint="eastAsia" w:ascii="宋体" w:eastAsia="宋体"/>
          <w:u w:val="single"/>
        </w:rPr>
        <w:t xml:space="preserve"> </w:t>
      </w:r>
      <w:r>
        <w:rPr>
          <w:rFonts w:hint="eastAsia" w:ascii="宋体" w:eastAsia="宋体"/>
          <w:u w:val="single"/>
        </w:rPr>
        <w:tab/>
      </w:r>
      <w:r>
        <w:rPr>
          <w:rFonts w:hint="eastAsia" w:ascii="宋体" w:eastAsia="宋体"/>
        </w:rPr>
        <w:t>(采购人或采购代理机构)</w:t>
      </w:r>
    </w:p>
    <w:p w14:paraId="455A2AA7">
      <w:pPr>
        <w:pStyle w:val="8"/>
        <w:tabs>
          <w:tab w:val="left" w:pos="3122"/>
          <w:tab w:val="left" w:pos="6602"/>
        </w:tabs>
        <w:spacing w:line="306" w:lineRule="exact"/>
        <w:ind w:left="962"/>
        <w:rPr>
          <w:rFonts w:hint="eastAsia" w:ascii="宋体" w:eastAsia="宋体"/>
        </w:rPr>
      </w:pPr>
      <w:r>
        <w:rPr>
          <w:rFonts w:hint="eastAsia" w:ascii="宋体" w:eastAsia="宋体"/>
        </w:rPr>
        <w:t>我方为</w:t>
      </w:r>
      <w:r>
        <w:rPr>
          <w:rFonts w:hint="eastAsia" w:ascii="宋体" w:eastAsia="宋体"/>
          <w:u w:val="single"/>
        </w:rPr>
        <w:t xml:space="preserve"> </w:t>
      </w:r>
      <w:r>
        <w:rPr>
          <w:rFonts w:hint="eastAsia" w:ascii="宋体" w:eastAsia="宋体"/>
          <w:u w:val="single"/>
        </w:rPr>
        <w:tab/>
      </w:r>
      <w:r>
        <w:rPr>
          <w:rFonts w:hint="eastAsia" w:ascii="宋体" w:eastAsia="宋体"/>
        </w:rPr>
        <w:t>(项目名称)(项目编号：</w:t>
      </w:r>
      <w:r>
        <w:rPr>
          <w:rFonts w:hint="eastAsia" w:ascii="宋体" w:eastAsia="宋体"/>
          <w:u w:val="single"/>
        </w:rPr>
        <w:t xml:space="preserve"> </w:t>
      </w:r>
      <w:r>
        <w:rPr>
          <w:rFonts w:hint="eastAsia" w:ascii="宋体" w:eastAsia="宋体"/>
          <w:u w:val="single"/>
        </w:rPr>
        <w:tab/>
      </w:r>
      <w:r>
        <w:rPr>
          <w:rFonts w:hint="eastAsia" w:ascii="宋体" w:eastAsia="宋体"/>
        </w:rPr>
        <w:t>)递交保证金人民币</w:t>
      </w:r>
    </w:p>
    <w:p w14:paraId="1AEC6F21">
      <w:pPr>
        <w:pStyle w:val="8"/>
        <w:spacing w:before="2"/>
        <w:rPr>
          <w:rFonts w:ascii="宋体"/>
          <w:sz w:val="9"/>
        </w:rPr>
      </w:pPr>
    </w:p>
    <w:p w14:paraId="4EA9D8FB">
      <w:pPr>
        <w:pStyle w:val="8"/>
        <w:tabs>
          <w:tab w:val="left" w:pos="1442"/>
          <w:tab w:val="left" w:pos="3602"/>
          <w:tab w:val="left" w:pos="5162"/>
          <w:tab w:val="left" w:pos="5882"/>
          <w:tab w:val="left" w:pos="6602"/>
        </w:tabs>
        <w:spacing w:before="74" w:line="391" w:lineRule="auto"/>
        <w:ind w:left="482" w:right="501"/>
        <w:rPr>
          <w:rFonts w:hint="eastAsia" w:ascii="宋体" w:eastAsia="宋体"/>
        </w:rPr>
      </w:pPr>
      <w:r>
        <w:rPr>
          <w:rFonts w:ascii="Times New Roman" w:eastAsia="Times New Roman"/>
          <w:u w:val="single"/>
        </w:rPr>
        <w:t xml:space="preserve"> </w:t>
      </w:r>
      <w:r>
        <w:rPr>
          <w:rFonts w:ascii="Times New Roman" w:eastAsia="Times New Roman"/>
          <w:u w:val="single"/>
        </w:rPr>
        <w:tab/>
      </w:r>
      <w:r>
        <w:rPr>
          <w:rFonts w:hint="eastAsia" w:ascii="宋体" w:eastAsia="宋体"/>
        </w:rPr>
        <w:t>元(大写(人民币</w:t>
      </w:r>
      <w:r>
        <w:rPr>
          <w:rFonts w:hint="eastAsia" w:ascii="宋体" w:eastAsia="宋体"/>
          <w:u w:val="single"/>
        </w:rPr>
        <w:t xml:space="preserve"> </w:t>
      </w:r>
      <w:r>
        <w:rPr>
          <w:rFonts w:hint="eastAsia" w:ascii="宋体" w:eastAsia="宋体"/>
          <w:u w:val="single"/>
        </w:rPr>
        <w:tab/>
      </w:r>
      <w:r>
        <w:rPr>
          <w:rFonts w:hint="eastAsia" w:ascii="宋体" w:eastAsia="宋体"/>
        </w:rPr>
        <w:t>元)已于</w:t>
      </w:r>
      <w:r>
        <w:rPr>
          <w:rFonts w:hint="eastAsia" w:ascii="宋体" w:eastAsia="宋体"/>
          <w:u w:val="single"/>
        </w:rPr>
        <w:t xml:space="preserve"> </w:t>
      </w:r>
      <w:r>
        <w:rPr>
          <w:rFonts w:hint="eastAsia" w:ascii="宋体" w:eastAsia="宋体"/>
          <w:u w:val="single"/>
        </w:rPr>
        <w:tab/>
      </w:r>
      <w:r>
        <w:rPr>
          <w:rFonts w:hint="eastAsia" w:ascii="宋体" w:eastAsia="宋体"/>
        </w:rPr>
        <w:t>年</w:t>
      </w:r>
      <w:r>
        <w:rPr>
          <w:rFonts w:hint="eastAsia" w:ascii="宋体" w:eastAsia="宋体"/>
          <w:u w:val="single"/>
        </w:rPr>
        <w:t xml:space="preserve"> </w:t>
      </w:r>
      <w:r>
        <w:rPr>
          <w:rFonts w:hint="eastAsia" w:ascii="宋体" w:eastAsia="宋体"/>
          <w:u w:val="single"/>
        </w:rPr>
        <w:tab/>
      </w:r>
      <w:r>
        <w:rPr>
          <w:rFonts w:hint="eastAsia" w:ascii="宋体" w:eastAsia="宋体"/>
        </w:rPr>
        <w:t>月</w:t>
      </w:r>
      <w:r>
        <w:rPr>
          <w:rFonts w:hint="eastAsia" w:ascii="宋体" w:eastAsia="宋体"/>
          <w:u w:val="single"/>
        </w:rPr>
        <w:t xml:space="preserve"> </w:t>
      </w:r>
      <w:r>
        <w:rPr>
          <w:rFonts w:hint="eastAsia" w:ascii="宋体" w:eastAsia="宋体"/>
          <w:u w:val="single"/>
        </w:rPr>
        <w:tab/>
      </w:r>
      <w:r>
        <w:rPr>
          <w:rFonts w:hint="eastAsia" w:ascii="宋体" w:eastAsia="宋体"/>
        </w:rPr>
        <w:t>日以银行主动划账</w:t>
      </w:r>
      <w:r>
        <w:rPr>
          <w:rFonts w:hint="eastAsia" w:ascii="宋体" w:eastAsia="宋体"/>
          <w:spacing w:val="-17"/>
        </w:rPr>
        <w:t>方</w:t>
      </w:r>
      <w:r>
        <w:rPr>
          <w:rFonts w:hint="eastAsia" w:ascii="宋体" w:eastAsia="宋体"/>
        </w:rPr>
        <w:t>式划入你方账户。</w:t>
      </w:r>
    </w:p>
    <w:p w14:paraId="6C1E90B3">
      <w:pPr>
        <w:pStyle w:val="8"/>
        <w:spacing w:line="306" w:lineRule="exact"/>
        <w:ind w:left="482"/>
        <w:rPr>
          <w:rFonts w:hint="eastAsia" w:ascii="宋体" w:eastAsia="宋体"/>
        </w:rPr>
      </w:pPr>
      <w:r>
        <w:rPr>
          <w:rFonts w:hint="eastAsia" w:ascii="宋体" w:eastAsia="宋体"/>
        </w:rPr>
        <w:t>详见附件：银行出具的汇款单或转账凭证复印件。</w:t>
      </w:r>
    </w:p>
    <w:p w14:paraId="05483221">
      <w:pPr>
        <w:pStyle w:val="8"/>
        <w:spacing w:before="192" w:line="391" w:lineRule="auto"/>
        <w:ind w:left="482" w:right="481"/>
        <w:jc w:val="both"/>
        <w:rPr>
          <w:rFonts w:hint="eastAsia" w:ascii="宋体" w:eastAsia="宋体"/>
        </w:rPr>
      </w:pPr>
      <w:r>
        <w:rPr>
          <w:rFonts w:hint="eastAsia" w:ascii="宋体" w:eastAsia="宋体"/>
          <w:spacing w:val="-6"/>
        </w:rPr>
        <w:t>退还保证金时请按以下内容划入我方账户。若因内容不全、错误、字迹潦草模糊</w:t>
      </w:r>
      <w:r>
        <w:rPr>
          <w:rFonts w:hint="eastAsia" w:ascii="宋体" w:eastAsia="宋体"/>
          <w:spacing w:val="-5"/>
        </w:rPr>
        <w:t>导致该项目保证金未能及时退还或退还过程中发生错误，我方将承担全部责任和</w:t>
      </w:r>
      <w:r>
        <w:rPr>
          <w:rFonts w:hint="eastAsia" w:ascii="宋体" w:eastAsia="宋体"/>
        </w:rPr>
        <w:t>损失。</w:t>
      </w:r>
    </w:p>
    <w:p w14:paraId="2A438CE7">
      <w:pPr>
        <w:pStyle w:val="8"/>
        <w:spacing w:line="391" w:lineRule="auto"/>
        <w:ind w:left="482" w:right="7581"/>
        <w:jc w:val="both"/>
        <w:rPr>
          <w:rFonts w:hint="eastAsia" w:ascii="宋体" w:eastAsia="宋体"/>
        </w:rPr>
      </w:pPr>
      <w:r>
        <w:rPr>
          <w:rFonts w:hint="eastAsia" w:ascii="宋体" w:eastAsia="宋体"/>
        </w:rPr>
        <w:t>单位全称： 开户银行： 开户账号：</w:t>
      </w:r>
    </w:p>
    <w:p w14:paraId="590C32BF">
      <w:pPr>
        <w:pStyle w:val="8"/>
        <w:spacing w:line="391" w:lineRule="auto"/>
        <w:ind w:left="482" w:right="7101"/>
        <w:rPr>
          <w:rFonts w:hint="eastAsia" w:ascii="宋体" w:eastAsia="宋体"/>
        </w:rPr>
      </w:pPr>
      <w:r>
        <w:rPr>
          <w:rFonts w:hint="eastAsia" w:ascii="宋体" w:eastAsia="宋体"/>
        </w:rPr>
        <w:t>供应商(公章)： 地址：</w:t>
      </w:r>
    </w:p>
    <w:p w14:paraId="465E820D">
      <w:pPr>
        <w:pStyle w:val="8"/>
        <w:spacing w:line="388" w:lineRule="auto"/>
        <w:ind w:left="482" w:right="7341"/>
        <w:rPr>
          <w:rFonts w:hint="eastAsia" w:ascii="宋体" w:eastAsia="宋体"/>
        </w:rPr>
      </w:pPr>
      <w:r>
        <w:rPr>
          <w:rFonts w:hint="eastAsia" w:ascii="宋体" w:eastAsia="宋体"/>
        </w:rPr>
        <w:t>项目联系人： 电话(手机)：</w:t>
      </w:r>
    </w:p>
    <w:p w14:paraId="63658ED8">
      <w:pPr>
        <w:pStyle w:val="8"/>
        <w:rPr>
          <w:rFonts w:ascii="宋体"/>
          <w:sz w:val="23"/>
        </w:rPr>
      </w:pPr>
      <w:r>
        <mc:AlternateContent>
          <mc:Choice Requires="wps">
            <w:drawing>
              <wp:anchor distT="0" distB="0" distL="114300" distR="114300" simplePos="0" relativeHeight="251667456" behindDoc="1" locked="0" layoutInCell="1" allowOverlap="1">
                <wp:simplePos x="0" y="0"/>
                <wp:positionH relativeFrom="page">
                  <wp:posOffset>1902460</wp:posOffset>
                </wp:positionH>
                <wp:positionV relativeFrom="paragraph">
                  <wp:posOffset>214630</wp:posOffset>
                </wp:positionV>
                <wp:extent cx="3754755" cy="1124585"/>
                <wp:effectExtent l="4445" t="4445" r="12700" b="13970"/>
                <wp:wrapTopAndBottom/>
                <wp:docPr id="9" name="文本框 10"/>
                <wp:cNvGraphicFramePr/>
                <a:graphic xmlns:a="http://schemas.openxmlformats.org/drawingml/2006/main">
                  <a:graphicData uri="http://schemas.microsoft.com/office/word/2010/wordprocessingShape">
                    <wps:wsp>
                      <wps:cNvSpPr txBox="1"/>
                      <wps:spPr>
                        <a:xfrm>
                          <a:off x="0" y="0"/>
                          <a:ext cx="3754755" cy="1124585"/>
                        </a:xfrm>
                        <a:prstGeom prst="rect">
                          <a:avLst/>
                        </a:prstGeom>
                        <a:noFill/>
                        <a:ln w="6096" cap="flat" cmpd="sng">
                          <a:solidFill>
                            <a:srgbClr val="000000"/>
                          </a:solidFill>
                          <a:prstDash val="solid"/>
                          <a:miter/>
                          <a:headEnd type="none" w="med" len="med"/>
                          <a:tailEnd type="none" w="med" len="med"/>
                        </a:ln>
                      </wps:spPr>
                      <wps:txbx>
                        <w:txbxContent>
                          <w:p w14:paraId="27C048AE">
                            <w:pPr>
                              <w:pStyle w:val="8"/>
                              <w:rPr>
                                <w:rFonts w:ascii="宋体"/>
                              </w:rPr>
                            </w:pPr>
                          </w:p>
                          <w:p w14:paraId="37733C1E">
                            <w:pPr>
                              <w:pStyle w:val="8"/>
                              <w:rPr>
                                <w:rFonts w:ascii="宋体"/>
                              </w:rPr>
                            </w:pPr>
                          </w:p>
                          <w:p w14:paraId="66C9E8A7">
                            <w:pPr>
                              <w:pStyle w:val="8"/>
                              <w:spacing w:before="177"/>
                              <w:ind w:left="102"/>
                              <w:rPr>
                                <w:rFonts w:hint="eastAsia" w:ascii="宋体" w:eastAsia="宋体"/>
                              </w:rPr>
                            </w:pPr>
                            <w:r>
                              <w:rPr>
                                <w:rFonts w:hint="eastAsia" w:ascii="宋体" w:eastAsia="宋体"/>
                              </w:rPr>
                              <w:t>汇款单或转账凭证复印件</w:t>
                            </w:r>
                          </w:p>
                        </w:txbxContent>
                      </wps:txbx>
                      <wps:bodyPr lIns="0" tIns="0" rIns="0" bIns="0" upright="1"/>
                    </wps:wsp>
                  </a:graphicData>
                </a:graphic>
              </wp:anchor>
            </w:drawing>
          </mc:Choice>
          <mc:Fallback>
            <w:pict>
              <v:shape id="文本框 10" o:spid="_x0000_s1026" o:spt="202" type="#_x0000_t202" style="position:absolute;left:0pt;margin-left:149.8pt;margin-top:16.9pt;height:88.55pt;width:295.65pt;mso-position-horizontal-relative:page;mso-wrap-distance-bottom:0pt;mso-wrap-distance-top:0pt;z-index:-251649024;mso-width-relative:page;mso-height-relative:page;" filled="f" stroked="t" coordsize="21600,21600" o:gfxdata="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QKjPjXAAAACgEAAA8AAAAA&#10;AAAAAQAgAAAAIgAAAGRycy9kb3ducmV2LnhtbFBLAQIUABQAAAAIAIdO4kD13dY5FQIAADMEAAAO&#10;AAAAAAAAAAEAIAAAACYBAABkcnMvZTJvRG9jLnhtbFBLBQYAAAAABgAGAFkBAACtBQAAAAA=&#10;">
                <v:fill on="f" focussize="0,0"/>
                <v:stroke weight="0.48pt" color="#000000" joinstyle="miter"/>
                <v:imagedata o:title=""/>
                <o:lock v:ext="edit" aspectratio="f"/>
                <v:textbox inset="0mm,0mm,0mm,0mm">
                  <w:txbxContent>
                    <w:p w14:paraId="27C048AE">
                      <w:pPr>
                        <w:pStyle w:val="8"/>
                        <w:rPr>
                          <w:rFonts w:ascii="宋体"/>
                        </w:rPr>
                      </w:pPr>
                    </w:p>
                    <w:p w14:paraId="37733C1E">
                      <w:pPr>
                        <w:pStyle w:val="8"/>
                        <w:rPr>
                          <w:rFonts w:ascii="宋体"/>
                        </w:rPr>
                      </w:pPr>
                    </w:p>
                    <w:p w14:paraId="66C9E8A7">
                      <w:pPr>
                        <w:pStyle w:val="8"/>
                        <w:spacing w:before="177"/>
                        <w:ind w:left="102"/>
                        <w:rPr>
                          <w:rFonts w:hint="eastAsia" w:ascii="宋体" w:eastAsia="宋体"/>
                        </w:rPr>
                      </w:pPr>
                      <w:r>
                        <w:rPr>
                          <w:rFonts w:hint="eastAsia" w:ascii="宋体" w:eastAsia="宋体"/>
                        </w:rPr>
                        <w:t>汇款单或转账凭证复印件</w:t>
                      </w:r>
                    </w:p>
                  </w:txbxContent>
                </v:textbox>
                <w10:wrap type="topAndBottom"/>
              </v:shape>
            </w:pict>
          </mc:Fallback>
        </mc:AlternateContent>
      </w:r>
    </w:p>
    <w:p w14:paraId="08B5CC3A">
      <w:pPr>
        <w:pStyle w:val="8"/>
        <w:rPr>
          <w:rFonts w:ascii="宋体"/>
          <w:sz w:val="20"/>
        </w:rPr>
      </w:pPr>
    </w:p>
    <w:p w14:paraId="644DBC38">
      <w:pPr>
        <w:pStyle w:val="8"/>
        <w:spacing w:before="9"/>
        <w:rPr>
          <w:rFonts w:ascii="宋体"/>
          <w:sz w:val="13"/>
        </w:rPr>
      </w:pPr>
      <w:r>
        <mc:AlternateContent>
          <mc:Choice Requires="wps">
            <w:drawing>
              <wp:anchor distT="0" distB="0" distL="114300" distR="114300" simplePos="0" relativeHeight="251667456" behindDoc="1" locked="0" layoutInCell="1" allowOverlap="1">
                <wp:simplePos x="0" y="0"/>
                <wp:positionH relativeFrom="page">
                  <wp:posOffset>1902460</wp:posOffset>
                </wp:positionH>
                <wp:positionV relativeFrom="paragraph">
                  <wp:posOffset>139065</wp:posOffset>
                </wp:positionV>
                <wp:extent cx="3754755" cy="1124585"/>
                <wp:effectExtent l="4445" t="4445" r="12700" b="13970"/>
                <wp:wrapTopAndBottom/>
                <wp:docPr id="10" name="文本框 11"/>
                <wp:cNvGraphicFramePr/>
                <a:graphic xmlns:a="http://schemas.openxmlformats.org/drawingml/2006/main">
                  <a:graphicData uri="http://schemas.microsoft.com/office/word/2010/wordprocessingShape">
                    <wps:wsp>
                      <wps:cNvSpPr txBox="1"/>
                      <wps:spPr>
                        <a:xfrm>
                          <a:off x="0" y="0"/>
                          <a:ext cx="3754755" cy="1124585"/>
                        </a:xfrm>
                        <a:prstGeom prst="rect">
                          <a:avLst/>
                        </a:prstGeom>
                        <a:noFill/>
                        <a:ln w="6096" cap="flat" cmpd="sng">
                          <a:solidFill>
                            <a:srgbClr val="000000"/>
                          </a:solidFill>
                          <a:prstDash val="solid"/>
                          <a:miter/>
                          <a:headEnd type="none" w="med" len="med"/>
                          <a:tailEnd type="none" w="med" len="med"/>
                        </a:ln>
                      </wps:spPr>
                      <wps:txbx>
                        <w:txbxContent>
                          <w:p w14:paraId="2BCE71AD">
                            <w:pPr>
                              <w:pStyle w:val="8"/>
                              <w:rPr>
                                <w:rFonts w:ascii="宋体"/>
                              </w:rPr>
                            </w:pPr>
                          </w:p>
                          <w:p w14:paraId="34A0B1A4">
                            <w:pPr>
                              <w:pStyle w:val="8"/>
                              <w:rPr>
                                <w:rFonts w:ascii="宋体"/>
                              </w:rPr>
                            </w:pPr>
                          </w:p>
                          <w:p w14:paraId="57CBD06F">
                            <w:pPr>
                              <w:pStyle w:val="8"/>
                              <w:spacing w:before="176"/>
                              <w:ind w:left="102"/>
                              <w:rPr>
                                <w:rFonts w:hint="eastAsia" w:ascii="宋体" w:eastAsia="宋体"/>
                              </w:rPr>
                            </w:pPr>
                            <w:r>
                              <w:rPr>
                                <w:rFonts w:hint="eastAsia" w:ascii="宋体" w:eastAsia="宋体"/>
                              </w:rPr>
                              <w:t>开户行许可证复印件</w:t>
                            </w:r>
                          </w:p>
                        </w:txbxContent>
                      </wps:txbx>
                      <wps:bodyPr lIns="0" tIns="0" rIns="0" bIns="0" upright="1"/>
                    </wps:wsp>
                  </a:graphicData>
                </a:graphic>
              </wp:anchor>
            </w:drawing>
          </mc:Choice>
          <mc:Fallback>
            <w:pict>
              <v:shape id="文本框 11" o:spid="_x0000_s1026" o:spt="202" type="#_x0000_t202" style="position:absolute;left:0pt;margin-left:149.8pt;margin-top:10.95pt;height:88.55pt;width:295.65pt;mso-position-horizontal-relative:page;mso-wrap-distance-bottom:0pt;mso-wrap-distance-top:0pt;z-index:-251649024;mso-width-relative:page;mso-height-relative:page;" filled="f" stroked="t" coordsize="21600,21600" o:gfxdata="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IP+DM1QAAAAoBAAAPAAAAAAAA&#10;AAEAIAAAACIAAABkcnMvZG93bnJldi54bWxQSwECFAAUAAAACACHTuJAEXYMYRUCAAA0BAAADgAA&#10;AAAAAAABACAAAAAkAQAAZHJzL2Uyb0RvYy54bWxQSwUGAAAAAAYABgBZAQAAqwUAAAAA&#10;">
                <v:fill on="f" focussize="0,0"/>
                <v:stroke weight="0.48pt" color="#000000" joinstyle="miter"/>
                <v:imagedata o:title=""/>
                <o:lock v:ext="edit" aspectratio="f"/>
                <v:textbox inset="0mm,0mm,0mm,0mm">
                  <w:txbxContent>
                    <w:p w14:paraId="2BCE71AD">
                      <w:pPr>
                        <w:pStyle w:val="8"/>
                        <w:rPr>
                          <w:rFonts w:ascii="宋体"/>
                        </w:rPr>
                      </w:pPr>
                    </w:p>
                    <w:p w14:paraId="34A0B1A4">
                      <w:pPr>
                        <w:pStyle w:val="8"/>
                        <w:rPr>
                          <w:rFonts w:ascii="宋体"/>
                        </w:rPr>
                      </w:pPr>
                    </w:p>
                    <w:p w14:paraId="57CBD06F">
                      <w:pPr>
                        <w:pStyle w:val="8"/>
                        <w:spacing w:before="176"/>
                        <w:ind w:left="102"/>
                        <w:rPr>
                          <w:rFonts w:hint="eastAsia" w:ascii="宋体" w:eastAsia="宋体"/>
                        </w:rPr>
                      </w:pPr>
                      <w:r>
                        <w:rPr>
                          <w:rFonts w:hint="eastAsia" w:ascii="宋体" w:eastAsia="宋体"/>
                        </w:rPr>
                        <w:t>开户行许可证复印件</w:t>
                      </w:r>
                    </w:p>
                  </w:txbxContent>
                </v:textbox>
                <w10:wrap type="topAndBottom"/>
              </v:shape>
            </w:pict>
          </mc:Fallback>
        </mc:AlternateContent>
      </w:r>
    </w:p>
    <w:p w14:paraId="760D11EE">
      <w:pPr>
        <w:spacing w:after="0"/>
        <w:rPr>
          <w:rFonts w:ascii="宋体"/>
          <w:sz w:val="13"/>
        </w:rPr>
        <w:sectPr>
          <w:pgSz w:w="11910" w:h="16840"/>
          <w:pgMar w:top="1540" w:right="1320" w:bottom="1180" w:left="1320" w:header="0" w:footer="989" w:gutter="0"/>
          <w:cols w:space="720" w:num="1"/>
        </w:sectPr>
      </w:pPr>
    </w:p>
    <w:p w14:paraId="068B59FB">
      <w:pPr>
        <w:pStyle w:val="7"/>
        <w:spacing w:before="44"/>
        <w:ind w:left="2687" w:right="2687"/>
        <w:jc w:val="center"/>
        <w:rPr>
          <w:rFonts w:hint="eastAsia" w:ascii="宋体" w:eastAsia="宋体"/>
        </w:rPr>
      </w:pPr>
      <w:r>
        <w:rPr>
          <w:rFonts w:hint="eastAsia" w:ascii="宋体" w:eastAsia="宋体"/>
        </w:rPr>
        <w:t>五、供应商具备投标资格的证明文件</w:t>
      </w:r>
    </w:p>
    <w:p w14:paraId="1265D276">
      <w:pPr>
        <w:pStyle w:val="8"/>
        <w:spacing w:before="9"/>
        <w:rPr>
          <w:rFonts w:ascii="宋体"/>
          <w:b/>
          <w:sz w:val="9"/>
        </w:rPr>
      </w:pPr>
    </w:p>
    <w:p w14:paraId="41345E55">
      <w:pPr>
        <w:pStyle w:val="8"/>
        <w:spacing w:before="67"/>
        <w:ind w:left="482"/>
        <w:rPr>
          <w:rFonts w:hint="eastAsia" w:ascii="宋体" w:eastAsia="宋体"/>
        </w:rPr>
      </w:pPr>
      <w:r>
        <w:rPr>
          <w:rFonts w:hint="eastAsia" w:ascii="宋体" w:eastAsia="宋体"/>
        </w:rPr>
        <w:t>附件 5－1</w:t>
      </w:r>
    </w:p>
    <w:p w14:paraId="393246E9">
      <w:pPr>
        <w:pStyle w:val="8"/>
        <w:spacing w:before="10"/>
        <w:rPr>
          <w:rFonts w:ascii="宋体"/>
          <w:sz w:val="9"/>
        </w:rPr>
      </w:pPr>
    </w:p>
    <w:p w14:paraId="37DC24E6">
      <w:pPr>
        <w:pStyle w:val="8"/>
        <w:spacing w:before="66"/>
        <w:ind w:left="2686" w:right="2687"/>
        <w:jc w:val="center"/>
        <w:rPr>
          <w:rFonts w:hint="eastAsia" w:ascii="宋体" w:eastAsia="宋体"/>
        </w:rPr>
      </w:pPr>
      <w:r>
        <w:rPr>
          <w:rFonts w:hint="eastAsia" w:ascii="宋体" w:eastAsia="宋体"/>
        </w:rPr>
        <w:t>供应商基本情况表</w:t>
      </w:r>
    </w:p>
    <w:p w14:paraId="53CD747A">
      <w:pPr>
        <w:pStyle w:val="8"/>
        <w:rPr>
          <w:rFonts w:ascii="宋体"/>
          <w:sz w:val="10"/>
        </w:rPr>
      </w:pPr>
    </w:p>
    <w:p w14:paraId="12BBE293">
      <w:pPr>
        <w:pStyle w:val="8"/>
        <w:spacing w:before="66" w:after="31"/>
        <w:ind w:left="722"/>
        <w:rPr>
          <w:rFonts w:hint="eastAsia" w:ascii="宋体" w:eastAsia="宋体"/>
        </w:rPr>
      </w:pPr>
      <w:r>
        <w:rPr>
          <w:rFonts w:hint="eastAsia" w:ascii="宋体" w:eastAsia="宋体"/>
        </w:rPr>
        <w:t>供应商：(公章)</w:t>
      </w:r>
    </w:p>
    <w:tbl>
      <w:tblPr>
        <w:tblStyle w:val="11"/>
        <w:tblW w:w="0" w:type="auto"/>
        <w:tblInd w:w="3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43"/>
        <w:gridCol w:w="1991"/>
        <w:gridCol w:w="2154"/>
        <w:gridCol w:w="1528"/>
      </w:tblGrid>
      <w:tr w14:paraId="68D3B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943" w:type="dxa"/>
          </w:tcPr>
          <w:p w14:paraId="3F8BC6ED">
            <w:pPr>
              <w:pStyle w:val="15"/>
              <w:spacing w:before="161"/>
              <w:ind w:left="106"/>
              <w:rPr>
                <w:rFonts w:hint="eastAsia" w:ascii="宋体" w:eastAsia="宋体"/>
                <w:sz w:val="24"/>
              </w:rPr>
            </w:pPr>
            <w:r>
              <w:rPr>
                <w:rFonts w:hint="eastAsia" w:ascii="宋体" w:eastAsia="宋体"/>
                <w:sz w:val="24"/>
              </w:rPr>
              <w:t>供应商名称</w:t>
            </w:r>
          </w:p>
        </w:tc>
        <w:tc>
          <w:tcPr>
            <w:tcW w:w="1991" w:type="dxa"/>
          </w:tcPr>
          <w:p w14:paraId="60E039A7">
            <w:pPr>
              <w:pStyle w:val="15"/>
              <w:rPr>
                <w:rFonts w:ascii="Times New Roman"/>
                <w:sz w:val="22"/>
              </w:rPr>
            </w:pPr>
          </w:p>
        </w:tc>
        <w:tc>
          <w:tcPr>
            <w:tcW w:w="2154" w:type="dxa"/>
          </w:tcPr>
          <w:p w14:paraId="3DC9AC63">
            <w:pPr>
              <w:pStyle w:val="15"/>
              <w:spacing w:before="161"/>
              <w:ind w:left="107"/>
              <w:rPr>
                <w:rFonts w:hint="eastAsia" w:ascii="宋体" w:eastAsia="宋体"/>
                <w:sz w:val="24"/>
              </w:rPr>
            </w:pPr>
            <w:r>
              <w:rPr>
                <w:rFonts w:hint="eastAsia" w:ascii="宋体" w:eastAsia="宋体"/>
                <w:sz w:val="24"/>
              </w:rPr>
              <w:t>法定代表人</w:t>
            </w:r>
          </w:p>
        </w:tc>
        <w:tc>
          <w:tcPr>
            <w:tcW w:w="1528" w:type="dxa"/>
          </w:tcPr>
          <w:p w14:paraId="4F5306E3">
            <w:pPr>
              <w:pStyle w:val="15"/>
              <w:rPr>
                <w:rFonts w:ascii="Times New Roman"/>
                <w:sz w:val="22"/>
              </w:rPr>
            </w:pPr>
          </w:p>
        </w:tc>
      </w:tr>
      <w:tr w14:paraId="11DB1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943" w:type="dxa"/>
          </w:tcPr>
          <w:p w14:paraId="2B6AA2F3">
            <w:pPr>
              <w:pStyle w:val="15"/>
              <w:spacing w:before="162"/>
              <w:ind w:left="106"/>
              <w:rPr>
                <w:rFonts w:hint="eastAsia" w:ascii="宋体" w:eastAsia="宋体"/>
                <w:sz w:val="24"/>
              </w:rPr>
            </w:pPr>
            <w:r>
              <w:rPr>
                <w:rFonts w:hint="eastAsia" w:ascii="宋体" w:eastAsia="宋体"/>
                <w:sz w:val="24"/>
              </w:rPr>
              <w:t>统一社会信用代码</w:t>
            </w:r>
          </w:p>
        </w:tc>
        <w:tc>
          <w:tcPr>
            <w:tcW w:w="1991" w:type="dxa"/>
          </w:tcPr>
          <w:p w14:paraId="7DC70E4C">
            <w:pPr>
              <w:pStyle w:val="15"/>
              <w:rPr>
                <w:rFonts w:ascii="Times New Roman"/>
                <w:sz w:val="22"/>
              </w:rPr>
            </w:pPr>
          </w:p>
        </w:tc>
        <w:tc>
          <w:tcPr>
            <w:tcW w:w="2154" w:type="dxa"/>
          </w:tcPr>
          <w:p w14:paraId="26CA34B4">
            <w:pPr>
              <w:pStyle w:val="15"/>
              <w:spacing w:before="162"/>
              <w:ind w:left="107"/>
              <w:rPr>
                <w:rFonts w:hint="eastAsia" w:ascii="宋体" w:eastAsia="宋体"/>
                <w:sz w:val="24"/>
              </w:rPr>
            </w:pPr>
            <w:r>
              <w:rPr>
                <w:rFonts w:hint="eastAsia" w:ascii="宋体" w:eastAsia="宋体"/>
                <w:sz w:val="24"/>
              </w:rPr>
              <w:t>邮政编码</w:t>
            </w:r>
          </w:p>
        </w:tc>
        <w:tc>
          <w:tcPr>
            <w:tcW w:w="1528" w:type="dxa"/>
          </w:tcPr>
          <w:p w14:paraId="6C60D00B">
            <w:pPr>
              <w:pStyle w:val="15"/>
              <w:rPr>
                <w:rFonts w:ascii="Times New Roman"/>
                <w:sz w:val="22"/>
              </w:rPr>
            </w:pPr>
          </w:p>
        </w:tc>
      </w:tr>
      <w:tr w14:paraId="1CBCD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943" w:type="dxa"/>
          </w:tcPr>
          <w:p w14:paraId="3185D43F">
            <w:pPr>
              <w:pStyle w:val="15"/>
              <w:spacing w:before="161"/>
              <w:ind w:left="106"/>
              <w:rPr>
                <w:rFonts w:hint="eastAsia" w:ascii="宋体" w:eastAsia="宋体"/>
                <w:sz w:val="24"/>
              </w:rPr>
            </w:pPr>
            <w:r>
              <w:rPr>
                <w:rFonts w:hint="eastAsia" w:ascii="宋体" w:eastAsia="宋体"/>
                <w:sz w:val="24"/>
              </w:rPr>
              <w:t>授权代表</w:t>
            </w:r>
          </w:p>
        </w:tc>
        <w:tc>
          <w:tcPr>
            <w:tcW w:w="1991" w:type="dxa"/>
          </w:tcPr>
          <w:p w14:paraId="41A4B475">
            <w:pPr>
              <w:pStyle w:val="15"/>
              <w:rPr>
                <w:rFonts w:ascii="Times New Roman"/>
                <w:sz w:val="22"/>
              </w:rPr>
            </w:pPr>
          </w:p>
        </w:tc>
        <w:tc>
          <w:tcPr>
            <w:tcW w:w="2154" w:type="dxa"/>
          </w:tcPr>
          <w:p w14:paraId="5D4C183D">
            <w:pPr>
              <w:pStyle w:val="15"/>
              <w:spacing w:before="161"/>
              <w:ind w:left="107"/>
              <w:rPr>
                <w:rFonts w:hint="eastAsia" w:ascii="宋体" w:eastAsia="宋体"/>
                <w:sz w:val="24"/>
              </w:rPr>
            </w:pPr>
            <w:r>
              <w:rPr>
                <w:rFonts w:hint="eastAsia" w:ascii="宋体" w:eastAsia="宋体"/>
                <w:sz w:val="24"/>
              </w:rPr>
              <w:t>联系电话</w:t>
            </w:r>
          </w:p>
        </w:tc>
        <w:tc>
          <w:tcPr>
            <w:tcW w:w="1528" w:type="dxa"/>
          </w:tcPr>
          <w:p w14:paraId="7DDF3D29">
            <w:pPr>
              <w:pStyle w:val="15"/>
              <w:rPr>
                <w:rFonts w:ascii="Times New Roman"/>
                <w:sz w:val="22"/>
              </w:rPr>
            </w:pPr>
          </w:p>
        </w:tc>
      </w:tr>
      <w:tr w14:paraId="27D43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943" w:type="dxa"/>
          </w:tcPr>
          <w:p w14:paraId="54E89917">
            <w:pPr>
              <w:pStyle w:val="15"/>
              <w:spacing w:before="162"/>
              <w:ind w:left="106"/>
              <w:rPr>
                <w:rFonts w:hint="eastAsia" w:ascii="宋体" w:eastAsia="宋体"/>
                <w:sz w:val="24"/>
              </w:rPr>
            </w:pPr>
            <w:r>
              <w:rPr>
                <w:rFonts w:hint="eastAsia" w:ascii="宋体" w:eastAsia="宋体"/>
                <w:sz w:val="24"/>
              </w:rPr>
              <w:t>电子邮箱</w:t>
            </w:r>
          </w:p>
        </w:tc>
        <w:tc>
          <w:tcPr>
            <w:tcW w:w="1991" w:type="dxa"/>
          </w:tcPr>
          <w:p w14:paraId="333E98BB">
            <w:pPr>
              <w:pStyle w:val="15"/>
              <w:rPr>
                <w:rFonts w:ascii="Times New Roman"/>
                <w:sz w:val="22"/>
              </w:rPr>
            </w:pPr>
          </w:p>
        </w:tc>
        <w:tc>
          <w:tcPr>
            <w:tcW w:w="2154" w:type="dxa"/>
          </w:tcPr>
          <w:p w14:paraId="4801921D">
            <w:pPr>
              <w:pStyle w:val="15"/>
              <w:spacing w:before="162"/>
              <w:ind w:left="107"/>
              <w:rPr>
                <w:rFonts w:hint="eastAsia" w:ascii="宋体" w:eastAsia="宋体"/>
                <w:sz w:val="24"/>
              </w:rPr>
            </w:pPr>
            <w:r>
              <w:rPr>
                <w:rFonts w:hint="eastAsia" w:ascii="宋体" w:eastAsia="宋体"/>
                <w:sz w:val="24"/>
              </w:rPr>
              <w:t>传真</w:t>
            </w:r>
          </w:p>
        </w:tc>
        <w:tc>
          <w:tcPr>
            <w:tcW w:w="1528" w:type="dxa"/>
          </w:tcPr>
          <w:p w14:paraId="7DD19124">
            <w:pPr>
              <w:pStyle w:val="15"/>
              <w:rPr>
                <w:rFonts w:ascii="Times New Roman"/>
                <w:sz w:val="22"/>
              </w:rPr>
            </w:pPr>
          </w:p>
        </w:tc>
      </w:tr>
      <w:tr w14:paraId="344AD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943" w:type="dxa"/>
          </w:tcPr>
          <w:p w14:paraId="17A17197">
            <w:pPr>
              <w:pStyle w:val="15"/>
              <w:spacing w:before="161"/>
              <w:ind w:left="106"/>
              <w:rPr>
                <w:rFonts w:hint="eastAsia" w:ascii="宋体" w:eastAsia="宋体"/>
                <w:sz w:val="24"/>
              </w:rPr>
            </w:pPr>
            <w:r>
              <w:rPr>
                <w:rFonts w:hint="eastAsia" w:ascii="宋体" w:eastAsia="宋体"/>
                <w:sz w:val="24"/>
              </w:rPr>
              <w:t>上年营业收入</w:t>
            </w:r>
          </w:p>
        </w:tc>
        <w:tc>
          <w:tcPr>
            <w:tcW w:w="1991" w:type="dxa"/>
          </w:tcPr>
          <w:p w14:paraId="24F4A97A">
            <w:pPr>
              <w:pStyle w:val="15"/>
              <w:rPr>
                <w:rFonts w:ascii="Times New Roman"/>
                <w:sz w:val="22"/>
              </w:rPr>
            </w:pPr>
          </w:p>
        </w:tc>
        <w:tc>
          <w:tcPr>
            <w:tcW w:w="2154" w:type="dxa"/>
          </w:tcPr>
          <w:p w14:paraId="6680B7AA">
            <w:pPr>
              <w:pStyle w:val="15"/>
              <w:spacing w:before="161"/>
              <w:ind w:left="107"/>
              <w:rPr>
                <w:rFonts w:hint="eastAsia" w:ascii="宋体" w:eastAsia="宋体"/>
                <w:sz w:val="24"/>
              </w:rPr>
            </w:pPr>
            <w:r>
              <w:rPr>
                <w:rFonts w:hint="eastAsia" w:ascii="宋体" w:eastAsia="宋体"/>
                <w:sz w:val="24"/>
              </w:rPr>
              <w:t>员工总人数</w:t>
            </w:r>
          </w:p>
        </w:tc>
        <w:tc>
          <w:tcPr>
            <w:tcW w:w="1528" w:type="dxa"/>
          </w:tcPr>
          <w:p w14:paraId="5D3C3D0A">
            <w:pPr>
              <w:pStyle w:val="15"/>
              <w:rPr>
                <w:rFonts w:ascii="Times New Roman"/>
                <w:sz w:val="22"/>
              </w:rPr>
            </w:pPr>
          </w:p>
        </w:tc>
      </w:tr>
      <w:tr w14:paraId="614BB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943" w:type="dxa"/>
          </w:tcPr>
          <w:p w14:paraId="255C3FA1">
            <w:pPr>
              <w:pStyle w:val="15"/>
              <w:spacing w:before="162"/>
              <w:ind w:left="106"/>
              <w:rPr>
                <w:rFonts w:hint="eastAsia" w:ascii="宋体" w:eastAsia="宋体"/>
                <w:sz w:val="24"/>
              </w:rPr>
            </w:pPr>
            <w:r>
              <w:rPr>
                <w:rFonts w:hint="eastAsia" w:ascii="宋体" w:eastAsia="宋体"/>
                <w:sz w:val="24"/>
              </w:rPr>
              <w:t>基本账户开户行及账号</w:t>
            </w:r>
          </w:p>
        </w:tc>
        <w:tc>
          <w:tcPr>
            <w:tcW w:w="1991" w:type="dxa"/>
          </w:tcPr>
          <w:p w14:paraId="11D847E6">
            <w:pPr>
              <w:pStyle w:val="15"/>
              <w:rPr>
                <w:rFonts w:ascii="Times New Roman"/>
                <w:sz w:val="22"/>
              </w:rPr>
            </w:pPr>
          </w:p>
        </w:tc>
        <w:tc>
          <w:tcPr>
            <w:tcW w:w="2154" w:type="dxa"/>
          </w:tcPr>
          <w:p w14:paraId="42F2C8D2">
            <w:pPr>
              <w:pStyle w:val="15"/>
              <w:rPr>
                <w:rFonts w:ascii="Times New Roman"/>
                <w:sz w:val="22"/>
              </w:rPr>
            </w:pPr>
          </w:p>
        </w:tc>
        <w:tc>
          <w:tcPr>
            <w:tcW w:w="1528" w:type="dxa"/>
          </w:tcPr>
          <w:p w14:paraId="758B1A1B">
            <w:pPr>
              <w:pStyle w:val="15"/>
              <w:rPr>
                <w:rFonts w:ascii="Times New Roman"/>
                <w:sz w:val="22"/>
              </w:rPr>
            </w:pPr>
          </w:p>
        </w:tc>
      </w:tr>
      <w:tr w14:paraId="22A64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943" w:type="dxa"/>
          </w:tcPr>
          <w:p w14:paraId="5BE6652B">
            <w:pPr>
              <w:pStyle w:val="15"/>
              <w:spacing w:before="161"/>
              <w:ind w:left="106"/>
              <w:rPr>
                <w:rFonts w:hint="eastAsia" w:ascii="宋体" w:eastAsia="宋体"/>
                <w:sz w:val="24"/>
              </w:rPr>
            </w:pPr>
            <w:r>
              <w:rPr>
                <w:rFonts w:hint="eastAsia" w:ascii="宋体" w:eastAsia="宋体"/>
                <w:sz w:val="24"/>
              </w:rPr>
              <w:t>税务登记机关</w:t>
            </w:r>
          </w:p>
        </w:tc>
        <w:tc>
          <w:tcPr>
            <w:tcW w:w="1991" w:type="dxa"/>
          </w:tcPr>
          <w:p w14:paraId="56BEE69B">
            <w:pPr>
              <w:pStyle w:val="15"/>
              <w:rPr>
                <w:rFonts w:ascii="Times New Roman"/>
                <w:sz w:val="22"/>
              </w:rPr>
            </w:pPr>
          </w:p>
        </w:tc>
        <w:tc>
          <w:tcPr>
            <w:tcW w:w="2154" w:type="dxa"/>
          </w:tcPr>
          <w:p w14:paraId="7C3C17B1">
            <w:pPr>
              <w:pStyle w:val="15"/>
              <w:rPr>
                <w:rFonts w:ascii="Times New Roman"/>
                <w:sz w:val="22"/>
              </w:rPr>
            </w:pPr>
          </w:p>
        </w:tc>
        <w:tc>
          <w:tcPr>
            <w:tcW w:w="1528" w:type="dxa"/>
          </w:tcPr>
          <w:p w14:paraId="5A2312B2">
            <w:pPr>
              <w:pStyle w:val="15"/>
              <w:rPr>
                <w:rFonts w:ascii="Times New Roman"/>
                <w:sz w:val="22"/>
              </w:rPr>
            </w:pPr>
          </w:p>
        </w:tc>
      </w:tr>
      <w:tr w14:paraId="4D433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943" w:type="dxa"/>
          </w:tcPr>
          <w:p w14:paraId="08B1F788">
            <w:pPr>
              <w:pStyle w:val="15"/>
              <w:spacing w:before="162"/>
              <w:ind w:left="106"/>
              <w:rPr>
                <w:rFonts w:hint="eastAsia" w:ascii="宋体" w:eastAsia="宋体"/>
                <w:sz w:val="24"/>
              </w:rPr>
            </w:pPr>
            <w:r>
              <w:rPr>
                <w:rFonts w:hint="eastAsia" w:ascii="宋体" w:eastAsia="宋体"/>
                <w:sz w:val="24"/>
              </w:rPr>
              <w:t>资质名称</w:t>
            </w:r>
          </w:p>
        </w:tc>
        <w:tc>
          <w:tcPr>
            <w:tcW w:w="1991" w:type="dxa"/>
          </w:tcPr>
          <w:p w14:paraId="53172535">
            <w:pPr>
              <w:pStyle w:val="15"/>
              <w:spacing w:before="162"/>
              <w:ind w:left="108"/>
              <w:rPr>
                <w:rFonts w:hint="eastAsia" w:ascii="宋体" w:eastAsia="宋体"/>
                <w:sz w:val="24"/>
              </w:rPr>
            </w:pPr>
            <w:r>
              <w:rPr>
                <w:rFonts w:hint="eastAsia" w:ascii="宋体" w:eastAsia="宋体"/>
                <w:sz w:val="24"/>
              </w:rPr>
              <w:t>等级</w:t>
            </w:r>
          </w:p>
        </w:tc>
        <w:tc>
          <w:tcPr>
            <w:tcW w:w="2154" w:type="dxa"/>
          </w:tcPr>
          <w:p w14:paraId="04980D78">
            <w:pPr>
              <w:pStyle w:val="15"/>
              <w:spacing w:before="162"/>
              <w:ind w:left="107"/>
              <w:rPr>
                <w:rFonts w:hint="eastAsia" w:ascii="宋体" w:eastAsia="宋体"/>
                <w:sz w:val="24"/>
              </w:rPr>
            </w:pPr>
            <w:r>
              <w:rPr>
                <w:rFonts w:hint="eastAsia" w:ascii="宋体" w:eastAsia="宋体"/>
                <w:sz w:val="24"/>
              </w:rPr>
              <w:t>发证机关</w:t>
            </w:r>
          </w:p>
        </w:tc>
        <w:tc>
          <w:tcPr>
            <w:tcW w:w="1528" w:type="dxa"/>
          </w:tcPr>
          <w:p w14:paraId="27D0A411">
            <w:pPr>
              <w:pStyle w:val="15"/>
              <w:spacing w:before="162"/>
              <w:ind w:left="108"/>
              <w:rPr>
                <w:rFonts w:hint="eastAsia" w:ascii="宋体" w:eastAsia="宋体"/>
                <w:sz w:val="24"/>
              </w:rPr>
            </w:pPr>
            <w:r>
              <w:rPr>
                <w:rFonts w:hint="eastAsia" w:ascii="宋体" w:eastAsia="宋体"/>
                <w:sz w:val="24"/>
              </w:rPr>
              <w:t>有效期</w:t>
            </w:r>
          </w:p>
        </w:tc>
      </w:tr>
      <w:tr w14:paraId="5EEFF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943" w:type="dxa"/>
          </w:tcPr>
          <w:p w14:paraId="77BEE963">
            <w:pPr>
              <w:pStyle w:val="15"/>
              <w:rPr>
                <w:rFonts w:ascii="Times New Roman"/>
                <w:sz w:val="22"/>
              </w:rPr>
            </w:pPr>
          </w:p>
        </w:tc>
        <w:tc>
          <w:tcPr>
            <w:tcW w:w="1991" w:type="dxa"/>
          </w:tcPr>
          <w:p w14:paraId="61C7678A">
            <w:pPr>
              <w:pStyle w:val="15"/>
              <w:rPr>
                <w:rFonts w:ascii="Times New Roman"/>
                <w:sz w:val="22"/>
              </w:rPr>
            </w:pPr>
          </w:p>
        </w:tc>
        <w:tc>
          <w:tcPr>
            <w:tcW w:w="2154" w:type="dxa"/>
          </w:tcPr>
          <w:p w14:paraId="610084DB">
            <w:pPr>
              <w:pStyle w:val="15"/>
              <w:rPr>
                <w:rFonts w:ascii="Times New Roman"/>
                <w:sz w:val="22"/>
              </w:rPr>
            </w:pPr>
          </w:p>
        </w:tc>
        <w:tc>
          <w:tcPr>
            <w:tcW w:w="1528" w:type="dxa"/>
          </w:tcPr>
          <w:p w14:paraId="177D6AFB">
            <w:pPr>
              <w:pStyle w:val="15"/>
              <w:rPr>
                <w:rFonts w:ascii="Times New Roman"/>
                <w:sz w:val="22"/>
              </w:rPr>
            </w:pPr>
          </w:p>
        </w:tc>
      </w:tr>
      <w:tr w14:paraId="0D590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943" w:type="dxa"/>
          </w:tcPr>
          <w:p w14:paraId="06091E30">
            <w:pPr>
              <w:pStyle w:val="15"/>
              <w:rPr>
                <w:rFonts w:ascii="Times New Roman"/>
                <w:sz w:val="22"/>
              </w:rPr>
            </w:pPr>
          </w:p>
        </w:tc>
        <w:tc>
          <w:tcPr>
            <w:tcW w:w="1991" w:type="dxa"/>
          </w:tcPr>
          <w:p w14:paraId="5EB58D4E">
            <w:pPr>
              <w:pStyle w:val="15"/>
              <w:rPr>
                <w:rFonts w:ascii="Times New Roman"/>
                <w:sz w:val="22"/>
              </w:rPr>
            </w:pPr>
          </w:p>
        </w:tc>
        <w:tc>
          <w:tcPr>
            <w:tcW w:w="2154" w:type="dxa"/>
          </w:tcPr>
          <w:p w14:paraId="76C0AC3B">
            <w:pPr>
              <w:pStyle w:val="15"/>
              <w:rPr>
                <w:rFonts w:ascii="Times New Roman"/>
                <w:sz w:val="22"/>
              </w:rPr>
            </w:pPr>
          </w:p>
        </w:tc>
        <w:tc>
          <w:tcPr>
            <w:tcW w:w="1528" w:type="dxa"/>
          </w:tcPr>
          <w:p w14:paraId="7EA3DEBC">
            <w:pPr>
              <w:pStyle w:val="15"/>
              <w:rPr>
                <w:rFonts w:ascii="Times New Roman"/>
                <w:sz w:val="22"/>
              </w:rPr>
            </w:pPr>
          </w:p>
        </w:tc>
      </w:tr>
      <w:tr w14:paraId="38CA9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943" w:type="dxa"/>
          </w:tcPr>
          <w:p w14:paraId="197396E3">
            <w:pPr>
              <w:pStyle w:val="15"/>
              <w:spacing w:before="161"/>
              <w:ind w:left="106"/>
              <w:rPr>
                <w:rFonts w:hint="eastAsia" w:ascii="宋体" w:eastAsia="宋体"/>
                <w:sz w:val="24"/>
              </w:rPr>
            </w:pPr>
            <w:r>
              <w:rPr>
                <w:rFonts w:hint="eastAsia" w:ascii="宋体" w:eastAsia="宋体"/>
                <w:sz w:val="24"/>
              </w:rPr>
              <w:t>备注</w:t>
            </w:r>
          </w:p>
        </w:tc>
        <w:tc>
          <w:tcPr>
            <w:tcW w:w="1991" w:type="dxa"/>
          </w:tcPr>
          <w:p w14:paraId="12AEC0FE">
            <w:pPr>
              <w:pStyle w:val="15"/>
              <w:rPr>
                <w:rFonts w:ascii="Times New Roman"/>
                <w:sz w:val="22"/>
              </w:rPr>
            </w:pPr>
          </w:p>
        </w:tc>
        <w:tc>
          <w:tcPr>
            <w:tcW w:w="2154" w:type="dxa"/>
          </w:tcPr>
          <w:p w14:paraId="0F195CE7">
            <w:pPr>
              <w:pStyle w:val="15"/>
              <w:rPr>
                <w:rFonts w:ascii="Times New Roman"/>
                <w:sz w:val="22"/>
              </w:rPr>
            </w:pPr>
          </w:p>
        </w:tc>
        <w:tc>
          <w:tcPr>
            <w:tcW w:w="1528" w:type="dxa"/>
          </w:tcPr>
          <w:p w14:paraId="100A2600">
            <w:pPr>
              <w:pStyle w:val="15"/>
              <w:rPr>
                <w:rFonts w:ascii="Times New Roman"/>
                <w:sz w:val="22"/>
              </w:rPr>
            </w:pPr>
          </w:p>
        </w:tc>
      </w:tr>
    </w:tbl>
    <w:p w14:paraId="76B25757">
      <w:pPr>
        <w:pStyle w:val="8"/>
        <w:rPr>
          <w:rFonts w:ascii="宋体"/>
        </w:rPr>
      </w:pPr>
    </w:p>
    <w:p w14:paraId="17EB4467">
      <w:pPr>
        <w:pStyle w:val="8"/>
        <w:spacing w:before="7"/>
        <w:rPr>
          <w:rFonts w:ascii="宋体"/>
          <w:sz w:val="27"/>
        </w:rPr>
      </w:pPr>
    </w:p>
    <w:p w14:paraId="73093A1F">
      <w:pPr>
        <w:pStyle w:val="8"/>
        <w:tabs>
          <w:tab w:val="left" w:pos="2102"/>
        </w:tabs>
        <w:spacing w:before="1" w:line="388" w:lineRule="auto"/>
        <w:ind w:left="482" w:right="681"/>
        <w:rPr>
          <w:rFonts w:hint="eastAsia" w:ascii="宋体" w:eastAsia="宋体"/>
        </w:rPr>
      </w:pPr>
      <w:r>
        <w:rPr>
          <w:rFonts w:hint="eastAsia" w:ascii="宋体" w:eastAsia="宋体"/>
        </w:rPr>
        <w:t>附件</w:t>
      </w:r>
      <w:r>
        <w:rPr>
          <w:rFonts w:hint="eastAsia" w:ascii="宋体" w:eastAsia="宋体"/>
          <w:spacing w:val="-60"/>
        </w:rPr>
        <w:t xml:space="preserve"> </w:t>
      </w:r>
      <w:r>
        <w:rPr>
          <w:rFonts w:hint="eastAsia" w:ascii="宋体" w:eastAsia="宋体"/>
        </w:rPr>
        <w:t>5－1－1</w:t>
      </w:r>
      <w:r>
        <w:rPr>
          <w:rFonts w:hint="eastAsia" w:ascii="宋体" w:eastAsia="宋体"/>
        </w:rPr>
        <w:tab/>
      </w:r>
      <w:r>
        <w:rPr>
          <w:rFonts w:hint="eastAsia" w:ascii="宋体" w:eastAsia="宋体"/>
        </w:rPr>
        <w:t>法人或者其他组织的营业执照副本复印件或自然人的身份证</w:t>
      </w:r>
      <w:r>
        <w:rPr>
          <w:rFonts w:hint="eastAsia" w:ascii="宋体" w:eastAsia="宋体"/>
          <w:spacing w:val="-17"/>
        </w:rPr>
        <w:t>明</w:t>
      </w:r>
      <w:r>
        <w:rPr>
          <w:rFonts w:hint="eastAsia" w:ascii="宋体" w:eastAsia="宋体"/>
        </w:rPr>
        <w:t>复印件；</w:t>
      </w:r>
    </w:p>
    <w:p w14:paraId="3E3156AF">
      <w:pPr>
        <w:pStyle w:val="8"/>
        <w:tabs>
          <w:tab w:val="left" w:pos="2102"/>
        </w:tabs>
        <w:spacing w:before="4" w:line="388" w:lineRule="auto"/>
        <w:ind w:left="482" w:right="561"/>
        <w:rPr>
          <w:rFonts w:hint="eastAsia" w:ascii="宋体" w:eastAsia="宋体"/>
        </w:rPr>
      </w:pPr>
      <w:r>
        <w:rPr>
          <w:rFonts w:hint="eastAsia" w:ascii="宋体" w:eastAsia="宋体"/>
        </w:rPr>
        <w:t>附件</w:t>
      </w:r>
      <w:r>
        <w:rPr>
          <w:rFonts w:hint="eastAsia" w:ascii="宋体" w:eastAsia="宋体"/>
          <w:spacing w:val="-60"/>
        </w:rPr>
        <w:t xml:space="preserve"> </w:t>
      </w:r>
      <w:r>
        <w:rPr>
          <w:rFonts w:hint="eastAsia" w:ascii="宋体" w:eastAsia="宋体"/>
        </w:rPr>
        <w:t>5－1－2</w:t>
      </w:r>
      <w:r>
        <w:rPr>
          <w:rFonts w:hint="eastAsia" w:ascii="宋体" w:eastAsia="宋体"/>
        </w:rPr>
        <w:tab/>
      </w:r>
      <w:r>
        <w:rPr>
          <w:rFonts w:hint="eastAsia" w:ascii="宋体" w:eastAsia="宋体"/>
        </w:rPr>
        <w:t>提供</w:t>
      </w:r>
      <w:r>
        <w:rPr>
          <w:rFonts w:hint="eastAsia" w:ascii="宋体" w:eastAsia="宋体"/>
          <w:spacing w:val="-60"/>
        </w:rPr>
        <w:t xml:space="preserve"> </w:t>
      </w:r>
      <w:r>
        <w:rPr>
          <w:rFonts w:hint="eastAsia" w:ascii="宋体" w:eastAsia="宋体"/>
        </w:rPr>
        <w:t>202</w:t>
      </w:r>
      <w:r>
        <w:rPr>
          <w:rFonts w:hint="eastAsia" w:ascii="宋体" w:eastAsia="宋体"/>
          <w:lang w:val="en-US" w:eastAsia="zh-CN"/>
        </w:rPr>
        <w:t>4</w:t>
      </w:r>
      <w:r>
        <w:rPr>
          <w:rFonts w:hint="eastAsia" w:ascii="宋体" w:eastAsia="宋体"/>
        </w:rPr>
        <w:t>年财务状况报告或银行出具的资信证明材料（新成</w:t>
      </w:r>
      <w:r>
        <w:rPr>
          <w:rFonts w:hint="eastAsia" w:ascii="宋体" w:eastAsia="宋体"/>
          <w:spacing w:val="-17"/>
        </w:rPr>
        <w:t>立</w:t>
      </w:r>
      <w:r>
        <w:rPr>
          <w:rFonts w:hint="eastAsia" w:ascii="宋体" w:eastAsia="宋体"/>
        </w:rPr>
        <w:t>的公司可不提供）；</w:t>
      </w:r>
    </w:p>
    <w:p w14:paraId="04114427">
      <w:pPr>
        <w:pStyle w:val="8"/>
        <w:tabs>
          <w:tab w:val="left" w:pos="2102"/>
        </w:tabs>
        <w:spacing w:before="2" w:line="391" w:lineRule="auto"/>
        <w:ind w:left="482" w:right="681"/>
        <w:rPr>
          <w:rFonts w:hint="eastAsia" w:ascii="宋体" w:eastAsia="宋体"/>
        </w:rPr>
      </w:pPr>
      <w:r>
        <w:rPr>
          <w:rFonts w:hint="eastAsia" w:ascii="宋体" w:eastAsia="宋体"/>
        </w:rPr>
        <w:t>附件</w:t>
      </w:r>
      <w:r>
        <w:rPr>
          <w:rFonts w:hint="eastAsia" w:ascii="宋体" w:eastAsia="宋体"/>
          <w:spacing w:val="-60"/>
        </w:rPr>
        <w:t xml:space="preserve"> </w:t>
      </w:r>
      <w:r>
        <w:rPr>
          <w:rFonts w:hint="eastAsia" w:ascii="宋体" w:eastAsia="宋体"/>
        </w:rPr>
        <w:t>5－1－3</w:t>
      </w:r>
      <w:r>
        <w:rPr>
          <w:rFonts w:hint="eastAsia" w:ascii="宋体" w:eastAsia="宋体"/>
        </w:rPr>
        <w:tab/>
      </w:r>
      <w:r>
        <w:rPr>
          <w:rFonts w:hint="eastAsia" w:ascii="宋体" w:eastAsia="宋体"/>
        </w:rPr>
        <w:t>具有履行合同所必需的设备和专业技术能力(声明函格式自拟</w:t>
      </w:r>
      <w:r>
        <w:rPr>
          <w:rFonts w:hint="eastAsia" w:ascii="宋体" w:eastAsia="宋体"/>
          <w:spacing w:val="-17"/>
        </w:rPr>
        <w:t xml:space="preserve">) </w:t>
      </w:r>
      <w:r>
        <w:rPr>
          <w:rFonts w:hint="eastAsia" w:ascii="宋体" w:eastAsia="宋体"/>
        </w:rPr>
        <w:t>即具有完成本项目采购能力；</w:t>
      </w:r>
    </w:p>
    <w:p w14:paraId="7A30BC9D">
      <w:pPr>
        <w:pStyle w:val="8"/>
        <w:tabs>
          <w:tab w:val="left" w:pos="2102"/>
        </w:tabs>
        <w:spacing w:line="388" w:lineRule="auto"/>
        <w:ind w:left="482" w:right="561"/>
        <w:rPr>
          <w:rFonts w:hint="eastAsia" w:ascii="宋体" w:eastAsia="宋体"/>
        </w:rPr>
      </w:pPr>
      <w:r>
        <w:rPr>
          <w:rFonts w:hint="eastAsia" w:ascii="宋体" w:eastAsia="宋体"/>
        </w:rPr>
        <w:t>附件</w:t>
      </w:r>
      <w:r>
        <w:rPr>
          <w:rFonts w:hint="eastAsia" w:ascii="宋体" w:eastAsia="宋体"/>
          <w:spacing w:val="-60"/>
        </w:rPr>
        <w:t xml:space="preserve"> </w:t>
      </w:r>
      <w:r>
        <w:rPr>
          <w:rFonts w:hint="eastAsia" w:ascii="宋体" w:eastAsia="宋体"/>
        </w:rPr>
        <w:t>5－1－4</w:t>
      </w:r>
      <w:r>
        <w:rPr>
          <w:rFonts w:hint="eastAsia" w:ascii="宋体" w:eastAsia="宋体"/>
        </w:rPr>
        <w:tab/>
      </w:r>
      <w:r>
        <w:rPr>
          <w:rFonts w:hint="eastAsia" w:ascii="宋体" w:eastAsia="宋体"/>
        </w:rPr>
        <w:t>具有依法缴纳税收和社会保障资金的良好记录(提供相应证明</w:t>
      </w:r>
      <w:r>
        <w:rPr>
          <w:rFonts w:hint="eastAsia" w:ascii="宋体" w:eastAsia="宋体"/>
          <w:spacing w:val="-17"/>
        </w:rPr>
        <w:t>材</w:t>
      </w:r>
      <w:r>
        <w:rPr>
          <w:rFonts w:hint="eastAsia" w:ascii="宋体" w:eastAsia="宋体"/>
        </w:rPr>
        <w:t>料或声明函格式自拟)；</w:t>
      </w:r>
    </w:p>
    <w:p w14:paraId="74EF3542">
      <w:pPr>
        <w:pStyle w:val="8"/>
        <w:tabs>
          <w:tab w:val="left" w:pos="2102"/>
        </w:tabs>
        <w:spacing w:before="3" w:line="388" w:lineRule="auto"/>
        <w:ind w:left="482" w:right="241"/>
        <w:rPr>
          <w:rFonts w:hint="eastAsia" w:ascii="宋体" w:eastAsia="宋体"/>
        </w:rPr>
      </w:pPr>
      <w:r>
        <w:rPr>
          <w:rFonts w:hint="eastAsia" w:ascii="宋体" w:eastAsia="宋体"/>
        </w:rPr>
        <w:t>附件</w:t>
      </w:r>
      <w:r>
        <w:rPr>
          <w:rFonts w:hint="eastAsia" w:ascii="宋体" w:eastAsia="宋体"/>
          <w:spacing w:val="-60"/>
        </w:rPr>
        <w:t xml:space="preserve"> </w:t>
      </w:r>
      <w:r>
        <w:rPr>
          <w:rFonts w:hint="eastAsia" w:ascii="宋体" w:eastAsia="宋体"/>
        </w:rPr>
        <w:t>5－1－5</w:t>
      </w:r>
      <w:r>
        <w:rPr>
          <w:rFonts w:hint="eastAsia" w:ascii="宋体" w:eastAsia="宋体"/>
        </w:rPr>
        <w:tab/>
      </w:r>
      <w:r>
        <w:rPr>
          <w:rFonts w:hint="eastAsia" w:ascii="宋体" w:eastAsia="宋体"/>
        </w:rPr>
        <w:t>单位负责人为同一人或者存在直接控股</w:t>
      </w:r>
      <w:r>
        <w:rPr>
          <w:rFonts w:hint="eastAsia" w:ascii="宋体" w:eastAsia="宋体"/>
          <w:spacing w:val="-39"/>
        </w:rPr>
        <w:t>、</w:t>
      </w:r>
      <w:r>
        <w:rPr>
          <w:rFonts w:hint="eastAsia" w:ascii="宋体" w:eastAsia="宋体"/>
        </w:rPr>
        <w:t>管理关系的不同供应商</w:t>
      </w:r>
      <w:r>
        <w:rPr>
          <w:rFonts w:hint="eastAsia" w:ascii="宋体" w:eastAsia="宋体"/>
          <w:spacing w:val="-18"/>
        </w:rPr>
        <w:t xml:space="preserve">， </w:t>
      </w:r>
      <w:r>
        <w:rPr>
          <w:rFonts w:hint="eastAsia" w:ascii="宋体" w:eastAsia="宋体"/>
        </w:rPr>
        <w:t>不得参加同一合同项下的政府采购活动(提供声明函格式自拟)；</w:t>
      </w:r>
    </w:p>
    <w:p w14:paraId="222A1246">
      <w:pPr>
        <w:spacing w:after="0" w:line="388" w:lineRule="auto"/>
        <w:rPr>
          <w:rFonts w:hint="eastAsia" w:ascii="宋体" w:eastAsia="宋体"/>
        </w:rPr>
        <w:sectPr>
          <w:pgSz w:w="11910" w:h="16840"/>
          <w:pgMar w:top="1540" w:right="1320" w:bottom="1180" w:left="1320" w:header="0" w:footer="989" w:gutter="0"/>
          <w:cols w:space="720" w:num="1"/>
        </w:sectPr>
      </w:pPr>
    </w:p>
    <w:p w14:paraId="4B6C4FE3">
      <w:pPr>
        <w:pStyle w:val="8"/>
        <w:spacing w:before="44"/>
        <w:ind w:left="482"/>
        <w:rPr>
          <w:rFonts w:hint="eastAsia" w:ascii="宋体" w:eastAsia="宋体"/>
        </w:rPr>
      </w:pPr>
      <w:r>
        <w:rPr>
          <w:rFonts w:hint="eastAsia" w:ascii="宋体" w:eastAsia="宋体"/>
        </w:rPr>
        <w:t>附件 5－1－6</w:t>
      </w:r>
    </w:p>
    <w:p w14:paraId="11E10431">
      <w:pPr>
        <w:pStyle w:val="8"/>
        <w:spacing w:before="9"/>
        <w:rPr>
          <w:rFonts w:ascii="宋体"/>
          <w:sz w:val="9"/>
        </w:rPr>
      </w:pPr>
    </w:p>
    <w:p w14:paraId="57ABECBD">
      <w:pPr>
        <w:pStyle w:val="8"/>
        <w:spacing w:before="67" w:line="388" w:lineRule="auto"/>
        <w:ind w:left="3072" w:right="2473" w:hanging="600"/>
        <w:rPr>
          <w:rFonts w:hint="eastAsia" w:ascii="宋体" w:eastAsia="宋体"/>
        </w:rPr>
      </w:pPr>
      <w:r>
        <w:rPr>
          <w:rFonts w:hint="eastAsia" w:ascii="宋体" w:eastAsia="宋体"/>
        </w:rPr>
        <w:t>参加政府采购活动前三年内在经营活动中没有重大违法记录的书面声明</w:t>
      </w:r>
    </w:p>
    <w:p w14:paraId="536F3676">
      <w:pPr>
        <w:pStyle w:val="8"/>
        <w:spacing w:before="4"/>
        <w:ind w:left="482"/>
        <w:rPr>
          <w:rFonts w:hint="eastAsia" w:ascii="宋体" w:eastAsia="宋体"/>
        </w:rPr>
      </w:pPr>
      <w:r>
        <w:rPr>
          <w:rFonts w:hint="eastAsia" w:ascii="宋体" w:eastAsia="宋体"/>
        </w:rPr>
        <w:t>本单位郑重声明：</w:t>
      </w:r>
    </w:p>
    <w:p w14:paraId="277C90CF">
      <w:pPr>
        <w:pStyle w:val="8"/>
        <w:spacing w:before="192" w:line="388" w:lineRule="auto"/>
        <w:ind w:left="482" w:right="481" w:firstLine="480"/>
        <w:rPr>
          <w:rFonts w:hint="eastAsia" w:ascii="宋体" w:eastAsia="宋体"/>
        </w:rPr>
      </w:pPr>
      <w:r>
        <w:rPr>
          <w:rFonts w:hint="eastAsia" w:ascii="宋体" w:eastAsia="宋体"/>
          <w:spacing w:val="-6"/>
        </w:rPr>
        <w:t>我单位在参加采购活动前三年内在经营活动中没有《政府采购法》第二十二</w:t>
      </w:r>
      <w:r>
        <w:rPr>
          <w:rFonts w:hint="eastAsia" w:ascii="宋体" w:eastAsia="宋体"/>
        </w:rPr>
        <w:t>条第一款第(五)项所称重大违法记录，包括：</w:t>
      </w:r>
    </w:p>
    <w:p w14:paraId="010A86BB">
      <w:pPr>
        <w:pStyle w:val="8"/>
        <w:spacing w:before="5" w:line="388" w:lineRule="auto"/>
        <w:ind w:left="482" w:right="481" w:firstLine="480"/>
        <w:jc w:val="both"/>
        <w:rPr>
          <w:rFonts w:hint="eastAsia" w:ascii="宋体" w:eastAsia="宋体"/>
        </w:rPr>
      </w:pPr>
      <w:r>
        <w:rPr>
          <w:rFonts w:hint="eastAsia" w:ascii="宋体" w:eastAsia="宋体"/>
          <w:spacing w:val="-9"/>
        </w:rPr>
        <w:t>我单位或者其法定代表人、董事、监事、高级管理人员未因经营活动中的违</w:t>
      </w:r>
      <w:r>
        <w:rPr>
          <w:rFonts w:hint="eastAsia" w:ascii="宋体" w:eastAsia="宋体"/>
          <w:spacing w:val="-6"/>
        </w:rPr>
        <w:t>法行为受到刑事处罚或者责令停产停业、吊销许可证或者执照、较大数额罚款等</w:t>
      </w:r>
      <w:r>
        <w:rPr>
          <w:rFonts w:hint="eastAsia" w:ascii="宋体" w:eastAsia="宋体"/>
        </w:rPr>
        <w:t>行政处罚。</w:t>
      </w:r>
    </w:p>
    <w:p w14:paraId="5CAFC058">
      <w:pPr>
        <w:pStyle w:val="8"/>
        <w:spacing w:before="5"/>
        <w:ind w:left="962"/>
        <w:rPr>
          <w:rFonts w:hint="eastAsia" w:ascii="宋体" w:eastAsia="宋体"/>
        </w:rPr>
      </w:pPr>
      <w:r>
        <w:rPr>
          <w:rFonts w:hint="eastAsia" w:ascii="宋体" w:eastAsia="宋体"/>
        </w:rPr>
        <w:t>特此声明！</w:t>
      </w:r>
    </w:p>
    <w:p w14:paraId="4BAF3E80">
      <w:pPr>
        <w:pStyle w:val="8"/>
        <w:rPr>
          <w:rFonts w:ascii="宋体"/>
        </w:rPr>
      </w:pPr>
    </w:p>
    <w:p w14:paraId="41C30B6A">
      <w:pPr>
        <w:pStyle w:val="8"/>
        <w:spacing w:before="12"/>
        <w:rPr>
          <w:rFonts w:ascii="宋体"/>
          <w:sz w:val="29"/>
        </w:rPr>
      </w:pPr>
    </w:p>
    <w:p w14:paraId="35AB44CE">
      <w:pPr>
        <w:pStyle w:val="8"/>
        <w:tabs>
          <w:tab w:val="left" w:pos="4142"/>
        </w:tabs>
        <w:ind w:left="482"/>
        <w:rPr>
          <w:rFonts w:ascii="Times New Roman" w:eastAsia="Times New Roman"/>
        </w:rPr>
      </w:pPr>
      <w:r>
        <w:rPr>
          <w:rFonts w:hint="eastAsia" w:ascii="宋体" w:eastAsia="宋体"/>
        </w:rPr>
        <w:t>供应商名称(公章)：</w:t>
      </w:r>
      <w:r>
        <w:rPr>
          <w:rFonts w:ascii="Times New Roman" w:eastAsia="Times New Roman"/>
          <w:u w:val="single"/>
        </w:rPr>
        <w:t xml:space="preserve"> </w:t>
      </w:r>
      <w:r>
        <w:rPr>
          <w:rFonts w:ascii="Times New Roman" w:eastAsia="Times New Roman"/>
          <w:u w:val="single"/>
        </w:rPr>
        <w:tab/>
      </w:r>
    </w:p>
    <w:p w14:paraId="32F5BF74">
      <w:pPr>
        <w:pStyle w:val="8"/>
        <w:spacing w:before="5"/>
        <w:rPr>
          <w:rFonts w:ascii="Times New Roman"/>
          <w:sz w:val="10"/>
        </w:rPr>
      </w:pPr>
    </w:p>
    <w:p w14:paraId="677E84D4">
      <w:pPr>
        <w:pStyle w:val="8"/>
        <w:tabs>
          <w:tab w:val="left" w:pos="6302"/>
        </w:tabs>
        <w:spacing w:before="74"/>
        <w:ind w:left="482"/>
        <w:rPr>
          <w:rFonts w:ascii="Times New Roman" w:eastAsia="Times New Roman"/>
        </w:rPr>
      </w:pPr>
      <w:r>
        <w:rPr>
          <w:rFonts w:hint="eastAsia" w:ascii="宋体" w:eastAsia="宋体"/>
        </w:rPr>
        <w:t>法定代表人及其授权代表(签字或盖章)：</w:t>
      </w:r>
      <w:r>
        <w:rPr>
          <w:rFonts w:ascii="Times New Roman" w:eastAsia="Times New Roman"/>
          <w:u w:val="single"/>
        </w:rPr>
        <w:t xml:space="preserve"> </w:t>
      </w:r>
      <w:r>
        <w:rPr>
          <w:rFonts w:ascii="Times New Roman" w:eastAsia="Times New Roman"/>
          <w:u w:val="single"/>
        </w:rPr>
        <w:tab/>
      </w:r>
    </w:p>
    <w:p w14:paraId="27DD0F9D">
      <w:pPr>
        <w:pStyle w:val="8"/>
        <w:spacing w:before="10"/>
        <w:rPr>
          <w:rFonts w:ascii="Times New Roman"/>
          <w:sz w:val="10"/>
        </w:rPr>
      </w:pPr>
    </w:p>
    <w:p w14:paraId="17D18A06">
      <w:pPr>
        <w:pStyle w:val="8"/>
        <w:tabs>
          <w:tab w:val="left" w:pos="1922"/>
          <w:tab w:val="left" w:pos="2642"/>
          <w:tab w:val="left" w:pos="3362"/>
        </w:tabs>
        <w:spacing w:before="67"/>
        <w:ind w:left="482"/>
        <w:rPr>
          <w:rFonts w:hint="eastAsia" w:ascii="宋体" w:eastAsia="宋体"/>
        </w:rPr>
      </w:pPr>
      <w:r>
        <w:rPr>
          <w:rFonts w:hint="eastAsia" w:ascii="宋体" w:eastAsia="宋体"/>
        </w:rPr>
        <w:t>日期：</w:t>
      </w:r>
      <w:r>
        <w:rPr>
          <w:rFonts w:hint="eastAsia" w:ascii="宋体" w:eastAsia="宋体"/>
          <w:u w:val="single"/>
        </w:rPr>
        <w:t xml:space="preserve"> </w:t>
      </w:r>
      <w:r>
        <w:rPr>
          <w:rFonts w:hint="eastAsia" w:ascii="宋体" w:eastAsia="宋体"/>
          <w:u w:val="single"/>
        </w:rPr>
        <w:tab/>
      </w:r>
      <w:r>
        <w:rPr>
          <w:rFonts w:hint="eastAsia" w:ascii="宋体" w:eastAsia="宋体"/>
        </w:rPr>
        <w:t>年</w:t>
      </w:r>
      <w:r>
        <w:rPr>
          <w:rFonts w:hint="eastAsia" w:ascii="宋体" w:eastAsia="宋体"/>
          <w:u w:val="single"/>
        </w:rPr>
        <w:t xml:space="preserve"> </w:t>
      </w:r>
      <w:r>
        <w:rPr>
          <w:rFonts w:hint="eastAsia" w:ascii="宋体" w:eastAsia="宋体"/>
          <w:u w:val="single"/>
        </w:rPr>
        <w:tab/>
      </w:r>
      <w:r>
        <w:rPr>
          <w:rFonts w:hint="eastAsia" w:ascii="宋体" w:eastAsia="宋体"/>
        </w:rPr>
        <w:t>月</w:t>
      </w:r>
      <w:r>
        <w:rPr>
          <w:rFonts w:hint="eastAsia" w:ascii="宋体" w:eastAsia="宋体"/>
          <w:u w:val="single"/>
        </w:rPr>
        <w:t xml:space="preserve"> </w:t>
      </w:r>
      <w:r>
        <w:rPr>
          <w:rFonts w:hint="eastAsia" w:ascii="宋体" w:eastAsia="宋体"/>
          <w:u w:val="single"/>
        </w:rPr>
        <w:tab/>
      </w:r>
      <w:r>
        <w:rPr>
          <w:rFonts w:hint="eastAsia" w:ascii="宋体" w:eastAsia="宋体"/>
        </w:rPr>
        <w:t>日</w:t>
      </w:r>
    </w:p>
    <w:p w14:paraId="0ED18DA0">
      <w:pPr>
        <w:spacing w:after="0"/>
        <w:rPr>
          <w:rFonts w:hint="eastAsia" w:ascii="宋体" w:eastAsia="宋体"/>
        </w:rPr>
        <w:sectPr>
          <w:pgSz w:w="11910" w:h="16840"/>
          <w:pgMar w:top="1540" w:right="1320" w:bottom="1180" w:left="1320" w:header="0" w:footer="989" w:gutter="0"/>
          <w:cols w:space="720" w:num="1"/>
        </w:sectPr>
      </w:pPr>
    </w:p>
    <w:p w14:paraId="0B582716">
      <w:pPr>
        <w:pStyle w:val="8"/>
        <w:spacing w:before="44"/>
        <w:ind w:left="482"/>
        <w:rPr>
          <w:rFonts w:hint="eastAsia" w:ascii="宋体" w:eastAsia="宋体"/>
        </w:rPr>
      </w:pPr>
      <w:r>
        <w:rPr>
          <w:rFonts w:hint="eastAsia" w:ascii="宋体" w:eastAsia="宋体"/>
        </w:rPr>
        <w:t>附件 5－1－7</w:t>
      </w:r>
    </w:p>
    <w:p w14:paraId="6B9D3A19">
      <w:pPr>
        <w:pStyle w:val="8"/>
        <w:spacing w:before="9"/>
        <w:rPr>
          <w:rFonts w:ascii="宋体"/>
          <w:sz w:val="9"/>
        </w:rPr>
      </w:pPr>
    </w:p>
    <w:p w14:paraId="53455E54">
      <w:pPr>
        <w:pStyle w:val="8"/>
        <w:tabs>
          <w:tab w:val="left" w:pos="2162"/>
        </w:tabs>
        <w:spacing w:before="67" w:line="388" w:lineRule="auto"/>
        <w:ind w:left="482" w:right="3433" w:firstLine="2949"/>
        <w:rPr>
          <w:rFonts w:hint="eastAsia" w:ascii="宋体" w:eastAsia="宋体"/>
        </w:rPr>
      </w:pPr>
      <w:r>
        <w:rPr>
          <w:rFonts w:hint="eastAsia" w:ascii="宋体" w:eastAsia="宋体"/>
        </w:rPr>
        <w:t>无不良信用记录承诺</w:t>
      </w:r>
      <w:r>
        <w:rPr>
          <w:rFonts w:hint="eastAsia" w:ascii="宋体" w:eastAsia="宋体"/>
          <w:spacing w:val="-18"/>
        </w:rPr>
        <w:t>函</w:t>
      </w:r>
      <w:r>
        <w:rPr>
          <w:rFonts w:hint="eastAsia" w:ascii="宋体" w:eastAsia="宋体"/>
        </w:rPr>
        <w:t>致</w:t>
      </w:r>
      <w:r>
        <w:rPr>
          <w:rFonts w:hint="eastAsia" w:ascii="宋体" w:eastAsia="宋体"/>
          <w:u w:val="single"/>
        </w:rPr>
        <w:t xml:space="preserve"> </w:t>
      </w:r>
      <w:r>
        <w:rPr>
          <w:rFonts w:hint="eastAsia" w:ascii="宋体" w:eastAsia="宋体"/>
          <w:u w:val="single"/>
        </w:rPr>
        <w:tab/>
      </w:r>
      <w:r>
        <w:rPr>
          <w:rFonts w:hint="eastAsia" w:ascii="宋体" w:eastAsia="宋体"/>
        </w:rPr>
        <w:t>(采购人或采购代理机构)：</w:t>
      </w:r>
    </w:p>
    <w:p w14:paraId="277A754F">
      <w:pPr>
        <w:pStyle w:val="8"/>
        <w:spacing w:before="4" w:line="388" w:lineRule="auto"/>
        <w:ind w:left="482" w:right="3248"/>
        <w:rPr>
          <w:rFonts w:hint="eastAsia" w:ascii="宋体" w:eastAsia="宋体"/>
        </w:rPr>
      </w:pPr>
      <w:r>
        <w:rPr>
          <w:rFonts w:hint="eastAsia" w:ascii="宋体" w:eastAsia="宋体"/>
        </w:rPr>
        <w:t>本单位郑重承诺，我单位无以下不良信用记录情形： 1.被人民法院列入失信被执行人；</w:t>
      </w:r>
    </w:p>
    <w:p w14:paraId="129A5E96">
      <w:pPr>
        <w:pStyle w:val="14"/>
        <w:numPr>
          <w:ilvl w:val="0"/>
          <w:numId w:val="9"/>
        </w:numPr>
        <w:tabs>
          <w:tab w:val="left" w:pos="724"/>
        </w:tabs>
        <w:spacing w:before="2" w:after="0" w:line="240" w:lineRule="auto"/>
        <w:ind w:left="723" w:right="0" w:hanging="242"/>
        <w:jc w:val="left"/>
        <w:rPr>
          <w:rFonts w:hint="eastAsia" w:ascii="宋体" w:eastAsia="宋体"/>
          <w:sz w:val="22"/>
        </w:rPr>
      </w:pPr>
      <w:r>
        <w:rPr>
          <w:rFonts w:hint="eastAsia" w:ascii="宋体" w:eastAsia="宋体"/>
          <w:sz w:val="24"/>
        </w:rPr>
        <w:t>被税务部门列入重大税收违法失信主体名单；</w:t>
      </w:r>
    </w:p>
    <w:p w14:paraId="2343A2CD">
      <w:pPr>
        <w:pStyle w:val="14"/>
        <w:numPr>
          <w:ilvl w:val="0"/>
          <w:numId w:val="9"/>
        </w:numPr>
        <w:tabs>
          <w:tab w:val="left" w:pos="724"/>
        </w:tabs>
        <w:spacing w:before="195" w:after="0" w:line="240" w:lineRule="auto"/>
        <w:ind w:left="723" w:right="0" w:hanging="242"/>
        <w:jc w:val="left"/>
        <w:rPr>
          <w:rFonts w:hint="eastAsia" w:ascii="宋体" w:eastAsia="宋体"/>
          <w:sz w:val="22"/>
        </w:rPr>
      </w:pPr>
      <w:r>
        <w:rPr>
          <w:rFonts w:hint="eastAsia" w:ascii="宋体" w:eastAsia="宋体"/>
          <w:sz w:val="24"/>
        </w:rPr>
        <w:t>被政府采购监管部门列入政府采购严重违法失信行为记录名单；</w:t>
      </w:r>
    </w:p>
    <w:p w14:paraId="0629DC6E">
      <w:pPr>
        <w:pStyle w:val="14"/>
        <w:numPr>
          <w:ilvl w:val="0"/>
          <w:numId w:val="9"/>
        </w:numPr>
        <w:tabs>
          <w:tab w:val="left" w:pos="724"/>
        </w:tabs>
        <w:spacing w:before="191" w:after="0" w:line="240" w:lineRule="auto"/>
        <w:ind w:left="723" w:right="0" w:hanging="242"/>
        <w:jc w:val="left"/>
        <w:rPr>
          <w:rFonts w:hint="eastAsia" w:ascii="宋体" w:eastAsia="宋体"/>
          <w:sz w:val="22"/>
        </w:rPr>
      </w:pPr>
      <w:r>
        <w:rPr>
          <w:rFonts w:hint="eastAsia" w:ascii="宋体" w:eastAsia="宋体"/>
          <w:sz w:val="24"/>
        </w:rPr>
        <w:t>不符合《政府采购法》第二十二条规定的条件。</w:t>
      </w:r>
    </w:p>
    <w:p w14:paraId="09347FED">
      <w:pPr>
        <w:pStyle w:val="8"/>
        <w:spacing w:before="192" w:line="391" w:lineRule="auto"/>
        <w:ind w:left="482" w:right="481"/>
        <w:rPr>
          <w:rFonts w:hint="eastAsia" w:ascii="宋体" w:eastAsia="宋体"/>
        </w:rPr>
      </w:pPr>
      <w:r>
        <w:rPr>
          <w:rFonts w:hint="eastAsia" w:ascii="宋体" w:eastAsia="宋体"/>
        </w:rPr>
        <w:t>我单位已就上述不良信用行为按照招标文件中供应商须知前附表规定进行了查</w:t>
      </w:r>
      <w:r>
        <w:rPr>
          <w:rFonts w:hint="eastAsia" w:ascii="宋体" w:eastAsia="宋体"/>
          <w:spacing w:val="-12"/>
        </w:rPr>
        <w:t>询。我单位承诺：合同签订前，若我单位具有不良信用记录情形，贵方可取消我</w:t>
      </w:r>
      <w:r>
        <w:rPr>
          <w:rFonts w:hint="eastAsia" w:ascii="宋体" w:eastAsia="宋体"/>
          <w:spacing w:val="-7"/>
        </w:rPr>
        <w:t>单位中标资格或者不授予合同，所有责任由我单位自行承担。同时，我单位愿意</w:t>
      </w:r>
      <w:r>
        <w:rPr>
          <w:rFonts w:hint="eastAsia" w:ascii="宋体" w:eastAsia="宋体"/>
        </w:rPr>
        <w:t>无条件接受监管部门的调查处理。</w:t>
      </w:r>
    </w:p>
    <w:p w14:paraId="68427E34">
      <w:pPr>
        <w:pStyle w:val="8"/>
        <w:rPr>
          <w:rFonts w:ascii="宋体"/>
        </w:rPr>
      </w:pPr>
    </w:p>
    <w:p w14:paraId="0152E598">
      <w:pPr>
        <w:pStyle w:val="8"/>
        <w:tabs>
          <w:tab w:val="left" w:pos="4142"/>
        </w:tabs>
        <w:spacing w:before="188"/>
        <w:ind w:left="482"/>
        <w:rPr>
          <w:rFonts w:ascii="Times New Roman" w:eastAsia="Times New Roman"/>
        </w:rPr>
      </w:pPr>
      <w:r>
        <w:rPr>
          <w:rFonts w:hint="eastAsia" w:ascii="宋体" w:eastAsia="宋体"/>
        </w:rPr>
        <w:t>供应商名称(公章)：</w:t>
      </w:r>
      <w:r>
        <w:rPr>
          <w:rFonts w:ascii="Times New Roman" w:eastAsia="Times New Roman"/>
          <w:u w:val="single"/>
        </w:rPr>
        <w:t xml:space="preserve"> </w:t>
      </w:r>
      <w:r>
        <w:rPr>
          <w:rFonts w:ascii="Times New Roman" w:eastAsia="Times New Roman"/>
          <w:u w:val="single"/>
        </w:rPr>
        <w:tab/>
      </w:r>
    </w:p>
    <w:p w14:paraId="55896543">
      <w:pPr>
        <w:pStyle w:val="8"/>
        <w:spacing w:before="3"/>
        <w:rPr>
          <w:rFonts w:ascii="Times New Roman"/>
          <w:sz w:val="10"/>
        </w:rPr>
      </w:pPr>
    </w:p>
    <w:p w14:paraId="7F52FC22">
      <w:pPr>
        <w:pStyle w:val="8"/>
        <w:tabs>
          <w:tab w:val="left" w:pos="6302"/>
        </w:tabs>
        <w:spacing w:before="74"/>
        <w:ind w:left="482"/>
        <w:rPr>
          <w:rFonts w:ascii="Times New Roman" w:eastAsia="Times New Roman"/>
        </w:rPr>
      </w:pPr>
      <w:r>
        <w:rPr>
          <w:rFonts w:hint="eastAsia" w:ascii="宋体" w:eastAsia="宋体"/>
        </w:rPr>
        <w:t>法定代表人及其授权代表(签字或盖章)：</w:t>
      </w:r>
      <w:r>
        <w:rPr>
          <w:rFonts w:ascii="Times New Roman" w:eastAsia="Times New Roman"/>
          <w:u w:val="single"/>
        </w:rPr>
        <w:t xml:space="preserve"> </w:t>
      </w:r>
      <w:r>
        <w:rPr>
          <w:rFonts w:ascii="Times New Roman" w:eastAsia="Times New Roman"/>
          <w:u w:val="single"/>
        </w:rPr>
        <w:tab/>
      </w:r>
    </w:p>
    <w:p w14:paraId="767DB31D">
      <w:pPr>
        <w:pStyle w:val="8"/>
        <w:spacing w:before="1"/>
        <w:rPr>
          <w:rFonts w:ascii="Times New Roman"/>
          <w:sz w:val="11"/>
        </w:rPr>
      </w:pPr>
    </w:p>
    <w:p w14:paraId="018FC5EE">
      <w:pPr>
        <w:pStyle w:val="8"/>
        <w:tabs>
          <w:tab w:val="left" w:pos="1922"/>
          <w:tab w:val="left" w:pos="2642"/>
          <w:tab w:val="left" w:pos="3362"/>
        </w:tabs>
        <w:spacing w:before="67"/>
        <w:ind w:left="482"/>
        <w:rPr>
          <w:rFonts w:hint="eastAsia" w:ascii="宋体" w:eastAsia="宋体"/>
        </w:rPr>
      </w:pPr>
      <w:r>
        <w:rPr>
          <w:rFonts w:hint="eastAsia" w:ascii="宋体" w:eastAsia="宋体"/>
        </w:rPr>
        <w:t>日期：</w:t>
      </w:r>
      <w:r>
        <w:rPr>
          <w:rFonts w:hint="eastAsia" w:ascii="宋体" w:eastAsia="宋体"/>
          <w:u w:val="single"/>
        </w:rPr>
        <w:t xml:space="preserve"> </w:t>
      </w:r>
      <w:r>
        <w:rPr>
          <w:rFonts w:hint="eastAsia" w:ascii="宋体" w:eastAsia="宋体"/>
          <w:u w:val="single"/>
        </w:rPr>
        <w:tab/>
      </w:r>
      <w:r>
        <w:rPr>
          <w:rFonts w:hint="eastAsia" w:ascii="宋体" w:eastAsia="宋体"/>
        </w:rPr>
        <w:t>年</w:t>
      </w:r>
      <w:r>
        <w:rPr>
          <w:rFonts w:hint="eastAsia" w:ascii="宋体" w:eastAsia="宋体"/>
          <w:u w:val="single"/>
        </w:rPr>
        <w:t xml:space="preserve"> </w:t>
      </w:r>
      <w:r>
        <w:rPr>
          <w:rFonts w:hint="eastAsia" w:ascii="宋体" w:eastAsia="宋体"/>
          <w:u w:val="single"/>
        </w:rPr>
        <w:tab/>
      </w:r>
      <w:r>
        <w:rPr>
          <w:rFonts w:hint="eastAsia" w:ascii="宋体" w:eastAsia="宋体"/>
        </w:rPr>
        <w:t>月</w:t>
      </w:r>
      <w:r>
        <w:rPr>
          <w:rFonts w:hint="eastAsia" w:ascii="宋体" w:eastAsia="宋体"/>
          <w:u w:val="single"/>
        </w:rPr>
        <w:t xml:space="preserve"> </w:t>
      </w:r>
      <w:r>
        <w:rPr>
          <w:rFonts w:hint="eastAsia" w:ascii="宋体" w:eastAsia="宋体"/>
          <w:u w:val="single"/>
        </w:rPr>
        <w:tab/>
      </w:r>
      <w:r>
        <w:rPr>
          <w:rFonts w:hint="eastAsia" w:ascii="宋体" w:eastAsia="宋体"/>
        </w:rPr>
        <w:t>日</w:t>
      </w:r>
    </w:p>
    <w:p w14:paraId="6D9AE291">
      <w:pPr>
        <w:spacing w:after="0"/>
        <w:rPr>
          <w:rFonts w:hint="eastAsia" w:ascii="宋体" w:eastAsia="宋体"/>
        </w:rPr>
        <w:sectPr>
          <w:pgSz w:w="11910" w:h="16840"/>
          <w:pgMar w:top="1540" w:right="1320" w:bottom="1180" w:left="1320" w:header="0" w:footer="989" w:gutter="0"/>
          <w:cols w:space="720" w:num="1"/>
        </w:sectPr>
      </w:pPr>
    </w:p>
    <w:p w14:paraId="75BA9825">
      <w:pPr>
        <w:pStyle w:val="8"/>
        <w:spacing w:before="48"/>
        <w:ind w:left="482"/>
        <w:rPr>
          <w:rFonts w:hint="eastAsia" w:ascii="宋体" w:eastAsia="宋体"/>
        </w:rPr>
      </w:pPr>
      <w:r>
        <w:rPr>
          <w:rFonts w:hint="eastAsia" w:ascii="宋体" w:eastAsia="宋体"/>
        </w:rPr>
        <w:t>附件 5－2－8</w:t>
      </w:r>
    </w:p>
    <w:p w14:paraId="65124E4C">
      <w:pPr>
        <w:pStyle w:val="8"/>
        <w:rPr>
          <w:rFonts w:ascii="宋体"/>
        </w:rPr>
      </w:pPr>
    </w:p>
    <w:p w14:paraId="245C7607">
      <w:pPr>
        <w:pStyle w:val="8"/>
        <w:spacing w:before="176" w:line="391" w:lineRule="auto"/>
        <w:ind w:left="482" w:right="361"/>
        <w:rPr>
          <w:rFonts w:hint="eastAsia" w:ascii="宋体" w:hAnsi="宋体" w:eastAsia="宋体"/>
        </w:rPr>
      </w:pPr>
      <w:r>
        <w:rPr>
          <w:rFonts w:hint="eastAsia" w:ascii="宋体" w:hAnsi="宋体" w:eastAsia="宋体"/>
          <w:spacing w:val="-5"/>
        </w:rPr>
        <w:t>供应商参加政府采购活动前三年内，在经营活动中没有重大违法记录，在“信用</w:t>
      </w:r>
      <w:r>
        <w:rPr>
          <w:rFonts w:hint="eastAsia" w:ascii="宋体" w:hAnsi="宋体" w:eastAsia="宋体"/>
          <w:spacing w:val="-10"/>
        </w:rPr>
        <w:t>中国”网站</w:t>
      </w:r>
      <w:r>
        <w:fldChar w:fldCharType="begin"/>
      </w:r>
      <w:r>
        <w:instrText xml:space="preserve"> HYPERLINK "http://www.creditchina.gov.cn/" \h </w:instrText>
      </w:r>
      <w:r>
        <w:fldChar w:fldCharType="separate"/>
      </w:r>
      <w:r>
        <w:rPr>
          <w:rFonts w:hint="eastAsia" w:ascii="宋体" w:hAnsi="宋体" w:eastAsia="宋体"/>
          <w:spacing w:val="-1"/>
        </w:rPr>
        <w:t>（www.creditchina.gov.cn</w:t>
      </w:r>
      <w:r>
        <w:rPr>
          <w:rFonts w:hint="eastAsia" w:ascii="宋体" w:hAnsi="宋体" w:eastAsia="宋体"/>
          <w:spacing w:val="-1"/>
        </w:rPr>
        <w:fldChar w:fldCharType="end"/>
      </w:r>
      <w:r>
        <w:rPr>
          <w:rFonts w:hint="eastAsia" w:ascii="宋体" w:hAnsi="宋体" w:eastAsia="宋体"/>
          <w:spacing w:val="-1"/>
        </w:rPr>
        <w:t>）</w:t>
      </w:r>
      <w:r>
        <w:rPr>
          <w:rFonts w:hint="eastAsia" w:ascii="宋体" w:hAnsi="宋体" w:eastAsia="宋体"/>
          <w:spacing w:val="-7"/>
        </w:rPr>
        <w:t>、中国政府采购网</w:t>
      </w:r>
      <w:r>
        <w:rPr>
          <w:rFonts w:hint="eastAsia" w:ascii="宋体" w:hAnsi="宋体" w:eastAsia="宋体"/>
        </w:rPr>
        <w:t>（</w:t>
      </w:r>
      <w:r>
        <w:fldChar w:fldCharType="begin"/>
      </w:r>
      <w:r>
        <w:instrText xml:space="preserve"> HYPERLINK "http://www.ccgp.gov.cn/" \h </w:instrText>
      </w:r>
      <w:r>
        <w:fldChar w:fldCharType="separate"/>
      </w:r>
      <w:r>
        <w:rPr>
          <w:rFonts w:hint="eastAsia" w:ascii="宋体" w:hAnsi="宋体" w:eastAsia="宋体"/>
        </w:rPr>
        <w:t>www.ccgp.gov.cn</w:t>
      </w:r>
      <w:r>
        <w:rPr>
          <w:rFonts w:hint="eastAsia" w:ascii="宋体" w:hAnsi="宋体" w:eastAsia="宋体"/>
        </w:rPr>
        <w:fldChar w:fldCharType="end"/>
      </w:r>
      <w:r>
        <w:rPr>
          <w:rFonts w:hint="eastAsia" w:ascii="宋体" w:hAnsi="宋体" w:eastAsia="宋体"/>
        </w:rPr>
        <w:t xml:space="preserve">） </w:t>
      </w:r>
      <w:r>
        <w:rPr>
          <w:rFonts w:hint="eastAsia" w:ascii="宋体" w:hAnsi="宋体" w:eastAsia="宋体"/>
          <w:spacing w:val="-7"/>
        </w:rPr>
        <w:t>没有被列入失信被执行人、重大税收违法失信主体名单、政府采购严重违法失信</w:t>
      </w:r>
      <w:r>
        <w:rPr>
          <w:rFonts w:hint="eastAsia" w:ascii="宋体" w:hAnsi="宋体" w:eastAsia="宋体"/>
          <w:spacing w:val="-13"/>
        </w:rPr>
        <w:t>行为记录名单及其他不符合规定条件。</w:t>
      </w:r>
      <w:r>
        <w:rPr>
          <w:rFonts w:hint="eastAsia" w:ascii="宋体" w:hAnsi="宋体" w:eastAsia="宋体"/>
        </w:rPr>
        <w:t>（提供查询结果网页截图并加盖供应商公章）。</w:t>
      </w:r>
    </w:p>
    <w:p w14:paraId="693755CA">
      <w:pPr>
        <w:spacing w:after="0" w:line="391" w:lineRule="auto"/>
        <w:rPr>
          <w:rFonts w:hint="eastAsia" w:ascii="宋体" w:hAnsi="宋体" w:eastAsia="宋体"/>
        </w:rPr>
        <w:sectPr>
          <w:pgSz w:w="11910" w:h="16840"/>
          <w:pgMar w:top="1380" w:right="1320" w:bottom="1180" w:left="1320" w:header="0" w:footer="989" w:gutter="0"/>
          <w:cols w:space="720" w:num="1"/>
        </w:sectPr>
      </w:pPr>
    </w:p>
    <w:p w14:paraId="442B55D7">
      <w:pPr>
        <w:pStyle w:val="8"/>
        <w:spacing w:before="44" w:line="388" w:lineRule="auto"/>
        <w:ind w:left="482" w:right="4701"/>
        <w:rPr>
          <w:rFonts w:hint="eastAsia" w:ascii="宋体" w:eastAsia="宋体"/>
        </w:rPr>
      </w:pPr>
      <w:r>
        <w:rPr>
          <w:rFonts w:hint="eastAsia" w:ascii="宋体" w:eastAsia="宋体"/>
        </w:rPr>
        <w:t>六、提供符合政府采购政策的证明材料附件 6－1 中小企业声明函</w:t>
      </w:r>
    </w:p>
    <w:p w14:paraId="3BE996EC">
      <w:pPr>
        <w:pStyle w:val="8"/>
        <w:spacing w:before="2"/>
        <w:ind w:left="3312"/>
        <w:rPr>
          <w:rFonts w:hint="eastAsia" w:ascii="宋体" w:eastAsia="宋体"/>
        </w:rPr>
      </w:pPr>
      <w:r>
        <w:rPr>
          <w:rFonts w:hint="eastAsia" w:ascii="宋体" w:eastAsia="宋体"/>
        </w:rPr>
        <w:t>中小企业声明函（货物）</w:t>
      </w:r>
    </w:p>
    <w:p w14:paraId="0AD545CC">
      <w:pPr>
        <w:pStyle w:val="8"/>
        <w:spacing w:before="177"/>
        <w:ind w:left="962"/>
        <w:rPr>
          <w:rFonts w:hint="eastAsia" w:ascii="宋体" w:eastAsia="宋体"/>
        </w:rPr>
      </w:pPr>
      <w:r>
        <w:rPr>
          <w:rFonts w:hint="eastAsia" w:ascii="宋体" w:eastAsia="宋体"/>
        </w:rPr>
        <w:t>本公司郑重声明，根据《政府采购促进中小企业发展管理办法》（财库</w:t>
      </w:r>
    </w:p>
    <w:p w14:paraId="58D626AC">
      <w:pPr>
        <w:pStyle w:val="8"/>
        <w:spacing w:before="172" w:line="374" w:lineRule="auto"/>
        <w:ind w:left="482" w:right="481"/>
        <w:rPr>
          <w:rFonts w:hint="eastAsia" w:ascii="宋体" w:eastAsia="宋体"/>
        </w:rPr>
      </w:pPr>
      <w:r>
        <w:rPr>
          <w:rFonts w:hint="eastAsia" w:ascii="宋体" w:eastAsia="宋体"/>
        </w:rPr>
        <w:t>﹝2020﹞ 46</w:t>
      </w:r>
      <w:r>
        <w:rPr>
          <w:rFonts w:hint="eastAsia" w:ascii="宋体" w:eastAsia="宋体"/>
          <w:spacing w:val="-30"/>
        </w:rPr>
        <w:t xml:space="preserve"> 号</w:t>
      </w:r>
      <w:r>
        <w:rPr>
          <w:rFonts w:hint="eastAsia" w:ascii="宋体" w:eastAsia="宋体"/>
        </w:rPr>
        <w:t>）的规定， 本公司参加</w:t>
      </w:r>
      <w:r>
        <w:rPr>
          <w:rFonts w:hint="eastAsia" w:ascii="宋体" w:eastAsia="宋体"/>
          <w:u w:val="single"/>
        </w:rPr>
        <w:t>（单位名称）</w:t>
      </w:r>
      <w:r>
        <w:rPr>
          <w:rFonts w:hint="eastAsia" w:ascii="宋体" w:eastAsia="宋体"/>
        </w:rPr>
        <w:t>的</w:t>
      </w:r>
      <w:r>
        <w:rPr>
          <w:rFonts w:hint="eastAsia" w:ascii="宋体" w:eastAsia="宋体"/>
          <w:u w:val="single"/>
          <w:lang w:val="en-US" w:eastAsia="zh-CN"/>
        </w:rPr>
        <w:t xml:space="preserve">  </w:t>
      </w:r>
      <w:r>
        <w:rPr>
          <w:rFonts w:hint="eastAsia" w:ascii="宋体" w:eastAsia="宋体"/>
          <w:spacing w:val="-3"/>
          <w:u w:val="single"/>
          <w:lang w:val="en-US" w:eastAsia="zh-CN"/>
        </w:rPr>
        <w:t>（项目名称）</w:t>
      </w:r>
      <w:r>
        <w:rPr>
          <w:rFonts w:hint="eastAsia" w:ascii="宋体" w:eastAsia="宋体"/>
        </w:rPr>
        <w:t>采</w:t>
      </w:r>
      <w:r>
        <w:rPr>
          <w:rFonts w:hint="eastAsia" w:ascii="宋体" w:eastAsia="宋体"/>
          <w:spacing w:val="-11"/>
        </w:rPr>
        <w:t>购活动， 提供的货物全部由符合政策要求的中小企业制造。 相关企业的具体情</w:t>
      </w:r>
      <w:r>
        <w:rPr>
          <w:rFonts w:hint="eastAsia" w:ascii="宋体" w:eastAsia="宋体"/>
        </w:rPr>
        <w:t>况如下：</w:t>
      </w:r>
    </w:p>
    <w:p w14:paraId="76D90908">
      <w:pPr>
        <w:pStyle w:val="8"/>
        <w:tabs>
          <w:tab w:val="left" w:pos="4202"/>
        </w:tabs>
        <w:spacing w:before="1" w:line="374" w:lineRule="auto"/>
        <w:ind w:left="482" w:right="420" w:firstLine="480"/>
        <w:jc w:val="both"/>
        <w:rPr>
          <w:rFonts w:hint="eastAsia" w:ascii="宋体" w:eastAsia="宋体"/>
        </w:rPr>
      </w:pPr>
      <w:r>
        <w:rPr>
          <w:rFonts w:hint="eastAsia" w:ascii="宋体" w:eastAsia="宋体"/>
        </w:rPr>
        <w:t>1.</w:t>
      </w:r>
      <w:r>
        <w:rPr>
          <w:rFonts w:hint="eastAsia" w:ascii="宋体" w:eastAsia="宋体"/>
          <w:spacing w:val="-15"/>
        </w:rPr>
        <w:t xml:space="preserve"> </w:t>
      </w:r>
      <w:r>
        <w:rPr>
          <w:rFonts w:hint="eastAsia" w:ascii="宋体" w:eastAsia="宋体"/>
          <w:spacing w:val="-3"/>
          <w:u w:val="single"/>
          <w:lang w:val="en-US" w:eastAsia="zh-CN"/>
        </w:rPr>
        <w:t>标的名称</w:t>
      </w:r>
      <w:r>
        <w:rPr>
          <w:rFonts w:hint="eastAsia" w:ascii="宋体" w:eastAsia="宋体"/>
          <w:spacing w:val="-17"/>
        </w:rPr>
        <w:t>，</w:t>
      </w:r>
      <w:r>
        <w:rPr>
          <w:rFonts w:hint="eastAsia" w:ascii="宋体" w:eastAsia="宋体"/>
        </w:rPr>
        <w:t>属</w:t>
      </w:r>
      <w:r>
        <w:rPr>
          <w:rFonts w:hint="eastAsia" w:ascii="宋体" w:eastAsia="宋体"/>
          <w:spacing w:val="-15"/>
        </w:rPr>
        <w:t>于</w:t>
      </w:r>
      <w:r>
        <w:rPr>
          <w:rFonts w:hint="eastAsia" w:ascii="宋体" w:eastAsia="宋体"/>
          <w:spacing w:val="-3"/>
          <w:u w:val="single"/>
        </w:rPr>
        <w:t>（</w:t>
      </w:r>
      <w:r>
        <w:rPr>
          <w:rFonts w:hint="eastAsia" w:ascii="宋体" w:eastAsia="宋体"/>
          <w:u w:val="single"/>
        </w:rPr>
        <w:t>采购文件中明确的所属行业</w:t>
      </w:r>
      <w:r>
        <w:rPr>
          <w:rFonts w:hint="eastAsia" w:ascii="宋体" w:eastAsia="宋体"/>
          <w:spacing w:val="-17"/>
          <w:u w:val="single"/>
        </w:rPr>
        <w:t>）</w:t>
      </w:r>
      <w:r>
        <w:rPr>
          <w:rFonts w:hint="eastAsia" w:ascii="宋体" w:eastAsia="宋体"/>
          <w:u w:val="single"/>
        </w:rPr>
        <w:t>行业</w:t>
      </w:r>
      <w:r>
        <w:rPr>
          <w:rFonts w:hint="eastAsia" w:ascii="宋体" w:eastAsia="宋体"/>
          <w:spacing w:val="-15"/>
        </w:rPr>
        <w:t>；</w:t>
      </w:r>
      <w:r>
        <w:rPr>
          <w:rFonts w:hint="eastAsia" w:ascii="宋体" w:eastAsia="宋体"/>
        </w:rPr>
        <w:t>制造商为</w:t>
      </w:r>
      <w:r>
        <w:rPr>
          <w:rFonts w:hint="eastAsia" w:ascii="宋体" w:eastAsia="宋体"/>
          <w:u w:val="single"/>
        </w:rPr>
        <w:t>（企业名称）</w:t>
      </w:r>
      <w:r>
        <w:rPr>
          <w:rFonts w:hint="eastAsia" w:ascii="宋体" w:eastAsia="宋体"/>
        </w:rPr>
        <w:t>，</w:t>
      </w:r>
      <w:r>
        <w:rPr>
          <w:rFonts w:hint="eastAsia" w:ascii="宋体" w:eastAsia="宋体"/>
          <w:spacing w:val="-1"/>
        </w:rPr>
        <w:t xml:space="preserve"> </w:t>
      </w:r>
      <w:r>
        <w:rPr>
          <w:rFonts w:hint="eastAsia" w:ascii="宋体" w:eastAsia="宋体"/>
        </w:rPr>
        <w:t>从业人员</w:t>
      </w:r>
      <w:r>
        <w:rPr>
          <w:rFonts w:hint="eastAsia" w:ascii="宋体" w:eastAsia="宋体"/>
          <w:u w:val="single"/>
        </w:rPr>
        <w:t xml:space="preserve"> </w:t>
      </w:r>
      <w:r>
        <w:rPr>
          <w:rFonts w:hint="eastAsia" w:ascii="宋体" w:eastAsia="宋体"/>
          <w:u w:val="single"/>
        </w:rPr>
        <w:tab/>
      </w:r>
      <w:r>
        <w:rPr>
          <w:rFonts w:hint="eastAsia" w:ascii="宋体" w:eastAsia="宋体"/>
        </w:rPr>
        <w:t>人， 营业收入为</w:t>
      </w:r>
      <w:r>
        <w:rPr>
          <w:rFonts w:hint="eastAsia" w:ascii="宋体" w:eastAsia="宋体"/>
          <w:u w:val="single"/>
        </w:rPr>
        <w:t xml:space="preserve">   </w:t>
      </w:r>
      <w:r>
        <w:rPr>
          <w:rFonts w:hint="eastAsia" w:ascii="宋体" w:eastAsia="宋体"/>
          <w:spacing w:val="119"/>
        </w:rPr>
        <w:t xml:space="preserve"> </w:t>
      </w:r>
      <w:r>
        <w:rPr>
          <w:rFonts w:hint="eastAsia" w:ascii="宋体" w:eastAsia="宋体"/>
        </w:rPr>
        <w:t>万元，</w:t>
      </w:r>
      <w:r>
        <w:rPr>
          <w:rFonts w:hint="eastAsia" w:ascii="宋体" w:eastAsia="宋体"/>
          <w:spacing w:val="-1"/>
        </w:rPr>
        <w:t xml:space="preserve"> </w:t>
      </w:r>
      <w:r>
        <w:rPr>
          <w:rFonts w:hint="eastAsia" w:ascii="宋体" w:eastAsia="宋体"/>
        </w:rPr>
        <w:t>资产总额为万元，属于（</w:t>
      </w:r>
      <w:r>
        <w:rPr>
          <w:rFonts w:hint="eastAsia" w:ascii="宋体" w:eastAsia="宋体"/>
          <w:u w:val="single"/>
        </w:rPr>
        <w:t>中型企业、 小型企业、 微型企业</w:t>
      </w:r>
      <w:r>
        <w:rPr>
          <w:rFonts w:hint="eastAsia" w:ascii="宋体" w:eastAsia="宋体"/>
        </w:rPr>
        <w:t>）；</w:t>
      </w:r>
    </w:p>
    <w:p w14:paraId="11A65B74">
      <w:pPr>
        <w:pStyle w:val="8"/>
        <w:spacing w:before="1"/>
        <w:ind w:left="962"/>
        <w:rPr>
          <w:rFonts w:ascii="宋体" w:hAnsi="宋体"/>
        </w:rPr>
      </w:pPr>
      <w:r>
        <w:rPr>
          <w:rFonts w:ascii="宋体" w:hAnsi="宋体"/>
        </w:rPr>
        <w:t>……</w:t>
      </w:r>
    </w:p>
    <w:p w14:paraId="79D5707F">
      <w:pPr>
        <w:pStyle w:val="8"/>
        <w:spacing w:before="173" w:line="374" w:lineRule="auto"/>
        <w:ind w:left="482" w:right="481" w:firstLine="480"/>
        <w:rPr>
          <w:rFonts w:hint="eastAsia" w:ascii="宋体" w:eastAsia="宋体"/>
        </w:rPr>
      </w:pPr>
      <w:r>
        <w:rPr>
          <w:rFonts w:hint="eastAsia" w:ascii="宋体" w:eastAsia="宋体"/>
          <w:spacing w:val="-12"/>
        </w:rPr>
        <w:t>以上企业，不属于大企业的分支机构，不存在控股股东为大企业的情形，也</w:t>
      </w:r>
      <w:r>
        <w:rPr>
          <w:rFonts w:hint="eastAsia" w:ascii="宋体" w:eastAsia="宋体"/>
        </w:rPr>
        <w:t>不存在与大企业的负责人为同一人的情形。</w:t>
      </w:r>
    </w:p>
    <w:p w14:paraId="5999F90E">
      <w:pPr>
        <w:pStyle w:val="8"/>
        <w:ind w:left="962"/>
        <w:rPr>
          <w:rFonts w:hint="eastAsia" w:ascii="宋体" w:eastAsia="宋体"/>
        </w:rPr>
      </w:pPr>
      <w:r>
        <w:rPr>
          <w:rFonts w:hint="eastAsia" w:ascii="宋体" w:eastAsia="宋体"/>
        </w:rPr>
        <w:t>本企业对上述声明内容的真实性负责。如有虚假，将依法承担相应责任。</w:t>
      </w:r>
    </w:p>
    <w:p w14:paraId="2D3EDA8D">
      <w:pPr>
        <w:pStyle w:val="8"/>
        <w:rPr>
          <w:rFonts w:ascii="宋体"/>
        </w:rPr>
      </w:pPr>
    </w:p>
    <w:p w14:paraId="427D3DB2">
      <w:pPr>
        <w:pStyle w:val="8"/>
        <w:spacing w:before="12"/>
        <w:rPr>
          <w:rFonts w:ascii="宋体"/>
          <w:sz w:val="26"/>
        </w:rPr>
      </w:pPr>
    </w:p>
    <w:p w14:paraId="2541B0BD">
      <w:pPr>
        <w:pStyle w:val="8"/>
        <w:tabs>
          <w:tab w:val="left" w:pos="5522"/>
          <w:tab w:val="left" w:pos="6122"/>
          <w:tab w:val="left" w:pos="6722"/>
        </w:tabs>
        <w:spacing w:line="374" w:lineRule="auto"/>
        <w:ind w:left="3962" w:right="2301" w:firstLine="789"/>
        <w:rPr>
          <w:rFonts w:hint="eastAsia" w:ascii="宋体" w:eastAsia="宋体"/>
        </w:rPr>
      </w:pPr>
      <w:r>
        <w:rPr>
          <w:rFonts w:hint="eastAsia" w:ascii="宋体" w:eastAsia="宋体"/>
        </w:rPr>
        <w:t>供应商名称(公章)： 投标日期：</w:t>
      </w:r>
      <w:r>
        <w:rPr>
          <w:rFonts w:hint="eastAsia" w:ascii="宋体" w:eastAsia="宋体"/>
        </w:rPr>
        <w:tab/>
      </w:r>
      <w:r>
        <w:rPr>
          <w:rFonts w:hint="eastAsia" w:ascii="宋体" w:eastAsia="宋体"/>
        </w:rPr>
        <w:t>年</w:t>
      </w:r>
      <w:r>
        <w:rPr>
          <w:rFonts w:hint="eastAsia" w:ascii="宋体" w:eastAsia="宋体"/>
        </w:rPr>
        <w:tab/>
      </w:r>
      <w:r>
        <w:rPr>
          <w:rFonts w:hint="eastAsia" w:ascii="宋体" w:eastAsia="宋体"/>
        </w:rPr>
        <w:t>月</w:t>
      </w:r>
      <w:r>
        <w:rPr>
          <w:rFonts w:hint="eastAsia" w:ascii="宋体" w:eastAsia="宋体"/>
        </w:rPr>
        <w:tab/>
      </w:r>
      <w:r>
        <w:rPr>
          <w:rFonts w:hint="eastAsia" w:ascii="宋体" w:eastAsia="宋体"/>
          <w:spacing w:val="-17"/>
        </w:rPr>
        <w:t>日</w:t>
      </w:r>
    </w:p>
    <w:p w14:paraId="6123EBDF">
      <w:pPr>
        <w:pStyle w:val="8"/>
        <w:rPr>
          <w:rFonts w:ascii="宋体"/>
        </w:rPr>
      </w:pPr>
    </w:p>
    <w:p w14:paraId="58F3A53E">
      <w:pPr>
        <w:pStyle w:val="8"/>
        <w:spacing w:before="173" w:line="374" w:lineRule="auto"/>
        <w:ind w:left="482" w:right="481" w:firstLine="480"/>
        <w:rPr>
          <w:rFonts w:hint="eastAsia" w:ascii="宋体" w:eastAsia="宋体"/>
        </w:rPr>
      </w:pPr>
      <w:r>
        <w:rPr>
          <w:rFonts w:hint="eastAsia" w:ascii="宋体" w:eastAsia="宋体"/>
          <w:spacing w:val="-11"/>
        </w:rPr>
        <w:t>从业人员、 营业收入、 资产总额填报上一年度数据，无上一年度数据的新</w:t>
      </w:r>
      <w:r>
        <w:rPr>
          <w:rFonts w:hint="eastAsia" w:ascii="宋体" w:eastAsia="宋体"/>
        </w:rPr>
        <w:t>成立企业可不填报。</w:t>
      </w:r>
    </w:p>
    <w:p w14:paraId="3C299BA3">
      <w:pPr>
        <w:spacing w:after="0" w:line="374" w:lineRule="auto"/>
        <w:rPr>
          <w:rFonts w:hint="eastAsia" w:ascii="宋体" w:eastAsia="宋体"/>
        </w:rPr>
        <w:sectPr>
          <w:pgSz w:w="11910" w:h="16840"/>
          <w:pgMar w:top="1540" w:right="1320" w:bottom="1180" w:left="1320" w:header="0" w:footer="989" w:gutter="0"/>
          <w:cols w:space="720" w:num="1"/>
        </w:sectPr>
      </w:pPr>
    </w:p>
    <w:p w14:paraId="6BD2F36C">
      <w:pPr>
        <w:pStyle w:val="8"/>
        <w:spacing w:before="44"/>
        <w:ind w:left="482"/>
        <w:rPr>
          <w:rFonts w:hint="eastAsia" w:ascii="宋体" w:eastAsia="宋体"/>
        </w:rPr>
      </w:pPr>
      <w:r>
        <w:rPr>
          <w:rFonts w:hint="eastAsia" w:ascii="宋体" w:eastAsia="宋体"/>
        </w:rPr>
        <w:t>附件 6-2 监狱企业声明函</w:t>
      </w:r>
    </w:p>
    <w:p w14:paraId="6E2AE893">
      <w:pPr>
        <w:pStyle w:val="8"/>
        <w:spacing w:before="9"/>
        <w:rPr>
          <w:rFonts w:ascii="宋体"/>
          <w:sz w:val="9"/>
        </w:rPr>
      </w:pPr>
    </w:p>
    <w:p w14:paraId="75401153">
      <w:pPr>
        <w:pStyle w:val="8"/>
        <w:spacing w:before="67"/>
        <w:ind w:left="2686" w:right="2687"/>
        <w:jc w:val="center"/>
        <w:rPr>
          <w:rFonts w:hint="eastAsia" w:ascii="宋体" w:eastAsia="宋体"/>
        </w:rPr>
      </w:pPr>
      <w:r>
        <w:rPr>
          <w:rFonts w:hint="eastAsia" w:ascii="宋体" w:eastAsia="宋体"/>
        </w:rPr>
        <w:t>（监狱企业适用）</w:t>
      </w:r>
    </w:p>
    <w:p w14:paraId="1C525E9C">
      <w:pPr>
        <w:pStyle w:val="8"/>
        <w:spacing w:before="192"/>
        <w:ind w:left="962"/>
        <w:rPr>
          <w:rFonts w:hint="eastAsia" w:ascii="宋体" w:eastAsia="宋体"/>
        </w:rPr>
      </w:pPr>
      <w:r>
        <w:rPr>
          <w:rFonts w:hint="eastAsia" w:ascii="宋体" w:eastAsia="宋体"/>
        </w:rPr>
        <w:t>本公司郑重声明，根据《关于政府采购支持监狱企业发展有关问题的通知》</w:t>
      </w:r>
    </w:p>
    <w:p w14:paraId="6576D976">
      <w:pPr>
        <w:pStyle w:val="8"/>
        <w:spacing w:before="194"/>
        <w:ind w:left="482"/>
        <w:rPr>
          <w:rFonts w:hint="eastAsia" w:ascii="宋体" w:eastAsia="宋体"/>
        </w:rPr>
      </w:pPr>
      <w:r>
        <w:rPr>
          <w:rFonts w:hint="eastAsia" w:ascii="宋体" w:eastAsia="宋体"/>
        </w:rPr>
        <w:t>（财库[2014]68 号）的规定，本公司为监狱企业。</w:t>
      </w:r>
    </w:p>
    <w:p w14:paraId="123D86BD">
      <w:pPr>
        <w:pStyle w:val="8"/>
        <w:tabs>
          <w:tab w:val="left" w:pos="2882"/>
          <w:tab w:val="left" w:pos="4322"/>
        </w:tabs>
        <w:spacing w:before="191" w:line="388" w:lineRule="auto"/>
        <w:ind w:left="482" w:right="481" w:firstLine="480"/>
        <w:rPr>
          <w:rFonts w:hint="eastAsia" w:ascii="宋体" w:eastAsia="宋体"/>
        </w:rPr>
      </w:pPr>
      <w:r>
        <w:rPr>
          <w:rFonts w:hint="eastAsia" w:ascii="宋体" w:eastAsia="宋体"/>
        </w:rPr>
        <w:t>本公司参加</w:t>
      </w:r>
      <w:r>
        <w:rPr>
          <w:rFonts w:hint="eastAsia" w:ascii="宋体" w:eastAsia="宋体"/>
          <w:u w:val="single"/>
        </w:rPr>
        <w:t xml:space="preserve"> </w:t>
      </w:r>
      <w:r>
        <w:rPr>
          <w:rFonts w:hint="eastAsia" w:ascii="宋体" w:eastAsia="宋体"/>
          <w:u w:val="single"/>
        </w:rPr>
        <w:tab/>
      </w:r>
      <w:r>
        <w:rPr>
          <w:rFonts w:hint="eastAsia" w:ascii="宋体" w:eastAsia="宋体"/>
        </w:rPr>
        <w:t>单位的</w:t>
      </w:r>
      <w:r>
        <w:rPr>
          <w:rFonts w:hint="eastAsia" w:ascii="宋体" w:eastAsia="宋体"/>
          <w:u w:val="single"/>
        </w:rPr>
        <w:t xml:space="preserve"> </w:t>
      </w:r>
      <w:r>
        <w:rPr>
          <w:rFonts w:hint="eastAsia" w:ascii="宋体" w:eastAsia="宋体"/>
          <w:u w:val="single"/>
        </w:rPr>
        <w:tab/>
      </w:r>
      <w:r>
        <w:rPr>
          <w:rFonts w:hint="eastAsia" w:ascii="宋体" w:eastAsia="宋体"/>
        </w:rPr>
        <w:t>项目采购活动</w:t>
      </w:r>
      <w:r>
        <w:rPr>
          <w:rFonts w:hint="eastAsia" w:ascii="宋体" w:eastAsia="宋体"/>
          <w:spacing w:val="-51"/>
        </w:rPr>
        <w:t>，</w:t>
      </w:r>
      <w:r>
        <w:rPr>
          <w:rFonts w:hint="eastAsia" w:ascii="宋体" w:eastAsia="宋体"/>
        </w:rPr>
        <w:t>采购活动提供本企</w:t>
      </w:r>
      <w:r>
        <w:rPr>
          <w:rFonts w:hint="eastAsia" w:ascii="宋体" w:eastAsia="宋体"/>
          <w:spacing w:val="-48"/>
        </w:rPr>
        <w:t>业</w:t>
      </w:r>
      <w:r>
        <w:rPr>
          <w:rFonts w:hint="eastAsia" w:ascii="宋体" w:eastAsia="宋体"/>
        </w:rPr>
        <w:t>（填</w:t>
      </w:r>
      <w:r>
        <w:rPr>
          <w:rFonts w:hint="eastAsia" w:ascii="宋体" w:eastAsia="宋体"/>
          <w:spacing w:val="-18"/>
        </w:rPr>
        <w:t>写</w:t>
      </w:r>
      <w:r>
        <w:rPr>
          <w:rFonts w:hint="eastAsia" w:ascii="宋体" w:eastAsia="宋体"/>
        </w:rPr>
        <w:t>制造的货物，由本企业承担工程、提供服务）。</w:t>
      </w:r>
    </w:p>
    <w:p w14:paraId="7BB06A22">
      <w:pPr>
        <w:pStyle w:val="8"/>
        <w:spacing w:before="5"/>
        <w:ind w:left="482"/>
        <w:rPr>
          <w:rFonts w:hint="eastAsia" w:ascii="宋体" w:eastAsia="宋体"/>
        </w:rPr>
      </w:pPr>
      <w:r>
        <w:rPr>
          <w:rFonts w:hint="eastAsia" w:ascii="宋体" w:eastAsia="宋体"/>
        </w:rPr>
        <w:t>本条所称货物不包括使用大型企业注册商标的货物和服务。</w:t>
      </w:r>
    </w:p>
    <w:p w14:paraId="3B9AED54">
      <w:pPr>
        <w:pStyle w:val="8"/>
        <w:spacing w:before="192"/>
        <w:ind w:left="482"/>
        <w:rPr>
          <w:rFonts w:hint="eastAsia" w:ascii="宋体" w:eastAsia="宋体"/>
        </w:rPr>
      </w:pPr>
      <w:r>
        <w:rPr>
          <w:rFonts w:hint="eastAsia" w:ascii="宋体" w:eastAsia="宋体"/>
        </w:rPr>
        <w:t>本公司对上述声明的真实性负责。如有虚假，将依法承担相应责任。</w:t>
      </w:r>
    </w:p>
    <w:p w14:paraId="70B53CDC">
      <w:pPr>
        <w:pStyle w:val="8"/>
        <w:tabs>
          <w:tab w:val="left" w:pos="5882"/>
          <w:tab w:val="left" w:pos="6482"/>
          <w:tab w:val="left" w:pos="7082"/>
        </w:tabs>
        <w:spacing w:before="191" w:line="391" w:lineRule="auto"/>
        <w:ind w:left="4322" w:right="1941" w:firstLine="480"/>
        <w:rPr>
          <w:rFonts w:hint="eastAsia" w:ascii="宋体" w:eastAsia="宋体"/>
        </w:rPr>
      </w:pPr>
      <w:r>
        <w:rPr>
          <w:rFonts w:hint="eastAsia" w:ascii="宋体" w:eastAsia="宋体"/>
        </w:rPr>
        <w:t>供应商名称（公章）： 投标日期：</w:t>
      </w:r>
      <w:r>
        <w:rPr>
          <w:rFonts w:hint="eastAsia" w:ascii="宋体" w:eastAsia="宋体"/>
        </w:rPr>
        <w:tab/>
      </w:r>
      <w:r>
        <w:rPr>
          <w:rFonts w:hint="eastAsia" w:ascii="宋体" w:eastAsia="宋体"/>
        </w:rPr>
        <w:t>年</w:t>
      </w:r>
      <w:r>
        <w:rPr>
          <w:rFonts w:hint="eastAsia" w:ascii="宋体" w:eastAsia="宋体"/>
        </w:rPr>
        <w:tab/>
      </w:r>
      <w:r>
        <w:rPr>
          <w:rFonts w:hint="eastAsia" w:ascii="宋体" w:eastAsia="宋体"/>
        </w:rPr>
        <w:t>月</w:t>
      </w:r>
      <w:r>
        <w:rPr>
          <w:rFonts w:hint="eastAsia" w:ascii="宋体" w:eastAsia="宋体"/>
        </w:rPr>
        <w:tab/>
      </w:r>
      <w:r>
        <w:rPr>
          <w:rFonts w:hint="eastAsia" w:ascii="宋体" w:eastAsia="宋体"/>
          <w:spacing w:val="-17"/>
        </w:rPr>
        <w:t>日</w:t>
      </w:r>
    </w:p>
    <w:p w14:paraId="2663C89B">
      <w:pPr>
        <w:pStyle w:val="8"/>
        <w:spacing w:line="306" w:lineRule="exact"/>
        <w:ind w:left="482"/>
        <w:rPr>
          <w:rFonts w:hint="eastAsia" w:ascii="宋体" w:eastAsia="宋体"/>
        </w:rPr>
      </w:pPr>
      <w:r>
        <w:rPr>
          <w:rFonts w:hint="eastAsia" w:ascii="宋体" w:eastAsia="宋体"/>
        </w:rPr>
        <w:t>注：后附监狱企业资格证明文件</w:t>
      </w:r>
    </w:p>
    <w:p w14:paraId="53DEC1F1">
      <w:pPr>
        <w:pStyle w:val="14"/>
        <w:numPr>
          <w:ilvl w:val="0"/>
          <w:numId w:val="53"/>
        </w:numPr>
        <w:tabs>
          <w:tab w:val="left" w:pos="724"/>
        </w:tabs>
        <w:spacing w:before="192" w:after="0" w:line="240" w:lineRule="auto"/>
        <w:ind w:left="723" w:right="0" w:hanging="242"/>
        <w:jc w:val="left"/>
        <w:rPr>
          <w:rFonts w:hint="eastAsia" w:ascii="宋体" w:eastAsia="宋体"/>
          <w:sz w:val="24"/>
        </w:rPr>
      </w:pPr>
      <w:r>
        <w:rPr>
          <w:rFonts w:hint="eastAsia" w:ascii="宋体" w:eastAsia="宋体"/>
          <w:sz w:val="24"/>
        </w:rPr>
        <w:t>省级以上监狱管理局、戒毒管理局出具的属于监狱企业的证明文件；</w:t>
      </w:r>
    </w:p>
    <w:p w14:paraId="23EA05E5">
      <w:pPr>
        <w:pStyle w:val="14"/>
        <w:numPr>
          <w:ilvl w:val="0"/>
          <w:numId w:val="53"/>
        </w:numPr>
        <w:tabs>
          <w:tab w:val="left" w:pos="724"/>
        </w:tabs>
        <w:spacing w:before="194" w:after="0" w:line="240" w:lineRule="auto"/>
        <w:ind w:left="723" w:right="0" w:hanging="242"/>
        <w:jc w:val="left"/>
        <w:rPr>
          <w:rFonts w:hint="eastAsia" w:ascii="宋体" w:eastAsia="宋体"/>
          <w:sz w:val="24"/>
        </w:rPr>
      </w:pPr>
      <w:r>
        <w:rPr>
          <w:rFonts w:hint="eastAsia" w:ascii="宋体" w:eastAsia="宋体"/>
          <w:sz w:val="24"/>
        </w:rPr>
        <w:t>证明材料加盖供应商公章。</w:t>
      </w:r>
    </w:p>
    <w:p w14:paraId="6FE24700">
      <w:pPr>
        <w:pStyle w:val="8"/>
        <w:spacing w:before="192" w:line="388" w:lineRule="auto"/>
        <w:ind w:left="482" w:right="621"/>
        <w:rPr>
          <w:rFonts w:hint="eastAsia" w:ascii="宋体" w:eastAsia="宋体"/>
        </w:rPr>
      </w:pPr>
      <w:r>
        <w:rPr>
          <w:rFonts w:hint="eastAsia" w:ascii="宋体" w:eastAsia="宋体"/>
        </w:rPr>
        <w:t>（若响应性文件中无上述证明文件，则在评审时不考虑对该监狱企业的相关优惠。）</w:t>
      </w:r>
    </w:p>
    <w:p w14:paraId="5B000E66">
      <w:pPr>
        <w:spacing w:after="0" w:line="388" w:lineRule="auto"/>
        <w:rPr>
          <w:rFonts w:hint="eastAsia" w:ascii="宋体" w:eastAsia="宋体"/>
        </w:rPr>
        <w:sectPr>
          <w:pgSz w:w="11910" w:h="16840"/>
          <w:pgMar w:top="1540" w:right="1320" w:bottom="1180" w:left="1320" w:header="0" w:footer="989" w:gutter="0"/>
          <w:cols w:space="720" w:num="1"/>
        </w:sectPr>
      </w:pPr>
    </w:p>
    <w:p w14:paraId="36FE4248">
      <w:pPr>
        <w:pStyle w:val="8"/>
        <w:spacing w:before="44"/>
        <w:ind w:left="482"/>
        <w:rPr>
          <w:rFonts w:hint="eastAsia" w:ascii="宋体" w:eastAsia="宋体"/>
        </w:rPr>
      </w:pPr>
      <w:r>
        <w:rPr>
          <w:rFonts w:hint="eastAsia" w:ascii="宋体" w:eastAsia="宋体"/>
        </w:rPr>
        <w:t>附件 6-3 残疾人福利性单位声明函</w:t>
      </w:r>
    </w:p>
    <w:p w14:paraId="74288D34">
      <w:pPr>
        <w:pStyle w:val="8"/>
        <w:spacing w:before="155"/>
        <w:ind w:left="2686" w:right="2687"/>
        <w:jc w:val="center"/>
        <w:rPr>
          <w:rFonts w:hint="eastAsia" w:ascii="宋体" w:eastAsia="宋体"/>
        </w:rPr>
      </w:pPr>
      <w:r>
        <w:rPr>
          <w:rFonts w:hint="eastAsia" w:ascii="宋体" w:eastAsia="宋体"/>
        </w:rPr>
        <w:t>（残疾人福利性单位适用）</w:t>
      </w:r>
    </w:p>
    <w:p w14:paraId="2AA23DB0">
      <w:pPr>
        <w:pStyle w:val="8"/>
        <w:tabs>
          <w:tab w:val="left" w:pos="4943"/>
          <w:tab w:val="left" w:pos="6383"/>
        </w:tabs>
        <w:spacing w:before="168" w:line="391" w:lineRule="auto"/>
        <w:ind w:left="482" w:right="481" w:firstLine="480"/>
        <w:jc w:val="both"/>
        <w:rPr>
          <w:rFonts w:hint="eastAsia" w:ascii="宋体" w:eastAsia="宋体"/>
        </w:rPr>
      </w:pPr>
      <w:r>
        <w:rPr>
          <w:rFonts w:hint="eastAsia" w:ascii="宋体" w:eastAsia="宋体"/>
        </w:rPr>
        <w:t>本单位郑重声明</w:t>
      </w:r>
      <w:r>
        <w:rPr>
          <w:rFonts w:hint="eastAsia" w:ascii="宋体" w:eastAsia="宋体"/>
          <w:spacing w:val="-51"/>
        </w:rPr>
        <w:t>，</w:t>
      </w:r>
      <w:r>
        <w:rPr>
          <w:rFonts w:hint="eastAsia" w:ascii="宋体" w:eastAsia="宋体"/>
        </w:rPr>
        <w:t>根</w:t>
      </w:r>
      <w:r>
        <w:rPr>
          <w:rFonts w:hint="eastAsia" w:ascii="宋体" w:eastAsia="宋体"/>
          <w:spacing w:val="-48"/>
        </w:rPr>
        <w:t>据</w:t>
      </w:r>
      <w:r>
        <w:rPr>
          <w:rFonts w:hint="eastAsia" w:ascii="宋体" w:eastAsia="宋体"/>
        </w:rPr>
        <w:t>《财政部 民政部 中国残疾人联合会关于促进残疾</w:t>
      </w:r>
      <w:r>
        <w:rPr>
          <w:rFonts w:hint="eastAsia" w:ascii="宋体" w:eastAsia="宋体"/>
          <w:spacing w:val="-18"/>
        </w:rPr>
        <w:t>人</w:t>
      </w:r>
      <w:r>
        <w:rPr>
          <w:rFonts w:hint="eastAsia" w:ascii="宋体" w:eastAsia="宋体"/>
        </w:rPr>
        <w:t>就业政府采购政策的通知</w:t>
      </w:r>
      <w:r>
        <w:rPr>
          <w:rFonts w:hint="eastAsia" w:ascii="宋体" w:eastAsia="宋体"/>
          <w:spacing w:val="-12"/>
        </w:rPr>
        <w:t>》</w:t>
      </w:r>
      <w:r>
        <w:rPr>
          <w:rFonts w:hint="eastAsia" w:ascii="宋体" w:eastAsia="宋体"/>
          <w:spacing w:val="-3"/>
        </w:rPr>
        <w:t>（</w:t>
      </w:r>
      <w:r>
        <w:rPr>
          <w:rFonts w:hint="eastAsia" w:ascii="宋体" w:eastAsia="宋体"/>
        </w:rPr>
        <w:t>财</w:t>
      </w:r>
      <w:r>
        <w:rPr>
          <w:rFonts w:hint="eastAsia" w:ascii="宋体" w:eastAsia="宋体"/>
          <w:spacing w:val="-5"/>
        </w:rPr>
        <w:t>库</w:t>
      </w:r>
      <w:r>
        <w:rPr>
          <w:rFonts w:hint="eastAsia" w:ascii="宋体" w:eastAsia="宋体"/>
        </w:rPr>
        <w:t>〔2017</w:t>
      </w:r>
      <w:r>
        <w:rPr>
          <w:rFonts w:hint="eastAsia" w:ascii="宋体" w:eastAsia="宋体"/>
          <w:spacing w:val="-8"/>
        </w:rPr>
        <w:t>〕</w:t>
      </w:r>
      <w:r>
        <w:rPr>
          <w:rFonts w:hint="eastAsia" w:ascii="宋体" w:eastAsia="宋体"/>
        </w:rPr>
        <w:t>141</w:t>
      </w:r>
      <w:r>
        <w:rPr>
          <w:rFonts w:hint="eastAsia" w:ascii="宋体" w:eastAsia="宋体"/>
          <w:spacing w:val="-60"/>
        </w:rPr>
        <w:t xml:space="preserve"> </w:t>
      </w:r>
      <w:r>
        <w:rPr>
          <w:rFonts w:hint="eastAsia" w:ascii="宋体" w:eastAsia="宋体"/>
        </w:rPr>
        <w:t>号</w:t>
      </w:r>
      <w:r>
        <w:rPr>
          <w:rFonts w:hint="eastAsia" w:ascii="宋体" w:eastAsia="宋体"/>
          <w:spacing w:val="-8"/>
        </w:rPr>
        <w:t>）</w:t>
      </w:r>
      <w:r>
        <w:rPr>
          <w:rFonts w:hint="eastAsia" w:ascii="宋体" w:eastAsia="宋体"/>
        </w:rPr>
        <w:t>的规定</w:t>
      </w:r>
      <w:r>
        <w:rPr>
          <w:rFonts w:hint="eastAsia" w:ascii="宋体" w:eastAsia="宋体"/>
          <w:spacing w:val="-5"/>
        </w:rPr>
        <w:t>，</w:t>
      </w:r>
      <w:r>
        <w:rPr>
          <w:rFonts w:hint="eastAsia" w:ascii="宋体" w:eastAsia="宋体"/>
        </w:rPr>
        <w:t>本单位为符合条</w:t>
      </w:r>
      <w:r>
        <w:rPr>
          <w:rFonts w:hint="eastAsia" w:ascii="宋体" w:eastAsia="宋体"/>
          <w:spacing w:val="-16"/>
        </w:rPr>
        <w:t>件</w:t>
      </w:r>
      <w:r>
        <w:rPr>
          <w:rFonts w:hint="eastAsia" w:ascii="宋体" w:eastAsia="宋体"/>
        </w:rPr>
        <w:t>的残疾人福利性单位</w:t>
      </w:r>
      <w:r>
        <w:rPr>
          <w:rFonts w:hint="eastAsia" w:ascii="宋体" w:eastAsia="宋体"/>
          <w:spacing w:val="-99"/>
        </w:rPr>
        <w:t>，</w:t>
      </w:r>
      <w:r>
        <w:rPr>
          <w:rFonts w:hint="eastAsia" w:ascii="宋体" w:eastAsia="宋体"/>
        </w:rPr>
        <w:t>且本单位参加</w:t>
      </w:r>
      <w:r>
        <w:rPr>
          <w:rFonts w:hint="eastAsia" w:ascii="宋体" w:eastAsia="宋体"/>
          <w:u w:val="single"/>
        </w:rPr>
        <w:t xml:space="preserve"> </w:t>
      </w:r>
      <w:r>
        <w:rPr>
          <w:rFonts w:hint="eastAsia" w:ascii="宋体" w:eastAsia="宋体"/>
          <w:u w:val="single"/>
        </w:rPr>
        <w:tab/>
      </w:r>
      <w:r>
        <w:rPr>
          <w:rFonts w:hint="eastAsia" w:ascii="宋体" w:eastAsia="宋体"/>
        </w:rPr>
        <w:t>单位的</w:t>
      </w:r>
      <w:r>
        <w:rPr>
          <w:rFonts w:hint="eastAsia" w:ascii="宋体" w:eastAsia="宋体"/>
          <w:u w:val="single"/>
        </w:rPr>
        <w:t xml:space="preserve"> </w:t>
      </w:r>
      <w:r>
        <w:rPr>
          <w:rFonts w:hint="eastAsia" w:ascii="宋体" w:eastAsia="宋体"/>
          <w:u w:val="single"/>
        </w:rPr>
        <w:tab/>
      </w:r>
      <w:r>
        <w:rPr>
          <w:rFonts w:hint="eastAsia" w:ascii="宋体" w:eastAsia="宋体"/>
        </w:rPr>
        <w:t>项目采购活动提供本</w:t>
      </w:r>
      <w:r>
        <w:rPr>
          <w:rFonts w:hint="eastAsia" w:ascii="宋体" w:eastAsia="宋体"/>
          <w:spacing w:val="-18"/>
        </w:rPr>
        <w:t>单</w:t>
      </w:r>
      <w:r>
        <w:rPr>
          <w:rFonts w:hint="eastAsia" w:ascii="宋体" w:eastAsia="宋体"/>
        </w:rPr>
        <w:t>位制造的货物（由本单位承担工程/提供服务），或者提供其他残疾人福利性单位制造的货物（不包括使用非残疾人福利性单位注册商标的货物）。</w:t>
      </w:r>
    </w:p>
    <w:p w14:paraId="46FBF6AC">
      <w:pPr>
        <w:pStyle w:val="8"/>
        <w:spacing w:line="302" w:lineRule="exact"/>
        <w:ind w:left="962"/>
        <w:rPr>
          <w:rFonts w:hint="eastAsia" w:ascii="宋体" w:eastAsia="宋体"/>
        </w:rPr>
      </w:pPr>
      <w:r>
        <w:rPr>
          <w:rFonts w:hint="eastAsia" w:ascii="宋体" w:eastAsia="宋体"/>
        </w:rPr>
        <w:t>本单位对上述声明的真实性负责。如有虚假，将依法承担相应责任。</w:t>
      </w:r>
    </w:p>
    <w:p w14:paraId="00E28A61">
      <w:pPr>
        <w:pStyle w:val="8"/>
        <w:rPr>
          <w:rFonts w:ascii="宋体"/>
        </w:rPr>
      </w:pPr>
    </w:p>
    <w:p w14:paraId="7C6C3214">
      <w:pPr>
        <w:pStyle w:val="8"/>
        <w:spacing w:before="12"/>
        <w:rPr>
          <w:rFonts w:ascii="宋体"/>
          <w:sz w:val="29"/>
        </w:rPr>
      </w:pPr>
    </w:p>
    <w:p w14:paraId="6AEC1464">
      <w:pPr>
        <w:pStyle w:val="8"/>
        <w:ind w:left="5522"/>
        <w:rPr>
          <w:rFonts w:hint="eastAsia" w:ascii="宋体" w:eastAsia="宋体"/>
        </w:rPr>
      </w:pPr>
      <w:r>
        <w:rPr>
          <w:rFonts w:hint="eastAsia" w:ascii="宋体" w:eastAsia="宋体"/>
        </w:rPr>
        <w:t>供应商名称（公章）：</w:t>
      </w:r>
    </w:p>
    <w:p w14:paraId="4A6A2FD2">
      <w:pPr>
        <w:pStyle w:val="8"/>
        <w:tabs>
          <w:tab w:val="left" w:pos="6842"/>
          <w:tab w:val="left" w:pos="7442"/>
          <w:tab w:val="left" w:pos="8042"/>
        </w:tabs>
        <w:spacing w:before="194"/>
        <w:ind w:left="5282"/>
        <w:rPr>
          <w:rFonts w:hint="eastAsia" w:ascii="宋体" w:eastAsia="宋体"/>
        </w:rPr>
      </w:pPr>
      <w:r>
        <w:rPr>
          <w:rFonts w:hint="eastAsia" w:ascii="宋体" w:eastAsia="宋体"/>
        </w:rPr>
        <w:t>投标日期：</w:t>
      </w:r>
      <w:r>
        <w:rPr>
          <w:rFonts w:hint="eastAsia" w:ascii="宋体" w:eastAsia="宋体"/>
        </w:rPr>
        <w:tab/>
      </w:r>
      <w:r>
        <w:rPr>
          <w:rFonts w:hint="eastAsia" w:ascii="宋体" w:eastAsia="宋体"/>
        </w:rPr>
        <w:t>年</w:t>
      </w:r>
      <w:r>
        <w:rPr>
          <w:rFonts w:hint="eastAsia" w:ascii="宋体" w:eastAsia="宋体"/>
        </w:rPr>
        <w:tab/>
      </w:r>
      <w:r>
        <w:rPr>
          <w:rFonts w:hint="eastAsia" w:ascii="宋体" w:eastAsia="宋体"/>
        </w:rPr>
        <w:t>月</w:t>
      </w:r>
      <w:r>
        <w:rPr>
          <w:rFonts w:hint="eastAsia" w:ascii="宋体" w:eastAsia="宋体"/>
        </w:rPr>
        <w:tab/>
      </w:r>
      <w:r>
        <w:rPr>
          <w:rFonts w:hint="eastAsia" w:ascii="宋体" w:eastAsia="宋体"/>
        </w:rPr>
        <w:t>日</w:t>
      </w:r>
    </w:p>
    <w:p w14:paraId="7896AA2C">
      <w:pPr>
        <w:spacing w:after="0"/>
        <w:rPr>
          <w:rFonts w:hint="eastAsia" w:ascii="宋体" w:eastAsia="宋体"/>
        </w:rPr>
        <w:sectPr>
          <w:pgSz w:w="11910" w:h="16840"/>
          <w:pgMar w:top="1540" w:right="1320" w:bottom="1180" w:left="1320" w:header="0" w:footer="989" w:gutter="0"/>
          <w:cols w:space="720" w:num="1"/>
        </w:sectPr>
      </w:pPr>
    </w:p>
    <w:p w14:paraId="786421B0">
      <w:pPr>
        <w:pStyle w:val="8"/>
        <w:spacing w:before="44"/>
        <w:ind w:left="482"/>
        <w:rPr>
          <w:rFonts w:hint="eastAsia" w:ascii="宋体" w:eastAsia="宋体"/>
        </w:rPr>
      </w:pPr>
      <w:r>
        <w:rPr>
          <w:rFonts w:hint="eastAsia" w:ascii="宋体" w:eastAsia="宋体"/>
        </w:rPr>
        <w:t>七、供应商须知前附表要求的其他投标资料</w:t>
      </w:r>
    </w:p>
    <w:p w14:paraId="68199963">
      <w:pPr>
        <w:spacing w:after="0"/>
        <w:rPr>
          <w:rFonts w:hint="eastAsia" w:ascii="宋体" w:eastAsia="宋体"/>
        </w:rPr>
        <w:sectPr>
          <w:pgSz w:w="11910" w:h="16840"/>
          <w:pgMar w:top="1540" w:right="1320" w:bottom="1180" w:left="1320" w:header="0" w:footer="989" w:gutter="0"/>
          <w:cols w:space="720" w:num="1"/>
        </w:sectPr>
      </w:pPr>
    </w:p>
    <w:p w14:paraId="2233E300">
      <w:pPr>
        <w:pStyle w:val="8"/>
        <w:rPr>
          <w:rFonts w:ascii="宋体"/>
          <w:sz w:val="20"/>
        </w:rPr>
      </w:pPr>
    </w:p>
    <w:p w14:paraId="1CA7AFEC">
      <w:pPr>
        <w:pStyle w:val="8"/>
        <w:rPr>
          <w:rFonts w:ascii="宋体"/>
          <w:sz w:val="20"/>
        </w:rPr>
      </w:pPr>
    </w:p>
    <w:p w14:paraId="38DB22F2">
      <w:pPr>
        <w:pStyle w:val="8"/>
        <w:spacing w:before="10"/>
        <w:rPr>
          <w:rFonts w:ascii="宋体"/>
          <w:sz w:val="21"/>
        </w:rPr>
      </w:pPr>
    </w:p>
    <w:p w14:paraId="35356DB0">
      <w:pPr>
        <w:pStyle w:val="8"/>
        <w:spacing w:before="66" w:line="388" w:lineRule="auto"/>
        <w:ind w:left="200" w:right="11276"/>
        <w:rPr>
          <w:rFonts w:hint="eastAsia" w:ascii="宋体" w:eastAsia="宋体"/>
        </w:rPr>
      </w:pPr>
      <w:r>
        <w:rPr>
          <w:rFonts w:hint="eastAsia" w:ascii="宋体" w:eastAsia="宋体"/>
          <w:spacing w:val="-2"/>
        </w:rPr>
        <w:t>八、供应商须提供类似业绩</w:t>
      </w:r>
      <w:r>
        <w:rPr>
          <w:rFonts w:hint="eastAsia" w:ascii="宋体" w:eastAsia="宋体"/>
        </w:rPr>
        <w:t>项目名称：</w:t>
      </w:r>
    </w:p>
    <w:p w14:paraId="2F904CA0">
      <w:pPr>
        <w:pStyle w:val="8"/>
        <w:spacing w:before="5" w:after="31"/>
        <w:ind w:left="200"/>
        <w:rPr>
          <w:rFonts w:hint="eastAsia" w:ascii="宋体" w:eastAsia="宋体"/>
        </w:rPr>
      </w:pPr>
      <w:r>
        <w:rPr>
          <w:rFonts w:hint="eastAsia" w:ascii="宋体" w:eastAsia="宋体"/>
        </w:rPr>
        <w:t>项目编号：</w:t>
      </w:r>
    </w:p>
    <w:tbl>
      <w:tblPr>
        <w:tblStyle w:val="11"/>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2"/>
        <w:gridCol w:w="2500"/>
        <w:gridCol w:w="2450"/>
        <w:gridCol w:w="2462"/>
        <w:gridCol w:w="2150"/>
        <w:gridCol w:w="2188"/>
        <w:gridCol w:w="1318"/>
      </w:tblGrid>
      <w:tr w14:paraId="107F7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42" w:type="dxa"/>
            <w:tcBorders>
              <w:bottom w:val="single" w:color="000000" w:sz="6" w:space="0"/>
              <w:right w:val="single" w:color="000000" w:sz="6" w:space="0"/>
            </w:tcBorders>
          </w:tcPr>
          <w:p w14:paraId="53E4D20E">
            <w:pPr>
              <w:pStyle w:val="15"/>
              <w:spacing w:before="211"/>
              <w:ind w:left="279"/>
              <w:rPr>
                <w:rFonts w:hint="eastAsia" w:ascii="宋体" w:eastAsia="宋体"/>
                <w:sz w:val="24"/>
              </w:rPr>
            </w:pPr>
            <w:r>
              <w:rPr>
                <w:rFonts w:hint="eastAsia" w:ascii="宋体" w:eastAsia="宋体"/>
                <w:sz w:val="24"/>
              </w:rPr>
              <w:t>序号</w:t>
            </w:r>
          </w:p>
        </w:tc>
        <w:tc>
          <w:tcPr>
            <w:tcW w:w="2500" w:type="dxa"/>
            <w:tcBorders>
              <w:left w:val="single" w:color="000000" w:sz="6" w:space="0"/>
              <w:bottom w:val="single" w:color="000000" w:sz="6" w:space="0"/>
              <w:right w:val="single" w:color="000000" w:sz="6" w:space="0"/>
            </w:tcBorders>
          </w:tcPr>
          <w:p w14:paraId="7805931A">
            <w:pPr>
              <w:pStyle w:val="15"/>
              <w:spacing w:before="211"/>
              <w:ind w:left="986" w:right="979"/>
              <w:jc w:val="center"/>
              <w:rPr>
                <w:rFonts w:hint="eastAsia" w:ascii="宋体" w:eastAsia="宋体"/>
                <w:sz w:val="24"/>
              </w:rPr>
            </w:pPr>
            <w:r>
              <w:rPr>
                <w:rFonts w:hint="eastAsia" w:ascii="宋体" w:eastAsia="宋体"/>
                <w:sz w:val="24"/>
              </w:rPr>
              <w:t>年份</w:t>
            </w:r>
          </w:p>
        </w:tc>
        <w:tc>
          <w:tcPr>
            <w:tcW w:w="2450" w:type="dxa"/>
            <w:tcBorders>
              <w:left w:val="single" w:color="000000" w:sz="6" w:space="0"/>
              <w:bottom w:val="single" w:color="000000" w:sz="6" w:space="0"/>
              <w:right w:val="single" w:color="000000" w:sz="6" w:space="0"/>
            </w:tcBorders>
          </w:tcPr>
          <w:p w14:paraId="1EB1E18F">
            <w:pPr>
              <w:pStyle w:val="15"/>
              <w:spacing w:before="211"/>
              <w:ind w:left="743"/>
              <w:rPr>
                <w:rFonts w:hint="eastAsia" w:ascii="宋体" w:eastAsia="宋体"/>
                <w:sz w:val="24"/>
              </w:rPr>
            </w:pPr>
            <w:r>
              <w:rPr>
                <w:rFonts w:hint="eastAsia" w:ascii="宋体" w:eastAsia="宋体"/>
                <w:sz w:val="24"/>
              </w:rPr>
              <w:t>用户名称</w:t>
            </w:r>
          </w:p>
        </w:tc>
        <w:tc>
          <w:tcPr>
            <w:tcW w:w="2462" w:type="dxa"/>
            <w:tcBorders>
              <w:left w:val="single" w:color="000000" w:sz="6" w:space="0"/>
              <w:bottom w:val="single" w:color="000000" w:sz="6" w:space="0"/>
              <w:right w:val="single" w:color="000000" w:sz="6" w:space="0"/>
            </w:tcBorders>
          </w:tcPr>
          <w:p w14:paraId="3E9C8A27">
            <w:pPr>
              <w:pStyle w:val="15"/>
              <w:spacing w:before="211"/>
              <w:ind w:left="748"/>
              <w:rPr>
                <w:rFonts w:hint="eastAsia" w:ascii="宋体" w:eastAsia="宋体"/>
                <w:sz w:val="24"/>
              </w:rPr>
            </w:pPr>
            <w:r>
              <w:rPr>
                <w:rFonts w:hint="eastAsia" w:ascii="宋体" w:eastAsia="宋体"/>
                <w:sz w:val="24"/>
              </w:rPr>
              <w:t>项目名称</w:t>
            </w:r>
          </w:p>
        </w:tc>
        <w:tc>
          <w:tcPr>
            <w:tcW w:w="2150" w:type="dxa"/>
            <w:tcBorders>
              <w:left w:val="single" w:color="000000" w:sz="6" w:space="0"/>
              <w:bottom w:val="single" w:color="000000" w:sz="6" w:space="0"/>
            </w:tcBorders>
          </w:tcPr>
          <w:p w14:paraId="7B309431">
            <w:pPr>
              <w:pStyle w:val="15"/>
              <w:spacing w:before="211"/>
              <w:ind w:left="352"/>
              <w:rPr>
                <w:rFonts w:hint="eastAsia" w:ascii="宋体" w:eastAsia="宋体"/>
                <w:sz w:val="24"/>
              </w:rPr>
            </w:pPr>
            <w:r>
              <w:rPr>
                <w:rFonts w:hint="eastAsia" w:ascii="宋体" w:eastAsia="宋体"/>
                <w:sz w:val="24"/>
              </w:rPr>
              <w:t>合同起止时间</w:t>
            </w:r>
          </w:p>
        </w:tc>
        <w:tc>
          <w:tcPr>
            <w:tcW w:w="2188" w:type="dxa"/>
            <w:tcBorders>
              <w:bottom w:val="single" w:color="000000" w:sz="6" w:space="0"/>
            </w:tcBorders>
          </w:tcPr>
          <w:p w14:paraId="0A4FB3BA">
            <w:pPr>
              <w:pStyle w:val="15"/>
              <w:spacing w:before="211"/>
              <w:ind w:left="492"/>
              <w:rPr>
                <w:rFonts w:hint="eastAsia" w:ascii="宋体" w:eastAsia="宋体"/>
                <w:sz w:val="24"/>
              </w:rPr>
            </w:pPr>
            <w:r>
              <w:rPr>
                <w:rFonts w:hint="eastAsia" w:ascii="宋体" w:eastAsia="宋体"/>
                <w:sz w:val="24"/>
              </w:rPr>
              <w:t>合同价(元)</w:t>
            </w:r>
          </w:p>
        </w:tc>
        <w:tc>
          <w:tcPr>
            <w:tcW w:w="1318" w:type="dxa"/>
            <w:tcBorders>
              <w:bottom w:val="single" w:color="000000" w:sz="6" w:space="0"/>
            </w:tcBorders>
          </w:tcPr>
          <w:p w14:paraId="1C9B8683">
            <w:pPr>
              <w:pStyle w:val="15"/>
              <w:spacing w:before="211"/>
              <w:ind w:left="418"/>
              <w:rPr>
                <w:rFonts w:hint="eastAsia" w:ascii="宋体" w:eastAsia="宋体"/>
                <w:sz w:val="24"/>
              </w:rPr>
            </w:pPr>
            <w:r>
              <w:rPr>
                <w:rFonts w:hint="eastAsia" w:ascii="宋体" w:eastAsia="宋体"/>
                <w:sz w:val="24"/>
              </w:rPr>
              <w:t>备注</w:t>
            </w:r>
          </w:p>
        </w:tc>
      </w:tr>
      <w:tr w14:paraId="4414F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42" w:type="dxa"/>
            <w:tcBorders>
              <w:top w:val="single" w:color="000000" w:sz="6" w:space="0"/>
              <w:bottom w:val="single" w:color="000000" w:sz="6" w:space="0"/>
              <w:right w:val="single" w:color="000000" w:sz="6" w:space="0"/>
            </w:tcBorders>
          </w:tcPr>
          <w:p w14:paraId="5023B5BC">
            <w:pPr>
              <w:pStyle w:val="15"/>
              <w:rPr>
                <w:rFonts w:ascii="Times New Roman"/>
                <w:sz w:val="22"/>
              </w:rPr>
            </w:pPr>
          </w:p>
        </w:tc>
        <w:tc>
          <w:tcPr>
            <w:tcW w:w="2500" w:type="dxa"/>
            <w:tcBorders>
              <w:top w:val="single" w:color="000000" w:sz="6" w:space="0"/>
              <w:left w:val="single" w:color="000000" w:sz="6" w:space="0"/>
              <w:bottom w:val="single" w:color="000000" w:sz="6" w:space="0"/>
              <w:right w:val="single" w:color="000000" w:sz="6" w:space="0"/>
            </w:tcBorders>
          </w:tcPr>
          <w:p w14:paraId="3E7785E6">
            <w:pPr>
              <w:pStyle w:val="15"/>
              <w:rPr>
                <w:rFonts w:ascii="Times New Roman"/>
                <w:sz w:val="22"/>
              </w:rPr>
            </w:pPr>
          </w:p>
        </w:tc>
        <w:tc>
          <w:tcPr>
            <w:tcW w:w="2450" w:type="dxa"/>
            <w:tcBorders>
              <w:top w:val="single" w:color="000000" w:sz="6" w:space="0"/>
              <w:left w:val="single" w:color="000000" w:sz="6" w:space="0"/>
              <w:bottom w:val="single" w:color="000000" w:sz="6" w:space="0"/>
              <w:right w:val="single" w:color="000000" w:sz="6" w:space="0"/>
            </w:tcBorders>
          </w:tcPr>
          <w:p w14:paraId="61A5241C">
            <w:pPr>
              <w:pStyle w:val="15"/>
              <w:rPr>
                <w:rFonts w:ascii="Times New Roman"/>
                <w:sz w:val="22"/>
              </w:rPr>
            </w:pPr>
          </w:p>
        </w:tc>
        <w:tc>
          <w:tcPr>
            <w:tcW w:w="2462" w:type="dxa"/>
            <w:tcBorders>
              <w:top w:val="single" w:color="000000" w:sz="6" w:space="0"/>
              <w:left w:val="single" w:color="000000" w:sz="6" w:space="0"/>
              <w:bottom w:val="single" w:color="000000" w:sz="6" w:space="0"/>
              <w:right w:val="single" w:color="000000" w:sz="6" w:space="0"/>
            </w:tcBorders>
          </w:tcPr>
          <w:p w14:paraId="4E7D99C1">
            <w:pPr>
              <w:pStyle w:val="15"/>
              <w:rPr>
                <w:rFonts w:ascii="Times New Roman"/>
                <w:sz w:val="22"/>
              </w:rPr>
            </w:pPr>
          </w:p>
        </w:tc>
        <w:tc>
          <w:tcPr>
            <w:tcW w:w="2150" w:type="dxa"/>
            <w:tcBorders>
              <w:top w:val="single" w:color="000000" w:sz="6" w:space="0"/>
              <w:left w:val="single" w:color="000000" w:sz="6" w:space="0"/>
              <w:bottom w:val="single" w:color="000000" w:sz="6" w:space="0"/>
            </w:tcBorders>
          </w:tcPr>
          <w:p w14:paraId="68698088">
            <w:pPr>
              <w:pStyle w:val="15"/>
              <w:rPr>
                <w:rFonts w:ascii="Times New Roman"/>
                <w:sz w:val="22"/>
              </w:rPr>
            </w:pPr>
          </w:p>
        </w:tc>
        <w:tc>
          <w:tcPr>
            <w:tcW w:w="2188" w:type="dxa"/>
            <w:tcBorders>
              <w:top w:val="single" w:color="000000" w:sz="6" w:space="0"/>
              <w:bottom w:val="single" w:color="000000" w:sz="6" w:space="0"/>
            </w:tcBorders>
          </w:tcPr>
          <w:p w14:paraId="154AC804">
            <w:pPr>
              <w:pStyle w:val="15"/>
              <w:rPr>
                <w:rFonts w:ascii="Times New Roman"/>
                <w:sz w:val="22"/>
              </w:rPr>
            </w:pPr>
          </w:p>
        </w:tc>
        <w:tc>
          <w:tcPr>
            <w:tcW w:w="1318" w:type="dxa"/>
            <w:tcBorders>
              <w:top w:val="single" w:color="000000" w:sz="6" w:space="0"/>
              <w:bottom w:val="single" w:color="000000" w:sz="6" w:space="0"/>
            </w:tcBorders>
          </w:tcPr>
          <w:p w14:paraId="3BAC5A5E">
            <w:pPr>
              <w:pStyle w:val="15"/>
              <w:rPr>
                <w:rFonts w:ascii="Times New Roman"/>
                <w:sz w:val="22"/>
              </w:rPr>
            </w:pPr>
          </w:p>
        </w:tc>
      </w:tr>
      <w:tr w14:paraId="5993B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42" w:type="dxa"/>
            <w:tcBorders>
              <w:top w:val="single" w:color="000000" w:sz="6" w:space="0"/>
              <w:bottom w:val="single" w:color="000000" w:sz="6" w:space="0"/>
              <w:right w:val="single" w:color="000000" w:sz="6" w:space="0"/>
            </w:tcBorders>
          </w:tcPr>
          <w:p w14:paraId="2CC64FA3">
            <w:pPr>
              <w:pStyle w:val="15"/>
              <w:rPr>
                <w:rFonts w:ascii="Times New Roman"/>
                <w:sz w:val="22"/>
              </w:rPr>
            </w:pPr>
          </w:p>
        </w:tc>
        <w:tc>
          <w:tcPr>
            <w:tcW w:w="2500" w:type="dxa"/>
            <w:tcBorders>
              <w:top w:val="single" w:color="000000" w:sz="6" w:space="0"/>
              <w:left w:val="single" w:color="000000" w:sz="6" w:space="0"/>
              <w:bottom w:val="single" w:color="000000" w:sz="6" w:space="0"/>
              <w:right w:val="single" w:color="000000" w:sz="6" w:space="0"/>
            </w:tcBorders>
          </w:tcPr>
          <w:p w14:paraId="28EDA7E3">
            <w:pPr>
              <w:pStyle w:val="15"/>
              <w:rPr>
                <w:rFonts w:ascii="Times New Roman"/>
                <w:sz w:val="22"/>
              </w:rPr>
            </w:pPr>
          </w:p>
        </w:tc>
        <w:tc>
          <w:tcPr>
            <w:tcW w:w="2450" w:type="dxa"/>
            <w:tcBorders>
              <w:top w:val="single" w:color="000000" w:sz="6" w:space="0"/>
              <w:left w:val="single" w:color="000000" w:sz="6" w:space="0"/>
              <w:bottom w:val="single" w:color="000000" w:sz="6" w:space="0"/>
              <w:right w:val="single" w:color="000000" w:sz="6" w:space="0"/>
            </w:tcBorders>
          </w:tcPr>
          <w:p w14:paraId="167A5511">
            <w:pPr>
              <w:pStyle w:val="15"/>
              <w:rPr>
                <w:rFonts w:ascii="Times New Roman"/>
                <w:sz w:val="22"/>
              </w:rPr>
            </w:pPr>
          </w:p>
        </w:tc>
        <w:tc>
          <w:tcPr>
            <w:tcW w:w="2462" w:type="dxa"/>
            <w:tcBorders>
              <w:top w:val="single" w:color="000000" w:sz="6" w:space="0"/>
              <w:left w:val="single" w:color="000000" w:sz="6" w:space="0"/>
              <w:bottom w:val="single" w:color="000000" w:sz="6" w:space="0"/>
              <w:right w:val="single" w:color="000000" w:sz="6" w:space="0"/>
            </w:tcBorders>
          </w:tcPr>
          <w:p w14:paraId="5CA09BF0">
            <w:pPr>
              <w:pStyle w:val="15"/>
              <w:rPr>
                <w:rFonts w:ascii="Times New Roman"/>
                <w:sz w:val="22"/>
              </w:rPr>
            </w:pPr>
          </w:p>
        </w:tc>
        <w:tc>
          <w:tcPr>
            <w:tcW w:w="2150" w:type="dxa"/>
            <w:tcBorders>
              <w:top w:val="single" w:color="000000" w:sz="6" w:space="0"/>
              <w:left w:val="single" w:color="000000" w:sz="6" w:space="0"/>
              <w:bottom w:val="single" w:color="000000" w:sz="6" w:space="0"/>
            </w:tcBorders>
          </w:tcPr>
          <w:p w14:paraId="2BAC3B13">
            <w:pPr>
              <w:pStyle w:val="15"/>
              <w:rPr>
                <w:rFonts w:ascii="Times New Roman"/>
                <w:sz w:val="22"/>
              </w:rPr>
            </w:pPr>
          </w:p>
        </w:tc>
        <w:tc>
          <w:tcPr>
            <w:tcW w:w="2188" w:type="dxa"/>
            <w:tcBorders>
              <w:top w:val="single" w:color="000000" w:sz="6" w:space="0"/>
              <w:bottom w:val="single" w:color="000000" w:sz="6" w:space="0"/>
            </w:tcBorders>
          </w:tcPr>
          <w:p w14:paraId="04E0A8B9">
            <w:pPr>
              <w:pStyle w:val="15"/>
              <w:rPr>
                <w:rFonts w:ascii="Times New Roman"/>
                <w:sz w:val="22"/>
              </w:rPr>
            </w:pPr>
          </w:p>
        </w:tc>
        <w:tc>
          <w:tcPr>
            <w:tcW w:w="1318" w:type="dxa"/>
            <w:tcBorders>
              <w:top w:val="single" w:color="000000" w:sz="6" w:space="0"/>
              <w:bottom w:val="single" w:color="000000" w:sz="6" w:space="0"/>
            </w:tcBorders>
          </w:tcPr>
          <w:p w14:paraId="15DEA4C5">
            <w:pPr>
              <w:pStyle w:val="15"/>
              <w:rPr>
                <w:rFonts w:ascii="Times New Roman"/>
                <w:sz w:val="22"/>
              </w:rPr>
            </w:pPr>
          </w:p>
        </w:tc>
      </w:tr>
      <w:tr w14:paraId="726DC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42" w:type="dxa"/>
            <w:tcBorders>
              <w:top w:val="single" w:color="000000" w:sz="6" w:space="0"/>
              <w:bottom w:val="single" w:color="000000" w:sz="6" w:space="0"/>
              <w:right w:val="single" w:color="000000" w:sz="6" w:space="0"/>
            </w:tcBorders>
          </w:tcPr>
          <w:p w14:paraId="46384C99">
            <w:pPr>
              <w:pStyle w:val="15"/>
              <w:rPr>
                <w:rFonts w:ascii="Times New Roman"/>
                <w:sz w:val="22"/>
              </w:rPr>
            </w:pPr>
          </w:p>
        </w:tc>
        <w:tc>
          <w:tcPr>
            <w:tcW w:w="2500" w:type="dxa"/>
            <w:tcBorders>
              <w:top w:val="single" w:color="000000" w:sz="6" w:space="0"/>
              <w:left w:val="single" w:color="000000" w:sz="6" w:space="0"/>
              <w:bottom w:val="single" w:color="000000" w:sz="6" w:space="0"/>
              <w:right w:val="single" w:color="000000" w:sz="6" w:space="0"/>
            </w:tcBorders>
          </w:tcPr>
          <w:p w14:paraId="6825A09E">
            <w:pPr>
              <w:pStyle w:val="15"/>
              <w:rPr>
                <w:rFonts w:ascii="Times New Roman"/>
                <w:sz w:val="22"/>
              </w:rPr>
            </w:pPr>
          </w:p>
        </w:tc>
        <w:tc>
          <w:tcPr>
            <w:tcW w:w="2450" w:type="dxa"/>
            <w:tcBorders>
              <w:top w:val="single" w:color="000000" w:sz="6" w:space="0"/>
              <w:left w:val="single" w:color="000000" w:sz="6" w:space="0"/>
              <w:bottom w:val="single" w:color="000000" w:sz="6" w:space="0"/>
              <w:right w:val="single" w:color="000000" w:sz="6" w:space="0"/>
            </w:tcBorders>
          </w:tcPr>
          <w:p w14:paraId="4151958B">
            <w:pPr>
              <w:pStyle w:val="15"/>
              <w:rPr>
                <w:rFonts w:ascii="Times New Roman"/>
                <w:sz w:val="22"/>
              </w:rPr>
            </w:pPr>
          </w:p>
        </w:tc>
        <w:tc>
          <w:tcPr>
            <w:tcW w:w="2462" w:type="dxa"/>
            <w:tcBorders>
              <w:top w:val="single" w:color="000000" w:sz="6" w:space="0"/>
              <w:left w:val="single" w:color="000000" w:sz="6" w:space="0"/>
              <w:bottom w:val="single" w:color="000000" w:sz="6" w:space="0"/>
              <w:right w:val="single" w:color="000000" w:sz="6" w:space="0"/>
            </w:tcBorders>
          </w:tcPr>
          <w:p w14:paraId="196A8526">
            <w:pPr>
              <w:pStyle w:val="15"/>
              <w:rPr>
                <w:rFonts w:ascii="Times New Roman"/>
                <w:sz w:val="22"/>
              </w:rPr>
            </w:pPr>
          </w:p>
        </w:tc>
        <w:tc>
          <w:tcPr>
            <w:tcW w:w="2150" w:type="dxa"/>
            <w:tcBorders>
              <w:top w:val="single" w:color="000000" w:sz="6" w:space="0"/>
              <w:left w:val="single" w:color="000000" w:sz="6" w:space="0"/>
              <w:bottom w:val="single" w:color="000000" w:sz="6" w:space="0"/>
            </w:tcBorders>
          </w:tcPr>
          <w:p w14:paraId="01BF9081">
            <w:pPr>
              <w:pStyle w:val="15"/>
              <w:rPr>
                <w:rFonts w:ascii="Times New Roman"/>
                <w:sz w:val="22"/>
              </w:rPr>
            </w:pPr>
          </w:p>
        </w:tc>
        <w:tc>
          <w:tcPr>
            <w:tcW w:w="2188" w:type="dxa"/>
            <w:tcBorders>
              <w:top w:val="single" w:color="000000" w:sz="6" w:space="0"/>
              <w:bottom w:val="single" w:color="000000" w:sz="6" w:space="0"/>
            </w:tcBorders>
          </w:tcPr>
          <w:p w14:paraId="4245A2B5">
            <w:pPr>
              <w:pStyle w:val="15"/>
              <w:rPr>
                <w:rFonts w:ascii="Times New Roman"/>
                <w:sz w:val="22"/>
              </w:rPr>
            </w:pPr>
          </w:p>
        </w:tc>
        <w:tc>
          <w:tcPr>
            <w:tcW w:w="1318" w:type="dxa"/>
            <w:tcBorders>
              <w:top w:val="single" w:color="000000" w:sz="6" w:space="0"/>
              <w:bottom w:val="single" w:color="000000" w:sz="6" w:space="0"/>
            </w:tcBorders>
          </w:tcPr>
          <w:p w14:paraId="1A0BBFDD">
            <w:pPr>
              <w:pStyle w:val="15"/>
              <w:rPr>
                <w:rFonts w:ascii="Times New Roman"/>
                <w:sz w:val="22"/>
              </w:rPr>
            </w:pPr>
          </w:p>
        </w:tc>
      </w:tr>
      <w:tr w14:paraId="49D0E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42" w:type="dxa"/>
            <w:tcBorders>
              <w:top w:val="single" w:color="000000" w:sz="6" w:space="0"/>
              <w:bottom w:val="single" w:color="000000" w:sz="6" w:space="0"/>
              <w:right w:val="single" w:color="000000" w:sz="6" w:space="0"/>
            </w:tcBorders>
          </w:tcPr>
          <w:p w14:paraId="335CFA6E">
            <w:pPr>
              <w:pStyle w:val="15"/>
              <w:rPr>
                <w:rFonts w:ascii="Times New Roman"/>
                <w:sz w:val="22"/>
              </w:rPr>
            </w:pPr>
          </w:p>
        </w:tc>
        <w:tc>
          <w:tcPr>
            <w:tcW w:w="2500" w:type="dxa"/>
            <w:tcBorders>
              <w:top w:val="single" w:color="000000" w:sz="6" w:space="0"/>
              <w:left w:val="single" w:color="000000" w:sz="6" w:space="0"/>
              <w:bottom w:val="single" w:color="000000" w:sz="6" w:space="0"/>
              <w:right w:val="single" w:color="000000" w:sz="6" w:space="0"/>
            </w:tcBorders>
          </w:tcPr>
          <w:p w14:paraId="2450CBE8">
            <w:pPr>
              <w:pStyle w:val="15"/>
              <w:rPr>
                <w:rFonts w:ascii="Times New Roman"/>
                <w:sz w:val="22"/>
              </w:rPr>
            </w:pPr>
          </w:p>
        </w:tc>
        <w:tc>
          <w:tcPr>
            <w:tcW w:w="2450" w:type="dxa"/>
            <w:tcBorders>
              <w:top w:val="single" w:color="000000" w:sz="6" w:space="0"/>
              <w:left w:val="single" w:color="000000" w:sz="6" w:space="0"/>
              <w:bottom w:val="single" w:color="000000" w:sz="6" w:space="0"/>
            </w:tcBorders>
          </w:tcPr>
          <w:p w14:paraId="79591934">
            <w:pPr>
              <w:pStyle w:val="15"/>
              <w:rPr>
                <w:rFonts w:ascii="Times New Roman"/>
                <w:sz w:val="22"/>
              </w:rPr>
            </w:pPr>
          </w:p>
        </w:tc>
        <w:tc>
          <w:tcPr>
            <w:tcW w:w="2462" w:type="dxa"/>
            <w:tcBorders>
              <w:top w:val="single" w:color="000000" w:sz="6" w:space="0"/>
              <w:bottom w:val="single" w:color="000000" w:sz="6" w:space="0"/>
              <w:right w:val="single" w:color="000000" w:sz="6" w:space="0"/>
            </w:tcBorders>
          </w:tcPr>
          <w:p w14:paraId="0C51C11D">
            <w:pPr>
              <w:pStyle w:val="15"/>
              <w:rPr>
                <w:rFonts w:ascii="Times New Roman"/>
                <w:sz w:val="22"/>
              </w:rPr>
            </w:pPr>
          </w:p>
        </w:tc>
        <w:tc>
          <w:tcPr>
            <w:tcW w:w="2150" w:type="dxa"/>
            <w:tcBorders>
              <w:top w:val="single" w:color="000000" w:sz="6" w:space="0"/>
              <w:left w:val="single" w:color="000000" w:sz="6" w:space="0"/>
              <w:bottom w:val="single" w:color="000000" w:sz="6" w:space="0"/>
            </w:tcBorders>
          </w:tcPr>
          <w:p w14:paraId="42DDBEF9">
            <w:pPr>
              <w:pStyle w:val="15"/>
              <w:rPr>
                <w:rFonts w:ascii="Times New Roman"/>
                <w:sz w:val="22"/>
              </w:rPr>
            </w:pPr>
          </w:p>
        </w:tc>
        <w:tc>
          <w:tcPr>
            <w:tcW w:w="2188" w:type="dxa"/>
            <w:tcBorders>
              <w:top w:val="single" w:color="000000" w:sz="6" w:space="0"/>
              <w:bottom w:val="single" w:color="000000" w:sz="6" w:space="0"/>
            </w:tcBorders>
          </w:tcPr>
          <w:p w14:paraId="7B9C45C1">
            <w:pPr>
              <w:pStyle w:val="15"/>
              <w:rPr>
                <w:rFonts w:ascii="Times New Roman"/>
                <w:sz w:val="22"/>
              </w:rPr>
            </w:pPr>
          </w:p>
        </w:tc>
        <w:tc>
          <w:tcPr>
            <w:tcW w:w="1318" w:type="dxa"/>
            <w:tcBorders>
              <w:top w:val="single" w:color="000000" w:sz="6" w:space="0"/>
              <w:bottom w:val="single" w:color="000000" w:sz="6" w:space="0"/>
            </w:tcBorders>
          </w:tcPr>
          <w:p w14:paraId="516B264D">
            <w:pPr>
              <w:pStyle w:val="15"/>
              <w:rPr>
                <w:rFonts w:ascii="Times New Roman"/>
                <w:sz w:val="22"/>
              </w:rPr>
            </w:pPr>
          </w:p>
        </w:tc>
      </w:tr>
      <w:tr w14:paraId="09626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42" w:type="dxa"/>
            <w:tcBorders>
              <w:top w:val="single" w:color="000000" w:sz="6" w:space="0"/>
            </w:tcBorders>
          </w:tcPr>
          <w:p w14:paraId="08C266F5">
            <w:pPr>
              <w:pStyle w:val="15"/>
              <w:rPr>
                <w:rFonts w:ascii="Times New Roman"/>
                <w:sz w:val="22"/>
              </w:rPr>
            </w:pPr>
          </w:p>
        </w:tc>
        <w:tc>
          <w:tcPr>
            <w:tcW w:w="2500" w:type="dxa"/>
            <w:tcBorders>
              <w:top w:val="single" w:color="000000" w:sz="6" w:space="0"/>
            </w:tcBorders>
          </w:tcPr>
          <w:p w14:paraId="13BCC68D">
            <w:pPr>
              <w:pStyle w:val="15"/>
              <w:rPr>
                <w:rFonts w:ascii="Times New Roman"/>
                <w:sz w:val="22"/>
              </w:rPr>
            </w:pPr>
          </w:p>
        </w:tc>
        <w:tc>
          <w:tcPr>
            <w:tcW w:w="2450" w:type="dxa"/>
            <w:tcBorders>
              <w:top w:val="single" w:color="000000" w:sz="6" w:space="0"/>
            </w:tcBorders>
          </w:tcPr>
          <w:p w14:paraId="4E596D4D">
            <w:pPr>
              <w:pStyle w:val="15"/>
              <w:rPr>
                <w:rFonts w:ascii="Times New Roman"/>
                <w:sz w:val="22"/>
              </w:rPr>
            </w:pPr>
          </w:p>
        </w:tc>
        <w:tc>
          <w:tcPr>
            <w:tcW w:w="2462" w:type="dxa"/>
            <w:tcBorders>
              <w:top w:val="single" w:color="000000" w:sz="6" w:space="0"/>
            </w:tcBorders>
          </w:tcPr>
          <w:p w14:paraId="1F39584D">
            <w:pPr>
              <w:pStyle w:val="15"/>
              <w:rPr>
                <w:rFonts w:ascii="Times New Roman"/>
                <w:sz w:val="22"/>
              </w:rPr>
            </w:pPr>
          </w:p>
        </w:tc>
        <w:tc>
          <w:tcPr>
            <w:tcW w:w="2150" w:type="dxa"/>
            <w:tcBorders>
              <w:top w:val="single" w:color="000000" w:sz="6" w:space="0"/>
            </w:tcBorders>
          </w:tcPr>
          <w:p w14:paraId="3BB06101">
            <w:pPr>
              <w:pStyle w:val="15"/>
              <w:rPr>
                <w:rFonts w:ascii="Times New Roman"/>
                <w:sz w:val="22"/>
              </w:rPr>
            </w:pPr>
          </w:p>
        </w:tc>
        <w:tc>
          <w:tcPr>
            <w:tcW w:w="2188" w:type="dxa"/>
            <w:tcBorders>
              <w:top w:val="single" w:color="000000" w:sz="6" w:space="0"/>
            </w:tcBorders>
          </w:tcPr>
          <w:p w14:paraId="13F071E7">
            <w:pPr>
              <w:pStyle w:val="15"/>
              <w:rPr>
                <w:rFonts w:ascii="Times New Roman"/>
                <w:sz w:val="22"/>
              </w:rPr>
            </w:pPr>
          </w:p>
        </w:tc>
        <w:tc>
          <w:tcPr>
            <w:tcW w:w="1318" w:type="dxa"/>
            <w:tcBorders>
              <w:top w:val="single" w:color="000000" w:sz="6" w:space="0"/>
            </w:tcBorders>
          </w:tcPr>
          <w:p w14:paraId="7F681869">
            <w:pPr>
              <w:pStyle w:val="15"/>
              <w:rPr>
                <w:rFonts w:ascii="Times New Roman"/>
                <w:sz w:val="22"/>
              </w:rPr>
            </w:pPr>
          </w:p>
        </w:tc>
      </w:tr>
    </w:tbl>
    <w:p w14:paraId="709DFA3F">
      <w:pPr>
        <w:pStyle w:val="8"/>
        <w:spacing w:before="160"/>
        <w:ind w:left="200"/>
        <w:rPr>
          <w:rFonts w:hint="eastAsia" w:ascii="宋体" w:eastAsia="宋体"/>
        </w:rPr>
      </w:pPr>
      <w:r>
        <w:rPr>
          <w:rFonts w:hint="eastAsia" w:ascii="宋体" w:eastAsia="宋体"/>
        </w:rPr>
        <w:t>注：须提供合同、中标通知书（或成交协议）彩色复印件。</w:t>
      </w:r>
    </w:p>
    <w:p w14:paraId="3A8A1915">
      <w:pPr>
        <w:pStyle w:val="8"/>
        <w:rPr>
          <w:rFonts w:ascii="宋体"/>
        </w:rPr>
      </w:pPr>
    </w:p>
    <w:p w14:paraId="55B7F881">
      <w:pPr>
        <w:pStyle w:val="8"/>
        <w:spacing w:before="1"/>
        <w:rPr>
          <w:rFonts w:ascii="宋体"/>
          <w:sz w:val="30"/>
        </w:rPr>
      </w:pPr>
    </w:p>
    <w:p w14:paraId="3265E60C">
      <w:pPr>
        <w:pStyle w:val="8"/>
        <w:tabs>
          <w:tab w:val="left" w:pos="11539"/>
        </w:tabs>
        <w:ind w:left="7880"/>
        <w:rPr>
          <w:rFonts w:ascii="Times New Roman" w:eastAsia="Times New Roman"/>
        </w:rPr>
      </w:pPr>
      <w:r>
        <w:rPr>
          <w:rFonts w:hint="eastAsia" w:ascii="宋体" w:eastAsia="宋体"/>
        </w:rPr>
        <w:t>供应商名称(公章)：</w:t>
      </w:r>
      <w:r>
        <w:rPr>
          <w:rFonts w:ascii="Times New Roman" w:eastAsia="Times New Roman"/>
          <w:u w:val="single"/>
        </w:rPr>
        <w:t xml:space="preserve"> </w:t>
      </w:r>
      <w:r>
        <w:rPr>
          <w:rFonts w:ascii="Times New Roman" w:eastAsia="Times New Roman"/>
          <w:u w:val="single"/>
        </w:rPr>
        <w:tab/>
      </w:r>
    </w:p>
    <w:p w14:paraId="6D40DB57">
      <w:pPr>
        <w:pStyle w:val="8"/>
        <w:spacing w:before="3"/>
        <w:rPr>
          <w:rFonts w:ascii="Times New Roman"/>
          <w:sz w:val="10"/>
        </w:rPr>
      </w:pPr>
    </w:p>
    <w:p w14:paraId="5AF11B48">
      <w:pPr>
        <w:pStyle w:val="8"/>
        <w:tabs>
          <w:tab w:val="left" w:pos="13699"/>
        </w:tabs>
        <w:spacing w:before="74"/>
        <w:ind w:left="7880"/>
        <w:rPr>
          <w:rFonts w:ascii="Times New Roman" w:eastAsia="Times New Roman"/>
        </w:rPr>
      </w:pPr>
      <w:r>
        <w:rPr>
          <w:rFonts w:hint="eastAsia" w:ascii="宋体" w:eastAsia="宋体"/>
        </w:rPr>
        <w:t>法定代表人或其授权代表(签字或盖章)：</w:t>
      </w:r>
      <w:r>
        <w:rPr>
          <w:rFonts w:ascii="Times New Roman" w:eastAsia="Times New Roman"/>
          <w:u w:val="single"/>
        </w:rPr>
        <w:t xml:space="preserve"> </w:t>
      </w:r>
      <w:r>
        <w:rPr>
          <w:rFonts w:ascii="Times New Roman" w:eastAsia="Times New Roman"/>
          <w:u w:val="single"/>
        </w:rPr>
        <w:tab/>
      </w:r>
    </w:p>
    <w:p w14:paraId="50415265">
      <w:pPr>
        <w:pStyle w:val="8"/>
        <w:spacing w:before="5"/>
        <w:rPr>
          <w:rFonts w:ascii="Times New Roman"/>
          <w:sz w:val="10"/>
        </w:rPr>
      </w:pPr>
    </w:p>
    <w:p w14:paraId="74DD03E1">
      <w:pPr>
        <w:pStyle w:val="8"/>
        <w:tabs>
          <w:tab w:val="left" w:pos="9319"/>
          <w:tab w:val="left" w:pos="10039"/>
          <w:tab w:val="left" w:pos="10759"/>
        </w:tabs>
        <w:spacing w:before="74"/>
        <w:ind w:left="7880"/>
        <w:rPr>
          <w:rFonts w:hint="eastAsia" w:ascii="宋体" w:eastAsia="宋体"/>
        </w:rPr>
      </w:pPr>
      <w:r>
        <w:rPr>
          <w:rFonts w:hint="eastAsia" w:ascii="宋体" w:eastAsia="宋体"/>
        </w:rPr>
        <w:t>日期：</w:t>
      </w:r>
      <w:r>
        <w:rPr>
          <w:rFonts w:hint="eastAsia" w:ascii="宋体" w:eastAsia="宋体"/>
          <w:u w:val="single"/>
        </w:rPr>
        <w:t xml:space="preserve"> </w:t>
      </w:r>
      <w:r>
        <w:rPr>
          <w:rFonts w:hint="eastAsia" w:ascii="宋体" w:eastAsia="宋体"/>
          <w:u w:val="single"/>
        </w:rPr>
        <w:tab/>
      </w:r>
      <w:r>
        <w:rPr>
          <w:rFonts w:hint="eastAsia" w:ascii="宋体" w:eastAsia="宋体"/>
        </w:rPr>
        <w:t>年</w:t>
      </w:r>
      <w:r>
        <w:rPr>
          <w:rFonts w:hint="eastAsia" w:ascii="宋体" w:eastAsia="宋体"/>
          <w:u w:val="single"/>
        </w:rPr>
        <w:t xml:space="preserve"> </w:t>
      </w:r>
      <w:r>
        <w:rPr>
          <w:rFonts w:hint="eastAsia" w:ascii="宋体" w:eastAsia="宋体"/>
          <w:u w:val="single"/>
        </w:rPr>
        <w:tab/>
      </w:r>
      <w:r>
        <w:rPr>
          <w:rFonts w:hint="eastAsia" w:ascii="宋体" w:eastAsia="宋体"/>
        </w:rPr>
        <w:t>月</w:t>
      </w:r>
      <w:r>
        <w:rPr>
          <w:rFonts w:hint="eastAsia" w:ascii="宋体" w:eastAsia="宋体"/>
          <w:u w:val="single"/>
        </w:rPr>
        <w:t xml:space="preserve"> </w:t>
      </w:r>
      <w:r>
        <w:rPr>
          <w:rFonts w:hint="eastAsia" w:ascii="宋体" w:eastAsia="宋体"/>
          <w:u w:val="single"/>
        </w:rPr>
        <w:tab/>
      </w:r>
      <w:r>
        <w:rPr>
          <w:rFonts w:hint="eastAsia" w:ascii="宋体" w:eastAsia="宋体"/>
        </w:rPr>
        <w:t>日</w:t>
      </w:r>
    </w:p>
    <w:p w14:paraId="4F923BDA">
      <w:pPr>
        <w:pStyle w:val="8"/>
        <w:rPr>
          <w:rFonts w:ascii="宋体"/>
          <w:sz w:val="20"/>
        </w:rPr>
      </w:pPr>
    </w:p>
    <w:p w14:paraId="2DD40EB4">
      <w:pPr>
        <w:pStyle w:val="8"/>
        <w:rPr>
          <w:rFonts w:ascii="宋体"/>
          <w:sz w:val="20"/>
        </w:rPr>
      </w:pPr>
    </w:p>
    <w:p w14:paraId="0CFE6E7A">
      <w:pPr>
        <w:pStyle w:val="8"/>
        <w:rPr>
          <w:rFonts w:ascii="宋体"/>
          <w:sz w:val="20"/>
        </w:rPr>
      </w:pPr>
    </w:p>
    <w:p w14:paraId="48066DD9">
      <w:pPr>
        <w:pStyle w:val="8"/>
        <w:spacing w:before="10"/>
        <w:rPr>
          <w:rFonts w:ascii="宋体"/>
          <w:sz w:val="29"/>
        </w:rPr>
      </w:pPr>
    </w:p>
    <w:p w14:paraId="049D8AC8">
      <w:pPr>
        <w:spacing w:before="93"/>
        <w:ind w:left="7070" w:right="7070" w:firstLine="0"/>
        <w:jc w:val="center"/>
        <w:rPr>
          <w:rFonts w:ascii="Times New Roman"/>
          <w:sz w:val="18"/>
        </w:rPr>
      </w:pPr>
      <w:r>
        <w:rPr>
          <w:rFonts w:ascii="Times New Roman"/>
          <w:sz w:val="18"/>
        </w:rPr>
        <w:t>67</w:t>
      </w:r>
    </w:p>
    <w:p w14:paraId="50A526FD">
      <w:pPr>
        <w:spacing w:after="0"/>
        <w:jc w:val="center"/>
        <w:rPr>
          <w:rFonts w:ascii="Times New Roman"/>
          <w:sz w:val="18"/>
        </w:rPr>
        <w:sectPr>
          <w:footerReference r:id="rId8" w:type="default"/>
          <w:pgSz w:w="16840" w:h="11910" w:orient="landscape"/>
          <w:pgMar w:top="1100" w:right="1240" w:bottom="280" w:left="1240" w:header="0" w:footer="0" w:gutter="0"/>
          <w:cols w:space="720" w:num="1"/>
        </w:sectPr>
      </w:pPr>
    </w:p>
    <w:p w14:paraId="2CC66E8A">
      <w:pPr>
        <w:pStyle w:val="8"/>
        <w:spacing w:before="44"/>
        <w:ind w:left="215"/>
        <w:rPr>
          <w:rFonts w:hint="eastAsia" w:ascii="宋体" w:eastAsia="宋体"/>
        </w:rPr>
      </w:pPr>
      <w:r>
        <w:rPr>
          <w:rFonts w:hint="eastAsia" w:ascii="宋体" w:eastAsia="宋体"/>
        </w:rPr>
        <w:t>九、供应商认为需提供的其他资料</w:t>
      </w:r>
    </w:p>
    <w:p w14:paraId="74536AEA">
      <w:pPr>
        <w:spacing w:after="0"/>
        <w:rPr>
          <w:rFonts w:hint="eastAsia" w:ascii="宋体" w:eastAsia="宋体"/>
        </w:rPr>
        <w:sectPr>
          <w:footerReference r:id="rId9" w:type="default"/>
          <w:pgSz w:w="11910" w:h="16840"/>
          <w:pgMar w:top="1540" w:right="1120" w:bottom="1180" w:left="1200" w:header="0" w:footer="989" w:gutter="0"/>
          <w:pgNumType w:start="68"/>
          <w:cols w:space="720" w:num="1"/>
        </w:sectPr>
      </w:pPr>
    </w:p>
    <w:p w14:paraId="191B879E">
      <w:pPr>
        <w:pStyle w:val="8"/>
        <w:spacing w:before="44"/>
        <w:ind w:left="215"/>
        <w:jc w:val="both"/>
        <w:rPr>
          <w:rFonts w:hint="eastAsia" w:ascii="宋体" w:eastAsia="宋体"/>
        </w:rPr>
      </w:pPr>
      <w:r>
        <w:rPr>
          <w:rFonts w:hint="eastAsia" w:ascii="宋体" w:eastAsia="宋体"/>
        </w:rPr>
        <w:t>第二部分 技术部分</w:t>
      </w:r>
    </w:p>
    <w:p w14:paraId="51170859">
      <w:pPr>
        <w:pStyle w:val="8"/>
        <w:spacing w:before="112" w:line="312" w:lineRule="auto"/>
        <w:ind w:left="215" w:right="362" w:firstLine="492"/>
        <w:jc w:val="both"/>
        <w:rPr>
          <w:rFonts w:hint="eastAsia" w:ascii="宋体" w:eastAsia="宋体"/>
        </w:rPr>
      </w:pPr>
      <w:r>
        <w:rPr>
          <w:rFonts w:hint="eastAsia" w:ascii="宋体" w:eastAsia="宋体"/>
        </w:rPr>
        <w:t>投标人应根据项目采购需求、评标办法及评审内容和实际情况增加内容，但不得擅自减少有关内容，所有不完整的投标将可能被否决其参选，格式自拟，包括但不限于：</w:t>
      </w:r>
    </w:p>
    <w:p w14:paraId="65969D10">
      <w:pPr>
        <w:pStyle w:val="8"/>
        <w:spacing w:before="1" w:line="381" w:lineRule="auto"/>
        <w:ind w:left="215" w:right="3242" w:firstLine="492"/>
        <w:rPr>
          <w:rFonts w:hint="eastAsia" w:ascii="宋体" w:eastAsia="宋体"/>
        </w:rPr>
      </w:pPr>
      <w:r>
        <w:rPr>
          <w:rFonts w:hint="eastAsia" w:ascii="宋体" w:eastAsia="宋体"/>
        </w:rPr>
        <w:t>投标人应提交完整的组织方案至少应包括以下内容： 一、 项目实施方案、技术方案、服务方案或供货方案； 二、 投标供应商必须提供投标货物的详细参数说明；</w:t>
      </w:r>
    </w:p>
    <w:p w14:paraId="5EA39F8D">
      <w:pPr>
        <w:pStyle w:val="8"/>
        <w:spacing w:before="11" w:line="391" w:lineRule="auto"/>
        <w:ind w:left="215" w:right="6309"/>
        <w:rPr>
          <w:rFonts w:hint="eastAsia" w:ascii="宋体" w:eastAsia="宋体"/>
        </w:rPr>
      </w:pPr>
      <w:r>
        <w:rPr>
          <w:rFonts w:hint="eastAsia" w:ascii="宋体" w:eastAsia="宋体"/>
          <w:spacing w:val="2"/>
        </w:rPr>
        <w:t>三、 投标产品性能和质量； 四、 配送方案；</w:t>
      </w:r>
    </w:p>
    <w:p w14:paraId="29B35DD4">
      <w:pPr>
        <w:pStyle w:val="8"/>
        <w:spacing w:line="306" w:lineRule="exact"/>
        <w:ind w:left="215"/>
        <w:rPr>
          <w:rFonts w:hint="eastAsia" w:ascii="宋体" w:eastAsia="宋体"/>
        </w:rPr>
      </w:pPr>
      <w:r>
        <w:rPr>
          <w:rFonts w:hint="eastAsia" w:ascii="宋体" w:eastAsia="宋体"/>
          <w:spacing w:val="2"/>
        </w:rPr>
        <w:t>五、 到货要求；</w:t>
      </w:r>
    </w:p>
    <w:p w14:paraId="3C72AFE1">
      <w:pPr>
        <w:pStyle w:val="8"/>
        <w:spacing w:before="192" w:line="391" w:lineRule="auto"/>
        <w:ind w:left="215" w:right="6799"/>
        <w:rPr>
          <w:rFonts w:hint="eastAsia" w:ascii="宋体" w:eastAsia="宋体"/>
        </w:rPr>
      </w:pPr>
      <w:r>
        <w:rPr>
          <w:rFonts w:hint="eastAsia" w:ascii="宋体" w:eastAsia="宋体"/>
          <w:spacing w:val="3"/>
        </w:rPr>
        <w:t xml:space="preserve">六、 质量保证措施； </w:t>
      </w:r>
      <w:r>
        <w:rPr>
          <w:rFonts w:hint="eastAsia" w:ascii="宋体" w:eastAsia="宋体"/>
          <w:spacing w:val="1"/>
        </w:rPr>
        <w:t>七、 技术条款偏离表；</w:t>
      </w:r>
    </w:p>
    <w:p w14:paraId="4CDD4F6E">
      <w:pPr>
        <w:pStyle w:val="8"/>
        <w:spacing w:line="388" w:lineRule="auto"/>
        <w:ind w:left="215" w:right="3119"/>
        <w:rPr>
          <w:rFonts w:hint="eastAsia" w:ascii="宋体" w:eastAsia="宋体"/>
        </w:rPr>
      </w:pPr>
      <w:r>
        <w:rPr>
          <w:rFonts w:hint="eastAsia" w:ascii="宋体" w:eastAsia="宋体"/>
        </w:rPr>
        <w:t>八、 使用说明书、产品图册等证明材料须附彩色复印件； 九、 投标人售后服务承诺；</w:t>
      </w:r>
    </w:p>
    <w:p w14:paraId="1F8A8D81">
      <w:pPr>
        <w:pStyle w:val="8"/>
        <w:spacing w:line="283" w:lineRule="exact"/>
        <w:ind w:left="215"/>
        <w:rPr>
          <w:rFonts w:hint="eastAsia" w:ascii="宋体" w:eastAsia="宋体"/>
        </w:rPr>
      </w:pPr>
      <w:r>
        <w:rPr>
          <w:rFonts w:hint="eastAsia" w:ascii="宋体" w:eastAsia="宋体"/>
        </w:rPr>
        <w:t>十、 优惠条件；</w:t>
      </w:r>
    </w:p>
    <w:p w14:paraId="491A817A">
      <w:pPr>
        <w:pStyle w:val="8"/>
        <w:spacing w:before="171"/>
        <w:ind w:left="215"/>
        <w:rPr>
          <w:rFonts w:hint="eastAsia" w:ascii="宋体" w:eastAsia="宋体"/>
        </w:rPr>
      </w:pPr>
      <w:r>
        <w:rPr>
          <w:rFonts w:hint="eastAsia" w:ascii="宋体" w:eastAsia="宋体"/>
        </w:rPr>
        <w:t>十一、投标供应商认为有必要提供的声明及文件资料</w:t>
      </w:r>
    </w:p>
    <w:p w14:paraId="14CCC065">
      <w:pPr>
        <w:spacing w:after="0"/>
        <w:rPr>
          <w:rFonts w:hint="eastAsia" w:ascii="宋体" w:eastAsia="宋体"/>
        </w:rPr>
        <w:sectPr>
          <w:pgSz w:w="11910" w:h="16840"/>
          <w:pgMar w:top="1540" w:right="1120" w:bottom="1180" w:left="1200" w:header="0" w:footer="989" w:gutter="0"/>
          <w:cols w:space="720" w:num="1"/>
        </w:sectPr>
      </w:pPr>
    </w:p>
    <w:p w14:paraId="249E16BA">
      <w:pPr>
        <w:pStyle w:val="5"/>
        <w:spacing w:before="44"/>
        <w:ind w:left="2926" w:right="3007"/>
        <w:jc w:val="center"/>
        <w:rPr>
          <w:rFonts w:hint="eastAsia" w:ascii="宋体" w:eastAsia="宋体"/>
        </w:rPr>
      </w:pPr>
      <w:r>
        <w:rPr>
          <w:rFonts w:hint="eastAsia" w:ascii="宋体" w:eastAsia="宋体"/>
        </w:rPr>
        <w:t>技术条款偏离表</w:t>
      </w:r>
    </w:p>
    <w:p w14:paraId="0567C2B3">
      <w:pPr>
        <w:pStyle w:val="8"/>
        <w:rPr>
          <w:rFonts w:ascii="宋体"/>
          <w:b/>
          <w:sz w:val="28"/>
        </w:rPr>
      </w:pPr>
    </w:p>
    <w:p w14:paraId="7FA40DB1">
      <w:pPr>
        <w:pStyle w:val="8"/>
        <w:rPr>
          <w:rFonts w:ascii="宋体"/>
          <w:b/>
          <w:sz w:val="25"/>
        </w:rPr>
      </w:pPr>
    </w:p>
    <w:p w14:paraId="389ADC32">
      <w:pPr>
        <w:pStyle w:val="8"/>
        <w:tabs>
          <w:tab w:val="left" w:pos="6095"/>
        </w:tabs>
        <w:ind w:left="463"/>
        <w:rPr>
          <w:rFonts w:hint="eastAsia" w:ascii="宋体" w:eastAsia="宋体"/>
        </w:rPr>
      </w:pPr>
      <w:r>
        <w:rPr>
          <w:rFonts w:hint="eastAsia" w:ascii="宋体" w:eastAsia="宋体"/>
          <w:spacing w:val="4"/>
        </w:rPr>
        <w:t>项目名</w:t>
      </w:r>
      <w:r>
        <w:rPr>
          <w:rFonts w:hint="eastAsia" w:ascii="宋体" w:eastAsia="宋体"/>
          <w:spacing w:val="7"/>
        </w:rPr>
        <w:t>称</w:t>
      </w:r>
      <w:r>
        <w:rPr>
          <w:rFonts w:hint="eastAsia" w:ascii="宋体" w:eastAsia="宋体"/>
        </w:rPr>
        <w:t>：</w:t>
      </w:r>
      <w:r>
        <w:rPr>
          <w:rFonts w:hint="eastAsia" w:ascii="宋体" w:eastAsia="宋体"/>
        </w:rPr>
        <w:tab/>
      </w:r>
      <w:r>
        <w:rPr>
          <w:rFonts w:hint="eastAsia" w:ascii="宋体" w:eastAsia="宋体"/>
          <w:spacing w:val="4"/>
        </w:rPr>
        <w:t>项目编</w:t>
      </w:r>
      <w:r>
        <w:rPr>
          <w:rFonts w:hint="eastAsia" w:ascii="宋体" w:eastAsia="宋体"/>
          <w:spacing w:val="7"/>
        </w:rPr>
        <w:t>号</w:t>
      </w:r>
      <w:r>
        <w:rPr>
          <w:rFonts w:hint="eastAsia" w:ascii="宋体" w:eastAsia="宋体"/>
        </w:rPr>
        <w:t>：</w:t>
      </w:r>
    </w:p>
    <w:p w14:paraId="3180D04B">
      <w:pPr>
        <w:pStyle w:val="8"/>
        <w:spacing w:before="194" w:after="31"/>
        <w:ind w:left="460"/>
        <w:rPr>
          <w:rFonts w:hint="eastAsia" w:ascii="宋体" w:eastAsia="宋体"/>
        </w:rPr>
      </w:pPr>
      <w:r>
        <w:rPr>
          <w:rFonts w:hint="eastAsia" w:ascii="宋体" w:eastAsia="宋体"/>
        </w:rPr>
        <w:t>标段：</w:t>
      </w:r>
    </w:p>
    <w:tbl>
      <w:tblPr>
        <w:tblStyle w:val="11"/>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2050"/>
        <w:gridCol w:w="2463"/>
        <w:gridCol w:w="2451"/>
        <w:gridCol w:w="749"/>
        <w:gridCol w:w="888"/>
      </w:tblGrid>
      <w:tr w14:paraId="3C93C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764" w:type="dxa"/>
          </w:tcPr>
          <w:p w14:paraId="77D5EC74">
            <w:pPr>
              <w:pStyle w:val="15"/>
              <w:spacing w:before="5"/>
              <w:rPr>
                <w:rFonts w:ascii="宋体"/>
                <w:sz w:val="20"/>
              </w:rPr>
            </w:pPr>
          </w:p>
          <w:p w14:paraId="6F594A44">
            <w:pPr>
              <w:pStyle w:val="15"/>
              <w:ind w:left="135"/>
              <w:rPr>
                <w:rFonts w:hint="eastAsia" w:ascii="宋体" w:eastAsia="宋体"/>
                <w:sz w:val="24"/>
              </w:rPr>
            </w:pPr>
            <w:r>
              <w:rPr>
                <w:rFonts w:hint="eastAsia" w:ascii="宋体" w:eastAsia="宋体"/>
                <w:sz w:val="24"/>
              </w:rPr>
              <w:t>序号</w:t>
            </w:r>
          </w:p>
        </w:tc>
        <w:tc>
          <w:tcPr>
            <w:tcW w:w="2050" w:type="dxa"/>
          </w:tcPr>
          <w:p w14:paraId="7D950153">
            <w:pPr>
              <w:pStyle w:val="15"/>
              <w:spacing w:before="5"/>
              <w:rPr>
                <w:rFonts w:ascii="宋体"/>
                <w:sz w:val="20"/>
              </w:rPr>
            </w:pPr>
          </w:p>
          <w:p w14:paraId="27B0E08E">
            <w:pPr>
              <w:pStyle w:val="15"/>
              <w:ind w:left="165"/>
              <w:rPr>
                <w:rFonts w:hint="eastAsia" w:ascii="宋体" w:eastAsia="宋体"/>
                <w:sz w:val="24"/>
              </w:rPr>
            </w:pPr>
            <w:r>
              <w:rPr>
                <w:rFonts w:hint="eastAsia" w:ascii="宋体" w:eastAsia="宋体"/>
                <w:sz w:val="24"/>
              </w:rPr>
              <w:t>招标文件条目号</w:t>
            </w:r>
          </w:p>
        </w:tc>
        <w:tc>
          <w:tcPr>
            <w:tcW w:w="2463" w:type="dxa"/>
          </w:tcPr>
          <w:p w14:paraId="60DCF5BD">
            <w:pPr>
              <w:pStyle w:val="15"/>
              <w:spacing w:before="5"/>
              <w:rPr>
                <w:rFonts w:ascii="宋体"/>
                <w:sz w:val="20"/>
              </w:rPr>
            </w:pPr>
          </w:p>
          <w:p w14:paraId="453448A3">
            <w:pPr>
              <w:pStyle w:val="15"/>
              <w:ind w:left="127"/>
              <w:rPr>
                <w:rFonts w:hint="eastAsia" w:ascii="宋体" w:eastAsia="宋体"/>
                <w:sz w:val="24"/>
              </w:rPr>
            </w:pPr>
            <w:r>
              <w:rPr>
                <w:rFonts w:hint="eastAsia" w:ascii="宋体" w:eastAsia="宋体"/>
                <w:sz w:val="24"/>
              </w:rPr>
              <w:t>招标文件的技术条款</w:t>
            </w:r>
          </w:p>
        </w:tc>
        <w:tc>
          <w:tcPr>
            <w:tcW w:w="2451" w:type="dxa"/>
          </w:tcPr>
          <w:p w14:paraId="28057CF7">
            <w:pPr>
              <w:pStyle w:val="15"/>
              <w:spacing w:before="5"/>
              <w:rPr>
                <w:rFonts w:ascii="宋体"/>
                <w:sz w:val="20"/>
              </w:rPr>
            </w:pPr>
          </w:p>
          <w:p w14:paraId="1AEA1A44">
            <w:pPr>
              <w:pStyle w:val="15"/>
              <w:ind w:left="121"/>
              <w:rPr>
                <w:rFonts w:hint="eastAsia" w:ascii="宋体" w:eastAsia="宋体"/>
                <w:sz w:val="24"/>
              </w:rPr>
            </w:pPr>
            <w:r>
              <w:rPr>
                <w:rFonts w:hint="eastAsia" w:ascii="宋体" w:eastAsia="宋体"/>
                <w:sz w:val="24"/>
              </w:rPr>
              <w:t>投标文件的技术条款</w:t>
            </w:r>
          </w:p>
        </w:tc>
        <w:tc>
          <w:tcPr>
            <w:tcW w:w="749" w:type="dxa"/>
          </w:tcPr>
          <w:p w14:paraId="61A90997">
            <w:pPr>
              <w:pStyle w:val="15"/>
              <w:spacing w:before="5"/>
              <w:rPr>
                <w:rFonts w:ascii="宋体"/>
                <w:sz w:val="20"/>
              </w:rPr>
            </w:pPr>
          </w:p>
          <w:p w14:paraId="4C5C9C5D">
            <w:pPr>
              <w:pStyle w:val="15"/>
              <w:ind w:left="128"/>
              <w:rPr>
                <w:rFonts w:hint="eastAsia" w:ascii="宋体" w:eastAsia="宋体"/>
                <w:sz w:val="24"/>
              </w:rPr>
            </w:pPr>
            <w:r>
              <w:rPr>
                <w:rFonts w:hint="eastAsia" w:ascii="宋体" w:eastAsia="宋体"/>
                <w:sz w:val="24"/>
              </w:rPr>
              <w:t>偏离</w:t>
            </w:r>
          </w:p>
        </w:tc>
        <w:tc>
          <w:tcPr>
            <w:tcW w:w="888" w:type="dxa"/>
          </w:tcPr>
          <w:p w14:paraId="7CCD61BC">
            <w:pPr>
              <w:pStyle w:val="15"/>
              <w:spacing w:before="5"/>
              <w:rPr>
                <w:rFonts w:ascii="宋体"/>
                <w:sz w:val="20"/>
              </w:rPr>
            </w:pPr>
          </w:p>
          <w:p w14:paraId="67265016">
            <w:pPr>
              <w:pStyle w:val="15"/>
              <w:ind w:left="197"/>
              <w:rPr>
                <w:rFonts w:hint="eastAsia" w:ascii="宋体" w:eastAsia="宋体"/>
                <w:sz w:val="24"/>
              </w:rPr>
            </w:pPr>
            <w:r>
              <w:rPr>
                <w:rFonts w:hint="eastAsia" w:ascii="宋体" w:eastAsia="宋体"/>
                <w:sz w:val="24"/>
              </w:rPr>
              <w:t>说明</w:t>
            </w:r>
          </w:p>
        </w:tc>
      </w:tr>
      <w:tr w14:paraId="61273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64" w:type="dxa"/>
          </w:tcPr>
          <w:p w14:paraId="7482BDAB">
            <w:pPr>
              <w:pStyle w:val="15"/>
              <w:rPr>
                <w:rFonts w:ascii="Times New Roman"/>
                <w:sz w:val="24"/>
              </w:rPr>
            </w:pPr>
          </w:p>
        </w:tc>
        <w:tc>
          <w:tcPr>
            <w:tcW w:w="2050" w:type="dxa"/>
          </w:tcPr>
          <w:p w14:paraId="6933A2F4">
            <w:pPr>
              <w:pStyle w:val="15"/>
              <w:rPr>
                <w:rFonts w:ascii="Times New Roman"/>
                <w:sz w:val="24"/>
              </w:rPr>
            </w:pPr>
          </w:p>
        </w:tc>
        <w:tc>
          <w:tcPr>
            <w:tcW w:w="2463" w:type="dxa"/>
          </w:tcPr>
          <w:p w14:paraId="68E082B8">
            <w:pPr>
              <w:pStyle w:val="15"/>
              <w:rPr>
                <w:rFonts w:ascii="Times New Roman"/>
                <w:sz w:val="24"/>
              </w:rPr>
            </w:pPr>
          </w:p>
        </w:tc>
        <w:tc>
          <w:tcPr>
            <w:tcW w:w="2451" w:type="dxa"/>
          </w:tcPr>
          <w:p w14:paraId="58CD87BB">
            <w:pPr>
              <w:pStyle w:val="15"/>
              <w:rPr>
                <w:rFonts w:ascii="Times New Roman"/>
                <w:sz w:val="24"/>
              </w:rPr>
            </w:pPr>
          </w:p>
        </w:tc>
        <w:tc>
          <w:tcPr>
            <w:tcW w:w="749" w:type="dxa"/>
          </w:tcPr>
          <w:p w14:paraId="5CFF098E">
            <w:pPr>
              <w:pStyle w:val="15"/>
              <w:rPr>
                <w:rFonts w:ascii="Times New Roman"/>
                <w:sz w:val="24"/>
              </w:rPr>
            </w:pPr>
          </w:p>
        </w:tc>
        <w:tc>
          <w:tcPr>
            <w:tcW w:w="888" w:type="dxa"/>
          </w:tcPr>
          <w:p w14:paraId="107326E9">
            <w:pPr>
              <w:pStyle w:val="15"/>
              <w:rPr>
                <w:rFonts w:ascii="Times New Roman"/>
                <w:sz w:val="24"/>
              </w:rPr>
            </w:pPr>
          </w:p>
        </w:tc>
      </w:tr>
      <w:tr w14:paraId="4C4B1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64" w:type="dxa"/>
          </w:tcPr>
          <w:p w14:paraId="0CD786C6">
            <w:pPr>
              <w:pStyle w:val="15"/>
              <w:rPr>
                <w:rFonts w:ascii="Times New Roman"/>
                <w:sz w:val="24"/>
              </w:rPr>
            </w:pPr>
          </w:p>
        </w:tc>
        <w:tc>
          <w:tcPr>
            <w:tcW w:w="2050" w:type="dxa"/>
          </w:tcPr>
          <w:p w14:paraId="19248E22">
            <w:pPr>
              <w:pStyle w:val="15"/>
              <w:rPr>
                <w:rFonts w:ascii="Times New Roman"/>
                <w:sz w:val="24"/>
              </w:rPr>
            </w:pPr>
          </w:p>
        </w:tc>
        <w:tc>
          <w:tcPr>
            <w:tcW w:w="2463" w:type="dxa"/>
          </w:tcPr>
          <w:p w14:paraId="6580D65F">
            <w:pPr>
              <w:pStyle w:val="15"/>
              <w:rPr>
                <w:rFonts w:ascii="Times New Roman"/>
                <w:sz w:val="24"/>
              </w:rPr>
            </w:pPr>
          </w:p>
        </w:tc>
        <w:tc>
          <w:tcPr>
            <w:tcW w:w="2451" w:type="dxa"/>
          </w:tcPr>
          <w:p w14:paraId="0C2DDD6A">
            <w:pPr>
              <w:pStyle w:val="15"/>
              <w:rPr>
                <w:rFonts w:ascii="Times New Roman"/>
                <w:sz w:val="24"/>
              </w:rPr>
            </w:pPr>
          </w:p>
        </w:tc>
        <w:tc>
          <w:tcPr>
            <w:tcW w:w="749" w:type="dxa"/>
          </w:tcPr>
          <w:p w14:paraId="17876C74">
            <w:pPr>
              <w:pStyle w:val="15"/>
              <w:rPr>
                <w:rFonts w:ascii="Times New Roman"/>
                <w:sz w:val="24"/>
              </w:rPr>
            </w:pPr>
          </w:p>
        </w:tc>
        <w:tc>
          <w:tcPr>
            <w:tcW w:w="888" w:type="dxa"/>
          </w:tcPr>
          <w:p w14:paraId="2E17E176">
            <w:pPr>
              <w:pStyle w:val="15"/>
              <w:rPr>
                <w:rFonts w:ascii="Times New Roman"/>
                <w:sz w:val="24"/>
              </w:rPr>
            </w:pPr>
          </w:p>
        </w:tc>
      </w:tr>
      <w:tr w14:paraId="5B770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64" w:type="dxa"/>
          </w:tcPr>
          <w:p w14:paraId="3732E4D2">
            <w:pPr>
              <w:pStyle w:val="15"/>
              <w:rPr>
                <w:rFonts w:ascii="Times New Roman"/>
                <w:sz w:val="24"/>
              </w:rPr>
            </w:pPr>
          </w:p>
        </w:tc>
        <w:tc>
          <w:tcPr>
            <w:tcW w:w="2050" w:type="dxa"/>
          </w:tcPr>
          <w:p w14:paraId="42E655FF">
            <w:pPr>
              <w:pStyle w:val="15"/>
              <w:rPr>
                <w:rFonts w:ascii="Times New Roman"/>
                <w:sz w:val="24"/>
              </w:rPr>
            </w:pPr>
          </w:p>
        </w:tc>
        <w:tc>
          <w:tcPr>
            <w:tcW w:w="2463" w:type="dxa"/>
          </w:tcPr>
          <w:p w14:paraId="60F0C4A9">
            <w:pPr>
              <w:pStyle w:val="15"/>
              <w:rPr>
                <w:rFonts w:ascii="Times New Roman"/>
                <w:sz w:val="24"/>
              </w:rPr>
            </w:pPr>
          </w:p>
        </w:tc>
        <w:tc>
          <w:tcPr>
            <w:tcW w:w="2451" w:type="dxa"/>
          </w:tcPr>
          <w:p w14:paraId="6B562E66">
            <w:pPr>
              <w:pStyle w:val="15"/>
              <w:rPr>
                <w:rFonts w:ascii="Times New Roman"/>
                <w:sz w:val="24"/>
              </w:rPr>
            </w:pPr>
          </w:p>
        </w:tc>
        <w:tc>
          <w:tcPr>
            <w:tcW w:w="749" w:type="dxa"/>
          </w:tcPr>
          <w:p w14:paraId="21A27B7F">
            <w:pPr>
              <w:pStyle w:val="15"/>
              <w:rPr>
                <w:rFonts w:ascii="Times New Roman"/>
                <w:sz w:val="24"/>
              </w:rPr>
            </w:pPr>
          </w:p>
        </w:tc>
        <w:tc>
          <w:tcPr>
            <w:tcW w:w="888" w:type="dxa"/>
          </w:tcPr>
          <w:p w14:paraId="1B386B56">
            <w:pPr>
              <w:pStyle w:val="15"/>
              <w:rPr>
                <w:rFonts w:ascii="Times New Roman"/>
                <w:sz w:val="24"/>
              </w:rPr>
            </w:pPr>
          </w:p>
        </w:tc>
      </w:tr>
      <w:tr w14:paraId="13929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64" w:type="dxa"/>
          </w:tcPr>
          <w:p w14:paraId="76904D70">
            <w:pPr>
              <w:pStyle w:val="15"/>
              <w:rPr>
                <w:rFonts w:ascii="Times New Roman"/>
                <w:sz w:val="24"/>
              </w:rPr>
            </w:pPr>
          </w:p>
        </w:tc>
        <w:tc>
          <w:tcPr>
            <w:tcW w:w="2050" w:type="dxa"/>
          </w:tcPr>
          <w:p w14:paraId="2CDCFB6A">
            <w:pPr>
              <w:pStyle w:val="15"/>
              <w:rPr>
                <w:rFonts w:ascii="Times New Roman"/>
                <w:sz w:val="24"/>
              </w:rPr>
            </w:pPr>
          </w:p>
        </w:tc>
        <w:tc>
          <w:tcPr>
            <w:tcW w:w="2463" w:type="dxa"/>
          </w:tcPr>
          <w:p w14:paraId="14B86D40">
            <w:pPr>
              <w:pStyle w:val="15"/>
              <w:rPr>
                <w:rFonts w:ascii="Times New Roman"/>
                <w:sz w:val="24"/>
              </w:rPr>
            </w:pPr>
          </w:p>
        </w:tc>
        <w:tc>
          <w:tcPr>
            <w:tcW w:w="2451" w:type="dxa"/>
          </w:tcPr>
          <w:p w14:paraId="17FAA0A9">
            <w:pPr>
              <w:pStyle w:val="15"/>
              <w:rPr>
                <w:rFonts w:ascii="Times New Roman"/>
                <w:sz w:val="24"/>
              </w:rPr>
            </w:pPr>
          </w:p>
        </w:tc>
        <w:tc>
          <w:tcPr>
            <w:tcW w:w="749" w:type="dxa"/>
          </w:tcPr>
          <w:p w14:paraId="79C1294E">
            <w:pPr>
              <w:pStyle w:val="15"/>
              <w:rPr>
                <w:rFonts w:ascii="Times New Roman"/>
                <w:sz w:val="24"/>
              </w:rPr>
            </w:pPr>
          </w:p>
        </w:tc>
        <w:tc>
          <w:tcPr>
            <w:tcW w:w="888" w:type="dxa"/>
          </w:tcPr>
          <w:p w14:paraId="7CDB4A90">
            <w:pPr>
              <w:pStyle w:val="15"/>
              <w:rPr>
                <w:rFonts w:ascii="Times New Roman"/>
                <w:sz w:val="24"/>
              </w:rPr>
            </w:pPr>
          </w:p>
        </w:tc>
      </w:tr>
      <w:tr w14:paraId="568F4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64" w:type="dxa"/>
          </w:tcPr>
          <w:p w14:paraId="307FBA1D">
            <w:pPr>
              <w:pStyle w:val="15"/>
              <w:rPr>
                <w:rFonts w:ascii="Times New Roman"/>
                <w:sz w:val="24"/>
              </w:rPr>
            </w:pPr>
          </w:p>
        </w:tc>
        <w:tc>
          <w:tcPr>
            <w:tcW w:w="2050" w:type="dxa"/>
          </w:tcPr>
          <w:p w14:paraId="33BCB0C0">
            <w:pPr>
              <w:pStyle w:val="15"/>
              <w:rPr>
                <w:rFonts w:ascii="Times New Roman"/>
                <w:sz w:val="24"/>
              </w:rPr>
            </w:pPr>
          </w:p>
        </w:tc>
        <w:tc>
          <w:tcPr>
            <w:tcW w:w="2463" w:type="dxa"/>
          </w:tcPr>
          <w:p w14:paraId="5117F292">
            <w:pPr>
              <w:pStyle w:val="15"/>
              <w:rPr>
                <w:rFonts w:ascii="Times New Roman"/>
                <w:sz w:val="24"/>
              </w:rPr>
            </w:pPr>
          </w:p>
        </w:tc>
        <w:tc>
          <w:tcPr>
            <w:tcW w:w="2451" w:type="dxa"/>
          </w:tcPr>
          <w:p w14:paraId="01C88BB0">
            <w:pPr>
              <w:pStyle w:val="15"/>
              <w:rPr>
                <w:rFonts w:ascii="Times New Roman"/>
                <w:sz w:val="24"/>
              </w:rPr>
            </w:pPr>
          </w:p>
        </w:tc>
        <w:tc>
          <w:tcPr>
            <w:tcW w:w="749" w:type="dxa"/>
          </w:tcPr>
          <w:p w14:paraId="7D4B05A4">
            <w:pPr>
              <w:pStyle w:val="15"/>
              <w:rPr>
                <w:rFonts w:ascii="Times New Roman"/>
                <w:sz w:val="24"/>
              </w:rPr>
            </w:pPr>
          </w:p>
        </w:tc>
        <w:tc>
          <w:tcPr>
            <w:tcW w:w="888" w:type="dxa"/>
          </w:tcPr>
          <w:p w14:paraId="1192E4DF">
            <w:pPr>
              <w:pStyle w:val="15"/>
              <w:rPr>
                <w:rFonts w:ascii="Times New Roman"/>
                <w:sz w:val="24"/>
              </w:rPr>
            </w:pPr>
          </w:p>
        </w:tc>
      </w:tr>
      <w:tr w14:paraId="41526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64" w:type="dxa"/>
          </w:tcPr>
          <w:p w14:paraId="2DA048CB">
            <w:pPr>
              <w:pStyle w:val="15"/>
              <w:rPr>
                <w:rFonts w:ascii="Times New Roman"/>
                <w:sz w:val="24"/>
              </w:rPr>
            </w:pPr>
          </w:p>
        </w:tc>
        <w:tc>
          <w:tcPr>
            <w:tcW w:w="2050" w:type="dxa"/>
          </w:tcPr>
          <w:p w14:paraId="3C77DF05">
            <w:pPr>
              <w:pStyle w:val="15"/>
              <w:rPr>
                <w:rFonts w:ascii="Times New Roman"/>
                <w:sz w:val="24"/>
              </w:rPr>
            </w:pPr>
          </w:p>
        </w:tc>
        <w:tc>
          <w:tcPr>
            <w:tcW w:w="2463" w:type="dxa"/>
          </w:tcPr>
          <w:p w14:paraId="799566BF">
            <w:pPr>
              <w:pStyle w:val="15"/>
              <w:rPr>
                <w:rFonts w:ascii="Times New Roman"/>
                <w:sz w:val="24"/>
              </w:rPr>
            </w:pPr>
          </w:p>
        </w:tc>
        <w:tc>
          <w:tcPr>
            <w:tcW w:w="2451" w:type="dxa"/>
          </w:tcPr>
          <w:p w14:paraId="7EFD0531">
            <w:pPr>
              <w:pStyle w:val="15"/>
              <w:rPr>
                <w:rFonts w:ascii="Times New Roman"/>
                <w:sz w:val="24"/>
              </w:rPr>
            </w:pPr>
          </w:p>
        </w:tc>
        <w:tc>
          <w:tcPr>
            <w:tcW w:w="749" w:type="dxa"/>
          </w:tcPr>
          <w:p w14:paraId="4F7806C9">
            <w:pPr>
              <w:pStyle w:val="15"/>
              <w:rPr>
                <w:rFonts w:ascii="Times New Roman"/>
                <w:sz w:val="24"/>
              </w:rPr>
            </w:pPr>
          </w:p>
        </w:tc>
        <w:tc>
          <w:tcPr>
            <w:tcW w:w="888" w:type="dxa"/>
          </w:tcPr>
          <w:p w14:paraId="7E422CB7">
            <w:pPr>
              <w:pStyle w:val="15"/>
              <w:rPr>
                <w:rFonts w:ascii="Times New Roman"/>
                <w:sz w:val="24"/>
              </w:rPr>
            </w:pPr>
          </w:p>
        </w:tc>
      </w:tr>
    </w:tbl>
    <w:p w14:paraId="1E990BF3">
      <w:pPr>
        <w:pStyle w:val="8"/>
        <w:spacing w:before="112"/>
        <w:ind w:left="215"/>
        <w:rPr>
          <w:rFonts w:hint="eastAsia" w:ascii="宋体" w:eastAsia="宋体"/>
        </w:rPr>
      </w:pPr>
      <w:r>
        <w:rPr>
          <w:rFonts w:hint="eastAsia" w:ascii="宋体" w:eastAsia="宋体"/>
        </w:rPr>
        <w:t>注：</w:t>
      </w:r>
    </w:p>
    <w:p w14:paraId="20A4B290">
      <w:pPr>
        <w:pStyle w:val="14"/>
        <w:numPr>
          <w:ilvl w:val="0"/>
          <w:numId w:val="54"/>
        </w:numPr>
        <w:tabs>
          <w:tab w:val="left" w:pos="636"/>
        </w:tabs>
        <w:spacing w:before="135" w:after="0" w:line="343" w:lineRule="auto"/>
        <w:ind w:left="643" w:right="371" w:hanging="420"/>
        <w:jc w:val="left"/>
        <w:rPr>
          <w:rFonts w:hint="eastAsia" w:ascii="宋体" w:eastAsia="宋体"/>
          <w:sz w:val="24"/>
        </w:rPr>
      </w:pPr>
      <w:r>
        <w:rPr>
          <w:rFonts w:hint="eastAsia" w:ascii="宋体" w:eastAsia="宋体"/>
          <w:spacing w:val="3"/>
          <w:sz w:val="24"/>
        </w:rPr>
        <w:t>投标人应当逐条对照招标文件技术条款，就投标文件对技术条款存在的偏差与例外逐条做出说明；</w:t>
      </w:r>
    </w:p>
    <w:p w14:paraId="2D4427C7">
      <w:pPr>
        <w:pStyle w:val="14"/>
        <w:numPr>
          <w:ilvl w:val="0"/>
          <w:numId w:val="54"/>
        </w:numPr>
        <w:tabs>
          <w:tab w:val="left" w:pos="636"/>
        </w:tabs>
        <w:spacing w:before="47" w:after="0" w:line="391" w:lineRule="auto"/>
        <w:ind w:left="643" w:right="177" w:hanging="420"/>
        <w:jc w:val="left"/>
        <w:rPr>
          <w:rFonts w:hint="eastAsia" w:ascii="宋体" w:hAnsi="宋体" w:eastAsia="宋体"/>
          <w:sz w:val="24"/>
        </w:rPr>
      </w:pPr>
      <w:r>
        <w:rPr>
          <w:rFonts w:hint="eastAsia" w:ascii="宋体" w:hAnsi="宋体" w:eastAsia="宋体"/>
          <w:spacing w:val="1"/>
          <w:sz w:val="24"/>
        </w:rPr>
        <w:t>如投标文件对技术条款无任何偏差，投标人仅需在本偏离表中填写</w:t>
      </w:r>
      <w:r>
        <w:rPr>
          <w:rFonts w:ascii="Times New Roman" w:hAnsi="Times New Roman" w:eastAsia="Times New Roman"/>
          <w:spacing w:val="3"/>
          <w:sz w:val="24"/>
        </w:rPr>
        <w:t>“</w:t>
      </w:r>
      <w:r>
        <w:rPr>
          <w:rFonts w:hint="eastAsia" w:ascii="宋体" w:hAnsi="宋体" w:eastAsia="宋体"/>
          <w:spacing w:val="4"/>
          <w:sz w:val="24"/>
        </w:rPr>
        <w:t>无偏离</w:t>
      </w:r>
      <w:r>
        <w:rPr>
          <w:rFonts w:ascii="Times New Roman" w:hAnsi="Times New Roman" w:eastAsia="Times New Roman"/>
          <w:spacing w:val="3"/>
          <w:sz w:val="24"/>
        </w:rPr>
        <w:t>”</w:t>
      </w:r>
      <w:r>
        <w:rPr>
          <w:rFonts w:hint="eastAsia" w:ascii="宋体" w:hAnsi="宋体" w:eastAsia="宋体"/>
          <w:spacing w:val="2"/>
          <w:sz w:val="24"/>
        </w:rPr>
        <w:t xml:space="preserve">即可， </w:t>
      </w:r>
      <w:r>
        <w:rPr>
          <w:rFonts w:hint="eastAsia" w:ascii="宋体" w:hAnsi="宋体" w:eastAsia="宋体"/>
          <w:spacing w:val="-1"/>
          <w:sz w:val="24"/>
          <w:highlight w:val="none"/>
        </w:rPr>
        <w:t xml:space="preserve">每出现一处不响应格式要求的扣技术总分 </w:t>
      </w:r>
      <w:r>
        <w:rPr>
          <w:rFonts w:hint="eastAsia" w:ascii="宋体" w:hAnsi="宋体" w:eastAsia="宋体"/>
          <w:sz w:val="24"/>
          <w:highlight w:val="none"/>
        </w:rPr>
        <w:t>1</w:t>
      </w:r>
      <w:r>
        <w:rPr>
          <w:rFonts w:hint="eastAsia" w:ascii="宋体" w:hAnsi="宋体" w:eastAsia="宋体"/>
          <w:spacing w:val="-18"/>
          <w:sz w:val="24"/>
          <w:highlight w:val="none"/>
        </w:rPr>
        <w:t xml:space="preserve"> 分。</w:t>
      </w:r>
    </w:p>
    <w:p w14:paraId="0457930B">
      <w:pPr>
        <w:pStyle w:val="8"/>
        <w:rPr>
          <w:rFonts w:ascii="宋体"/>
        </w:rPr>
      </w:pPr>
    </w:p>
    <w:p w14:paraId="35D5F391">
      <w:pPr>
        <w:pStyle w:val="8"/>
        <w:rPr>
          <w:rFonts w:ascii="宋体"/>
        </w:rPr>
      </w:pPr>
    </w:p>
    <w:p w14:paraId="32301508">
      <w:pPr>
        <w:pStyle w:val="8"/>
        <w:spacing w:before="12"/>
        <w:rPr>
          <w:rFonts w:ascii="宋体"/>
          <w:sz w:val="29"/>
        </w:rPr>
      </w:pPr>
    </w:p>
    <w:p w14:paraId="3B2B0E70">
      <w:pPr>
        <w:pStyle w:val="8"/>
        <w:ind w:left="2943" w:right="3007"/>
        <w:jc w:val="center"/>
        <w:rPr>
          <w:rFonts w:hint="eastAsia" w:ascii="宋体" w:eastAsia="宋体"/>
        </w:rPr>
      </w:pPr>
      <w:r>
        <w:rPr>
          <w:rFonts w:hint="eastAsia" w:ascii="宋体" w:eastAsia="宋体"/>
        </w:rPr>
        <w:t>供应商名称(公章)：____________</w:t>
      </w:r>
    </w:p>
    <w:p w14:paraId="000A954B">
      <w:pPr>
        <w:pStyle w:val="8"/>
        <w:spacing w:before="192"/>
        <w:ind w:left="2923"/>
        <w:rPr>
          <w:rFonts w:hint="eastAsia" w:ascii="宋体" w:eastAsia="宋体"/>
        </w:rPr>
      </w:pPr>
      <w:r>
        <w:rPr>
          <w:rFonts w:hint="eastAsia" w:ascii="宋体" w:eastAsia="宋体"/>
        </w:rPr>
        <w:t>法定代表人或其授权代表(签字或盖章)：____________</w:t>
      </w:r>
    </w:p>
    <w:p w14:paraId="701DDFAA">
      <w:pPr>
        <w:pStyle w:val="8"/>
        <w:tabs>
          <w:tab w:val="left" w:leader="underscore" w:pos="5863"/>
        </w:tabs>
        <w:spacing w:before="192"/>
        <w:ind w:left="2923"/>
        <w:rPr>
          <w:rFonts w:hint="eastAsia" w:ascii="宋体" w:eastAsia="宋体"/>
        </w:rPr>
      </w:pPr>
      <w:r>
        <w:rPr>
          <w:rFonts w:hint="eastAsia" w:ascii="宋体" w:eastAsia="宋体"/>
          <w:spacing w:val="4"/>
        </w:rPr>
        <w:t>日期</w:t>
      </w:r>
      <w:r>
        <w:rPr>
          <w:rFonts w:hint="eastAsia" w:ascii="宋体" w:eastAsia="宋体"/>
          <w:spacing w:val="2"/>
        </w:rPr>
        <w:t>：______</w:t>
      </w:r>
      <w:r>
        <w:rPr>
          <w:rFonts w:hint="eastAsia" w:ascii="宋体" w:eastAsia="宋体"/>
          <w:spacing w:val="7"/>
        </w:rPr>
        <w:t>年</w:t>
      </w:r>
      <w:r>
        <w:rPr>
          <w:rFonts w:hint="eastAsia" w:ascii="宋体" w:eastAsia="宋体"/>
          <w:spacing w:val="123"/>
          <w:u w:val="single"/>
        </w:rPr>
        <w:t xml:space="preserve"> </w:t>
      </w:r>
      <w:r>
        <w:rPr>
          <w:rFonts w:hint="eastAsia" w:ascii="宋体" w:eastAsia="宋体"/>
          <w:spacing w:val="3"/>
        </w:rPr>
        <w:t>__</w:t>
      </w:r>
      <w:r>
        <w:rPr>
          <w:rFonts w:hint="eastAsia" w:ascii="宋体" w:eastAsia="宋体"/>
        </w:rPr>
        <w:t>月</w:t>
      </w:r>
      <w:r>
        <w:rPr>
          <w:rFonts w:hint="eastAsia" w:ascii="宋体" w:eastAsia="宋体"/>
        </w:rPr>
        <w:tab/>
      </w:r>
      <w:r>
        <w:rPr>
          <w:rFonts w:hint="eastAsia" w:ascii="宋体" w:eastAsia="宋体"/>
        </w:rPr>
        <w:t>日</w:t>
      </w:r>
    </w:p>
    <w:p w14:paraId="6220B105">
      <w:pPr>
        <w:spacing w:after="0"/>
        <w:rPr>
          <w:rFonts w:hint="eastAsia" w:ascii="宋体" w:eastAsia="宋体"/>
        </w:rPr>
        <w:sectPr>
          <w:pgSz w:w="11910" w:h="16840"/>
          <w:pgMar w:top="1500" w:right="1120" w:bottom="1180" w:left="1200" w:header="0" w:footer="989" w:gutter="0"/>
          <w:cols w:space="720" w:num="1"/>
        </w:sectPr>
      </w:pPr>
    </w:p>
    <w:p w14:paraId="6DC538AD">
      <w:pPr>
        <w:pStyle w:val="5"/>
        <w:spacing w:before="44"/>
        <w:ind w:left="215"/>
        <w:rPr>
          <w:rFonts w:hint="eastAsia" w:ascii="宋体" w:eastAsia="宋体"/>
        </w:rPr>
      </w:pPr>
      <w:r>
        <w:rPr>
          <w:rFonts w:hint="eastAsia" w:ascii="宋体" w:eastAsia="宋体"/>
        </w:rPr>
        <w:t>其他证明材料</w:t>
      </w:r>
    </w:p>
    <w:sectPr>
      <w:pgSz w:w="11910" w:h="16840"/>
      <w:pgMar w:top="1500" w:right="1120" w:bottom="1180" w:left="1200" w:header="0" w:footer="98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UI 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A378A">
    <w:pPr>
      <w:pStyle w:val="8"/>
      <w:spacing w:line="14" w:lineRule="auto"/>
      <w:rPr>
        <w:sz w:val="12"/>
      </w:rPr>
    </w:pPr>
    <w:r>
      <mc:AlternateContent>
        <mc:Choice Requires="wps">
          <w:drawing>
            <wp:anchor distT="0" distB="0" distL="114300" distR="114300" simplePos="0" relativeHeight="251663360" behindDoc="1" locked="0" layoutInCell="1" allowOverlap="1">
              <wp:simplePos x="0" y="0"/>
              <wp:positionH relativeFrom="page">
                <wp:posOffset>3684905</wp:posOffset>
              </wp:positionH>
              <wp:positionV relativeFrom="page">
                <wp:posOffset>9924415</wp:posOffset>
              </wp:positionV>
              <wp:extent cx="191770" cy="1524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91770" cy="152400"/>
                      </a:xfrm>
                      <a:prstGeom prst="rect">
                        <a:avLst/>
                      </a:prstGeom>
                      <a:noFill/>
                      <a:ln>
                        <a:noFill/>
                      </a:ln>
                    </wps:spPr>
                    <wps:txbx>
                      <w:txbxContent>
                        <w:p w14:paraId="5524FDF5">
                          <w:pPr>
                            <w:spacing w:before="12"/>
                            <w:ind w:left="6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0.15pt;margin-top:781.45pt;height:12pt;width:15.1pt;mso-position-horizontal-relative:page;mso-position-vertical-relative:page;z-index:-251653120;mso-width-relative:page;mso-height-relative:page;" filled="f" stroked="f" coordsize="21600,21600" o:gfxdata="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XjZdvNoAAAANAQAADwAAAAAAAAABACAAAAAiAAAAZHJzL2Rvd25yZXYueG1sUEsB&#10;AhQAFAAAAAgAh07iQNVgN/y6AQAAcgMAAA4AAAAAAAAAAQAgAAAAKQEAAGRycy9lMm9Eb2MueG1s&#10;UEsFBgAAAAAGAAYAWQEAAFUFAAAAAA==&#10;">
              <v:fill on="f" focussize="0,0"/>
              <v:stroke on="f"/>
              <v:imagedata o:title=""/>
              <o:lock v:ext="edit" aspectratio="f"/>
              <v:textbox inset="0mm,0mm,0mm,0mm">
                <w:txbxContent>
                  <w:p w14:paraId="5524FDF5">
                    <w:pPr>
                      <w:spacing w:before="12"/>
                      <w:ind w:left="6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6D396">
    <w:pPr>
      <w:pStyle w:val="8"/>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6A3AC">
    <w:pPr>
      <w:pStyle w:val="8"/>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3684905</wp:posOffset>
              </wp:positionH>
              <wp:positionV relativeFrom="page">
                <wp:posOffset>9924415</wp:posOffset>
              </wp:positionV>
              <wp:extent cx="191770" cy="152400"/>
              <wp:effectExtent l="0" t="0" r="0" b="0"/>
              <wp:wrapNone/>
              <wp:docPr id="12" name="文本框 2"/>
              <wp:cNvGraphicFramePr/>
              <a:graphic xmlns:a="http://schemas.openxmlformats.org/drawingml/2006/main">
                <a:graphicData uri="http://schemas.microsoft.com/office/word/2010/wordprocessingShape">
                  <wps:wsp>
                    <wps:cNvSpPr txBox="1"/>
                    <wps:spPr>
                      <a:xfrm>
                        <a:off x="0" y="0"/>
                        <a:ext cx="191770" cy="152400"/>
                      </a:xfrm>
                      <a:prstGeom prst="rect">
                        <a:avLst/>
                      </a:prstGeom>
                      <a:noFill/>
                      <a:ln>
                        <a:noFill/>
                      </a:ln>
                    </wps:spPr>
                    <wps:txbx>
                      <w:txbxContent>
                        <w:p w14:paraId="0C9874C7">
                          <w:pPr>
                            <w:spacing w:before="12"/>
                            <w:ind w:left="60" w:right="0" w:firstLine="0"/>
                            <w:jc w:val="left"/>
                            <w:rPr>
                              <w:rFonts w:ascii="Times New Roman"/>
                              <w:sz w:val="18"/>
                            </w:rPr>
                          </w:pPr>
                          <w:r>
                            <w:fldChar w:fldCharType="begin"/>
                          </w:r>
                          <w:r>
                            <w:rPr>
                              <w:rFonts w:ascii="Times New Roman"/>
                              <w:sz w:val="18"/>
                            </w:rPr>
                            <w:instrText xml:space="preserve"> PAGE </w:instrText>
                          </w:r>
                          <w:r>
                            <w:fldChar w:fldCharType="separate"/>
                          </w:r>
                          <w:r>
                            <w:t>57</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0.15pt;margin-top:781.45pt;height:12pt;width:15.1pt;mso-position-horizontal-relative:page;mso-position-vertical-relative:page;z-index:-251652096;mso-width-relative:page;mso-height-relative:page;" filled="f" stroked="f" coordsize="21600,21600" o:gfxdata="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XjZdvNoAAAANAQAADwAAAAAAAAABACAAAAAiAAAAZHJzL2Rvd25yZXYueG1sUEsB&#10;AhQAFAAAAAgAh07iQIt0PMK6AQAAcgMAAA4AAAAAAAAAAQAgAAAAKQEAAGRycy9lMm9Eb2MueG1s&#10;UEsFBgAAAAAGAAYAWQEAAFUFAAAAAA==&#10;">
              <v:fill on="f" focussize="0,0"/>
              <v:stroke on="f"/>
              <v:imagedata o:title=""/>
              <o:lock v:ext="edit" aspectratio="f"/>
              <v:textbox inset="0mm,0mm,0mm,0mm">
                <w:txbxContent>
                  <w:p w14:paraId="0C9874C7">
                    <w:pPr>
                      <w:spacing w:before="12"/>
                      <w:ind w:left="60" w:right="0" w:firstLine="0"/>
                      <w:jc w:val="left"/>
                      <w:rPr>
                        <w:rFonts w:ascii="Times New Roman"/>
                        <w:sz w:val="18"/>
                      </w:rPr>
                    </w:pPr>
                    <w:r>
                      <w:fldChar w:fldCharType="begin"/>
                    </w:r>
                    <w:r>
                      <w:rPr>
                        <w:rFonts w:ascii="Times New Roman"/>
                        <w:sz w:val="18"/>
                      </w:rPr>
                      <w:instrText xml:space="preserve"> PAGE </w:instrText>
                    </w:r>
                    <w:r>
                      <w:fldChar w:fldCharType="separate"/>
                    </w:r>
                    <w:r>
                      <w:t>57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2E1B8">
    <w:pPr>
      <w:pStyle w:val="8"/>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2EE8F">
    <w:pPr>
      <w:pStyle w:val="8"/>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3683000</wp:posOffset>
              </wp:positionH>
              <wp:positionV relativeFrom="page">
                <wp:posOffset>9924415</wp:posOffset>
              </wp:positionV>
              <wp:extent cx="191770" cy="152400"/>
              <wp:effectExtent l="0" t="0" r="0" b="0"/>
              <wp:wrapNone/>
              <wp:docPr id="13" name="文本框 3"/>
              <wp:cNvGraphicFramePr/>
              <a:graphic xmlns:a="http://schemas.openxmlformats.org/drawingml/2006/main">
                <a:graphicData uri="http://schemas.microsoft.com/office/word/2010/wordprocessingShape">
                  <wps:wsp>
                    <wps:cNvSpPr txBox="1"/>
                    <wps:spPr>
                      <a:xfrm>
                        <a:off x="0" y="0"/>
                        <a:ext cx="191770" cy="152400"/>
                      </a:xfrm>
                      <a:prstGeom prst="rect">
                        <a:avLst/>
                      </a:prstGeom>
                      <a:noFill/>
                      <a:ln>
                        <a:noFill/>
                      </a:ln>
                    </wps:spPr>
                    <wps:txbx>
                      <w:txbxContent>
                        <w:p w14:paraId="6888C125">
                          <w:pPr>
                            <w:spacing w:before="12"/>
                            <w:ind w:left="60" w:right="0" w:firstLine="0"/>
                            <w:jc w:val="left"/>
                            <w:rPr>
                              <w:rFonts w:ascii="Times New Roman"/>
                              <w:sz w:val="18"/>
                            </w:rPr>
                          </w:pPr>
                          <w:r>
                            <w:fldChar w:fldCharType="begin"/>
                          </w:r>
                          <w:r>
                            <w:rPr>
                              <w:rFonts w:ascii="Times New Roman"/>
                              <w:sz w:val="18"/>
                            </w:rPr>
                            <w:instrText xml:space="preserve"> PAGE </w:instrText>
                          </w:r>
                          <w:r>
                            <w:fldChar w:fldCharType="separate"/>
                          </w:r>
                          <w:r>
                            <w:t>68</w:t>
                          </w:r>
                          <w:r>
                            <w:fldChar w:fldCharType="end"/>
                          </w:r>
                        </w:p>
                      </w:txbxContent>
                    </wps:txbx>
                    <wps:bodyPr lIns="0" tIns="0" rIns="0" bIns="0" upright="1"/>
                  </wps:wsp>
                </a:graphicData>
              </a:graphic>
            </wp:anchor>
          </w:drawing>
        </mc:Choice>
        <mc:Fallback>
          <w:pict>
            <v:shape id="文本框 3" o:spid="_x0000_s1026" o:spt="202" type="#_x0000_t202" style="position:absolute;left:0pt;margin-left:290pt;margin-top:781.45pt;height:12pt;width:15.1pt;mso-position-horizontal-relative:page;mso-position-vertical-relative:page;z-index:-251652096;mso-width-relative:page;mso-height-relative:page;" filled="f" stroked="f" coordsize="21600,21600" o:gfxdata="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HCukI2gAAAA0BAAAPAAAAAAAAAAEAIAAAACIAAABkcnMvZG93bnJldi54bWxQSwEC&#10;FAAUAAAACACHTuJAfoUVYbkBAAByAwAADgAAAAAAAAABACAAAAApAQAAZHJzL2Uyb0RvYy54bWxQ&#10;SwUGAAAAAAYABgBZAQAAVAUAAAAA&#10;">
              <v:fill on="f" focussize="0,0"/>
              <v:stroke on="f"/>
              <v:imagedata o:title=""/>
              <o:lock v:ext="edit" aspectratio="f"/>
              <v:textbox inset="0mm,0mm,0mm,0mm">
                <w:txbxContent>
                  <w:p w14:paraId="6888C125">
                    <w:pPr>
                      <w:spacing w:before="12"/>
                      <w:ind w:left="60" w:right="0" w:firstLine="0"/>
                      <w:jc w:val="left"/>
                      <w:rPr>
                        <w:rFonts w:ascii="Times New Roman"/>
                        <w:sz w:val="18"/>
                      </w:rPr>
                    </w:pPr>
                    <w:r>
                      <w:fldChar w:fldCharType="begin"/>
                    </w:r>
                    <w:r>
                      <w:rPr>
                        <w:rFonts w:ascii="Times New Roman"/>
                        <w:sz w:val="18"/>
                      </w:rPr>
                      <w:instrText xml:space="preserve"> PAGE </w:instrText>
                    </w:r>
                    <w:r>
                      <w:fldChar w:fldCharType="separate"/>
                    </w:r>
                    <w:r>
                      <w:t>68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49"/>
      <w:numFmt w:val="decimal"/>
      <w:lvlText w:val="%1"/>
      <w:lvlJc w:val="left"/>
      <w:pPr>
        <w:ind w:left="420" w:hanging="540"/>
        <w:jc w:val="left"/>
      </w:pPr>
      <w:rPr>
        <w:rFonts w:hint="default"/>
        <w:lang w:val="en-US" w:eastAsia="zh-CN" w:bidi="ar-SA"/>
      </w:rPr>
    </w:lvl>
    <w:lvl w:ilvl="1" w:tentative="0">
      <w:start w:val="2"/>
      <w:numFmt w:val="decimal"/>
      <w:lvlText w:val="%1.%2"/>
      <w:lvlJc w:val="left"/>
      <w:pPr>
        <w:ind w:left="420" w:hanging="540"/>
        <w:jc w:val="left"/>
      </w:pPr>
      <w:rPr>
        <w:rFonts w:hint="default" w:ascii="仿宋" w:hAnsi="仿宋" w:eastAsia="仿宋" w:cs="仿宋"/>
        <w:w w:val="100"/>
        <w:sz w:val="24"/>
        <w:szCs w:val="24"/>
        <w:lang w:val="en-US" w:eastAsia="zh-CN" w:bidi="ar-SA"/>
      </w:rPr>
    </w:lvl>
    <w:lvl w:ilvl="2" w:tentative="0">
      <w:start w:val="0"/>
      <w:numFmt w:val="bullet"/>
      <w:lvlText w:val="•"/>
      <w:lvlJc w:val="left"/>
      <w:pPr>
        <w:ind w:left="2453" w:hanging="540"/>
      </w:pPr>
      <w:rPr>
        <w:rFonts w:hint="default"/>
        <w:lang w:val="en-US" w:eastAsia="zh-CN" w:bidi="ar-SA"/>
      </w:rPr>
    </w:lvl>
    <w:lvl w:ilvl="3" w:tentative="0">
      <w:start w:val="0"/>
      <w:numFmt w:val="bullet"/>
      <w:lvlText w:val="•"/>
      <w:lvlJc w:val="left"/>
      <w:pPr>
        <w:ind w:left="3469" w:hanging="540"/>
      </w:pPr>
      <w:rPr>
        <w:rFonts w:hint="default"/>
        <w:lang w:val="en-US" w:eastAsia="zh-CN" w:bidi="ar-SA"/>
      </w:rPr>
    </w:lvl>
    <w:lvl w:ilvl="4" w:tentative="0">
      <w:start w:val="0"/>
      <w:numFmt w:val="bullet"/>
      <w:lvlText w:val="•"/>
      <w:lvlJc w:val="left"/>
      <w:pPr>
        <w:ind w:left="4486" w:hanging="540"/>
      </w:pPr>
      <w:rPr>
        <w:rFonts w:hint="default"/>
        <w:lang w:val="en-US" w:eastAsia="zh-CN" w:bidi="ar-SA"/>
      </w:rPr>
    </w:lvl>
    <w:lvl w:ilvl="5" w:tentative="0">
      <w:start w:val="0"/>
      <w:numFmt w:val="bullet"/>
      <w:lvlText w:val="•"/>
      <w:lvlJc w:val="left"/>
      <w:pPr>
        <w:ind w:left="5503" w:hanging="540"/>
      </w:pPr>
      <w:rPr>
        <w:rFonts w:hint="default"/>
        <w:lang w:val="en-US" w:eastAsia="zh-CN" w:bidi="ar-SA"/>
      </w:rPr>
    </w:lvl>
    <w:lvl w:ilvl="6" w:tentative="0">
      <w:start w:val="0"/>
      <w:numFmt w:val="bullet"/>
      <w:lvlText w:val="•"/>
      <w:lvlJc w:val="left"/>
      <w:pPr>
        <w:ind w:left="6519" w:hanging="540"/>
      </w:pPr>
      <w:rPr>
        <w:rFonts w:hint="default"/>
        <w:lang w:val="en-US" w:eastAsia="zh-CN" w:bidi="ar-SA"/>
      </w:rPr>
    </w:lvl>
    <w:lvl w:ilvl="7" w:tentative="0">
      <w:start w:val="0"/>
      <w:numFmt w:val="bullet"/>
      <w:lvlText w:val="•"/>
      <w:lvlJc w:val="left"/>
      <w:pPr>
        <w:ind w:left="7536" w:hanging="540"/>
      </w:pPr>
      <w:rPr>
        <w:rFonts w:hint="default"/>
        <w:lang w:val="en-US" w:eastAsia="zh-CN" w:bidi="ar-SA"/>
      </w:rPr>
    </w:lvl>
    <w:lvl w:ilvl="8" w:tentative="0">
      <w:start w:val="0"/>
      <w:numFmt w:val="bullet"/>
      <w:lvlText w:val="•"/>
      <w:lvlJc w:val="left"/>
      <w:pPr>
        <w:ind w:left="8552" w:hanging="540"/>
      </w:pPr>
      <w:rPr>
        <w:rFonts w:hint="default"/>
        <w:lang w:val="en-US" w:eastAsia="zh-CN" w:bidi="ar-SA"/>
      </w:rPr>
    </w:lvl>
  </w:abstractNum>
  <w:abstractNum w:abstractNumId="1">
    <w:nsid w:val="845B5372"/>
    <w:multiLevelType w:val="multilevel"/>
    <w:tmpl w:val="845B5372"/>
    <w:lvl w:ilvl="0" w:tentative="0">
      <w:start w:val="11"/>
      <w:numFmt w:val="decimal"/>
      <w:lvlText w:val="%1"/>
      <w:lvlJc w:val="left"/>
      <w:pPr>
        <w:ind w:left="1440" w:hanging="540"/>
        <w:jc w:val="left"/>
      </w:pPr>
      <w:rPr>
        <w:rFonts w:hint="default"/>
        <w:lang w:val="en-US" w:eastAsia="zh-CN" w:bidi="ar-SA"/>
      </w:rPr>
    </w:lvl>
    <w:lvl w:ilvl="1" w:tentative="0">
      <w:start w:val="1"/>
      <w:numFmt w:val="decimal"/>
      <w:lvlText w:val="%1.%2"/>
      <w:lvlJc w:val="left"/>
      <w:pPr>
        <w:ind w:left="1440" w:hanging="540"/>
        <w:jc w:val="left"/>
      </w:pPr>
      <w:rPr>
        <w:rFonts w:hint="default" w:ascii="仿宋" w:hAnsi="仿宋" w:eastAsia="仿宋" w:cs="仿宋"/>
        <w:w w:val="100"/>
        <w:sz w:val="24"/>
        <w:szCs w:val="24"/>
        <w:lang w:val="en-US" w:eastAsia="zh-CN" w:bidi="ar-SA"/>
      </w:rPr>
    </w:lvl>
    <w:lvl w:ilvl="2" w:tentative="0">
      <w:start w:val="0"/>
      <w:numFmt w:val="bullet"/>
      <w:lvlText w:val="•"/>
      <w:lvlJc w:val="left"/>
      <w:pPr>
        <w:ind w:left="3269" w:hanging="540"/>
      </w:pPr>
      <w:rPr>
        <w:rFonts w:hint="default"/>
        <w:lang w:val="en-US" w:eastAsia="zh-CN" w:bidi="ar-SA"/>
      </w:rPr>
    </w:lvl>
    <w:lvl w:ilvl="3" w:tentative="0">
      <w:start w:val="0"/>
      <w:numFmt w:val="bullet"/>
      <w:lvlText w:val="•"/>
      <w:lvlJc w:val="left"/>
      <w:pPr>
        <w:ind w:left="4183" w:hanging="540"/>
      </w:pPr>
      <w:rPr>
        <w:rFonts w:hint="default"/>
        <w:lang w:val="en-US" w:eastAsia="zh-CN" w:bidi="ar-SA"/>
      </w:rPr>
    </w:lvl>
    <w:lvl w:ilvl="4" w:tentative="0">
      <w:start w:val="0"/>
      <w:numFmt w:val="bullet"/>
      <w:lvlText w:val="•"/>
      <w:lvlJc w:val="left"/>
      <w:pPr>
        <w:ind w:left="5098" w:hanging="540"/>
      </w:pPr>
      <w:rPr>
        <w:rFonts w:hint="default"/>
        <w:lang w:val="en-US" w:eastAsia="zh-CN" w:bidi="ar-SA"/>
      </w:rPr>
    </w:lvl>
    <w:lvl w:ilvl="5" w:tentative="0">
      <w:start w:val="0"/>
      <w:numFmt w:val="bullet"/>
      <w:lvlText w:val="•"/>
      <w:lvlJc w:val="left"/>
      <w:pPr>
        <w:ind w:left="6013" w:hanging="540"/>
      </w:pPr>
      <w:rPr>
        <w:rFonts w:hint="default"/>
        <w:lang w:val="en-US" w:eastAsia="zh-CN" w:bidi="ar-SA"/>
      </w:rPr>
    </w:lvl>
    <w:lvl w:ilvl="6" w:tentative="0">
      <w:start w:val="0"/>
      <w:numFmt w:val="bullet"/>
      <w:lvlText w:val="•"/>
      <w:lvlJc w:val="left"/>
      <w:pPr>
        <w:ind w:left="6927" w:hanging="540"/>
      </w:pPr>
      <w:rPr>
        <w:rFonts w:hint="default"/>
        <w:lang w:val="en-US" w:eastAsia="zh-CN" w:bidi="ar-SA"/>
      </w:rPr>
    </w:lvl>
    <w:lvl w:ilvl="7" w:tentative="0">
      <w:start w:val="0"/>
      <w:numFmt w:val="bullet"/>
      <w:lvlText w:val="•"/>
      <w:lvlJc w:val="left"/>
      <w:pPr>
        <w:ind w:left="7842" w:hanging="540"/>
      </w:pPr>
      <w:rPr>
        <w:rFonts w:hint="default"/>
        <w:lang w:val="en-US" w:eastAsia="zh-CN" w:bidi="ar-SA"/>
      </w:rPr>
    </w:lvl>
    <w:lvl w:ilvl="8" w:tentative="0">
      <w:start w:val="0"/>
      <w:numFmt w:val="bullet"/>
      <w:lvlText w:val="•"/>
      <w:lvlJc w:val="left"/>
      <w:pPr>
        <w:ind w:left="8756" w:hanging="540"/>
      </w:pPr>
      <w:rPr>
        <w:rFonts w:hint="default"/>
        <w:lang w:val="en-US" w:eastAsia="zh-CN" w:bidi="ar-SA"/>
      </w:rPr>
    </w:lvl>
  </w:abstractNum>
  <w:abstractNum w:abstractNumId="2">
    <w:nsid w:val="8461FADE"/>
    <w:multiLevelType w:val="multilevel"/>
    <w:tmpl w:val="8461FADE"/>
    <w:lvl w:ilvl="0" w:tentative="0">
      <w:start w:val="1"/>
      <w:numFmt w:val="decimal"/>
      <w:lvlText w:val="（%1）"/>
      <w:lvlJc w:val="left"/>
      <w:pPr>
        <w:ind w:left="420" w:hanging="601"/>
        <w:jc w:val="left"/>
      </w:pPr>
      <w:rPr>
        <w:rFonts w:hint="default" w:ascii="仿宋" w:hAnsi="仿宋" w:eastAsia="仿宋" w:cs="仿宋"/>
        <w:spacing w:val="-60"/>
        <w:w w:val="100"/>
        <w:sz w:val="22"/>
        <w:szCs w:val="22"/>
        <w:lang w:val="en-US" w:eastAsia="zh-CN" w:bidi="ar-SA"/>
      </w:rPr>
    </w:lvl>
    <w:lvl w:ilvl="1" w:tentative="0">
      <w:start w:val="0"/>
      <w:numFmt w:val="bullet"/>
      <w:lvlText w:val="•"/>
      <w:lvlJc w:val="left"/>
      <w:pPr>
        <w:ind w:left="1436" w:hanging="601"/>
      </w:pPr>
      <w:rPr>
        <w:rFonts w:hint="default"/>
        <w:lang w:val="en-US" w:eastAsia="zh-CN" w:bidi="ar-SA"/>
      </w:rPr>
    </w:lvl>
    <w:lvl w:ilvl="2" w:tentative="0">
      <w:start w:val="0"/>
      <w:numFmt w:val="bullet"/>
      <w:lvlText w:val="•"/>
      <w:lvlJc w:val="left"/>
      <w:pPr>
        <w:ind w:left="2453" w:hanging="601"/>
      </w:pPr>
      <w:rPr>
        <w:rFonts w:hint="default"/>
        <w:lang w:val="en-US" w:eastAsia="zh-CN" w:bidi="ar-SA"/>
      </w:rPr>
    </w:lvl>
    <w:lvl w:ilvl="3" w:tentative="0">
      <w:start w:val="0"/>
      <w:numFmt w:val="bullet"/>
      <w:lvlText w:val="•"/>
      <w:lvlJc w:val="left"/>
      <w:pPr>
        <w:ind w:left="3469" w:hanging="601"/>
      </w:pPr>
      <w:rPr>
        <w:rFonts w:hint="default"/>
        <w:lang w:val="en-US" w:eastAsia="zh-CN" w:bidi="ar-SA"/>
      </w:rPr>
    </w:lvl>
    <w:lvl w:ilvl="4" w:tentative="0">
      <w:start w:val="0"/>
      <w:numFmt w:val="bullet"/>
      <w:lvlText w:val="•"/>
      <w:lvlJc w:val="left"/>
      <w:pPr>
        <w:ind w:left="4486" w:hanging="601"/>
      </w:pPr>
      <w:rPr>
        <w:rFonts w:hint="default"/>
        <w:lang w:val="en-US" w:eastAsia="zh-CN" w:bidi="ar-SA"/>
      </w:rPr>
    </w:lvl>
    <w:lvl w:ilvl="5" w:tentative="0">
      <w:start w:val="0"/>
      <w:numFmt w:val="bullet"/>
      <w:lvlText w:val="•"/>
      <w:lvlJc w:val="left"/>
      <w:pPr>
        <w:ind w:left="5503" w:hanging="601"/>
      </w:pPr>
      <w:rPr>
        <w:rFonts w:hint="default"/>
        <w:lang w:val="en-US" w:eastAsia="zh-CN" w:bidi="ar-SA"/>
      </w:rPr>
    </w:lvl>
    <w:lvl w:ilvl="6" w:tentative="0">
      <w:start w:val="0"/>
      <w:numFmt w:val="bullet"/>
      <w:lvlText w:val="•"/>
      <w:lvlJc w:val="left"/>
      <w:pPr>
        <w:ind w:left="6519" w:hanging="601"/>
      </w:pPr>
      <w:rPr>
        <w:rFonts w:hint="default"/>
        <w:lang w:val="en-US" w:eastAsia="zh-CN" w:bidi="ar-SA"/>
      </w:rPr>
    </w:lvl>
    <w:lvl w:ilvl="7" w:tentative="0">
      <w:start w:val="0"/>
      <w:numFmt w:val="bullet"/>
      <w:lvlText w:val="•"/>
      <w:lvlJc w:val="left"/>
      <w:pPr>
        <w:ind w:left="7536" w:hanging="601"/>
      </w:pPr>
      <w:rPr>
        <w:rFonts w:hint="default"/>
        <w:lang w:val="en-US" w:eastAsia="zh-CN" w:bidi="ar-SA"/>
      </w:rPr>
    </w:lvl>
    <w:lvl w:ilvl="8" w:tentative="0">
      <w:start w:val="0"/>
      <w:numFmt w:val="bullet"/>
      <w:lvlText w:val="•"/>
      <w:lvlJc w:val="left"/>
      <w:pPr>
        <w:ind w:left="8552" w:hanging="601"/>
      </w:pPr>
      <w:rPr>
        <w:rFonts w:hint="default"/>
        <w:lang w:val="en-US" w:eastAsia="zh-CN" w:bidi="ar-SA"/>
      </w:rPr>
    </w:lvl>
  </w:abstractNum>
  <w:abstractNum w:abstractNumId="3">
    <w:nsid w:val="8CAEB125"/>
    <w:multiLevelType w:val="multilevel"/>
    <w:tmpl w:val="8CAEB125"/>
    <w:lvl w:ilvl="0" w:tentative="0">
      <w:start w:val="12"/>
      <w:numFmt w:val="decimal"/>
      <w:lvlText w:val="（%1）"/>
      <w:lvlJc w:val="left"/>
      <w:pPr>
        <w:ind w:left="1501" w:hanging="721"/>
        <w:jc w:val="left"/>
      </w:pPr>
      <w:rPr>
        <w:rFonts w:hint="default" w:ascii="仿宋" w:hAnsi="仿宋" w:eastAsia="仿宋" w:cs="仿宋"/>
        <w:w w:val="100"/>
        <w:sz w:val="22"/>
        <w:szCs w:val="22"/>
        <w:lang w:val="en-US" w:eastAsia="zh-CN" w:bidi="ar-SA"/>
      </w:rPr>
    </w:lvl>
    <w:lvl w:ilvl="1" w:tentative="0">
      <w:start w:val="0"/>
      <w:numFmt w:val="bullet"/>
      <w:lvlText w:val="•"/>
      <w:lvlJc w:val="left"/>
      <w:pPr>
        <w:ind w:left="2408" w:hanging="721"/>
      </w:pPr>
      <w:rPr>
        <w:rFonts w:hint="default"/>
        <w:lang w:val="en-US" w:eastAsia="zh-CN" w:bidi="ar-SA"/>
      </w:rPr>
    </w:lvl>
    <w:lvl w:ilvl="2" w:tentative="0">
      <w:start w:val="0"/>
      <w:numFmt w:val="bullet"/>
      <w:lvlText w:val="•"/>
      <w:lvlJc w:val="left"/>
      <w:pPr>
        <w:ind w:left="3317" w:hanging="721"/>
      </w:pPr>
      <w:rPr>
        <w:rFonts w:hint="default"/>
        <w:lang w:val="en-US" w:eastAsia="zh-CN" w:bidi="ar-SA"/>
      </w:rPr>
    </w:lvl>
    <w:lvl w:ilvl="3" w:tentative="0">
      <w:start w:val="0"/>
      <w:numFmt w:val="bullet"/>
      <w:lvlText w:val="•"/>
      <w:lvlJc w:val="left"/>
      <w:pPr>
        <w:ind w:left="4225" w:hanging="721"/>
      </w:pPr>
      <w:rPr>
        <w:rFonts w:hint="default"/>
        <w:lang w:val="en-US" w:eastAsia="zh-CN" w:bidi="ar-SA"/>
      </w:rPr>
    </w:lvl>
    <w:lvl w:ilvl="4" w:tentative="0">
      <w:start w:val="0"/>
      <w:numFmt w:val="bullet"/>
      <w:lvlText w:val="•"/>
      <w:lvlJc w:val="left"/>
      <w:pPr>
        <w:ind w:left="5134" w:hanging="721"/>
      </w:pPr>
      <w:rPr>
        <w:rFonts w:hint="default"/>
        <w:lang w:val="en-US" w:eastAsia="zh-CN" w:bidi="ar-SA"/>
      </w:rPr>
    </w:lvl>
    <w:lvl w:ilvl="5" w:tentative="0">
      <w:start w:val="0"/>
      <w:numFmt w:val="bullet"/>
      <w:lvlText w:val="•"/>
      <w:lvlJc w:val="left"/>
      <w:pPr>
        <w:ind w:left="6043" w:hanging="721"/>
      </w:pPr>
      <w:rPr>
        <w:rFonts w:hint="default"/>
        <w:lang w:val="en-US" w:eastAsia="zh-CN" w:bidi="ar-SA"/>
      </w:rPr>
    </w:lvl>
    <w:lvl w:ilvl="6" w:tentative="0">
      <w:start w:val="0"/>
      <w:numFmt w:val="bullet"/>
      <w:lvlText w:val="•"/>
      <w:lvlJc w:val="left"/>
      <w:pPr>
        <w:ind w:left="6951" w:hanging="721"/>
      </w:pPr>
      <w:rPr>
        <w:rFonts w:hint="default"/>
        <w:lang w:val="en-US" w:eastAsia="zh-CN" w:bidi="ar-SA"/>
      </w:rPr>
    </w:lvl>
    <w:lvl w:ilvl="7" w:tentative="0">
      <w:start w:val="0"/>
      <w:numFmt w:val="bullet"/>
      <w:lvlText w:val="•"/>
      <w:lvlJc w:val="left"/>
      <w:pPr>
        <w:ind w:left="7860" w:hanging="721"/>
      </w:pPr>
      <w:rPr>
        <w:rFonts w:hint="default"/>
        <w:lang w:val="en-US" w:eastAsia="zh-CN" w:bidi="ar-SA"/>
      </w:rPr>
    </w:lvl>
    <w:lvl w:ilvl="8" w:tentative="0">
      <w:start w:val="0"/>
      <w:numFmt w:val="bullet"/>
      <w:lvlText w:val="•"/>
      <w:lvlJc w:val="left"/>
      <w:pPr>
        <w:ind w:left="8768" w:hanging="721"/>
      </w:pPr>
      <w:rPr>
        <w:rFonts w:hint="default"/>
        <w:lang w:val="en-US" w:eastAsia="zh-CN" w:bidi="ar-SA"/>
      </w:rPr>
    </w:lvl>
  </w:abstractNum>
  <w:abstractNum w:abstractNumId="4">
    <w:nsid w:val="91995D4F"/>
    <w:multiLevelType w:val="multilevel"/>
    <w:tmpl w:val="91995D4F"/>
    <w:lvl w:ilvl="0" w:tentative="0">
      <w:start w:val="1"/>
      <w:numFmt w:val="decimal"/>
      <w:lvlText w:val="（%1）"/>
      <w:lvlJc w:val="left"/>
      <w:pPr>
        <w:ind w:left="1637" w:hanging="601"/>
        <w:jc w:val="right"/>
      </w:pPr>
      <w:rPr>
        <w:rFonts w:hint="default" w:ascii="仿宋" w:hAnsi="仿宋" w:eastAsia="仿宋" w:cs="仿宋"/>
        <w:w w:val="100"/>
        <w:sz w:val="22"/>
        <w:szCs w:val="22"/>
        <w:lang w:val="en-US" w:eastAsia="zh-CN" w:bidi="ar-SA"/>
      </w:rPr>
    </w:lvl>
    <w:lvl w:ilvl="1" w:tentative="0">
      <w:start w:val="0"/>
      <w:numFmt w:val="bullet"/>
      <w:lvlText w:val="•"/>
      <w:lvlJc w:val="left"/>
      <w:pPr>
        <w:ind w:left="2534" w:hanging="601"/>
      </w:pPr>
      <w:rPr>
        <w:rFonts w:hint="default"/>
        <w:lang w:val="en-US" w:eastAsia="zh-CN" w:bidi="ar-SA"/>
      </w:rPr>
    </w:lvl>
    <w:lvl w:ilvl="2" w:tentative="0">
      <w:start w:val="0"/>
      <w:numFmt w:val="bullet"/>
      <w:lvlText w:val="•"/>
      <w:lvlJc w:val="left"/>
      <w:pPr>
        <w:ind w:left="3429" w:hanging="601"/>
      </w:pPr>
      <w:rPr>
        <w:rFonts w:hint="default"/>
        <w:lang w:val="en-US" w:eastAsia="zh-CN" w:bidi="ar-SA"/>
      </w:rPr>
    </w:lvl>
    <w:lvl w:ilvl="3" w:tentative="0">
      <w:start w:val="0"/>
      <w:numFmt w:val="bullet"/>
      <w:lvlText w:val="•"/>
      <w:lvlJc w:val="left"/>
      <w:pPr>
        <w:ind w:left="4323" w:hanging="601"/>
      </w:pPr>
      <w:rPr>
        <w:rFonts w:hint="default"/>
        <w:lang w:val="en-US" w:eastAsia="zh-CN" w:bidi="ar-SA"/>
      </w:rPr>
    </w:lvl>
    <w:lvl w:ilvl="4" w:tentative="0">
      <w:start w:val="0"/>
      <w:numFmt w:val="bullet"/>
      <w:lvlText w:val="•"/>
      <w:lvlJc w:val="left"/>
      <w:pPr>
        <w:ind w:left="5218" w:hanging="601"/>
      </w:pPr>
      <w:rPr>
        <w:rFonts w:hint="default"/>
        <w:lang w:val="en-US" w:eastAsia="zh-CN" w:bidi="ar-SA"/>
      </w:rPr>
    </w:lvl>
    <w:lvl w:ilvl="5" w:tentative="0">
      <w:start w:val="0"/>
      <w:numFmt w:val="bullet"/>
      <w:lvlText w:val="•"/>
      <w:lvlJc w:val="left"/>
      <w:pPr>
        <w:ind w:left="6113" w:hanging="601"/>
      </w:pPr>
      <w:rPr>
        <w:rFonts w:hint="default"/>
        <w:lang w:val="en-US" w:eastAsia="zh-CN" w:bidi="ar-SA"/>
      </w:rPr>
    </w:lvl>
    <w:lvl w:ilvl="6" w:tentative="0">
      <w:start w:val="0"/>
      <w:numFmt w:val="bullet"/>
      <w:lvlText w:val="•"/>
      <w:lvlJc w:val="left"/>
      <w:pPr>
        <w:ind w:left="7007" w:hanging="601"/>
      </w:pPr>
      <w:rPr>
        <w:rFonts w:hint="default"/>
        <w:lang w:val="en-US" w:eastAsia="zh-CN" w:bidi="ar-SA"/>
      </w:rPr>
    </w:lvl>
    <w:lvl w:ilvl="7" w:tentative="0">
      <w:start w:val="0"/>
      <w:numFmt w:val="bullet"/>
      <w:lvlText w:val="•"/>
      <w:lvlJc w:val="left"/>
      <w:pPr>
        <w:ind w:left="7902" w:hanging="601"/>
      </w:pPr>
      <w:rPr>
        <w:rFonts w:hint="default"/>
        <w:lang w:val="en-US" w:eastAsia="zh-CN" w:bidi="ar-SA"/>
      </w:rPr>
    </w:lvl>
    <w:lvl w:ilvl="8" w:tentative="0">
      <w:start w:val="0"/>
      <w:numFmt w:val="bullet"/>
      <w:lvlText w:val="•"/>
      <w:lvlJc w:val="left"/>
      <w:pPr>
        <w:ind w:left="8796" w:hanging="601"/>
      </w:pPr>
      <w:rPr>
        <w:rFonts w:hint="default"/>
        <w:lang w:val="en-US" w:eastAsia="zh-CN" w:bidi="ar-SA"/>
      </w:rPr>
    </w:lvl>
  </w:abstractNum>
  <w:abstractNum w:abstractNumId="5">
    <w:nsid w:val="9239341B"/>
    <w:multiLevelType w:val="multilevel"/>
    <w:tmpl w:val="9239341B"/>
    <w:lvl w:ilvl="0" w:tentative="0">
      <w:start w:val="1"/>
      <w:numFmt w:val="decimal"/>
      <w:lvlText w:val="（%1）"/>
      <w:lvlJc w:val="left"/>
      <w:pPr>
        <w:ind w:left="659" w:hanging="554"/>
        <w:jc w:val="left"/>
      </w:pPr>
      <w:rPr>
        <w:rFonts w:hint="default" w:ascii="仿宋" w:hAnsi="仿宋" w:eastAsia="仿宋" w:cs="仿宋"/>
        <w:spacing w:val="-1"/>
        <w:w w:val="100"/>
        <w:sz w:val="20"/>
        <w:szCs w:val="20"/>
        <w:lang w:val="en-US" w:eastAsia="zh-CN" w:bidi="ar-SA"/>
      </w:rPr>
    </w:lvl>
    <w:lvl w:ilvl="1" w:tentative="0">
      <w:start w:val="0"/>
      <w:numFmt w:val="bullet"/>
      <w:lvlText w:val="•"/>
      <w:lvlJc w:val="left"/>
      <w:pPr>
        <w:ind w:left="1324" w:hanging="554"/>
      </w:pPr>
      <w:rPr>
        <w:rFonts w:hint="default"/>
        <w:lang w:val="en-US" w:eastAsia="zh-CN" w:bidi="ar-SA"/>
      </w:rPr>
    </w:lvl>
    <w:lvl w:ilvl="2" w:tentative="0">
      <w:start w:val="0"/>
      <w:numFmt w:val="bullet"/>
      <w:lvlText w:val="•"/>
      <w:lvlJc w:val="left"/>
      <w:pPr>
        <w:ind w:left="1989" w:hanging="554"/>
      </w:pPr>
      <w:rPr>
        <w:rFonts w:hint="default"/>
        <w:lang w:val="en-US" w:eastAsia="zh-CN" w:bidi="ar-SA"/>
      </w:rPr>
    </w:lvl>
    <w:lvl w:ilvl="3" w:tentative="0">
      <w:start w:val="0"/>
      <w:numFmt w:val="bullet"/>
      <w:lvlText w:val="•"/>
      <w:lvlJc w:val="left"/>
      <w:pPr>
        <w:ind w:left="2653" w:hanging="554"/>
      </w:pPr>
      <w:rPr>
        <w:rFonts w:hint="default"/>
        <w:lang w:val="en-US" w:eastAsia="zh-CN" w:bidi="ar-SA"/>
      </w:rPr>
    </w:lvl>
    <w:lvl w:ilvl="4" w:tentative="0">
      <w:start w:val="0"/>
      <w:numFmt w:val="bullet"/>
      <w:lvlText w:val="•"/>
      <w:lvlJc w:val="left"/>
      <w:pPr>
        <w:ind w:left="3318" w:hanging="554"/>
      </w:pPr>
      <w:rPr>
        <w:rFonts w:hint="default"/>
        <w:lang w:val="en-US" w:eastAsia="zh-CN" w:bidi="ar-SA"/>
      </w:rPr>
    </w:lvl>
    <w:lvl w:ilvl="5" w:tentative="0">
      <w:start w:val="0"/>
      <w:numFmt w:val="bullet"/>
      <w:lvlText w:val="•"/>
      <w:lvlJc w:val="left"/>
      <w:pPr>
        <w:ind w:left="3983" w:hanging="554"/>
      </w:pPr>
      <w:rPr>
        <w:rFonts w:hint="default"/>
        <w:lang w:val="en-US" w:eastAsia="zh-CN" w:bidi="ar-SA"/>
      </w:rPr>
    </w:lvl>
    <w:lvl w:ilvl="6" w:tentative="0">
      <w:start w:val="0"/>
      <w:numFmt w:val="bullet"/>
      <w:lvlText w:val="•"/>
      <w:lvlJc w:val="left"/>
      <w:pPr>
        <w:ind w:left="4647" w:hanging="554"/>
      </w:pPr>
      <w:rPr>
        <w:rFonts w:hint="default"/>
        <w:lang w:val="en-US" w:eastAsia="zh-CN" w:bidi="ar-SA"/>
      </w:rPr>
    </w:lvl>
    <w:lvl w:ilvl="7" w:tentative="0">
      <w:start w:val="0"/>
      <w:numFmt w:val="bullet"/>
      <w:lvlText w:val="•"/>
      <w:lvlJc w:val="left"/>
      <w:pPr>
        <w:ind w:left="5312" w:hanging="554"/>
      </w:pPr>
      <w:rPr>
        <w:rFonts w:hint="default"/>
        <w:lang w:val="en-US" w:eastAsia="zh-CN" w:bidi="ar-SA"/>
      </w:rPr>
    </w:lvl>
    <w:lvl w:ilvl="8" w:tentative="0">
      <w:start w:val="0"/>
      <w:numFmt w:val="bullet"/>
      <w:lvlText w:val="•"/>
      <w:lvlJc w:val="left"/>
      <w:pPr>
        <w:ind w:left="5976" w:hanging="554"/>
      </w:pPr>
      <w:rPr>
        <w:rFonts w:hint="default"/>
        <w:lang w:val="en-US" w:eastAsia="zh-CN" w:bidi="ar-SA"/>
      </w:rPr>
    </w:lvl>
  </w:abstractNum>
  <w:abstractNum w:abstractNumId="6">
    <w:nsid w:val="9288B902"/>
    <w:multiLevelType w:val="multilevel"/>
    <w:tmpl w:val="9288B902"/>
    <w:lvl w:ilvl="0" w:tentative="0">
      <w:start w:val="40"/>
      <w:numFmt w:val="decimal"/>
      <w:lvlText w:val="%1"/>
      <w:lvlJc w:val="left"/>
      <w:pPr>
        <w:ind w:left="420" w:hanging="600"/>
        <w:jc w:val="left"/>
      </w:pPr>
      <w:rPr>
        <w:rFonts w:hint="default"/>
        <w:lang w:val="en-US" w:eastAsia="zh-CN" w:bidi="ar-SA"/>
      </w:rPr>
    </w:lvl>
    <w:lvl w:ilvl="1" w:tentative="0">
      <w:start w:val="1"/>
      <w:numFmt w:val="decimal"/>
      <w:lvlText w:val="%1.%2"/>
      <w:lvlJc w:val="left"/>
      <w:pPr>
        <w:ind w:left="420" w:hanging="600"/>
        <w:jc w:val="left"/>
      </w:pPr>
      <w:rPr>
        <w:rFonts w:hint="default" w:ascii="仿宋" w:hAnsi="仿宋" w:eastAsia="仿宋" w:cs="仿宋"/>
        <w:spacing w:val="-60"/>
        <w:w w:val="100"/>
        <w:sz w:val="24"/>
        <w:szCs w:val="24"/>
        <w:lang w:val="en-US" w:eastAsia="zh-CN" w:bidi="ar-SA"/>
      </w:rPr>
    </w:lvl>
    <w:lvl w:ilvl="2" w:tentative="0">
      <w:start w:val="0"/>
      <w:numFmt w:val="bullet"/>
      <w:lvlText w:val="•"/>
      <w:lvlJc w:val="left"/>
      <w:pPr>
        <w:ind w:left="2453" w:hanging="600"/>
      </w:pPr>
      <w:rPr>
        <w:rFonts w:hint="default"/>
        <w:lang w:val="en-US" w:eastAsia="zh-CN" w:bidi="ar-SA"/>
      </w:rPr>
    </w:lvl>
    <w:lvl w:ilvl="3" w:tentative="0">
      <w:start w:val="0"/>
      <w:numFmt w:val="bullet"/>
      <w:lvlText w:val="•"/>
      <w:lvlJc w:val="left"/>
      <w:pPr>
        <w:ind w:left="3469" w:hanging="600"/>
      </w:pPr>
      <w:rPr>
        <w:rFonts w:hint="default"/>
        <w:lang w:val="en-US" w:eastAsia="zh-CN" w:bidi="ar-SA"/>
      </w:rPr>
    </w:lvl>
    <w:lvl w:ilvl="4" w:tentative="0">
      <w:start w:val="0"/>
      <w:numFmt w:val="bullet"/>
      <w:lvlText w:val="•"/>
      <w:lvlJc w:val="left"/>
      <w:pPr>
        <w:ind w:left="4486" w:hanging="600"/>
      </w:pPr>
      <w:rPr>
        <w:rFonts w:hint="default"/>
        <w:lang w:val="en-US" w:eastAsia="zh-CN" w:bidi="ar-SA"/>
      </w:rPr>
    </w:lvl>
    <w:lvl w:ilvl="5" w:tentative="0">
      <w:start w:val="0"/>
      <w:numFmt w:val="bullet"/>
      <w:lvlText w:val="•"/>
      <w:lvlJc w:val="left"/>
      <w:pPr>
        <w:ind w:left="5503" w:hanging="600"/>
      </w:pPr>
      <w:rPr>
        <w:rFonts w:hint="default"/>
        <w:lang w:val="en-US" w:eastAsia="zh-CN" w:bidi="ar-SA"/>
      </w:rPr>
    </w:lvl>
    <w:lvl w:ilvl="6" w:tentative="0">
      <w:start w:val="0"/>
      <w:numFmt w:val="bullet"/>
      <w:lvlText w:val="•"/>
      <w:lvlJc w:val="left"/>
      <w:pPr>
        <w:ind w:left="6519" w:hanging="600"/>
      </w:pPr>
      <w:rPr>
        <w:rFonts w:hint="default"/>
        <w:lang w:val="en-US" w:eastAsia="zh-CN" w:bidi="ar-SA"/>
      </w:rPr>
    </w:lvl>
    <w:lvl w:ilvl="7" w:tentative="0">
      <w:start w:val="0"/>
      <w:numFmt w:val="bullet"/>
      <w:lvlText w:val="•"/>
      <w:lvlJc w:val="left"/>
      <w:pPr>
        <w:ind w:left="7536" w:hanging="600"/>
      </w:pPr>
      <w:rPr>
        <w:rFonts w:hint="default"/>
        <w:lang w:val="en-US" w:eastAsia="zh-CN" w:bidi="ar-SA"/>
      </w:rPr>
    </w:lvl>
    <w:lvl w:ilvl="8" w:tentative="0">
      <w:start w:val="0"/>
      <w:numFmt w:val="bullet"/>
      <w:lvlText w:val="•"/>
      <w:lvlJc w:val="left"/>
      <w:pPr>
        <w:ind w:left="8552" w:hanging="600"/>
      </w:pPr>
      <w:rPr>
        <w:rFonts w:hint="default"/>
        <w:lang w:val="en-US" w:eastAsia="zh-CN" w:bidi="ar-SA"/>
      </w:rPr>
    </w:lvl>
  </w:abstractNum>
  <w:abstractNum w:abstractNumId="7">
    <w:nsid w:val="9C8AC8EF"/>
    <w:multiLevelType w:val="multilevel"/>
    <w:tmpl w:val="9C8AC8EF"/>
    <w:lvl w:ilvl="0" w:tentative="0">
      <w:start w:val="20"/>
      <w:numFmt w:val="decimal"/>
      <w:lvlText w:val="%1"/>
      <w:lvlJc w:val="left"/>
      <w:pPr>
        <w:ind w:left="1440" w:hanging="540"/>
        <w:jc w:val="left"/>
      </w:pPr>
      <w:rPr>
        <w:rFonts w:hint="default"/>
        <w:lang w:val="en-US" w:eastAsia="zh-CN" w:bidi="ar-SA"/>
      </w:rPr>
    </w:lvl>
    <w:lvl w:ilvl="1" w:tentative="0">
      <w:start w:val="1"/>
      <w:numFmt w:val="decimal"/>
      <w:lvlText w:val="%1.%2"/>
      <w:lvlJc w:val="left"/>
      <w:pPr>
        <w:ind w:left="1440" w:hanging="540"/>
        <w:jc w:val="left"/>
      </w:pPr>
      <w:rPr>
        <w:rFonts w:hint="default" w:ascii="仿宋" w:hAnsi="仿宋" w:eastAsia="仿宋" w:cs="仿宋"/>
        <w:w w:val="100"/>
        <w:sz w:val="24"/>
        <w:szCs w:val="24"/>
        <w:lang w:val="en-US" w:eastAsia="zh-CN" w:bidi="ar-SA"/>
      </w:rPr>
    </w:lvl>
    <w:lvl w:ilvl="2" w:tentative="0">
      <w:start w:val="0"/>
      <w:numFmt w:val="bullet"/>
      <w:lvlText w:val="•"/>
      <w:lvlJc w:val="left"/>
      <w:pPr>
        <w:ind w:left="3269" w:hanging="540"/>
      </w:pPr>
      <w:rPr>
        <w:rFonts w:hint="default"/>
        <w:lang w:val="en-US" w:eastAsia="zh-CN" w:bidi="ar-SA"/>
      </w:rPr>
    </w:lvl>
    <w:lvl w:ilvl="3" w:tentative="0">
      <w:start w:val="0"/>
      <w:numFmt w:val="bullet"/>
      <w:lvlText w:val="•"/>
      <w:lvlJc w:val="left"/>
      <w:pPr>
        <w:ind w:left="4183" w:hanging="540"/>
      </w:pPr>
      <w:rPr>
        <w:rFonts w:hint="default"/>
        <w:lang w:val="en-US" w:eastAsia="zh-CN" w:bidi="ar-SA"/>
      </w:rPr>
    </w:lvl>
    <w:lvl w:ilvl="4" w:tentative="0">
      <w:start w:val="0"/>
      <w:numFmt w:val="bullet"/>
      <w:lvlText w:val="•"/>
      <w:lvlJc w:val="left"/>
      <w:pPr>
        <w:ind w:left="5098" w:hanging="540"/>
      </w:pPr>
      <w:rPr>
        <w:rFonts w:hint="default"/>
        <w:lang w:val="en-US" w:eastAsia="zh-CN" w:bidi="ar-SA"/>
      </w:rPr>
    </w:lvl>
    <w:lvl w:ilvl="5" w:tentative="0">
      <w:start w:val="0"/>
      <w:numFmt w:val="bullet"/>
      <w:lvlText w:val="•"/>
      <w:lvlJc w:val="left"/>
      <w:pPr>
        <w:ind w:left="6013" w:hanging="540"/>
      </w:pPr>
      <w:rPr>
        <w:rFonts w:hint="default"/>
        <w:lang w:val="en-US" w:eastAsia="zh-CN" w:bidi="ar-SA"/>
      </w:rPr>
    </w:lvl>
    <w:lvl w:ilvl="6" w:tentative="0">
      <w:start w:val="0"/>
      <w:numFmt w:val="bullet"/>
      <w:lvlText w:val="•"/>
      <w:lvlJc w:val="left"/>
      <w:pPr>
        <w:ind w:left="6927" w:hanging="540"/>
      </w:pPr>
      <w:rPr>
        <w:rFonts w:hint="default"/>
        <w:lang w:val="en-US" w:eastAsia="zh-CN" w:bidi="ar-SA"/>
      </w:rPr>
    </w:lvl>
    <w:lvl w:ilvl="7" w:tentative="0">
      <w:start w:val="0"/>
      <w:numFmt w:val="bullet"/>
      <w:lvlText w:val="•"/>
      <w:lvlJc w:val="left"/>
      <w:pPr>
        <w:ind w:left="7842" w:hanging="540"/>
      </w:pPr>
      <w:rPr>
        <w:rFonts w:hint="default"/>
        <w:lang w:val="en-US" w:eastAsia="zh-CN" w:bidi="ar-SA"/>
      </w:rPr>
    </w:lvl>
    <w:lvl w:ilvl="8" w:tentative="0">
      <w:start w:val="0"/>
      <w:numFmt w:val="bullet"/>
      <w:lvlText w:val="•"/>
      <w:lvlJc w:val="left"/>
      <w:pPr>
        <w:ind w:left="8756" w:hanging="540"/>
      </w:pPr>
      <w:rPr>
        <w:rFonts w:hint="default"/>
        <w:lang w:val="en-US" w:eastAsia="zh-CN" w:bidi="ar-SA"/>
      </w:rPr>
    </w:lvl>
  </w:abstractNum>
  <w:abstractNum w:abstractNumId="8">
    <w:nsid w:val="B0F1ACD9"/>
    <w:multiLevelType w:val="multilevel"/>
    <w:tmpl w:val="B0F1ACD9"/>
    <w:lvl w:ilvl="0" w:tentative="0">
      <w:start w:val="1"/>
      <w:numFmt w:val="decimal"/>
      <w:lvlText w:val="（%1）"/>
      <w:lvlJc w:val="left"/>
      <w:pPr>
        <w:ind w:left="420" w:hanging="601"/>
        <w:jc w:val="left"/>
      </w:pPr>
      <w:rPr>
        <w:rFonts w:hint="default" w:ascii="仿宋" w:hAnsi="仿宋" w:eastAsia="仿宋" w:cs="仿宋"/>
        <w:spacing w:val="-60"/>
        <w:w w:val="100"/>
        <w:sz w:val="22"/>
        <w:szCs w:val="22"/>
        <w:lang w:val="en-US" w:eastAsia="zh-CN" w:bidi="ar-SA"/>
      </w:rPr>
    </w:lvl>
    <w:lvl w:ilvl="1" w:tentative="0">
      <w:start w:val="0"/>
      <w:numFmt w:val="bullet"/>
      <w:lvlText w:val="•"/>
      <w:lvlJc w:val="left"/>
      <w:pPr>
        <w:ind w:left="1436" w:hanging="601"/>
      </w:pPr>
      <w:rPr>
        <w:rFonts w:hint="default"/>
        <w:lang w:val="en-US" w:eastAsia="zh-CN" w:bidi="ar-SA"/>
      </w:rPr>
    </w:lvl>
    <w:lvl w:ilvl="2" w:tentative="0">
      <w:start w:val="0"/>
      <w:numFmt w:val="bullet"/>
      <w:lvlText w:val="•"/>
      <w:lvlJc w:val="left"/>
      <w:pPr>
        <w:ind w:left="2453" w:hanging="601"/>
      </w:pPr>
      <w:rPr>
        <w:rFonts w:hint="default"/>
        <w:lang w:val="en-US" w:eastAsia="zh-CN" w:bidi="ar-SA"/>
      </w:rPr>
    </w:lvl>
    <w:lvl w:ilvl="3" w:tentative="0">
      <w:start w:val="0"/>
      <w:numFmt w:val="bullet"/>
      <w:lvlText w:val="•"/>
      <w:lvlJc w:val="left"/>
      <w:pPr>
        <w:ind w:left="3469" w:hanging="601"/>
      </w:pPr>
      <w:rPr>
        <w:rFonts w:hint="default"/>
        <w:lang w:val="en-US" w:eastAsia="zh-CN" w:bidi="ar-SA"/>
      </w:rPr>
    </w:lvl>
    <w:lvl w:ilvl="4" w:tentative="0">
      <w:start w:val="0"/>
      <w:numFmt w:val="bullet"/>
      <w:lvlText w:val="•"/>
      <w:lvlJc w:val="left"/>
      <w:pPr>
        <w:ind w:left="4486" w:hanging="601"/>
      </w:pPr>
      <w:rPr>
        <w:rFonts w:hint="default"/>
        <w:lang w:val="en-US" w:eastAsia="zh-CN" w:bidi="ar-SA"/>
      </w:rPr>
    </w:lvl>
    <w:lvl w:ilvl="5" w:tentative="0">
      <w:start w:val="0"/>
      <w:numFmt w:val="bullet"/>
      <w:lvlText w:val="•"/>
      <w:lvlJc w:val="left"/>
      <w:pPr>
        <w:ind w:left="5503" w:hanging="601"/>
      </w:pPr>
      <w:rPr>
        <w:rFonts w:hint="default"/>
        <w:lang w:val="en-US" w:eastAsia="zh-CN" w:bidi="ar-SA"/>
      </w:rPr>
    </w:lvl>
    <w:lvl w:ilvl="6" w:tentative="0">
      <w:start w:val="0"/>
      <w:numFmt w:val="bullet"/>
      <w:lvlText w:val="•"/>
      <w:lvlJc w:val="left"/>
      <w:pPr>
        <w:ind w:left="6519" w:hanging="601"/>
      </w:pPr>
      <w:rPr>
        <w:rFonts w:hint="default"/>
        <w:lang w:val="en-US" w:eastAsia="zh-CN" w:bidi="ar-SA"/>
      </w:rPr>
    </w:lvl>
    <w:lvl w:ilvl="7" w:tentative="0">
      <w:start w:val="0"/>
      <w:numFmt w:val="bullet"/>
      <w:lvlText w:val="•"/>
      <w:lvlJc w:val="left"/>
      <w:pPr>
        <w:ind w:left="7536" w:hanging="601"/>
      </w:pPr>
      <w:rPr>
        <w:rFonts w:hint="default"/>
        <w:lang w:val="en-US" w:eastAsia="zh-CN" w:bidi="ar-SA"/>
      </w:rPr>
    </w:lvl>
    <w:lvl w:ilvl="8" w:tentative="0">
      <w:start w:val="0"/>
      <w:numFmt w:val="bullet"/>
      <w:lvlText w:val="•"/>
      <w:lvlJc w:val="left"/>
      <w:pPr>
        <w:ind w:left="8552" w:hanging="601"/>
      </w:pPr>
      <w:rPr>
        <w:rFonts w:hint="default"/>
        <w:lang w:val="en-US" w:eastAsia="zh-CN" w:bidi="ar-SA"/>
      </w:rPr>
    </w:lvl>
  </w:abstractNum>
  <w:abstractNum w:abstractNumId="9">
    <w:nsid w:val="B8CEF35B"/>
    <w:multiLevelType w:val="multilevel"/>
    <w:tmpl w:val="B8CEF35B"/>
    <w:lvl w:ilvl="0" w:tentative="0">
      <w:start w:val="1"/>
      <w:numFmt w:val="decimal"/>
      <w:lvlText w:val="%1)"/>
      <w:lvlJc w:val="left"/>
      <w:pPr>
        <w:ind w:left="420" w:hanging="241"/>
        <w:jc w:val="left"/>
      </w:pPr>
      <w:rPr>
        <w:rFonts w:hint="default" w:ascii="仿宋" w:hAnsi="仿宋" w:eastAsia="仿宋" w:cs="仿宋"/>
        <w:spacing w:val="-17"/>
        <w:w w:val="100"/>
        <w:sz w:val="22"/>
        <w:szCs w:val="22"/>
        <w:lang w:val="en-US" w:eastAsia="zh-CN" w:bidi="ar-SA"/>
      </w:rPr>
    </w:lvl>
    <w:lvl w:ilvl="1" w:tentative="0">
      <w:start w:val="0"/>
      <w:numFmt w:val="bullet"/>
      <w:lvlText w:val="•"/>
      <w:lvlJc w:val="left"/>
      <w:pPr>
        <w:ind w:left="1436" w:hanging="241"/>
      </w:pPr>
      <w:rPr>
        <w:rFonts w:hint="default"/>
        <w:lang w:val="en-US" w:eastAsia="zh-CN" w:bidi="ar-SA"/>
      </w:rPr>
    </w:lvl>
    <w:lvl w:ilvl="2" w:tentative="0">
      <w:start w:val="0"/>
      <w:numFmt w:val="bullet"/>
      <w:lvlText w:val="•"/>
      <w:lvlJc w:val="left"/>
      <w:pPr>
        <w:ind w:left="2453" w:hanging="241"/>
      </w:pPr>
      <w:rPr>
        <w:rFonts w:hint="default"/>
        <w:lang w:val="en-US" w:eastAsia="zh-CN" w:bidi="ar-SA"/>
      </w:rPr>
    </w:lvl>
    <w:lvl w:ilvl="3" w:tentative="0">
      <w:start w:val="0"/>
      <w:numFmt w:val="bullet"/>
      <w:lvlText w:val="•"/>
      <w:lvlJc w:val="left"/>
      <w:pPr>
        <w:ind w:left="3469" w:hanging="241"/>
      </w:pPr>
      <w:rPr>
        <w:rFonts w:hint="default"/>
        <w:lang w:val="en-US" w:eastAsia="zh-CN" w:bidi="ar-SA"/>
      </w:rPr>
    </w:lvl>
    <w:lvl w:ilvl="4" w:tentative="0">
      <w:start w:val="0"/>
      <w:numFmt w:val="bullet"/>
      <w:lvlText w:val="•"/>
      <w:lvlJc w:val="left"/>
      <w:pPr>
        <w:ind w:left="4486" w:hanging="241"/>
      </w:pPr>
      <w:rPr>
        <w:rFonts w:hint="default"/>
        <w:lang w:val="en-US" w:eastAsia="zh-CN" w:bidi="ar-SA"/>
      </w:rPr>
    </w:lvl>
    <w:lvl w:ilvl="5" w:tentative="0">
      <w:start w:val="0"/>
      <w:numFmt w:val="bullet"/>
      <w:lvlText w:val="•"/>
      <w:lvlJc w:val="left"/>
      <w:pPr>
        <w:ind w:left="5503" w:hanging="241"/>
      </w:pPr>
      <w:rPr>
        <w:rFonts w:hint="default"/>
        <w:lang w:val="en-US" w:eastAsia="zh-CN" w:bidi="ar-SA"/>
      </w:rPr>
    </w:lvl>
    <w:lvl w:ilvl="6" w:tentative="0">
      <w:start w:val="0"/>
      <w:numFmt w:val="bullet"/>
      <w:lvlText w:val="•"/>
      <w:lvlJc w:val="left"/>
      <w:pPr>
        <w:ind w:left="6519" w:hanging="241"/>
      </w:pPr>
      <w:rPr>
        <w:rFonts w:hint="default"/>
        <w:lang w:val="en-US" w:eastAsia="zh-CN" w:bidi="ar-SA"/>
      </w:rPr>
    </w:lvl>
    <w:lvl w:ilvl="7" w:tentative="0">
      <w:start w:val="0"/>
      <w:numFmt w:val="bullet"/>
      <w:lvlText w:val="•"/>
      <w:lvlJc w:val="left"/>
      <w:pPr>
        <w:ind w:left="7536" w:hanging="241"/>
      </w:pPr>
      <w:rPr>
        <w:rFonts w:hint="default"/>
        <w:lang w:val="en-US" w:eastAsia="zh-CN" w:bidi="ar-SA"/>
      </w:rPr>
    </w:lvl>
    <w:lvl w:ilvl="8" w:tentative="0">
      <w:start w:val="0"/>
      <w:numFmt w:val="bullet"/>
      <w:lvlText w:val="•"/>
      <w:lvlJc w:val="left"/>
      <w:pPr>
        <w:ind w:left="8552" w:hanging="241"/>
      </w:pPr>
      <w:rPr>
        <w:rFonts w:hint="default"/>
        <w:lang w:val="en-US" w:eastAsia="zh-CN" w:bidi="ar-SA"/>
      </w:rPr>
    </w:lvl>
  </w:abstractNum>
  <w:abstractNum w:abstractNumId="10">
    <w:nsid w:val="BB64CFA9"/>
    <w:multiLevelType w:val="multilevel"/>
    <w:tmpl w:val="BB64CFA9"/>
    <w:lvl w:ilvl="0" w:tentative="0">
      <w:start w:val="10"/>
      <w:numFmt w:val="decimal"/>
      <w:lvlText w:val="%1"/>
      <w:lvlJc w:val="left"/>
      <w:pPr>
        <w:ind w:left="420" w:hanging="540"/>
        <w:jc w:val="left"/>
      </w:pPr>
      <w:rPr>
        <w:rFonts w:hint="default"/>
        <w:lang w:val="en-US" w:eastAsia="zh-CN" w:bidi="ar-SA"/>
      </w:rPr>
    </w:lvl>
    <w:lvl w:ilvl="1" w:tentative="0">
      <w:start w:val="1"/>
      <w:numFmt w:val="decimal"/>
      <w:lvlText w:val="%1.%2"/>
      <w:lvlJc w:val="left"/>
      <w:pPr>
        <w:ind w:left="420" w:hanging="540"/>
        <w:jc w:val="left"/>
      </w:pPr>
      <w:rPr>
        <w:rFonts w:hint="default" w:ascii="仿宋" w:hAnsi="仿宋" w:eastAsia="仿宋" w:cs="仿宋"/>
        <w:w w:val="100"/>
        <w:sz w:val="24"/>
        <w:szCs w:val="24"/>
        <w:lang w:val="en-US" w:eastAsia="zh-CN" w:bidi="ar-SA"/>
      </w:rPr>
    </w:lvl>
    <w:lvl w:ilvl="2" w:tentative="0">
      <w:start w:val="1"/>
      <w:numFmt w:val="decimal"/>
      <w:lvlText w:val="%1.%2.%3"/>
      <w:lvlJc w:val="left"/>
      <w:pPr>
        <w:ind w:left="1816" w:hanging="780"/>
        <w:jc w:val="right"/>
      </w:pPr>
      <w:rPr>
        <w:rFonts w:hint="default" w:ascii="仿宋" w:hAnsi="仿宋" w:eastAsia="仿宋" w:cs="仿宋"/>
        <w:w w:val="100"/>
        <w:sz w:val="24"/>
        <w:szCs w:val="24"/>
        <w:lang w:val="en-US" w:eastAsia="zh-CN" w:bidi="ar-SA"/>
      </w:rPr>
    </w:lvl>
    <w:lvl w:ilvl="3" w:tentative="0">
      <w:start w:val="0"/>
      <w:numFmt w:val="bullet"/>
      <w:lvlText w:val="•"/>
      <w:lvlJc w:val="left"/>
      <w:pPr>
        <w:ind w:left="3768" w:hanging="780"/>
      </w:pPr>
      <w:rPr>
        <w:rFonts w:hint="default"/>
        <w:lang w:val="en-US" w:eastAsia="zh-CN" w:bidi="ar-SA"/>
      </w:rPr>
    </w:lvl>
    <w:lvl w:ilvl="4" w:tentative="0">
      <w:start w:val="0"/>
      <w:numFmt w:val="bullet"/>
      <w:lvlText w:val="•"/>
      <w:lvlJc w:val="left"/>
      <w:pPr>
        <w:ind w:left="4742" w:hanging="780"/>
      </w:pPr>
      <w:rPr>
        <w:rFonts w:hint="default"/>
        <w:lang w:val="en-US" w:eastAsia="zh-CN" w:bidi="ar-SA"/>
      </w:rPr>
    </w:lvl>
    <w:lvl w:ilvl="5" w:tentative="0">
      <w:start w:val="0"/>
      <w:numFmt w:val="bullet"/>
      <w:lvlText w:val="•"/>
      <w:lvlJc w:val="left"/>
      <w:pPr>
        <w:ind w:left="5716" w:hanging="780"/>
      </w:pPr>
      <w:rPr>
        <w:rFonts w:hint="default"/>
        <w:lang w:val="en-US" w:eastAsia="zh-CN" w:bidi="ar-SA"/>
      </w:rPr>
    </w:lvl>
    <w:lvl w:ilvl="6" w:tentative="0">
      <w:start w:val="0"/>
      <w:numFmt w:val="bullet"/>
      <w:lvlText w:val="•"/>
      <w:lvlJc w:val="left"/>
      <w:pPr>
        <w:ind w:left="6690" w:hanging="780"/>
      </w:pPr>
      <w:rPr>
        <w:rFonts w:hint="default"/>
        <w:lang w:val="en-US" w:eastAsia="zh-CN" w:bidi="ar-SA"/>
      </w:rPr>
    </w:lvl>
    <w:lvl w:ilvl="7" w:tentative="0">
      <w:start w:val="0"/>
      <w:numFmt w:val="bullet"/>
      <w:lvlText w:val="•"/>
      <w:lvlJc w:val="left"/>
      <w:pPr>
        <w:ind w:left="7664" w:hanging="780"/>
      </w:pPr>
      <w:rPr>
        <w:rFonts w:hint="default"/>
        <w:lang w:val="en-US" w:eastAsia="zh-CN" w:bidi="ar-SA"/>
      </w:rPr>
    </w:lvl>
    <w:lvl w:ilvl="8" w:tentative="0">
      <w:start w:val="0"/>
      <w:numFmt w:val="bullet"/>
      <w:lvlText w:val="•"/>
      <w:lvlJc w:val="left"/>
      <w:pPr>
        <w:ind w:left="8638" w:hanging="780"/>
      </w:pPr>
      <w:rPr>
        <w:rFonts w:hint="default"/>
        <w:lang w:val="en-US" w:eastAsia="zh-CN" w:bidi="ar-SA"/>
      </w:rPr>
    </w:lvl>
  </w:abstractNum>
  <w:abstractNum w:abstractNumId="11">
    <w:nsid w:val="BE923771"/>
    <w:multiLevelType w:val="multilevel"/>
    <w:tmpl w:val="BE923771"/>
    <w:lvl w:ilvl="0" w:tentative="0">
      <w:start w:val="1"/>
      <w:numFmt w:val="decimal"/>
      <w:lvlText w:val="（%1）"/>
      <w:lvlJc w:val="left"/>
      <w:pPr>
        <w:ind w:left="420" w:hanging="601"/>
        <w:jc w:val="left"/>
      </w:pPr>
      <w:rPr>
        <w:rFonts w:hint="default" w:ascii="仿宋" w:hAnsi="仿宋" w:eastAsia="仿宋" w:cs="仿宋"/>
        <w:spacing w:val="-32"/>
        <w:w w:val="100"/>
        <w:sz w:val="22"/>
        <w:szCs w:val="22"/>
        <w:lang w:val="en-US" w:eastAsia="zh-CN" w:bidi="ar-SA"/>
      </w:rPr>
    </w:lvl>
    <w:lvl w:ilvl="1" w:tentative="0">
      <w:start w:val="0"/>
      <w:numFmt w:val="bullet"/>
      <w:lvlText w:val="•"/>
      <w:lvlJc w:val="left"/>
      <w:pPr>
        <w:ind w:left="1436" w:hanging="601"/>
      </w:pPr>
      <w:rPr>
        <w:rFonts w:hint="default"/>
        <w:lang w:val="en-US" w:eastAsia="zh-CN" w:bidi="ar-SA"/>
      </w:rPr>
    </w:lvl>
    <w:lvl w:ilvl="2" w:tentative="0">
      <w:start w:val="0"/>
      <w:numFmt w:val="bullet"/>
      <w:lvlText w:val="•"/>
      <w:lvlJc w:val="left"/>
      <w:pPr>
        <w:ind w:left="2453" w:hanging="601"/>
      </w:pPr>
      <w:rPr>
        <w:rFonts w:hint="default"/>
        <w:lang w:val="en-US" w:eastAsia="zh-CN" w:bidi="ar-SA"/>
      </w:rPr>
    </w:lvl>
    <w:lvl w:ilvl="3" w:tentative="0">
      <w:start w:val="0"/>
      <w:numFmt w:val="bullet"/>
      <w:lvlText w:val="•"/>
      <w:lvlJc w:val="left"/>
      <w:pPr>
        <w:ind w:left="3469" w:hanging="601"/>
      </w:pPr>
      <w:rPr>
        <w:rFonts w:hint="default"/>
        <w:lang w:val="en-US" w:eastAsia="zh-CN" w:bidi="ar-SA"/>
      </w:rPr>
    </w:lvl>
    <w:lvl w:ilvl="4" w:tentative="0">
      <w:start w:val="0"/>
      <w:numFmt w:val="bullet"/>
      <w:lvlText w:val="•"/>
      <w:lvlJc w:val="left"/>
      <w:pPr>
        <w:ind w:left="4486" w:hanging="601"/>
      </w:pPr>
      <w:rPr>
        <w:rFonts w:hint="default"/>
        <w:lang w:val="en-US" w:eastAsia="zh-CN" w:bidi="ar-SA"/>
      </w:rPr>
    </w:lvl>
    <w:lvl w:ilvl="5" w:tentative="0">
      <w:start w:val="0"/>
      <w:numFmt w:val="bullet"/>
      <w:lvlText w:val="•"/>
      <w:lvlJc w:val="left"/>
      <w:pPr>
        <w:ind w:left="5503" w:hanging="601"/>
      </w:pPr>
      <w:rPr>
        <w:rFonts w:hint="default"/>
        <w:lang w:val="en-US" w:eastAsia="zh-CN" w:bidi="ar-SA"/>
      </w:rPr>
    </w:lvl>
    <w:lvl w:ilvl="6" w:tentative="0">
      <w:start w:val="0"/>
      <w:numFmt w:val="bullet"/>
      <w:lvlText w:val="•"/>
      <w:lvlJc w:val="left"/>
      <w:pPr>
        <w:ind w:left="6519" w:hanging="601"/>
      </w:pPr>
      <w:rPr>
        <w:rFonts w:hint="default"/>
        <w:lang w:val="en-US" w:eastAsia="zh-CN" w:bidi="ar-SA"/>
      </w:rPr>
    </w:lvl>
    <w:lvl w:ilvl="7" w:tentative="0">
      <w:start w:val="0"/>
      <w:numFmt w:val="bullet"/>
      <w:lvlText w:val="•"/>
      <w:lvlJc w:val="left"/>
      <w:pPr>
        <w:ind w:left="7536" w:hanging="601"/>
      </w:pPr>
      <w:rPr>
        <w:rFonts w:hint="default"/>
        <w:lang w:val="en-US" w:eastAsia="zh-CN" w:bidi="ar-SA"/>
      </w:rPr>
    </w:lvl>
    <w:lvl w:ilvl="8" w:tentative="0">
      <w:start w:val="0"/>
      <w:numFmt w:val="bullet"/>
      <w:lvlText w:val="•"/>
      <w:lvlJc w:val="left"/>
      <w:pPr>
        <w:ind w:left="8552" w:hanging="601"/>
      </w:pPr>
      <w:rPr>
        <w:rFonts w:hint="default"/>
        <w:lang w:val="en-US" w:eastAsia="zh-CN" w:bidi="ar-SA"/>
      </w:rPr>
    </w:lvl>
  </w:abstractNum>
  <w:abstractNum w:abstractNumId="12">
    <w:nsid w:val="C8879AEF"/>
    <w:multiLevelType w:val="multilevel"/>
    <w:tmpl w:val="C8879AEF"/>
    <w:lvl w:ilvl="0" w:tentative="0">
      <w:start w:val="2"/>
      <w:numFmt w:val="decimal"/>
      <w:lvlText w:val="%1"/>
      <w:lvlJc w:val="left"/>
      <w:pPr>
        <w:ind w:left="1380" w:hanging="480"/>
        <w:jc w:val="left"/>
      </w:pPr>
      <w:rPr>
        <w:rFonts w:hint="default"/>
        <w:lang w:val="en-US" w:eastAsia="zh-CN" w:bidi="ar-SA"/>
      </w:rPr>
    </w:lvl>
    <w:lvl w:ilvl="1" w:tentative="0">
      <w:start w:val="1"/>
      <w:numFmt w:val="decimal"/>
      <w:lvlText w:val="%1.%2"/>
      <w:lvlJc w:val="left"/>
      <w:pPr>
        <w:ind w:left="1380" w:hanging="480"/>
        <w:jc w:val="left"/>
      </w:pPr>
      <w:rPr>
        <w:rFonts w:hint="default" w:ascii="仿宋" w:hAnsi="仿宋" w:eastAsia="仿宋" w:cs="仿宋"/>
        <w:w w:val="100"/>
        <w:sz w:val="24"/>
        <w:szCs w:val="24"/>
        <w:lang w:val="en-US" w:eastAsia="zh-CN" w:bidi="ar-SA"/>
      </w:rPr>
    </w:lvl>
    <w:lvl w:ilvl="2" w:tentative="0">
      <w:start w:val="0"/>
      <w:numFmt w:val="bullet"/>
      <w:lvlText w:val="•"/>
      <w:lvlJc w:val="left"/>
      <w:pPr>
        <w:ind w:left="3221" w:hanging="480"/>
      </w:pPr>
      <w:rPr>
        <w:rFonts w:hint="default"/>
        <w:lang w:val="en-US" w:eastAsia="zh-CN" w:bidi="ar-SA"/>
      </w:rPr>
    </w:lvl>
    <w:lvl w:ilvl="3" w:tentative="0">
      <w:start w:val="0"/>
      <w:numFmt w:val="bullet"/>
      <w:lvlText w:val="•"/>
      <w:lvlJc w:val="left"/>
      <w:pPr>
        <w:ind w:left="4141" w:hanging="480"/>
      </w:pPr>
      <w:rPr>
        <w:rFonts w:hint="default"/>
        <w:lang w:val="en-US" w:eastAsia="zh-CN" w:bidi="ar-SA"/>
      </w:rPr>
    </w:lvl>
    <w:lvl w:ilvl="4" w:tentative="0">
      <w:start w:val="0"/>
      <w:numFmt w:val="bullet"/>
      <w:lvlText w:val="•"/>
      <w:lvlJc w:val="left"/>
      <w:pPr>
        <w:ind w:left="5062" w:hanging="480"/>
      </w:pPr>
      <w:rPr>
        <w:rFonts w:hint="default"/>
        <w:lang w:val="en-US" w:eastAsia="zh-CN" w:bidi="ar-SA"/>
      </w:rPr>
    </w:lvl>
    <w:lvl w:ilvl="5" w:tentative="0">
      <w:start w:val="0"/>
      <w:numFmt w:val="bullet"/>
      <w:lvlText w:val="•"/>
      <w:lvlJc w:val="left"/>
      <w:pPr>
        <w:ind w:left="5983" w:hanging="480"/>
      </w:pPr>
      <w:rPr>
        <w:rFonts w:hint="default"/>
        <w:lang w:val="en-US" w:eastAsia="zh-CN" w:bidi="ar-SA"/>
      </w:rPr>
    </w:lvl>
    <w:lvl w:ilvl="6" w:tentative="0">
      <w:start w:val="0"/>
      <w:numFmt w:val="bullet"/>
      <w:lvlText w:val="•"/>
      <w:lvlJc w:val="left"/>
      <w:pPr>
        <w:ind w:left="6903" w:hanging="480"/>
      </w:pPr>
      <w:rPr>
        <w:rFonts w:hint="default"/>
        <w:lang w:val="en-US" w:eastAsia="zh-CN" w:bidi="ar-SA"/>
      </w:rPr>
    </w:lvl>
    <w:lvl w:ilvl="7" w:tentative="0">
      <w:start w:val="0"/>
      <w:numFmt w:val="bullet"/>
      <w:lvlText w:val="•"/>
      <w:lvlJc w:val="left"/>
      <w:pPr>
        <w:ind w:left="7824" w:hanging="480"/>
      </w:pPr>
      <w:rPr>
        <w:rFonts w:hint="default"/>
        <w:lang w:val="en-US" w:eastAsia="zh-CN" w:bidi="ar-SA"/>
      </w:rPr>
    </w:lvl>
    <w:lvl w:ilvl="8" w:tentative="0">
      <w:start w:val="0"/>
      <w:numFmt w:val="bullet"/>
      <w:lvlText w:val="•"/>
      <w:lvlJc w:val="left"/>
      <w:pPr>
        <w:ind w:left="8744" w:hanging="480"/>
      </w:pPr>
      <w:rPr>
        <w:rFonts w:hint="default"/>
        <w:lang w:val="en-US" w:eastAsia="zh-CN" w:bidi="ar-SA"/>
      </w:rPr>
    </w:lvl>
  </w:abstractNum>
  <w:abstractNum w:abstractNumId="13">
    <w:nsid w:val="CF092B84"/>
    <w:multiLevelType w:val="multilevel"/>
    <w:tmpl w:val="CF092B84"/>
    <w:lvl w:ilvl="0" w:tentative="0">
      <w:start w:val="1"/>
      <w:numFmt w:val="decimal"/>
      <w:lvlText w:val="（%1）"/>
      <w:lvlJc w:val="left"/>
      <w:pPr>
        <w:ind w:left="1501" w:hanging="601"/>
        <w:jc w:val="left"/>
      </w:pPr>
      <w:rPr>
        <w:rFonts w:hint="default" w:ascii="仿宋" w:hAnsi="仿宋" w:eastAsia="仿宋" w:cs="仿宋"/>
        <w:w w:val="100"/>
        <w:sz w:val="22"/>
        <w:szCs w:val="22"/>
        <w:lang w:val="en-US" w:eastAsia="zh-CN" w:bidi="ar-SA"/>
      </w:rPr>
    </w:lvl>
    <w:lvl w:ilvl="1" w:tentative="0">
      <w:start w:val="0"/>
      <w:numFmt w:val="bullet"/>
      <w:lvlText w:val="•"/>
      <w:lvlJc w:val="left"/>
      <w:pPr>
        <w:ind w:left="2408" w:hanging="601"/>
      </w:pPr>
      <w:rPr>
        <w:rFonts w:hint="default"/>
        <w:lang w:val="en-US" w:eastAsia="zh-CN" w:bidi="ar-SA"/>
      </w:rPr>
    </w:lvl>
    <w:lvl w:ilvl="2" w:tentative="0">
      <w:start w:val="0"/>
      <w:numFmt w:val="bullet"/>
      <w:lvlText w:val="•"/>
      <w:lvlJc w:val="left"/>
      <w:pPr>
        <w:ind w:left="3317" w:hanging="601"/>
      </w:pPr>
      <w:rPr>
        <w:rFonts w:hint="default"/>
        <w:lang w:val="en-US" w:eastAsia="zh-CN" w:bidi="ar-SA"/>
      </w:rPr>
    </w:lvl>
    <w:lvl w:ilvl="3" w:tentative="0">
      <w:start w:val="0"/>
      <w:numFmt w:val="bullet"/>
      <w:lvlText w:val="•"/>
      <w:lvlJc w:val="left"/>
      <w:pPr>
        <w:ind w:left="4225" w:hanging="601"/>
      </w:pPr>
      <w:rPr>
        <w:rFonts w:hint="default"/>
        <w:lang w:val="en-US" w:eastAsia="zh-CN" w:bidi="ar-SA"/>
      </w:rPr>
    </w:lvl>
    <w:lvl w:ilvl="4" w:tentative="0">
      <w:start w:val="0"/>
      <w:numFmt w:val="bullet"/>
      <w:lvlText w:val="•"/>
      <w:lvlJc w:val="left"/>
      <w:pPr>
        <w:ind w:left="5134" w:hanging="601"/>
      </w:pPr>
      <w:rPr>
        <w:rFonts w:hint="default"/>
        <w:lang w:val="en-US" w:eastAsia="zh-CN" w:bidi="ar-SA"/>
      </w:rPr>
    </w:lvl>
    <w:lvl w:ilvl="5" w:tentative="0">
      <w:start w:val="0"/>
      <w:numFmt w:val="bullet"/>
      <w:lvlText w:val="•"/>
      <w:lvlJc w:val="left"/>
      <w:pPr>
        <w:ind w:left="6043" w:hanging="601"/>
      </w:pPr>
      <w:rPr>
        <w:rFonts w:hint="default"/>
        <w:lang w:val="en-US" w:eastAsia="zh-CN" w:bidi="ar-SA"/>
      </w:rPr>
    </w:lvl>
    <w:lvl w:ilvl="6" w:tentative="0">
      <w:start w:val="0"/>
      <w:numFmt w:val="bullet"/>
      <w:lvlText w:val="•"/>
      <w:lvlJc w:val="left"/>
      <w:pPr>
        <w:ind w:left="6951" w:hanging="601"/>
      </w:pPr>
      <w:rPr>
        <w:rFonts w:hint="default"/>
        <w:lang w:val="en-US" w:eastAsia="zh-CN" w:bidi="ar-SA"/>
      </w:rPr>
    </w:lvl>
    <w:lvl w:ilvl="7" w:tentative="0">
      <w:start w:val="0"/>
      <w:numFmt w:val="bullet"/>
      <w:lvlText w:val="•"/>
      <w:lvlJc w:val="left"/>
      <w:pPr>
        <w:ind w:left="7860" w:hanging="601"/>
      </w:pPr>
      <w:rPr>
        <w:rFonts w:hint="default"/>
        <w:lang w:val="en-US" w:eastAsia="zh-CN" w:bidi="ar-SA"/>
      </w:rPr>
    </w:lvl>
    <w:lvl w:ilvl="8" w:tentative="0">
      <w:start w:val="0"/>
      <w:numFmt w:val="bullet"/>
      <w:lvlText w:val="•"/>
      <w:lvlJc w:val="left"/>
      <w:pPr>
        <w:ind w:left="8768" w:hanging="601"/>
      </w:pPr>
      <w:rPr>
        <w:rFonts w:hint="default"/>
        <w:lang w:val="en-US" w:eastAsia="zh-CN" w:bidi="ar-SA"/>
      </w:rPr>
    </w:lvl>
  </w:abstractNum>
  <w:abstractNum w:abstractNumId="14">
    <w:nsid w:val="D7D140E4"/>
    <w:multiLevelType w:val="multilevel"/>
    <w:tmpl w:val="D7D140E4"/>
    <w:lvl w:ilvl="0" w:tentative="0">
      <w:start w:val="9"/>
      <w:numFmt w:val="decimal"/>
      <w:lvlText w:val="%1"/>
      <w:lvlJc w:val="left"/>
      <w:pPr>
        <w:ind w:left="2148" w:hanging="560"/>
        <w:jc w:val="left"/>
      </w:pPr>
      <w:rPr>
        <w:rFonts w:hint="default"/>
        <w:lang w:val="en-US" w:eastAsia="zh-CN" w:bidi="ar-SA"/>
      </w:rPr>
    </w:lvl>
    <w:lvl w:ilvl="1" w:tentative="0">
      <w:start w:val="1"/>
      <w:numFmt w:val="decimal"/>
      <w:lvlText w:val="%1.%2"/>
      <w:lvlJc w:val="left"/>
      <w:pPr>
        <w:ind w:left="2148" w:hanging="560"/>
        <w:jc w:val="left"/>
      </w:pPr>
      <w:rPr>
        <w:rFonts w:hint="default" w:ascii="仿宋" w:hAnsi="仿宋" w:eastAsia="仿宋" w:cs="仿宋"/>
        <w:spacing w:val="-2"/>
        <w:w w:val="100"/>
        <w:sz w:val="28"/>
        <w:szCs w:val="28"/>
        <w:lang w:val="en-US" w:eastAsia="zh-CN" w:bidi="ar-SA"/>
      </w:rPr>
    </w:lvl>
    <w:lvl w:ilvl="2" w:tentative="0">
      <w:start w:val="0"/>
      <w:numFmt w:val="bullet"/>
      <w:lvlText w:val="•"/>
      <w:lvlJc w:val="left"/>
      <w:pPr>
        <w:ind w:left="3829" w:hanging="560"/>
      </w:pPr>
      <w:rPr>
        <w:rFonts w:hint="default"/>
        <w:lang w:val="en-US" w:eastAsia="zh-CN" w:bidi="ar-SA"/>
      </w:rPr>
    </w:lvl>
    <w:lvl w:ilvl="3" w:tentative="0">
      <w:start w:val="0"/>
      <w:numFmt w:val="bullet"/>
      <w:lvlText w:val="•"/>
      <w:lvlJc w:val="left"/>
      <w:pPr>
        <w:ind w:left="4673" w:hanging="560"/>
      </w:pPr>
      <w:rPr>
        <w:rFonts w:hint="default"/>
        <w:lang w:val="en-US" w:eastAsia="zh-CN" w:bidi="ar-SA"/>
      </w:rPr>
    </w:lvl>
    <w:lvl w:ilvl="4" w:tentative="0">
      <w:start w:val="0"/>
      <w:numFmt w:val="bullet"/>
      <w:lvlText w:val="•"/>
      <w:lvlJc w:val="left"/>
      <w:pPr>
        <w:ind w:left="5518" w:hanging="560"/>
      </w:pPr>
      <w:rPr>
        <w:rFonts w:hint="default"/>
        <w:lang w:val="en-US" w:eastAsia="zh-CN" w:bidi="ar-SA"/>
      </w:rPr>
    </w:lvl>
    <w:lvl w:ilvl="5" w:tentative="0">
      <w:start w:val="0"/>
      <w:numFmt w:val="bullet"/>
      <w:lvlText w:val="•"/>
      <w:lvlJc w:val="left"/>
      <w:pPr>
        <w:ind w:left="6363" w:hanging="560"/>
      </w:pPr>
      <w:rPr>
        <w:rFonts w:hint="default"/>
        <w:lang w:val="en-US" w:eastAsia="zh-CN" w:bidi="ar-SA"/>
      </w:rPr>
    </w:lvl>
    <w:lvl w:ilvl="6" w:tentative="0">
      <w:start w:val="0"/>
      <w:numFmt w:val="bullet"/>
      <w:lvlText w:val="•"/>
      <w:lvlJc w:val="left"/>
      <w:pPr>
        <w:ind w:left="7207" w:hanging="560"/>
      </w:pPr>
      <w:rPr>
        <w:rFonts w:hint="default"/>
        <w:lang w:val="en-US" w:eastAsia="zh-CN" w:bidi="ar-SA"/>
      </w:rPr>
    </w:lvl>
    <w:lvl w:ilvl="7" w:tentative="0">
      <w:start w:val="0"/>
      <w:numFmt w:val="bullet"/>
      <w:lvlText w:val="•"/>
      <w:lvlJc w:val="left"/>
      <w:pPr>
        <w:ind w:left="8052" w:hanging="560"/>
      </w:pPr>
      <w:rPr>
        <w:rFonts w:hint="default"/>
        <w:lang w:val="en-US" w:eastAsia="zh-CN" w:bidi="ar-SA"/>
      </w:rPr>
    </w:lvl>
    <w:lvl w:ilvl="8" w:tentative="0">
      <w:start w:val="0"/>
      <w:numFmt w:val="bullet"/>
      <w:lvlText w:val="•"/>
      <w:lvlJc w:val="left"/>
      <w:pPr>
        <w:ind w:left="8896" w:hanging="560"/>
      </w:pPr>
      <w:rPr>
        <w:rFonts w:hint="default"/>
        <w:lang w:val="en-US" w:eastAsia="zh-CN" w:bidi="ar-SA"/>
      </w:rPr>
    </w:lvl>
  </w:abstractNum>
  <w:abstractNum w:abstractNumId="15">
    <w:nsid w:val="D7F9FE59"/>
    <w:multiLevelType w:val="multilevel"/>
    <w:tmpl w:val="D7F9FE59"/>
    <w:lvl w:ilvl="0" w:tentative="0">
      <w:start w:val="1"/>
      <w:numFmt w:val="decimal"/>
      <w:lvlText w:val="（%1）"/>
      <w:lvlJc w:val="left"/>
      <w:pPr>
        <w:ind w:left="420" w:hanging="601"/>
        <w:jc w:val="left"/>
      </w:pPr>
      <w:rPr>
        <w:rFonts w:hint="default" w:ascii="仿宋" w:hAnsi="仿宋" w:eastAsia="仿宋" w:cs="仿宋"/>
        <w:spacing w:val="-17"/>
        <w:w w:val="100"/>
        <w:sz w:val="22"/>
        <w:szCs w:val="22"/>
        <w:lang w:val="en-US" w:eastAsia="zh-CN" w:bidi="ar-SA"/>
      </w:rPr>
    </w:lvl>
    <w:lvl w:ilvl="1" w:tentative="0">
      <w:start w:val="0"/>
      <w:numFmt w:val="bullet"/>
      <w:lvlText w:val="•"/>
      <w:lvlJc w:val="left"/>
      <w:pPr>
        <w:ind w:left="1436" w:hanging="601"/>
      </w:pPr>
      <w:rPr>
        <w:rFonts w:hint="default"/>
        <w:lang w:val="en-US" w:eastAsia="zh-CN" w:bidi="ar-SA"/>
      </w:rPr>
    </w:lvl>
    <w:lvl w:ilvl="2" w:tentative="0">
      <w:start w:val="0"/>
      <w:numFmt w:val="bullet"/>
      <w:lvlText w:val="•"/>
      <w:lvlJc w:val="left"/>
      <w:pPr>
        <w:ind w:left="2453" w:hanging="601"/>
      </w:pPr>
      <w:rPr>
        <w:rFonts w:hint="default"/>
        <w:lang w:val="en-US" w:eastAsia="zh-CN" w:bidi="ar-SA"/>
      </w:rPr>
    </w:lvl>
    <w:lvl w:ilvl="3" w:tentative="0">
      <w:start w:val="0"/>
      <w:numFmt w:val="bullet"/>
      <w:lvlText w:val="•"/>
      <w:lvlJc w:val="left"/>
      <w:pPr>
        <w:ind w:left="3469" w:hanging="601"/>
      </w:pPr>
      <w:rPr>
        <w:rFonts w:hint="default"/>
        <w:lang w:val="en-US" w:eastAsia="zh-CN" w:bidi="ar-SA"/>
      </w:rPr>
    </w:lvl>
    <w:lvl w:ilvl="4" w:tentative="0">
      <w:start w:val="0"/>
      <w:numFmt w:val="bullet"/>
      <w:lvlText w:val="•"/>
      <w:lvlJc w:val="left"/>
      <w:pPr>
        <w:ind w:left="4486" w:hanging="601"/>
      </w:pPr>
      <w:rPr>
        <w:rFonts w:hint="default"/>
        <w:lang w:val="en-US" w:eastAsia="zh-CN" w:bidi="ar-SA"/>
      </w:rPr>
    </w:lvl>
    <w:lvl w:ilvl="5" w:tentative="0">
      <w:start w:val="0"/>
      <w:numFmt w:val="bullet"/>
      <w:lvlText w:val="•"/>
      <w:lvlJc w:val="left"/>
      <w:pPr>
        <w:ind w:left="5503" w:hanging="601"/>
      </w:pPr>
      <w:rPr>
        <w:rFonts w:hint="default"/>
        <w:lang w:val="en-US" w:eastAsia="zh-CN" w:bidi="ar-SA"/>
      </w:rPr>
    </w:lvl>
    <w:lvl w:ilvl="6" w:tentative="0">
      <w:start w:val="0"/>
      <w:numFmt w:val="bullet"/>
      <w:lvlText w:val="•"/>
      <w:lvlJc w:val="left"/>
      <w:pPr>
        <w:ind w:left="6519" w:hanging="601"/>
      </w:pPr>
      <w:rPr>
        <w:rFonts w:hint="default"/>
        <w:lang w:val="en-US" w:eastAsia="zh-CN" w:bidi="ar-SA"/>
      </w:rPr>
    </w:lvl>
    <w:lvl w:ilvl="7" w:tentative="0">
      <w:start w:val="0"/>
      <w:numFmt w:val="bullet"/>
      <w:lvlText w:val="•"/>
      <w:lvlJc w:val="left"/>
      <w:pPr>
        <w:ind w:left="7536" w:hanging="601"/>
      </w:pPr>
      <w:rPr>
        <w:rFonts w:hint="default"/>
        <w:lang w:val="en-US" w:eastAsia="zh-CN" w:bidi="ar-SA"/>
      </w:rPr>
    </w:lvl>
    <w:lvl w:ilvl="8" w:tentative="0">
      <w:start w:val="0"/>
      <w:numFmt w:val="bullet"/>
      <w:lvlText w:val="•"/>
      <w:lvlJc w:val="left"/>
      <w:pPr>
        <w:ind w:left="8552" w:hanging="601"/>
      </w:pPr>
      <w:rPr>
        <w:rFonts w:hint="default"/>
        <w:lang w:val="en-US" w:eastAsia="zh-CN" w:bidi="ar-SA"/>
      </w:rPr>
    </w:lvl>
  </w:abstractNum>
  <w:abstractNum w:abstractNumId="16">
    <w:nsid w:val="DCBA6B53"/>
    <w:multiLevelType w:val="multilevel"/>
    <w:tmpl w:val="DCBA6B53"/>
    <w:lvl w:ilvl="0" w:tentative="0">
      <w:start w:val="1"/>
      <w:numFmt w:val="decimal"/>
      <w:lvlText w:val="（%1）"/>
      <w:lvlJc w:val="left"/>
      <w:pPr>
        <w:ind w:left="420" w:hanging="601"/>
        <w:jc w:val="left"/>
      </w:pPr>
      <w:rPr>
        <w:rFonts w:hint="default" w:ascii="仿宋" w:hAnsi="仿宋" w:eastAsia="仿宋" w:cs="仿宋"/>
        <w:spacing w:val="-19"/>
        <w:w w:val="100"/>
        <w:sz w:val="22"/>
        <w:szCs w:val="22"/>
        <w:lang w:val="en-US" w:eastAsia="zh-CN" w:bidi="ar-SA"/>
      </w:rPr>
    </w:lvl>
    <w:lvl w:ilvl="1" w:tentative="0">
      <w:start w:val="0"/>
      <w:numFmt w:val="bullet"/>
      <w:lvlText w:val="•"/>
      <w:lvlJc w:val="left"/>
      <w:pPr>
        <w:ind w:left="1436" w:hanging="601"/>
      </w:pPr>
      <w:rPr>
        <w:rFonts w:hint="default"/>
        <w:lang w:val="en-US" w:eastAsia="zh-CN" w:bidi="ar-SA"/>
      </w:rPr>
    </w:lvl>
    <w:lvl w:ilvl="2" w:tentative="0">
      <w:start w:val="0"/>
      <w:numFmt w:val="bullet"/>
      <w:lvlText w:val="•"/>
      <w:lvlJc w:val="left"/>
      <w:pPr>
        <w:ind w:left="2453" w:hanging="601"/>
      </w:pPr>
      <w:rPr>
        <w:rFonts w:hint="default"/>
        <w:lang w:val="en-US" w:eastAsia="zh-CN" w:bidi="ar-SA"/>
      </w:rPr>
    </w:lvl>
    <w:lvl w:ilvl="3" w:tentative="0">
      <w:start w:val="0"/>
      <w:numFmt w:val="bullet"/>
      <w:lvlText w:val="•"/>
      <w:lvlJc w:val="left"/>
      <w:pPr>
        <w:ind w:left="3469" w:hanging="601"/>
      </w:pPr>
      <w:rPr>
        <w:rFonts w:hint="default"/>
        <w:lang w:val="en-US" w:eastAsia="zh-CN" w:bidi="ar-SA"/>
      </w:rPr>
    </w:lvl>
    <w:lvl w:ilvl="4" w:tentative="0">
      <w:start w:val="0"/>
      <w:numFmt w:val="bullet"/>
      <w:lvlText w:val="•"/>
      <w:lvlJc w:val="left"/>
      <w:pPr>
        <w:ind w:left="4486" w:hanging="601"/>
      </w:pPr>
      <w:rPr>
        <w:rFonts w:hint="default"/>
        <w:lang w:val="en-US" w:eastAsia="zh-CN" w:bidi="ar-SA"/>
      </w:rPr>
    </w:lvl>
    <w:lvl w:ilvl="5" w:tentative="0">
      <w:start w:val="0"/>
      <w:numFmt w:val="bullet"/>
      <w:lvlText w:val="•"/>
      <w:lvlJc w:val="left"/>
      <w:pPr>
        <w:ind w:left="5503" w:hanging="601"/>
      </w:pPr>
      <w:rPr>
        <w:rFonts w:hint="default"/>
        <w:lang w:val="en-US" w:eastAsia="zh-CN" w:bidi="ar-SA"/>
      </w:rPr>
    </w:lvl>
    <w:lvl w:ilvl="6" w:tentative="0">
      <w:start w:val="0"/>
      <w:numFmt w:val="bullet"/>
      <w:lvlText w:val="•"/>
      <w:lvlJc w:val="left"/>
      <w:pPr>
        <w:ind w:left="6519" w:hanging="601"/>
      </w:pPr>
      <w:rPr>
        <w:rFonts w:hint="default"/>
        <w:lang w:val="en-US" w:eastAsia="zh-CN" w:bidi="ar-SA"/>
      </w:rPr>
    </w:lvl>
    <w:lvl w:ilvl="7" w:tentative="0">
      <w:start w:val="0"/>
      <w:numFmt w:val="bullet"/>
      <w:lvlText w:val="•"/>
      <w:lvlJc w:val="left"/>
      <w:pPr>
        <w:ind w:left="7536" w:hanging="601"/>
      </w:pPr>
      <w:rPr>
        <w:rFonts w:hint="default"/>
        <w:lang w:val="en-US" w:eastAsia="zh-CN" w:bidi="ar-SA"/>
      </w:rPr>
    </w:lvl>
    <w:lvl w:ilvl="8" w:tentative="0">
      <w:start w:val="0"/>
      <w:numFmt w:val="bullet"/>
      <w:lvlText w:val="•"/>
      <w:lvlJc w:val="left"/>
      <w:pPr>
        <w:ind w:left="8552" w:hanging="601"/>
      </w:pPr>
      <w:rPr>
        <w:rFonts w:hint="default"/>
        <w:lang w:val="en-US" w:eastAsia="zh-CN" w:bidi="ar-SA"/>
      </w:rPr>
    </w:lvl>
  </w:abstractNum>
  <w:abstractNum w:abstractNumId="17">
    <w:nsid w:val="E093A4B0"/>
    <w:multiLevelType w:val="multilevel"/>
    <w:tmpl w:val="E093A4B0"/>
    <w:lvl w:ilvl="0" w:tentative="0">
      <w:start w:val="4"/>
      <w:numFmt w:val="decimal"/>
      <w:lvlText w:val="%1"/>
      <w:lvlJc w:val="left"/>
      <w:pPr>
        <w:ind w:left="1452" w:hanging="420"/>
        <w:jc w:val="left"/>
      </w:pPr>
      <w:rPr>
        <w:rFonts w:hint="default"/>
        <w:lang w:val="en-US" w:eastAsia="zh-CN" w:bidi="ar-SA"/>
      </w:rPr>
    </w:lvl>
    <w:lvl w:ilvl="1" w:tentative="0">
      <w:start w:val="1"/>
      <w:numFmt w:val="decimal"/>
      <w:lvlText w:val="%1.%2"/>
      <w:lvlJc w:val="left"/>
      <w:pPr>
        <w:ind w:left="1452" w:hanging="420"/>
        <w:jc w:val="left"/>
      </w:pPr>
      <w:rPr>
        <w:rFonts w:hint="default" w:ascii="仿宋" w:hAnsi="仿宋" w:eastAsia="仿宋" w:cs="仿宋"/>
        <w:w w:val="100"/>
        <w:sz w:val="24"/>
        <w:szCs w:val="24"/>
        <w:lang w:val="en-US" w:eastAsia="zh-CN" w:bidi="ar-SA"/>
      </w:rPr>
    </w:lvl>
    <w:lvl w:ilvl="2" w:tentative="0">
      <w:start w:val="0"/>
      <w:numFmt w:val="bullet"/>
      <w:lvlText w:val="•"/>
      <w:lvlJc w:val="left"/>
      <w:pPr>
        <w:ind w:left="3285" w:hanging="420"/>
      </w:pPr>
      <w:rPr>
        <w:rFonts w:hint="default"/>
        <w:lang w:val="en-US" w:eastAsia="zh-CN" w:bidi="ar-SA"/>
      </w:rPr>
    </w:lvl>
    <w:lvl w:ilvl="3" w:tentative="0">
      <w:start w:val="0"/>
      <w:numFmt w:val="bullet"/>
      <w:lvlText w:val="•"/>
      <w:lvlJc w:val="left"/>
      <w:pPr>
        <w:ind w:left="4197" w:hanging="420"/>
      </w:pPr>
      <w:rPr>
        <w:rFonts w:hint="default"/>
        <w:lang w:val="en-US" w:eastAsia="zh-CN" w:bidi="ar-SA"/>
      </w:rPr>
    </w:lvl>
    <w:lvl w:ilvl="4" w:tentative="0">
      <w:start w:val="0"/>
      <w:numFmt w:val="bullet"/>
      <w:lvlText w:val="•"/>
      <w:lvlJc w:val="left"/>
      <w:pPr>
        <w:ind w:left="5110" w:hanging="420"/>
      </w:pPr>
      <w:rPr>
        <w:rFonts w:hint="default"/>
        <w:lang w:val="en-US" w:eastAsia="zh-CN" w:bidi="ar-SA"/>
      </w:rPr>
    </w:lvl>
    <w:lvl w:ilvl="5" w:tentative="0">
      <w:start w:val="0"/>
      <w:numFmt w:val="bullet"/>
      <w:lvlText w:val="•"/>
      <w:lvlJc w:val="left"/>
      <w:pPr>
        <w:ind w:left="6023" w:hanging="420"/>
      </w:pPr>
      <w:rPr>
        <w:rFonts w:hint="default"/>
        <w:lang w:val="en-US" w:eastAsia="zh-CN" w:bidi="ar-SA"/>
      </w:rPr>
    </w:lvl>
    <w:lvl w:ilvl="6" w:tentative="0">
      <w:start w:val="0"/>
      <w:numFmt w:val="bullet"/>
      <w:lvlText w:val="•"/>
      <w:lvlJc w:val="left"/>
      <w:pPr>
        <w:ind w:left="6935" w:hanging="420"/>
      </w:pPr>
      <w:rPr>
        <w:rFonts w:hint="default"/>
        <w:lang w:val="en-US" w:eastAsia="zh-CN" w:bidi="ar-SA"/>
      </w:rPr>
    </w:lvl>
    <w:lvl w:ilvl="7" w:tentative="0">
      <w:start w:val="0"/>
      <w:numFmt w:val="bullet"/>
      <w:lvlText w:val="•"/>
      <w:lvlJc w:val="left"/>
      <w:pPr>
        <w:ind w:left="7848" w:hanging="420"/>
      </w:pPr>
      <w:rPr>
        <w:rFonts w:hint="default"/>
        <w:lang w:val="en-US" w:eastAsia="zh-CN" w:bidi="ar-SA"/>
      </w:rPr>
    </w:lvl>
    <w:lvl w:ilvl="8" w:tentative="0">
      <w:start w:val="0"/>
      <w:numFmt w:val="bullet"/>
      <w:lvlText w:val="•"/>
      <w:lvlJc w:val="left"/>
      <w:pPr>
        <w:ind w:left="8760" w:hanging="420"/>
      </w:pPr>
      <w:rPr>
        <w:rFonts w:hint="default"/>
        <w:lang w:val="en-US" w:eastAsia="zh-CN" w:bidi="ar-SA"/>
      </w:rPr>
    </w:lvl>
  </w:abstractNum>
  <w:abstractNum w:abstractNumId="18">
    <w:nsid w:val="F0E89278"/>
    <w:multiLevelType w:val="multilevel"/>
    <w:tmpl w:val="F0E89278"/>
    <w:lvl w:ilvl="0" w:tentative="0">
      <w:start w:val="1"/>
      <w:numFmt w:val="decimal"/>
      <w:lvlText w:val="%1."/>
      <w:lvlJc w:val="left"/>
      <w:pPr>
        <w:ind w:left="723" w:hanging="241"/>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1574" w:hanging="241"/>
      </w:pPr>
      <w:rPr>
        <w:rFonts w:hint="default"/>
        <w:lang w:val="en-US" w:eastAsia="zh-CN" w:bidi="ar-SA"/>
      </w:rPr>
    </w:lvl>
    <w:lvl w:ilvl="2" w:tentative="0">
      <w:start w:val="0"/>
      <w:numFmt w:val="bullet"/>
      <w:lvlText w:val="•"/>
      <w:lvlJc w:val="left"/>
      <w:pPr>
        <w:ind w:left="2429" w:hanging="241"/>
      </w:pPr>
      <w:rPr>
        <w:rFonts w:hint="default"/>
        <w:lang w:val="en-US" w:eastAsia="zh-CN" w:bidi="ar-SA"/>
      </w:rPr>
    </w:lvl>
    <w:lvl w:ilvl="3" w:tentative="0">
      <w:start w:val="0"/>
      <w:numFmt w:val="bullet"/>
      <w:lvlText w:val="•"/>
      <w:lvlJc w:val="left"/>
      <w:pPr>
        <w:ind w:left="3283" w:hanging="241"/>
      </w:pPr>
      <w:rPr>
        <w:rFonts w:hint="default"/>
        <w:lang w:val="en-US" w:eastAsia="zh-CN" w:bidi="ar-SA"/>
      </w:rPr>
    </w:lvl>
    <w:lvl w:ilvl="4" w:tentative="0">
      <w:start w:val="0"/>
      <w:numFmt w:val="bullet"/>
      <w:lvlText w:val="•"/>
      <w:lvlJc w:val="left"/>
      <w:pPr>
        <w:ind w:left="4138" w:hanging="241"/>
      </w:pPr>
      <w:rPr>
        <w:rFonts w:hint="default"/>
        <w:lang w:val="en-US" w:eastAsia="zh-CN" w:bidi="ar-SA"/>
      </w:rPr>
    </w:lvl>
    <w:lvl w:ilvl="5" w:tentative="0">
      <w:start w:val="0"/>
      <w:numFmt w:val="bullet"/>
      <w:lvlText w:val="•"/>
      <w:lvlJc w:val="left"/>
      <w:pPr>
        <w:ind w:left="4993" w:hanging="241"/>
      </w:pPr>
      <w:rPr>
        <w:rFonts w:hint="default"/>
        <w:lang w:val="en-US" w:eastAsia="zh-CN" w:bidi="ar-SA"/>
      </w:rPr>
    </w:lvl>
    <w:lvl w:ilvl="6" w:tentative="0">
      <w:start w:val="0"/>
      <w:numFmt w:val="bullet"/>
      <w:lvlText w:val="•"/>
      <w:lvlJc w:val="left"/>
      <w:pPr>
        <w:ind w:left="5847" w:hanging="241"/>
      </w:pPr>
      <w:rPr>
        <w:rFonts w:hint="default"/>
        <w:lang w:val="en-US" w:eastAsia="zh-CN" w:bidi="ar-SA"/>
      </w:rPr>
    </w:lvl>
    <w:lvl w:ilvl="7" w:tentative="0">
      <w:start w:val="0"/>
      <w:numFmt w:val="bullet"/>
      <w:lvlText w:val="•"/>
      <w:lvlJc w:val="left"/>
      <w:pPr>
        <w:ind w:left="6702" w:hanging="241"/>
      </w:pPr>
      <w:rPr>
        <w:rFonts w:hint="default"/>
        <w:lang w:val="en-US" w:eastAsia="zh-CN" w:bidi="ar-SA"/>
      </w:rPr>
    </w:lvl>
    <w:lvl w:ilvl="8" w:tentative="0">
      <w:start w:val="0"/>
      <w:numFmt w:val="bullet"/>
      <w:lvlText w:val="•"/>
      <w:lvlJc w:val="left"/>
      <w:pPr>
        <w:ind w:left="7556" w:hanging="241"/>
      </w:pPr>
      <w:rPr>
        <w:rFonts w:hint="default"/>
        <w:lang w:val="en-US" w:eastAsia="zh-CN" w:bidi="ar-SA"/>
      </w:rPr>
    </w:lvl>
  </w:abstractNum>
  <w:abstractNum w:abstractNumId="19">
    <w:nsid w:val="F4B5D9F5"/>
    <w:multiLevelType w:val="multilevel"/>
    <w:tmpl w:val="F4B5D9F5"/>
    <w:lvl w:ilvl="0" w:tentative="0">
      <w:start w:val="7"/>
      <w:numFmt w:val="decimal"/>
      <w:lvlText w:val="%1"/>
      <w:lvlJc w:val="left"/>
      <w:pPr>
        <w:ind w:left="420" w:hanging="420"/>
        <w:jc w:val="left"/>
      </w:pPr>
      <w:rPr>
        <w:rFonts w:hint="default"/>
        <w:lang w:val="en-US" w:eastAsia="zh-CN" w:bidi="ar-SA"/>
      </w:rPr>
    </w:lvl>
    <w:lvl w:ilvl="1" w:tentative="0">
      <w:start w:val="1"/>
      <w:numFmt w:val="decimal"/>
      <w:lvlText w:val="%1.%2"/>
      <w:lvlJc w:val="left"/>
      <w:pPr>
        <w:ind w:left="420" w:hanging="420"/>
        <w:jc w:val="left"/>
      </w:pPr>
      <w:rPr>
        <w:rFonts w:hint="default" w:ascii="仿宋" w:hAnsi="仿宋" w:eastAsia="仿宋" w:cs="仿宋"/>
        <w:w w:val="100"/>
        <w:sz w:val="24"/>
        <w:szCs w:val="24"/>
        <w:lang w:val="en-US" w:eastAsia="zh-CN" w:bidi="ar-SA"/>
      </w:rPr>
    </w:lvl>
    <w:lvl w:ilvl="2" w:tentative="0">
      <w:start w:val="1"/>
      <w:numFmt w:val="decimal"/>
      <w:lvlText w:val="（%3）"/>
      <w:lvlJc w:val="left"/>
      <w:pPr>
        <w:ind w:left="1741" w:hanging="601"/>
        <w:jc w:val="left"/>
      </w:pPr>
      <w:rPr>
        <w:rFonts w:hint="default" w:ascii="仿宋" w:hAnsi="仿宋" w:eastAsia="仿宋" w:cs="仿宋"/>
        <w:w w:val="100"/>
        <w:sz w:val="22"/>
        <w:szCs w:val="22"/>
        <w:lang w:val="en-US" w:eastAsia="zh-CN" w:bidi="ar-SA"/>
      </w:rPr>
    </w:lvl>
    <w:lvl w:ilvl="3" w:tentative="0">
      <w:start w:val="0"/>
      <w:numFmt w:val="bullet"/>
      <w:lvlText w:val="•"/>
      <w:lvlJc w:val="left"/>
      <w:pPr>
        <w:ind w:left="3705" w:hanging="601"/>
      </w:pPr>
      <w:rPr>
        <w:rFonts w:hint="default"/>
        <w:lang w:val="en-US" w:eastAsia="zh-CN" w:bidi="ar-SA"/>
      </w:rPr>
    </w:lvl>
    <w:lvl w:ilvl="4" w:tentative="0">
      <w:start w:val="0"/>
      <w:numFmt w:val="bullet"/>
      <w:lvlText w:val="•"/>
      <w:lvlJc w:val="left"/>
      <w:pPr>
        <w:ind w:left="4688" w:hanging="601"/>
      </w:pPr>
      <w:rPr>
        <w:rFonts w:hint="default"/>
        <w:lang w:val="en-US" w:eastAsia="zh-CN" w:bidi="ar-SA"/>
      </w:rPr>
    </w:lvl>
    <w:lvl w:ilvl="5" w:tentative="0">
      <w:start w:val="0"/>
      <w:numFmt w:val="bullet"/>
      <w:lvlText w:val="•"/>
      <w:lvlJc w:val="left"/>
      <w:pPr>
        <w:ind w:left="5671" w:hanging="601"/>
      </w:pPr>
      <w:rPr>
        <w:rFonts w:hint="default"/>
        <w:lang w:val="en-US" w:eastAsia="zh-CN" w:bidi="ar-SA"/>
      </w:rPr>
    </w:lvl>
    <w:lvl w:ilvl="6" w:tentative="0">
      <w:start w:val="0"/>
      <w:numFmt w:val="bullet"/>
      <w:lvlText w:val="•"/>
      <w:lvlJc w:val="left"/>
      <w:pPr>
        <w:ind w:left="6654" w:hanging="601"/>
      </w:pPr>
      <w:rPr>
        <w:rFonts w:hint="default"/>
        <w:lang w:val="en-US" w:eastAsia="zh-CN" w:bidi="ar-SA"/>
      </w:rPr>
    </w:lvl>
    <w:lvl w:ilvl="7" w:tentative="0">
      <w:start w:val="0"/>
      <w:numFmt w:val="bullet"/>
      <w:lvlText w:val="•"/>
      <w:lvlJc w:val="left"/>
      <w:pPr>
        <w:ind w:left="7637" w:hanging="601"/>
      </w:pPr>
      <w:rPr>
        <w:rFonts w:hint="default"/>
        <w:lang w:val="en-US" w:eastAsia="zh-CN" w:bidi="ar-SA"/>
      </w:rPr>
    </w:lvl>
    <w:lvl w:ilvl="8" w:tentative="0">
      <w:start w:val="0"/>
      <w:numFmt w:val="bullet"/>
      <w:lvlText w:val="•"/>
      <w:lvlJc w:val="left"/>
      <w:pPr>
        <w:ind w:left="8620" w:hanging="601"/>
      </w:pPr>
      <w:rPr>
        <w:rFonts w:hint="default"/>
        <w:lang w:val="en-US" w:eastAsia="zh-CN" w:bidi="ar-SA"/>
      </w:rPr>
    </w:lvl>
  </w:abstractNum>
  <w:abstractNum w:abstractNumId="20">
    <w:nsid w:val="F7735DC9"/>
    <w:multiLevelType w:val="multilevel"/>
    <w:tmpl w:val="F7735DC9"/>
    <w:lvl w:ilvl="0" w:tentative="0">
      <w:start w:val="3"/>
      <w:numFmt w:val="decimal"/>
      <w:lvlText w:val="%1"/>
      <w:lvlJc w:val="left"/>
      <w:pPr>
        <w:ind w:left="1452" w:hanging="420"/>
        <w:jc w:val="left"/>
      </w:pPr>
      <w:rPr>
        <w:rFonts w:hint="default"/>
        <w:lang w:val="en-US" w:eastAsia="zh-CN" w:bidi="ar-SA"/>
      </w:rPr>
    </w:lvl>
    <w:lvl w:ilvl="1" w:tentative="0">
      <w:start w:val="1"/>
      <w:numFmt w:val="decimal"/>
      <w:lvlText w:val="%1.%2"/>
      <w:lvlJc w:val="left"/>
      <w:pPr>
        <w:ind w:left="1452" w:hanging="420"/>
        <w:jc w:val="left"/>
      </w:pPr>
      <w:rPr>
        <w:rFonts w:hint="default" w:ascii="仿宋" w:hAnsi="仿宋" w:eastAsia="仿宋" w:cs="仿宋"/>
        <w:w w:val="100"/>
        <w:sz w:val="24"/>
        <w:szCs w:val="24"/>
        <w:lang w:val="en-US" w:eastAsia="zh-CN" w:bidi="ar-SA"/>
      </w:rPr>
    </w:lvl>
    <w:lvl w:ilvl="2" w:tentative="0">
      <w:start w:val="0"/>
      <w:numFmt w:val="bullet"/>
      <w:lvlText w:val="•"/>
      <w:lvlJc w:val="left"/>
      <w:pPr>
        <w:ind w:left="3285" w:hanging="420"/>
      </w:pPr>
      <w:rPr>
        <w:rFonts w:hint="default"/>
        <w:lang w:val="en-US" w:eastAsia="zh-CN" w:bidi="ar-SA"/>
      </w:rPr>
    </w:lvl>
    <w:lvl w:ilvl="3" w:tentative="0">
      <w:start w:val="0"/>
      <w:numFmt w:val="bullet"/>
      <w:lvlText w:val="•"/>
      <w:lvlJc w:val="left"/>
      <w:pPr>
        <w:ind w:left="4197" w:hanging="420"/>
      </w:pPr>
      <w:rPr>
        <w:rFonts w:hint="default"/>
        <w:lang w:val="en-US" w:eastAsia="zh-CN" w:bidi="ar-SA"/>
      </w:rPr>
    </w:lvl>
    <w:lvl w:ilvl="4" w:tentative="0">
      <w:start w:val="0"/>
      <w:numFmt w:val="bullet"/>
      <w:lvlText w:val="•"/>
      <w:lvlJc w:val="left"/>
      <w:pPr>
        <w:ind w:left="5110" w:hanging="420"/>
      </w:pPr>
      <w:rPr>
        <w:rFonts w:hint="default"/>
        <w:lang w:val="en-US" w:eastAsia="zh-CN" w:bidi="ar-SA"/>
      </w:rPr>
    </w:lvl>
    <w:lvl w:ilvl="5" w:tentative="0">
      <w:start w:val="0"/>
      <w:numFmt w:val="bullet"/>
      <w:lvlText w:val="•"/>
      <w:lvlJc w:val="left"/>
      <w:pPr>
        <w:ind w:left="6023" w:hanging="420"/>
      </w:pPr>
      <w:rPr>
        <w:rFonts w:hint="default"/>
        <w:lang w:val="en-US" w:eastAsia="zh-CN" w:bidi="ar-SA"/>
      </w:rPr>
    </w:lvl>
    <w:lvl w:ilvl="6" w:tentative="0">
      <w:start w:val="0"/>
      <w:numFmt w:val="bullet"/>
      <w:lvlText w:val="•"/>
      <w:lvlJc w:val="left"/>
      <w:pPr>
        <w:ind w:left="6935" w:hanging="420"/>
      </w:pPr>
      <w:rPr>
        <w:rFonts w:hint="default"/>
        <w:lang w:val="en-US" w:eastAsia="zh-CN" w:bidi="ar-SA"/>
      </w:rPr>
    </w:lvl>
    <w:lvl w:ilvl="7" w:tentative="0">
      <w:start w:val="0"/>
      <w:numFmt w:val="bullet"/>
      <w:lvlText w:val="•"/>
      <w:lvlJc w:val="left"/>
      <w:pPr>
        <w:ind w:left="7848" w:hanging="420"/>
      </w:pPr>
      <w:rPr>
        <w:rFonts w:hint="default"/>
        <w:lang w:val="en-US" w:eastAsia="zh-CN" w:bidi="ar-SA"/>
      </w:rPr>
    </w:lvl>
    <w:lvl w:ilvl="8" w:tentative="0">
      <w:start w:val="0"/>
      <w:numFmt w:val="bullet"/>
      <w:lvlText w:val="•"/>
      <w:lvlJc w:val="left"/>
      <w:pPr>
        <w:ind w:left="8760" w:hanging="420"/>
      </w:pPr>
      <w:rPr>
        <w:rFonts w:hint="default"/>
        <w:lang w:val="en-US" w:eastAsia="zh-CN" w:bidi="ar-SA"/>
      </w:rPr>
    </w:lvl>
  </w:abstractNum>
  <w:abstractNum w:abstractNumId="21">
    <w:nsid w:val="0053208E"/>
    <w:multiLevelType w:val="multilevel"/>
    <w:tmpl w:val="0053208E"/>
    <w:lvl w:ilvl="0" w:tentative="0">
      <w:start w:val="1"/>
      <w:numFmt w:val="decimal"/>
      <w:lvlText w:val="%1."/>
      <w:lvlJc w:val="left"/>
      <w:pPr>
        <w:ind w:left="1141" w:hanging="241"/>
        <w:jc w:val="right"/>
      </w:pPr>
      <w:rPr>
        <w:rFonts w:hint="default" w:ascii="仿宋" w:hAnsi="仿宋" w:eastAsia="仿宋" w:cs="仿宋"/>
        <w:w w:val="100"/>
        <w:sz w:val="22"/>
        <w:szCs w:val="22"/>
        <w:lang w:val="en-US" w:eastAsia="zh-CN" w:bidi="ar-SA"/>
      </w:rPr>
    </w:lvl>
    <w:lvl w:ilvl="1" w:tentative="0">
      <w:start w:val="0"/>
      <w:numFmt w:val="bullet"/>
      <w:lvlText w:val="•"/>
      <w:lvlJc w:val="left"/>
      <w:pPr>
        <w:ind w:left="2084" w:hanging="241"/>
      </w:pPr>
      <w:rPr>
        <w:rFonts w:hint="default"/>
        <w:lang w:val="en-US" w:eastAsia="zh-CN" w:bidi="ar-SA"/>
      </w:rPr>
    </w:lvl>
    <w:lvl w:ilvl="2" w:tentative="0">
      <w:start w:val="0"/>
      <w:numFmt w:val="bullet"/>
      <w:lvlText w:val="•"/>
      <w:lvlJc w:val="left"/>
      <w:pPr>
        <w:ind w:left="3029" w:hanging="241"/>
      </w:pPr>
      <w:rPr>
        <w:rFonts w:hint="default"/>
        <w:lang w:val="en-US" w:eastAsia="zh-CN" w:bidi="ar-SA"/>
      </w:rPr>
    </w:lvl>
    <w:lvl w:ilvl="3" w:tentative="0">
      <w:start w:val="0"/>
      <w:numFmt w:val="bullet"/>
      <w:lvlText w:val="•"/>
      <w:lvlJc w:val="left"/>
      <w:pPr>
        <w:ind w:left="3973" w:hanging="241"/>
      </w:pPr>
      <w:rPr>
        <w:rFonts w:hint="default"/>
        <w:lang w:val="en-US" w:eastAsia="zh-CN" w:bidi="ar-SA"/>
      </w:rPr>
    </w:lvl>
    <w:lvl w:ilvl="4" w:tentative="0">
      <w:start w:val="0"/>
      <w:numFmt w:val="bullet"/>
      <w:lvlText w:val="•"/>
      <w:lvlJc w:val="left"/>
      <w:pPr>
        <w:ind w:left="4918" w:hanging="241"/>
      </w:pPr>
      <w:rPr>
        <w:rFonts w:hint="default"/>
        <w:lang w:val="en-US" w:eastAsia="zh-CN" w:bidi="ar-SA"/>
      </w:rPr>
    </w:lvl>
    <w:lvl w:ilvl="5" w:tentative="0">
      <w:start w:val="0"/>
      <w:numFmt w:val="bullet"/>
      <w:lvlText w:val="•"/>
      <w:lvlJc w:val="left"/>
      <w:pPr>
        <w:ind w:left="5863" w:hanging="241"/>
      </w:pPr>
      <w:rPr>
        <w:rFonts w:hint="default"/>
        <w:lang w:val="en-US" w:eastAsia="zh-CN" w:bidi="ar-SA"/>
      </w:rPr>
    </w:lvl>
    <w:lvl w:ilvl="6" w:tentative="0">
      <w:start w:val="0"/>
      <w:numFmt w:val="bullet"/>
      <w:lvlText w:val="•"/>
      <w:lvlJc w:val="left"/>
      <w:pPr>
        <w:ind w:left="6807" w:hanging="241"/>
      </w:pPr>
      <w:rPr>
        <w:rFonts w:hint="default"/>
        <w:lang w:val="en-US" w:eastAsia="zh-CN" w:bidi="ar-SA"/>
      </w:rPr>
    </w:lvl>
    <w:lvl w:ilvl="7" w:tentative="0">
      <w:start w:val="0"/>
      <w:numFmt w:val="bullet"/>
      <w:lvlText w:val="•"/>
      <w:lvlJc w:val="left"/>
      <w:pPr>
        <w:ind w:left="7752" w:hanging="241"/>
      </w:pPr>
      <w:rPr>
        <w:rFonts w:hint="default"/>
        <w:lang w:val="en-US" w:eastAsia="zh-CN" w:bidi="ar-SA"/>
      </w:rPr>
    </w:lvl>
    <w:lvl w:ilvl="8" w:tentative="0">
      <w:start w:val="0"/>
      <w:numFmt w:val="bullet"/>
      <w:lvlText w:val="•"/>
      <w:lvlJc w:val="left"/>
      <w:pPr>
        <w:ind w:left="8696" w:hanging="241"/>
      </w:pPr>
      <w:rPr>
        <w:rFonts w:hint="default"/>
        <w:lang w:val="en-US" w:eastAsia="zh-CN" w:bidi="ar-SA"/>
      </w:rPr>
    </w:lvl>
  </w:abstractNum>
  <w:abstractNum w:abstractNumId="22">
    <w:nsid w:val="0248C179"/>
    <w:multiLevelType w:val="multilevel"/>
    <w:tmpl w:val="0248C179"/>
    <w:lvl w:ilvl="0" w:tentative="0">
      <w:start w:val="1"/>
      <w:numFmt w:val="decimal"/>
      <w:lvlText w:val="（%1）"/>
      <w:lvlJc w:val="left"/>
      <w:pPr>
        <w:ind w:left="106" w:hanging="604"/>
        <w:jc w:val="left"/>
      </w:pPr>
      <w:rPr>
        <w:rFonts w:hint="default" w:ascii="仿宋" w:hAnsi="仿宋" w:eastAsia="仿宋" w:cs="仿宋"/>
        <w:w w:val="100"/>
        <w:sz w:val="22"/>
        <w:szCs w:val="22"/>
        <w:lang w:val="en-US" w:eastAsia="zh-CN" w:bidi="ar-SA"/>
      </w:rPr>
    </w:lvl>
    <w:lvl w:ilvl="1" w:tentative="0">
      <w:start w:val="0"/>
      <w:numFmt w:val="bullet"/>
      <w:lvlText w:val="•"/>
      <w:lvlJc w:val="left"/>
      <w:pPr>
        <w:ind w:left="820" w:hanging="604"/>
      </w:pPr>
      <w:rPr>
        <w:rFonts w:hint="default"/>
        <w:lang w:val="en-US" w:eastAsia="zh-CN" w:bidi="ar-SA"/>
      </w:rPr>
    </w:lvl>
    <w:lvl w:ilvl="2" w:tentative="0">
      <w:start w:val="0"/>
      <w:numFmt w:val="bullet"/>
      <w:lvlText w:val="•"/>
      <w:lvlJc w:val="left"/>
      <w:pPr>
        <w:ind w:left="1541" w:hanging="604"/>
      </w:pPr>
      <w:rPr>
        <w:rFonts w:hint="default"/>
        <w:lang w:val="en-US" w:eastAsia="zh-CN" w:bidi="ar-SA"/>
      </w:rPr>
    </w:lvl>
    <w:lvl w:ilvl="3" w:tentative="0">
      <w:start w:val="0"/>
      <w:numFmt w:val="bullet"/>
      <w:lvlText w:val="•"/>
      <w:lvlJc w:val="left"/>
      <w:pPr>
        <w:ind w:left="2261" w:hanging="604"/>
      </w:pPr>
      <w:rPr>
        <w:rFonts w:hint="default"/>
        <w:lang w:val="en-US" w:eastAsia="zh-CN" w:bidi="ar-SA"/>
      </w:rPr>
    </w:lvl>
    <w:lvl w:ilvl="4" w:tentative="0">
      <w:start w:val="0"/>
      <w:numFmt w:val="bullet"/>
      <w:lvlText w:val="•"/>
      <w:lvlJc w:val="left"/>
      <w:pPr>
        <w:ind w:left="2982" w:hanging="604"/>
      </w:pPr>
      <w:rPr>
        <w:rFonts w:hint="default"/>
        <w:lang w:val="en-US" w:eastAsia="zh-CN" w:bidi="ar-SA"/>
      </w:rPr>
    </w:lvl>
    <w:lvl w:ilvl="5" w:tentative="0">
      <w:start w:val="0"/>
      <w:numFmt w:val="bullet"/>
      <w:lvlText w:val="•"/>
      <w:lvlJc w:val="left"/>
      <w:pPr>
        <w:ind w:left="3703" w:hanging="604"/>
      </w:pPr>
      <w:rPr>
        <w:rFonts w:hint="default"/>
        <w:lang w:val="en-US" w:eastAsia="zh-CN" w:bidi="ar-SA"/>
      </w:rPr>
    </w:lvl>
    <w:lvl w:ilvl="6" w:tentative="0">
      <w:start w:val="0"/>
      <w:numFmt w:val="bullet"/>
      <w:lvlText w:val="•"/>
      <w:lvlJc w:val="left"/>
      <w:pPr>
        <w:ind w:left="4423" w:hanging="604"/>
      </w:pPr>
      <w:rPr>
        <w:rFonts w:hint="default"/>
        <w:lang w:val="en-US" w:eastAsia="zh-CN" w:bidi="ar-SA"/>
      </w:rPr>
    </w:lvl>
    <w:lvl w:ilvl="7" w:tentative="0">
      <w:start w:val="0"/>
      <w:numFmt w:val="bullet"/>
      <w:lvlText w:val="•"/>
      <w:lvlJc w:val="left"/>
      <w:pPr>
        <w:ind w:left="5144" w:hanging="604"/>
      </w:pPr>
      <w:rPr>
        <w:rFonts w:hint="default"/>
        <w:lang w:val="en-US" w:eastAsia="zh-CN" w:bidi="ar-SA"/>
      </w:rPr>
    </w:lvl>
    <w:lvl w:ilvl="8" w:tentative="0">
      <w:start w:val="0"/>
      <w:numFmt w:val="bullet"/>
      <w:lvlText w:val="•"/>
      <w:lvlJc w:val="left"/>
      <w:pPr>
        <w:ind w:left="5864" w:hanging="604"/>
      </w:pPr>
      <w:rPr>
        <w:rFonts w:hint="default"/>
        <w:lang w:val="en-US" w:eastAsia="zh-CN" w:bidi="ar-SA"/>
      </w:rPr>
    </w:lvl>
  </w:abstractNum>
  <w:abstractNum w:abstractNumId="23">
    <w:nsid w:val="0709FD3E"/>
    <w:multiLevelType w:val="multilevel"/>
    <w:tmpl w:val="0709FD3E"/>
    <w:lvl w:ilvl="0" w:tentative="0">
      <w:start w:val="6"/>
      <w:numFmt w:val="decimal"/>
      <w:lvlText w:val="%1"/>
      <w:lvlJc w:val="left"/>
      <w:pPr>
        <w:ind w:left="1029" w:hanging="560"/>
        <w:jc w:val="left"/>
      </w:pPr>
      <w:rPr>
        <w:rFonts w:hint="default"/>
        <w:lang w:val="en-US" w:eastAsia="zh-CN" w:bidi="ar-SA"/>
      </w:rPr>
    </w:lvl>
    <w:lvl w:ilvl="1" w:tentative="0">
      <w:start w:val="1"/>
      <w:numFmt w:val="decimal"/>
      <w:lvlText w:val="%1.%2"/>
      <w:lvlJc w:val="left"/>
      <w:pPr>
        <w:ind w:left="1029" w:hanging="560"/>
        <w:jc w:val="left"/>
      </w:pPr>
      <w:rPr>
        <w:rFonts w:hint="default" w:ascii="仿宋" w:hAnsi="仿宋" w:eastAsia="仿宋" w:cs="仿宋"/>
        <w:spacing w:val="-2"/>
        <w:w w:val="100"/>
        <w:sz w:val="28"/>
        <w:szCs w:val="28"/>
        <w:lang w:val="en-US" w:eastAsia="zh-CN" w:bidi="ar-SA"/>
      </w:rPr>
    </w:lvl>
    <w:lvl w:ilvl="2" w:tentative="0">
      <w:start w:val="0"/>
      <w:numFmt w:val="bullet"/>
      <w:lvlText w:val="•"/>
      <w:lvlJc w:val="left"/>
      <w:pPr>
        <w:ind w:left="2933" w:hanging="560"/>
      </w:pPr>
      <w:rPr>
        <w:rFonts w:hint="default"/>
        <w:lang w:val="en-US" w:eastAsia="zh-CN" w:bidi="ar-SA"/>
      </w:rPr>
    </w:lvl>
    <w:lvl w:ilvl="3" w:tentative="0">
      <w:start w:val="0"/>
      <w:numFmt w:val="bullet"/>
      <w:lvlText w:val="•"/>
      <w:lvlJc w:val="left"/>
      <w:pPr>
        <w:ind w:left="3889" w:hanging="560"/>
      </w:pPr>
      <w:rPr>
        <w:rFonts w:hint="default"/>
        <w:lang w:val="en-US" w:eastAsia="zh-CN" w:bidi="ar-SA"/>
      </w:rPr>
    </w:lvl>
    <w:lvl w:ilvl="4" w:tentative="0">
      <w:start w:val="0"/>
      <w:numFmt w:val="bullet"/>
      <w:lvlText w:val="•"/>
      <w:lvlJc w:val="left"/>
      <w:pPr>
        <w:ind w:left="4846" w:hanging="560"/>
      </w:pPr>
      <w:rPr>
        <w:rFonts w:hint="default"/>
        <w:lang w:val="en-US" w:eastAsia="zh-CN" w:bidi="ar-SA"/>
      </w:rPr>
    </w:lvl>
    <w:lvl w:ilvl="5" w:tentative="0">
      <w:start w:val="0"/>
      <w:numFmt w:val="bullet"/>
      <w:lvlText w:val="•"/>
      <w:lvlJc w:val="left"/>
      <w:pPr>
        <w:ind w:left="5803" w:hanging="560"/>
      </w:pPr>
      <w:rPr>
        <w:rFonts w:hint="default"/>
        <w:lang w:val="en-US" w:eastAsia="zh-CN" w:bidi="ar-SA"/>
      </w:rPr>
    </w:lvl>
    <w:lvl w:ilvl="6" w:tentative="0">
      <w:start w:val="0"/>
      <w:numFmt w:val="bullet"/>
      <w:lvlText w:val="•"/>
      <w:lvlJc w:val="left"/>
      <w:pPr>
        <w:ind w:left="6759" w:hanging="560"/>
      </w:pPr>
      <w:rPr>
        <w:rFonts w:hint="default"/>
        <w:lang w:val="en-US" w:eastAsia="zh-CN" w:bidi="ar-SA"/>
      </w:rPr>
    </w:lvl>
    <w:lvl w:ilvl="7" w:tentative="0">
      <w:start w:val="0"/>
      <w:numFmt w:val="bullet"/>
      <w:lvlText w:val="•"/>
      <w:lvlJc w:val="left"/>
      <w:pPr>
        <w:ind w:left="7716" w:hanging="560"/>
      </w:pPr>
      <w:rPr>
        <w:rFonts w:hint="default"/>
        <w:lang w:val="en-US" w:eastAsia="zh-CN" w:bidi="ar-SA"/>
      </w:rPr>
    </w:lvl>
    <w:lvl w:ilvl="8" w:tentative="0">
      <w:start w:val="0"/>
      <w:numFmt w:val="bullet"/>
      <w:lvlText w:val="•"/>
      <w:lvlJc w:val="left"/>
      <w:pPr>
        <w:ind w:left="8672" w:hanging="560"/>
      </w:pPr>
      <w:rPr>
        <w:rFonts w:hint="default"/>
        <w:lang w:val="en-US" w:eastAsia="zh-CN" w:bidi="ar-SA"/>
      </w:rPr>
    </w:lvl>
  </w:abstractNum>
  <w:abstractNum w:abstractNumId="24">
    <w:nsid w:val="0CEF100B"/>
    <w:multiLevelType w:val="multilevel"/>
    <w:tmpl w:val="0CEF100B"/>
    <w:lvl w:ilvl="0" w:tentative="0">
      <w:start w:val="8"/>
      <w:numFmt w:val="decimal"/>
      <w:lvlText w:val="%1"/>
      <w:lvlJc w:val="left"/>
      <w:pPr>
        <w:ind w:left="1029" w:hanging="490"/>
        <w:jc w:val="left"/>
      </w:pPr>
      <w:rPr>
        <w:rFonts w:hint="default"/>
        <w:lang w:val="en-US" w:eastAsia="zh-CN" w:bidi="ar-SA"/>
      </w:rPr>
    </w:lvl>
    <w:lvl w:ilvl="1" w:tentative="0">
      <w:start w:val="1"/>
      <w:numFmt w:val="decimal"/>
      <w:lvlText w:val="%1.%2"/>
      <w:lvlJc w:val="left"/>
      <w:pPr>
        <w:ind w:left="1029" w:hanging="490"/>
        <w:jc w:val="left"/>
      </w:pPr>
      <w:rPr>
        <w:rFonts w:hint="default" w:ascii="仿宋" w:hAnsi="仿宋" w:eastAsia="仿宋" w:cs="仿宋"/>
        <w:spacing w:val="-2"/>
        <w:w w:val="100"/>
        <w:sz w:val="28"/>
        <w:szCs w:val="28"/>
        <w:lang w:val="en-US" w:eastAsia="zh-CN" w:bidi="ar-SA"/>
      </w:rPr>
    </w:lvl>
    <w:lvl w:ilvl="2" w:tentative="0">
      <w:start w:val="0"/>
      <w:numFmt w:val="bullet"/>
      <w:lvlText w:val="•"/>
      <w:lvlJc w:val="left"/>
      <w:pPr>
        <w:ind w:left="2933" w:hanging="490"/>
      </w:pPr>
      <w:rPr>
        <w:rFonts w:hint="default"/>
        <w:lang w:val="en-US" w:eastAsia="zh-CN" w:bidi="ar-SA"/>
      </w:rPr>
    </w:lvl>
    <w:lvl w:ilvl="3" w:tentative="0">
      <w:start w:val="0"/>
      <w:numFmt w:val="bullet"/>
      <w:lvlText w:val="•"/>
      <w:lvlJc w:val="left"/>
      <w:pPr>
        <w:ind w:left="3889" w:hanging="490"/>
      </w:pPr>
      <w:rPr>
        <w:rFonts w:hint="default"/>
        <w:lang w:val="en-US" w:eastAsia="zh-CN" w:bidi="ar-SA"/>
      </w:rPr>
    </w:lvl>
    <w:lvl w:ilvl="4" w:tentative="0">
      <w:start w:val="0"/>
      <w:numFmt w:val="bullet"/>
      <w:lvlText w:val="•"/>
      <w:lvlJc w:val="left"/>
      <w:pPr>
        <w:ind w:left="4846" w:hanging="490"/>
      </w:pPr>
      <w:rPr>
        <w:rFonts w:hint="default"/>
        <w:lang w:val="en-US" w:eastAsia="zh-CN" w:bidi="ar-SA"/>
      </w:rPr>
    </w:lvl>
    <w:lvl w:ilvl="5" w:tentative="0">
      <w:start w:val="0"/>
      <w:numFmt w:val="bullet"/>
      <w:lvlText w:val="•"/>
      <w:lvlJc w:val="left"/>
      <w:pPr>
        <w:ind w:left="5803" w:hanging="490"/>
      </w:pPr>
      <w:rPr>
        <w:rFonts w:hint="default"/>
        <w:lang w:val="en-US" w:eastAsia="zh-CN" w:bidi="ar-SA"/>
      </w:rPr>
    </w:lvl>
    <w:lvl w:ilvl="6" w:tentative="0">
      <w:start w:val="0"/>
      <w:numFmt w:val="bullet"/>
      <w:lvlText w:val="•"/>
      <w:lvlJc w:val="left"/>
      <w:pPr>
        <w:ind w:left="6759" w:hanging="490"/>
      </w:pPr>
      <w:rPr>
        <w:rFonts w:hint="default"/>
        <w:lang w:val="en-US" w:eastAsia="zh-CN" w:bidi="ar-SA"/>
      </w:rPr>
    </w:lvl>
    <w:lvl w:ilvl="7" w:tentative="0">
      <w:start w:val="0"/>
      <w:numFmt w:val="bullet"/>
      <w:lvlText w:val="•"/>
      <w:lvlJc w:val="left"/>
      <w:pPr>
        <w:ind w:left="7716" w:hanging="490"/>
      </w:pPr>
      <w:rPr>
        <w:rFonts w:hint="default"/>
        <w:lang w:val="en-US" w:eastAsia="zh-CN" w:bidi="ar-SA"/>
      </w:rPr>
    </w:lvl>
    <w:lvl w:ilvl="8" w:tentative="0">
      <w:start w:val="0"/>
      <w:numFmt w:val="bullet"/>
      <w:lvlText w:val="•"/>
      <w:lvlJc w:val="left"/>
      <w:pPr>
        <w:ind w:left="8672" w:hanging="490"/>
      </w:pPr>
      <w:rPr>
        <w:rFonts w:hint="default"/>
        <w:lang w:val="en-US" w:eastAsia="zh-CN" w:bidi="ar-SA"/>
      </w:rPr>
    </w:lvl>
  </w:abstractNum>
  <w:abstractNum w:abstractNumId="25">
    <w:nsid w:val="0E640482"/>
    <w:multiLevelType w:val="multilevel"/>
    <w:tmpl w:val="0E640482"/>
    <w:lvl w:ilvl="0" w:tentative="0">
      <w:start w:val="1"/>
      <w:numFmt w:val="decimal"/>
      <w:lvlText w:val="（%1）"/>
      <w:lvlJc w:val="left"/>
      <w:pPr>
        <w:ind w:left="420" w:hanging="601"/>
        <w:jc w:val="left"/>
      </w:pPr>
      <w:rPr>
        <w:rFonts w:hint="default" w:ascii="仿宋" w:hAnsi="仿宋" w:eastAsia="仿宋" w:cs="仿宋"/>
        <w:spacing w:val="-10"/>
        <w:w w:val="100"/>
        <w:sz w:val="22"/>
        <w:szCs w:val="22"/>
        <w:lang w:val="en-US" w:eastAsia="zh-CN" w:bidi="ar-SA"/>
      </w:rPr>
    </w:lvl>
    <w:lvl w:ilvl="1" w:tentative="0">
      <w:start w:val="0"/>
      <w:numFmt w:val="bullet"/>
      <w:lvlText w:val="•"/>
      <w:lvlJc w:val="left"/>
      <w:pPr>
        <w:ind w:left="1436" w:hanging="601"/>
      </w:pPr>
      <w:rPr>
        <w:rFonts w:hint="default"/>
        <w:lang w:val="en-US" w:eastAsia="zh-CN" w:bidi="ar-SA"/>
      </w:rPr>
    </w:lvl>
    <w:lvl w:ilvl="2" w:tentative="0">
      <w:start w:val="0"/>
      <w:numFmt w:val="bullet"/>
      <w:lvlText w:val="•"/>
      <w:lvlJc w:val="left"/>
      <w:pPr>
        <w:ind w:left="2453" w:hanging="601"/>
      </w:pPr>
      <w:rPr>
        <w:rFonts w:hint="default"/>
        <w:lang w:val="en-US" w:eastAsia="zh-CN" w:bidi="ar-SA"/>
      </w:rPr>
    </w:lvl>
    <w:lvl w:ilvl="3" w:tentative="0">
      <w:start w:val="0"/>
      <w:numFmt w:val="bullet"/>
      <w:lvlText w:val="•"/>
      <w:lvlJc w:val="left"/>
      <w:pPr>
        <w:ind w:left="3469" w:hanging="601"/>
      </w:pPr>
      <w:rPr>
        <w:rFonts w:hint="default"/>
        <w:lang w:val="en-US" w:eastAsia="zh-CN" w:bidi="ar-SA"/>
      </w:rPr>
    </w:lvl>
    <w:lvl w:ilvl="4" w:tentative="0">
      <w:start w:val="0"/>
      <w:numFmt w:val="bullet"/>
      <w:lvlText w:val="•"/>
      <w:lvlJc w:val="left"/>
      <w:pPr>
        <w:ind w:left="4486" w:hanging="601"/>
      </w:pPr>
      <w:rPr>
        <w:rFonts w:hint="default"/>
        <w:lang w:val="en-US" w:eastAsia="zh-CN" w:bidi="ar-SA"/>
      </w:rPr>
    </w:lvl>
    <w:lvl w:ilvl="5" w:tentative="0">
      <w:start w:val="0"/>
      <w:numFmt w:val="bullet"/>
      <w:lvlText w:val="•"/>
      <w:lvlJc w:val="left"/>
      <w:pPr>
        <w:ind w:left="5503" w:hanging="601"/>
      </w:pPr>
      <w:rPr>
        <w:rFonts w:hint="default"/>
        <w:lang w:val="en-US" w:eastAsia="zh-CN" w:bidi="ar-SA"/>
      </w:rPr>
    </w:lvl>
    <w:lvl w:ilvl="6" w:tentative="0">
      <w:start w:val="0"/>
      <w:numFmt w:val="bullet"/>
      <w:lvlText w:val="•"/>
      <w:lvlJc w:val="left"/>
      <w:pPr>
        <w:ind w:left="6519" w:hanging="601"/>
      </w:pPr>
      <w:rPr>
        <w:rFonts w:hint="default"/>
        <w:lang w:val="en-US" w:eastAsia="zh-CN" w:bidi="ar-SA"/>
      </w:rPr>
    </w:lvl>
    <w:lvl w:ilvl="7" w:tentative="0">
      <w:start w:val="0"/>
      <w:numFmt w:val="bullet"/>
      <w:lvlText w:val="•"/>
      <w:lvlJc w:val="left"/>
      <w:pPr>
        <w:ind w:left="7536" w:hanging="601"/>
      </w:pPr>
      <w:rPr>
        <w:rFonts w:hint="default"/>
        <w:lang w:val="en-US" w:eastAsia="zh-CN" w:bidi="ar-SA"/>
      </w:rPr>
    </w:lvl>
    <w:lvl w:ilvl="8" w:tentative="0">
      <w:start w:val="0"/>
      <w:numFmt w:val="bullet"/>
      <w:lvlText w:val="•"/>
      <w:lvlJc w:val="left"/>
      <w:pPr>
        <w:ind w:left="8552" w:hanging="601"/>
      </w:pPr>
      <w:rPr>
        <w:rFonts w:hint="default"/>
        <w:lang w:val="en-US" w:eastAsia="zh-CN" w:bidi="ar-SA"/>
      </w:rPr>
    </w:lvl>
  </w:abstractNum>
  <w:abstractNum w:abstractNumId="26">
    <w:nsid w:val="1ACDE60F"/>
    <w:multiLevelType w:val="multilevel"/>
    <w:tmpl w:val="1ACDE60F"/>
    <w:lvl w:ilvl="0" w:tentative="0">
      <w:start w:val="12"/>
      <w:numFmt w:val="decimal"/>
      <w:lvlText w:val="%1."/>
      <w:lvlJc w:val="left"/>
      <w:pPr>
        <w:ind w:left="1263" w:hanging="364"/>
        <w:jc w:val="left"/>
      </w:pPr>
      <w:rPr>
        <w:rFonts w:hint="default" w:ascii="仿宋" w:hAnsi="仿宋" w:eastAsia="仿宋" w:cs="仿宋"/>
        <w:b/>
        <w:bCs/>
        <w:spacing w:val="0"/>
        <w:w w:val="99"/>
        <w:sz w:val="22"/>
        <w:szCs w:val="22"/>
        <w:lang w:val="en-US" w:eastAsia="zh-CN" w:bidi="ar-SA"/>
      </w:rPr>
    </w:lvl>
    <w:lvl w:ilvl="1" w:tentative="0">
      <w:start w:val="1"/>
      <w:numFmt w:val="decimal"/>
      <w:lvlText w:val="%1.%2"/>
      <w:lvlJc w:val="left"/>
      <w:pPr>
        <w:ind w:left="1440" w:hanging="540"/>
        <w:jc w:val="right"/>
      </w:pPr>
      <w:rPr>
        <w:rFonts w:hint="default" w:ascii="仿宋" w:hAnsi="仿宋" w:eastAsia="仿宋" w:cs="仿宋"/>
        <w:w w:val="100"/>
        <w:sz w:val="24"/>
        <w:szCs w:val="24"/>
        <w:lang w:val="en-US" w:eastAsia="zh-CN" w:bidi="ar-SA"/>
      </w:rPr>
    </w:lvl>
    <w:lvl w:ilvl="2" w:tentative="0">
      <w:start w:val="1"/>
      <w:numFmt w:val="decimal"/>
      <w:lvlText w:val="(%3)"/>
      <w:lvlJc w:val="left"/>
      <w:pPr>
        <w:ind w:left="420" w:hanging="361"/>
        <w:jc w:val="left"/>
      </w:pPr>
      <w:rPr>
        <w:rFonts w:hint="default" w:ascii="仿宋" w:hAnsi="仿宋" w:eastAsia="仿宋" w:cs="仿宋"/>
        <w:spacing w:val="-120"/>
        <w:w w:val="100"/>
        <w:sz w:val="22"/>
        <w:szCs w:val="22"/>
        <w:lang w:val="en-US" w:eastAsia="zh-CN" w:bidi="ar-SA"/>
      </w:rPr>
    </w:lvl>
    <w:lvl w:ilvl="3" w:tentative="0">
      <w:start w:val="0"/>
      <w:numFmt w:val="bullet"/>
      <w:lvlText w:val="•"/>
      <w:lvlJc w:val="left"/>
      <w:pPr>
        <w:ind w:left="2583" w:hanging="361"/>
      </w:pPr>
      <w:rPr>
        <w:rFonts w:hint="default"/>
        <w:lang w:val="en-US" w:eastAsia="zh-CN" w:bidi="ar-SA"/>
      </w:rPr>
    </w:lvl>
    <w:lvl w:ilvl="4" w:tentative="0">
      <w:start w:val="0"/>
      <w:numFmt w:val="bullet"/>
      <w:lvlText w:val="•"/>
      <w:lvlJc w:val="left"/>
      <w:pPr>
        <w:ind w:left="3726" w:hanging="361"/>
      </w:pPr>
      <w:rPr>
        <w:rFonts w:hint="default"/>
        <w:lang w:val="en-US" w:eastAsia="zh-CN" w:bidi="ar-SA"/>
      </w:rPr>
    </w:lvl>
    <w:lvl w:ilvl="5" w:tentative="0">
      <w:start w:val="0"/>
      <w:numFmt w:val="bullet"/>
      <w:lvlText w:val="•"/>
      <w:lvlJc w:val="left"/>
      <w:pPr>
        <w:ind w:left="4869" w:hanging="361"/>
      </w:pPr>
      <w:rPr>
        <w:rFonts w:hint="default"/>
        <w:lang w:val="en-US" w:eastAsia="zh-CN" w:bidi="ar-SA"/>
      </w:rPr>
    </w:lvl>
    <w:lvl w:ilvl="6" w:tentative="0">
      <w:start w:val="0"/>
      <w:numFmt w:val="bullet"/>
      <w:lvlText w:val="•"/>
      <w:lvlJc w:val="left"/>
      <w:pPr>
        <w:ind w:left="6013" w:hanging="361"/>
      </w:pPr>
      <w:rPr>
        <w:rFonts w:hint="default"/>
        <w:lang w:val="en-US" w:eastAsia="zh-CN" w:bidi="ar-SA"/>
      </w:rPr>
    </w:lvl>
    <w:lvl w:ilvl="7" w:tentative="0">
      <w:start w:val="0"/>
      <w:numFmt w:val="bullet"/>
      <w:lvlText w:val="•"/>
      <w:lvlJc w:val="left"/>
      <w:pPr>
        <w:ind w:left="7156" w:hanging="361"/>
      </w:pPr>
      <w:rPr>
        <w:rFonts w:hint="default"/>
        <w:lang w:val="en-US" w:eastAsia="zh-CN" w:bidi="ar-SA"/>
      </w:rPr>
    </w:lvl>
    <w:lvl w:ilvl="8" w:tentative="0">
      <w:start w:val="0"/>
      <w:numFmt w:val="bullet"/>
      <w:lvlText w:val="•"/>
      <w:lvlJc w:val="left"/>
      <w:pPr>
        <w:ind w:left="8299" w:hanging="361"/>
      </w:pPr>
      <w:rPr>
        <w:rFonts w:hint="default"/>
        <w:lang w:val="en-US" w:eastAsia="zh-CN" w:bidi="ar-SA"/>
      </w:rPr>
    </w:lvl>
  </w:abstractNum>
  <w:abstractNum w:abstractNumId="27">
    <w:nsid w:val="1C257C7B"/>
    <w:multiLevelType w:val="multilevel"/>
    <w:tmpl w:val="1C257C7B"/>
    <w:lvl w:ilvl="0" w:tentative="0">
      <w:start w:val="1"/>
      <w:numFmt w:val="decimal"/>
      <w:lvlText w:val="（%1）"/>
      <w:lvlJc w:val="left"/>
      <w:pPr>
        <w:ind w:left="482" w:hanging="601"/>
        <w:jc w:val="left"/>
      </w:pPr>
      <w:rPr>
        <w:rFonts w:hint="default" w:ascii="宋体" w:hAnsi="宋体" w:eastAsia="宋体" w:cs="宋体"/>
        <w:spacing w:val="-60"/>
        <w:w w:val="100"/>
        <w:sz w:val="22"/>
        <w:szCs w:val="22"/>
        <w:lang w:val="en-US" w:eastAsia="zh-CN" w:bidi="ar-SA"/>
      </w:rPr>
    </w:lvl>
    <w:lvl w:ilvl="1" w:tentative="0">
      <w:start w:val="0"/>
      <w:numFmt w:val="bullet"/>
      <w:lvlText w:val="•"/>
      <w:lvlJc w:val="left"/>
      <w:pPr>
        <w:ind w:left="1358" w:hanging="601"/>
      </w:pPr>
      <w:rPr>
        <w:rFonts w:hint="default"/>
        <w:lang w:val="en-US" w:eastAsia="zh-CN" w:bidi="ar-SA"/>
      </w:rPr>
    </w:lvl>
    <w:lvl w:ilvl="2" w:tentative="0">
      <w:start w:val="0"/>
      <w:numFmt w:val="bullet"/>
      <w:lvlText w:val="•"/>
      <w:lvlJc w:val="left"/>
      <w:pPr>
        <w:ind w:left="2237" w:hanging="601"/>
      </w:pPr>
      <w:rPr>
        <w:rFonts w:hint="default"/>
        <w:lang w:val="en-US" w:eastAsia="zh-CN" w:bidi="ar-SA"/>
      </w:rPr>
    </w:lvl>
    <w:lvl w:ilvl="3" w:tentative="0">
      <w:start w:val="0"/>
      <w:numFmt w:val="bullet"/>
      <w:lvlText w:val="•"/>
      <w:lvlJc w:val="left"/>
      <w:pPr>
        <w:ind w:left="3115" w:hanging="601"/>
      </w:pPr>
      <w:rPr>
        <w:rFonts w:hint="default"/>
        <w:lang w:val="en-US" w:eastAsia="zh-CN" w:bidi="ar-SA"/>
      </w:rPr>
    </w:lvl>
    <w:lvl w:ilvl="4" w:tentative="0">
      <w:start w:val="0"/>
      <w:numFmt w:val="bullet"/>
      <w:lvlText w:val="•"/>
      <w:lvlJc w:val="left"/>
      <w:pPr>
        <w:ind w:left="3994" w:hanging="601"/>
      </w:pPr>
      <w:rPr>
        <w:rFonts w:hint="default"/>
        <w:lang w:val="en-US" w:eastAsia="zh-CN" w:bidi="ar-SA"/>
      </w:rPr>
    </w:lvl>
    <w:lvl w:ilvl="5" w:tentative="0">
      <w:start w:val="0"/>
      <w:numFmt w:val="bullet"/>
      <w:lvlText w:val="•"/>
      <w:lvlJc w:val="left"/>
      <w:pPr>
        <w:ind w:left="4873" w:hanging="601"/>
      </w:pPr>
      <w:rPr>
        <w:rFonts w:hint="default"/>
        <w:lang w:val="en-US" w:eastAsia="zh-CN" w:bidi="ar-SA"/>
      </w:rPr>
    </w:lvl>
    <w:lvl w:ilvl="6" w:tentative="0">
      <w:start w:val="0"/>
      <w:numFmt w:val="bullet"/>
      <w:lvlText w:val="•"/>
      <w:lvlJc w:val="left"/>
      <w:pPr>
        <w:ind w:left="5751" w:hanging="601"/>
      </w:pPr>
      <w:rPr>
        <w:rFonts w:hint="default"/>
        <w:lang w:val="en-US" w:eastAsia="zh-CN" w:bidi="ar-SA"/>
      </w:rPr>
    </w:lvl>
    <w:lvl w:ilvl="7" w:tentative="0">
      <w:start w:val="0"/>
      <w:numFmt w:val="bullet"/>
      <w:lvlText w:val="•"/>
      <w:lvlJc w:val="left"/>
      <w:pPr>
        <w:ind w:left="6630" w:hanging="601"/>
      </w:pPr>
      <w:rPr>
        <w:rFonts w:hint="default"/>
        <w:lang w:val="en-US" w:eastAsia="zh-CN" w:bidi="ar-SA"/>
      </w:rPr>
    </w:lvl>
    <w:lvl w:ilvl="8" w:tentative="0">
      <w:start w:val="0"/>
      <w:numFmt w:val="bullet"/>
      <w:lvlText w:val="•"/>
      <w:lvlJc w:val="left"/>
      <w:pPr>
        <w:ind w:left="7508" w:hanging="601"/>
      </w:pPr>
      <w:rPr>
        <w:rFonts w:hint="default"/>
        <w:lang w:val="en-US" w:eastAsia="zh-CN" w:bidi="ar-SA"/>
      </w:rPr>
    </w:lvl>
  </w:abstractNum>
  <w:abstractNum w:abstractNumId="28">
    <w:nsid w:val="23E97754"/>
    <w:multiLevelType w:val="multilevel"/>
    <w:tmpl w:val="23E97754"/>
    <w:lvl w:ilvl="0" w:tentative="0">
      <w:start w:val="1"/>
      <w:numFmt w:val="decimal"/>
      <w:lvlText w:val="%1."/>
      <w:lvlJc w:val="left"/>
      <w:pPr>
        <w:ind w:left="643" w:hanging="413"/>
        <w:jc w:val="left"/>
      </w:pPr>
      <w:rPr>
        <w:rFonts w:hint="default" w:ascii="宋体" w:hAnsi="宋体" w:eastAsia="宋体" w:cs="宋体"/>
        <w:w w:val="100"/>
        <w:sz w:val="24"/>
        <w:szCs w:val="24"/>
        <w:lang w:val="en-US" w:eastAsia="zh-CN" w:bidi="ar-SA"/>
      </w:rPr>
    </w:lvl>
    <w:lvl w:ilvl="1" w:tentative="0">
      <w:start w:val="0"/>
      <w:numFmt w:val="bullet"/>
      <w:lvlText w:val="•"/>
      <w:lvlJc w:val="left"/>
      <w:pPr>
        <w:ind w:left="1534" w:hanging="413"/>
      </w:pPr>
      <w:rPr>
        <w:rFonts w:hint="default"/>
        <w:lang w:val="en-US" w:eastAsia="zh-CN" w:bidi="ar-SA"/>
      </w:rPr>
    </w:lvl>
    <w:lvl w:ilvl="2" w:tentative="0">
      <w:start w:val="0"/>
      <w:numFmt w:val="bullet"/>
      <w:lvlText w:val="•"/>
      <w:lvlJc w:val="left"/>
      <w:pPr>
        <w:ind w:left="2429" w:hanging="413"/>
      </w:pPr>
      <w:rPr>
        <w:rFonts w:hint="default"/>
        <w:lang w:val="en-US" w:eastAsia="zh-CN" w:bidi="ar-SA"/>
      </w:rPr>
    </w:lvl>
    <w:lvl w:ilvl="3" w:tentative="0">
      <w:start w:val="0"/>
      <w:numFmt w:val="bullet"/>
      <w:lvlText w:val="•"/>
      <w:lvlJc w:val="left"/>
      <w:pPr>
        <w:ind w:left="3323" w:hanging="413"/>
      </w:pPr>
      <w:rPr>
        <w:rFonts w:hint="default"/>
        <w:lang w:val="en-US" w:eastAsia="zh-CN" w:bidi="ar-SA"/>
      </w:rPr>
    </w:lvl>
    <w:lvl w:ilvl="4" w:tentative="0">
      <w:start w:val="0"/>
      <w:numFmt w:val="bullet"/>
      <w:lvlText w:val="•"/>
      <w:lvlJc w:val="left"/>
      <w:pPr>
        <w:ind w:left="4218" w:hanging="413"/>
      </w:pPr>
      <w:rPr>
        <w:rFonts w:hint="default"/>
        <w:lang w:val="en-US" w:eastAsia="zh-CN" w:bidi="ar-SA"/>
      </w:rPr>
    </w:lvl>
    <w:lvl w:ilvl="5" w:tentative="0">
      <w:start w:val="0"/>
      <w:numFmt w:val="bullet"/>
      <w:lvlText w:val="•"/>
      <w:lvlJc w:val="left"/>
      <w:pPr>
        <w:ind w:left="5112" w:hanging="413"/>
      </w:pPr>
      <w:rPr>
        <w:rFonts w:hint="default"/>
        <w:lang w:val="en-US" w:eastAsia="zh-CN" w:bidi="ar-SA"/>
      </w:rPr>
    </w:lvl>
    <w:lvl w:ilvl="6" w:tentative="0">
      <w:start w:val="0"/>
      <w:numFmt w:val="bullet"/>
      <w:lvlText w:val="•"/>
      <w:lvlJc w:val="left"/>
      <w:pPr>
        <w:ind w:left="6007" w:hanging="413"/>
      </w:pPr>
      <w:rPr>
        <w:rFonts w:hint="default"/>
        <w:lang w:val="en-US" w:eastAsia="zh-CN" w:bidi="ar-SA"/>
      </w:rPr>
    </w:lvl>
    <w:lvl w:ilvl="7" w:tentative="0">
      <w:start w:val="0"/>
      <w:numFmt w:val="bullet"/>
      <w:lvlText w:val="•"/>
      <w:lvlJc w:val="left"/>
      <w:pPr>
        <w:ind w:left="6901" w:hanging="413"/>
      </w:pPr>
      <w:rPr>
        <w:rFonts w:hint="default"/>
        <w:lang w:val="en-US" w:eastAsia="zh-CN" w:bidi="ar-SA"/>
      </w:rPr>
    </w:lvl>
    <w:lvl w:ilvl="8" w:tentative="0">
      <w:start w:val="0"/>
      <w:numFmt w:val="bullet"/>
      <w:lvlText w:val="•"/>
      <w:lvlJc w:val="left"/>
      <w:pPr>
        <w:ind w:left="7796" w:hanging="413"/>
      </w:pPr>
      <w:rPr>
        <w:rFonts w:hint="default"/>
        <w:lang w:val="en-US" w:eastAsia="zh-CN" w:bidi="ar-SA"/>
      </w:rPr>
    </w:lvl>
  </w:abstractNum>
  <w:abstractNum w:abstractNumId="29">
    <w:nsid w:val="243FCF68"/>
    <w:multiLevelType w:val="multilevel"/>
    <w:tmpl w:val="243FCF68"/>
    <w:lvl w:ilvl="0" w:tentative="0">
      <w:start w:val="1"/>
      <w:numFmt w:val="decimal"/>
      <w:lvlText w:val="%1"/>
      <w:lvlJc w:val="left"/>
      <w:pPr>
        <w:ind w:left="420" w:hanging="420"/>
        <w:jc w:val="left"/>
      </w:pPr>
      <w:rPr>
        <w:rFonts w:hint="default"/>
        <w:lang w:val="en-US" w:eastAsia="zh-CN" w:bidi="ar-SA"/>
      </w:rPr>
    </w:lvl>
    <w:lvl w:ilvl="1" w:tentative="0">
      <w:start w:val="1"/>
      <w:numFmt w:val="decimal"/>
      <w:lvlText w:val="%1.%2"/>
      <w:lvlJc w:val="left"/>
      <w:pPr>
        <w:ind w:left="420" w:hanging="420"/>
        <w:jc w:val="left"/>
      </w:pPr>
      <w:rPr>
        <w:rFonts w:hint="default" w:ascii="仿宋" w:hAnsi="仿宋" w:eastAsia="仿宋" w:cs="仿宋"/>
        <w:w w:val="100"/>
        <w:sz w:val="24"/>
        <w:szCs w:val="24"/>
        <w:lang w:val="en-US" w:eastAsia="zh-CN" w:bidi="ar-SA"/>
      </w:rPr>
    </w:lvl>
    <w:lvl w:ilvl="2" w:tentative="0">
      <w:start w:val="0"/>
      <w:numFmt w:val="bullet"/>
      <w:lvlText w:val="•"/>
      <w:lvlJc w:val="left"/>
      <w:pPr>
        <w:ind w:left="2453" w:hanging="420"/>
      </w:pPr>
      <w:rPr>
        <w:rFonts w:hint="default"/>
        <w:lang w:val="en-US" w:eastAsia="zh-CN" w:bidi="ar-SA"/>
      </w:rPr>
    </w:lvl>
    <w:lvl w:ilvl="3" w:tentative="0">
      <w:start w:val="0"/>
      <w:numFmt w:val="bullet"/>
      <w:lvlText w:val="•"/>
      <w:lvlJc w:val="left"/>
      <w:pPr>
        <w:ind w:left="3469" w:hanging="420"/>
      </w:pPr>
      <w:rPr>
        <w:rFonts w:hint="default"/>
        <w:lang w:val="en-US" w:eastAsia="zh-CN" w:bidi="ar-SA"/>
      </w:rPr>
    </w:lvl>
    <w:lvl w:ilvl="4" w:tentative="0">
      <w:start w:val="0"/>
      <w:numFmt w:val="bullet"/>
      <w:lvlText w:val="•"/>
      <w:lvlJc w:val="left"/>
      <w:pPr>
        <w:ind w:left="4486" w:hanging="420"/>
      </w:pPr>
      <w:rPr>
        <w:rFonts w:hint="default"/>
        <w:lang w:val="en-US" w:eastAsia="zh-CN" w:bidi="ar-SA"/>
      </w:rPr>
    </w:lvl>
    <w:lvl w:ilvl="5" w:tentative="0">
      <w:start w:val="0"/>
      <w:numFmt w:val="bullet"/>
      <w:lvlText w:val="•"/>
      <w:lvlJc w:val="left"/>
      <w:pPr>
        <w:ind w:left="5503" w:hanging="420"/>
      </w:pPr>
      <w:rPr>
        <w:rFonts w:hint="default"/>
        <w:lang w:val="en-US" w:eastAsia="zh-CN" w:bidi="ar-SA"/>
      </w:rPr>
    </w:lvl>
    <w:lvl w:ilvl="6" w:tentative="0">
      <w:start w:val="0"/>
      <w:numFmt w:val="bullet"/>
      <w:lvlText w:val="•"/>
      <w:lvlJc w:val="left"/>
      <w:pPr>
        <w:ind w:left="6519" w:hanging="420"/>
      </w:pPr>
      <w:rPr>
        <w:rFonts w:hint="default"/>
        <w:lang w:val="en-US" w:eastAsia="zh-CN" w:bidi="ar-SA"/>
      </w:rPr>
    </w:lvl>
    <w:lvl w:ilvl="7" w:tentative="0">
      <w:start w:val="0"/>
      <w:numFmt w:val="bullet"/>
      <w:lvlText w:val="•"/>
      <w:lvlJc w:val="left"/>
      <w:pPr>
        <w:ind w:left="7536" w:hanging="420"/>
      </w:pPr>
      <w:rPr>
        <w:rFonts w:hint="default"/>
        <w:lang w:val="en-US" w:eastAsia="zh-CN" w:bidi="ar-SA"/>
      </w:rPr>
    </w:lvl>
    <w:lvl w:ilvl="8" w:tentative="0">
      <w:start w:val="0"/>
      <w:numFmt w:val="bullet"/>
      <w:lvlText w:val="•"/>
      <w:lvlJc w:val="left"/>
      <w:pPr>
        <w:ind w:left="8552" w:hanging="420"/>
      </w:pPr>
      <w:rPr>
        <w:rFonts w:hint="default"/>
        <w:lang w:val="en-US" w:eastAsia="zh-CN" w:bidi="ar-SA"/>
      </w:rPr>
    </w:lvl>
  </w:abstractNum>
  <w:abstractNum w:abstractNumId="30">
    <w:nsid w:val="2470EC97"/>
    <w:multiLevelType w:val="multilevel"/>
    <w:tmpl w:val="2470EC97"/>
    <w:lvl w:ilvl="0" w:tentative="0">
      <w:start w:val="8"/>
      <w:numFmt w:val="decimal"/>
      <w:lvlText w:val="%1."/>
      <w:lvlJc w:val="left"/>
      <w:pPr>
        <w:ind w:left="1262" w:hanging="363"/>
        <w:jc w:val="right"/>
      </w:pPr>
      <w:rPr>
        <w:rFonts w:hint="default" w:ascii="仿宋" w:hAnsi="仿宋" w:eastAsia="仿宋" w:cs="仿宋"/>
        <w:b/>
        <w:bCs/>
        <w:spacing w:val="0"/>
        <w:w w:val="99"/>
        <w:sz w:val="24"/>
        <w:szCs w:val="24"/>
        <w:lang w:val="en-US" w:eastAsia="zh-CN" w:bidi="ar-SA"/>
      </w:rPr>
    </w:lvl>
    <w:lvl w:ilvl="1" w:tentative="0">
      <w:start w:val="1"/>
      <w:numFmt w:val="decimal"/>
      <w:lvlText w:val="%1.%2"/>
      <w:lvlJc w:val="left"/>
      <w:pPr>
        <w:ind w:left="897" w:hanging="543"/>
        <w:jc w:val="right"/>
      </w:pPr>
      <w:rPr>
        <w:rFonts w:hint="default"/>
        <w:b/>
        <w:bCs/>
        <w:spacing w:val="-3"/>
        <w:w w:val="99"/>
        <w:lang w:val="en-US" w:eastAsia="zh-CN" w:bidi="ar-SA"/>
      </w:rPr>
    </w:lvl>
    <w:lvl w:ilvl="2" w:tentative="0">
      <w:start w:val="0"/>
      <w:numFmt w:val="bullet"/>
      <w:lvlText w:val="•"/>
      <w:lvlJc w:val="left"/>
      <w:pPr>
        <w:ind w:left="900" w:hanging="543"/>
      </w:pPr>
      <w:rPr>
        <w:rFonts w:hint="default"/>
        <w:lang w:val="en-US" w:eastAsia="zh-CN" w:bidi="ar-SA"/>
      </w:rPr>
    </w:lvl>
    <w:lvl w:ilvl="3" w:tentative="0">
      <w:start w:val="0"/>
      <w:numFmt w:val="bullet"/>
      <w:lvlText w:val="•"/>
      <w:lvlJc w:val="left"/>
      <w:pPr>
        <w:ind w:left="1260" w:hanging="543"/>
      </w:pPr>
      <w:rPr>
        <w:rFonts w:hint="default"/>
        <w:lang w:val="en-US" w:eastAsia="zh-CN" w:bidi="ar-SA"/>
      </w:rPr>
    </w:lvl>
    <w:lvl w:ilvl="4" w:tentative="0">
      <w:start w:val="0"/>
      <w:numFmt w:val="bullet"/>
      <w:lvlText w:val="•"/>
      <w:lvlJc w:val="left"/>
      <w:pPr>
        <w:ind w:left="1320" w:hanging="543"/>
      </w:pPr>
      <w:rPr>
        <w:rFonts w:hint="default"/>
        <w:lang w:val="en-US" w:eastAsia="zh-CN" w:bidi="ar-SA"/>
      </w:rPr>
    </w:lvl>
    <w:lvl w:ilvl="5" w:tentative="0">
      <w:start w:val="0"/>
      <w:numFmt w:val="bullet"/>
      <w:lvlText w:val="•"/>
      <w:lvlJc w:val="left"/>
      <w:pPr>
        <w:ind w:left="1500" w:hanging="543"/>
      </w:pPr>
      <w:rPr>
        <w:rFonts w:hint="default"/>
        <w:lang w:val="en-US" w:eastAsia="zh-CN" w:bidi="ar-SA"/>
      </w:rPr>
    </w:lvl>
    <w:lvl w:ilvl="6" w:tentative="0">
      <w:start w:val="0"/>
      <w:numFmt w:val="bullet"/>
      <w:lvlText w:val="•"/>
      <w:lvlJc w:val="left"/>
      <w:pPr>
        <w:ind w:left="3317" w:hanging="543"/>
      </w:pPr>
      <w:rPr>
        <w:rFonts w:hint="default"/>
        <w:lang w:val="en-US" w:eastAsia="zh-CN" w:bidi="ar-SA"/>
      </w:rPr>
    </w:lvl>
    <w:lvl w:ilvl="7" w:tentative="0">
      <w:start w:val="0"/>
      <w:numFmt w:val="bullet"/>
      <w:lvlText w:val="•"/>
      <w:lvlJc w:val="left"/>
      <w:pPr>
        <w:ind w:left="5134" w:hanging="543"/>
      </w:pPr>
      <w:rPr>
        <w:rFonts w:hint="default"/>
        <w:lang w:val="en-US" w:eastAsia="zh-CN" w:bidi="ar-SA"/>
      </w:rPr>
    </w:lvl>
    <w:lvl w:ilvl="8" w:tentative="0">
      <w:start w:val="0"/>
      <w:numFmt w:val="bullet"/>
      <w:lvlText w:val="•"/>
      <w:lvlJc w:val="left"/>
      <w:pPr>
        <w:ind w:left="6951" w:hanging="543"/>
      </w:pPr>
      <w:rPr>
        <w:rFonts w:hint="default"/>
        <w:lang w:val="en-US" w:eastAsia="zh-CN" w:bidi="ar-SA"/>
      </w:rPr>
    </w:lvl>
  </w:abstractNum>
  <w:abstractNum w:abstractNumId="31">
    <w:nsid w:val="25B654F3"/>
    <w:multiLevelType w:val="multilevel"/>
    <w:tmpl w:val="25B654F3"/>
    <w:lvl w:ilvl="0" w:tentative="0">
      <w:start w:val="1"/>
      <w:numFmt w:val="lowerLetter"/>
      <w:lvlText w:val="%1."/>
      <w:lvlJc w:val="left"/>
      <w:pPr>
        <w:ind w:left="328" w:hanging="222"/>
        <w:jc w:val="left"/>
      </w:pPr>
      <w:rPr>
        <w:rFonts w:hint="default" w:ascii="仿宋" w:hAnsi="仿宋" w:eastAsia="仿宋" w:cs="仿宋"/>
        <w:spacing w:val="-1"/>
        <w:w w:val="100"/>
        <w:sz w:val="20"/>
        <w:szCs w:val="20"/>
        <w:lang w:val="en-US" w:eastAsia="zh-CN" w:bidi="ar-SA"/>
      </w:rPr>
    </w:lvl>
    <w:lvl w:ilvl="1" w:tentative="0">
      <w:start w:val="0"/>
      <w:numFmt w:val="bullet"/>
      <w:lvlText w:val="•"/>
      <w:lvlJc w:val="left"/>
      <w:pPr>
        <w:ind w:left="1018" w:hanging="222"/>
      </w:pPr>
      <w:rPr>
        <w:rFonts w:hint="default"/>
        <w:lang w:val="en-US" w:eastAsia="zh-CN" w:bidi="ar-SA"/>
      </w:rPr>
    </w:lvl>
    <w:lvl w:ilvl="2" w:tentative="0">
      <w:start w:val="0"/>
      <w:numFmt w:val="bullet"/>
      <w:lvlText w:val="•"/>
      <w:lvlJc w:val="left"/>
      <w:pPr>
        <w:ind w:left="1717" w:hanging="222"/>
      </w:pPr>
      <w:rPr>
        <w:rFonts w:hint="default"/>
        <w:lang w:val="en-US" w:eastAsia="zh-CN" w:bidi="ar-SA"/>
      </w:rPr>
    </w:lvl>
    <w:lvl w:ilvl="3" w:tentative="0">
      <w:start w:val="0"/>
      <w:numFmt w:val="bullet"/>
      <w:lvlText w:val="•"/>
      <w:lvlJc w:val="left"/>
      <w:pPr>
        <w:ind w:left="2415" w:hanging="222"/>
      </w:pPr>
      <w:rPr>
        <w:rFonts w:hint="default"/>
        <w:lang w:val="en-US" w:eastAsia="zh-CN" w:bidi="ar-SA"/>
      </w:rPr>
    </w:lvl>
    <w:lvl w:ilvl="4" w:tentative="0">
      <w:start w:val="0"/>
      <w:numFmt w:val="bullet"/>
      <w:lvlText w:val="•"/>
      <w:lvlJc w:val="left"/>
      <w:pPr>
        <w:ind w:left="3114" w:hanging="222"/>
      </w:pPr>
      <w:rPr>
        <w:rFonts w:hint="default"/>
        <w:lang w:val="en-US" w:eastAsia="zh-CN" w:bidi="ar-SA"/>
      </w:rPr>
    </w:lvl>
    <w:lvl w:ilvl="5" w:tentative="0">
      <w:start w:val="0"/>
      <w:numFmt w:val="bullet"/>
      <w:lvlText w:val="•"/>
      <w:lvlJc w:val="left"/>
      <w:pPr>
        <w:ind w:left="3813" w:hanging="222"/>
      </w:pPr>
      <w:rPr>
        <w:rFonts w:hint="default"/>
        <w:lang w:val="en-US" w:eastAsia="zh-CN" w:bidi="ar-SA"/>
      </w:rPr>
    </w:lvl>
    <w:lvl w:ilvl="6" w:tentative="0">
      <w:start w:val="0"/>
      <w:numFmt w:val="bullet"/>
      <w:lvlText w:val="•"/>
      <w:lvlJc w:val="left"/>
      <w:pPr>
        <w:ind w:left="4511" w:hanging="222"/>
      </w:pPr>
      <w:rPr>
        <w:rFonts w:hint="default"/>
        <w:lang w:val="en-US" w:eastAsia="zh-CN" w:bidi="ar-SA"/>
      </w:rPr>
    </w:lvl>
    <w:lvl w:ilvl="7" w:tentative="0">
      <w:start w:val="0"/>
      <w:numFmt w:val="bullet"/>
      <w:lvlText w:val="•"/>
      <w:lvlJc w:val="left"/>
      <w:pPr>
        <w:ind w:left="5210" w:hanging="222"/>
      </w:pPr>
      <w:rPr>
        <w:rFonts w:hint="default"/>
        <w:lang w:val="en-US" w:eastAsia="zh-CN" w:bidi="ar-SA"/>
      </w:rPr>
    </w:lvl>
    <w:lvl w:ilvl="8" w:tentative="0">
      <w:start w:val="0"/>
      <w:numFmt w:val="bullet"/>
      <w:lvlText w:val="•"/>
      <w:lvlJc w:val="left"/>
      <w:pPr>
        <w:ind w:left="5908" w:hanging="222"/>
      </w:pPr>
      <w:rPr>
        <w:rFonts w:hint="default"/>
        <w:lang w:val="en-US" w:eastAsia="zh-CN" w:bidi="ar-SA"/>
      </w:rPr>
    </w:lvl>
  </w:abstractNum>
  <w:abstractNum w:abstractNumId="32">
    <w:nsid w:val="2A8F537B"/>
    <w:multiLevelType w:val="multilevel"/>
    <w:tmpl w:val="2A8F537B"/>
    <w:lvl w:ilvl="0" w:tentative="0">
      <w:start w:val="1"/>
      <w:numFmt w:val="decimal"/>
      <w:lvlText w:val="（%1）"/>
      <w:lvlJc w:val="left"/>
      <w:pPr>
        <w:ind w:left="106" w:hanging="554"/>
        <w:jc w:val="left"/>
      </w:pPr>
      <w:rPr>
        <w:rFonts w:hint="default" w:ascii="仿宋" w:hAnsi="仿宋" w:eastAsia="仿宋" w:cs="仿宋"/>
        <w:spacing w:val="-27"/>
        <w:w w:val="100"/>
        <w:sz w:val="20"/>
        <w:szCs w:val="20"/>
        <w:lang w:val="en-US" w:eastAsia="zh-CN" w:bidi="ar-SA"/>
      </w:rPr>
    </w:lvl>
    <w:lvl w:ilvl="1" w:tentative="0">
      <w:start w:val="0"/>
      <w:numFmt w:val="bullet"/>
      <w:lvlText w:val="•"/>
      <w:lvlJc w:val="left"/>
      <w:pPr>
        <w:ind w:left="820" w:hanging="554"/>
      </w:pPr>
      <w:rPr>
        <w:rFonts w:hint="default"/>
        <w:lang w:val="en-US" w:eastAsia="zh-CN" w:bidi="ar-SA"/>
      </w:rPr>
    </w:lvl>
    <w:lvl w:ilvl="2" w:tentative="0">
      <w:start w:val="0"/>
      <w:numFmt w:val="bullet"/>
      <w:lvlText w:val="•"/>
      <w:lvlJc w:val="left"/>
      <w:pPr>
        <w:ind w:left="1541" w:hanging="554"/>
      </w:pPr>
      <w:rPr>
        <w:rFonts w:hint="default"/>
        <w:lang w:val="en-US" w:eastAsia="zh-CN" w:bidi="ar-SA"/>
      </w:rPr>
    </w:lvl>
    <w:lvl w:ilvl="3" w:tentative="0">
      <w:start w:val="0"/>
      <w:numFmt w:val="bullet"/>
      <w:lvlText w:val="•"/>
      <w:lvlJc w:val="left"/>
      <w:pPr>
        <w:ind w:left="2261" w:hanging="554"/>
      </w:pPr>
      <w:rPr>
        <w:rFonts w:hint="default"/>
        <w:lang w:val="en-US" w:eastAsia="zh-CN" w:bidi="ar-SA"/>
      </w:rPr>
    </w:lvl>
    <w:lvl w:ilvl="4" w:tentative="0">
      <w:start w:val="0"/>
      <w:numFmt w:val="bullet"/>
      <w:lvlText w:val="•"/>
      <w:lvlJc w:val="left"/>
      <w:pPr>
        <w:ind w:left="2982" w:hanging="554"/>
      </w:pPr>
      <w:rPr>
        <w:rFonts w:hint="default"/>
        <w:lang w:val="en-US" w:eastAsia="zh-CN" w:bidi="ar-SA"/>
      </w:rPr>
    </w:lvl>
    <w:lvl w:ilvl="5" w:tentative="0">
      <w:start w:val="0"/>
      <w:numFmt w:val="bullet"/>
      <w:lvlText w:val="•"/>
      <w:lvlJc w:val="left"/>
      <w:pPr>
        <w:ind w:left="3703" w:hanging="554"/>
      </w:pPr>
      <w:rPr>
        <w:rFonts w:hint="default"/>
        <w:lang w:val="en-US" w:eastAsia="zh-CN" w:bidi="ar-SA"/>
      </w:rPr>
    </w:lvl>
    <w:lvl w:ilvl="6" w:tentative="0">
      <w:start w:val="0"/>
      <w:numFmt w:val="bullet"/>
      <w:lvlText w:val="•"/>
      <w:lvlJc w:val="left"/>
      <w:pPr>
        <w:ind w:left="4423" w:hanging="554"/>
      </w:pPr>
      <w:rPr>
        <w:rFonts w:hint="default"/>
        <w:lang w:val="en-US" w:eastAsia="zh-CN" w:bidi="ar-SA"/>
      </w:rPr>
    </w:lvl>
    <w:lvl w:ilvl="7" w:tentative="0">
      <w:start w:val="0"/>
      <w:numFmt w:val="bullet"/>
      <w:lvlText w:val="•"/>
      <w:lvlJc w:val="left"/>
      <w:pPr>
        <w:ind w:left="5144" w:hanging="554"/>
      </w:pPr>
      <w:rPr>
        <w:rFonts w:hint="default"/>
        <w:lang w:val="en-US" w:eastAsia="zh-CN" w:bidi="ar-SA"/>
      </w:rPr>
    </w:lvl>
    <w:lvl w:ilvl="8" w:tentative="0">
      <w:start w:val="0"/>
      <w:numFmt w:val="bullet"/>
      <w:lvlText w:val="•"/>
      <w:lvlJc w:val="left"/>
      <w:pPr>
        <w:ind w:left="5864" w:hanging="554"/>
      </w:pPr>
      <w:rPr>
        <w:rFonts w:hint="default"/>
        <w:lang w:val="en-US" w:eastAsia="zh-CN" w:bidi="ar-SA"/>
      </w:rPr>
    </w:lvl>
  </w:abstractNum>
  <w:abstractNum w:abstractNumId="33">
    <w:nsid w:val="30FC5B15"/>
    <w:multiLevelType w:val="multilevel"/>
    <w:tmpl w:val="30FC5B15"/>
    <w:lvl w:ilvl="0" w:tentative="0">
      <w:start w:val="5"/>
      <w:numFmt w:val="decimal"/>
      <w:lvlText w:val="%1"/>
      <w:lvlJc w:val="left"/>
      <w:pPr>
        <w:ind w:left="420" w:hanging="420"/>
        <w:jc w:val="left"/>
      </w:pPr>
      <w:rPr>
        <w:rFonts w:hint="default"/>
        <w:lang w:val="en-US" w:eastAsia="zh-CN" w:bidi="ar-SA"/>
      </w:rPr>
    </w:lvl>
    <w:lvl w:ilvl="1" w:tentative="0">
      <w:start w:val="1"/>
      <w:numFmt w:val="decimal"/>
      <w:lvlText w:val="%1.%2"/>
      <w:lvlJc w:val="left"/>
      <w:pPr>
        <w:ind w:left="420" w:hanging="420"/>
        <w:jc w:val="right"/>
      </w:pPr>
      <w:rPr>
        <w:rFonts w:hint="default" w:ascii="仿宋" w:hAnsi="仿宋" w:eastAsia="仿宋" w:cs="仿宋"/>
        <w:w w:val="100"/>
        <w:sz w:val="24"/>
        <w:szCs w:val="24"/>
        <w:lang w:val="en-US" w:eastAsia="zh-CN" w:bidi="ar-SA"/>
      </w:rPr>
    </w:lvl>
    <w:lvl w:ilvl="2" w:tentative="0">
      <w:start w:val="0"/>
      <w:numFmt w:val="bullet"/>
      <w:lvlText w:val="•"/>
      <w:lvlJc w:val="left"/>
      <w:pPr>
        <w:ind w:left="2453" w:hanging="420"/>
      </w:pPr>
      <w:rPr>
        <w:rFonts w:hint="default"/>
        <w:lang w:val="en-US" w:eastAsia="zh-CN" w:bidi="ar-SA"/>
      </w:rPr>
    </w:lvl>
    <w:lvl w:ilvl="3" w:tentative="0">
      <w:start w:val="0"/>
      <w:numFmt w:val="bullet"/>
      <w:lvlText w:val="•"/>
      <w:lvlJc w:val="left"/>
      <w:pPr>
        <w:ind w:left="3469" w:hanging="420"/>
      </w:pPr>
      <w:rPr>
        <w:rFonts w:hint="default"/>
        <w:lang w:val="en-US" w:eastAsia="zh-CN" w:bidi="ar-SA"/>
      </w:rPr>
    </w:lvl>
    <w:lvl w:ilvl="4" w:tentative="0">
      <w:start w:val="0"/>
      <w:numFmt w:val="bullet"/>
      <w:lvlText w:val="•"/>
      <w:lvlJc w:val="left"/>
      <w:pPr>
        <w:ind w:left="4486" w:hanging="420"/>
      </w:pPr>
      <w:rPr>
        <w:rFonts w:hint="default"/>
        <w:lang w:val="en-US" w:eastAsia="zh-CN" w:bidi="ar-SA"/>
      </w:rPr>
    </w:lvl>
    <w:lvl w:ilvl="5" w:tentative="0">
      <w:start w:val="0"/>
      <w:numFmt w:val="bullet"/>
      <w:lvlText w:val="•"/>
      <w:lvlJc w:val="left"/>
      <w:pPr>
        <w:ind w:left="5503" w:hanging="420"/>
      </w:pPr>
      <w:rPr>
        <w:rFonts w:hint="default"/>
        <w:lang w:val="en-US" w:eastAsia="zh-CN" w:bidi="ar-SA"/>
      </w:rPr>
    </w:lvl>
    <w:lvl w:ilvl="6" w:tentative="0">
      <w:start w:val="0"/>
      <w:numFmt w:val="bullet"/>
      <w:lvlText w:val="•"/>
      <w:lvlJc w:val="left"/>
      <w:pPr>
        <w:ind w:left="6519" w:hanging="420"/>
      </w:pPr>
      <w:rPr>
        <w:rFonts w:hint="default"/>
        <w:lang w:val="en-US" w:eastAsia="zh-CN" w:bidi="ar-SA"/>
      </w:rPr>
    </w:lvl>
    <w:lvl w:ilvl="7" w:tentative="0">
      <w:start w:val="0"/>
      <w:numFmt w:val="bullet"/>
      <w:lvlText w:val="•"/>
      <w:lvlJc w:val="left"/>
      <w:pPr>
        <w:ind w:left="7536" w:hanging="420"/>
      </w:pPr>
      <w:rPr>
        <w:rFonts w:hint="default"/>
        <w:lang w:val="en-US" w:eastAsia="zh-CN" w:bidi="ar-SA"/>
      </w:rPr>
    </w:lvl>
    <w:lvl w:ilvl="8" w:tentative="0">
      <w:start w:val="0"/>
      <w:numFmt w:val="bullet"/>
      <w:lvlText w:val="•"/>
      <w:lvlJc w:val="left"/>
      <w:pPr>
        <w:ind w:left="8552" w:hanging="420"/>
      </w:pPr>
      <w:rPr>
        <w:rFonts w:hint="default"/>
        <w:lang w:val="en-US" w:eastAsia="zh-CN" w:bidi="ar-SA"/>
      </w:rPr>
    </w:lvl>
  </w:abstractNum>
  <w:abstractNum w:abstractNumId="34">
    <w:nsid w:val="322D85CA"/>
    <w:multiLevelType w:val="multilevel"/>
    <w:tmpl w:val="322D85CA"/>
    <w:lvl w:ilvl="0" w:tentative="0">
      <w:start w:val="3"/>
      <w:numFmt w:val="decimal"/>
      <w:lvlText w:val="%1"/>
      <w:lvlJc w:val="left"/>
      <w:pPr>
        <w:ind w:left="1029" w:hanging="490"/>
        <w:jc w:val="left"/>
      </w:pPr>
      <w:rPr>
        <w:rFonts w:hint="default"/>
        <w:lang w:val="en-US" w:eastAsia="zh-CN" w:bidi="ar-SA"/>
      </w:rPr>
    </w:lvl>
    <w:lvl w:ilvl="1" w:tentative="0">
      <w:start w:val="1"/>
      <w:numFmt w:val="decimal"/>
      <w:lvlText w:val="%1.%2"/>
      <w:lvlJc w:val="left"/>
      <w:pPr>
        <w:ind w:left="1029" w:hanging="490"/>
        <w:jc w:val="left"/>
      </w:pPr>
      <w:rPr>
        <w:rFonts w:hint="default" w:ascii="仿宋" w:hAnsi="仿宋" w:eastAsia="仿宋" w:cs="仿宋"/>
        <w:spacing w:val="-2"/>
        <w:w w:val="100"/>
        <w:sz w:val="28"/>
        <w:szCs w:val="28"/>
        <w:lang w:val="en-US" w:eastAsia="zh-CN" w:bidi="ar-SA"/>
      </w:rPr>
    </w:lvl>
    <w:lvl w:ilvl="2" w:tentative="0">
      <w:start w:val="0"/>
      <w:numFmt w:val="bullet"/>
      <w:lvlText w:val="•"/>
      <w:lvlJc w:val="left"/>
      <w:pPr>
        <w:ind w:left="2933" w:hanging="490"/>
      </w:pPr>
      <w:rPr>
        <w:rFonts w:hint="default"/>
        <w:lang w:val="en-US" w:eastAsia="zh-CN" w:bidi="ar-SA"/>
      </w:rPr>
    </w:lvl>
    <w:lvl w:ilvl="3" w:tentative="0">
      <w:start w:val="0"/>
      <w:numFmt w:val="bullet"/>
      <w:lvlText w:val="•"/>
      <w:lvlJc w:val="left"/>
      <w:pPr>
        <w:ind w:left="3889" w:hanging="490"/>
      </w:pPr>
      <w:rPr>
        <w:rFonts w:hint="default"/>
        <w:lang w:val="en-US" w:eastAsia="zh-CN" w:bidi="ar-SA"/>
      </w:rPr>
    </w:lvl>
    <w:lvl w:ilvl="4" w:tentative="0">
      <w:start w:val="0"/>
      <w:numFmt w:val="bullet"/>
      <w:lvlText w:val="•"/>
      <w:lvlJc w:val="left"/>
      <w:pPr>
        <w:ind w:left="4846" w:hanging="490"/>
      </w:pPr>
      <w:rPr>
        <w:rFonts w:hint="default"/>
        <w:lang w:val="en-US" w:eastAsia="zh-CN" w:bidi="ar-SA"/>
      </w:rPr>
    </w:lvl>
    <w:lvl w:ilvl="5" w:tentative="0">
      <w:start w:val="0"/>
      <w:numFmt w:val="bullet"/>
      <w:lvlText w:val="•"/>
      <w:lvlJc w:val="left"/>
      <w:pPr>
        <w:ind w:left="5803" w:hanging="490"/>
      </w:pPr>
      <w:rPr>
        <w:rFonts w:hint="default"/>
        <w:lang w:val="en-US" w:eastAsia="zh-CN" w:bidi="ar-SA"/>
      </w:rPr>
    </w:lvl>
    <w:lvl w:ilvl="6" w:tentative="0">
      <w:start w:val="0"/>
      <w:numFmt w:val="bullet"/>
      <w:lvlText w:val="•"/>
      <w:lvlJc w:val="left"/>
      <w:pPr>
        <w:ind w:left="6759" w:hanging="490"/>
      </w:pPr>
      <w:rPr>
        <w:rFonts w:hint="default"/>
        <w:lang w:val="en-US" w:eastAsia="zh-CN" w:bidi="ar-SA"/>
      </w:rPr>
    </w:lvl>
    <w:lvl w:ilvl="7" w:tentative="0">
      <w:start w:val="0"/>
      <w:numFmt w:val="bullet"/>
      <w:lvlText w:val="•"/>
      <w:lvlJc w:val="left"/>
      <w:pPr>
        <w:ind w:left="7716" w:hanging="490"/>
      </w:pPr>
      <w:rPr>
        <w:rFonts w:hint="default"/>
        <w:lang w:val="en-US" w:eastAsia="zh-CN" w:bidi="ar-SA"/>
      </w:rPr>
    </w:lvl>
    <w:lvl w:ilvl="8" w:tentative="0">
      <w:start w:val="0"/>
      <w:numFmt w:val="bullet"/>
      <w:lvlText w:val="•"/>
      <w:lvlJc w:val="left"/>
      <w:pPr>
        <w:ind w:left="8672" w:hanging="490"/>
      </w:pPr>
      <w:rPr>
        <w:rFonts w:hint="default"/>
        <w:lang w:val="en-US" w:eastAsia="zh-CN" w:bidi="ar-SA"/>
      </w:rPr>
    </w:lvl>
  </w:abstractNum>
  <w:abstractNum w:abstractNumId="35">
    <w:nsid w:val="32A7AF2D"/>
    <w:multiLevelType w:val="multilevel"/>
    <w:tmpl w:val="32A7AF2D"/>
    <w:lvl w:ilvl="0" w:tentative="0">
      <w:start w:val="5"/>
      <w:numFmt w:val="decimal"/>
      <w:lvlText w:val="%1."/>
      <w:lvlJc w:val="left"/>
      <w:pPr>
        <w:ind w:left="1270" w:hanging="241"/>
        <w:jc w:val="left"/>
      </w:pPr>
      <w:rPr>
        <w:rFonts w:hint="default" w:ascii="宋体" w:hAnsi="宋体" w:eastAsia="宋体" w:cs="宋体"/>
        <w:w w:val="100"/>
        <w:sz w:val="22"/>
        <w:szCs w:val="22"/>
        <w:lang w:val="en-US" w:eastAsia="zh-CN" w:bidi="ar-SA"/>
      </w:rPr>
    </w:lvl>
    <w:lvl w:ilvl="1" w:tentative="0">
      <w:start w:val="2"/>
      <w:numFmt w:val="decimal"/>
      <w:lvlText w:val="%2."/>
      <w:lvlJc w:val="left"/>
      <w:pPr>
        <w:ind w:left="1753" w:hanging="244"/>
        <w:jc w:val="left"/>
      </w:pPr>
      <w:rPr>
        <w:rFonts w:hint="default" w:ascii="宋体" w:hAnsi="宋体" w:eastAsia="宋体" w:cs="宋体"/>
        <w:b/>
        <w:bCs/>
        <w:spacing w:val="0"/>
        <w:w w:val="99"/>
        <w:sz w:val="22"/>
        <w:szCs w:val="22"/>
        <w:lang w:val="en-US" w:eastAsia="zh-CN" w:bidi="ar-SA"/>
      </w:rPr>
    </w:lvl>
    <w:lvl w:ilvl="2" w:tentative="0">
      <w:start w:val="0"/>
      <w:numFmt w:val="bullet"/>
      <w:lvlText w:val="•"/>
      <w:lvlJc w:val="left"/>
      <w:pPr>
        <w:ind w:left="2740" w:hanging="244"/>
      </w:pPr>
      <w:rPr>
        <w:rFonts w:hint="default"/>
        <w:lang w:val="en-US" w:eastAsia="zh-CN" w:bidi="ar-SA"/>
      </w:rPr>
    </w:lvl>
    <w:lvl w:ilvl="3" w:tentative="0">
      <w:start w:val="0"/>
      <w:numFmt w:val="bullet"/>
      <w:lvlText w:val="•"/>
      <w:lvlJc w:val="left"/>
      <w:pPr>
        <w:ind w:left="3721" w:hanging="244"/>
      </w:pPr>
      <w:rPr>
        <w:rFonts w:hint="default"/>
        <w:lang w:val="en-US" w:eastAsia="zh-CN" w:bidi="ar-SA"/>
      </w:rPr>
    </w:lvl>
    <w:lvl w:ilvl="4" w:tentative="0">
      <w:start w:val="0"/>
      <w:numFmt w:val="bullet"/>
      <w:lvlText w:val="•"/>
      <w:lvlJc w:val="left"/>
      <w:pPr>
        <w:ind w:left="4702" w:hanging="244"/>
      </w:pPr>
      <w:rPr>
        <w:rFonts w:hint="default"/>
        <w:lang w:val="en-US" w:eastAsia="zh-CN" w:bidi="ar-SA"/>
      </w:rPr>
    </w:lvl>
    <w:lvl w:ilvl="5" w:tentative="0">
      <w:start w:val="0"/>
      <w:numFmt w:val="bullet"/>
      <w:lvlText w:val="•"/>
      <w:lvlJc w:val="left"/>
      <w:pPr>
        <w:ind w:left="5682" w:hanging="244"/>
      </w:pPr>
      <w:rPr>
        <w:rFonts w:hint="default"/>
        <w:lang w:val="en-US" w:eastAsia="zh-CN" w:bidi="ar-SA"/>
      </w:rPr>
    </w:lvl>
    <w:lvl w:ilvl="6" w:tentative="0">
      <w:start w:val="0"/>
      <w:numFmt w:val="bullet"/>
      <w:lvlText w:val="•"/>
      <w:lvlJc w:val="left"/>
      <w:pPr>
        <w:ind w:left="6663" w:hanging="244"/>
      </w:pPr>
      <w:rPr>
        <w:rFonts w:hint="default"/>
        <w:lang w:val="en-US" w:eastAsia="zh-CN" w:bidi="ar-SA"/>
      </w:rPr>
    </w:lvl>
    <w:lvl w:ilvl="7" w:tentative="0">
      <w:start w:val="0"/>
      <w:numFmt w:val="bullet"/>
      <w:lvlText w:val="•"/>
      <w:lvlJc w:val="left"/>
      <w:pPr>
        <w:ind w:left="7644" w:hanging="244"/>
      </w:pPr>
      <w:rPr>
        <w:rFonts w:hint="default"/>
        <w:lang w:val="en-US" w:eastAsia="zh-CN" w:bidi="ar-SA"/>
      </w:rPr>
    </w:lvl>
    <w:lvl w:ilvl="8" w:tentative="0">
      <w:start w:val="0"/>
      <w:numFmt w:val="bullet"/>
      <w:lvlText w:val="•"/>
      <w:lvlJc w:val="left"/>
      <w:pPr>
        <w:ind w:left="8624" w:hanging="244"/>
      </w:pPr>
      <w:rPr>
        <w:rFonts w:hint="default"/>
        <w:lang w:val="en-US" w:eastAsia="zh-CN" w:bidi="ar-SA"/>
      </w:rPr>
    </w:lvl>
  </w:abstractNum>
  <w:abstractNum w:abstractNumId="36">
    <w:nsid w:val="39A0D9AC"/>
    <w:multiLevelType w:val="multilevel"/>
    <w:tmpl w:val="39A0D9AC"/>
    <w:lvl w:ilvl="0" w:tentative="0">
      <w:start w:val="1"/>
      <w:numFmt w:val="decimal"/>
      <w:lvlText w:val="（%1）"/>
      <w:lvlJc w:val="left"/>
      <w:pPr>
        <w:ind w:left="1261" w:hanging="601"/>
        <w:jc w:val="left"/>
      </w:pPr>
      <w:rPr>
        <w:rFonts w:hint="default" w:ascii="仿宋" w:hAnsi="仿宋" w:eastAsia="仿宋" w:cs="仿宋"/>
        <w:w w:val="100"/>
        <w:sz w:val="22"/>
        <w:szCs w:val="22"/>
        <w:lang w:val="en-US" w:eastAsia="zh-CN" w:bidi="ar-SA"/>
      </w:rPr>
    </w:lvl>
    <w:lvl w:ilvl="1" w:tentative="0">
      <w:start w:val="0"/>
      <w:numFmt w:val="bullet"/>
      <w:lvlText w:val="•"/>
      <w:lvlJc w:val="left"/>
      <w:pPr>
        <w:ind w:left="2192" w:hanging="601"/>
      </w:pPr>
      <w:rPr>
        <w:rFonts w:hint="default"/>
        <w:lang w:val="en-US" w:eastAsia="zh-CN" w:bidi="ar-SA"/>
      </w:rPr>
    </w:lvl>
    <w:lvl w:ilvl="2" w:tentative="0">
      <w:start w:val="0"/>
      <w:numFmt w:val="bullet"/>
      <w:lvlText w:val="•"/>
      <w:lvlJc w:val="left"/>
      <w:pPr>
        <w:ind w:left="3125" w:hanging="601"/>
      </w:pPr>
      <w:rPr>
        <w:rFonts w:hint="default"/>
        <w:lang w:val="en-US" w:eastAsia="zh-CN" w:bidi="ar-SA"/>
      </w:rPr>
    </w:lvl>
    <w:lvl w:ilvl="3" w:tentative="0">
      <w:start w:val="0"/>
      <w:numFmt w:val="bullet"/>
      <w:lvlText w:val="•"/>
      <w:lvlJc w:val="left"/>
      <w:pPr>
        <w:ind w:left="4057" w:hanging="601"/>
      </w:pPr>
      <w:rPr>
        <w:rFonts w:hint="default"/>
        <w:lang w:val="en-US" w:eastAsia="zh-CN" w:bidi="ar-SA"/>
      </w:rPr>
    </w:lvl>
    <w:lvl w:ilvl="4" w:tentative="0">
      <w:start w:val="0"/>
      <w:numFmt w:val="bullet"/>
      <w:lvlText w:val="•"/>
      <w:lvlJc w:val="left"/>
      <w:pPr>
        <w:ind w:left="4990" w:hanging="601"/>
      </w:pPr>
      <w:rPr>
        <w:rFonts w:hint="default"/>
        <w:lang w:val="en-US" w:eastAsia="zh-CN" w:bidi="ar-SA"/>
      </w:rPr>
    </w:lvl>
    <w:lvl w:ilvl="5" w:tentative="0">
      <w:start w:val="0"/>
      <w:numFmt w:val="bullet"/>
      <w:lvlText w:val="•"/>
      <w:lvlJc w:val="left"/>
      <w:pPr>
        <w:ind w:left="5923" w:hanging="601"/>
      </w:pPr>
      <w:rPr>
        <w:rFonts w:hint="default"/>
        <w:lang w:val="en-US" w:eastAsia="zh-CN" w:bidi="ar-SA"/>
      </w:rPr>
    </w:lvl>
    <w:lvl w:ilvl="6" w:tentative="0">
      <w:start w:val="0"/>
      <w:numFmt w:val="bullet"/>
      <w:lvlText w:val="•"/>
      <w:lvlJc w:val="left"/>
      <w:pPr>
        <w:ind w:left="6855" w:hanging="601"/>
      </w:pPr>
      <w:rPr>
        <w:rFonts w:hint="default"/>
        <w:lang w:val="en-US" w:eastAsia="zh-CN" w:bidi="ar-SA"/>
      </w:rPr>
    </w:lvl>
    <w:lvl w:ilvl="7" w:tentative="0">
      <w:start w:val="0"/>
      <w:numFmt w:val="bullet"/>
      <w:lvlText w:val="•"/>
      <w:lvlJc w:val="left"/>
      <w:pPr>
        <w:ind w:left="7788" w:hanging="601"/>
      </w:pPr>
      <w:rPr>
        <w:rFonts w:hint="default"/>
        <w:lang w:val="en-US" w:eastAsia="zh-CN" w:bidi="ar-SA"/>
      </w:rPr>
    </w:lvl>
    <w:lvl w:ilvl="8" w:tentative="0">
      <w:start w:val="0"/>
      <w:numFmt w:val="bullet"/>
      <w:lvlText w:val="•"/>
      <w:lvlJc w:val="left"/>
      <w:pPr>
        <w:ind w:left="8720" w:hanging="601"/>
      </w:pPr>
      <w:rPr>
        <w:rFonts w:hint="default"/>
        <w:lang w:val="en-US" w:eastAsia="zh-CN" w:bidi="ar-SA"/>
      </w:rPr>
    </w:lvl>
  </w:abstractNum>
  <w:abstractNum w:abstractNumId="37">
    <w:nsid w:val="46A08BB8"/>
    <w:multiLevelType w:val="multilevel"/>
    <w:tmpl w:val="46A08BB8"/>
    <w:lvl w:ilvl="0" w:tentative="0">
      <w:start w:val="1"/>
      <w:numFmt w:val="decimal"/>
      <w:lvlText w:val="（%1）"/>
      <w:lvlJc w:val="left"/>
      <w:pPr>
        <w:ind w:left="1442" w:hanging="603"/>
        <w:jc w:val="left"/>
      </w:pPr>
      <w:rPr>
        <w:rFonts w:hint="default" w:ascii="仿宋" w:hAnsi="仿宋" w:eastAsia="仿宋" w:cs="仿宋"/>
        <w:b/>
        <w:bCs/>
        <w:w w:val="99"/>
        <w:sz w:val="22"/>
        <w:szCs w:val="22"/>
        <w:lang w:val="en-US" w:eastAsia="zh-CN" w:bidi="ar-SA"/>
      </w:rPr>
    </w:lvl>
    <w:lvl w:ilvl="1" w:tentative="0">
      <w:start w:val="1"/>
      <w:numFmt w:val="lowerLetter"/>
      <w:lvlText w:val="%2."/>
      <w:lvlJc w:val="left"/>
      <w:pPr>
        <w:ind w:left="420" w:hanging="360"/>
        <w:jc w:val="left"/>
      </w:pPr>
      <w:rPr>
        <w:rFonts w:hint="default" w:ascii="仿宋" w:hAnsi="仿宋" w:eastAsia="仿宋" w:cs="仿宋"/>
        <w:spacing w:val="-19"/>
        <w:w w:val="100"/>
        <w:sz w:val="24"/>
        <w:szCs w:val="24"/>
        <w:lang w:val="en-US" w:eastAsia="zh-CN" w:bidi="ar-SA"/>
      </w:rPr>
    </w:lvl>
    <w:lvl w:ilvl="2" w:tentative="0">
      <w:start w:val="0"/>
      <w:numFmt w:val="bullet"/>
      <w:lvlText w:val="•"/>
      <w:lvlJc w:val="left"/>
      <w:pPr>
        <w:ind w:left="2456" w:hanging="360"/>
      </w:pPr>
      <w:rPr>
        <w:rFonts w:hint="default"/>
        <w:lang w:val="en-US" w:eastAsia="zh-CN" w:bidi="ar-SA"/>
      </w:rPr>
    </w:lvl>
    <w:lvl w:ilvl="3" w:tentative="0">
      <w:start w:val="0"/>
      <w:numFmt w:val="bullet"/>
      <w:lvlText w:val="•"/>
      <w:lvlJc w:val="left"/>
      <w:pPr>
        <w:ind w:left="3472" w:hanging="360"/>
      </w:pPr>
      <w:rPr>
        <w:rFonts w:hint="default"/>
        <w:lang w:val="en-US" w:eastAsia="zh-CN" w:bidi="ar-SA"/>
      </w:rPr>
    </w:lvl>
    <w:lvl w:ilvl="4" w:tentative="0">
      <w:start w:val="0"/>
      <w:numFmt w:val="bullet"/>
      <w:lvlText w:val="•"/>
      <w:lvlJc w:val="left"/>
      <w:pPr>
        <w:ind w:left="4488" w:hanging="360"/>
      </w:pPr>
      <w:rPr>
        <w:rFonts w:hint="default"/>
        <w:lang w:val="en-US" w:eastAsia="zh-CN" w:bidi="ar-SA"/>
      </w:rPr>
    </w:lvl>
    <w:lvl w:ilvl="5" w:tentative="0">
      <w:start w:val="0"/>
      <w:numFmt w:val="bullet"/>
      <w:lvlText w:val="•"/>
      <w:lvlJc w:val="left"/>
      <w:pPr>
        <w:ind w:left="5504" w:hanging="360"/>
      </w:pPr>
      <w:rPr>
        <w:rFonts w:hint="default"/>
        <w:lang w:val="en-US" w:eastAsia="zh-CN" w:bidi="ar-SA"/>
      </w:rPr>
    </w:lvl>
    <w:lvl w:ilvl="6" w:tentative="0">
      <w:start w:val="0"/>
      <w:numFmt w:val="bullet"/>
      <w:lvlText w:val="•"/>
      <w:lvlJc w:val="left"/>
      <w:pPr>
        <w:ind w:left="6521" w:hanging="360"/>
      </w:pPr>
      <w:rPr>
        <w:rFonts w:hint="default"/>
        <w:lang w:val="en-US" w:eastAsia="zh-CN" w:bidi="ar-SA"/>
      </w:rPr>
    </w:lvl>
    <w:lvl w:ilvl="7" w:tentative="0">
      <w:start w:val="0"/>
      <w:numFmt w:val="bullet"/>
      <w:lvlText w:val="•"/>
      <w:lvlJc w:val="left"/>
      <w:pPr>
        <w:ind w:left="7537" w:hanging="360"/>
      </w:pPr>
      <w:rPr>
        <w:rFonts w:hint="default"/>
        <w:lang w:val="en-US" w:eastAsia="zh-CN" w:bidi="ar-SA"/>
      </w:rPr>
    </w:lvl>
    <w:lvl w:ilvl="8" w:tentative="0">
      <w:start w:val="0"/>
      <w:numFmt w:val="bullet"/>
      <w:lvlText w:val="•"/>
      <w:lvlJc w:val="left"/>
      <w:pPr>
        <w:ind w:left="8553" w:hanging="360"/>
      </w:pPr>
      <w:rPr>
        <w:rFonts w:hint="default"/>
        <w:lang w:val="en-US" w:eastAsia="zh-CN" w:bidi="ar-SA"/>
      </w:rPr>
    </w:lvl>
  </w:abstractNum>
  <w:abstractNum w:abstractNumId="38">
    <w:nsid w:val="4C1BAE26"/>
    <w:multiLevelType w:val="multilevel"/>
    <w:tmpl w:val="4C1BAE26"/>
    <w:lvl w:ilvl="0" w:tentative="0">
      <w:start w:val="21"/>
      <w:numFmt w:val="decimal"/>
      <w:lvlText w:val="%1."/>
      <w:lvlJc w:val="left"/>
      <w:pPr>
        <w:ind w:left="1382" w:hanging="483"/>
        <w:jc w:val="left"/>
      </w:pPr>
      <w:rPr>
        <w:rFonts w:hint="default" w:ascii="仿宋" w:hAnsi="仿宋" w:eastAsia="仿宋" w:cs="仿宋"/>
        <w:b/>
        <w:bCs/>
        <w:w w:val="99"/>
        <w:sz w:val="24"/>
        <w:szCs w:val="24"/>
        <w:lang w:val="en-US" w:eastAsia="zh-CN" w:bidi="ar-SA"/>
      </w:rPr>
    </w:lvl>
    <w:lvl w:ilvl="1" w:tentative="0">
      <w:start w:val="1"/>
      <w:numFmt w:val="decimal"/>
      <w:lvlText w:val="%1.%2"/>
      <w:lvlJc w:val="left"/>
      <w:pPr>
        <w:ind w:left="1500" w:hanging="600"/>
        <w:jc w:val="left"/>
      </w:pPr>
      <w:rPr>
        <w:rFonts w:hint="default" w:ascii="仿宋" w:hAnsi="仿宋" w:eastAsia="仿宋" w:cs="仿宋"/>
        <w:spacing w:val="-60"/>
        <w:w w:val="100"/>
        <w:sz w:val="24"/>
        <w:szCs w:val="24"/>
        <w:lang w:val="en-US" w:eastAsia="zh-CN" w:bidi="ar-SA"/>
      </w:rPr>
    </w:lvl>
    <w:lvl w:ilvl="2" w:tentative="0">
      <w:start w:val="0"/>
      <w:numFmt w:val="bullet"/>
      <w:lvlText w:val="•"/>
      <w:lvlJc w:val="left"/>
      <w:pPr>
        <w:ind w:left="1500" w:hanging="600"/>
      </w:pPr>
      <w:rPr>
        <w:rFonts w:hint="default"/>
        <w:lang w:val="en-US" w:eastAsia="zh-CN" w:bidi="ar-SA"/>
      </w:rPr>
    </w:lvl>
    <w:lvl w:ilvl="3" w:tentative="0">
      <w:start w:val="0"/>
      <w:numFmt w:val="bullet"/>
      <w:lvlText w:val="•"/>
      <w:lvlJc w:val="left"/>
      <w:pPr>
        <w:ind w:left="2635" w:hanging="600"/>
      </w:pPr>
      <w:rPr>
        <w:rFonts w:hint="default"/>
        <w:lang w:val="en-US" w:eastAsia="zh-CN" w:bidi="ar-SA"/>
      </w:rPr>
    </w:lvl>
    <w:lvl w:ilvl="4" w:tentative="0">
      <w:start w:val="0"/>
      <w:numFmt w:val="bullet"/>
      <w:lvlText w:val="•"/>
      <w:lvlJc w:val="left"/>
      <w:pPr>
        <w:ind w:left="3771" w:hanging="600"/>
      </w:pPr>
      <w:rPr>
        <w:rFonts w:hint="default"/>
        <w:lang w:val="en-US" w:eastAsia="zh-CN" w:bidi="ar-SA"/>
      </w:rPr>
    </w:lvl>
    <w:lvl w:ilvl="5" w:tentative="0">
      <w:start w:val="0"/>
      <w:numFmt w:val="bullet"/>
      <w:lvlText w:val="•"/>
      <w:lvlJc w:val="left"/>
      <w:pPr>
        <w:ind w:left="4907" w:hanging="600"/>
      </w:pPr>
      <w:rPr>
        <w:rFonts w:hint="default"/>
        <w:lang w:val="en-US" w:eastAsia="zh-CN" w:bidi="ar-SA"/>
      </w:rPr>
    </w:lvl>
    <w:lvl w:ilvl="6" w:tentative="0">
      <w:start w:val="0"/>
      <w:numFmt w:val="bullet"/>
      <w:lvlText w:val="•"/>
      <w:lvlJc w:val="left"/>
      <w:pPr>
        <w:ind w:left="6043" w:hanging="600"/>
      </w:pPr>
      <w:rPr>
        <w:rFonts w:hint="default"/>
        <w:lang w:val="en-US" w:eastAsia="zh-CN" w:bidi="ar-SA"/>
      </w:rPr>
    </w:lvl>
    <w:lvl w:ilvl="7" w:tentative="0">
      <w:start w:val="0"/>
      <w:numFmt w:val="bullet"/>
      <w:lvlText w:val="•"/>
      <w:lvlJc w:val="left"/>
      <w:pPr>
        <w:ind w:left="7178" w:hanging="600"/>
      </w:pPr>
      <w:rPr>
        <w:rFonts w:hint="default"/>
        <w:lang w:val="en-US" w:eastAsia="zh-CN" w:bidi="ar-SA"/>
      </w:rPr>
    </w:lvl>
    <w:lvl w:ilvl="8" w:tentative="0">
      <w:start w:val="0"/>
      <w:numFmt w:val="bullet"/>
      <w:lvlText w:val="•"/>
      <w:lvlJc w:val="left"/>
      <w:pPr>
        <w:ind w:left="8314" w:hanging="600"/>
      </w:pPr>
      <w:rPr>
        <w:rFonts w:hint="default"/>
        <w:lang w:val="en-US" w:eastAsia="zh-CN" w:bidi="ar-SA"/>
      </w:rPr>
    </w:lvl>
  </w:abstractNum>
  <w:abstractNum w:abstractNumId="39">
    <w:nsid w:val="4C3D7A74"/>
    <w:multiLevelType w:val="multilevel"/>
    <w:tmpl w:val="4C3D7A74"/>
    <w:lvl w:ilvl="0" w:tentative="0">
      <w:start w:val="4"/>
      <w:numFmt w:val="decimal"/>
      <w:lvlText w:val="（%1）"/>
      <w:lvlJc w:val="left"/>
      <w:pPr>
        <w:ind w:left="420" w:hanging="601"/>
        <w:jc w:val="left"/>
      </w:pPr>
      <w:rPr>
        <w:rFonts w:hint="default" w:ascii="仿宋" w:hAnsi="仿宋" w:eastAsia="仿宋" w:cs="仿宋"/>
        <w:spacing w:val="-19"/>
        <w:w w:val="100"/>
        <w:sz w:val="22"/>
        <w:szCs w:val="22"/>
        <w:lang w:val="en-US" w:eastAsia="zh-CN" w:bidi="ar-SA"/>
      </w:rPr>
    </w:lvl>
    <w:lvl w:ilvl="1" w:tentative="0">
      <w:start w:val="1"/>
      <w:numFmt w:val="decimal"/>
      <w:lvlText w:val="%2."/>
      <w:lvlJc w:val="left"/>
      <w:pPr>
        <w:ind w:left="1029" w:hanging="241"/>
        <w:jc w:val="left"/>
      </w:pPr>
      <w:rPr>
        <w:rFonts w:hint="default" w:ascii="宋体" w:hAnsi="宋体" w:eastAsia="宋体" w:cs="宋体"/>
        <w:spacing w:val="-17"/>
        <w:w w:val="100"/>
        <w:sz w:val="22"/>
        <w:szCs w:val="22"/>
        <w:lang w:val="en-US" w:eastAsia="zh-CN" w:bidi="ar-SA"/>
      </w:rPr>
    </w:lvl>
    <w:lvl w:ilvl="2" w:tentative="0">
      <w:start w:val="0"/>
      <w:numFmt w:val="bullet"/>
      <w:lvlText w:val="•"/>
      <w:lvlJc w:val="left"/>
      <w:pPr>
        <w:ind w:left="2082" w:hanging="241"/>
      </w:pPr>
      <w:rPr>
        <w:rFonts w:hint="default"/>
        <w:lang w:val="en-US" w:eastAsia="zh-CN" w:bidi="ar-SA"/>
      </w:rPr>
    </w:lvl>
    <w:lvl w:ilvl="3" w:tentative="0">
      <w:start w:val="0"/>
      <w:numFmt w:val="bullet"/>
      <w:lvlText w:val="•"/>
      <w:lvlJc w:val="left"/>
      <w:pPr>
        <w:ind w:left="3145" w:hanging="241"/>
      </w:pPr>
      <w:rPr>
        <w:rFonts w:hint="default"/>
        <w:lang w:val="en-US" w:eastAsia="zh-CN" w:bidi="ar-SA"/>
      </w:rPr>
    </w:lvl>
    <w:lvl w:ilvl="4" w:tentative="0">
      <w:start w:val="0"/>
      <w:numFmt w:val="bullet"/>
      <w:lvlText w:val="•"/>
      <w:lvlJc w:val="left"/>
      <w:pPr>
        <w:ind w:left="4208" w:hanging="241"/>
      </w:pPr>
      <w:rPr>
        <w:rFonts w:hint="default"/>
        <w:lang w:val="en-US" w:eastAsia="zh-CN" w:bidi="ar-SA"/>
      </w:rPr>
    </w:lvl>
    <w:lvl w:ilvl="5" w:tentative="0">
      <w:start w:val="0"/>
      <w:numFmt w:val="bullet"/>
      <w:lvlText w:val="•"/>
      <w:lvlJc w:val="left"/>
      <w:pPr>
        <w:ind w:left="5271" w:hanging="241"/>
      </w:pPr>
      <w:rPr>
        <w:rFonts w:hint="default"/>
        <w:lang w:val="en-US" w:eastAsia="zh-CN" w:bidi="ar-SA"/>
      </w:rPr>
    </w:lvl>
    <w:lvl w:ilvl="6" w:tentative="0">
      <w:start w:val="0"/>
      <w:numFmt w:val="bullet"/>
      <w:lvlText w:val="•"/>
      <w:lvlJc w:val="left"/>
      <w:pPr>
        <w:ind w:left="6334" w:hanging="241"/>
      </w:pPr>
      <w:rPr>
        <w:rFonts w:hint="default"/>
        <w:lang w:val="en-US" w:eastAsia="zh-CN" w:bidi="ar-SA"/>
      </w:rPr>
    </w:lvl>
    <w:lvl w:ilvl="7" w:tentative="0">
      <w:start w:val="0"/>
      <w:numFmt w:val="bullet"/>
      <w:lvlText w:val="•"/>
      <w:lvlJc w:val="left"/>
      <w:pPr>
        <w:ind w:left="7397" w:hanging="241"/>
      </w:pPr>
      <w:rPr>
        <w:rFonts w:hint="default"/>
        <w:lang w:val="en-US" w:eastAsia="zh-CN" w:bidi="ar-SA"/>
      </w:rPr>
    </w:lvl>
    <w:lvl w:ilvl="8" w:tentative="0">
      <w:start w:val="0"/>
      <w:numFmt w:val="bullet"/>
      <w:lvlText w:val="•"/>
      <w:lvlJc w:val="left"/>
      <w:pPr>
        <w:ind w:left="8460" w:hanging="241"/>
      </w:pPr>
      <w:rPr>
        <w:rFonts w:hint="default"/>
        <w:lang w:val="en-US" w:eastAsia="zh-CN" w:bidi="ar-SA"/>
      </w:rPr>
    </w:lvl>
  </w:abstractNum>
  <w:abstractNum w:abstractNumId="40">
    <w:nsid w:val="4D4DC07F"/>
    <w:multiLevelType w:val="multilevel"/>
    <w:tmpl w:val="4D4DC07F"/>
    <w:lvl w:ilvl="0" w:tentative="0">
      <w:start w:val="6"/>
      <w:numFmt w:val="decimal"/>
      <w:lvlText w:val="%1."/>
      <w:lvlJc w:val="left"/>
      <w:pPr>
        <w:ind w:left="1143" w:hanging="244"/>
        <w:jc w:val="left"/>
      </w:pPr>
      <w:rPr>
        <w:rFonts w:hint="default" w:ascii="仿宋" w:hAnsi="仿宋" w:eastAsia="仿宋" w:cs="仿宋"/>
        <w:b/>
        <w:bCs/>
        <w:spacing w:val="-3"/>
        <w:w w:val="99"/>
        <w:sz w:val="22"/>
        <w:szCs w:val="22"/>
        <w:lang w:val="en-US" w:eastAsia="zh-CN" w:bidi="ar-SA"/>
      </w:rPr>
    </w:lvl>
    <w:lvl w:ilvl="1" w:tentative="0">
      <w:start w:val="1"/>
      <w:numFmt w:val="decimal"/>
      <w:lvlText w:val="%1.%2"/>
      <w:lvlJc w:val="left"/>
      <w:pPr>
        <w:ind w:left="900" w:hanging="420"/>
        <w:jc w:val="left"/>
      </w:pPr>
      <w:rPr>
        <w:rFonts w:hint="default" w:ascii="仿宋" w:hAnsi="仿宋" w:eastAsia="仿宋" w:cs="仿宋"/>
        <w:w w:val="100"/>
        <w:sz w:val="24"/>
        <w:szCs w:val="24"/>
        <w:lang w:val="en-US" w:eastAsia="zh-CN" w:bidi="ar-SA"/>
      </w:rPr>
    </w:lvl>
    <w:lvl w:ilvl="2" w:tentative="0">
      <w:start w:val="0"/>
      <w:numFmt w:val="bullet"/>
      <w:lvlText w:val="•"/>
      <w:lvlJc w:val="left"/>
      <w:pPr>
        <w:ind w:left="2189" w:hanging="420"/>
      </w:pPr>
      <w:rPr>
        <w:rFonts w:hint="default"/>
        <w:lang w:val="en-US" w:eastAsia="zh-CN" w:bidi="ar-SA"/>
      </w:rPr>
    </w:lvl>
    <w:lvl w:ilvl="3" w:tentative="0">
      <w:start w:val="0"/>
      <w:numFmt w:val="bullet"/>
      <w:lvlText w:val="•"/>
      <w:lvlJc w:val="left"/>
      <w:pPr>
        <w:ind w:left="3239" w:hanging="420"/>
      </w:pPr>
      <w:rPr>
        <w:rFonts w:hint="default"/>
        <w:lang w:val="en-US" w:eastAsia="zh-CN" w:bidi="ar-SA"/>
      </w:rPr>
    </w:lvl>
    <w:lvl w:ilvl="4" w:tentative="0">
      <w:start w:val="0"/>
      <w:numFmt w:val="bullet"/>
      <w:lvlText w:val="•"/>
      <w:lvlJc w:val="left"/>
      <w:pPr>
        <w:ind w:left="4288" w:hanging="420"/>
      </w:pPr>
      <w:rPr>
        <w:rFonts w:hint="default"/>
        <w:lang w:val="en-US" w:eastAsia="zh-CN" w:bidi="ar-SA"/>
      </w:rPr>
    </w:lvl>
    <w:lvl w:ilvl="5" w:tentative="0">
      <w:start w:val="0"/>
      <w:numFmt w:val="bullet"/>
      <w:lvlText w:val="•"/>
      <w:lvlJc w:val="left"/>
      <w:pPr>
        <w:ind w:left="5338" w:hanging="420"/>
      </w:pPr>
      <w:rPr>
        <w:rFonts w:hint="default"/>
        <w:lang w:val="en-US" w:eastAsia="zh-CN" w:bidi="ar-SA"/>
      </w:rPr>
    </w:lvl>
    <w:lvl w:ilvl="6" w:tentative="0">
      <w:start w:val="0"/>
      <w:numFmt w:val="bullet"/>
      <w:lvlText w:val="•"/>
      <w:lvlJc w:val="left"/>
      <w:pPr>
        <w:ind w:left="6387" w:hanging="420"/>
      </w:pPr>
      <w:rPr>
        <w:rFonts w:hint="default"/>
        <w:lang w:val="en-US" w:eastAsia="zh-CN" w:bidi="ar-SA"/>
      </w:rPr>
    </w:lvl>
    <w:lvl w:ilvl="7" w:tentative="0">
      <w:start w:val="0"/>
      <w:numFmt w:val="bullet"/>
      <w:lvlText w:val="•"/>
      <w:lvlJc w:val="left"/>
      <w:pPr>
        <w:ind w:left="7437" w:hanging="420"/>
      </w:pPr>
      <w:rPr>
        <w:rFonts w:hint="default"/>
        <w:lang w:val="en-US" w:eastAsia="zh-CN" w:bidi="ar-SA"/>
      </w:rPr>
    </w:lvl>
    <w:lvl w:ilvl="8" w:tentative="0">
      <w:start w:val="0"/>
      <w:numFmt w:val="bullet"/>
      <w:lvlText w:val="•"/>
      <w:lvlJc w:val="left"/>
      <w:pPr>
        <w:ind w:left="8486" w:hanging="420"/>
      </w:pPr>
      <w:rPr>
        <w:rFonts w:hint="default"/>
        <w:lang w:val="en-US" w:eastAsia="zh-CN" w:bidi="ar-SA"/>
      </w:rPr>
    </w:lvl>
  </w:abstractNum>
  <w:abstractNum w:abstractNumId="41">
    <w:nsid w:val="4D94DA66"/>
    <w:multiLevelType w:val="multilevel"/>
    <w:tmpl w:val="4D94DA66"/>
    <w:lvl w:ilvl="0" w:tentative="0">
      <w:start w:val="2"/>
      <w:numFmt w:val="decimal"/>
      <w:lvlText w:val="%1"/>
      <w:lvlJc w:val="left"/>
      <w:pPr>
        <w:ind w:left="420" w:hanging="478"/>
        <w:jc w:val="left"/>
      </w:pPr>
      <w:rPr>
        <w:rFonts w:hint="default"/>
        <w:lang w:val="en-US" w:eastAsia="zh-CN" w:bidi="ar-SA"/>
      </w:rPr>
    </w:lvl>
    <w:lvl w:ilvl="1" w:tentative="0">
      <w:start w:val="1"/>
      <w:numFmt w:val="decimal"/>
      <w:lvlText w:val="%1.%2"/>
      <w:lvlJc w:val="left"/>
      <w:pPr>
        <w:ind w:left="420" w:hanging="478"/>
        <w:jc w:val="right"/>
      </w:pPr>
      <w:rPr>
        <w:rFonts w:hint="default"/>
        <w:b/>
        <w:bCs/>
        <w:spacing w:val="0"/>
        <w:w w:val="99"/>
        <w:lang w:val="en-US" w:eastAsia="zh-CN" w:bidi="ar-SA"/>
      </w:rPr>
    </w:lvl>
    <w:lvl w:ilvl="2" w:tentative="0">
      <w:start w:val="0"/>
      <w:numFmt w:val="bullet"/>
      <w:lvlText w:val="•"/>
      <w:lvlJc w:val="left"/>
      <w:pPr>
        <w:ind w:left="2453" w:hanging="478"/>
      </w:pPr>
      <w:rPr>
        <w:rFonts w:hint="default"/>
        <w:lang w:val="en-US" w:eastAsia="zh-CN" w:bidi="ar-SA"/>
      </w:rPr>
    </w:lvl>
    <w:lvl w:ilvl="3" w:tentative="0">
      <w:start w:val="0"/>
      <w:numFmt w:val="bullet"/>
      <w:lvlText w:val="•"/>
      <w:lvlJc w:val="left"/>
      <w:pPr>
        <w:ind w:left="3469" w:hanging="478"/>
      </w:pPr>
      <w:rPr>
        <w:rFonts w:hint="default"/>
        <w:lang w:val="en-US" w:eastAsia="zh-CN" w:bidi="ar-SA"/>
      </w:rPr>
    </w:lvl>
    <w:lvl w:ilvl="4" w:tentative="0">
      <w:start w:val="0"/>
      <w:numFmt w:val="bullet"/>
      <w:lvlText w:val="•"/>
      <w:lvlJc w:val="left"/>
      <w:pPr>
        <w:ind w:left="4486" w:hanging="478"/>
      </w:pPr>
      <w:rPr>
        <w:rFonts w:hint="default"/>
        <w:lang w:val="en-US" w:eastAsia="zh-CN" w:bidi="ar-SA"/>
      </w:rPr>
    </w:lvl>
    <w:lvl w:ilvl="5" w:tentative="0">
      <w:start w:val="0"/>
      <w:numFmt w:val="bullet"/>
      <w:lvlText w:val="•"/>
      <w:lvlJc w:val="left"/>
      <w:pPr>
        <w:ind w:left="5503" w:hanging="478"/>
      </w:pPr>
      <w:rPr>
        <w:rFonts w:hint="default"/>
        <w:lang w:val="en-US" w:eastAsia="zh-CN" w:bidi="ar-SA"/>
      </w:rPr>
    </w:lvl>
    <w:lvl w:ilvl="6" w:tentative="0">
      <w:start w:val="0"/>
      <w:numFmt w:val="bullet"/>
      <w:lvlText w:val="•"/>
      <w:lvlJc w:val="left"/>
      <w:pPr>
        <w:ind w:left="6519" w:hanging="478"/>
      </w:pPr>
      <w:rPr>
        <w:rFonts w:hint="default"/>
        <w:lang w:val="en-US" w:eastAsia="zh-CN" w:bidi="ar-SA"/>
      </w:rPr>
    </w:lvl>
    <w:lvl w:ilvl="7" w:tentative="0">
      <w:start w:val="0"/>
      <w:numFmt w:val="bullet"/>
      <w:lvlText w:val="•"/>
      <w:lvlJc w:val="left"/>
      <w:pPr>
        <w:ind w:left="7536" w:hanging="478"/>
      </w:pPr>
      <w:rPr>
        <w:rFonts w:hint="default"/>
        <w:lang w:val="en-US" w:eastAsia="zh-CN" w:bidi="ar-SA"/>
      </w:rPr>
    </w:lvl>
    <w:lvl w:ilvl="8" w:tentative="0">
      <w:start w:val="0"/>
      <w:numFmt w:val="bullet"/>
      <w:lvlText w:val="•"/>
      <w:lvlJc w:val="left"/>
      <w:pPr>
        <w:ind w:left="8552" w:hanging="478"/>
      </w:pPr>
      <w:rPr>
        <w:rFonts w:hint="default"/>
        <w:lang w:val="en-US" w:eastAsia="zh-CN" w:bidi="ar-SA"/>
      </w:rPr>
    </w:lvl>
  </w:abstractNum>
  <w:abstractNum w:abstractNumId="42">
    <w:nsid w:val="58765686"/>
    <w:multiLevelType w:val="multilevel"/>
    <w:tmpl w:val="58765686"/>
    <w:lvl w:ilvl="0" w:tentative="0">
      <w:start w:val="41"/>
      <w:numFmt w:val="decimal"/>
      <w:lvlText w:val="%1."/>
      <w:lvlJc w:val="left"/>
      <w:pPr>
        <w:ind w:left="1324" w:hanging="485"/>
        <w:jc w:val="right"/>
      </w:pPr>
      <w:rPr>
        <w:rFonts w:hint="default" w:ascii="仿宋" w:hAnsi="仿宋" w:eastAsia="仿宋" w:cs="仿宋"/>
        <w:b/>
        <w:bCs/>
        <w:spacing w:val="0"/>
        <w:w w:val="99"/>
        <w:sz w:val="24"/>
        <w:szCs w:val="24"/>
        <w:lang w:val="en-US" w:eastAsia="zh-CN" w:bidi="ar-SA"/>
      </w:rPr>
    </w:lvl>
    <w:lvl w:ilvl="1" w:tentative="0">
      <w:start w:val="1"/>
      <w:numFmt w:val="decimal"/>
      <w:lvlText w:val="%1.%2"/>
      <w:lvlJc w:val="left"/>
      <w:pPr>
        <w:ind w:left="1320" w:hanging="540"/>
        <w:jc w:val="right"/>
      </w:pPr>
      <w:rPr>
        <w:rFonts w:hint="default" w:ascii="仿宋" w:hAnsi="仿宋" w:eastAsia="仿宋" w:cs="仿宋"/>
        <w:w w:val="100"/>
        <w:sz w:val="24"/>
        <w:szCs w:val="24"/>
        <w:lang w:val="en-US" w:eastAsia="zh-CN" w:bidi="ar-SA"/>
      </w:rPr>
    </w:lvl>
    <w:lvl w:ilvl="2" w:tentative="0">
      <w:start w:val="0"/>
      <w:numFmt w:val="bullet"/>
      <w:lvlText w:val="•"/>
      <w:lvlJc w:val="left"/>
      <w:pPr>
        <w:ind w:left="1320" w:hanging="540"/>
      </w:pPr>
      <w:rPr>
        <w:rFonts w:hint="default"/>
        <w:lang w:val="en-US" w:eastAsia="zh-CN" w:bidi="ar-SA"/>
      </w:rPr>
    </w:lvl>
    <w:lvl w:ilvl="3" w:tentative="0">
      <w:start w:val="0"/>
      <w:numFmt w:val="bullet"/>
      <w:lvlText w:val="•"/>
      <w:lvlJc w:val="left"/>
      <w:pPr>
        <w:ind w:left="2478" w:hanging="540"/>
      </w:pPr>
      <w:rPr>
        <w:rFonts w:hint="default"/>
        <w:lang w:val="en-US" w:eastAsia="zh-CN" w:bidi="ar-SA"/>
      </w:rPr>
    </w:lvl>
    <w:lvl w:ilvl="4" w:tentative="0">
      <w:start w:val="0"/>
      <w:numFmt w:val="bullet"/>
      <w:lvlText w:val="•"/>
      <w:lvlJc w:val="left"/>
      <w:pPr>
        <w:ind w:left="3636" w:hanging="540"/>
      </w:pPr>
      <w:rPr>
        <w:rFonts w:hint="default"/>
        <w:lang w:val="en-US" w:eastAsia="zh-CN" w:bidi="ar-SA"/>
      </w:rPr>
    </w:lvl>
    <w:lvl w:ilvl="5" w:tentative="0">
      <w:start w:val="0"/>
      <w:numFmt w:val="bullet"/>
      <w:lvlText w:val="•"/>
      <w:lvlJc w:val="left"/>
      <w:pPr>
        <w:ind w:left="4794" w:hanging="540"/>
      </w:pPr>
      <w:rPr>
        <w:rFonts w:hint="default"/>
        <w:lang w:val="en-US" w:eastAsia="zh-CN" w:bidi="ar-SA"/>
      </w:rPr>
    </w:lvl>
    <w:lvl w:ilvl="6" w:tentative="0">
      <w:start w:val="0"/>
      <w:numFmt w:val="bullet"/>
      <w:lvlText w:val="•"/>
      <w:lvlJc w:val="left"/>
      <w:pPr>
        <w:ind w:left="5953" w:hanging="540"/>
      </w:pPr>
      <w:rPr>
        <w:rFonts w:hint="default"/>
        <w:lang w:val="en-US" w:eastAsia="zh-CN" w:bidi="ar-SA"/>
      </w:rPr>
    </w:lvl>
    <w:lvl w:ilvl="7" w:tentative="0">
      <w:start w:val="0"/>
      <w:numFmt w:val="bullet"/>
      <w:lvlText w:val="•"/>
      <w:lvlJc w:val="left"/>
      <w:pPr>
        <w:ind w:left="7111" w:hanging="540"/>
      </w:pPr>
      <w:rPr>
        <w:rFonts w:hint="default"/>
        <w:lang w:val="en-US" w:eastAsia="zh-CN" w:bidi="ar-SA"/>
      </w:rPr>
    </w:lvl>
    <w:lvl w:ilvl="8" w:tentative="0">
      <w:start w:val="0"/>
      <w:numFmt w:val="bullet"/>
      <w:lvlText w:val="•"/>
      <w:lvlJc w:val="left"/>
      <w:pPr>
        <w:ind w:left="8269" w:hanging="540"/>
      </w:pPr>
      <w:rPr>
        <w:rFonts w:hint="default"/>
        <w:lang w:val="en-US" w:eastAsia="zh-CN" w:bidi="ar-SA"/>
      </w:rPr>
    </w:lvl>
  </w:abstractNum>
  <w:abstractNum w:abstractNumId="43">
    <w:nsid w:val="59ADCABA"/>
    <w:multiLevelType w:val="multilevel"/>
    <w:tmpl w:val="59ADCABA"/>
    <w:lvl w:ilvl="0" w:tentative="0">
      <w:start w:val="1"/>
      <w:numFmt w:val="decimal"/>
      <w:lvlText w:val="%1."/>
      <w:lvlJc w:val="left"/>
      <w:pPr>
        <w:ind w:left="420" w:hanging="241"/>
        <w:jc w:val="left"/>
      </w:pPr>
      <w:rPr>
        <w:rFonts w:hint="default" w:ascii="仿宋" w:hAnsi="仿宋" w:eastAsia="仿宋" w:cs="仿宋"/>
        <w:spacing w:val="-60"/>
        <w:w w:val="100"/>
        <w:sz w:val="22"/>
        <w:szCs w:val="22"/>
        <w:lang w:val="en-US" w:eastAsia="zh-CN" w:bidi="ar-SA"/>
      </w:rPr>
    </w:lvl>
    <w:lvl w:ilvl="1" w:tentative="0">
      <w:start w:val="0"/>
      <w:numFmt w:val="bullet"/>
      <w:lvlText w:val="•"/>
      <w:lvlJc w:val="left"/>
      <w:pPr>
        <w:ind w:left="1436" w:hanging="241"/>
      </w:pPr>
      <w:rPr>
        <w:rFonts w:hint="default"/>
        <w:lang w:val="en-US" w:eastAsia="zh-CN" w:bidi="ar-SA"/>
      </w:rPr>
    </w:lvl>
    <w:lvl w:ilvl="2" w:tentative="0">
      <w:start w:val="0"/>
      <w:numFmt w:val="bullet"/>
      <w:lvlText w:val="•"/>
      <w:lvlJc w:val="left"/>
      <w:pPr>
        <w:ind w:left="2453" w:hanging="241"/>
      </w:pPr>
      <w:rPr>
        <w:rFonts w:hint="default"/>
        <w:lang w:val="en-US" w:eastAsia="zh-CN" w:bidi="ar-SA"/>
      </w:rPr>
    </w:lvl>
    <w:lvl w:ilvl="3" w:tentative="0">
      <w:start w:val="0"/>
      <w:numFmt w:val="bullet"/>
      <w:lvlText w:val="•"/>
      <w:lvlJc w:val="left"/>
      <w:pPr>
        <w:ind w:left="3469" w:hanging="241"/>
      </w:pPr>
      <w:rPr>
        <w:rFonts w:hint="default"/>
        <w:lang w:val="en-US" w:eastAsia="zh-CN" w:bidi="ar-SA"/>
      </w:rPr>
    </w:lvl>
    <w:lvl w:ilvl="4" w:tentative="0">
      <w:start w:val="0"/>
      <w:numFmt w:val="bullet"/>
      <w:lvlText w:val="•"/>
      <w:lvlJc w:val="left"/>
      <w:pPr>
        <w:ind w:left="4486" w:hanging="241"/>
      </w:pPr>
      <w:rPr>
        <w:rFonts w:hint="default"/>
        <w:lang w:val="en-US" w:eastAsia="zh-CN" w:bidi="ar-SA"/>
      </w:rPr>
    </w:lvl>
    <w:lvl w:ilvl="5" w:tentative="0">
      <w:start w:val="0"/>
      <w:numFmt w:val="bullet"/>
      <w:lvlText w:val="•"/>
      <w:lvlJc w:val="left"/>
      <w:pPr>
        <w:ind w:left="5503" w:hanging="241"/>
      </w:pPr>
      <w:rPr>
        <w:rFonts w:hint="default"/>
        <w:lang w:val="en-US" w:eastAsia="zh-CN" w:bidi="ar-SA"/>
      </w:rPr>
    </w:lvl>
    <w:lvl w:ilvl="6" w:tentative="0">
      <w:start w:val="0"/>
      <w:numFmt w:val="bullet"/>
      <w:lvlText w:val="•"/>
      <w:lvlJc w:val="left"/>
      <w:pPr>
        <w:ind w:left="6519" w:hanging="241"/>
      </w:pPr>
      <w:rPr>
        <w:rFonts w:hint="default"/>
        <w:lang w:val="en-US" w:eastAsia="zh-CN" w:bidi="ar-SA"/>
      </w:rPr>
    </w:lvl>
    <w:lvl w:ilvl="7" w:tentative="0">
      <w:start w:val="0"/>
      <w:numFmt w:val="bullet"/>
      <w:lvlText w:val="•"/>
      <w:lvlJc w:val="left"/>
      <w:pPr>
        <w:ind w:left="7536" w:hanging="241"/>
      </w:pPr>
      <w:rPr>
        <w:rFonts w:hint="default"/>
        <w:lang w:val="en-US" w:eastAsia="zh-CN" w:bidi="ar-SA"/>
      </w:rPr>
    </w:lvl>
    <w:lvl w:ilvl="8" w:tentative="0">
      <w:start w:val="0"/>
      <w:numFmt w:val="bullet"/>
      <w:lvlText w:val="•"/>
      <w:lvlJc w:val="left"/>
      <w:pPr>
        <w:ind w:left="8552" w:hanging="241"/>
      </w:pPr>
      <w:rPr>
        <w:rFonts w:hint="default"/>
        <w:lang w:val="en-US" w:eastAsia="zh-CN" w:bidi="ar-SA"/>
      </w:rPr>
    </w:lvl>
  </w:abstractNum>
  <w:abstractNum w:abstractNumId="44">
    <w:nsid w:val="5A241D34"/>
    <w:multiLevelType w:val="multilevel"/>
    <w:tmpl w:val="5A241D34"/>
    <w:lvl w:ilvl="0" w:tentative="0">
      <w:start w:val="1"/>
      <w:numFmt w:val="decimal"/>
      <w:lvlText w:val="%1."/>
      <w:lvlJc w:val="left"/>
      <w:pPr>
        <w:ind w:left="1143" w:hanging="244"/>
        <w:jc w:val="right"/>
      </w:pPr>
      <w:rPr>
        <w:rFonts w:hint="default"/>
        <w:b/>
        <w:bCs/>
        <w:spacing w:val="-3"/>
        <w:w w:val="99"/>
        <w:lang w:val="en-US" w:eastAsia="zh-CN" w:bidi="ar-SA"/>
      </w:rPr>
    </w:lvl>
    <w:lvl w:ilvl="1" w:tentative="0">
      <w:start w:val="1"/>
      <w:numFmt w:val="decimal"/>
      <w:lvlText w:val="%1.%2"/>
      <w:lvlJc w:val="left"/>
      <w:pPr>
        <w:ind w:left="1320" w:hanging="420"/>
        <w:jc w:val="left"/>
      </w:pPr>
      <w:rPr>
        <w:rFonts w:hint="default" w:ascii="仿宋" w:hAnsi="仿宋" w:eastAsia="仿宋" w:cs="仿宋"/>
        <w:w w:val="100"/>
        <w:sz w:val="24"/>
        <w:szCs w:val="24"/>
        <w:lang w:val="en-US" w:eastAsia="zh-CN" w:bidi="ar-SA"/>
      </w:rPr>
    </w:lvl>
    <w:lvl w:ilvl="2" w:tentative="0">
      <w:start w:val="0"/>
      <w:numFmt w:val="bullet"/>
      <w:lvlText w:val="•"/>
      <w:lvlJc w:val="left"/>
      <w:pPr>
        <w:ind w:left="2349" w:hanging="420"/>
      </w:pPr>
      <w:rPr>
        <w:rFonts w:hint="default"/>
        <w:lang w:val="en-US" w:eastAsia="zh-CN" w:bidi="ar-SA"/>
      </w:rPr>
    </w:lvl>
    <w:lvl w:ilvl="3" w:tentative="0">
      <w:start w:val="0"/>
      <w:numFmt w:val="bullet"/>
      <w:lvlText w:val="•"/>
      <w:lvlJc w:val="left"/>
      <w:pPr>
        <w:ind w:left="3379" w:hanging="420"/>
      </w:pPr>
      <w:rPr>
        <w:rFonts w:hint="default"/>
        <w:lang w:val="en-US" w:eastAsia="zh-CN" w:bidi="ar-SA"/>
      </w:rPr>
    </w:lvl>
    <w:lvl w:ilvl="4" w:tentative="0">
      <w:start w:val="0"/>
      <w:numFmt w:val="bullet"/>
      <w:lvlText w:val="•"/>
      <w:lvlJc w:val="left"/>
      <w:pPr>
        <w:ind w:left="4408" w:hanging="420"/>
      </w:pPr>
      <w:rPr>
        <w:rFonts w:hint="default"/>
        <w:lang w:val="en-US" w:eastAsia="zh-CN" w:bidi="ar-SA"/>
      </w:rPr>
    </w:lvl>
    <w:lvl w:ilvl="5" w:tentative="0">
      <w:start w:val="0"/>
      <w:numFmt w:val="bullet"/>
      <w:lvlText w:val="•"/>
      <w:lvlJc w:val="left"/>
      <w:pPr>
        <w:ind w:left="5438" w:hanging="420"/>
      </w:pPr>
      <w:rPr>
        <w:rFonts w:hint="default"/>
        <w:lang w:val="en-US" w:eastAsia="zh-CN" w:bidi="ar-SA"/>
      </w:rPr>
    </w:lvl>
    <w:lvl w:ilvl="6" w:tentative="0">
      <w:start w:val="0"/>
      <w:numFmt w:val="bullet"/>
      <w:lvlText w:val="•"/>
      <w:lvlJc w:val="left"/>
      <w:pPr>
        <w:ind w:left="6467" w:hanging="420"/>
      </w:pPr>
      <w:rPr>
        <w:rFonts w:hint="default"/>
        <w:lang w:val="en-US" w:eastAsia="zh-CN" w:bidi="ar-SA"/>
      </w:rPr>
    </w:lvl>
    <w:lvl w:ilvl="7" w:tentative="0">
      <w:start w:val="0"/>
      <w:numFmt w:val="bullet"/>
      <w:lvlText w:val="•"/>
      <w:lvlJc w:val="left"/>
      <w:pPr>
        <w:ind w:left="7497" w:hanging="420"/>
      </w:pPr>
      <w:rPr>
        <w:rFonts w:hint="default"/>
        <w:lang w:val="en-US" w:eastAsia="zh-CN" w:bidi="ar-SA"/>
      </w:rPr>
    </w:lvl>
    <w:lvl w:ilvl="8" w:tentative="0">
      <w:start w:val="0"/>
      <w:numFmt w:val="bullet"/>
      <w:lvlText w:val="•"/>
      <w:lvlJc w:val="left"/>
      <w:pPr>
        <w:ind w:left="8526" w:hanging="420"/>
      </w:pPr>
      <w:rPr>
        <w:rFonts w:hint="default"/>
        <w:lang w:val="en-US" w:eastAsia="zh-CN" w:bidi="ar-SA"/>
      </w:rPr>
    </w:lvl>
  </w:abstractNum>
  <w:abstractNum w:abstractNumId="45">
    <w:nsid w:val="60382F6E"/>
    <w:multiLevelType w:val="multilevel"/>
    <w:tmpl w:val="60382F6E"/>
    <w:lvl w:ilvl="0" w:tentative="0">
      <w:start w:val="1"/>
      <w:numFmt w:val="decimal"/>
      <w:lvlText w:val="（%1）"/>
      <w:lvlJc w:val="left"/>
      <w:pPr>
        <w:ind w:left="1501" w:hanging="601"/>
        <w:jc w:val="left"/>
      </w:pPr>
      <w:rPr>
        <w:rFonts w:hint="default" w:ascii="仿宋" w:hAnsi="仿宋" w:eastAsia="仿宋" w:cs="仿宋"/>
        <w:w w:val="100"/>
        <w:sz w:val="22"/>
        <w:szCs w:val="22"/>
        <w:lang w:val="en-US" w:eastAsia="zh-CN" w:bidi="ar-SA"/>
      </w:rPr>
    </w:lvl>
    <w:lvl w:ilvl="1" w:tentative="0">
      <w:start w:val="0"/>
      <w:numFmt w:val="bullet"/>
      <w:lvlText w:val="•"/>
      <w:lvlJc w:val="left"/>
      <w:pPr>
        <w:ind w:left="2408" w:hanging="601"/>
      </w:pPr>
      <w:rPr>
        <w:rFonts w:hint="default"/>
        <w:lang w:val="en-US" w:eastAsia="zh-CN" w:bidi="ar-SA"/>
      </w:rPr>
    </w:lvl>
    <w:lvl w:ilvl="2" w:tentative="0">
      <w:start w:val="0"/>
      <w:numFmt w:val="bullet"/>
      <w:lvlText w:val="•"/>
      <w:lvlJc w:val="left"/>
      <w:pPr>
        <w:ind w:left="3317" w:hanging="601"/>
      </w:pPr>
      <w:rPr>
        <w:rFonts w:hint="default"/>
        <w:lang w:val="en-US" w:eastAsia="zh-CN" w:bidi="ar-SA"/>
      </w:rPr>
    </w:lvl>
    <w:lvl w:ilvl="3" w:tentative="0">
      <w:start w:val="0"/>
      <w:numFmt w:val="bullet"/>
      <w:lvlText w:val="•"/>
      <w:lvlJc w:val="left"/>
      <w:pPr>
        <w:ind w:left="4225" w:hanging="601"/>
      </w:pPr>
      <w:rPr>
        <w:rFonts w:hint="default"/>
        <w:lang w:val="en-US" w:eastAsia="zh-CN" w:bidi="ar-SA"/>
      </w:rPr>
    </w:lvl>
    <w:lvl w:ilvl="4" w:tentative="0">
      <w:start w:val="0"/>
      <w:numFmt w:val="bullet"/>
      <w:lvlText w:val="•"/>
      <w:lvlJc w:val="left"/>
      <w:pPr>
        <w:ind w:left="5134" w:hanging="601"/>
      </w:pPr>
      <w:rPr>
        <w:rFonts w:hint="default"/>
        <w:lang w:val="en-US" w:eastAsia="zh-CN" w:bidi="ar-SA"/>
      </w:rPr>
    </w:lvl>
    <w:lvl w:ilvl="5" w:tentative="0">
      <w:start w:val="0"/>
      <w:numFmt w:val="bullet"/>
      <w:lvlText w:val="•"/>
      <w:lvlJc w:val="left"/>
      <w:pPr>
        <w:ind w:left="6043" w:hanging="601"/>
      </w:pPr>
      <w:rPr>
        <w:rFonts w:hint="default"/>
        <w:lang w:val="en-US" w:eastAsia="zh-CN" w:bidi="ar-SA"/>
      </w:rPr>
    </w:lvl>
    <w:lvl w:ilvl="6" w:tentative="0">
      <w:start w:val="0"/>
      <w:numFmt w:val="bullet"/>
      <w:lvlText w:val="•"/>
      <w:lvlJc w:val="left"/>
      <w:pPr>
        <w:ind w:left="6951" w:hanging="601"/>
      </w:pPr>
      <w:rPr>
        <w:rFonts w:hint="default"/>
        <w:lang w:val="en-US" w:eastAsia="zh-CN" w:bidi="ar-SA"/>
      </w:rPr>
    </w:lvl>
    <w:lvl w:ilvl="7" w:tentative="0">
      <w:start w:val="0"/>
      <w:numFmt w:val="bullet"/>
      <w:lvlText w:val="•"/>
      <w:lvlJc w:val="left"/>
      <w:pPr>
        <w:ind w:left="7860" w:hanging="601"/>
      </w:pPr>
      <w:rPr>
        <w:rFonts w:hint="default"/>
        <w:lang w:val="en-US" w:eastAsia="zh-CN" w:bidi="ar-SA"/>
      </w:rPr>
    </w:lvl>
    <w:lvl w:ilvl="8" w:tentative="0">
      <w:start w:val="0"/>
      <w:numFmt w:val="bullet"/>
      <w:lvlText w:val="•"/>
      <w:lvlJc w:val="left"/>
      <w:pPr>
        <w:ind w:left="8768" w:hanging="601"/>
      </w:pPr>
      <w:rPr>
        <w:rFonts w:hint="default"/>
        <w:lang w:val="en-US" w:eastAsia="zh-CN" w:bidi="ar-SA"/>
      </w:rPr>
    </w:lvl>
  </w:abstractNum>
  <w:abstractNum w:abstractNumId="46">
    <w:nsid w:val="629F7852"/>
    <w:multiLevelType w:val="multilevel"/>
    <w:tmpl w:val="629F7852"/>
    <w:lvl w:ilvl="0" w:tentative="0">
      <w:start w:val="1"/>
      <w:numFmt w:val="decimal"/>
      <w:lvlText w:val="（%1）"/>
      <w:lvlJc w:val="left"/>
      <w:pPr>
        <w:ind w:left="1261" w:hanging="601"/>
        <w:jc w:val="left"/>
      </w:pPr>
      <w:rPr>
        <w:rFonts w:hint="default" w:ascii="仿宋" w:hAnsi="仿宋" w:eastAsia="仿宋" w:cs="仿宋"/>
        <w:w w:val="100"/>
        <w:sz w:val="22"/>
        <w:szCs w:val="22"/>
        <w:lang w:val="en-US" w:eastAsia="zh-CN" w:bidi="ar-SA"/>
      </w:rPr>
    </w:lvl>
    <w:lvl w:ilvl="1" w:tentative="0">
      <w:start w:val="0"/>
      <w:numFmt w:val="bullet"/>
      <w:lvlText w:val="•"/>
      <w:lvlJc w:val="left"/>
      <w:pPr>
        <w:ind w:left="2192" w:hanging="601"/>
      </w:pPr>
      <w:rPr>
        <w:rFonts w:hint="default"/>
        <w:lang w:val="en-US" w:eastAsia="zh-CN" w:bidi="ar-SA"/>
      </w:rPr>
    </w:lvl>
    <w:lvl w:ilvl="2" w:tentative="0">
      <w:start w:val="0"/>
      <w:numFmt w:val="bullet"/>
      <w:lvlText w:val="•"/>
      <w:lvlJc w:val="left"/>
      <w:pPr>
        <w:ind w:left="3125" w:hanging="601"/>
      </w:pPr>
      <w:rPr>
        <w:rFonts w:hint="default"/>
        <w:lang w:val="en-US" w:eastAsia="zh-CN" w:bidi="ar-SA"/>
      </w:rPr>
    </w:lvl>
    <w:lvl w:ilvl="3" w:tentative="0">
      <w:start w:val="0"/>
      <w:numFmt w:val="bullet"/>
      <w:lvlText w:val="•"/>
      <w:lvlJc w:val="left"/>
      <w:pPr>
        <w:ind w:left="4057" w:hanging="601"/>
      </w:pPr>
      <w:rPr>
        <w:rFonts w:hint="default"/>
        <w:lang w:val="en-US" w:eastAsia="zh-CN" w:bidi="ar-SA"/>
      </w:rPr>
    </w:lvl>
    <w:lvl w:ilvl="4" w:tentative="0">
      <w:start w:val="0"/>
      <w:numFmt w:val="bullet"/>
      <w:lvlText w:val="•"/>
      <w:lvlJc w:val="left"/>
      <w:pPr>
        <w:ind w:left="4990" w:hanging="601"/>
      </w:pPr>
      <w:rPr>
        <w:rFonts w:hint="default"/>
        <w:lang w:val="en-US" w:eastAsia="zh-CN" w:bidi="ar-SA"/>
      </w:rPr>
    </w:lvl>
    <w:lvl w:ilvl="5" w:tentative="0">
      <w:start w:val="0"/>
      <w:numFmt w:val="bullet"/>
      <w:lvlText w:val="•"/>
      <w:lvlJc w:val="left"/>
      <w:pPr>
        <w:ind w:left="5923" w:hanging="601"/>
      </w:pPr>
      <w:rPr>
        <w:rFonts w:hint="default"/>
        <w:lang w:val="en-US" w:eastAsia="zh-CN" w:bidi="ar-SA"/>
      </w:rPr>
    </w:lvl>
    <w:lvl w:ilvl="6" w:tentative="0">
      <w:start w:val="0"/>
      <w:numFmt w:val="bullet"/>
      <w:lvlText w:val="•"/>
      <w:lvlJc w:val="left"/>
      <w:pPr>
        <w:ind w:left="6855" w:hanging="601"/>
      </w:pPr>
      <w:rPr>
        <w:rFonts w:hint="default"/>
        <w:lang w:val="en-US" w:eastAsia="zh-CN" w:bidi="ar-SA"/>
      </w:rPr>
    </w:lvl>
    <w:lvl w:ilvl="7" w:tentative="0">
      <w:start w:val="0"/>
      <w:numFmt w:val="bullet"/>
      <w:lvlText w:val="•"/>
      <w:lvlJc w:val="left"/>
      <w:pPr>
        <w:ind w:left="7788" w:hanging="601"/>
      </w:pPr>
      <w:rPr>
        <w:rFonts w:hint="default"/>
        <w:lang w:val="en-US" w:eastAsia="zh-CN" w:bidi="ar-SA"/>
      </w:rPr>
    </w:lvl>
    <w:lvl w:ilvl="8" w:tentative="0">
      <w:start w:val="0"/>
      <w:numFmt w:val="bullet"/>
      <w:lvlText w:val="•"/>
      <w:lvlJc w:val="left"/>
      <w:pPr>
        <w:ind w:left="8720" w:hanging="601"/>
      </w:pPr>
      <w:rPr>
        <w:rFonts w:hint="default"/>
        <w:lang w:val="en-US" w:eastAsia="zh-CN" w:bidi="ar-SA"/>
      </w:rPr>
    </w:lvl>
  </w:abstractNum>
  <w:abstractNum w:abstractNumId="47">
    <w:nsid w:val="65CD0074"/>
    <w:multiLevelType w:val="multilevel"/>
    <w:tmpl w:val="65CD0074"/>
    <w:lvl w:ilvl="0" w:tentative="0">
      <w:start w:val="5"/>
      <w:numFmt w:val="decimal"/>
      <w:lvlText w:val="%1"/>
      <w:lvlJc w:val="left"/>
      <w:pPr>
        <w:ind w:left="1029" w:hanging="490"/>
        <w:jc w:val="left"/>
      </w:pPr>
      <w:rPr>
        <w:rFonts w:hint="default"/>
        <w:lang w:val="en-US" w:eastAsia="zh-CN" w:bidi="ar-SA"/>
      </w:rPr>
    </w:lvl>
    <w:lvl w:ilvl="1" w:tentative="0">
      <w:start w:val="1"/>
      <w:numFmt w:val="decimal"/>
      <w:lvlText w:val="%1.%2"/>
      <w:lvlJc w:val="left"/>
      <w:pPr>
        <w:ind w:left="1029" w:hanging="490"/>
        <w:jc w:val="left"/>
      </w:pPr>
      <w:rPr>
        <w:rFonts w:hint="default" w:ascii="仿宋" w:hAnsi="仿宋" w:eastAsia="仿宋" w:cs="仿宋"/>
        <w:spacing w:val="-2"/>
        <w:w w:val="100"/>
        <w:sz w:val="28"/>
        <w:szCs w:val="28"/>
        <w:lang w:val="en-US" w:eastAsia="zh-CN" w:bidi="ar-SA"/>
      </w:rPr>
    </w:lvl>
    <w:lvl w:ilvl="2" w:tentative="0">
      <w:start w:val="0"/>
      <w:numFmt w:val="bullet"/>
      <w:lvlText w:val="•"/>
      <w:lvlJc w:val="left"/>
      <w:pPr>
        <w:ind w:left="2933" w:hanging="490"/>
      </w:pPr>
      <w:rPr>
        <w:rFonts w:hint="default"/>
        <w:lang w:val="en-US" w:eastAsia="zh-CN" w:bidi="ar-SA"/>
      </w:rPr>
    </w:lvl>
    <w:lvl w:ilvl="3" w:tentative="0">
      <w:start w:val="0"/>
      <w:numFmt w:val="bullet"/>
      <w:lvlText w:val="•"/>
      <w:lvlJc w:val="left"/>
      <w:pPr>
        <w:ind w:left="3889" w:hanging="490"/>
      </w:pPr>
      <w:rPr>
        <w:rFonts w:hint="default"/>
        <w:lang w:val="en-US" w:eastAsia="zh-CN" w:bidi="ar-SA"/>
      </w:rPr>
    </w:lvl>
    <w:lvl w:ilvl="4" w:tentative="0">
      <w:start w:val="0"/>
      <w:numFmt w:val="bullet"/>
      <w:lvlText w:val="•"/>
      <w:lvlJc w:val="left"/>
      <w:pPr>
        <w:ind w:left="4846" w:hanging="490"/>
      </w:pPr>
      <w:rPr>
        <w:rFonts w:hint="default"/>
        <w:lang w:val="en-US" w:eastAsia="zh-CN" w:bidi="ar-SA"/>
      </w:rPr>
    </w:lvl>
    <w:lvl w:ilvl="5" w:tentative="0">
      <w:start w:val="0"/>
      <w:numFmt w:val="bullet"/>
      <w:lvlText w:val="•"/>
      <w:lvlJc w:val="left"/>
      <w:pPr>
        <w:ind w:left="5803" w:hanging="490"/>
      </w:pPr>
      <w:rPr>
        <w:rFonts w:hint="default"/>
        <w:lang w:val="en-US" w:eastAsia="zh-CN" w:bidi="ar-SA"/>
      </w:rPr>
    </w:lvl>
    <w:lvl w:ilvl="6" w:tentative="0">
      <w:start w:val="0"/>
      <w:numFmt w:val="bullet"/>
      <w:lvlText w:val="•"/>
      <w:lvlJc w:val="left"/>
      <w:pPr>
        <w:ind w:left="6759" w:hanging="490"/>
      </w:pPr>
      <w:rPr>
        <w:rFonts w:hint="default"/>
        <w:lang w:val="en-US" w:eastAsia="zh-CN" w:bidi="ar-SA"/>
      </w:rPr>
    </w:lvl>
    <w:lvl w:ilvl="7" w:tentative="0">
      <w:start w:val="0"/>
      <w:numFmt w:val="bullet"/>
      <w:lvlText w:val="•"/>
      <w:lvlJc w:val="left"/>
      <w:pPr>
        <w:ind w:left="7716" w:hanging="490"/>
      </w:pPr>
      <w:rPr>
        <w:rFonts w:hint="default"/>
        <w:lang w:val="en-US" w:eastAsia="zh-CN" w:bidi="ar-SA"/>
      </w:rPr>
    </w:lvl>
    <w:lvl w:ilvl="8" w:tentative="0">
      <w:start w:val="0"/>
      <w:numFmt w:val="bullet"/>
      <w:lvlText w:val="•"/>
      <w:lvlJc w:val="left"/>
      <w:pPr>
        <w:ind w:left="8672" w:hanging="490"/>
      </w:pPr>
      <w:rPr>
        <w:rFonts w:hint="default"/>
        <w:lang w:val="en-US" w:eastAsia="zh-CN" w:bidi="ar-SA"/>
      </w:rPr>
    </w:lvl>
  </w:abstractNum>
  <w:abstractNum w:abstractNumId="48">
    <w:nsid w:val="72183CF9"/>
    <w:multiLevelType w:val="multilevel"/>
    <w:tmpl w:val="72183CF9"/>
    <w:lvl w:ilvl="0" w:tentative="0">
      <w:start w:val="1"/>
      <w:numFmt w:val="lowerLetter"/>
      <w:lvlText w:val="%1."/>
      <w:lvlJc w:val="left"/>
      <w:pPr>
        <w:ind w:left="106" w:hanging="241"/>
        <w:jc w:val="left"/>
      </w:pPr>
      <w:rPr>
        <w:rFonts w:hint="default" w:ascii="仿宋" w:hAnsi="仿宋" w:eastAsia="仿宋" w:cs="仿宋"/>
        <w:spacing w:val="-99"/>
        <w:w w:val="100"/>
        <w:sz w:val="22"/>
        <w:szCs w:val="22"/>
        <w:lang w:val="en-US" w:eastAsia="zh-CN" w:bidi="ar-SA"/>
      </w:rPr>
    </w:lvl>
    <w:lvl w:ilvl="1" w:tentative="0">
      <w:start w:val="0"/>
      <w:numFmt w:val="bullet"/>
      <w:lvlText w:val="•"/>
      <w:lvlJc w:val="left"/>
      <w:pPr>
        <w:ind w:left="820" w:hanging="241"/>
      </w:pPr>
      <w:rPr>
        <w:rFonts w:hint="default"/>
        <w:lang w:val="en-US" w:eastAsia="zh-CN" w:bidi="ar-SA"/>
      </w:rPr>
    </w:lvl>
    <w:lvl w:ilvl="2" w:tentative="0">
      <w:start w:val="0"/>
      <w:numFmt w:val="bullet"/>
      <w:lvlText w:val="•"/>
      <w:lvlJc w:val="left"/>
      <w:pPr>
        <w:ind w:left="1541" w:hanging="241"/>
      </w:pPr>
      <w:rPr>
        <w:rFonts w:hint="default"/>
        <w:lang w:val="en-US" w:eastAsia="zh-CN" w:bidi="ar-SA"/>
      </w:rPr>
    </w:lvl>
    <w:lvl w:ilvl="3" w:tentative="0">
      <w:start w:val="0"/>
      <w:numFmt w:val="bullet"/>
      <w:lvlText w:val="•"/>
      <w:lvlJc w:val="left"/>
      <w:pPr>
        <w:ind w:left="2261" w:hanging="241"/>
      </w:pPr>
      <w:rPr>
        <w:rFonts w:hint="default"/>
        <w:lang w:val="en-US" w:eastAsia="zh-CN" w:bidi="ar-SA"/>
      </w:rPr>
    </w:lvl>
    <w:lvl w:ilvl="4" w:tentative="0">
      <w:start w:val="0"/>
      <w:numFmt w:val="bullet"/>
      <w:lvlText w:val="•"/>
      <w:lvlJc w:val="left"/>
      <w:pPr>
        <w:ind w:left="2982" w:hanging="241"/>
      </w:pPr>
      <w:rPr>
        <w:rFonts w:hint="default"/>
        <w:lang w:val="en-US" w:eastAsia="zh-CN" w:bidi="ar-SA"/>
      </w:rPr>
    </w:lvl>
    <w:lvl w:ilvl="5" w:tentative="0">
      <w:start w:val="0"/>
      <w:numFmt w:val="bullet"/>
      <w:lvlText w:val="•"/>
      <w:lvlJc w:val="left"/>
      <w:pPr>
        <w:ind w:left="3703" w:hanging="241"/>
      </w:pPr>
      <w:rPr>
        <w:rFonts w:hint="default"/>
        <w:lang w:val="en-US" w:eastAsia="zh-CN" w:bidi="ar-SA"/>
      </w:rPr>
    </w:lvl>
    <w:lvl w:ilvl="6" w:tentative="0">
      <w:start w:val="0"/>
      <w:numFmt w:val="bullet"/>
      <w:lvlText w:val="•"/>
      <w:lvlJc w:val="left"/>
      <w:pPr>
        <w:ind w:left="4423" w:hanging="241"/>
      </w:pPr>
      <w:rPr>
        <w:rFonts w:hint="default"/>
        <w:lang w:val="en-US" w:eastAsia="zh-CN" w:bidi="ar-SA"/>
      </w:rPr>
    </w:lvl>
    <w:lvl w:ilvl="7" w:tentative="0">
      <w:start w:val="0"/>
      <w:numFmt w:val="bullet"/>
      <w:lvlText w:val="•"/>
      <w:lvlJc w:val="left"/>
      <w:pPr>
        <w:ind w:left="5144" w:hanging="241"/>
      </w:pPr>
      <w:rPr>
        <w:rFonts w:hint="default"/>
        <w:lang w:val="en-US" w:eastAsia="zh-CN" w:bidi="ar-SA"/>
      </w:rPr>
    </w:lvl>
    <w:lvl w:ilvl="8" w:tentative="0">
      <w:start w:val="0"/>
      <w:numFmt w:val="bullet"/>
      <w:lvlText w:val="•"/>
      <w:lvlJc w:val="left"/>
      <w:pPr>
        <w:ind w:left="5864" w:hanging="241"/>
      </w:pPr>
      <w:rPr>
        <w:rFonts w:hint="default"/>
        <w:lang w:val="en-US" w:eastAsia="zh-CN" w:bidi="ar-SA"/>
      </w:rPr>
    </w:lvl>
  </w:abstractNum>
  <w:abstractNum w:abstractNumId="49">
    <w:nsid w:val="74C28B35"/>
    <w:multiLevelType w:val="multilevel"/>
    <w:tmpl w:val="74C28B35"/>
    <w:lvl w:ilvl="0" w:tentative="0">
      <w:start w:val="2"/>
      <w:numFmt w:val="decimal"/>
      <w:lvlText w:val="(%1)"/>
      <w:lvlJc w:val="left"/>
      <w:pPr>
        <w:ind w:left="1261" w:hanging="361"/>
        <w:jc w:val="left"/>
      </w:pPr>
      <w:rPr>
        <w:rFonts w:hint="default" w:ascii="仿宋" w:hAnsi="仿宋" w:eastAsia="仿宋" w:cs="仿宋"/>
        <w:w w:val="100"/>
        <w:sz w:val="22"/>
        <w:szCs w:val="22"/>
        <w:lang w:val="en-US" w:eastAsia="zh-CN" w:bidi="ar-SA"/>
      </w:rPr>
    </w:lvl>
    <w:lvl w:ilvl="1" w:tentative="0">
      <w:start w:val="0"/>
      <w:numFmt w:val="bullet"/>
      <w:lvlText w:val="•"/>
      <w:lvlJc w:val="left"/>
      <w:pPr>
        <w:ind w:left="1260" w:hanging="361"/>
      </w:pPr>
      <w:rPr>
        <w:rFonts w:hint="default"/>
        <w:lang w:val="en-US" w:eastAsia="zh-CN" w:bidi="ar-SA"/>
      </w:rPr>
    </w:lvl>
    <w:lvl w:ilvl="2" w:tentative="0">
      <w:start w:val="0"/>
      <w:numFmt w:val="bullet"/>
      <w:lvlText w:val="•"/>
      <w:lvlJc w:val="left"/>
      <w:pPr>
        <w:ind w:left="2296" w:hanging="361"/>
      </w:pPr>
      <w:rPr>
        <w:rFonts w:hint="default"/>
        <w:lang w:val="en-US" w:eastAsia="zh-CN" w:bidi="ar-SA"/>
      </w:rPr>
    </w:lvl>
    <w:lvl w:ilvl="3" w:tentative="0">
      <w:start w:val="0"/>
      <w:numFmt w:val="bullet"/>
      <w:lvlText w:val="•"/>
      <w:lvlJc w:val="left"/>
      <w:pPr>
        <w:ind w:left="3332" w:hanging="361"/>
      </w:pPr>
      <w:rPr>
        <w:rFonts w:hint="default"/>
        <w:lang w:val="en-US" w:eastAsia="zh-CN" w:bidi="ar-SA"/>
      </w:rPr>
    </w:lvl>
    <w:lvl w:ilvl="4" w:tentative="0">
      <w:start w:val="0"/>
      <w:numFmt w:val="bullet"/>
      <w:lvlText w:val="•"/>
      <w:lvlJc w:val="left"/>
      <w:pPr>
        <w:ind w:left="4368" w:hanging="361"/>
      </w:pPr>
      <w:rPr>
        <w:rFonts w:hint="default"/>
        <w:lang w:val="en-US" w:eastAsia="zh-CN" w:bidi="ar-SA"/>
      </w:rPr>
    </w:lvl>
    <w:lvl w:ilvl="5" w:tentative="0">
      <w:start w:val="0"/>
      <w:numFmt w:val="bullet"/>
      <w:lvlText w:val="•"/>
      <w:lvlJc w:val="left"/>
      <w:pPr>
        <w:ind w:left="5404" w:hanging="361"/>
      </w:pPr>
      <w:rPr>
        <w:rFonts w:hint="default"/>
        <w:lang w:val="en-US" w:eastAsia="zh-CN" w:bidi="ar-SA"/>
      </w:rPr>
    </w:lvl>
    <w:lvl w:ilvl="6" w:tentative="0">
      <w:start w:val="0"/>
      <w:numFmt w:val="bullet"/>
      <w:lvlText w:val="•"/>
      <w:lvlJc w:val="left"/>
      <w:pPr>
        <w:ind w:left="6441" w:hanging="361"/>
      </w:pPr>
      <w:rPr>
        <w:rFonts w:hint="default"/>
        <w:lang w:val="en-US" w:eastAsia="zh-CN" w:bidi="ar-SA"/>
      </w:rPr>
    </w:lvl>
    <w:lvl w:ilvl="7" w:tentative="0">
      <w:start w:val="0"/>
      <w:numFmt w:val="bullet"/>
      <w:lvlText w:val="•"/>
      <w:lvlJc w:val="left"/>
      <w:pPr>
        <w:ind w:left="7477" w:hanging="361"/>
      </w:pPr>
      <w:rPr>
        <w:rFonts w:hint="default"/>
        <w:lang w:val="en-US" w:eastAsia="zh-CN" w:bidi="ar-SA"/>
      </w:rPr>
    </w:lvl>
    <w:lvl w:ilvl="8" w:tentative="0">
      <w:start w:val="0"/>
      <w:numFmt w:val="bullet"/>
      <w:lvlText w:val="•"/>
      <w:lvlJc w:val="left"/>
      <w:pPr>
        <w:ind w:left="8513" w:hanging="361"/>
      </w:pPr>
      <w:rPr>
        <w:rFonts w:hint="default"/>
        <w:lang w:val="en-US" w:eastAsia="zh-CN" w:bidi="ar-SA"/>
      </w:rPr>
    </w:lvl>
  </w:abstractNum>
  <w:abstractNum w:abstractNumId="50">
    <w:nsid w:val="77ECEA79"/>
    <w:multiLevelType w:val="multilevel"/>
    <w:tmpl w:val="77ECEA79"/>
    <w:lvl w:ilvl="0" w:tentative="0">
      <w:start w:val="1"/>
      <w:numFmt w:val="decimal"/>
      <w:lvlText w:val="（%1）"/>
      <w:lvlJc w:val="left"/>
      <w:pPr>
        <w:ind w:left="1501" w:hanging="601"/>
        <w:jc w:val="left"/>
      </w:pPr>
      <w:rPr>
        <w:rFonts w:hint="default" w:ascii="仿宋" w:hAnsi="仿宋" w:eastAsia="仿宋" w:cs="仿宋"/>
        <w:w w:val="100"/>
        <w:sz w:val="22"/>
        <w:szCs w:val="22"/>
        <w:lang w:val="en-US" w:eastAsia="zh-CN" w:bidi="ar-SA"/>
      </w:rPr>
    </w:lvl>
    <w:lvl w:ilvl="1" w:tentative="0">
      <w:start w:val="0"/>
      <w:numFmt w:val="bullet"/>
      <w:lvlText w:val="•"/>
      <w:lvlJc w:val="left"/>
      <w:pPr>
        <w:ind w:left="2408" w:hanging="601"/>
      </w:pPr>
      <w:rPr>
        <w:rFonts w:hint="default"/>
        <w:lang w:val="en-US" w:eastAsia="zh-CN" w:bidi="ar-SA"/>
      </w:rPr>
    </w:lvl>
    <w:lvl w:ilvl="2" w:tentative="0">
      <w:start w:val="0"/>
      <w:numFmt w:val="bullet"/>
      <w:lvlText w:val="•"/>
      <w:lvlJc w:val="left"/>
      <w:pPr>
        <w:ind w:left="3317" w:hanging="601"/>
      </w:pPr>
      <w:rPr>
        <w:rFonts w:hint="default"/>
        <w:lang w:val="en-US" w:eastAsia="zh-CN" w:bidi="ar-SA"/>
      </w:rPr>
    </w:lvl>
    <w:lvl w:ilvl="3" w:tentative="0">
      <w:start w:val="0"/>
      <w:numFmt w:val="bullet"/>
      <w:lvlText w:val="•"/>
      <w:lvlJc w:val="left"/>
      <w:pPr>
        <w:ind w:left="4225" w:hanging="601"/>
      </w:pPr>
      <w:rPr>
        <w:rFonts w:hint="default"/>
        <w:lang w:val="en-US" w:eastAsia="zh-CN" w:bidi="ar-SA"/>
      </w:rPr>
    </w:lvl>
    <w:lvl w:ilvl="4" w:tentative="0">
      <w:start w:val="0"/>
      <w:numFmt w:val="bullet"/>
      <w:lvlText w:val="•"/>
      <w:lvlJc w:val="left"/>
      <w:pPr>
        <w:ind w:left="5134" w:hanging="601"/>
      </w:pPr>
      <w:rPr>
        <w:rFonts w:hint="default"/>
        <w:lang w:val="en-US" w:eastAsia="zh-CN" w:bidi="ar-SA"/>
      </w:rPr>
    </w:lvl>
    <w:lvl w:ilvl="5" w:tentative="0">
      <w:start w:val="0"/>
      <w:numFmt w:val="bullet"/>
      <w:lvlText w:val="•"/>
      <w:lvlJc w:val="left"/>
      <w:pPr>
        <w:ind w:left="6043" w:hanging="601"/>
      </w:pPr>
      <w:rPr>
        <w:rFonts w:hint="default"/>
        <w:lang w:val="en-US" w:eastAsia="zh-CN" w:bidi="ar-SA"/>
      </w:rPr>
    </w:lvl>
    <w:lvl w:ilvl="6" w:tentative="0">
      <w:start w:val="0"/>
      <w:numFmt w:val="bullet"/>
      <w:lvlText w:val="•"/>
      <w:lvlJc w:val="left"/>
      <w:pPr>
        <w:ind w:left="6951" w:hanging="601"/>
      </w:pPr>
      <w:rPr>
        <w:rFonts w:hint="default"/>
        <w:lang w:val="en-US" w:eastAsia="zh-CN" w:bidi="ar-SA"/>
      </w:rPr>
    </w:lvl>
    <w:lvl w:ilvl="7" w:tentative="0">
      <w:start w:val="0"/>
      <w:numFmt w:val="bullet"/>
      <w:lvlText w:val="•"/>
      <w:lvlJc w:val="left"/>
      <w:pPr>
        <w:ind w:left="7860" w:hanging="601"/>
      </w:pPr>
      <w:rPr>
        <w:rFonts w:hint="default"/>
        <w:lang w:val="en-US" w:eastAsia="zh-CN" w:bidi="ar-SA"/>
      </w:rPr>
    </w:lvl>
    <w:lvl w:ilvl="8" w:tentative="0">
      <w:start w:val="0"/>
      <w:numFmt w:val="bullet"/>
      <w:lvlText w:val="•"/>
      <w:lvlJc w:val="left"/>
      <w:pPr>
        <w:ind w:left="8768" w:hanging="601"/>
      </w:pPr>
      <w:rPr>
        <w:rFonts w:hint="default"/>
        <w:lang w:val="en-US" w:eastAsia="zh-CN" w:bidi="ar-SA"/>
      </w:rPr>
    </w:lvl>
  </w:abstractNum>
  <w:abstractNum w:abstractNumId="51">
    <w:nsid w:val="79AA4FA4"/>
    <w:multiLevelType w:val="multilevel"/>
    <w:tmpl w:val="79AA4FA4"/>
    <w:lvl w:ilvl="0" w:tentative="0">
      <w:start w:val="6"/>
      <w:numFmt w:val="decimal"/>
      <w:lvlText w:val="%1."/>
      <w:lvlJc w:val="left"/>
      <w:pPr>
        <w:ind w:left="1013" w:hanging="241"/>
        <w:jc w:val="right"/>
      </w:pPr>
      <w:rPr>
        <w:rFonts w:hint="default"/>
        <w:b/>
        <w:bCs/>
        <w:w w:val="99"/>
        <w:lang w:val="en-US" w:eastAsia="zh-CN" w:bidi="ar-SA"/>
      </w:rPr>
    </w:lvl>
    <w:lvl w:ilvl="1" w:tentative="0">
      <w:start w:val="1"/>
      <w:numFmt w:val="decimal"/>
      <w:lvlText w:val="%1.%2"/>
      <w:lvlJc w:val="left"/>
      <w:pPr>
        <w:ind w:left="420" w:hanging="480"/>
        <w:jc w:val="left"/>
      </w:pPr>
      <w:rPr>
        <w:rFonts w:hint="default"/>
        <w:spacing w:val="-19"/>
        <w:w w:val="100"/>
        <w:lang w:val="en-US" w:eastAsia="zh-CN" w:bidi="ar-SA"/>
      </w:rPr>
    </w:lvl>
    <w:lvl w:ilvl="2" w:tentative="0">
      <w:start w:val="0"/>
      <w:numFmt w:val="bullet"/>
      <w:lvlText w:val="•"/>
      <w:lvlJc w:val="left"/>
      <w:pPr>
        <w:ind w:left="1200" w:hanging="480"/>
      </w:pPr>
      <w:rPr>
        <w:rFonts w:hint="default"/>
        <w:lang w:val="en-US" w:eastAsia="zh-CN" w:bidi="ar-SA"/>
      </w:rPr>
    </w:lvl>
    <w:lvl w:ilvl="3" w:tentative="0">
      <w:start w:val="0"/>
      <w:numFmt w:val="bullet"/>
      <w:lvlText w:val="•"/>
      <w:lvlJc w:val="left"/>
      <w:pPr>
        <w:ind w:left="1320" w:hanging="480"/>
      </w:pPr>
      <w:rPr>
        <w:rFonts w:hint="default"/>
        <w:lang w:val="en-US" w:eastAsia="zh-CN" w:bidi="ar-SA"/>
      </w:rPr>
    </w:lvl>
    <w:lvl w:ilvl="4" w:tentative="0">
      <w:start w:val="0"/>
      <w:numFmt w:val="bullet"/>
      <w:lvlText w:val="•"/>
      <w:lvlJc w:val="left"/>
      <w:pPr>
        <w:ind w:left="2643" w:hanging="480"/>
      </w:pPr>
      <w:rPr>
        <w:rFonts w:hint="default"/>
        <w:lang w:val="en-US" w:eastAsia="zh-CN" w:bidi="ar-SA"/>
      </w:rPr>
    </w:lvl>
    <w:lvl w:ilvl="5" w:tentative="0">
      <w:start w:val="0"/>
      <w:numFmt w:val="bullet"/>
      <w:lvlText w:val="•"/>
      <w:lvlJc w:val="left"/>
      <w:pPr>
        <w:ind w:left="3967" w:hanging="480"/>
      </w:pPr>
      <w:rPr>
        <w:rFonts w:hint="default"/>
        <w:lang w:val="en-US" w:eastAsia="zh-CN" w:bidi="ar-SA"/>
      </w:rPr>
    </w:lvl>
    <w:lvl w:ilvl="6" w:tentative="0">
      <w:start w:val="0"/>
      <w:numFmt w:val="bullet"/>
      <w:lvlText w:val="•"/>
      <w:lvlJc w:val="left"/>
      <w:pPr>
        <w:ind w:left="5291" w:hanging="480"/>
      </w:pPr>
      <w:rPr>
        <w:rFonts w:hint="default"/>
        <w:lang w:val="en-US" w:eastAsia="zh-CN" w:bidi="ar-SA"/>
      </w:rPr>
    </w:lvl>
    <w:lvl w:ilvl="7" w:tentative="0">
      <w:start w:val="0"/>
      <w:numFmt w:val="bullet"/>
      <w:lvlText w:val="•"/>
      <w:lvlJc w:val="left"/>
      <w:pPr>
        <w:ind w:left="6614" w:hanging="480"/>
      </w:pPr>
      <w:rPr>
        <w:rFonts w:hint="default"/>
        <w:lang w:val="en-US" w:eastAsia="zh-CN" w:bidi="ar-SA"/>
      </w:rPr>
    </w:lvl>
    <w:lvl w:ilvl="8" w:tentative="0">
      <w:start w:val="0"/>
      <w:numFmt w:val="bullet"/>
      <w:lvlText w:val="•"/>
      <w:lvlJc w:val="left"/>
      <w:pPr>
        <w:ind w:left="7938" w:hanging="480"/>
      </w:pPr>
      <w:rPr>
        <w:rFonts w:hint="default"/>
        <w:lang w:val="en-US" w:eastAsia="zh-CN" w:bidi="ar-SA"/>
      </w:rPr>
    </w:lvl>
  </w:abstractNum>
  <w:abstractNum w:abstractNumId="52">
    <w:nsid w:val="7C246926"/>
    <w:multiLevelType w:val="multilevel"/>
    <w:tmpl w:val="7C246926"/>
    <w:lvl w:ilvl="0" w:tentative="0">
      <w:start w:val="26"/>
      <w:numFmt w:val="decimal"/>
      <w:lvlText w:val="%1."/>
      <w:lvlJc w:val="left"/>
      <w:pPr>
        <w:ind w:left="1381" w:hanging="481"/>
        <w:jc w:val="right"/>
      </w:pPr>
      <w:rPr>
        <w:rFonts w:hint="default" w:ascii="仿宋" w:hAnsi="仿宋" w:eastAsia="仿宋" w:cs="仿宋"/>
        <w:b/>
        <w:bCs/>
        <w:spacing w:val="-3"/>
        <w:w w:val="99"/>
        <w:sz w:val="22"/>
        <w:szCs w:val="22"/>
        <w:lang w:val="en-US" w:eastAsia="zh-CN" w:bidi="ar-SA"/>
      </w:rPr>
    </w:lvl>
    <w:lvl w:ilvl="1" w:tentative="0">
      <w:start w:val="1"/>
      <w:numFmt w:val="decimal"/>
      <w:lvlText w:val="%1.%2"/>
      <w:lvlJc w:val="left"/>
      <w:pPr>
        <w:ind w:left="420" w:hanging="540"/>
        <w:jc w:val="left"/>
      </w:pPr>
      <w:rPr>
        <w:rFonts w:hint="default" w:ascii="仿宋" w:hAnsi="仿宋" w:eastAsia="仿宋" w:cs="仿宋"/>
        <w:w w:val="100"/>
        <w:sz w:val="24"/>
        <w:szCs w:val="24"/>
        <w:lang w:val="en-US" w:eastAsia="zh-CN" w:bidi="ar-SA"/>
      </w:rPr>
    </w:lvl>
    <w:lvl w:ilvl="2" w:tentative="0">
      <w:start w:val="0"/>
      <w:numFmt w:val="bullet"/>
      <w:lvlText w:val="•"/>
      <w:lvlJc w:val="left"/>
      <w:pPr>
        <w:ind w:left="1260" w:hanging="540"/>
      </w:pPr>
      <w:rPr>
        <w:rFonts w:hint="default"/>
        <w:lang w:val="en-US" w:eastAsia="zh-CN" w:bidi="ar-SA"/>
      </w:rPr>
    </w:lvl>
    <w:lvl w:ilvl="3" w:tentative="0">
      <w:start w:val="0"/>
      <w:numFmt w:val="bullet"/>
      <w:lvlText w:val="•"/>
      <w:lvlJc w:val="left"/>
      <w:pPr>
        <w:ind w:left="1380" w:hanging="540"/>
      </w:pPr>
      <w:rPr>
        <w:rFonts w:hint="default"/>
        <w:lang w:val="en-US" w:eastAsia="zh-CN" w:bidi="ar-SA"/>
      </w:rPr>
    </w:lvl>
    <w:lvl w:ilvl="4" w:tentative="0">
      <w:start w:val="0"/>
      <w:numFmt w:val="bullet"/>
      <w:lvlText w:val="•"/>
      <w:lvlJc w:val="left"/>
      <w:pPr>
        <w:ind w:left="2695" w:hanging="540"/>
      </w:pPr>
      <w:rPr>
        <w:rFonts w:hint="default"/>
        <w:lang w:val="en-US" w:eastAsia="zh-CN" w:bidi="ar-SA"/>
      </w:rPr>
    </w:lvl>
    <w:lvl w:ilvl="5" w:tentative="0">
      <w:start w:val="0"/>
      <w:numFmt w:val="bullet"/>
      <w:lvlText w:val="•"/>
      <w:lvlJc w:val="left"/>
      <w:pPr>
        <w:ind w:left="4010" w:hanging="540"/>
      </w:pPr>
      <w:rPr>
        <w:rFonts w:hint="default"/>
        <w:lang w:val="en-US" w:eastAsia="zh-CN" w:bidi="ar-SA"/>
      </w:rPr>
    </w:lvl>
    <w:lvl w:ilvl="6" w:tentative="0">
      <w:start w:val="0"/>
      <w:numFmt w:val="bullet"/>
      <w:lvlText w:val="•"/>
      <w:lvlJc w:val="left"/>
      <w:pPr>
        <w:ind w:left="5325" w:hanging="540"/>
      </w:pPr>
      <w:rPr>
        <w:rFonts w:hint="default"/>
        <w:lang w:val="en-US" w:eastAsia="zh-CN" w:bidi="ar-SA"/>
      </w:rPr>
    </w:lvl>
    <w:lvl w:ilvl="7" w:tentative="0">
      <w:start w:val="0"/>
      <w:numFmt w:val="bullet"/>
      <w:lvlText w:val="•"/>
      <w:lvlJc w:val="left"/>
      <w:pPr>
        <w:ind w:left="6640" w:hanging="540"/>
      </w:pPr>
      <w:rPr>
        <w:rFonts w:hint="default"/>
        <w:lang w:val="en-US" w:eastAsia="zh-CN" w:bidi="ar-SA"/>
      </w:rPr>
    </w:lvl>
    <w:lvl w:ilvl="8" w:tentative="0">
      <w:start w:val="0"/>
      <w:numFmt w:val="bullet"/>
      <w:lvlText w:val="•"/>
      <w:lvlJc w:val="left"/>
      <w:pPr>
        <w:ind w:left="7955" w:hanging="540"/>
      </w:pPr>
      <w:rPr>
        <w:rFonts w:hint="default"/>
        <w:lang w:val="en-US" w:eastAsia="zh-CN" w:bidi="ar-SA"/>
      </w:rPr>
    </w:lvl>
  </w:abstractNum>
  <w:abstractNum w:abstractNumId="53">
    <w:nsid w:val="7DEC2089"/>
    <w:multiLevelType w:val="multilevel"/>
    <w:tmpl w:val="7DEC2089"/>
    <w:lvl w:ilvl="0" w:tentative="0">
      <w:start w:val="1"/>
      <w:numFmt w:val="decimal"/>
      <w:lvlText w:val="（%1）"/>
      <w:lvlJc w:val="left"/>
      <w:pPr>
        <w:ind w:left="1261" w:hanging="601"/>
        <w:jc w:val="left"/>
      </w:pPr>
      <w:rPr>
        <w:rFonts w:hint="default" w:ascii="仿宋" w:hAnsi="仿宋" w:eastAsia="仿宋" w:cs="仿宋"/>
        <w:spacing w:val="-60"/>
        <w:w w:val="100"/>
        <w:sz w:val="22"/>
        <w:szCs w:val="22"/>
        <w:lang w:val="en-US" w:eastAsia="zh-CN" w:bidi="ar-SA"/>
      </w:rPr>
    </w:lvl>
    <w:lvl w:ilvl="1" w:tentative="0">
      <w:start w:val="0"/>
      <w:numFmt w:val="bullet"/>
      <w:lvlText w:val="•"/>
      <w:lvlJc w:val="left"/>
      <w:pPr>
        <w:ind w:left="2192" w:hanging="601"/>
      </w:pPr>
      <w:rPr>
        <w:rFonts w:hint="default"/>
        <w:lang w:val="en-US" w:eastAsia="zh-CN" w:bidi="ar-SA"/>
      </w:rPr>
    </w:lvl>
    <w:lvl w:ilvl="2" w:tentative="0">
      <w:start w:val="0"/>
      <w:numFmt w:val="bullet"/>
      <w:lvlText w:val="•"/>
      <w:lvlJc w:val="left"/>
      <w:pPr>
        <w:ind w:left="3125" w:hanging="601"/>
      </w:pPr>
      <w:rPr>
        <w:rFonts w:hint="default"/>
        <w:lang w:val="en-US" w:eastAsia="zh-CN" w:bidi="ar-SA"/>
      </w:rPr>
    </w:lvl>
    <w:lvl w:ilvl="3" w:tentative="0">
      <w:start w:val="0"/>
      <w:numFmt w:val="bullet"/>
      <w:lvlText w:val="•"/>
      <w:lvlJc w:val="left"/>
      <w:pPr>
        <w:ind w:left="4057" w:hanging="601"/>
      </w:pPr>
      <w:rPr>
        <w:rFonts w:hint="default"/>
        <w:lang w:val="en-US" w:eastAsia="zh-CN" w:bidi="ar-SA"/>
      </w:rPr>
    </w:lvl>
    <w:lvl w:ilvl="4" w:tentative="0">
      <w:start w:val="0"/>
      <w:numFmt w:val="bullet"/>
      <w:lvlText w:val="•"/>
      <w:lvlJc w:val="left"/>
      <w:pPr>
        <w:ind w:left="4990" w:hanging="601"/>
      </w:pPr>
      <w:rPr>
        <w:rFonts w:hint="default"/>
        <w:lang w:val="en-US" w:eastAsia="zh-CN" w:bidi="ar-SA"/>
      </w:rPr>
    </w:lvl>
    <w:lvl w:ilvl="5" w:tentative="0">
      <w:start w:val="0"/>
      <w:numFmt w:val="bullet"/>
      <w:lvlText w:val="•"/>
      <w:lvlJc w:val="left"/>
      <w:pPr>
        <w:ind w:left="5923" w:hanging="601"/>
      </w:pPr>
      <w:rPr>
        <w:rFonts w:hint="default"/>
        <w:lang w:val="en-US" w:eastAsia="zh-CN" w:bidi="ar-SA"/>
      </w:rPr>
    </w:lvl>
    <w:lvl w:ilvl="6" w:tentative="0">
      <w:start w:val="0"/>
      <w:numFmt w:val="bullet"/>
      <w:lvlText w:val="•"/>
      <w:lvlJc w:val="left"/>
      <w:pPr>
        <w:ind w:left="6855" w:hanging="601"/>
      </w:pPr>
      <w:rPr>
        <w:rFonts w:hint="default"/>
        <w:lang w:val="en-US" w:eastAsia="zh-CN" w:bidi="ar-SA"/>
      </w:rPr>
    </w:lvl>
    <w:lvl w:ilvl="7" w:tentative="0">
      <w:start w:val="0"/>
      <w:numFmt w:val="bullet"/>
      <w:lvlText w:val="•"/>
      <w:lvlJc w:val="left"/>
      <w:pPr>
        <w:ind w:left="7788" w:hanging="601"/>
      </w:pPr>
      <w:rPr>
        <w:rFonts w:hint="default"/>
        <w:lang w:val="en-US" w:eastAsia="zh-CN" w:bidi="ar-SA"/>
      </w:rPr>
    </w:lvl>
    <w:lvl w:ilvl="8" w:tentative="0">
      <w:start w:val="0"/>
      <w:numFmt w:val="bullet"/>
      <w:lvlText w:val="•"/>
      <w:lvlJc w:val="left"/>
      <w:pPr>
        <w:ind w:left="8720" w:hanging="601"/>
      </w:pPr>
      <w:rPr>
        <w:rFonts w:hint="default"/>
        <w:lang w:val="en-US" w:eastAsia="zh-CN" w:bidi="ar-SA"/>
      </w:rPr>
    </w:lvl>
  </w:abstractNum>
  <w:num w:numId="1">
    <w:abstractNumId w:val="21"/>
  </w:num>
  <w:num w:numId="2">
    <w:abstractNumId w:val="13"/>
  </w:num>
  <w:num w:numId="3">
    <w:abstractNumId w:val="43"/>
  </w:num>
  <w:num w:numId="4">
    <w:abstractNumId w:val="31"/>
  </w:num>
  <w:num w:numId="5">
    <w:abstractNumId w:val="48"/>
  </w:num>
  <w:num w:numId="6">
    <w:abstractNumId w:val="22"/>
  </w:num>
  <w:num w:numId="7">
    <w:abstractNumId w:val="5"/>
  </w:num>
  <w:num w:numId="8">
    <w:abstractNumId w:val="32"/>
  </w:num>
  <w:num w:numId="9">
    <w:abstractNumId w:val="44"/>
  </w:num>
  <w:num w:numId="10">
    <w:abstractNumId w:val="12"/>
  </w:num>
  <w:num w:numId="11">
    <w:abstractNumId w:val="40"/>
  </w:num>
  <w:num w:numId="12">
    <w:abstractNumId w:val="19"/>
  </w:num>
  <w:num w:numId="13">
    <w:abstractNumId w:val="30"/>
  </w:num>
  <w:num w:numId="14">
    <w:abstractNumId w:val="16"/>
  </w:num>
  <w:num w:numId="15">
    <w:abstractNumId w:val="15"/>
  </w:num>
  <w:num w:numId="16">
    <w:abstractNumId w:val="7"/>
  </w:num>
  <w:num w:numId="17">
    <w:abstractNumId w:val="38"/>
  </w:num>
  <w:num w:numId="18">
    <w:abstractNumId w:val="45"/>
  </w:num>
  <w:num w:numId="19">
    <w:abstractNumId w:val="25"/>
  </w:num>
  <w:num w:numId="20">
    <w:abstractNumId w:val="37"/>
  </w:num>
  <w:num w:numId="21">
    <w:abstractNumId w:val="8"/>
  </w:num>
  <w:num w:numId="22">
    <w:abstractNumId w:val="52"/>
  </w:num>
  <w:num w:numId="23">
    <w:abstractNumId w:val="50"/>
  </w:num>
  <w:num w:numId="24">
    <w:abstractNumId w:val="11"/>
  </w:num>
  <w:num w:numId="25">
    <w:abstractNumId w:val="46"/>
  </w:num>
  <w:num w:numId="26">
    <w:abstractNumId w:val="6"/>
  </w:num>
  <w:num w:numId="27">
    <w:abstractNumId w:val="36"/>
  </w:num>
  <w:num w:numId="28">
    <w:abstractNumId w:val="2"/>
  </w:num>
  <w:num w:numId="29">
    <w:abstractNumId w:val="42"/>
  </w:num>
  <w:num w:numId="30">
    <w:abstractNumId w:val="53"/>
  </w:num>
  <w:num w:numId="31">
    <w:abstractNumId w:val="0"/>
  </w:num>
  <w:num w:numId="32">
    <w:abstractNumId w:val="29"/>
  </w:num>
  <w:num w:numId="33">
    <w:abstractNumId w:val="41"/>
  </w:num>
  <w:num w:numId="34">
    <w:abstractNumId w:val="20"/>
  </w:num>
  <w:num w:numId="35">
    <w:abstractNumId w:val="17"/>
  </w:num>
  <w:num w:numId="36">
    <w:abstractNumId w:val="33"/>
  </w:num>
  <w:num w:numId="37">
    <w:abstractNumId w:val="51"/>
  </w:num>
  <w:num w:numId="38">
    <w:abstractNumId w:val="10"/>
  </w:num>
  <w:num w:numId="39">
    <w:abstractNumId w:val="4"/>
  </w:num>
  <w:num w:numId="40">
    <w:abstractNumId w:val="9"/>
  </w:num>
  <w:num w:numId="41">
    <w:abstractNumId w:val="1"/>
  </w:num>
  <w:num w:numId="42">
    <w:abstractNumId w:val="26"/>
  </w:num>
  <w:num w:numId="43">
    <w:abstractNumId w:val="3"/>
  </w:num>
  <w:num w:numId="44">
    <w:abstractNumId w:val="49"/>
  </w:num>
  <w:num w:numId="45">
    <w:abstractNumId w:val="39"/>
  </w:num>
  <w:num w:numId="46">
    <w:abstractNumId w:val="34"/>
  </w:num>
  <w:num w:numId="47">
    <w:abstractNumId w:val="47"/>
  </w:num>
  <w:num w:numId="48">
    <w:abstractNumId w:val="23"/>
  </w:num>
  <w:num w:numId="49">
    <w:abstractNumId w:val="24"/>
  </w:num>
  <w:num w:numId="50">
    <w:abstractNumId w:val="14"/>
  </w:num>
  <w:num w:numId="51">
    <w:abstractNumId w:val="35"/>
  </w:num>
  <w:num w:numId="52">
    <w:abstractNumId w:val="27"/>
  </w:num>
  <w:num w:numId="53">
    <w:abstractNumId w:val="18"/>
  </w:num>
  <w:num w:numId="5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4YzZmYTJhOTU0ZDkxYzIxODhkYTMxNmJkNTZmYmYifQ=="/>
    <w:docVar w:name="KSO_WPS_MARK_KEY" w:val="44d9742a-0b03-47c3-a68c-12c1e2cc9782"/>
  </w:docVars>
  <w:rsids>
    <w:rsidRoot w:val="00000000"/>
    <w:rsid w:val="00411CA3"/>
    <w:rsid w:val="04003C53"/>
    <w:rsid w:val="05FE00AB"/>
    <w:rsid w:val="085E1198"/>
    <w:rsid w:val="09BA4874"/>
    <w:rsid w:val="0B8936B9"/>
    <w:rsid w:val="0BF30C8F"/>
    <w:rsid w:val="0C1E10D1"/>
    <w:rsid w:val="0C5965C6"/>
    <w:rsid w:val="0DDD09B7"/>
    <w:rsid w:val="0E9C01D8"/>
    <w:rsid w:val="109E6C9D"/>
    <w:rsid w:val="12680DC7"/>
    <w:rsid w:val="155D6099"/>
    <w:rsid w:val="17BA5DB0"/>
    <w:rsid w:val="187C78C4"/>
    <w:rsid w:val="1A2042FA"/>
    <w:rsid w:val="2A267A8E"/>
    <w:rsid w:val="2B0E6B10"/>
    <w:rsid w:val="2BCC30CA"/>
    <w:rsid w:val="2D620063"/>
    <w:rsid w:val="2F1E0F22"/>
    <w:rsid w:val="3141263E"/>
    <w:rsid w:val="32130E41"/>
    <w:rsid w:val="379F0EE5"/>
    <w:rsid w:val="37B9235F"/>
    <w:rsid w:val="3E265FB4"/>
    <w:rsid w:val="40922106"/>
    <w:rsid w:val="413606A8"/>
    <w:rsid w:val="42DD3B14"/>
    <w:rsid w:val="500B2D00"/>
    <w:rsid w:val="54F94081"/>
    <w:rsid w:val="559F4616"/>
    <w:rsid w:val="57AD7BB7"/>
    <w:rsid w:val="5A912F10"/>
    <w:rsid w:val="5BA11161"/>
    <w:rsid w:val="64540CC2"/>
    <w:rsid w:val="65230D92"/>
    <w:rsid w:val="65416DF6"/>
    <w:rsid w:val="67DD4B2A"/>
    <w:rsid w:val="698C2CAC"/>
    <w:rsid w:val="6B810ED4"/>
    <w:rsid w:val="6D21370B"/>
    <w:rsid w:val="700D4F9E"/>
    <w:rsid w:val="71351779"/>
    <w:rsid w:val="75606DD9"/>
    <w:rsid w:val="76263B40"/>
    <w:rsid w:val="77AA094D"/>
    <w:rsid w:val="77CA50CB"/>
    <w:rsid w:val="786370FB"/>
    <w:rsid w:val="7BF47A33"/>
    <w:rsid w:val="7E046E5D"/>
    <w:rsid w:val="7E3B0FF3"/>
    <w:rsid w:val="7E4B683A"/>
    <w:rsid w:val="7F871A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zh-CN" w:bidi="ar-SA"/>
    </w:rPr>
  </w:style>
  <w:style w:type="paragraph" w:styleId="2">
    <w:name w:val="heading 1"/>
    <w:basedOn w:val="1"/>
    <w:next w:val="1"/>
    <w:qFormat/>
    <w:uiPriority w:val="1"/>
    <w:pPr>
      <w:spacing w:before="22"/>
      <w:ind w:right="144"/>
      <w:jc w:val="center"/>
      <w:outlineLvl w:val="1"/>
    </w:pPr>
    <w:rPr>
      <w:rFonts w:ascii="宋体" w:hAnsi="宋体" w:eastAsia="宋体" w:cs="宋体"/>
      <w:b/>
      <w:bCs/>
      <w:sz w:val="36"/>
      <w:szCs w:val="36"/>
      <w:lang w:val="en-US" w:eastAsia="zh-CN" w:bidi="ar-SA"/>
    </w:rPr>
  </w:style>
  <w:style w:type="paragraph" w:styleId="3">
    <w:name w:val="heading 2"/>
    <w:basedOn w:val="1"/>
    <w:next w:val="1"/>
    <w:qFormat/>
    <w:uiPriority w:val="1"/>
    <w:pPr>
      <w:ind w:left="1377"/>
      <w:jc w:val="center"/>
      <w:outlineLvl w:val="2"/>
    </w:pPr>
    <w:rPr>
      <w:rFonts w:ascii="仿宋" w:hAnsi="仿宋" w:eastAsia="仿宋" w:cs="仿宋"/>
      <w:b/>
      <w:bCs/>
      <w:sz w:val="32"/>
      <w:szCs w:val="32"/>
      <w:lang w:val="en-US" w:eastAsia="zh-CN" w:bidi="ar-SA"/>
    </w:rPr>
  </w:style>
  <w:style w:type="paragraph" w:styleId="4">
    <w:name w:val="heading 3"/>
    <w:basedOn w:val="1"/>
    <w:next w:val="1"/>
    <w:qFormat/>
    <w:uiPriority w:val="1"/>
    <w:pPr>
      <w:ind w:left="1377" w:right="3127"/>
      <w:jc w:val="center"/>
      <w:outlineLvl w:val="3"/>
    </w:pPr>
    <w:rPr>
      <w:rFonts w:ascii="仿宋" w:hAnsi="仿宋" w:eastAsia="仿宋" w:cs="仿宋"/>
      <w:sz w:val="32"/>
      <w:szCs w:val="32"/>
      <w:lang w:val="en-US" w:eastAsia="zh-CN" w:bidi="ar-SA"/>
    </w:rPr>
  </w:style>
  <w:style w:type="paragraph" w:styleId="5">
    <w:name w:val="heading 4"/>
    <w:basedOn w:val="1"/>
    <w:next w:val="1"/>
    <w:qFormat/>
    <w:uiPriority w:val="1"/>
    <w:pPr>
      <w:ind w:left="1377"/>
      <w:outlineLvl w:val="4"/>
    </w:pPr>
    <w:rPr>
      <w:rFonts w:ascii="仿宋" w:hAnsi="仿宋" w:eastAsia="仿宋" w:cs="仿宋"/>
      <w:b/>
      <w:bCs/>
      <w:sz w:val="28"/>
      <w:szCs w:val="28"/>
      <w:lang w:val="en-US" w:eastAsia="zh-CN" w:bidi="ar-SA"/>
    </w:rPr>
  </w:style>
  <w:style w:type="paragraph" w:styleId="6">
    <w:name w:val="heading 5"/>
    <w:basedOn w:val="1"/>
    <w:next w:val="1"/>
    <w:autoRedefine/>
    <w:qFormat/>
    <w:uiPriority w:val="1"/>
    <w:pPr>
      <w:ind w:left="1029" w:firstLine="559"/>
      <w:outlineLvl w:val="5"/>
    </w:pPr>
    <w:rPr>
      <w:rFonts w:ascii="仿宋" w:hAnsi="仿宋" w:eastAsia="仿宋" w:cs="仿宋"/>
      <w:sz w:val="28"/>
      <w:szCs w:val="28"/>
      <w:lang w:val="en-US" w:eastAsia="zh-CN" w:bidi="ar-SA"/>
    </w:rPr>
  </w:style>
  <w:style w:type="paragraph" w:styleId="7">
    <w:name w:val="heading 6"/>
    <w:basedOn w:val="1"/>
    <w:next w:val="1"/>
    <w:autoRedefine/>
    <w:qFormat/>
    <w:uiPriority w:val="1"/>
    <w:pPr>
      <w:ind w:left="420"/>
      <w:outlineLvl w:val="6"/>
    </w:pPr>
    <w:rPr>
      <w:rFonts w:ascii="仿宋" w:hAnsi="仿宋" w:eastAsia="仿宋" w:cs="仿宋"/>
      <w:b/>
      <w:bCs/>
      <w:sz w:val="24"/>
      <w:szCs w:val="24"/>
      <w:lang w:val="en-US" w:eastAsia="zh-CN" w:bidi="ar-SA"/>
    </w:rPr>
  </w:style>
  <w:style w:type="character" w:default="1" w:styleId="12">
    <w:name w:val="Default Paragraph Font"/>
    <w:autoRedefine/>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8">
    <w:name w:val="Body Text"/>
    <w:basedOn w:val="1"/>
    <w:qFormat/>
    <w:uiPriority w:val="1"/>
    <w:rPr>
      <w:rFonts w:ascii="仿宋" w:hAnsi="仿宋" w:eastAsia="仿宋" w:cs="仿宋"/>
      <w:sz w:val="24"/>
      <w:szCs w:val="24"/>
      <w:lang w:val="en-US" w:eastAsia="zh-CN" w:bidi="ar-SA"/>
    </w:rPr>
  </w:style>
  <w:style w:type="paragraph" w:styleId="9">
    <w:name w:val="toc 1"/>
    <w:basedOn w:val="1"/>
    <w:next w:val="1"/>
    <w:autoRedefine/>
    <w:qFormat/>
    <w:uiPriority w:val="1"/>
    <w:pPr>
      <w:spacing w:before="5"/>
      <w:ind w:left="420"/>
    </w:pPr>
    <w:rPr>
      <w:rFonts w:ascii="宋体" w:hAnsi="宋体" w:eastAsia="宋体" w:cs="宋体"/>
      <w:sz w:val="24"/>
      <w:szCs w:val="24"/>
      <w:lang w:val="en-US" w:eastAsia="zh-CN" w:bidi="ar-SA"/>
    </w:rPr>
  </w:style>
  <w:style w:type="paragraph" w:styleId="10">
    <w:name w:val="Title"/>
    <w:basedOn w:val="1"/>
    <w:qFormat/>
    <w:uiPriority w:val="1"/>
    <w:pPr>
      <w:ind w:left="5011" w:right="5013" w:hanging="34"/>
      <w:jc w:val="both"/>
    </w:pPr>
    <w:rPr>
      <w:rFonts w:ascii="宋体" w:hAnsi="宋体" w:eastAsia="宋体" w:cs="宋体"/>
      <w:b/>
      <w:bCs/>
      <w:sz w:val="56"/>
      <w:szCs w:val="56"/>
      <w:lang w:val="en-US" w:eastAsia="zh-CN" w:bidi="ar-SA"/>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420" w:firstLine="240"/>
    </w:pPr>
    <w:rPr>
      <w:rFonts w:ascii="仿宋" w:hAnsi="仿宋" w:eastAsia="仿宋" w:cs="仿宋"/>
      <w:lang w:val="en-US" w:eastAsia="zh-CN" w:bidi="ar-SA"/>
    </w:rPr>
  </w:style>
  <w:style w:type="paragraph" w:customStyle="1" w:styleId="15">
    <w:name w:val="Table Paragraph"/>
    <w:basedOn w:val="1"/>
    <w:qFormat/>
    <w:uiPriority w:val="1"/>
    <w:rPr>
      <w:rFonts w:ascii="仿宋" w:hAnsi="仿宋" w:eastAsia="仿宋" w:cs="仿宋"/>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22499</Words>
  <Characters>23288</Characters>
  <TotalTime>29</TotalTime>
  <ScaleCrop>false</ScaleCrop>
  <LinksUpToDate>false</LinksUpToDate>
  <CharactersWithSpaces>23635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2025-06-06T08:14:00Z</dcterms:created>
  <dc:creator>梦花雨   甘安莉</dc:creator>
  <cp:lastModifiedBy>国青小姐姐</cp:lastModifiedBy>
  <dcterms:modified xsi:type="dcterms:W3CDTF">2025-06-26T11:48:01Z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2025-04-11T00:00:00Z</vt:filetime>
  </property>
  <property fmtid="{D5CDD505-2E9C-101B-9397-08002B2CF9AE}" pid="3" name="Creator">
    <vt:lpwstr>WPS 文字</vt:lpwstr>
  </property>
  <property fmtid="{D5CDD505-2E9C-101B-9397-08002B2CF9AE}" pid="4" name="LastSaved">
    <vt:filetime>2025-06-06T00:00:00Z</vt:filetime>
  </property>
  <property fmtid="{D5CDD505-2E9C-101B-9397-08002B2CF9AE}" pid="5" name="KSOProductBuildVer">
    <vt:lpwstr>2052-12.1.0.21541</vt:lpwstr>
  </property>
  <property fmtid="{D5CDD505-2E9C-101B-9397-08002B2CF9AE}" pid="6" name="ICV">
    <vt:lpwstr>9DC77923A84E48F3849046F42EB41D1B_13</vt:lpwstr>
  </property>
  <property fmtid="{D5CDD505-2E9C-101B-9397-08002B2CF9AE}" pid="7" name="KSOTemplateDocerSaveRecord">
    <vt:lpwstr>eyJoZGlkIjoiYmVkMjM5YzQ4ZjkyNTFmZjhiODA2MTY3MjA4ZGYxNjYiLCJ1c2VySWQiOiI2MDg1NjI4MjIifQ==</vt:lpwstr>
  </property>
</Properties>
</file>